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3A6C9" w14:textId="77777777" w:rsidR="002B28D5" w:rsidRPr="000A6CC6" w:rsidRDefault="002B28D5" w:rsidP="00871948">
      <w:pPr>
        <w:widowControl w:val="0"/>
        <w:jc w:val="both"/>
        <w:rPr>
          <w:sz w:val="22"/>
          <w:szCs w:val="22"/>
        </w:rPr>
      </w:pPr>
    </w:p>
    <w:p w14:paraId="39A23B52" w14:textId="77777777" w:rsidR="00583DAB" w:rsidRPr="000A6CC6" w:rsidRDefault="00583DAB" w:rsidP="00326992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A6CC6">
        <w:rPr>
          <w:rFonts w:ascii="Times New Roman" w:hAnsi="Times New Roman"/>
          <w:sz w:val="22"/>
          <w:szCs w:val="22"/>
        </w:rPr>
        <w:t>SÚHRN CHARAKTERISTICKÝCH VLASTNOSTÍ LIEKU</w:t>
      </w:r>
    </w:p>
    <w:p w14:paraId="1FCA8B83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3856E872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79203EAB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1.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NÁZOV LIEKU </w:t>
      </w:r>
    </w:p>
    <w:p w14:paraId="65111D7B" w14:textId="77777777" w:rsidR="00D02801" w:rsidRPr="000A6CC6" w:rsidRDefault="00D02801" w:rsidP="00871948">
      <w:pPr>
        <w:widowControl w:val="0"/>
        <w:rPr>
          <w:b/>
          <w:sz w:val="22"/>
          <w:szCs w:val="22"/>
        </w:rPr>
      </w:pPr>
    </w:p>
    <w:p w14:paraId="5CA4DF28" w14:textId="77777777" w:rsidR="00583DAB" w:rsidRPr="000A6CC6" w:rsidRDefault="00F540FA" w:rsidP="0087194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PARALEN horúci nápoj</w:t>
      </w:r>
      <w:r>
        <w:rPr>
          <w:bCs/>
          <w:iCs/>
          <w:sz w:val="22"/>
          <w:szCs w:val="22"/>
        </w:rPr>
        <w:t>  bez cukru 500 mg</w:t>
      </w:r>
    </w:p>
    <w:p w14:paraId="3C11FBD1" w14:textId="77777777" w:rsidR="000E0A8F" w:rsidRPr="000A6CC6" w:rsidRDefault="00F540FA" w:rsidP="0087194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prášok na perorálny roztok</w:t>
      </w:r>
    </w:p>
    <w:p w14:paraId="18F64530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3AC9081F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4D496441" w14:textId="77777777" w:rsidR="00CA3F09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2.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KVALITATÍVNE A KVANTITATÍVNE ZLOŽENIE </w:t>
      </w:r>
    </w:p>
    <w:p w14:paraId="1397E709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4586FA71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 vrecko obsahuje 500 mg paracetamolu. </w:t>
      </w:r>
    </w:p>
    <w:p w14:paraId="6642A767" w14:textId="77777777" w:rsidR="00A7099E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Pomocné látky so známym účinkom: citronan sodný 517,4 mg (zodpovedá 121,39 mg sodíka)</w:t>
      </w:r>
      <w:r>
        <w:rPr>
          <w:noProof/>
          <w:sz w:val="22"/>
          <w:szCs w:val="22"/>
        </w:rPr>
        <w:t>.</w:t>
      </w:r>
    </w:p>
    <w:p w14:paraId="261CF8E8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408591A1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5F30B3EA" w14:textId="77777777" w:rsidR="00A7556A" w:rsidRPr="000A6CC6" w:rsidRDefault="00A7556A" w:rsidP="00871948">
      <w:pPr>
        <w:widowControl w:val="0"/>
        <w:jc w:val="both"/>
        <w:rPr>
          <w:sz w:val="22"/>
          <w:szCs w:val="22"/>
        </w:rPr>
      </w:pPr>
    </w:p>
    <w:p w14:paraId="6A72FD75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58726F75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3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LIEKOVÁ FORMA</w:t>
      </w:r>
    </w:p>
    <w:p w14:paraId="392AC24E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386D0C45" w14:textId="77777777" w:rsidR="00583DAB" w:rsidRPr="000A6CC6" w:rsidRDefault="00F540FA" w:rsidP="00871948">
      <w:pPr>
        <w:widowControl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Prášok na perorálny roztok. </w:t>
      </w:r>
    </w:p>
    <w:p w14:paraId="4A7C760D" w14:textId="77777777" w:rsidR="002C2EDD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Krémovo-žltobielo sfarbený sypký jemný prášok s citrónovou vôňou a chuťou. </w:t>
      </w:r>
    </w:p>
    <w:p w14:paraId="23C9B966" w14:textId="77777777" w:rsidR="002C7433" w:rsidRPr="000A6CC6" w:rsidRDefault="002C7433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14:paraId="0CDA4E62" w14:textId="77777777" w:rsidR="002C7433" w:rsidRPr="000A6CC6" w:rsidRDefault="002C7433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14:paraId="2DFDAE4A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4.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KLINICKÉ ÚDAJE</w:t>
      </w:r>
    </w:p>
    <w:p w14:paraId="7814188F" w14:textId="77777777" w:rsidR="002C2EDD" w:rsidRPr="000A6CC6" w:rsidRDefault="002C2EDD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35FF1153" w14:textId="77777777" w:rsidR="00583DAB" w:rsidRPr="000A6CC6" w:rsidRDefault="00F540FA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</w:t>
      </w:r>
      <w:r>
        <w:rPr>
          <w:rFonts w:ascii="Times New Roman" w:hAnsi="Times New Roman" w:cs="Times New Roman"/>
          <w:b/>
          <w:sz w:val="22"/>
          <w:szCs w:val="22"/>
        </w:rPr>
        <w:tab/>
        <w:t>Terapeutické indikácie</w:t>
      </w:r>
    </w:p>
    <w:p w14:paraId="15485BDF" w14:textId="77777777" w:rsidR="000C0B23" w:rsidRPr="000A6CC6" w:rsidRDefault="000C0B23" w:rsidP="000C0B23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</w:p>
    <w:p w14:paraId="13F92EC4" w14:textId="77777777" w:rsidR="00CA3F09" w:rsidRPr="000A6CC6" w:rsidRDefault="00F540FA" w:rsidP="000C0B23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Horúčka, najmä pri akútnych bakteriálnych a vírusových infekciách, bolesti zubov, hlavy, neuralgie, bolesti svalov alebo kĺbov nezápalovej etiológie, bolesti vertebrogénneho pôvodu, bolestivá menštruácia.</w:t>
      </w:r>
    </w:p>
    <w:p w14:paraId="5983C3E2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2EFE9529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>
        <w:rPr>
          <w:b/>
          <w:sz w:val="22"/>
          <w:szCs w:val="22"/>
        </w:rPr>
        <w:tab/>
        <w:t>Dávkovanie a spôsob podávania</w:t>
      </w:r>
    </w:p>
    <w:p w14:paraId="77AD1A7C" w14:textId="77777777" w:rsidR="00CA3F09" w:rsidRPr="000A6CC6" w:rsidRDefault="00CA3F09" w:rsidP="00871948">
      <w:pPr>
        <w:widowControl w:val="0"/>
        <w:jc w:val="both"/>
        <w:rPr>
          <w:i/>
          <w:iCs/>
          <w:sz w:val="22"/>
          <w:szCs w:val="22"/>
          <w:u w:val="single"/>
        </w:rPr>
      </w:pPr>
    </w:p>
    <w:p w14:paraId="46DE0A05" w14:textId="4016418B" w:rsidR="000C0B23" w:rsidRPr="000A6CC6" w:rsidRDefault="00F540FA" w:rsidP="00871948">
      <w:pPr>
        <w:widowControl w:val="0"/>
        <w:jc w:val="both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Dávkovanie</w:t>
      </w:r>
    </w:p>
    <w:p w14:paraId="4F334F23" w14:textId="77777777" w:rsidR="000C0B23" w:rsidRPr="000A6CC6" w:rsidRDefault="000C0B23" w:rsidP="000C0B23">
      <w:pPr>
        <w:rPr>
          <w:iCs/>
          <w:sz w:val="22"/>
          <w:szCs w:val="22"/>
        </w:rPr>
      </w:pPr>
    </w:p>
    <w:p w14:paraId="7E6FCC13" w14:textId="77777777" w:rsidR="000C0B23" w:rsidRPr="000A6CC6" w:rsidRDefault="00F540FA" w:rsidP="000C0B23">
      <w:pPr>
        <w:rPr>
          <w:rFonts w:eastAsia="MS Mincho"/>
          <w:sz w:val="22"/>
          <w:szCs w:val="22"/>
          <w:lang w:eastAsia="fr-FR"/>
        </w:rPr>
      </w:pPr>
      <w:r>
        <w:rPr>
          <w:rFonts w:eastAsia="MS Mincho"/>
          <w:sz w:val="22"/>
          <w:szCs w:val="22"/>
          <w:lang w:eastAsia="fr-FR"/>
        </w:rPr>
        <w:t>Odporúčané dávkovanie paracetamolu:</w:t>
      </w:r>
    </w:p>
    <w:p w14:paraId="21F4F75B" w14:textId="77777777" w:rsidR="000C0B23" w:rsidRPr="000A6CC6" w:rsidRDefault="000C0B23" w:rsidP="000C0B23">
      <w:pPr>
        <w:rPr>
          <w:rFonts w:eastAsia="MS Mincho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0C0B23" w:rsidRPr="000A6CC6" w14:paraId="271961B7" w14:textId="77777777" w:rsidTr="00EB38C5">
        <w:tc>
          <w:tcPr>
            <w:tcW w:w="2302" w:type="dxa"/>
          </w:tcPr>
          <w:p w14:paraId="4DC21AAD" w14:textId="30DD5214" w:rsidR="000C0B23" w:rsidRPr="00327EC6" w:rsidRDefault="00F540FA" w:rsidP="00EB38C5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V</w:t>
            </w:r>
            <w:r w:rsidR="005F7694">
              <w:rPr>
                <w:rFonts w:eastAsia="MS Mincho"/>
                <w:b/>
                <w:sz w:val="22"/>
                <w:szCs w:val="22"/>
                <w:lang w:eastAsia="fr-FR"/>
              </w:rPr>
              <w:t>ek</w:t>
            </w:r>
          </w:p>
        </w:tc>
        <w:tc>
          <w:tcPr>
            <w:tcW w:w="2302" w:type="dxa"/>
          </w:tcPr>
          <w:p w14:paraId="2A8636AA" w14:textId="35A2A847" w:rsidR="000C0B23" w:rsidRPr="00327EC6" w:rsidRDefault="005F7694" w:rsidP="005F7694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H</w:t>
            </w:r>
            <w:r>
              <w:rPr>
                <w:rFonts w:eastAsia="MS Mincho"/>
                <w:b/>
                <w:sz w:val="22"/>
                <w:szCs w:val="22"/>
                <w:lang w:eastAsia="fr-FR"/>
              </w:rPr>
              <w:t>motnosť</w:t>
            </w:r>
          </w:p>
        </w:tc>
        <w:tc>
          <w:tcPr>
            <w:tcW w:w="2303" w:type="dxa"/>
          </w:tcPr>
          <w:p w14:paraId="79EBED19" w14:textId="77777777" w:rsidR="000C0B23" w:rsidRPr="00327EC6" w:rsidRDefault="00F540FA" w:rsidP="00EB38C5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Jednotlivá dávka</w:t>
            </w:r>
          </w:p>
        </w:tc>
        <w:tc>
          <w:tcPr>
            <w:tcW w:w="2303" w:type="dxa"/>
          </w:tcPr>
          <w:p w14:paraId="6AF3D403" w14:textId="77777777" w:rsidR="000C0B23" w:rsidRPr="00327EC6" w:rsidRDefault="00F540FA" w:rsidP="00EB38C5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Maximálna denná dávka</w:t>
            </w:r>
          </w:p>
        </w:tc>
      </w:tr>
      <w:tr w:rsidR="000C0B23" w:rsidRPr="000A6CC6" w14:paraId="3D41B511" w14:textId="77777777" w:rsidTr="00EB38C5">
        <w:tc>
          <w:tcPr>
            <w:tcW w:w="2302" w:type="dxa"/>
          </w:tcPr>
          <w:p w14:paraId="13C66F3E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0A6CC6">
              <w:rPr>
                <w:rFonts w:eastAsia="MS Mincho"/>
                <w:sz w:val="22"/>
                <w:szCs w:val="22"/>
                <w:lang w:eastAsia="fr-FR"/>
              </w:rPr>
              <w:t>12</w:t>
            </w:r>
            <w:r w:rsidRPr="000A6CC6">
              <w:rPr>
                <w:rFonts w:eastAsia="MS Mincho"/>
                <w:sz w:val="22"/>
                <w:szCs w:val="22"/>
                <w:lang w:eastAsia="fr-FR"/>
              </w:rPr>
              <w:noBreakHyphen/>
              <w:t>15 rokov</w:t>
            </w:r>
          </w:p>
        </w:tc>
        <w:tc>
          <w:tcPr>
            <w:tcW w:w="2302" w:type="dxa"/>
          </w:tcPr>
          <w:p w14:paraId="3EA6551F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40</w:t>
            </w:r>
            <w:r>
              <w:rPr>
                <w:rFonts w:eastAsia="MS Mincho"/>
                <w:sz w:val="22"/>
                <w:szCs w:val="22"/>
                <w:lang w:eastAsia="fr-FR"/>
              </w:rPr>
              <w:noBreakHyphen/>
              <w:t>50 kg</w:t>
            </w:r>
          </w:p>
        </w:tc>
        <w:tc>
          <w:tcPr>
            <w:tcW w:w="2303" w:type="dxa"/>
          </w:tcPr>
          <w:p w14:paraId="0E1C5790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</w:tcPr>
          <w:p w14:paraId="7057E5DC" w14:textId="77777777" w:rsidR="004B37AA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6 vreciek </w:t>
            </w:r>
          </w:p>
          <w:p w14:paraId="771A0BC0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(3 g  paracetamolu)</w:t>
            </w:r>
          </w:p>
        </w:tc>
      </w:tr>
      <w:tr w:rsidR="000C0B23" w:rsidRPr="000A6CC6" w14:paraId="3540A63C" w14:textId="77777777" w:rsidTr="00EB38C5">
        <w:tc>
          <w:tcPr>
            <w:tcW w:w="2302" w:type="dxa"/>
            <w:vMerge w:val="restart"/>
          </w:tcPr>
          <w:p w14:paraId="1CCC31CF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0A6CC6">
              <w:rPr>
                <w:rFonts w:eastAsia="MS Mincho"/>
                <w:sz w:val="22"/>
                <w:szCs w:val="22"/>
                <w:lang w:eastAsia="fr-FR"/>
              </w:rPr>
              <w:t>nad 15 rokov</w:t>
            </w:r>
          </w:p>
        </w:tc>
        <w:tc>
          <w:tcPr>
            <w:tcW w:w="2302" w:type="dxa"/>
          </w:tcPr>
          <w:p w14:paraId="609F8380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≤ 50 kg</w:t>
            </w:r>
          </w:p>
        </w:tc>
        <w:tc>
          <w:tcPr>
            <w:tcW w:w="2303" w:type="dxa"/>
          </w:tcPr>
          <w:p w14:paraId="6284B345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  <w:vMerge w:val="restart"/>
          </w:tcPr>
          <w:p w14:paraId="17DE3BE1" w14:textId="77777777" w:rsidR="004B37AA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8 vreciek </w:t>
            </w:r>
          </w:p>
          <w:p w14:paraId="43ABEA19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(4 g  paracetamolu)</w:t>
            </w:r>
          </w:p>
        </w:tc>
      </w:tr>
      <w:tr w:rsidR="000C0B23" w:rsidRPr="000A6CC6" w14:paraId="02DB40B2" w14:textId="77777777" w:rsidTr="000549E9">
        <w:trPr>
          <w:trHeight w:val="53"/>
        </w:trPr>
        <w:tc>
          <w:tcPr>
            <w:tcW w:w="2302" w:type="dxa"/>
            <w:vMerge/>
          </w:tcPr>
          <w:p w14:paraId="0C362DE2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  <w:tc>
          <w:tcPr>
            <w:tcW w:w="2302" w:type="dxa"/>
          </w:tcPr>
          <w:p w14:paraId="158AE1AA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&gt;50 kg</w:t>
            </w:r>
          </w:p>
        </w:tc>
        <w:tc>
          <w:tcPr>
            <w:tcW w:w="2303" w:type="dxa"/>
          </w:tcPr>
          <w:p w14:paraId="0BFFF0D5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1-2 vrecká </w:t>
            </w:r>
          </w:p>
          <w:p w14:paraId="74C6C616" w14:textId="38368343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(500 – 1</w:t>
            </w:r>
            <w:r w:rsidR="0004646A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fr-FR"/>
              </w:rPr>
              <w:t>000 mg  paracetamolu)</w:t>
            </w:r>
          </w:p>
        </w:tc>
        <w:tc>
          <w:tcPr>
            <w:tcW w:w="2303" w:type="dxa"/>
            <w:vMerge/>
          </w:tcPr>
          <w:p w14:paraId="08AA285E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</w:tr>
    </w:tbl>
    <w:p w14:paraId="304D9607" w14:textId="77777777" w:rsidR="000C0B23" w:rsidRPr="000A6CC6" w:rsidRDefault="000C0B23" w:rsidP="000C0B23">
      <w:pPr>
        <w:jc w:val="both"/>
        <w:rPr>
          <w:rFonts w:eastAsia="MS Mincho"/>
          <w:sz w:val="22"/>
          <w:szCs w:val="22"/>
          <w:lang w:eastAsia="fr-FR"/>
        </w:rPr>
      </w:pPr>
    </w:p>
    <w:p w14:paraId="2B814836" w14:textId="77777777" w:rsidR="000C0B23" w:rsidRPr="000A6CC6" w:rsidRDefault="00B81255" w:rsidP="000C0B23">
      <w:pPr>
        <w:rPr>
          <w:noProof/>
          <w:sz w:val="22"/>
          <w:szCs w:val="22"/>
        </w:rPr>
      </w:pPr>
      <w:r w:rsidRPr="00B81255">
        <w:rPr>
          <w:b/>
          <w:noProof/>
          <w:sz w:val="22"/>
          <w:szCs w:val="22"/>
        </w:rPr>
        <w:t>Dospelí a dospievajúci od 15 rokov</w:t>
      </w:r>
      <w:r w:rsidR="00F540FA">
        <w:rPr>
          <w:noProof/>
          <w:sz w:val="22"/>
          <w:szCs w:val="22"/>
        </w:rPr>
        <w:t xml:space="preserve"> užívajú 1 alebo 2 vrecká rozpustené v pohári horúcej (ale nie vriacej) vody maximálne 6</w:t>
      </w:r>
      <w:r w:rsidR="00711617">
        <w:rPr>
          <w:noProof/>
          <w:sz w:val="22"/>
          <w:szCs w:val="22"/>
        </w:rPr>
        <w:t>-</w:t>
      </w:r>
      <w:r w:rsidR="00F540FA">
        <w:rPr>
          <w:noProof/>
          <w:sz w:val="22"/>
          <w:szCs w:val="22"/>
        </w:rPr>
        <w:t>krát denne, odstup medzi jednotlivými dávkami musí byť najmenej 4 hodiny. Maximálna denná dávka paracetamolu je 4 g.</w:t>
      </w:r>
      <w:r w:rsidR="00F540FA" w:rsidRPr="00F540FA">
        <w:rPr>
          <w:sz w:val="22"/>
          <w:szCs w:val="22"/>
        </w:rPr>
        <w:t xml:space="preserve"> </w:t>
      </w:r>
      <w:r w:rsidR="000C0B23" w:rsidRPr="000A6CC6">
        <w:rPr>
          <w:noProof/>
          <w:sz w:val="22"/>
          <w:szCs w:val="22"/>
        </w:rPr>
        <w:t>Najvyššia jednotlivá dávka pre pacientov s hmotnosťou do 50 kg je 1 vrecko. Maximálne denné dávky podľa veku a hmotnosti sú uvedené v tabuľke.</w:t>
      </w:r>
      <w:r w:rsidR="00F540FA" w:rsidRPr="00F540FA">
        <w:rPr>
          <w:sz w:val="22"/>
          <w:szCs w:val="22"/>
        </w:rPr>
        <w:t xml:space="preserve"> </w:t>
      </w:r>
      <w:r w:rsidR="000C0B23" w:rsidRPr="000A6CC6">
        <w:rPr>
          <w:noProof/>
          <w:sz w:val="22"/>
          <w:szCs w:val="22"/>
        </w:rPr>
        <w:t xml:space="preserve">Pri dlhodobej liečbe (10 dní a viac), denná dávka nemá prekročiť 2,5 </w:t>
      </w:r>
      <w:r w:rsidR="00F540FA">
        <w:rPr>
          <w:noProof/>
          <w:sz w:val="22"/>
          <w:szCs w:val="22"/>
        </w:rPr>
        <w:t>g.</w:t>
      </w:r>
    </w:p>
    <w:p w14:paraId="19BC1CE8" w14:textId="77777777" w:rsidR="000C0B23" w:rsidRPr="000A6CC6" w:rsidRDefault="00F540FA" w:rsidP="000C0B2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Nemá sa užiť viac ako 8 vreciek za 24 hodín.</w:t>
      </w:r>
    </w:p>
    <w:p w14:paraId="60ADA93A" w14:textId="77777777" w:rsidR="000C0B23" w:rsidRPr="000A6CC6" w:rsidRDefault="000C0B23" w:rsidP="000C0B23">
      <w:pPr>
        <w:rPr>
          <w:noProof/>
          <w:sz w:val="22"/>
          <w:szCs w:val="22"/>
        </w:rPr>
      </w:pPr>
    </w:p>
    <w:p w14:paraId="0141F1B6" w14:textId="77777777" w:rsidR="000C0B23" w:rsidRPr="000A6CC6" w:rsidRDefault="00B81255" w:rsidP="000C0B23">
      <w:pPr>
        <w:rPr>
          <w:noProof/>
          <w:sz w:val="22"/>
          <w:szCs w:val="22"/>
        </w:rPr>
      </w:pPr>
      <w:r w:rsidRPr="00B81255">
        <w:rPr>
          <w:b/>
          <w:noProof/>
          <w:sz w:val="22"/>
          <w:szCs w:val="22"/>
        </w:rPr>
        <w:lastRenderedPageBreak/>
        <w:t>Dospievajúci od 12 do 15 rokov</w:t>
      </w:r>
      <w:r w:rsidR="00F540FA">
        <w:rPr>
          <w:noProof/>
          <w:sz w:val="22"/>
          <w:szCs w:val="22"/>
        </w:rPr>
        <w:t xml:space="preserve"> užívajú 1 vrecko rozpustené v pohári horúcej vody (ale nie vriacej),</w:t>
      </w:r>
    </w:p>
    <w:p w14:paraId="59E28C36" w14:textId="77777777" w:rsidR="000C0B23" w:rsidRPr="000A6CC6" w:rsidRDefault="00F540FA" w:rsidP="000C0B2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 časových odstupoch 6 hodín. Interval možno skrátiť podľa potreby na 4 hodiny, pričom nesmie byť prekročená maximálna denná dávka.</w:t>
      </w:r>
    </w:p>
    <w:p w14:paraId="6329DD31" w14:textId="77777777" w:rsidR="000C0B23" w:rsidRPr="000A6CC6" w:rsidRDefault="00F540FA" w:rsidP="000C0B2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Maximálne denné dávky podľa veku a hmotnosti sú uvedené v tabuľke. </w:t>
      </w:r>
    </w:p>
    <w:p w14:paraId="5817837B" w14:textId="77777777" w:rsidR="000C0B23" w:rsidRPr="000A6CC6" w:rsidRDefault="00F540FA" w:rsidP="000C0B2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Nemá sa užiť viac ako 6 vreciek za 24 hodín.</w:t>
      </w:r>
    </w:p>
    <w:p w14:paraId="191BE7FE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5E9FBABC" w14:textId="77777777" w:rsidR="00A7099E" w:rsidRPr="004B37AA" w:rsidRDefault="00B81255" w:rsidP="00871948">
      <w:pPr>
        <w:widowControl w:val="0"/>
        <w:jc w:val="both"/>
        <w:rPr>
          <w:i/>
          <w:color w:val="000000"/>
          <w:sz w:val="22"/>
          <w:szCs w:val="22"/>
        </w:rPr>
      </w:pPr>
      <w:r w:rsidRPr="00B81255">
        <w:rPr>
          <w:i/>
          <w:color w:val="000000"/>
          <w:sz w:val="22"/>
          <w:szCs w:val="22"/>
        </w:rPr>
        <w:t>Pacienti s renálnou insuficienciou</w:t>
      </w:r>
    </w:p>
    <w:p w14:paraId="30CBB8BB" w14:textId="3C1E6B8F" w:rsidR="00A7099E" w:rsidRPr="000A6CC6" w:rsidRDefault="00F540FA" w:rsidP="00871948">
      <w:pPr>
        <w:widowControl w:val="0"/>
        <w:jc w:val="both"/>
        <w:rPr>
          <w:color w:val="000000"/>
          <w:sz w:val="22"/>
          <w:szCs w:val="22"/>
        </w:rPr>
      </w:pPr>
      <w:r>
        <w:rPr>
          <w:rStyle w:val="hps"/>
          <w:color w:val="000000"/>
          <w:sz w:val="22"/>
          <w:szCs w:val="22"/>
        </w:rPr>
        <w:t>U pacientov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</w:t>
      </w:r>
      <w:r w:rsidR="00B81255" w:rsidRPr="00B81255">
        <w:rPr>
          <w:color w:val="000000"/>
          <w:sz w:val="22"/>
          <w:szCs w:val="22"/>
        </w:rPr>
        <w:t>renálnou insuficienciou</w:t>
      </w:r>
      <w:r w:rsidRPr="004B37AA">
        <w:rPr>
          <w:rStyle w:val="hps"/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sa odporúča</w:t>
      </w:r>
      <w:r>
        <w:rPr>
          <w:color w:val="000000"/>
          <w:sz w:val="22"/>
          <w:szCs w:val="22"/>
        </w:rPr>
        <w:t xml:space="preserve"> predĺžiť </w:t>
      </w:r>
      <w:r>
        <w:rPr>
          <w:rStyle w:val="hps"/>
          <w:color w:val="000000"/>
          <w:sz w:val="22"/>
          <w:szCs w:val="22"/>
        </w:rPr>
        <w:t>interval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medzi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dávkami</w:t>
      </w:r>
      <w:r>
        <w:rPr>
          <w:color w:val="000000"/>
          <w:sz w:val="22"/>
          <w:szCs w:val="22"/>
        </w:rPr>
        <w:t xml:space="preserve">: </w:t>
      </w:r>
      <w:r>
        <w:rPr>
          <w:rStyle w:val="hps"/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prípade stredne</w:t>
      </w:r>
      <w:r>
        <w:rPr>
          <w:color w:val="000000"/>
          <w:sz w:val="22"/>
          <w:szCs w:val="22"/>
        </w:rPr>
        <w:t xml:space="preserve"> ťažkej </w:t>
      </w:r>
      <w:r>
        <w:rPr>
          <w:rStyle w:val="hps"/>
          <w:color w:val="000000"/>
          <w:sz w:val="22"/>
          <w:szCs w:val="22"/>
        </w:rPr>
        <w:t>renálnej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insuficiencie</w:t>
      </w:r>
      <w:r>
        <w:rPr>
          <w:color w:val="000000"/>
          <w:sz w:val="22"/>
          <w:szCs w:val="22"/>
        </w:rPr>
        <w:t xml:space="preserve"> </w:t>
      </w:r>
      <w:r>
        <w:rPr>
          <w:rStyle w:val="hpsatn"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klírens </w:t>
      </w:r>
      <w:r>
        <w:rPr>
          <w:rStyle w:val="hps"/>
          <w:color w:val="000000"/>
          <w:sz w:val="22"/>
          <w:szCs w:val="22"/>
        </w:rPr>
        <w:t>kreatinínu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10-50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ml/min)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minimálny interval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medzi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dvomi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dávkami</w:t>
      </w:r>
      <w:r>
        <w:rPr>
          <w:color w:val="000000"/>
          <w:sz w:val="22"/>
          <w:szCs w:val="22"/>
        </w:rPr>
        <w:t xml:space="preserve"> má byť</w:t>
      </w:r>
      <w:r>
        <w:rPr>
          <w:rStyle w:val="hps"/>
          <w:color w:val="000000"/>
          <w:sz w:val="22"/>
          <w:szCs w:val="22"/>
        </w:rPr>
        <w:t xml:space="preserve"> 6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hodín</w:t>
      </w:r>
      <w:r>
        <w:rPr>
          <w:color w:val="000000"/>
          <w:sz w:val="22"/>
          <w:szCs w:val="22"/>
        </w:rPr>
        <w:t xml:space="preserve">, </w:t>
      </w:r>
      <w:r>
        <w:rPr>
          <w:rStyle w:val="hps"/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 xml:space="preserve">prípade </w:t>
      </w:r>
      <w:r w:rsidR="001E15CC">
        <w:rPr>
          <w:rStyle w:val="hps"/>
          <w:color w:val="000000"/>
          <w:sz w:val="22"/>
          <w:szCs w:val="22"/>
        </w:rPr>
        <w:t>závažn</w:t>
      </w:r>
      <w:r>
        <w:rPr>
          <w:rStyle w:val="hps"/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renálnej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insuficiencie</w:t>
      </w:r>
      <w:r>
        <w:rPr>
          <w:color w:val="000000"/>
          <w:sz w:val="22"/>
          <w:szCs w:val="22"/>
        </w:rPr>
        <w:t xml:space="preserve"> </w:t>
      </w:r>
      <w:r>
        <w:rPr>
          <w:rStyle w:val="hpsatn"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klírens </w:t>
      </w:r>
      <w:r>
        <w:rPr>
          <w:rStyle w:val="hps"/>
          <w:color w:val="000000"/>
          <w:sz w:val="22"/>
          <w:szCs w:val="22"/>
        </w:rPr>
        <w:t>kreatinínu</w:t>
      </w:r>
      <w:r>
        <w:rPr>
          <w:color w:val="000000"/>
          <w:sz w:val="22"/>
          <w:szCs w:val="22"/>
        </w:rPr>
        <w:t xml:space="preserve"> </w:t>
      </w:r>
      <w:r>
        <w:rPr>
          <w:rStyle w:val="hpsatn"/>
          <w:color w:val="000000"/>
          <w:sz w:val="22"/>
          <w:szCs w:val="22"/>
        </w:rPr>
        <w:t>&lt;</w:t>
      </w:r>
      <w:r>
        <w:rPr>
          <w:rStyle w:val="hps"/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min)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minimálny interval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medzi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dvomi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dávkami</w:t>
      </w:r>
      <w:r>
        <w:rPr>
          <w:color w:val="000000"/>
          <w:sz w:val="22"/>
          <w:szCs w:val="22"/>
        </w:rPr>
        <w:t xml:space="preserve"> má byť</w:t>
      </w:r>
      <w:r>
        <w:rPr>
          <w:rStyle w:val="hps"/>
          <w:color w:val="000000"/>
          <w:sz w:val="22"/>
          <w:szCs w:val="22"/>
        </w:rPr>
        <w:t xml:space="preserve"> 8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hodín.</w:t>
      </w:r>
    </w:p>
    <w:p w14:paraId="127AB022" w14:textId="77777777" w:rsidR="00A7099E" w:rsidRPr="000A6CC6" w:rsidRDefault="00A7099E" w:rsidP="00871948">
      <w:pPr>
        <w:widowControl w:val="0"/>
        <w:jc w:val="both"/>
        <w:rPr>
          <w:color w:val="000000"/>
          <w:sz w:val="22"/>
          <w:szCs w:val="22"/>
        </w:rPr>
      </w:pPr>
    </w:p>
    <w:p w14:paraId="07C3C5CC" w14:textId="77777777" w:rsidR="00A7099E" w:rsidRPr="004B37AA" w:rsidRDefault="00B81255" w:rsidP="00871948">
      <w:pPr>
        <w:widowControl w:val="0"/>
        <w:jc w:val="both"/>
        <w:rPr>
          <w:i/>
          <w:sz w:val="22"/>
          <w:szCs w:val="22"/>
        </w:rPr>
      </w:pPr>
      <w:r w:rsidRPr="00B81255">
        <w:rPr>
          <w:i/>
          <w:sz w:val="22"/>
          <w:szCs w:val="22"/>
        </w:rPr>
        <w:t>Pacienti s hepatálnou insuficienciou</w:t>
      </w:r>
    </w:p>
    <w:p w14:paraId="7C87D47C" w14:textId="77777777" w:rsidR="00A7099E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Pri stabilizovanej chronickej hepatálnej insuficiencii nevyvoláva paracetamol poškodenie pečene, ak je podávaný vo vyššie uvedenom dávkovaní. Napriek tomu je vhodné u týchto pacientov nepodávať maximálne dávky a dodržiavať interval medzi jednotlivými dávkami minimálne 6 hodín.</w:t>
      </w:r>
    </w:p>
    <w:p w14:paraId="01EF8DCA" w14:textId="77777777" w:rsidR="00D4489F" w:rsidRPr="000A6CC6" w:rsidRDefault="00D4489F" w:rsidP="00D4489F">
      <w:pPr>
        <w:widowControl w:val="0"/>
        <w:jc w:val="both"/>
        <w:rPr>
          <w:sz w:val="22"/>
          <w:szCs w:val="22"/>
        </w:rPr>
      </w:pPr>
    </w:p>
    <w:p w14:paraId="5E1F31DB" w14:textId="77777777" w:rsidR="00D4489F" w:rsidRPr="004B37AA" w:rsidRDefault="00B81255" w:rsidP="00D4489F">
      <w:pPr>
        <w:widowControl w:val="0"/>
        <w:jc w:val="both"/>
        <w:rPr>
          <w:i/>
          <w:sz w:val="22"/>
          <w:szCs w:val="22"/>
        </w:rPr>
      </w:pPr>
      <w:r w:rsidRPr="00B81255">
        <w:rPr>
          <w:i/>
          <w:sz w:val="22"/>
          <w:szCs w:val="22"/>
        </w:rPr>
        <w:t>Pediatrická populácia</w:t>
      </w:r>
    </w:p>
    <w:p w14:paraId="6DC89698" w14:textId="76111687" w:rsidR="00A7099E" w:rsidRPr="000A6CC6" w:rsidRDefault="00F540FA" w:rsidP="00D4489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Vzhľadom na </w:t>
      </w:r>
      <w:r w:rsidR="009401E9">
        <w:rPr>
          <w:sz w:val="22"/>
          <w:szCs w:val="22"/>
        </w:rPr>
        <w:t>množstvo</w:t>
      </w:r>
      <w:r>
        <w:rPr>
          <w:sz w:val="22"/>
          <w:szCs w:val="22"/>
        </w:rPr>
        <w:t xml:space="preserve"> liečiva v jednom vrecku, liek nie je určený pre deti do 12 rokov.</w:t>
      </w:r>
    </w:p>
    <w:p w14:paraId="4346359C" w14:textId="77777777" w:rsidR="00D4489F" w:rsidRPr="000A6CC6" w:rsidRDefault="00D4489F" w:rsidP="00871948">
      <w:pPr>
        <w:widowControl w:val="0"/>
        <w:jc w:val="both"/>
        <w:rPr>
          <w:i/>
          <w:sz w:val="22"/>
          <w:szCs w:val="22"/>
          <w:u w:val="single"/>
        </w:rPr>
      </w:pPr>
    </w:p>
    <w:p w14:paraId="77838D31" w14:textId="77777777" w:rsidR="00C9068A" w:rsidRPr="004B37AA" w:rsidRDefault="00B81255" w:rsidP="00871948">
      <w:pPr>
        <w:widowControl w:val="0"/>
        <w:jc w:val="both"/>
        <w:rPr>
          <w:sz w:val="22"/>
          <w:szCs w:val="22"/>
          <w:u w:val="single"/>
        </w:rPr>
      </w:pPr>
      <w:r w:rsidRPr="00B81255">
        <w:rPr>
          <w:sz w:val="22"/>
          <w:szCs w:val="22"/>
          <w:u w:val="single"/>
        </w:rPr>
        <w:t>Spôsob podávania</w:t>
      </w:r>
    </w:p>
    <w:p w14:paraId="0CCC83BF" w14:textId="77777777" w:rsidR="004B37AA" w:rsidRDefault="004B37AA" w:rsidP="00871948">
      <w:pPr>
        <w:widowControl w:val="0"/>
        <w:jc w:val="both"/>
        <w:rPr>
          <w:sz w:val="22"/>
          <w:szCs w:val="22"/>
        </w:rPr>
      </w:pPr>
    </w:p>
    <w:p w14:paraId="268D7C41" w14:textId="77777777" w:rsidR="0004646A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je určený na perorálne podanie. </w:t>
      </w:r>
    </w:p>
    <w:p w14:paraId="1CE6DC14" w14:textId="1BF56147" w:rsidR="00C9068A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Obsah vrecka sa rozpustí v pohári horúcej vody </w:t>
      </w:r>
      <w:r w:rsidR="004B37AA">
        <w:rPr>
          <w:noProof/>
          <w:sz w:val="22"/>
          <w:szCs w:val="22"/>
        </w:rPr>
        <w:t xml:space="preserve">(ale nie vriacej) </w:t>
      </w:r>
      <w:r>
        <w:rPr>
          <w:sz w:val="22"/>
          <w:szCs w:val="22"/>
        </w:rPr>
        <w:t>a</w:t>
      </w:r>
      <w:r w:rsidR="000464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teplý nápoj sa vypije. </w:t>
      </w:r>
    </w:p>
    <w:p w14:paraId="5F95ACC0" w14:textId="77777777" w:rsidR="00C9068A" w:rsidRPr="000A6CC6" w:rsidRDefault="00C9068A" w:rsidP="00871948">
      <w:pPr>
        <w:widowControl w:val="0"/>
        <w:jc w:val="both"/>
        <w:rPr>
          <w:i/>
          <w:sz w:val="22"/>
          <w:szCs w:val="22"/>
          <w:u w:val="single"/>
        </w:rPr>
      </w:pPr>
    </w:p>
    <w:p w14:paraId="0C113884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>
        <w:rPr>
          <w:b/>
          <w:sz w:val="22"/>
          <w:szCs w:val="22"/>
        </w:rPr>
        <w:tab/>
        <w:t xml:space="preserve">Kontraindikácie </w:t>
      </w:r>
    </w:p>
    <w:p w14:paraId="0BB1CF9C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3F765B3B" w14:textId="2FA1B16B" w:rsidR="00A7099E" w:rsidRPr="000A6CC6" w:rsidRDefault="00F540FA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precitlivenosť na paracetamol alebo na ktorúkoľvek z pomocných látok uvedených v časti 6.1</w:t>
      </w:r>
    </w:p>
    <w:p w14:paraId="3A96ABD1" w14:textId="0FA2CF85" w:rsidR="00A7099E" w:rsidRPr="000A6CC6" w:rsidRDefault="009401E9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závažn</w:t>
      </w:r>
      <w:r w:rsidR="00F540FA">
        <w:rPr>
          <w:sz w:val="22"/>
          <w:szCs w:val="22"/>
        </w:rPr>
        <w:t>á porucha funkcie pečene, akútne zlyhanie pečene</w:t>
      </w:r>
    </w:p>
    <w:p w14:paraId="414A5268" w14:textId="3B6D6092" w:rsidR="00DE56EF" w:rsidRPr="000A6CC6" w:rsidRDefault="009401E9" w:rsidP="00DE56EF">
      <w:pPr>
        <w:pStyle w:val="Odsekzoznamu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závažn</w:t>
      </w:r>
      <w:r w:rsidR="00F540FA">
        <w:rPr>
          <w:sz w:val="22"/>
          <w:szCs w:val="22"/>
        </w:rPr>
        <w:t>á hemolytická anémia</w:t>
      </w:r>
    </w:p>
    <w:p w14:paraId="5B4845AF" w14:textId="6E1E8F7D" w:rsidR="00DE56EF" w:rsidRPr="000A6CC6" w:rsidRDefault="00F540FA" w:rsidP="000549E9">
      <w:pPr>
        <w:pStyle w:val="Odsekzoznamu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akútna hepatitída</w:t>
      </w:r>
    </w:p>
    <w:p w14:paraId="7EA6259C" w14:textId="77777777" w:rsidR="009474EE" w:rsidRPr="000A6CC6" w:rsidRDefault="009474EE" w:rsidP="00871948">
      <w:pPr>
        <w:rPr>
          <w:b/>
          <w:noProof/>
          <w:sz w:val="22"/>
          <w:szCs w:val="22"/>
        </w:rPr>
      </w:pPr>
    </w:p>
    <w:p w14:paraId="46FDC61C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4.4</w:t>
      </w:r>
      <w:r>
        <w:rPr>
          <w:b/>
          <w:noProof/>
          <w:sz w:val="22"/>
          <w:szCs w:val="22"/>
        </w:rPr>
        <w:tab/>
        <w:t>Osobitné upozornenia a opatrenia pri používaní</w:t>
      </w:r>
    </w:p>
    <w:p w14:paraId="10A60481" w14:textId="77777777" w:rsidR="00CA3F09" w:rsidRPr="000A6CC6" w:rsidRDefault="00CA3F09" w:rsidP="00871948">
      <w:pPr>
        <w:rPr>
          <w:noProof/>
          <w:sz w:val="22"/>
          <w:szCs w:val="22"/>
        </w:rPr>
      </w:pPr>
    </w:p>
    <w:p w14:paraId="4C0784A8" w14:textId="77777777" w:rsidR="0040375F" w:rsidRPr="000A6CC6" w:rsidRDefault="003A0A33" w:rsidP="00871948">
      <w:pPr>
        <w:rPr>
          <w:bCs/>
          <w:iCs/>
          <w:sz w:val="22"/>
          <w:szCs w:val="22"/>
        </w:rPr>
      </w:pPr>
      <w:r w:rsidRPr="000A6CC6">
        <w:rPr>
          <w:sz w:val="22"/>
          <w:szCs w:val="22"/>
        </w:rPr>
        <w:t>P</w:t>
      </w:r>
      <w:r w:rsidR="00F540FA">
        <w:rPr>
          <w:sz w:val="22"/>
          <w:szCs w:val="22"/>
        </w:rPr>
        <w:t>ARALEN horúci nápoj</w:t>
      </w:r>
      <w:r w:rsidR="00F540FA">
        <w:rPr>
          <w:bCs/>
          <w:iCs/>
          <w:sz w:val="22"/>
          <w:szCs w:val="22"/>
        </w:rPr>
        <w:t> bez cukru 500 mg sa má používať so zvýšenou opatrnosťou  </w:t>
      </w:r>
    </w:p>
    <w:p w14:paraId="5778F8EC" w14:textId="77777777" w:rsidR="0040375F" w:rsidRPr="000A6CC6" w:rsidRDefault="00F540FA" w:rsidP="00423C6C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 pacientov s poruchou funkcie obličiek a pečene, </w:t>
      </w:r>
    </w:p>
    <w:p w14:paraId="56F2520C" w14:textId="77777777" w:rsidR="0040375F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 pacientov s hemolytickou anémiou, </w:t>
      </w:r>
    </w:p>
    <w:p w14:paraId="294267CF" w14:textId="77777777" w:rsidR="0040375F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 pacientov s granulocytopéniou, </w:t>
      </w:r>
    </w:p>
    <w:p w14:paraId="739534AE" w14:textId="77777777" w:rsidR="0040375F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 deficite enzýmu </w:t>
      </w:r>
      <w:r>
        <w:rPr>
          <w:sz w:val="22"/>
          <w:szCs w:val="22"/>
        </w:rPr>
        <w:t xml:space="preserve">glukózo-6-fosfátdehydrogenázy, </w:t>
      </w:r>
    </w:p>
    <w:p w14:paraId="3E12F82A" w14:textId="77777777" w:rsidR="003273C5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sz w:val="22"/>
          <w:szCs w:val="22"/>
        </w:rPr>
        <w:t>pri alkoholizme.</w:t>
      </w:r>
    </w:p>
    <w:p w14:paraId="78C72DF5" w14:textId="77777777" w:rsidR="00A7099E" w:rsidRPr="000A6CC6" w:rsidRDefault="00A7099E" w:rsidP="00871948">
      <w:pPr>
        <w:rPr>
          <w:sz w:val="22"/>
          <w:szCs w:val="22"/>
        </w:rPr>
      </w:pPr>
    </w:p>
    <w:p w14:paraId="0C3B13E2" w14:textId="77777777" w:rsidR="003273C5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Pri renálnej insuficiencii sa odporúča predĺžiť dávkovací interval (pozri časť 4.2). Pri dlhodobej liečbe nemožno vylúčiť poškodenie obličiek.</w:t>
      </w:r>
    </w:p>
    <w:p w14:paraId="51766C97" w14:textId="77777777" w:rsidR="004B37AA" w:rsidRDefault="004B37AA" w:rsidP="00871948">
      <w:pPr>
        <w:rPr>
          <w:sz w:val="22"/>
          <w:szCs w:val="22"/>
        </w:rPr>
      </w:pPr>
    </w:p>
    <w:p w14:paraId="4730AC21" w14:textId="25738F12" w:rsidR="003273C5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 xml:space="preserve">U pacientov </w:t>
      </w:r>
      <w:r w:rsidR="005F7694" w:rsidRPr="00FD54AC">
        <w:rPr>
          <w:sz w:val="22"/>
          <w:szCs w:val="22"/>
        </w:rPr>
        <w:t xml:space="preserve">s poruchou funkcie pečene </w:t>
      </w:r>
      <w:r>
        <w:rPr>
          <w:sz w:val="22"/>
          <w:szCs w:val="22"/>
        </w:rPr>
        <w:t>a u pacientov dlhodobo  (viac ako 10 dní) užívajúcich vyššie dávky paracetamolu sa odporúča pravidelná kontrola pečeňových testov.</w:t>
      </w:r>
    </w:p>
    <w:p w14:paraId="31484E92" w14:textId="77777777" w:rsidR="00423C6C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U pacientov s ochorením pečene je vyššie nebezpečenstvo predávkovania.</w:t>
      </w:r>
    </w:p>
    <w:p w14:paraId="3DFB160C" w14:textId="77777777" w:rsidR="003E306F" w:rsidRPr="000A6CC6" w:rsidRDefault="003E306F" w:rsidP="003E306F">
      <w:pPr>
        <w:rPr>
          <w:sz w:val="22"/>
          <w:szCs w:val="22"/>
        </w:rPr>
      </w:pPr>
    </w:p>
    <w:p w14:paraId="6489B07C" w14:textId="77777777" w:rsidR="003E306F" w:rsidRPr="000A6CC6" w:rsidRDefault="00F540FA" w:rsidP="003E306F">
      <w:pPr>
        <w:rPr>
          <w:sz w:val="22"/>
          <w:szCs w:val="22"/>
        </w:rPr>
      </w:pPr>
      <w:r>
        <w:rPr>
          <w:sz w:val="22"/>
          <w:szCs w:val="22"/>
        </w:rPr>
        <w:t xml:space="preserve">Zvýšená opatrnosť sa odporúča pri chronickej podvýžive vzhľadom k nízkej rezerve hepatálneho glutatiónu. </w:t>
      </w:r>
    </w:p>
    <w:p w14:paraId="065467A3" w14:textId="77777777" w:rsidR="009401E9" w:rsidRDefault="009401E9" w:rsidP="003E306F">
      <w:pPr>
        <w:rPr>
          <w:sz w:val="22"/>
          <w:szCs w:val="22"/>
        </w:rPr>
      </w:pPr>
    </w:p>
    <w:p w14:paraId="114474FE" w14:textId="77777777" w:rsidR="003E306F" w:rsidRPr="000A6CC6" w:rsidRDefault="00F540FA" w:rsidP="003E306F">
      <w:pPr>
        <w:rPr>
          <w:sz w:val="22"/>
          <w:szCs w:val="22"/>
        </w:rPr>
      </w:pPr>
      <w:r>
        <w:rPr>
          <w:sz w:val="22"/>
          <w:szCs w:val="22"/>
        </w:rPr>
        <w:t>U pacientov s diagnostikovanou vírusovou hepatitídou sa odporúča liečbu ukončiť.</w:t>
      </w:r>
    </w:p>
    <w:p w14:paraId="0A48F5FD" w14:textId="77777777" w:rsidR="003E306F" w:rsidRPr="000A6CC6" w:rsidRDefault="003E306F" w:rsidP="00871948">
      <w:pPr>
        <w:rPr>
          <w:sz w:val="22"/>
          <w:szCs w:val="22"/>
        </w:rPr>
      </w:pPr>
    </w:p>
    <w:p w14:paraId="2C11A9DA" w14:textId="77777777" w:rsidR="0040375F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lastRenderedPageBreak/>
        <w:t>Užívanie vyšších ako odpor</w:t>
      </w:r>
      <w:r w:rsidR="004B37AA">
        <w:rPr>
          <w:sz w:val="22"/>
          <w:szCs w:val="22"/>
        </w:rPr>
        <w:t>úča</w:t>
      </w:r>
      <w:r>
        <w:rPr>
          <w:sz w:val="22"/>
          <w:szCs w:val="22"/>
        </w:rPr>
        <w:t>ných dávok môže viesť k riziku závažného poškodenia pečene.</w:t>
      </w:r>
      <w:r w:rsidRPr="00F540FA">
        <w:rPr>
          <w:sz w:val="22"/>
          <w:szCs w:val="22"/>
        </w:rPr>
        <w:t xml:space="preserve"> </w:t>
      </w:r>
      <w:r w:rsidR="00423C6C" w:rsidRPr="000A6CC6">
        <w:rPr>
          <w:sz w:val="22"/>
          <w:szCs w:val="22"/>
        </w:rPr>
        <w:t xml:space="preserve">Pacientov </w:t>
      </w:r>
      <w:r w:rsidR="004B37AA">
        <w:rPr>
          <w:sz w:val="22"/>
          <w:szCs w:val="22"/>
        </w:rPr>
        <w:t>je potrebné</w:t>
      </w:r>
      <w:r w:rsidR="004B37AA" w:rsidRPr="000A6CC6">
        <w:rPr>
          <w:sz w:val="22"/>
          <w:szCs w:val="22"/>
        </w:rPr>
        <w:t xml:space="preserve"> </w:t>
      </w:r>
      <w:r w:rsidR="00423C6C" w:rsidRPr="000A6CC6">
        <w:rPr>
          <w:sz w:val="22"/>
          <w:szCs w:val="22"/>
        </w:rPr>
        <w:t>upozorniť, že</w:t>
      </w:r>
      <w:r>
        <w:rPr>
          <w:sz w:val="22"/>
          <w:szCs w:val="22"/>
        </w:rPr>
        <w:t xml:space="preserve"> spolu s týmto liekom nesmú užívať iné lieky obsahujúce paracetamol.</w:t>
      </w:r>
    </w:p>
    <w:p w14:paraId="6F189DE5" w14:textId="77777777" w:rsidR="009401E9" w:rsidRDefault="009401E9" w:rsidP="00871948">
      <w:pPr>
        <w:rPr>
          <w:rFonts w:eastAsia="MS Mincho"/>
          <w:sz w:val="22"/>
          <w:szCs w:val="22"/>
          <w:lang w:eastAsia="fr-FR"/>
        </w:rPr>
      </w:pPr>
    </w:p>
    <w:p w14:paraId="3CADD9DA" w14:textId="23E96B2D" w:rsidR="004B37AA" w:rsidRDefault="00F540FA" w:rsidP="00871948">
      <w:pPr>
        <w:rPr>
          <w:sz w:val="22"/>
          <w:szCs w:val="22"/>
        </w:rPr>
      </w:pPr>
      <w:r>
        <w:rPr>
          <w:rFonts w:eastAsia="MS Mincho"/>
          <w:sz w:val="22"/>
          <w:szCs w:val="22"/>
          <w:lang w:eastAsia="fr-FR"/>
        </w:rPr>
        <w:t xml:space="preserve">Na základe postmarketingových skúseností s používaním paracetamolu bolo zistené, že hepatotoxicita paracetamolu sa môže vyskytnúť aj pri použití terapeutických dávok, pri krátkodobom použití a u pacientov bez </w:t>
      </w:r>
      <w:r w:rsidR="004B37AA">
        <w:rPr>
          <w:rFonts w:eastAsia="MS Mincho"/>
          <w:sz w:val="22"/>
          <w:szCs w:val="22"/>
          <w:lang w:eastAsia="fr-FR"/>
        </w:rPr>
        <w:t xml:space="preserve">predchádzajúcej </w:t>
      </w:r>
      <w:r w:rsidR="004B37AA" w:rsidRPr="00D943DC">
        <w:rPr>
          <w:rFonts w:eastAsia="MS Mincho"/>
          <w:sz w:val="22"/>
          <w:szCs w:val="22"/>
          <w:lang w:eastAsia="fr-FR"/>
        </w:rPr>
        <w:t>poruchy funkcie pečene (pozri časť 4.8).</w:t>
      </w:r>
    </w:p>
    <w:p w14:paraId="748B48DF" w14:textId="77777777" w:rsidR="004B37AA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 xml:space="preserve">Poškodenie pečene sa však môže vyvinúť aj pri nižších dávkach, ak spolupôsobí alkohol, induktory pečeňových enzýmov alebo iné hepatotoxické látky (pozri časť 4.5). </w:t>
      </w:r>
    </w:p>
    <w:p w14:paraId="1E779A8F" w14:textId="77777777" w:rsidR="00361C0B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Dlhodobá konzumácia alkoholu významne zvyšuje riziko hepatotoxicity paracetamolu. Najvyššie riziko bolo zaznamenané u chronických alkoholikov, ktorí pred použitím paracetamolu abstinujú krátko (12 h).</w:t>
      </w:r>
      <w:r w:rsidRPr="00F540FA">
        <w:rPr>
          <w:sz w:val="22"/>
          <w:szCs w:val="22"/>
        </w:rPr>
        <w:t xml:space="preserve"> </w:t>
      </w:r>
    </w:p>
    <w:p w14:paraId="2C796273" w14:textId="77777777" w:rsidR="0004646A" w:rsidRDefault="0004646A" w:rsidP="00871948">
      <w:pPr>
        <w:rPr>
          <w:sz w:val="22"/>
          <w:szCs w:val="22"/>
        </w:rPr>
      </w:pPr>
    </w:p>
    <w:p w14:paraId="6D712A0D" w14:textId="77777777" w:rsidR="00FC765E" w:rsidRPr="000A6CC6" w:rsidRDefault="00984D81" w:rsidP="00871948">
      <w:pPr>
        <w:rPr>
          <w:sz w:val="22"/>
          <w:szCs w:val="22"/>
        </w:rPr>
      </w:pPr>
      <w:r w:rsidRPr="000A6CC6">
        <w:rPr>
          <w:sz w:val="22"/>
          <w:szCs w:val="22"/>
        </w:rPr>
        <w:t>Počas liečby sa nesmú piť alkohol</w:t>
      </w:r>
      <w:r w:rsidR="00F540FA">
        <w:rPr>
          <w:sz w:val="22"/>
          <w:szCs w:val="22"/>
        </w:rPr>
        <w:t>ické nápoje.</w:t>
      </w:r>
    </w:p>
    <w:p w14:paraId="29672737" w14:textId="77777777" w:rsidR="0040375F" w:rsidRPr="000A6CC6" w:rsidRDefault="0040375F" w:rsidP="00871948">
      <w:pPr>
        <w:rPr>
          <w:sz w:val="22"/>
          <w:szCs w:val="22"/>
        </w:rPr>
      </w:pPr>
    </w:p>
    <w:p w14:paraId="7558316F" w14:textId="77777777" w:rsidR="00A7099E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Pri terapii perorálnymi antikoagulanciami a pri sú</w:t>
      </w:r>
      <w:r w:rsidR="004B37AA">
        <w:rPr>
          <w:sz w:val="22"/>
          <w:szCs w:val="22"/>
        </w:rPr>
        <w:t>bež</w:t>
      </w:r>
      <w:r>
        <w:rPr>
          <w:sz w:val="22"/>
          <w:szCs w:val="22"/>
        </w:rPr>
        <w:t>nom dlhodobom podávaní vyšších dávok paracetamolu, najmä v kombinácii s dextropropoxyfénom či kodeínom je nutná kontrola protrombínového času.</w:t>
      </w:r>
    </w:p>
    <w:p w14:paraId="536D61F7" w14:textId="77777777" w:rsidR="00A7099E" w:rsidRPr="000A6CC6" w:rsidRDefault="00A7099E" w:rsidP="00871948">
      <w:pPr>
        <w:rPr>
          <w:sz w:val="22"/>
          <w:szCs w:val="22"/>
        </w:rPr>
      </w:pPr>
    </w:p>
    <w:p w14:paraId="26541746" w14:textId="4CC1674D" w:rsidR="00383683" w:rsidRPr="000A6CC6" w:rsidRDefault="00F540FA" w:rsidP="004B37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Opatrnosť sa odporúča u pacientov so zvýšenou citlivosťou na kyselinu acetylsalicylovú a/alebo nesteroidné </w:t>
      </w:r>
      <w:r w:rsidR="004B37AA" w:rsidRPr="00D943DC">
        <w:rPr>
          <w:rFonts w:eastAsia="MS Mincho"/>
          <w:sz w:val="22"/>
          <w:szCs w:val="22"/>
          <w:lang w:eastAsia="fr-FR"/>
        </w:rPr>
        <w:t>protizápalové lieky (NSAID).</w:t>
      </w:r>
    </w:p>
    <w:p w14:paraId="030DAA68" w14:textId="77777777" w:rsidR="00383683" w:rsidRPr="000A6CC6" w:rsidRDefault="00383683">
      <w:pPr>
        <w:widowControl w:val="0"/>
        <w:jc w:val="both"/>
        <w:rPr>
          <w:sz w:val="22"/>
          <w:szCs w:val="22"/>
        </w:rPr>
      </w:pPr>
    </w:p>
    <w:p w14:paraId="3E4F0051" w14:textId="32A4D987" w:rsidR="00780C97" w:rsidRPr="00327EC6" w:rsidRDefault="00F540FA" w:rsidP="00780C97">
      <w:pPr>
        <w:rPr>
          <w:rFonts w:eastAsia="Calibri"/>
          <w:sz w:val="22"/>
          <w:szCs w:val="22"/>
          <w:u w:val="single"/>
          <w:lang w:eastAsia="sk-SK"/>
        </w:rPr>
      </w:pPr>
      <w:r w:rsidRPr="00327EC6">
        <w:rPr>
          <w:rFonts w:eastAsia="Calibri"/>
          <w:sz w:val="22"/>
          <w:szCs w:val="22"/>
          <w:u w:val="single"/>
          <w:lang w:eastAsia="sk-SK"/>
        </w:rPr>
        <w:t>Závažné kožné nežiaduce účinky</w:t>
      </w:r>
      <w:r w:rsidR="004B37AA" w:rsidRPr="00327EC6">
        <w:rPr>
          <w:rFonts w:eastAsia="Calibri"/>
          <w:sz w:val="22"/>
          <w:szCs w:val="22"/>
          <w:u w:val="single"/>
          <w:lang w:eastAsia="sk-SK"/>
        </w:rPr>
        <w:t xml:space="preserve"> (SCAR)</w:t>
      </w:r>
      <w:r w:rsidRPr="00327EC6">
        <w:rPr>
          <w:rFonts w:eastAsia="Calibri"/>
          <w:sz w:val="22"/>
          <w:szCs w:val="22"/>
          <w:u w:val="single"/>
          <w:lang w:eastAsia="sk-SK"/>
        </w:rPr>
        <w:t xml:space="preserve"> </w:t>
      </w:r>
    </w:p>
    <w:p w14:paraId="77CC0787" w14:textId="77777777" w:rsidR="00780C97" w:rsidRPr="000A6CC6" w:rsidRDefault="00F540FA" w:rsidP="00780C97">
      <w:pPr>
        <w:rPr>
          <w:rFonts w:eastAsia="Calibri"/>
          <w:sz w:val="22"/>
          <w:szCs w:val="22"/>
          <w:lang w:eastAsia="sk-SK"/>
        </w:rPr>
      </w:pPr>
      <w:r>
        <w:rPr>
          <w:rFonts w:eastAsia="Calibri"/>
          <w:sz w:val="22"/>
          <w:szCs w:val="22"/>
          <w:lang w:eastAsia="sk-SK"/>
        </w:rPr>
        <w:t>Pri užívaní liekov s obsahom paracetamolu boli hlásené život ohrozujúce kožné reakcie Stevensov-Johnsonov syndróm (SJS), toxická epidermálna nekrolýza (TEN) a akútna generalizovaná exantematózna pustulóza (AGEP). Pacienti musia byť informovaní o prejavoch a príznakoch a musia byť starostlivo sledovaní, či sa u nich nevyskytujú kožné reakcie. Ak sa objavia prejavy alebo príznaky SJS, TEN</w:t>
      </w:r>
      <w:r w:rsidRPr="00F540FA">
        <w:rPr>
          <w:sz w:val="22"/>
          <w:szCs w:val="22"/>
        </w:rPr>
        <w:t xml:space="preserve"> </w:t>
      </w:r>
      <w:r w:rsidR="008305BC" w:rsidRPr="000A6CC6">
        <w:rPr>
          <w:rFonts w:eastAsia="Calibri"/>
          <w:sz w:val="22"/>
          <w:szCs w:val="22"/>
          <w:lang w:eastAsia="sk-SK"/>
        </w:rPr>
        <w:t>a AGEP</w:t>
      </w:r>
      <w:r>
        <w:rPr>
          <w:rFonts w:eastAsia="Calibri"/>
          <w:sz w:val="22"/>
          <w:szCs w:val="22"/>
          <w:lang w:eastAsia="sk-SK"/>
        </w:rPr>
        <w:t xml:space="preserve"> (napr. progresívna kožná vyrážka, často s pľuzgiermi alebo slizničnými léziami), pacienti musia okamžite ukončiť liečbu  a vyhľadať lekársku pomoc.</w:t>
      </w:r>
    </w:p>
    <w:p w14:paraId="6949D0A8" w14:textId="77777777" w:rsidR="00E86211" w:rsidRPr="000A6CC6" w:rsidRDefault="00E86211" w:rsidP="00E86211">
      <w:pPr>
        <w:rPr>
          <w:sz w:val="22"/>
          <w:szCs w:val="22"/>
        </w:rPr>
      </w:pPr>
    </w:p>
    <w:p w14:paraId="4FD6BEBB" w14:textId="77777777" w:rsidR="00E86211" w:rsidRPr="000A6CC6" w:rsidRDefault="00F540FA" w:rsidP="00E86211">
      <w:pPr>
        <w:rPr>
          <w:sz w:val="22"/>
          <w:szCs w:val="22"/>
        </w:rPr>
      </w:pPr>
      <w:r>
        <w:rPr>
          <w:sz w:val="22"/>
          <w:szCs w:val="22"/>
        </w:rPr>
        <w:t>PARALEN horúci nápoj bez cukru 500 mg neobsahuje sacharózu a laktózu. Je vhodný pre pacientov s diabetom a s intoleranciou laktózy.</w:t>
      </w:r>
    </w:p>
    <w:p w14:paraId="7C5FF5E1" w14:textId="77777777" w:rsidR="00E86211" w:rsidRPr="000A6CC6" w:rsidRDefault="00E86211" w:rsidP="00E86211">
      <w:pPr>
        <w:rPr>
          <w:sz w:val="22"/>
          <w:szCs w:val="22"/>
        </w:rPr>
      </w:pPr>
    </w:p>
    <w:p w14:paraId="0868B2CD" w14:textId="3C6FA48D" w:rsidR="00383683" w:rsidRPr="000A6CC6" w:rsidRDefault="00F540FA" w:rsidP="00E86211">
      <w:pPr>
        <w:rPr>
          <w:sz w:val="22"/>
          <w:szCs w:val="22"/>
        </w:rPr>
      </w:pPr>
      <w:r>
        <w:rPr>
          <w:sz w:val="22"/>
          <w:szCs w:val="22"/>
        </w:rPr>
        <w:t>Tento liek obsahuje 121,39 mg sodíka v jednej dávke</w:t>
      </w:r>
      <w:r w:rsidR="005F7694">
        <w:rPr>
          <w:sz w:val="22"/>
          <w:szCs w:val="22"/>
        </w:rPr>
        <w:t>, čo zodpovedá 6,07 % WHO odporúčaného maximálneho denného príjmu 2 g sodíka pre dospelú osobu</w:t>
      </w:r>
      <w:r>
        <w:rPr>
          <w:sz w:val="22"/>
          <w:szCs w:val="22"/>
        </w:rPr>
        <w:t xml:space="preserve">. </w:t>
      </w:r>
      <w:r w:rsidR="0004646A">
        <w:rPr>
          <w:sz w:val="22"/>
          <w:szCs w:val="22"/>
        </w:rPr>
        <w:t>Má sa</w:t>
      </w:r>
      <w:r>
        <w:rPr>
          <w:sz w:val="22"/>
          <w:szCs w:val="22"/>
        </w:rPr>
        <w:t xml:space="preserve"> vziať do úvahy u pacientov na diéte s </w:t>
      </w:r>
      <w:r w:rsidR="0004646A">
        <w:rPr>
          <w:sz w:val="22"/>
          <w:szCs w:val="22"/>
        </w:rPr>
        <w:t xml:space="preserve">kontrolovaným </w:t>
      </w:r>
      <w:r>
        <w:rPr>
          <w:sz w:val="22"/>
          <w:szCs w:val="22"/>
        </w:rPr>
        <w:t>obsahom sodíka.</w:t>
      </w:r>
    </w:p>
    <w:p w14:paraId="33A011E7" w14:textId="77777777" w:rsidR="003223C8" w:rsidRPr="000A6CC6" w:rsidRDefault="003223C8" w:rsidP="003223C8">
      <w:pPr>
        <w:rPr>
          <w:color w:val="000000"/>
          <w:sz w:val="22"/>
          <w:szCs w:val="22"/>
        </w:rPr>
      </w:pPr>
    </w:p>
    <w:p w14:paraId="1EDBA3EF" w14:textId="77777777" w:rsidR="001E060E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Liek nie je určený pre deti do 12 rokov.</w:t>
      </w:r>
    </w:p>
    <w:p w14:paraId="6B2CD992" w14:textId="77777777" w:rsidR="003F1505" w:rsidRPr="000A6CC6" w:rsidRDefault="003F1505" w:rsidP="00871948">
      <w:pPr>
        <w:widowControl w:val="0"/>
        <w:jc w:val="both"/>
        <w:rPr>
          <w:sz w:val="22"/>
          <w:szCs w:val="22"/>
        </w:rPr>
      </w:pPr>
    </w:p>
    <w:p w14:paraId="32A39666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</w:t>
      </w:r>
      <w:r>
        <w:rPr>
          <w:b/>
          <w:sz w:val="22"/>
          <w:szCs w:val="22"/>
        </w:rPr>
        <w:tab/>
        <w:t>Liekové a iné interakcie</w:t>
      </w:r>
    </w:p>
    <w:p w14:paraId="48CD914F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114C5DC4" w14:textId="77777777" w:rsidR="001671ED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Kolestyramín, metoklopramid a domperidón</w:t>
      </w:r>
    </w:p>
    <w:p w14:paraId="39B5E86B" w14:textId="77777777" w:rsidR="006C684D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Pôsobenie kolestyramínu môže viesť k spomaleniu absorpcie paracetamolu, kým metoklopramid a domperidón môžu absorpciu paracetamolu urýchľovať.</w:t>
      </w:r>
    </w:p>
    <w:p w14:paraId="12A21DE7" w14:textId="77777777" w:rsidR="003050F9" w:rsidRPr="000A6CC6" w:rsidRDefault="003050F9" w:rsidP="00871948">
      <w:pPr>
        <w:widowControl w:val="0"/>
        <w:jc w:val="both"/>
        <w:rPr>
          <w:sz w:val="22"/>
          <w:szCs w:val="22"/>
        </w:rPr>
      </w:pPr>
    </w:p>
    <w:p w14:paraId="7061CFE7" w14:textId="77777777" w:rsidR="00E8621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Warfarín a antagonisty vitamínu K</w:t>
      </w:r>
    </w:p>
    <w:p w14:paraId="7371B877" w14:textId="220892A9" w:rsidR="00E86211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Dlhodobé pravidelné denné užívanie paracetamolu môže zvyšovať antikoagulačné účinky warfarínu a iných kumarínov a tým zvyšovať riziko krvácavosti. Uvedené interakcie nie sú klinicky signifikantné, </w:t>
      </w:r>
      <w:r w:rsidR="008401D1">
        <w:rPr>
          <w:sz w:val="22"/>
          <w:szCs w:val="22"/>
        </w:rPr>
        <w:t xml:space="preserve">ak </w:t>
      </w:r>
      <w:r>
        <w:rPr>
          <w:sz w:val="22"/>
          <w:szCs w:val="22"/>
        </w:rPr>
        <w:t>sa liek užíva podľa odporúčaného dávkovania a dĺžky liečby.</w:t>
      </w:r>
      <w:r w:rsidRPr="00F540FA">
        <w:rPr>
          <w:sz w:val="22"/>
          <w:szCs w:val="22"/>
        </w:rPr>
        <w:t xml:space="preserve"> </w:t>
      </w:r>
    </w:p>
    <w:p w14:paraId="6CBEAEA1" w14:textId="77777777" w:rsidR="006C684D" w:rsidRPr="000A6CC6" w:rsidRDefault="005D1848" w:rsidP="00871948">
      <w:pPr>
        <w:widowControl w:val="0"/>
        <w:jc w:val="both"/>
        <w:rPr>
          <w:sz w:val="22"/>
          <w:szCs w:val="22"/>
        </w:rPr>
      </w:pPr>
      <w:r w:rsidRPr="000A6CC6">
        <w:rPr>
          <w:sz w:val="22"/>
          <w:szCs w:val="22"/>
        </w:rPr>
        <w:t>Pacienti užívajúci paracetamol a antagonisty vitamínu K ma</w:t>
      </w:r>
      <w:r w:rsidR="00F540FA">
        <w:rPr>
          <w:sz w:val="22"/>
          <w:szCs w:val="22"/>
        </w:rPr>
        <w:t>jú byť monitorovaní, či majú adekvátnu koaguláciu a nemajú krvácavé komplikácie.</w:t>
      </w:r>
    </w:p>
    <w:p w14:paraId="6A3E4B00" w14:textId="77777777" w:rsidR="006C684D" w:rsidRPr="000A6CC6" w:rsidRDefault="006C684D" w:rsidP="00871948">
      <w:pPr>
        <w:widowControl w:val="0"/>
        <w:jc w:val="both"/>
        <w:rPr>
          <w:sz w:val="22"/>
          <w:szCs w:val="22"/>
          <w:u w:val="single"/>
        </w:rPr>
      </w:pPr>
    </w:p>
    <w:p w14:paraId="72D02A38" w14:textId="77777777" w:rsidR="00E8621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Hepatotoxické látky a </w:t>
      </w:r>
      <w:r w:rsidR="00E86211" w:rsidRPr="000A6CC6">
        <w:rPr>
          <w:i/>
          <w:sz w:val="22"/>
          <w:szCs w:val="22"/>
          <w:u w:val="single"/>
        </w:rPr>
        <w:t>induktory pečeňových enzýmov</w:t>
      </w:r>
    </w:p>
    <w:p w14:paraId="36F0A3C6" w14:textId="77777777" w:rsidR="00F84AB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súbežnom užívaní hepatotoxických liekov a látok, ktoré spôsobujú indukciu pečeňových enzýmov, ako je alkohol, barbituráty, inhibítory MAO a tricyklické antidepresíva, ľubovník bodkovaný, </w:t>
      </w:r>
      <w:r>
        <w:rPr>
          <w:sz w:val="22"/>
          <w:szCs w:val="22"/>
        </w:rPr>
        <w:lastRenderedPageBreak/>
        <w:t>antiepileptiká (napr. glutetimid, fenobarbital, fenytoín, primidón, karbamazepín, topiramát) a rifampicín, sa môže zvyšovať pravdepodobnosť toxických účinkov paracetamolu. Indukcia metabolizmu má za následok zvýšenú produkciu hepatotoxického oxidatívneho metabolitu paracetamolu. Hepatotoxické účinky sa prejavia, ak tento metabolit prekročí normálnu väzbovú kapacitu glutatiónu.</w:t>
      </w:r>
    </w:p>
    <w:p w14:paraId="48C7BF77" w14:textId="77777777" w:rsidR="00333E34" w:rsidRPr="000A6CC6" w:rsidRDefault="00333E34" w:rsidP="00871948">
      <w:pPr>
        <w:widowControl w:val="0"/>
        <w:jc w:val="both"/>
        <w:rPr>
          <w:sz w:val="22"/>
          <w:szCs w:val="22"/>
        </w:rPr>
      </w:pPr>
    </w:p>
    <w:p w14:paraId="32091E95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Zidovudín</w:t>
      </w:r>
    </w:p>
    <w:p w14:paraId="22E7189E" w14:textId="77777777" w:rsidR="00B2069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súbežnom užívaní paracetamolu a zidovudínu sa pozoruje zvýšený sklon k rozvoju neutropénie a hepatotoxicity. Tento liek sa preto má so zidovudínom užívať </w:t>
      </w:r>
      <w:r w:rsidR="004B37AA">
        <w:rPr>
          <w:sz w:val="22"/>
          <w:szCs w:val="22"/>
        </w:rPr>
        <w:t xml:space="preserve">súbežne </w:t>
      </w:r>
      <w:r>
        <w:rPr>
          <w:sz w:val="22"/>
          <w:szCs w:val="22"/>
        </w:rPr>
        <w:t>len po starostlivom zvážení prínosu a rizika liečby.</w:t>
      </w:r>
    </w:p>
    <w:p w14:paraId="16A81AC0" w14:textId="77777777" w:rsidR="00F84AB6" w:rsidRPr="000A6CC6" w:rsidRDefault="00F84AB6" w:rsidP="00871948">
      <w:pPr>
        <w:widowControl w:val="0"/>
        <w:jc w:val="both"/>
        <w:rPr>
          <w:sz w:val="22"/>
          <w:szCs w:val="22"/>
        </w:rPr>
      </w:pPr>
    </w:p>
    <w:p w14:paraId="4A16F7D0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Lamotrigín</w:t>
      </w:r>
    </w:p>
    <w:p w14:paraId="6E2DCC03" w14:textId="77777777" w:rsidR="00B2069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Pri súbežnom podávaní paracetamolu a lamotrigínu bolo zistené zníženie účinnosti lamotrigínu pri zvýšení jeho pečeňového klírensu.</w:t>
      </w:r>
    </w:p>
    <w:p w14:paraId="6DF88D0B" w14:textId="77777777" w:rsidR="00F84AB6" w:rsidRPr="000A6CC6" w:rsidRDefault="00F84AB6" w:rsidP="00871948">
      <w:pPr>
        <w:widowControl w:val="0"/>
        <w:jc w:val="both"/>
        <w:rPr>
          <w:sz w:val="22"/>
          <w:szCs w:val="22"/>
        </w:rPr>
      </w:pPr>
    </w:p>
    <w:p w14:paraId="7347C5DF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Nesteroidné protizápalové lieky (NSAID), kyselina acetylsalicylová</w:t>
      </w:r>
    </w:p>
    <w:p w14:paraId="237EE4FD" w14:textId="77777777" w:rsidR="00ED422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dlhodobé podávanie paracetamolu a NSA</w:t>
      </w:r>
      <w:r w:rsidR="004B37AA">
        <w:rPr>
          <w:sz w:val="22"/>
          <w:szCs w:val="22"/>
        </w:rPr>
        <w:t>ID</w:t>
      </w:r>
      <w:r>
        <w:rPr>
          <w:sz w:val="22"/>
          <w:szCs w:val="22"/>
        </w:rPr>
        <w:t xml:space="preserve"> (predovšetkým kyseliny acetylsalicylovej) vo vyšších dávkach zvyšuje riziko analgetickej nefropatie a ďalších renálnych nežiaducich účinkov.</w:t>
      </w:r>
    </w:p>
    <w:p w14:paraId="562383D1" w14:textId="77777777" w:rsidR="006F6162" w:rsidRPr="000A6CC6" w:rsidRDefault="006F6162" w:rsidP="006F6162">
      <w:pPr>
        <w:widowControl w:val="0"/>
        <w:jc w:val="both"/>
        <w:rPr>
          <w:sz w:val="22"/>
          <w:szCs w:val="22"/>
        </w:rPr>
      </w:pPr>
    </w:p>
    <w:p w14:paraId="2B84D4D3" w14:textId="77777777" w:rsidR="00BC3681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Propantelín</w:t>
      </w:r>
    </w:p>
    <w:p w14:paraId="21E56BB6" w14:textId="77777777" w:rsidR="00265145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užívanie liekov, ktoré spomaľujú vyprázdňovanie žalúdka ako napr. propantelín, môže viesť k spomaleniu absorpcie a oneskoreniu účinku paracetamolu.</w:t>
      </w:r>
    </w:p>
    <w:p w14:paraId="7961DC69" w14:textId="77777777" w:rsidR="00F84AB6" w:rsidRPr="000A6CC6" w:rsidRDefault="00F84AB6" w:rsidP="00871948">
      <w:pPr>
        <w:widowControl w:val="0"/>
        <w:jc w:val="both"/>
        <w:rPr>
          <w:sz w:val="22"/>
          <w:szCs w:val="22"/>
        </w:rPr>
      </w:pPr>
    </w:p>
    <w:p w14:paraId="3A51AA4C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Perorálne kontraceptíva</w:t>
      </w:r>
    </w:p>
    <w:p w14:paraId="69FEECB7" w14:textId="77777777" w:rsidR="00ED422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Perorálne kontraceptíva môžu zvýšiť rýchlosť klírensu paracetamolu.</w:t>
      </w:r>
    </w:p>
    <w:p w14:paraId="73CC10C7" w14:textId="77777777" w:rsidR="006F6162" w:rsidRPr="000A6CC6" w:rsidRDefault="006F6162" w:rsidP="006F6162">
      <w:pPr>
        <w:widowControl w:val="0"/>
        <w:jc w:val="both"/>
        <w:rPr>
          <w:sz w:val="22"/>
          <w:szCs w:val="22"/>
        </w:rPr>
      </w:pPr>
    </w:p>
    <w:p w14:paraId="76AC9C7F" w14:textId="77777777" w:rsidR="001671ED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Chloramfenikol </w:t>
      </w:r>
    </w:p>
    <w:p w14:paraId="56FCBE3A" w14:textId="77777777" w:rsidR="00F84AB6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užívanie paracetamolu s chloramfenikolom môže významne spomaľovať elimináciu chloramfenikolu a zvyšovať tak riziko nežiaducich účinkov.</w:t>
      </w:r>
    </w:p>
    <w:p w14:paraId="391AAE48" w14:textId="77777777" w:rsidR="00280F7C" w:rsidRPr="000A6CC6" w:rsidRDefault="00280F7C" w:rsidP="00280F7C">
      <w:pPr>
        <w:widowControl w:val="0"/>
        <w:jc w:val="both"/>
        <w:rPr>
          <w:sz w:val="22"/>
          <w:szCs w:val="22"/>
        </w:rPr>
      </w:pPr>
    </w:p>
    <w:p w14:paraId="4F9CD99F" w14:textId="77777777" w:rsidR="001671ED" w:rsidRPr="000A6CC6" w:rsidRDefault="00F540FA" w:rsidP="00280F7C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Flukloxacilín</w:t>
      </w:r>
    </w:p>
    <w:p w14:paraId="4F557DF4" w14:textId="77777777" w:rsidR="00280F7C" w:rsidRPr="000A6CC6" w:rsidRDefault="00F540FA" w:rsidP="00280F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podávanie flukloxacilínu s paracetamolom môže viesť k metabolickej acidóze, najmä u pacientov s prítomnosťou rizikových faktorov vyčerpania glutatiónu, ako je sepsa, podvýživa alebo chronický alkoholizmus.</w:t>
      </w:r>
    </w:p>
    <w:p w14:paraId="1DCDE7A3" w14:textId="77777777" w:rsidR="00280F7C" w:rsidRPr="000A6CC6" w:rsidRDefault="00280F7C" w:rsidP="00280F7C">
      <w:pPr>
        <w:widowControl w:val="0"/>
        <w:jc w:val="both"/>
        <w:rPr>
          <w:sz w:val="22"/>
          <w:szCs w:val="22"/>
        </w:rPr>
      </w:pPr>
    </w:p>
    <w:p w14:paraId="7F3C2490" w14:textId="77777777" w:rsidR="001671ED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Izoniazid</w:t>
      </w:r>
    </w:p>
    <w:p w14:paraId="4153AC09" w14:textId="77777777" w:rsidR="00280F7C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užívanie paracetamolu a izoniazidu môže zvyšovať riziko hepatotoxicity.</w:t>
      </w:r>
      <w:r w:rsidRPr="00F540FA">
        <w:rPr>
          <w:sz w:val="22"/>
          <w:szCs w:val="22"/>
        </w:rPr>
        <w:t xml:space="preserve"> </w:t>
      </w:r>
      <w:r w:rsidR="001671ED" w:rsidRPr="000A6CC6">
        <w:rPr>
          <w:sz w:val="22"/>
          <w:szCs w:val="22"/>
        </w:rPr>
        <w:t xml:space="preserve">V prípade súbežného podávania je potrebné starostlivo sledovať klinické a laboratórne dôkazy hepatotoxicity. </w:t>
      </w:r>
    </w:p>
    <w:p w14:paraId="41FBBBB2" w14:textId="77777777" w:rsidR="00280F7C" w:rsidRPr="000A6CC6" w:rsidRDefault="00280F7C" w:rsidP="006F6162">
      <w:pPr>
        <w:widowControl w:val="0"/>
        <w:jc w:val="both"/>
        <w:rPr>
          <w:sz w:val="22"/>
          <w:szCs w:val="22"/>
        </w:rPr>
      </w:pPr>
    </w:p>
    <w:p w14:paraId="715C811D" w14:textId="77777777" w:rsidR="001671ED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Probenecid</w:t>
      </w:r>
    </w:p>
    <w:p w14:paraId="04D2337E" w14:textId="77777777" w:rsidR="001671ED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Probenecid ovplyvňuje vylučovanie a plazmatickú koncentráciu paracetamolu.</w:t>
      </w:r>
    </w:p>
    <w:p w14:paraId="0F0E294A" w14:textId="77777777" w:rsidR="00D04AFC" w:rsidRPr="000A6CC6" w:rsidRDefault="00D04AFC" w:rsidP="00871948">
      <w:pPr>
        <w:widowControl w:val="0"/>
        <w:jc w:val="both"/>
        <w:rPr>
          <w:sz w:val="22"/>
          <w:szCs w:val="22"/>
        </w:rPr>
      </w:pPr>
    </w:p>
    <w:p w14:paraId="2D52BE6C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4.6</w:t>
      </w:r>
      <w:r>
        <w:rPr>
          <w:b/>
          <w:noProof/>
          <w:sz w:val="22"/>
          <w:szCs w:val="22"/>
        </w:rPr>
        <w:tab/>
        <w:t>Fertilita, gravidita a laktácia</w:t>
      </w:r>
    </w:p>
    <w:p w14:paraId="5A5FF419" w14:textId="77777777" w:rsidR="00CA3F09" w:rsidRPr="000A6CC6" w:rsidRDefault="00CA3F09" w:rsidP="00871948">
      <w:pPr>
        <w:widowControl w:val="0"/>
        <w:jc w:val="both"/>
        <w:rPr>
          <w:b/>
          <w:sz w:val="22"/>
          <w:szCs w:val="22"/>
        </w:rPr>
      </w:pPr>
    </w:p>
    <w:p w14:paraId="2E244C22" w14:textId="77777777" w:rsidR="00E70AE0" w:rsidRPr="000A6CC6" w:rsidRDefault="00F540FA" w:rsidP="00E70AE0">
      <w:pPr>
        <w:rPr>
          <w:rFonts w:eastAsia="Calibri"/>
          <w:sz w:val="22"/>
          <w:szCs w:val="22"/>
          <w:lang w:eastAsia="sk-SK"/>
        </w:rPr>
      </w:pPr>
      <w:r>
        <w:rPr>
          <w:rFonts w:eastAsia="Calibri"/>
          <w:sz w:val="22"/>
          <w:szCs w:val="22"/>
          <w:u w:val="single"/>
          <w:lang w:eastAsia="sk-SK"/>
        </w:rPr>
        <w:t>Gravidita</w:t>
      </w:r>
    </w:p>
    <w:p w14:paraId="41898127" w14:textId="3DEF2447" w:rsidR="00F84AB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Paracetamol prechádza placentárnou bariérou. Veľké množstvo údajov u </w:t>
      </w:r>
      <w:r w:rsidR="001944CB">
        <w:rPr>
          <w:sz w:val="22"/>
          <w:szCs w:val="22"/>
        </w:rPr>
        <w:t>tehot</w:t>
      </w:r>
      <w:r>
        <w:rPr>
          <w:sz w:val="22"/>
          <w:szCs w:val="22"/>
        </w:rPr>
        <w:t>ných žien nepoukazuje na malformačnú toxicitu ani na toxický vplyv paracetamolu  na plod/novorodenca. Paracetamol sa môže podávať počas tehotenstva, ak je klinicky indikovaný, avšak má byť použitá minimálna účinná dávka po čo najkratšiu dobu a s najnižšou možnou frekvenciou.</w:t>
      </w:r>
    </w:p>
    <w:p w14:paraId="532C95F9" w14:textId="77777777" w:rsidR="00D00ECE" w:rsidRPr="000A6CC6" w:rsidRDefault="00D00ECE" w:rsidP="00871948">
      <w:pPr>
        <w:widowControl w:val="0"/>
        <w:jc w:val="both"/>
        <w:rPr>
          <w:sz w:val="22"/>
          <w:szCs w:val="22"/>
          <w:u w:val="single"/>
        </w:rPr>
      </w:pPr>
    </w:p>
    <w:p w14:paraId="7082655E" w14:textId="77777777" w:rsidR="00F04C81" w:rsidRPr="000A6CC6" w:rsidRDefault="00F540FA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5577C746" w14:textId="77777777" w:rsidR="00265145" w:rsidRPr="000A6CC6" w:rsidRDefault="00F540FA" w:rsidP="002651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Paracetamol sa síce vylučuje do materského mlieka, ale v množstvách, ktoré nie sú z klinického hľadiska signifikantné. Žiadne nežiaduce účinky neboli pozorované u dojčiat dokonca ani pri dlhodobej liečbe paracetamolom s výnimkou jedného prípadu makulopapulárnej vyrážky.</w:t>
      </w:r>
    </w:p>
    <w:p w14:paraId="6F24B9A5" w14:textId="77777777" w:rsidR="00F04C81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Počas krátkodobej liečby nie je potrebné prerušiť dojčenie za predpokladu starostlivého sledovania </w:t>
      </w:r>
      <w:r>
        <w:rPr>
          <w:sz w:val="22"/>
          <w:szCs w:val="22"/>
        </w:rPr>
        <w:lastRenderedPageBreak/>
        <w:t>dojčaťa.</w:t>
      </w:r>
    </w:p>
    <w:p w14:paraId="6EF2DA63" w14:textId="77777777" w:rsidR="001D6623" w:rsidRPr="000A6CC6" w:rsidRDefault="001D6623" w:rsidP="001D6623">
      <w:pPr>
        <w:widowControl w:val="0"/>
        <w:jc w:val="both"/>
        <w:rPr>
          <w:sz w:val="22"/>
          <w:szCs w:val="22"/>
        </w:rPr>
      </w:pPr>
    </w:p>
    <w:p w14:paraId="75B0F415" w14:textId="77777777" w:rsidR="001D6623" w:rsidRPr="00897D1F" w:rsidRDefault="00B81255" w:rsidP="001D6623">
      <w:pPr>
        <w:widowControl w:val="0"/>
        <w:jc w:val="both"/>
        <w:rPr>
          <w:sz w:val="22"/>
          <w:szCs w:val="22"/>
          <w:u w:val="single"/>
        </w:rPr>
      </w:pPr>
      <w:r w:rsidRPr="00B81255">
        <w:rPr>
          <w:sz w:val="22"/>
          <w:szCs w:val="22"/>
          <w:u w:val="single"/>
        </w:rPr>
        <w:t>Fertilita</w:t>
      </w:r>
    </w:p>
    <w:p w14:paraId="2090CE08" w14:textId="77777777" w:rsidR="00583DAB" w:rsidRPr="000A6CC6" w:rsidRDefault="00F540FA" w:rsidP="001D6623">
      <w:pPr>
        <w:widowControl w:val="0"/>
        <w:jc w:val="both"/>
        <w:rPr>
          <w:sz w:val="22"/>
          <w:szCs w:val="22"/>
        </w:rPr>
      </w:pPr>
      <w:r w:rsidRPr="00F540FA">
        <w:rPr>
          <w:sz w:val="22"/>
          <w:szCs w:val="22"/>
        </w:rPr>
        <w:t>Štúdie chronickej toxicity paracetamolu u zvierat preukázali výskyt atrofie semenníkov a inhibíciu spermatogenézy, relevancia tohto nálezu u človeka však nie je známa.</w:t>
      </w:r>
    </w:p>
    <w:p w14:paraId="6E3CBAE2" w14:textId="77777777" w:rsidR="00794CD7" w:rsidRPr="000A6CC6" w:rsidRDefault="00794CD7" w:rsidP="001D6623">
      <w:pPr>
        <w:widowControl w:val="0"/>
        <w:jc w:val="both"/>
        <w:rPr>
          <w:sz w:val="22"/>
          <w:szCs w:val="22"/>
        </w:rPr>
      </w:pPr>
    </w:p>
    <w:p w14:paraId="2ADA4FDD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</w:t>
      </w:r>
      <w:r>
        <w:rPr>
          <w:b/>
          <w:sz w:val="22"/>
          <w:szCs w:val="22"/>
        </w:rPr>
        <w:tab/>
        <w:t>Ovplyvnenie schopnosti viesť vozidlá a obsluhovať stroje</w:t>
      </w:r>
    </w:p>
    <w:p w14:paraId="14368A29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0B5EF534" w14:textId="1A4F8B31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Liek nemá žiad</w:t>
      </w:r>
      <w:r w:rsidR="00897D1F">
        <w:rPr>
          <w:sz w:val="22"/>
          <w:szCs w:val="22"/>
        </w:rPr>
        <w:t>ny</w:t>
      </w:r>
      <w:r>
        <w:rPr>
          <w:sz w:val="22"/>
          <w:szCs w:val="22"/>
        </w:rPr>
        <w:t xml:space="preserve">, alebo má zanedbateľný vplyv na schopnosť viesť vozidlá a obsluhovať stroje. </w:t>
      </w:r>
    </w:p>
    <w:p w14:paraId="54F1891B" w14:textId="77777777" w:rsidR="00045CB3" w:rsidRPr="000A6CC6" w:rsidRDefault="00045CB3" w:rsidP="00871948">
      <w:pPr>
        <w:widowControl w:val="0"/>
        <w:jc w:val="both"/>
        <w:rPr>
          <w:b/>
          <w:sz w:val="22"/>
          <w:szCs w:val="22"/>
        </w:rPr>
      </w:pPr>
    </w:p>
    <w:p w14:paraId="5125BA02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</w:t>
      </w:r>
      <w:r>
        <w:rPr>
          <w:b/>
          <w:sz w:val="22"/>
          <w:szCs w:val="22"/>
        </w:rPr>
        <w:tab/>
        <w:t>Nežiaduce účinky</w:t>
      </w:r>
    </w:p>
    <w:p w14:paraId="2F5DB977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39A0E2CC" w14:textId="52DBC04F" w:rsidR="009E5841" w:rsidRPr="000A6CC6" w:rsidRDefault="00F540FA" w:rsidP="00871948">
      <w:pPr>
        <w:jc w:val="both"/>
        <w:rPr>
          <w:sz w:val="22"/>
          <w:szCs w:val="22"/>
        </w:rPr>
      </w:pPr>
      <w:r>
        <w:rPr>
          <w:sz w:val="22"/>
          <w:szCs w:val="22"/>
        </w:rPr>
        <w:t>V nasledujúc</w:t>
      </w:r>
      <w:r w:rsidR="00B21AAA">
        <w:rPr>
          <w:sz w:val="22"/>
          <w:szCs w:val="22"/>
        </w:rPr>
        <w:t>ej</w:t>
      </w:r>
      <w:r>
        <w:rPr>
          <w:sz w:val="22"/>
          <w:szCs w:val="22"/>
        </w:rPr>
        <w:t xml:space="preserve"> </w:t>
      </w:r>
      <w:r w:rsidR="00B21AAA">
        <w:rPr>
          <w:sz w:val="22"/>
          <w:szCs w:val="22"/>
        </w:rPr>
        <w:t>tabuľk</w:t>
      </w:r>
      <w:r>
        <w:rPr>
          <w:sz w:val="22"/>
          <w:szCs w:val="22"/>
        </w:rPr>
        <w:t xml:space="preserve">e sú </w:t>
      </w:r>
      <w:r w:rsidR="00B21AAA">
        <w:rPr>
          <w:sz w:val="22"/>
          <w:szCs w:val="22"/>
        </w:rPr>
        <w:t>zhrnut</w:t>
      </w:r>
      <w:r>
        <w:rPr>
          <w:sz w:val="22"/>
          <w:szCs w:val="22"/>
        </w:rPr>
        <w:t xml:space="preserve">é nežiaduce účinky paracetamolu rozdelené do </w:t>
      </w:r>
      <w:r w:rsidR="00B21AAA">
        <w:rPr>
          <w:sz w:val="22"/>
          <w:szCs w:val="22"/>
        </w:rPr>
        <w:t>skupín</w:t>
      </w:r>
      <w:r>
        <w:rPr>
          <w:sz w:val="22"/>
          <w:szCs w:val="22"/>
        </w:rPr>
        <w:t xml:space="preserve"> podľa </w:t>
      </w:r>
      <w:r w:rsidR="00B21AAA">
        <w:rPr>
          <w:sz w:val="22"/>
          <w:szCs w:val="22"/>
        </w:rPr>
        <w:t>terminológie</w:t>
      </w:r>
      <w:r>
        <w:rPr>
          <w:sz w:val="22"/>
          <w:szCs w:val="22"/>
        </w:rPr>
        <w:t xml:space="preserve"> MedDRA s uvedením frekvencie výskytu:</w:t>
      </w:r>
    </w:p>
    <w:p w14:paraId="6C297A68" w14:textId="522F6109" w:rsidR="000E0A8F" w:rsidRPr="000A6CC6" w:rsidRDefault="00F540FA" w:rsidP="00871948">
      <w:pPr>
        <w:jc w:val="both"/>
        <w:rPr>
          <w:sz w:val="22"/>
          <w:szCs w:val="22"/>
        </w:rPr>
      </w:pPr>
      <w:r>
        <w:rPr>
          <w:sz w:val="22"/>
          <w:szCs w:val="22"/>
        </w:rPr>
        <w:t>veľmi časté (≥</w:t>
      </w:r>
      <w:r w:rsidR="00B21AAA">
        <w:rPr>
          <w:sz w:val="22"/>
          <w:szCs w:val="22"/>
        </w:rPr>
        <w:t xml:space="preserve"> </w:t>
      </w:r>
      <w:r>
        <w:rPr>
          <w:sz w:val="22"/>
          <w:szCs w:val="22"/>
        </w:rPr>
        <w:t>1/10), časté (</w:t>
      </w:r>
      <w:r w:rsidR="000E0A8F" w:rsidRPr="000A6CC6">
        <w:rPr>
          <w:sz w:val="22"/>
          <w:szCs w:val="22"/>
        </w:rPr>
        <w:sym w:font="Symbol" w:char="F0B3"/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1/100 až &lt;</w:t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1/10), menej časté (</w:t>
      </w:r>
      <w:r w:rsidR="000E0A8F" w:rsidRPr="000A6CC6">
        <w:rPr>
          <w:sz w:val="22"/>
          <w:szCs w:val="22"/>
        </w:rPr>
        <w:sym w:font="Symbol" w:char="F0B3"/>
      </w:r>
      <w:r w:rsidR="000E0A8F" w:rsidRPr="000A6CC6">
        <w:rPr>
          <w:sz w:val="22"/>
          <w:szCs w:val="22"/>
        </w:rPr>
        <w:t>1/1</w:t>
      </w:r>
      <w:r w:rsidR="00025446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000 až &lt;</w:t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1/100), zriedkavé</w:t>
      </w:r>
      <w:r>
        <w:rPr>
          <w:sz w:val="22"/>
          <w:szCs w:val="22"/>
        </w:rPr>
        <w:t xml:space="preserve"> (</w:t>
      </w:r>
      <w:r w:rsidR="000E0A8F" w:rsidRPr="000A6CC6">
        <w:rPr>
          <w:sz w:val="22"/>
          <w:szCs w:val="22"/>
        </w:rPr>
        <w:sym w:font="Symbol" w:char="F0B3"/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</w:t>
      </w:r>
      <w:r>
        <w:rPr>
          <w:sz w:val="22"/>
          <w:szCs w:val="22"/>
        </w:rPr>
        <w:t xml:space="preserve"> 000 </w:t>
      </w:r>
      <w:r>
        <w:rPr>
          <w:sz w:val="22"/>
          <w:szCs w:val="22"/>
        </w:rPr>
        <w:br/>
        <w:t>až &lt;</w:t>
      </w:r>
      <w:r w:rsidR="00B21AAA">
        <w:rPr>
          <w:sz w:val="22"/>
          <w:szCs w:val="22"/>
        </w:rPr>
        <w:t xml:space="preserve"> </w:t>
      </w:r>
      <w:r>
        <w:rPr>
          <w:sz w:val="22"/>
          <w:szCs w:val="22"/>
        </w:rPr>
        <w:t>1/1</w:t>
      </w:r>
      <w:r w:rsidR="00025446">
        <w:rPr>
          <w:sz w:val="22"/>
          <w:szCs w:val="22"/>
        </w:rPr>
        <w:t xml:space="preserve"> </w:t>
      </w:r>
      <w:r>
        <w:rPr>
          <w:sz w:val="22"/>
          <w:szCs w:val="22"/>
        </w:rPr>
        <w:t>000), veľmi zriedkavé (&lt;</w:t>
      </w:r>
      <w:r w:rsidR="00B21AAA">
        <w:rPr>
          <w:sz w:val="22"/>
          <w:szCs w:val="22"/>
        </w:rPr>
        <w:t xml:space="preserve"> </w:t>
      </w:r>
      <w:r>
        <w:rPr>
          <w:sz w:val="22"/>
          <w:szCs w:val="22"/>
        </w:rPr>
        <w:t>1/10 000),</w:t>
      </w:r>
      <w:r w:rsidRPr="00F540FA">
        <w:rPr>
          <w:color w:val="000000"/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 xml:space="preserve">neznáme (z dostupných </w:t>
      </w:r>
      <w:r>
        <w:rPr>
          <w:sz w:val="22"/>
          <w:szCs w:val="22"/>
        </w:rPr>
        <w:t>údajov):</w:t>
      </w:r>
    </w:p>
    <w:p w14:paraId="0E49E0DE" w14:textId="77777777" w:rsidR="007F462E" w:rsidRPr="000A6CC6" w:rsidRDefault="007F462E" w:rsidP="00871948">
      <w:pPr>
        <w:widowControl w:val="0"/>
        <w:jc w:val="both"/>
        <w:rPr>
          <w:sz w:val="22"/>
          <w:szCs w:val="22"/>
        </w:rPr>
      </w:pPr>
    </w:p>
    <w:p w14:paraId="43446C81" w14:textId="77777777" w:rsidR="000E0A8F" w:rsidRPr="000A6CC6" w:rsidRDefault="000E0A8F" w:rsidP="0087194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520"/>
        <w:gridCol w:w="2699"/>
      </w:tblGrid>
      <w:tr w:rsidR="000E0A8F" w:rsidRPr="000A6CC6" w14:paraId="2979F531" w14:textId="77777777" w:rsidTr="00527621"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721F" w14:textId="77777777" w:rsidR="000E0A8F" w:rsidRPr="000A6CC6" w:rsidRDefault="000E0A8F" w:rsidP="00871948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0A6CC6">
              <w:rPr>
                <w:b/>
                <w:sz w:val="22"/>
                <w:szCs w:val="22"/>
                <w:lang w:val="sk-SK"/>
              </w:rPr>
              <w:t>Trieda orgánových systémov podľa data</w:t>
            </w:r>
            <w:r w:rsidR="00F540FA" w:rsidRPr="00F540FA">
              <w:rPr>
                <w:b/>
                <w:sz w:val="22"/>
                <w:szCs w:val="22"/>
                <w:lang w:val="sk-SK"/>
              </w:rPr>
              <w:t>bázy MedDRA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E043" w14:textId="1E6E578C" w:rsidR="000E0A8F" w:rsidRPr="000A6CC6" w:rsidRDefault="00F540FA" w:rsidP="00871948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F540FA">
              <w:rPr>
                <w:b/>
                <w:sz w:val="22"/>
                <w:szCs w:val="22"/>
                <w:lang w:val="sk-SK"/>
              </w:rPr>
              <w:t>Frekvencia</w:t>
            </w:r>
            <w:r w:rsidR="009401E9">
              <w:rPr>
                <w:b/>
                <w:sz w:val="22"/>
                <w:szCs w:val="22"/>
                <w:lang w:val="sk-SK"/>
              </w:rPr>
              <w:t xml:space="preserve"> výskytu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B61" w14:textId="77777777" w:rsidR="000E0A8F" w:rsidRPr="000A6CC6" w:rsidRDefault="00F540FA" w:rsidP="00871948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F540FA">
              <w:rPr>
                <w:b/>
                <w:sz w:val="22"/>
                <w:szCs w:val="22"/>
                <w:lang w:val="sk-SK"/>
              </w:rPr>
              <w:t>Nežiaduci účinok</w:t>
            </w:r>
          </w:p>
        </w:tc>
      </w:tr>
      <w:tr w:rsidR="00264DB2" w:rsidRPr="000A6CC6" w14:paraId="621BD6AB" w14:textId="77777777" w:rsidTr="00A632C0">
        <w:trPr>
          <w:trHeight w:val="1370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0212E" w14:textId="77777777" w:rsidR="00264DB2" w:rsidRPr="000A6CC6" w:rsidRDefault="00264DB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0A6CC6">
              <w:rPr>
                <w:b w:val="0"/>
                <w:szCs w:val="22"/>
                <w:lang w:val="sk-SK"/>
              </w:rPr>
              <w:t>Poruchy krvi a lymfatického systému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5CD62" w14:textId="77777777" w:rsidR="00264DB2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  <w:p w14:paraId="6665031D" w14:textId="77777777" w:rsidR="00264DB2" w:rsidRPr="000A6CC6" w:rsidRDefault="00264DB2" w:rsidP="00871948">
            <w:pPr>
              <w:rPr>
                <w:sz w:val="22"/>
                <w:szCs w:val="22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5598F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trombocytopénia, </w:t>
            </w:r>
          </w:p>
          <w:p w14:paraId="35B99D9D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leukopénia,</w:t>
            </w:r>
          </w:p>
          <w:p w14:paraId="2CE061A2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pancytopénia, </w:t>
            </w:r>
          </w:p>
          <w:p w14:paraId="370E5646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agranulocytóza, neutropénia</w:t>
            </w:r>
          </w:p>
          <w:p w14:paraId="3C108DC7" w14:textId="77777777" w:rsidR="00264DB2" w:rsidRPr="000A6CC6" w:rsidRDefault="00264DB2" w:rsidP="0084448E">
            <w:pPr>
              <w:pStyle w:val="Normln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k-SK"/>
              </w:rPr>
            </w:pPr>
          </w:p>
        </w:tc>
      </w:tr>
      <w:tr w:rsidR="00264DB2" w:rsidRPr="000A6CC6" w14:paraId="5848AF50" w14:textId="77777777" w:rsidTr="00527621">
        <w:trPr>
          <w:trHeight w:val="555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53FB" w14:textId="77777777" w:rsidR="00264DB2" w:rsidRPr="000A6CC6" w:rsidRDefault="00264DB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9AB" w14:textId="77777777" w:rsidR="00264DB2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CE22" w14:textId="77777777" w:rsidR="00264DB2" w:rsidRPr="000A6CC6" w:rsidRDefault="00897D1F" w:rsidP="0084448E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h</w:t>
            </w:r>
            <w:r w:rsidR="00F540FA">
              <w:rPr>
                <w:noProof/>
                <w:sz w:val="22"/>
                <w:szCs w:val="22"/>
                <w:lang w:val="sk-SK"/>
              </w:rPr>
              <w:t xml:space="preserve">emolytická anémia – </w:t>
            </w:r>
            <w:r w:rsidR="00E171A2">
              <w:rPr>
                <w:noProof/>
                <w:sz w:val="22"/>
                <w:szCs w:val="22"/>
                <w:lang w:val="sk-SK"/>
              </w:rPr>
              <w:t xml:space="preserve">predovšetkým </w:t>
            </w:r>
            <w:r w:rsidR="00F540FA">
              <w:rPr>
                <w:noProof/>
                <w:sz w:val="22"/>
                <w:szCs w:val="22"/>
                <w:lang w:val="sk-SK"/>
              </w:rPr>
              <w:t>u pacientov s deficitom glukózo-6-fosfátdehydrogenázy</w:t>
            </w:r>
          </w:p>
        </w:tc>
      </w:tr>
      <w:tr w:rsidR="00F84AB6" w:rsidRPr="000A6CC6" w14:paraId="58C523A1" w14:textId="77777777" w:rsidTr="00527621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C68" w14:textId="77777777" w:rsidR="00F84AB6" w:rsidRPr="000A6CC6" w:rsidRDefault="00F84AB6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0A6CC6">
              <w:rPr>
                <w:b w:val="0"/>
                <w:szCs w:val="22"/>
                <w:lang w:val="sk-SK"/>
              </w:rPr>
              <w:t>Poruchy imunitného systému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BA7" w14:textId="77777777" w:rsidR="00F84AB6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E188" w14:textId="77777777" w:rsidR="00F84AB6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 xml:space="preserve">anafylaktický šok, angioedém  </w:t>
            </w:r>
          </w:p>
        </w:tc>
      </w:tr>
      <w:tr w:rsidR="00B50B85" w:rsidRPr="000A6CC6" w14:paraId="00C88CE1" w14:textId="77777777" w:rsidTr="00527621">
        <w:trPr>
          <w:trHeight w:val="255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CE6" w14:textId="77777777" w:rsidR="00B50B85" w:rsidRPr="000A6CC6" w:rsidRDefault="00B50B85" w:rsidP="00871948">
            <w:pPr>
              <w:rPr>
                <w:sz w:val="22"/>
                <w:szCs w:val="22"/>
              </w:rPr>
            </w:pPr>
            <w:r w:rsidRPr="000A6CC6">
              <w:rPr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5B7" w14:textId="77777777" w:rsidR="00B50B85" w:rsidRPr="000A6CC6" w:rsidRDefault="00F540FA" w:rsidP="00871948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763B" w14:textId="77777777" w:rsidR="00B50B85" w:rsidRPr="000A6CC6" w:rsidRDefault="00F540FA" w:rsidP="0087194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bronchospazmus</w:t>
            </w:r>
          </w:p>
        </w:tc>
      </w:tr>
      <w:tr w:rsidR="00F627C1" w:rsidRPr="000A6CC6" w14:paraId="3F14C13A" w14:textId="77777777" w:rsidTr="00A632C0">
        <w:trPr>
          <w:trHeight w:val="471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1463E" w14:textId="77777777" w:rsidR="00F627C1" w:rsidRPr="000A6CC6" w:rsidRDefault="00F627C1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0A6CC6">
              <w:rPr>
                <w:b w:val="0"/>
                <w:szCs w:val="22"/>
                <w:lang w:val="sk-SK"/>
              </w:rPr>
              <w:t>Poruchy pečene a žlčových ciest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C55" w14:textId="77777777" w:rsidR="00F627C1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CFA" w14:textId="77777777" w:rsidR="00F627C1" w:rsidRPr="000A6CC6" w:rsidRDefault="00F540FA" w:rsidP="00D00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hepatotoxicita</w:t>
            </w:r>
          </w:p>
        </w:tc>
      </w:tr>
      <w:tr w:rsidR="00F627C1" w:rsidRPr="000A6CC6" w14:paraId="52B71004" w14:textId="77777777" w:rsidTr="00C449CC">
        <w:trPr>
          <w:trHeight w:val="560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208" w14:textId="77777777" w:rsidR="00F627C1" w:rsidRPr="000A6CC6" w:rsidRDefault="00F627C1" w:rsidP="00871948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D14" w14:textId="77777777" w:rsidR="00F627C1" w:rsidRPr="000A6CC6" w:rsidRDefault="00F540FA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FBD" w14:textId="77777777" w:rsidR="00F627C1" w:rsidRPr="000A6CC6" w:rsidRDefault="00F540FA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cytolytická hepatitída, ktorá môže viesť k akútnemu zlyhaniu pečene</w:t>
            </w:r>
          </w:p>
        </w:tc>
      </w:tr>
      <w:tr w:rsidR="0084448E" w:rsidRPr="000A6CC6" w14:paraId="2FA2DB94" w14:textId="77777777" w:rsidTr="00A632C0">
        <w:trPr>
          <w:trHeight w:val="616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5B1E" w14:textId="77777777" w:rsidR="0084448E" w:rsidRPr="000A6CC6" w:rsidRDefault="0084448E" w:rsidP="00C449CC">
            <w:pPr>
              <w:rPr>
                <w:sz w:val="22"/>
                <w:szCs w:val="22"/>
              </w:rPr>
            </w:pPr>
            <w:r w:rsidRPr="000A6CC6">
              <w:rPr>
                <w:sz w:val="22"/>
                <w:szCs w:val="22"/>
              </w:rPr>
              <w:t>Poruchy kože a podkožného tkaniva</w:t>
            </w:r>
          </w:p>
          <w:p w14:paraId="7A2A7CCA" w14:textId="77777777" w:rsidR="0084448E" w:rsidRPr="000A6CC6" w:rsidRDefault="0084448E" w:rsidP="00A84E14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4AFE" w14:textId="77777777" w:rsidR="0084448E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C49F" w14:textId="77777777" w:rsidR="0084448E" w:rsidRPr="000A6CC6" w:rsidRDefault="00F540FA" w:rsidP="00C449CC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erytém, žihľavka, vyrážka</w:t>
            </w:r>
          </w:p>
          <w:p w14:paraId="559AD323" w14:textId="77777777" w:rsidR="0084448E" w:rsidRPr="000A6CC6" w:rsidRDefault="0084448E" w:rsidP="00EE0B97">
            <w:pPr>
              <w:pStyle w:val="Normln"/>
              <w:rPr>
                <w:sz w:val="22"/>
                <w:szCs w:val="22"/>
                <w:lang w:val="sk-SK"/>
              </w:rPr>
            </w:pPr>
          </w:p>
        </w:tc>
      </w:tr>
      <w:tr w:rsidR="0084448E" w:rsidRPr="000A6CC6" w14:paraId="294D574C" w14:textId="77777777" w:rsidTr="00EB38C5">
        <w:trPr>
          <w:trHeight w:val="560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8BE5" w14:textId="77777777" w:rsidR="0084448E" w:rsidRPr="000A6CC6" w:rsidRDefault="0084448E" w:rsidP="00A84E14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C7A" w14:textId="77777777" w:rsidR="0084448E" w:rsidRPr="000A6CC6" w:rsidRDefault="00F540FA" w:rsidP="00A84E14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1535" w14:textId="77777777" w:rsidR="0084448E" w:rsidRPr="000A6CC6" w:rsidRDefault="0084448E" w:rsidP="0084448E">
            <w:pPr>
              <w:pStyle w:val="Normln"/>
              <w:rPr>
                <w:sz w:val="22"/>
                <w:szCs w:val="22"/>
                <w:lang w:val="sk-SK"/>
              </w:rPr>
            </w:pPr>
            <w:r w:rsidRPr="000A6CC6">
              <w:rPr>
                <w:sz w:val="22"/>
                <w:szCs w:val="22"/>
                <w:lang w:val="sk-SK"/>
              </w:rPr>
              <w:t>toxická epidermálna nekrolýza</w:t>
            </w:r>
            <w:r w:rsidR="00F540FA">
              <w:rPr>
                <w:sz w:val="22"/>
                <w:szCs w:val="22"/>
                <w:lang w:val="sk-SK"/>
              </w:rPr>
              <w:t xml:space="preserve"> (TEN),</w:t>
            </w:r>
          </w:p>
          <w:p w14:paraId="36FF77A2" w14:textId="77777777" w:rsidR="0084448E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Stevensov-Johnsonov syndróm (SJS), </w:t>
            </w:r>
          </w:p>
          <w:p w14:paraId="019D527B" w14:textId="77777777" w:rsidR="00081475" w:rsidRPr="000A6CC6" w:rsidRDefault="00F540FA" w:rsidP="00081475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akútna generalizovaná exantematózna pustulóza (AGEP), </w:t>
            </w:r>
          </w:p>
          <w:p w14:paraId="0B71D6E2" w14:textId="77777777" w:rsidR="0084448E" w:rsidRPr="000A6CC6" w:rsidRDefault="00F540FA" w:rsidP="00081475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fixný liekový exantém </w:t>
            </w:r>
          </w:p>
        </w:tc>
      </w:tr>
    </w:tbl>
    <w:p w14:paraId="171AD09F" w14:textId="77777777" w:rsidR="000E0A8F" w:rsidRPr="000A6CC6" w:rsidRDefault="000E0A8F" w:rsidP="00871948">
      <w:pPr>
        <w:rPr>
          <w:sz w:val="22"/>
          <w:szCs w:val="22"/>
          <w:u w:val="single"/>
        </w:rPr>
      </w:pPr>
    </w:p>
    <w:p w14:paraId="7AC222F6" w14:textId="77777777" w:rsidR="00AC669B" w:rsidRPr="000A6CC6" w:rsidRDefault="00AC669B" w:rsidP="00F627C1">
      <w:pPr>
        <w:ind w:right="-192"/>
        <w:jc w:val="both"/>
        <w:rPr>
          <w:color w:val="000000"/>
          <w:sz w:val="22"/>
          <w:szCs w:val="22"/>
          <w:lang w:eastAsia="sk-SK"/>
        </w:rPr>
      </w:pPr>
    </w:p>
    <w:p w14:paraId="04C42C99" w14:textId="77777777" w:rsidR="00F627C1" w:rsidRPr="000A6CC6" w:rsidRDefault="00F540FA" w:rsidP="00F627C1">
      <w:pPr>
        <w:ind w:right="-192"/>
        <w:jc w:val="both"/>
        <w:rPr>
          <w:color w:val="000000"/>
          <w:sz w:val="22"/>
          <w:szCs w:val="22"/>
          <w:u w:val="single"/>
          <w:lang w:eastAsia="sk-SK"/>
        </w:rPr>
      </w:pPr>
      <w:r>
        <w:rPr>
          <w:color w:val="000000"/>
          <w:sz w:val="22"/>
          <w:szCs w:val="22"/>
          <w:u w:val="single"/>
          <w:lang w:eastAsia="sk-SK"/>
        </w:rPr>
        <w:t>Hlásenie podozrení na nežiaduce reakcie</w:t>
      </w:r>
    </w:p>
    <w:p w14:paraId="74EF90C4" w14:textId="77777777" w:rsidR="002C2EDD" w:rsidRPr="000A6CC6" w:rsidRDefault="00F540FA" w:rsidP="0028438C">
      <w:pPr>
        <w:suppressLineNumbers/>
        <w:autoSpaceDE w:val="0"/>
        <w:autoSpaceDN w:val="0"/>
        <w:adjustRightInd w:val="0"/>
        <w:rPr>
          <w:b/>
          <w:sz w:val="22"/>
          <w:szCs w:val="22"/>
        </w:rPr>
      </w:pPr>
      <w:r>
        <w:rPr>
          <w:color w:val="000000"/>
          <w:sz w:val="22"/>
          <w:szCs w:val="22"/>
          <w:lang w:eastAsia="sk-SK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sz w:val="22"/>
          <w:szCs w:val="22"/>
        </w:rPr>
        <w:t xml:space="preserve">na </w:t>
      </w:r>
      <w:r>
        <w:rPr>
          <w:sz w:val="22"/>
          <w:szCs w:val="22"/>
          <w:highlight w:val="lightGray"/>
        </w:rPr>
        <w:t>národné centrum hlásenia uvedené v </w:t>
      </w:r>
      <w:hyperlink r:id="rId8" w:history="1">
        <w:r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="0028438C" w:rsidRPr="000A6CC6">
        <w:rPr>
          <w:sz w:val="22"/>
          <w:szCs w:val="22"/>
        </w:rPr>
        <w:t>.</w:t>
      </w:r>
    </w:p>
    <w:p w14:paraId="2591AF55" w14:textId="77777777" w:rsidR="0028438C" w:rsidRPr="000A6CC6" w:rsidRDefault="0028438C" w:rsidP="00871948">
      <w:pPr>
        <w:widowControl w:val="0"/>
        <w:jc w:val="both"/>
        <w:rPr>
          <w:b/>
          <w:sz w:val="22"/>
          <w:szCs w:val="22"/>
        </w:rPr>
      </w:pPr>
    </w:p>
    <w:p w14:paraId="61001ABB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4.9</w:t>
      </w:r>
      <w:r>
        <w:rPr>
          <w:b/>
          <w:sz w:val="22"/>
          <w:szCs w:val="22"/>
        </w:rPr>
        <w:tab/>
        <w:t>Predávkovanie</w:t>
      </w:r>
    </w:p>
    <w:p w14:paraId="5C0E6361" w14:textId="77777777" w:rsidR="00C54A07" w:rsidRPr="000A6CC6" w:rsidRDefault="00C54A07" w:rsidP="00871948">
      <w:pPr>
        <w:widowControl w:val="0"/>
        <w:jc w:val="both"/>
        <w:rPr>
          <w:sz w:val="22"/>
          <w:szCs w:val="22"/>
        </w:rPr>
      </w:pPr>
    </w:p>
    <w:p w14:paraId="2F076C36" w14:textId="77777777" w:rsidR="00CC4695" w:rsidRPr="000A6CC6" w:rsidRDefault="00F540FA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Paracetamol </w:t>
      </w:r>
    </w:p>
    <w:p w14:paraId="4ACF23A4" w14:textId="275DFCFF" w:rsidR="004609D3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B21AAA">
        <w:rPr>
          <w:sz w:val="22"/>
          <w:szCs w:val="22"/>
        </w:rPr>
        <w:t>edávkovanie</w:t>
      </w:r>
      <w:r>
        <w:rPr>
          <w:sz w:val="22"/>
          <w:szCs w:val="22"/>
        </w:rPr>
        <w:t xml:space="preserve"> už relatívne nízkymi dávkami paracetamolu (8 – 15 g v závislosti </w:t>
      </w:r>
      <w:r w:rsidR="009401E9">
        <w:rPr>
          <w:sz w:val="22"/>
          <w:szCs w:val="22"/>
        </w:rPr>
        <w:t>od</w:t>
      </w:r>
      <w:r>
        <w:rPr>
          <w:sz w:val="22"/>
          <w:szCs w:val="22"/>
        </w:rPr>
        <w:t xml:space="preserve"> telesnej hmotnosti) môže mať za následok závažné poškodenie pečene a niekedy akútnu renálnu tubulárnu nekrózu. K poškodeniu pečene po požití 5 alebo viac gramov paracetamolu môže dôjsť u pacientov s rizikovými faktormi ako je:</w:t>
      </w:r>
    </w:p>
    <w:p w14:paraId="0797241F" w14:textId="77777777" w:rsidR="00CC4695" w:rsidRPr="000A6CC6" w:rsidRDefault="00F540FA" w:rsidP="00871948">
      <w:pPr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dlhodobá liečba enzýmovými induktormi (karbamazepín, glutetimid, fenobarbital, fenytoín, rifampicín, primidón, ľubovník bodkovaný),</w:t>
      </w:r>
    </w:p>
    <w:p w14:paraId="4C516F0F" w14:textId="77777777" w:rsidR="00CC4695" w:rsidRPr="000A6CC6" w:rsidRDefault="00F540FA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pravidelná konzumácia väčšieho množstva alkoholu,</w:t>
      </w:r>
    </w:p>
    <w:p w14:paraId="6B1E7C52" w14:textId="77777777" w:rsidR="00586BB5" w:rsidRPr="000A6CC6" w:rsidRDefault="00F540FA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pravdepodobnosť, že sú vyčerpané zásoby glutatiónu (napr. pri poruche príjmu potravy, cystickej fibróze, HIV infekcii, hladovaní, kachexii).</w:t>
      </w:r>
    </w:p>
    <w:p w14:paraId="0B9448E2" w14:textId="77777777" w:rsidR="00CC4695" w:rsidRPr="000A6CC6" w:rsidRDefault="00CC4695" w:rsidP="00871948">
      <w:pPr>
        <w:widowControl w:val="0"/>
        <w:jc w:val="both"/>
        <w:rPr>
          <w:sz w:val="22"/>
          <w:szCs w:val="22"/>
          <w:u w:val="single"/>
        </w:rPr>
      </w:pPr>
    </w:p>
    <w:p w14:paraId="52BCB994" w14:textId="5BBF9A60" w:rsidR="00CC4695" w:rsidRPr="00897D1F" w:rsidRDefault="00E171A2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Symptómy</w:t>
      </w:r>
    </w:p>
    <w:p w14:paraId="4DCF62B2" w14:textId="6092499D" w:rsidR="00900C19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24 hodín sa môže objaviť nauzea, vracanie, anorexia, bledosť, letargia a potenie. Bolesť v bruchu môže byť prvým príznakom poškodenia pečene a vzniká </w:t>
      </w:r>
      <w:r>
        <w:rPr>
          <w:color w:val="000000"/>
          <w:sz w:val="22"/>
          <w:szCs w:val="22"/>
          <w:lang w:eastAsia="sk-SK"/>
        </w:rPr>
        <w:t>v priebehu prvých 24 hodín</w:t>
      </w:r>
      <w:r>
        <w:rPr>
          <w:sz w:val="22"/>
          <w:szCs w:val="22"/>
        </w:rPr>
        <w:t xml:space="preserve">. Môže </w:t>
      </w:r>
      <w:r>
        <w:rPr>
          <w:color w:val="000000"/>
          <w:sz w:val="22"/>
          <w:szCs w:val="22"/>
          <w:lang w:eastAsia="sk-SK"/>
        </w:rPr>
        <w:t>vzniknúť  pečeňová cytolýza, ktorá môže viesť</w:t>
      </w:r>
      <w:r>
        <w:rPr>
          <w:sz w:val="22"/>
          <w:szCs w:val="22"/>
        </w:rPr>
        <w:t xml:space="preserve"> k zlyhaniu pečene, encefalopatii, </w:t>
      </w:r>
      <w:r w:rsidR="00E171A2">
        <w:rPr>
          <w:sz w:val="22"/>
          <w:szCs w:val="22"/>
        </w:rPr>
        <w:t xml:space="preserve">diseminovanej intravaskulárnej koagulácii, </w:t>
      </w:r>
      <w:r>
        <w:rPr>
          <w:sz w:val="22"/>
          <w:szCs w:val="22"/>
        </w:rPr>
        <w:t xml:space="preserve">kóme až smrti. Komplikácie zlyhania pečene predstavuje metabolická acidóza, edém mozgu, krvácavé prejavy, hypoglykémia, hypotenzia, infekcia a renálne zlyhanie. </w:t>
      </w:r>
      <w:r w:rsidR="009401E9">
        <w:rPr>
          <w:color w:val="000000"/>
          <w:sz w:val="22"/>
          <w:szCs w:val="22"/>
          <w:lang w:eastAsia="sk-SK"/>
        </w:rPr>
        <w:t xml:space="preserve">12 </w:t>
      </w:r>
      <w:r>
        <w:rPr>
          <w:color w:val="000000"/>
          <w:sz w:val="22"/>
          <w:szCs w:val="22"/>
          <w:lang w:eastAsia="sk-SK"/>
        </w:rPr>
        <w:t>až 48 hodín po akútnom predávkovaní sa zvyšujú hladiny pečeňových transamináz, laktátdehydrogenázy a bilirubínu spolu s poklesom hladiny protrombínu.</w:t>
      </w:r>
      <w:r w:rsidRPr="00F540FA">
        <w:rPr>
          <w:sz w:val="22"/>
          <w:szCs w:val="22"/>
        </w:rPr>
        <w:t xml:space="preserve"> </w:t>
      </w:r>
    </w:p>
    <w:p w14:paraId="610FF1C3" w14:textId="77777777" w:rsidR="00900C19" w:rsidRDefault="007D4FF8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 w:rsidRPr="000A6CC6">
        <w:rPr>
          <w:color w:val="000000"/>
          <w:sz w:val="22"/>
          <w:szCs w:val="22"/>
          <w:lang w:eastAsia="sk-SK"/>
        </w:rPr>
        <w:t>Predĺženie protrombínového času je indikátorom zhoršenia funkcie pečene a preto sa odporúča jeho monitorov</w:t>
      </w:r>
      <w:r w:rsidR="00F540FA">
        <w:rPr>
          <w:color w:val="000000"/>
          <w:sz w:val="22"/>
          <w:szCs w:val="22"/>
          <w:lang w:eastAsia="sk-SK"/>
        </w:rPr>
        <w:t xml:space="preserve">anie. Pacienti, ktorí užívajú induktory enzýmov (karbamazepín, fenytoín, barbituráty, rifampicín) alebo majú v anamnéze abúzus alkoholu, sú náchylnejší na poškodenie pečene. </w:t>
      </w:r>
    </w:p>
    <w:p w14:paraId="2D283470" w14:textId="3BBAAE5E" w:rsidR="00AC669B" w:rsidRPr="000A6CC6" w:rsidRDefault="00F540FA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>
        <w:rPr>
          <w:color w:val="000000"/>
          <w:sz w:val="22"/>
          <w:szCs w:val="22"/>
          <w:lang w:eastAsia="sk-SK"/>
        </w:rPr>
        <w:t>K akútnemu renálnemu zlyhaniu môže dôjsť aj bez prítomnosti závažného poškodenia pečene. Ďalšími príznakmi intoxikácie sú poškodenie myokardu, pankreatitída a pancytopénia.</w:t>
      </w:r>
    </w:p>
    <w:p w14:paraId="7A708613" w14:textId="77777777" w:rsidR="00CC4695" w:rsidRPr="000A6CC6" w:rsidRDefault="00CC4695" w:rsidP="00871948">
      <w:pPr>
        <w:widowControl w:val="0"/>
        <w:jc w:val="both"/>
        <w:rPr>
          <w:sz w:val="22"/>
          <w:szCs w:val="22"/>
        </w:rPr>
      </w:pPr>
    </w:p>
    <w:p w14:paraId="49D47B7E" w14:textId="77777777" w:rsidR="00CC4695" w:rsidRPr="00897D1F" w:rsidRDefault="00B81255" w:rsidP="00871948">
      <w:pPr>
        <w:widowControl w:val="0"/>
        <w:jc w:val="both"/>
        <w:rPr>
          <w:sz w:val="22"/>
          <w:szCs w:val="22"/>
          <w:u w:val="single"/>
        </w:rPr>
      </w:pPr>
      <w:r w:rsidRPr="00B81255">
        <w:rPr>
          <w:sz w:val="22"/>
          <w:szCs w:val="22"/>
          <w:u w:val="single"/>
        </w:rPr>
        <w:t>Liečba</w:t>
      </w:r>
    </w:p>
    <w:p w14:paraId="77925C86" w14:textId="6E661891" w:rsidR="00CC414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Okamžité začatie liečby je zásadné. Aj napriek absencii výrazných skorých príznakov </w:t>
      </w:r>
      <w:r w:rsidR="009401E9">
        <w:rPr>
          <w:sz w:val="22"/>
          <w:szCs w:val="22"/>
        </w:rPr>
        <w:t>majú</w:t>
      </w:r>
      <w:r>
        <w:rPr>
          <w:sz w:val="22"/>
          <w:szCs w:val="22"/>
        </w:rPr>
        <w:t xml:space="preserve"> byť pacienti neodkladne prevezení do nemocnice </w:t>
      </w:r>
      <w:r w:rsidR="009401E9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poskytnutie okamžitej lekárskej pomoci. Príznaky môžu byť obmedzené na nevoľnosť alebo vracanie a nemusia poukazovať na závažnosť predávkovania alebo poškodenia orgánov. Použitie aktívneho uhlia je potrebné zvážiť do hodiny po predávkovaní. </w:t>
      </w:r>
      <w:r w:rsidR="00900C19" w:rsidRPr="00FD54AC">
        <w:rPr>
          <w:sz w:val="22"/>
          <w:szCs w:val="22"/>
        </w:rPr>
        <w:t>Pri akomkoľvek mechanizme predávkovania (p.o. alebo per rectum) sa odporúča monitorovanie plazmatickej koncentrácie paracetamolu.</w:t>
      </w:r>
      <w:r w:rsidR="00900C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Koncentrácie paracetamolu v plazme </w:t>
      </w:r>
      <w:r w:rsidR="00B21AAA">
        <w:rPr>
          <w:sz w:val="22"/>
          <w:szCs w:val="22"/>
        </w:rPr>
        <w:t>majú</w:t>
      </w:r>
      <w:r>
        <w:rPr>
          <w:sz w:val="22"/>
          <w:szCs w:val="22"/>
        </w:rPr>
        <w:t xml:space="preserve"> byť merané po 4 hodinách alebo neskôr po požití (skôr merané koncentrácie sú nespoľahlivé). Liečba N-acetylcysteínom môže byť použitá do 24 hodín po požití paracetamolu, ale maximálny ochranný účinok sa dosiahne, ak bol podaný do 8 hodín po požití. Účinnosť antidota prudko klesá po prekročení tejto doby. Ak je to nutné, pacientovi </w:t>
      </w:r>
      <w:r w:rsidR="009401E9">
        <w:rPr>
          <w:sz w:val="22"/>
          <w:szCs w:val="22"/>
        </w:rPr>
        <w:t>má</w:t>
      </w:r>
      <w:r>
        <w:rPr>
          <w:sz w:val="22"/>
          <w:szCs w:val="22"/>
        </w:rPr>
        <w:t xml:space="preserve"> byť podaný N-acetylcysteín intravenózne v súlade so stanovenými dávkovacími schémami. Ak pacient nevracia, môže byť perorálne podanie metionínu vhodnou alternatívou v odľahlých oblastiach mimo nemocnice.</w:t>
      </w:r>
    </w:p>
    <w:p w14:paraId="44F47305" w14:textId="77777777" w:rsidR="00593D11" w:rsidRPr="000A6CC6" w:rsidRDefault="00593D11" w:rsidP="00871948">
      <w:pPr>
        <w:widowControl w:val="0"/>
        <w:jc w:val="both"/>
        <w:rPr>
          <w:b/>
          <w:sz w:val="22"/>
          <w:szCs w:val="22"/>
        </w:rPr>
      </w:pPr>
    </w:p>
    <w:p w14:paraId="70ED67D9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5EB5D249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5.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FARMAKOLOGICKÉ VLASTNOSTI</w:t>
      </w:r>
    </w:p>
    <w:p w14:paraId="00512E70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456F3217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ab/>
        <w:t>Farmakodynamické vlastnosti</w:t>
      </w:r>
      <w:r>
        <w:rPr>
          <w:sz w:val="22"/>
          <w:szCs w:val="22"/>
        </w:rPr>
        <w:t xml:space="preserve"> </w:t>
      </w:r>
    </w:p>
    <w:p w14:paraId="55E1670F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433B9659" w14:textId="5DC96BD5" w:rsidR="006F2089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Farmakoterapeutická skupina: </w:t>
      </w:r>
      <w:r w:rsidR="00B21AAA">
        <w:rPr>
          <w:sz w:val="22"/>
          <w:szCs w:val="22"/>
        </w:rPr>
        <w:t>i</w:t>
      </w:r>
      <w:r>
        <w:rPr>
          <w:sz w:val="22"/>
          <w:szCs w:val="22"/>
        </w:rPr>
        <w:t xml:space="preserve">né analgetiká a antipyretiká, anilidy, </w:t>
      </w:r>
      <w:r w:rsidR="00B21AAA">
        <w:rPr>
          <w:sz w:val="22"/>
          <w:szCs w:val="22"/>
        </w:rPr>
        <w:t xml:space="preserve">ATC kód: N02BE01. </w:t>
      </w:r>
    </w:p>
    <w:p w14:paraId="05B9BCA1" w14:textId="77777777" w:rsidR="006F2089" w:rsidRPr="000A6CC6" w:rsidRDefault="006F2089" w:rsidP="006F2089">
      <w:pPr>
        <w:widowControl w:val="0"/>
        <w:rPr>
          <w:sz w:val="22"/>
          <w:szCs w:val="22"/>
        </w:rPr>
      </w:pPr>
    </w:p>
    <w:p w14:paraId="28622EC7" w14:textId="07BBCD1B" w:rsidR="009401E9" w:rsidRDefault="00F540FA" w:rsidP="006F2089">
      <w:pPr>
        <w:widowControl w:val="0"/>
        <w:rPr>
          <w:sz w:val="22"/>
          <w:szCs w:val="22"/>
        </w:rPr>
      </w:pPr>
      <w:r w:rsidRPr="00F540FA">
        <w:rPr>
          <w:sz w:val="22"/>
          <w:szCs w:val="22"/>
        </w:rPr>
        <w:t xml:space="preserve">Paracetamol je analgetikum - antipyretikum bez antiflogistickej aktivity a s dobrou gastrointestinálnou znášanlivosťou, vhodné v pediatrii aj u dospelých pacientov. </w:t>
      </w:r>
      <w:r w:rsidR="000F64E1" w:rsidRPr="00385907">
        <w:rPr>
          <w:sz w:val="22"/>
          <w:szCs w:val="22"/>
        </w:rPr>
        <w:t xml:space="preserve">Mechanizmus účinku je pravdepodobne podobný kyseline acetylsalicylovej a je závislý od inhibície </w:t>
      </w:r>
      <w:r w:rsidR="000F64E1" w:rsidRPr="0084532E">
        <w:rPr>
          <w:sz w:val="22"/>
          <w:szCs w:val="22"/>
        </w:rPr>
        <w:t xml:space="preserve">syntézy prostaglandínov v centrálnom </w:t>
      </w:r>
      <w:r w:rsidR="000F64E1" w:rsidRPr="0084532E">
        <w:rPr>
          <w:sz w:val="22"/>
          <w:szCs w:val="22"/>
        </w:rPr>
        <w:lastRenderedPageBreak/>
        <w:t>nervovom systéme. Týmto mechanizmom je potlačená produkcia prostaglandínov, ktoré spôsobujú bolesť a horúčku.</w:t>
      </w:r>
    </w:p>
    <w:p w14:paraId="418621EA" w14:textId="744ABBD1" w:rsidR="006F2089" w:rsidRPr="000A6CC6" w:rsidRDefault="00F540FA" w:rsidP="006F2089">
      <w:pPr>
        <w:widowControl w:val="0"/>
        <w:rPr>
          <w:sz w:val="22"/>
          <w:szCs w:val="22"/>
        </w:rPr>
      </w:pPr>
      <w:r w:rsidRPr="00F540FA">
        <w:rPr>
          <w:sz w:val="22"/>
          <w:szCs w:val="22"/>
        </w:rPr>
        <w:t>Neovplyvňuje glykémiu a je teda vhodný aj u diabetikov. Pretože neovplyvňuje významne krvnú zráža</w:t>
      </w:r>
      <w:r w:rsidR="00897D1F">
        <w:rPr>
          <w:sz w:val="22"/>
          <w:szCs w:val="22"/>
        </w:rPr>
        <w:t>nli</w:t>
      </w:r>
      <w:r w:rsidRPr="00F540FA">
        <w:rPr>
          <w:sz w:val="22"/>
          <w:szCs w:val="22"/>
        </w:rPr>
        <w:t>vosť ani u pacientov užívajúcich perorálne antikoagulanciá</w:t>
      </w:r>
      <w:r w:rsidR="009401E9">
        <w:rPr>
          <w:sz w:val="22"/>
          <w:szCs w:val="22"/>
        </w:rPr>
        <w:t xml:space="preserve"> (pozri časť 4.4)</w:t>
      </w:r>
      <w:r w:rsidRPr="00F540FA">
        <w:rPr>
          <w:sz w:val="22"/>
          <w:szCs w:val="22"/>
        </w:rPr>
        <w:t>, dá sa takisto použiť u hemofilikov. Nemá vplyv na hladinu kyseliny močovej a jej vylučovanie do moču. Je možné použiť ho všade tam, kde sú salicyláty kontraindikované.</w:t>
      </w:r>
    </w:p>
    <w:p w14:paraId="51CFD50A" w14:textId="483AD178" w:rsidR="006F2089" w:rsidRPr="000A6CC6" w:rsidRDefault="00F540FA" w:rsidP="006F2089">
      <w:pPr>
        <w:widowControl w:val="0"/>
        <w:rPr>
          <w:sz w:val="22"/>
          <w:szCs w:val="22"/>
        </w:rPr>
      </w:pPr>
      <w:r w:rsidRPr="00F540FA">
        <w:rPr>
          <w:sz w:val="22"/>
          <w:szCs w:val="22"/>
        </w:rPr>
        <w:t>Analgetický účinok paracetamolu po jednorazovej terapeutickej dávke 0,5-1 g trvá 3-6 hodín, antipyretický 3 - 4 hodiny. Intenzita obidvoch účinkov zodpovedá kyseline acetylsalicylovej v rovnakých dávkach.</w:t>
      </w:r>
    </w:p>
    <w:p w14:paraId="2D2CC1F7" w14:textId="77777777" w:rsidR="00B4435C" w:rsidRPr="000A6CC6" w:rsidRDefault="00B4435C" w:rsidP="00871948">
      <w:pPr>
        <w:widowControl w:val="0"/>
        <w:jc w:val="both"/>
        <w:rPr>
          <w:bCs/>
          <w:sz w:val="22"/>
          <w:szCs w:val="22"/>
        </w:rPr>
      </w:pPr>
    </w:p>
    <w:p w14:paraId="2919F8B3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5.2</w:t>
      </w:r>
      <w:r>
        <w:rPr>
          <w:b/>
          <w:sz w:val="22"/>
          <w:szCs w:val="22"/>
        </w:rPr>
        <w:tab/>
        <w:t>Farmakokinetické vlastnosti</w:t>
      </w:r>
    </w:p>
    <w:p w14:paraId="6466A7F1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5145BC3D" w14:textId="77777777" w:rsidR="006F2089" w:rsidRPr="000A6CC6" w:rsidRDefault="00F540FA" w:rsidP="006F2089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14:paraId="7B535B61" w14:textId="77777777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Paracetamol sa rýchlo a takmer úplne vstrebáva z gastrointestinálneho traktu. </w:t>
      </w:r>
    </w:p>
    <w:p w14:paraId="47E595AB" w14:textId="77777777" w:rsidR="006F2089" w:rsidRPr="000A6CC6" w:rsidRDefault="006F2089" w:rsidP="006F2089">
      <w:pPr>
        <w:widowControl w:val="0"/>
        <w:jc w:val="both"/>
        <w:rPr>
          <w:sz w:val="22"/>
          <w:szCs w:val="22"/>
          <w:u w:val="single"/>
        </w:rPr>
      </w:pPr>
    </w:p>
    <w:p w14:paraId="4DAB9DA8" w14:textId="77777777" w:rsidR="006F2089" w:rsidRPr="000A6CC6" w:rsidRDefault="00F540FA" w:rsidP="006F2089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14:paraId="4BCC1C62" w14:textId="1C751676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Rýchlo sa distribuuje do všetkých tkanív a telesných tekutín. Maximálna plazmatická hladina sa dosiahne 30 </w:t>
      </w:r>
      <w:r w:rsidR="002614F4" w:rsidRPr="00A2255B">
        <w:rPr>
          <w:sz w:val="22"/>
          <w:szCs w:val="22"/>
        </w:rPr>
        <w:t>–</w:t>
      </w:r>
      <w:r>
        <w:rPr>
          <w:sz w:val="22"/>
          <w:szCs w:val="22"/>
        </w:rPr>
        <w:t xml:space="preserve"> 60 minút po p.o. podaní. Prechádza cez hematoencefalickú bariéru, do slín a do materského mlieka. </w:t>
      </w:r>
    </w:p>
    <w:p w14:paraId="7069BA15" w14:textId="77777777" w:rsidR="006F2089" w:rsidRPr="000A6CC6" w:rsidRDefault="006F2089" w:rsidP="006F2089">
      <w:pPr>
        <w:widowControl w:val="0"/>
        <w:jc w:val="both"/>
        <w:rPr>
          <w:sz w:val="22"/>
          <w:szCs w:val="22"/>
          <w:u w:val="single"/>
        </w:rPr>
      </w:pPr>
    </w:p>
    <w:p w14:paraId="2314B9B5" w14:textId="77777777" w:rsidR="006F2089" w:rsidRPr="000A6CC6" w:rsidRDefault="00F540FA" w:rsidP="006F2089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Biotransformácia a eliminácia</w:t>
      </w:r>
    </w:p>
    <w:p w14:paraId="6D2514D1" w14:textId="62F71370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Intenzívne sa biotransformuje, popri konjugačných reakciách dochádza k oxidatívnym pochodom, pričom vznikajú toxické metabolity. Pri podaní terapeutických dávok dochádza k rýchlej biotransformácii týchto hepatotoxických intermediálnych </w:t>
      </w:r>
      <w:r w:rsidR="009401E9">
        <w:rPr>
          <w:sz w:val="22"/>
          <w:szCs w:val="22"/>
        </w:rPr>
        <w:t>metabolit</w:t>
      </w:r>
      <w:r>
        <w:rPr>
          <w:sz w:val="22"/>
          <w:szCs w:val="22"/>
        </w:rPr>
        <w:t xml:space="preserve">ov </w:t>
      </w:r>
      <w:r w:rsidR="002614F4">
        <w:rPr>
          <w:sz w:val="22"/>
          <w:szCs w:val="22"/>
        </w:rPr>
        <w:t>pri</w:t>
      </w:r>
      <w:r>
        <w:rPr>
          <w:sz w:val="22"/>
          <w:szCs w:val="22"/>
        </w:rPr>
        <w:t xml:space="preserve"> spolupôsoben</w:t>
      </w:r>
      <w:r w:rsidR="002614F4">
        <w:rPr>
          <w:sz w:val="22"/>
          <w:szCs w:val="22"/>
        </w:rPr>
        <w:t>í</w:t>
      </w:r>
      <w:r>
        <w:rPr>
          <w:sz w:val="22"/>
          <w:szCs w:val="22"/>
        </w:rPr>
        <w:t xml:space="preserve"> glutatiónu a vzniku merkapturových kyselín, ktoré sa vylučujú močom prevažne vo forme konjugátov, menej ako  5% paracetamolu sa vylúči v nezmenenej forme. Biologický polčas sa pohybuje medzi 1 </w:t>
      </w:r>
      <w:r w:rsidR="002614F4" w:rsidRPr="00A2255B">
        <w:rPr>
          <w:sz w:val="22"/>
          <w:szCs w:val="22"/>
        </w:rPr>
        <w:t>–</w:t>
      </w:r>
      <w:r>
        <w:rPr>
          <w:sz w:val="22"/>
          <w:szCs w:val="22"/>
        </w:rPr>
        <w:t xml:space="preserve">- 3 hodinami, pri </w:t>
      </w:r>
      <w:r w:rsidR="009401E9">
        <w:rPr>
          <w:sz w:val="22"/>
          <w:szCs w:val="22"/>
        </w:rPr>
        <w:t>závažn</w:t>
      </w:r>
      <w:r>
        <w:rPr>
          <w:sz w:val="22"/>
          <w:szCs w:val="22"/>
        </w:rPr>
        <w:t xml:space="preserve">ej </w:t>
      </w:r>
      <w:r w:rsidR="00025446">
        <w:rPr>
          <w:sz w:val="22"/>
          <w:szCs w:val="22"/>
        </w:rPr>
        <w:t>hepatáln</w:t>
      </w:r>
      <w:r>
        <w:rPr>
          <w:sz w:val="22"/>
          <w:szCs w:val="22"/>
        </w:rPr>
        <w:t xml:space="preserve">ej insuficiencii sa predlžuje až na 5 hodín. Pri </w:t>
      </w:r>
      <w:r w:rsidR="009401E9">
        <w:rPr>
          <w:sz w:val="22"/>
          <w:szCs w:val="22"/>
        </w:rPr>
        <w:t xml:space="preserve">renálnej </w:t>
      </w:r>
      <w:r>
        <w:rPr>
          <w:sz w:val="22"/>
          <w:szCs w:val="22"/>
        </w:rPr>
        <w:t>insuficiencii nedochádza k predĺženiu biologického polčasu, ale pretože sa vylučuje najmä obličkami, je nutné dávku paracetamolu redukovať.</w:t>
      </w:r>
    </w:p>
    <w:p w14:paraId="429C7B61" w14:textId="77777777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Paracetamol prestupuje cez placentárnu bariéru a vylučuje sa do materského mlieka.</w:t>
      </w:r>
    </w:p>
    <w:p w14:paraId="08360FFC" w14:textId="77777777" w:rsidR="009226E5" w:rsidRPr="000A6CC6" w:rsidRDefault="009226E5" w:rsidP="00871948">
      <w:pPr>
        <w:widowControl w:val="0"/>
        <w:jc w:val="both"/>
        <w:rPr>
          <w:sz w:val="22"/>
          <w:szCs w:val="22"/>
        </w:rPr>
      </w:pPr>
    </w:p>
    <w:p w14:paraId="1D0FDE90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5.3</w:t>
      </w:r>
      <w:r>
        <w:rPr>
          <w:b/>
          <w:sz w:val="22"/>
          <w:szCs w:val="22"/>
        </w:rPr>
        <w:tab/>
        <w:t>Predklinické údaje o bezpečnosti</w:t>
      </w:r>
    </w:p>
    <w:p w14:paraId="04D9EDA4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377E7050" w14:textId="77777777" w:rsidR="005223F5" w:rsidRPr="000A6CC6" w:rsidRDefault="00F540FA" w:rsidP="003A0A33">
      <w:pPr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Akútna toxicita</w:t>
      </w:r>
      <w:r>
        <w:rPr>
          <w:sz w:val="22"/>
          <w:szCs w:val="22"/>
        </w:rPr>
        <w:t xml:space="preserve"> </w:t>
      </w:r>
    </w:p>
    <w:p w14:paraId="08A78EB3" w14:textId="77777777" w:rsidR="005223F5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LD</w:t>
      </w:r>
      <w:r>
        <w:rPr>
          <w:sz w:val="22"/>
          <w:szCs w:val="22"/>
          <w:vertAlign w:val="subscript"/>
        </w:rPr>
        <w:t>50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per os</w:t>
      </w:r>
      <w:r>
        <w:rPr>
          <w:sz w:val="22"/>
          <w:szCs w:val="22"/>
        </w:rPr>
        <w:t xml:space="preserve"> je u potkana 3,7 g/kg, u myši 338 mg/kg. </w:t>
      </w:r>
    </w:p>
    <w:p w14:paraId="1F1A1024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45EA07E0" w14:textId="77777777" w:rsidR="005223F5" w:rsidRPr="000A6CC6" w:rsidRDefault="00F540FA" w:rsidP="003A0A33">
      <w:pPr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Chronická toxicita</w:t>
      </w:r>
    </w:p>
    <w:p w14:paraId="3E3CEB33" w14:textId="4A5B8A23" w:rsidR="001E309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štúdiách subchronickej a chronickej toxicity paracetamolu </w:t>
      </w:r>
      <w:r w:rsidR="0004646A">
        <w:rPr>
          <w:sz w:val="22"/>
          <w:szCs w:val="22"/>
        </w:rPr>
        <w:t>na </w:t>
      </w:r>
      <w:r>
        <w:rPr>
          <w:sz w:val="22"/>
          <w:szCs w:val="22"/>
        </w:rPr>
        <w:t>laboratórnych potkano</w:t>
      </w:r>
      <w:r w:rsidR="0004646A">
        <w:rPr>
          <w:sz w:val="22"/>
          <w:szCs w:val="22"/>
        </w:rPr>
        <w:t>ch</w:t>
      </w:r>
      <w:r>
        <w:rPr>
          <w:sz w:val="22"/>
          <w:szCs w:val="22"/>
        </w:rPr>
        <w:t xml:space="preserve"> a myš</w:t>
      </w:r>
      <w:r w:rsidR="0004646A">
        <w:rPr>
          <w:sz w:val="22"/>
          <w:szCs w:val="22"/>
        </w:rPr>
        <w:t>iach</w:t>
      </w:r>
      <w:r>
        <w:rPr>
          <w:sz w:val="22"/>
          <w:szCs w:val="22"/>
        </w:rPr>
        <w:t>, bolo pozorované poškodenie gastrointestinálneho traktu, zmeny hodnôt krvného obrazu alebo degenerácia parenchýmu pečene a obličiek, vedúca až k nekróze. Tieto zmeny sú dávané do súvislosti ako s mechanizmom účinku, tak s metabolizmom paracetamolu. Metabolity paracetamolu, ktorým sa toxické účinky prisudzujú, a súvisiace zmeny orgánov boli preukázané tiež u človeka. Preto sa paracetamol nemá užívať dlhodobo a vo vyšších dávkach.</w:t>
      </w:r>
    </w:p>
    <w:p w14:paraId="4217E0AA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2912AB22" w14:textId="77777777" w:rsidR="005223F5" w:rsidRPr="000A6CC6" w:rsidRDefault="00F540FA" w:rsidP="003A0A33">
      <w:pPr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Mutagénny a karcinogénny potenciál</w:t>
      </w:r>
    </w:p>
    <w:p w14:paraId="4C3BF4DE" w14:textId="34CF384F" w:rsidR="001E309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Výsledky štúdií </w:t>
      </w:r>
      <w:r w:rsidR="0004646A">
        <w:rPr>
          <w:sz w:val="22"/>
          <w:szCs w:val="22"/>
        </w:rPr>
        <w:t xml:space="preserve">genotoxicity </w:t>
      </w:r>
      <w:r>
        <w:rPr>
          <w:sz w:val="22"/>
          <w:szCs w:val="22"/>
        </w:rPr>
        <w:t>s paracetamolom sú nejednoznačné. Účinok paracetamolu je značne závislý od použitej koncentrácie a tiež od doby pôsobenia. Kancerogénne pôsobenie paracetamolu bolo pozorované len po podaní vysokých, hepatotoxických dávok. V normálnych terapeutických dávkach nie je užívanie paracetamolu spojené s rizikom genotoxicity a kancerogenity.</w:t>
      </w:r>
    </w:p>
    <w:p w14:paraId="332DC75C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7E45DEAC" w14:textId="77777777" w:rsidR="005223F5" w:rsidRPr="000A6CC6" w:rsidRDefault="00F540FA" w:rsidP="003A0A33">
      <w:pPr>
        <w:widowControl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Reprodukčná toxicita</w:t>
      </w:r>
    </w:p>
    <w:p w14:paraId="597C6CE9" w14:textId="77777777" w:rsidR="0052289F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Štúdie na laboratórnych zvieratách neposkytli dôkaz o embryotoxicite alebo fetotoxicite paracetamolu.</w:t>
      </w:r>
    </w:p>
    <w:p w14:paraId="156B0D60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46ECD079" w14:textId="77777777" w:rsidR="009226E5" w:rsidRPr="000A6CC6" w:rsidRDefault="009226E5" w:rsidP="00871948">
      <w:pPr>
        <w:widowControl w:val="0"/>
        <w:jc w:val="both"/>
        <w:rPr>
          <w:b/>
          <w:sz w:val="22"/>
          <w:szCs w:val="22"/>
        </w:rPr>
      </w:pPr>
    </w:p>
    <w:p w14:paraId="06069F6E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lastRenderedPageBreak/>
        <w:t>6.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FARMACEUTICKÉ INFORMÁCIE</w:t>
      </w:r>
    </w:p>
    <w:p w14:paraId="471F00E6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0B724B67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</w:t>
      </w:r>
      <w:r>
        <w:rPr>
          <w:b/>
          <w:sz w:val="22"/>
          <w:szCs w:val="22"/>
        </w:rPr>
        <w:tab/>
        <w:t xml:space="preserve">Zoznam pomocných látok </w:t>
      </w:r>
    </w:p>
    <w:p w14:paraId="3AC36BB6" w14:textId="77777777" w:rsidR="00CA3F09" w:rsidRPr="000A6CC6" w:rsidRDefault="00CA3F09" w:rsidP="00871948">
      <w:pPr>
        <w:rPr>
          <w:sz w:val="22"/>
          <w:szCs w:val="22"/>
        </w:rPr>
      </w:pPr>
    </w:p>
    <w:p w14:paraId="7607EEEB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povidón 25, </w:t>
      </w:r>
    </w:p>
    <w:p w14:paraId="2965AA5A" w14:textId="77777777" w:rsidR="003F49D4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maltodextrín,</w:t>
      </w:r>
    </w:p>
    <w:p w14:paraId="3C4517A3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citronan sodný  </w:t>
      </w:r>
    </w:p>
    <w:p w14:paraId="41A892FE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kyselina citrónová, </w:t>
      </w:r>
    </w:p>
    <w:p w14:paraId="7B1BFEC0" w14:textId="77777777" w:rsidR="003F49D4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kyselina vínna, </w:t>
      </w:r>
    </w:p>
    <w:p w14:paraId="7C08FBD7" w14:textId="77777777" w:rsidR="00F55AD3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citrónový prášok K240, </w:t>
      </w:r>
    </w:p>
    <w:p w14:paraId="7FB25D1D" w14:textId="77777777" w:rsidR="00F55AD3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acesulfám draselný </w:t>
      </w:r>
    </w:p>
    <w:p w14:paraId="78AB2508" w14:textId="77777777" w:rsidR="00F55AD3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citrónová aróma 610399E,  </w:t>
      </w:r>
    </w:p>
    <w:p w14:paraId="58B89BB7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kyselina askorbová, </w:t>
      </w:r>
    </w:p>
    <w:p w14:paraId="3D3AA667" w14:textId="77777777" w:rsidR="00583DAB" w:rsidRPr="000A6CC6" w:rsidRDefault="00F540FA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farbivo kurkumín 0,65% E-100 (bez laktózy).</w:t>
      </w:r>
    </w:p>
    <w:p w14:paraId="0E0E9EFA" w14:textId="77777777" w:rsidR="003223C8" w:rsidRPr="000A6CC6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61F5A353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  <w:t>Inkompatibility</w:t>
      </w:r>
    </w:p>
    <w:p w14:paraId="2787A46F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19BC04C7" w14:textId="77777777" w:rsidR="008A321C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5D100096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49F36078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ab/>
        <w:t>Čas použiteľnosti</w:t>
      </w:r>
    </w:p>
    <w:p w14:paraId="18C8BD9A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681E86E6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 roky</w:t>
      </w:r>
    </w:p>
    <w:p w14:paraId="762A0A1B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45D2A4DF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6.4</w:t>
      </w:r>
      <w:r>
        <w:rPr>
          <w:b/>
          <w:noProof/>
          <w:sz w:val="22"/>
          <w:szCs w:val="22"/>
        </w:rPr>
        <w:tab/>
        <w:t>Špeciálne upozornenia na uchovávanie</w:t>
      </w:r>
    </w:p>
    <w:p w14:paraId="3D0BCA9D" w14:textId="77777777" w:rsidR="00CA3F09" w:rsidRPr="000A6CC6" w:rsidRDefault="00CA3F09" w:rsidP="00871948">
      <w:pPr>
        <w:rPr>
          <w:noProof/>
          <w:sz w:val="22"/>
          <w:szCs w:val="22"/>
        </w:rPr>
      </w:pPr>
    </w:p>
    <w:p w14:paraId="2E3B6F92" w14:textId="77777777" w:rsidR="00B83F1A" w:rsidRPr="00163147" w:rsidRDefault="005223F5" w:rsidP="00871948">
      <w:pPr>
        <w:widowControl w:val="0"/>
        <w:jc w:val="both"/>
        <w:rPr>
          <w:sz w:val="22"/>
          <w:szCs w:val="22"/>
        </w:rPr>
      </w:pPr>
      <w:r w:rsidRPr="000A6CC6">
        <w:rPr>
          <w:sz w:val="22"/>
          <w:szCs w:val="22"/>
        </w:rPr>
        <w:t>Uchovávajte</w:t>
      </w:r>
      <w:r w:rsidR="00F540FA">
        <w:rPr>
          <w:sz w:val="22"/>
          <w:szCs w:val="22"/>
        </w:rPr>
        <w:t xml:space="preserve"> v pôvodnom obale na ochranu pred vlhkosťou</w:t>
      </w:r>
      <w:r w:rsidR="00F540FA" w:rsidRPr="00D621AF">
        <w:rPr>
          <w:sz w:val="22"/>
          <w:szCs w:val="22"/>
        </w:rPr>
        <w:t xml:space="preserve">. </w:t>
      </w:r>
    </w:p>
    <w:p w14:paraId="0868CD71" w14:textId="39341153" w:rsidR="00CA5CAE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žiadne zvláštne teplotné podmienky na uchovávanie.</w:t>
      </w:r>
    </w:p>
    <w:p w14:paraId="379E2AD0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49DD4155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6.5</w:t>
      </w:r>
      <w:r>
        <w:rPr>
          <w:b/>
          <w:noProof/>
          <w:sz w:val="22"/>
          <w:szCs w:val="22"/>
        </w:rPr>
        <w:tab/>
        <w:t>Druh obalu a obsah balenia</w:t>
      </w:r>
      <w:r>
        <w:rPr>
          <w:b/>
          <w:noProof/>
          <w:color w:val="0000FF"/>
          <w:sz w:val="22"/>
          <w:szCs w:val="22"/>
        </w:rPr>
        <w:t xml:space="preserve"> </w:t>
      </w:r>
    </w:p>
    <w:p w14:paraId="48203691" w14:textId="77777777" w:rsidR="00CA3F09" w:rsidRPr="000A6CC6" w:rsidRDefault="00CA3F09" w:rsidP="00871948">
      <w:pPr>
        <w:tabs>
          <w:tab w:val="left" w:pos="851"/>
        </w:tabs>
        <w:rPr>
          <w:sz w:val="22"/>
          <w:szCs w:val="22"/>
        </w:rPr>
      </w:pPr>
    </w:p>
    <w:p w14:paraId="16DA269B" w14:textId="77777777" w:rsidR="00F55AD3" w:rsidRPr="000A6CC6" w:rsidRDefault="00F540FA" w:rsidP="00871948">
      <w:pPr>
        <w:widowControl w:val="0"/>
        <w:jc w:val="both"/>
        <w:rPr>
          <w:rStyle w:val="hp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Laminované </w:t>
      </w:r>
      <w:r>
        <w:rPr>
          <w:rStyle w:val="hpsatn"/>
          <w:color w:val="000000"/>
          <w:sz w:val="22"/>
          <w:szCs w:val="22"/>
        </w:rPr>
        <w:t xml:space="preserve">vrecko v </w:t>
      </w:r>
      <w:r>
        <w:rPr>
          <w:rStyle w:val="hps"/>
          <w:color w:val="000000"/>
          <w:sz w:val="22"/>
          <w:szCs w:val="22"/>
        </w:rPr>
        <w:t>skladacej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 xml:space="preserve">papierovej škatuľke vrátane písomnej informácie pre používateľa. </w:t>
      </w:r>
    </w:p>
    <w:p w14:paraId="4A07B830" w14:textId="77777777" w:rsidR="00583DAB" w:rsidRPr="000A6CC6" w:rsidRDefault="00F540FA" w:rsidP="00871948">
      <w:pPr>
        <w:widowControl w:val="0"/>
        <w:jc w:val="both"/>
        <w:rPr>
          <w:color w:val="000000"/>
          <w:sz w:val="22"/>
          <w:szCs w:val="22"/>
        </w:rPr>
      </w:pPr>
      <w:r>
        <w:rPr>
          <w:rStyle w:val="hps"/>
          <w:color w:val="000000"/>
          <w:sz w:val="22"/>
          <w:szCs w:val="22"/>
        </w:rPr>
        <w:t xml:space="preserve">Alumíniová fólia: striebristá potlačená viacvrstvová </w:t>
      </w:r>
      <w:r>
        <w:rPr>
          <w:color w:val="000000"/>
          <w:sz w:val="22"/>
          <w:szCs w:val="22"/>
        </w:rPr>
        <w:t>PAP/ALU/LDPE fólia.</w:t>
      </w:r>
    </w:p>
    <w:p w14:paraId="2531E5E7" w14:textId="77777777" w:rsidR="00583DAB" w:rsidRPr="000A6CC6" w:rsidRDefault="00583DAB" w:rsidP="00871948">
      <w:pPr>
        <w:widowControl w:val="0"/>
        <w:jc w:val="both"/>
        <w:rPr>
          <w:color w:val="000000"/>
          <w:sz w:val="22"/>
          <w:szCs w:val="22"/>
        </w:rPr>
      </w:pPr>
    </w:p>
    <w:p w14:paraId="064D87F1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balenia: 6, 12 alebo 16 vreciek. </w:t>
      </w:r>
    </w:p>
    <w:p w14:paraId="6764E4CB" w14:textId="77777777" w:rsidR="005223F5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>
        <w:rPr>
          <w:noProof/>
          <w:sz w:val="22"/>
          <w:szCs w:val="22"/>
        </w:rPr>
        <w:t xml:space="preserve"> v</w:t>
      </w:r>
      <w:r>
        <w:rPr>
          <w:sz w:val="22"/>
          <w:szCs w:val="22"/>
        </w:rPr>
        <w:t>šetky veľkosti balenia.</w:t>
      </w:r>
    </w:p>
    <w:p w14:paraId="24AA1B16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2CDDDE94" w14:textId="77777777" w:rsidR="00CA3F09" w:rsidRPr="000A6CC6" w:rsidRDefault="00F540FA" w:rsidP="00871948">
      <w:pPr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6.6</w:t>
      </w:r>
      <w:r>
        <w:rPr>
          <w:b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>Špeciálne opatrenia na likvidáciu a iné zaobchádzanie s liekom</w:t>
      </w:r>
    </w:p>
    <w:p w14:paraId="56B0A776" w14:textId="77777777" w:rsidR="00CA3F09" w:rsidRPr="000A6CC6" w:rsidRDefault="00CA3F09" w:rsidP="00871948">
      <w:pPr>
        <w:widowControl w:val="0"/>
        <w:jc w:val="both"/>
        <w:rPr>
          <w:b/>
          <w:sz w:val="22"/>
          <w:szCs w:val="22"/>
        </w:rPr>
      </w:pPr>
    </w:p>
    <w:p w14:paraId="52152F96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Žiadne zvláštne požiadavky.</w:t>
      </w:r>
    </w:p>
    <w:p w14:paraId="11CF5F8B" w14:textId="77777777" w:rsidR="00864CDD" w:rsidRPr="000A6CC6" w:rsidRDefault="00864CDD" w:rsidP="00871948">
      <w:pPr>
        <w:widowControl w:val="0"/>
        <w:jc w:val="both"/>
        <w:rPr>
          <w:sz w:val="22"/>
          <w:szCs w:val="22"/>
        </w:rPr>
      </w:pPr>
    </w:p>
    <w:p w14:paraId="5B910700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65C66AFB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7.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DRŽITEĽ ROZHODNUTIA O REGISTRÁCII</w:t>
      </w:r>
    </w:p>
    <w:p w14:paraId="0803132D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79035FB7" w14:textId="77777777" w:rsidR="001D0303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sanofi-aventis Slovakia s.r.o.</w:t>
      </w:r>
    </w:p>
    <w:p w14:paraId="117BDC6E" w14:textId="77777777" w:rsidR="001D0303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Einsteinova 24</w:t>
      </w:r>
    </w:p>
    <w:p w14:paraId="57C41FA2" w14:textId="77777777" w:rsidR="001D0303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851 01 Bratislava</w:t>
      </w:r>
    </w:p>
    <w:p w14:paraId="19FE621F" w14:textId="77777777" w:rsidR="002D6581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4F06F1B0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5872D024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47A7E1CD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8.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REGISTRAČNÉ ČÍSLO </w:t>
      </w:r>
    </w:p>
    <w:p w14:paraId="0E8E3E75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01FEBED6" w14:textId="77777777" w:rsidR="002C2EDD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07/0537/16-S</w:t>
      </w:r>
    </w:p>
    <w:p w14:paraId="24EBD14A" w14:textId="77777777" w:rsidR="00D5494A" w:rsidRPr="000A6CC6" w:rsidRDefault="00D5494A" w:rsidP="00871948">
      <w:pPr>
        <w:widowControl w:val="0"/>
        <w:jc w:val="both"/>
        <w:rPr>
          <w:b/>
          <w:sz w:val="22"/>
          <w:szCs w:val="22"/>
        </w:rPr>
      </w:pPr>
    </w:p>
    <w:p w14:paraId="05C8CA8C" w14:textId="77777777" w:rsidR="00D5494A" w:rsidRPr="000A6CC6" w:rsidRDefault="00D5494A" w:rsidP="00871948">
      <w:pPr>
        <w:widowControl w:val="0"/>
        <w:jc w:val="both"/>
        <w:rPr>
          <w:b/>
          <w:sz w:val="22"/>
          <w:szCs w:val="22"/>
        </w:rPr>
      </w:pPr>
    </w:p>
    <w:p w14:paraId="030F0BFE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lastRenderedPageBreak/>
        <w:t>9.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DÁTUM  PRVEJ REGISTRÁCIE/DÁTUM PREDĹŽENIA REGISTRÁCIE </w:t>
      </w:r>
    </w:p>
    <w:p w14:paraId="734BCC6A" w14:textId="77777777" w:rsidR="00347F8E" w:rsidRPr="000A6CC6" w:rsidRDefault="00347F8E" w:rsidP="00347F8E">
      <w:pPr>
        <w:widowControl w:val="0"/>
        <w:jc w:val="both"/>
        <w:rPr>
          <w:sz w:val="22"/>
          <w:szCs w:val="22"/>
        </w:rPr>
      </w:pPr>
    </w:p>
    <w:p w14:paraId="3DEDE0BE" w14:textId="77777777" w:rsidR="00347F8E" w:rsidRPr="000A6CC6" w:rsidRDefault="00F540FA" w:rsidP="00347F8E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19. decembra 2016</w:t>
      </w:r>
    </w:p>
    <w:p w14:paraId="69D3A885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77F4EBCD" w14:textId="77777777" w:rsidR="0073612C" w:rsidRPr="000A6CC6" w:rsidRDefault="0073612C" w:rsidP="00871948">
      <w:pPr>
        <w:widowControl w:val="0"/>
        <w:jc w:val="both"/>
        <w:rPr>
          <w:b/>
          <w:sz w:val="22"/>
          <w:szCs w:val="22"/>
        </w:rPr>
      </w:pPr>
    </w:p>
    <w:p w14:paraId="0A07107C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10.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DÁTUM REVÍZIE TEXTU</w:t>
      </w:r>
    </w:p>
    <w:p w14:paraId="4C102602" w14:textId="77777777" w:rsidR="00792D9F" w:rsidRPr="000A6CC6" w:rsidRDefault="00792D9F" w:rsidP="00871948">
      <w:pPr>
        <w:rPr>
          <w:sz w:val="22"/>
          <w:szCs w:val="22"/>
        </w:rPr>
      </w:pPr>
    </w:p>
    <w:p w14:paraId="228F0713" w14:textId="0CAFEF24" w:rsidR="004951CB" w:rsidRPr="000A6CC6" w:rsidRDefault="002133CF" w:rsidP="00871948">
      <w:pPr>
        <w:rPr>
          <w:sz w:val="22"/>
          <w:szCs w:val="22"/>
        </w:rPr>
      </w:pPr>
      <w:bookmarkStart w:id="0" w:name="_GoBack"/>
      <w:bookmarkEnd w:id="0"/>
      <w:r w:rsidRPr="00327EC6">
        <w:rPr>
          <w:sz w:val="22"/>
          <w:szCs w:val="22"/>
        </w:rPr>
        <w:t>06/2019</w:t>
      </w:r>
    </w:p>
    <w:sectPr w:rsidR="004951CB" w:rsidRPr="000A6CC6" w:rsidSect="00327E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1C97C2" w15:done="0"/>
  <w15:commentEx w15:paraId="32F6B974" w15:done="0"/>
  <w15:commentEx w15:paraId="3E357806" w15:done="0"/>
  <w15:commentEx w15:paraId="7FB507CE" w15:done="0"/>
  <w15:commentEx w15:paraId="60210F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C8F48" w14:textId="77777777" w:rsidR="00C650B6" w:rsidRDefault="00C650B6">
      <w:r>
        <w:separator/>
      </w:r>
    </w:p>
  </w:endnote>
  <w:endnote w:type="continuationSeparator" w:id="0">
    <w:p w14:paraId="4359FB47" w14:textId="77777777" w:rsidR="00C650B6" w:rsidRDefault="00C6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A5291" w14:textId="77777777" w:rsidR="007534DD" w:rsidRDefault="00B8125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534D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34DD">
      <w:rPr>
        <w:rStyle w:val="slostrany"/>
        <w:noProof/>
      </w:rPr>
      <w:t>5</w:t>
    </w:r>
    <w:r>
      <w:rPr>
        <w:rStyle w:val="slostrany"/>
      </w:rPr>
      <w:fldChar w:fldCharType="end"/>
    </w:r>
  </w:p>
  <w:p w14:paraId="44DE3F58" w14:textId="77777777" w:rsidR="007534DD" w:rsidRDefault="007534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23FF" w14:textId="77777777" w:rsidR="007534DD" w:rsidRPr="000A6CC6" w:rsidRDefault="00B8125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540FA">
      <w:rPr>
        <w:rStyle w:val="slostrany"/>
        <w:sz w:val="18"/>
        <w:szCs w:val="18"/>
      </w:rPr>
      <w:fldChar w:fldCharType="begin"/>
    </w:r>
    <w:r w:rsidR="00F540FA" w:rsidRPr="00F540FA">
      <w:rPr>
        <w:rStyle w:val="slostrany"/>
        <w:sz w:val="18"/>
        <w:szCs w:val="18"/>
      </w:rPr>
      <w:instrText xml:space="preserve">PAGE  </w:instrText>
    </w:r>
    <w:r w:rsidRPr="00F540FA">
      <w:rPr>
        <w:rStyle w:val="slostrany"/>
        <w:sz w:val="18"/>
        <w:szCs w:val="18"/>
      </w:rPr>
      <w:fldChar w:fldCharType="separate"/>
    </w:r>
    <w:r w:rsidR="00327EC6">
      <w:rPr>
        <w:rStyle w:val="slostrany"/>
        <w:noProof/>
        <w:sz w:val="18"/>
        <w:szCs w:val="18"/>
      </w:rPr>
      <w:t>8</w:t>
    </w:r>
    <w:r w:rsidRPr="00F540FA">
      <w:rPr>
        <w:rStyle w:val="slostrany"/>
        <w:sz w:val="18"/>
        <w:szCs w:val="18"/>
      </w:rPr>
      <w:fldChar w:fldCharType="end"/>
    </w:r>
  </w:p>
  <w:p w14:paraId="2325DFD4" w14:textId="77777777" w:rsidR="007534DD" w:rsidRDefault="007534DD">
    <w:pPr>
      <w:pStyle w:val="Pt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17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E935C3" w14:textId="55CA179E" w:rsidR="000A6CC6" w:rsidRDefault="00B81255" w:rsidP="00327EC6">
        <w:pPr>
          <w:pStyle w:val="Pta"/>
          <w:jc w:val="center"/>
        </w:pPr>
        <w:r w:rsidRPr="00F540FA">
          <w:rPr>
            <w:sz w:val="18"/>
            <w:szCs w:val="18"/>
          </w:rPr>
          <w:fldChar w:fldCharType="begin"/>
        </w:r>
        <w:r w:rsidR="00F540FA" w:rsidRPr="00F540FA">
          <w:rPr>
            <w:sz w:val="18"/>
            <w:szCs w:val="18"/>
          </w:rPr>
          <w:instrText xml:space="preserve"> PAGE   \* MERGEFORMAT </w:instrText>
        </w:r>
        <w:r w:rsidRPr="00F540FA">
          <w:rPr>
            <w:sz w:val="18"/>
            <w:szCs w:val="18"/>
          </w:rPr>
          <w:fldChar w:fldCharType="separate"/>
        </w:r>
        <w:r w:rsidR="00163147">
          <w:rPr>
            <w:noProof/>
            <w:sz w:val="18"/>
            <w:szCs w:val="18"/>
          </w:rPr>
          <w:t>1</w:t>
        </w:r>
        <w:r w:rsidRPr="00F540F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372AB" w14:textId="77777777" w:rsidR="00C650B6" w:rsidRDefault="00C650B6">
      <w:r>
        <w:separator/>
      </w:r>
    </w:p>
  </w:footnote>
  <w:footnote w:type="continuationSeparator" w:id="0">
    <w:p w14:paraId="7E599D4C" w14:textId="77777777" w:rsidR="00C650B6" w:rsidRDefault="00C6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F915E" w14:textId="5B45D176" w:rsidR="002D6581" w:rsidRDefault="00163147">
    <w:pPr>
      <w:pStyle w:val="Hlavika"/>
    </w:pPr>
    <w:r w:rsidRPr="008F7AE8">
      <w:rPr>
        <w:sz w:val="18"/>
        <w:szCs w:val="18"/>
      </w:rPr>
      <w:t>Schválený text k rozhodnutiu o </w:t>
    </w:r>
    <w:r>
      <w:rPr>
        <w:sz w:val="18"/>
        <w:szCs w:val="18"/>
      </w:rPr>
      <w:t>zmene</w:t>
    </w:r>
    <w:r w:rsidRPr="008F7AE8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Pr="001944CB">
      <w:rPr>
        <w:sz w:val="18"/>
        <w:szCs w:val="18"/>
      </w:rPr>
      <w:t>2019/01572-ZME</w:t>
    </w:r>
  </w:p>
  <w:p w14:paraId="47687487" w14:textId="77777777" w:rsidR="002D6581" w:rsidRDefault="002D65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14308" w14:textId="3FF9018F" w:rsidR="002D6581" w:rsidRDefault="002D6581" w:rsidP="00327EC6">
    <w:pPr>
      <w:widowControl w:val="0"/>
    </w:pPr>
    <w:r w:rsidRPr="008F7AE8">
      <w:rPr>
        <w:sz w:val="18"/>
        <w:szCs w:val="18"/>
      </w:rPr>
      <w:t>Schválený text k rozhodnutiu o </w:t>
    </w:r>
    <w:r w:rsidR="00163147">
      <w:rPr>
        <w:sz w:val="18"/>
        <w:szCs w:val="18"/>
      </w:rPr>
      <w:t>zmene</w:t>
    </w:r>
    <w:r w:rsidRPr="008F7AE8">
      <w:rPr>
        <w:sz w:val="18"/>
        <w:szCs w:val="18"/>
      </w:rPr>
      <w:t>, ev. č.:</w:t>
    </w:r>
    <w:r w:rsidR="000A6CC6">
      <w:rPr>
        <w:sz w:val="18"/>
        <w:szCs w:val="18"/>
      </w:rPr>
      <w:t xml:space="preserve"> </w:t>
    </w:r>
    <w:r w:rsidR="001944CB" w:rsidRPr="001944CB">
      <w:rPr>
        <w:sz w:val="18"/>
        <w:szCs w:val="18"/>
      </w:rPr>
      <w:t>2019/01572-ZME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0"/>
  </w:num>
  <w:num w:numId="5">
    <w:abstractNumId w:val="16"/>
  </w:num>
  <w:num w:numId="6">
    <w:abstractNumId w:val="6"/>
  </w:num>
  <w:num w:numId="7">
    <w:abstractNumId w:val="19"/>
  </w:num>
  <w:num w:numId="8">
    <w:abstractNumId w:val="13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7"/>
  </w:num>
  <w:num w:numId="14">
    <w:abstractNumId w:val="5"/>
  </w:num>
  <w:num w:numId="15">
    <w:abstractNumId w:val="1"/>
  </w:num>
  <w:num w:numId="16">
    <w:abstractNumId w:val="10"/>
  </w:num>
  <w:num w:numId="17">
    <w:abstractNumId w:val="18"/>
  </w:num>
  <w:num w:numId="18">
    <w:abstractNumId w:val="9"/>
  </w:num>
  <w:num w:numId="19">
    <w:abstractNumId w:val="14"/>
  </w:num>
  <w:num w:numId="20">
    <w:abstractNumId w:val="20"/>
  </w:num>
  <w:num w:numId="2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AB"/>
    <w:rsid w:val="00000957"/>
    <w:rsid w:val="00002E95"/>
    <w:rsid w:val="00006150"/>
    <w:rsid w:val="00006CF2"/>
    <w:rsid w:val="0001345E"/>
    <w:rsid w:val="0001570D"/>
    <w:rsid w:val="00020887"/>
    <w:rsid w:val="00020EE3"/>
    <w:rsid w:val="00024424"/>
    <w:rsid w:val="00025446"/>
    <w:rsid w:val="0002575D"/>
    <w:rsid w:val="00030FE5"/>
    <w:rsid w:val="000315C8"/>
    <w:rsid w:val="00032EF6"/>
    <w:rsid w:val="000423B6"/>
    <w:rsid w:val="00045CB3"/>
    <w:rsid w:val="0004646A"/>
    <w:rsid w:val="00051C54"/>
    <w:rsid w:val="000549E9"/>
    <w:rsid w:val="0006469C"/>
    <w:rsid w:val="00064D67"/>
    <w:rsid w:val="00070E0C"/>
    <w:rsid w:val="00074BD1"/>
    <w:rsid w:val="00077EF5"/>
    <w:rsid w:val="00081475"/>
    <w:rsid w:val="00081594"/>
    <w:rsid w:val="00092F09"/>
    <w:rsid w:val="00097B31"/>
    <w:rsid w:val="000A412E"/>
    <w:rsid w:val="000A4B77"/>
    <w:rsid w:val="000A520E"/>
    <w:rsid w:val="000A6CC6"/>
    <w:rsid w:val="000B4A5F"/>
    <w:rsid w:val="000B61DE"/>
    <w:rsid w:val="000B78D2"/>
    <w:rsid w:val="000C0B23"/>
    <w:rsid w:val="000C13D0"/>
    <w:rsid w:val="000C48DA"/>
    <w:rsid w:val="000C5D28"/>
    <w:rsid w:val="000C7CAC"/>
    <w:rsid w:val="000E0A8F"/>
    <w:rsid w:val="000E1DC5"/>
    <w:rsid w:val="000E28F4"/>
    <w:rsid w:val="000E4FBA"/>
    <w:rsid w:val="000F64E1"/>
    <w:rsid w:val="00102828"/>
    <w:rsid w:val="00103BA7"/>
    <w:rsid w:val="00105F2D"/>
    <w:rsid w:val="00106290"/>
    <w:rsid w:val="001066FC"/>
    <w:rsid w:val="00110609"/>
    <w:rsid w:val="00113C8F"/>
    <w:rsid w:val="00120AA6"/>
    <w:rsid w:val="00120BCC"/>
    <w:rsid w:val="00131EC9"/>
    <w:rsid w:val="00134014"/>
    <w:rsid w:val="0013491D"/>
    <w:rsid w:val="0013649D"/>
    <w:rsid w:val="0013798F"/>
    <w:rsid w:val="00140172"/>
    <w:rsid w:val="00141E56"/>
    <w:rsid w:val="0014221F"/>
    <w:rsid w:val="00144198"/>
    <w:rsid w:val="0014730D"/>
    <w:rsid w:val="00153BF0"/>
    <w:rsid w:val="00155168"/>
    <w:rsid w:val="001555CE"/>
    <w:rsid w:val="0015649D"/>
    <w:rsid w:val="00157A0D"/>
    <w:rsid w:val="00161679"/>
    <w:rsid w:val="00163147"/>
    <w:rsid w:val="001671ED"/>
    <w:rsid w:val="00170159"/>
    <w:rsid w:val="001713CD"/>
    <w:rsid w:val="00175B3F"/>
    <w:rsid w:val="00175CC7"/>
    <w:rsid w:val="00176D56"/>
    <w:rsid w:val="001926DE"/>
    <w:rsid w:val="001944CB"/>
    <w:rsid w:val="001945BF"/>
    <w:rsid w:val="00194CA4"/>
    <w:rsid w:val="001A04F7"/>
    <w:rsid w:val="001A0B61"/>
    <w:rsid w:val="001A1BC3"/>
    <w:rsid w:val="001A367D"/>
    <w:rsid w:val="001B6E00"/>
    <w:rsid w:val="001C2BF7"/>
    <w:rsid w:val="001C5EBE"/>
    <w:rsid w:val="001D0303"/>
    <w:rsid w:val="001D6115"/>
    <w:rsid w:val="001D6623"/>
    <w:rsid w:val="001E060E"/>
    <w:rsid w:val="001E15CC"/>
    <w:rsid w:val="001E3096"/>
    <w:rsid w:val="001E548D"/>
    <w:rsid w:val="001E5D32"/>
    <w:rsid w:val="001E6869"/>
    <w:rsid w:val="001F2BEB"/>
    <w:rsid w:val="001F2D05"/>
    <w:rsid w:val="001F67D5"/>
    <w:rsid w:val="002064C9"/>
    <w:rsid w:val="002133CF"/>
    <w:rsid w:val="00221ADA"/>
    <w:rsid w:val="00222959"/>
    <w:rsid w:val="00223B2F"/>
    <w:rsid w:val="002338E7"/>
    <w:rsid w:val="0024650F"/>
    <w:rsid w:val="00250C22"/>
    <w:rsid w:val="00251F1A"/>
    <w:rsid w:val="002614F4"/>
    <w:rsid w:val="002620D8"/>
    <w:rsid w:val="00263D4F"/>
    <w:rsid w:val="00264DB2"/>
    <w:rsid w:val="00265145"/>
    <w:rsid w:val="002661DF"/>
    <w:rsid w:val="00271291"/>
    <w:rsid w:val="00276A85"/>
    <w:rsid w:val="002800CB"/>
    <w:rsid w:val="00280F7C"/>
    <w:rsid w:val="0028108F"/>
    <w:rsid w:val="00282017"/>
    <w:rsid w:val="0028438C"/>
    <w:rsid w:val="00284877"/>
    <w:rsid w:val="002A5BE5"/>
    <w:rsid w:val="002A6531"/>
    <w:rsid w:val="002A6F2E"/>
    <w:rsid w:val="002B0454"/>
    <w:rsid w:val="002B064F"/>
    <w:rsid w:val="002B1024"/>
    <w:rsid w:val="002B1B0B"/>
    <w:rsid w:val="002B28D5"/>
    <w:rsid w:val="002B7373"/>
    <w:rsid w:val="002B77DE"/>
    <w:rsid w:val="002C233F"/>
    <w:rsid w:val="002C2EDD"/>
    <w:rsid w:val="002C42F4"/>
    <w:rsid w:val="002C58C0"/>
    <w:rsid w:val="002C7433"/>
    <w:rsid w:val="002D2664"/>
    <w:rsid w:val="002D54E9"/>
    <w:rsid w:val="002D6581"/>
    <w:rsid w:val="002D6FBF"/>
    <w:rsid w:val="002E0566"/>
    <w:rsid w:val="002E159C"/>
    <w:rsid w:val="002E307D"/>
    <w:rsid w:val="002E34B1"/>
    <w:rsid w:val="002E5671"/>
    <w:rsid w:val="002E6010"/>
    <w:rsid w:val="002F2A75"/>
    <w:rsid w:val="002F4380"/>
    <w:rsid w:val="002F6530"/>
    <w:rsid w:val="003006F2"/>
    <w:rsid w:val="00301A1B"/>
    <w:rsid w:val="003050F9"/>
    <w:rsid w:val="00315620"/>
    <w:rsid w:val="00321E9A"/>
    <w:rsid w:val="003223C8"/>
    <w:rsid w:val="00326992"/>
    <w:rsid w:val="003273C5"/>
    <w:rsid w:val="00327EC6"/>
    <w:rsid w:val="00333E34"/>
    <w:rsid w:val="00335A26"/>
    <w:rsid w:val="00335F1A"/>
    <w:rsid w:val="00340DCB"/>
    <w:rsid w:val="00341282"/>
    <w:rsid w:val="00343475"/>
    <w:rsid w:val="003467E9"/>
    <w:rsid w:val="00346FCC"/>
    <w:rsid w:val="003471E9"/>
    <w:rsid w:val="00347F8E"/>
    <w:rsid w:val="00350F69"/>
    <w:rsid w:val="003552E8"/>
    <w:rsid w:val="0035533D"/>
    <w:rsid w:val="00355890"/>
    <w:rsid w:val="00356006"/>
    <w:rsid w:val="00357D43"/>
    <w:rsid w:val="00361C0B"/>
    <w:rsid w:val="00362C56"/>
    <w:rsid w:val="00362F27"/>
    <w:rsid w:val="00365545"/>
    <w:rsid w:val="00383683"/>
    <w:rsid w:val="00383D1C"/>
    <w:rsid w:val="00392714"/>
    <w:rsid w:val="003979C5"/>
    <w:rsid w:val="003A0A33"/>
    <w:rsid w:val="003A2D58"/>
    <w:rsid w:val="003A62A2"/>
    <w:rsid w:val="003B148F"/>
    <w:rsid w:val="003B2C69"/>
    <w:rsid w:val="003B3ECC"/>
    <w:rsid w:val="003B579C"/>
    <w:rsid w:val="003D35AA"/>
    <w:rsid w:val="003D5063"/>
    <w:rsid w:val="003E306F"/>
    <w:rsid w:val="003E357D"/>
    <w:rsid w:val="003E535F"/>
    <w:rsid w:val="003E7A6E"/>
    <w:rsid w:val="003F1505"/>
    <w:rsid w:val="003F49D4"/>
    <w:rsid w:val="00402970"/>
    <w:rsid w:val="0040375F"/>
    <w:rsid w:val="00407968"/>
    <w:rsid w:val="0041577C"/>
    <w:rsid w:val="00416506"/>
    <w:rsid w:val="00421A51"/>
    <w:rsid w:val="00423C6C"/>
    <w:rsid w:val="00426550"/>
    <w:rsid w:val="00433AB0"/>
    <w:rsid w:val="00445F84"/>
    <w:rsid w:val="004609D3"/>
    <w:rsid w:val="00461259"/>
    <w:rsid w:val="00466498"/>
    <w:rsid w:val="00476E14"/>
    <w:rsid w:val="004775CA"/>
    <w:rsid w:val="004813FE"/>
    <w:rsid w:val="004874BE"/>
    <w:rsid w:val="00490B78"/>
    <w:rsid w:val="004951CB"/>
    <w:rsid w:val="004A6128"/>
    <w:rsid w:val="004A62DE"/>
    <w:rsid w:val="004B37AA"/>
    <w:rsid w:val="004C5AD8"/>
    <w:rsid w:val="004C5E3D"/>
    <w:rsid w:val="004D30F2"/>
    <w:rsid w:val="004D43DE"/>
    <w:rsid w:val="004D7DDD"/>
    <w:rsid w:val="004D7DF7"/>
    <w:rsid w:val="004E41CC"/>
    <w:rsid w:val="004E51B3"/>
    <w:rsid w:val="004F36CB"/>
    <w:rsid w:val="004F36D7"/>
    <w:rsid w:val="004F3E65"/>
    <w:rsid w:val="004F45E4"/>
    <w:rsid w:val="00507B5C"/>
    <w:rsid w:val="00511656"/>
    <w:rsid w:val="0052238D"/>
    <w:rsid w:val="005223F5"/>
    <w:rsid w:val="0052289F"/>
    <w:rsid w:val="00523174"/>
    <w:rsid w:val="005259F3"/>
    <w:rsid w:val="005269C8"/>
    <w:rsid w:val="00526B38"/>
    <w:rsid w:val="00527621"/>
    <w:rsid w:val="005308DF"/>
    <w:rsid w:val="00535769"/>
    <w:rsid w:val="005443CF"/>
    <w:rsid w:val="005452C9"/>
    <w:rsid w:val="005643E4"/>
    <w:rsid w:val="00565930"/>
    <w:rsid w:val="005677B0"/>
    <w:rsid w:val="00577E2F"/>
    <w:rsid w:val="005808DD"/>
    <w:rsid w:val="00583DAB"/>
    <w:rsid w:val="00585A50"/>
    <w:rsid w:val="00586287"/>
    <w:rsid w:val="00586BB5"/>
    <w:rsid w:val="00587E5E"/>
    <w:rsid w:val="00592845"/>
    <w:rsid w:val="00593D11"/>
    <w:rsid w:val="00596084"/>
    <w:rsid w:val="00596131"/>
    <w:rsid w:val="005A23EB"/>
    <w:rsid w:val="005A6546"/>
    <w:rsid w:val="005A7AC5"/>
    <w:rsid w:val="005B3CF6"/>
    <w:rsid w:val="005B4DD4"/>
    <w:rsid w:val="005B4FBD"/>
    <w:rsid w:val="005B69ED"/>
    <w:rsid w:val="005B7C64"/>
    <w:rsid w:val="005C0D49"/>
    <w:rsid w:val="005C1F4E"/>
    <w:rsid w:val="005C490B"/>
    <w:rsid w:val="005C574C"/>
    <w:rsid w:val="005D05A5"/>
    <w:rsid w:val="005D1848"/>
    <w:rsid w:val="005D2D9F"/>
    <w:rsid w:val="005D7580"/>
    <w:rsid w:val="005E2F35"/>
    <w:rsid w:val="005F4278"/>
    <w:rsid w:val="005F5E31"/>
    <w:rsid w:val="005F61F0"/>
    <w:rsid w:val="005F7694"/>
    <w:rsid w:val="005F7A53"/>
    <w:rsid w:val="00604F08"/>
    <w:rsid w:val="00620758"/>
    <w:rsid w:val="00624EE6"/>
    <w:rsid w:val="00625C69"/>
    <w:rsid w:val="00626CFA"/>
    <w:rsid w:val="00633D8B"/>
    <w:rsid w:val="00641267"/>
    <w:rsid w:val="0064133A"/>
    <w:rsid w:val="00650007"/>
    <w:rsid w:val="006505A7"/>
    <w:rsid w:val="00673E1C"/>
    <w:rsid w:val="006767AD"/>
    <w:rsid w:val="0068272A"/>
    <w:rsid w:val="00684564"/>
    <w:rsid w:val="006848EA"/>
    <w:rsid w:val="006850A1"/>
    <w:rsid w:val="006904EA"/>
    <w:rsid w:val="006929B7"/>
    <w:rsid w:val="006944E0"/>
    <w:rsid w:val="006A0654"/>
    <w:rsid w:val="006A67DB"/>
    <w:rsid w:val="006A6C3D"/>
    <w:rsid w:val="006B200E"/>
    <w:rsid w:val="006B24D8"/>
    <w:rsid w:val="006B476E"/>
    <w:rsid w:val="006B7068"/>
    <w:rsid w:val="006C04E8"/>
    <w:rsid w:val="006C684D"/>
    <w:rsid w:val="006C6EDB"/>
    <w:rsid w:val="006C7202"/>
    <w:rsid w:val="006C7549"/>
    <w:rsid w:val="006D0F8F"/>
    <w:rsid w:val="006D5D20"/>
    <w:rsid w:val="006D6819"/>
    <w:rsid w:val="006D6927"/>
    <w:rsid w:val="006E1B1D"/>
    <w:rsid w:val="006E275E"/>
    <w:rsid w:val="006F2089"/>
    <w:rsid w:val="006F4269"/>
    <w:rsid w:val="006F6162"/>
    <w:rsid w:val="0070344D"/>
    <w:rsid w:val="00711617"/>
    <w:rsid w:val="00717E94"/>
    <w:rsid w:val="00720826"/>
    <w:rsid w:val="007331B1"/>
    <w:rsid w:val="0073612C"/>
    <w:rsid w:val="00736DEF"/>
    <w:rsid w:val="0074090B"/>
    <w:rsid w:val="00741BB6"/>
    <w:rsid w:val="00745ADB"/>
    <w:rsid w:val="00751B7C"/>
    <w:rsid w:val="00752E6F"/>
    <w:rsid w:val="007534DD"/>
    <w:rsid w:val="00761A32"/>
    <w:rsid w:val="00761EA7"/>
    <w:rsid w:val="00772A01"/>
    <w:rsid w:val="00776793"/>
    <w:rsid w:val="00780C97"/>
    <w:rsid w:val="007917F4"/>
    <w:rsid w:val="0079243F"/>
    <w:rsid w:val="00792D9F"/>
    <w:rsid w:val="00794CD7"/>
    <w:rsid w:val="007A2821"/>
    <w:rsid w:val="007A2C70"/>
    <w:rsid w:val="007A5DF2"/>
    <w:rsid w:val="007B2024"/>
    <w:rsid w:val="007B6DCE"/>
    <w:rsid w:val="007C0859"/>
    <w:rsid w:val="007C34AF"/>
    <w:rsid w:val="007C78EE"/>
    <w:rsid w:val="007D45C9"/>
    <w:rsid w:val="007D4FF8"/>
    <w:rsid w:val="007E102A"/>
    <w:rsid w:val="007E1B96"/>
    <w:rsid w:val="007E5B49"/>
    <w:rsid w:val="007F207E"/>
    <w:rsid w:val="007F462E"/>
    <w:rsid w:val="00802048"/>
    <w:rsid w:val="00802BA3"/>
    <w:rsid w:val="00810A07"/>
    <w:rsid w:val="008147DE"/>
    <w:rsid w:val="0082222A"/>
    <w:rsid w:val="008305BC"/>
    <w:rsid w:val="00834347"/>
    <w:rsid w:val="008401D1"/>
    <w:rsid w:val="00841AAE"/>
    <w:rsid w:val="00841ECB"/>
    <w:rsid w:val="0084448E"/>
    <w:rsid w:val="008463F7"/>
    <w:rsid w:val="00847015"/>
    <w:rsid w:val="00853949"/>
    <w:rsid w:val="00854101"/>
    <w:rsid w:val="0085573F"/>
    <w:rsid w:val="00857FFA"/>
    <w:rsid w:val="008629CA"/>
    <w:rsid w:val="008638FE"/>
    <w:rsid w:val="00864CDD"/>
    <w:rsid w:val="00871948"/>
    <w:rsid w:val="00871971"/>
    <w:rsid w:val="00875A85"/>
    <w:rsid w:val="00884401"/>
    <w:rsid w:val="00887253"/>
    <w:rsid w:val="008935D9"/>
    <w:rsid w:val="00894557"/>
    <w:rsid w:val="00897D1F"/>
    <w:rsid w:val="008A321C"/>
    <w:rsid w:val="008B1D59"/>
    <w:rsid w:val="008B1D8C"/>
    <w:rsid w:val="008B3230"/>
    <w:rsid w:val="008C0848"/>
    <w:rsid w:val="008C14DD"/>
    <w:rsid w:val="008C3A76"/>
    <w:rsid w:val="008C56B9"/>
    <w:rsid w:val="008E245D"/>
    <w:rsid w:val="008E4007"/>
    <w:rsid w:val="008E4706"/>
    <w:rsid w:val="008F3460"/>
    <w:rsid w:val="008F4169"/>
    <w:rsid w:val="008F5AAF"/>
    <w:rsid w:val="008F7BF2"/>
    <w:rsid w:val="00900355"/>
    <w:rsid w:val="00900C19"/>
    <w:rsid w:val="00912912"/>
    <w:rsid w:val="0091432E"/>
    <w:rsid w:val="00915E62"/>
    <w:rsid w:val="00915E73"/>
    <w:rsid w:val="00917E21"/>
    <w:rsid w:val="009226E5"/>
    <w:rsid w:val="00927D66"/>
    <w:rsid w:val="00927FE5"/>
    <w:rsid w:val="0093678E"/>
    <w:rsid w:val="009401E9"/>
    <w:rsid w:val="0094403B"/>
    <w:rsid w:val="00944D5D"/>
    <w:rsid w:val="009474EE"/>
    <w:rsid w:val="00960726"/>
    <w:rsid w:val="00973CB3"/>
    <w:rsid w:val="00976A1E"/>
    <w:rsid w:val="00983766"/>
    <w:rsid w:val="0098471C"/>
    <w:rsid w:val="00984D81"/>
    <w:rsid w:val="009873DE"/>
    <w:rsid w:val="00996BC5"/>
    <w:rsid w:val="009A3A36"/>
    <w:rsid w:val="009A791E"/>
    <w:rsid w:val="009B2757"/>
    <w:rsid w:val="009C1F84"/>
    <w:rsid w:val="009C511A"/>
    <w:rsid w:val="009D0F85"/>
    <w:rsid w:val="009D2676"/>
    <w:rsid w:val="009D26A5"/>
    <w:rsid w:val="009D59B3"/>
    <w:rsid w:val="009E24FE"/>
    <w:rsid w:val="009E2AB8"/>
    <w:rsid w:val="009E5841"/>
    <w:rsid w:val="009F0934"/>
    <w:rsid w:val="009F30EB"/>
    <w:rsid w:val="009F6E0B"/>
    <w:rsid w:val="00A13A11"/>
    <w:rsid w:val="00A16331"/>
    <w:rsid w:val="00A16CB1"/>
    <w:rsid w:val="00A21836"/>
    <w:rsid w:val="00A22200"/>
    <w:rsid w:val="00A32F80"/>
    <w:rsid w:val="00A33419"/>
    <w:rsid w:val="00A339B3"/>
    <w:rsid w:val="00A33E52"/>
    <w:rsid w:val="00A33E91"/>
    <w:rsid w:val="00A35933"/>
    <w:rsid w:val="00A40FB4"/>
    <w:rsid w:val="00A41522"/>
    <w:rsid w:val="00A457C0"/>
    <w:rsid w:val="00A4610E"/>
    <w:rsid w:val="00A57EFF"/>
    <w:rsid w:val="00A632C0"/>
    <w:rsid w:val="00A64948"/>
    <w:rsid w:val="00A7099E"/>
    <w:rsid w:val="00A71E67"/>
    <w:rsid w:val="00A7430A"/>
    <w:rsid w:val="00A75169"/>
    <w:rsid w:val="00A7556A"/>
    <w:rsid w:val="00A76874"/>
    <w:rsid w:val="00A832BB"/>
    <w:rsid w:val="00A84E14"/>
    <w:rsid w:val="00A92644"/>
    <w:rsid w:val="00AA135E"/>
    <w:rsid w:val="00AA2EE8"/>
    <w:rsid w:val="00AA4463"/>
    <w:rsid w:val="00AA7A36"/>
    <w:rsid w:val="00AB18B1"/>
    <w:rsid w:val="00AC47C7"/>
    <w:rsid w:val="00AC669B"/>
    <w:rsid w:val="00AD3A6A"/>
    <w:rsid w:val="00AD482B"/>
    <w:rsid w:val="00AE2A54"/>
    <w:rsid w:val="00AE317A"/>
    <w:rsid w:val="00AE3C9E"/>
    <w:rsid w:val="00AF45F1"/>
    <w:rsid w:val="00B021E9"/>
    <w:rsid w:val="00B11FE3"/>
    <w:rsid w:val="00B13071"/>
    <w:rsid w:val="00B2069B"/>
    <w:rsid w:val="00B208AB"/>
    <w:rsid w:val="00B21AAA"/>
    <w:rsid w:val="00B26BD5"/>
    <w:rsid w:val="00B31D9C"/>
    <w:rsid w:val="00B336B3"/>
    <w:rsid w:val="00B4435C"/>
    <w:rsid w:val="00B50B85"/>
    <w:rsid w:val="00B52777"/>
    <w:rsid w:val="00B54A14"/>
    <w:rsid w:val="00B66DC8"/>
    <w:rsid w:val="00B7044A"/>
    <w:rsid w:val="00B7385E"/>
    <w:rsid w:val="00B77930"/>
    <w:rsid w:val="00B80414"/>
    <w:rsid w:val="00B806CB"/>
    <w:rsid w:val="00B81255"/>
    <w:rsid w:val="00B816BB"/>
    <w:rsid w:val="00B83F1A"/>
    <w:rsid w:val="00B87C9F"/>
    <w:rsid w:val="00B9010A"/>
    <w:rsid w:val="00B94445"/>
    <w:rsid w:val="00B961E0"/>
    <w:rsid w:val="00B96753"/>
    <w:rsid w:val="00BA297E"/>
    <w:rsid w:val="00BA6B45"/>
    <w:rsid w:val="00BA6F28"/>
    <w:rsid w:val="00BB6A31"/>
    <w:rsid w:val="00BC3681"/>
    <w:rsid w:val="00BC4316"/>
    <w:rsid w:val="00BC74F8"/>
    <w:rsid w:val="00BE34B5"/>
    <w:rsid w:val="00BE359B"/>
    <w:rsid w:val="00C03727"/>
    <w:rsid w:val="00C051E7"/>
    <w:rsid w:val="00C10FB2"/>
    <w:rsid w:val="00C20F55"/>
    <w:rsid w:val="00C21901"/>
    <w:rsid w:val="00C226DA"/>
    <w:rsid w:val="00C24AF7"/>
    <w:rsid w:val="00C27C7B"/>
    <w:rsid w:val="00C30B23"/>
    <w:rsid w:val="00C30EAC"/>
    <w:rsid w:val="00C403D6"/>
    <w:rsid w:val="00C423BB"/>
    <w:rsid w:val="00C449BA"/>
    <w:rsid w:val="00C449CC"/>
    <w:rsid w:val="00C517DA"/>
    <w:rsid w:val="00C523A6"/>
    <w:rsid w:val="00C54A07"/>
    <w:rsid w:val="00C650B6"/>
    <w:rsid w:val="00C65B43"/>
    <w:rsid w:val="00C711DD"/>
    <w:rsid w:val="00C73A3C"/>
    <w:rsid w:val="00C75FFA"/>
    <w:rsid w:val="00C814E8"/>
    <w:rsid w:val="00C8150E"/>
    <w:rsid w:val="00C8295B"/>
    <w:rsid w:val="00C83766"/>
    <w:rsid w:val="00C87351"/>
    <w:rsid w:val="00C9068A"/>
    <w:rsid w:val="00C92226"/>
    <w:rsid w:val="00CA0842"/>
    <w:rsid w:val="00CA3F09"/>
    <w:rsid w:val="00CA4A34"/>
    <w:rsid w:val="00CA520B"/>
    <w:rsid w:val="00CA5CAE"/>
    <w:rsid w:val="00CB2F52"/>
    <w:rsid w:val="00CB5177"/>
    <w:rsid w:val="00CC01C3"/>
    <w:rsid w:val="00CC30E0"/>
    <w:rsid w:val="00CC4146"/>
    <w:rsid w:val="00CC4695"/>
    <w:rsid w:val="00CC6C83"/>
    <w:rsid w:val="00CD16D8"/>
    <w:rsid w:val="00CD57E8"/>
    <w:rsid w:val="00CD7AEA"/>
    <w:rsid w:val="00CE22EF"/>
    <w:rsid w:val="00CF1109"/>
    <w:rsid w:val="00CF1FA4"/>
    <w:rsid w:val="00CF413C"/>
    <w:rsid w:val="00CF4F46"/>
    <w:rsid w:val="00D0012C"/>
    <w:rsid w:val="00D00199"/>
    <w:rsid w:val="00D00ECE"/>
    <w:rsid w:val="00D01D40"/>
    <w:rsid w:val="00D0251C"/>
    <w:rsid w:val="00D02801"/>
    <w:rsid w:val="00D04AFC"/>
    <w:rsid w:val="00D12A99"/>
    <w:rsid w:val="00D13C3C"/>
    <w:rsid w:val="00D14CF2"/>
    <w:rsid w:val="00D1735E"/>
    <w:rsid w:val="00D20C48"/>
    <w:rsid w:val="00D23BF7"/>
    <w:rsid w:val="00D247B4"/>
    <w:rsid w:val="00D40F5D"/>
    <w:rsid w:val="00D42E5E"/>
    <w:rsid w:val="00D4489F"/>
    <w:rsid w:val="00D451DB"/>
    <w:rsid w:val="00D5494A"/>
    <w:rsid w:val="00D57828"/>
    <w:rsid w:val="00D6010E"/>
    <w:rsid w:val="00D61A1B"/>
    <w:rsid w:val="00D621AF"/>
    <w:rsid w:val="00D63867"/>
    <w:rsid w:val="00D72D2B"/>
    <w:rsid w:val="00D80540"/>
    <w:rsid w:val="00D813AF"/>
    <w:rsid w:val="00D873B4"/>
    <w:rsid w:val="00D97534"/>
    <w:rsid w:val="00DB3C8A"/>
    <w:rsid w:val="00DD511D"/>
    <w:rsid w:val="00DE0D3D"/>
    <w:rsid w:val="00DE279C"/>
    <w:rsid w:val="00DE30F9"/>
    <w:rsid w:val="00DE56EF"/>
    <w:rsid w:val="00DE698C"/>
    <w:rsid w:val="00DE6A5E"/>
    <w:rsid w:val="00DE7B6F"/>
    <w:rsid w:val="00DF2790"/>
    <w:rsid w:val="00DF45AE"/>
    <w:rsid w:val="00DF7B2C"/>
    <w:rsid w:val="00DF7E71"/>
    <w:rsid w:val="00E04BD6"/>
    <w:rsid w:val="00E116B2"/>
    <w:rsid w:val="00E1498A"/>
    <w:rsid w:val="00E171A2"/>
    <w:rsid w:val="00E179E8"/>
    <w:rsid w:val="00E228BB"/>
    <w:rsid w:val="00E2335D"/>
    <w:rsid w:val="00E2485D"/>
    <w:rsid w:val="00E35EA2"/>
    <w:rsid w:val="00E40F4F"/>
    <w:rsid w:val="00E601A4"/>
    <w:rsid w:val="00E63BAC"/>
    <w:rsid w:val="00E65967"/>
    <w:rsid w:val="00E70AE0"/>
    <w:rsid w:val="00E7172B"/>
    <w:rsid w:val="00E8512D"/>
    <w:rsid w:val="00E86047"/>
    <w:rsid w:val="00E86211"/>
    <w:rsid w:val="00E9078B"/>
    <w:rsid w:val="00E92C6A"/>
    <w:rsid w:val="00E93926"/>
    <w:rsid w:val="00E94A6B"/>
    <w:rsid w:val="00E94FB0"/>
    <w:rsid w:val="00E9602E"/>
    <w:rsid w:val="00EA06DA"/>
    <w:rsid w:val="00EB0FE8"/>
    <w:rsid w:val="00EB1001"/>
    <w:rsid w:val="00EB1E04"/>
    <w:rsid w:val="00EB26AB"/>
    <w:rsid w:val="00EB2FAD"/>
    <w:rsid w:val="00EB38C5"/>
    <w:rsid w:val="00EB7922"/>
    <w:rsid w:val="00EC03D5"/>
    <w:rsid w:val="00ED422B"/>
    <w:rsid w:val="00ED699A"/>
    <w:rsid w:val="00EE0B97"/>
    <w:rsid w:val="00EE23E7"/>
    <w:rsid w:val="00EE5BF3"/>
    <w:rsid w:val="00EE6B4B"/>
    <w:rsid w:val="00EF0CD2"/>
    <w:rsid w:val="00F03F36"/>
    <w:rsid w:val="00F04AC2"/>
    <w:rsid w:val="00F04C81"/>
    <w:rsid w:val="00F07161"/>
    <w:rsid w:val="00F12E63"/>
    <w:rsid w:val="00F13B56"/>
    <w:rsid w:val="00F23194"/>
    <w:rsid w:val="00F23979"/>
    <w:rsid w:val="00F33A5D"/>
    <w:rsid w:val="00F3468E"/>
    <w:rsid w:val="00F540FA"/>
    <w:rsid w:val="00F55AD3"/>
    <w:rsid w:val="00F627C1"/>
    <w:rsid w:val="00F654E8"/>
    <w:rsid w:val="00F675B6"/>
    <w:rsid w:val="00F77440"/>
    <w:rsid w:val="00F777C7"/>
    <w:rsid w:val="00F83395"/>
    <w:rsid w:val="00F84AB6"/>
    <w:rsid w:val="00F9769B"/>
    <w:rsid w:val="00FA4B46"/>
    <w:rsid w:val="00FB2029"/>
    <w:rsid w:val="00FB5E36"/>
    <w:rsid w:val="00FC6125"/>
    <w:rsid w:val="00FC67B8"/>
    <w:rsid w:val="00FC765E"/>
    <w:rsid w:val="00FD062B"/>
    <w:rsid w:val="00FD3D6E"/>
    <w:rsid w:val="00FD49C5"/>
    <w:rsid w:val="00FE1265"/>
    <w:rsid w:val="00FE3819"/>
    <w:rsid w:val="00FE3FD7"/>
    <w:rsid w:val="00FE4682"/>
    <w:rsid w:val="00FE729D"/>
    <w:rsid w:val="00FE7C69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7F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uiPriority w:val="99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F1109"/>
  </w:style>
  <w:style w:type="character" w:customStyle="1" w:styleId="TextkomentraChar">
    <w:name w:val="Text komentára Char"/>
    <w:link w:val="Textkomentra"/>
    <w:uiPriority w:val="99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E04BD6"/>
    <w:rPr>
      <w:lang w:eastAsia="cs-CZ"/>
    </w:rPr>
  </w:style>
  <w:style w:type="paragraph" w:styleId="Odsekzoznamu">
    <w:name w:val="List Paragraph"/>
    <w:basedOn w:val="Normlny"/>
    <w:uiPriority w:val="34"/>
    <w:qFormat/>
    <w:rsid w:val="0046649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2D6581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A6CC6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uiPriority w:val="99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F1109"/>
  </w:style>
  <w:style w:type="character" w:customStyle="1" w:styleId="TextkomentraChar">
    <w:name w:val="Text komentára Char"/>
    <w:link w:val="Textkomentra"/>
    <w:uiPriority w:val="99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E04BD6"/>
    <w:rPr>
      <w:lang w:eastAsia="cs-CZ"/>
    </w:rPr>
  </w:style>
  <w:style w:type="paragraph" w:styleId="Odsekzoznamu">
    <w:name w:val="List Paragraph"/>
    <w:basedOn w:val="Normlny"/>
    <w:uiPriority w:val="34"/>
    <w:qFormat/>
    <w:rsid w:val="0046649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2D6581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A6CC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2508</Words>
  <Characters>16819</Characters>
  <Application>Microsoft Office Word</Application>
  <DocSecurity>0</DocSecurity>
  <Lines>140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19289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lastModifiedBy>Uhnáková Milota</cp:lastModifiedBy>
  <cp:revision>2</cp:revision>
  <cp:lastPrinted>2013-04-29T10:40:00Z</cp:lastPrinted>
  <dcterms:created xsi:type="dcterms:W3CDTF">2019-06-18T08:30:00Z</dcterms:created>
  <dcterms:modified xsi:type="dcterms:W3CDTF">2019-06-18T08:30:00Z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