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E1B9B" w14:textId="77777777" w:rsidR="00221141" w:rsidRPr="0091013F" w:rsidRDefault="00221141" w:rsidP="00520FC9">
      <w:pPr>
        <w:jc w:val="center"/>
        <w:rPr>
          <w:szCs w:val="22"/>
        </w:rPr>
      </w:pPr>
    </w:p>
    <w:p w14:paraId="38380F25" w14:textId="1567AABF" w:rsidR="00780926" w:rsidRPr="00D3133D" w:rsidRDefault="00780926" w:rsidP="00520FC9">
      <w:pPr>
        <w:jc w:val="center"/>
        <w:rPr>
          <w:b/>
          <w:szCs w:val="22"/>
        </w:rPr>
      </w:pPr>
      <w:r w:rsidRPr="00D3133D">
        <w:rPr>
          <w:b/>
          <w:szCs w:val="22"/>
        </w:rPr>
        <w:t>SÚHRN CHARAKTERISTICKÝCH VLASTNOSTÍ LIEKU</w:t>
      </w:r>
    </w:p>
    <w:p w14:paraId="59A9C480" w14:textId="77777777" w:rsidR="00B06E24" w:rsidRPr="00D3133D" w:rsidRDefault="00B06E24" w:rsidP="00E60349">
      <w:pPr>
        <w:rPr>
          <w:szCs w:val="22"/>
        </w:rPr>
      </w:pPr>
    </w:p>
    <w:p w14:paraId="60E435F8" w14:textId="77777777" w:rsidR="00B06E24" w:rsidRPr="00D3133D" w:rsidRDefault="00B06E24" w:rsidP="00E60349">
      <w:pPr>
        <w:rPr>
          <w:szCs w:val="22"/>
        </w:rPr>
      </w:pPr>
    </w:p>
    <w:p w14:paraId="2DF75245" w14:textId="77777777" w:rsidR="00780926" w:rsidRPr="00D3133D" w:rsidRDefault="00780926" w:rsidP="00E60349">
      <w:pPr>
        <w:rPr>
          <w:szCs w:val="22"/>
        </w:rPr>
      </w:pPr>
      <w:r w:rsidRPr="00D3133D">
        <w:rPr>
          <w:b/>
          <w:szCs w:val="22"/>
        </w:rPr>
        <w:t>1.</w:t>
      </w:r>
      <w:r w:rsidRPr="00D3133D">
        <w:rPr>
          <w:b/>
          <w:szCs w:val="22"/>
        </w:rPr>
        <w:tab/>
        <w:t>NÁZOV LIEKU</w:t>
      </w:r>
    </w:p>
    <w:p w14:paraId="041BFF7B" w14:textId="77777777" w:rsidR="00780926" w:rsidRPr="00D3133D" w:rsidRDefault="00780926" w:rsidP="00E60349">
      <w:pPr>
        <w:rPr>
          <w:szCs w:val="22"/>
        </w:rPr>
      </w:pPr>
    </w:p>
    <w:p w14:paraId="4124C011" w14:textId="5AEFB7B3" w:rsidR="00780926" w:rsidRPr="00D3133D" w:rsidRDefault="00752C30" w:rsidP="00E60349">
      <w:pPr>
        <w:rPr>
          <w:szCs w:val="22"/>
        </w:rPr>
      </w:pPr>
      <w:proofErr w:type="spellStart"/>
      <w:r w:rsidRPr="00D3133D">
        <w:rPr>
          <w:szCs w:val="22"/>
        </w:rPr>
        <w:t>MYDRANE</w:t>
      </w:r>
      <w:proofErr w:type="spellEnd"/>
      <w:r w:rsidRPr="00D3133D">
        <w:rPr>
          <w:szCs w:val="22"/>
        </w:rPr>
        <w:t xml:space="preserve"> 0,2</w:t>
      </w:r>
      <w:r w:rsidR="00ED734A">
        <w:rPr>
          <w:szCs w:val="22"/>
        </w:rPr>
        <w:t> </w:t>
      </w:r>
      <w:r w:rsidR="00C45F39" w:rsidRPr="00D3133D">
        <w:rPr>
          <w:szCs w:val="22"/>
        </w:rPr>
        <w:t xml:space="preserve">mg/ml + </w:t>
      </w:r>
      <w:r w:rsidRPr="00D3133D">
        <w:rPr>
          <w:szCs w:val="22"/>
        </w:rPr>
        <w:t>3,1</w:t>
      </w:r>
      <w:r w:rsidR="00ED734A">
        <w:rPr>
          <w:szCs w:val="22"/>
        </w:rPr>
        <w:t> </w:t>
      </w:r>
      <w:r w:rsidR="00C45F39" w:rsidRPr="00D3133D">
        <w:rPr>
          <w:szCs w:val="22"/>
        </w:rPr>
        <w:t xml:space="preserve">mg/ml + </w:t>
      </w:r>
      <w:r w:rsidRPr="00D3133D">
        <w:rPr>
          <w:szCs w:val="22"/>
        </w:rPr>
        <w:t>10 mg/ml injekčný roztok</w:t>
      </w:r>
    </w:p>
    <w:p w14:paraId="39E9105C" w14:textId="77777777" w:rsidR="00780926" w:rsidRPr="00D3133D" w:rsidRDefault="00780926" w:rsidP="00E60349">
      <w:pPr>
        <w:rPr>
          <w:iCs/>
          <w:szCs w:val="22"/>
        </w:rPr>
      </w:pPr>
    </w:p>
    <w:p w14:paraId="3D257E80" w14:textId="77777777" w:rsidR="00780926" w:rsidRPr="00D3133D" w:rsidRDefault="00780926" w:rsidP="00E60349">
      <w:pPr>
        <w:rPr>
          <w:szCs w:val="22"/>
        </w:rPr>
      </w:pPr>
    </w:p>
    <w:p w14:paraId="6272CF9C" w14:textId="77777777" w:rsidR="00780926" w:rsidRPr="00D3133D" w:rsidRDefault="00780926" w:rsidP="00E60349">
      <w:pPr>
        <w:rPr>
          <w:szCs w:val="22"/>
        </w:rPr>
      </w:pPr>
      <w:r w:rsidRPr="00D3133D">
        <w:rPr>
          <w:b/>
          <w:szCs w:val="22"/>
        </w:rPr>
        <w:t>2.</w:t>
      </w:r>
      <w:r w:rsidRPr="00D3133D">
        <w:rPr>
          <w:b/>
          <w:szCs w:val="22"/>
        </w:rPr>
        <w:tab/>
        <w:t>KVALITATÍVNE A KVANTITATÍVNE ZLOŽENIE</w:t>
      </w:r>
    </w:p>
    <w:p w14:paraId="69938F14" w14:textId="77777777" w:rsidR="00780926" w:rsidRPr="00D3133D" w:rsidRDefault="00780926" w:rsidP="00E60349">
      <w:pPr>
        <w:ind w:left="0" w:firstLine="0"/>
        <w:rPr>
          <w:szCs w:val="22"/>
        </w:rPr>
      </w:pPr>
    </w:p>
    <w:p w14:paraId="5CE4D252" w14:textId="39673521" w:rsidR="00752C30" w:rsidRPr="00D3133D" w:rsidRDefault="00752C30" w:rsidP="00E60349">
      <w:pPr>
        <w:ind w:left="0" w:firstLine="0"/>
        <w:rPr>
          <w:szCs w:val="22"/>
        </w:rPr>
      </w:pPr>
      <w:r w:rsidRPr="00D3133D">
        <w:rPr>
          <w:szCs w:val="22"/>
        </w:rPr>
        <w:t>1 ml injekčného roztoku obsahuje 0,2</w:t>
      </w:r>
      <w:r w:rsidR="00ED734A">
        <w:rPr>
          <w:szCs w:val="22"/>
        </w:rPr>
        <w:t> </w:t>
      </w:r>
      <w:r w:rsidRPr="00D3133D">
        <w:rPr>
          <w:szCs w:val="22"/>
        </w:rPr>
        <w:t xml:space="preserve">mg </w:t>
      </w:r>
      <w:proofErr w:type="spellStart"/>
      <w:r w:rsidRPr="00D3133D">
        <w:rPr>
          <w:szCs w:val="22"/>
        </w:rPr>
        <w:t>tropikamidu</w:t>
      </w:r>
      <w:proofErr w:type="spellEnd"/>
      <w:r w:rsidRPr="00D3133D">
        <w:rPr>
          <w:szCs w:val="22"/>
        </w:rPr>
        <w:t xml:space="preserve">, 3,1 mg </w:t>
      </w:r>
      <w:proofErr w:type="spellStart"/>
      <w:r w:rsidRPr="00D3133D">
        <w:rPr>
          <w:szCs w:val="22"/>
        </w:rPr>
        <w:t>fenylefríniumchloridu</w:t>
      </w:r>
      <w:proofErr w:type="spellEnd"/>
      <w:r w:rsidRPr="00D3133D">
        <w:rPr>
          <w:szCs w:val="22"/>
        </w:rPr>
        <w:t xml:space="preserve"> a 10 mg </w:t>
      </w:r>
      <w:proofErr w:type="spellStart"/>
      <w:r w:rsidRPr="00D3133D">
        <w:rPr>
          <w:szCs w:val="22"/>
        </w:rPr>
        <w:t>lidokaíniumchloridu</w:t>
      </w:r>
      <w:proofErr w:type="spellEnd"/>
      <w:r w:rsidRPr="00D3133D">
        <w:rPr>
          <w:szCs w:val="22"/>
        </w:rPr>
        <w:t>.</w:t>
      </w:r>
    </w:p>
    <w:p w14:paraId="51658EBF" w14:textId="77777777" w:rsidR="00752C30" w:rsidRPr="00D3133D" w:rsidRDefault="00752C30" w:rsidP="00E60349">
      <w:pPr>
        <w:rPr>
          <w:szCs w:val="22"/>
        </w:rPr>
      </w:pPr>
    </w:p>
    <w:p w14:paraId="40221200" w14:textId="77777777" w:rsidR="00752C30" w:rsidRPr="00D3133D" w:rsidRDefault="00752C30" w:rsidP="00E60349">
      <w:pPr>
        <w:ind w:left="0" w:firstLine="0"/>
        <w:rPr>
          <w:szCs w:val="22"/>
        </w:rPr>
      </w:pPr>
      <w:r w:rsidRPr="00D3133D">
        <w:rPr>
          <w:szCs w:val="22"/>
        </w:rPr>
        <w:t xml:space="preserve">Jedna dávka </w:t>
      </w:r>
      <w:r w:rsidR="00520FC9" w:rsidRPr="00D3133D">
        <w:rPr>
          <w:szCs w:val="22"/>
        </w:rPr>
        <w:t xml:space="preserve">s objemom </w:t>
      </w:r>
      <w:r w:rsidRPr="00D3133D">
        <w:rPr>
          <w:szCs w:val="22"/>
        </w:rPr>
        <w:t xml:space="preserve">0,2 ml injekčného roztoku obsahuje 0,04 mg </w:t>
      </w:r>
      <w:proofErr w:type="spellStart"/>
      <w:r w:rsidRPr="00D3133D">
        <w:rPr>
          <w:szCs w:val="22"/>
        </w:rPr>
        <w:t>tropik</w:t>
      </w:r>
      <w:r w:rsidR="005042D9" w:rsidRPr="00D3133D">
        <w:rPr>
          <w:szCs w:val="22"/>
        </w:rPr>
        <w:t>amidu</w:t>
      </w:r>
      <w:proofErr w:type="spellEnd"/>
      <w:r w:rsidR="005042D9" w:rsidRPr="00D3133D">
        <w:rPr>
          <w:szCs w:val="22"/>
        </w:rPr>
        <w:t xml:space="preserve">, 0,62 mg </w:t>
      </w:r>
      <w:proofErr w:type="spellStart"/>
      <w:r w:rsidR="005042D9" w:rsidRPr="00D3133D">
        <w:rPr>
          <w:szCs w:val="22"/>
        </w:rPr>
        <w:t>fenylefríniumchl</w:t>
      </w:r>
      <w:r w:rsidRPr="00D3133D">
        <w:rPr>
          <w:szCs w:val="22"/>
        </w:rPr>
        <w:t>o</w:t>
      </w:r>
      <w:r w:rsidR="005042D9" w:rsidRPr="00D3133D">
        <w:rPr>
          <w:szCs w:val="22"/>
        </w:rPr>
        <w:t>r</w:t>
      </w:r>
      <w:r w:rsidRPr="00D3133D">
        <w:rPr>
          <w:szCs w:val="22"/>
        </w:rPr>
        <w:t>idu</w:t>
      </w:r>
      <w:proofErr w:type="spellEnd"/>
      <w:r w:rsidRPr="00D3133D">
        <w:rPr>
          <w:szCs w:val="22"/>
        </w:rPr>
        <w:t xml:space="preserve"> a 2 mg </w:t>
      </w:r>
      <w:proofErr w:type="spellStart"/>
      <w:r w:rsidRPr="00D3133D">
        <w:rPr>
          <w:szCs w:val="22"/>
        </w:rPr>
        <w:t>lidokaíniumchloridu</w:t>
      </w:r>
      <w:proofErr w:type="spellEnd"/>
      <w:r w:rsidRPr="00D3133D">
        <w:rPr>
          <w:szCs w:val="22"/>
        </w:rPr>
        <w:t>.</w:t>
      </w:r>
    </w:p>
    <w:p w14:paraId="761950F4" w14:textId="77777777" w:rsidR="00752C30" w:rsidRPr="00D3133D" w:rsidRDefault="00752C30" w:rsidP="00E60349">
      <w:pPr>
        <w:pStyle w:val="Bezriadkovania"/>
        <w:rPr>
          <w:szCs w:val="22"/>
        </w:rPr>
      </w:pPr>
    </w:p>
    <w:p w14:paraId="4443A15E" w14:textId="476E0A6E" w:rsidR="00780926" w:rsidRPr="00D3133D" w:rsidRDefault="00780926" w:rsidP="00E60349">
      <w:pPr>
        <w:pStyle w:val="Bezriadkovania"/>
        <w:rPr>
          <w:szCs w:val="22"/>
          <w:u w:val="single"/>
        </w:rPr>
      </w:pPr>
      <w:r w:rsidRPr="00D3133D">
        <w:rPr>
          <w:szCs w:val="22"/>
          <w:u w:val="single"/>
        </w:rPr>
        <w:t>Pomocná látka</w:t>
      </w:r>
      <w:r w:rsidR="00CB25B2" w:rsidRPr="00D3133D">
        <w:rPr>
          <w:szCs w:val="22"/>
          <w:u w:val="single"/>
        </w:rPr>
        <w:t xml:space="preserve"> so známym účinkom</w:t>
      </w:r>
      <w:r w:rsidR="00752C30" w:rsidRPr="00D3133D">
        <w:rPr>
          <w:szCs w:val="22"/>
        </w:rPr>
        <w:t>: sodík (0,59 mg v dávke; pozri časť</w:t>
      </w:r>
      <w:r w:rsidR="00ED734A">
        <w:rPr>
          <w:szCs w:val="22"/>
        </w:rPr>
        <w:t> </w:t>
      </w:r>
      <w:r w:rsidR="00752C30" w:rsidRPr="00D3133D">
        <w:rPr>
          <w:szCs w:val="22"/>
        </w:rPr>
        <w:t>4.4).</w:t>
      </w:r>
    </w:p>
    <w:p w14:paraId="71926F62" w14:textId="77777777" w:rsidR="005042D9" w:rsidRPr="00D3133D" w:rsidRDefault="005042D9" w:rsidP="00E60349">
      <w:pPr>
        <w:pStyle w:val="Bezriadkovania"/>
        <w:rPr>
          <w:szCs w:val="22"/>
          <w:lang w:eastAsia="en-US"/>
        </w:rPr>
      </w:pPr>
    </w:p>
    <w:p w14:paraId="19C7F372" w14:textId="6392F6D3" w:rsidR="00780926" w:rsidRPr="00D3133D" w:rsidRDefault="00780926" w:rsidP="00E60349">
      <w:pPr>
        <w:pStyle w:val="Bezriadkovania"/>
        <w:rPr>
          <w:szCs w:val="22"/>
          <w:lang w:eastAsia="en-US"/>
        </w:rPr>
      </w:pPr>
      <w:r w:rsidRPr="00D3133D">
        <w:rPr>
          <w:szCs w:val="22"/>
          <w:lang w:eastAsia="en-US"/>
        </w:rPr>
        <w:t>Úplný zoznam pomocných látok, pozri časť</w:t>
      </w:r>
      <w:r w:rsidR="00ED734A">
        <w:rPr>
          <w:szCs w:val="22"/>
          <w:lang w:eastAsia="en-US"/>
        </w:rPr>
        <w:t> </w:t>
      </w:r>
      <w:r w:rsidRPr="00D3133D">
        <w:rPr>
          <w:szCs w:val="22"/>
          <w:lang w:eastAsia="en-US"/>
        </w:rPr>
        <w:t>6.1.</w:t>
      </w:r>
    </w:p>
    <w:p w14:paraId="26D3252C" w14:textId="77777777" w:rsidR="00780926" w:rsidRPr="00D3133D" w:rsidRDefault="00780926" w:rsidP="00E60349">
      <w:pPr>
        <w:pStyle w:val="Bezriadkovania"/>
        <w:rPr>
          <w:szCs w:val="22"/>
        </w:rPr>
      </w:pPr>
    </w:p>
    <w:p w14:paraId="0D45CAC6" w14:textId="77777777" w:rsidR="00780926" w:rsidRPr="00D3133D" w:rsidRDefault="00780926" w:rsidP="00E60349">
      <w:pPr>
        <w:rPr>
          <w:szCs w:val="22"/>
        </w:rPr>
      </w:pPr>
    </w:p>
    <w:p w14:paraId="4980D3D6" w14:textId="77777777" w:rsidR="00780926" w:rsidRPr="00D3133D" w:rsidRDefault="00780926" w:rsidP="00E60349">
      <w:pPr>
        <w:rPr>
          <w:caps/>
          <w:szCs w:val="22"/>
        </w:rPr>
      </w:pPr>
      <w:r w:rsidRPr="00D3133D">
        <w:rPr>
          <w:b/>
          <w:szCs w:val="22"/>
        </w:rPr>
        <w:t>3.</w:t>
      </w:r>
      <w:r w:rsidRPr="00D3133D">
        <w:rPr>
          <w:b/>
          <w:szCs w:val="22"/>
        </w:rPr>
        <w:tab/>
        <w:t>LIEKOVÁ FORMA</w:t>
      </w:r>
    </w:p>
    <w:p w14:paraId="6E4BA4A3" w14:textId="77777777" w:rsidR="00780926" w:rsidRPr="00D3133D" w:rsidRDefault="00780926" w:rsidP="00E60349">
      <w:pPr>
        <w:rPr>
          <w:szCs w:val="22"/>
        </w:rPr>
      </w:pPr>
    </w:p>
    <w:p w14:paraId="66F7F0A2" w14:textId="77777777" w:rsidR="00752C30" w:rsidRPr="00D3133D" w:rsidRDefault="00752C30" w:rsidP="00E60349">
      <w:pPr>
        <w:rPr>
          <w:szCs w:val="22"/>
        </w:rPr>
      </w:pPr>
      <w:r w:rsidRPr="00D3133D">
        <w:rPr>
          <w:szCs w:val="22"/>
        </w:rPr>
        <w:t>Injekčný roztok.</w:t>
      </w:r>
    </w:p>
    <w:p w14:paraId="50D75496" w14:textId="77777777" w:rsidR="00752C30" w:rsidRPr="00D3133D" w:rsidRDefault="00752C30" w:rsidP="00E60349">
      <w:pPr>
        <w:rPr>
          <w:szCs w:val="22"/>
        </w:rPr>
      </w:pPr>
      <w:r w:rsidRPr="00D3133D">
        <w:rPr>
          <w:szCs w:val="22"/>
        </w:rPr>
        <w:t>Číry a slabo hnedo-ž</w:t>
      </w:r>
      <w:r w:rsidR="005042D9" w:rsidRPr="00D3133D">
        <w:rPr>
          <w:szCs w:val="22"/>
        </w:rPr>
        <w:t>ltý roztok prakticky bez obsahu</w:t>
      </w:r>
      <w:r w:rsidRPr="00D3133D">
        <w:rPr>
          <w:szCs w:val="22"/>
        </w:rPr>
        <w:t xml:space="preserve"> </w:t>
      </w:r>
      <w:r w:rsidR="00560037" w:rsidRPr="00D3133D">
        <w:rPr>
          <w:szCs w:val="22"/>
        </w:rPr>
        <w:t>viditeľných</w:t>
      </w:r>
      <w:r w:rsidR="003E02F6" w:rsidRPr="00D3133D">
        <w:rPr>
          <w:szCs w:val="22"/>
        </w:rPr>
        <w:t xml:space="preserve"> častíc.</w:t>
      </w:r>
    </w:p>
    <w:p w14:paraId="6FD4E13F" w14:textId="1813E6D4" w:rsidR="00752C30" w:rsidRPr="00D3133D" w:rsidRDefault="003E02F6" w:rsidP="00E60349">
      <w:pPr>
        <w:rPr>
          <w:szCs w:val="22"/>
        </w:rPr>
      </w:pPr>
      <w:r w:rsidRPr="00D3133D">
        <w:rPr>
          <w:szCs w:val="22"/>
        </w:rPr>
        <w:t>pH: 6,9</w:t>
      </w:r>
      <w:r w:rsidR="00ED734A">
        <w:rPr>
          <w:szCs w:val="22"/>
        </w:rPr>
        <w:noBreakHyphen/>
      </w:r>
      <w:r w:rsidRPr="00D3133D">
        <w:rPr>
          <w:szCs w:val="22"/>
        </w:rPr>
        <w:t>7,5</w:t>
      </w:r>
    </w:p>
    <w:p w14:paraId="54D21729" w14:textId="4E8B1540" w:rsidR="00780926" w:rsidRPr="00D3133D" w:rsidRDefault="003E02F6" w:rsidP="00E60349">
      <w:pPr>
        <w:rPr>
          <w:szCs w:val="22"/>
        </w:rPr>
      </w:pPr>
      <w:proofErr w:type="spellStart"/>
      <w:r w:rsidRPr="00D3133D">
        <w:rPr>
          <w:szCs w:val="22"/>
        </w:rPr>
        <w:t>osmolalita</w:t>
      </w:r>
      <w:proofErr w:type="spellEnd"/>
      <w:r w:rsidRPr="00D3133D">
        <w:rPr>
          <w:szCs w:val="22"/>
        </w:rPr>
        <w:t>: 290</w:t>
      </w:r>
      <w:r w:rsidR="00ED734A">
        <w:rPr>
          <w:szCs w:val="22"/>
        </w:rPr>
        <w:noBreakHyphen/>
      </w:r>
      <w:r w:rsidRPr="00D3133D">
        <w:rPr>
          <w:szCs w:val="22"/>
        </w:rPr>
        <w:t>350 </w:t>
      </w:r>
      <w:proofErr w:type="spellStart"/>
      <w:r w:rsidRPr="00D3133D">
        <w:rPr>
          <w:szCs w:val="22"/>
        </w:rPr>
        <w:t>mosmol</w:t>
      </w:r>
      <w:proofErr w:type="spellEnd"/>
      <w:r w:rsidRPr="00D3133D">
        <w:rPr>
          <w:szCs w:val="22"/>
        </w:rPr>
        <w:t>/kg</w:t>
      </w:r>
    </w:p>
    <w:p w14:paraId="1ACF61AE" w14:textId="77777777" w:rsidR="00752C30" w:rsidRPr="00D3133D" w:rsidRDefault="00752C30" w:rsidP="00E60349">
      <w:pPr>
        <w:rPr>
          <w:szCs w:val="22"/>
        </w:rPr>
      </w:pPr>
    </w:p>
    <w:p w14:paraId="20E30543" w14:textId="77777777" w:rsidR="00780926" w:rsidRPr="00D3133D" w:rsidRDefault="00780926" w:rsidP="00E60349">
      <w:pPr>
        <w:rPr>
          <w:szCs w:val="22"/>
        </w:rPr>
      </w:pPr>
    </w:p>
    <w:p w14:paraId="404DA5E5" w14:textId="77777777" w:rsidR="00780926" w:rsidRPr="00D3133D" w:rsidRDefault="003E02F6" w:rsidP="00E60349">
      <w:pPr>
        <w:rPr>
          <w:caps/>
          <w:szCs w:val="22"/>
        </w:rPr>
      </w:pPr>
      <w:r w:rsidRPr="00D3133D">
        <w:rPr>
          <w:b/>
          <w:caps/>
          <w:szCs w:val="22"/>
        </w:rPr>
        <w:t>4.</w:t>
      </w:r>
      <w:r w:rsidRPr="00D3133D">
        <w:rPr>
          <w:b/>
          <w:caps/>
          <w:szCs w:val="22"/>
        </w:rPr>
        <w:tab/>
        <w:t>KLINICKÉ ÚDAJE</w:t>
      </w:r>
    </w:p>
    <w:p w14:paraId="7DE211C3" w14:textId="77777777" w:rsidR="00780926" w:rsidRPr="00D3133D" w:rsidRDefault="00780926" w:rsidP="00E60349">
      <w:pPr>
        <w:rPr>
          <w:szCs w:val="22"/>
        </w:rPr>
      </w:pPr>
    </w:p>
    <w:p w14:paraId="64D0624B" w14:textId="77777777" w:rsidR="00780926" w:rsidRPr="00D3133D" w:rsidRDefault="003E02F6" w:rsidP="00E60349">
      <w:pPr>
        <w:rPr>
          <w:szCs w:val="22"/>
        </w:rPr>
      </w:pPr>
      <w:r w:rsidRPr="00D3133D">
        <w:rPr>
          <w:b/>
          <w:szCs w:val="22"/>
        </w:rPr>
        <w:t>4.1</w:t>
      </w:r>
      <w:r w:rsidRPr="00D3133D">
        <w:rPr>
          <w:b/>
          <w:szCs w:val="22"/>
        </w:rPr>
        <w:tab/>
        <w:t>Terapeutické indikácie</w:t>
      </w:r>
    </w:p>
    <w:p w14:paraId="2957CC36" w14:textId="77777777" w:rsidR="00780926" w:rsidRPr="00D3133D" w:rsidRDefault="00780926" w:rsidP="00E60349">
      <w:pPr>
        <w:rPr>
          <w:szCs w:val="22"/>
        </w:rPr>
      </w:pPr>
    </w:p>
    <w:p w14:paraId="2841FBDA" w14:textId="77777777" w:rsidR="00752C30" w:rsidRPr="00D3133D" w:rsidRDefault="003E02F6" w:rsidP="00E60349">
      <w:pPr>
        <w:ind w:left="0" w:firstLine="0"/>
        <w:rPr>
          <w:szCs w:val="22"/>
        </w:rPr>
      </w:pPr>
      <w:proofErr w:type="spellStart"/>
      <w:r w:rsidRPr="00D3133D">
        <w:rPr>
          <w:szCs w:val="22"/>
        </w:rPr>
        <w:t>MYDRANE</w:t>
      </w:r>
      <w:proofErr w:type="spellEnd"/>
      <w:r w:rsidRPr="00D3133D">
        <w:rPr>
          <w:szCs w:val="22"/>
        </w:rPr>
        <w:t xml:space="preserve"> je pri chirurgickom zákroku na odstránenie sivého zákalu používaný na dosiahnutie </w:t>
      </w:r>
      <w:proofErr w:type="spellStart"/>
      <w:r w:rsidRPr="00D3133D">
        <w:rPr>
          <w:szCs w:val="22"/>
        </w:rPr>
        <w:t>mydriázy</w:t>
      </w:r>
      <w:proofErr w:type="spellEnd"/>
      <w:r w:rsidRPr="00D3133D">
        <w:rPr>
          <w:szCs w:val="22"/>
        </w:rPr>
        <w:t xml:space="preserve"> a </w:t>
      </w:r>
      <w:proofErr w:type="spellStart"/>
      <w:r w:rsidRPr="00D3133D">
        <w:rPr>
          <w:szCs w:val="22"/>
        </w:rPr>
        <w:t>intraokulárnej</w:t>
      </w:r>
      <w:proofErr w:type="spellEnd"/>
      <w:r w:rsidRPr="00D3133D">
        <w:rPr>
          <w:szCs w:val="22"/>
        </w:rPr>
        <w:t xml:space="preserve"> anestézie počas chirurgického výkonu.</w:t>
      </w:r>
    </w:p>
    <w:p w14:paraId="06679192" w14:textId="77777777" w:rsidR="00752C30" w:rsidRPr="00D3133D" w:rsidRDefault="00752C30" w:rsidP="00E60349">
      <w:pPr>
        <w:rPr>
          <w:szCs w:val="22"/>
        </w:rPr>
      </w:pPr>
    </w:p>
    <w:p w14:paraId="4E484A6E" w14:textId="77777777" w:rsidR="00780926" w:rsidRPr="00D3133D" w:rsidRDefault="003E02F6" w:rsidP="00E60349">
      <w:pPr>
        <w:rPr>
          <w:szCs w:val="22"/>
        </w:rPr>
      </w:pPr>
      <w:proofErr w:type="spellStart"/>
      <w:r w:rsidRPr="00D3133D">
        <w:rPr>
          <w:szCs w:val="22"/>
        </w:rPr>
        <w:t>MYDRANE</w:t>
      </w:r>
      <w:proofErr w:type="spellEnd"/>
      <w:r w:rsidRPr="00D3133D">
        <w:rPr>
          <w:szCs w:val="22"/>
        </w:rPr>
        <w:t xml:space="preserve"> sa používa len u dospelých.</w:t>
      </w:r>
    </w:p>
    <w:p w14:paraId="465C473C" w14:textId="77777777" w:rsidR="00752C30" w:rsidRPr="00D3133D" w:rsidRDefault="00752C30" w:rsidP="00E60349">
      <w:pPr>
        <w:rPr>
          <w:szCs w:val="22"/>
        </w:rPr>
      </w:pPr>
    </w:p>
    <w:p w14:paraId="5D25AA80" w14:textId="77777777" w:rsidR="00780926" w:rsidRPr="00D3133D" w:rsidRDefault="003E02F6" w:rsidP="00E60349">
      <w:pPr>
        <w:rPr>
          <w:b/>
          <w:szCs w:val="22"/>
        </w:rPr>
      </w:pPr>
      <w:r w:rsidRPr="00D3133D">
        <w:rPr>
          <w:b/>
          <w:szCs w:val="22"/>
        </w:rPr>
        <w:t>4.2</w:t>
      </w:r>
      <w:r w:rsidRPr="00D3133D">
        <w:rPr>
          <w:b/>
          <w:szCs w:val="22"/>
        </w:rPr>
        <w:tab/>
        <w:t>Dávkovanie a spôsob podávania</w:t>
      </w:r>
    </w:p>
    <w:p w14:paraId="090AEB50" w14:textId="77777777" w:rsidR="00780926" w:rsidRPr="00D3133D" w:rsidRDefault="00780926" w:rsidP="00E60349">
      <w:pPr>
        <w:rPr>
          <w:szCs w:val="22"/>
        </w:rPr>
      </w:pPr>
    </w:p>
    <w:p w14:paraId="02F20461" w14:textId="77777777" w:rsidR="00752C30" w:rsidRPr="00D3133D" w:rsidRDefault="003E02F6" w:rsidP="00E60349">
      <w:pPr>
        <w:rPr>
          <w:szCs w:val="22"/>
        </w:rPr>
      </w:pPr>
      <w:proofErr w:type="spellStart"/>
      <w:r w:rsidRPr="00D3133D">
        <w:rPr>
          <w:szCs w:val="22"/>
        </w:rPr>
        <w:t>Intrakamerálne</w:t>
      </w:r>
      <w:proofErr w:type="spellEnd"/>
      <w:r w:rsidRPr="00D3133D">
        <w:rPr>
          <w:szCs w:val="22"/>
        </w:rPr>
        <w:t xml:space="preserve"> použitie. Jedna ampulka na použitie do jedného oka.</w:t>
      </w:r>
    </w:p>
    <w:p w14:paraId="199EA614" w14:textId="77777777" w:rsidR="00DF4A09" w:rsidRPr="00D3133D" w:rsidRDefault="003E02F6" w:rsidP="00E60349">
      <w:pPr>
        <w:rPr>
          <w:szCs w:val="22"/>
        </w:rPr>
      </w:pPr>
      <w:proofErr w:type="spellStart"/>
      <w:r w:rsidRPr="00D3133D">
        <w:rPr>
          <w:szCs w:val="22"/>
        </w:rPr>
        <w:t>Mydrane</w:t>
      </w:r>
      <w:proofErr w:type="spellEnd"/>
      <w:r w:rsidRPr="00D3133D">
        <w:rPr>
          <w:szCs w:val="22"/>
        </w:rPr>
        <w:t xml:space="preserve"> musí podávať očný chirurg. </w:t>
      </w:r>
    </w:p>
    <w:p w14:paraId="76560084" w14:textId="77777777" w:rsidR="00752C30" w:rsidRPr="00D3133D" w:rsidRDefault="00752C30" w:rsidP="00E60349">
      <w:pPr>
        <w:rPr>
          <w:szCs w:val="22"/>
        </w:rPr>
      </w:pPr>
    </w:p>
    <w:p w14:paraId="5C5EC216" w14:textId="77777777" w:rsidR="00752C30" w:rsidRPr="00D3133D" w:rsidRDefault="003E02F6" w:rsidP="00E60349">
      <w:pPr>
        <w:rPr>
          <w:szCs w:val="22"/>
          <w:u w:val="single"/>
        </w:rPr>
      </w:pPr>
      <w:r w:rsidRPr="00D3133D">
        <w:rPr>
          <w:szCs w:val="22"/>
          <w:u w:val="single"/>
        </w:rPr>
        <w:t>Dávkovanie</w:t>
      </w:r>
    </w:p>
    <w:p w14:paraId="3A48A2D4" w14:textId="77777777" w:rsidR="00752C30" w:rsidRPr="00D3133D" w:rsidRDefault="00752C30" w:rsidP="00E60349">
      <w:pPr>
        <w:rPr>
          <w:szCs w:val="22"/>
          <w:u w:val="single"/>
        </w:rPr>
      </w:pPr>
    </w:p>
    <w:p w14:paraId="0F9B7AE2" w14:textId="0802C19F" w:rsidR="00752C30" w:rsidRPr="00D3133D" w:rsidRDefault="003E02F6" w:rsidP="00E60349">
      <w:pPr>
        <w:ind w:left="0" w:firstLine="0"/>
        <w:rPr>
          <w:szCs w:val="22"/>
        </w:rPr>
      </w:pPr>
      <w:proofErr w:type="spellStart"/>
      <w:r w:rsidRPr="00D3133D">
        <w:rPr>
          <w:szCs w:val="22"/>
        </w:rPr>
        <w:t>MYDRANE</w:t>
      </w:r>
      <w:proofErr w:type="spellEnd"/>
      <w:r w:rsidRPr="00D3133D">
        <w:rPr>
          <w:szCs w:val="22"/>
        </w:rPr>
        <w:t xml:space="preserve"> sa má používať len u pacientov, u ktorých sa </w:t>
      </w:r>
      <w:r w:rsidR="00FA052A" w:rsidRPr="00D3133D">
        <w:rPr>
          <w:szCs w:val="22"/>
        </w:rPr>
        <w:t xml:space="preserve">už </w:t>
      </w:r>
      <w:r w:rsidRPr="00D3133D">
        <w:rPr>
          <w:szCs w:val="22"/>
        </w:rPr>
        <w:t xml:space="preserve">preukázala uspokojivá </w:t>
      </w:r>
      <w:r w:rsidR="00FA052A" w:rsidRPr="00D3133D">
        <w:rPr>
          <w:szCs w:val="22"/>
        </w:rPr>
        <w:t xml:space="preserve">predoperačná </w:t>
      </w:r>
      <w:r w:rsidRPr="00D3133D">
        <w:rPr>
          <w:szCs w:val="22"/>
        </w:rPr>
        <w:t xml:space="preserve">dilatácia očnej zreničky pomocou lokálneho </w:t>
      </w:r>
      <w:proofErr w:type="spellStart"/>
      <w:r w:rsidRPr="00D3133D">
        <w:rPr>
          <w:szCs w:val="22"/>
        </w:rPr>
        <w:t>mydriatika</w:t>
      </w:r>
      <w:proofErr w:type="spellEnd"/>
      <w:r w:rsidRPr="00D3133D">
        <w:rPr>
          <w:szCs w:val="22"/>
        </w:rPr>
        <w:t>.</w:t>
      </w:r>
    </w:p>
    <w:p w14:paraId="5AC5D7BD" w14:textId="77777777" w:rsidR="00752C30" w:rsidRPr="00D3133D" w:rsidRDefault="00752C30" w:rsidP="00E60349">
      <w:pPr>
        <w:rPr>
          <w:szCs w:val="22"/>
          <w:u w:val="single"/>
        </w:rPr>
      </w:pPr>
    </w:p>
    <w:p w14:paraId="72F24ADE" w14:textId="77777777" w:rsidR="00752C30" w:rsidRPr="00D3133D" w:rsidRDefault="003E02F6" w:rsidP="00E60349">
      <w:pPr>
        <w:rPr>
          <w:bCs/>
          <w:i/>
          <w:iCs/>
          <w:szCs w:val="22"/>
        </w:rPr>
      </w:pPr>
      <w:r w:rsidRPr="00D3133D">
        <w:rPr>
          <w:bCs/>
          <w:i/>
          <w:iCs/>
          <w:szCs w:val="22"/>
        </w:rPr>
        <w:t>Dospelí:</w:t>
      </w:r>
    </w:p>
    <w:p w14:paraId="542F255A" w14:textId="48BB27F8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>Na začiatku chirurgického zákroku sa pomalou injekciou podajú 0,2</w:t>
      </w:r>
      <w:r w:rsidR="00ED734A">
        <w:rPr>
          <w:szCs w:val="22"/>
        </w:rPr>
        <w:t> </w:t>
      </w:r>
      <w:r w:rsidRPr="00D3133D">
        <w:rPr>
          <w:szCs w:val="22"/>
        </w:rPr>
        <w:t xml:space="preserve">ml lieku </w:t>
      </w:r>
      <w:proofErr w:type="spellStart"/>
      <w:r w:rsidRPr="00D3133D">
        <w:rPr>
          <w:szCs w:val="22"/>
        </w:rPr>
        <w:t>MYDRANE</w:t>
      </w:r>
      <w:proofErr w:type="spellEnd"/>
      <w:r w:rsidRPr="00D3133D">
        <w:rPr>
          <w:szCs w:val="22"/>
        </w:rPr>
        <w:t xml:space="preserve"> </w:t>
      </w:r>
      <w:proofErr w:type="spellStart"/>
      <w:r w:rsidRPr="00D3133D">
        <w:rPr>
          <w:szCs w:val="22"/>
        </w:rPr>
        <w:t>intrakamerálne</w:t>
      </w:r>
      <w:proofErr w:type="spellEnd"/>
      <w:r w:rsidRPr="00D3133D">
        <w:rPr>
          <w:szCs w:val="22"/>
        </w:rPr>
        <w:t xml:space="preserve"> len v jednej injekcii.</w:t>
      </w:r>
    </w:p>
    <w:p w14:paraId="2FB8CD88" w14:textId="77777777" w:rsidR="00752C30" w:rsidRPr="00D3133D" w:rsidRDefault="00752C30" w:rsidP="00E60349">
      <w:pPr>
        <w:rPr>
          <w:szCs w:val="22"/>
        </w:rPr>
      </w:pPr>
    </w:p>
    <w:p w14:paraId="5FB19A18" w14:textId="77777777" w:rsidR="00752C30" w:rsidRPr="00D3133D" w:rsidRDefault="003E02F6" w:rsidP="00E60349">
      <w:pPr>
        <w:keepNext/>
        <w:keepLines/>
        <w:rPr>
          <w:szCs w:val="22"/>
          <w:u w:val="single"/>
        </w:rPr>
      </w:pPr>
      <w:r w:rsidRPr="00D3133D">
        <w:rPr>
          <w:szCs w:val="22"/>
          <w:u w:val="single"/>
        </w:rPr>
        <w:t>Osobitné skupiny pacientov</w:t>
      </w:r>
    </w:p>
    <w:p w14:paraId="3B7173B2" w14:textId="77777777" w:rsidR="00752C30" w:rsidRPr="00D3133D" w:rsidRDefault="00752C30" w:rsidP="00E60349">
      <w:pPr>
        <w:keepNext/>
        <w:keepLines/>
        <w:rPr>
          <w:szCs w:val="22"/>
          <w:u w:val="single"/>
        </w:rPr>
      </w:pPr>
    </w:p>
    <w:p w14:paraId="0A703980" w14:textId="77777777" w:rsidR="00752C30" w:rsidRPr="00D3133D" w:rsidRDefault="003E02F6" w:rsidP="00E60349">
      <w:pPr>
        <w:keepNext/>
        <w:keepLines/>
        <w:rPr>
          <w:i/>
          <w:szCs w:val="22"/>
        </w:rPr>
      </w:pPr>
      <w:r w:rsidRPr="00D3133D">
        <w:rPr>
          <w:i/>
          <w:szCs w:val="22"/>
        </w:rPr>
        <w:t>Staršie osoby:</w:t>
      </w:r>
    </w:p>
    <w:p w14:paraId="0E5AA212" w14:textId="77777777" w:rsidR="00752C30" w:rsidRPr="00D3133D" w:rsidRDefault="003E02F6" w:rsidP="00E60349">
      <w:pPr>
        <w:rPr>
          <w:szCs w:val="22"/>
        </w:rPr>
      </w:pPr>
      <w:r w:rsidRPr="00D3133D">
        <w:rPr>
          <w:szCs w:val="22"/>
        </w:rPr>
        <w:t>Nie je potrebná žiadna úprava dávky.</w:t>
      </w:r>
    </w:p>
    <w:p w14:paraId="4608335A" w14:textId="77777777" w:rsidR="00752C30" w:rsidRPr="00D3133D" w:rsidRDefault="00752C30" w:rsidP="00E60349">
      <w:pPr>
        <w:rPr>
          <w:szCs w:val="22"/>
        </w:rPr>
      </w:pPr>
    </w:p>
    <w:p w14:paraId="43A6E0FB" w14:textId="77777777" w:rsidR="00752C30" w:rsidRPr="00D3133D" w:rsidRDefault="003E02F6" w:rsidP="005042D9">
      <w:pPr>
        <w:keepNext/>
        <w:keepLines/>
        <w:rPr>
          <w:bCs/>
          <w:i/>
          <w:iCs/>
          <w:szCs w:val="22"/>
        </w:rPr>
      </w:pPr>
      <w:r w:rsidRPr="00D3133D">
        <w:rPr>
          <w:bCs/>
          <w:i/>
          <w:iCs/>
          <w:szCs w:val="22"/>
        </w:rPr>
        <w:t>Pediatrická populácia:</w:t>
      </w:r>
    </w:p>
    <w:p w14:paraId="7411DC7D" w14:textId="77777777" w:rsidR="00752C30" w:rsidRPr="00D3133D" w:rsidRDefault="003E02F6" w:rsidP="00E60349">
      <w:pPr>
        <w:autoSpaceDE w:val="0"/>
        <w:autoSpaceDN w:val="0"/>
        <w:adjustRightInd w:val="0"/>
        <w:rPr>
          <w:i/>
          <w:szCs w:val="22"/>
        </w:rPr>
      </w:pPr>
      <w:r w:rsidRPr="00D3133D">
        <w:rPr>
          <w:szCs w:val="22"/>
        </w:rPr>
        <w:t xml:space="preserve">Bezpečnosť a účinnosť lieku </w:t>
      </w:r>
      <w:proofErr w:type="spellStart"/>
      <w:r w:rsidRPr="00D3133D">
        <w:rPr>
          <w:szCs w:val="22"/>
        </w:rPr>
        <w:t>MYDRANE</w:t>
      </w:r>
      <w:proofErr w:type="spellEnd"/>
      <w:r w:rsidRPr="00D3133D">
        <w:rPr>
          <w:szCs w:val="22"/>
        </w:rPr>
        <w:t xml:space="preserve"> u detí vo veku od 0 do 18 rokov neboli stanovené.</w:t>
      </w:r>
    </w:p>
    <w:p w14:paraId="6C44A969" w14:textId="77777777" w:rsidR="00752C30" w:rsidRPr="00D3133D" w:rsidRDefault="00752C30" w:rsidP="00E60349">
      <w:pPr>
        <w:rPr>
          <w:szCs w:val="22"/>
        </w:rPr>
      </w:pPr>
    </w:p>
    <w:p w14:paraId="212400AE" w14:textId="77777777" w:rsidR="00752C30" w:rsidRPr="00D3133D" w:rsidRDefault="003E02F6" w:rsidP="00E60349">
      <w:pPr>
        <w:autoSpaceDE w:val="0"/>
        <w:autoSpaceDN w:val="0"/>
        <w:adjustRightInd w:val="0"/>
        <w:rPr>
          <w:i/>
          <w:szCs w:val="22"/>
        </w:rPr>
      </w:pPr>
      <w:r w:rsidRPr="00D3133D">
        <w:rPr>
          <w:i/>
          <w:szCs w:val="22"/>
        </w:rPr>
        <w:t>Pacienti s poruchou funkcie obličiek:</w:t>
      </w:r>
    </w:p>
    <w:p w14:paraId="7D3ADD76" w14:textId="77777777" w:rsidR="00752C30" w:rsidRPr="005F0ED1" w:rsidRDefault="002F39CA" w:rsidP="002F39CA">
      <w:pPr>
        <w:pStyle w:val="Textkomentra"/>
        <w:ind w:left="0" w:firstLine="0"/>
        <w:rPr>
          <w:sz w:val="22"/>
          <w:szCs w:val="22"/>
        </w:rPr>
      </w:pPr>
      <w:r w:rsidRPr="005F0ED1">
        <w:rPr>
          <w:sz w:val="22"/>
          <w:szCs w:val="22"/>
        </w:rPr>
        <w:t xml:space="preserve">Vzhľadom na nízku dávku a veľmi nízku systémovú expozíciu </w:t>
      </w:r>
      <w:r w:rsidR="00752C30" w:rsidRPr="005F0ED1">
        <w:rPr>
          <w:sz w:val="22"/>
          <w:szCs w:val="22"/>
        </w:rPr>
        <w:t>(pozri časť 5.2) nie je potrebná žiadna úprava dávky (pozri časť 4.4).</w:t>
      </w:r>
    </w:p>
    <w:p w14:paraId="564EF84B" w14:textId="77777777" w:rsidR="00752C30" w:rsidRPr="00D3133D" w:rsidRDefault="00752C30" w:rsidP="00E60349">
      <w:pPr>
        <w:autoSpaceDE w:val="0"/>
        <w:autoSpaceDN w:val="0"/>
        <w:adjustRightInd w:val="0"/>
        <w:rPr>
          <w:szCs w:val="22"/>
        </w:rPr>
      </w:pPr>
    </w:p>
    <w:p w14:paraId="2E983BF9" w14:textId="77777777" w:rsidR="00752C30" w:rsidRPr="00D3133D" w:rsidRDefault="00752C30" w:rsidP="00E60349">
      <w:pPr>
        <w:autoSpaceDE w:val="0"/>
        <w:autoSpaceDN w:val="0"/>
        <w:adjustRightInd w:val="0"/>
        <w:rPr>
          <w:i/>
          <w:szCs w:val="22"/>
        </w:rPr>
      </w:pPr>
      <w:r w:rsidRPr="00D3133D">
        <w:rPr>
          <w:i/>
          <w:szCs w:val="22"/>
        </w:rPr>
        <w:t>Pacienti s poruchou funkcie pečene:</w:t>
      </w:r>
    </w:p>
    <w:p w14:paraId="21419A6C" w14:textId="77777777" w:rsidR="00752C30" w:rsidRPr="005F0ED1" w:rsidRDefault="002F39CA" w:rsidP="002F39CA">
      <w:pPr>
        <w:pStyle w:val="Textkomentra"/>
        <w:ind w:left="0" w:firstLine="0"/>
        <w:rPr>
          <w:sz w:val="22"/>
          <w:szCs w:val="22"/>
        </w:rPr>
      </w:pPr>
      <w:r w:rsidRPr="005F0ED1">
        <w:rPr>
          <w:sz w:val="22"/>
          <w:szCs w:val="22"/>
        </w:rPr>
        <w:t xml:space="preserve">Vzhľadom na nízku dávku a veľmi nízku systémovú expozíciu </w:t>
      </w:r>
      <w:r w:rsidR="00752C30" w:rsidRPr="005F0ED1">
        <w:rPr>
          <w:sz w:val="22"/>
          <w:szCs w:val="22"/>
        </w:rPr>
        <w:t xml:space="preserve"> (pozri časť 5.2) nie je potrebná žiadna úprava dávky.</w:t>
      </w:r>
    </w:p>
    <w:p w14:paraId="6CCDE857" w14:textId="77777777" w:rsidR="00752C30" w:rsidRPr="00D3133D" w:rsidRDefault="00752C30" w:rsidP="00E60349">
      <w:pPr>
        <w:autoSpaceDE w:val="0"/>
        <w:autoSpaceDN w:val="0"/>
        <w:adjustRightInd w:val="0"/>
        <w:rPr>
          <w:szCs w:val="22"/>
        </w:rPr>
      </w:pPr>
    </w:p>
    <w:p w14:paraId="325739E8" w14:textId="77777777" w:rsidR="00752C30" w:rsidRPr="00D3133D" w:rsidRDefault="003E02F6" w:rsidP="00E60349">
      <w:pPr>
        <w:rPr>
          <w:szCs w:val="22"/>
          <w:u w:val="single"/>
        </w:rPr>
      </w:pPr>
      <w:r w:rsidRPr="00D3133D">
        <w:rPr>
          <w:szCs w:val="22"/>
          <w:u w:val="single"/>
        </w:rPr>
        <w:t>Spôsob podávania</w:t>
      </w:r>
    </w:p>
    <w:p w14:paraId="57554D20" w14:textId="77777777" w:rsidR="00752C30" w:rsidRPr="00D3133D" w:rsidRDefault="00752C30" w:rsidP="00E60349">
      <w:pPr>
        <w:rPr>
          <w:szCs w:val="22"/>
        </w:rPr>
      </w:pPr>
    </w:p>
    <w:p w14:paraId="7E7CA847" w14:textId="77777777" w:rsidR="00752C30" w:rsidRPr="00D3133D" w:rsidRDefault="003E02F6" w:rsidP="00E60349">
      <w:pPr>
        <w:rPr>
          <w:szCs w:val="22"/>
        </w:rPr>
      </w:pPr>
      <w:proofErr w:type="spellStart"/>
      <w:r w:rsidRPr="00D3133D">
        <w:rPr>
          <w:szCs w:val="22"/>
        </w:rPr>
        <w:t>Intrakamerálne</w:t>
      </w:r>
      <w:proofErr w:type="spellEnd"/>
      <w:r w:rsidRPr="00D3133D">
        <w:rPr>
          <w:szCs w:val="22"/>
        </w:rPr>
        <w:t xml:space="preserve"> použitie.</w:t>
      </w:r>
    </w:p>
    <w:p w14:paraId="0F509BF7" w14:textId="77777777" w:rsidR="00752C30" w:rsidRPr="00D3133D" w:rsidRDefault="00752C30" w:rsidP="00E60349">
      <w:pPr>
        <w:rPr>
          <w:szCs w:val="22"/>
        </w:rPr>
      </w:pPr>
    </w:p>
    <w:p w14:paraId="227C0310" w14:textId="77777777" w:rsidR="00752C30" w:rsidRPr="00D3133D" w:rsidRDefault="003E02F6" w:rsidP="00E60349">
      <w:pPr>
        <w:rPr>
          <w:szCs w:val="22"/>
        </w:rPr>
      </w:pPr>
      <w:r w:rsidRPr="00D3133D">
        <w:rPr>
          <w:szCs w:val="22"/>
        </w:rPr>
        <w:t>Má sa postupovať podľa nasledujúceho postupu:</w:t>
      </w:r>
    </w:p>
    <w:p w14:paraId="0A8E365C" w14:textId="77777777" w:rsidR="00752C30" w:rsidRPr="00D3133D" w:rsidRDefault="003E02F6" w:rsidP="00E60349">
      <w:pPr>
        <w:numPr>
          <w:ilvl w:val="0"/>
          <w:numId w:val="12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D3133D">
        <w:rPr>
          <w:szCs w:val="22"/>
        </w:rPr>
        <w:t xml:space="preserve">Päť minút pred vykonaním predoperačného aseptického postupu a prvého rezu sa má do oka vkvapnúť jedna až dve kvapky očnej </w:t>
      </w:r>
      <w:proofErr w:type="spellStart"/>
      <w:r w:rsidRPr="00D3133D">
        <w:rPr>
          <w:szCs w:val="22"/>
        </w:rPr>
        <w:t>instilácie</w:t>
      </w:r>
      <w:proofErr w:type="spellEnd"/>
      <w:r w:rsidRPr="00D3133D">
        <w:rPr>
          <w:szCs w:val="22"/>
        </w:rPr>
        <w:t xml:space="preserve"> obsahujúcej anestetikum.</w:t>
      </w:r>
    </w:p>
    <w:p w14:paraId="0CC82E15" w14:textId="77777777" w:rsidR="00752C30" w:rsidRPr="00D3133D" w:rsidRDefault="003E02F6" w:rsidP="00E60349">
      <w:pPr>
        <w:numPr>
          <w:ilvl w:val="0"/>
          <w:numId w:val="12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D3133D">
        <w:rPr>
          <w:szCs w:val="22"/>
        </w:rPr>
        <w:t xml:space="preserve">Na začiatku chirurgického zákroku má očný chirurg pomocou bočného alebo hlavného portu pomalou injekciou </w:t>
      </w:r>
      <w:proofErr w:type="spellStart"/>
      <w:r w:rsidRPr="00D3133D">
        <w:rPr>
          <w:szCs w:val="22"/>
        </w:rPr>
        <w:t>intrakamerálne</w:t>
      </w:r>
      <w:proofErr w:type="spellEnd"/>
      <w:r w:rsidRPr="00D3133D">
        <w:rPr>
          <w:szCs w:val="22"/>
        </w:rPr>
        <w:t xml:space="preserve"> podať 0,2 ml lieku </w:t>
      </w:r>
      <w:proofErr w:type="spellStart"/>
      <w:r w:rsidRPr="00D3133D">
        <w:rPr>
          <w:szCs w:val="22"/>
        </w:rPr>
        <w:t>MYDRANE</w:t>
      </w:r>
      <w:proofErr w:type="spellEnd"/>
      <w:r w:rsidRPr="00D3133D">
        <w:rPr>
          <w:szCs w:val="22"/>
        </w:rPr>
        <w:t xml:space="preserve"> len v jednej injekcii.</w:t>
      </w:r>
    </w:p>
    <w:p w14:paraId="769C9A1E" w14:textId="77777777" w:rsidR="00752C30" w:rsidRPr="00D3133D" w:rsidRDefault="00752C30" w:rsidP="00E60349">
      <w:pPr>
        <w:rPr>
          <w:szCs w:val="22"/>
        </w:rPr>
      </w:pPr>
    </w:p>
    <w:p w14:paraId="70D15D78" w14:textId="4EF92843" w:rsidR="00E1698A" w:rsidRPr="00D3133D" w:rsidRDefault="003E02F6" w:rsidP="00E60349">
      <w:pPr>
        <w:rPr>
          <w:szCs w:val="22"/>
        </w:rPr>
      </w:pPr>
      <w:r w:rsidRPr="00D3133D">
        <w:rPr>
          <w:szCs w:val="22"/>
        </w:rPr>
        <w:t>Pokyny na zaobchádzanie s liekom pred podaním, pozri časť</w:t>
      </w:r>
      <w:r w:rsidR="00ED734A">
        <w:rPr>
          <w:szCs w:val="22"/>
        </w:rPr>
        <w:t> </w:t>
      </w:r>
      <w:r w:rsidRPr="00D3133D">
        <w:rPr>
          <w:szCs w:val="22"/>
        </w:rPr>
        <w:t>6.6.</w:t>
      </w:r>
    </w:p>
    <w:p w14:paraId="2AFBA614" w14:textId="77777777" w:rsidR="00780926" w:rsidRPr="00D3133D" w:rsidRDefault="00780926" w:rsidP="00E60349">
      <w:pPr>
        <w:rPr>
          <w:szCs w:val="22"/>
        </w:rPr>
      </w:pPr>
    </w:p>
    <w:p w14:paraId="131F0CE2" w14:textId="77777777" w:rsidR="00780926" w:rsidRPr="00D3133D" w:rsidRDefault="003E02F6" w:rsidP="00E60349">
      <w:pPr>
        <w:rPr>
          <w:szCs w:val="22"/>
        </w:rPr>
      </w:pPr>
      <w:r w:rsidRPr="00D3133D">
        <w:rPr>
          <w:b/>
          <w:szCs w:val="22"/>
        </w:rPr>
        <w:t>4.3</w:t>
      </w:r>
      <w:r w:rsidRPr="00D3133D">
        <w:rPr>
          <w:b/>
          <w:szCs w:val="22"/>
        </w:rPr>
        <w:tab/>
        <w:t>Kontraindikácie</w:t>
      </w:r>
    </w:p>
    <w:p w14:paraId="293DF5BF" w14:textId="77777777" w:rsidR="00780926" w:rsidRPr="00D3133D" w:rsidRDefault="00780926" w:rsidP="00E60349">
      <w:pPr>
        <w:rPr>
          <w:szCs w:val="22"/>
        </w:rPr>
      </w:pPr>
    </w:p>
    <w:p w14:paraId="49096A57" w14:textId="4B2AFC39" w:rsidR="00752C30" w:rsidRPr="00D3133D" w:rsidRDefault="003E02F6" w:rsidP="00E60349">
      <w:pPr>
        <w:numPr>
          <w:ilvl w:val="0"/>
          <w:numId w:val="13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D3133D">
        <w:rPr>
          <w:szCs w:val="22"/>
        </w:rPr>
        <w:t>Precitlivenosť na liečivá (</w:t>
      </w:r>
      <w:proofErr w:type="spellStart"/>
      <w:r w:rsidRPr="00D3133D">
        <w:rPr>
          <w:szCs w:val="22"/>
        </w:rPr>
        <w:t>tropikamid</w:t>
      </w:r>
      <w:proofErr w:type="spellEnd"/>
      <w:r w:rsidRPr="00D3133D">
        <w:rPr>
          <w:szCs w:val="22"/>
        </w:rPr>
        <w:t xml:space="preserve">, </w:t>
      </w:r>
      <w:proofErr w:type="spellStart"/>
      <w:r w:rsidRPr="00D3133D">
        <w:rPr>
          <w:szCs w:val="22"/>
        </w:rPr>
        <w:t>fenylefríniumchlorid</w:t>
      </w:r>
      <w:proofErr w:type="spellEnd"/>
      <w:r w:rsidRPr="00D3133D">
        <w:rPr>
          <w:szCs w:val="22"/>
        </w:rPr>
        <w:t xml:space="preserve"> a </w:t>
      </w:r>
      <w:proofErr w:type="spellStart"/>
      <w:r w:rsidRPr="00D3133D">
        <w:rPr>
          <w:szCs w:val="22"/>
        </w:rPr>
        <w:t>lidokaíniumchlorid</w:t>
      </w:r>
      <w:proofErr w:type="spellEnd"/>
      <w:r w:rsidRPr="00D3133D">
        <w:rPr>
          <w:szCs w:val="22"/>
        </w:rPr>
        <w:t>) alebo na</w:t>
      </w:r>
      <w:r w:rsidR="00ED734A">
        <w:rPr>
          <w:szCs w:val="22"/>
        </w:rPr>
        <w:t> </w:t>
      </w:r>
      <w:r w:rsidRPr="00D3133D">
        <w:rPr>
          <w:szCs w:val="22"/>
        </w:rPr>
        <w:t>ktorúkoľvek z pomocných látok uvedených v</w:t>
      </w:r>
      <w:r w:rsidR="00ED734A">
        <w:rPr>
          <w:szCs w:val="22"/>
        </w:rPr>
        <w:t> </w:t>
      </w:r>
      <w:r w:rsidRPr="00D3133D">
        <w:rPr>
          <w:szCs w:val="22"/>
        </w:rPr>
        <w:t>časti</w:t>
      </w:r>
      <w:r w:rsidR="00ED734A">
        <w:rPr>
          <w:szCs w:val="22"/>
        </w:rPr>
        <w:t> </w:t>
      </w:r>
      <w:r w:rsidRPr="00D3133D">
        <w:rPr>
          <w:szCs w:val="22"/>
        </w:rPr>
        <w:t>6.1.</w:t>
      </w:r>
    </w:p>
    <w:p w14:paraId="0941702A" w14:textId="77777777" w:rsidR="00752C30" w:rsidRPr="00D3133D" w:rsidRDefault="003E02F6" w:rsidP="00E60349">
      <w:pPr>
        <w:numPr>
          <w:ilvl w:val="0"/>
          <w:numId w:val="13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D3133D">
        <w:rPr>
          <w:szCs w:val="22"/>
        </w:rPr>
        <w:t xml:space="preserve">Známa precitlivenosť na anestetiká </w:t>
      </w:r>
      <w:proofErr w:type="spellStart"/>
      <w:r w:rsidRPr="00D3133D">
        <w:rPr>
          <w:szCs w:val="22"/>
        </w:rPr>
        <w:t>amidového</w:t>
      </w:r>
      <w:proofErr w:type="spellEnd"/>
      <w:r w:rsidRPr="00D3133D">
        <w:rPr>
          <w:szCs w:val="22"/>
        </w:rPr>
        <w:t xml:space="preserve"> typu.</w:t>
      </w:r>
    </w:p>
    <w:p w14:paraId="2E78A598" w14:textId="77777777" w:rsidR="00752C30" w:rsidRPr="00D3133D" w:rsidRDefault="003E02F6" w:rsidP="00E60349">
      <w:pPr>
        <w:numPr>
          <w:ilvl w:val="0"/>
          <w:numId w:val="13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D3133D">
        <w:rPr>
          <w:szCs w:val="22"/>
        </w:rPr>
        <w:t>Známa precitlivenosť na deriváty atropínu.</w:t>
      </w:r>
    </w:p>
    <w:p w14:paraId="657583BF" w14:textId="77777777" w:rsidR="00780926" w:rsidRPr="00D3133D" w:rsidRDefault="00780926" w:rsidP="00E60349">
      <w:pPr>
        <w:rPr>
          <w:szCs w:val="22"/>
        </w:rPr>
      </w:pPr>
    </w:p>
    <w:p w14:paraId="684C13D2" w14:textId="77777777" w:rsidR="00780926" w:rsidRPr="00D3133D" w:rsidRDefault="003E02F6" w:rsidP="00E60349">
      <w:pPr>
        <w:rPr>
          <w:b/>
          <w:szCs w:val="22"/>
        </w:rPr>
      </w:pPr>
      <w:r w:rsidRPr="00D3133D">
        <w:rPr>
          <w:b/>
          <w:szCs w:val="22"/>
        </w:rPr>
        <w:t>4.4</w:t>
      </w:r>
      <w:r w:rsidRPr="00D3133D">
        <w:rPr>
          <w:b/>
          <w:szCs w:val="22"/>
        </w:rPr>
        <w:tab/>
        <w:t>Osobitné upozornenia a opatrenia pri používaní</w:t>
      </w:r>
    </w:p>
    <w:p w14:paraId="49A14C89" w14:textId="77777777" w:rsidR="00E1698A" w:rsidRPr="00D3133D" w:rsidRDefault="00E1698A" w:rsidP="00E60349">
      <w:pPr>
        <w:rPr>
          <w:szCs w:val="22"/>
        </w:rPr>
      </w:pPr>
    </w:p>
    <w:p w14:paraId="4C01F72A" w14:textId="77777777" w:rsidR="00752C30" w:rsidRPr="00D3133D" w:rsidRDefault="003E02F6" w:rsidP="00E60349">
      <w:pPr>
        <w:rPr>
          <w:b/>
          <w:i/>
          <w:szCs w:val="22"/>
          <w:u w:val="single"/>
        </w:rPr>
      </w:pPr>
      <w:r w:rsidRPr="00D3133D">
        <w:rPr>
          <w:b/>
          <w:i/>
          <w:szCs w:val="22"/>
          <w:u w:val="single"/>
        </w:rPr>
        <w:t>Osobitné upozornenia:</w:t>
      </w:r>
    </w:p>
    <w:p w14:paraId="0273E678" w14:textId="77777777" w:rsidR="00752C30" w:rsidRPr="00D3133D" w:rsidRDefault="00752C30" w:rsidP="00E60349">
      <w:pPr>
        <w:tabs>
          <w:tab w:val="left" w:pos="0"/>
        </w:tabs>
        <w:ind w:left="0" w:firstLine="0"/>
        <w:rPr>
          <w:szCs w:val="22"/>
        </w:rPr>
      </w:pPr>
    </w:p>
    <w:p w14:paraId="335D45C3" w14:textId="4B1AE8FA" w:rsidR="00087171" w:rsidRPr="00D3133D" w:rsidRDefault="003E02F6" w:rsidP="00732648">
      <w:pPr>
        <w:tabs>
          <w:tab w:val="left" w:pos="0"/>
        </w:tabs>
        <w:ind w:left="0" w:firstLine="0"/>
        <w:rPr>
          <w:szCs w:val="22"/>
        </w:rPr>
      </w:pPr>
      <w:r w:rsidRPr="00D3133D">
        <w:rPr>
          <w:szCs w:val="22"/>
        </w:rPr>
        <w:t xml:space="preserve">Odporúčaná dávka je 0,2 ml lieku </w:t>
      </w:r>
      <w:proofErr w:type="spellStart"/>
      <w:r w:rsidRPr="00D3133D">
        <w:rPr>
          <w:szCs w:val="22"/>
        </w:rPr>
        <w:t>MYDRANE</w:t>
      </w:r>
      <w:proofErr w:type="spellEnd"/>
      <w:r w:rsidRPr="00D3133D">
        <w:rPr>
          <w:szCs w:val="22"/>
        </w:rPr>
        <w:t xml:space="preserve">; ďalšia dávka nemá byť podaná, nakoľko zvýšený účinok nebol preukázaný a bola pozorovaná zvýšená strata </w:t>
      </w:r>
      <w:proofErr w:type="spellStart"/>
      <w:r w:rsidRPr="00D3133D">
        <w:rPr>
          <w:szCs w:val="22"/>
        </w:rPr>
        <w:t>endoteliálnych</w:t>
      </w:r>
      <w:proofErr w:type="spellEnd"/>
      <w:r w:rsidRPr="00D3133D">
        <w:rPr>
          <w:szCs w:val="22"/>
        </w:rPr>
        <w:t xml:space="preserve"> buniek</w:t>
      </w:r>
      <w:r w:rsidR="00221141">
        <w:rPr>
          <w:szCs w:val="22"/>
        </w:rPr>
        <w:t xml:space="preserve"> (pozri tiež časť</w:t>
      </w:r>
      <w:r w:rsidR="00ED734A">
        <w:rPr>
          <w:szCs w:val="22"/>
        </w:rPr>
        <w:t> </w:t>
      </w:r>
      <w:r w:rsidR="00221141">
        <w:rPr>
          <w:szCs w:val="22"/>
        </w:rPr>
        <w:t>4.9)</w:t>
      </w:r>
      <w:r w:rsidRPr="00D3133D">
        <w:rPr>
          <w:szCs w:val="22"/>
        </w:rPr>
        <w:t xml:space="preserve">. </w:t>
      </w:r>
    </w:p>
    <w:p w14:paraId="1C4A1E37" w14:textId="77777777" w:rsidR="00752C30" w:rsidRPr="00D3133D" w:rsidRDefault="00752C30" w:rsidP="00E60349">
      <w:pPr>
        <w:tabs>
          <w:tab w:val="left" w:pos="0"/>
        </w:tabs>
        <w:ind w:left="0" w:firstLine="0"/>
        <w:rPr>
          <w:szCs w:val="22"/>
        </w:rPr>
      </w:pPr>
    </w:p>
    <w:p w14:paraId="6275DC53" w14:textId="77777777" w:rsidR="00752C30" w:rsidRPr="00D3133D" w:rsidRDefault="003E02F6" w:rsidP="00E60349">
      <w:pPr>
        <w:tabs>
          <w:tab w:val="left" w:pos="0"/>
        </w:tabs>
        <w:ind w:left="0" w:firstLine="0"/>
        <w:rPr>
          <w:szCs w:val="22"/>
        </w:rPr>
      </w:pPr>
      <w:r w:rsidRPr="00D3133D">
        <w:rPr>
          <w:szCs w:val="22"/>
        </w:rPr>
        <w:t xml:space="preserve">Pri odporúčanej dávke lieku </w:t>
      </w:r>
      <w:proofErr w:type="spellStart"/>
      <w:r w:rsidRPr="00D3133D">
        <w:rPr>
          <w:szCs w:val="22"/>
        </w:rPr>
        <w:t>MYDRANE</w:t>
      </w:r>
      <w:proofErr w:type="spellEnd"/>
      <w:r w:rsidRPr="00D3133D">
        <w:rPr>
          <w:szCs w:val="22"/>
        </w:rPr>
        <w:t xml:space="preserve"> sa nehlásili žiadne toxické účinky na </w:t>
      </w:r>
      <w:proofErr w:type="spellStart"/>
      <w:r w:rsidRPr="00D3133D">
        <w:rPr>
          <w:szCs w:val="22"/>
        </w:rPr>
        <w:t>endotel</w:t>
      </w:r>
      <w:proofErr w:type="spellEnd"/>
      <w:r w:rsidRPr="00D3133D">
        <w:rPr>
          <w:szCs w:val="22"/>
        </w:rPr>
        <w:t xml:space="preserve"> rohovky; napriek tomu sa však z dôvodu obmedzených údajov toto riziko nedá vylúčiť.</w:t>
      </w:r>
    </w:p>
    <w:p w14:paraId="5E924CC5" w14:textId="77777777" w:rsidR="00752C30" w:rsidRPr="00D3133D" w:rsidRDefault="00752C30" w:rsidP="00E60349">
      <w:pPr>
        <w:tabs>
          <w:tab w:val="left" w:pos="0"/>
        </w:tabs>
        <w:ind w:left="0" w:firstLine="0"/>
        <w:rPr>
          <w:szCs w:val="22"/>
        </w:rPr>
      </w:pPr>
    </w:p>
    <w:p w14:paraId="2D97FBA2" w14:textId="77777777" w:rsidR="00752C30" w:rsidRPr="00D3133D" w:rsidRDefault="003E02F6" w:rsidP="00E60349">
      <w:pPr>
        <w:tabs>
          <w:tab w:val="left" w:pos="0"/>
        </w:tabs>
        <w:ind w:left="0" w:firstLine="0"/>
        <w:rPr>
          <w:szCs w:val="22"/>
        </w:rPr>
      </w:pPr>
      <w:r w:rsidRPr="00D3133D">
        <w:rPr>
          <w:szCs w:val="22"/>
        </w:rPr>
        <w:t xml:space="preserve">Neexistujú žiadne klinické skúsenosti s liekom </w:t>
      </w:r>
      <w:proofErr w:type="spellStart"/>
      <w:r w:rsidRPr="00D3133D">
        <w:rPr>
          <w:szCs w:val="22"/>
        </w:rPr>
        <w:t>MYDRANE</w:t>
      </w:r>
      <w:proofErr w:type="spellEnd"/>
      <w:r w:rsidRPr="00D3133D">
        <w:rPr>
          <w:szCs w:val="22"/>
        </w:rPr>
        <w:t xml:space="preserve"> u:</w:t>
      </w:r>
    </w:p>
    <w:p w14:paraId="3A9D3611" w14:textId="77777777" w:rsidR="00752C30" w:rsidRPr="00D3133D" w:rsidRDefault="003E02F6" w:rsidP="00E60349">
      <w:pPr>
        <w:numPr>
          <w:ilvl w:val="0"/>
          <w:numId w:val="13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D3133D">
        <w:rPr>
          <w:szCs w:val="22"/>
        </w:rPr>
        <w:t xml:space="preserve">pacientov s inzulín </w:t>
      </w:r>
      <w:proofErr w:type="spellStart"/>
      <w:r w:rsidRPr="00D3133D">
        <w:rPr>
          <w:szCs w:val="22"/>
        </w:rPr>
        <w:t>dependentným</w:t>
      </w:r>
      <w:proofErr w:type="spellEnd"/>
      <w:r w:rsidRPr="00D3133D">
        <w:rPr>
          <w:szCs w:val="22"/>
        </w:rPr>
        <w:t xml:space="preserve"> alebo nekontrolovaným diabetes </w:t>
      </w:r>
      <w:proofErr w:type="spellStart"/>
      <w:r w:rsidRPr="00D3133D">
        <w:rPr>
          <w:szCs w:val="22"/>
        </w:rPr>
        <w:t>mellitus</w:t>
      </w:r>
      <w:proofErr w:type="spellEnd"/>
      <w:r w:rsidRPr="00D3133D">
        <w:rPr>
          <w:szCs w:val="22"/>
        </w:rPr>
        <w:t>,</w:t>
      </w:r>
    </w:p>
    <w:p w14:paraId="3C2FF734" w14:textId="77777777" w:rsidR="00752C30" w:rsidRPr="00D3133D" w:rsidRDefault="003E02F6" w:rsidP="00E60349">
      <w:pPr>
        <w:numPr>
          <w:ilvl w:val="0"/>
          <w:numId w:val="13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D3133D">
        <w:rPr>
          <w:szCs w:val="22"/>
        </w:rPr>
        <w:t xml:space="preserve">pacientov s ochorením rohovky, najmä u pacientov so súčasne prítomným poškodením buniek </w:t>
      </w:r>
      <w:proofErr w:type="spellStart"/>
      <w:r w:rsidRPr="00D3133D">
        <w:rPr>
          <w:szCs w:val="22"/>
        </w:rPr>
        <w:t>endotelu</w:t>
      </w:r>
      <w:proofErr w:type="spellEnd"/>
      <w:r w:rsidRPr="00D3133D">
        <w:rPr>
          <w:szCs w:val="22"/>
        </w:rPr>
        <w:t>,</w:t>
      </w:r>
    </w:p>
    <w:p w14:paraId="172B553E" w14:textId="77777777" w:rsidR="00752C30" w:rsidRPr="00D3133D" w:rsidRDefault="003E02F6" w:rsidP="00E60349">
      <w:pPr>
        <w:numPr>
          <w:ilvl w:val="0"/>
          <w:numId w:val="13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D3133D">
        <w:rPr>
          <w:szCs w:val="22"/>
        </w:rPr>
        <w:t>pacientov s </w:t>
      </w:r>
      <w:proofErr w:type="spellStart"/>
      <w:r w:rsidRPr="00D3133D">
        <w:rPr>
          <w:szCs w:val="22"/>
        </w:rPr>
        <w:t>uveitídou</w:t>
      </w:r>
      <w:proofErr w:type="spellEnd"/>
      <w:r w:rsidRPr="00D3133D">
        <w:rPr>
          <w:szCs w:val="22"/>
        </w:rPr>
        <w:t xml:space="preserve"> v anamnéze,</w:t>
      </w:r>
    </w:p>
    <w:p w14:paraId="7471ECB5" w14:textId="77777777" w:rsidR="00752C30" w:rsidRPr="00D3133D" w:rsidRDefault="003E02F6" w:rsidP="00E60349">
      <w:pPr>
        <w:numPr>
          <w:ilvl w:val="0"/>
          <w:numId w:val="13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D3133D">
        <w:rPr>
          <w:szCs w:val="22"/>
        </w:rPr>
        <w:t>pacientov s abnormalitami očnej zreničky alebo s existujúcim poranením oka,</w:t>
      </w:r>
    </w:p>
    <w:p w14:paraId="5192DD01" w14:textId="77777777" w:rsidR="00F8614B" w:rsidRPr="00D3133D" w:rsidRDefault="003E02F6" w:rsidP="00E60349">
      <w:pPr>
        <w:numPr>
          <w:ilvl w:val="0"/>
          <w:numId w:val="13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D3133D">
        <w:rPr>
          <w:szCs w:val="22"/>
        </w:rPr>
        <w:t>pacientov s veľmi tmavou dúhovkou,</w:t>
      </w:r>
    </w:p>
    <w:p w14:paraId="0A3555F2" w14:textId="77777777" w:rsidR="00752C30" w:rsidRPr="00D3133D" w:rsidRDefault="003E02F6" w:rsidP="00E60349">
      <w:pPr>
        <w:numPr>
          <w:ilvl w:val="0"/>
          <w:numId w:val="13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D3133D">
        <w:rPr>
          <w:szCs w:val="22"/>
        </w:rPr>
        <w:t>pri chirurgickom zákroku na odstránenie sivého zákalu v kombinácii s transplantáciou rohovky.</w:t>
      </w:r>
    </w:p>
    <w:p w14:paraId="3B2ECB94" w14:textId="77777777" w:rsidR="00752C30" w:rsidRPr="00D3133D" w:rsidRDefault="00752C30" w:rsidP="00E60349">
      <w:pPr>
        <w:ind w:left="0" w:firstLine="0"/>
        <w:rPr>
          <w:szCs w:val="22"/>
        </w:rPr>
      </w:pPr>
    </w:p>
    <w:p w14:paraId="0D44BC1E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 xml:space="preserve">Neexistujú žiadne skúsenosti s liekom </w:t>
      </w:r>
      <w:proofErr w:type="spellStart"/>
      <w:r w:rsidRPr="00D3133D">
        <w:rPr>
          <w:szCs w:val="22"/>
        </w:rPr>
        <w:t>MYDRANE</w:t>
      </w:r>
      <w:proofErr w:type="spellEnd"/>
      <w:r w:rsidRPr="00D3133D">
        <w:rPr>
          <w:szCs w:val="22"/>
        </w:rPr>
        <w:t xml:space="preserve"> u pacientov s rizikom syndrómu </w:t>
      </w:r>
      <w:r w:rsidR="002F39CA" w:rsidRPr="00D3133D">
        <w:rPr>
          <w:szCs w:val="22"/>
        </w:rPr>
        <w:t xml:space="preserve">nestabilnej </w:t>
      </w:r>
      <w:r w:rsidR="00752C30" w:rsidRPr="00D3133D">
        <w:rPr>
          <w:szCs w:val="22"/>
        </w:rPr>
        <w:t xml:space="preserve">dúhovky. U takýchto pacientov môže byť prínosom stratégia postupnej </w:t>
      </w:r>
      <w:r w:rsidR="00CA73A3" w:rsidRPr="00D3133D">
        <w:rPr>
          <w:szCs w:val="22"/>
        </w:rPr>
        <w:t>dilatácie očnej zreničky s pod</w:t>
      </w:r>
      <w:r w:rsidR="00752C30" w:rsidRPr="00D3133D">
        <w:rPr>
          <w:szCs w:val="22"/>
        </w:rPr>
        <w:t xml:space="preserve">aním očnej </w:t>
      </w:r>
      <w:proofErr w:type="spellStart"/>
      <w:r w:rsidR="00752C30" w:rsidRPr="00D3133D">
        <w:rPr>
          <w:szCs w:val="22"/>
        </w:rPr>
        <w:t>instilácie</w:t>
      </w:r>
      <w:proofErr w:type="spellEnd"/>
      <w:r w:rsidR="00752C30" w:rsidRPr="00D3133D">
        <w:rPr>
          <w:szCs w:val="22"/>
        </w:rPr>
        <w:t xml:space="preserve"> obsah</w:t>
      </w:r>
      <w:r w:rsidR="00CA73A3" w:rsidRPr="00D3133D">
        <w:rPr>
          <w:szCs w:val="22"/>
        </w:rPr>
        <w:t xml:space="preserve">ujúcej </w:t>
      </w:r>
      <w:proofErr w:type="spellStart"/>
      <w:r w:rsidR="00CA73A3" w:rsidRPr="00D3133D">
        <w:rPr>
          <w:szCs w:val="22"/>
        </w:rPr>
        <w:t>mydriatikum</w:t>
      </w:r>
      <w:proofErr w:type="spellEnd"/>
      <w:r w:rsidR="00CA73A3" w:rsidRPr="00D3133D">
        <w:rPr>
          <w:szCs w:val="22"/>
        </w:rPr>
        <w:t xml:space="preserve"> na začiatku</w:t>
      </w:r>
      <w:r w:rsidR="00752C30" w:rsidRPr="00D3133D">
        <w:rPr>
          <w:szCs w:val="22"/>
        </w:rPr>
        <w:t>.</w:t>
      </w:r>
    </w:p>
    <w:p w14:paraId="20F18C17" w14:textId="77777777" w:rsidR="009E64E0" w:rsidRPr="00D3133D" w:rsidRDefault="009E64E0" w:rsidP="00E60349">
      <w:pPr>
        <w:ind w:left="0" w:firstLine="0"/>
        <w:rPr>
          <w:szCs w:val="22"/>
        </w:rPr>
      </w:pPr>
    </w:p>
    <w:p w14:paraId="6D9802E1" w14:textId="77777777" w:rsidR="009E64E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 xml:space="preserve">Neexistujú žiadne klinické skúsenosti s liekom </w:t>
      </w:r>
      <w:proofErr w:type="spellStart"/>
      <w:r w:rsidRPr="00D3133D">
        <w:rPr>
          <w:szCs w:val="22"/>
        </w:rPr>
        <w:t>MYDRANE</w:t>
      </w:r>
      <w:proofErr w:type="spellEnd"/>
      <w:r w:rsidRPr="00D3133D">
        <w:rPr>
          <w:szCs w:val="22"/>
        </w:rPr>
        <w:t xml:space="preserve"> pri operácii katarakty u pacientov, ktorým bolo podané lokálne </w:t>
      </w:r>
      <w:proofErr w:type="spellStart"/>
      <w:r w:rsidRPr="00D3133D">
        <w:rPr>
          <w:szCs w:val="22"/>
        </w:rPr>
        <w:t>mydriatikum</w:t>
      </w:r>
      <w:proofErr w:type="spellEnd"/>
      <w:r w:rsidRPr="00D3133D">
        <w:rPr>
          <w:szCs w:val="22"/>
        </w:rPr>
        <w:t xml:space="preserve">, a u ktorých dôjde počas operácie k zúženiu zreničky (dokonca aj </w:t>
      </w:r>
      <w:proofErr w:type="spellStart"/>
      <w:r w:rsidRPr="00D3133D">
        <w:rPr>
          <w:szCs w:val="22"/>
        </w:rPr>
        <w:t>mióze</w:t>
      </w:r>
      <w:proofErr w:type="spellEnd"/>
      <w:r w:rsidRPr="00D3133D">
        <w:rPr>
          <w:szCs w:val="22"/>
        </w:rPr>
        <w:t>).</w:t>
      </w:r>
    </w:p>
    <w:p w14:paraId="7BB3583D" w14:textId="77777777" w:rsidR="00752C30" w:rsidRPr="00D3133D" w:rsidRDefault="00752C30" w:rsidP="00E60349">
      <w:pPr>
        <w:ind w:left="0" w:firstLine="0"/>
        <w:rPr>
          <w:szCs w:val="22"/>
        </w:rPr>
      </w:pPr>
    </w:p>
    <w:p w14:paraId="2A4D0895" w14:textId="77777777" w:rsidR="00752C30" w:rsidRPr="00D3133D" w:rsidRDefault="003E02F6" w:rsidP="00E60349">
      <w:pPr>
        <w:ind w:left="0" w:firstLine="0"/>
        <w:rPr>
          <w:szCs w:val="22"/>
        </w:rPr>
      </w:pPr>
      <w:proofErr w:type="spellStart"/>
      <w:r w:rsidRPr="00D3133D">
        <w:rPr>
          <w:szCs w:val="22"/>
        </w:rPr>
        <w:t>MYDRANE</w:t>
      </w:r>
      <w:proofErr w:type="spellEnd"/>
      <w:r w:rsidRPr="00D3133D">
        <w:rPr>
          <w:szCs w:val="22"/>
        </w:rPr>
        <w:t xml:space="preserve"> sa neodporúča používať pri chirurgickom zákroku na odstránenie sivého zákalu v kombinácii s </w:t>
      </w:r>
      <w:proofErr w:type="spellStart"/>
      <w:r w:rsidRPr="00D3133D">
        <w:rPr>
          <w:szCs w:val="22"/>
        </w:rPr>
        <w:t>vitrektómiou</w:t>
      </w:r>
      <w:proofErr w:type="spellEnd"/>
      <w:r w:rsidRPr="00D3133D">
        <w:rPr>
          <w:szCs w:val="22"/>
        </w:rPr>
        <w:t xml:space="preserve">, z dôvodu </w:t>
      </w:r>
      <w:proofErr w:type="spellStart"/>
      <w:r w:rsidRPr="00D3133D">
        <w:rPr>
          <w:szCs w:val="22"/>
        </w:rPr>
        <w:t>vazokonstrikčných</w:t>
      </w:r>
      <w:proofErr w:type="spellEnd"/>
      <w:r w:rsidRPr="00D3133D">
        <w:rPr>
          <w:szCs w:val="22"/>
        </w:rPr>
        <w:t xml:space="preserve"> účinkov </w:t>
      </w:r>
      <w:proofErr w:type="spellStart"/>
      <w:r w:rsidRPr="00D3133D">
        <w:rPr>
          <w:szCs w:val="22"/>
        </w:rPr>
        <w:t>fenylefrínu</w:t>
      </w:r>
      <w:proofErr w:type="spellEnd"/>
      <w:r w:rsidRPr="00D3133D">
        <w:rPr>
          <w:szCs w:val="22"/>
        </w:rPr>
        <w:t>.</w:t>
      </w:r>
    </w:p>
    <w:p w14:paraId="684F0FAC" w14:textId="77777777" w:rsidR="00752C30" w:rsidRPr="00D3133D" w:rsidRDefault="00752C30" w:rsidP="00E60349">
      <w:pPr>
        <w:ind w:left="0" w:firstLine="0"/>
        <w:rPr>
          <w:szCs w:val="22"/>
        </w:rPr>
      </w:pPr>
    </w:p>
    <w:p w14:paraId="3C1927A1" w14:textId="77777777" w:rsidR="00752C30" w:rsidRPr="00D3133D" w:rsidRDefault="003E02F6" w:rsidP="00E60349">
      <w:pPr>
        <w:ind w:left="0" w:firstLine="0"/>
        <w:rPr>
          <w:szCs w:val="22"/>
        </w:rPr>
      </w:pPr>
      <w:proofErr w:type="spellStart"/>
      <w:r w:rsidRPr="00D3133D">
        <w:rPr>
          <w:szCs w:val="22"/>
        </w:rPr>
        <w:t>MYDRANE</w:t>
      </w:r>
      <w:proofErr w:type="spellEnd"/>
      <w:r w:rsidRPr="00D3133D">
        <w:rPr>
          <w:szCs w:val="22"/>
        </w:rPr>
        <w:t xml:space="preserve"> sa neodporúča používať u jedincov s plytkou </w:t>
      </w:r>
      <w:proofErr w:type="spellStart"/>
      <w:r w:rsidRPr="00D3133D">
        <w:rPr>
          <w:szCs w:val="22"/>
        </w:rPr>
        <w:t>anteriórnou</w:t>
      </w:r>
      <w:proofErr w:type="spellEnd"/>
      <w:r w:rsidRPr="00D3133D">
        <w:rPr>
          <w:szCs w:val="22"/>
        </w:rPr>
        <w:t xml:space="preserve"> komorou alebo s akútnym </w:t>
      </w:r>
      <w:proofErr w:type="spellStart"/>
      <w:r w:rsidRPr="00D3133D">
        <w:rPr>
          <w:szCs w:val="22"/>
        </w:rPr>
        <w:t>glaukómom</w:t>
      </w:r>
      <w:proofErr w:type="spellEnd"/>
      <w:r w:rsidRPr="00D3133D">
        <w:rPr>
          <w:szCs w:val="22"/>
        </w:rPr>
        <w:t xml:space="preserve"> s úzkym uhlom v anamnéze.</w:t>
      </w:r>
    </w:p>
    <w:p w14:paraId="2C1225C7" w14:textId="77777777" w:rsidR="00752C30" w:rsidRPr="00D3133D" w:rsidRDefault="00752C30" w:rsidP="00E60349">
      <w:pPr>
        <w:rPr>
          <w:szCs w:val="22"/>
        </w:rPr>
      </w:pPr>
    </w:p>
    <w:p w14:paraId="4F401869" w14:textId="77777777" w:rsidR="00752C30" w:rsidRPr="00D3133D" w:rsidRDefault="003E02F6" w:rsidP="00E60349">
      <w:pPr>
        <w:keepNext/>
        <w:keepLines/>
        <w:rPr>
          <w:b/>
          <w:i/>
          <w:szCs w:val="22"/>
          <w:u w:val="single"/>
        </w:rPr>
      </w:pPr>
      <w:r w:rsidRPr="00D3133D">
        <w:rPr>
          <w:b/>
          <w:i/>
          <w:szCs w:val="22"/>
          <w:u w:val="single"/>
        </w:rPr>
        <w:t>Osobitné opatrenia pri používaní:</w:t>
      </w:r>
    </w:p>
    <w:p w14:paraId="68F55B2B" w14:textId="77777777" w:rsidR="00752C30" w:rsidRPr="00D3133D" w:rsidRDefault="00752C30" w:rsidP="00E60349">
      <w:pPr>
        <w:rPr>
          <w:szCs w:val="22"/>
        </w:rPr>
      </w:pPr>
    </w:p>
    <w:p w14:paraId="27B77776" w14:textId="77777777" w:rsidR="00752C30" w:rsidRPr="00D3133D" w:rsidRDefault="003E02F6" w:rsidP="00184EB2">
      <w:pPr>
        <w:ind w:left="0" w:firstLine="0"/>
        <w:rPr>
          <w:szCs w:val="22"/>
        </w:rPr>
      </w:pPr>
      <w:r w:rsidRPr="00D3133D">
        <w:rPr>
          <w:szCs w:val="22"/>
        </w:rPr>
        <w:t xml:space="preserve">Preukázalo sa, že liek </w:t>
      </w:r>
      <w:proofErr w:type="spellStart"/>
      <w:r w:rsidRPr="00D3133D">
        <w:rPr>
          <w:szCs w:val="22"/>
        </w:rPr>
        <w:t>MYDRANE</w:t>
      </w:r>
      <w:proofErr w:type="spellEnd"/>
      <w:r w:rsidRPr="00D3133D">
        <w:rPr>
          <w:szCs w:val="22"/>
        </w:rPr>
        <w:t xml:space="preserve"> spôsobuje </w:t>
      </w:r>
      <w:proofErr w:type="spellStart"/>
      <w:r w:rsidRPr="00D3133D">
        <w:rPr>
          <w:szCs w:val="22"/>
        </w:rPr>
        <w:t>nedetegovateľné</w:t>
      </w:r>
      <w:proofErr w:type="spellEnd"/>
      <w:r w:rsidRPr="00D3133D">
        <w:rPr>
          <w:szCs w:val="22"/>
        </w:rPr>
        <w:t xml:space="preserve"> alebo veľmi nízke systémové koncentrácie liečiv (pozri časť 5.2). Keďže sú systémové účinky </w:t>
      </w:r>
      <w:proofErr w:type="spellStart"/>
      <w:r w:rsidRPr="00D3133D">
        <w:rPr>
          <w:szCs w:val="22"/>
        </w:rPr>
        <w:t>fenylefrínu</w:t>
      </w:r>
      <w:proofErr w:type="spellEnd"/>
      <w:r w:rsidRPr="00D3133D">
        <w:rPr>
          <w:szCs w:val="22"/>
        </w:rPr>
        <w:t xml:space="preserve"> a </w:t>
      </w:r>
      <w:proofErr w:type="spellStart"/>
      <w:r w:rsidRPr="00D3133D">
        <w:rPr>
          <w:szCs w:val="22"/>
        </w:rPr>
        <w:t>lidokaínu</w:t>
      </w:r>
      <w:proofErr w:type="spellEnd"/>
      <w:r w:rsidRPr="00D3133D">
        <w:rPr>
          <w:szCs w:val="22"/>
        </w:rPr>
        <w:t xml:space="preserve"> závislé od dávky, je nepravdepodobné, že sa tieto účinky objavia pri lieku </w:t>
      </w:r>
      <w:proofErr w:type="spellStart"/>
      <w:r w:rsidRPr="00D3133D">
        <w:rPr>
          <w:szCs w:val="22"/>
        </w:rPr>
        <w:t>MYDRANE</w:t>
      </w:r>
      <w:proofErr w:type="spellEnd"/>
      <w:r w:rsidRPr="00D3133D">
        <w:rPr>
          <w:szCs w:val="22"/>
        </w:rPr>
        <w:t>. Riziko však nie je možné vylúčiť, a preto sa zdôrazňuje, že:</w:t>
      </w:r>
    </w:p>
    <w:p w14:paraId="446EA07D" w14:textId="77777777" w:rsidR="00752C30" w:rsidRPr="00D3133D" w:rsidRDefault="003E02F6" w:rsidP="00E60349">
      <w:pPr>
        <w:numPr>
          <w:ilvl w:val="0"/>
          <w:numId w:val="14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proofErr w:type="spellStart"/>
      <w:r w:rsidRPr="00D3133D">
        <w:rPr>
          <w:szCs w:val="22"/>
        </w:rPr>
        <w:t>fenylefrín</w:t>
      </w:r>
      <w:proofErr w:type="spellEnd"/>
      <w:r w:rsidRPr="00D3133D">
        <w:rPr>
          <w:szCs w:val="22"/>
        </w:rPr>
        <w:t xml:space="preserve"> má </w:t>
      </w:r>
      <w:proofErr w:type="spellStart"/>
      <w:r w:rsidRPr="00D3133D">
        <w:rPr>
          <w:szCs w:val="22"/>
        </w:rPr>
        <w:t>sympatomimetickú</w:t>
      </w:r>
      <w:proofErr w:type="spellEnd"/>
      <w:r w:rsidRPr="00D3133D">
        <w:rPr>
          <w:szCs w:val="22"/>
        </w:rPr>
        <w:t xml:space="preserve"> aktivitu, ktorá môže ovplyvniť pacientov v prípade hypertenzie, srdcových porúch, </w:t>
      </w:r>
      <w:proofErr w:type="spellStart"/>
      <w:r w:rsidRPr="00D3133D">
        <w:rPr>
          <w:szCs w:val="22"/>
        </w:rPr>
        <w:t>hypertyreózy</w:t>
      </w:r>
      <w:proofErr w:type="spellEnd"/>
      <w:r w:rsidRPr="00D3133D">
        <w:rPr>
          <w:szCs w:val="22"/>
        </w:rPr>
        <w:t xml:space="preserve">, aterosklerózy alebo porúch prostaty a všetkých jedincov s kontraindikáciou pre užívanie systémových </w:t>
      </w:r>
      <w:proofErr w:type="spellStart"/>
      <w:r w:rsidRPr="00D3133D">
        <w:rPr>
          <w:szCs w:val="22"/>
        </w:rPr>
        <w:t>presorických</w:t>
      </w:r>
      <w:proofErr w:type="spellEnd"/>
      <w:r w:rsidRPr="00D3133D">
        <w:rPr>
          <w:szCs w:val="22"/>
        </w:rPr>
        <w:t xml:space="preserve"> </w:t>
      </w:r>
      <w:proofErr w:type="spellStart"/>
      <w:r w:rsidRPr="00D3133D">
        <w:rPr>
          <w:szCs w:val="22"/>
        </w:rPr>
        <w:t>amínov</w:t>
      </w:r>
      <w:proofErr w:type="spellEnd"/>
      <w:r w:rsidRPr="00D3133D">
        <w:rPr>
          <w:szCs w:val="22"/>
        </w:rPr>
        <w:t>;</w:t>
      </w:r>
    </w:p>
    <w:p w14:paraId="630FC535" w14:textId="77777777" w:rsidR="00752C30" w:rsidRPr="00D3133D" w:rsidRDefault="003E02F6" w:rsidP="00E60349">
      <w:pPr>
        <w:numPr>
          <w:ilvl w:val="0"/>
          <w:numId w:val="14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proofErr w:type="spellStart"/>
      <w:r w:rsidRPr="00D3133D">
        <w:rPr>
          <w:szCs w:val="22"/>
        </w:rPr>
        <w:t>lidokaín</w:t>
      </w:r>
      <w:proofErr w:type="spellEnd"/>
      <w:r w:rsidRPr="00D3133D">
        <w:rPr>
          <w:szCs w:val="22"/>
        </w:rPr>
        <w:t xml:space="preserve"> sa má používať s opatrnosťou u pacientov s epilepsiou, </w:t>
      </w:r>
      <w:proofErr w:type="spellStart"/>
      <w:r w:rsidRPr="00D3133D">
        <w:rPr>
          <w:szCs w:val="22"/>
        </w:rPr>
        <w:t>myastheniou</w:t>
      </w:r>
      <w:proofErr w:type="spellEnd"/>
      <w:r w:rsidRPr="00D3133D">
        <w:rPr>
          <w:szCs w:val="22"/>
        </w:rPr>
        <w:t xml:space="preserve"> </w:t>
      </w:r>
      <w:proofErr w:type="spellStart"/>
      <w:r w:rsidRPr="00D3133D">
        <w:rPr>
          <w:szCs w:val="22"/>
        </w:rPr>
        <w:t>gravis</w:t>
      </w:r>
      <w:proofErr w:type="spellEnd"/>
      <w:r w:rsidRPr="00D3133D">
        <w:rPr>
          <w:szCs w:val="22"/>
        </w:rPr>
        <w:t xml:space="preserve">, poruchami prevodovej funkcie srdca, </w:t>
      </w:r>
      <w:proofErr w:type="spellStart"/>
      <w:r w:rsidRPr="00D3133D">
        <w:rPr>
          <w:szCs w:val="22"/>
        </w:rPr>
        <w:t>kongestívnym</w:t>
      </w:r>
      <w:proofErr w:type="spellEnd"/>
      <w:r w:rsidRPr="00D3133D">
        <w:rPr>
          <w:szCs w:val="22"/>
        </w:rPr>
        <w:t xml:space="preserve"> srdcovým zlyhávaním, bradykardiou, závažným šokom, poruchou dýchacích funkcií alebo poruchou funkcie obličiek s </w:t>
      </w:r>
      <w:proofErr w:type="spellStart"/>
      <w:r w:rsidRPr="00D3133D">
        <w:rPr>
          <w:szCs w:val="22"/>
        </w:rPr>
        <w:t>klírensom</w:t>
      </w:r>
      <w:proofErr w:type="spellEnd"/>
      <w:r w:rsidRPr="00D3133D">
        <w:rPr>
          <w:szCs w:val="22"/>
        </w:rPr>
        <w:t xml:space="preserve"> </w:t>
      </w:r>
      <w:proofErr w:type="spellStart"/>
      <w:r w:rsidRPr="00D3133D">
        <w:rPr>
          <w:szCs w:val="22"/>
        </w:rPr>
        <w:t>kreatinínu</w:t>
      </w:r>
      <w:proofErr w:type="spellEnd"/>
      <w:r w:rsidRPr="00D3133D">
        <w:rPr>
          <w:szCs w:val="22"/>
        </w:rPr>
        <w:t xml:space="preserve"> menej ako 10 ml/minútu.</w:t>
      </w:r>
    </w:p>
    <w:p w14:paraId="6F0D6E5F" w14:textId="77777777" w:rsidR="00752C30" w:rsidRPr="00D3133D" w:rsidRDefault="00752C30" w:rsidP="00E60349">
      <w:pPr>
        <w:autoSpaceDE w:val="0"/>
        <w:autoSpaceDN w:val="0"/>
        <w:adjustRightInd w:val="0"/>
        <w:rPr>
          <w:color w:val="000000"/>
          <w:szCs w:val="22"/>
        </w:rPr>
      </w:pPr>
    </w:p>
    <w:p w14:paraId="715036D5" w14:textId="643EFFD6" w:rsidR="00752C30" w:rsidRPr="00D3133D" w:rsidRDefault="003E02F6" w:rsidP="00E6034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D3133D">
        <w:rPr>
          <w:color w:val="000000"/>
          <w:szCs w:val="22"/>
        </w:rPr>
        <w:t>Tento liek obsahuje menej ako 1</w:t>
      </w:r>
      <w:r w:rsidR="00ED734A">
        <w:rPr>
          <w:color w:val="000000"/>
          <w:szCs w:val="22"/>
        </w:rPr>
        <w:t> </w:t>
      </w:r>
      <w:r w:rsidRPr="00D3133D">
        <w:rPr>
          <w:color w:val="000000"/>
          <w:szCs w:val="22"/>
        </w:rPr>
        <w:t>mmol sodíka (23</w:t>
      </w:r>
      <w:r w:rsidR="00ED734A">
        <w:rPr>
          <w:color w:val="000000"/>
          <w:szCs w:val="22"/>
        </w:rPr>
        <w:t> </w:t>
      </w:r>
      <w:r w:rsidRPr="00D3133D">
        <w:rPr>
          <w:color w:val="000000"/>
          <w:szCs w:val="22"/>
        </w:rPr>
        <w:t xml:space="preserve">mg) v dávke, t. j. v podstate zanedbateľné množstvo sodíka. </w:t>
      </w:r>
    </w:p>
    <w:p w14:paraId="2D548131" w14:textId="77777777" w:rsidR="00780926" w:rsidRPr="00D3133D" w:rsidRDefault="00780926" w:rsidP="00E60349">
      <w:pPr>
        <w:rPr>
          <w:szCs w:val="22"/>
        </w:rPr>
      </w:pPr>
    </w:p>
    <w:p w14:paraId="1DECF95D" w14:textId="77777777" w:rsidR="00780926" w:rsidRPr="00D3133D" w:rsidRDefault="003E02F6" w:rsidP="00E60349">
      <w:pPr>
        <w:rPr>
          <w:b/>
          <w:szCs w:val="22"/>
        </w:rPr>
      </w:pPr>
      <w:r w:rsidRPr="00D3133D">
        <w:rPr>
          <w:b/>
          <w:szCs w:val="22"/>
        </w:rPr>
        <w:t>4.5</w:t>
      </w:r>
      <w:r w:rsidRPr="00D3133D">
        <w:rPr>
          <w:b/>
          <w:szCs w:val="22"/>
        </w:rPr>
        <w:tab/>
        <w:t>Liekové a iné interakcie</w:t>
      </w:r>
    </w:p>
    <w:p w14:paraId="27271FFB" w14:textId="77777777" w:rsidR="00780926" w:rsidRPr="00D3133D" w:rsidRDefault="00780926" w:rsidP="00E60349">
      <w:pPr>
        <w:rPr>
          <w:szCs w:val="22"/>
        </w:rPr>
      </w:pPr>
    </w:p>
    <w:p w14:paraId="2302A6B1" w14:textId="77777777" w:rsidR="00780926" w:rsidRPr="005F0ED1" w:rsidRDefault="003E02F6" w:rsidP="00E60349">
      <w:pPr>
        <w:rPr>
          <w:szCs w:val="22"/>
        </w:rPr>
      </w:pPr>
      <w:r w:rsidRPr="005F0ED1">
        <w:rPr>
          <w:szCs w:val="22"/>
        </w:rPr>
        <w:t xml:space="preserve">Neuskutočnili sa žiadne interakčné štúdie s liekom </w:t>
      </w:r>
      <w:proofErr w:type="spellStart"/>
      <w:r w:rsidRPr="005F0ED1">
        <w:rPr>
          <w:szCs w:val="22"/>
        </w:rPr>
        <w:t>MYDRANE</w:t>
      </w:r>
      <w:proofErr w:type="spellEnd"/>
      <w:r w:rsidRPr="005F0ED1">
        <w:rPr>
          <w:szCs w:val="22"/>
        </w:rPr>
        <w:t>.</w:t>
      </w:r>
    </w:p>
    <w:p w14:paraId="37C1AB38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>Keďže sa predpokladá, že je systémová expozícia veľmi nízka (pozri časť 5.2), systémové interakcie sú nepravdepodobné.</w:t>
      </w:r>
    </w:p>
    <w:p w14:paraId="1BD251CC" w14:textId="77777777" w:rsidR="00F07529" w:rsidRPr="00D3133D" w:rsidRDefault="00F07529" w:rsidP="00E60349">
      <w:pPr>
        <w:rPr>
          <w:szCs w:val="22"/>
        </w:rPr>
      </w:pPr>
    </w:p>
    <w:p w14:paraId="6E98B967" w14:textId="77777777" w:rsidR="00780926" w:rsidRPr="00D3133D" w:rsidRDefault="003E02F6" w:rsidP="00E60349">
      <w:pPr>
        <w:rPr>
          <w:szCs w:val="22"/>
        </w:rPr>
      </w:pPr>
      <w:r w:rsidRPr="00D3133D">
        <w:rPr>
          <w:b/>
          <w:szCs w:val="22"/>
        </w:rPr>
        <w:t>4.6</w:t>
      </w:r>
      <w:r w:rsidRPr="00D3133D">
        <w:rPr>
          <w:b/>
          <w:szCs w:val="22"/>
        </w:rPr>
        <w:tab/>
        <w:t>Fertilita, gravidita a laktácia</w:t>
      </w:r>
    </w:p>
    <w:p w14:paraId="740D8A64" w14:textId="77777777" w:rsidR="00E1698A" w:rsidRPr="005F0ED1" w:rsidRDefault="00E1698A" w:rsidP="00E60349">
      <w:pPr>
        <w:rPr>
          <w:szCs w:val="22"/>
        </w:rPr>
      </w:pPr>
    </w:p>
    <w:p w14:paraId="468326C6" w14:textId="77777777" w:rsidR="00752C30" w:rsidRPr="00D3133D" w:rsidRDefault="003E02F6" w:rsidP="00E60349">
      <w:pPr>
        <w:rPr>
          <w:szCs w:val="22"/>
          <w:u w:val="single"/>
        </w:rPr>
      </w:pPr>
      <w:r w:rsidRPr="00D3133D">
        <w:rPr>
          <w:szCs w:val="22"/>
          <w:u w:val="single"/>
        </w:rPr>
        <w:t>Gravidita</w:t>
      </w:r>
    </w:p>
    <w:p w14:paraId="30734AEE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 xml:space="preserve">Neexistujú žiadne dostatočné údaje týkajúce sa používania </w:t>
      </w:r>
      <w:proofErr w:type="spellStart"/>
      <w:r w:rsidRPr="00D3133D">
        <w:rPr>
          <w:szCs w:val="22"/>
        </w:rPr>
        <w:t>fenylefrínu</w:t>
      </w:r>
      <w:proofErr w:type="spellEnd"/>
      <w:r w:rsidRPr="00D3133D">
        <w:rPr>
          <w:szCs w:val="22"/>
        </w:rPr>
        <w:t xml:space="preserve"> a </w:t>
      </w:r>
      <w:proofErr w:type="spellStart"/>
      <w:r w:rsidRPr="00D3133D">
        <w:rPr>
          <w:szCs w:val="22"/>
        </w:rPr>
        <w:t>tropikamidu</w:t>
      </w:r>
      <w:proofErr w:type="spellEnd"/>
      <w:r w:rsidRPr="00D3133D">
        <w:rPr>
          <w:szCs w:val="22"/>
        </w:rPr>
        <w:t xml:space="preserve"> u gravidných žien. Štúdie na zvieratách sú nedostatočné z hľadiska účinkov na graviditu, embryonálny/</w:t>
      </w:r>
      <w:proofErr w:type="spellStart"/>
      <w:r w:rsidRPr="00D3133D">
        <w:rPr>
          <w:szCs w:val="22"/>
        </w:rPr>
        <w:t>fetálny</w:t>
      </w:r>
      <w:proofErr w:type="spellEnd"/>
      <w:r w:rsidRPr="00D3133D">
        <w:rPr>
          <w:szCs w:val="22"/>
        </w:rPr>
        <w:t xml:space="preserve"> vývin, pôrod a </w:t>
      </w:r>
      <w:proofErr w:type="spellStart"/>
      <w:r w:rsidRPr="00D3133D">
        <w:rPr>
          <w:szCs w:val="22"/>
        </w:rPr>
        <w:t>postnatálny</w:t>
      </w:r>
      <w:proofErr w:type="spellEnd"/>
      <w:r w:rsidRPr="00D3133D">
        <w:rPr>
          <w:szCs w:val="22"/>
        </w:rPr>
        <w:t xml:space="preserve"> vývin.</w:t>
      </w:r>
    </w:p>
    <w:p w14:paraId="520E4D7F" w14:textId="77777777" w:rsidR="00752C30" w:rsidRPr="00D3133D" w:rsidRDefault="00752C30" w:rsidP="00E60349">
      <w:pPr>
        <w:rPr>
          <w:szCs w:val="22"/>
        </w:rPr>
      </w:pPr>
    </w:p>
    <w:p w14:paraId="09BFF474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 xml:space="preserve">Hoci štúdie na zvieratách neodhalili žiadny dôkaz škodlivého účinku na plod, </w:t>
      </w:r>
      <w:proofErr w:type="spellStart"/>
      <w:r w:rsidRPr="00D3133D">
        <w:rPr>
          <w:szCs w:val="22"/>
        </w:rPr>
        <w:t>lidokaín</w:t>
      </w:r>
      <w:proofErr w:type="spellEnd"/>
      <w:r w:rsidRPr="00D3133D">
        <w:rPr>
          <w:szCs w:val="22"/>
        </w:rPr>
        <w:t xml:space="preserve"> prechádza cez placentu a nemá sa podávať počas gravidity.</w:t>
      </w:r>
    </w:p>
    <w:p w14:paraId="2411CE86" w14:textId="77777777" w:rsidR="00752C30" w:rsidRPr="00D3133D" w:rsidRDefault="00752C30" w:rsidP="00E60349">
      <w:pPr>
        <w:rPr>
          <w:szCs w:val="22"/>
        </w:rPr>
      </w:pPr>
    </w:p>
    <w:p w14:paraId="5A2CAFFD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>Napriek tomu, že sa predpokladá zanedbateľné systémového vychytávanie, nízka systémová expozícia sa nedá vylúčiť.</w:t>
      </w:r>
    </w:p>
    <w:p w14:paraId="7F68576C" w14:textId="77777777" w:rsidR="00752C30" w:rsidRPr="00D3133D" w:rsidRDefault="003E02F6" w:rsidP="00184EB2">
      <w:pPr>
        <w:ind w:left="0" w:firstLine="0"/>
        <w:rPr>
          <w:szCs w:val="22"/>
        </w:rPr>
      </w:pPr>
      <w:r w:rsidRPr="00D3133D">
        <w:rPr>
          <w:szCs w:val="22"/>
        </w:rPr>
        <w:t xml:space="preserve">Liek </w:t>
      </w:r>
      <w:proofErr w:type="spellStart"/>
      <w:r w:rsidRPr="00D3133D">
        <w:rPr>
          <w:szCs w:val="22"/>
        </w:rPr>
        <w:t>MYDRANE</w:t>
      </w:r>
      <w:proofErr w:type="spellEnd"/>
      <w:r w:rsidRPr="00D3133D">
        <w:rPr>
          <w:szCs w:val="22"/>
        </w:rPr>
        <w:t xml:space="preserve"> sa preto nemá používať počas gravidity.</w:t>
      </w:r>
    </w:p>
    <w:p w14:paraId="60EEB442" w14:textId="77777777" w:rsidR="00752C30" w:rsidRPr="00D3133D" w:rsidRDefault="00752C30" w:rsidP="00E60349">
      <w:pPr>
        <w:rPr>
          <w:szCs w:val="22"/>
        </w:rPr>
      </w:pPr>
    </w:p>
    <w:p w14:paraId="408622B7" w14:textId="5FE9A9DA" w:rsidR="00752C30" w:rsidRPr="00D3133D" w:rsidRDefault="00ED734A" w:rsidP="0091013F">
      <w:pPr>
        <w:keepNext/>
        <w:rPr>
          <w:szCs w:val="22"/>
          <w:u w:val="single"/>
        </w:rPr>
      </w:pPr>
      <w:r w:rsidRPr="0078622F">
        <w:rPr>
          <w:szCs w:val="22"/>
          <w:u w:val="single"/>
        </w:rPr>
        <w:t>Dojčenie</w:t>
      </w:r>
      <w:bookmarkStart w:id="0" w:name="_GoBack"/>
      <w:bookmarkEnd w:id="0"/>
    </w:p>
    <w:p w14:paraId="74EE9F0B" w14:textId="77777777" w:rsidR="00752C30" w:rsidRPr="00D3133D" w:rsidRDefault="003E02F6" w:rsidP="0091013F">
      <w:pPr>
        <w:keepNext/>
        <w:ind w:left="0" w:firstLine="0"/>
        <w:rPr>
          <w:szCs w:val="22"/>
        </w:rPr>
      </w:pPr>
      <w:r w:rsidRPr="00D3133D">
        <w:rPr>
          <w:szCs w:val="22"/>
        </w:rPr>
        <w:t xml:space="preserve">K dispozícii nie sú žiadne údaje týkajúce sa vylučovania </w:t>
      </w:r>
      <w:proofErr w:type="spellStart"/>
      <w:r w:rsidRPr="00D3133D">
        <w:rPr>
          <w:szCs w:val="22"/>
        </w:rPr>
        <w:t>fenylefrínu</w:t>
      </w:r>
      <w:proofErr w:type="spellEnd"/>
      <w:r w:rsidRPr="00D3133D">
        <w:rPr>
          <w:szCs w:val="22"/>
        </w:rPr>
        <w:t xml:space="preserve"> alebo </w:t>
      </w:r>
      <w:proofErr w:type="spellStart"/>
      <w:r w:rsidRPr="00D3133D">
        <w:rPr>
          <w:szCs w:val="22"/>
        </w:rPr>
        <w:t>tropikamidu</w:t>
      </w:r>
      <w:proofErr w:type="spellEnd"/>
      <w:r w:rsidRPr="00D3133D">
        <w:rPr>
          <w:szCs w:val="22"/>
        </w:rPr>
        <w:t xml:space="preserve"> do materského mlieka. </w:t>
      </w:r>
      <w:proofErr w:type="spellStart"/>
      <w:r w:rsidRPr="00D3133D">
        <w:rPr>
          <w:szCs w:val="22"/>
        </w:rPr>
        <w:t>Fenylefrín</w:t>
      </w:r>
      <w:proofErr w:type="spellEnd"/>
      <w:r w:rsidRPr="00D3133D">
        <w:rPr>
          <w:szCs w:val="22"/>
        </w:rPr>
        <w:t xml:space="preserve"> sa však po perorálnom podaní vstrebáva slabo, čo naznačuje, že vstrebávanie u dojčaťa by bolo zanedbateľné. Na druhej strane však dojčatá môžu byť veľmi citlivé na </w:t>
      </w:r>
      <w:proofErr w:type="spellStart"/>
      <w:r w:rsidRPr="00D3133D">
        <w:rPr>
          <w:szCs w:val="22"/>
        </w:rPr>
        <w:t>anticholínergiká</w:t>
      </w:r>
      <w:proofErr w:type="spellEnd"/>
      <w:r w:rsidRPr="00D3133D">
        <w:rPr>
          <w:szCs w:val="22"/>
        </w:rPr>
        <w:t xml:space="preserve"> a napriek predpokladanej nízkej systémovej expozícii sa </w:t>
      </w:r>
      <w:proofErr w:type="spellStart"/>
      <w:r w:rsidRPr="00D3133D">
        <w:rPr>
          <w:szCs w:val="22"/>
        </w:rPr>
        <w:t>tropikamid</w:t>
      </w:r>
      <w:proofErr w:type="spellEnd"/>
      <w:r w:rsidRPr="00D3133D">
        <w:rPr>
          <w:szCs w:val="22"/>
        </w:rPr>
        <w:t xml:space="preserve"> preto počas laktácie neodporúča.</w:t>
      </w:r>
    </w:p>
    <w:p w14:paraId="01585DAA" w14:textId="77777777" w:rsidR="00752C30" w:rsidRPr="00D3133D" w:rsidRDefault="00752C30" w:rsidP="00E60349">
      <w:pPr>
        <w:rPr>
          <w:szCs w:val="22"/>
        </w:rPr>
      </w:pPr>
    </w:p>
    <w:p w14:paraId="360DEF31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 xml:space="preserve">Malé množstvá </w:t>
      </w:r>
      <w:proofErr w:type="spellStart"/>
      <w:r w:rsidRPr="00D3133D">
        <w:rPr>
          <w:szCs w:val="22"/>
        </w:rPr>
        <w:t>lidokaínu</w:t>
      </w:r>
      <w:proofErr w:type="spellEnd"/>
      <w:r w:rsidRPr="00D3133D">
        <w:rPr>
          <w:szCs w:val="22"/>
        </w:rPr>
        <w:t xml:space="preserve"> sa vylučujú do materského mlieka, a preto existuje možnosť vzniku alergickej reakcie u dieťaťa.</w:t>
      </w:r>
    </w:p>
    <w:p w14:paraId="4F9DF9A0" w14:textId="77777777" w:rsidR="00752C30" w:rsidRPr="00D3133D" w:rsidRDefault="00752C30" w:rsidP="00E60349">
      <w:pPr>
        <w:rPr>
          <w:szCs w:val="22"/>
        </w:rPr>
      </w:pPr>
    </w:p>
    <w:p w14:paraId="7A7E57B9" w14:textId="77777777" w:rsidR="00752C30" w:rsidRPr="00D3133D" w:rsidRDefault="003E02F6" w:rsidP="00E60349">
      <w:pPr>
        <w:rPr>
          <w:szCs w:val="22"/>
        </w:rPr>
      </w:pPr>
      <w:r w:rsidRPr="00D3133D">
        <w:rPr>
          <w:szCs w:val="22"/>
        </w:rPr>
        <w:t xml:space="preserve">Liek </w:t>
      </w:r>
      <w:proofErr w:type="spellStart"/>
      <w:r w:rsidRPr="00D3133D">
        <w:rPr>
          <w:szCs w:val="22"/>
        </w:rPr>
        <w:t>MYDRANE</w:t>
      </w:r>
      <w:proofErr w:type="spellEnd"/>
      <w:r w:rsidRPr="00D3133D">
        <w:rPr>
          <w:szCs w:val="22"/>
        </w:rPr>
        <w:t xml:space="preserve"> sa preto nemá používať počas laktácie.</w:t>
      </w:r>
    </w:p>
    <w:p w14:paraId="5BF843EC" w14:textId="77777777" w:rsidR="00752C30" w:rsidRPr="00D3133D" w:rsidRDefault="00752C30" w:rsidP="00E60349">
      <w:pPr>
        <w:rPr>
          <w:szCs w:val="22"/>
        </w:rPr>
      </w:pPr>
    </w:p>
    <w:p w14:paraId="5E52AE57" w14:textId="77777777" w:rsidR="00752C30" w:rsidRPr="00D3133D" w:rsidRDefault="003E02F6" w:rsidP="0091013F">
      <w:pPr>
        <w:keepNext/>
        <w:rPr>
          <w:szCs w:val="22"/>
          <w:u w:val="single"/>
        </w:rPr>
      </w:pPr>
      <w:r w:rsidRPr="00D3133D">
        <w:rPr>
          <w:szCs w:val="22"/>
          <w:u w:val="single"/>
        </w:rPr>
        <w:t>Fertilita</w:t>
      </w:r>
    </w:p>
    <w:p w14:paraId="24F7383E" w14:textId="77777777" w:rsidR="00752C30" w:rsidRPr="00D3133D" w:rsidRDefault="003E02F6" w:rsidP="0091013F">
      <w:pPr>
        <w:keepNext/>
        <w:rPr>
          <w:szCs w:val="22"/>
        </w:rPr>
      </w:pPr>
      <w:r w:rsidRPr="00D3133D">
        <w:rPr>
          <w:szCs w:val="22"/>
        </w:rPr>
        <w:t xml:space="preserve">Neexistujú žiadne informácie o tom, či liek </w:t>
      </w:r>
      <w:proofErr w:type="spellStart"/>
      <w:r w:rsidRPr="00D3133D">
        <w:rPr>
          <w:szCs w:val="22"/>
        </w:rPr>
        <w:t>MYDRANE</w:t>
      </w:r>
      <w:proofErr w:type="spellEnd"/>
      <w:r w:rsidRPr="00D3133D">
        <w:rPr>
          <w:szCs w:val="22"/>
        </w:rPr>
        <w:t xml:space="preserve"> môže ovplyvniť </w:t>
      </w:r>
      <w:proofErr w:type="spellStart"/>
      <w:r w:rsidRPr="00D3133D">
        <w:rPr>
          <w:szCs w:val="22"/>
        </w:rPr>
        <w:t>fertilitu</w:t>
      </w:r>
      <w:proofErr w:type="spellEnd"/>
      <w:r w:rsidRPr="00D3133D">
        <w:rPr>
          <w:szCs w:val="22"/>
        </w:rPr>
        <w:t xml:space="preserve"> mužov alebo žien.</w:t>
      </w:r>
    </w:p>
    <w:p w14:paraId="3B3566EF" w14:textId="77777777" w:rsidR="00780926" w:rsidRPr="00D3133D" w:rsidRDefault="00780926" w:rsidP="00E60349">
      <w:pPr>
        <w:rPr>
          <w:szCs w:val="22"/>
        </w:rPr>
      </w:pPr>
    </w:p>
    <w:p w14:paraId="0ABAB273" w14:textId="77777777" w:rsidR="00780926" w:rsidRPr="00D3133D" w:rsidRDefault="003E02F6" w:rsidP="00E60349">
      <w:pPr>
        <w:keepNext/>
        <w:keepLines/>
        <w:rPr>
          <w:szCs w:val="22"/>
        </w:rPr>
      </w:pPr>
      <w:r w:rsidRPr="00D3133D">
        <w:rPr>
          <w:b/>
          <w:szCs w:val="22"/>
        </w:rPr>
        <w:t>4.7</w:t>
      </w:r>
      <w:r w:rsidRPr="00D3133D">
        <w:rPr>
          <w:b/>
          <w:szCs w:val="22"/>
        </w:rPr>
        <w:tab/>
        <w:t>Ovplyvnenie schopnosti viesť vozidlá a obsluhovať stroje</w:t>
      </w:r>
    </w:p>
    <w:p w14:paraId="375C8E2A" w14:textId="77777777" w:rsidR="00780926" w:rsidRPr="00D3133D" w:rsidRDefault="00780926" w:rsidP="00E60349">
      <w:pPr>
        <w:keepNext/>
        <w:keepLines/>
        <w:rPr>
          <w:szCs w:val="22"/>
        </w:rPr>
      </w:pPr>
    </w:p>
    <w:p w14:paraId="74C6B76C" w14:textId="77777777" w:rsidR="00752C30" w:rsidRPr="00D3133D" w:rsidRDefault="003E02F6" w:rsidP="00E60349">
      <w:pPr>
        <w:keepNext/>
        <w:keepLines/>
        <w:ind w:left="0" w:firstLine="0"/>
        <w:rPr>
          <w:szCs w:val="22"/>
        </w:rPr>
      </w:pPr>
      <w:proofErr w:type="spellStart"/>
      <w:r w:rsidRPr="00D3133D">
        <w:rPr>
          <w:szCs w:val="22"/>
        </w:rPr>
        <w:t>MYDRANE</w:t>
      </w:r>
      <w:proofErr w:type="spellEnd"/>
      <w:r w:rsidRPr="00D3133D">
        <w:rPr>
          <w:szCs w:val="22"/>
        </w:rPr>
        <w:t xml:space="preserve"> má mierny vplyv na schopnosť viesť vozidlá a obsluhovať stroje z dôvodu jeho </w:t>
      </w:r>
      <w:proofErr w:type="spellStart"/>
      <w:r w:rsidRPr="00D3133D">
        <w:rPr>
          <w:szCs w:val="22"/>
        </w:rPr>
        <w:t>mydriatického</w:t>
      </w:r>
      <w:proofErr w:type="spellEnd"/>
      <w:r w:rsidRPr="00D3133D">
        <w:rPr>
          <w:szCs w:val="22"/>
        </w:rPr>
        <w:t xml:space="preserve"> účinku. V dôsledku toho sa má pacientom po chirurgickom zákroku na odstránenie sivého zákalu s použitím jednej injekcie lieku </w:t>
      </w:r>
      <w:proofErr w:type="spellStart"/>
      <w:r w:rsidRPr="00D3133D">
        <w:rPr>
          <w:szCs w:val="22"/>
        </w:rPr>
        <w:t>MYDRANE</w:t>
      </w:r>
      <w:proofErr w:type="spellEnd"/>
      <w:r w:rsidRPr="00D3133D">
        <w:rPr>
          <w:szCs w:val="22"/>
        </w:rPr>
        <w:t xml:space="preserve"> odporučiť, aby neviedli vozidlá a/ani neobsluhovali stroje pokiaľ poruchy zraky pretrvávajú.</w:t>
      </w:r>
    </w:p>
    <w:p w14:paraId="0677A618" w14:textId="77777777" w:rsidR="00780926" w:rsidRPr="00D3133D" w:rsidRDefault="00780926" w:rsidP="00E60349">
      <w:pPr>
        <w:rPr>
          <w:szCs w:val="22"/>
        </w:rPr>
      </w:pPr>
    </w:p>
    <w:p w14:paraId="372BA3F0" w14:textId="77777777" w:rsidR="00780926" w:rsidRPr="00D3133D" w:rsidRDefault="003E02F6" w:rsidP="00E60349">
      <w:pPr>
        <w:rPr>
          <w:b/>
          <w:szCs w:val="22"/>
        </w:rPr>
      </w:pPr>
      <w:r w:rsidRPr="00D3133D">
        <w:rPr>
          <w:b/>
          <w:szCs w:val="22"/>
        </w:rPr>
        <w:t>4.8</w:t>
      </w:r>
      <w:r w:rsidRPr="00D3133D">
        <w:rPr>
          <w:b/>
          <w:szCs w:val="22"/>
        </w:rPr>
        <w:tab/>
        <w:t>Nežiaduce účinky</w:t>
      </w:r>
    </w:p>
    <w:p w14:paraId="203CF107" w14:textId="77777777" w:rsidR="00780926" w:rsidRPr="005F0ED1" w:rsidRDefault="00780926" w:rsidP="00E60349">
      <w:pPr>
        <w:rPr>
          <w:szCs w:val="22"/>
        </w:rPr>
      </w:pPr>
    </w:p>
    <w:p w14:paraId="5CF74DEB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 xml:space="preserve">Počas klinických skúšaní (pozri časť 5.1) s liekom </w:t>
      </w:r>
      <w:proofErr w:type="spellStart"/>
      <w:r w:rsidRPr="00D3133D">
        <w:rPr>
          <w:szCs w:val="22"/>
        </w:rPr>
        <w:t>MYDRANE</w:t>
      </w:r>
      <w:proofErr w:type="spellEnd"/>
      <w:r w:rsidRPr="00D3133D">
        <w:rPr>
          <w:szCs w:val="22"/>
        </w:rPr>
        <w:t xml:space="preserve"> sa hlásili nežiaduce účinky</w:t>
      </w:r>
      <w:r w:rsidRPr="00D3133D">
        <w:rPr>
          <w:szCs w:val="22"/>
          <w:lang w:eastAsia="fr-FR"/>
        </w:rPr>
        <w:t>. Väčšina z nich sa týkala očí a boli miernej až stredne závažnej intenzity</w:t>
      </w:r>
      <w:r w:rsidRPr="00D3133D">
        <w:rPr>
          <w:szCs w:val="22"/>
        </w:rPr>
        <w:t>.</w:t>
      </w:r>
    </w:p>
    <w:p w14:paraId="167508F0" w14:textId="77777777" w:rsidR="007D7BEF" w:rsidRPr="00D3133D" w:rsidRDefault="007D7BEF" w:rsidP="00E60349">
      <w:pPr>
        <w:ind w:left="0" w:firstLine="0"/>
        <w:rPr>
          <w:szCs w:val="22"/>
        </w:rPr>
      </w:pPr>
    </w:p>
    <w:p w14:paraId="22E4AD7D" w14:textId="77777777" w:rsidR="007D7BEF" w:rsidRPr="00D3133D" w:rsidRDefault="003E02F6" w:rsidP="00E60349">
      <w:pPr>
        <w:ind w:left="0" w:firstLine="0"/>
        <w:rPr>
          <w:i/>
          <w:szCs w:val="22"/>
        </w:rPr>
      </w:pPr>
      <w:r w:rsidRPr="00D3133D">
        <w:rPr>
          <w:i/>
          <w:szCs w:val="22"/>
        </w:rPr>
        <w:t>Súhrn bezpečnostného profilu:</w:t>
      </w:r>
    </w:p>
    <w:p w14:paraId="39E06722" w14:textId="77777777" w:rsidR="007D7BEF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>Ruptúra zadného puzdra šošovky a </w:t>
      </w:r>
      <w:proofErr w:type="spellStart"/>
      <w:r w:rsidRPr="00D3133D">
        <w:rPr>
          <w:szCs w:val="22"/>
        </w:rPr>
        <w:t>cystoidný</w:t>
      </w:r>
      <w:proofErr w:type="spellEnd"/>
      <w:r w:rsidRPr="00D3133D">
        <w:rPr>
          <w:szCs w:val="22"/>
        </w:rPr>
        <w:t xml:space="preserve"> </w:t>
      </w:r>
      <w:proofErr w:type="spellStart"/>
      <w:r w:rsidRPr="00D3133D">
        <w:rPr>
          <w:szCs w:val="22"/>
        </w:rPr>
        <w:t>makulárny</w:t>
      </w:r>
      <w:proofErr w:type="spellEnd"/>
      <w:r w:rsidRPr="00D3133D">
        <w:rPr>
          <w:szCs w:val="22"/>
        </w:rPr>
        <w:t xml:space="preserve"> edém sú známe komplikácie objavujúce sa počas alebo po operácii katarakty. Môžu sa objavovať menej často (u menej ako 1 zo 100 osôb).</w:t>
      </w:r>
    </w:p>
    <w:p w14:paraId="70E14B35" w14:textId="77777777" w:rsidR="00752C30" w:rsidRPr="00D3133D" w:rsidRDefault="00752C30" w:rsidP="00E60349">
      <w:pPr>
        <w:rPr>
          <w:szCs w:val="22"/>
        </w:rPr>
      </w:pPr>
    </w:p>
    <w:p w14:paraId="0E0F1184" w14:textId="77777777" w:rsidR="00047DCA" w:rsidRPr="00D3133D" w:rsidRDefault="003E02F6" w:rsidP="00E60349">
      <w:pPr>
        <w:rPr>
          <w:szCs w:val="22"/>
        </w:rPr>
      </w:pPr>
      <w:r w:rsidRPr="00D3133D">
        <w:rPr>
          <w:szCs w:val="22"/>
        </w:rPr>
        <w:t>Tabuľkový zoznam nežiaducich reakcií:</w:t>
      </w:r>
    </w:p>
    <w:p w14:paraId="731F9FBC" w14:textId="77777777" w:rsidR="00752C30" w:rsidRPr="00D3133D" w:rsidRDefault="003E02F6" w:rsidP="00E60349">
      <w:pPr>
        <w:pStyle w:val="Default"/>
        <w:rPr>
          <w:sz w:val="22"/>
          <w:szCs w:val="22"/>
          <w:lang w:val="sk-SK"/>
        </w:rPr>
      </w:pPr>
      <w:r w:rsidRPr="00D3133D">
        <w:rPr>
          <w:sz w:val="22"/>
          <w:szCs w:val="22"/>
          <w:lang w:val="sk-SK"/>
        </w:rPr>
        <w:t>Nežiaduce udalosti sú zoradené do skupín podľa frekvencie nasledovne: veľmi časté (≥ 1/10); časté (≥ 1/100 až &lt; 1/10); menej časté (≥ 1/1 000 až &lt; 1/100); zriedkavé (≥ 1/10 000 až &lt; 1/1 000); veľmi zriedkavé (&lt; 1/10 000); neznáme (frekvencia sa nedá stanoviť z dostupných údajov).</w:t>
      </w:r>
    </w:p>
    <w:p w14:paraId="1F3FE4A3" w14:textId="77777777" w:rsidR="00752C30" w:rsidRPr="00D3133D" w:rsidRDefault="00752C30" w:rsidP="00E60349">
      <w:pPr>
        <w:pStyle w:val="Default"/>
        <w:rPr>
          <w:sz w:val="22"/>
          <w:szCs w:val="22"/>
          <w:lang w:val="sk-SK"/>
        </w:rPr>
      </w:pPr>
    </w:p>
    <w:p w14:paraId="71330612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>Nežiaduce reakcie, hlásené počas klinických skúšok, sú v tabuľke nižšie uvedené podľa triedy orgánových systémov v poradí klesajúcej závažnosti v rámci každej zo skupiny frekvencie:</w:t>
      </w:r>
    </w:p>
    <w:p w14:paraId="4D7CDDF8" w14:textId="77777777" w:rsidR="00752C30" w:rsidRPr="00D3133D" w:rsidRDefault="00752C30" w:rsidP="00E60349">
      <w:pPr>
        <w:rPr>
          <w:szCs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9"/>
        <w:gridCol w:w="3094"/>
        <w:gridCol w:w="3096"/>
      </w:tblGrid>
      <w:tr w:rsidR="00752C30" w:rsidRPr="00D3133D" w14:paraId="64A1901A" w14:textId="77777777" w:rsidTr="00752C30"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C4FA1" w14:textId="77777777" w:rsidR="00752C30" w:rsidRPr="00D3133D" w:rsidRDefault="003E02F6" w:rsidP="00E60349">
            <w:pPr>
              <w:pStyle w:val="Default"/>
              <w:ind w:left="567" w:hanging="567"/>
              <w:rPr>
                <w:b/>
                <w:bCs/>
                <w:sz w:val="22"/>
                <w:szCs w:val="22"/>
                <w:lang w:val="sk-SK"/>
              </w:rPr>
            </w:pPr>
            <w:r w:rsidRPr="00D3133D">
              <w:rPr>
                <w:b/>
                <w:bCs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B9D7" w14:textId="77777777" w:rsidR="00752C30" w:rsidRPr="00D3133D" w:rsidRDefault="003E02F6" w:rsidP="00E60349">
            <w:pPr>
              <w:pStyle w:val="Default"/>
              <w:ind w:left="567" w:hanging="567"/>
              <w:rPr>
                <w:rFonts w:eastAsia="Calibri"/>
                <w:b/>
                <w:bCs/>
                <w:sz w:val="22"/>
                <w:szCs w:val="22"/>
                <w:lang w:val="sk-SK"/>
              </w:rPr>
            </w:pPr>
            <w:r w:rsidRPr="00D3133D">
              <w:rPr>
                <w:b/>
                <w:bCs/>
                <w:sz w:val="22"/>
                <w:szCs w:val="22"/>
                <w:lang w:val="sk-SK"/>
              </w:rPr>
              <w:t>Frekvencia</w:t>
            </w:r>
          </w:p>
          <w:p w14:paraId="70514B96" w14:textId="77777777" w:rsidR="00752C30" w:rsidRPr="00D3133D" w:rsidRDefault="00752C30" w:rsidP="00E60349">
            <w:pPr>
              <w:pStyle w:val="Default"/>
              <w:ind w:left="567" w:hanging="567"/>
              <w:rPr>
                <w:rFonts w:eastAsia="Calibri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DBB91" w14:textId="77777777" w:rsidR="00752C30" w:rsidRPr="00D3133D" w:rsidRDefault="003E02F6" w:rsidP="00E60349">
            <w:pPr>
              <w:pStyle w:val="Default"/>
              <w:ind w:left="567" w:hanging="567"/>
              <w:rPr>
                <w:b/>
                <w:bCs/>
                <w:sz w:val="22"/>
                <w:szCs w:val="22"/>
                <w:lang w:val="sk-SK"/>
              </w:rPr>
            </w:pPr>
            <w:r w:rsidRPr="00D3133D">
              <w:rPr>
                <w:b/>
                <w:bCs/>
                <w:sz w:val="22"/>
                <w:szCs w:val="22"/>
                <w:lang w:val="sk-SK"/>
              </w:rPr>
              <w:t>Nežiaduca reakcia</w:t>
            </w:r>
          </w:p>
        </w:tc>
      </w:tr>
      <w:tr w:rsidR="00752C30" w:rsidRPr="00D3133D" w14:paraId="33746FA9" w14:textId="77777777" w:rsidTr="00752C30">
        <w:tc>
          <w:tcPr>
            <w:tcW w:w="2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1AFA" w14:textId="77777777" w:rsidR="00752C30" w:rsidRPr="00D3133D" w:rsidRDefault="003E02F6" w:rsidP="00E60349">
            <w:pPr>
              <w:pStyle w:val="Default"/>
              <w:ind w:left="567" w:hanging="567"/>
              <w:rPr>
                <w:i/>
                <w:iCs/>
                <w:sz w:val="22"/>
                <w:szCs w:val="22"/>
                <w:lang w:val="sk-SK"/>
              </w:rPr>
            </w:pPr>
            <w:r w:rsidRPr="00D3133D">
              <w:rPr>
                <w:i/>
                <w:iCs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1A105" w14:textId="77777777" w:rsidR="00752C30" w:rsidRPr="00D3133D" w:rsidRDefault="003E02F6" w:rsidP="00E60349">
            <w:pPr>
              <w:pStyle w:val="Default"/>
              <w:ind w:left="567" w:hanging="567"/>
              <w:rPr>
                <w:sz w:val="22"/>
                <w:szCs w:val="22"/>
                <w:lang w:val="sk-SK"/>
              </w:rPr>
            </w:pPr>
            <w:r w:rsidRPr="00D3133D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AF923" w14:textId="77777777" w:rsidR="00752C30" w:rsidRPr="00D3133D" w:rsidRDefault="003E02F6" w:rsidP="00E60349">
            <w:pPr>
              <w:pStyle w:val="TableHeadings10pt"/>
              <w:keepNext w:val="0"/>
              <w:spacing w:before="0" w:after="0" w:line="276" w:lineRule="auto"/>
              <w:ind w:left="41"/>
              <w:jc w:val="left"/>
              <w:rPr>
                <w:b w:val="0"/>
                <w:bCs w:val="0"/>
                <w:sz w:val="22"/>
                <w:szCs w:val="22"/>
                <w:lang w:val="sk-SK" w:eastAsia="en-US"/>
              </w:rPr>
            </w:pPr>
            <w:r w:rsidRPr="00D3133D">
              <w:rPr>
                <w:b w:val="0"/>
                <w:bCs w:val="0"/>
                <w:sz w:val="22"/>
                <w:szCs w:val="22"/>
                <w:lang w:val="sk-SK" w:eastAsia="en-US"/>
              </w:rPr>
              <w:t>bolesť hlavy</w:t>
            </w:r>
          </w:p>
        </w:tc>
      </w:tr>
      <w:tr w:rsidR="00752C30" w:rsidRPr="00D3133D" w14:paraId="055901CD" w14:textId="77777777" w:rsidTr="00752C30">
        <w:tc>
          <w:tcPr>
            <w:tcW w:w="2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C65DD" w14:textId="77777777" w:rsidR="00752C30" w:rsidRPr="00D3133D" w:rsidRDefault="003E02F6" w:rsidP="00E60349">
            <w:pPr>
              <w:pStyle w:val="Default"/>
              <w:ind w:left="567" w:hanging="567"/>
              <w:rPr>
                <w:i/>
                <w:iCs/>
                <w:sz w:val="22"/>
                <w:szCs w:val="22"/>
                <w:lang w:val="sk-SK"/>
              </w:rPr>
            </w:pPr>
            <w:r w:rsidRPr="00D3133D">
              <w:rPr>
                <w:i/>
                <w:iCs/>
                <w:sz w:val="22"/>
                <w:szCs w:val="22"/>
                <w:lang w:val="sk-SK"/>
              </w:rPr>
              <w:t>Poruchy oka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C7CFE" w14:textId="77777777" w:rsidR="00752C30" w:rsidRPr="00D3133D" w:rsidRDefault="003E02F6" w:rsidP="00E60349">
            <w:pPr>
              <w:pStyle w:val="Default"/>
              <w:ind w:left="567" w:hanging="567"/>
              <w:rPr>
                <w:sz w:val="22"/>
                <w:szCs w:val="22"/>
                <w:lang w:val="sk-SK"/>
              </w:rPr>
            </w:pPr>
            <w:r w:rsidRPr="00D3133D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3EE79" w14:textId="77777777" w:rsidR="00752C30" w:rsidRPr="00D3133D" w:rsidRDefault="003E02F6" w:rsidP="00E60349">
            <w:pPr>
              <w:pStyle w:val="TableHeadings10pt"/>
              <w:keepNext w:val="0"/>
              <w:spacing w:before="0" w:after="0" w:line="276" w:lineRule="auto"/>
              <w:ind w:left="41"/>
              <w:jc w:val="left"/>
              <w:rPr>
                <w:b w:val="0"/>
                <w:bCs w:val="0"/>
                <w:sz w:val="22"/>
                <w:szCs w:val="22"/>
                <w:lang w:val="sk-SK" w:eastAsia="en-US"/>
              </w:rPr>
            </w:pPr>
            <w:proofErr w:type="spellStart"/>
            <w:r w:rsidRPr="00D3133D">
              <w:rPr>
                <w:b w:val="0"/>
                <w:bCs w:val="0"/>
                <w:sz w:val="22"/>
                <w:szCs w:val="22"/>
                <w:lang w:val="sk-SK" w:eastAsia="en-US"/>
              </w:rPr>
              <w:t>keratitída</w:t>
            </w:r>
            <w:proofErr w:type="spellEnd"/>
            <w:r w:rsidRPr="00D3133D">
              <w:rPr>
                <w:b w:val="0"/>
                <w:bCs w:val="0"/>
                <w:sz w:val="22"/>
                <w:szCs w:val="22"/>
                <w:lang w:val="sk-SK" w:eastAsia="en-US"/>
              </w:rPr>
              <w:t xml:space="preserve">, </w:t>
            </w:r>
            <w:proofErr w:type="spellStart"/>
            <w:r w:rsidRPr="00D3133D">
              <w:rPr>
                <w:b w:val="0"/>
                <w:bCs w:val="0"/>
                <w:sz w:val="22"/>
                <w:szCs w:val="22"/>
                <w:lang w:val="sk-SK" w:eastAsia="en-US"/>
              </w:rPr>
              <w:t>cystoidný</w:t>
            </w:r>
            <w:proofErr w:type="spellEnd"/>
            <w:r w:rsidRPr="00D3133D">
              <w:rPr>
                <w:b w:val="0"/>
                <w:bCs w:val="0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D3133D">
              <w:rPr>
                <w:b w:val="0"/>
                <w:bCs w:val="0"/>
                <w:sz w:val="22"/>
                <w:szCs w:val="22"/>
                <w:lang w:val="sk-SK" w:eastAsia="en-US"/>
              </w:rPr>
              <w:t>makulárny</w:t>
            </w:r>
            <w:proofErr w:type="spellEnd"/>
            <w:r w:rsidRPr="00D3133D">
              <w:rPr>
                <w:b w:val="0"/>
                <w:bCs w:val="0"/>
                <w:sz w:val="22"/>
                <w:szCs w:val="22"/>
                <w:lang w:val="sk-SK" w:eastAsia="en-US"/>
              </w:rPr>
              <w:t xml:space="preserve"> edém,</w:t>
            </w:r>
          </w:p>
          <w:p w14:paraId="7B805565" w14:textId="77777777" w:rsidR="00752C30" w:rsidRPr="00D3133D" w:rsidRDefault="003E02F6" w:rsidP="009840C7">
            <w:pPr>
              <w:pStyle w:val="TableHeadings10pt"/>
              <w:keepNext w:val="0"/>
              <w:spacing w:before="0" w:after="0" w:line="276" w:lineRule="auto"/>
              <w:ind w:left="41"/>
              <w:jc w:val="left"/>
              <w:rPr>
                <w:b w:val="0"/>
                <w:bCs w:val="0"/>
                <w:sz w:val="22"/>
                <w:szCs w:val="22"/>
                <w:lang w:val="sk-SK" w:eastAsia="en-US"/>
              </w:rPr>
            </w:pPr>
            <w:r w:rsidRPr="00D3133D">
              <w:rPr>
                <w:b w:val="0"/>
                <w:bCs w:val="0"/>
                <w:sz w:val="22"/>
                <w:szCs w:val="22"/>
                <w:lang w:val="sk-SK" w:eastAsia="en-US"/>
              </w:rPr>
              <w:t xml:space="preserve">zvýšený </w:t>
            </w:r>
            <w:proofErr w:type="spellStart"/>
            <w:r w:rsidRPr="00D3133D">
              <w:rPr>
                <w:b w:val="0"/>
                <w:bCs w:val="0"/>
                <w:sz w:val="22"/>
                <w:szCs w:val="22"/>
                <w:lang w:val="sk-SK" w:eastAsia="en-US"/>
              </w:rPr>
              <w:t>vnútroočný</w:t>
            </w:r>
            <w:proofErr w:type="spellEnd"/>
            <w:r w:rsidRPr="00D3133D">
              <w:rPr>
                <w:b w:val="0"/>
                <w:bCs w:val="0"/>
                <w:sz w:val="22"/>
                <w:szCs w:val="22"/>
                <w:lang w:val="sk-SK" w:eastAsia="en-US"/>
              </w:rPr>
              <w:t xml:space="preserve"> tlak, ruptúra zadného puzdra šošovky, očná </w:t>
            </w:r>
            <w:proofErr w:type="spellStart"/>
            <w:r w:rsidRPr="00D3133D">
              <w:rPr>
                <w:b w:val="0"/>
                <w:bCs w:val="0"/>
                <w:sz w:val="22"/>
                <w:szCs w:val="22"/>
                <w:lang w:val="sk-SK" w:eastAsia="en-US"/>
              </w:rPr>
              <w:t>hyperémia</w:t>
            </w:r>
            <w:proofErr w:type="spellEnd"/>
          </w:p>
        </w:tc>
      </w:tr>
      <w:tr w:rsidR="00752C30" w:rsidRPr="00D3133D" w14:paraId="7F666186" w14:textId="77777777" w:rsidTr="00752C30"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6BD8F" w14:textId="77777777" w:rsidR="00752C30" w:rsidRPr="00D3133D" w:rsidRDefault="003E02F6" w:rsidP="00E60349">
            <w:pPr>
              <w:pStyle w:val="Default"/>
              <w:ind w:left="567" w:hanging="567"/>
              <w:rPr>
                <w:i/>
                <w:iCs/>
                <w:sz w:val="22"/>
                <w:szCs w:val="22"/>
                <w:lang w:val="sk-SK"/>
              </w:rPr>
            </w:pPr>
            <w:r w:rsidRPr="00D3133D">
              <w:rPr>
                <w:i/>
                <w:iCs/>
                <w:sz w:val="22"/>
                <w:szCs w:val="22"/>
                <w:lang w:val="sk-SK"/>
              </w:rPr>
              <w:t>Poruchy ciev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2F79C" w14:textId="77777777" w:rsidR="00752C30" w:rsidRPr="00D3133D" w:rsidRDefault="003E02F6" w:rsidP="00E60349">
            <w:pPr>
              <w:pStyle w:val="Default"/>
              <w:ind w:left="567" w:hanging="567"/>
              <w:rPr>
                <w:sz w:val="22"/>
                <w:szCs w:val="22"/>
                <w:lang w:val="sk-SK"/>
              </w:rPr>
            </w:pPr>
            <w:r w:rsidRPr="00D3133D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DB48" w14:textId="77777777" w:rsidR="00752C30" w:rsidRPr="00D3133D" w:rsidRDefault="003E02F6" w:rsidP="00E60349">
            <w:pPr>
              <w:pStyle w:val="TableHeadings10pt"/>
              <w:keepNext w:val="0"/>
              <w:spacing w:before="0" w:after="0" w:line="276" w:lineRule="auto"/>
              <w:ind w:left="41"/>
              <w:jc w:val="left"/>
              <w:rPr>
                <w:b w:val="0"/>
                <w:bCs w:val="0"/>
                <w:sz w:val="22"/>
                <w:szCs w:val="22"/>
                <w:lang w:val="sk-SK" w:eastAsia="en-US"/>
              </w:rPr>
            </w:pPr>
            <w:r w:rsidRPr="00D3133D">
              <w:rPr>
                <w:b w:val="0"/>
                <w:bCs w:val="0"/>
                <w:sz w:val="22"/>
                <w:szCs w:val="22"/>
                <w:lang w:val="sk-SK" w:eastAsia="en-US"/>
              </w:rPr>
              <w:t>hypertenzia</w:t>
            </w:r>
          </w:p>
        </w:tc>
      </w:tr>
    </w:tbl>
    <w:p w14:paraId="15B84200" w14:textId="77777777" w:rsidR="00780926" w:rsidRPr="00D3133D" w:rsidRDefault="00780926" w:rsidP="00E60349">
      <w:pPr>
        <w:rPr>
          <w:szCs w:val="22"/>
        </w:rPr>
      </w:pPr>
    </w:p>
    <w:p w14:paraId="58C8B844" w14:textId="77777777" w:rsidR="007E5956" w:rsidRPr="00D3133D" w:rsidRDefault="003E02F6" w:rsidP="00E60349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D3133D">
        <w:rPr>
          <w:szCs w:val="22"/>
          <w:u w:val="single"/>
        </w:rPr>
        <w:t>Hlásenie podozrení na nežiaduce reakcie</w:t>
      </w:r>
    </w:p>
    <w:p w14:paraId="2751E05F" w14:textId="28C31111" w:rsidR="007E5956" w:rsidRPr="00D3133D" w:rsidRDefault="003E02F6" w:rsidP="00E60349">
      <w:pPr>
        <w:suppressLineNumbers/>
        <w:autoSpaceDE w:val="0"/>
        <w:autoSpaceDN w:val="0"/>
        <w:adjustRightInd w:val="0"/>
        <w:ind w:left="0" w:firstLine="0"/>
        <w:rPr>
          <w:szCs w:val="22"/>
        </w:rPr>
      </w:pPr>
      <w:r w:rsidRPr="00D3133D">
        <w:rPr>
          <w:szCs w:val="22"/>
        </w:rPr>
        <w:t>Hlásenie podozrení na nežiaduce reakcie po registrácii lieku je dôležité. Umožňuje priebežné monitorovanie pomeru prínosu a rizika lieku. Od zdravotníckych pracovníkov sa vyžaduje, aby hlásili akékoľvek podozrenia na nežiaduce reakcie</w:t>
      </w:r>
      <w:r w:rsidR="00B63F9B" w:rsidRPr="00D3133D">
        <w:rPr>
          <w:szCs w:val="22"/>
        </w:rPr>
        <w:t xml:space="preserve"> na</w:t>
      </w:r>
      <w:r w:rsidRPr="00D3133D">
        <w:rPr>
          <w:szCs w:val="22"/>
        </w:rPr>
        <w:t xml:space="preserve"> </w:t>
      </w:r>
      <w:r w:rsidRPr="005F0ED1">
        <w:rPr>
          <w:szCs w:val="22"/>
          <w:highlight w:val="lightGray"/>
        </w:rPr>
        <w:t xml:space="preserve">národné </w:t>
      </w:r>
      <w:r w:rsidR="00B63F9B" w:rsidRPr="005F0ED1">
        <w:rPr>
          <w:szCs w:val="22"/>
          <w:highlight w:val="lightGray"/>
        </w:rPr>
        <w:t xml:space="preserve">centrum </w:t>
      </w:r>
      <w:r w:rsidRPr="005F0ED1">
        <w:rPr>
          <w:szCs w:val="22"/>
          <w:highlight w:val="lightGray"/>
        </w:rPr>
        <w:t>hlásenia uvedené v</w:t>
      </w:r>
      <w:r w:rsidR="00ED734A">
        <w:rPr>
          <w:szCs w:val="22"/>
          <w:highlight w:val="lightGray"/>
        </w:rPr>
        <w:t> </w:t>
      </w:r>
      <w:hyperlink r:id="rId9" w:history="1">
        <w:r w:rsidR="007E5956" w:rsidRPr="005F0ED1">
          <w:rPr>
            <w:rStyle w:val="Hypertextovprepojenie"/>
            <w:szCs w:val="22"/>
            <w:highlight w:val="lightGray"/>
          </w:rPr>
          <w:t>Prílohe</w:t>
        </w:r>
        <w:r w:rsidR="00ED734A">
          <w:rPr>
            <w:rStyle w:val="Hypertextovprepojenie"/>
            <w:szCs w:val="22"/>
            <w:highlight w:val="lightGray"/>
          </w:rPr>
          <w:t> </w:t>
        </w:r>
        <w:r w:rsidR="007E5956" w:rsidRPr="005F0ED1">
          <w:rPr>
            <w:rStyle w:val="Hypertextovprepojenie"/>
            <w:szCs w:val="22"/>
            <w:highlight w:val="lightGray"/>
          </w:rPr>
          <w:t>V</w:t>
        </w:r>
      </w:hyperlink>
      <w:r w:rsidR="007E5956" w:rsidRPr="005F0ED1">
        <w:rPr>
          <w:szCs w:val="22"/>
          <w:highlight w:val="lightGray"/>
        </w:rPr>
        <w:t>.</w:t>
      </w:r>
    </w:p>
    <w:p w14:paraId="0B1963EC" w14:textId="77777777" w:rsidR="007E5956" w:rsidRPr="00D3133D" w:rsidRDefault="007E5956" w:rsidP="00E60349">
      <w:pPr>
        <w:rPr>
          <w:szCs w:val="22"/>
        </w:rPr>
      </w:pPr>
    </w:p>
    <w:p w14:paraId="681B0C2E" w14:textId="77777777" w:rsidR="00780926" w:rsidRPr="00D3133D" w:rsidRDefault="003E02F6" w:rsidP="005F0ED1">
      <w:pPr>
        <w:keepNext/>
        <w:rPr>
          <w:szCs w:val="22"/>
        </w:rPr>
      </w:pPr>
      <w:r w:rsidRPr="00D3133D">
        <w:rPr>
          <w:b/>
          <w:szCs w:val="22"/>
        </w:rPr>
        <w:t>4.9</w:t>
      </w:r>
      <w:r w:rsidRPr="00D3133D">
        <w:rPr>
          <w:b/>
          <w:szCs w:val="22"/>
        </w:rPr>
        <w:tab/>
        <w:t>Predávkovanie</w:t>
      </w:r>
    </w:p>
    <w:p w14:paraId="70AF2A6F" w14:textId="77777777" w:rsidR="00780926" w:rsidRPr="00D3133D" w:rsidRDefault="00780926" w:rsidP="005F0ED1">
      <w:pPr>
        <w:keepNext/>
        <w:rPr>
          <w:szCs w:val="22"/>
        </w:rPr>
      </w:pPr>
    </w:p>
    <w:p w14:paraId="4E985131" w14:textId="77777777" w:rsidR="00C631B1" w:rsidRDefault="00C631B1" w:rsidP="00E60349">
      <w:pPr>
        <w:ind w:left="0" w:firstLine="0"/>
        <w:rPr>
          <w:szCs w:val="22"/>
        </w:rPr>
      </w:pPr>
      <w:r>
        <w:rPr>
          <w:szCs w:val="22"/>
        </w:rPr>
        <w:t>Systémové účinky</w:t>
      </w:r>
    </w:p>
    <w:p w14:paraId="0AFBC97B" w14:textId="2CE2BAA4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 xml:space="preserve">Vzhľadom na jednorazové podanie a nízku predpokladanú systémovú expozíciu lieku </w:t>
      </w:r>
      <w:proofErr w:type="spellStart"/>
      <w:r w:rsidRPr="00D3133D">
        <w:rPr>
          <w:szCs w:val="22"/>
        </w:rPr>
        <w:t>MYDRANE</w:t>
      </w:r>
      <w:proofErr w:type="spellEnd"/>
      <w:r w:rsidRPr="00D3133D">
        <w:rPr>
          <w:szCs w:val="22"/>
        </w:rPr>
        <w:t xml:space="preserve"> sa </w:t>
      </w:r>
      <w:r w:rsidR="00C81060">
        <w:rPr>
          <w:szCs w:val="22"/>
        </w:rPr>
        <w:t xml:space="preserve">riziko systémových účinkov z </w:t>
      </w:r>
      <w:r w:rsidRPr="00D3133D">
        <w:rPr>
          <w:szCs w:val="22"/>
        </w:rPr>
        <w:t>predávkovani</w:t>
      </w:r>
      <w:r w:rsidR="00C81060">
        <w:rPr>
          <w:szCs w:val="22"/>
        </w:rPr>
        <w:t>a</w:t>
      </w:r>
      <w:r w:rsidRPr="00D3133D">
        <w:rPr>
          <w:szCs w:val="22"/>
        </w:rPr>
        <w:t xml:space="preserve"> </w:t>
      </w:r>
      <w:r w:rsidR="00C81060">
        <w:rPr>
          <w:szCs w:val="22"/>
        </w:rPr>
        <w:t xml:space="preserve">považuje </w:t>
      </w:r>
      <w:r w:rsidR="0086399B">
        <w:rPr>
          <w:szCs w:val="22"/>
        </w:rPr>
        <w:t>za minimálne</w:t>
      </w:r>
      <w:r w:rsidRPr="00D3133D">
        <w:rPr>
          <w:szCs w:val="22"/>
        </w:rPr>
        <w:t>.</w:t>
      </w:r>
    </w:p>
    <w:p w14:paraId="786D2F8C" w14:textId="5C186DF7" w:rsidR="00752C30" w:rsidRDefault="00752C30" w:rsidP="00E60349">
      <w:pPr>
        <w:autoSpaceDE w:val="0"/>
        <w:autoSpaceDN w:val="0"/>
        <w:adjustRightInd w:val="0"/>
        <w:rPr>
          <w:szCs w:val="22"/>
          <w:lang w:eastAsia="fr-FR"/>
        </w:rPr>
      </w:pPr>
    </w:p>
    <w:p w14:paraId="1B1ADDDB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  <w:lang w:eastAsia="fr-FR"/>
        </w:rPr>
        <w:t xml:space="preserve">Príznakmi predávkovania </w:t>
      </w:r>
      <w:proofErr w:type="spellStart"/>
      <w:r w:rsidRPr="00D3133D">
        <w:rPr>
          <w:szCs w:val="22"/>
          <w:lang w:eastAsia="fr-FR"/>
        </w:rPr>
        <w:t>fenylefrínom</w:t>
      </w:r>
      <w:proofErr w:type="spellEnd"/>
      <w:r w:rsidRPr="00D3133D">
        <w:rPr>
          <w:szCs w:val="22"/>
          <w:lang w:eastAsia="fr-FR"/>
        </w:rPr>
        <w:t xml:space="preserve"> po oftalmologickom použití sú pravdepodobne účinky v dôsledku systémového vstrebania vrátane nadmernej únavy, potenia, závratu a pomalej srdcovej frekvencie a kómy.</w:t>
      </w:r>
    </w:p>
    <w:p w14:paraId="70BDD347" w14:textId="77777777" w:rsidR="00AA01E0" w:rsidRPr="00D3133D" w:rsidRDefault="00AA01E0" w:rsidP="00E60349">
      <w:pPr>
        <w:ind w:left="0" w:firstLine="0"/>
        <w:rPr>
          <w:szCs w:val="22"/>
        </w:rPr>
      </w:pPr>
    </w:p>
    <w:p w14:paraId="3D5F37E4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 xml:space="preserve">Pretože má toxická reakcia na </w:t>
      </w:r>
      <w:proofErr w:type="spellStart"/>
      <w:r w:rsidRPr="00D3133D">
        <w:rPr>
          <w:szCs w:val="22"/>
        </w:rPr>
        <w:t>fenylefrín</w:t>
      </w:r>
      <w:proofErr w:type="spellEnd"/>
      <w:r w:rsidRPr="00D3133D">
        <w:rPr>
          <w:szCs w:val="22"/>
        </w:rPr>
        <w:t xml:space="preserve"> rýchly nástup a krátke trvanie, liečba má byť primárne podporná. Odporúčala sa rýchla injekcia rýchlo účinkujúceho </w:t>
      </w:r>
      <w:proofErr w:type="spellStart"/>
      <w:r w:rsidRPr="00D3133D">
        <w:rPr>
          <w:szCs w:val="22"/>
        </w:rPr>
        <w:t>alfa-adrenergného</w:t>
      </w:r>
      <w:proofErr w:type="spellEnd"/>
      <w:r w:rsidRPr="00D3133D">
        <w:rPr>
          <w:szCs w:val="22"/>
        </w:rPr>
        <w:t xml:space="preserve"> </w:t>
      </w:r>
      <w:proofErr w:type="spellStart"/>
      <w:r w:rsidRPr="00D3133D">
        <w:rPr>
          <w:szCs w:val="22"/>
        </w:rPr>
        <w:t>blokátora</w:t>
      </w:r>
      <w:proofErr w:type="spellEnd"/>
      <w:r w:rsidRPr="00D3133D">
        <w:rPr>
          <w:szCs w:val="22"/>
        </w:rPr>
        <w:t xml:space="preserve">, ako je napr. </w:t>
      </w:r>
      <w:proofErr w:type="spellStart"/>
      <w:r w:rsidRPr="00D3133D">
        <w:rPr>
          <w:szCs w:val="22"/>
        </w:rPr>
        <w:t>fentolamín</w:t>
      </w:r>
      <w:proofErr w:type="spellEnd"/>
      <w:r w:rsidRPr="00D3133D">
        <w:rPr>
          <w:szCs w:val="22"/>
        </w:rPr>
        <w:t xml:space="preserve"> (v dávke 2 až 5 mg intravenózne).</w:t>
      </w:r>
    </w:p>
    <w:p w14:paraId="08EFEB4A" w14:textId="77777777" w:rsidR="00752C30" w:rsidRPr="00D3133D" w:rsidRDefault="00752C30" w:rsidP="00E60349">
      <w:pPr>
        <w:ind w:left="0" w:firstLine="0"/>
        <w:rPr>
          <w:szCs w:val="22"/>
        </w:rPr>
      </w:pPr>
    </w:p>
    <w:p w14:paraId="772237F7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 xml:space="preserve">Príznaky predávkovania </w:t>
      </w:r>
      <w:proofErr w:type="spellStart"/>
      <w:r w:rsidRPr="00D3133D">
        <w:rPr>
          <w:szCs w:val="22"/>
        </w:rPr>
        <w:t>tropikamidom</w:t>
      </w:r>
      <w:proofErr w:type="spellEnd"/>
      <w:r w:rsidRPr="00D3133D">
        <w:rPr>
          <w:szCs w:val="22"/>
        </w:rPr>
        <w:t xml:space="preserve"> po oftalmologickom použití zahŕňajú bolesť hlavy, rýchlu srdcovú frekvenciu, sucho v ústach a suchú kožu, nezvyčajnú ospanlivosť a sčervenanie.</w:t>
      </w:r>
    </w:p>
    <w:p w14:paraId="76CA06DF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 xml:space="preserve">Systémové účinky </w:t>
      </w:r>
      <w:proofErr w:type="spellStart"/>
      <w:r w:rsidRPr="00D3133D">
        <w:rPr>
          <w:szCs w:val="22"/>
        </w:rPr>
        <w:t>tropikamidu</w:t>
      </w:r>
      <w:proofErr w:type="spellEnd"/>
      <w:r w:rsidRPr="00D3133D">
        <w:rPr>
          <w:szCs w:val="22"/>
        </w:rPr>
        <w:t xml:space="preserve"> sa nepredpokladajú. Ak sa objaví predávkovanie spôsobujúce miestne účinky napr. pretrvávajúcu </w:t>
      </w:r>
      <w:proofErr w:type="spellStart"/>
      <w:r w:rsidRPr="00D3133D">
        <w:rPr>
          <w:szCs w:val="22"/>
        </w:rPr>
        <w:t>mydriázu</w:t>
      </w:r>
      <w:proofErr w:type="spellEnd"/>
      <w:r w:rsidRPr="00D3133D">
        <w:rPr>
          <w:szCs w:val="22"/>
        </w:rPr>
        <w:t xml:space="preserve">, má sa použiť </w:t>
      </w:r>
      <w:proofErr w:type="spellStart"/>
      <w:r w:rsidRPr="00D3133D">
        <w:rPr>
          <w:szCs w:val="22"/>
        </w:rPr>
        <w:t>pilokarpín</w:t>
      </w:r>
      <w:proofErr w:type="spellEnd"/>
      <w:r w:rsidRPr="00D3133D">
        <w:rPr>
          <w:szCs w:val="22"/>
        </w:rPr>
        <w:t xml:space="preserve"> alebo 0,25 % m/v roztok </w:t>
      </w:r>
      <w:proofErr w:type="spellStart"/>
      <w:r w:rsidRPr="00D3133D">
        <w:rPr>
          <w:szCs w:val="22"/>
        </w:rPr>
        <w:t>fyzostigmínu</w:t>
      </w:r>
      <w:proofErr w:type="spellEnd"/>
      <w:r w:rsidRPr="00D3133D">
        <w:rPr>
          <w:szCs w:val="22"/>
        </w:rPr>
        <w:t>.</w:t>
      </w:r>
    </w:p>
    <w:p w14:paraId="3F769ADD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 xml:space="preserve">V prípade rozsiahleho vstrebania </w:t>
      </w:r>
      <w:proofErr w:type="spellStart"/>
      <w:r w:rsidRPr="00D3133D">
        <w:rPr>
          <w:szCs w:val="22"/>
        </w:rPr>
        <w:t>lidokaínu</w:t>
      </w:r>
      <w:proofErr w:type="spellEnd"/>
      <w:r w:rsidRPr="00D3133D">
        <w:rPr>
          <w:szCs w:val="22"/>
        </w:rPr>
        <w:t xml:space="preserve"> do krvného riečiska môžu príznaky zahŕňať účinky na </w:t>
      </w:r>
      <w:proofErr w:type="spellStart"/>
      <w:r w:rsidRPr="00D3133D">
        <w:rPr>
          <w:szCs w:val="22"/>
        </w:rPr>
        <w:t>CNS</w:t>
      </w:r>
      <w:proofErr w:type="spellEnd"/>
      <w:r w:rsidRPr="00D3133D">
        <w:rPr>
          <w:szCs w:val="22"/>
        </w:rPr>
        <w:t xml:space="preserve"> (ako napr. kŕče, bezvedomie a prípadné zastavenie dýchania) a kardiovaskulárne reakcie (ako napr. hypotenzia, útlm myokardu, bradykardia a možné zastavenie srdca).</w:t>
      </w:r>
    </w:p>
    <w:p w14:paraId="441FE1E2" w14:textId="6BA5134A" w:rsidR="00752C30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>Liečba pacientov trpiacich systémovými toxickými účinkami pozostáva z odstránenia kŕčov a zabezpečenia dostatočného okysličenia, ak je to nevyhnutné pomocou kontrolovanej ventilácie (kontrolovaného dýchania).</w:t>
      </w:r>
    </w:p>
    <w:p w14:paraId="36E1FE76" w14:textId="77777777" w:rsidR="000B1F7A" w:rsidRPr="00D3133D" w:rsidRDefault="000B1F7A" w:rsidP="00E60349">
      <w:pPr>
        <w:ind w:left="0" w:firstLine="0"/>
        <w:rPr>
          <w:szCs w:val="22"/>
        </w:rPr>
      </w:pPr>
    </w:p>
    <w:p w14:paraId="16296D87" w14:textId="71B7447F" w:rsidR="00780926" w:rsidRPr="00D3133D" w:rsidRDefault="000B1F7A" w:rsidP="00E60349">
      <w:pPr>
        <w:rPr>
          <w:szCs w:val="22"/>
        </w:rPr>
      </w:pPr>
      <w:r>
        <w:rPr>
          <w:szCs w:val="22"/>
        </w:rPr>
        <w:t>Lokálne účinky</w:t>
      </w:r>
    </w:p>
    <w:p w14:paraId="761C7071" w14:textId="697F287A" w:rsidR="00207C94" w:rsidRPr="00152835" w:rsidRDefault="00207C94" w:rsidP="00207C94">
      <w:pPr>
        <w:rPr>
          <w:szCs w:val="22"/>
        </w:rPr>
      </w:pPr>
      <w:r>
        <w:rPr>
          <w:szCs w:val="22"/>
        </w:rPr>
        <w:t xml:space="preserve">Predávkovanie môže spôsobiť stratu </w:t>
      </w:r>
      <w:proofErr w:type="spellStart"/>
      <w:r>
        <w:rPr>
          <w:szCs w:val="22"/>
        </w:rPr>
        <w:t>endotel</w:t>
      </w:r>
      <w:r w:rsidR="00EA4E52">
        <w:rPr>
          <w:szCs w:val="22"/>
        </w:rPr>
        <w:t>iálny</w:t>
      </w:r>
      <w:r>
        <w:rPr>
          <w:szCs w:val="22"/>
        </w:rPr>
        <w:t>ch</w:t>
      </w:r>
      <w:proofErr w:type="spellEnd"/>
      <w:r>
        <w:rPr>
          <w:szCs w:val="22"/>
        </w:rPr>
        <w:t xml:space="preserve"> buniek (pozri časti</w:t>
      </w:r>
      <w:r w:rsidR="00ED734A">
        <w:rPr>
          <w:szCs w:val="22"/>
        </w:rPr>
        <w:t> </w:t>
      </w:r>
      <w:r>
        <w:rPr>
          <w:szCs w:val="22"/>
        </w:rPr>
        <w:t>4.4 a 5.1)</w:t>
      </w:r>
    </w:p>
    <w:p w14:paraId="3C12A553" w14:textId="72AC03C2" w:rsidR="00207C94" w:rsidRPr="0091013F" w:rsidRDefault="00207C94" w:rsidP="00207C94">
      <w:pPr>
        <w:rPr>
          <w:szCs w:val="22"/>
          <w:lang w:val="en-US"/>
        </w:rPr>
      </w:pPr>
    </w:p>
    <w:p w14:paraId="4C1918BF" w14:textId="77777777" w:rsidR="00E20CC4" w:rsidRPr="0091013F" w:rsidRDefault="00E20CC4" w:rsidP="00207C94">
      <w:pPr>
        <w:rPr>
          <w:szCs w:val="22"/>
          <w:lang w:val="en-US"/>
        </w:rPr>
      </w:pPr>
    </w:p>
    <w:p w14:paraId="274B57EC" w14:textId="77777777" w:rsidR="00780926" w:rsidRPr="00D3133D" w:rsidRDefault="003E02F6" w:rsidP="005F0ED1">
      <w:pPr>
        <w:keepNext/>
        <w:rPr>
          <w:szCs w:val="22"/>
        </w:rPr>
      </w:pPr>
      <w:r w:rsidRPr="00D3133D">
        <w:rPr>
          <w:b/>
          <w:szCs w:val="22"/>
        </w:rPr>
        <w:t>5.</w:t>
      </w:r>
      <w:r w:rsidRPr="00D3133D">
        <w:rPr>
          <w:b/>
          <w:szCs w:val="22"/>
        </w:rPr>
        <w:tab/>
        <w:t>FARMAKOLOGICKÉ VLASTNOSTI</w:t>
      </w:r>
    </w:p>
    <w:p w14:paraId="1078C83D" w14:textId="77777777" w:rsidR="00780926" w:rsidRPr="00D3133D" w:rsidRDefault="00780926" w:rsidP="005F0ED1">
      <w:pPr>
        <w:keepNext/>
        <w:rPr>
          <w:bCs/>
          <w:szCs w:val="22"/>
        </w:rPr>
      </w:pPr>
    </w:p>
    <w:p w14:paraId="04A674ED" w14:textId="77777777" w:rsidR="00780926" w:rsidRPr="00D3133D" w:rsidRDefault="003E02F6" w:rsidP="005F0ED1">
      <w:pPr>
        <w:keepNext/>
        <w:rPr>
          <w:szCs w:val="22"/>
        </w:rPr>
      </w:pPr>
      <w:r w:rsidRPr="00D3133D">
        <w:rPr>
          <w:b/>
          <w:szCs w:val="22"/>
        </w:rPr>
        <w:t>5.1</w:t>
      </w:r>
      <w:r w:rsidRPr="00D3133D">
        <w:rPr>
          <w:b/>
          <w:szCs w:val="22"/>
        </w:rPr>
        <w:tab/>
      </w:r>
      <w:proofErr w:type="spellStart"/>
      <w:r w:rsidRPr="00D3133D">
        <w:rPr>
          <w:b/>
          <w:szCs w:val="22"/>
        </w:rPr>
        <w:t>Farmakodynamické</w:t>
      </w:r>
      <w:proofErr w:type="spellEnd"/>
      <w:r w:rsidRPr="00D3133D">
        <w:rPr>
          <w:b/>
          <w:szCs w:val="22"/>
        </w:rPr>
        <w:t xml:space="preserve"> vlastnosti</w:t>
      </w:r>
    </w:p>
    <w:p w14:paraId="00E05462" w14:textId="77777777" w:rsidR="00780926" w:rsidRPr="00D3133D" w:rsidRDefault="00780926" w:rsidP="005F0ED1">
      <w:pPr>
        <w:keepNext/>
        <w:ind w:left="0" w:firstLine="0"/>
        <w:outlineLvl w:val="0"/>
        <w:rPr>
          <w:szCs w:val="22"/>
        </w:rPr>
      </w:pPr>
    </w:p>
    <w:p w14:paraId="3911F47D" w14:textId="77777777" w:rsidR="00752C30" w:rsidRPr="00D3133D" w:rsidRDefault="003E02F6" w:rsidP="00E60349">
      <w:pPr>
        <w:ind w:left="0" w:firstLine="0"/>
        <w:rPr>
          <w:szCs w:val="22"/>
        </w:rPr>
      </w:pPr>
      <w:proofErr w:type="spellStart"/>
      <w:r w:rsidRPr="00D3133D">
        <w:rPr>
          <w:szCs w:val="22"/>
        </w:rPr>
        <w:t>Farmakoterapeutická</w:t>
      </w:r>
      <w:proofErr w:type="spellEnd"/>
      <w:r w:rsidRPr="00D3133D">
        <w:rPr>
          <w:szCs w:val="22"/>
        </w:rPr>
        <w:t xml:space="preserve"> skupina: </w:t>
      </w:r>
      <w:proofErr w:type="spellStart"/>
      <w:r w:rsidRPr="00D3133D">
        <w:rPr>
          <w:szCs w:val="22"/>
        </w:rPr>
        <w:t>mydriatiká</w:t>
      </w:r>
      <w:proofErr w:type="spellEnd"/>
      <w:r w:rsidRPr="00D3133D">
        <w:rPr>
          <w:szCs w:val="22"/>
        </w:rPr>
        <w:t xml:space="preserve"> a </w:t>
      </w:r>
      <w:proofErr w:type="spellStart"/>
      <w:r w:rsidRPr="00D3133D">
        <w:rPr>
          <w:szCs w:val="22"/>
        </w:rPr>
        <w:t>cykloplegiká</w:t>
      </w:r>
      <w:proofErr w:type="spellEnd"/>
      <w:r w:rsidRPr="00D3133D">
        <w:rPr>
          <w:szCs w:val="22"/>
        </w:rPr>
        <w:t xml:space="preserve">, kombinácie </w:t>
      </w:r>
      <w:proofErr w:type="spellStart"/>
      <w:r w:rsidRPr="00D3133D">
        <w:rPr>
          <w:szCs w:val="22"/>
        </w:rPr>
        <w:t>tropikamidu</w:t>
      </w:r>
      <w:proofErr w:type="spellEnd"/>
    </w:p>
    <w:p w14:paraId="00DD44CB" w14:textId="77777777" w:rsidR="00752C30" w:rsidRPr="00D3133D" w:rsidRDefault="003E02F6" w:rsidP="00E60349">
      <w:pPr>
        <w:ind w:left="0" w:firstLine="0"/>
        <w:rPr>
          <w:szCs w:val="22"/>
        </w:rPr>
      </w:pPr>
      <w:proofErr w:type="spellStart"/>
      <w:r w:rsidRPr="00D3133D">
        <w:rPr>
          <w:szCs w:val="22"/>
        </w:rPr>
        <w:t>ATC</w:t>
      </w:r>
      <w:proofErr w:type="spellEnd"/>
      <w:r w:rsidRPr="00D3133D">
        <w:rPr>
          <w:szCs w:val="22"/>
        </w:rPr>
        <w:t xml:space="preserve"> kód: </w:t>
      </w:r>
      <w:proofErr w:type="spellStart"/>
      <w:r w:rsidRPr="00D3133D">
        <w:rPr>
          <w:szCs w:val="22"/>
        </w:rPr>
        <w:t>S01FA56</w:t>
      </w:r>
      <w:proofErr w:type="spellEnd"/>
      <w:r w:rsidRPr="00D3133D">
        <w:rPr>
          <w:szCs w:val="22"/>
        </w:rPr>
        <w:t>.</w:t>
      </w:r>
    </w:p>
    <w:p w14:paraId="43A4D578" w14:textId="77777777" w:rsidR="00752C30" w:rsidRPr="00D3133D" w:rsidRDefault="00752C30" w:rsidP="00E60349">
      <w:pPr>
        <w:rPr>
          <w:szCs w:val="22"/>
        </w:rPr>
      </w:pPr>
    </w:p>
    <w:p w14:paraId="259E3F81" w14:textId="77777777" w:rsidR="00752C30" w:rsidRPr="00D3133D" w:rsidRDefault="003E02F6" w:rsidP="00E60349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proofErr w:type="spellStart"/>
      <w:r w:rsidRPr="00D3133D">
        <w:rPr>
          <w:sz w:val="22"/>
          <w:szCs w:val="22"/>
          <w:lang w:val="sk-SK"/>
        </w:rPr>
        <w:t>MYDRANE</w:t>
      </w:r>
      <w:proofErr w:type="spellEnd"/>
      <w:r w:rsidRPr="00D3133D">
        <w:rPr>
          <w:sz w:val="22"/>
          <w:szCs w:val="22"/>
          <w:lang w:val="sk-SK"/>
        </w:rPr>
        <w:t xml:space="preserve"> je roztok na </w:t>
      </w:r>
      <w:proofErr w:type="spellStart"/>
      <w:r w:rsidRPr="00D3133D">
        <w:rPr>
          <w:sz w:val="22"/>
          <w:szCs w:val="22"/>
          <w:lang w:val="sk-SK"/>
        </w:rPr>
        <w:t>intrakamerálnu</w:t>
      </w:r>
      <w:proofErr w:type="spellEnd"/>
      <w:r w:rsidRPr="00D3133D">
        <w:rPr>
          <w:sz w:val="22"/>
          <w:szCs w:val="22"/>
          <w:lang w:val="sk-SK"/>
        </w:rPr>
        <w:t xml:space="preserve"> injekciu, ktorý obsahuje kombináciu dvoch syntetických </w:t>
      </w:r>
      <w:proofErr w:type="spellStart"/>
      <w:r w:rsidRPr="00D3133D">
        <w:rPr>
          <w:sz w:val="22"/>
          <w:szCs w:val="22"/>
          <w:lang w:val="sk-SK"/>
        </w:rPr>
        <w:t>mydriatík</w:t>
      </w:r>
      <w:proofErr w:type="spellEnd"/>
      <w:r w:rsidRPr="00D3133D">
        <w:rPr>
          <w:sz w:val="22"/>
          <w:szCs w:val="22"/>
          <w:lang w:val="sk-SK"/>
        </w:rPr>
        <w:t xml:space="preserve"> (</w:t>
      </w:r>
      <w:proofErr w:type="spellStart"/>
      <w:r w:rsidRPr="00D3133D">
        <w:rPr>
          <w:sz w:val="22"/>
          <w:szCs w:val="22"/>
          <w:lang w:val="sk-SK"/>
        </w:rPr>
        <w:t>tropikamid</w:t>
      </w:r>
      <w:proofErr w:type="spellEnd"/>
      <w:r w:rsidRPr="00D3133D">
        <w:rPr>
          <w:sz w:val="22"/>
          <w:szCs w:val="22"/>
          <w:lang w:val="sk-SK"/>
        </w:rPr>
        <w:t xml:space="preserve"> - </w:t>
      </w:r>
      <w:proofErr w:type="spellStart"/>
      <w:r w:rsidRPr="00D3133D">
        <w:rPr>
          <w:sz w:val="22"/>
          <w:szCs w:val="22"/>
          <w:lang w:val="sk-SK"/>
        </w:rPr>
        <w:t>anticholínergikum</w:t>
      </w:r>
      <w:proofErr w:type="spellEnd"/>
      <w:r w:rsidRPr="00D3133D">
        <w:rPr>
          <w:sz w:val="22"/>
          <w:szCs w:val="22"/>
          <w:lang w:val="sk-SK"/>
        </w:rPr>
        <w:t xml:space="preserve"> a </w:t>
      </w:r>
      <w:proofErr w:type="spellStart"/>
      <w:r w:rsidRPr="00D3133D">
        <w:rPr>
          <w:sz w:val="22"/>
          <w:szCs w:val="22"/>
          <w:lang w:val="sk-SK"/>
        </w:rPr>
        <w:t>fenylefrín</w:t>
      </w:r>
      <w:proofErr w:type="spellEnd"/>
      <w:r w:rsidRPr="00D3133D">
        <w:rPr>
          <w:sz w:val="22"/>
          <w:szCs w:val="22"/>
          <w:lang w:val="sk-SK"/>
        </w:rPr>
        <w:t xml:space="preserve"> – </w:t>
      </w:r>
      <w:proofErr w:type="spellStart"/>
      <w:r w:rsidRPr="00D3133D">
        <w:rPr>
          <w:sz w:val="22"/>
          <w:szCs w:val="22"/>
          <w:lang w:val="sk-SK"/>
        </w:rPr>
        <w:t>alfa</w:t>
      </w:r>
      <w:r w:rsidRPr="00D3133D">
        <w:rPr>
          <w:sz w:val="22"/>
          <w:szCs w:val="22"/>
          <w:lang w:val="sk-SK"/>
        </w:rPr>
        <w:noBreakHyphen/>
        <w:t>sympatomimetikum</w:t>
      </w:r>
      <w:proofErr w:type="spellEnd"/>
      <w:r w:rsidRPr="00D3133D">
        <w:rPr>
          <w:sz w:val="22"/>
          <w:szCs w:val="22"/>
          <w:lang w:val="sk-SK"/>
        </w:rPr>
        <w:t>) a jedného lokálneho anestetika (</w:t>
      </w:r>
      <w:proofErr w:type="spellStart"/>
      <w:r w:rsidRPr="00D3133D">
        <w:rPr>
          <w:sz w:val="22"/>
          <w:szCs w:val="22"/>
          <w:lang w:val="sk-SK"/>
        </w:rPr>
        <w:t>lidokaíniumchlorid</w:t>
      </w:r>
      <w:proofErr w:type="spellEnd"/>
      <w:r w:rsidRPr="00D3133D">
        <w:rPr>
          <w:sz w:val="22"/>
          <w:szCs w:val="22"/>
          <w:lang w:val="sk-SK"/>
        </w:rPr>
        <w:t>).</w:t>
      </w:r>
    </w:p>
    <w:p w14:paraId="42F6EDD0" w14:textId="77777777" w:rsidR="00752C30" w:rsidRPr="00D3133D" w:rsidRDefault="00752C30" w:rsidP="00E60349">
      <w:pPr>
        <w:pStyle w:val="Normlnywebov"/>
        <w:spacing w:before="0" w:beforeAutospacing="0" w:after="0" w:afterAutospacing="0"/>
        <w:rPr>
          <w:i/>
          <w:iCs/>
          <w:sz w:val="22"/>
          <w:szCs w:val="22"/>
          <w:u w:val="single"/>
          <w:lang w:val="sk-SK"/>
        </w:rPr>
      </w:pPr>
    </w:p>
    <w:p w14:paraId="160E1603" w14:textId="77777777" w:rsidR="00752C30" w:rsidRPr="00D3133D" w:rsidRDefault="003E02F6" w:rsidP="005F0ED1">
      <w:pPr>
        <w:pStyle w:val="Normlnywebov"/>
        <w:keepNext/>
        <w:spacing w:before="0" w:beforeAutospacing="0" w:after="0" w:afterAutospacing="0"/>
        <w:rPr>
          <w:sz w:val="22"/>
          <w:szCs w:val="22"/>
          <w:lang w:val="sk-SK"/>
        </w:rPr>
      </w:pPr>
      <w:r w:rsidRPr="00D3133D">
        <w:rPr>
          <w:i/>
          <w:iCs/>
          <w:sz w:val="22"/>
          <w:szCs w:val="22"/>
          <w:u w:val="single"/>
          <w:lang w:val="sk-SK"/>
        </w:rPr>
        <w:t>Mechanizmus účinku:</w:t>
      </w:r>
    </w:p>
    <w:p w14:paraId="356F3593" w14:textId="77777777" w:rsidR="00752C30" w:rsidRPr="00D3133D" w:rsidRDefault="003E02F6" w:rsidP="005F0ED1">
      <w:pPr>
        <w:keepNext/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D3133D">
        <w:rPr>
          <w:szCs w:val="22"/>
        </w:rPr>
        <w:t>Fenylefrín</w:t>
      </w:r>
      <w:proofErr w:type="spellEnd"/>
      <w:r w:rsidRPr="00D3133D">
        <w:rPr>
          <w:szCs w:val="22"/>
        </w:rPr>
        <w:t xml:space="preserve"> je priamo účinkujúce </w:t>
      </w:r>
      <w:proofErr w:type="spellStart"/>
      <w:r w:rsidRPr="00D3133D">
        <w:rPr>
          <w:szCs w:val="22"/>
        </w:rPr>
        <w:t>sympatomimetikum</w:t>
      </w:r>
      <w:proofErr w:type="spellEnd"/>
      <w:r w:rsidRPr="00D3133D">
        <w:rPr>
          <w:szCs w:val="22"/>
        </w:rPr>
        <w:t xml:space="preserve">. Vyvoláva </w:t>
      </w:r>
      <w:proofErr w:type="spellStart"/>
      <w:r w:rsidRPr="00D3133D">
        <w:rPr>
          <w:szCs w:val="22"/>
        </w:rPr>
        <w:t>mydriázu</w:t>
      </w:r>
      <w:proofErr w:type="spellEnd"/>
      <w:r w:rsidRPr="00D3133D">
        <w:rPr>
          <w:szCs w:val="22"/>
        </w:rPr>
        <w:t xml:space="preserve"> prostredníctvom stimulácie </w:t>
      </w:r>
      <w:proofErr w:type="spellStart"/>
      <w:r w:rsidRPr="00D3133D">
        <w:rPr>
          <w:szCs w:val="22"/>
        </w:rPr>
        <w:t>alfa-adrenergných</w:t>
      </w:r>
      <w:proofErr w:type="spellEnd"/>
      <w:r w:rsidRPr="00D3133D">
        <w:rPr>
          <w:szCs w:val="22"/>
        </w:rPr>
        <w:t xml:space="preserve"> receptorov na svale zodpovednom za rozširovanie očnej zreničky (čo má za následok kontrakciu tohto svalu vyvolávajúcu dilatáciu očnej zreničky). Nemá takmer žiadny </w:t>
      </w:r>
      <w:proofErr w:type="spellStart"/>
      <w:r w:rsidRPr="00D3133D">
        <w:rPr>
          <w:szCs w:val="22"/>
        </w:rPr>
        <w:t>cykloplegický</w:t>
      </w:r>
      <w:proofErr w:type="spellEnd"/>
      <w:r w:rsidRPr="00D3133D">
        <w:rPr>
          <w:szCs w:val="22"/>
        </w:rPr>
        <w:t xml:space="preserve"> účinok.</w:t>
      </w:r>
    </w:p>
    <w:p w14:paraId="066722FF" w14:textId="77777777" w:rsidR="00752C30" w:rsidRPr="00D3133D" w:rsidRDefault="00752C30" w:rsidP="00E60349">
      <w:pPr>
        <w:autoSpaceDE w:val="0"/>
        <w:autoSpaceDN w:val="0"/>
        <w:adjustRightInd w:val="0"/>
        <w:rPr>
          <w:szCs w:val="22"/>
        </w:rPr>
      </w:pPr>
    </w:p>
    <w:p w14:paraId="3DB634E7" w14:textId="77777777" w:rsidR="00752C30" w:rsidRPr="00D3133D" w:rsidRDefault="003E02F6" w:rsidP="00E60349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D3133D">
        <w:rPr>
          <w:szCs w:val="22"/>
        </w:rPr>
        <w:t>Tropikamid</w:t>
      </w:r>
      <w:proofErr w:type="spellEnd"/>
      <w:r w:rsidRPr="00D3133D">
        <w:rPr>
          <w:szCs w:val="22"/>
        </w:rPr>
        <w:t xml:space="preserve"> je </w:t>
      </w:r>
      <w:proofErr w:type="spellStart"/>
      <w:r w:rsidRPr="00D3133D">
        <w:rPr>
          <w:szCs w:val="22"/>
        </w:rPr>
        <w:t>parasympatolytikum</w:t>
      </w:r>
      <w:proofErr w:type="spellEnd"/>
      <w:r w:rsidRPr="00D3133D">
        <w:rPr>
          <w:szCs w:val="22"/>
        </w:rPr>
        <w:t xml:space="preserve">, ktoré väzbou na </w:t>
      </w:r>
      <w:proofErr w:type="spellStart"/>
      <w:r w:rsidRPr="00D3133D">
        <w:rPr>
          <w:szCs w:val="22"/>
        </w:rPr>
        <w:t>muskarínové</w:t>
      </w:r>
      <w:proofErr w:type="spellEnd"/>
      <w:r w:rsidRPr="00D3133D">
        <w:rPr>
          <w:szCs w:val="22"/>
        </w:rPr>
        <w:t xml:space="preserve"> M4 receptory na očných svaloch a spôsobuje ich blokádu. Bráni zvieraču dúhovky a svalu </w:t>
      </w:r>
      <w:proofErr w:type="spellStart"/>
      <w:r w:rsidRPr="00D3133D">
        <w:rPr>
          <w:szCs w:val="22"/>
        </w:rPr>
        <w:t>ciliárneho</w:t>
      </w:r>
      <w:proofErr w:type="spellEnd"/>
      <w:r w:rsidRPr="00D3133D">
        <w:rPr>
          <w:szCs w:val="22"/>
        </w:rPr>
        <w:t xml:space="preserve"> telieska reagovať na </w:t>
      </w:r>
      <w:proofErr w:type="spellStart"/>
      <w:r w:rsidRPr="00D3133D">
        <w:rPr>
          <w:szCs w:val="22"/>
        </w:rPr>
        <w:t>cholínergickú</w:t>
      </w:r>
      <w:proofErr w:type="spellEnd"/>
      <w:r w:rsidRPr="00D3133D">
        <w:rPr>
          <w:szCs w:val="22"/>
        </w:rPr>
        <w:t xml:space="preserve"> stimuláciu, čím vyvoláva dilatáciu očnej zreničky a paralýzu </w:t>
      </w:r>
      <w:proofErr w:type="spellStart"/>
      <w:r w:rsidRPr="00D3133D">
        <w:rPr>
          <w:szCs w:val="22"/>
        </w:rPr>
        <w:t>ciliárneho</w:t>
      </w:r>
      <w:proofErr w:type="spellEnd"/>
      <w:r w:rsidRPr="00D3133D">
        <w:rPr>
          <w:szCs w:val="22"/>
        </w:rPr>
        <w:t xml:space="preserve"> svalu (</w:t>
      </w:r>
      <w:proofErr w:type="spellStart"/>
      <w:r w:rsidRPr="00D3133D">
        <w:rPr>
          <w:szCs w:val="22"/>
        </w:rPr>
        <w:t>cyklopégia</w:t>
      </w:r>
      <w:proofErr w:type="spellEnd"/>
      <w:r w:rsidRPr="00D3133D">
        <w:rPr>
          <w:szCs w:val="22"/>
        </w:rPr>
        <w:t>).</w:t>
      </w:r>
    </w:p>
    <w:p w14:paraId="12185877" w14:textId="77777777" w:rsidR="00752C30" w:rsidRPr="00D3133D" w:rsidRDefault="00752C30" w:rsidP="00E60349">
      <w:pPr>
        <w:rPr>
          <w:bCs/>
          <w:iCs/>
          <w:szCs w:val="22"/>
        </w:rPr>
      </w:pPr>
    </w:p>
    <w:p w14:paraId="4B0678D7" w14:textId="77777777" w:rsidR="00752C30" w:rsidRPr="00D3133D" w:rsidRDefault="003E02F6" w:rsidP="00E60349">
      <w:pPr>
        <w:ind w:left="0" w:firstLine="0"/>
        <w:rPr>
          <w:bCs/>
          <w:iCs/>
          <w:szCs w:val="22"/>
        </w:rPr>
      </w:pPr>
      <w:proofErr w:type="spellStart"/>
      <w:r w:rsidRPr="00D3133D">
        <w:rPr>
          <w:bCs/>
          <w:iCs/>
          <w:szCs w:val="22"/>
        </w:rPr>
        <w:t>Lidokaín</w:t>
      </w:r>
      <w:proofErr w:type="spellEnd"/>
      <w:r w:rsidRPr="00D3133D">
        <w:rPr>
          <w:bCs/>
          <w:iCs/>
          <w:szCs w:val="22"/>
        </w:rPr>
        <w:t xml:space="preserve"> je lokálne anestetikum </w:t>
      </w:r>
      <w:proofErr w:type="spellStart"/>
      <w:r w:rsidRPr="00D3133D">
        <w:rPr>
          <w:bCs/>
          <w:iCs/>
          <w:szCs w:val="22"/>
        </w:rPr>
        <w:t>amidového</w:t>
      </w:r>
      <w:proofErr w:type="spellEnd"/>
      <w:r w:rsidRPr="00D3133D">
        <w:rPr>
          <w:bCs/>
          <w:iCs/>
          <w:szCs w:val="22"/>
        </w:rPr>
        <w:t xml:space="preserve"> typu. Účinkuje inhibíciou iónových </w:t>
      </w:r>
      <w:proofErr w:type="spellStart"/>
      <w:r w:rsidRPr="00D3133D">
        <w:rPr>
          <w:bCs/>
          <w:iCs/>
          <w:szCs w:val="22"/>
        </w:rPr>
        <w:t>refluxov</w:t>
      </w:r>
      <w:proofErr w:type="spellEnd"/>
      <w:r w:rsidRPr="00D3133D">
        <w:rPr>
          <w:bCs/>
          <w:iCs/>
          <w:szCs w:val="22"/>
        </w:rPr>
        <w:t xml:space="preserve"> potrebných na vyvolanie a vedenie impulzov, čím stabilizuje </w:t>
      </w:r>
      <w:proofErr w:type="spellStart"/>
      <w:r w:rsidRPr="00D3133D">
        <w:rPr>
          <w:bCs/>
          <w:iCs/>
          <w:szCs w:val="22"/>
        </w:rPr>
        <w:t>neuronálnu</w:t>
      </w:r>
      <w:proofErr w:type="spellEnd"/>
      <w:r w:rsidRPr="00D3133D">
        <w:rPr>
          <w:bCs/>
          <w:iCs/>
          <w:szCs w:val="22"/>
        </w:rPr>
        <w:t xml:space="preserve"> membránu.</w:t>
      </w:r>
    </w:p>
    <w:p w14:paraId="52569F01" w14:textId="77777777" w:rsidR="00752C30" w:rsidRPr="00D3133D" w:rsidRDefault="00752C30" w:rsidP="00E60349">
      <w:pPr>
        <w:rPr>
          <w:iCs/>
          <w:szCs w:val="22"/>
          <w:u w:val="single"/>
          <w:lang w:eastAsia="fr-FR"/>
        </w:rPr>
      </w:pPr>
    </w:p>
    <w:p w14:paraId="601ECD77" w14:textId="77777777" w:rsidR="00752C30" w:rsidRPr="00D3133D" w:rsidRDefault="003E02F6" w:rsidP="005F0ED1">
      <w:pPr>
        <w:keepNext/>
        <w:autoSpaceDE w:val="0"/>
        <w:autoSpaceDN w:val="0"/>
        <w:adjustRightInd w:val="0"/>
        <w:rPr>
          <w:i/>
          <w:szCs w:val="22"/>
          <w:u w:val="single"/>
        </w:rPr>
      </w:pPr>
      <w:proofErr w:type="spellStart"/>
      <w:r w:rsidRPr="00D3133D">
        <w:rPr>
          <w:i/>
          <w:szCs w:val="22"/>
          <w:u w:val="single"/>
        </w:rPr>
        <w:t>Farmakodynamické</w:t>
      </w:r>
      <w:proofErr w:type="spellEnd"/>
      <w:r w:rsidRPr="00D3133D">
        <w:rPr>
          <w:i/>
          <w:szCs w:val="22"/>
          <w:u w:val="single"/>
        </w:rPr>
        <w:t xml:space="preserve"> účinky</w:t>
      </w:r>
    </w:p>
    <w:p w14:paraId="18BD41D9" w14:textId="77777777" w:rsidR="00752C30" w:rsidRPr="00D3133D" w:rsidRDefault="003E02F6" w:rsidP="005F0ED1">
      <w:pPr>
        <w:keepNext/>
        <w:autoSpaceDE w:val="0"/>
        <w:autoSpaceDN w:val="0"/>
        <w:adjustRightInd w:val="0"/>
        <w:ind w:left="0" w:firstLine="0"/>
        <w:rPr>
          <w:szCs w:val="22"/>
          <w:lang w:eastAsia="it-IT"/>
        </w:rPr>
      </w:pPr>
      <w:r w:rsidRPr="00D3133D">
        <w:rPr>
          <w:szCs w:val="22"/>
          <w:lang w:eastAsia="it-IT"/>
        </w:rPr>
        <w:t xml:space="preserve">Hoci </w:t>
      </w:r>
      <w:proofErr w:type="spellStart"/>
      <w:r w:rsidRPr="00D3133D">
        <w:rPr>
          <w:szCs w:val="22"/>
          <w:lang w:eastAsia="it-IT"/>
        </w:rPr>
        <w:t>tropikamid</w:t>
      </w:r>
      <w:proofErr w:type="spellEnd"/>
      <w:r w:rsidRPr="00D3133D">
        <w:rPr>
          <w:szCs w:val="22"/>
          <w:lang w:eastAsia="it-IT"/>
        </w:rPr>
        <w:t xml:space="preserve"> v </w:t>
      </w:r>
      <w:proofErr w:type="spellStart"/>
      <w:r w:rsidRPr="00D3133D">
        <w:rPr>
          <w:szCs w:val="22"/>
          <w:lang w:eastAsia="it-IT"/>
        </w:rPr>
        <w:t>monoterapii</w:t>
      </w:r>
      <w:proofErr w:type="spellEnd"/>
      <w:r w:rsidRPr="00D3133D">
        <w:rPr>
          <w:szCs w:val="22"/>
          <w:lang w:eastAsia="it-IT"/>
        </w:rPr>
        <w:t xml:space="preserve"> spôsobuje </w:t>
      </w:r>
      <w:proofErr w:type="spellStart"/>
      <w:r w:rsidRPr="00D3133D">
        <w:rPr>
          <w:szCs w:val="22"/>
          <w:lang w:eastAsia="it-IT"/>
        </w:rPr>
        <w:t>mydriázu</w:t>
      </w:r>
      <w:proofErr w:type="spellEnd"/>
      <w:r w:rsidRPr="00D3133D">
        <w:rPr>
          <w:szCs w:val="22"/>
          <w:lang w:eastAsia="it-IT"/>
        </w:rPr>
        <w:t xml:space="preserve"> a aj </w:t>
      </w:r>
      <w:proofErr w:type="spellStart"/>
      <w:r w:rsidRPr="00D3133D">
        <w:rPr>
          <w:szCs w:val="22"/>
          <w:lang w:eastAsia="it-IT"/>
        </w:rPr>
        <w:t>cykloplégiu</w:t>
      </w:r>
      <w:proofErr w:type="spellEnd"/>
      <w:r w:rsidRPr="00D3133D">
        <w:rPr>
          <w:szCs w:val="22"/>
          <w:lang w:eastAsia="it-IT"/>
        </w:rPr>
        <w:t xml:space="preserve">, k dodatočnej </w:t>
      </w:r>
      <w:proofErr w:type="spellStart"/>
      <w:r w:rsidRPr="00D3133D">
        <w:rPr>
          <w:szCs w:val="22"/>
          <w:lang w:eastAsia="it-IT"/>
        </w:rPr>
        <w:t>mydriáze</w:t>
      </w:r>
      <w:proofErr w:type="spellEnd"/>
      <w:r w:rsidRPr="00D3133D">
        <w:rPr>
          <w:szCs w:val="22"/>
          <w:lang w:eastAsia="it-IT"/>
        </w:rPr>
        <w:t xml:space="preserve"> dochádza v prípade, ak sa súbežne použijú </w:t>
      </w:r>
      <w:proofErr w:type="spellStart"/>
      <w:r w:rsidRPr="00D3133D">
        <w:rPr>
          <w:szCs w:val="22"/>
          <w:lang w:eastAsia="it-IT"/>
        </w:rPr>
        <w:t>sympatomimetiká</w:t>
      </w:r>
      <w:proofErr w:type="spellEnd"/>
      <w:r w:rsidRPr="00D3133D">
        <w:rPr>
          <w:szCs w:val="22"/>
          <w:lang w:eastAsia="it-IT"/>
        </w:rPr>
        <w:t xml:space="preserve">, ako je napr. </w:t>
      </w:r>
      <w:proofErr w:type="spellStart"/>
      <w:r w:rsidRPr="00D3133D">
        <w:rPr>
          <w:szCs w:val="22"/>
          <w:lang w:eastAsia="it-IT"/>
        </w:rPr>
        <w:t>fenylefrín</w:t>
      </w:r>
      <w:proofErr w:type="spellEnd"/>
      <w:r w:rsidRPr="00D3133D">
        <w:rPr>
          <w:szCs w:val="22"/>
          <w:lang w:eastAsia="it-IT"/>
        </w:rPr>
        <w:t>. Takáto synergická kombinácia sa často predpisuje na dosiahnutie maximálnej dilatácie očnej zreničky pri odstraňovaní sivého zákalu.</w:t>
      </w:r>
    </w:p>
    <w:p w14:paraId="2F93DFB9" w14:textId="77777777" w:rsidR="00F60D3A" w:rsidRPr="00D3133D" w:rsidRDefault="00F60D3A" w:rsidP="00F60D3A">
      <w:pPr>
        <w:autoSpaceDE w:val="0"/>
        <w:autoSpaceDN w:val="0"/>
        <w:adjustRightInd w:val="0"/>
        <w:ind w:left="0" w:firstLine="0"/>
        <w:rPr>
          <w:szCs w:val="22"/>
          <w:lang w:eastAsia="it-IT"/>
        </w:rPr>
      </w:pPr>
    </w:p>
    <w:p w14:paraId="56FA9765" w14:textId="77777777" w:rsidR="00752C30" w:rsidRPr="005F0ED1" w:rsidRDefault="003E02F6" w:rsidP="00E60349">
      <w:pPr>
        <w:ind w:left="0" w:firstLine="0"/>
        <w:rPr>
          <w:iCs/>
          <w:szCs w:val="22"/>
        </w:rPr>
      </w:pPr>
      <w:r w:rsidRPr="005F0ED1">
        <w:rPr>
          <w:iCs/>
          <w:szCs w:val="22"/>
        </w:rPr>
        <w:t xml:space="preserve">V priemere 95 % dilatácie meranej pred injekciou </w:t>
      </w:r>
      <w:proofErr w:type="spellStart"/>
      <w:r w:rsidRPr="005F0ED1">
        <w:rPr>
          <w:iCs/>
          <w:szCs w:val="22"/>
        </w:rPr>
        <w:t>viskoelastickej</w:t>
      </w:r>
      <w:proofErr w:type="spellEnd"/>
      <w:r w:rsidRPr="005F0ED1">
        <w:rPr>
          <w:iCs/>
          <w:szCs w:val="22"/>
        </w:rPr>
        <w:t xml:space="preserve"> látky bolo dosiahnutých v rámci 30 sekúnd po jednorazovej </w:t>
      </w:r>
      <w:proofErr w:type="spellStart"/>
      <w:r w:rsidRPr="005F0ED1">
        <w:rPr>
          <w:iCs/>
          <w:szCs w:val="22"/>
        </w:rPr>
        <w:t>intrakamerálnej</w:t>
      </w:r>
      <w:proofErr w:type="spellEnd"/>
      <w:r w:rsidRPr="005F0ED1">
        <w:rPr>
          <w:iCs/>
          <w:szCs w:val="22"/>
        </w:rPr>
        <w:t xml:space="preserve"> injekcii 200 µl lieku </w:t>
      </w:r>
      <w:proofErr w:type="spellStart"/>
      <w:r w:rsidRPr="005F0ED1">
        <w:rPr>
          <w:iCs/>
          <w:szCs w:val="22"/>
        </w:rPr>
        <w:t>MYDRANE</w:t>
      </w:r>
      <w:proofErr w:type="spellEnd"/>
      <w:r w:rsidRPr="005F0ED1">
        <w:rPr>
          <w:iCs/>
          <w:szCs w:val="22"/>
        </w:rPr>
        <w:t xml:space="preserve"> počas klinickej štúdie fázy II. Veľkosti očnej zreničky pozorované počas klinických skúšaní fázy </w:t>
      </w:r>
      <w:proofErr w:type="spellStart"/>
      <w:r w:rsidRPr="005F0ED1">
        <w:rPr>
          <w:iCs/>
          <w:szCs w:val="22"/>
        </w:rPr>
        <w:t>II</w:t>
      </w:r>
      <w:proofErr w:type="spellEnd"/>
      <w:r w:rsidRPr="005F0ED1">
        <w:rPr>
          <w:iCs/>
          <w:szCs w:val="22"/>
        </w:rPr>
        <w:t xml:space="preserve"> a </w:t>
      </w:r>
      <w:proofErr w:type="spellStart"/>
      <w:r w:rsidRPr="005F0ED1">
        <w:rPr>
          <w:iCs/>
          <w:szCs w:val="22"/>
        </w:rPr>
        <w:t>III</w:t>
      </w:r>
      <w:proofErr w:type="spellEnd"/>
      <w:r w:rsidRPr="005F0ED1">
        <w:rPr>
          <w:iCs/>
          <w:szCs w:val="22"/>
        </w:rPr>
        <w:t xml:space="preserve"> sú uvedené v tabuľke nižšie (pacienti, ktorí dostali jednorazovú </w:t>
      </w:r>
      <w:proofErr w:type="spellStart"/>
      <w:r w:rsidRPr="005F0ED1">
        <w:rPr>
          <w:iCs/>
          <w:szCs w:val="22"/>
        </w:rPr>
        <w:t>intrakamerálnu</w:t>
      </w:r>
      <w:proofErr w:type="spellEnd"/>
      <w:r w:rsidRPr="005F0ED1">
        <w:rPr>
          <w:iCs/>
          <w:szCs w:val="22"/>
        </w:rPr>
        <w:t xml:space="preserve"> injekciu 200 µl lieku </w:t>
      </w:r>
      <w:proofErr w:type="spellStart"/>
      <w:r w:rsidRPr="005F0ED1">
        <w:rPr>
          <w:iCs/>
          <w:szCs w:val="22"/>
        </w:rPr>
        <w:t>MYDRANE</w:t>
      </w:r>
      <w:proofErr w:type="spellEnd"/>
      <w:r w:rsidRPr="005F0ED1">
        <w:rPr>
          <w:iCs/>
          <w:szCs w:val="22"/>
        </w:rPr>
        <w:t>):</w:t>
      </w:r>
    </w:p>
    <w:p w14:paraId="668ED9B4" w14:textId="77777777" w:rsidR="00752C30" w:rsidRPr="005F0ED1" w:rsidRDefault="00752C30" w:rsidP="0091013F">
      <w:pPr>
        <w:keepNext/>
        <w:rPr>
          <w:szCs w:val="22"/>
        </w:rPr>
      </w:pPr>
    </w:p>
    <w:tbl>
      <w:tblPr>
        <w:tblW w:w="920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1908"/>
        <w:gridCol w:w="1909"/>
        <w:gridCol w:w="1908"/>
        <w:gridCol w:w="1910"/>
      </w:tblGrid>
      <w:tr w:rsidR="00752C30" w:rsidRPr="00D3133D" w14:paraId="08E2626F" w14:textId="77777777" w:rsidTr="00752C30">
        <w:trPr>
          <w:trHeight w:val="251"/>
          <w:jc w:val="center"/>
        </w:trPr>
        <w:tc>
          <w:tcPr>
            <w:tcW w:w="1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2AA55" w14:textId="77777777" w:rsidR="00752C30" w:rsidRPr="00D3133D" w:rsidRDefault="00752C30" w:rsidP="0091013F">
            <w:pPr>
              <w:keepNext/>
              <w:rPr>
                <w:szCs w:val="22"/>
                <w:lang w:eastAsia="fr-FR"/>
              </w:rPr>
            </w:pPr>
          </w:p>
        </w:tc>
        <w:tc>
          <w:tcPr>
            <w:tcW w:w="38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8D2D7C" w14:textId="77777777" w:rsidR="00752C30" w:rsidRPr="005F0ED1" w:rsidRDefault="003E02F6" w:rsidP="0091013F">
            <w:pPr>
              <w:keepNext/>
              <w:spacing w:line="276" w:lineRule="auto"/>
              <w:ind w:left="55" w:firstLine="0"/>
              <w:jc w:val="center"/>
              <w:rPr>
                <w:rFonts w:eastAsia="Calibri"/>
                <w:szCs w:val="22"/>
              </w:rPr>
            </w:pPr>
            <w:r w:rsidRPr="00D3133D">
              <w:rPr>
                <w:szCs w:val="22"/>
              </w:rPr>
              <w:t xml:space="preserve">štúdia fázy </w:t>
            </w:r>
            <w:proofErr w:type="spellStart"/>
            <w:r w:rsidRPr="00D3133D">
              <w:rPr>
                <w:szCs w:val="22"/>
              </w:rPr>
              <w:t>II</w:t>
            </w:r>
            <w:proofErr w:type="spellEnd"/>
            <w:r w:rsidRPr="00D3133D">
              <w:rPr>
                <w:szCs w:val="22"/>
              </w:rPr>
              <w:t>, n = 24</w:t>
            </w:r>
          </w:p>
        </w:tc>
        <w:tc>
          <w:tcPr>
            <w:tcW w:w="38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16C723" w14:textId="77777777" w:rsidR="00752C30" w:rsidRPr="005F0ED1" w:rsidRDefault="003E02F6" w:rsidP="0091013F">
            <w:pPr>
              <w:keepNext/>
              <w:spacing w:line="276" w:lineRule="auto"/>
              <w:jc w:val="center"/>
              <w:rPr>
                <w:rFonts w:eastAsia="Calibri"/>
                <w:szCs w:val="22"/>
              </w:rPr>
            </w:pPr>
            <w:r w:rsidRPr="00D3133D">
              <w:rPr>
                <w:szCs w:val="22"/>
              </w:rPr>
              <w:t xml:space="preserve">štúdia fázy </w:t>
            </w:r>
            <w:proofErr w:type="spellStart"/>
            <w:r w:rsidRPr="00D3133D">
              <w:rPr>
                <w:szCs w:val="22"/>
              </w:rPr>
              <w:t>III</w:t>
            </w:r>
            <w:proofErr w:type="spellEnd"/>
            <w:r w:rsidRPr="00D3133D">
              <w:rPr>
                <w:szCs w:val="22"/>
              </w:rPr>
              <w:t>, n = 181</w:t>
            </w:r>
          </w:p>
        </w:tc>
      </w:tr>
      <w:tr w:rsidR="00752C30" w:rsidRPr="00D3133D" w14:paraId="2BF97F34" w14:textId="77777777" w:rsidTr="00752C30">
        <w:trPr>
          <w:trHeight w:val="125"/>
          <w:jc w:val="center"/>
        </w:trPr>
        <w:tc>
          <w:tcPr>
            <w:tcW w:w="15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6F232" w14:textId="77777777" w:rsidR="00752C30" w:rsidRPr="00D3133D" w:rsidRDefault="00752C30" w:rsidP="0091013F">
            <w:pPr>
              <w:keepNext/>
              <w:rPr>
                <w:szCs w:val="22"/>
                <w:lang w:eastAsia="fr-FR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E65902" w14:textId="77777777" w:rsidR="00752C30" w:rsidRPr="005F0ED1" w:rsidRDefault="003E02F6" w:rsidP="0091013F">
            <w:pPr>
              <w:keepNext/>
              <w:ind w:left="55" w:firstLine="0"/>
              <w:jc w:val="center"/>
              <w:rPr>
                <w:rFonts w:eastAsia="Calibri"/>
                <w:szCs w:val="22"/>
              </w:rPr>
            </w:pPr>
            <w:r w:rsidRPr="00D3133D">
              <w:rPr>
                <w:szCs w:val="22"/>
              </w:rPr>
              <w:t xml:space="preserve">v rámci 30 sekúnd po injekcii lieku </w:t>
            </w:r>
            <w:proofErr w:type="spellStart"/>
            <w:r w:rsidRPr="00D3133D">
              <w:rPr>
                <w:szCs w:val="22"/>
              </w:rPr>
              <w:t>Mydrane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16A7B" w14:textId="77777777" w:rsidR="00752C30" w:rsidRPr="005F0ED1" w:rsidRDefault="003E02F6" w:rsidP="0091013F">
            <w:pPr>
              <w:keepNext/>
              <w:ind w:left="55" w:firstLine="0"/>
              <w:jc w:val="center"/>
              <w:rPr>
                <w:rFonts w:eastAsia="Calibri"/>
                <w:szCs w:val="22"/>
              </w:rPr>
            </w:pPr>
            <w:r w:rsidRPr="00D3133D">
              <w:rPr>
                <w:szCs w:val="22"/>
              </w:rPr>
              <w:t xml:space="preserve">po injekcii lieku </w:t>
            </w:r>
            <w:proofErr w:type="spellStart"/>
            <w:r w:rsidRPr="00D3133D">
              <w:rPr>
                <w:szCs w:val="22"/>
              </w:rPr>
              <w:t>Mydrane</w:t>
            </w:r>
            <w:proofErr w:type="spellEnd"/>
            <w:r w:rsidRPr="00D3133D">
              <w:rPr>
                <w:szCs w:val="22"/>
              </w:rPr>
              <w:t xml:space="preserve"> a po následnej injekcii </w:t>
            </w:r>
            <w:proofErr w:type="spellStart"/>
            <w:r w:rsidRPr="00D3133D">
              <w:rPr>
                <w:szCs w:val="22"/>
              </w:rPr>
              <w:t>viskoelastickej</w:t>
            </w:r>
            <w:proofErr w:type="spellEnd"/>
            <w:r w:rsidRPr="00D3133D">
              <w:rPr>
                <w:szCs w:val="22"/>
              </w:rPr>
              <w:t xml:space="preserve"> látky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8ED8D6" w14:textId="77777777" w:rsidR="00752C30" w:rsidRPr="005F0ED1" w:rsidRDefault="003E02F6" w:rsidP="0091013F">
            <w:pPr>
              <w:keepNext/>
              <w:ind w:left="65" w:firstLine="0"/>
              <w:jc w:val="center"/>
              <w:rPr>
                <w:rFonts w:eastAsia="Calibri"/>
                <w:szCs w:val="22"/>
              </w:rPr>
            </w:pPr>
            <w:r w:rsidRPr="00D3133D">
              <w:rPr>
                <w:szCs w:val="22"/>
              </w:rPr>
              <w:t xml:space="preserve">po injekcii lieku </w:t>
            </w:r>
            <w:proofErr w:type="spellStart"/>
            <w:r w:rsidRPr="00D3133D">
              <w:rPr>
                <w:szCs w:val="22"/>
              </w:rPr>
              <w:t>Mydrane</w:t>
            </w:r>
            <w:proofErr w:type="spellEnd"/>
            <w:r w:rsidRPr="00D3133D">
              <w:rPr>
                <w:szCs w:val="22"/>
              </w:rPr>
              <w:t xml:space="preserve"> a po následnej injekcii </w:t>
            </w:r>
            <w:proofErr w:type="spellStart"/>
            <w:r w:rsidRPr="00D3133D">
              <w:rPr>
                <w:szCs w:val="22"/>
              </w:rPr>
              <w:t>viskoelastickej</w:t>
            </w:r>
            <w:proofErr w:type="spellEnd"/>
            <w:r w:rsidRPr="00D3133D">
              <w:rPr>
                <w:szCs w:val="22"/>
              </w:rPr>
              <w:t xml:space="preserve"> látky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214FA7" w14:textId="77777777" w:rsidR="00752C30" w:rsidRPr="005F0ED1" w:rsidRDefault="003E02F6" w:rsidP="0091013F">
            <w:pPr>
              <w:keepNext/>
              <w:ind w:left="65" w:firstLine="0"/>
              <w:jc w:val="center"/>
              <w:rPr>
                <w:rFonts w:eastAsia="Calibri"/>
                <w:szCs w:val="22"/>
              </w:rPr>
            </w:pPr>
            <w:r w:rsidRPr="00D3133D">
              <w:rPr>
                <w:szCs w:val="22"/>
              </w:rPr>
              <w:t xml:space="preserve">krátko pred injekciou </w:t>
            </w:r>
            <w:proofErr w:type="spellStart"/>
            <w:r w:rsidRPr="00D3133D">
              <w:rPr>
                <w:szCs w:val="22"/>
              </w:rPr>
              <w:t>IOL</w:t>
            </w:r>
            <w:proofErr w:type="spellEnd"/>
          </w:p>
        </w:tc>
      </w:tr>
      <w:tr w:rsidR="00752C30" w:rsidRPr="00D3133D" w14:paraId="3B118451" w14:textId="77777777" w:rsidTr="00752C30">
        <w:trPr>
          <w:trHeight w:val="792"/>
          <w:jc w:val="center"/>
        </w:trPr>
        <w:tc>
          <w:tcPr>
            <w:tcW w:w="1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1B6F3" w14:textId="77777777" w:rsidR="00752C30" w:rsidRPr="005F0ED1" w:rsidRDefault="003E02F6" w:rsidP="0091013F">
            <w:pPr>
              <w:keepNext/>
              <w:spacing w:line="276" w:lineRule="auto"/>
              <w:ind w:left="0" w:firstLine="0"/>
              <w:rPr>
                <w:rFonts w:eastAsia="Calibri"/>
                <w:b/>
                <w:szCs w:val="22"/>
              </w:rPr>
            </w:pPr>
            <w:r w:rsidRPr="00D3133D">
              <w:rPr>
                <w:b/>
                <w:szCs w:val="22"/>
              </w:rPr>
              <w:t>Veľkosť očnej zreničky (mm)</w:t>
            </w:r>
          </w:p>
          <w:p w14:paraId="7A243F92" w14:textId="77777777" w:rsidR="00752C30" w:rsidRPr="00D3133D" w:rsidRDefault="003E02F6" w:rsidP="0091013F">
            <w:pPr>
              <w:keepNext/>
              <w:spacing w:line="276" w:lineRule="auto"/>
              <w:ind w:left="0" w:firstLine="0"/>
              <w:rPr>
                <w:b/>
                <w:szCs w:val="22"/>
              </w:rPr>
            </w:pPr>
            <w:r w:rsidRPr="00D3133D">
              <w:rPr>
                <w:b/>
                <w:szCs w:val="22"/>
              </w:rPr>
              <w:t>Priemer (</w:t>
            </w:r>
            <w:proofErr w:type="spellStart"/>
            <w:r w:rsidRPr="00D3133D">
              <w:rPr>
                <w:b/>
                <w:szCs w:val="22"/>
              </w:rPr>
              <w:t>SD</w:t>
            </w:r>
            <w:proofErr w:type="spellEnd"/>
            <w:r w:rsidRPr="00D3133D">
              <w:rPr>
                <w:b/>
                <w:szCs w:val="22"/>
              </w:rPr>
              <w:t>)</w:t>
            </w:r>
          </w:p>
          <w:p w14:paraId="5BA7C630" w14:textId="77777777" w:rsidR="00752C30" w:rsidRPr="005F0ED1" w:rsidRDefault="003E02F6" w:rsidP="0091013F">
            <w:pPr>
              <w:keepNext/>
              <w:spacing w:line="276" w:lineRule="auto"/>
              <w:ind w:left="0" w:firstLine="0"/>
              <w:rPr>
                <w:rFonts w:eastAsia="Calibri"/>
                <w:szCs w:val="22"/>
              </w:rPr>
            </w:pPr>
            <w:r w:rsidRPr="00D3133D">
              <w:rPr>
                <w:szCs w:val="22"/>
              </w:rPr>
              <w:t>Medián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6B0CE8" w14:textId="77777777" w:rsidR="00752C30" w:rsidRPr="005F0ED1" w:rsidRDefault="00752C30" w:rsidP="0091013F">
            <w:pPr>
              <w:keepNext/>
              <w:spacing w:line="276" w:lineRule="auto"/>
              <w:ind w:left="55" w:firstLine="0"/>
              <w:jc w:val="center"/>
              <w:rPr>
                <w:rFonts w:eastAsia="Calibri"/>
                <w:szCs w:val="22"/>
              </w:rPr>
            </w:pPr>
          </w:p>
          <w:p w14:paraId="7BDB0894" w14:textId="77777777" w:rsidR="00752C30" w:rsidRPr="005F0ED1" w:rsidRDefault="00752C30" w:rsidP="0091013F">
            <w:pPr>
              <w:keepNext/>
              <w:spacing w:line="276" w:lineRule="auto"/>
              <w:ind w:left="55" w:firstLine="0"/>
              <w:jc w:val="center"/>
              <w:rPr>
                <w:rFonts w:eastAsia="Calibri"/>
                <w:szCs w:val="22"/>
              </w:rPr>
            </w:pPr>
          </w:p>
          <w:p w14:paraId="1CE50FFA" w14:textId="77777777" w:rsidR="00752C30" w:rsidRPr="00D3133D" w:rsidRDefault="003E02F6" w:rsidP="0091013F">
            <w:pPr>
              <w:keepNext/>
              <w:spacing w:line="276" w:lineRule="auto"/>
              <w:ind w:left="55" w:firstLine="0"/>
              <w:jc w:val="center"/>
              <w:rPr>
                <w:b/>
                <w:szCs w:val="22"/>
              </w:rPr>
            </w:pPr>
            <w:r w:rsidRPr="00D3133D">
              <w:rPr>
                <w:b/>
                <w:szCs w:val="22"/>
              </w:rPr>
              <w:t>6,7 (0,7)</w:t>
            </w:r>
          </w:p>
          <w:p w14:paraId="1AA2A730" w14:textId="77777777" w:rsidR="00752C30" w:rsidRPr="005F0ED1" w:rsidRDefault="003E02F6" w:rsidP="0091013F">
            <w:pPr>
              <w:keepNext/>
              <w:spacing w:line="276" w:lineRule="auto"/>
              <w:ind w:left="55" w:firstLine="0"/>
              <w:jc w:val="center"/>
              <w:rPr>
                <w:rFonts w:eastAsia="Calibri"/>
                <w:szCs w:val="22"/>
              </w:rPr>
            </w:pPr>
            <w:r w:rsidRPr="00D3133D">
              <w:rPr>
                <w:szCs w:val="22"/>
              </w:rPr>
              <w:t>6,7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AD35" w14:textId="77777777" w:rsidR="00752C30" w:rsidRPr="005F0ED1" w:rsidRDefault="00752C30" w:rsidP="0091013F">
            <w:pPr>
              <w:keepNext/>
              <w:spacing w:line="276" w:lineRule="auto"/>
              <w:ind w:left="55" w:firstLine="0"/>
              <w:jc w:val="center"/>
              <w:rPr>
                <w:rFonts w:eastAsia="Calibri"/>
                <w:szCs w:val="22"/>
              </w:rPr>
            </w:pPr>
          </w:p>
          <w:p w14:paraId="01A5C31E" w14:textId="77777777" w:rsidR="00752C30" w:rsidRPr="005F0ED1" w:rsidRDefault="00752C30" w:rsidP="0091013F">
            <w:pPr>
              <w:keepNext/>
              <w:spacing w:line="276" w:lineRule="auto"/>
              <w:ind w:left="55" w:firstLine="0"/>
              <w:jc w:val="center"/>
              <w:rPr>
                <w:rFonts w:eastAsia="Calibri"/>
                <w:szCs w:val="22"/>
              </w:rPr>
            </w:pPr>
          </w:p>
          <w:p w14:paraId="4F3B08ED" w14:textId="77777777" w:rsidR="00752C30" w:rsidRPr="00D3133D" w:rsidRDefault="003E02F6" w:rsidP="0091013F">
            <w:pPr>
              <w:keepNext/>
              <w:spacing w:line="276" w:lineRule="auto"/>
              <w:ind w:left="55" w:firstLine="0"/>
              <w:jc w:val="center"/>
              <w:rPr>
                <w:b/>
                <w:szCs w:val="22"/>
              </w:rPr>
            </w:pPr>
            <w:r w:rsidRPr="00D3133D">
              <w:rPr>
                <w:b/>
                <w:szCs w:val="22"/>
              </w:rPr>
              <w:t>7,7 (0,7)</w:t>
            </w:r>
          </w:p>
          <w:p w14:paraId="26D23A53" w14:textId="77777777" w:rsidR="00752C30" w:rsidRPr="005F0ED1" w:rsidRDefault="003E02F6" w:rsidP="0091013F">
            <w:pPr>
              <w:keepNext/>
              <w:spacing w:line="276" w:lineRule="auto"/>
              <w:ind w:left="55" w:firstLine="0"/>
              <w:jc w:val="center"/>
              <w:rPr>
                <w:rFonts w:eastAsia="Calibri"/>
                <w:szCs w:val="22"/>
              </w:rPr>
            </w:pPr>
            <w:r w:rsidRPr="00D3133D">
              <w:rPr>
                <w:szCs w:val="22"/>
              </w:rPr>
              <w:t>7,7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14595E" w14:textId="77777777" w:rsidR="00752C30" w:rsidRPr="005F0ED1" w:rsidRDefault="00752C30" w:rsidP="0091013F">
            <w:pPr>
              <w:keepNext/>
              <w:spacing w:line="276" w:lineRule="auto"/>
              <w:ind w:left="65" w:firstLine="0"/>
              <w:jc w:val="center"/>
              <w:rPr>
                <w:rFonts w:eastAsia="Calibri"/>
                <w:szCs w:val="22"/>
              </w:rPr>
            </w:pPr>
          </w:p>
          <w:p w14:paraId="29B55579" w14:textId="77777777" w:rsidR="00752C30" w:rsidRPr="005F0ED1" w:rsidRDefault="00752C30" w:rsidP="0091013F">
            <w:pPr>
              <w:keepNext/>
              <w:spacing w:line="276" w:lineRule="auto"/>
              <w:ind w:left="65" w:firstLine="0"/>
              <w:jc w:val="center"/>
              <w:rPr>
                <w:rFonts w:eastAsia="Calibri"/>
                <w:szCs w:val="22"/>
              </w:rPr>
            </w:pPr>
          </w:p>
          <w:p w14:paraId="2C9CD322" w14:textId="77777777" w:rsidR="00752C30" w:rsidRPr="00D3133D" w:rsidRDefault="003E02F6" w:rsidP="0091013F">
            <w:pPr>
              <w:keepNext/>
              <w:spacing w:line="276" w:lineRule="auto"/>
              <w:ind w:left="65" w:firstLine="0"/>
              <w:jc w:val="center"/>
              <w:rPr>
                <w:b/>
                <w:szCs w:val="22"/>
              </w:rPr>
            </w:pPr>
            <w:r w:rsidRPr="00D3133D">
              <w:rPr>
                <w:b/>
                <w:szCs w:val="22"/>
              </w:rPr>
              <w:t>7,8 (0,8)</w:t>
            </w:r>
          </w:p>
          <w:p w14:paraId="175C8078" w14:textId="77777777" w:rsidR="00752C30" w:rsidRPr="005F0ED1" w:rsidRDefault="003E02F6" w:rsidP="0091013F">
            <w:pPr>
              <w:keepNext/>
              <w:spacing w:line="276" w:lineRule="auto"/>
              <w:ind w:left="65" w:firstLine="0"/>
              <w:jc w:val="center"/>
              <w:rPr>
                <w:rFonts w:eastAsia="Calibri"/>
                <w:szCs w:val="22"/>
              </w:rPr>
            </w:pPr>
            <w:r w:rsidRPr="00D3133D">
              <w:rPr>
                <w:szCs w:val="22"/>
              </w:rPr>
              <w:t>7,8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B92926" w14:textId="77777777" w:rsidR="00752C30" w:rsidRPr="005F0ED1" w:rsidRDefault="00752C30" w:rsidP="0091013F">
            <w:pPr>
              <w:keepNext/>
              <w:spacing w:line="276" w:lineRule="auto"/>
              <w:ind w:left="65" w:firstLine="0"/>
              <w:jc w:val="center"/>
              <w:rPr>
                <w:rFonts w:eastAsia="Calibri"/>
                <w:szCs w:val="22"/>
              </w:rPr>
            </w:pPr>
          </w:p>
          <w:p w14:paraId="246C816E" w14:textId="77777777" w:rsidR="00752C30" w:rsidRPr="005F0ED1" w:rsidRDefault="00752C30" w:rsidP="0091013F">
            <w:pPr>
              <w:keepNext/>
              <w:spacing w:line="276" w:lineRule="auto"/>
              <w:ind w:left="65" w:firstLine="0"/>
              <w:jc w:val="center"/>
              <w:rPr>
                <w:rFonts w:eastAsia="Calibri"/>
                <w:szCs w:val="22"/>
              </w:rPr>
            </w:pPr>
          </w:p>
          <w:p w14:paraId="71AE1EA4" w14:textId="77777777" w:rsidR="00752C30" w:rsidRPr="00D3133D" w:rsidRDefault="003E02F6" w:rsidP="0091013F">
            <w:pPr>
              <w:keepNext/>
              <w:spacing w:line="276" w:lineRule="auto"/>
              <w:ind w:left="65" w:firstLine="0"/>
              <w:jc w:val="center"/>
              <w:rPr>
                <w:b/>
                <w:szCs w:val="22"/>
              </w:rPr>
            </w:pPr>
            <w:r w:rsidRPr="00D3133D">
              <w:rPr>
                <w:b/>
                <w:szCs w:val="22"/>
              </w:rPr>
              <w:t>7,9 (0,9)</w:t>
            </w:r>
          </w:p>
          <w:p w14:paraId="3FDA76EF" w14:textId="77777777" w:rsidR="00752C30" w:rsidRPr="005F0ED1" w:rsidRDefault="003E02F6" w:rsidP="0091013F">
            <w:pPr>
              <w:keepNext/>
              <w:spacing w:line="276" w:lineRule="auto"/>
              <w:ind w:left="65" w:firstLine="0"/>
              <w:jc w:val="center"/>
              <w:rPr>
                <w:rFonts w:eastAsia="Calibri"/>
                <w:szCs w:val="22"/>
              </w:rPr>
            </w:pPr>
            <w:r w:rsidRPr="00D3133D">
              <w:rPr>
                <w:szCs w:val="22"/>
              </w:rPr>
              <w:t>7,9</w:t>
            </w:r>
          </w:p>
        </w:tc>
      </w:tr>
    </w:tbl>
    <w:p w14:paraId="2A0DFAEF" w14:textId="77777777" w:rsidR="00752C30" w:rsidRPr="005F0ED1" w:rsidRDefault="00752C30" w:rsidP="00E60349">
      <w:pPr>
        <w:ind w:left="0" w:firstLine="0"/>
        <w:rPr>
          <w:iCs/>
          <w:strike/>
          <w:szCs w:val="22"/>
        </w:rPr>
      </w:pPr>
    </w:p>
    <w:p w14:paraId="75605EB0" w14:textId="77777777" w:rsidR="00752C30" w:rsidRPr="005F0ED1" w:rsidRDefault="003E02F6" w:rsidP="00E60349">
      <w:pPr>
        <w:ind w:left="0" w:firstLine="0"/>
        <w:rPr>
          <w:iCs/>
          <w:szCs w:val="22"/>
        </w:rPr>
      </w:pPr>
      <w:r w:rsidRPr="005F0ED1">
        <w:rPr>
          <w:iCs/>
          <w:szCs w:val="22"/>
        </w:rPr>
        <w:t xml:space="preserve">V štúdii fázy </w:t>
      </w:r>
      <w:proofErr w:type="spellStart"/>
      <w:r w:rsidRPr="005F0ED1">
        <w:rPr>
          <w:iCs/>
          <w:szCs w:val="22"/>
        </w:rPr>
        <w:t>III</w:t>
      </w:r>
      <w:proofErr w:type="spellEnd"/>
      <w:r w:rsidRPr="005F0ED1">
        <w:rPr>
          <w:iCs/>
          <w:szCs w:val="22"/>
        </w:rPr>
        <w:t xml:space="preserve"> bola veľkosť očnej zreničky po jednorazovej injekcii 200 µl lieku </w:t>
      </w:r>
      <w:proofErr w:type="spellStart"/>
      <w:r w:rsidRPr="005F0ED1">
        <w:rPr>
          <w:iCs/>
          <w:szCs w:val="22"/>
        </w:rPr>
        <w:t>MYDRANE</w:t>
      </w:r>
      <w:proofErr w:type="spellEnd"/>
      <w:r w:rsidRPr="005F0ED1">
        <w:rPr>
          <w:iCs/>
          <w:szCs w:val="22"/>
        </w:rPr>
        <w:t xml:space="preserve"> a injekcii </w:t>
      </w:r>
      <w:proofErr w:type="spellStart"/>
      <w:r w:rsidRPr="005F0ED1">
        <w:rPr>
          <w:iCs/>
          <w:szCs w:val="22"/>
        </w:rPr>
        <w:t>viskoelastickej</w:t>
      </w:r>
      <w:proofErr w:type="spellEnd"/>
      <w:r w:rsidRPr="005F0ED1">
        <w:rPr>
          <w:iCs/>
          <w:szCs w:val="22"/>
        </w:rPr>
        <w:t xml:space="preserve"> látky (krátko pred </w:t>
      </w:r>
      <w:proofErr w:type="spellStart"/>
      <w:r w:rsidRPr="005F0ED1">
        <w:rPr>
          <w:iCs/>
          <w:szCs w:val="22"/>
        </w:rPr>
        <w:t>kapsulorexiou</w:t>
      </w:r>
      <w:proofErr w:type="spellEnd"/>
      <w:r w:rsidRPr="005F0ED1">
        <w:rPr>
          <w:iCs/>
          <w:szCs w:val="22"/>
        </w:rPr>
        <w:t xml:space="preserve">) minimálne 7 mm u 86,7 % pacientov. V týchto klinických štúdiách fázy </w:t>
      </w:r>
      <w:proofErr w:type="spellStart"/>
      <w:r w:rsidRPr="005F0ED1">
        <w:rPr>
          <w:iCs/>
          <w:szCs w:val="22"/>
        </w:rPr>
        <w:t>II</w:t>
      </w:r>
      <w:proofErr w:type="spellEnd"/>
      <w:r w:rsidRPr="005F0ED1">
        <w:rPr>
          <w:iCs/>
          <w:szCs w:val="22"/>
        </w:rPr>
        <w:t xml:space="preserve"> a </w:t>
      </w:r>
      <w:proofErr w:type="spellStart"/>
      <w:r w:rsidRPr="005F0ED1">
        <w:rPr>
          <w:iCs/>
          <w:szCs w:val="22"/>
        </w:rPr>
        <w:t>III</w:t>
      </w:r>
      <w:proofErr w:type="spellEnd"/>
      <w:r w:rsidRPr="005F0ED1">
        <w:rPr>
          <w:iCs/>
          <w:szCs w:val="22"/>
        </w:rPr>
        <w:t xml:space="preserve"> sa preukázalo, že </w:t>
      </w:r>
      <w:proofErr w:type="spellStart"/>
      <w:r w:rsidRPr="005F0ED1">
        <w:rPr>
          <w:iCs/>
          <w:szCs w:val="22"/>
        </w:rPr>
        <w:t>mydriáza</w:t>
      </w:r>
      <w:proofErr w:type="spellEnd"/>
      <w:r w:rsidRPr="005F0ED1">
        <w:rPr>
          <w:iCs/>
          <w:szCs w:val="22"/>
        </w:rPr>
        <w:t xml:space="preserve"> vyvolaná liekom </w:t>
      </w:r>
      <w:proofErr w:type="spellStart"/>
      <w:r w:rsidRPr="005F0ED1">
        <w:rPr>
          <w:iCs/>
          <w:szCs w:val="22"/>
        </w:rPr>
        <w:t>MYDRANE</w:t>
      </w:r>
      <w:proofErr w:type="spellEnd"/>
      <w:r w:rsidRPr="005F0ED1">
        <w:rPr>
          <w:iCs/>
          <w:szCs w:val="22"/>
        </w:rPr>
        <w:t xml:space="preserve"> bola stabilná až do ukončenia chirurgického zákroku.</w:t>
      </w:r>
    </w:p>
    <w:p w14:paraId="0D1D8B2A" w14:textId="77777777" w:rsidR="00752C30" w:rsidRPr="00D3133D" w:rsidRDefault="003E02F6" w:rsidP="00E60349">
      <w:pPr>
        <w:rPr>
          <w:szCs w:val="22"/>
          <w:lang w:eastAsia="it-IT"/>
        </w:rPr>
      </w:pPr>
      <w:r w:rsidRPr="005F0ED1">
        <w:rPr>
          <w:iCs/>
          <w:szCs w:val="22"/>
        </w:rPr>
        <w:t>Je známe, že k návratu na normálnu veľkosť očnej zreničky dochádza po 5 – 7 hodinách.</w:t>
      </w:r>
    </w:p>
    <w:p w14:paraId="41707C3C" w14:textId="77777777" w:rsidR="00752C30" w:rsidRPr="00D3133D" w:rsidRDefault="00752C30" w:rsidP="00E60349">
      <w:pPr>
        <w:rPr>
          <w:i/>
          <w:iCs/>
          <w:color w:val="000000"/>
          <w:szCs w:val="22"/>
          <w:u w:val="single"/>
          <w:lang w:eastAsia="fr-FR"/>
        </w:rPr>
      </w:pPr>
    </w:p>
    <w:p w14:paraId="135AE98F" w14:textId="77777777" w:rsidR="00752C30" w:rsidRPr="00D3133D" w:rsidRDefault="003E02F6" w:rsidP="00E60349">
      <w:pPr>
        <w:rPr>
          <w:color w:val="000000"/>
          <w:szCs w:val="22"/>
          <w:lang w:eastAsia="fr-FR"/>
        </w:rPr>
      </w:pPr>
      <w:r w:rsidRPr="00D3133D">
        <w:rPr>
          <w:i/>
          <w:iCs/>
          <w:color w:val="000000"/>
          <w:szCs w:val="22"/>
          <w:u w:val="single"/>
          <w:lang w:eastAsia="fr-FR"/>
        </w:rPr>
        <w:t>Klinická účinnosť a bezpečnosť</w:t>
      </w:r>
    </w:p>
    <w:p w14:paraId="21BECBAC" w14:textId="77777777" w:rsidR="00752C30" w:rsidRPr="00D3133D" w:rsidRDefault="00752C30" w:rsidP="00E60349">
      <w:pPr>
        <w:keepNext/>
        <w:keepLines/>
        <w:rPr>
          <w:b/>
          <w:color w:val="000000"/>
          <w:szCs w:val="22"/>
          <w:lang w:eastAsia="fr-FR"/>
        </w:rPr>
      </w:pPr>
    </w:p>
    <w:p w14:paraId="2F984C38" w14:textId="77777777" w:rsidR="00752C30" w:rsidRPr="00D3133D" w:rsidRDefault="003E02F6" w:rsidP="00E60349">
      <w:pPr>
        <w:keepNext/>
        <w:keepLines/>
        <w:rPr>
          <w:b/>
          <w:color w:val="000000"/>
          <w:szCs w:val="22"/>
          <w:lang w:eastAsia="fr-FR"/>
        </w:rPr>
      </w:pPr>
      <w:r w:rsidRPr="00D3133D">
        <w:rPr>
          <w:b/>
          <w:color w:val="000000"/>
          <w:szCs w:val="22"/>
          <w:lang w:eastAsia="fr-FR"/>
        </w:rPr>
        <w:t>Klinická účinnosť:</w:t>
      </w:r>
    </w:p>
    <w:p w14:paraId="00B0C5CE" w14:textId="77777777" w:rsidR="00752C30" w:rsidRPr="00D3133D" w:rsidRDefault="003E02F6" w:rsidP="00E60349">
      <w:pPr>
        <w:keepNext/>
        <w:keepLines/>
        <w:ind w:left="0" w:firstLine="0"/>
        <w:rPr>
          <w:szCs w:val="22"/>
        </w:rPr>
      </w:pPr>
      <w:proofErr w:type="spellStart"/>
      <w:r w:rsidRPr="00D3133D">
        <w:rPr>
          <w:color w:val="000000"/>
          <w:szCs w:val="22"/>
          <w:lang w:eastAsia="fr-FR"/>
        </w:rPr>
        <w:t>Mydriatické</w:t>
      </w:r>
      <w:proofErr w:type="spellEnd"/>
      <w:r w:rsidRPr="00D3133D">
        <w:rPr>
          <w:color w:val="000000"/>
          <w:szCs w:val="22"/>
          <w:lang w:eastAsia="fr-FR"/>
        </w:rPr>
        <w:t xml:space="preserve"> a </w:t>
      </w:r>
      <w:proofErr w:type="spellStart"/>
      <w:r w:rsidRPr="00D3133D">
        <w:rPr>
          <w:color w:val="000000"/>
          <w:szCs w:val="22"/>
          <w:lang w:eastAsia="fr-FR"/>
        </w:rPr>
        <w:t>anestestetické</w:t>
      </w:r>
      <w:proofErr w:type="spellEnd"/>
      <w:r w:rsidRPr="00D3133D">
        <w:rPr>
          <w:color w:val="000000"/>
          <w:szCs w:val="22"/>
          <w:lang w:eastAsia="fr-FR"/>
        </w:rPr>
        <w:t xml:space="preserve"> účinky lieku </w:t>
      </w:r>
      <w:proofErr w:type="spellStart"/>
      <w:r w:rsidRPr="00D3133D">
        <w:rPr>
          <w:color w:val="000000"/>
          <w:szCs w:val="22"/>
          <w:lang w:eastAsia="fr-FR"/>
        </w:rPr>
        <w:t>MYDRANE</w:t>
      </w:r>
      <w:proofErr w:type="spellEnd"/>
      <w:r w:rsidRPr="00D3133D">
        <w:rPr>
          <w:color w:val="000000"/>
          <w:szCs w:val="22"/>
          <w:lang w:eastAsia="fr-FR"/>
        </w:rPr>
        <w:t xml:space="preserve"> boli vyhodnocované v </w:t>
      </w:r>
      <w:proofErr w:type="spellStart"/>
      <w:r w:rsidRPr="00D3133D">
        <w:rPr>
          <w:color w:val="000000"/>
          <w:szCs w:val="22"/>
          <w:lang w:eastAsia="fr-FR"/>
        </w:rPr>
        <w:t>multicentrickej</w:t>
      </w:r>
      <w:proofErr w:type="spellEnd"/>
      <w:r w:rsidRPr="00D3133D">
        <w:rPr>
          <w:color w:val="000000"/>
          <w:szCs w:val="22"/>
          <w:lang w:eastAsia="fr-FR"/>
        </w:rPr>
        <w:t xml:space="preserve">, </w:t>
      </w:r>
      <w:proofErr w:type="spellStart"/>
      <w:r w:rsidRPr="00D3133D">
        <w:rPr>
          <w:color w:val="000000"/>
          <w:szCs w:val="22"/>
          <w:lang w:eastAsia="fr-FR"/>
        </w:rPr>
        <w:t>randomizovanej</w:t>
      </w:r>
      <w:proofErr w:type="spellEnd"/>
      <w:r w:rsidRPr="00D3133D">
        <w:rPr>
          <w:color w:val="000000"/>
          <w:szCs w:val="22"/>
          <w:lang w:eastAsia="fr-FR"/>
        </w:rPr>
        <w:t xml:space="preserve">, otvorenej štúdii fázy </w:t>
      </w:r>
      <w:proofErr w:type="spellStart"/>
      <w:r w:rsidRPr="00D3133D">
        <w:rPr>
          <w:color w:val="000000"/>
          <w:szCs w:val="22"/>
          <w:lang w:eastAsia="fr-FR"/>
        </w:rPr>
        <w:t>III</w:t>
      </w:r>
      <w:proofErr w:type="spellEnd"/>
      <w:r w:rsidRPr="00D3133D">
        <w:rPr>
          <w:color w:val="000000"/>
          <w:szCs w:val="22"/>
          <w:lang w:eastAsia="fr-FR"/>
        </w:rPr>
        <w:t xml:space="preserve"> v porovnaní so štandardnou lokálnou liečbou (</w:t>
      </w:r>
      <w:proofErr w:type="spellStart"/>
      <w:r w:rsidRPr="00D3133D">
        <w:rPr>
          <w:color w:val="000000"/>
          <w:szCs w:val="22"/>
          <w:lang w:eastAsia="fr-FR"/>
        </w:rPr>
        <w:t>fenylefrín</w:t>
      </w:r>
      <w:proofErr w:type="spellEnd"/>
      <w:r w:rsidRPr="00D3133D">
        <w:rPr>
          <w:color w:val="000000"/>
          <w:szCs w:val="22"/>
          <w:lang w:eastAsia="fr-FR"/>
        </w:rPr>
        <w:t xml:space="preserve"> a </w:t>
      </w:r>
      <w:proofErr w:type="spellStart"/>
      <w:r w:rsidRPr="00D3133D">
        <w:rPr>
          <w:color w:val="000000"/>
          <w:szCs w:val="22"/>
          <w:lang w:eastAsia="fr-FR"/>
        </w:rPr>
        <w:t>tropikamid</w:t>
      </w:r>
      <w:proofErr w:type="spellEnd"/>
      <w:r w:rsidRPr="00D3133D">
        <w:rPr>
          <w:color w:val="000000"/>
          <w:szCs w:val="22"/>
          <w:lang w:eastAsia="fr-FR"/>
        </w:rPr>
        <w:t xml:space="preserve">) u 555 pacientov podstupujúcich chirurgický zákrok na odstránenie sivého zákalu s priemerom očnej zreničky ≥ 7 mm po podaní lokálneho </w:t>
      </w:r>
      <w:proofErr w:type="spellStart"/>
      <w:r w:rsidRPr="00D3133D">
        <w:rPr>
          <w:color w:val="000000"/>
          <w:szCs w:val="22"/>
          <w:lang w:eastAsia="fr-FR"/>
        </w:rPr>
        <w:t>mydriatika</w:t>
      </w:r>
      <w:proofErr w:type="spellEnd"/>
      <w:r w:rsidRPr="00D3133D">
        <w:rPr>
          <w:color w:val="000000"/>
          <w:szCs w:val="22"/>
          <w:lang w:eastAsia="fr-FR"/>
        </w:rPr>
        <w:t xml:space="preserve">. V obidvoch skupinách sa 5 minút a 1 minútu pred chirurgickým zákrokom do oka podal 1 % očná </w:t>
      </w:r>
      <w:proofErr w:type="spellStart"/>
      <w:r w:rsidRPr="00D3133D">
        <w:rPr>
          <w:color w:val="000000"/>
          <w:szCs w:val="22"/>
          <w:lang w:eastAsia="fr-FR"/>
        </w:rPr>
        <w:t>instilácia</w:t>
      </w:r>
      <w:proofErr w:type="spellEnd"/>
      <w:r w:rsidRPr="00D3133D">
        <w:rPr>
          <w:color w:val="000000"/>
          <w:szCs w:val="22"/>
          <w:lang w:eastAsia="fr-FR"/>
        </w:rPr>
        <w:t xml:space="preserve"> </w:t>
      </w:r>
      <w:proofErr w:type="spellStart"/>
      <w:r w:rsidRPr="00D3133D">
        <w:rPr>
          <w:color w:val="000000"/>
          <w:szCs w:val="22"/>
          <w:lang w:eastAsia="fr-FR"/>
        </w:rPr>
        <w:t>tetrakaínu</w:t>
      </w:r>
      <w:proofErr w:type="spellEnd"/>
      <w:r w:rsidRPr="00D3133D">
        <w:rPr>
          <w:color w:val="000000"/>
          <w:szCs w:val="22"/>
          <w:lang w:eastAsia="fr-FR"/>
        </w:rPr>
        <w:t>.</w:t>
      </w:r>
    </w:p>
    <w:p w14:paraId="18A131ED" w14:textId="77777777" w:rsidR="00752C30" w:rsidRPr="00D3133D" w:rsidRDefault="00752C30" w:rsidP="00E60349">
      <w:pPr>
        <w:rPr>
          <w:i/>
          <w:szCs w:val="22"/>
        </w:rPr>
      </w:pPr>
    </w:p>
    <w:p w14:paraId="7B050C84" w14:textId="77777777" w:rsidR="00752C30" w:rsidRPr="00D3133D" w:rsidRDefault="003E02F6" w:rsidP="00E60349">
      <w:pPr>
        <w:rPr>
          <w:i/>
          <w:szCs w:val="22"/>
        </w:rPr>
      </w:pPr>
      <w:proofErr w:type="spellStart"/>
      <w:r w:rsidRPr="00D3133D">
        <w:rPr>
          <w:i/>
          <w:szCs w:val="22"/>
        </w:rPr>
        <w:t>Mydriáza</w:t>
      </w:r>
      <w:proofErr w:type="spellEnd"/>
      <w:r w:rsidRPr="00D3133D">
        <w:rPr>
          <w:i/>
          <w:szCs w:val="22"/>
        </w:rPr>
        <w:t>:</w:t>
      </w:r>
    </w:p>
    <w:p w14:paraId="14B3BFE4" w14:textId="5B931BFE" w:rsidR="005F0ED1" w:rsidRDefault="003E02F6" w:rsidP="00A2214C">
      <w:pPr>
        <w:ind w:left="0" w:firstLine="0"/>
        <w:rPr>
          <w:szCs w:val="22"/>
        </w:rPr>
      </w:pPr>
      <w:r w:rsidRPr="00D3133D">
        <w:rPr>
          <w:szCs w:val="22"/>
        </w:rPr>
        <w:t xml:space="preserve">Pri primárnych kritériách účinnosti a kombinovaných primárnych kritériách účinnosti sa v populácii </w:t>
      </w:r>
      <w:proofErr w:type="spellStart"/>
      <w:r w:rsidRPr="00D3133D">
        <w:rPr>
          <w:szCs w:val="22"/>
        </w:rPr>
        <w:t>mITT</w:t>
      </w:r>
      <w:proofErr w:type="spellEnd"/>
      <w:r w:rsidRPr="00D3133D">
        <w:rPr>
          <w:szCs w:val="22"/>
        </w:rPr>
        <w:t xml:space="preserve"> preukázala </w:t>
      </w:r>
      <w:proofErr w:type="spellStart"/>
      <w:r w:rsidRPr="00D3133D">
        <w:rPr>
          <w:szCs w:val="22"/>
        </w:rPr>
        <w:t>noninferiorita</w:t>
      </w:r>
      <w:proofErr w:type="spellEnd"/>
      <w:r w:rsidRPr="00D3133D">
        <w:rPr>
          <w:szCs w:val="22"/>
        </w:rPr>
        <w:t xml:space="preserve"> lieku </w:t>
      </w:r>
      <w:proofErr w:type="spellStart"/>
      <w:r w:rsidRPr="00D3133D">
        <w:rPr>
          <w:szCs w:val="22"/>
        </w:rPr>
        <w:t>MYDRANE</w:t>
      </w:r>
      <w:proofErr w:type="spellEnd"/>
      <w:r w:rsidRPr="00D3133D">
        <w:rPr>
          <w:szCs w:val="22"/>
        </w:rPr>
        <w:t xml:space="preserve"> </w:t>
      </w:r>
      <w:r w:rsidRPr="00D3133D">
        <w:rPr>
          <w:i/>
          <w:iCs/>
          <w:szCs w:val="22"/>
        </w:rPr>
        <w:t xml:space="preserve">oproti </w:t>
      </w:r>
      <w:r w:rsidRPr="00D3133D">
        <w:rPr>
          <w:szCs w:val="22"/>
        </w:rPr>
        <w:t xml:space="preserve">porovnávanej liečbe </w:t>
      </w:r>
      <w:r w:rsidRPr="005F0ED1">
        <w:rPr>
          <w:iCs/>
          <w:szCs w:val="22"/>
        </w:rPr>
        <w:t xml:space="preserve">(0,5 % očná </w:t>
      </w:r>
      <w:proofErr w:type="spellStart"/>
      <w:r w:rsidRPr="005F0ED1">
        <w:rPr>
          <w:iCs/>
          <w:szCs w:val="22"/>
        </w:rPr>
        <w:t>instilácia</w:t>
      </w:r>
      <w:proofErr w:type="spellEnd"/>
      <w:r w:rsidRPr="005F0ED1">
        <w:rPr>
          <w:iCs/>
          <w:szCs w:val="22"/>
        </w:rPr>
        <w:t xml:space="preserve"> </w:t>
      </w:r>
      <w:proofErr w:type="spellStart"/>
      <w:r w:rsidRPr="005F0ED1">
        <w:rPr>
          <w:iCs/>
          <w:szCs w:val="22"/>
        </w:rPr>
        <w:t>tropikamidu</w:t>
      </w:r>
      <w:proofErr w:type="spellEnd"/>
      <w:r w:rsidRPr="005F0ED1">
        <w:rPr>
          <w:iCs/>
          <w:szCs w:val="22"/>
        </w:rPr>
        <w:t xml:space="preserve"> a 10 % očná </w:t>
      </w:r>
      <w:proofErr w:type="spellStart"/>
      <w:r w:rsidRPr="005F0ED1">
        <w:rPr>
          <w:iCs/>
          <w:szCs w:val="22"/>
        </w:rPr>
        <w:t>instilácia</w:t>
      </w:r>
      <w:proofErr w:type="spellEnd"/>
      <w:r w:rsidRPr="005F0ED1">
        <w:rPr>
          <w:iCs/>
          <w:szCs w:val="22"/>
        </w:rPr>
        <w:t xml:space="preserve"> </w:t>
      </w:r>
      <w:proofErr w:type="spellStart"/>
      <w:r w:rsidRPr="005F0ED1">
        <w:rPr>
          <w:iCs/>
          <w:szCs w:val="22"/>
        </w:rPr>
        <w:t>fenylefrínu</w:t>
      </w:r>
      <w:proofErr w:type="spellEnd"/>
      <w:r w:rsidRPr="005F0ED1">
        <w:rPr>
          <w:iCs/>
          <w:szCs w:val="22"/>
        </w:rPr>
        <w:t xml:space="preserve">, podanie jednej kvapky z každého lieku sa pred chirurgickým zákrokom opakovalo </w:t>
      </w:r>
      <w:proofErr w:type="spellStart"/>
      <w:r w:rsidRPr="005F0ED1">
        <w:rPr>
          <w:iCs/>
          <w:szCs w:val="22"/>
        </w:rPr>
        <w:t>3</w:t>
      </w:r>
      <w:r w:rsidRPr="005F0ED1">
        <w:rPr>
          <w:iCs/>
          <w:szCs w:val="22"/>
        </w:rPr>
        <w:noBreakHyphen/>
        <w:t>krát</w:t>
      </w:r>
      <w:proofErr w:type="spellEnd"/>
      <w:r w:rsidRPr="00D3133D">
        <w:rPr>
          <w:szCs w:val="22"/>
        </w:rPr>
        <w:t xml:space="preserve"> (pozri tabuľku nižšie)):</w:t>
      </w:r>
    </w:p>
    <w:p w14:paraId="7F5CA9EA" w14:textId="77777777" w:rsidR="00752C30" w:rsidRPr="00D3133D" w:rsidRDefault="00752C30" w:rsidP="0091013F">
      <w:pPr>
        <w:keepNext/>
        <w:spacing w:after="120"/>
        <w:ind w:left="0" w:firstLine="0"/>
        <w:rPr>
          <w:szCs w:val="22"/>
        </w:rPr>
      </w:pPr>
    </w:p>
    <w:tbl>
      <w:tblPr>
        <w:tblW w:w="8820" w:type="dxa"/>
        <w:jc w:val="center"/>
        <w:tblLayout w:type="fixed"/>
        <w:tblLook w:val="04A0" w:firstRow="1" w:lastRow="0" w:firstColumn="1" w:lastColumn="0" w:noHBand="0" w:noVBand="1"/>
      </w:tblPr>
      <w:tblGrid>
        <w:gridCol w:w="3276"/>
        <w:gridCol w:w="1560"/>
        <w:gridCol w:w="1560"/>
        <w:gridCol w:w="2411"/>
        <w:gridCol w:w="13"/>
      </w:tblGrid>
      <w:tr w:rsidR="00752C30" w:rsidRPr="00D3133D" w14:paraId="02116339" w14:textId="77777777" w:rsidTr="002420D2">
        <w:trPr>
          <w:gridAfter w:val="1"/>
          <w:wAfter w:w="13" w:type="dxa"/>
          <w:jc w:val="center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54E1E" w14:textId="77777777" w:rsidR="00752C30" w:rsidRPr="00D3133D" w:rsidRDefault="003E02F6" w:rsidP="0091013F">
            <w:pPr>
              <w:keepNext/>
              <w:spacing w:after="120"/>
              <w:ind w:left="0" w:firstLine="0"/>
              <w:rPr>
                <w:b/>
                <w:szCs w:val="22"/>
              </w:rPr>
            </w:pPr>
            <w:r w:rsidRPr="00D3133D">
              <w:rPr>
                <w:b/>
                <w:szCs w:val="22"/>
              </w:rPr>
              <w:t xml:space="preserve">populácia </w:t>
            </w:r>
            <w:proofErr w:type="spellStart"/>
            <w:r w:rsidRPr="00D3133D">
              <w:rPr>
                <w:b/>
                <w:szCs w:val="22"/>
              </w:rPr>
              <w:t>mITT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A8E4" w14:textId="77777777" w:rsidR="00FC1548" w:rsidRPr="00D3133D" w:rsidRDefault="003E02F6" w:rsidP="0091013F">
            <w:pPr>
              <w:keepNext/>
              <w:spacing w:after="120"/>
              <w:ind w:left="0" w:firstLine="0"/>
              <w:jc w:val="center"/>
              <w:rPr>
                <w:b/>
                <w:szCs w:val="22"/>
              </w:rPr>
            </w:pPr>
            <w:proofErr w:type="spellStart"/>
            <w:r w:rsidRPr="00D3133D">
              <w:rPr>
                <w:b/>
                <w:szCs w:val="22"/>
              </w:rPr>
              <w:t>MYDRANE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246C" w14:textId="77777777" w:rsidR="00FC1548" w:rsidRPr="00D3133D" w:rsidRDefault="003E02F6" w:rsidP="0091013F">
            <w:pPr>
              <w:keepNext/>
              <w:tabs>
                <w:tab w:val="left" w:pos="1310"/>
                <w:tab w:val="left" w:pos="1343"/>
              </w:tabs>
              <w:spacing w:after="120"/>
              <w:ind w:left="0" w:right="33" w:firstLine="0"/>
              <w:jc w:val="center"/>
              <w:rPr>
                <w:b/>
                <w:szCs w:val="22"/>
              </w:rPr>
            </w:pPr>
            <w:r w:rsidRPr="00D3133D">
              <w:rPr>
                <w:b/>
                <w:szCs w:val="22"/>
              </w:rPr>
              <w:t>porovnávaná liečba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004CC" w14:textId="77777777" w:rsidR="00752C30" w:rsidRPr="00D3133D" w:rsidRDefault="003E02F6" w:rsidP="0091013F">
            <w:pPr>
              <w:keepNext/>
              <w:spacing w:after="120"/>
              <w:ind w:left="0" w:right="-79" w:firstLine="0"/>
              <w:jc w:val="center"/>
              <w:rPr>
                <w:b/>
                <w:szCs w:val="22"/>
              </w:rPr>
            </w:pPr>
            <w:r w:rsidRPr="00D3133D">
              <w:rPr>
                <w:b/>
                <w:szCs w:val="22"/>
              </w:rPr>
              <w:t>rozdiel (%) medzi skupinami</w:t>
            </w:r>
          </w:p>
          <w:p w14:paraId="57E4DD7A" w14:textId="77777777" w:rsidR="00752C30" w:rsidRPr="00D3133D" w:rsidRDefault="003E02F6" w:rsidP="0091013F">
            <w:pPr>
              <w:keepNext/>
              <w:spacing w:after="120"/>
              <w:ind w:left="0" w:firstLine="0"/>
              <w:jc w:val="center"/>
              <w:rPr>
                <w:b/>
                <w:szCs w:val="22"/>
              </w:rPr>
            </w:pPr>
            <w:r w:rsidRPr="00D3133D">
              <w:rPr>
                <w:b/>
                <w:szCs w:val="22"/>
              </w:rPr>
              <w:t>(</w:t>
            </w:r>
            <w:proofErr w:type="spellStart"/>
            <w:r w:rsidRPr="00D3133D">
              <w:rPr>
                <w:b/>
                <w:szCs w:val="22"/>
              </w:rPr>
              <w:t>MYDRANE</w:t>
            </w:r>
            <w:proofErr w:type="spellEnd"/>
            <w:r w:rsidRPr="00D3133D">
              <w:rPr>
                <w:b/>
                <w:szCs w:val="22"/>
              </w:rPr>
              <w:t xml:space="preserve"> – porovnávaný liek)</w:t>
            </w:r>
          </w:p>
        </w:tc>
      </w:tr>
      <w:tr w:rsidR="00752C30" w:rsidRPr="00D3133D" w14:paraId="15258E51" w14:textId="77777777" w:rsidTr="002420D2">
        <w:trPr>
          <w:gridAfter w:val="1"/>
          <w:wAfter w:w="13" w:type="dxa"/>
          <w:jc w:val="center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82346" w14:textId="77777777" w:rsidR="00752C30" w:rsidRPr="00D3133D" w:rsidRDefault="00752C30" w:rsidP="00E60349">
            <w:pPr>
              <w:spacing w:after="120"/>
              <w:ind w:left="0" w:firstLine="0"/>
              <w:rPr>
                <w:b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1CA8" w14:textId="77777777" w:rsidR="00752C30" w:rsidRPr="00D3133D" w:rsidRDefault="00752C30" w:rsidP="00F60D3A">
            <w:pPr>
              <w:spacing w:after="120"/>
              <w:ind w:left="0" w:firstLine="0"/>
              <w:jc w:val="center"/>
              <w:rPr>
                <w:b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3CE9" w14:textId="77777777" w:rsidR="00752C30" w:rsidRPr="00D3133D" w:rsidRDefault="00752C30" w:rsidP="00F60D3A">
            <w:pPr>
              <w:tabs>
                <w:tab w:val="left" w:pos="1310"/>
                <w:tab w:val="left" w:pos="1343"/>
              </w:tabs>
              <w:spacing w:after="120"/>
              <w:ind w:left="0" w:right="33" w:firstLine="0"/>
              <w:jc w:val="center"/>
              <w:rPr>
                <w:b/>
                <w:szCs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3955A" w14:textId="77777777" w:rsidR="00752C30" w:rsidRPr="00D3133D" w:rsidRDefault="003E02F6" w:rsidP="00F60D3A">
            <w:pPr>
              <w:spacing w:after="120"/>
              <w:ind w:left="0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 xml:space="preserve">[95 % </w:t>
            </w:r>
            <w:proofErr w:type="spellStart"/>
            <w:r w:rsidRPr="00D3133D">
              <w:rPr>
                <w:szCs w:val="22"/>
              </w:rPr>
              <w:t>IS</w:t>
            </w:r>
            <w:proofErr w:type="spellEnd"/>
            <w:r w:rsidRPr="00D3133D">
              <w:rPr>
                <w:szCs w:val="22"/>
              </w:rPr>
              <w:t>]</w:t>
            </w:r>
          </w:p>
        </w:tc>
      </w:tr>
      <w:tr w:rsidR="00752C30" w:rsidRPr="00D3133D" w14:paraId="48C9415D" w14:textId="77777777" w:rsidTr="002420D2">
        <w:trPr>
          <w:trHeight w:val="605"/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6D20" w14:textId="77777777" w:rsidR="00752C30" w:rsidRPr="00D3133D" w:rsidRDefault="003E02F6" w:rsidP="00E60349">
            <w:pPr>
              <w:spacing w:after="120"/>
              <w:ind w:left="0" w:firstLine="0"/>
              <w:rPr>
                <w:b/>
                <w:szCs w:val="22"/>
              </w:rPr>
            </w:pPr>
            <w:r w:rsidRPr="00D3133D">
              <w:rPr>
                <w:b/>
                <w:szCs w:val="22"/>
              </w:rPr>
              <w:t>Primárne kritérium účinnosti</w:t>
            </w:r>
          </w:p>
          <w:p w14:paraId="69544B33" w14:textId="77777777" w:rsidR="00752C30" w:rsidRPr="00D3133D" w:rsidRDefault="003E02F6" w:rsidP="00E60349">
            <w:pPr>
              <w:spacing w:after="120"/>
              <w:ind w:left="0" w:firstLine="0"/>
              <w:rPr>
                <w:szCs w:val="22"/>
              </w:rPr>
            </w:pPr>
            <w:r w:rsidRPr="00D3133D">
              <w:rPr>
                <w:szCs w:val="22"/>
              </w:rPr>
              <w:t>Počet (%) pacientov s odpoveďou*</w:t>
            </w:r>
          </w:p>
          <w:p w14:paraId="61D5D6EA" w14:textId="77777777" w:rsidR="00752C30" w:rsidRPr="00D3133D" w:rsidRDefault="003E02F6" w:rsidP="00E60349">
            <w:pPr>
              <w:spacing w:after="120"/>
              <w:ind w:left="0" w:firstLine="0"/>
              <w:rPr>
                <w:szCs w:val="22"/>
              </w:rPr>
            </w:pPr>
            <w:r w:rsidRPr="00D3133D">
              <w:rPr>
                <w:szCs w:val="22"/>
              </w:rPr>
              <w:t xml:space="preserve">95 % </w:t>
            </w:r>
            <w:proofErr w:type="spellStart"/>
            <w:r w:rsidRPr="00D3133D">
              <w:rPr>
                <w:szCs w:val="22"/>
              </w:rPr>
              <w:t>IS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2C4B8" w14:textId="77777777" w:rsidR="00752C30" w:rsidRPr="00D3133D" w:rsidRDefault="00752C30" w:rsidP="00F60D3A">
            <w:pPr>
              <w:spacing w:after="120"/>
              <w:ind w:left="0" w:firstLine="0"/>
              <w:jc w:val="center"/>
              <w:rPr>
                <w:szCs w:val="22"/>
              </w:rPr>
            </w:pPr>
          </w:p>
          <w:p w14:paraId="7661AE64" w14:textId="77777777" w:rsidR="00752C30" w:rsidRPr="00D3133D" w:rsidRDefault="003E02F6" w:rsidP="00F60D3A">
            <w:pPr>
              <w:spacing w:after="120"/>
              <w:ind w:left="0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N = 268</w:t>
            </w:r>
          </w:p>
          <w:p w14:paraId="1C6C3395" w14:textId="77777777" w:rsidR="00752C30" w:rsidRPr="00D3133D" w:rsidRDefault="003E02F6" w:rsidP="00F60D3A">
            <w:pPr>
              <w:spacing w:after="120"/>
              <w:ind w:left="0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265 (98,9)</w:t>
            </w:r>
          </w:p>
          <w:p w14:paraId="7E039B57" w14:textId="77777777" w:rsidR="00752C30" w:rsidRPr="00D3133D" w:rsidRDefault="003E02F6" w:rsidP="00F60D3A">
            <w:pPr>
              <w:spacing w:after="120"/>
              <w:ind w:left="0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[96,8; 99,8]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B4BFE" w14:textId="77777777" w:rsidR="00752C30" w:rsidRPr="00D3133D" w:rsidRDefault="00752C30" w:rsidP="00F60D3A">
            <w:pPr>
              <w:tabs>
                <w:tab w:val="left" w:pos="1310"/>
                <w:tab w:val="left" w:pos="1343"/>
              </w:tabs>
              <w:spacing w:after="120"/>
              <w:ind w:left="0" w:right="33" w:firstLine="0"/>
              <w:jc w:val="center"/>
              <w:rPr>
                <w:szCs w:val="22"/>
              </w:rPr>
            </w:pPr>
          </w:p>
          <w:p w14:paraId="0E4F44FD" w14:textId="77777777" w:rsidR="00752C30" w:rsidRPr="00D3133D" w:rsidRDefault="003E02F6" w:rsidP="00F60D3A">
            <w:pPr>
              <w:tabs>
                <w:tab w:val="left" w:pos="1310"/>
                <w:tab w:val="left" w:pos="1343"/>
              </w:tabs>
              <w:spacing w:after="120"/>
              <w:ind w:left="0" w:right="33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N = 281</w:t>
            </w:r>
          </w:p>
          <w:p w14:paraId="12165F2D" w14:textId="77777777" w:rsidR="00752C30" w:rsidRPr="00D3133D" w:rsidRDefault="003E02F6" w:rsidP="00F60D3A">
            <w:pPr>
              <w:tabs>
                <w:tab w:val="left" w:pos="1310"/>
                <w:tab w:val="left" w:pos="1343"/>
              </w:tabs>
              <w:spacing w:after="120"/>
              <w:ind w:left="0" w:right="33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266 (94,7)</w:t>
            </w:r>
          </w:p>
          <w:p w14:paraId="7F4DFCD6" w14:textId="77777777" w:rsidR="00752C30" w:rsidRPr="00D3133D" w:rsidRDefault="003E02F6" w:rsidP="00F60D3A">
            <w:pPr>
              <w:tabs>
                <w:tab w:val="left" w:pos="1310"/>
                <w:tab w:val="left" w:pos="1343"/>
              </w:tabs>
              <w:spacing w:after="120"/>
              <w:ind w:left="0" w:right="33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[91,3; 97,0]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A67C" w14:textId="77777777" w:rsidR="00752C30" w:rsidRPr="00D3133D" w:rsidRDefault="003E02F6" w:rsidP="00F60D3A">
            <w:pPr>
              <w:spacing w:after="120"/>
              <w:ind w:left="0" w:firstLine="0"/>
              <w:jc w:val="center"/>
              <w:rPr>
                <w:b/>
                <w:szCs w:val="22"/>
              </w:rPr>
            </w:pPr>
            <w:r w:rsidRPr="00D3133D">
              <w:rPr>
                <w:b/>
                <w:szCs w:val="22"/>
              </w:rPr>
              <w:t>4.2</w:t>
            </w:r>
          </w:p>
          <w:p w14:paraId="37A4CFEB" w14:textId="77777777" w:rsidR="00752C30" w:rsidRPr="00D3133D" w:rsidRDefault="003E02F6" w:rsidP="00F60D3A">
            <w:pPr>
              <w:spacing w:after="120"/>
              <w:ind w:left="0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[-4,2; 12,6]</w:t>
            </w:r>
          </w:p>
        </w:tc>
      </w:tr>
      <w:tr w:rsidR="00752C30" w:rsidRPr="00D3133D" w14:paraId="1B71347D" w14:textId="77777777" w:rsidTr="002420D2">
        <w:trPr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D6233" w14:textId="77777777" w:rsidR="00752C30" w:rsidRPr="00D3133D" w:rsidRDefault="003E02F6" w:rsidP="00E60349">
            <w:pPr>
              <w:spacing w:after="120"/>
              <w:ind w:left="0" w:firstLine="0"/>
              <w:rPr>
                <w:szCs w:val="22"/>
              </w:rPr>
            </w:pPr>
            <w:r w:rsidRPr="00D3133D">
              <w:rPr>
                <w:b/>
                <w:szCs w:val="22"/>
              </w:rPr>
              <w:t>Kombinované primárne kritérium účinnosti</w:t>
            </w:r>
          </w:p>
          <w:p w14:paraId="270D416E" w14:textId="7F952093" w:rsidR="00752C30" w:rsidRPr="00D3133D" w:rsidRDefault="003E02F6" w:rsidP="00E60349">
            <w:pPr>
              <w:spacing w:after="120"/>
              <w:ind w:left="0" w:firstLine="0"/>
              <w:rPr>
                <w:szCs w:val="22"/>
              </w:rPr>
            </w:pPr>
            <w:r w:rsidRPr="00D3133D">
              <w:rPr>
                <w:szCs w:val="22"/>
              </w:rPr>
              <w:t>Počet (%) pacientov</w:t>
            </w:r>
            <w:r w:rsidR="002420D2">
              <w:rPr>
                <w:szCs w:val="22"/>
              </w:rPr>
              <w:t xml:space="preserve"> </w:t>
            </w:r>
            <w:r w:rsidRPr="00D3133D">
              <w:rPr>
                <w:szCs w:val="22"/>
              </w:rPr>
              <w:t>s odpoveďou**</w:t>
            </w:r>
          </w:p>
          <w:p w14:paraId="4293D906" w14:textId="77777777" w:rsidR="00752C30" w:rsidRPr="00D3133D" w:rsidRDefault="003E02F6" w:rsidP="00B81490">
            <w:pPr>
              <w:spacing w:after="120"/>
              <w:ind w:left="0" w:firstLine="0"/>
              <w:rPr>
                <w:szCs w:val="22"/>
              </w:rPr>
            </w:pPr>
            <w:r w:rsidRPr="00D3133D">
              <w:rPr>
                <w:szCs w:val="22"/>
              </w:rPr>
              <w:t xml:space="preserve">95% </w:t>
            </w:r>
            <w:proofErr w:type="spellStart"/>
            <w:r w:rsidRPr="00D3133D">
              <w:rPr>
                <w:szCs w:val="22"/>
              </w:rPr>
              <w:t>IS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9A0A2" w14:textId="77777777" w:rsidR="00752C30" w:rsidRPr="00D3133D" w:rsidRDefault="00752C30" w:rsidP="00F60D3A">
            <w:pPr>
              <w:spacing w:after="120"/>
              <w:ind w:left="0" w:firstLine="0"/>
              <w:jc w:val="center"/>
              <w:rPr>
                <w:szCs w:val="22"/>
              </w:rPr>
            </w:pPr>
          </w:p>
          <w:p w14:paraId="4F943E71" w14:textId="77777777" w:rsidR="00752C30" w:rsidRPr="00D3133D" w:rsidRDefault="003E02F6" w:rsidP="00F60D3A">
            <w:pPr>
              <w:spacing w:after="120"/>
              <w:ind w:left="0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N = 250</w:t>
            </w:r>
          </w:p>
          <w:p w14:paraId="052C5BDB" w14:textId="77777777" w:rsidR="00752C30" w:rsidRPr="00D3133D" w:rsidRDefault="003E02F6" w:rsidP="00F60D3A">
            <w:pPr>
              <w:spacing w:after="120"/>
              <w:ind w:left="0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246 (98,4)</w:t>
            </w:r>
          </w:p>
          <w:p w14:paraId="11CC9C21" w14:textId="77777777" w:rsidR="00752C30" w:rsidRPr="00D3133D" w:rsidRDefault="003E02F6" w:rsidP="00F60D3A">
            <w:pPr>
              <w:spacing w:after="120"/>
              <w:ind w:left="0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[96,0; 99,6]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E60F9" w14:textId="77777777" w:rsidR="00752C30" w:rsidRPr="00D3133D" w:rsidRDefault="00752C30" w:rsidP="00F60D3A">
            <w:pPr>
              <w:tabs>
                <w:tab w:val="left" w:pos="1310"/>
                <w:tab w:val="left" w:pos="1343"/>
              </w:tabs>
              <w:spacing w:after="120"/>
              <w:ind w:left="0" w:right="33" w:firstLine="0"/>
              <w:jc w:val="center"/>
              <w:rPr>
                <w:szCs w:val="22"/>
              </w:rPr>
            </w:pPr>
          </w:p>
          <w:p w14:paraId="7E2B1921" w14:textId="77777777" w:rsidR="00752C30" w:rsidRPr="00D3133D" w:rsidRDefault="003E02F6" w:rsidP="00F60D3A">
            <w:pPr>
              <w:tabs>
                <w:tab w:val="left" w:pos="1310"/>
                <w:tab w:val="left" w:pos="1343"/>
              </w:tabs>
              <w:spacing w:after="120"/>
              <w:ind w:left="0" w:right="33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N = 261</w:t>
            </w:r>
          </w:p>
          <w:p w14:paraId="566FFDC0" w14:textId="77777777" w:rsidR="00752C30" w:rsidRPr="00D3133D" w:rsidRDefault="003E02F6" w:rsidP="00F60D3A">
            <w:pPr>
              <w:tabs>
                <w:tab w:val="left" w:pos="1310"/>
                <w:tab w:val="left" w:pos="1343"/>
              </w:tabs>
              <w:spacing w:after="120"/>
              <w:ind w:left="0" w:right="33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246 (94,3)</w:t>
            </w:r>
          </w:p>
          <w:p w14:paraId="216684D8" w14:textId="77777777" w:rsidR="00752C30" w:rsidRPr="00D3133D" w:rsidRDefault="003E02F6" w:rsidP="00F60D3A">
            <w:pPr>
              <w:tabs>
                <w:tab w:val="left" w:pos="1310"/>
                <w:tab w:val="left" w:pos="1343"/>
              </w:tabs>
              <w:spacing w:after="120"/>
              <w:ind w:left="0" w:right="33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[90,7; 96,7]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20FE" w14:textId="77777777" w:rsidR="00752C30" w:rsidRPr="00D3133D" w:rsidRDefault="003E02F6" w:rsidP="00F60D3A">
            <w:pPr>
              <w:spacing w:after="120"/>
              <w:ind w:left="0" w:firstLine="0"/>
              <w:jc w:val="center"/>
              <w:rPr>
                <w:b/>
                <w:szCs w:val="22"/>
              </w:rPr>
            </w:pPr>
            <w:r w:rsidRPr="00D3133D">
              <w:rPr>
                <w:b/>
                <w:szCs w:val="22"/>
              </w:rPr>
              <w:t>4.1</w:t>
            </w:r>
          </w:p>
          <w:p w14:paraId="141597E7" w14:textId="77777777" w:rsidR="00752C30" w:rsidRPr="00D3133D" w:rsidRDefault="003E02F6" w:rsidP="00F60D3A">
            <w:pPr>
              <w:spacing w:after="120"/>
              <w:ind w:left="0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[-4,5; 12,8]</w:t>
            </w:r>
          </w:p>
        </w:tc>
      </w:tr>
      <w:tr w:rsidR="00752C30" w:rsidRPr="00D3133D" w14:paraId="0182D77A" w14:textId="77777777" w:rsidTr="002420D2">
        <w:trPr>
          <w:jc w:val="center"/>
        </w:trPr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76265" w14:textId="77777777" w:rsidR="00752C30" w:rsidRPr="005F0ED1" w:rsidRDefault="003E02F6" w:rsidP="002420D2">
            <w:pPr>
              <w:ind w:left="0" w:right="33" w:firstLine="0"/>
              <w:rPr>
                <w:i/>
                <w:szCs w:val="22"/>
              </w:rPr>
            </w:pPr>
            <w:r w:rsidRPr="005F0ED1">
              <w:rPr>
                <w:i/>
                <w:szCs w:val="22"/>
              </w:rPr>
              <w:t xml:space="preserve">* Pacient s odpoveďou bol definovaný ako pacient, u ktorého sa </w:t>
            </w:r>
            <w:proofErr w:type="spellStart"/>
            <w:r w:rsidRPr="005F0ED1">
              <w:rPr>
                <w:i/>
                <w:szCs w:val="22"/>
              </w:rPr>
              <w:t>kapsulorexia</w:t>
            </w:r>
            <w:proofErr w:type="spellEnd"/>
            <w:r w:rsidRPr="005F0ED1">
              <w:rPr>
                <w:i/>
                <w:szCs w:val="22"/>
              </w:rPr>
              <w:t xml:space="preserve"> vykonala bez použitia akejkoľvek ďalšej liečby </w:t>
            </w:r>
            <w:proofErr w:type="spellStart"/>
            <w:r w:rsidRPr="005F0ED1">
              <w:rPr>
                <w:i/>
                <w:szCs w:val="22"/>
              </w:rPr>
              <w:t>mydriatikom</w:t>
            </w:r>
            <w:proofErr w:type="spellEnd"/>
          </w:p>
          <w:p w14:paraId="0D86A55F" w14:textId="77777777" w:rsidR="00752C30" w:rsidRPr="00D3133D" w:rsidRDefault="003E02F6" w:rsidP="00E60349">
            <w:pPr>
              <w:tabs>
                <w:tab w:val="left" w:pos="1310"/>
                <w:tab w:val="left" w:pos="1343"/>
              </w:tabs>
              <w:spacing w:after="120"/>
              <w:ind w:left="52" w:right="33" w:hanging="52"/>
              <w:rPr>
                <w:b/>
                <w:szCs w:val="22"/>
              </w:rPr>
            </w:pPr>
            <w:r w:rsidRPr="005F0ED1">
              <w:rPr>
                <w:i/>
                <w:szCs w:val="22"/>
              </w:rPr>
              <w:t xml:space="preserve">** Pacient s odpoveďou bol definovaný ako pacient, u ktorého sa </w:t>
            </w:r>
            <w:proofErr w:type="spellStart"/>
            <w:r w:rsidRPr="005F0ED1">
              <w:rPr>
                <w:i/>
                <w:szCs w:val="22"/>
              </w:rPr>
              <w:t>kapsulorexia</w:t>
            </w:r>
            <w:proofErr w:type="spellEnd"/>
            <w:r w:rsidRPr="005F0ED1">
              <w:rPr>
                <w:i/>
                <w:szCs w:val="22"/>
              </w:rPr>
              <w:t xml:space="preserve"> vykonala bez použitia akejkoľvek ďalšej liečby </w:t>
            </w:r>
            <w:proofErr w:type="spellStart"/>
            <w:r w:rsidRPr="005F0ED1">
              <w:rPr>
                <w:i/>
                <w:szCs w:val="22"/>
              </w:rPr>
              <w:t>mydriatikom</w:t>
            </w:r>
            <w:proofErr w:type="spellEnd"/>
            <w:r w:rsidRPr="005F0ED1">
              <w:rPr>
                <w:i/>
                <w:szCs w:val="22"/>
              </w:rPr>
              <w:t xml:space="preserve"> a u ktorého bola veľkosť očnej zreničky krátko pred </w:t>
            </w:r>
            <w:proofErr w:type="spellStart"/>
            <w:r w:rsidRPr="005F0ED1">
              <w:rPr>
                <w:i/>
                <w:szCs w:val="22"/>
              </w:rPr>
              <w:t>kapsulorexiou</w:t>
            </w:r>
            <w:proofErr w:type="spellEnd"/>
            <w:r w:rsidRPr="005F0ED1">
              <w:rPr>
                <w:i/>
                <w:szCs w:val="22"/>
              </w:rPr>
              <w:t xml:space="preserve"> ≥ 5,5 mm.</w:t>
            </w:r>
          </w:p>
        </w:tc>
      </w:tr>
    </w:tbl>
    <w:p w14:paraId="13910C02" w14:textId="77777777" w:rsidR="00752C30" w:rsidRPr="00D3133D" w:rsidRDefault="00752C30" w:rsidP="00E60349">
      <w:pPr>
        <w:rPr>
          <w:szCs w:val="22"/>
        </w:rPr>
      </w:pPr>
    </w:p>
    <w:p w14:paraId="3E867468" w14:textId="25AF938C" w:rsidR="00752C30" w:rsidRPr="00D3133D" w:rsidRDefault="003E02F6" w:rsidP="00E60349">
      <w:pPr>
        <w:ind w:left="0" w:firstLine="0"/>
        <w:rPr>
          <w:color w:val="000000"/>
          <w:szCs w:val="22"/>
          <w:lang w:eastAsia="fr-FR"/>
        </w:rPr>
      </w:pPr>
      <w:r w:rsidRPr="00D3133D">
        <w:rPr>
          <w:color w:val="000000"/>
          <w:szCs w:val="22"/>
          <w:lang w:eastAsia="fr-FR"/>
        </w:rPr>
        <w:t xml:space="preserve">Počas štúdie fázy </w:t>
      </w:r>
      <w:proofErr w:type="spellStart"/>
      <w:r w:rsidRPr="00D3133D">
        <w:rPr>
          <w:color w:val="000000"/>
          <w:szCs w:val="22"/>
          <w:lang w:eastAsia="fr-FR"/>
        </w:rPr>
        <w:t>III</w:t>
      </w:r>
      <w:proofErr w:type="spellEnd"/>
      <w:r w:rsidRPr="00D3133D">
        <w:rPr>
          <w:color w:val="000000"/>
          <w:szCs w:val="22"/>
          <w:lang w:eastAsia="fr-FR"/>
        </w:rPr>
        <w:t xml:space="preserve"> dostalo 197 pacientov v skupine s liekom </w:t>
      </w:r>
      <w:proofErr w:type="spellStart"/>
      <w:r w:rsidRPr="00D3133D">
        <w:rPr>
          <w:color w:val="000000"/>
          <w:szCs w:val="22"/>
          <w:lang w:eastAsia="fr-FR"/>
        </w:rPr>
        <w:t>MYDRANE</w:t>
      </w:r>
      <w:proofErr w:type="spellEnd"/>
      <w:r w:rsidRPr="00D3133D">
        <w:rPr>
          <w:color w:val="000000"/>
          <w:szCs w:val="22"/>
          <w:lang w:eastAsia="fr-FR"/>
        </w:rPr>
        <w:t xml:space="preserve"> (N = 268) jednorazovú </w:t>
      </w:r>
      <w:proofErr w:type="spellStart"/>
      <w:r w:rsidRPr="00D3133D">
        <w:rPr>
          <w:color w:val="000000"/>
          <w:szCs w:val="22"/>
          <w:lang w:eastAsia="fr-FR"/>
        </w:rPr>
        <w:t>intrakamerálnu</w:t>
      </w:r>
      <w:proofErr w:type="spellEnd"/>
      <w:r w:rsidRPr="00D3133D">
        <w:rPr>
          <w:color w:val="000000"/>
          <w:szCs w:val="22"/>
          <w:lang w:eastAsia="fr-FR"/>
        </w:rPr>
        <w:t xml:space="preserve"> injekciu</w:t>
      </w:r>
      <w:r w:rsidRPr="005F0ED1">
        <w:rPr>
          <w:iCs/>
          <w:szCs w:val="22"/>
        </w:rPr>
        <w:t xml:space="preserve"> 200 µl </w:t>
      </w:r>
      <w:r w:rsidRPr="00D3133D">
        <w:rPr>
          <w:color w:val="000000"/>
          <w:szCs w:val="22"/>
          <w:lang w:eastAsia="fr-FR"/>
        </w:rPr>
        <w:t xml:space="preserve">a 71 pacientov dostalo ďalšiu </w:t>
      </w:r>
      <w:proofErr w:type="spellStart"/>
      <w:r w:rsidRPr="00D3133D">
        <w:rPr>
          <w:color w:val="000000"/>
          <w:szCs w:val="22"/>
          <w:lang w:eastAsia="fr-FR"/>
        </w:rPr>
        <w:t>intrakamerálnu</w:t>
      </w:r>
      <w:proofErr w:type="spellEnd"/>
      <w:r w:rsidRPr="00D3133D">
        <w:rPr>
          <w:color w:val="000000"/>
          <w:szCs w:val="22"/>
          <w:lang w:eastAsia="fr-FR"/>
        </w:rPr>
        <w:t xml:space="preserve"> injekciu </w:t>
      </w:r>
      <w:r w:rsidRPr="005F0ED1">
        <w:rPr>
          <w:iCs/>
          <w:szCs w:val="22"/>
        </w:rPr>
        <w:t>100 µl, pri ktorej sa preukázalo, že nemá žiadny významný prídavný účinok</w:t>
      </w:r>
      <w:r w:rsidRPr="00D3133D">
        <w:rPr>
          <w:color w:val="000000"/>
          <w:szCs w:val="22"/>
          <w:lang w:eastAsia="fr-FR"/>
        </w:rPr>
        <w:t xml:space="preserve"> a bola pri nej pozorovaná </w:t>
      </w:r>
      <w:r w:rsidRPr="00D3133D">
        <w:rPr>
          <w:szCs w:val="22"/>
        </w:rPr>
        <w:t xml:space="preserve">zvýšená strata </w:t>
      </w:r>
      <w:proofErr w:type="spellStart"/>
      <w:r w:rsidRPr="00D3133D">
        <w:rPr>
          <w:szCs w:val="22"/>
        </w:rPr>
        <w:t>endoteliálnych</w:t>
      </w:r>
      <w:proofErr w:type="spellEnd"/>
      <w:r w:rsidRPr="00D3133D">
        <w:rPr>
          <w:szCs w:val="22"/>
        </w:rPr>
        <w:t xml:space="preserve"> buniek</w:t>
      </w:r>
      <w:r w:rsidR="00777035">
        <w:rPr>
          <w:szCs w:val="22"/>
        </w:rPr>
        <w:t xml:space="preserve"> (pozri tiež časť</w:t>
      </w:r>
      <w:r w:rsidR="00ED734A">
        <w:rPr>
          <w:szCs w:val="22"/>
        </w:rPr>
        <w:t> </w:t>
      </w:r>
      <w:r w:rsidR="00777035">
        <w:rPr>
          <w:szCs w:val="22"/>
        </w:rPr>
        <w:t>4.9)</w:t>
      </w:r>
      <w:r w:rsidRPr="00D3133D">
        <w:rPr>
          <w:szCs w:val="22"/>
        </w:rPr>
        <w:t>.</w:t>
      </w:r>
    </w:p>
    <w:p w14:paraId="472C8A4B" w14:textId="77777777" w:rsidR="00752C30" w:rsidRPr="00D3133D" w:rsidRDefault="00752C30" w:rsidP="00E60349">
      <w:pPr>
        <w:rPr>
          <w:color w:val="000000"/>
          <w:szCs w:val="22"/>
          <w:lang w:eastAsia="fr-FR"/>
        </w:rPr>
      </w:pPr>
    </w:p>
    <w:p w14:paraId="12C22C93" w14:textId="77777777" w:rsidR="00752C30" w:rsidRPr="00D3133D" w:rsidRDefault="003E02F6" w:rsidP="00E60349">
      <w:pPr>
        <w:ind w:left="0" w:firstLine="0"/>
        <w:rPr>
          <w:color w:val="000000"/>
          <w:szCs w:val="22"/>
          <w:lang w:eastAsia="fr-FR"/>
        </w:rPr>
      </w:pPr>
      <w:r w:rsidRPr="00D3133D">
        <w:rPr>
          <w:color w:val="000000"/>
          <w:szCs w:val="22"/>
          <w:lang w:eastAsia="fr-FR"/>
        </w:rPr>
        <w:t xml:space="preserve">Analýza údajov o pacientoch s jednorazovou </w:t>
      </w:r>
      <w:proofErr w:type="spellStart"/>
      <w:r w:rsidRPr="00D3133D">
        <w:rPr>
          <w:color w:val="000000"/>
          <w:szCs w:val="22"/>
          <w:lang w:eastAsia="fr-FR"/>
        </w:rPr>
        <w:t>intrakamerálnou</w:t>
      </w:r>
      <w:proofErr w:type="spellEnd"/>
      <w:r w:rsidRPr="00D3133D">
        <w:rPr>
          <w:color w:val="000000"/>
          <w:szCs w:val="22"/>
          <w:lang w:eastAsia="fr-FR"/>
        </w:rPr>
        <w:t xml:space="preserve"> injekciou </w:t>
      </w:r>
      <w:r w:rsidRPr="005F0ED1">
        <w:rPr>
          <w:iCs/>
          <w:szCs w:val="22"/>
        </w:rPr>
        <w:t xml:space="preserve">200 µl, u ktorých sa </w:t>
      </w:r>
      <w:proofErr w:type="spellStart"/>
      <w:r w:rsidRPr="005F0ED1">
        <w:rPr>
          <w:iCs/>
          <w:szCs w:val="22"/>
        </w:rPr>
        <w:t>kapsulorexia</w:t>
      </w:r>
      <w:proofErr w:type="spellEnd"/>
      <w:r w:rsidRPr="005F0ED1">
        <w:rPr>
          <w:iCs/>
          <w:szCs w:val="22"/>
        </w:rPr>
        <w:t xml:space="preserve"> vykonala bez použitia akejkoľvek prídavnej liečby </w:t>
      </w:r>
      <w:proofErr w:type="spellStart"/>
      <w:r w:rsidRPr="005F0ED1">
        <w:rPr>
          <w:iCs/>
          <w:szCs w:val="22"/>
        </w:rPr>
        <w:t>mydriatikom</w:t>
      </w:r>
      <w:proofErr w:type="spellEnd"/>
      <w:r w:rsidRPr="00D3133D">
        <w:rPr>
          <w:color w:val="000000"/>
          <w:szCs w:val="22"/>
          <w:lang w:eastAsia="fr-FR"/>
        </w:rPr>
        <w:t xml:space="preserve"> a u ktorých bola veľkosť očnej zreničky krátko pred </w:t>
      </w:r>
      <w:proofErr w:type="spellStart"/>
      <w:r w:rsidRPr="00D3133D">
        <w:rPr>
          <w:color w:val="000000"/>
          <w:szCs w:val="22"/>
          <w:lang w:eastAsia="fr-FR"/>
        </w:rPr>
        <w:t>kapsulorexiou</w:t>
      </w:r>
      <w:proofErr w:type="spellEnd"/>
      <w:r w:rsidRPr="00D3133D">
        <w:rPr>
          <w:color w:val="000000"/>
          <w:szCs w:val="22"/>
          <w:lang w:eastAsia="fr-FR"/>
        </w:rPr>
        <w:t xml:space="preserve"> &gt; 6 mm, je uvedená v tabuľke nižšie.</w:t>
      </w:r>
    </w:p>
    <w:p w14:paraId="3E34C843" w14:textId="77777777" w:rsidR="00752C30" w:rsidRPr="00D3133D" w:rsidRDefault="00752C30" w:rsidP="0091013F">
      <w:pPr>
        <w:keepNext/>
        <w:rPr>
          <w:color w:val="000000"/>
          <w:szCs w:val="22"/>
          <w:lang w:eastAsia="fr-FR"/>
        </w:rPr>
      </w:pPr>
    </w:p>
    <w:tbl>
      <w:tblPr>
        <w:tblpPr w:leftFromText="141" w:rightFromText="141" w:vertAnchor="text" w:tblpXSpec="center" w:tblpY="1"/>
        <w:tblOverlap w:val="never"/>
        <w:tblW w:w="8823" w:type="dxa"/>
        <w:tblLayout w:type="fixed"/>
        <w:tblLook w:val="04A0" w:firstRow="1" w:lastRow="0" w:firstColumn="1" w:lastColumn="0" w:noHBand="0" w:noVBand="1"/>
      </w:tblPr>
      <w:tblGrid>
        <w:gridCol w:w="2995"/>
        <w:gridCol w:w="1559"/>
        <w:gridCol w:w="1559"/>
        <w:gridCol w:w="2710"/>
      </w:tblGrid>
      <w:tr w:rsidR="00752C30" w:rsidRPr="00D3133D" w14:paraId="6D42E38C" w14:textId="77777777" w:rsidTr="00752C30"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38969" w14:textId="77777777" w:rsidR="00752C30" w:rsidRPr="00D3133D" w:rsidRDefault="00752C30" w:rsidP="0091013F">
            <w:pPr>
              <w:keepNext/>
              <w:spacing w:after="120"/>
              <w:ind w:left="0" w:firstLine="0"/>
              <w:rPr>
                <w:b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372B" w14:textId="77777777" w:rsidR="00752C30" w:rsidRPr="00D3133D" w:rsidRDefault="003E02F6" w:rsidP="0091013F">
            <w:pPr>
              <w:keepNext/>
              <w:spacing w:after="120" w:line="200" w:lineRule="exact"/>
              <w:ind w:left="0" w:firstLine="0"/>
              <w:jc w:val="center"/>
              <w:rPr>
                <w:b/>
                <w:szCs w:val="22"/>
              </w:rPr>
            </w:pPr>
            <w:r w:rsidRPr="00D3133D">
              <w:rPr>
                <w:b/>
                <w:szCs w:val="22"/>
              </w:rPr>
              <w:t xml:space="preserve">200 µl lieku </w:t>
            </w:r>
            <w:proofErr w:type="spellStart"/>
            <w:r w:rsidRPr="00D3133D">
              <w:rPr>
                <w:b/>
                <w:szCs w:val="22"/>
              </w:rPr>
              <w:t>MYDRANE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450A" w14:textId="77777777" w:rsidR="00752C30" w:rsidRPr="00D3133D" w:rsidRDefault="003E02F6" w:rsidP="0091013F">
            <w:pPr>
              <w:keepNext/>
              <w:spacing w:after="120" w:line="200" w:lineRule="exact"/>
              <w:ind w:left="0" w:firstLine="0"/>
              <w:jc w:val="center"/>
              <w:rPr>
                <w:b/>
                <w:szCs w:val="22"/>
              </w:rPr>
            </w:pPr>
            <w:r w:rsidRPr="00D3133D">
              <w:rPr>
                <w:b/>
                <w:szCs w:val="22"/>
              </w:rPr>
              <w:t>porovnávaná liečba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55100" w14:textId="77777777" w:rsidR="00752C30" w:rsidRPr="00D3133D" w:rsidRDefault="003E02F6" w:rsidP="0091013F">
            <w:pPr>
              <w:keepNext/>
              <w:spacing w:after="120" w:line="200" w:lineRule="exact"/>
              <w:ind w:left="124" w:firstLine="0"/>
              <w:jc w:val="center"/>
              <w:rPr>
                <w:b/>
                <w:szCs w:val="22"/>
              </w:rPr>
            </w:pPr>
            <w:r w:rsidRPr="00D3133D">
              <w:rPr>
                <w:b/>
                <w:szCs w:val="22"/>
              </w:rPr>
              <w:t>rozdiel (%) medzi skupinami</w:t>
            </w:r>
          </w:p>
          <w:p w14:paraId="3511219A" w14:textId="77777777" w:rsidR="00752C30" w:rsidRPr="00D3133D" w:rsidRDefault="003E02F6" w:rsidP="0091013F">
            <w:pPr>
              <w:keepNext/>
              <w:spacing w:after="120" w:line="200" w:lineRule="exact"/>
              <w:ind w:left="124" w:firstLine="0"/>
              <w:jc w:val="center"/>
              <w:rPr>
                <w:b/>
                <w:szCs w:val="22"/>
              </w:rPr>
            </w:pPr>
            <w:r w:rsidRPr="00D3133D">
              <w:rPr>
                <w:b/>
                <w:szCs w:val="22"/>
              </w:rPr>
              <w:t xml:space="preserve">(200 µl lieku </w:t>
            </w:r>
            <w:proofErr w:type="spellStart"/>
            <w:r w:rsidRPr="00D3133D">
              <w:rPr>
                <w:b/>
                <w:szCs w:val="22"/>
              </w:rPr>
              <w:t>MYDRANE</w:t>
            </w:r>
            <w:proofErr w:type="spellEnd"/>
            <w:r w:rsidRPr="00D3133D">
              <w:rPr>
                <w:b/>
                <w:szCs w:val="22"/>
              </w:rPr>
              <w:t xml:space="preserve"> – porovnávaný liek)</w:t>
            </w:r>
          </w:p>
        </w:tc>
      </w:tr>
      <w:tr w:rsidR="00752C30" w:rsidRPr="00D3133D" w14:paraId="57AE5027" w14:textId="77777777" w:rsidTr="00752C30">
        <w:tc>
          <w:tcPr>
            <w:tcW w:w="2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0612B" w14:textId="77777777" w:rsidR="00752C30" w:rsidRPr="00D3133D" w:rsidRDefault="00752C30" w:rsidP="0091013F">
            <w:pPr>
              <w:keepNext/>
              <w:spacing w:after="120"/>
              <w:ind w:left="0" w:firstLine="0"/>
              <w:rPr>
                <w:b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C6EB0" w14:textId="77777777" w:rsidR="00752C30" w:rsidRPr="00D3133D" w:rsidRDefault="00752C30" w:rsidP="0091013F">
            <w:pPr>
              <w:keepNext/>
              <w:spacing w:after="120" w:line="200" w:lineRule="exact"/>
              <w:ind w:left="0" w:firstLine="0"/>
              <w:jc w:val="center"/>
              <w:rPr>
                <w:b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1507" w14:textId="77777777" w:rsidR="00752C30" w:rsidRPr="00D3133D" w:rsidRDefault="00752C30" w:rsidP="0091013F">
            <w:pPr>
              <w:keepNext/>
              <w:spacing w:after="120" w:line="200" w:lineRule="exact"/>
              <w:ind w:left="0" w:right="-80" w:firstLine="0"/>
              <w:jc w:val="center"/>
              <w:rPr>
                <w:b/>
                <w:szCs w:val="22"/>
              </w:rPr>
            </w:pP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68523" w14:textId="77777777" w:rsidR="00752C30" w:rsidRPr="00D3133D" w:rsidRDefault="003E02F6" w:rsidP="0091013F">
            <w:pPr>
              <w:keepNext/>
              <w:spacing w:after="120" w:line="200" w:lineRule="exact"/>
              <w:ind w:left="124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 xml:space="preserve">[95 % </w:t>
            </w:r>
            <w:proofErr w:type="spellStart"/>
            <w:r w:rsidRPr="00D3133D">
              <w:rPr>
                <w:szCs w:val="22"/>
              </w:rPr>
              <w:t>IS</w:t>
            </w:r>
            <w:proofErr w:type="spellEnd"/>
            <w:r w:rsidRPr="00D3133D">
              <w:rPr>
                <w:szCs w:val="22"/>
              </w:rPr>
              <w:t>]</w:t>
            </w:r>
          </w:p>
        </w:tc>
      </w:tr>
      <w:tr w:rsidR="00752C30" w:rsidRPr="00D3133D" w14:paraId="2233D934" w14:textId="77777777" w:rsidTr="00752C30">
        <w:trPr>
          <w:trHeight w:val="605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5CA19" w14:textId="77777777" w:rsidR="00752C30" w:rsidRPr="00D3133D" w:rsidRDefault="003E02F6" w:rsidP="0091013F">
            <w:pPr>
              <w:keepNext/>
              <w:spacing w:after="120"/>
              <w:ind w:left="0" w:firstLine="0"/>
              <w:rPr>
                <w:b/>
                <w:szCs w:val="22"/>
              </w:rPr>
            </w:pPr>
            <w:r w:rsidRPr="00D3133D">
              <w:rPr>
                <w:b/>
                <w:szCs w:val="22"/>
              </w:rPr>
              <w:t>N</w:t>
            </w:r>
          </w:p>
          <w:p w14:paraId="71670A6E" w14:textId="77777777" w:rsidR="00752C30" w:rsidRPr="00D3133D" w:rsidRDefault="003E02F6" w:rsidP="0091013F">
            <w:pPr>
              <w:keepNext/>
              <w:spacing w:after="60"/>
              <w:ind w:left="0" w:firstLine="0"/>
              <w:rPr>
                <w:szCs w:val="22"/>
              </w:rPr>
            </w:pPr>
            <w:r w:rsidRPr="00D3133D">
              <w:rPr>
                <w:szCs w:val="22"/>
              </w:rPr>
              <w:t xml:space="preserve">Počet pacientov (%) bez doplňujúcej liečby </w:t>
            </w:r>
            <w:proofErr w:type="spellStart"/>
            <w:r w:rsidRPr="00D3133D">
              <w:rPr>
                <w:szCs w:val="22"/>
              </w:rPr>
              <w:t>mydriatikom</w:t>
            </w:r>
            <w:proofErr w:type="spellEnd"/>
            <w:r w:rsidRPr="00D3133D">
              <w:rPr>
                <w:szCs w:val="22"/>
              </w:rPr>
              <w:t xml:space="preserve"> a s veľkosťou očnej zreničky krátko pred </w:t>
            </w:r>
            <w:proofErr w:type="spellStart"/>
            <w:r w:rsidRPr="00D3133D">
              <w:rPr>
                <w:szCs w:val="22"/>
              </w:rPr>
              <w:t>kapsulorexiou</w:t>
            </w:r>
            <w:proofErr w:type="spellEnd"/>
            <w:r w:rsidRPr="00D3133D">
              <w:rPr>
                <w:szCs w:val="22"/>
              </w:rPr>
              <w:t xml:space="preserve"> &gt; 6 mm</w:t>
            </w:r>
          </w:p>
          <w:p w14:paraId="190806A3" w14:textId="77777777" w:rsidR="00752C30" w:rsidRPr="00D3133D" w:rsidRDefault="003E02F6" w:rsidP="0091013F">
            <w:pPr>
              <w:keepNext/>
              <w:spacing w:after="120"/>
              <w:ind w:left="0" w:firstLine="0"/>
              <w:rPr>
                <w:szCs w:val="22"/>
              </w:rPr>
            </w:pPr>
            <w:r w:rsidRPr="00D3133D">
              <w:rPr>
                <w:szCs w:val="22"/>
              </w:rPr>
              <w:t xml:space="preserve">95 % </w:t>
            </w:r>
            <w:proofErr w:type="spellStart"/>
            <w:r w:rsidRPr="00D3133D">
              <w:rPr>
                <w:szCs w:val="22"/>
              </w:rPr>
              <w:t>IS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6B9C" w14:textId="77777777" w:rsidR="00752C30" w:rsidRPr="00D3133D" w:rsidRDefault="003E02F6" w:rsidP="0091013F">
            <w:pPr>
              <w:keepNext/>
              <w:spacing w:after="120"/>
              <w:ind w:left="0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N = 181</w:t>
            </w:r>
          </w:p>
          <w:p w14:paraId="0C743C0E" w14:textId="77777777" w:rsidR="00752C30" w:rsidRPr="00D3133D" w:rsidRDefault="00752C30" w:rsidP="0091013F">
            <w:pPr>
              <w:keepNext/>
              <w:spacing w:after="120"/>
              <w:ind w:left="0" w:firstLine="0"/>
              <w:jc w:val="center"/>
              <w:rPr>
                <w:szCs w:val="22"/>
              </w:rPr>
            </w:pPr>
          </w:p>
          <w:p w14:paraId="6230ACA4" w14:textId="77777777" w:rsidR="00752C30" w:rsidRPr="00D3133D" w:rsidRDefault="003E02F6" w:rsidP="0091013F">
            <w:pPr>
              <w:keepNext/>
              <w:spacing w:after="120"/>
              <w:ind w:left="0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br/>
            </w:r>
            <w:r w:rsidRPr="00D3133D">
              <w:rPr>
                <w:szCs w:val="22"/>
              </w:rPr>
              <w:br/>
              <w:t>180 (99,4)</w:t>
            </w:r>
          </w:p>
          <w:p w14:paraId="005BFB54" w14:textId="77777777" w:rsidR="00752C30" w:rsidRPr="00D3133D" w:rsidRDefault="003E02F6" w:rsidP="0091013F">
            <w:pPr>
              <w:keepNext/>
              <w:spacing w:after="120"/>
              <w:ind w:left="0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[97,0; 100,0]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80A2" w14:textId="77777777" w:rsidR="00752C30" w:rsidRPr="00D3133D" w:rsidRDefault="003E02F6" w:rsidP="0091013F">
            <w:pPr>
              <w:keepNext/>
              <w:spacing w:after="120"/>
              <w:ind w:left="0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N = 261</w:t>
            </w:r>
          </w:p>
          <w:p w14:paraId="2AE4ACC2" w14:textId="77777777" w:rsidR="00752C30" w:rsidRPr="00D3133D" w:rsidRDefault="00752C30" w:rsidP="0091013F">
            <w:pPr>
              <w:keepNext/>
              <w:spacing w:after="120"/>
              <w:ind w:left="0" w:firstLine="0"/>
              <w:jc w:val="center"/>
              <w:rPr>
                <w:szCs w:val="22"/>
              </w:rPr>
            </w:pPr>
          </w:p>
          <w:p w14:paraId="21C4518A" w14:textId="77777777" w:rsidR="00752C30" w:rsidRPr="00D3133D" w:rsidRDefault="003E02F6" w:rsidP="0091013F">
            <w:pPr>
              <w:keepNext/>
              <w:spacing w:after="120"/>
              <w:ind w:left="0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br/>
            </w:r>
            <w:r w:rsidRPr="00D3133D">
              <w:rPr>
                <w:szCs w:val="22"/>
              </w:rPr>
              <w:br/>
              <w:t>246 (94,3)</w:t>
            </w:r>
          </w:p>
          <w:p w14:paraId="0378E46B" w14:textId="77777777" w:rsidR="00752C30" w:rsidRPr="00D3133D" w:rsidRDefault="003E02F6" w:rsidP="0091013F">
            <w:pPr>
              <w:keepNext/>
              <w:spacing w:after="120"/>
              <w:ind w:left="0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[90,7; 96,7]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F82B6" w14:textId="77777777" w:rsidR="00752C30" w:rsidRPr="00D3133D" w:rsidRDefault="00752C30" w:rsidP="0091013F">
            <w:pPr>
              <w:keepNext/>
              <w:spacing w:after="120"/>
              <w:ind w:left="124" w:firstLine="0"/>
              <w:jc w:val="center"/>
              <w:rPr>
                <w:b/>
                <w:szCs w:val="22"/>
              </w:rPr>
            </w:pPr>
          </w:p>
          <w:p w14:paraId="4CA64F8A" w14:textId="77777777" w:rsidR="00752C30" w:rsidRPr="00D3133D" w:rsidRDefault="00752C30" w:rsidP="0091013F">
            <w:pPr>
              <w:keepNext/>
              <w:spacing w:after="120"/>
              <w:ind w:left="124" w:firstLine="0"/>
              <w:jc w:val="center"/>
              <w:rPr>
                <w:b/>
                <w:szCs w:val="22"/>
              </w:rPr>
            </w:pPr>
          </w:p>
          <w:p w14:paraId="23464FA7" w14:textId="77777777" w:rsidR="00752C30" w:rsidRPr="00D3133D" w:rsidRDefault="003E02F6" w:rsidP="0091013F">
            <w:pPr>
              <w:keepNext/>
              <w:spacing w:after="120"/>
              <w:ind w:left="124" w:firstLine="0"/>
              <w:jc w:val="center"/>
              <w:rPr>
                <w:b/>
                <w:szCs w:val="22"/>
              </w:rPr>
            </w:pPr>
            <w:r w:rsidRPr="00D3133D">
              <w:rPr>
                <w:szCs w:val="22"/>
              </w:rPr>
              <w:br/>
            </w:r>
            <w:r w:rsidRPr="00D3133D">
              <w:rPr>
                <w:szCs w:val="22"/>
              </w:rPr>
              <w:br/>
            </w:r>
            <w:r w:rsidRPr="00D3133D">
              <w:rPr>
                <w:b/>
                <w:szCs w:val="22"/>
              </w:rPr>
              <w:t>5.2</w:t>
            </w:r>
          </w:p>
          <w:p w14:paraId="5B6A906F" w14:textId="77777777" w:rsidR="00752C30" w:rsidRPr="00D3133D" w:rsidRDefault="003E02F6" w:rsidP="0091013F">
            <w:pPr>
              <w:keepNext/>
              <w:spacing w:after="120"/>
              <w:ind w:left="124" w:firstLine="0"/>
              <w:jc w:val="center"/>
              <w:rPr>
                <w:szCs w:val="22"/>
              </w:rPr>
            </w:pPr>
            <w:r w:rsidRPr="00D3133D">
              <w:rPr>
                <w:szCs w:val="22"/>
              </w:rPr>
              <w:t>[-4,3; 14,6]</w:t>
            </w:r>
          </w:p>
        </w:tc>
      </w:tr>
    </w:tbl>
    <w:p w14:paraId="7EA7C376" w14:textId="77777777" w:rsidR="005571D0" w:rsidRDefault="005571D0" w:rsidP="00E60349">
      <w:pPr>
        <w:rPr>
          <w:i/>
          <w:szCs w:val="22"/>
        </w:rPr>
      </w:pPr>
    </w:p>
    <w:p w14:paraId="076CD4D4" w14:textId="1F5A12FD" w:rsidR="00752C30" w:rsidRPr="00D3133D" w:rsidRDefault="003E02F6" w:rsidP="00E60349">
      <w:pPr>
        <w:rPr>
          <w:i/>
          <w:szCs w:val="22"/>
        </w:rPr>
      </w:pPr>
      <w:r w:rsidRPr="00D3133D">
        <w:rPr>
          <w:i/>
          <w:szCs w:val="22"/>
        </w:rPr>
        <w:t>Anestézia:</w:t>
      </w:r>
    </w:p>
    <w:p w14:paraId="752D8BB3" w14:textId="77777777" w:rsidR="00752C30" w:rsidRPr="00D3133D" w:rsidRDefault="003E02F6" w:rsidP="00E60349">
      <w:pPr>
        <w:ind w:left="0" w:firstLine="0"/>
        <w:rPr>
          <w:color w:val="000000"/>
          <w:szCs w:val="22"/>
          <w:lang w:eastAsia="fr-FR"/>
        </w:rPr>
      </w:pPr>
      <w:r w:rsidRPr="00D3133D">
        <w:rPr>
          <w:color w:val="000000"/>
          <w:szCs w:val="22"/>
          <w:lang w:eastAsia="fr-FR"/>
        </w:rPr>
        <w:t xml:space="preserve">Pred </w:t>
      </w:r>
      <w:proofErr w:type="spellStart"/>
      <w:r w:rsidRPr="00D3133D">
        <w:rPr>
          <w:color w:val="000000"/>
          <w:szCs w:val="22"/>
          <w:lang w:eastAsia="fr-FR"/>
        </w:rPr>
        <w:t>intraokulárnym</w:t>
      </w:r>
      <w:proofErr w:type="spellEnd"/>
      <w:r w:rsidRPr="00D3133D">
        <w:rPr>
          <w:color w:val="000000"/>
          <w:szCs w:val="22"/>
          <w:lang w:eastAsia="fr-FR"/>
        </w:rPr>
        <w:t xml:space="preserve"> podaním injekcie do očnej šošovky mal pacient štatisticky významne lepší pocit pri lieku </w:t>
      </w:r>
      <w:proofErr w:type="spellStart"/>
      <w:r w:rsidRPr="00D3133D">
        <w:rPr>
          <w:color w:val="000000"/>
          <w:szCs w:val="22"/>
          <w:lang w:eastAsia="fr-FR"/>
        </w:rPr>
        <w:t>MYDRANE</w:t>
      </w:r>
      <w:proofErr w:type="spellEnd"/>
      <w:r w:rsidRPr="00D3133D">
        <w:rPr>
          <w:color w:val="000000"/>
          <w:szCs w:val="22"/>
          <w:lang w:eastAsia="fr-FR"/>
        </w:rPr>
        <w:t xml:space="preserve"> (p = 0,034) a nepozoroval sa žiadny štatisticky významný rozdiel medzi skupinami v iných časových úsekoch chirurgického zákroku (pred injekciou </w:t>
      </w:r>
      <w:proofErr w:type="spellStart"/>
      <w:r w:rsidRPr="00D3133D">
        <w:rPr>
          <w:color w:val="000000"/>
          <w:szCs w:val="22"/>
          <w:lang w:eastAsia="fr-FR"/>
        </w:rPr>
        <w:t>viskoelastickej</w:t>
      </w:r>
      <w:proofErr w:type="spellEnd"/>
      <w:r w:rsidRPr="00D3133D">
        <w:rPr>
          <w:color w:val="000000"/>
          <w:szCs w:val="22"/>
          <w:lang w:eastAsia="fr-FR"/>
        </w:rPr>
        <w:t xml:space="preserve"> látky, </w:t>
      </w:r>
      <w:proofErr w:type="spellStart"/>
      <w:r w:rsidRPr="00D3133D">
        <w:rPr>
          <w:color w:val="000000"/>
          <w:szCs w:val="22"/>
          <w:lang w:eastAsia="fr-FR"/>
        </w:rPr>
        <w:t>kapsulorexiou</w:t>
      </w:r>
      <w:proofErr w:type="spellEnd"/>
      <w:r w:rsidRPr="00D3133D">
        <w:rPr>
          <w:color w:val="000000"/>
          <w:szCs w:val="22"/>
          <w:lang w:eastAsia="fr-FR"/>
        </w:rPr>
        <w:t xml:space="preserve"> a injekčným podaním </w:t>
      </w:r>
      <w:proofErr w:type="spellStart"/>
      <w:r w:rsidRPr="00D3133D">
        <w:rPr>
          <w:color w:val="000000"/>
          <w:szCs w:val="22"/>
          <w:lang w:eastAsia="fr-FR"/>
        </w:rPr>
        <w:t>cefuroxímu</w:t>
      </w:r>
      <w:proofErr w:type="spellEnd"/>
      <w:r w:rsidRPr="00D3133D">
        <w:rPr>
          <w:color w:val="000000"/>
          <w:szCs w:val="22"/>
          <w:lang w:eastAsia="fr-FR"/>
        </w:rPr>
        <w:t>).</w:t>
      </w:r>
    </w:p>
    <w:p w14:paraId="6F554531" w14:textId="77777777" w:rsidR="00A833E5" w:rsidRPr="00D3133D" w:rsidRDefault="00A833E5" w:rsidP="00E60349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354C49AF" w14:textId="77777777" w:rsidR="00780926" w:rsidRPr="00D3133D" w:rsidRDefault="003E02F6" w:rsidP="005F0ED1">
      <w:pPr>
        <w:keepNext/>
        <w:rPr>
          <w:b/>
          <w:szCs w:val="22"/>
        </w:rPr>
      </w:pPr>
      <w:r w:rsidRPr="00D3133D">
        <w:rPr>
          <w:b/>
          <w:szCs w:val="22"/>
        </w:rPr>
        <w:t>5.2</w:t>
      </w:r>
      <w:r w:rsidRPr="00D3133D">
        <w:rPr>
          <w:b/>
          <w:szCs w:val="22"/>
        </w:rPr>
        <w:tab/>
      </w:r>
      <w:proofErr w:type="spellStart"/>
      <w:r w:rsidRPr="00D3133D">
        <w:rPr>
          <w:b/>
          <w:szCs w:val="22"/>
        </w:rPr>
        <w:t>Farmakokinetické</w:t>
      </w:r>
      <w:proofErr w:type="spellEnd"/>
      <w:r w:rsidRPr="00D3133D">
        <w:rPr>
          <w:b/>
          <w:szCs w:val="22"/>
        </w:rPr>
        <w:t xml:space="preserve"> vlastnosti</w:t>
      </w:r>
    </w:p>
    <w:p w14:paraId="4AB3932B" w14:textId="77777777" w:rsidR="00E1698A" w:rsidRPr="00D3133D" w:rsidRDefault="00E1698A" w:rsidP="005F0ED1">
      <w:pPr>
        <w:keepNext/>
        <w:rPr>
          <w:szCs w:val="22"/>
        </w:rPr>
      </w:pPr>
    </w:p>
    <w:p w14:paraId="6621B53B" w14:textId="77777777" w:rsidR="00752C30" w:rsidRPr="00D3133D" w:rsidRDefault="003E02F6" w:rsidP="00E60349">
      <w:pPr>
        <w:rPr>
          <w:szCs w:val="22"/>
        </w:rPr>
      </w:pPr>
      <w:r w:rsidRPr="00D3133D">
        <w:rPr>
          <w:szCs w:val="22"/>
        </w:rPr>
        <w:t xml:space="preserve">Pre liek </w:t>
      </w:r>
      <w:proofErr w:type="spellStart"/>
      <w:r w:rsidRPr="00D3133D">
        <w:rPr>
          <w:szCs w:val="22"/>
        </w:rPr>
        <w:t>MYDRANE</w:t>
      </w:r>
      <w:proofErr w:type="spellEnd"/>
      <w:r w:rsidRPr="00D3133D">
        <w:rPr>
          <w:szCs w:val="22"/>
        </w:rPr>
        <w:t xml:space="preserve"> nie sú k dispozícii žiadne </w:t>
      </w:r>
      <w:proofErr w:type="spellStart"/>
      <w:r w:rsidRPr="00D3133D">
        <w:rPr>
          <w:szCs w:val="22"/>
        </w:rPr>
        <w:t>farmakokinetické</w:t>
      </w:r>
      <w:proofErr w:type="spellEnd"/>
      <w:r w:rsidRPr="00D3133D">
        <w:rPr>
          <w:szCs w:val="22"/>
        </w:rPr>
        <w:t xml:space="preserve"> údaje týkajúce sa oka.</w:t>
      </w:r>
    </w:p>
    <w:p w14:paraId="363285C1" w14:textId="77777777" w:rsidR="00752C30" w:rsidRPr="00D3133D" w:rsidRDefault="00752C30" w:rsidP="00E60349">
      <w:pPr>
        <w:rPr>
          <w:szCs w:val="22"/>
        </w:rPr>
      </w:pPr>
    </w:p>
    <w:p w14:paraId="4B42177A" w14:textId="77777777" w:rsidR="00752C30" w:rsidRPr="00D3133D" w:rsidRDefault="003E02F6" w:rsidP="00E60349">
      <w:pPr>
        <w:ind w:left="0" w:firstLine="0"/>
        <w:rPr>
          <w:szCs w:val="22"/>
        </w:rPr>
      </w:pPr>
      <w:r w:rsidRPr="005F0ED1">
        <w:rPr>
          <w:szCs w:val="22"/>
        </w:rPr>
        <w:t xml:space="preserve">Po </w:t>
      </w:r>
      <w:proofErr w:type="spellStart"/>
      <w:r w:rsidRPr="005F0ED1">
        <w:rPr>
          <w:szCs w:val="22"/>
        </w:rPr>
        <w:t>intrakamerálnej</w:t>
      </w:r>
      <w:proofErr w:type="spellEnd"/>
      <w:r w:rsidRPr="005F0ED1">
        <w:rPr>
          <w:szCs w:val="22"/>
        </w:rPr>
        <w:t xml:space="preserve"> injekcii lieku </w:t>
      </w:r>
      <w:proofErr w:type="spellStart"/>
      <w:r w:rsidRPr="005F0ED1">
        <w:rPr>
          <w:szCs w:val="22"/>
        </w:rPr>
        <w:t>MYDRANE</w:t>
      </w:r>
      <w:proofErr w:type="spellEnd"/>
      <w:r w:rsidRPr="005F0ED1">
        <w:rPr>
          <w:szCs w:val="22"/>
        </w:rPr>
        <w:t xml:space="preserve"> u 15 pacientov podstupujúcich chirurgický zákrok na odstránenie sivého zákalu boli plazmatické koncentrácie liečiv stanovené 2, 12 a 30 minút po podaní injekcie porovnávané so štandardnou lokálnou liečbou (10 % očná </w:t>
      </w:r>
      <w:proofErr w:type="spellStart"/>
      <w:r w:rsidRPr="005F0ED1">
        <w:rPr>
          <w:szCs w:val="22"/>
        </w:rPr>
        <w:t>instilácia</w:t>
      </w:r>
      <w:proofErr w:type="spellEnd"/>
      <w:r w:rsidRPr="005F0ED1">
        <w:rPr>
          <w:szCs w:val="22"/>
        </w:rPr>
        <w:t xml:space="preserve"> </w:t>
      </w:r>
      <w:proofErr w:type="spellStart"/>
      <w:r w:rsidRPr="005F0ED1">
        <w:rPr>
          <w:szCs w:val="22"/>
        </w:rPr>
        <w:t>fenylefrínu</w:t>
      </w:r>
      <w:proofErr w:type="spellEnd"/>
      <w:r w:rsidRPr="005F0ED1">
        <w:rPr>
          <w:szCs w:val="22"/>
        </w:rPr>
        <w:t xml:space="preserve"> a 0,5 % očná </w:t>
      </w:r>
      <w:proofErr w:type="spellStart"/>
      <w:r w:rsidRPr="005F0ED1">
        <w:rPr>
          <w:szCs w:val="22"/>
        </w:rPr>
        <w:t>instilácia</w:t>
      </w:r>
      <w:proofErr w:type="spellEnd"/>
      <w:r w:rsidRPr="005F0ED1">
        <w:rPr>
          <w:szCs w:val="22"/>
        </w:rPr>
        <w:t xml:space="preserve"> </w:t>
      </w:r>
      <w:proofErr w:type="spellStart"/>
      <w:r w:rsidRPr="005F0ED1">
        <w:rPr>
          <w:szCs w:val="22"/>
        </w:rPr>
        <w:t>tropikamidu</w:t>
      </w:r>
      <w:proofErr w:type="spellEnd"/>
      <w:r w:rsidRPr="005F0ED1">
        <w:rPr>
          <w:szCs w:val="22"/>
        </w:rPr>
        <w:t xml:space="preserve">). Pri </w:t>
      </w:r>
      <w:proofErr w:type="spellStart"/>
      <w:r w:rsidRPr="005F0ED1">
        <w:rPr>
          <w:szCs w:val="22"/>
        </w:rPr>
        <w:t>tropikamide</w:t>
      </w:r>
      <w:proofErr w:type="spellEnd"/>
      <w:r w:rsidRPr="005F0ED1">
        <w:rPr>
          <w:szCs w:val="22"/>
        </w:rPr>
        <w:t xml:space="preserve"> boli všetci pacienti v skupine s liekom </w:t>
      </w:r>
      <w:proofErr w:type="spellStart"/>
      <w:r w:rsidRPr="005F0ED1">
        <w:rPr>
          <w:szCs w:val="22"/>
        </w:rPr>
        <w:t>MYDRANE</w:t>
      </w:r>
      <w:proofErr w:type="spellEnd"/>
      <w:r w:rsidRPr="005F0ED1">
        <w:rPr>
          <w:szCs w:val="22"/>
        </w:rPr>
        <w:t xml:space="preserve"> pod hranicou kvantifikácie (&lt; 0,1 </w:t>
      </w:r>
      <w:proofErr w:type="spellStart"/>
      <w:r w:rsidRPr="005F0ED1">
        <w:rPr>
          <w:szCs w:val="22"/>
        </w:rPr>
        <w:t>ng</w:t>
      </w:r>
      <w:proofErr w:type="spellEnd"/>
      <w:r w:rsidRPr="005F0ED1">
        <w:rPr>
          <w:szCs w:val="22"/>
        </w:rPr>
        <w:t xml:space="preserve">/ml), zatiaľ čo v porovnávacej skupine mali všetci pacienti hladinu nad túto hranicu. Hladinu </w:t>
      </w:r>
      <w:proofErr w:type="spellStart"/>
      <w:r w:rsidRPr="005F0ED1">
        <w:rPr>
          <w:szCs w:val="22"/>
        </w:rPr>
        <w:t>fenylefrínu</w:t>
      </w:r>
      <w:proofErr w:type="spellEnd"/>
      <w:r w:rsidRPr="005F0ED1">
        <w:rPr>
          <w:szCs w:val="22"/>
        </w:rPr>
        <w:t xml:space="preserve"> (hranica kvantifikácie &lt; 0,1 </w:t>
      </w:r>
      <w:proofErr w:type="spellStart"/>
      <w:r w:rsidRPr="005F0ED1">
        <w:rPr>
          <w:szCs w:val="22"/>
        </w:rPr>
        <w:t>ng</w:t>
      </w:r>
      <w:proofErr w:type="spellEnd"/>
      <w:r w:rsidRPr="005F0ED1">
        <w:rPr>
          <w:szCs w:val="22"/>
        </w:rPr>
        <w:t xml:space="preserve">/ml) nebolo možné stanoviť u všetkých pacientov v skupine s liekom </w:t>
      </w:r>
      <w:proofErr w:type="spellStart"/>
      <w:r w:rsidRPr="005F0ED1">
        <w:rPr>
          <w:szCs w:val="22"/>
        </w:rPr>
        <w:t>MYDRANE</w:t>
      </w:r>
      <w:proofErr w:type="spellEnd"/>
      <w:r w:rsidRPr="005F0ED1">
        <w:rPr>
          <w:szCs w:val="22"/>
        </w:rPr>
        <w:t xml:space="preserve"> s výnimkou 2 pacientov (maximum 0,59 </w:t>
      </w:r>
      <w:proofErr w:type="spellStart"/>
      <w:r w:rsidRPr="005F0ED1">
        <w:rPr>
          <w:szCs w:val="22"/>
        </w:rPr>
        <w:t>ng</w:t>
      </w:r>
      <w:proofErr w:type="spellEnd"/>
      <w:r w:rsidRPr="005F0ED1">
        <w:rPr>
          <w:szCs w:val="22"/>
        </w:rPr>
        <w:t>/ml) v porovnaní so všetkými pacientmi v porovnávacej skupine s hladinou nad hranicu kvantifikácie (maximum 1,42 </w:t>
      </w:r>
      <w:proofErr w:type="spellStart"/>
      <w:r w:rsidRPr="005F0ED1">
        <w:rPr>
          <w:szCs w:val="22"/>
        </w:rPr>
        <w:t>ng</w:t>
      </w:r>
      <w:proofErr w:type="spellEnd"/>
      <w:r w:rsidRPr="005F0ED1">
        <w:rPr>
          <w:szCs w:val="22"/>
        </w:rPr>
        <w:t xml:space="preserve">/ml). Plazmatická koncentrácia </w:t>
      </w:r>
      <w:proofErr w:type="spellStart"/>
      <w:r w:rsidRPr="005F0ED1">
        <w:rPr>
          <w:szCs w:val="22"/>
        </w:rPr>
        <w:t>lidokaínu</w:t>
      </w:r>
      <w:proofErr w:type="spellEnd"/>
      <w:r w:rsidRPr="005F0ED1">
        <w:rPr>
          <w:szCs w:val="22"/>
        </w:rPr>
        <w:t xml:space="preserve"> bola stanovená u všetkých pacientov ošetrených liekom </w:t>
      </w:r>
      <w:proofErr w:type="spellStart"/>
      <w:r w:rsidRPr="005F0ED1">
        <w:rPr>
          <w:szCs w:val="22"/>
        </w:rPr>
        <w:t>MYDRANE</w:t>
      </w:r>
      <w:proofErr w:type="spellEnd"/>
      <w:r w:rsidRPr="005F0ED1">
        <w:rPr>
          <w:szCs w:val="22"/>
        </w:rPr>
        <w:t xml:space="preserve"> s najvyššou koncentráciou 1,45 </w:t>
      </w:r>
      <w:proofErr w:type="spellStart"/>
      <w:r w:rsidRPr="005F0ED1">
        <w:rPr>
          <w:szCs w:val="22"/>
        </w:rPr>
        <w:t>ng</w:t>
      </w:r>
      <w:proofErr w:type="spellEnd"/>
      <w:r w:rsidRPr="005F0ED1">
        <w:rPr>
          <w:szCs w:val="22"/>
        </w:rPr>
        <w:t>/ml (dostatočne pod hodnotami spôsobujúcimi niektorého systémové účinky: rozmedzie od 1 500 do 5 000 µg/ml).</w:t>
      </w:r>
    </w:p>
    <w:p w14:paraId="418B7F68" w14:textId="77777777" w:rsidR="00780926" w:rsidRPr="00D3133D" w:rsidRDefault="00780926" w:rsidP="00E60349">
      <w:pPr>
        <w:rPr>
          <w:szCs w:val="22"/>
        </w:rPr>
      </w:pPr>
    </w:p>
    <w:p w14:paraId="1FA39BB0" w14:textId="77777777" w:rsidR="00780926" w:rsidRPr="00D3133D" w:rsidRDefault="003E02F6" w:rsidP="00E60349">
      <w:pPr>
        <w:rPr>
          <w:szCs w:val="22"/>
        </w:rPr>
      </w:pPr>
      <w:r w:rsidRPr="00D3133D">
        <w:rPr>
          <w:b/>
          <w:szCs w:val="22"/>
        </w:rPr>
        <w:t>5.3</w:t>
      </w:r>
      <w:r w:rsidRPr="00D3133D">
        <w:rPr>
          <w:b/>
          <w:szCs w:val="22"/>
        </w:rPr>
        <w:tab/>
        <w:t>Predklinické údaje o bezpečnosti</w:t>
      </w:r>
    </w:p>
    <w:p w14:paraId="62987FC9" w14:textId="77777777" w:rsidR="00780926" w:rsidRPr="00D3133D" w:rsidRDefault="00780926" w:rsidP="00E60349">
      <w:pPr>
        <w:rPr>
          <w:szCs w:val="22"/>
        </w:rPr>
      </w:pPr>
    </w:p>
    <w:p w14:paraId="0F6B1B7D" w14:textId="77777777" w:rsidR="00752C30" w:rsidRPr="00D3133D" w:rsidRDefault="003E02F6" w:rsidP="00E60349">
      <w:pPr>
        <w:autoSpaceDE w:val="0"/>
        <w:autoSpaceDN w:val="0"/>
        <w:adjustRightInd w:val="0"/>
        <w:ind w:left="0" w:firstLine="0"/>
        <w:rPr>
          <w:szCs w:val="22"/>
        </w:rPr>
      </w:pPr>
      <w:r w:rsidRPr="00D3133D">
        <w:rPr>
          <w:color w:val="000000"/>
          <w:szCs w:val="22"/>
          <w:lang w:eastAsia="fr-FR"/>
        </w:rPr>
        <w:t xml:space="preserve">U králikov bola očná znášanlivosť po jednorazovom </w:t>
      </w:r>
      <w:proofErr w:type="spellStart"/>
      <w:r w:rsidRPr="00D3133D">
        <w:rPr>
          <w:color w:val="000000"/>
          <w:szCs w:val="22"/>
          <w:lang w:eastAsia="fr-FR"/>
        </w:rPr>
        <w:t>intrakamerálnom</w:t>
      </w:r>
      <w:proofErr w:type="spellEnd"/>
      <w:r w:rsidRPr="00D3133D">
        <w:rPr>
          <w:color w:val="000000"/>
          <w:szCs w:val="22"/>
          <w:lang w:eastAsia="fr-FR"/>
        </w:rPr>
        <w:t xml:space="preserve"> podaní </w:t>
      </w:r>
      <w:r w:rsidRPr="00D3133D">
        <w:rPr>
          <w:szCs w:val="22"/>
        </w:rPr>
        <w:t xml:space="preserve">200µl lieku </w:t>
      </w:r>
      <w:proofErr w:type="spellStart"/>
      <w:r w:rsidRPr="00D3133D">
        <w:rPr>
          <w:szCs w:val="22"/>
        </w:rPr>
        <w:t>MYDRANE</w:t>
      </w:r>
      <w:proofErr w:type="spellEnd"/>
      <w:r w:rsidRPr="00D3133D">
        <w:rPr>
          <w:szCs w:val="22"/>
        </w:rPr>
        <w:t xml:space="preserve"> s vypláchnutím alebo bez neho (štrbinová lampa, vodná </w:t>
      </w:r>
      <w:proofErr w:type="spellStart"/>
      <w:r w:rsidRPr="00D3133D">
        <w:rPr>
          <w:szCs w:val="22"/>
        </w:rPr>
        <w:t>tyndalizácia</w:t>
      </w:r>
      <w:proofErr w:type="spellEnd"/>
      <w:r w:rsidRPr="00D3133D">
        <w:rPr>
          <w:szCs w:val="22"/>
        </w:rPr>
        <w:t xml:space="preserve">, hrúbka rohovky a hustota buniek </w:t>
      </w:r>
      <w:proofErr w:type="spellStart"/>
      <w:r w:rsidRPr="00D3133D">
        <w:rPr>
          <w:szCs w:val="22"/>
        </w:rPr>
        <w:t>endotelu</w:t>
      </w:r>
      <w:proofErr w:type="spellEnd"/>
      <w:r w:rsidRPr="00D3133D">
        <w:rPr>
          <w:szCs w:val="22"/>
        </w:rPr>
        <w:t xml:space="preserve">, </w:t>
      </w:r>
      <w:proofErr w:type="spellStart"/>
      <w:r w:rsidRPr="00D3133D">
        <w:rPr>
          <w:szCs w:val="22"/>
        </w:rPr>
        <w:t>elektroretinografia</w:t>
      </w:r>
      <w:proofErr w:type="spellEnd"/>
      <w:r w:rsidRPr="00D3133D">
        <w:rPr>
          <w:szCs w:val="22"/>
        </w:rPr>
        <w:t xml:space="preserve"> a histológia) veľmi dobrá v období siedmich dní po podaní dávky.</w:t>
      </w:r>
    </w:p>
    <w:p w14:paraId="1B0A393E" w14:textId="77777777" w:rsidR="00752C30" w:rsidRPr="00D3133D" w:rsidRDefault="00752C30" w:rsidP="00E60349">
      <w:pPr>
        <w:autoSpaceDE w:val="0"/>
        <w:autoSpaceDN w:val="0"/>
        <w:adjustRightInd w:val="0"/>
        <w:rPr>
          <w:szCs w:val="22"/>
        </w:rPr>
      </w:pPr>
    </w:p>
    <w:p w14:paraId="7242C727" w14:textId="77777777" w:rsidR="00752C30" w:rsidRPr="005F0ED1" w:rsidRDefault="003E02F6" w:rsidP="00E60349">
      <w:pPr>
        <w:autoSpaceDE w:val="0"/>
        <w:autoSpaceDN w:val="0"/>
        <w:adjustRightInd w:val="0"/>
        <w:ind w:left="0" w:firstLine="0"/>
        <w:rPr>
          <w:iCs/>
          <w:szCs w:val="22"/>
        </w:rPr>
      </w:pPr>
      <w:r w:rsidRPr="005F0ED1">
        <w:rPr>
          <w:iCs/>
          <w:szCs w:val="22"/>
        </w:rPr>
        <w:t xml:space="preserve">Prejavy očnej neznášanlivosti sa pozorovali len pri liekoch s vyššou koncentráciou troch liečiv (na úrovni alebo viac ako </w:t>
      </w:r>
      <w:proofErr w:type="spellStart"/>
      <w:r w:rsidRPr="005F0ED1">
        <w:rPr>
          <w:iCs/>
          <w:szCs w:val="22"/>
        </w:rPr>
        <w:t>5-násobku</w:t>
      </w:r>
      <w:proofErr w:type="spellEnd"/>
      <w:r w:rsidRPr="005F0ED1">
        <w:rPr>
          <w:iCs/>
          <w:szCs w:val="22"/>
        </w:rPr>
        <w:t xml:space="preserve"> koncentrácií v lieku </w:t>
      </w:r>
      <w:proofErr w:type="spellStart"/>
      <w:r w:rsidRPr="005F0ED1">
        <w:rPr>
          <w:iCs/>
          <w:szCs w:val="22"/>
        </w:rPr>
        <w:t>MYDRANE</w:t>
      </w:r>
      <w:proofErr w:type="spellEnd"/>
      <w:r w:rsidRPr="005F0ED1">
        <w:rPr>
          <w:iCs/>
          <w:szCs w:val="22"/>
        </w:rPr>
        <w:t>). Pri najvyššej skúmanej koncentrácii (</w:t>
      </w:r>
      <w:proofErr w:type="spellStart"/>
      <w:r w:rsidRPr="005F0ED1">
        <w:rPr>
          <w:iCs/>
          <w:szCs w:val="22"/>
        </w:rPr>
        <w:t>10</w:t>
      </w:r>
      <w:r w:rsidRPr="005F0ED1">
        <w:rPr>
          <w:iCs/>
          <w:szCs w:val="22"/>
        </w:rPr>
        <w:noBreakHyphen/>
        <w:t>násobok</w:t>
      </w:r>
      <w:proofErr w:type="spellEnd"/>
      <w:r w:rsidRPr="005F0ED1">
        <w:rPr>
          <w:iCs/>
          <w:szCs w:val="22"/>
        </w:rPr>
        <w:t>) sa preukázalo, že zvyšuje hrúbku rohovky a závažné očné zmeny viedli k tomu, že na 3. deň jedno zviera uhynulo.</w:t>
      </w:r>
    </w:p>
    <w:p w14:paraId="06DF15E3" w14:textId="77777777" w:rsidR="00752C30" w:rsidRPr="005F0ED1" w:rsidRDefault="00752C30" w:rsidP="00E60349">
      <w:pPr>
        <w:autoSpaceDE w:val="0"/>
        <w:autoSpaceDN w:val="0"/>
        <w:adjustRightInd w:val="0"/>
        <w:rPr>
          <w:iCs/>
          <w:szCs w:val="22"/>
        </w:rPr>
      </w:pPr>
    </w:p>
    <w:p w14:paraId="37575C8A" w14:textId="77777777" w:rsidR="00752C30" w:rsidRPr="005F0ED1" w:rsidRDefault="003E02F6" w:rsidP="00E60349">
      <w:pPr>
        <w:autoSpaceDE w:val="0"/>
        <w:autoSpaceDN w:val="0"/>
        <w:adjustRightInd w:val="0"/>
        <w:ind w:left="0" w:firstLine="0"/>
        <w:rPr>
          <w:iCs/>
          <w:szCs w:val="22"/>
        </w:rPr>
      </w:pPr>
      <w:r w:rsidRPr="005F0ED1">
        <w:rPr>
          <w:iCs/>
          <w:szCs w:val="22"/>
        </w:rPr>
        <w:t xml:space="preserve">Systémová toxicita fixnej kombinácie </w:t>
      </w:r>
      <w:proofErr w:type="spellStart"/>
      <w:r w:rsidRPr="005F0ED1">
        <w:rPr>
          <w:iCs/>
          <w:szCs w:val="22"/>
        </w:rPr>
        <w:t>fenylefrínu</w:t>
      </w:r>
      <w:proofErr w:type="spellEnd"/>
      <w:r w:rsidRPr="005F0ED1">
        <w:rPr>
          <w:iCs/>
          <w:szCs w:val="22"/>
        </w:rPr>
        <w:t xml:space="preserve">, </w:t>
      </w:r>
      <w:proofErr w:type="spellStart"/>
      <w:r w:rsidRPr="005F0ED1">
        <w:rPr>
          <w:iCs/>
          <w:szCs w:val="22"/>
        </w:rPr>
        <w:t>tropikamidu</w:t>
      </w:r>
      <w:proofErr w:type="spellEnd"/>
      <w:r w:rsidRPr="005F0ED1">
        <w:rPr>
          <w:iCs/>
          <w:szCs w:val="22"/>
        </w:rPr>
        <w:t xml:space="preserve"> a </w:t>
      </w:r>
      <w:proofErr w:type="spellStart"/>
      <w:r w:rsidRPr="005F0ED1">
        <w:rPr>
          <w:iCs/>
          <w:szCs w:val="22"/>
        </w:rPr>
        <w:t>lidokaínu</w:t>
      </w:r>
      <w:proofErr w:type="spellEnd"/>
      <w:r w:rsidRPr="005F0ED1">
        <w:rPr>
          <w:iCs/>
          <w:szCs w:val="22"/>
        </w:rPr>
        <w:t xml:space="preserve"> sa neskúmala.</w:t>
      </w:r>
    </w:p>
    <w:p w14:paraId="2D85E104" w14:textId="77777777" w:rsidR="00752C30" w:rsidRPr="00D3133D" w:rsidRDefault="003E02F6" w:rsidP="00E60349">
      <w:pPr>
        <w:autoSpaceDE w:val="0"/>
        <w:autoSpaceDN w:val="0"/>
        <w:adjustRightInd w:val="0"/>
        <w:ind w:left="0" w:firstLine="0"/>
        <w:rPr>
          <w:szCs w:val="22"/>
        </w:rPr>
      </w:pPr>
      <w:r w:rsidRPr="00D3133D">
        <w:rPr>
          <w:szCs w:val="22"/>
        </w:rPr>
        <w:t xml:space="preserve">Napriek tomu sa pri kombinácii neočakáva žiadne osobitné riziko, pretože sa oftalmologická bezpečnosť troch jednotlivých liečiv považuje za stanovenú a liek </w:t>
      </w:r>
      <w:proofErr w:type="spellStart"/>
      <w:r w:rsidRPr="00D3133D">
        <w:rPr>
          <w:szCs w:val="22"/>
        </w:rPr>
        <w:t>MYDRANE</w:t>
      </w:r>
      <w:proofErr w:type="spellEnd"/>
      <w:r w:rsidRPr="00D3133D">
        <w:rPr>
          <w:szCs w:val="22"/>
        </w:rPr>
        <w:t xml:space="preserve"> je len na podanie vo forme jednej </w:t>
      </w:r>
      <w:proofErr w:type="spellStart"/>
      <w:r w:rsidRPr="00D3133D">
        <w:rPr>
          <w:szCs w:val="22"/>
        </w:rPr>
        <w:t>intrakamerálnej</w:t>
      </w:r>
      <w:proofErr w:type="spellEnd"/>
      <w:r w:rsidRPr="00D3133D">
        <w:rPr>
          <w:szCs w:val="22"/>
        </w:rPr>
        <w:t xml:space="preserve"> injekcie.</w:t>
      </w:r>
    </w:p>
    <w:p w14:paraId="041629DA" w14:textId="77777777" w:rsidR="00752C30" w:rsidRPr="00D3133D" w:rsidRDefault="00752C30" w:rsidP="00E60349">
      <w:pPr>
        <w:rPr>
          <w:szCs w:val="22"/>
        </w:rPr>
      </w:pPr>
    </w:p>
    <w:p w14:paraId="61504A0A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 xml:space="preserve">Vo fixnej kombinácii sa takisto sa neskúmala farmakologická bezpečnosť, </w:t>
      </w:r>
      <w:proofErr w:type="spellStart"/>
      <w:r w:rsidRPr="00D3133D">
        <w:rPr>
          <w:szCs w:val="22"/>
        </w:rPr>
        <w:t>genotoxicita</w:t>
      </w:r>
      <w:proofErr w:type="spellEnd"/>
      <w:r w:rsidRPr="00D3133D">
        <w:rPr>
          <w:szCs w:val="22"/>
        </w:rPr>
        <w:t xml:space="preserve"> a reprodukčná toxicita jednotlivých liečiv. U potkanov viedlo podanie </w:t>
      </w:r>
      <w:proofErr w:type="spellStart"/>
      <w:r w:rsidRPr="00D3133D">
        <w:rPr>
          <w:szCs w:val="22"/>
        </w:rPr>
        <w:t>fenylefrínu</w:t>
      </w:r>
      <w:proofErr w:type="spellEnd"/>
      <w:r w:rsidRPr="00D3133D">
        <w:rPr>
          <w:szCs w:val="22"/>
        </w:rPr>
        <w:t xml:space="preserve"> (12,5 mg/kg, </w:t>
      </w:r>
      <w:proofErr w:type="spellStart"/>
      <w:r w:rsidRPr="00D3133D">
        <w:rPr>
          <w:szCs w:val="22"/>
        </w:rPr>
        <w:t>s.c</w:t>
      </w:r>
      <w:proofErr w:type="spellEnd"/>
      <w:r w:rsidRPr="00D3133D">
        <w:rPr>
          <w:szCs w:val="22"/>
        </w:rPr>
        <w:t xml:space="preserve">.) k zníženiu prietoku krvi maternicou (zníženie o 86,8 % za približne 15 minút), na základe čoho vykazuje </w:t>
      </w:r>
      <w:proofErr w:type="spellStart"/>
      <w:r w:rsidRPr="00D3133D">
        <w:rPr>
          <w:szCs w:val="22"/>
        </w:rPr>
        <w:t>fetotoxické</w:t>
      </w:r>
      <w:proofErr w:type="spellEnd"/>
      <w:r w:rsidRPr="00D3133D">
        <w:rPr>
          <w:szCs w:val="22"/>
        </w:rPr>
        <w:t xml:space="preserve"> a </w:t>
      </w:r>
      <w:proofErr w:type="spellStart"/>
      <w:r w:rsidRPr="00D3133D">
        <w:rPr>
          <w:szCs w:val="22"/>
        </w:rPr>
        <w:t>koteratogénne</w:t>
      </w:r>
      <w:proofErr w:type="spellEnd"/>
      <w:r w:rsidRPr="00D3133D">
        <w:rPr>
          <w:szCs w:val="22"/>
        </w:rPr>
        <w:t xml:space="preserve"> vlastnosti. Pri </w:t>
      </w:r>
      <w:proofErr w:type="spellStart"/>
      <w:r w:rsidRPr="00D3133D">
        <w:rPr>
          <w:szCs w:val="22"/>
        </w:rPr>
        <w:t>lidokaíne</w:t>
      </w:r>
      <w:proofErr w:type="spellEnd"/>
      <w:r w:rsidRPr="00D3133D">
        <w:rPr>
          <w:szCs w:val="22"/>
        </w:rPr>
        <w:t xml:space="preserve"> sa v štúdiách embryonálneho/</w:t>
      </w:r>
      <w:proofErr w:type="spellStart"/>
      <w:r w:rsidRPr="00D3133D">
        <w:rPr>
          <w:szCs w:val="22"/>
        </w:rPr>
        <w:t>fetálneho</w:t>
      </w:r>
      <w:proofErr w:type="spellEnd"/>
      <w:r w:rsidRPr="00D3133D">
        <w:rPr>
          <w:szCs w:val="22"/>
        </w:rPr>
        <w:t xml:space="preserve"> vývinu u potkanov a králikov nepozorovali žiadne </w:t>
      </w:r>
      <w:proofErr w:type="spellStart"/>
      <w:r w:rsidRPr="00D3133D">
        <w:rPr>
          <w:szCs w:val="22"/>
        </w:rPr>
        <w:t>teratogénne</w:t>
      </w:r>
      <w:proofErr w:type="spellEnd"/>
      <w:r w:rsidRPr="00D3133D">
        <w:rPr>
          <w:szCs w:val="22"/>
        </w:rPr>
        <w:t xml:space="preserve"> účinky. </w:t>
      </w:r>
      <w:proofErr w:type="spellStart"/>
      <w:r w:rsidRPr="00D3133D">
        <w:rPr>
          <w:szCs w:val="22"/>
        </w:rPr>
        <w:t>Embryotoxicita</w:t>
      </w:r>
      <w:proofErr w:type="spellEnd"/>
      <w:r w:rsidRPr="00D3133D">
        <w:rPr>
          <w:szCs w:val="22"/>
        </w:rPr>
        <w:t xml:space="preserve"> a zníženie miery </w:t>
      </w:r>
      <w:proofErr w:type="spellStart"/>
      <w:r w:rsidRPr="00D3133D">
        <w:rPr>
          <w:szCs w:val="22"/>
        </w:rPr>
        <w:t>postnatálneho</w:t>
      </w:r>
      <w:proofErr w:type="spellEnd"/>
      <w:r w:rsidRPr="00D3133D">
        <w:rPr>
          <w:szCs w:val="22"/>
        </w:rPr>
        <w:t xml:space="preserve"> prežívania sa pozorovali len pri </w:t>
      </w:r>
      <w:proofErr w:type="spellStart"/>
      <w:r w:rsidRPr="00D3133D">
        <w:rPr>
          <w:szCs w:val="22"/>
        </w:rPr>
        <w:t>maternotoxických</w:t>
      </w:r>
      <w:proofErr w:type="spellEnd"/>
      <w:r w:rsidRPr="00D3133D">
        <w:rPr>
          <w:szCs w:val="22"/>
        </w:rPr>
        <w:t xml:space="preserve"> dávkach. </w:t>
      </w:r>
      <w:proofErr w:type="spellStart"/>
      <w:r w:rsidRPr="00D3133D">
        <w:rPr>
          <w:szCs w:val="22"/>
        </w:rPr>
        <w:t>Lidokaín</w:t>
      </w:r>
      <w:proofErr w:type="spellEnd"/>
      <w:r w:rsidRPr="00D3133D">
        <w:rPr>
          <w:szCs w:val="22"/>
        </w:rPr>
        <w:t xml:space="preserve"> nebol ani </w:t>
      </w:r>
      <w:proofErr w:type="spellStart"/>
      <w:r w:rsidRPr="00D3133D">
        <w:rPr>
          <w:szCs w:val="22"/>
        </w:rPr>
        <w:t>genotoxický</w:t>
      </w:r>
      <w:proofErr w:type="spellEnd"/>
      <w:r w:rsidRPr="00D3133D">
        <w:rPr>
          <w:szCs w:val="22"/>
        </w:rPr>
        <w:t>.</w:t>
      </w:r>
    </w:p>
    <w:p w14:paraId="60354429" w14:textId="77777777" w:rsidR="00780926" w:rsidRPr="00D3133D" w:rsidRDefault="00780926" w:rsidP="00E60349">
      <w:pPr>
        <w:rPr>
          <w:szCs w:val="22"/>
        </w:rPr>
      </w:pPr>
    </w:p>
    <w:p w14:paraId="7684D3A0" w14:textId="77777777" w:rsidR="00E1698A" w:rsidRPr="00D3133D" w:rsidRDefault="00E1698A" w:rsidP="00E60349">
      <w:pPr>
        <w:rPr>
          <w:szCs w:val="22"/>
        </w:rPr>
      </w:pPr>
    </w:p>
    <w:p w14:paraId="60B78F31" w14:textId="77777777" w:rsidR="00780926" w:rsidRPr="00D3133D" w:rsidRDefault="003E02F6" w:rsidP="00E60349">
      <w:pPr>
        <w:rPr>
          <w:b/>
          <w:szCs w:val="22"/>
        </w:rPr>
      </w:pPr>
      <w:r w:rsidRPr="00D3133D">
        <w:rPr>
          <w:b/>
          <w:szCs w:val="22"/>
        </w:rPr>
        <w:t>6.</w:t>
      </w:r>
      <w:r w:rsidRPr="00D3133D">
        <w:rPr>
          <w:b/>
          <w:szCs w:val="22"/>
        </w:rPr>
        <w:tab/>
        <w:t>FARMACEUTICKÉ INFORMÁCIE</w:t>
      </w:r>
    </w:p>
    <w:p w14:paraId="7CFD448E" w14:textId="77777777" w:rsidR="00780926" w:rsidRPr="00D3133D" w:rsidRDefault="00780926" w:rsidP="00E60349">
      <w:pPr>
        <w:rPr>
          <w:szCs w:val="22"/>
        </w:rPr>
      </w:pPr>
    </w:p>
    <w:p w14:paraId="1B3C0229" w14:textId="77777777" w:rsidR="00780926" w:rsidRPr="00D3133D" w:rsidRDefault="003E02F6" w:rsidP="00E60349">
      <w:pPr>
        <w:rPr>
          <w:szCs w:val="22"/>
        </w:rPr>
      </w:pPr>
      <w:r w:rsidRPr="00D3133D">
        <w:rPr>
          <w:b/>
          <w:szCs w:val="22"/>
        </w:rPr>
        <w:t>6.1</w:t>
      </w:r>
      <w:r w:rsidRPr="00D3133D">
        <w:rPr>
          <w:b/>
          <w:szCs w:val="22"/>
        </w:rPr>
        <w:tab/>
        <w:t>Zoznam pomocných látok</w:t>
      </w:r>
    </w:p>
    <w:p w14:paraId="682B9B0F" w14:textId="77777777" w:rsidR="00780926" w:rsidRPr="005F0ED1" w:rsidRDefault="00780926" w:rsidP="00E60349">
      <w:pPr>
        <w:rPr>
          <w:szCs w:val="22"/>
        </w:rPr>
      </w:pPr>
    </w:p>
    <w:p w14:paraId="6BE8892E" w14:textId="77777777" w:rsidR="00752C30" w:rsidRPr="00D3133D" w:rsidRDefault="003E02F6" w:rsidP="00E60349">
      <w:pPr>
        <w:rPr>
          <w:szCs w:val="22"/>
        </w:rPr>
      </w:pPr>
      <w:r w:rsidRPr="00D3133D">
        <w:rPr>
          <w:szCs w:val="22"/>
        </w:rPr>
        <w:t>chlorid sodný</w:t>
      </w:r>
    </w:p>
    <w:p w14:paraId="52E397C8" w14:textId="4EED0061" w:rsidR="00752C30" w:rsidRPr="00D3133D" w:rsidRDefault="003E02F6" w:rsidP="00E60349">
      <w:pPr>
        <w:rPr>
          <w:szCs w:val="22"/>
        </w:rPr>
      </w:pPr>
      <w:proofErr w:type="spellStart"/>
      <w:r w:rsidRPr="00D3133D">
        <w:rPr>
          <w:szCs w:val="22"/>
        </w:rPr>
        <w:t>dodekahydrát</w:t>
      </w:r>
      <w:proofErr w:type="spellEnd"/>
      <w:r w:rsidRPr="00D3133D">
        <w:rPr>
          <w:szCs w:val="22"/>
        </w:rPr>
        <w:t xml:space="preserve"> fosforečnanu sodného</w:t>
      </w:r>
    </w:p>
    <w:p w14:paraId="0042A70E" w14:textId="77777777" w:rsidR="00752C30" w:rsidRPr="00D3133D" w:rsidRDefault="003E02F6" w:rsidP="00E60349">
      <w:pPr>
        <w:rPr>
          <w:szCs w:val="22"/>
        </w:rPr>
      </w:pPr>
      <w:proofErr w:type="spellStart"/>
      <w:r w:rsidRPr="00D3133D">
        <w:rPr>
          <w:szCs w:val="22"/>
        </w:rPr>
        <w:t>dihydrát</w:t>
      </w:r>
      <w:proofErr w:type="spellEnd"/>
      <w:r w:rsidRPr="00D3133D">
        <w:rPr>
          <w:szCs w:val="22"/>
        </w:rPr>
        <w:t xml:space="preserve"> fosforečnanu sodného</w:t>
      </w:r>
    </w:p>
    <w:p w14:paraId="180F7DEF" w14:textId="77777777" w:rsidR="00752C30" w:rsidRPr="00D3133D" w:rsidRDefault="003E02F6" w:rsidP="00E60349">
      <w:pPr>
        <w:rPr>
          <w:szCs w:val="22"/>
        </w:rPr>
      </w:pPr>
      <w:proofErr w:type="spellStart"/>
      <w:r w:rsidRPr="00D3133D">
        <w:rPr>
          <w:szCs w:val="22"/>
        </w:rPr>
        <w:t>dinátrium</w:t>
      </w:r>
      <w:proofErr w:type="spellEnd"/>
      <w:r w:rsidRPr="00D3133D">
        <w:rPr>
          <w:szCs w:val="22"/>
        </w:rPr>
        <w:t xml:space="preserve"> </w:t>
      </w:r>
      <w:proofErr w:type="spellStart"/>
      <w:r w:rsidRPr="00D3133D">
        <w:rPr>
          <w:szCs w:val="22"/>
        </w:rPr>
        <w:t>edetát</w:t>
      </w:r>
      <w:proofErr w:type="spellEnd"/>
    </w:p>
    <w:p w14:paraId="255EF5FF" w14:textId="77777777" w:rsidR="00752C30" w:rsidRPr="00D3133D" w:rsidRDefault="003E02F6" w:rsidP="00E60349">
      <w:pPr>
        <w:rPr>
          <w:szCs w:val="22"/>
        </w:rPr>
      </w:pPr>
      <w:r w:rsidRPr="00D3133D">
        <w:rPr>
          <w:szCs w:val="22"/>
        </w:rPr>
        <w:t>voda na injekciu</w:t>
      </w:r>
    </w:p>
    <w:p w14:paraId="470FF403" w14:textId="77777777" w:rsidR="00780926" w:rsidRPr="00D3133D" w:rsidRDefault="00780926" w:rsidP="00E60349">
      <w:pPr>
        <w:rPr>
          <w:szCs w:val="22"/>
        </w:rPr>
      </w:pPr>
    </w:p>
    <w:p w14:paraId="4A10E1DE" w14:textId="77777777" w:rsidR="00780926" w:rsidRPr="00D3133D" w:rsidRDefault="003E02F6" w:rsidP="00E60349">
      <w:pPr>
        <w:rPr>
          <w:szCs w:val="22"/>
        </w:rPr>
      </w:pPr>
      <w:r w:rsidRPr="00D3133D">
        <w:rPr>
          <w:b/>
          <w:szCs w:val="22"/>
        </w:rPr>
        <w:t>6.2</w:t>
      </w:r>
      <w:r w:rsidRPr="00D3133D">
        <w:rPr>
          <w:b/>
          <w:szCs w:val="22"/>
        </w:rPr>
        <w:tab/>
        <w:t>Inkompatibility</w:t>
      </w:r>
    </w:p>
    <w:p w14:paraId="04B5E622" w14:textId="77777777" w:rsidR="00780926" w:rsidRPr="00D3133D" w:rsidRDefault="00780926" w:rsidP="00E60349">
      <w:pPr>
        <w:rPr>
          <w:szCs w:val="22"/>
        </w:rPr>
      </w:pPr>
    </w:p>
    <w:p w14:paraId="514A49B8" w14:textId="77777777" w:rsidR="00F43819" w:rsidRPr="00D3133D" w:rsidRDefault="003E02F6" w:rsidP="00F43819">
      <w:pPr>
        <w:numPr>
          <w:ilvl w:val="12"/>
          <w:numId w:val="0"/>
        </w:numPr>
        <w:ind w:right="-2"/>
        <w:rPr>
          <w:bCs/>
          <w:szCs w:val="22"/>
        </w:rPr>
      </w:pPr>
      <w:r w:rsidRPr="00D3133D">
        <w:rPr>
          <w:bCs/>
          <w:szCs w:val="22"/>
        </w:rPr>
        <w:t xml:space="preserve">V literatúre a počas klinických skúšaní sa pri liečivách nehlásili žiadne inkompatibility s väčšinou bežne používaných liekov pri operácii sivého zákalu. Pri bežných </w:t>
      </w:r>
      <w:proofErr w:type="spellStart"/>
      <w:r w:rsidRPr="00D3133D">
        <w:rPr>
          <w:bCs/>
          <w:szCs w:val="22"/>
        </w:rPr>
        <w:t>viskoelastických</w:t>
      </w:r>
      <w:proofErr w:type="spellEnd"/>
      <w:r w:rsidRPr="00D3133D">
        <w:rPr>
          <w:bCs/>
          <w:szCs w:val="22"/>
        </w:rPr>
        <w:t xml:space="preserve"> látkach sa to potvrdilo aj skúškou farmaceutickej interakcie.</w:t>
      </w:r>
    </w:p>
    <w:p w14:paraId="29FAE77F" w14:textId="77777777" w:rsidR="00780926" w:rsidRPr="00D3133D" w:rsidRDefault="00780926" w:rsidP="00E60349">
      <w:pPr>
        <w:rPr>
          <w:szCs w:val="22"/>
        </w:rPr>
      </w:pPr>
    </w:p>
    <w:p w14:paraId="198FA9D6" w14:textId="77777777" w:rsidR="00780926" w:rsidRPr="00D3133D" w:rsidRDefault="003E02F6" w:rsidP="005F0ED1">
      <w:pPr>
        <w:keepNext/>
        <w:rPr>
          <w:szCs w:val="22"/>
        </w:rPr>
      </w:pPr>
      <w:r w:rsidRPr="00D3133D">
        <w:rPr>
          <w:b/>
          <w:szCs w:val="22"/>
        </w:rPr>
        <w:t>6.3</w:t>
      </w:r>
      <w:r w:rsidRPr="00D3133D">
        <w:rPr>
          <w:b/>
          <w:szCs w:val="22"/>
        </w:rPr>
        <w:tab/>
        <w:t>Čas použiteľnosti</w:t>
      </w:r>
    </w:p>
    <w:p w14:paraId="37734126" w14:textId="77777777" w:rsidR="00780926" w:rsidRPr="00D3133D" w:rsidRDefault="00780926" w:rsidP="005F0ED1">
      <w:pPr>
        <w:keepNext/>
        <w:rPr>
          <w:szCs w:val="22"/>
        </w:rPr>
      </w:pPr>
    </w:p>
    <w:p w14:paraId="5B971071" w14:textId="77777777" w:rsidR="00752C30" w:rsidRPr="00D3133D" w:rsidRDefault="003E02F6" w:rsidP="00E60349">
      <w:pPr>
        <w:rPr>
          <w:szCs w:val="22"/>
        </w:rPr>
      </w:pPr>
      <w:r w:rsidRPr="00D3133D">
        <w:rPr>
          <w:szCs w:val="22"/>
        </w:rPr>
        <w:t>3 roky.</w:t>
      </w:r>
    </w:p>
    <w:p w14:paraId="4D5E9D63" w14:textId="77777777" w:rsidR="00780926" w:rsidRPr="005F0ED1" w:rsidRDefault="00780926" w:rsidP="00E60349">
      <w:pPr>
        <w:rPr>
          <w:szCs w:val="22"/>
        </w:rPr>
      </w:pPr>
    </w:p>
    <w:p w14:paraId="41C8ACBE" w14:textId="77777777" w:rsidR="00780926" w:rsidRPr="00D3133D" w:rsidRDefault="003E02F6" w:rsidP="00E60349">
      <w:pPr>
        <w:rPr>
          <w:szCs w:val="22"/>
        </w:rPr>
      </w:pPr>
      <w:r w:rsidRPr="00D3133D">
        <w:rPr>
          <w:b/>
          <w:szCs w:val="22"/>
        </w:rPr>
        <w:t>6.4</w:t>
      </w:r>
      <w:r w:rsidRPr="00D3133D">
        <w:rPr>
          <w:b/>
          <w:szCs w:val="22"/>
        </w:rPr>
        <w:tab/>
        <w:t>Špeciálne upozornenia na uchovávanie</w:t>
      </w:r>
    </w:p>
    <w:p w14:paraId="4A97BD54" w14:textId="77777777" w:rsidR="00780926" w:rsidRPr="005F0ED1" w:rsidRDefault="00780926" w:rsidP="00E60349">
      <w:pPr>
        <w:rPr>
          <w:szCs w:val="22"/>
        </w:rPr>
      </w:pPr>
    </w:p>
    <w:p w14:paraId="3A472438" w14:textId="77777777" w:rsidR="00752C30" w:rsidRPr="00D3133D" w:rsidRDefault="003E02F6" w:rsidP="00E60349">
      <w:pPr>
        <w:rPr>
          <w:iCs/>
          <w:szCs w:val="22"/>
        </w:rPr>
      </w:pPr>
      <w:r w:rsidRPr="00D3133D">
        <w:rPr>
          <w:iCs/>
          <w:szCs w:val="22"/>
        </w:rPr>
        <w:t>Tento liek nevyžaduje žiadne špeciálneho podmienky na uchovávanie.</w:t>
      </w:r>
    </w:p>
    <w:p w14:paraId="564556FA" w14:textId="77777777" w:rsidR="00780926" w:rsidRPr="005F0ED1" w:rsidRDefault="00780926" w:rsidP="00E60349">
      <w:pPr>
        <w:rPr>
          <w:szCs w:val="22"/>
        </w:rPr>
      </w:pPr>
    </w:p>
    <w:p w14:paraId="3D269E78" w14:textId="77777777" w:rsidR="00780926" w:rsidRPr="00D3133D" w:rsidRDefault="003E02F6" w:rsidP="00E60349">
      <w:pPr>
        <w:rPr>
          <w:szCs w:val="22"/>
        </w:rPr>
      </w:pPr>
      <w:r w:rsidRPr="00D3133D">
        <w:rPr>
          <w:b/>
          <w:szCs w:val="22"/>
        </w:rPr>
        <w:t>6.5</w:t>
      </w:r>
      <w:r w:rsidRPr="00D3133D">
        <w:rPr>
          <w:b/>
          <w:szCs w:val="22"/>
        </w:rPr>
        <w:tab/>
        <w:t>Druh obalu a obsah balenia</w:t>
      </w:r>
      <w:r w:rsidRPr="00D3133D">
        <w:rPr>
          <w:b/>
          <w:color w:val="0000FF"/>
          <w:szCs w:val="22"/>
        </w:rPr>
        <w:t xml:space="preserve"> </w:t>
      </w:r>
    </w:p>
    <w:p w14:paraId="0D9A3FC8" w14:textId="77777777" w:rsidR="00780926" w:rsidRPr="00D3133D" w:rsidRDefault="00780926" w:rsidP="00E60349">
      <w:pPr>
        <w:rPr>
          <w:szCs w:val="22"/>
        </w:rPr>
      </w:pPr>
    </w:p>
    <w:p w14:paraId="0866489B" w14:textId="5A71B66D" w:rsidR="00FC1548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>Jed</w:t>
      </w:r>
      <w:r w:rsidR="00480C90" w:rsidRPr="00D3133D">
        <w:rPr>
          <w:szCs w:val="22"/>
        </w:rPr>
        <w:t>en</w:t>
      </w:r>
      <w:r w:rsidRPr="00D3133D">
        <w:rPr>
          <w:szCs w:val="22"/>
        </w:rPr>
        <w:t xml:space="preserve"> </w:t>
      </w:r>
      <w:r w:rsidR="00480C90" w:rsidRPr="00D3133D">
        <w:rPr>
          <w:szCs w:val="22"/>
        </w:rPr>
        <w:t xml:space="preserve">papierový/PVC </w:t>
      </w:r>
      <w:proofErr w:type="spellStart"/>
      <w:r w:rsidR="00480C90" w:rsidRPr="00D3133D">
        <w:rPr>
          <w:szCs w:val="22"/>
        </w:rPr>
        <w:t>blister</w:t>
      </w:r>
      <w:proofErr w:type="spellEnd"/>
      <w:r w:rsidR="00480C90" w:rsidRPr="00D3133D">
        <w:rPr>
          <w:szCs w:val="22"/>
        </w:rPr>
        <w:t xml:space="preserve"> obsahujúci </w:t>
      </w:r>
      <w:r w:rsidRPr="00D3133D">
        <w:rPr>
          <w:szCs w:val="22"/>
        </w:rPr>
        <w:t>1 ml steriln</w:t>
      </w:r>
      <w:r w:rsidR="00480C90" w:rsidRPr="00D3133D">
        <w:rPr>
          <w:szCs w:val="22"/>
        </w:rPr>
        <w:t>ú</w:t>
      </w:r>
      <w:r w:rsidRPr="00D3133D">
        <w:rPr>
          <w:szCs w:val="22"/>
        </w:rPr>
        <w:t xml:space="preserve"> ampulk</w:t>
      </w:r>
      <w:r w:rsidR="00480C90" w:rsidRPr="00D3133D">
        <w:rPr>
          <w:szCs w:val="22"/>
        </w:rPr>
        <w:t>u</w:t>
      </w:r>
      <w:r w:rsidRPr="00D3133D">
        <w:rPr>
          <w:szCs w:val="22"/>
        </w:rPr>
        <w:t xml:space="preserve"> z hnedého skla (typ I) naplnen</w:t>
      </w:r>
      <w:r w:rsidR="00480C90" w:rsidRPr="00D3133D">
        <w:rPr>
          <w:szCs w:val="22"/>
        </w:rPr>
        <w:t>ú</w:t>
      </w:r>
      <w:r w:rsidRPr="00D3133D">
        <w:rPr>
          <w:szCs w:val="22"/>
        </w:rPr>
        <w:t xml:space="preserve"> 0,6 ml injekč</w:t>
      </w:r>
      <w:r w:rsidR="004C1D92" w:rsidRPr="00D3133D">
        <w:rPr>
          <w:szCs w:val="22"/>
        </w:rPr>
        <w:t>ného</w:t>
      </w:r>
      <w:r w:rsidRPr="00D3133D">
        <w:rPr>
          <w:szCs w:val="22"/>
        </w:rPr>
        <w:t xml:space="preserve"> roztok</w:t>
      </w:r>
      <w:r w:rsidR="004C1D92" w:rsidRPr="00D3133D">
        <w:rPr>
          <w:szCs w:val="22"/>
        </w:rPr>
        <w:t>u</w:t>
      </w:r>
      <w:r w:rsidR="00480C90" w:rsidRPr="00D3133D">
        <w:rPr>
          <w:szCs w:val="22"/>
        </w:rPr>
        <w:t>.</w:t>
      </w:r>
      <w:r w:rsidRPr="00D3133D">
        <w:rPr>
          <w:szCs w:val="22"/>
        </w:rPr>
        <w:t xml:space="preserve"> </w:t>
      </w:r>
      <w:r w:rsidR="006F179B">
        <w:rPr>
          <w:szCs w:val="22"/>
        </w:rPr>
        <w:t>K dispozícii sú oddelené sterilné injekčné ihly o veľkosti 5 mikrónov, balené jednotlivo v blistroch.</w:t>
      </w:r>
    </w:p>
    <w:p w14:paraId="577064D0" w14:textId="77777777" w:rsidR="006F179B" w:rsidRPr="00D3133D" w:rsidRDefault="006F179B" w:rsidP="00E60349">
      <w:pPr>
        <w:ind w:left="0" w:firstLine="0"/>
        <w:rPr>
          <w:szCs w:val="22"/>
        </w:rPr>
      </w:pPr>
    </w:p>
    <w:p w14:paraId="56FC2897" w14:textId="77777777" w:rsidR="00752C30" w:rsidRPr="00D3133D" w:rsidRDefault="003E02F6" w:rsidP="00E60349">
      <w:pPr>
        <w:ind w:left="0" w:firstLine="0"/>
        <w:rPr>
          <w:szCs w:val="22"/>
        </w:rPr>
      </w:pPr>
      <w:r w:rsidRPr="00D3133D">
        <w:rPr>
          <w:szCs w:val="22"/>
        </w:rPr>
        <w:t xml:space="preserve">Škatuľa po 1 </w:t>
      </w:r>
      <w:r w:rsidR="007E6A75" w:rsidRPr="00D3133D">
        <w:rPr>
          <w:szCs w:val="22"/>
        </w:rPr>
        <w:t>steriln</w:t>
      </w:r>
      <w:r w:rsidR="005D2BD2" w:rsidRPr="00D3133D">
        <w:rPr>
          <w:szCs w:val="22"/>
        </w:rPr>
        <w:t xml:space="preserve">ej </w:t>
      </w:r>
      <w:r w:rsidRPr="00D3133D">
        <w:rPr>
          <w:szCs w:val="22"/>
        </w:rPr>
        <w:t xml:space="preserve">ampulke spolu s 1 sterilnou injekčnou ihlou s filtrom o veľkosti 5 mikrónov, 20 </w:t>
      </w:r>
      <w:r w:rsidR="005D2BD2" w:rsidRPr="00D3133D">
        <w:rPr>
          <w:szCs w:val="22"/>
        </w:rPr>
        <w:t xml:space="preserve">sterilných </w:t>
      </w:r>
      <w:r w:rsidRPr="00D3133D">
        <w:rPr>
          <w:szCs w:val="22"/>
        </w:rPr>
        <w:t xml:space="preserve">ampuliek spolu s 20 sterilnými injekčnými ihlami s filtrom o veľkosti 5 mikrónov a 100 </w:t>
      </w:r>
      <w:r w:rsidR="005D2BD2" w:rsidRPr="00D3133D">
        <w:rPr>
          <w:szCs w:val="22"/>
        </w:rPr>
        <w:t xml:space="preserve">sterilných </w:t>
      </w:r>
      <w:r w:rsidRPr="00D3133D">
        <w:rPr>
          <w:szCs w:val="22"/>
        </w:rPr>
        <w:t>ampuliek spolu so 100 sterilnými injekčnými ihlami s filtrom o veľkosti 5 mikrónov.</w:t>
      </w:r>
    </w:p>
    <w:p w14:paraId="22AE113C" w14:textId="77777777" w:rsidR="0023495C" w:rsidRPr="00D3133D" w:rsidRDefault="0023495C" w:rsidP="00E60349">
      <w:pPr>
        <w:ind w:left="0" w:firstLine="0"/>
        <w:rPr>
          <w:szCs w:val="22"/>
        </w:rPr>
      </w:pPr>
    </w:p>
    <w:p w14:paraId="0AD7DF40" w14:textId="77777777" w:rsidR="0023495C" w:rsidRPr="00D3133D" w:rsidRDefault="004C1D92" w:rsidP="0023495C">
      <w:pPr>
        <w:ind w:left="0" w:firstLine="0"/>
        <w:rPr>
          <w:szCs w:val="22"/>
        </w:rPr>
      </w:pPr>
      <w:r w:rsidRPr="00D3133D">
        <w:rPr>
          <w:szCs w:val="22"/>
        </w:rPr>
        <w:t>Súprava s obsahom jednej</w:t>
      </w:r>
      <w:r w:rsidR="0023495C" w:rsidRPr="00D3133D">
        <w:rPr>
          <w:szCs w:val="22"/>
        </w:rPr>
        <w:t xml:space="preserve"> 1 ml steriln</w:t>
      </w:r>
      <w:r w:rsidRPr="00D3133D">
        <w:rPr>
          <w:szCs w:val="22"/>
        </w:rPr>
        <w:t>ej</w:t>
      </w:r>
      <w:r w:rsidR="0023495C" w:rsidRPr="00D3133D">
        <w:rPr>
          <w:szCs w:val="22"/>
        </w:rPr>
        <w:t xml:space="preserve"> ampulk</w:t>
      </w:r>
      <w:r w:rsidRPr="00D3133D">
        <w:rPr>
          <w:szCs w:val="22"/>
        </w:rPr>
        <w:t>y</w:t>
      </w:r>
      <w:r w:rsidR="0023495C" w:rsidRPr="00D3133D">
        <w:rPr>
          <w:szCs w:val="22"/>
        </w:rPr>
        <w:t xml:space="preserve"> z hnedého skla (typ I) naplne</w:t>
      </w:r>
      <w:r w:rsidRPr="00D3133D">
        <w:rPr>
          <w:szCs w:val="22"/>
        </w:rPr>
        <w:t>nej</w:t>
      </w:r>
      <w:r w:rsidR="0023495C" w:rsidRPr="00D3133D">
        <w:rPr>
          <w:szCs w:val="22"/>
        </w:rPr>
        <w:t xml:space="preserve"> 0,6 ml injekčného roztoku a </w:t>
      </w:r>
      <w:r w:rsidRPr="00D3133D">
        <w:rPr>
          <w:szCs w:val="22"/>
        </w:rPr>
        <w:t>jedn</w:t>
      </w:r>
      <w:r w:rsidR="002D0815" w:rsidRPr="00D3133D">
        <w:rPr>
          <w:szCs w:val="22"/>
        </w:rPr>
        <w:t>ej</w:t>
      </w:r>
      <w:r w:rsidR="0023495C" w:rsidRPr="00D3133D">
        <w:rPr>
          <w:szCs w:val="22"/>
        </w:rPr>
        <w:t xml:space="preserve"> steriln</w:t>
      </w:r>
      <w:r w:rsidR="002D0815" w:rsidRPr="00D3133D">
        <w:rPr>
          <w:szCs w:val="22"/>
        </w:rPr>
        <w:t>ej</w:t>
      </w:r>
      <w:r w:rsidR="0023495C" w:rsidRPr="00D3133D">
        <w:rPr>
          <w:szCs w:val="22"/>
        </w:rPr>
        <w:t xml:space="preserve"> injekčn</w:t>
      </w:r>
      <w:r w:rsidR="002D0815" w:rsidRPr="00D3133D">
        <w:rPr>
          <w:szCs w:val="22"/>
        </w:rPr>
        <w:t>ej</w:t>
      </w:r>
      <w:r w:rsidR="0023495C" w:rsidRPr="00D3133D">
        <w:rPr>
          <w:szCs w:val="22"/>
        </w:rPr>
        <w:t xml:space="preserve"> ihl</w:t>
      </w:r>
      <w:r w:rsidR="002D0815" w:rsidRPr="00D3133D">
        <w:rPr>
          <w:szCs w:val="22"/>
        </w:rPr>
        <w:t>y</w:t>
      </w:r>
      <w:r w:rsidR="0023495C" w:rsidRPr="00D3133D">
        <w:rPr>
          <w:szCs w:val="22"/>
        </w:rPr>
        <w:t xml:space="preserve"> s filtrom o veľkosti 5 mikrónov</w:t>
      </w:r>
      <w:r w:rsidRPr="00D3133D">
        <w:rPr>
          <w:szCs w:val="22"/>
        </w:rPr>
        <w:t xml:space="preserve"> v papierovom/PVC </w:t>
      </w:r>
      <w:proofErr w:type="spellStart"/>
      <w:r w:rsidRPr="00D3133D">
        <w:rPr>
          <w:szCs w:val="22"/>
        </w:rPr>
        <w:t>blistri</w:t>
      </w:r>
      <w:proofErr w:type="spellEnd"/>
      <w:r w:rsidR="0023495C" w:rsidRPr="00D3133D">
        <w:rPr>
          <w:szCs w:val="22"/>
        </w:rPr>
        <w:t>.</w:t>
      </w:r>
    </w:p>
    <w:p w14:paraId="169C536C" w14:textId="59379843" w:rsidR="0023495C" w:rsidRPr="00D3133D" w:rsidRDefault="0023495C" w:rsidP="0023495C">
      <w:pPr>
        <w:ind w:left="0" w:firstLine="0"/>
        <w:rPr>
          <w:szCs w:val="22"/>
        </w:rPr>
      </w:pPr>
      <w:r w:rsidRPr="00D3133D">
        <w:rPr>
          <w:szCs w:val="22"/>
        </w:rPr>
        <w:t xml:space="preserve">Škatuľa po 1, 20, 100 </w:t>
      </w:r>
      <w:r w:rsidR="00130E1A" w:rsidRPr="00D3133D">
        <w:rPr>
          <w:szCs w:val="22"/>
        </w:rPr>
        <w:t>súprav (</w:t>
      </w:r>
      <w:proofErr w:type="spellStart"/>
      <w:r w:rsidR="00130E1A" w:rsidRPr="00D3133D">
        <w:rPr>
          <w:szCs w:val="22"/>
        </w:rPr>
        <w:t>t,j</w:t>
      </w:r>
      <w:proofErr w:type="spellEnd"/>
      <w:r w:rsidR="00130E1A" w:rsidRPr="00D3133D">
        <w:rPr>
          <w:szCs w:val="22"/>
        </w:rPr>
        <w:t xml:space="preserve">. </w:t>
      </w:r>
      <w:proofErr w:type="spellStart"/>
      <w:r w:rsidRPr="00D3133D">
        <w:rPr>
          <w:szCs w:val="22"/>
        </w:rPr>
        <w:t>blist</w:t>
      </w:r>
      <w:r w:rsidR="00130E1A" w:rsidRPr="00D3133D">
        <w:rPr>
          <w:szCs w:val="22"/>
        </w:rPr>
        <w:t>er</w:t>
      </w:r>
      <w:proofErr w:type="spellEnd"/>
      <w:r w:rsidRPr="00D3133D">
        <w:rPr>
          <w:szCs w:val="22"/>
        </w:rPr>
        <w:t xml:space="preserve"> </w:t>
      </w:r>
      <w:r w:rsidR="00130E1A" w:rsidRPr="00D3133D">
        <w:rPr>
          <w:szCs w:val="22"/>
        </w:rPr>
        <w:t> </w:t>
      </w:r>
      <w:r w:rsidR="00D41211" w:rsidRPr="00D3133D">
        <w:rPr>
          <w:szCs w:val="22"/>
        </w:rPr>
        <w:t>obsah</w:t>
      </w:r>
      <w:r w:rsidR="00130E1A" w:rsidRPr="00D3133D">
        <w:rPr>
          <w:szCs w:val="22"/>
        </w:rPr>
        <w:t xml:space="preserve">ujúci </w:t>
      </w:r>
      <w:r w:rsidR="00D41211" w:rsidRPr="00D3133D">
        <w:rPr>
          <w:szCs w:val="22"/>
        </w:rPr>
        <w:t xml:space="preserve"> steriln</w:t>
      </w:r>
      <w:r w:rsidR="00130E1A" w:rsidRPr="005F0ED1">
        <w:rPr>
          <w:szCs w:val="22"/>
        </w:rPr>
        <w:t>ú</w:t>
      </w:r>
      <w:r w:rsidR="00D41211" w:rsidRPr="00D3133D">
        <w:rPr>
          <w:szCs w:val="22"/>
        </w:rPr>
        <w:t xml:space="preserve"> ampulk</w:t>
      </w:r>
      <w:r w:rsidR="00130E1A" w:rsidRPr="00D3133D">
        <w:rPr>
          <w:szCs w:val="22"/>
        </w:rPr>
        <w:t>u</w:t>
      </w:r>
      <w:r w:rsidR="00D41211" w:rsidRPr="00D3133D">
        <w:rPr>
          <w:szCs w:val="22"/>
        </w:rPr>
        <w:t xml:space="preserve"> a  steriln</w:t>
      </w:r>
      <w:r w:rsidR="00130E1A" w:rsidRPr="00D3133D">
        <w:rPr>
          <w:szCs w:val="22"/>
        </w:rPr>
        <w:t>ú</w:t>
      </w:r>
      <w:r w:rsidR="00D41211" w:rsidRPr="00D3133D">
        <w:rPr>
          <w:szCs w:val="22"/>
        </w:rPr>
        <w:t xml:space="preserve"> injekčn</w:t>
      </w:r>
      <w:r w:rsidR="00130E1A" w:rsidRPr="00D3133D">
        <w:rPr>
          <w:szCs w:val="22"/>
        </w:rPr>
        <w:t>ú</w:t>
      </w:r>
      <w:r w:rsidR="00D41211" w:rsidRPr="00D3133D">
        <w:rPr>
          <w:szCs w:val="22"/>
        </w:rPr>
        <w:t xml:space="preserve"> ihl</w:t>
      </w:r>
      <w:r w:rsidR="00130E1A" w:rsidRPr="00D3133D">
        <w:rPr>
          <w:szCs w:val="22"/>
        </w:rPr>
        <w:t>u</w:t>
      </w:r>
      <w:r w:rsidR="003B51B6" w:rsidRPr="00D3133D">
        <w:rPr>
          <w:szCs w:val="22"/>
        </w:rPr>
        <w:t xml:space="preserve"> s filtrom</w:t>
      </w:r>
      <w:r w:rsidR="00130E1A" w:rsidRPr="00D3133D">
        <w:rPr>
          <w:szCs w:val="22"/>
        </w:rPr>
        <w:t>)</w:t>
      </w:r>
    </w:p>
    <w:p w14:paraId="589D559A" w14:textId="77777777" w:rsidR="0023495C" w:rsidRPr="00D3133D" w:rsidRDefault="0023495C" w:rsidP="00E60349">
      <w:pPr>
        <w:ind w:left="0" w:firstLine="0"/>
        <w:rPr>
          <w:szCs w:val="22"/>
        </w:rPr>
      </w:pPr>
    </w:p>
    <w:p w14:paraId="26E9DFA5" w14:textId="77777777" w:rsidR="00752C30" w:rsidRPr="00D3133D" w:rsidRDefault="003E02F6" w:rsidP="00E60349">
      <w:pPr>
        <w:rPr>
          <w:szCs w:val="22"/>
        </w:rPr>
      </w:pPr>
      <w:r w:rsidRPr="00D3133D">
        <w:rPr>
          <w:szCs w:val="22"/>
        </w:rPr>
        <w:t>Na trh nemusia byť uvedené všetky veľkosti balenia.</w:t>
      </w:r>
    </w:p>
    <w:p w14:paraId="75358997" w14:textId="77777777" w:rsidR="00752C30" w:rsidRPr="00D3133D" w:rsidRDefault="00752C30" w:rsidP="00E60349">
      <w:pPr>
        <w:rPr>
          <w:szCs w:val="22"/>
        </w:rPr>
      </w:pPr>
    </w:p>
    <w:p w14:paraId="21EC5F17" w14:textId="5F0EB66A" w:rsidR="00780926" w:rsidRPr="005F0ED1" w:rsidRDefault="003E02F6" w:rsidP="00E60349">
      <w:pPr>
        <w:rPr>
          <w:b/>
          <w:bCs/>
          <w:szCs w:val="22"/>
        </w:rPr>
      </w:pPr>
      <w:r w:rsidRPr="00D3133D">
        <w:rPr>
          <w:b/>
          <w:szCs w:val="22"/>
        </w:rPr>
        <w:t>6.6</w:t>
      </w:r>
      <w:r w:rsidRPr="00D3133D">
        <w:rPr>
          <w:b/>
          <w:szCs w:val="22"/>
        </w:rPr>
        <w:tab/>
      </w:r>
      <w:r w:rsidRPr="005F0ED1">
        <w:rPr>
          <w:b/>
          <w:bCs/>
          <w:szCs w:val="22"/>
        </w:rPr>
        <w:t>Špeciálne opatrenia na likvidáciu</w:t>
      </w:r>
      <w:r w:rsidRPr="00D3133D">
        <w:rPr>
          <w:b/>
          <w:szCs w:val="22"/>
        </w:rPr>
        <w:t xml:space="preserve"> </w:t>
      </w:r>
      <w:r w:rsidRPr="005F0ED1">
        <w:rPr>
          <w:b/>
          <w:bCs/>
          <w:szCs w:val="22"/>
        </w:rPr>
        <w:t>a iné zaobchádzanie s liekom</w:t>
      </w:r>
    </w:p>
    <w:p w14:paraId="0408CB4D" w14:textId="77777777" w:rsidR="00780926" w:rsidRPr="005F0ED1" w:rsidRDefault="00780926" w:rsidP="00E60349">
      <w:pPr>
        <w:rPr>
          <w:bCs/>
          <w:szCs w:val="22"/>
        </w:rPr>
      </w:pPr>
    </w:p>
    <w:p w14:paraId="606C098F" w14:textId="77777777" w:rsidR="00752C30" w:rsidRPr="00D3133D" w:rsidRDefault="003E02F6" w:rsidP="00E60349">
      <w:pPr>
        <w:rPr>
          <w:szCs w:val="22"/>
        </w:rPr>
      </w:pPr>
      <w:r w:rsidRPr="00D3133D">
        <w:rPr>
          <w:szCs w:val="22"/>
        </w:rPr>
        <w:t>Len na použitie do jedného oka.</w:t>
      </w:r>
    </w:p>
    <w:p w14:paraId="2BB7A2D2" w14:textId="77777777" w:rsidR="00752C30" w:rsidRPr="00D3133D" w:rsidRDefault="003E02F6" w:rsidP="00E60349">
      <w:pPr>
        <w:rPr>
          <w:szCs w:val="22"/>
        </w:rPr>
      </w:pPr>
      <w:r w:rsidRPr="00D3133D">
        <w:rPr>
          <w:szCs w:val="22"/>
        </w:rPr>
        <w:t>Použite okamžite po prvom otvorení ampulky.</w:t>
      </w:r>
    </w:p>
    <w:p w14:paraId="3EEE0D09" w14:textId="616C212A" w:rsidR="00382C2A" w:rsidRPr="00D3133D" w:rsidRDefault="00382C2A" w:rsidP="00382C2A">
      <w:pPr>
        <w:ind w:left="0" w:firstLine="0"/>
        <w:rPr>
          <w:szCs w:val="22"/>
        </w:rPr>
      </w:pPr>
      <w:r w:rsidRPr="005F0ED1">
        <w:rPr>
          <w:szCs w:val="22"/>
        </w:rPr>
        <w:t>Len pre balenie v súprave (</w:t>
      </w:r>
      <w:r w:rsidR="003B51B6" w:rsidRPr="005F0ED1">
        <w:rPr>
          <w:szCs w:val="22"/>
        </w:rPr>
        <w:t>t.j.</w:t>
      </w:r>
      <w:r w:rsidRPr="005F0ED1">
        <w:rPr>
          <w:szCs w:val="22"/>
        </w:rPr>
        <w:t xml:space="preserve"> </w:t>
      </w:r>
      <w:proofErr w:type="spellStart"/>
      <w:r w:rsidRPr="005F0ED1">
        <w:rPr>
          <w:szCs w:val="22"/>
        </w:rPr>
        <w:t>blister</w:t>
      </w:r>
      <w:proofErr w:type="spellEnd"/>
      <w:r w:rsidR="00DF33CE">
        <w:rPr>
          <w:szCs w:val="22"/>
        </w:rPr>
        <w:t xml:space="preserve"> obsahujúci ampulku </w:t>
      </w:r>
      <w:r w:rsidRPr="005F0ED1">
        <w:rPr>
          <w:szCs w:val="22"/>
        </w:rPr>
        <w:t>s ihlou): odlepte  štítok z </w:t>
      </w:r>
      <w:proofErr w:type="spellStart"/>
      <w:r w:rsidRPr="005F0ED1">
        <w:rPr>
          <w:szCs w:val="22"/>
        </w:rPr>
        <w:t>blistra</w:t>
      </w:r>
      <w:proofErr w:type="spellEnd"/>
      <w:r w:rsidRPr="005F0ED1">
        <w:rPr>
          <w:szCs w:val="22"/>
        </w:rPr>
        <w:t xml:space="preserve"> a nalepte ho na chorobopis pacienta.</w:t>
      </w:r>
    </w:p>
    <w:p w14:paraId="4D76D554" w14:textId="77777777" w:rsidR="00FC1548" w:rsidRPr="00D3133D" w:rsidRDefault="00FC1548" w:rsidP="00E60349">
      <w:pPr>
        <w:ind w:left="0" w:firstLine="0"/>
        <w:rPr>
          <w:szCs w:val="22"/>
        </w:rPr>
      </w:pPr>
    </w:p>
    <w:p w14:paraId="62E2E728" w14:textId="77777777" w:rsidR="00F43819" w:rsidRPr="00D3133D" w:rsidRDefault="003E02F6" w:rsidP="00F43819">
      <w:pPr>
        <w:numPr>
          <w:ilvl w:val="12"/>
          <w:numId w:val="0"/>
        </w:numPr>
        <w:ind w:right="-2"/>
        <w:rPr>
          <w:bCs/>
          <w:szCs w:val="22"/>
        </w:rPr>
      </w:pPr>
      <w:r w:rsidRPr="00D3133D">
        <w:rPr>
          <w:szCs w:val="22"/>
        </w:rPr>
        <w:t xml:space="preserve">Upozornenie: </w:t>
      </w:r>
      <w:r w:rsidRPr="00D3133D">
        <w:rPr>
          <w:bCs/>
          <w:szCs w:val="22"/>
        </w:rPr>
        <w:t xml:space="preserve">Nepoužívajte, ak je </w:t>
      </w:r>
      <w:proofErr w:type="spellStart"/>
      <w:r w:rsidRPr="00D3133D">
        <w:rPr>
          <w:bCs/>
          <w:szCs w:val="22"/>
        </w:rPr>
        <w:t>blister</w:t>
      </w:r>
      <w:proofErr w:type="spellEnd"/>
      <w:r w:rsidRPr="00D3133D">
        <w:rPr>
          <w:bCs/>
          <w:szCs w:val="22"/>
        </w:rPr>
        <w:t xml:space="preserve"> poškodený alebo porušený. Otvárajte len za aseptických podmienok. Sterilita obsahu neotvoreného </w:t>
      </w:r>
      <w:proofErr w:type="spellStart"/>
      <w:r w:rsidRPr="00D3133D">
        <w:rPr>
          <w:bCs/>
          <w:szCs w:val="22"/>
        </w:rPr>
        <w:t>blistra</w:t>
      </w:r>
      <w:proofErr w:type="spellEnd"/>
      <w:r w:rsidRPr="00D3133D">
        <w:rPr>
          <w:bCs/>
          <w:szCs w:val="22"/>
        </w:rPr>
        <w:t xml:space="preserve"> je zaručená.</w:t>
      </w:r>
    </w:p>
    <w:p w14:paraId="35CADC19" w14:textId="77777777" w:rsidR="00FC1548" w:rsidRPr="00D3133D" w:rsidRDefault="00FC1548" w:rsidP="00E60349">
      <w:pPr>
        <w:ind w:left="0" w:firstLine="0"/>
        <w:rPr>
          <w:szCs w:val="22"/>
        </w:rPr>
      </w:pPr>
    </w:p>
    <w:p w14:paraId="426A7A82" w14:textId="77777777" w:rsidR="00F43819" w:rsidRPr="00D3133D" w:rsidRDefault="003E02F6" w:rsidP="00F43819">
      <w:pPr>
        <w:numPr>
          <w:ilvl w:val="12"/>
          <w:numId w:val="0"/>
        </w:numPr>
        <w:ind w:right="-2"/>
        <w:rPr>
          <w:szCs w:val="22"/>
        </w:rPr>
      </w:pPr>
      <w:r w:rsidRPr="00D3133D">
        <w:rPr>
          <w:szCs w:val="22"/>
        </w:rPr>
        <w:t xml:space="preserve">Pred </w:t>
      </w:r>
      <w:proofErr w:type="spellStart"/>
      <w:r w:rsidRPr="00D3133D">
        <w:rPr>
          <w:szCs w:val="22"/>
        </w:rPr>
        <w:t>intrakamerálnou</w:t>
      </w:r>
      <w:proofErr w:type="spellEnd"/>
      <w:r w:rsidRPr="00D3133D">
        <w:rPr>
          <w:szCs w:val="22"/>
        </w:rPr>
        <w:t xml:space="preserve"> injekciou sa má roztok vizuálne skontrolovať a má sa použiť len v prípade, ak je roztok číry, slabo hnedo-žltý a prakticky bez obsahu viditeľných častíc.</w:t>
      </w:r>
    </w:p>
    <w:p w14:paraId="09EA9563" w14:textId="77777777" w:rsidR="00FC1548" w:rsidRPr="00D3133D" w:rsidRDefault="00FC1548" w:rsidP="00E60349">
      <w:pPr>
        <w:ind w:left="0" w:firstLine="0"/>
        <w:rPr>
          <w:szCs w:val="22"/>
        </w:rPr>
      </w:pPr>
    </w:p>
    <w:p w14:paraId="0771A75F" w14:textId="77777777" w:rsidR="00752C30" w:rsidRPr="00D3133D" w:rsidRDefault="003E02F6" w:rsidP="00E60349">
      <w:pPr>
        <w:ind w:left="0" w:firstLine="0"/>
        <w:rPr>
          <w:szCs w:val="22"/>
        </w:rPr>
      </w:pPr>
      <w:proofErr w:type="spellStart"/>
      <w:r w:rsidRPr="00D3133D">
        <w:rPr>
          <w:szCs w:val="22"/>
        </w:rPr>
        <w:t>MYDRANE</w:t>
      </w:r>
      <w:proofErr w:type="spellEnd"/>
      <w:r w:rsidRPr="00D3133D">
        <w:rPr>
          <w:szCs w:val="22"/>
        </w:rPr>
        <w:t xml:space="preserve"> sa musí podávať </w:t>
      </w:r>
      <w:proofErr w:type="spellStart"/>
      <w:r w:rsidRPr="00D3133D">
        <w:rPr>
          <w:szCs w:val="22"/>
        </w:rPr>
        <w:t>intraokulárnou</w:t>
      </w:r>
      <w:proofErr w:type="spellEnd"/>
      <w:r w:rsidRPr="00D3133D">
        <w:rPr>
          <w:szCs w:val="22"/>
        </w:rPr>
        <w:t xml:space="preserve"> injekciou do </w:t>
      </w:r>
      <w:proofErr w:type="spellStart"/>
      <w:r w:rsidRPr="00D3133D">
        <w:rPr>
          <w:szCs w:val="22"/>
        </w:rPr>
        <w:t>anteriórnej</w:t>
      </w:r>
      <w:proofErr w:type="spellEnd"/>
      <w:r w:rsidRPr="00D3133D">
        <w:rPr>
          <w:szCs w:val="22"/>
        </w:rPr>
        <w:t xml:space="preserve"> komory oka (</w:t>
      </w:r>
      <w:proofErr w:type="spellStart"/>
      <w:r w:rsidRPr="00D3133D">
        <w:rPr>
          <w:szCs w:val="22"/>
        </w:rPr>
        <w:t>intrakamerálna</w:t>
      </w:r>
      <w:proofErr w:type="spellEnd"/>
      <w:r w:rsidRPr="00D3133D">
        <w:rPr>
          <w:szCs w:val="22"/>
        </w:rPr>
        <w:t xml:space="preserve"> injekcia) očným chirurgom v odporúčaných aseptických podmienkach na chirurgický zákrok pri operácii sivého zákalu.</w:t>
      </w:r>
    </w:p>
    <w:p w14:paraId="2E2EA807" w14:textId="77777777" w:rsidR="00752C30" w:rsidRPr="00D3133D" w:rsidRDefault="00752C30" w:rsidP="00E60349">
      <w:pPr>
        <w:rPr>
          <w:szCs w:val="22"/>
        </w:rPr>
      </w:pPr>
    </w:p>
    <w:p w14:paraId="4EF0D714" w14:textId="77777777" w:rsidR="00752C30" w:rsidRPr="00D3133D" w:rsidRDefault="003E02F6" w:rsidP="00F43819">
      <w:pPr>
        <w:keepNext/>
        <w:keepLines/>
        <w:ind w:left="0" w:firstLine="0"/>
        <w:rPr>
          <w:bCs/>
          <w:szCs w:val="22"/>
        </w:rPr>
      </w:pPr>
      <w:r w:rsidRPr="00D3133D">
        <w:rPr>
          <w:bCs/>
          <w:szCs w:val="22"/>
        </w:rPr>
        <w:t xml:space="preserve">Na prípravu lieku </w:t>
      </w:r>
      <w:proofErr w:type="spellStart"/>
      <w:r w:rsidRPr="00D3133D">
        <w:rPr>
          <w:bCs/>
          <w:szCs w:val="22"/>
        </w:rPr>
        <w:t>MYDRANE</w:t>
      </w:r>
      <w:proofErr w:type="spellEnd"/>
      <w:r w:rsidRPr="00D3133D">
        <w:rPr>
          <w:bCs/>
          <w:szCs w:val="22"/>
        </w:rPr>
        <w:t xml:space="preserve"> na </w:t>
      </w:r>
      <w:proofErr w:type="spellStart"/>
      <w:r w:rsidRPr="00D3133D">
        <w:rPr>
          <w:bCs/>
          <w:szCs w:val="22"/>
        </w:rPr>
        <w:t>intrakamerálne</w:t>
      </w:r>
      <w:proofErr w:type="spellEnd"/>
      <w:r w:rsidRPr="00D3133D">
        <w:rPr>
          <w:bCs/>
          <w:szCs w:val="22"/>
        </w:rPr>
        <w:t xml:space="preserve"> podanie, postupujte, prosím podľa nasledujúcich pokynov:</w:t>
      </w:r>
    </w:p>
    <w:p w14:paraId="0877FF7F" w14:textId="77777777" w:rsidR="00752C30" w:rsidRPr="00D3133D" w:rsidRDefault="00752C30" w:rsidP="00E60349">
      <w:pPr>
        <w:keepNext/>
        <w:keepLines/>
        <w:rPr>
          <w:szCs w:val="22"/>
        </w:rPr>
      </w:pPr>
    </w:p>
    <w:p w14:paraId="2C2F0475" w14:textId="558B4BB9" w:rsidR="00752C30" w:rsidRPr="00D3133D" w:rsidRDefault="003E02F6" w:rsidP="005F0ED1">
      <w:pPr>
        <w:numPr>
          <w:ilvl w:val="0"/>
          <w:numId w:val="15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D3133D">
        <w:rPr>
          <w:szCs w:val="22"/>
        </w:rPr>
        <w:t xml:space="preserve">Skontrolujte neotvorený </w:t>
      </w:r>
      <w:proofErr w:type="spellStart"/>
      <w:r w:rsidRPr="00D3133D">
        <w:rPr>
          <w:szCs w:val="22"/>
        </w:rPr>
        <w:t>blister</w:t>
      </w:r>
      <w:proofErr w:type="spellEnd"/>
      <w:r w:rsidRPr="00D3133D">
        <w:rPr>
          <w:szCs w:val="22"/>
        </w:rPr>
        <w:t xml:space="preserve">, aby ste sa uistili, že je neporušený. </w:t>
      </w:r>
      <w:r w:rsidR="001C1451" w:rsidRPr="00D3133D">
        <w:rPr>
          <w:szCs w:val="22"/>
        </w:rPr>
        <w:t xml:space="preserve">Roztrhnutím otvorte </w:t>
      </w:r>
      <w:proofErr w:type="spellStart"/>
      <w:r w:rsidR="001C1451" w:rsidRPr="00D3133D">
        <w:rPr>
          <w:szCs w:val="22"/>
        </w:rPr>
        <w:t>blister</w:t>
      </w:r>
      <w:proofErr w:type="spellEnd"/>
      <w:r w:rsidR="001C1451" w:rsidRPr="00D3133D">
        <w:rPr>
          <w:szCs w:val="22"/>
        </w:rPr>
        <w:t xml:space="preserve"> za aseptických podmienok tak, aby ste zachovali sterilitu jeho obsahu. </w:t>
      </w:r>
    </w:p>
    <w:p w14:paraId="22CAB706" w14:textId="77777777" w:rsidR="00752C30" w:rsidRPr="00D3133D" w:rsidRDefault="003E02F6" w:rsidP="00E60349">
      <w:pPr>
        <w:numPr>
          <w:ilvl w:val="0"/>
          <w:numId w:val="15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D3133D">
        <w:rPr>
          <w:szCs w:val="22"/>
        </w:rPr>
        <w:t xml:space="preserve">Otvorte </w:t>
      </w:r>
      <w:r w:rsidR="001C1451" w:rsidRPr="00D3133D">
        <w:rPr>
          <w:szCs w:val="22"/>
        </w:rPr>
        <w:t xml:space="preserve">sterilnú </w:t>
      </w:r>
      <w:r w:rsidRPr="00D3133D">
        <w:rPr>
          <w:szCs w:val="22"/>
        </w:rPr>
        <w:t>ampulku obsahujúcu liek jej nalomením. Ampulka s vyznačeným miestom na nalomenie sa má otvoriť nasledovne: pridržte spodnú časť ampulky palcom nasmerovaným k farebnému bodu. Hornú časť ampulky chyťte druhou rukou s palcom nasmerovaným k farebnému bodu a zatlačením dozadu nalomte vyrytý rez pod bodom.</w:t>
      </w:r>
    </w:p>
    <w:p w14:paraId="55DC35B3" w14:textId="77777777" w:rsidR="00752C30" w:rsidRPr="00D3133D" w:rsidRDefault="00752C30" w:rsidP="00E60349">
      <w:pPr>
        <w:pStyle w:val="Odsekzoznamu"/>
        <w:rPr>
          <w:szCs w:val="22"/>
          <w:lang w:val="sk-SK"/>
        </w:rPr>
      </w:pPr>
    </w:p>
    <w:p w14:paraId="7C04E9AB" w14:textId="77777777" w:rsidR="00752C30" w:rsidRPr="00D3133D" w:rsidRDefault="003E02F6" w:rsidP="00E60349">
      <w:pPr>
        <w:numPr>
          <w:ilvl w:val="0"/>
          <w:numId w:val="15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D3133D">
        <w:rPr>
          <w:szCs w:val="22"/>
        </w:rPr>
        <w:t>Nasaďte sterilnú injekčnú ihlu s filtrom s veľkosťou 5 mikrónov (priložená) na sterilnú injekčnú striekačku. Odstráňte kryt sterilnej injekčnej ihly s filtrom s veľkosťou 5 mikrónov a z ampulky odoberte do injekčnej striekačky minimálne 0,2 ml injekčného roztoku.</w:t>
      </w:r>
    </w:p>
    <w:p w14:paraId="63853690" w14:textId="77777777" w:rsidR="00752C30" w:rsidRPr="00D3133D" w:rsidRDefault="00752C30" w:rsidP="00E60349">
      <w:pPr>
        <w:rPr>
          <w:szCs w:val="22"/>
        </w:rPr>
      </w:pPr>
    </w:p>
    <w:p w14:paraId="088B0C74" w14:textId="77777777" w:rsidR="00752C30" w:rsidRPr="00D3133D" w:rsidRDefault="003E02F6" w:rsidP="00E60349">
      <w:pPr>
        <w:numPr>
          <w:ilvl w:val="0"/>
          <w:numId w:val="15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D3133D">
        <w:rPr>
          <w:szCs w:val="22"/>
        </w:rPr>
        <w:t xml:space="preserve">Injekčnú ihlu odstráňte z injekčnej striekačky a na injekčnú striekačku nasaďte kanylu vhodnú pre použitie do </w:t>
      </w:r>
      <w:proofErr w:type="spellStart"/>
      <w:r w:rsidRPr="00D3133D">
        <w:rPr>
          <w:szCs w:val="22"/>
        </w:rPr>
        <w:t>anteriórnej</w:t>
      </w:r>
      <w:proofErr w:type="spellEnd"/>
      <w:r w:rsidRPr="00D3133D">
        <w:rPr>
          <w:szCs w:val="22"/>
        </w:rPr>
        <w:t xml:space="preserve"> komory.</w:t>
      </w:r>
    </w:p>
    <w:p w14:paraId="59698552" w14:textId="77777777" w:rsidR="00752C30" w:rsidRPr="00D3133D" w:rsidRDefault="00752C30" w:rsidP="00E60349">
      <w:pPr>
        <w:rPr>
          <w:szCs w:val="22"/>
        </w:rPr>
      </w:pPr>
    </w:p>
    <w:p w14:paraId="402C8A0F" w14:textId="77777777" w:rsidR="00752C30" w:rsidRPr="00D3133D" w:rsidRDefault="003E02F6" w:rsidP="00E60349">
      <w:pPr>
        <w:numPr>
          <w:ilvl w:val="0"/>
          <w:numId w:val="15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D3133D">
        <w:rPr>
          <w:szCs w:val="22"/>
        </w:rPr>
        <w:t>Z injekčnej striekačky opatrne odstráňte vzduch. Objem upravte na 0,2 ml. Injekčná striekačka je pripravená na injekčné podanie.</w:t>
      </w:r>
    </w:p>
    <w:p w14:paraId="07B9312D" w14:textId="77777777" w:rsidR="00752C30" w:rsidRPr="00D3133D" w:rsidRDefault="00752C30" w:rsidP="00E60349">
      <w:pPr>
        <w:pStyle w:val="Odsekzoznamu"/>
        <w:rPr>
          <w:szCs w:val="22"/>
          <w:lang w:val="sk-SK"/>
        </w:rPr>
      </w:pPr>
    </w:p>
    <w:p w14:paraId="66A04903" w14:textId="77777777" w:rsidR="00752C30" w:rsidRPr="00D3133D" w:rsidRDefault="003E02F6" w:rsidP="00E60349">
      <w:pPr>
        <w:numPr>
          <w:ilvl w:val="0"/>
          <w:numId w:val="15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D3133D">
        <w:rPr>
          <w:szCs w:val="22"/>
        </w:rPr>
        <w:t xml:space="preserve">Objem 0,2 ml v injekčnej striekačke pomaly injekčne podajte do </w:t>
      </w:r>
      <w:proofErr w:type="spellStart"/>
      <w:r w:rsidRPr="00D3133D">
        <w:rPr>
          <w:szCs w:val="22"/>
        </w:rPr>
        <w:t>anteriórnej</w:t>
      </w:r>
      <w:proofErr w:type="spellEnd"/>
      <w:r w:rsidRPr="00D3133D">
        <w:rPr>
          <w:szCs w:val="22"/>
        </w:rPr>
        <w:t xml:space="preserve"> komory len v jednej injekcii cez bočný alebo hlavný port.</w:t>
      </w:r>
    </w:p>
    <w:p w14:paraId="2E1DE4BD" w14:textId="77777777" w:rsidR="00752C30" w:rsidRPr="00D3133D" w:rsidRDefault="00752C30" w:rsidP="00E60349">
      <w:pPr>
        <w:rPr>
          <w:szCs w:val="22"/>
        </w:rPr>
      </w:pPr>
    </w:p>
    <w:p w14:paraId="4BDCE8AC" w14:textId="77777777" w:rsidR="00752C30" w:rsidRPr="00D3133D" w:rsidRDefault="003E02F6" w:rsidP="00E60349">
      <w:pPr>
        <w:numPr>
          <w:ilvl w:val="0"/>
          <w:numId w:val="15"/>
        </w:numPr>
        <w:tabs>
          <w:tab w:val="left" w:pos="0"/>
          <w:tab w:val="left" w:pos="567"/>
          <w:tab w:val="left" w:pos="4820"/>
          <w:tab w:val="right" w:pos="8789"/>
        </w:tabs>
        <w:spacing w:after="120" w:line="260" w:lineRule="exact"/>
        <w:ind w:hanging="720"/>
        <w:rPr>
          <w:szCs w:val="22"/>
        </w:rPr>
      </w:pPr>
      <w:r w:rsidRPr="00D3133D">
        <w:rPr>
          <w:bCs/>
          <w:szCs w:val="22"/>
        </w:rPr>
        <w:t>Po použití zvyšný roztok zlikvidujte. Nenechávajte si ho na ďalšie použitie.</w:t>
      </w:r>
    </w:p>
    <w:p w14:paraId="74D6E94B" w14:textId="77777777" w:rsidR="00752C30" w:rsidRPr="00D3133D" w:rsidRDefault="00752C30" w:rsidP="00E60349">
      <w:pPr>
        <w:rPr>
          <w:i/>
          <w:szCs w:val="22"/>
        </w:rPr>
      </w:pPr>
    </w:p>
    <w:p w14:paraId="73C0E824" w14:textId="77777777" w:rsidR="00752C30" w:rsidRPr="00D3133D" w:rsidRDefault="003E02F6" w:rsidP="00732648">
      <w:pPr>
        <w:ind w:left="0" w:firstLine="0"/>
        <w:rPr>
          <w:szCs w:val="22"/>
        </w:rPr>
      </w:pPr>
      <w:r w:rsidRPr="00D3133D">
        <w:rPr>
          <w:szCs w:val="22"/>
        </w:rPr>
        <w:t xml:space="preserve">Všetok nepoužitý liek alebo odpad vzniknutý z lieku sa má zlikvidovať v súlade s národnými požiadavkami. Použité ihly odhoďte do kontajnera na použité ihly. </w:t>
      </w:r>
    </w:p>
    <w:p w14:paraId="4A969DB2" w14:textId="77777777" w:rsidR="00780926" w:rsidRPr="00D3133D" w:rsidRDefault="00780926" w:rsidP="00E60349">
      <w:pPr>
        <w:rPr>
          <w:szCs w:val="22"/>
        </w:rPr>
      </w:pPr>
    </w:p>
    <w:p w14:paraId="0F2C8FCE" w14:textId="77777777" w:rsidR="00FC1548" w:rsidRPr="00D3133D" w:rsidRDefault="00FC1548" w:rsidP="00E60349">
      <w:pPr>
        <w:rPr>
          <w:szCs w:val="22"/>
        </w:rPr>
      </w:pPr>
    </w:p>
    <w:p w14:paraId="3B959905" w14:textId="77777777" w:rsidR="00780926" w:rsidRPr="00D3133D" w:rsidRDefault="003E02F6" w:rsidP="00E60349">
      <w:pPr>
        <w:rPr>
          <w:b/>
          <w:szCs w:val="22"/>
        </w:rPr>
      </w:pPr>
      <w:r w:rsidRPr="00D3133D">
        <w:rPr>
          <w:b/>
          <w:szCs w:val="22"/>
        </w:rPr>
        <w:t>7.</w:t>
      </w:r>
      <w:r w:rsidRPr="00D3133D">
        <w:rPr>
          <w:b/>
          <w:szCs w:val="22"/>
        </w:rPr>
        <w:tab/>
        <w:t>DRŽITEĽ ROZHODNUTIA O REGISTRÁCII</w:t>
      </w:r>
    </w:p>
    <w:p w14:paraId="751C1DB8" w14:textId="77777777" w:rsidR="00780926" w:rsidRPr="00D3133D" w:rsidRDefault="00780926" w:rsidP="00E60349">
      <w:pPr>
        <w:rPr>
          <w:szCs w:val="22"/>
        </w:rPr>
      </w:pPr>
    </w:p>
    <w:p w14:paraId="52AD11EE" w14:textId="77777777" w:rsidR="00752C30" w:rsidRPr="00D3133D" w:rsidRDefault="003E02F6" w:rsidP="0091013F">
      <w:pPr>
        <w:keepNext/>
        <w:rPr>
          <w:szCs w:val="22"/>
        </w:rPr>
      </w:pPr>
      <w:proofErr w:type="spellStart"/>
      <w:r w:rsidRPr="00D3133D">
        <w:rPr>
          <w:szCs w:val="22"/>
        </w:rPr>
        <w:t>Laboratoires</w:t>
      </w:r>
      <w:proofErr w:type="spellEnd"/>
      <w:r w:rsidRPr="00D3133D">
        <w:rPr>
          <w:szCs w:val="22"/>
        </w:rPr>
        <w:t xml:space="preserve"> </w:t>
      </w:r>
      <w:proofErr w:type="spellStart"/>
      <w:r w:rsidRPr="00D3133D">
        <w:rPr>
          <w:szCs w:val="22"/>
        </w:rPr>
        <w:t>THEA</w:t>
      </w:r>
      <w:proofErr w:type="spellEnd"/>
    </w:p>
    <w:p w14:paraId="5495BB7D" w14:textId="77777777" w:rsidR="00752C30" w:rsidRPr="00D3133D" w:rsidRDefault="003E02F6" w:rsidP="0091013F">
      <w:pPr>
        <w:keepNext/>
        <w:rPr>
          <w:szCs w:val="22"/>
        </w:rPr>
      </w:pPr>
      <w:r w:rsidRPr="00D3133D">
        <w:rPr>
          <w:szCs w:val="22"/>
        </w:rPr>
        <w:t xml:space="preserve">12, </w:t>
      </w:r>
      <w:proofErr w:type="spellStart"/>
      <w:r w:rsidRPr="00D3133D">
        <w:rPr>
          <w:szCs w:val="22"/>
        </w:rPr>
        <w:t>Rue</w:t>
      </w:r>
      <w:proofErr w:type="spellEnd"/>
      <w:r w:rsidRPr="00D3133D">
        <w:rPr>
          <w:szCs w:val="22"/>
        </w:rPr>
        <w:t xml:space="preserve"> Louis </w:t>
      </w:r>
      <w:proofErr w:type="spellStart"/>
      <w:r w:rsidRPr="00D3133D">
        <w:rPr>
          <w:szCs w:val="22"/>
        </w:rPr>
        <w:t>Blériot</w:t>
      </w:r>
      <w:proofErr w:type="spellEnd"/>
    </w:p>
    <w:p w14:paraId="0F46970F" w14:textId="77777777" w:rsidR="00752C30" w:rsidRPr="00D3133D" w:rsidRDefault="003E02F6" w:rsidP="0091013F">
      <w:pPr>
        <w:keepNext/>
        <w:rPr>
          <w:szCs w:val="22"/>
        </w:rPr>
      </w:pPr>
      <w:r w:rsidRPr="00D3133D">
        <w:rPr>
          <w:szCs w:val="22"/>
        </w:rPr>
        <w:t xml:space="preserve">63017 </w:t>
      </w:r>
      <w:proofErr w:type="spellStart"/>
      <w:r w:rsidRPr="00D3133D">
        <w:rPr>
          <w:szCs w:val="22"/>
        </w:rPr>
        <w:t>Clermont-Ferrand</w:t>
      </w:r>
      <w:proofErr w:type="spellEnd"/>
      <w:r w:rsidRPr="00D3133D">
        <w:rPr>
          <w:szCs w:val="22"/>
        </w:rPr>
        <w:t xml:space="preserve"> </w:t>
      </w:r>
      <w:proofErr w:type="spellStart"/>
      <w:r w:rsidRPr="00D3133D">
        <w:rPr>
          <w:szCs w:val="22"/>
        </w:rPr>
        <w:t>Cedex</w:t>
      </w:r>
      <w:proofErr w:type="spellEnd"/>
      <w:r w:rsidRPr="00D3133D">
        <w:rPr>
          <w:szCs w:val="22"/>
        </w:rPr>
        <w:t xml:space="preserve"> 2</w:t>
      </w:r>
    </w:p>
    <w:p w14:paraId="221DDC77" w14:textId="77777777" w:rsidR="00752C30" w:rsidRPr="00D3133D" w:rsidRDefault="003E02F6" w:rsidP="0091013F">
      <w:pPr>
        <w:keepNext/>
        <w:rPr>
          <w:szCs w:val="22"/>
        </w:rPr>
      </w:pPr>
      <w:r w:rsidRPr="00D3133D">
        <w:rPr>
          <w:szCs w:val="22"/>
        </w:rPr>
        <w:t>Francúzsko</w:t>
      </w:r>
    </w:p>
    <w:p w14:paraId="6E9F75AE" w14:textId="77777777" w:rsidR="00780926" w:rsidRPr="00D3133D" w:rsidRDefault="00780926" w:rsidP="00E60349">
      <w:pPr>
        <w:ind w:left="0" w:firstLine="0"/>
        <w:rPr>
          <w:szCs w:val="22"/>
        </w:rPr>
      </w:pPr>
    </w:p>
    <w:p w14:paraId="767273BE" w14:textId="77777777" w:rsidR="00FC1548" w:rsidRPr="00D3133D" w:rsidRDefault="00FC1548" w:rsidP="00E60349">
      <w:pPr>
        <w:ind w:left="0" w:firstLine="0"/>
        <w:rPr>
          <w:szCs w:val="22"/>
        </w:rPr>
      </w:pPr>
    </w:p>
    <w:p w14:paraId="1FCF30A5" w14:textId="77777777" w:rsidR="00780926" w:rsidRPr="00D3133D" w:rsidRDefault="003E02F6" w:rsidP="00E60349">
      <w:pPr>
        <w:rPr>
          <w:b/>
          <w:szCs w:val="22"/>
        </w:rPr>
      </w:pPr>
      <w:r w:rsidRPr="00D3133D">
        <w:rPr>
          <w:b/>
          <w:szCs w:val="22"/>
        </w:rPr>
        <w:t>8.</w:t>
      </w:r>
      <w:r w:rsidRPr="00D3133D">
        <w:rPr>
          <w:b/>
          <w:szCs w:val="22"/>
        </w:rPr>
        <w:tab/>
        <w:t>REGISTRAČNÉ ČÍSLO</w:t>
      </w:r>
    </w:p>
    <w:p w14:paraId="6A89DDB7" w14:textId="77777777" w:rsidR="00780926" w:rsidRPr="005F0ED1" w:rsidRDefault="00780926" w:rsidP="00E60349">
      <w:pPr>
        <w:rPr>
          <w:szCs w:val="22"/>
        </w:rPr>
      </w:pPr>
    </w:p>
    <w:p w14:paraId="460BA307" w14:textId="77777777" w:rsidR="00FC1548" w:rsidRDefault="003E02F6" w:rsidP="00E60349">
      <w:pPr>
        <w:rPr>
          <w:szCs w:val="22"/>
        </w:rPr>
      </w:pPr>
      <w:r w:rsidRPr="00D3133D">
        <w:rPr>
          <w:szCs w:val="22"/>
        </w:rPr>
        <w:t xml:space="preserve">64/0323/15-S </w:t>
      </w:r>
    </w:p>
    <w:p w14:paraId="6123434A" w14:textId="77777777" w:rsidR="004B5955" w:rsidRPr="00D3133D" w:rsidRDefault="004B5955" w:rsidP="00E60349">
      <w:pPr>
        <w:rPr>
          <w:szCs w:val="22"/>
        </w:rPr>
      </w:pPr>
    </w:p>
    <w:p w14:paraId="477A0C73" w14:textId="77777777" w:rsidR="00FC1548" w:rsidRPr="00D3133D" w:rsidRDefault="00FC1548" w:rsidP="00E60349">
      <w:pPr>
        <w:rPr>
          <w:szCs w:val="22"/>
        </w:rPr>
      </w:pPr>
    </w:p>
    <w:p w14:paraId="303C6781" w14:textId="77777777" w:rsidR="00780926" w:rsidRPr="00D3133D" w:rsidRDefault="003E02F6" w:rsidP="00E60349">
      <w:pPr>
        <w:rPr>
          <w:b/>
          <w:szCs w:val="22"/>
        </w:rPr>
      </w:pPr>
      <w:r w:rsidRPr="00D3133D">
        <w:rPr>
          <w:b/>
          <w:szCs w:val="22"/>
        </w:rPr>
        <w:t>9.</w:t>
      </w:r>
      <w:r w:rsidRPr="00D3133D">
        <w:rPr>
          <w:b/>
          <w:szCs w:val="22"/>
        </w:rPr>
        <w:tab/>
        <w:t>DÁTUM PRVEJ REGISTRÁCIE/PREDĹŽENIA REGISTRÁCIE</w:t>
      </w:r>
    </w:p>
    <w:p w14:paraId="185B7D88" w14:textId="77777777" w:rsidR="00780926" w:rsidRPr="00D3133D" w:rsidRDefault="00780926" w:rsidP="00E60349">
      <w:pPr>
        <w:rPr>
          <w:szCs w:val="22"/>
        </w:rPr>
      </w:pPr>
    </w:p>
    <w:p w14:paraId="08EB90B1" w14:textId="5278E3B6" w:rsidR="00752C30" w:rsidRPr="00D3133D" w:rsidRDefault="003E02F6" w:rsidP="00E60349">
      <w:pPr>
        <w:rPr>
          <w:szCs w:val="22"/>
        </w:rPr>
      </w:pPr>
      <w:r w:rsidRPr="00D3133D">
        <w:rPr>
          <w:szCs w:val="22"/>
        </w:rPr>
        <w:t>Dátum prvej registrácie:</w:t>
      </w:r>
      <w:r w:rsidR="007A7038" w:rsidRPr="00D3133D">
        <w:rPr>
          <w:szCs w:val="22"/>
        </w:rPr>
        <w:t xml:space="preserve"> 09. </w:t>
      </w:r>
      <w:r w:rsidR="004B5955">
        <w:rPr>
          <w:szCs w:val="22"/>
        </w:rPr>
        <w:t>a</w:t>
      </w:r>
      <w:r w:rsidR="007A7038" w:rsidRPr="00D3133D">
        <w:rPr>
          <w:szCs w:val="22"/>
        </w:rPr>
        <w:t>ugusta 2015</w:t>
      </w:r>
    </w:p>
    <w:p w14:paraId="27520FE1" w14:textId="77777777" w:rsidR="00780926" w:rsidRPr="00D3133D" w:rsidRDefault="00780926" w:rsidP="00E60349">
      <w:pPr>
        <w:rPr>
          <w:szCs w:val="22"/>
        </w:rPr>
      </w:pPr>
    </w:p>
    <w:p w14:paraId="1237E3E9" w14:textId="77777777" w:rsidR="00780926" w:rsidRPr="00D3133D" w:rsidRDefault="00780926" w:rsidP="00E60349">
      <w:pPr>
        <w:rPr>
          <w:szCs w:val="22"/>
        </w:rPr>
      </w:pPr>
    </w:p>
    <w:p w14:paraId="052F2BD4" w14:textId="77777777" w:rsidR="00780926" w:rsidRPr="00D3133D" w:rsidRDefault="003E02F6" w:rsidP="00E60349">
      <w:pPr>
        <w:rPr>
          <w:b/>
          <w:szCs w:val="22"/>
        </w:rPr>
      </w:pPr>
      <w:r w:rsidRPr="00D3133D">
        <w:rPr>
          <w:b/>
          <w:szCs w:val="22"/>
        </w:rPr>
        <w:t>10.</w:t>
      </w:r>
      <w:r w:rsidRPr="00D3133D">
        <w:rPr>
          <w:b/>
          <w:szCs w:val="22"/>
        </w:rPr>
        <w:tab/>
        <w:t>DÁTUM REVÍZIE TEXTU</w:t>
      </w:r>
    </w:p>
    <w:p w14:paraId="44209AA5" w14:textId="02C4A9D8" w:rsidR="005F0ED1" w:rsidRDefault="005F0ED1" w:rsidP="00E60349">
      <w:pPr>
        <w:rPr>
          <w:szCs w:val="22"/>
        </w:rPr>
      </w:pPr>
    </w:p>
    <w:p w14:paraId="7C78CAA4" w14:textId="1CBD30B0" w:rsidR="00780926" w:rsidRPr="0091013F" w:rsidRDefault="004B5955" w:rsidP="00E60349">
      <w:pPr>
        <w:rPr>
          <w:iCs/>
          <w:szCs w:val="22"/>
        </w:rPr>
      </w:pPr>
      <w:r w:rsidRPr="0091013F">
        <w:rPr>
          <w:szCs w:val="22"/>
        </w:rPr>
        <w:t>06/</w:t>
      </w:r>
      <w:r w:rsidR="00057714" w:rsidRPr="0091013F">
        <w:rPr>
          <w:szCs w:val="22"/>
        </w:rPr>
        <w:t>2019</w:t>
      </w:r>
    </w:p>
    <w:p w14:paraId="4102EED0" w14:textId="77777777" w:rsidR="00780926" w:rsidRPr="0091013F" w:rsidRDefault="00780926" w:rsidP="00E60349">
      <w:pPr>
        <w:rPr>
          <w:szCs w:val="22"/>
        </w:rPr>
      </w:pPr>
    </w:p>
    <w:p w14:paraId="28907782" w14:textId="77777777" w:rsidR="00780926" w:rsidRPr="0091013F" w:rsidRDefault="00780926" w:rsidP="00C27DDF">
      <w:pPr>
        <w:ind w:left="0" w:firstLine="0"/>
        <w:rPr>
          <w:szCs w:val="22"/>
        </w:rPr>
      </w:pPr>
    </w:p>
    <w:sectPr w:rsidR="00780926" w:rsidRPr="0091013F" w:rsidSect="0091013F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C48A6" w14:textId="77777777" w:rsidR="00755F04" w:rsidRDefault="00755F04">
      <w:r>
        <w:separator/>
      </w:r>
    </w:p>
  </w:endnote>
  <w:endnote w:type="continuationSeparator" w:id="0">
    <w:p w14:paraId="5E160E94" w14:textId="77777777" w:rsidR="00755F04" w:rsidRDefault="0075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C42AA" w14:textId="77777777" w:rsidR="00E2409C" w:rsidRPr="0091013F" w:rsidRDefault="001B1500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B13F68">
      <w:rPr>
        <w:rFonts w:ascii="Arial" w:hAnsi="Arial" w:cs="Arial"/>
      </w:rPr>
      <w:fldChar w:fldCharType="begin"/>
    </w:r>
    <w:r w:rsidR="00E2409C"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91013F">
      <w:rPr>
        <w:rStyle w:val="slostrany"/>
        <w:rFonts w:ascii="Times New Roman" w:hAnsi="Times New Roman"/>
        <w:sz w:val="18"/>
        <w:szCs w:val="18"/>
      </w:rPr>
      <w:fldChar w:fldCharType="begin"/>
    </w:r>
    <w:r w:rsidR="00E2409C" w:rsidRPr="0091013F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91013F">
      <w:rPr>
        <w:rStyle w:val="slostrany"/>
        <w:rFonts w:ascii="Times New Roman" w:hAnsi="Times New Roman"/>
        <w:sz w:val="18"/>
        <w:szCs w:val="18"/>
      </w:rPr>
      <w:fldChar w:fldCharType="separate"/>
    </w:r>
    <w:r w:rsidR="0078622F">
      <w:rPr>
        <w:rStyle w:val="slostrany"/>
        <w:rFonts w:ascii="Times New Roman" w:hAnsi="Times New Roman"/>
        <w:noProof/>
        <w:sz w:val="18"/>
        <w:szCs w:val="18"/>
      </w:rPr>
      <w:t>4</w:t>
    </w:r>
    <w:r w:rsidRPr="0091013F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1AC95" w14:textId="77777777" w:rsidR="00E2409C" w:rsidRDefault="001B1500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E2409C"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 w:rsidR="00E2409C"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91013F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7106A3" w14:textId="77777777" w:rsidR="00755F04" w:rsidRDefault="00755F04">
      <w:r>
        <w:separator/>
      </w:r>
    </w:p>
  </w:footnote>
  <w:footnote w:type="continuationSeparator" w:id="0">
    <w:p w14:paraId="5D04839C" w14:textId="77777777" w:rsidR="00755F04" w:rsidRDefault="00755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FC2ED" w14:textId="72ACA43C" w:rsidR="00EE7A4D" w:rsidRPr="0091013F" w:rsidRDefault="0091013F">
    <w:pPr>
      <w:pStyle w:val="Hlavika"/>
      <w:rPr>
        <w:rFonts w:ascii="Times New Roman" w:hAnsi="Times New Roman"/>
      </w:rPr>
    </w:pPr>
    <w:r>
      <w:rPr>
        <w:rFonts w:ascii="Times New Roman" w:hAnsi="Times New Roman"/>
        <w:sz w:val="18"/>
        <w:szCs w:val="18"/>
        <w:lang w:val="sk-SK"/>
      </w:rPr>
      <w:t>Príloha č. 1 k notifikácii o zmene</w:t>
    </w:r>
    <w:r w:rsidRPr="00752C30">
      <w:rPr>
        <w:rFonts w:ascii="Times New Roman" w:hAnsi="Times New Roman"/>
        <w:sz w:val="18"/>
        <w:szCs w:val="18"/>
        <w:lang w:val="sk-SK"/>
      </w:rPr>
      <w:t>, ev. č.:</w:t>
    </w:r>
    <w:r>
      <w:rPr>
        <w:rFonts w:ascii="Times New Roman" w:hAnsi="Times New Roman"/>
        <w:sz w:val="18"/>
        <w:szCs w:val="18"/>
        <w:lang w:val="sk-SK"/>
      </w:rPr>
      <w:t xml:space="preserve"> </w:t>
    </w:r>
    <w:r w:rsidRPr="005E69CE">
      <w:rPr>
        <w:rFonts w:ascii="Times New Roman" w:hAnsi="Times New Roman"/>
        <w:sz w:val="18"/>
        <w:szCs w:val="18"/>
        <w:lang w:val="sk-SK"/>
      </w:rPr>
      <w:t>2019/</w:t>
    </w:r>
    <w:proofErr w:type="spellStart"/>
    <w:r w:rsidRPr="005E69CE">
      <w:rPr>
        <w:rFonts w:ascii="Times New Roman" w:hAnsi="Times New Roman"/>
        <w:sz w:val="18"/>
        <w:szCs w:val="18"/>
        <w:lang w:val="sk-SK"/>
      </w:rPr>
      <w:t>02107</w:t>
    </w:r>
    <w:r>
      <w:rPr>
        <w:rFonts w:ascii="Times New Roman" w:hAnsi="Times New Roman"/>
        <w:sz w:val="18"/>
        <w:szCs w:val="18"/>
        <w:lang w:val="sk-SK"/>
      </w:rPr>
      <w:t>-ZIB</w:t>
    </w:r>
    <w:proofErr w:type="spellEnd"/>
    <w:r w:rsidRPr="005E69CE" w:rsidDel="00DA179B">
      <w:rPr>
        <w:rFonts w:ascii="Times New Roman" w:hAnsi="Times New Roman"/>
        <w:sz w:val="18"/>
        <w:szCs w:val="18"/>
        <w:lang w:val="sk-SK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F29C6" w14:textId="21CC7B10" w:rsidR="006146DB" w:rsidRPr="00752C30" w:rsidRDefault="003C3874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 1 k notifikácii o zmene</w:t>
    </w:r>
    <w:r w:rsidRPr="00752C30">
      <w:rPr>
        <w:rFonts w:ascii="Times New Roman" w:hAnsi="Times New Roman"/>
        <w:sz w:val="18"/>
        <w:szCs w:val="18"/>
        <w:lang w:val="sk-SK"/>
      </w:rPr>
      <w:t>, ev. č.:</w:t>
    </w:r>
    <w:r>
      <w:rPr>
        <w:rFonts w:ascii="Times New Roman" w:hAnsi="Times New Roman"/>
        <w:sz w:val="18"/>
        <w:szCs w:val="18"/>
        <w:lang w:val="sk-SK"/>
      </w:rPr>
      <w:t xml:space="preserve"> </w:t>
    </w:r>
    <w:r w:rsidR="005E69CE" w:rsidRPr="005E69CE">
      <w:rPr>
        <w:rFonts w:ascii="Times New Roman" w:hAnsi="Times New Roman"/>
        <w:sz w:val="18"/>
        <w:szCs w:val="18"/>
        <w:lang w:val="sk-SK"/>
      </w:rPr>
      <w:t>2019/</w:t>
    </w:r>
    <w:proofErr w:type="spellStart"/>
    <w:r w:rsidR="005E69CE" w:rsidRPr="005E69CE">
      <w:rPr>
        <w:rFonts w:ascii="Times New Roman" w:hAnsi="Times New Roman"/>
        <w:sz w:val="18"/>
        <w:szCs w:val="18"/>
        <w:lang w:val="sk-SK"/>
      </w:rPr>
      <w:t>02107</w:t>
    </w:r>
    <w:r w:rsidR="00ED734A">
      <w:rPr>
        <w:rFonts w:ascii="Times New Roman" w:hAnsi="Times New Roman"/>
        <w:sz w:val="18"/>
        <w:szCs w:val="18"/>
        <w:lang w:val="sk-SK"/>
      </w:rPr>
      <w:t>-ZIB</w:t>
    </w:r>
    <w:proofErr w:type="spellEnd"/>
    <w:r w:rsidR="005E69CE" w:rsidRPr="005E69CE" w:rsidDel="00DA179B">
      <w:rPr>
        <w:rFonts w:ascii="Times New Roman" w:hAnsi="Times New Roman"/>
        <w:sz w:val="18"/>
        <w:szCs w:val="18"/>
        <w:lang w:val="sk-SK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E60094"/>
    <w:multiLevelType w:val="hybridMultilevel"/>
    <w:tmpl w:val="C71635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5511D"/>
    <w:multiLevelType w:val="hybridMultilevel"/>
    <w:tmpl w:val="2F74CC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40150E"/>
    <w:multiLevelType w:val="hybridMultilevel"/>
    <w:tmpl w:val="D3504A78"/>
    <w:lvl w:ilvl="0" w:tplc="F4725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>
    <w:nsid w:val="20ED6E98"/>
    <w:multiLevelType w:val="hybridMultilevel"/>
    <w:tmpl w:val="E69EE064"/>
    <w:lvl w:ilvl="0" w:tplc="3048A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14BD8"/>
    <w:multiLevelType w:val="hybridMultilevel"/>
    <w:tmpl w:val="E3DE8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53D30934"/>
    <w:multiLevelType w:val="hybridMultilevel"/>
    <w:tmpl w:val="630A089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3">
    <w:nsid w:val="68B06E07"/>
    <w:multiLevelType w:val="hybridMultilevel"/>
    <w:tmpl w:val="B022A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6">
    <w:nsid w:val="6D1874AA"/>
    <w:multiLevelType w:val="hybridMultilevel"/>
    <w:tmpl w:val="C9E036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7"/>
  </w:num>
  <w:num w:numId="4">
    <w:abstractNumId w:val="15"/>
  </w:num>
  <w:num w:numId="5">
    <w:abstractNumId w:val="8"/>
  </w:num>
  <w:num w:numId="6">
    <w:abstractNumId w:val="11"/>
  </w:num>
  <w:num w:numId="7">
    <w:abstractNumId w:val="9"/>
  </w:num>
  <w:num w:numId="8">
    <w:abstractNumId w:val="5"/>
  </w:num>
  <w:num w:numId="9">
    <w:abstractNumId w:val="12"/>
  </w:num>
  <w:num w:numId="10">
    <w:abstractNumId w:val="14"/>
  </w:num>
  <w:num w:numId="11">
    <w:abstractNumId w:val="3"/>
  </w:num>
  <w:num w:numId="12">
    <w:abstractNumId w:val="1"/>
  </w:num>
  <w:num w:numId="13">
    <w:abstractNumId w:val="6"/>
  </w:num>
  <w:num w:numId="14">
    <w:abstractNumId w:val="4"/>
  </w:num>
  <w:num w:numId="15">
    <w:abstractNumId w:val="2"/>
  </w:num>
  <w:num w:numId="16">
    <w:abstractNumId w:val="7"/>
  </w:num>
  <w:num w:numId="17">
    <w:abstractNumId w:val="13"/>
  </w:num>
  <w:num w:numId="18">
    <w:abstractNumId w:val="16"/>
  </w:num>
  <w:num w:numId="1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rtnerin s.r.o.">
    <w15:presenceInfo w15:providerId="None" w15:userId="partnerin s.r.o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780926"/>
    <w:rsid w:val="00014749"/>
    <w:rsid w:val="0001627B"/>
    <w:rsid w:val="0002787A"/>
    <w:rsid w:val="00036B4F"/>
    <w:rsid w:val="000405C7"/>
    <w:rsid w:val="00042572"/>
    <w:rsid w:val="00042887"/>
    <w:rsid w:val="00047DCA"/>
    <w:rsid w:val="00056045"/>
    <w:rsid w:val="00057714"/>
    <w:rsid w:val="00061445"/>
    <w:rsid w:val="00063DDA"/>
    <w:rsid w:val="00071F4B"/>
    <w:rsid w:val="00077CF6"/>
    <w:rsid w:val="00087171"/>
    <w:rsid w:val="00090230"/>
    <w:rsid w:val="00096CAA"/>
    <w:rsid w:val="000A16C4"/>
    <w:rsid w:val="000B13AD"/>
    <w:rsid w:val="000B1F7A"/>
    <w:rsid w:val="000B6759"/>
    <w:rsid w:val="000D3B1B"/>
    <w:rsid w:val="000E3D7D"/>
    <w:rsid w:val="000E7685"/>
    <w:rsid w:val="001007F7"/>
    <w:rsid w:val="001114AF"/>
    <w:rsid w:val="00121D89"/>
    <w:rsid w:val="00130E1A"/>
    <w:rsid w:val="001334A2"/>
    <w:rsid w:val="00141412"/>
    <w:rsid w:val="0015367B"/>
    <w:rsid w:val="0016133D"/>
    <w:rsid w:val="00177A4A"/>
    <w:rsid w:val="00184EB2"/>
    <w:rsid w:val="00185CB1"/>
    <w:rsid w:val="00187ECC"/>
    <w:rsid w:val="001967D9"/>
    <w:rsid w:val="001A3218"/>
    <w:rsid w:val="001B08B2"/>
    <w:rsid w:val="001B1500"/>
    <w:rsid w:val="001B5D64"/>
    <w:rsid w:val="001B73FD"/>
    <w:rsid w:val="001C1451"/>
    <w:rsid w:val="001C1B99"/>
    <w:rsid w:val="001C463D"/>
    <w:rsid w:val="001C5F11"/>
    <w:rsid w:val="001C643F"/>
    <w:rsid w:val="001D1B4B"/>
    <w:rsid w:val="001D4230"/>
    <w:rsid w:val="002003FB"/>
    <w:rsid w:val="00205FC2"/>
    <w:rsid w:val="00207C94"/>
    <w:rsid w:val="00220A3F"/>
    <w:rsid w:val="00221141"/>
    <w:rsid w:val="002227EB"/>
    <w:rsid w:val="0022527A"/>
    <w:rsid w:val="0023495C"/>
    <w:rsid w:val="002420D2"/>
    <w:rsid w:val="0025422C"/>
    <w:rsid w:val="0025696C"/>
    <w:rsid w:val="00270B82"/>
    <w:rsid w:val="00281C02"/>
    <w:rsid w:val="00282559"/>
    <w:rsid w:val="002A24BE"/>
    <w:rsid w:val="002A46DA"/>
    <w:rsid w:val="002B05AA"/>
    <w:rsid w:val="002B7838"/>
    <w:rsid w:val="002C428B"/>
    <w:rsid w:val="002C5553"/>
    <w:rsid w:val="002D0815"/>
    <w:rsid w:val="002E159C"/>
    <w:rsid w:val="002E4F07"/>
    <w:rsid w:val="002F39CA"/>
    <w:rsid w:val="003021DE"/>
    <w:rsid w:val="00302F2A"/>
    <w:rsid w:val="00306120"/>
    <w:rsid w:val="0031186C"/>
    <w:rsid w:val="00332DC3"/>
    <w:rsid w:val="00344B44"/>
    <w:rsid w:val="00355F02"/>
    <w:rsid w:val="00357A66"/>
    <w:rsid w:val="00366AB4"/>
    <w:rsid w:val="00374CAD"/>
    <w:rsid w:val="00382713"/>
    <w:rsid w:val="00382C2A"/>
    <w:rsid w:val="003A6AE8"/>
    <w:rsid w:val="003A706F"/>
    <w:rsid w:val="003B51B6"/>
    <w:rsid w:val="003C383B"/>
    <w:rsid w:val="003C3874"/>
    <w:rsid w:val="003E02F6"/>
    <w:rsid w:val="003F2753"/>
    <w:rsid w:val="0041172C"/>
    <w:rsid w:val="004210D4"/>
    <w:rsid w:val="0042356B"/>
    <w:rsid w:val="00457BB5"/>
    <w:rsid w:val="004605F8"/>
    <w:rsid w:val="00480C90"/>
    <w:rsid w:val="00486C3D"/>
    <w:rsid w:val="00494478"/>
    <w:rsid w:val="00494D3B"/>
    <w:rsid w:val="004B5955"/>
    <w:rsid w:val="004C0111"/>
    <w:rsid w:val="004C1D92"/>
    <w:rsid w:val="004D457B"/>
    <w:rsid w:val="00501BDA"/>
    <w:rsid w:val="005042D9"/>
    <w:rsid w:val="00510CCB"/>
    <w:rsid w:val="00520FC9"/>
    <w:rsid w:val="00537894"/>
    <w:rsid w:val="005529E6"/>
    <w:rsid w:val="005571D0"/>
    <w:rsid w:val="00560037"/>
    <w:rsid w:val="0057639B"/>
    <w:rsid w:val="00580DF6"/>
    <w:rsid w:val="005C01F5"/>
    <w:rsid w:val="005C7610"/>
    <w:rsid w:val="005D2BD2"/>
    <w:rsid w:val="005D40CF"/>
    <w:rsid w:val="005D4C15"/>
    <w:rsid w:val="005E4F97"/>
    <w:rsid w:val="005E69CE"/>
    <w:rsid w:val="005F0ED1"/>
    <w:rsid w:val="0061306B"/>
    <w:rsid w:val="006146DB"/>
    <w:rsid w:val="00616E7A"/>
    <w:rsid w:val="006176E4"/>
    <w:rsid w:val="00626759"/>
    <w:rsid w:val="00635C39"/>
    <w:rsid w:val="00644F05"/>
    <w:rsid w:val="00650EBD"/>
    <w:rsid w:val="00664192"/>
    <w:rsid w:val="00671E24"/>
    <w:rsid w:val="00693217"/>
    <w:rsid w:val="006A0574"/>
    <w:rsid w:val="006A513D"/>
    <w:rsid w:val="006A68C6"/>
    <w:rsid w:val="006B1053"/>
    <w:rsid w:val="006B7317"/>
    <w:rsid w:val="006C3768"/>
    <w:rsid w:val="006D3D01"/>
    <w:rsid w:val="006E10BB"/>
    <w:rsid w:val="006E41C1"/>
    <w:rsid w:val="006E6045"/>
    <w:rsid w:val="006F179B"/>
    <w:rsid w:val="007060EC"/>
    <w:rsid w:val="00712225"/>
    <w:rsid w:val="00724E11"/>
    <w:rsid w:val="0073167B"/>
    <w:rsid w:val="00732648"/>
    <w:rsid w:val="00734C0D"/>
    <w:rsid w:val="00735A7B"/>
    <w:rsid w:val="0074580E"/>
    <w:rsid w:val="00752C30"/>
    <w:rsid w:val="00752FD9"/>
    <w:rsid w:val="00755F04"/>
    <w:rsid w:val="00777035"/>
    <w:rsid w:val="00780926"/>
    <w:rsid w:val="007824C5"/>
    <w:rsid w:val="00783152"/>
    <w:rsid w:val="0078622F"/>
    <w:rsid w:val="00791189"/>
    <w:rsid w:val="007A2370"/>
    <w:rsid w:val="007A4C2E"/>
    <w:rsid w:val="007A7038"/>
    <w:rsid w:val="007D7BEF"/>
    <w:rsid w:val="007E0D0D"/>
    <w:rsid w:val="007E1F8F"/>
    <w:rsid w:val="007E5956"/>
    <w:rsid w:val="007E6A75"/>
    <w:rsid w:val="00803841"/>
    <w:rsid w:val="00817D0C"/>
    <w:rsid w:val="00844A2C"/>
    <w:rsid w:val="0085357F"/>
    <w:rsid w:val="00856F9A"/>
    <w:rsid w:val="0086399B"/>
    <w:rsid w:val="00873520"/>
    <w:rsid w:val="00884908"/>
    <w:rsid w:val="00884AB9"/>
    <w:rsid w:val="008873CC"/>
    <w:rsid w:val="008C1B51"/>
    <w:rsid w:val="008C74D1"/>
    <w:rsid w:val="008E4CFA"/>
    <w:rsid w:val="0090141D"/>
    <w:rsid w:val="009058FE"/>
    <w:rsid w:val="0091013F"/>
    <w:rsid w:val="0091185E"/>
    <w:rsid w:val="0093424C"/>
    <w:rsid w:val="00937F10"/>
    <w:rsid w:val="0094383E"/>
    <w:rsid w:val="009464EE"/>
    <w:rsid w:val="0095258D"/>
    <w:rsid w:val="009840C7"/>
    <w:rsid w:val="00990742"/>
    <w:rsid w:val="009B423F"/>
    <w:rsid w:val="009C2009"/>
    <w:rsid w:val="009C3D00"/>
    <w:rsid w:val="009C5E1E"/>
    <w:rsid w:val="009D2811"/>
    <w:rsid w:val="009D773C"/>
    <w:rsid w:val="009E64E0"/>
    <w:rsid w:val="009F7BA8"/>
    <w:rsid w:val="00A0053E"/>
    <w:rsid w:val="00A10438"/>
    <w:rsid w:val="00A13D65"/>
    <w:rsid w:val="00A2214C"/>
    <w:rsid w:val="00A2444C"/>
    <w:rsid w:val="00A31A9C"/>
    <w:rsid w:val="00A37C43"/>
    <w:rsid w:val="00A43F3E"/>
    <w:rsid w:val="00A737B8"/>
    <w:rsid w:val="00A75ECC"/>
    <w:rsid w:val="00A80F9E"/>
    <w:rsid w:val="00A824EB"/>
    <w:rsid w:val="00A833E5"/>
    <w:rsid w:val="00A85CCE"/>
    <w:rsid w:val="00AA01E0"/>
    <w:rsid w:val="00AA2395"/>
    <w:rsid w:val="00AB3E36"/>
    <w:rsid w:val="00AD2534"/>
    <w:rsid w:val="00AE4D65"/>
    <w:rsid w:val="00B04CE0"/>
    <w:rsid w:val="00B06E24"/>
    <w:rsid w:val="00B07509"/>
    <w:rsid w:val="00B07EB7"/>
    <w:rsid w:val="00B1281C"/>
    <w:rsid w:val="00B13F68"/>
    <w:rsid w:val="00B219B5"/>
    <w:rsid w:val="00B323B9"/>
    <w:rsid w:val="00B36EA3"/>
    <w:rsid w:val="00B464C1"/>
    <w:rsid w:val="00B54CB0"/>
    <w:rsid w:val="00B63F9B"/>
    <w:rsid w:val="00B81490"/>
    <w:rsid w:val="00B95A19"/>
    <w:rsid w:val="00BC798A"/>
    <w:rsid w:val="00BD1AC2"/>
    <w:rsid w:val="00BD2AB7"/>
    <w:rsid w:val="00BE24F8"/>
    <w:rsid w:val="00BE3E86"/>
    <w:rsid w:val="00BF0071"/>
    <w:rsid w:val="00BF6308"/>
    <w:rsid w:val="00C057C2"/>
    <w:rsid w:val="00C26F80"/>
    <w:rsid w:val="00C27DDF"/>
    <w:rsid w:val="00C3762E"/>
    <w:rsid w:val="00C43CAF"/>
    <w:rsid w:val="00C45F39"/>
    <w:rsid w:val="00C55DBB"/>
    <w:rsid w:val="00C631B1"/>
    <w:rsid w:val="00C81060"/>
    <w:rsid w:val="00C82AA0"/>
    <w:rsid w:val="00C85B40"/>
    <w:rsid w:val="00C90088"/>
    <w:rsid w:val="00CA34F6"/>
    <w:rsid w:val="00CA73A3"/>
    <w:rsid w:val="00CB25B2"/>
    <w:rsid w:val="00CC644C"/>
    <w:rsid w:val="00CD175A"/>
    <w:rsid w:val="00CE110B"/>
    <w:rsid w:val="00CF0244"/>
    <w:rsid w:val="00CF0342"/>
    <w:rsid w:val="00CF76C2"/>
    <w:rsid w:val="00D000E2"/>
    <w:rsid w:val="00D06B2B"/>
    <w:rsid w:val="00D15C7A"/>
    <w:rsid w:val="00D3133D"/>
    <w:rsid w:val="00D326E1"/>
    <w:rsid w:val="00D33F2E"/>
    <w:rsid w:val="00D34EFD"/>
    <w:rsid w:val="00D41211"/>
    <w:rsid w:val="00D473E2"/>
    <w:rsid w:val="00D513D2"/>
    <w:rsid w:val="00D52196"/>
    <w:rsid w:val="00D61D52"/>
    <w:rsid w:val="00D67BED"/>
    <w:rsid w:val="00D67CF2"/>
    <w:rsid w:val="00D67E67"/>
    <w:rsid w:val="00D71CEA"/>
    <w:rsid w:val="00D90651"/>
    <w:rsid w:val="00D92F55"/>
    <w:rsid w:val="00D93D13"/>
    <w:rsid w:val="00D96D7D"/>
    <w:rsid w:val="00D96F2E"/>
    <w:rsid w:val="00DA179B"/>
    <w:rsid w:val="00DA4090"/>
    <w:rsid w:val="00DA63C9"/>
    <w:rsid w:val="00DC1803"/>
    <w:rsid w:val="00DD452B"/>
    <w:rsid w:val="00DE3424"/>
    <w:rsid w:val="00DF33CE"/>
    <w:rsid w:val="00DF4A09"/>
    <w:rsid w:val="00E13A3E"/>
    <w:rsid w:val="00E1698A"/>
    <w:rsid w:val="00E16ADE"/>
    <w:rsid w:val="00E20CC4"/>
    <w:rsid w:val="00E23A3A"/>
    <w:rsid w:val="00E2409C"/>
    <w:rsid w:val="00E41B3F"/>
    <w:rsid w:val="00E53CD7"/>
    <w:rsid w:val="00E60349"/>
    <w:rsid w:val="00E877C8"/>
    <w:rsid w:val="00EA405A"/>
    <w:rsid w:val="00EA4E52"/>
    <w:rsid w:val="00EB51B6"/>
    <w:rsid w:val="00EC2CE9"/>
    <w:rsid w:val="00EC6C19"/>
    <w:rsid w:val="00ED734A"/>
    <w:rsid w:val="00EE1F4B"/>
    <w:rsid w:val="00EE4B2B"/>
    <w:rsid w:val="00EE7A4D"/>
    <w:rsid w:val="00EF1AA8"/>
    <w:rsid w:val="00EF4B96"/>
    <w:rsid w:val="00F00D87"/>
    <w:rsid w:val="00F02F60"/>
    <w:rsid w:val="00F06F4D"/>
    <w:rsid w:val="00F07529"/>
    <w:rsid w:val="00F11AE3"/>
    <w:rsid w:val="00F12A39"/>
    <w:rsid w:val="00F145AE"/>
    <w:rsid w:val="00F30177"/>
    <w:rsid w:val="00F321CD"/>
    <w:rsid w:val="00F43819"/>
    <w:rsid w:val="00F44613"/>
    <w:rsid w:val="00F500E3"/>
    <w:rsid w:val="00F54EF0"/>
    <w:rsid w:val="00F55076"/>
    <w:rsid w:val="00F60D3A"/>
    <w:rsid w:val="00F63DAD"/>
    <w:rsid w:val="00F65AE0"/>
    <w:rsid w:val="00F73CA6"/>
    <w:rsid w:val="00F81142"/>
    <w:rsid w:val="00F8384D"/>
    <w:rsid w:val="00F85EAC"/>
    <w:rsid w:val="00F8614B"/>
    <w:rsid w:val="00FA052A"/>
    <w:rsid w:val="00FA750A"/>
    <w:rsid w:val="00FB533E"/>
    <w:rsid w:val="00FC1548"/>
    <w:rsid w:val="00FC4F34"/>
    <w:rsid w:val="00FC6918"/>
    <w:rsid w:val="00FD36B7"/>
    <w:rsid w:val="00FE7CB0"/>
    <w:rsid w:val="00FF0FD6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8A0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AE8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3A6AE8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3A6AE8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3A6AE8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3A6AE8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3A6AE8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3A6AE8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3A6AE8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3A6AE8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3A6AE8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3A6AE8"/>
  </w:style>
  <w:style w:type="paragraph" w:styleId="Pta">
    <w:name w:val="footer"/>
    <w:basedOn w:val="Normlny"/>
    <w:rsid w:val="003A6AE8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rsid w:val="003A6AE8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3A6AE8"/>
    <w:rPr>
      <w:color w:val="0000FF"/>
      <w:u w:val="single"/>
    </w:rPr>
  </w:style>
  <w:style w:type="paragraph" w:customStyle="1" w:styleId="EMEAEnBodyText">
    <w:name w:val="EMEA En Body Text"/>
    <w:basedOn w:val="Normlny"/>
    <w:rsid w:val="003A6AE8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3A6AE8"/>
    <w:pPr>
      <w:ind w:left="0" w:firstLine="0"/>
    </w:pPr>
  </w:style>
  <w:style w:type="paragraph" w:styleId="Textbubliny">
    <w:name w:val="Balloon Text"/>
    <w:basedOn w:val="Normlny"/>
    <w:semiHidden/>
    <w:rsid w:val="003A6AE8"/>
    <w:rPr>
      <w:rFonts w:ascii="Tahoma" w:hAnsi="Tahoma" w:cs="Tahoma"/>
      <w:sz w:val="16"/>
      <w:szCs w:val="16"/>
    </w:rPr>
  </w:style>
  <w:style w:type="character" w:styleId="PouitHypertextovPrepojenie">
    <w:name w:val="FollowedHyperlink"/>
    <w:rsid w:val="003A6AE8"/>
    <w:rPr>
      <w:color w:val="800080"/>
      <w:u w:val="single"/>
    </w:rPr>
  </w:style>
  <w:style w:type="character" w:styleId="Odkaznakomentr">
    <w:name w:val="annotation reference"/>
    <w:semiHidden/>
    <w:rsid w:val="003A6AE8"/>
    <w:rPr>
      <w:sz w:val="16"/>
      <w:szCs w:val="16"/>
    </w:rPr>
  </w:style>
  <w:style w:type="paragraph" w:styleId="Textkomentra">
    <w:name w:val="annotation text"/>
    <w:basedOn w:val="Normlny"/>
    <w:semiHidden/>
    <w:rsid w:val="003A6AE8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3A6AE8"/>
    <w:rPr>
      <w:b/>
      <w:bCs/>
    </w:rPr>
  </w:style>
  <w:style w:type="paragraph" w:customStyle="1" w:styleId="Default">
    <w:name w:val="Default"/>
    <w:rsid w:val="00752C30"/>
    <w:pPr>
      <w:autoSpaceDE w:val="0"/>
      <w:autoSpaceDN w:val="0"/>
      <w:adjustRightInd w:val="0"/>
    </w:pPr>
    <w:rPr>
      <w:lang w:val="en-US" w:eastAsia="en-US"/>
    </w:rPr>
  </w:style>
  <w:style w:type="paragraph" w:customStyle="1" w:styleId="TableHeadings10pt">
    <w:name w:val="Table Headings 10pt"/>
    <w:basedOn w:val="Normlny"/>
    <w:rsid w:val="00752C30"/>
    <w:pPr>
      <w:keepNext/>
      <w:spacing w:before="40" w:after="40"/>
      <w:ind w:left="0" w:firstLine="0"/>
      <w:jc w:val="center"/>
    </w:pPr>
    <w:rPr>
      <w:rFonts w:eastAsia="Calibri"/>
      <w:b/>
      <w:bCs/>
      <w:sz w:val="20"/>
      <w:szCs w:val="20"/>
      <w:lang w:val="fr-FR" w:eastAsia="fr-FR"/>
    </w:rPr>
  </w:style>
  <w:style w:type="paragraph" w:styleId="Normlnywebov">
    <w:name w:val="Normal (Web)"/>
    <w:basedOn w:val="Normlny"/>
    <w:uiPriority w:val="99"/>
    <w:unhideWhenUsed/>
    <w:rsid w:val="00752C30"/>
    <w:pPr>
      <w:spacing w:before="100" w:beforeAutospacing="1" w:after="100" w:afterAutospacing="1"/>
      <w:ind w:left="0" w:firstLine="0"/>
    </w:pPr>
    <w:rPr>
      <w:sz w:val="24"/>
      <w:lang w:val="fr-FR" w:eastAsia="fr-FR"/>
    </w:rPr>
  </w:style>
  <w:style w:type="paragraph" w:styleId="Odsekzoznamu">
    <w:name w:val="List Paragraph"/>
    <w:basedOn w:val="Normlny"/>
    <w:uiPriority w:val="34"/>
    <w:qFormat/>
    <w:rsid w:val="00752C30"/>
    <w:pPr>
      <w:tabs>
        <w:tab w:val="left" w:pos="567"/>
      </w:tabs>
      <w:spacing w:line="260" w:lineRule="exact"/>
      <w:ind w:left="708" w:firstLine="0"/>
    </w:pPr>
    <w:rPr>
      <w:szCs w:val="20"/>
      <w:lang w:val="en-GB" w:eastAsia="en-US"/>
    </w:rPr>
  </w:style>
  <w:style w:type="paragraph" w:styleId="Bezriadkovania">
    <w:name w:val="No Spacing"/>
    <w:uiPriority w:val="1"/>
    <w:qFormat/>
    <w:rsid w:val="00752C30"/>
    <w:pPr>
      <w:ind w:left="567" w:hanging="567"/>
    </w:pPr>
    <w:rPr>
      <w:sz w:val="22"/>
      <w:szCs w:val="24"/>
    </w:rPr>
  </w:style>
  <w:style w:type="character" w:customStyle="1" w:styleId="HlavikaChar">
    <w:name w:val="Hlavička Char"/>
    <w:link w:val="Hlavika"/>
    <w:rsid w:val="006146DB"/>
    <w:rPr>
      <w:rFonts w:ascii="Helvetica" w:hAnsi="Helvetica"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AE8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3A6AE8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3A6AE8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3A6AE8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3A6AE8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3A6AE8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3A6AE8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3A6AE8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3A6AE8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3A6AE8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3A6AE8"/>
  </w:style>
  <w:style w:type="paragraph" w:styleId="Pta">
    <w:name w:val="footer"/>
    <w:basedOn w:val="Normlny"/>
    <w:rsid w:val="003A6AE8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rsid w:val="003A6AE8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3A6AE8"/>
    <w:rPr>
      <w:color w:val="0000FF"/>
      <w:u w:val="single"/>
    </w:rPr>
  </w:style>
  <w:style w:type="paragraph" w:customStyle="1" w:styleId="EMEAEnBodyText">
    <w:name w:val="EMEA En Body Text"/>
    <w:basedOn w:val="Normlny"/>
    <w:rsid w:val="003A6AE8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3A6AE8"/>
    <w:pPr>
      <w:ind w:left="0" w:firstLine="0"/>
    </w:pPr>
  </w:style>
  <w:style w:type="paragraph" w:styleId="Textbubliny">
    <w:name w:val="Balloon Text"/>
    <w:basedOn w:val="Normlny"/>
    <w:semiHidden/>
    <w:rsid w:val="003A6AE8"/>
    <w:rPr>
      <w:rFonts w:ascii="Tahoma" w:hAnsi="Tahoma" w:cs="Tahoma"/>
      <w:sz w:val="16"/>
      <w:szCs w:val="16"/>
    </w:rPr>
  </w:style>
  <w:style w:type="character" w:styleId="PouitHypertextovPrepojenie">
    <w:name w:val="FollowedHyperlink"/>
    <w:rsid w:val="003A6AE8"/>
    <w:rPr>
      <w:color w:val="800080"/>
      <w:u w:val="single"/>
    </w:rPr>
  </w:style>
  <w:style w:type="character" w:styleId="Odkaznakomentr">
    <w:name w:val="annotation reference"/>
    <w:semiHidden/>
    <w:rsid w:val="003A6AE8"/>
    <w:rPr>
      <w:sz w:val="16"/>
      <w:szCs w:val="16"/>
    </w:rPr>
  </w:style>
  <w:style w:type="paragraph" w:styleId="Textkomentra">
    <w:name w:val="annotation text"/>
    <w:basedOn w:val="Normlny"/>
    <w:semiHidden/>
    <w:rsid w:val="003A6AE8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3A6AE8"/>
    <w:rPr>
      <w:b/>
      <w:bCs/>
    </w:rPr>
  </w:style>
  <w:style w:type="paragraph" w:customStyle="1" w:styleId="Default">
    <w:name w:val="Default"/>
    <w:rsid w:val="00752C30"/>
    <w:pPr>
      <w:autoSpaceDE w:val="0"/>
      <w:autoSpaceDN w:val="0"/>
      <w:adjustRightInd w:val="0"/>
    </w:pPr>
    <w:rPr>
      <w:lang w:val="en-US" w:eastAsia="en-US"/>
    </w:rPr>
  </w:style>
  <w:style w:type="paragraph" w:customStyle="1" w:styleId="TableHeadings10pt">
    <w:name w:val="Table Headings 10pt"/>
    <w:basedOn w:val="Normlny"/>
    <w:rsid w:val="00752C30"/>
    <w:pPr>
      <w:keepNext/>
      <w:spacing w:before="40" w:after="40"/>
      <w:ind w:left="0" w:firstLine="0"/>
      <w:jc w:val="center"/>
    </w:pPr>
    <w:rPr>
      <w:rFonts w:eastAsia="Calibri"/>
      <w:b/>
      <w:bCs/>
      <w:sz w:val="20"/>
      <w:szCs w:val="20"/>
      <w:lang w:val="fr-FR" w:eastAsia="fr-FR"/>
    </w:rPr>
  </w:style>
  <w:style w:type="paragraph" w:styleId="Normlnywebov">
    <w:name w:val="Normal (Web)"/>
    <w:basedOn w:val="Normlny"/>
    <w:uiPriority w:val="99"/>
    <w:unhideWhenUsed/>
    <w:rsid w:val="00752C30"/>
    <w:pPr>
      <w:spacing w:before="100" w:beforeAutospacing="1" w:after="100" w:afterAutospacing="1"/>
      <w:ind w:left="0" w:firstLine="0"/>
    </w:pPr>
    <w:rPr>
      <w:sz w:val="24"/>
      <w:lang w:val="fr-FR" w:eastAsia="fr-FR"/>
    </w:rPr>
  </w:style>
  <w:style w:type="paragraph" w:styleId="Odsekzoznamu">
    <w:name w:val="List Paragraph"/>
    <w:basedOn w:val="Normlny"/>
    <w:uiPriority w:val="34"/>
    <w:qFormat/>
    <w:rsid w:val="00752C30"/>
    <w:pPr>
      <w:tabs>
        <w:tab w:val="left" w:pos="567"/>
      </w:tabs>
      <w:spacing w:line="260" w:lineRule="exact"/>
      <w:ind w:left="708" w:firstLine="0"/>
    </w:pPr>
    <w:rPr>
      <w:szCs w:val="20"/>
      <w:lang w:val="en-GB" w:eastAsia="en-US"/>
    </w:rPr>
  </w:style>
  <w:style w:type="paragraph" w:styleId="Bezriadkovania">
    <w:name w:val="No Spacing"/>
    <w:uiPriority w:val="1"/>
    <w:qFormat/>
    <w:rsid w:val="00752C30"/>
    <w:pPr>
      <w:ind w:left="567" w:hanging="567"/>
    </w:pPr>
    <w:rPr>
      <w:sz w:val="22"/>
      <w:szCs w:val="24"/>
    </w:rPr>
  </w:style>
  <w:style w:type="character" w:customStyle="1" w:styleId="HlavikaChar">
    <w:name w:val="Hlavička Char"/>
    <w:link w:val="Hlavika"/>
    <w:rsid w:val="006146DB"/>
    <w:rPr>
      <w:rFonts w:ascii="Helvetica" w:hAnsi="Helvetica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FB696-444F-4722-9DDC-C0075EAC2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3149</Words>
  <Characters>19630</Characters>
  <Application>Microsoft Office Word</Application>
  <DocSecurity>4</DocSecurity>
  <Lines>163</Lines>
  <Paragraphs>45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Hreferralspccleansk</vt:lpstr>
      <vt:lpstr>Hreferralspccleansk</vt:lpstr>
      <vt:lpstr>Hreferralspccleansk</vt:lpstr>
    </vt:vector>
  </TitlesOfParts>
  <Company>EMEA</Company>
  <LinksUpToDate>false</LinksUpToDate>
  <CharactersWithSpaces>22734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partnerin s.r.o.</dc:creator>
  <cp:lastModifiedBy>Natalia </cp:lastModifiedBy>
  <cp:revision>2</cp:revision>
  <cp:lastPrinted>2018-05-14T06:33:00Z</cp:lastPrinted>
  <dcterms:created xsi:type="dcterms:W3CDTF">2019-06-26T08:35:00Z</dcterms:created>
  <dcterms:modified xsi:type="dcterms:W3CDTF">2019-06-26T08:35:00Z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04/04/2013 17:03:42</vt:lpwstr>
  </property>
  <property fmtid="{D5CDD505-2E9C-101B-9397-08002B2CF9AE}" pid="33" name="DM_Modify_Date">
    <vt:lpwstr>04/04/2013 17:03:43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EMA/213950/2013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templates/05 H Referral template v 3.0 (Phvig)/03 Final templates for publication/Clean templates</vt:lpwstr>
  </property>
  <property fmtid="{D5CDD505-2E9C-101B-9397-08002B2CF9AE}" pid="40" name="DM_emea_doc_ref_id">
    <vt:lpwstr>EMA/213950/2013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17:03:43</vt:lpwstr>
  </property>
</Properties>
</file>