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A8" w:rsidRPr="00754142" w:rsidRDefault="00896DA8" w:rsidP="00754142">
      <w:pPr>
        <w:pStyle w:val="Nzov"/>
        <w:jc w:val="left"/>
        <w:rPr>
          <w:color w:val="000000"/>
          <w:sz w:val="22"/>
          <w:szCs w:val="22"/>
        </w:rPr>
      </w:pPr>
      <w:bookmarkStart w:id="0" w:name="_GoBack"/>
      <w:bookmarkEnd w:id="0"/>
    </w:p>
    <w:p w:rsidR="00896DA8" w:rsidRPr="00754142" w:rsidRDefault="00896DA8" w:rsidP="00E30CBD">
      <w:pPr>
        <w:pStyle w:val="Nzov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SÚHRN</w:t>
      </w:r>
      <w:r w:rsidR="005D77DA">
        <w:rPr>
          <w:color w:val="000000"/>
          <w:sz w:val="22"/>
          <w:szCs w:val="22"/>
        </w:rPr>
        <w:t xml:space="preserve"> CHARAKTERISTICKÝCH VLASTNOSTÍ </w:t>
      </w:r>
      <w:r w:rsidRPr="00754142">
        <w:rPr>
          <w:color w:val="000000"/>
          <w:sz w:val="22"/>
          <w:szCs w:val="22"/>
        </w:rPr>
        <w:t>LIEKU</w:t>
      </w:r>
    </w:p>
    <w:p w:rsidR="00896DA8" w:rsidRPr="00754142" w:rsidRDefault="00896DA8" w:rsidP="00E30CBD">
      <w:pPr>
        <w:pStyle w:val="Nzov"/>
        <w:rPr>
          <w:color w:val="000000"/>
          <w:sz w:val="22"/>
          <w:szCs w:val="22"/>
        </w:rPr>
      </w:pPr>
    </w:p>
    <w:p w:rsidR="00896DA8" w:rsidRPr="00754142" w:rsidRDefault="00896DA8" w:rsidP="00E30CBD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0"/>
          <w:numId w:val="1"/>
        </w:numPr>
        <w:tabs>
          <w:tab w:val="clear" w:pos="397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NÁZOV LIEKU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18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mikrogramov</w:t>
      </w:r>
      <w:proofErr w:type="spellEnd"/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inhalačný prášok v tvrdej kapsule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0"/>
          <w:numId w:val="1"/>
        </w:numPr>
        <w:tabs>
          <w:tab w:val="clear" w:pos="397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KVALITATÍVNE A KVANTITATÍVNE ZLOŽENIE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Každá kapsula obsahuje 22,5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mikrogramov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monohydrátu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čo zodpovedá 18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mikrogramom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Podaná dávka (množstvo dávky, ktoré opustí náustok pomôcky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) je 10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mikrogramov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CA3118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Pomocná látka</w:t>
      </w:r>
      <w:r w:rsidR="00CA3118">
        <w:rPr>
          <w:b w:val="0"/>
          <w:bCs w:val="0"/>
          <w:color w:val="000000"/>
          <w:sz w:val="22"/>
          <w:szCs w:val="22"/>
        </w:rPr>
        <w:t xml:space="preserve"> so známym účinkom</w:t>
      </w:r>
      <w:r w:rsidRPr="00754142">
        <w:rPr>
          <w:b w:val="0"/>
          <w:bCs w:val="0"/>
          <w:color w:val="000000"/>
          <w:sz w:val="22"/>
          <w:szCs w:val="22"/>
        </w:rPr>
        <w:t>:</w:t>
      </w:r>
    </w:p>
    <w:p w:rsidR="00896DA8" w:rsidRPr="00754142" w:rsidRDefault="00CA311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Každá kapsula obsahuje 5,5 </w:t>
      </w:r>
      <w:proofErr w:type="spellStart"/>
      <w:r>
        <w:rPr>
          <w:b w:val="0"/>
          <w:bCs w:val="0"/>
          <w:color w:val="000000"/>
          <w:sz w:val="22"/>
          <w:szCs w:val="22"/>
        </w:rPr>
        <w:t>milligramov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laktózy (ako </w:t>
      </w:r>
      <w:proofErr w:type="spellStart"/>
      <w:r>
        <w:rPr>
          <w:b w:val="0"/>
          <w:bCs w:val="0"/>
          <w:color w:val="000000"/>
          <w:sz w:val="22"/>
          <w:szCs w:val="22"/>
        </w:rPr>
        <w:t>monohydrátu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  <w:r w:rsidR="00D2336F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Úplný zoznam pomocných látok, pozri časť 6.1.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47489" w:rsidP="008C0A14">
      <w:pPr>
        <w:pStyle w:val="Nzov"/>
        <w:numPr>
          <w:ilvl w:val="0"/>
          <w:numId w:val="1"/>
        </w:numP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LIEKOVÁ </w:t>
      </w:r>
      <w:r w:rsidR="00896DA8" w:rsidRPr="00754142">
        <w:rPr>
          <w:color w:val="000000"/>
          <w:sz w:val="22"/>
          <w:szCs w:val="22"/>
        </w:rPr>
        <w:t>FORMA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Inhalačný prášok v tvrdej kapsule.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Svetlozelené tvrdé kapsuly</w:t>
      </w:r>
      <w:r w:rsidR="00CA3118">
        <w:rPr>
          <w:b w:val="0"/>
          <w:bCs w:val="0"/>
          <w:color w:val="000000"/>
          <w:sz w:val="22"/>
          <w:szCs w:val="22"/>
        </w:rPr>
        <w:t xml:space="preserve"> obsahujúce inhalačný prášok</w:t>
      </w:r>
      <w:r w:rsidRPr="00754142">
        <w:rPr>
          <w:b w:val="0"/>
          <w:bCs w:val="0"/>
          <w:color w:val="000000"/>
          <w:sz w:val="22"/>
          <w:szCs w:val="22"/>
        </w:rPr>
        <w:t xml:space="preserve"> s kódom lieku TI 01 a logom firmy vytlačenom na kapsule.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47489" w:rsidP="005D77DA">
      <w:pPr>
        <w:pStyle w:val="Nzov"/>
        <w:numPr>
          <w:ilvl w:val="0"/>
          <w:numId w:val="1"/>
        </w:numPr>
        <w:tabs>
          <w:tab w:val="clear" w:pos="397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KLINICKÉ </w:t>
      </w:r>
      <w:r w:rsidR="00896DA8" w:rsidRPr="00754142">
        <w:rPr>
          <w:color w:val="000000"/>
          <w:sz w:val="22"/>
          <w:szCs w:val="22"/>
        </w:rPr>
        <w:t>ÚDAJE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Terapeutické indikácie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indikované ako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bronchodilatans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na udržiavaciu liečbu na zmiernenie príznakov u pacientov s chronickou obštrukčnou chorobou pľúc (CHOCHP).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Dávkovanie a spôsob podávania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rPr>
          <w:sz w:val="22"/>
          <w:szCs w:val="22"/>
          <w:u w:val="single"/>
          <w:lang w:val="sk-SK"/>
        </w:rPr>
      </w:pPr>
      <w:r w:rsidRPr="00754142">
        <w:rPr>
          <w:sz w:val="22"/>
          <w:szCs w:val="22"/>
          <w:u w:val="single"/>
          <w:lang w:val="sk-SK"/>
        </w:rPr>
        <w:t>Dávkovanie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Tento liek je určený len na inhalačné použitie.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Odporúčaná dávka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inhalácia obsahu jednej kapsuly jedenkrát denne vždy v tom istom čase, pomocou pomôcky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Odporúčaná dávka sa nemá prekročiť.</w:t>
      </w:r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bCs/>
          <w:color w:val="000000"/>
          <w:sz w:val="22"/>
          <w:szCs w:val="22"/>
          <w:lang w:val="sk-SK"/>
        </w:rPr>
        <w:t xml:space="preserve">Kapsuly </w:t>
      </w:r>
      <w:proofErr w:type="spellStart"/>
      <w:r w:rsidRPr="00754142">
        <w:rPr>
          <w:bCs/>
          <w:sz w:val="22"/>
          <w:szCs w:val="22"/>
          <w:lang w:val="sk-SK"/>
        </w:rPr>
        <w:t>tiotropiumbromidu</w:t>
      </w:r>
      <w:proofErr w:type="spellEnd"/>
      <w:r w:rsidRPr="00754142">
        <w:rPr>
          <w:sz w:val="22"/>
          <w:szCs w:val="22"/>
          <w:lang w:val="sk-SK"/>
        </w:rPr>
        <w:t xml:space="preserve"> sú iba na inhalác</w:t>
      </w:r>
      <w:r w:rsidR="00754142" w:rsidRPr="00754142">
        <w:rPr>
          <w:sz w:val="22"/>
          <w:szCs w:val="22"/>
          <w:lang w:val="sk-SK"/>
        </w:rPr>
        <w:t>iu a nie na perorálne užívanie.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r w:rsidRPr="00754142">
        <w:rPr>
          <w:b w:val="0"/>
          <w:bCs w:val="0"/>
          <w:sz w:val="22"/>
          <w:szCs w:val="22"/>
        </w:rPr>
        <w:t>Kapsuly s </w:t>
      </w:r>
      <w:proofErr w:type="spellStart"/>
      <w:r w:rsidRPr="00754142">
        <w:rPr>
          <w:b w:val="0"/>
          <w:bCs w:val="0"/>
          <w:sz w:val="22"/>
          <w:szCs w:val="22"/>
        </w:rPr>
        <w:t>tiotropiumbromidom</w:t>
      </w:r>
      <w:proofErr w:type="spellEnd"/>
      <w:r w:rsidRPr="00754142">
        <w:rPr>
          <w:b w:val="0"/>
          <w:bCs w:val="0"/>
          <w:sz w:val="22"/>
          <w:szCs w:val="22"/>
        </w:rPr>
        <w:t xml:space="preserve"> sa nesmú prehĺtať.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má inhalovať len s pomôckou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373BA5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  <w:u w:val="single"/>
        </w:rPr>
        <w:t>Osobitné</w:t>
      </w:r>
      <w:r w:rsidRPr="00754142">
        <w:rPr>
          <w:b w:val="0"/>
          <w:bCs w:val="0"/>
          <w:color w:val="000000"/>
          <w:sz w:val="22"/>
          <w:szCs w:val="22"/>
          <w:u w:val="single"/>
        </w:rPr>
        <w:t xml:space="preserve"> </w:t>
      </w:r>
      <w:r w:rsidR="00896DA8" w:rsidRPr="00754142">
        <w:rPr>
          <w:b w:val="0"/>
          <w:bCs w:val="0"/>
          <w:color w:val="000000"/>
          <w:sz w:val="22"/>
          <w:szCs w:val="22"/>
          <w:u w:val="single"/>
        </w:rPr>
        <w:t>skupiny pacientov</w:t>
      </w:r>
    </w:p>
    <w:p w:rsidR="00896DA8" w:rsidRPr="00754142" w:rsidRDefault="00373BA5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Starší</w:t>
      </w:r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r w:rsidR="00896DA8" w:rsidRPr="00754142">
        <w:rPr>
          <w:b w:val="0"/>
          <w:bCs w:val="0"/>
          <w:color w:val="000000"/>
          <w:sz w:val="22"/>
          <w:szCs w:val="22"/>
        </w:rPr>
        <w:t xml:space="preserve">pacienti môžu používať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podľa odporúčaného dávkovania.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Pacienti s poruchou funkcie obličiek môžu používať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podľa odporúčaného dávkovania. U pacientov so stredne ťažkou až ťažkou poruchou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klírens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kreatinínu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≤ 50 ml/min) pozri časť 4.4 a časť 5.2.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lastRenderedPageBreak/>
        <w:t xml:space="preserve">Pacienti s poruchou funkcie pečene môžu používať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podľa odporúčaného dávkovania (pozri časť 5.2).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rPr>
          <w:b/>
          <w:bCs/>
          <w:color w:val="000000"/>
          <w:sz w:val="22"/>
          <w:szCs w:val="22"/>
          <w:lang w:val="sk-SK"/>
        </w:rPr>
      </w:pPr>
      <w:r w:rsidRPr="00754142">
        <w:rPr>
          <w:bCs/>
          <w:iCs/>
          <w:sz w:val="22"/>
          <w:szCs w:val="22"/>
          <w:u w:val="single"/>
          <w:lang w:val="sk-SK"/>
        </w:rPr>
        <w:t>Pediatrická populácia</w:t>
      </w:r>
    </w:p>
    <w:p w:rsidR="00896DA8" w:rsidRPr="00754142" w:rsidRDefault="00754142" w:rsidP="008C0A14">
      <w:pPr>
        <w:pStyle w:val="Nzov"/>
        <w:jc w:val="left"/>
        <w:rPr>
          <w:b w:val="0"/>
          <w:bCs w:val="0"/>
          <w:i/>
          <w:color w:val="000000"/>
          <w:sz w:val="22"/>
          <w:szCs w:val="22"/>
        </w:rPr>
      </w:pPr>
      <w:r w:rsidRPr="00754142">
        <w:rPr>
          <w:b w:val="0"/>
          <w:bCs w:val="0"/>
          <w:i/>
          <w:color w:val="000000"/>
          <w:sz w:val="22"/>
          <w:szCs w:val="22"/>
        </w:rPr>
        <w:t>CHOCHP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V indikácii uvedenej v časti 4.1 neexistuje náležité použitie u pediatric</w:t>
      </w:r>
      <w:r w:rsidR="00754142" w:rsidRPr="00754142">
        <w:rPr>
          <w:b w:val="0"/>
          <w:bCs w:val="0"/>
          <w:color w:val="000000"/>
          <w:sz w:val="22"/>
          <w:szCs w:val="22"/>
        </w:rPr>
        <w:t>kých pacientov (do 18 rokov).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tabs>
          <w:tab w:val="left" w:pos="0"/>
        </w:tabs>
        <w:rPr>
          <w:i/>
          <w:sz w:val="22"/>
          <w:szCs w:val="22"/>
          <w:lang w:val="sk-SK"/>
        </w:rPr>
      </w:pPr>
      <w:r w:rsidRPr="00754142">
        <w:rPr>
          <w:i/>
          <w:sz w:val="22"/>
          <w:szCs w:val="22"/>
          <w:lang w:val="sk-SK"/>
        </w:rPr>
        <w:t xml:space="preserve">Cystická </w:t>
      </w:r>
      <w:proofErr w:type="spellStart"/>
      <w:r w:rsidRPr="00754142">
        <w:rPr>
          <w:i/>
          <w:sz w:val="22"/>
          <w:szCs w:val="22"/>
          <w:lang w:val="sk-SK"/>
        </w:rPr>
        <w:t>fibróza</w:t>
      </w:r>
      <w:proofErr w:type="spellEnd"/>
    </w:p>
    <w:p w:rsidR="00896DA8" w:rsidRPr="00754142" w:rsidRDefault="00896DA8" w:rsidP="008C0A14">
      <w:pPr>
        <w:tabs>
          <w:tab w:val="left" w:pos="0"/>
        </w:tabs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Bezpečnosť a účinnosť </w:t>
      </w:r>
      <w:proofErr w:type="spellStart"/>
      <w:r w:rsidRPr="00754142">
        <w:rPr>
          <w:sz w:val="22"/>
          <w:szCs w:val="22"/>
          <w:lang w:val="sk-SK"/>
        </w:rPr>
        <w:t>Spirivy</w:t>
      </w:r>
      <w:proofErr w:type="spellEnd"/>
      <w:r w:rsidRPr="00754142">
        <w:rPr>
          <w:sz w:val="22"/>
          <w:szCs w:val="22"/>
          <w:lang w:val="sk-SK"/>
        </w:rPr>
        <w:t xml:space="preserve"> u detí a dospievajúcich nie je stanovená. </w:t>
      </w:r>
      <w:r w:rsidR="00754142" w:rsidRPr="00754142">
        <w:rPr>
          <w:sz w:val="22"/>
          <w:szCs w:val="22"/>
          <w:lang w:val="sk-SK"/>
        </w:rPr>
        <w:t>Údaje nie sú dostupné.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rPr>
          <w:sz w:val="22"/>
          <w:szCs w:val="22"/>
          <w:u w:val="single"/>
          <w:lang w:val="sk-SK"/>
        </w:rPr>
      </w:pPr>
      <w:r w:rsidRPr="00754142">
        <w:rPr>
          <w:sz w:val="22"/>
          <w:szCs w:val="22"/>
          <w:u w:val="single"/>
          <w:lang w:val="sk-SK"/>
        </w:rPr>
        <w:t>Spôsob pod</w:t>
      </w:r>
      <w:r w:rsidR="001A3607">
        <w:rPr>
          <w:sz w:val="22"/>
          <w:szCs w:val="22"/>
          <w:u w:val="single"/>
          <w:lang w:val="sk-SK"/>
        </w:rPr>
        <w:t>áv</w:t>
      </w:r>
      <w:r w:rsidRPr="00754142">
        <w:rPr>
          <w:sz w:val="22"/>
          <w:szCs w:val="22"/>
          <w:u w:val="single"/>
          <w:lang w:val="sk-SK"/>
        </w:rPr>
        <w:t>ania</w:t>
      </w:r>
    </w:p>
    <w:p w:rsidR="00896DA8" w:rsidRPr="00754142" w:rsidRDefault="00896DA8" w:rsidP="008C0A14">
      <w:pPr>
        <w:rPr>
          <w:noProof/>
          <w:sz w:val="22"/>
          <w:szCs w:val="22"/>
          <w:lang w:val="sk-SK"/>
        </w:rPr>
      </w:pPr>
      <w:r w:rsidRPr="00754142">
        <w:rPr>
          <w:noProof/>
          <w:sz w:val="22"/>
          <w:szCs w:val="22"/>
          <w:lang w:val="sk-SK"/>
        </w:rPr>
        <w:t>Aby sa zaručilo správne podávanie lieku, lekár alebo iní zdravotníck</w:t>
      </w:r>
      <w:r w:rsidR="00FA488C">
        <w:rPr>
          <w:noProof/>
          <w:sz w:val="22"/>
          <w:szCs w:val="22"/>
          <w:lang w:val="sk-SK"/>
        </w:rPr>
        <w:t>i</w:t>
      </w:r>
      <w:r w:rsidRPr="00754142">
        <w:rPr>
          <w:noProof/>
          <w:sz w:val="22"/>
          <w:szCs w:val="22"/>
          <w:lang w:val="sk-SK"/>
        </w:rPr>
        <w:t xml:space="preserve"> pracovníci majú zaškoliť pac</w:t>
      </w:r>
      <w:r w:rsidR="00754142" w:rsidRPr="00754142">
        <w:rPr>
          <w:noProof/>
          <w:sz w:val="22"/>
          <w:szCs w:val="22"/>
          <w:lang w:val="sk-SK"/>
        </w:rPr>
        <w:t>ienta ako inhalátor používať.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iCs/>
          <w:sz w:val="22"/>
          <w:szCs w:val="22"/>
          <w:u w:val="single"/>
        </w:rPr>
      </w:pPr>
      <w:r w:rsidRPr="00754142">
        <w:rPr>
          <w:b w:val="0"/>
          <w:bCs w:val="0"/>
          <w:iCs/>
          <w:sz w:val="22"/>
          <w:szCs w:val="22"/>
          <w:u w:val="single"/>
        </w:rPr>
        <w:t>Pokyny na zaobchádzanie a používanie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iCs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2489"/>
        <w:gridCol w:w="6799"/>
      </w:tblGrid>
      <w:tr w:rsidR="00896DA8" w:rsidRPr="00754142" w:rsidTr="00872A70">
        <w:trPr>
          <w:trHeight w:val="1984"/>
          <w:jc w:val="center"/>
        </w:trPr>
        <w:tc>
          <w:tcPr>
            <w:tcW w:w="2489" w:type="dxa"/>
            <w:vAlign w:val="center"/>
          </w:tcPr>
          <w:p w:rsidR="00896DA8" w:rsidRPr="00754142" w:rsidRDefault="002943C6" w:rsidP="008C0A14">
            <w:pPr>
              <w:rPr>
                <w:noProof/>
                <w:lang w:val="sk-SK"/>
              </w:rPr>
            </w:pPr>
            <w:r>
              <w:rPr>
                <w:noProof/>
                <w:lang w:val="sk-SK" w:eastAsia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.35pt;margin-top:-85.35pt;width:97.35pt;height:97.35pt;z-index:-251658240" wrapcoords="-166 0 -166 21268 21600 21268 21600 0 -166 0" fillcolor="window">
                  <v:imagedata r:id="rId8" o:title=""/>
                  <w10:wrap type="tight"/>
                </v:shape>
                <o:OLEObject Type="Embed" ProgID="Word.Picture.8" ShapeID="_x0000_s1026" DrawAspect="Content" ObjectID="_1623056876" r:id="rId9"/>
              </w:pict>
            </w:r>
          </w:p>
        </w:tc>
        <w:tc>
          <w:tcPr>
            <w:tcW w:w="6799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Pozorne sledujte pokyny na používanie lieku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083DF1">
              <w:rPr>
                <w:b w:val="0"/>
                <w:bCs w:val="0"/>
                <w:color w:val="000000"/>
                <w:sz w:val="22"/>
                <w:szCs w:val="22"/>
              </w:rPr>
              <w:t>piriva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, ktoré vám dá lekár.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HandiHaler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bol špeciálne vyvinutý pre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</w:t>
            </w:r>
            <w:r w:rsidR="00083DF1">
              <w:rPr>
                <w:b w:val="0"/>
                <w:bCs w:val="0"/>
                <w:color w:val="000000"/>
                <w:sz w:val="22"/>
                <w:szCs w:val="22"/>
              </w:rPr>
              <w:t>pirivu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. Nesmie sa používať na podávanie iných liekov.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HandiHaler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môžete používať na používanie lieku počas jedného roka.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</w:tbl>
    <w:p w:rsidR="00896DA8" w:rsidRPr="00754142" w:rsidRDefault="00896DA8" w:rsidP="008C0A14">
      <w:pPr>
        <w:widowControl w:val="0"/>
        <w:rPr>
          <w:sz w:val="22"/>
          <w:szCs w:val="22"/>
          <w:lang w:val="sk-SK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2489"/>
        <w:gridCol w:w="6799"/>
      </w:tblGrid>
      <w:tr w:rsidR="00896DA8" w:rsidRPr="00754142" w:rsidTr="00872A70">
        <w:trPr>
          <w:trHeight w:val="2254"/>
          <w:jc w:val="center"/>
        </w:trPr>
        <w:tc>
          <w:tcPr>
            <w:tcW w:w="2489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6E423954" wp14:editId="7D9E3B3B">
                  <wp:extent cx="1208405" cy="12084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HandiHaler</w:t>
            </w:r>
            <w:proofErr w:type="spellEnd"/>
          </w:p>
          <w:p w:rsidR="00896DA8" w:rsidRPr="00754142" w:rsidRDefault="00896DA8" w:rsidP="008C0A14">
            <w:pPr>
              <w:pStyle w:val="Nzov"/>
              <w:numPr>
                <w:ilvl w:val="0"/>
                <w:numId w:val="2"/>
              </w:numPr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ochranný uzáver</w:t>
            </w:r>
          </w:p>
          <w:p w:rsidR="00896DA8" w:rsidRPr="00754142" w:rsidRDefault="00896DA8" w:rsidP="008C0A14">
            <w:pPr>
              <w:pStyle w:val="Nzov"/>
              <w:numPr>
                <w:ilvl w:val="0"/>
                <w:numId w:val="2"/>
              </w:numPr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náustok</w:t>
            </w:r>
          </w:p>
          <w:p w:rsidR="00896DA8" w:rsidRPr="00754142" w:rsidRDefault="00896DA8" w:rsidP="008C0A14">
            <w:pPr>
              <w:pStyle w:val="Nzov"/>
              <w:numPr>
                <w:ilvl w:val="0"/>
                <w:numId w:val="2"/>
              </w:numPr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telo</w:t>
            </w:r>
          </w:p>
          <w:p w:rsidR="00896DA8" w:rsidRPr="00754142" w:rsidRDefault="00896DA8" w:rsidP="008C0A14">
            <w:pPr>
              <w:pStyle w:val="Nzov"/>
              <w:numPr>
                <w:ilvl w:val="0"/>
                <w:numId w:val="2"/>
              </w:numPr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tlačidlo na prepichovanie kapsuly</w:t>
            </w:r>
          </w:p>
          <w:p w:rsidR="00896DA8" w:rsidRPr="00754142" w:rsidRDefault="00896DA8" w:rsidP="008C0A14">
            <w:pPr>
              <w:pStyle w:val="Nzov"/>
              <w:numPr>
                <w:ilvl w:val="0"/>
                <w:numId w:val="2"/>
              </w:numPr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stredová komora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</w:tbl>
    <w:p w:rsidR="00896DA8" w:rsidRPr="00754142" w:rsidRDefault="00896DA8" w:rsidP="008C0A14">
      <w:pPr>
        <w:rPr>
          <w:sz w:val="22"/>
          <w:szCs w:val="22"/>
          <w:lang w:val="sk-SK"/>
        </w:rPr>
      </w:pPr>
    </w:p>
    <w:tbl>
      <w:tblPr>
        <w:tblpPr w:leftFromText="141" w:rightFromText="141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84"/>
        <w:gridCol w:w="6796"/>
      </w:tblGrid>
      <w:tr w:rsidR="00896DA8" w:rsidRPr="00754142" w:rsidTr="00872A70">
        <w:trPr>
          <w:trHeight w:val="2133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 w:eastAsia="de-DE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3A53400B" wp14:editId="26CCB858">
                  <wp:extent cx="1248410" cy="120840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1. Ochranný uzáver otvoríte tak, že úplne zatlačíte tlačidlo na prepichovanie kapsuly a uvoľníte ho.</w:t>
            </w:r>
          </w:p>
          <w:p w:rsidR="00896DA8" w:rsidRPr="00754142" w:rsidRDefault="00896DA8" w:rsidP="008C0A14">
            <w:pPr>
              <w:pStyle w:val="Zkladntext"/>
              <w:rPr>
                <w:b w:val="0"/>
                <w:szCs w:val="22"/>
                <w:lang w:val="sk-SK"/>
              </w:rPr>
            </w:pPr>
          </w:p>
        </w:tc>
      </w:tr>
      <w:tr w:rsidR="00896DA8" w:rsidRPr="00754142" w:rsidTr="00872A70">
        <w:trPr>
          <w:trHeight w:val="2120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 w:eastAsia="de-DE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16C8D359" wp14:editId="3160CCD5">
                  <wp:extent cx="1208405" cy="12484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Zkladntext"/>
              <w:rPr>
                <w:b w:val="0"/>
                <w:szCs w:val="22"/>
                <w:lang w:val="sk-SK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  <w:lang w:val="sk-SK"/>
              </w:rPr>
              <w:t>2. Úplne otvorte ochranný uzáver vytiahnutím smerom nahor. Potom otvorte náustok tak, že ho vytiahnete smerom nahor.</w:t>
            </w:r>
          </w:p>
        </w:tc>
      </w:tr>
      <w:tr w:rsidR="00896DA8" w:rsidRPr="00754142" w:rsidTr="00872A70">
        <w:trPr>
          <w:trHeight w:val="2136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lastRenderedPageBreak/>
              <w:drawing>
                <wp:inline distT="0" distB="0" distL="0" distR="0" wp14:anchorId="699ED680" wp14:editId="0D97E583">
                  <wp:extent cx="1208405" cy="124841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3. Vyberte kapsulu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Spiriva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z 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blistra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(iba tesne pre použitím, pozri zaobchádzanie s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blistrom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) a vložte ju do stredovej komory (5), ako je to znázornené na obrázku.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Nie je dôležité, akým smerom je kapsula v komore uložená.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</w:tbl>
    <w:p w:rsidR="00896DA8" w:rsidRPr="00754142" w:rsidRDefault="00896DA8" w:rsidP="008C0A14">
      <w:pPr>
        <w:rPr>
          <w:sz w:val="22"/>
          <w:szCs w:val="22"/>
          <w:lang w:val="sk-SK"/>
        </w:rPr>
      </w:pPr>
    </w:p>
    <w:tbl>
      <w:tblPr>
        <w:tblpPr w:leftFromText="141" w:rightFromText="141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84"/>
        <w:gridCol w:w="6796"/>
      </w:tblGrid>
      <w:tr w:rsidR="00896DA8" w:rsidRPr="00754142" w:rsidTr="00872A70">
        <w:trPr>
          <w:trHeight w:val="2110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174C937B" wp14:editId="6FC294B2">
                  <wp:extent cx="1248410" cy="120840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4. Pevne zatvorte náustok, kým nebudete počuť kliknutie. Ochranný uzáver nechajte otvorený.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  <w:tr w:rsidR="00896DA8" w:rsidRPr="00754142" w:rsidTr="00872A70">
        <w:trPr>
          <w:trHeight w:val="2140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16CF67A7" wp14:editId="2DC8363B">
                  <wp:extent cx="1248410" cy="120840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HandiHaler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pomôcku uchopte tak, aby náustok smeroval nahor a len jedenkrát úplne zatlačte tlačidlo na prepichovanie kapsuly a uvoľnite ho.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Tým sa urobia otvory v kapsule a umožnia uvoľnenie liečiva potrebného na vdýchnutie.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  <w:tr w:rsidR="00896DA8" w:rsidRPr="00754142" w:rsidTr="00872A70">
        <w:trPr>
          <w:trHeight w:val="1994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D530A0" wp14:editId="31B756FF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755650</wp:posOffset>
                      </wp:positionV>
                      <wp:extent cx="358140" cy="57785"/>
                      <wp:effectExtent l="35560" t="69850" r="53975" b="12954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140" cy="57785"/>
                              </a:xfrm>
                              <a:custGeom>
                                <a:avLst/>
                                <a:gdLst>
                                  <a:gd name="T0" fmla="*/ 0 w 564"/>
                                  <a:gd name="T1" fmla="*/ 0 h 91"/>
                                  <a:gd name="T2" fmla="*/ 358140 w 564"/>
                                  <a:gd name="T3" fmla="*/ 57785 h 9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64" h="91">
                                    <a:moveTo>
                                      <a:pt x="0" y="0"/>
                                    </a:moveTo>
                                    <a:lnTo>
                                      <a:pt x="564" y="91"/>
                                    </a:ln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polyline w14:anchorId="360627F0" id="Freeform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.3pt,59.5pt,83.5pt,64.05pt" coordsize="5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" filled="f" strokeweight="4.5pt">
                      <v:stroke endarrow="block"/>
                      <v:path arrowok="t" o:connecttype="custom" o:connectlocs="0,0;227418900,36693475" o:connectangles="0,0"/>
                    </v:polyline>
                  </w:pict>
                </mc:Fallback>
              </mc:AlternateContent>
            </w: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61914BA0" wp14:editId="1E0F34E9">
                  <wp:extent cx="1248410" cy="12484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6. Úplne vydýchnite. 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Dôležité: vždy sa vyvarujte vdýchnutiu do náustka.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  <w:tr w:rsidR="00896DA8" w:rsidRPr="00754142" w:rsidTr="00872A70">
        <w:trPr>
          <w:trHeight w:val="2124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486D84D1" wp14:editId="2C8D2C48">
                  <wp:extent cx="1248410" cy="1248410"/>
                  <wp:effectExtent l="0" t="0" r="889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rPr>
                <w:bCs/>
                <w:color w:val="000000"/>
                <w:lang w:val="sk-SK"/>
              </w:rPr>
            </w:pPr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7. Vložte si </w:t>
            </w: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HandiHaler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do úst a zovrite pery tesne okolo náustka. Hlavu držte rovno, pomaly a hlboko vdychujte, s takou intenzitou, aby ste počuli alebo cítili kapsulu vibrovať.</w:t>
            </w:r>
          </w:p>
          <w:p w:rsidR="00896DA8" w:rsidRPr="00754142" w:rsidRDefault="00896DA8" w:rsidP="008C0A14">
            <w:pPr>
              <w:rPr>
                <w:bCs/>
                <w:color w:val="000000"/>
                <w:lang w:val="sk-SK"/>
              </w:rPr>
            </w:pPr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Vdychujte až kým nemáte plné pľúca, potom zadržte dych, pokiaľ vládzete a zároveň vytiahnite </w:t>
            </w: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HandiHaler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z úst.</w:t>
            </w:r>
          </w:p>
          <w:p w:rsidR="00896DA8" w:rsidRPr="00754142" w:rsidRDefault="00896DA8" w:rsidP="008C0A14">
            <w:pPr>
              <w:rPr>
                <w:bCs/>
                <w:color w:val="000000"/>
                <w:lang w:val="sk-SK"/>
              </w:rPr>
            </w:pPr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Znovu začnite normálne dýchať.</w:t>
            </w:r>
          </w:p>
          <w:p w:rsidR="00896DA8" w:rsidRPr="00754142" w:rsidRDefault="00896DA8" w:rsidP="008C0A14">
            <w:pPr>
              <w:rPr>
                <w:lang w:val="sk-SK"/>
              </w:rPr>
            </w:pPr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Opakujte kroky 6 a 7 ešte raz - tým sa kapsula úplne vyprázdni.</w:t>
            </w:r>
          </w:p>
        </w:tc>
      </w:tr>
      <w:tr w:rsidR="00896DA8" w:rsidRPr="00754142" w:rsidTr="00872A70">
        <w:trPr>
          <w:trHeight w:val="2136"/>
        </w:trPr>
        <w:tc>
          <w:tcPr>
            <w:tcW w:w="2384" w:type="dxa"/>
            <w:vAlign w:val="center"/>
          </w:tcPr>
          <w:p w:rsidR="00896DA8" w:rsidRPr="00754142" w:rsidRDefault="0011243C" w:rsidP="00754142">
            <w:pPr>
              <w:rPr>
                <w:snapToGrid w:val="0"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3EE87E47" wp14:editId="78414581">
                  <wp:extent cx="1208405" cy="12801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8. Opäť otvorte náustok. Vyklopte použitú kapsulu a vyhoďte ju.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Zatvorte náustok a ochranný uzáver na pomôcke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HandiHaler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896DA8" w:rsidRPr="00754142" w:rsidRDefault="00896DA8" w:rsidP="008C0A14">
            <w:pPr>
              <w:rPr>
                <w:snapToGrid w:val="0"/>
                <w:lang w:val="sk-SK"/>
              </w:rPr>
            </w:pPr>
          </w:p>
        </w:tc>
      </w:tr>
    </w:tbl>
    <w:p w:rsidR="00896DA8" w:rsidRPr="00754142" w:rsidRDefault="00896DA8" w:rsidP="008C0A14">
      <w:pPr>
        <w:rPr>
          <w:b/>
          <w:sz w:val="22"/>
          <w:szCs w:val="22"/>
          <w:lang w:val="sk-SK"/>
        </w:rPr>
      </w:pPr>
    </w:p>
    <w:p w:rsidR="00896DA8" w:rsidRPr="00754142" w:rsidRDefault="00896DA8" w:rsidP="008C0A14">
      <w:pPr>
        <w:rPr>
          <w:sz w:val="22"/>
          <w:szCs w:val="22"/>
          <w:lang w:val="sk-SK"/>
        </w:rPr>
      </w:pPr>
    </w:p>
    <w:p w:rsidR="00896DA8" w:rsidRPr="00754142" w:rsidRDefault="00896DA8" w:rsidP="008C0A14">
      <w:pPr>
        <w:rPr>
          <w:sz w:val="22"/>
          <w:szCs w:val="22"/>
          <w:lang w:val="sk-SK"/>
        </w:rPr>
      </w:pPr>
    </w:p>
    <w:p w:rsidR="00896DA8" w:rsidRPr="00754142" w:rsidRDefault="00896DA8" w:rsidP="008C0A14">
      <w:pPr>
        <w:rPr>
          <w:sz w:val="22"/>
          <w:szCs w:val="22"/>
          <w:lang w:val="sk-SK"/>
        </w:rPr>
      </w:pPr>
    </w:p>
    <w:p w:rsidR="00896DA8" w:rsidRPr="00754142" w:rsidRDefault="00896DA8" w:rsidP="008C0A14">
      <w:pPr>
        <w:rPr>
          <w:bCs/>
          <w:color w:val="000000"/>
          <w:sz w:val="22"/>
          <w:szCs w:val="22"/>
          <w:lang w:val="sk-SK"/>
        </w:rPr>
      </w:pPr>
      <w:r w:rsidRPr="00754142">
        <w:rPr>
          <w:bCs/>
          <w:color w:val="000000"/>
          <w:sz w:val="22"/>
          <w:szCs w:val="22"/>
          <w:lang w:val="sk-SK"/>
        </w:rPr>
        <w:lastRenderedPageBreak/>
        <w:t xml:space="preserve">Čistenie vášho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HandiHalera</w:t>
      </w:r>
      <w:proofErr w:type="spellEnd"/>
    </w:p>
    <w:p w:rsidR="00896DA8" w:rsidRPr="00754142" w:rsidRDefault="00896DA8" w:rsidP="008C0A14">
      <w:pPr>
        <w:rPr>
          <w:sz w:val="22"/>
          <w:szCs w:val="22"/>
          <w:lang w:val="sk-SK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86"/>
        <w:gridCol w:w="6802"/>
      </w:tblGrid>
      <w:tr w:rsidR="00896DA8" w:rsidRPr="00754142" w:rsidTr="00872A70">
        <w:trPr>
          <w:trHeight w:val="2125"/>
        </w:trPr>
        <w:tc>
          <w:tcPr>
            <w:tcW w:w="2518" w:type="dxa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7B144C49" wp14:editId="54BF9869">
                  <wp:extent cx="1208405" cy="12084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896DA8" w:rsidRPr="00754142" w:rsidRDefault="00896DA8" w:rsidP="008C0A14">
            <w:pPr>
              <w:rPr>
                <w:noProof/>
                <w:lang w:val="sk-SK"/>
              </w:rPr>
            </w:pP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HandiHaler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čistite raz za mesiac. Otvorte ochranný uzáver a náustok. Potom otvorte telo nadvihnutím tlačidla</w:t>
            </w:r>
            <w:r w:rsidRPr="00754142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na prepichovanie kapsuly. Opláchnite celý inhalátor teplou vodou tak, aby sa vymyli všetky zvyšky prášku. Vyklopte </w:t>
            </w: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HandiHaler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a dôkladne ho osušte na papierovej utierke a potom nechajte dosušiť na vzduchu. Ochranný kryt, náustok a telo nechajte pritom otvorené. Suší sa na vzduchu 24 hodín, preto </w:t>
            </w: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Handi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>Haler</w:t>
            </w:r>
            <w:proofErr w:type="spellEnd"/>
            <w:r w:rsidRPr="00754142">
              <w:rPr>
                <w:bCs/>
                <w:color w:val="000000"/>
                <w:sz w:val="22"/>
                <w:szCs w:val="22"/>
                <w:lang w:val="sk-SK"/>
              </w:rPr>
              <w:t xml:space="preserve"> vyčistite hneď po použití, aby bol pripravený na ďalšie použitie. Ak je potrebné, vonkajšiu stranu náustka čistite vlhkou, nie mokrou utierkou.</w:t>
            </w:r>
          </w:p>
        </w:tc>
      </w:tr>
    </w:tbl>
    <w:p w:rsidR="00896DA8" w:rsidRPr="00754142" w:rsidRDefault="00896DA8" w:rsidP="008C0A14">
      <w:pPr>
        <w:pStyle w:val="Nzov"/>
        <w:jc w:val="left"/>
        <w:rPr>
          <w:b w:val="0"/>
          <w:bCs w:val="0"/>
          <w:iCs/>
          <w:color w:val="000000"/>
          <w:sz w:val="22"/>
          <w:szCs w:val="22"/>
        </w:rPr>
      </w:pPr>
      <w:r w:rsidRPr="00754142">
        <w:rPr>
          <w:b w:val="0"/>
          <w:bCs w:val="0"/>
          <w:iCs/>
          <w:color w:val="000000"/>
          <w:sz w:val="22"/>
          <w:szCs w:val="22"/>
        </w:rPr>
        <w:t>Zaobchádzanie s </w:t>
      </w:r>
      <w:proofErr w:type="spellStart"/>
      <w:r w:rsidRPr="00754142">
        <w:rPr>
          <w:b w:val="0"/>
          <w:bCs w:val="0"/>
          <w:iCs/>
          <w:color w:val="000000"/>
          <w:sz w:val="22"/>
          <w:szCs w:val="22"/>
        </w:rPr>
        <w:t>blistrom</w:t>
      </w:r>
      <w:proofErr w:type="spellEnd"/>
    </w:p>
    <w:p w:rsidR="00896DA8" w:rsidRPr="00754142" w:rsidRDefault="00896DA8" w:rsidP="008C0A14">
      <w:pPr>
        <w:rPr>
          <w:noProof/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7"/>
        <w:gridCol w:w="6801"/>
      </w:tblGrid>
      <w:tr w:rsidR="00896DA8" w:rsidRPr="00754142" w:rsidTr="00872A70">
        <w:trPr>
          <w:trHeight w:val="2044"/>
        </w:trPr>
        <w:tc>
          <w:tcPr>
            <w:tcW w:w="2518" w:type="dxa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5546D2C7" wp14:editId="191105F2">
                  <wp:extent cx="1208405" cy="12484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A. Odtrhnite časť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blistra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pozdĺž perforácie.</w:t>
            </w:r>
          </w:p>
          <w:p w:rsidR="00896DA8" w:rsidRPr="00754142" w:rsidRDefault="00896DA8" w:rsidP="008C0A14">
            <w:pPr>
              <w:pStyle w:val="Nzov"/>
              <w:ind w:left="360"/>
              <w:jc w:val="left"/>
              <w:rPr>
                <w:b w:val="0"/>
                <w:bCs w:val="0"/>
                <w:color w:val="000000"/>
              </w:rPr>
            </w:pP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  <w:tr w:rsidR="00896DA8" w:rsidRPr="00754142" w:rsidTr="00872A70">
        <w:trPr>
          <w:trHeight w:val="2076"/>
        </w:trPr>
        <w:tc>
          <w:tcPr>
            <w:tcW w:w="2518" w:type="dxa"/>
            <w:vAlign w:val="center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3D1DCCBC" wp14:editId="3B442E80">
                  <wp:extent cx="1208405" cy="124841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B. Stiahnite fóliu (len tesne pred použitím) pomocou uška, až kým nie je úplne vidieť jedna kapsula.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V prípade, že je aj ďalšia kapsula náhodne vystavená vzduchu, musí sa znehodnotiť.</w:t>
            </w:r>
          </w:p>
          <w:p w:rsidR="00896DA8" w:rsidRPr="00754142" w:rsidRDefault="00896DA8" w:rsidP="008C0A14">
            <w:pPr>
              <w:rPr>
                <w:noProof/>
                <w:lang w:val="sk-SK"/>
              </w:rPr>
            </w:pPr>
          </w:p>
        </w:tc>
      </w:tr>
      <w:tr w:rsidR="00896DA8" w:rsidRPr="00754142" w:rsidTr="00872A70">
        <w:tc>
          <w:tcPr>
            <w:tcW w:w="2518" w:type="dxa"/>
          </w:tcPr>
          <w:p w:rsidR="00896DA8" w:rsidRPr="00754142" w:rsidRDefault="0011243C" w:rsidP="00754142">
            <w:pPr>
              <w:rPr>
                <w:noProof/>
                <w:lang w:val="sk-SK"/>
              </w:rPr>
            </w:pPr>
            <w:r w:rsidRPr="00754142">
              <w:rPr>
                <w:noProof/>
                <w:lang w:val="sk-SK" w:eastAsia="sk-SK"/>
              </w:rPr>
              <w:drawing>
                <wp:inline distT="0" distB="0" distL="0" distR="0" wp14:anchorId="41B8B50C" wp14:editId="66067150">
                  <wp:extent cx="1208405" cy="12084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C. Kapsulu vyberte.</w:t>
            </w:r>
          </w:p>
          <w:p w:rsidR="00896DA8" w:rsidRPr="00754142" w:rsidRDefault="00896DA8" w:rsidP="008C0A14">
            <w:pPr>
              <w:tabs>
                <w:tab w:val="left" w:pos="1733"/>
              </w:tabs>
              <w:rPr>
                <w:noProof/>
                <w:lang w:val="sk-SK"/>
              </w:rPr>
            </w:pPr>
          </w:p>
        </w:tc>
      </w:tr>
    </w:tbl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kapsuly obsahujú iba malé množstvo prášku, teda kapsula je len čiastočne naplnená.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Kontraindikácie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Default="00CA3118" w:rsidP="008C0A14">
      <w:pPr>
        <w:pStyle w:val="Nzov"/>
        <w:jc w:val="left"/>
        <w:rPr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P</w:t>
      </w:r>
      <w:r w:rsidR="00896DA8" w:rsidRPr="00754142">
        <w:rPr>
          <w:b w:val="0"/>
          <w:bCs w:val="0"/>
          <w:color w:val="000000"/>
          <w:sz w:val="22"/>
          <w:szCs w:val="22"/>
        </w:rPr>
        <w:t xml:space="preserve">recitlivenosť na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alebo na</w:t>
      </w:r>
      <w:r w:rsidR="00896DA8" w:rsidRPr="00754142">
        <w:rPr>
          <w:b w:val="0"/>
          <w:bCs w:val="0"/>
          <w:color w:val="000000"/>
          <w:sz w:val="22"/>
          <w:szCs w:val="22"/>
        </w:rPr>
        <w:t xml:space="preserve"> atropín alebo jeho deriváty, napr.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ipratropium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alebo</w:t>
      </w:r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oxitropium</w:t>
      </w:r>
      <w:proofErr w:type="spellEnd"/>
      <w:r w:rsidR="00373BA5" w:rsidRPr="00373BA5">
        <w:rPr>
          <w:b w:val="0"/>
          <w:bCs w:val="0"/>
          <w:color w:val="000000"/>
          <w:sz w:val="22"/>
          <w:szCs w:val="22"/>
        </w:rPr>
        <w:t xml:space="preserve"> </w:t>
      </w:r>
      <w:r w:rsidR="00373BA5">
        <w:rPr>
          <w:b w:val="0"/>
          <w:bCs w:val="0"/>
          <w:color w:val="000000"/>
          <w:sz w:val="22"/>
          <w:szCs w:val="22"/>
        </w:rPr>
        <w:t>alebo na ktorúkoľvek z pomocných látok uvedených v časti 6.1</w:t>
      </w:r>
      <w:r>
        <w:rPr>
          <w:b w:val="0"/>
          <w:bCs w:val="0"/>
          <w:color w:val="000000"/>
          <w:sz w:val="22"/>
          <w:szCs w:val="22"/>
        </w:rPr>
        <w:t>.</w:t>
      </w:r>
    </w:p>
    <w:p w:rsidR="00CA3118" w:rsidRPr="00754142" w:rsidRDefault="00CA311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Osobitné upozornenia a opatrenia pri používaní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ako raz denne dávkované udržiavacie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bronchodilatancium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sa nemá používať na úvodnú liečbu akútnych záchvatov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bronchospazmu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, t.j. ako záchranná liečba.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Po podaní inhalačného prášku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môžu vyskytnúť okamžité reakcie precitlivenosti.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Pre jeho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anticholinergickú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aktivitu sa má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používať s opatrnosťou u pacientov s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glaukómom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 úzkym uhlom,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hyperpláziou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prostaty alebo obštrukciou hrdla močového mechúra. (pozri časť 4.8)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lastRenderedPageBreak/>
        <w:t xml:space="preserve">Lieky na inhaláciu môžu spôsobiť inhaláciou indukovaný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bronchospazmus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iCs/>
          <w:sz w:val="22"/>
          <w:szCs w:val="22"/>
        </w:rPr>
        <w:t>Tiotropium</w:t>
      </w:r>
      <w:proofErr w:type="spellEnd"/>
      <w:r w:rsidRPr="00754142">
        <w:rPr>
          <w:b w:val="0"/>
          <w:iCs/>
          <w:sz w:val="22"/>
          <w:szCs w:val="22"/>
        </w:rPr>
        <w:t xml:space="preserve"> sa má používať s opatrnosťou u pacientov s nedávno prekonaným infarktom myokardu &lt; 6 mesiacov; s akoukoľvek nestabilnou alebo život ohrozujúcou srdcovou </w:t>
      </w:r>
      <w:proofErr w:type="spellStart"/>
      <w:r w:rsidRPr="00754142">
        <w:rPr>
          <w:b w:val="0"/>
          <w:iCs/>
          <w:sz w:val="22"/>
          <w:szCs w:val="22"/>
        </w:rPr>
        <w:t>arytmiou</w:t>
      </w:r>
      <w:proofErr w:type="spellEnd"/>
      <w:r w:rsidRPr="00754142">
        <w:rPr>
          <w:b w:val="0"/>
          <w:iCs/>
          <w:sz w:val="22"/>
          <w:szCs w:val="22"/>
        </w:rPr>
        <w:t xml:space="preserve"> alebo srdcovou </w:t>
      </w:r>
      <w:proofErr w:type="spellStart"/>
      <w:r w:rsidRPr="00754142">
        <w:rPr>
          <w:b w:val="0"/>
          <w:iCs/>
          <w:sz w:val="22"/>
          <w:szCs w:val="22"/>
        </w:rPr>
        <w:t>arytmiou</w:t>
      </w:r>
      <w:proofErr w:type="spellEnd"/>
      <w:r w:rsidRPr="00754142">
        <w:rPr>
          <w:b w:val="0"/>
          <w:iCs/>
          <w:sz w:val="22"/>
          <w:szCs w:val="22"/>
        </w:rPr>
        <w:t xml:space="preserve"> vyžadujúcou zákrok alebo</w:t>
      </w:r>
      <w:r w:rsidR="00BE1599" w:rsidRPr="00754142">
        <w:rPr>
          <w:b w:val="0"/>
          <w:iCs/>
          <w:sz w:val="22"/>
          <w:szCs w:val="22"/>
        </w:rPr>
        <w:t xml:space="preserve"> zmenu</w:t>
      </w:r>
      <w:r w:rsidRPr="00754142">
        <w:rPr>
          <w:b w:val="0"/>
          <w:iCs/>
          <w:sz w:val="22"/>
          <w:szCs w:val="22"/>
        </w:rPr>
        <w:t xml:space="preserve"> </w:t>
      </w:r>
      <w:r w:rsidR="00606504" w:rsidRPr="00754142">
        <w:rPr>
          <w:b w:val="0"/>
          <w:iCs/>
          <w:sz w:val="22"/>
          <w:szCs w:val="22"/>
        </w:rPr>
        <w:t>liekov za posledný rok</w:t>
      </w:r>
      <w:r w:rsidRPr="00754142">
        <w:rPr>
          <w:b w:val="0"/>
          <w:iCs/>
          <w:sz w:val="22"/>
          <w:szCs w:val="22"/>
        </w:rPr>
        <w:t xml:space="preserve">; s hospitalizáciou pre zlyhanie srdca (trieda II alebo IV podľa NYHA) v poslednom roku. Títo pacienti boli z klinických štúdií vylúčení a uvedené stavy môže ovplyvniť </w:t>
      </w:r>
      <w:proofErr w:type="spellStart"/>
      <w:r w:rsidRPr="00754142">
        <w:rPr>
          <w:b w:val="0"/>
          <w:iCs/>
          <w:sz w:val="22"/>
          <w:szCs w:val="22"/>
        </w:rPr>
        <w:t>anticholinergický</w:t>
      </w:r>
      <w:proofErr w:type="spellEnd"/>
      <w:r w:rsidRPr="00754142">
        <w:rPr>
          <w:b w:val="0"/>
          <w:iCs/>
          <w:sz w:val="22"/>
          <w:szCs w:val="22"/>
        </w:rPr>
        <w:t xml:space="preserve"> mechanizmus účinku.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Keďže pri znížených obličkových funkciách stúpa plazmatická koncentrácia, u pacientov so stredne ťažkou až ťažkou poruchou funkcie obličiek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klírens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kreatinínu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≤ ako 50 ml/min) sa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podáva len ak očakávaný prínos prevyšuje potenciálne riziko. U pacientov s ťažkou poruchou funkcie obličiek nie sú dlhodobé skúsenosti (pozri časť 5.2).</w:t>
      </w:r>
    </w:p>
    <w:p w:rsidR="00896DA8" w:rsidRPr="00754142" w:rsidRDefault="00896DA8" w:rsidP="008C0A14">
      <w:pPr>
        <w:pStyle w:val="Nzov"/>
        <w:ind w:left="360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Pacienti si majú dávať pozor, aby im roztok nevnikol do očí. Majú byť poučení, že to môže spôsobiť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precipitáciu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alebo zhoršenie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glaukómu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 úzkym uhlom, bolesť alebo nepohodu v očiach, prechodné rozmazané videnie, videnie kruhov alebo farebných obrazcov v súvislosti s červenými očami z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konjuktiválnej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kongescie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korneálneho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edému. Ak sa objaví ktorákoľvek kombinácia týchto očných príznakov, pacienti majú prestať užívať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</w:t>
      </w:r>
      <w:r w:rsidR="00373BA5">
        <w:rPr>
          <w:b w:val="0"/>
          <w:bCs w:val="0"/>
          <w:color w:val="000000"/>
          <w:sz w:val="22"/>
          <w:szCs w:val="22"/>
        </w:rPr>
        <w:t> </w:t>
      </w:r>
      <w:r w:rsidRPr="00754142">
        <w:rPr>
          <w:b w:val="0"/>
          <w:bCs w:val="0"/>
          <w:color w:val="000000"/>
          <w:sz w:val="22"/>
          <w:szCs w:val="22"/>
        </w:rPr>
        <w:t>okamžite</w:t>
      </w:r>
      <w:r w:rsidR="00373BA5">
        <w:rPr>
          <w:b w:val="0"/>
          <w:bCs w:val="0"/>
          <w:color w:val="000000"/>
          <w:sz w:val="22"/>
          <w:szCs w:val="22"/>
        </w:rPr>
        <w:t xml:space="preserve"> to</w:t>
      </w:r>
      <w:r w:rsidRPr="00754142">
        <w:rPr>
          <w:b w:val="0"/>
          <w:bCs w:val="0"/>
          <w:color w:val="000000"/>
          <w:sz w:val="22"/>
          <w:szCs w:val="22"/>
        </w:rPr>
        <w:t xml:space="preserve"> konzultovať </w:t>
      </w:r>
      <w:r w:rsidR="00373BA5">
        <w:rPr>
          <w:b w:val="0"/>
          <w:bCs w:val="0"/>
          <w:color w:val="000000"/>
          <w:sz w:val="22"/>
          <w:szCs w:val="22"/>
        </w:rPr>
        <w:t xml:space="preserve">so </w:t>
      </w:r>
      <w:r w:rsidRPr="00754142">
        <w:rPr>
          <w:b w:val="0"/>
          <w:bCs w:val="0"/>
          <w:color w:val="000000"/>
          <w:sz w:val="22"/>
          <w:szCs w:val="22"/>
        </w:rPr>
        <w:t>špecialist</w:t>
      </w:r>
      <w:r w:rsidR="00373BA5">
        <w:rPr>
          <w:b w:val="0"/>
          <w:bCs w:val="0"/>
          <w:color w:val="000000"/>
          <w:sz w:val="22"/>
          <w:szCs w:val="22"/>
        </w:rPr>
        <w:t>om</w:t>
      </w:r>
      <w:r w:rsidR="00F16F38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ind w:left="360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Sucho v ústach, ktoré bolo zaznamenané pri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anticholinergickej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liečbe, môže pri dlhodobom používaní viesť k zubnému kazu.</w:t>
      </w:r>
    </w:p>
    <w:p w:rsidR="00896DA8" w:rsidRPr="00754142" w:rsidRDefault="00896DA8" w:rsidP="008C0A14">
      <w:pPr>
        <w:pStyle w:val="Nzov"/>
        <w:ind w:left="360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nemá užívať častejšie než jedenkrát denne (pozri časť 4.9).</w:t>
      </w:r>
    </w:p>
    <w:p w:rsidR="00896DA8" w:rsidRPr="00754142" w:rsidRDefault="00896DA8" w:rsidP="008C0A14">
      <w:pPr>
        <w:pStyle w:val="Nzov"/>
        <w:ind w:left="360"/>
        <w:jc w:val="left"/>
        <w:rPr>
          <w:b w:val="0"/>
          <w:bCs w:val="0"/>
          <w:iCs/>
          <w:color w:val="000000"/>
          <w:sz w:val="22"/>
          <w:szCs w:val="22"/>
        </w:rPr>
      </w:pPr>
    </w:p>
    <w:p w:rsidR="00896DA8" w:rsidRPr="009E472A" w:rsidRDefault="00896DA8" w:rsidP="008C0A14">
      <w:pPr>
        <w:pStyle w:val="Nzov"/>
        <w:jc w:val="left"/>
        <w:rPr>
          <w:b w:val="0"/>
          <w:bCs w:val="0"/>
          <w:iCs/>
          <w:color w:val="000000"/>
          <w:sz w:val="22"/>
          <w:szCs w:val="22"/>
        </w:rPr>
      </w:pPr>
      <w:r w:rsidRPr="00754142">
        <w:rPr>
          <w:b w:val="0"/>
          <w:bCs w:val="0"/>
          <w:iCs/>
          <w:color w:val="000000"/>
          <w:sz w:val="22"/>
          <w:szCs w:val="22"/>
        </w:rPr>
        <w:t xml:space="preserve">Kapsuly </w:t>
      </w:r>
      <w:proofErr w:type="spellStart"/>
      <w:r w:rsidRPr="00754142">
        <w:rPr>
          <w:b w:val="0"/>
          <w:bCs w:val="0"/>
          <w:iCs/>
          <w:color w:val="000000"/>
          <w:sz w:val="22"/>
          <w:szCs w:val="22"/>
        </w:rPr>
        <w:t>Spirivy</w:t>
      </w:r>
      <w:proofErr w:type="spellEnd"/>
      <w:r w:rsidRPr="00754142">
        <w:rPr>
          <w:b w:val="0"/>
          <w:bCs w:val="0"/>
          <w:iCs/>
          <w:color w:val="000000"/>
          <w:sz w:val="22"/>
          <w:szCs w:val="22"/>
        </w:rPr>
        <w:t xml:space="preserve"> obsahujú 5,5 mg </w:t>
      </w:r>
      <w:proofErr w:type="spellStart"/>
      <w:r w:rsidRPr="00754142">
        <w:rPr>
          <w:b w:val="0"/>
          <w:bCs w:val="0"/>
          <w:iCs/>
          <w:color w:val="000000"/>
          <w:sz w:val="22"/>
          <w:szCs w:val="22"/>
        </w:rPr>
        <w:t>monohydrátu</w:t>
      </w:r>
      <w:proofErr w:type="spellEnd"/>
      <w:r w:rsidRPr="00754142">
        <w:rPr>
          <w:b w:val="0"/>
          <w:bCs w:val="0"/>
          <w:iCs/>
          <w:color w:val="000000"/>
          <w:sz w:val="22"/>
          <w:szCs w:val="22"/>
        </w:rPr>
        <w:t xml:space="preserve"> laktózy.</w:t>
      </w:r>
      <w:r w:rsidR="009E472A" w:rsidRPr="009E472A">
        <w:rPr>
          <w:sz w:val="22"/>
          <w:szCs w:val="22"/>
        </w:rPr>
        <w:t xml:space="preserve"> </w:t>
      </w:r>
      <w:r w:rsidR="009E472A" w:rsidRPr="009E472A">
        <w:rPr>
          <w:b w:val="0"/>
          <w:sz w:val="22"/>
          <w:szCs w:val="22"/>
        </w:rPr>
        <w:t xml:space="preserve">Toto množstvo bežne nespôsobuje problémy u pacientov s neznášanlivosťou laktózy. Pacienti so zriedkavými </w:t>
      </w:r>
      <w:r w:rsidR="002003A5">
        <w:rPr>
          <w:b w:val="0"/>
          <w:sz w:val="22"/>
          <w:szCs w:val="22"/>
        </w:rPr>
        <w:t>dedičnými</w:t>
      </w:r>
      <w:r w:rsidR="009E472A" w:rsidRPr="009E472A">
        <w:rPr>
          <w:b w:val="0"/>
          <w:sz w:val="22"/>
          <w:szCs w:val="22"/>
        </w:rPr>
        <w:t xml:space="preserve"> problémami </w:t>
      </w:r>
      <w:proofErr w:type="spellStart"/>
      <w:r w:rsidR="009E472A" w:rsidRPr="009E472A">
        <w:rPr>
          <w:b w:val="0"/>
          <w:sz w:val="22"/>
          <w:szCs w:val="22"/>
        </w:rPr>
        <w:t>galaktóz</w:t>
      </w:r>
      <w:r w:rsidR="002003A5">
        <w:rPr>
          <w:b w:val="0"/>
          <w:sz w:val="22"/>
          <w:szCs w:val="22"/>
        </w:rPr>
        <w:t>ovej</w:t>
      </w:r>
      <w:proofErr w:type="spellEnd"/>
      <w:r w:rsidR="002003A5" w:rsidRPr="002003A5">
        <w:rPr>
          <w:b w:val="0"/>
          <w:sz w:val="22"/>
          <w:szCs w:val="22"/>
        </w:rPr>
        <w:t xml:space="preserve"> </w:t>
      </w:r>
      <w:r w:rsidR="002003A5" w:rsidRPr="009E472A">
        <w:rPr>
          <w:b w:val="0"/>
          <w:sz w:val="22"/>
          <w:szCs w:val="22"/>
        </w:rPr>
        <w:t>intolerancie</w:t>
      </w:r>
      <w:r w:rsidR="009E472A" w:rsidRPr="009E472A">
        <w:rPr>
          <w:b w:val="0"/>
          <w:sz w:val="22"/>
          <w:szCs w:val="22"/>
        </w:rPr>
        <w:t xml:space="preserve">, </w:t>
      </w:r>
      <w:proofErr w:type="spellStart"/>
      <w:r w:rsidR="002003A5">
        <w:rPr>
          <w:b w:val="0"/>
          <w:sz w:val="22"/>
          <w:szCs w:val="22"/>
        </w:rPr>
        <w:t>lapónskeho</w:t>
      </w:r>
      <w:proofErr w:type="spellEnd"/>
      <w:r w:rsidR="002003A5">
        <w:rPr>
          <w:b w:val="0"/>
          <w:sz w:val="22"/>
          <w:szCs w:val="22"/>
        </w:rPr>
        <w:t xml:space="preserve"> deficitu </w:t>
      </w:r>
      <w:proofErr w:type="spellStart"/>
      <w:r w:rsidR="009E472A" w:rsidRPr="009E472A">
        <w:rPr>
          <w:b w:val="0"/>
          <w:sz w:val="22"/>
          <w:szCs w:val="22"/>
        </w:rPr>
        <w:t>laktázy</w:t>
      </w:r>
      <w:proofErr w:type="spellEnd"/>
      <w:r w:rsidR="009E472A" w:rsidRPr="009E472A">
        <w:rPr>
          <w:b w:val="0"/>
          <w:sz w:val="22"/>
          <w:szCs w:val="22"/>
        </w:rPr>
        <w:t xml:space="preserve"> alebo </w:t>
      </w:r>
      <w:proofErr w:type="spellStart"/>
      <w:r w:rsidR="002003A5" w:rsidRPr="009E472A">
        <w:rPr>
          <w:b w:val="0"/>
          <w:sz w:val="22"/>
          <w:szCs w:val="22"/>
        </w:rPr>
        <w:t>glukóz</w:t>
      </w:r>
      <w:r w:rsidR="002003A5">
        <w:rPr>
          <w:b w:val="0"/>
          <w:sz w:val="22"/>
          <w:szCs w:val="22"/>
        </w:rPr>
        <w:t>o</w:t>
      </w:r>
      <w:r w:rsidR="002003A5" w:rsidRPr="009E472A">
        <w:rPr>
          <w:b w:val="0"/>
          <w:sz w:val="22"/>
          <w:szCs w:val="22"/>
        </w:rPr>
        <w:t>-galaktóz</w:t>
      </w:r>
      <w:r w:rsidR="002003A5">
        <w:rPr>
          <w:b w:val="0"/>
          <w:sz w:val="22"/>
          <w:szCs w:val="22"/>
        </w:rPr>
        <w:t>ovej</w:t>
      </w:r>
      <w:proofErr w:type="spellEnd"/>
      <w:r w:rsidR="002003A5" w:rsidRPr="009E472A">
        <w:rPr>
          <w:b w:val="0"/>
          <w:sz w:val="22"/>
          <w:szCs w:val="22"/>
        </w:rPr>
        <w:t xml:space="preserve"> </w:t>
      </w:r>
      <w:proofErr w:type="spellStart"/>
      <w:r w:rsidR="009E472A" w:rsidRPr="009E472A">
        <w:rPr>
          <w:b w:val="0"/>
          <w:sz w:val="22"/>
          <w:szCs w:val="22"/>
        </w:rPr>
        <w:t>malabsorpcie</w:t>
      </w:r>
      <w:proofErr w:type="spellEnd"/>
      <w:r w:rsidR="009E472A" w:rsidRPr="009E472A">
        <w:rPr>
          <w:b w:val="0"/>
          <w:sz w:val="22"/>
          <w:szCs w:val="22"/>
        </w:rPr>
        <w:t xml:space="preserve"> ne</w:t>
      </w:r>
      <w:r w:rsidR="002003A5">
        <w:rPr>
          <w:b w:val="0"/>
          <w:sz w:val="22"/>
          <w:szCs w:val="22"/>
        </w:rPr>
        <w:t>s</w:t>
      </w:r>
      <w:r w:rsidR="009E472A" w:rsidRPr="009E472A">
        <w:rPr>
          <w:b w:val="0"/>
          <w:sz w:val="22"/>
          <w:szCs w:val="22"/>
        </w:rPr>
        <w:t xml:space="preserve">mú </w:t>
      </w:r>
      <w:r w:rsidR="002003A5" w:rsidRPr="009E472A">
        <w:rPr>
          <w:b w:val="0"/>
          <w:sz w:val="22"/>
          <w:szCs w:val="22"/>
        </w:rPr>
        <w:t xml:space="preserve">užívať </w:t>
      </w:r>
      <w:r w:rsidR="009E472A" w:rsidRPr="009E472A">
        <w:rPr>
          <w:b w:val="0"/>
          <w:sz w:val="22"/>
          <w:szCs w:val="22"/>
        </w:rPr>
        <w:t xml:space="preserve">tento liek. Pomocná látka </w:t>
      </w:r>
      <w:proofErr w:type="spellStart"/>
      <w:r w:rsidR="009E472A" w:rsidRPr="009E472A">
        <w:rPr>
          <w:b w:val="0"/>
          <w:sz w:val="22"/>
          <w:szCs w:val="22"/>
        </w:rPr>
        <w:t>monohydrát</w:t>
      </w:r>
      <w:proofErr w:type="spellEnd"/>
      <w:r w:rsidR="009E472A" w:rsidRPr="009E472A">
        <w:rPr>
          <w:b w:val="0"/>
          <w:sz w:val="22"/>
          <w:szCs w:val="22"/>
        </w:rPr>
        <w:t xml:space="preserve"> laktózy môže obsahovať malé množstvo mliečnych proteínov, ktoré môžu spôsobiť alergické reakcie.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iCs/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Liekové a iné interakcie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Aj keď sa nevykonali žiadne formálne štúdie interakcií liečiv, inhalačný prášok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používa súbežne s inými liekmi bez klinických dôkazov liekových interakcií. Sem patria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sympatomimetické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bronchodilatátory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metylxantíny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perorálne alebo inhalačné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steroidy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, ktoré sa vo všeobecnosti používajú na liečbu CHOCHP.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F16F3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Nezistilo sa, že </w:t>
      </w:r>
      <w:r w:rsidR="00896DA8" w:rsidRPr="00754142">
        <w:rPr>
          <w:b w:val="0"/>
          <w:sz w:val="22"/>
          <w:szCs w:val="22"/>
        </w:rPr>
        <w:t xml:space="preserve">užívanie LABA alebo ICS zmenilo expozíciu </w:t>
      </w:r>
      <w:proofErr w:type="spellStart"/>
      <w:r w:rsidR="00896DA8" w:rsidRPr="00754142">
        <w:rPr>
          <w:b w:val="0"/>
          <w:sz w:val="22"/>
          <w:szCs w:val="22"/>
        </w:rPr>
        <w:t>tiotropia</w:t>
      </w:r>
      <w:proofErr w:type="spellEnd"/>
      <w:r w:rsidR="00896DA8" w:rsidRPr="00754142">
        <w:rPr>
          <w:b w:val="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Súbežné podávanie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 inými liekmi ob</w:t>
      </w:r>
      <w:r w:rsidR="00F16F38">
        <w:rPr>
          <w:b w:val="0"/>
          <w:bCs w:val="0"/>
          <w:color w:val="000000"/>
          <w:sz w:val="22"/>
          <w:szCs w:val="22"/>
        </w:rPr>
        <w:t xml:space="preserve">sahujúcimi </w:t>
      </w:r>
      <w:proofErr w:type="spellStart"/>
      <w:r w:rsidR="00F16F38">
        <w:rPr>
          <w:b w:val="0"/>
          <w:bCs w:val="0"/>
          <w:color w:val="000000"/>
          <w:sz w:val="22"/>
          <w:szCs w:val="22"/>
        </w:rPr>
        <w:t>anticholinergiká</w:t>
      </w:r>
      <w:proofErr w:type="spellEnd"/>
      <w:r w:rsidR="00F16F38">
        <w:rPr>
          <w:b w:val="0"/>
          <w:bCs w:val="0"/>
          <w:color w:val="000000"/>
          <w:sz w:val="22"/>
          <w:szCs w:val="22"/>
        </w:rPr>
        <w:t xml:space="preserve"> sa neskúmalo, </w:t>
      </w:r>
      <w:r w:rsidRPr="00754142">
        <w:rPr>
          <w:b w:val="0"/>
          <w:bCs w:val="0"/>
          <w:color w:val="000000"/>
          <w:sz w:val="22"/>
          <w:szCs w:val="22"/>
        </w:rPr>
        <w:t>preto sa neodporúča.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proofErr w:type="spellStart"/>
      <w:r w:rsidRPr="00754142">
        <w:rPr>
          <w:color w:val="000000"/>
          <w:sz w:val="22"/>
          <w:szCs w:val="22"/>
        </w:rPr>
        <w:t>Fertilita</w:t>
      </w:r>
      <w:proofErr w:type="spellEnd"/>
      <w:r w:rsidRPr="00754142">
        <w:rPr>
          <w:color w:val="000000"/>
          <w:sz w:val="22"/>
          <w:szCs w:val="22"/>
        </w:rPr>
        <w:t>, gravidita a laktácia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  <w:u w:val="single"/>
        </w:rPr>
      </w:pPr>
      <w:r w:rsidRPr="00754142">
        <w:rPr>
          <w:b w:val="0"/>
          <w:color w:val="000000"/>
          <w:sz w:val="22"/>
          <w:szCs w:val="22"/>
          <w:u w:val="single"/>
        </w:rPr>
        <w:t>Gravidita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 xml:space="preserve">O používaní </w:t>
      </w:r>
      <w:proofErr w:type="spellStart"/>
      <w:r w:rsidRPr="00754142">
        <w:rPr>
          <w:color w:val="000000"/>
          <w:sz w:val="22"/>
          <w:szCs w:val="22"/>
        </w:rPr>
        <w:t>tiotropia</w:t>
      </w:r>
      <w:proofErr w:type="spellEnd"/>
      <w:r w:rsidRPr="00754142">
        <w:rPr>
          <w:color w:val="000000"/>
          <w:sz w:val="22"/>
          <w:szCs w:val="22"/>
        </w:rPr>
        <w:t xml:space="preserve"> u tehotných žien je veľmi obmedzené množstvo údajov. </w:t>
      </w:r>
      <w:r w:rsidRPr="00754142">
        <w:rPr>
          <w:b w:val="0"/>
          <w:bCs w:val="0"/>
          <w:color w:val="000000"/>
          <w:sz w:val="22"/>
          <w:szCs w:val="22"/>
        </w:rPr>
        <w:t xml:space="preserve">Štúdie na zvieratách nepreukázali žiadne priame alebo nepriame škodlivé účinky s ohľadom na reprodukčnú toxicitou v klinicky relevantných dávkach (pozri </w:t>
      </w:r>
      <w:r w:rsidR="00373BA5">
        <w:rPr>
          <w:b w:val="0"/>
          <w:bCs w:val="0"/>
          <w:color w:val="000000"/>
          <w:sz w:val="22"/>
          <w:szCs w:val="22"/>
        </w:rPr>
        <w:t xml:space="preserve">časť </w:t>
      </w:r>
      <w:r w:rsidRPr="00754142">
        <w:rPr>
          <w:b w:val="0"/>
          <w:bCs w:val="0"/>
          <w:color w:val="000000"/>
          <w:sz w:val="22"/>
          <w:szCs w:val="22"/>
        </w:rPr>
        <w:t xml:space="preserve">5.3). Ako preventívne opatrenie sa neodporúča používať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počas gravidity.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EB3BD9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>
        <w:rPr>
          <w:b w:val="0"/>
          <w:color w:val="000000"/>
          <w:sz w:val="22"/>
          <w:szCs w:val="22"/>
          <w:u w:val="single"/>
        </w:rPr>
        <w:t>Dojčenie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Nie je známe, či sa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vylučuje do ľudského materského mlieka. Napriek štúdiám na hlodavcoch, ktoré ukázali, že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 w:rsidDel="006E1D36">
        <w:rPr>
          <w:b w:val="0"/>
          <w:bCs w:val="0"/>
          <w:color w:val="000000"/>
          <w:sz w:val="22"/>
          <w:szCs w:val="22"/>
        </w:rPr>
        <w:t xml:space="preserve"> </w:t>
      </w:r>
      <w:r w:rsidRPr="00754142">
        <w:rPr>
          <w:b w:val="0"/>
          <w:bCs w:val="0"/>
          <w:color w:val="000000"/>
          <w:sz w:val="22"/>
          <w:szCs w:val="22"/>
        </w:rPr>
        <w:t xml:space="preserve">sa vylučuje do materského mlieka len v malých množstvách, sa použitie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počas </w:t>
      </w:r>
      <w:r w:rsidR="00EB3BD9">
        <w:rPr>
          <w:b w:val="0"/>
          <w:bCs w:val="0"/>
          <w:color w:val="000000"/>
          <w:sz w:val="22"/>
          <w:szCs w:val="22"/>
        </w:rPr>
        <w:t>dojčenia</w:t>
      </w:r>
      <w:r w:rsidR="00EB3BD9" w:rsidRPr="00754142">
        <w:rPr>
          <w:b w:val="0"/>
          <w:bCs w:val="0"/>
          <w:color w:val="000000"/>
          <w:sz w:val="22"/>
          <w:szCs w:val="22"/>
        </w:rPr>
        <w:t xml:space="preserve"> </w:t>
      </w:r>
      <w:r w:rsidRPr="00754142">
        <w:rPr>
          <w:b w:val="0"/>
          <w:bCs w:val="0"/>
          <w:color w:val="000000"/>
          <w:sz w:val="22"/>
          <w:szCs w:val="22"/>
        </w:rPr>
        <w:t xml:space="preserve">neodporúča.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dlhodobo pôsobiaca </w:t>
      </w:r>
      <w:r w:rsidRPr="00754142">
        <w:rPr>
          <w:b w:val="0"/>
          <w:bCs w:val="0"/>
          <w:color w:val="000000"/>
          <w:sz w:val="22"/>
          <w:szCs w:val="22"/>
        </w:rPr>
        <w:lastRenderedPageBreak/>
        <w:t xml:space="preserve">látka. Rozhodnutie o tom, či pokračovať/ukončiť dojčenie alebo pokračovať/ukončiť liečbu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má urobiť po zohľadnení prospechu dojčenia pre dieťa a prospechu liečby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pre ženu.</w:t>
      </w:r>
    </w:p>
    <w:p w:rsidR="004B4421" w:rsidRPr="00754142" w:rsidRDefault="004B4421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rPr>
          <w:sz w:val="22"/>
          <w:szCs w:val="22"/>
          <w:u w:val="single"/>
          <w:lang w:val="sk-SK"/>
        </w:rPr>
      </w:pPr>
      <w:proofErr w:type="spellStart"/>
      <w:r w:rsidRPr="00754142">
        <w:rPr>
          <w:sz w:val="22"/>
          <w:szCs w:val="22"/>
          <w:u w:val="single"/>
          <w:lang w:val="sk-SK"/>
        </w:rPr>
        <w:t>Fertilita</w:t>
      </w:r>
      <w:proofErr w:type="spellEnd"/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Pre </w:t>
      </w:r>
      <w:proofErr w:type="spellStart"/>
      <w:r w:rsidRPr="00754142">
        <w:rPr>
          <w:sz w:val="22"/>
          <w:szCs w:val="22"/>
          <w:lang w:val="sk-SK"/>
        </w:rPr>
        <w:t>tiotropium</w:t>
      </w:r>
      <w:proofErr w:type="spellEnd"/>
      <w:r w:rsidRPr="00754142">
        <w:rPr>
          <w:sz w:val="22"/>
          <w:szCs w:val="22"/>
          <w:lang w:val="sk-SK"/>
        </w:rPr>
        <w:t xml:space="preserve"> nie sú dostupné klinické údaje o </w:t>
      </w:r>
      <w:proofErr w:type="spellStart"/>
      <w:r w:rsidRPr="00754142">
        <w:rPr>
          <w:sz w:val="22"/>
          <w:szCs w:val="22"/>
          <w:lang w:val="sk-SK"/>
        </w:rPr>
        <w:t>fertilite</w:t>
      </w:r>
      <w:proofErr w:type="spellEnd"/>
      <w:r w:rsidRPr="00754142">
        <w:rPr>
          <w:sz w:val="22"/>
          <w:szCs w:val="22"/>
          <w:lang w:val="sk-SK"/>
        </w:rPr>
        <w:t>. Predklinická štúdia vykonaná s </w:t>
      </w:r>
      <w:proofErr w:type="spellStart"/>
      <w:r w:rsidRPr="00754142">
        <w:rPr>
          <w:sz w:val="22"/>
          <w:szCs w:val="22"/>
          <w:lang w:val="sk-SK"/>
        </w:rPr>
        <w:t>tiotropiom</w:t>
      </w:r>
      <w:proofErr w:type="spellEnd"/>
      <w:r w:rsidRPr="00754142">
        <w:rPr>
          <w:sz w:val="22"/>
          <w:szCs w:val="22"/>
          <w:lang w:val="sk-SK"/>
        </w:rPr>
        <w:t xml:space="preserve"> nepotvrdila žiadne známky nežiaduceho účinku na </w:t>
      </w:r>
      <w:proofErr w:type="spellStart"/>
      <w:r w:rsidRPr="00754142">
        <w:rPr>
          <w:sz w:val="22"/>
          <w:szCs w:val="22"/>
          <w:lang w:val="sk-SK"/>
        </w:rPr>
        <w:t>fertilitu</w:t>
      </w:r>
      <w:proofErr w:type="spellEnd"/>
      <w:r w:rsidRPr="00754142">
        <w:rPr>
          <w:sz w:val="22"/>
          <w:szCs w:val="22"/>
          <w:lang w:val="sk-SK"/>
        </w:rPr>
        <w:t xml:space="preserve"> (pozri časť 5.3).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Ovplyvnenie schopnosti viesť vozidlá a obsluhovať stroje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Neuskutočnili sa žiadne štúdie o účinkoch na schopnosť viesť vozidlá a obsluhovať stroje. Výskyt závratov, neostrého videnia alebo bolesti hlavy môže ovplyvňovať schopnosť viesť vozidlá a obsluhovať stroje.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 xml:space="preserve">Nežiaduce účinky 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>Súhrn profilu bezpečnosti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Mnohé z uvedených nežiaducich účinkov môžu byť pripísané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anticholinergickým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vlastnostiam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Spirivy</w:t>
      </w:r>
      <w:proofErr w:type="spellEnd"/>
      <w:r w:rsidR="00754142"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>Tabu</w:t>
      </w:r>
      <w:r w:rsidR="00754142" w:rsidRPr="00754142">
        <w:rPr>
          <w:b w:val="0"/>
          <w:bCs w:val="0"/>
          <w:color w:val="000000"/>
          <w:sz w:val="22"/>
          <w:szCs w:val="22"/>
          <w:u w:val="single"/>
        </w:rPr>
        <w:t>ľkový súhrn nežiaducich reakcií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Frekvencie prideľované nežiaducim účinkom uvedeným nižšie vychádzajú z približnej miery výskytu nežiaducich reakcií lieku (t.j. udalostí pripisovaných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), pozorovaných v skupine s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(9</w:t>
      </w:r>
      <w:r w:rsidR="00373BA5">
        <w:rPr>
          <w:b w:val="0"/>
          <w:bCs w:val="0"/>
          <w:color w:val="000000"/>
          <w:sz w:val="22"/>
          <w:szCs w:val="22"/>
        </w:rPr>
        <w:t> </w:t>
      </w:r>
      <w:r w:rsidRPr="00754142">
        <w:rPr>
          <w:b w:val="0"/>
          <w:bCs w:val="0"/>
          <w:color w:val="000000"/>
          <w:sz w:val="22"/>
          <w:szCs w:val="22"/>
        </w:rPr>
        <w:t>647</w:t>
      </w:r>
      <w:r w:rsidR="00373BA5">
        <w:rPr>
          <w:b w:val="0"/>
          <w:bCs w:val="0"/>
          <w:color w:val="000000"/>
          <w:sz w:val="22"/>
          <w:szCs w:val="22"/>
        </w:rPr>
        <w:t xml:space="preserve"> </w:t>
      </w:r>
      <w:r w:rsidRPr="00754142">
        <w:rPr>
          <w:b w:val="0"/>
          <w:bCs w:val="0"/>
          <w:color w:val="000000"/>
          <w:sz w:val="22"/>
          <w:szCs w:val="22"/>
        </w:rPr>
        <w:t xml:space="preserve">pacientov), získaných z 28 súhrnných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placebom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kontrolovaných klinických štúdií s trvaním liečby od štyroch týždňov do štyroch rokov.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Frekvencia je definovaná pomocou nasledovnej konvencie:</w:t>
      </w:r>
    </w:p>
    <w:p w:rsidR="00896DA8" w:rsidRPr="00754142" w:rsidDel="001844F9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Veľmi časté (≥1/10); časté (≥1/100 až &lt;1/10); menej časté (≥1/1 000 až &lt;1/100); zriedkavé (≥1/10 000 až &lt;1/1 000); veľmi zriedkavé (&lt;1/10 000), neznáme *(</w:t>
      </w:r>
      <w:r w:rsidR="00A52A72" w:rsidRPr="00A52A72">
        <w:t xml:space="preserve"> </w:t>
      </w:r>
      <w:r w:rsidR="00A52A72" w:rsidRPr="00A52A72">
        <w:rPr>
          <w:b w:val="0"/>
          <w:bCs w:val="0"/>
          <w:color w:val="000000"/>
          <w:sz w:val="22"/>
          <w:szCs w:val="22"/>
        </w:rPr>
        <w:t xml:space="preserve">nemožno odhadnúť </w:t>
      </w:r>
      <w:r w:rsidRPr="00754142">
        <w:rPr>
          <w:b w:val="0"/>
          <w:bCs w:val="0"/>
          <w:color w:val="000000"/>
          <w:sz w:val="22"/>
          <w:szCs w:val="22"/>
        </w:rPr>
        <w:t>z dostupných údajov).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  <w:bookmarkStart w:id="1" w:name="OLE_LINK1"/>
            <w:r w:rsidRPr="00754142">
              <w:rPr>
                <w:noProof/>
                <w:sz w:val="22"/>
                <w:szCs w:val="22"/>
              </w:rPr>
              <w:t>Trieda orgánových systémov</w:t>
            </w:r>
            <w:r w:rsidRPr="00754142">
              <w:rPr>
                <w:b w:val="0"/>
                <w:i/>
                <w:noProof/>
                <w:sz w:val="22"/>
                <w:szCs w:val="22"/>
              </w:rPr>
              <w:t>/</w:t>
            </w:r>
            <w:r w:rsidRPr="00754142">
              <w:rPr>
                <w:color w:val="000000"/>
                <w:sz w:val="22"/>
                <w:szCs w:val="22"/>
              </w:rPr>
              <w:t xml:space="preserve">Preferované pomenovanie podľa </w:t>
            </w:r>
            <w:proofErr w:type="spellStart"/>
            <w:r w:rsidRPr="00754142">
              <w:rPr>
                <w:color w:val="000000"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  <w:r w:rsidRPr="00754142">
              <w:rPr>
                <w:color w:val="000000"/>
                <w:sz w:val="22"/>
                <w:szCs w:val="22"/>
              </w:rPr>
              <w:t>Frekvencia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metabolizmu a výživy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Dehydratácia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nervového systému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Závrat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Bolesť hlavy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Poruchy chuti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Insomnia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oka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Rozmazané videnie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Glaukóm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Zvýšený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vnútroočný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tlak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srdca a srdcovej činnosti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  <w:u w:val="single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Atriálna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fibrilácia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  <w:u w:val="single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Supraventrikulárna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tachykardia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zriedkavé 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Tachykardia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Palpitácie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 xml:space="preserve">Poruchy dýchacej sústavy, hrudníka a </w:t>
            </w:r>
            <w:proofErr w:type="spellStart"/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lastRenderedPageBreak/>
              <w:t>mediastína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Faryngitída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Dysfónia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Kašeľ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Bronchospazmus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zriedkavé 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Epistaxa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bookmarkStart w:id="2" w:name="OLE_LINK3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  <w:bookmarkEnd w:id="2"/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Laryngitída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Sínusitída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zriedkavé 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 xml:space="preserve">Poruchy </w:t>
            </w:r>
            <w:proofErr w:type="spellStart"/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gastrointestinálneho</w:t>
            </w:r>
            <w:proofErr w:type="spellEnd"/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 xml:space="preserve"> traktu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Sucho v ústach 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Gastroezofageálny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reflux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menej časté 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Zápcha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menej časté </w:t>
            </w:r>
          </w:p>
        </w:tc>
      </w:tr>
      <w:tr w:rsidR="00896DA8" w:rsidRPr="00754142" w:rsidDel="008A5AD0" w:rsidTr="00872A70">
        <w:tc>
          <w:tcPr>
            <w:tcW w:w="4606" w:type="dxa"/>
          </w:tcPr>
          <w:p w:rsidR="00896DA8" w:rsidRPr="00754142" w:rsidDel="008A5AD0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Orofaryngeálna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4606" w:type="dxa"/>
          </w:tcPr>
          <w:p w:rsidR="00896DA8" w:rsidRPr="00754142" w:rsidDel="008A5AD0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Intestinálne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obštrukcie, vrátane paralytického </w:t>
            </w: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ilea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Gingivitída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Glositída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Dysfágia</w:t>
            </w:r>
            <w:proofErr w:type="spellEnd"/>
          </w:p>
        </w:tc>
        <w:tc>
          <w:tcPr>
            <w:tcW w:w="4606" w:type="dxa"/>
          </w:tcPr>
          <w:p w:rsidR="00896DA8" w:rsidRPr="00754142" w:rsidDel="00E17739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color w:val="000000"/>
                <w:sz w:val="22"/>
                <w:szCs w:val="22"/>
              </w:rPr>
              <w:t>Stomatitída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color w:val="000000"/>
              </w:rPr>
            </w:pPr>
            <w:proofErr w:type="spellStart"/>
            <w:r w:rsidRPr="00754142">
              <w:rPr>
                <w:b w:val="0"/>
                <w:color w:val="000000"/>
                <w:sz w:val="22"/>
                <w:szCs w:val="22"/>
              </w:rPr>
              <w:t>Nauzea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Zubný kaz</w:t>
            </w:r>
          </w:p>
        </w:tc>
        <w:tc>
          <w:tcPr>
            <w:tcW w:w="4606" w:type="dxa"/>
          </w:tcPr>
          <w:p w:rsidR="00896DA8" w:rsidRPr="00754142" w:rsidDel="00E17739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kože a podkožného tkaniva</w:t>
            </w:r>
          </w:p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imunitného systému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Vyrážka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menej časté 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Žihľavka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Svrbenie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Precitlivenosť (vrátane okamžitých reakcií)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Angioedém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Anafylaktická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reakcia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Infekcia kože, vred na koži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Suchá koža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kostrovej a svalovej sústavy a spojivového tkaniva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Opuch kĺbov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neznáme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Cs w:val="0"/>
                <w:color w:val="000000"/>
                <w:u w:val="single"/>
              </w:rPr>
            </w:pPr>
            <w:r w:rsidRPr="00754142">
              <w:rPr>
                <w:bCs w:val="0"/>
                <w:color w:val="000000"/>
                <w:sz w:val="22"/>
                <w:szCs w:val="22"/>
                <w:u w:val="single"/>
              </w:rPr>
              <w:t>Poruchy obličiek a močových ciest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Dysúria</w:t>
            </w:r>
            <w:proofErr w:type="spellEnd"/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proofErr w:type="spellStart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Retencia</w:t>
            </w:r>
            <w:proofErr w:type="spellEnd"/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 xml:space="preserve"> moču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menej časté</w:t>
            </w:r>
          </w:p>
        </w:tc>
      </w:tr>
      <w:tr w:rsidR="00896DA8" w:rsidRPr="00754142" w:rsidTr="00872A70"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Infekcie močových ciest</w:t>
            </w:r>
          </w:p>
        </w:tc>
        <w:tc>
          <w:tcPr>
            <w:tcW w:w="4606" w:type="dxa"/>
          </w:tcPr>
          <w:p w:rsidR="00896DA8" w:rsidRPr="00754142" w:rsidRDefault="00896DA8" w:rsidP="008C0A14">
            <w:pPr>
              <w:pStyle w:val="Nzov"/>
              <w:jc w:val="left"/>
              <w:rPr>
                <w:b w:val="0"/>
                <w:bCs w:val="0"/>
                <w:color w:val="000000"/>
              </w:rPr>
            </w:pPr>
            <w:r w:rsidRPr="00754142">
              <w:rPr>
                <w:b w:val="0"/>
                <w:bCs w:val="0"/>
                <w:color w:val="000000"/>
                <w:sz w:val="22"/>
                <w:szCs w:val="22"/>
              </w:rPr>
              <w:t>zriedkavé</w:t>
            </w:r>
          </w:p>
        </w:tc>
      </w:tr>
      <w:bookmarkEnd w:id="1"/>
    </w:tbl>
    <w:p w:rsidR="00896DA8" w:rsidRPr="00754142" w:rsidRDefault="00896DA8" w:rsidP="008C0A14">
      <w:pPr>
        <w:pStyle w:val="Nzov"/>
        <w:jc w:val="left"/>
        <w:rPr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>Popis vybraných nežiaducich reakcií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V kontrolovaných klinických štúdiách boli často pozorované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anticholinergické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nežiaduce účinky, ako je sucho v ústach, ktoré sa vysk</w:t>
      </w:r>
      <w:r w:rsidR="00754142" w:rsidRPr="00754142">
        <w:rPr>
          <w:b w:val="0"/>
          <w:bCs w:val="0"/>
          <w:color w:val="000000"/>
          <w:sz w:val="22"/>
          <w:szCs w:val="22"/>
        </w:rPr>
        <w:t>ytlo približne u 4 % pacientov.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V 28 klinických štúdiách viedlo sucho v ústach k prerušeniu liečby u 18 z 9 647 pacientov liečených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(0,2 %).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Závažné nežiaduce účinky súvisiace s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anticholinergickými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účinkami, zahŕňali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glaukóm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obstipáciu 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intestinálnu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obštrukciu vrátane paralytického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ilea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retencie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moču.</w:t>
      </w:r>
    </w:p>
    <w:p w:rsidR="00896DA8" w:rsidRPr="00754142" w:rsidRDefault="00896DA8" w:rsidP="008C0A14">
      <w:pPr>
        <w:rPr>
          <w:color w:val="0000FF"/>
          <w:sz w:val="22"/>
          <w:szCs w:val="22"/>
          <w:u w:val="single"/>
          <w:lang w:val="sk-SK"/>
        </w:rPr>
      </w:pPr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sz w:val="22"/>
          <w:szCs w:val="22"/>
          <w:u w:val="single"/>
          <w:lang w:val="sk-SK"/>
        </w:rPr>
        <w:t xml:space="preserve">Ďalšia </w:t>
      </w:r>
      <w:r w:rsidR="0059170E" w:rsidRPr="0059170E">
        <w:rPr>
          <w:sz w:val="22"/>
          <w:szCs w:val="22"/>
          <w:u w:val="single"/>
          <w:lang w:val="sk-SK"/>
        </w:rPr>
        <w:t>osobitná</w:t>
      </w:r>
      <w:r w:rsidRPr="00754142">
        <w:rPr>
          <w:sz w:val="22"/>
          <w:szCs w:val="22"/>
          <w:u w:val="single"/>
          <w:lang w:val="sk-SK"/>
        </w:rPr>
        <w:t xml:space="preserve"> skupina pacientov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So stúpajúcim vekom sa môže zvýšiť výskyt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anticholinergických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účinkov.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754142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896DA8" w:rsidRPr="00754142" w:rsidRDefault="00896DA8" w:rsidP="008C0A14">
      <w:pPr>
        <w:pStyle w:val="Nzov"/>
        <w:jc w:val="left"/>
        <w:rPr>
          <w:rStyle w:val="Hypertextovprepojenie"/>
          <w:b w:val="0"/>
          <w:color w:val="000000"/>
          <w:sz w:val="22"/>
          <w:szCs w:val="22"/>
        </w:rPr>
      </w:pPr>
      <w:r w:rsidRPr="00754142">
        <w:rPr>
          <w:b w:val="0"/>
          <w:noProof/>
          <w:sz w:val="22"/>
          <w:szCs w:val="22"/>
        </w:rPr>
        <w:t>Hlásenie podozrení na nežiaduce reakcie po registrácii lieku je dôležité.</w:t>
      </w:r>
      <w:r w:rsidRPr="00754142">
        <w:rPr>
          <w:b w:val="0"/>
          <w:sz w:val="22"/>
          <w:szCs w:val="22"/>
        </w:rPr>
        <w:t xml:space="preserve"> </w:t>
      </w:r>
      <w:r w:rsidRPr="00754142">
        <w:rPr>
          <w:b w:val="0"/>
          <w:noProof/>
          <w:sz w:val="22"/>
          <w:szCs w:val="22"/>
        </w:rPr>
        <w:t>Umožňuje priebežné monitorovanie pomeru prínosu</w:t>
      </w:r>
      <w:r w:rsidRPr="00754142">
        <w:rPr>
          <w:b w:val="0"/>
          <w:sz w:val="22"/>
          <w:szCs w:val="22"/>
        </w:rPr>
        <w:t xml:space="preserve"> a</w:t>
      </w:r>
      <w:r w:rsidRPr="00754142">
        <w:rPr>
          <w:b w:val="0"/>
          <w:noProof/>
          <w:sz w:val="22"/>
          <w:szCs w:val="22"/>
        </w:rPr>
        <w:t> rizika lieku.</w:t>
      </w:r>
      <w:r w:rsidRPr="00754142">
        <w:rPr>
          <w:b w:val="0"/>
          <w:sz w:val="22"/>
          <w:szCs w:val="22"/>
        </w:rPr>
        <w:t xml:space="preserve"> Od </w:t>
      </w:r>
      <w:r w:rsidRPr="00754142">
        <w:rPr>
          <w:b w:val="0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59170E">
        <w:rPr>
          <w:b w:val="0"/>
          <w:noProof/>
          <w:sz w:val="22"/>
          <w:szCs w:val="22"/>
        </w:rPr>
        <w:t>na</w:t>
      </w:r>
      <w:r w:rsidR="0059170E" w:rsidRPr="00754142">
        <w:rPr>
          <w:b w:val="0"/>
          <w:noProof/>
          <w:sz w:val="22"/>
          <w:szCs w:val="22"/>
        </w:rPr>
        <w:t xml:space="preserve"> </w:t>
      </w:r>
      <w:r w:rsidRPr="00754142">
        <w:rPr>
          <w:b w:val="0"/>
          <w:noProof/>
          <w:sz w:val="22"/>
          <w:szCs w:val="22"/>
          <w:highlight w:val="lightGray"/>
        </w:rPr>
        <w:t xml:space="preserve">národné </w:t>
      </w:r>
      <w:r w:rsidR="0059170E">
        <w:rPr>
          <w:b w:val="0"/>
          <w:noProof/>
          <w:sz w:val="22"/>
          <w:szCs w:val="22"/>
          <w:highlight w:val="lightGray"/>
        </w:rPr>
        <w:t>centrum</w:t>
      </w:r>
      <w:r w:rsidR="0059170E" w:rsidRPr="00754142">
        <w:rPr>
          <w:b w:val="0"/>
          <w:noProof/>
          <w:sz w:val="22"/>
          <w:szCs w:val="22"/>
          <w:highlight w:val="lightGray"/>
        </w:rPr>
        <w:t xml:space="preserve"> </w:t>
      </w:r>
      <w:r w:rsidRPr="00754142">
        <w:rPr>
          <w:b w:val="0"/>
          <w:noProof/>
          <w:sz w:val="22"/>
          <w:szCs w:val="22"/>
          <w:highlight w:val="lightGray"/>
        </w:rPr>
        <w:t>hlásenia uvedené v </w:t>
      </w:r>
      <w:hyperlink r:id="rId23" w:history="1">
        <w:r w:rsidRPr="00754142">
          <w:rPr>
            <w:rStyle w:val="Hypertextovprepojenie"/>
            <w:b w:val="0"/>
            <w:noProof/>
            <w:sz w:val="22"/>
            <w:szCs w:val="22"/>
            <w:highlight w:val="lightGray"/>
          </w:rPr>
          <w:t>P</w:t>
        </w:r>
        <w:proofErr w:type="spellStart"/>
        <w:r w:rsidRPr="00754142">
          <w:rPr>
            <w:rStyle w:val="Hypertextovprepojenie"/>
            <w:b w:val="0"/>
            <w:sz w:val="22"/>
            <w:szCs w:val="22"/>
            <w:highlight w:val="lightGray"/>
          </w:rPr>
          <w:t>rílohe</w:t>
        </w:r>
        <w:proofErr w:type="spellEnd"/>
        <w:r w:rsidRPr="00754142">
          <w:rPr>
            <w:rStyle w:val="Hypertextovprepojenie"/>
            <w:b w:val="0"/>
            <w:sz w:val="22"/>
            <w:szCs w:val="22"/>
            <w:highlight w:val="lightGray"/>
          </w:rPr>
          <w:t xml:space="preserve"> </w:t>
        </w:r>
        <w:r w:rsidRPr="00754142">
          <w:rPr>
            <w:rStyle w:val="Hypertextovprepojenie"/>
            <w:b w:val="0"/>
            <w:noProof/>
            <w:sz w:val="22"/>
            <w:szCs w:val="22"/>
            <w:highlight w:val="lightGray"/>
          </w:rPr>
          <w:t>V</w:t>
        </w:r>
      </w:hyperlink>
      <w:r w:rsidRPr="00754142">
        <w:rPr>
          <w:b w:val="0"/>
          <w:sz w:val="22"/>
          <w:szCs w:val="22"/>
          <w:highlight w:val="lightGray"/>
          <w:u w:val="single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Predávkovanie</w:t>
      </w: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Vysoké dávky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tiotropiumbromidu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</w:t>
      </w:r>
      <w:r w:rsidRPr="00754142">
        <w:rPr>
          <w:color w:val="000000"/>
          <w:sz w:val="22"/>
          <w:szCs w:val="22"/>
          <w:lang w:val="sk-SK"/>
        </w:rPr>
        <w:t>môžu viesť k </w:t>
      </w:r>
      <w:proofErr w:type="spellStart"/>
      <w:r w:rsidRPr="00754142">
        <w:rPr>
          <w:color w:val="000000"/>
          <w:sz w:val="22"/>
          <w:szCs w:val="22"/>
          <w:lang w:val="sk-SK"/>
        </w:rPr>
        <w:t>anticholinergickým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r w:rsidR="0059170E" w:rsidRPr="0059170E">
        <w:rPr>
          <w:color w:val="000000"/>
          <w:sz w:val="22"/>
          <w:szCs w:val="22"/>
          <w:lang w:val="sk-SK"/>
        </w:rPr>
        <w:t>prejavom</w:t>
      </w:r>
      <w:r w:rsidRPr="00754142">
        <w:rPr>
          <w:color w:val="000000"/>
          <w:sz w:val="22"/>
          <w:szCs w:val="22"/>
          <w:lang w:val="sk-SK"/>
        </w:rPr>
        <w:t xml:space="preserve"> a príznakom.</w:t>
      </w: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U zdravých dobrovoľníkov sa však nevyskytol žiadny nežiaduci systémový </w:t>
      </w:r>
      <w:proofErr w:type="spellStart"/>
      <w:r w:rsidRPr="00754142">
        <w:rPr>
          <w:color w:val="000000"/>
          <w:sz w:val="22"/>
          <w:szCs w:val="22"/>
          <w:lang w:val="sk-SK"/>
        </w:rPr>
        <w:t>anticholinergický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účinok po jednorazovej inhalačnej dávke do 340 </w:t>
      </w:r>
      <w:proofErr w:type="spellStart"/>
      <w:r w:rsidRPr="00754142">
        <w:rPr>
          <w:color w:val="000000"/>
          <w:sz w:val="22"/>
          <w:szCs w:val="22"/>
          <w:lang w:val="sk-SK"/>
        </w:rPr>
        <w:t>mikrogramov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tiotropiumbromidu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. Navyše sa u zdravých dobrovoľníkov nepozorovali žiadne relevantné nežiaduce účinky, okrem sucha v ústach po 7-dňovej liečbe pri dávkovaní do 170 </w:t>
      </w:r>
      <w:proofErr w:type="spellStart"/>
      <w:r w:rsidRPr="00754142">
        <w:rPr>
          <w:color w:val="000000"/>
          <w:sz w:val="22"/>
          <w:szCs w:val="22"/>
          <w:lang w:val="sk-SK"/>
        </w:rPr>
        <w:t>mikrogramov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tiotropiumbromidu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. V štúdiách s opakovaným podávaním sa u pacientov s CHOCHP s maximálnou dennou dávkou 43 </w:t>
      </w:r>
      <w:proofErr w:type="spellStart"/>
      <w:r w:rsidRPr="00754142">
        <w:rPr>
          <w:color w:val="000000"/>
          <w:sz w:val="22"/>
          <w:szCs w:val="22"/>
          <w:lang w:val="sk-SK"/>
        </w:rPr>
        <w:t>mikrogramov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tiotropiumbromidu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dlhšie ako štyri týždne, nepozorovali žiadne </w:t>
      </w:r>
      <w:proofErr w:type="spellStart"/>
      <w:r w:rsidRPr="00754142">
        <w:rPr>
          <w:color w:val="000000"/>
          <w:sz w:val="22"/>
          <w:szCs w:val="22"/>
          <w:lang w:val="sk-SK"/>
        </w:rPr>
        <w:t>signifikantné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nežiaduce účinky.</w:t>
      </w: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Akútna intoxikácia neúmyselným perorálnym užitím kapsúl </w:t>
      </w:r>
      <w:proofErr w:type="spellStart"/>
      <w:r w:rsidRPr="00754142">
        <w:rPr>
          <w:color w:val="000000"/>
          <w:sz w:val="22"/>
          <w:szCs w:val="22"/>
          <w:lang w:val="sk-SK"/>
        </w:rPr>
        <w:t>tiotropiumbromidu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je nepravdepodobná  z dôvodu nízkej biologickej dostupnosti po perorálnom užití.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0"/>
          <w:numId w:val="1"/>
        </w:numPr>
        <w:tabs>
          <w:tab w:val="clear" w:pos="397"/>
          <w:tab w:val="num" w:pos="567"/>
        </w:tabs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FARMAKOLOGICKÉ VLASTNOSTI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5.1</w:t>
      </w:r>
      <w:r w:rsidRPr="00754142">
        <w:rPr>
          <w:color w:val="000000"/>
          <w:sz w:val="22"/>
          <w:szCs w:val="22"/>
        </w:rPr>
        <w:tab/>
      </w:r>
      <w:proofErr w:type="spellStart"/>
      <w:r w:rsidRPr="00754142">
        <w:rPr>
          <w:color w:val="000000"/>
          <w:sz w:val="22"/>
          <w:szCs w:val="22"/>
        </w:rPr>
        <w:t>Farmakodynamické</w:t>
      </w:r>
      <w:proofErr w:type="spellEnd"/>
      <w:r w:rsidRPr="00754142">
        <w:rPr>
          <w:color w:val="000000"/>
          <w:sz w:val="22"/>
          <w:szCs w:val="22"/>
        </w:rPr>
        <w:t xml:space="preserve"> vlastnosti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59170E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Farmakoterapeutická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skupina: Iné inhalačné </w:t>
      </w:r>
      <w:proofErr w:type="spellStart"/>
      <w:r w:rsidR="0059170E" w:rsidRPr="0059170E">
        <w:rPr>
          <w:b w:val="0"/>
          <w:bCs w:val="0"/>
          <w:color w:val="000000"/>
          <w:sz w:val="22"/>
          <w:szCs w:val="22"/>
        </w:rPr>
        <w:t>antiastmatiká</w:t>
      </w:r>
      <w:proofErr w:type="spellEnd"/>
      <w:r w:rsidR="00F16F38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="00F16F38">
        <w:rPr>
          <w:b w:val="0"/>
          <w:bCs w:val="0"/>
          <w:color w:val="000000"/>
          <w:sz w:val="22"/>
          <w:szCs w:val="22"/>
        </w:rPr>
        <w:t>anticholinergiká</w:t>
      </w:r>
      <w:proofErr w:type="spellEnd"/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ATC kód: R03BB04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sz w:val="22"/>
          <w:szCs w:val="22"/>
          <w:u w:val="single"/>
        </w:rPr>
        <w:t>Spôsob účinku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dlhodobo pôsobiaci špecifický antagonista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muskarínových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receptorov, v klinickej medicíne často nazývaný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anticholinergikum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. Väzbou na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muskarínové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receptory hladkého svalstva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bronchov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inhibuje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cholinergické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bronchokonstrikčné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) účinky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acetylcholínu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, uvoľneného z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parasympatikových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nervových zakončení. Má podobnú afinitu k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subtypom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muskarínových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receptorov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1 </w:t>
      </w:r>
      <w:r w:rsidRPr="00754142">
        <w:rPr>
          <w:b w:val="0"/>
          <w:bCs w:val="0"/>
          <w:color w:val="000000"/>
          <w:sz w:val="22"/>
          <w:szCs w:val="22"/>
        </w:rPr>
        <w:t>–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5 </w:t>
      </w:r>
      <w:r w:rsidRPr="00754142">
        <w:rPr>
          <w:b w:val="0"/>
          <w:bCs w:val="0"/>
          <w:color w:val="000000"/>
          <w:sz w:val="22"/>
          <w:szCs w:val="22"/>
        </w:rPr>
        <w:t xml:space="preserve">. V dýchacích cestách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kompetitívne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reverzibilne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antagonizuje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3 </w:t>
      </w:r>
      <w:r w:rsidRPr="00754142">
        <w:rPr>
          <w:b w:val="0"/>
          <w:bCs w:val="0"/>
          <w:color w:val="000000"/>
          <w:sz w:val="22"/>
          <w:szCs w:val="22"/>
        </w:rPr>
        <w:t xml:space="preserve">receptory, čo má za následok relaxáciu. Účinok je závislý od dávky a trvá dlhšie než 24 hodín. Dlhotrvajúci účinok je spôsobený pravdepodobne veľmi pomalou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disociáciou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z 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3</w:t>
      </w:r>
      <w:r w:rsidRPr="00754142">
        <w:rPr>
          <w:b w:val="0"/>
          <w:bCs w:val="0"/>
          <w:color w:val="000000"/>
          <w:sz w:val="22"/>
          <w:szCs w:val="22"/>
        </w:rPr>
        <w:t xml:space="preserve"> receptorov a má preukázateľne významne dlhší polčas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disociácie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než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ipratropium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ako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N-kvartérne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anticholinergikum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topicky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-) selektívny pri inhalačnom podávaní, čím je daný akceptovateľný terapeutický rozsah, </w:t>
      </w:r>
      <w:r w:rsidR="00BB4CF3" w:rsidRPr="00BB4CF3">
        <w:rPr>
          <w:b w:val="0"/>
          <w:bCs w:val="0"/>
          <w:color w:val="000000"/>
          <w:sz w:val="22"/>
          <w:szCs w:val="22"/>
        </w:rPr>
        <w:t xml:space="preserve">predtým, ako </w:t>
      </w:r>
      <w:r w:rsidRPr="00754142">
        <w:rPr>
          <w:b w:val="0"/>
          <w:bCs w:val="0"/>
          <w:color w:val="000000"/>
          <w:sz w:val="22"/>
          <w:szCs w:val="22"/>
        </w:rPr>
        <w:t>sa prejavia syst</w:t>
      </w:r>
      <w:r w:rsidR="00754142" w:rsidRPr="00754142">
        <w:rPr>
          <w:b w:val="0"/>
          <w:bCs w:val="0"/>
          <w:color w:val="000000"/>
          <w:sz w:val="22"/>
          <w:szCs w:val="22"/>
        </w:rPr>
        <w:t xml:space="preserve">émové </w:t>
      </w:r>
      <w:proofErr w:type="spellStart"/>
      <w:r w:rsidR="00754142" w:rsidRPr="00754142">
        <w:rPr>
          <w:b w:val="0"/>
          <w:bCs w:val="0"/>
          <w:color w:val="000000"/>
          <w:sz w:val="22"/>
          <w:szCs w:val="22"/>
        </w:rPr>
        <w:t>anticholinergické</w:t>
      </w:r>
      <w:proofErr w:type="spellEnd"/>
      <w:r w:rsidR="00754142" w:rsidRPr="00754142">
        <w:rPr>
          <w:b w:val="0"/>
          <w:bCs w:val="0"/>
          <w:color w:val="000000"/>
          <w:sz w:val="22"/>
          <w:szCs w:val="22"/>
        </w:rPr>
        <w:t xml:space="preserve"> účinky.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noProof/>
          <w:sz w:val="22"/>
          <w:szCs w:val="22"/>
          <w:u w:val="single"/>
        </w:rPr>
        <w:t>Farmakodynamické účinky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Bronchodilatácia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prevažne lokálna (v dýc</w:t>
      </w:r>
      <w:r w:rsidR="00754142" w:rsidRPr="00754142">
        <w:rPr>
          <w:b w:val="0"/>
          <w:bCs w:val="0"/>
          <w:color w:val="000000"/>
          <w:sz w:val="22"/>
          <w:szCs w:val="22"/>
        </w:rPr>
        <w:t>hacích cestách), nie systémová.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Uvoľňovanie z receptorov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2</w:t>
      </w:r>
      <w:r w:rsidRPr="00754142">
        <w:rPr>
          <w:b w:val="0"/>
          <w:bCs w:val="0"/>
          <w:color w:val="000000"/>
          <w:sz w:val="22"/>
          <w:szCs w:val="22"/>
        </w:rPr>
        <w:t xml:space="preserve"> je rýchlejšie ako z receptorov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3</w:t>
      </w:r>
      <w:r w:rsidRPr="00754142">
        <w:rPr>
          <w:b w:val="0"/>
          <w:bCs w:val="0"/>
          <w:color w:val="000000"/>
          <w:sz w:val="22"/>
          <w:szCs w:val="22"/>
        </w:rPr>
        <w:t xml:space="preserve">, z čoho sa vo funkčných </w:t>
      </w:r>
      <w:r w:rsidRPr="00754142">
        <w:rPr>
          <w:b w:val="0"/>
          <w:bCs w:val="0"/>
          <w:i/>
          <w:color w:val="000000"/>
          <w:sz w:val="22"/>
          <w:szCs w:val="22"/>
        </w:rPr>
        <w:t xml:space="preserve">in </w:t>
      </w:r>
      <w:proofErr w:type="spellStart"/>
      <w:r w:rsidRPr="00754142">
        <w:rPr>
          <w:b w:val="0"/>
          <w:bCs w:val="0"/>
          <w:i/>
          <w:color w:val="000000"/>
          <w:sz w:val="22"/>
          <w:szCs w:val="22"/>
        </w:rPr>
        <w:t>vitro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štúdiách vyvodila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receptorová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selektivita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(pri kinetickej kontrole) k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subtypu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3</w:t>
      </w:r>
      <w:r w:rsidRPr="00754142">
        <w:rPr>
          <w:b w:val="0"/>
          <w:bCs w:val="0"/>
          <w:color w:val="000000"/>
          <w:sz w:val="22"/>
          <w:szCs w:val="22"/>
        </w:rPr>
        <w:t xml:space="preserve"> oproti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subtypu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M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2</w:t>
      </w:r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Klinickým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korelátorom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vysokej účinnosti a pomalého uvoľňovania je významná dlhodobá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bronchodilatácia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u pacientov s </w:t>
      </w:r>
      <w:r w:rsidR="00754142" w:rsidRPr="00754142">
        <w:rPr>
          <w:b w:val="0"/>
          <w:bCs w:val="0"/>
          <w:color w:val="000000"/>
          <w:sz w:val="22"/>
          <w:szCs w:val="22"/>
        </w:rPr>
        <w:t>CHOCHP.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i/>
          <w:sz w:val="22"/>
          <w:szCs w:val="22"/>
        </w:rPr>
      </w:pPr>
      <w:proofErr w:type="spellStart"/>
      <w:r w:rsidRPr="00754142">
        <w:rPr>
          <w:b w:val="0"/>
          <w:bCs w:val="0"/>
          <w:i/>
          <w:sz w:val="22"/>
          <w:szCs w:val="22"/>
        </w:rPr>
        <w:t>Elektrofyziológia</w:t>
      </w:r>
      <w:proofErr w:type="spellEnd"/>
      <w:r w:rsidRPr="00754142">
        <w:rPr>
          <w:b w:val="0"/>
          <w:bCs w:val="0"/>
          <w:i/>
          <w:sz w:val="22"/>
          <w:szCs w:val="22"/>
        </w:rPr>
        <w:t xml:space="preserve"> srdca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proofErr w:type="spellStart"/>
      <w:r w:rsidRPr="00754142">
        <w:rPr>
          <w:b w:val="0"/>
          <w:bCs w:val="0"/>
          <w:sz w:val="22"/>
          <w:szCs w:val="22"/>
        </w:rPr>
        <w:t>Elektrofyziológia</w:t>
      </w:r>
      <w:proofErr w:type="spellEnd"/>
      <w:r w:rsidRPr="00754142">
        <w:rPr>
          <w:b w:val="0"/>
          <w:bCs w:val="0"/>
          <w:sz w:val="22"/>
          <w:szCs w:val="22"/>
        </w:rPr>
        <w:t xml:space="preserve">: V štúdii zameranej na QT interval, zahŕňajúcej 53 zdravých dobrovoľníkov neviedlo podávanie </w:t>
      </w:r>
      <w:proofErr w:type="spellStart"/>
      <w:r w:rsidRPr="00754142">
        <w:rPr>
          <w:b w:val="0"/>
          <w:bCs w:val="0"/>
          <w:sz w:val="22"/>
          <w:szCs w:val="22"/>
        </w:rPr>
        <w:t>S</w:t>
      </w:r>
      <w:r w:rsidR="00AC190D" w:rsidRPr="00754142">
        <w:rPr>
          <w:b w:val="0"/>
          <w:bCs w:val="0"/>
          <w:sz w:val="22"/>
          <w:szCs w:val="22"/>
        </w:rPr>
        <w:t>pirivy</w:t>
      </w:r>
      <w:proofErr w:type="spellEnd"/>
      <w:r w:rsidRPr="00754142">
        <w:rPr>
          <w:b w:val="0"/>
          <w:bCs w:val="0"/>
          <w:sz w:val="22"/>
          <w:szCs w:val="22"/>
        </w:rPr>
        <w:t xml:space="preserve"> v dávke18 </w:t>
      </w:r>
      <w:proofErr w:type="spellStart"/>
      <w:r w:rsidRPr="00754142">
        <w:rPr>
          <w:b w:val="0"/>
          <w:bCs w:val="0"/>
          <w:sz w:val="22"/>
          <w:szCs w:val="22"/>
        </w:rPr>
        <w:t>mikrogramov</w:t>
      </w:r>
      <w:proofErr w:type="spellEnd"/>
      <w:r w:rsidRPr="00754142">
        <w:rPr>
          <w:b w:val="0"/>
          <w:bCs w:val="0"/>
          <w:sz w:val="22"/>
          <w:szCs w:val="22"/>
        </w:rPr>
        <w:t xml:space="preserve"> a 54 </w:t>
      </w:r>
      <w:proofErr w:type="spellStart"/>
      <w:r w:rsidRPr="00754142">
        <w:rPr>
          <w:b w:val="0"/>
          <w:bCs w:val="0"/>
          <w:sz w:val="22"/>
          <w:szCs w:val="22"/>
        </w:rPr>
        <w:t>mikrogramov</w:t>
      </w:r>
      <w:proofErr w:type="spellEnd"/>
      <w:r w:rsidRPr="00754142">
        <w:rPr>
          <w:b w:val="0"/>
          <w:bCs w:val="0"/>
          <w:sz w:val="22"/>
          <w:szCs w:val="22"/>
        </w:rPr>
        <w:t xml:space="preserve"> (t.j. trojnásobok terapeutickej dávky) počas 12 dní k významnému predĺženiu QT intervalu na EKG.</w:t>
      </w:r>
    </w:p>
    <w:p w:rsidR="009E472A" w:rsidRDefault="009E472A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912BB6" w:rsidRDefault="00912BB6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912BB6" w:rsidRPr="00754142" w:rsidRDefault="00912BB6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sz w:val="22"/>
          <w:szCs w:val="22"/>
          <w:u w:val="single"/>
        </w:rPr>
      </w:pPr>
      <w:r w:rsidRPr="00754142">
        <w:rPr>
          <w:b w:val="0"/>
          <w:sz w:val="22"/>
          <w:szCs w:val="22"/>
          <w:u w:val="single"/>
        </w:rPr>
        <w:lastRenderedPageBreak/>
        <w:t>Klinická účinnosť a bezpečnosť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Klinický vývojový program pozostával zo štyroch jednoročných a dvoch šesťmesačných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randomizovaných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dvojito zaslepených štúdii s 2663 pacientmi (1308 užívalo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). Jednoročný program pozostával z dvoch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placebom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kontrolovaných štúdií a dvoch štúdií s aktívnou kontrolou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ipratropium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). Obidve šesťmesačné štúdie boli kontrolované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salmeterolom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placebom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. Tieto štúdie zahŕňali hodnotenie pľúcnych funkcií a ukazovateľa zdravotného stavu, ako je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dyspnoe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exacerbácie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kvalita života v s</w:t>
      </w:r>
      <w:r w:rsidR="00754142" w:rsidRPr="00754142">
        <w:rPr>
          <w:b w:val="0"/>
          <w:bCs w:val="0"/>
          <w:color w:val="000000"/>
          <w:sz w:val="22"/>
          <w:szCs w:val="22"/>
        </w:rPr>
        <w:t>úvislosti so zdravotným stavom.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i/>
          <w:color w:val="000000"/>
          <w:sz w:val="22"/>
          <w:szCs w:val="22"/>
        </w:rPr>
      </w:pPr>
      <w:r w:rsidRPr="00754142">
        <w:rPr>
          <w:b w:val="0"/>
          <w:bCs w:val="0"/>
          <w:i/>
          <w:color w:val="000000"/>
          <w:sz w:val="22"/>
          <w:szCs w:val="22"/>
        </w:rPr>
        <w:t>Pľúcne funkcie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Podávanie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jedenkrát denne počas 30 minút po podaní prvej dávky prinieslo významné zlepšenie pľúcnych funkcií (for</w:t>
      </w:r>
      <w:r w:rsidR="00F16F38">
        <w:rPr>
          <w:b w:val="0"/>
          <w:bCs w:val="0"/>
          <w:color w:val="000000"/>
          <w:sz w:val="22"/>
          <w:szCs w:val="22"/>
        </w:rPr>
        <w:t xml:space="preserve">sírovaný expiračný objem počas </w:t>
      </w:r>
      <w:r w:rsidRPr="00754142">
        <w:rPr>
          <w:b w:val="0"/>
          <w:bCs w:val="0"/>
          <w:color w:val="000000"/>
          <w:sz w:val="22"/>
          <w:szCs w:val="22"/>
        </w:rPr>
        <w:t>prvej sekundy - FEV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1</w:t>
      </w:r>
      <w:r w:rsidRPr="00754142">
        <w:rPr>
          <w:b w:val="0"/>
          <w:bCs w:val="0"/>
          <w:color w:val="000000"/>
          <w:sz w:val="22"/>
          <w:szCs w:val="22"/>
        </w:rPr>
        <w:t xml:space="preserve"> a forsírovaná vitálna kapacita FVC) trvajúce 24 hodín.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Farmakodynamicky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rovnovážny stav sa dosiahol počas prvého týždňa s prevažujúcou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bronchodilatáciou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na tretí deň. Podľa záznamov v pacientsk</w:t>
      </w:r>
      <w:r w:rsidR="00BB4CF3">
        <w:rPr>
          <w:b w:val="0"/>
          <w:bCs w:val="0"/>
          <w:color w:val="000000"/>
          <w:sz w:val="22"/>
          <w:szCs w:val="22"/>
        </w:rPr>
        <w:t>y</w:t>
      </w:r>
      <w:r w:rsidRPr="00754142">
        <w:rPr>
          <w:b w:val="0"/>
          <w:bCs w:val="0"/>
          <w:color w:val="000000"/>
          <w:sz w:val="22"/>
          <w:szCs w:val="22"/>
        </w:rPr>
        <w:t xml:space="preserve">ch denníkoch sa ukázalo, že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signifikantne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zlepšuje rannú a večernú PEFR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peak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expiratory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flow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rate, vrcholová výdychová rýchlosť).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Bronchodilatačný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účinok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pozoroval počas jedného roka podávania bez znakov vzniku tolerancie.</w:t>
      </w:r>
    </w:p>
    <w:p w:rsidR="00896DA8" w:rsidRPr="00754142" w:rsidRDefault="00896DA8" w:rsidP="00754142">
      <w:pPr>
        <w:shd w:val="clear" w:color="auto" w:fill="FFFFFF"/>
        <w:tabs>
          <w:tab w:val="left" w:pos="708"/>
        </w:tabs>
        <w:rPr>
          <w:color w:val="000000"/>
          <w:sz w:val="22"/>
          <w:szCs w:val="22"/>
          <w:lang w:val="sk-SK"/>
        </w:rPr>
      </w:pPr>
    </w:p>
    <w:p w:rsidR="00896DA8" w:rsidRPr="00754142" w:rsidRDefault="00896DA8" w:rsidP="00754142">
      <w:pPr>
        <w:shd w:val="clear" w:color="auto" w:fill="FFFFFF"/>
        <w:tabs>
          <w:tab w:val="left" w:pos="708"/>
        </w:tabs>
        <w:rPr>
          <w:bCs/>
          <w:color w:val="000000"/>
          <w:sz w:val="22"/>
          <w:szCs w:val="22"/>
          <w:lang w:val="sk-SK"/>
        </w:rPr>
      </w:pPr>
      <w:proofErr w:type="spellStart"/>
      <w:r w:rsidRPr="00754142">
        <w:rPr>
          <w:bCs/>
          <w:color w:val="000000"/>
          <w:sz w:val="22"/>
          <w:szCs w:val="22"/>
          <w:lang w:val="sk-SK"/>
        </w:rPr>
        <w:t>Randomizovaná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placebom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kontrolovaná klinická štúdia so 105 pacientmi s CHOCHP potvrdila</w:t>
      </w:r>
    </w:p>
    <w:p w:rsidR="00896DA8" w:rsidRPr="00754142" w:rsidRDefault="00896DA8" w:rsidP="00754142">
      <w:pPr>
        <w:shd w:val="clear" w:color="auto" w:fill="FFFFFF"/>
        <w:tabs>
          <w:tab w:val="left" w:pos="708"/>
        </w:tabs>
        <w:rPr>
          <w:noProof/>
          <w:color w:val="000000"/>
          <w:sz w:val="22"/>
          <w:szCs w:val="22"/>
          <w:lang w:val="sk-SK"/>
        </w:rPr>
      </w:pPr>
      <w:r w:rsidRPr="00754142">
        <w:rPr>
          <w:bCs/>
          <w:color w:val="000000"/>
          <w:sz w:val="22"/>
          <w:szCs w:val="22"/>
          <w:lang w:val="sk-SK"/>
        </w:rPr>
        <w:t xml:space="preserve">zachovanie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bronchodilatácie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počas 24 hodinového dávkovacieho intervalu v porovnaní s 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placebom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bez ohľadu na to, či sa liek použil ráno alebo večer.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> </w:t>
      </w:r>
      <w:r w:rsidR="009E472A">
        <w:rPr>
          <w:color w:val="000000"/>
          <w:sz w:val="22"/>
          <w:szCs w:val="22"/>
          <w:u w:val="single"/>
          <w:lang w:val="sk-SK"/>
        </w:rPr>
        <w:t>K</w:t>
      </w:r>
      <w:r w:rsidRPr="00754142">
        <w:rPr>
          <w:color w:val="000000"/>
          <w:sz w:val="22"/>
          <w:szCs w:val="22"/>
          <w:u w:val="single"/>
          <w:lang w:val="sk-SK"/>
        </w:rPr>
        <w:t>linické štúdie</w:t>
      </w:r>
      <w:r w:rsidR="009E472A">
        <w:rPr>
          <w:color w:val="000000"/>
          <w:sz w:val="22"/>
          <w:szCs w:val="22"/>
          <w:u w:val="single"/>
          <w:lang w:val="sk-SK"/>
        </w:rPr>
        <w:t xml:space="preserve"> (do 12 mesiacov)</w:t>
      </w:r>
      <w:r w:rsidRPr="00754142">
        <w:rPr>
          <w:color w:val="000000"/>
          <w:sz w:val="22"/>
          <w:szCs w:val="22"/>
          <w:u w:val="single"/>
          <w:lang w:val="sk-SK"/>
        </w:rPr>
        <w:t>:</w:t>
      </w: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proofErr w:type="spellStart"/>
      <w:r w:rsidRPr="00754142">
        <w:rPr>
          <w:color w:val="000000"/>
          <w:sz w:val="22"/>
          <w:szCs w:val="22"/>
          <w:lang w:val="sk-SK"/>
        </w:rPr>
        <w:t>Dyspnoe</w:t>
      </w:r>
      <w:proofErr w:type="spellEnd"/>
      <w:r w:rsidRPr="00754142">
        <w:rPr>
          <w:color w:val="000000"/>
          <w:sz w:val="22"/>
          <w:szCs w:val="22"/>
          <w:lang w:val="sk-SK"/>
        </w:rPr>
        <w:t>, tolerancia fyzickej záťaže</w:t>
      </w: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proofErr w:type="spellStart"/>
      <w:r w:rsidRPr="00754142">
        <w:rPr>
          <w:color w:val="000000"/>
          <w:sz w:val="22"/>
          <w:szCs w:val="22"/>
          <w:lang w:val="sk-SK"/>
        </w:rPr>
        <w:t>Tiotropiumbromid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signifikantne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zlepšil </w:t>
      </w:r>
      <w:proofErr w:type="spellStart"/>
      <w:r w:rsidRPr="00754142">
        <w:rPr>
          <w:color w:val="000000"/>
          <w:sz w:val="22"/>
          <w:szCs w:val="22"/>
          <w:lang w:val="sk-SK"/>
        </w:rPr>
        <w:t>dyspnoe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(hodnotené použitím indexu </w:t>
      </w:r>
      <w:proofErr w:type="spellStart"/>
      <w:r w:rsidRPr="00754142">
        <w:rPr>
          <w:color w:val="000000"/>
          <w:sz w:val="22"/>
          <w:szCs w:val="22"/>
          <w:lang w:val="sk-SK"/>
        </w:rPr>
        <w:t>Transition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Dyspnoea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Index). Toto zlepšenie sa udržalo počas celého obdobia liečby.</w:t>
      </w:r>
    </w:p>
    <w:p w:rsidR="00896DA8" w:rsidRPr="00754142" w:rsidRDefault="00896DA8" w:rsidP="008C0A14">
      <w:pPr>
        <w:ind w:left="360"/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bCs/>
          <w:color w:val="000000"/>
          <w:sz w:val="22"/>
          <w:szCs w:val="22"/>
          <w:lang w:val="sk-SK"/>
        </w:rPr>
      </w:pPr>
      <w:r w:rsidRPr="00754142">
        <w:rPr>
          <w:bCs/>
          <w:color w:val="000000"/>
          <w:sz w:val="22"/>
          <w:szCs w:val="22"/>
          <w:lang w:val="sk-SK"/>
        </w:rPr>
        <w:t xml:space="preserve">Dopad zlepšenia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dyspnoe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na toleranciu fyzickej záťaže sa skúmal v dvoch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randomizovaných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, dvojito zaslepených,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placebom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kontrolovaných štúdiách so 433 pacientmi so stredne ťažkou až ťažkou CHOCHP. V týchto štúdiách, počas bicyklovej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ergometrie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, šesť týždňová liečba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S</w:t>
      </w:r>
      <w:r w:rsidR="009A22B4" w:rsidRPr="00754142">
        <w:rPr>
          <w:bCs/>
          <w:color w:val="000000"/>
          <w:sz w:val="22"/>
          <w:szCs w:val="22"/>
          <w:lang w:val="sk-SK"/>
        </w:rPr>
        <w:t>pirivou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výrazne predĺžila symptómom limitovaný čas tolerancie fyzickej záťaže o 19,7 % (štúdia A) a o 28,3 % (štúdia B) na 75 % maximálnej funkčnej kapacity v porovnaní s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placebom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Kvalita života </w:t>
      </w:r>
      <w:r w:rsidR="00BB4CF3" w:rsidRPr="00BB4CF3">
        <w:rPr>
          <w:sz w:val="22"/>
          <w:szCs w:val="22"/>
          <w:lang w:val="sk-SK"/>
        </w:rPr>
        <w:t>súvisiaca s liečbou</w:t>
      </w:r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V 9-mesačnej </w:t>
      </w:r>
      <w:proofErr w:type="spellStart"/>
      <w:r w:rsidRPr="00754142">
        <w:rPr>
          <w:sz w:val="22"/>
          <w:szCs w:val="22"/>
          <w:lang w:val="sk-SK"/>
        </w:rPr>
        <w:t>randomizovanej</w:t>
      </w:r>
      <w:proofErr w:type="spellEnd"/>
      <w:r w:rsidRPr="00754142">
        <w:rPr>
          <w:sz w:val="22"/>
          <w:szCs w:val="22"/>
          <w:lang w:val="sk-SK"/>
        </w:rPr>
        <w:t xml:space="preserve">, dvojito zaslepenej, 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kontrolovanej klinickej štúdii so 492 pacientmi, </w:t>
      </w:r>
      <w:proofErr w:type="spellStart"/>
      <w:r w:rsidRPr="00754142">
        <w:rPr>
          <w:sz w:val="22"/>
          <w:szCs w:val="22"/>
          <w:lang w:val="sk-SK"/>
        </w:rPr>
        <w:t>Spiriva</w:t>
      </w:r>
      <w:proofErr w:type="spellEnd"/>
      <w:r w:rsidRPr="00754142">
        <w:rPr>
          <w:sz w:val="22"/>
          <w:szCs w:val="22"/>
          <w:lang w:val="sk-SK"/>
        </w:rPr>
        <w:t xml:space="preserve"> zlepšila kvalitu života ovplyvnenú zdravotným stavom, meranú celkovým skóre pomocou dotazníka „St. </w:t>
      </w:r>
      <w:proofErr w:type="spellStart"/>
      <w:r w:rsidRPr="00754142">
        <w:rPr>
          <w:sz w:val="22"/>
          <w:szCs w:val="22"/>
          <w:lang w:val="sk-SK"/>
        </w:rPr>
        <w:t>George’s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sz w:val="22"/>
          <w:szCs w:val="22"/>
          <w:lang w:val="sk-SK"/>
        </w:rPr>
        <w:t>Respiratory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sz w:val="22"/>
          <w:szCs w:val="22"/>
          <w:lang w:val="sk-SK"/>
        </w:rPr>
        <w:t>Questionnaire</w:t>
      </w:r>
      <w:proofErr w:type="spellEnd"/>
      <w:r w:rsidRPr="00754142">
        <w:rPr>
          <w:sz w:val="22"/>
          <w:szCs w:val="22"/>
          <w:lang w:val="sk-SK"/>
        </w:rPr>
        <w:t xml:space="preserve">“ (SGRQ). Podiel pacientov liečených </w:t>
      </w:r>
      <w:proofErr w:type="spellStart"/>
      <w:r w:rsidRPr="00754142">
        <w:rPr>
          <w:sz w:val="22"/>
          <w:szCs w:val="22"/>
          <w:lang w:val="sk-SK"/>
        </w:rPr>
        <w:t>S</w:t>
      </w:r>
      <w:r w:rsidR="009A22B4" w:rsidRPr="00754142">
        <w:rPr>
          <w:sz w:val="22"/>
          <w:szCs w:val="22"/>
          <w:lang w:val="sk-SK"/>
        </w:rPr>
        <w:t>pirivou</w:t>
      </w:r>
      <w:proofErr w:type="spellEnd"/>
      <w:r w:rsidRPr="00754142">
        <w:rPr>
          <w:sz w:val="22"/>
          <w:szCs w:val="22"/>
          <w:lang w:val="sk-SK"/>
        </w:rPr>
        <w:t xml:space="preserve">, ktorí dosiahli významné zlepšenie v celkovom skóre SGRQ (t. j. &gt; 4 jednotky) bol o 10,9 % vyšší v porovnaní s pacientmi liečenými 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(59,1 % v skupinách so </w:t>
      </w:r>
      <w:proofErr w:type="spellStart"/>
      <w:r w:rsidRPr="00754142">
        <w:rPr>
          <w:sz w:val="22"/>
          <w:szCs w:val="22"/>
          <w:lang w:val="sk-SK"/>
        </w:rPr>
        <w:t>Spirivou</w:t>
      </w:r>
      <w:proofErr w:type="spellEnd"/>
      <w:r w:rsidRPr="00754142">
        <w:rPr>
          <w:sz w:val="22"/>
          <w:szCs w:val="22"/>
          <w:lang w:val="sk-SK"/>
        </w:rPr>
        <w:t xml:space="preserve"> v porovnaní so 48,2 % v skupine s 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(p = 0,029)). Priemerný rozdiel medzi skupinami bol 4,19 jednotiek (p = 0,001; interval spoľahlivosti (CI): 1,69 – 6,68). Zlepšenie podoblastí SGRQ skóre bolo 8,19 jednotiek v podoblasti “symptómy“; 3,91 jednotiek v podoblasti “aktivita” a 3,61 jednotiek v podoblasti “vplyv na každodenný život”. Zlepšenie všetkých jednotlivých podoblastí bolo štatisticky významné.</w:t>
      </w:r>
    </w:p>
    <w:p w:rsidR="00896DA8" w:rsidRPr="00754142" w:rsidRDefault="00896DA8" w:rsidP="008C0A14">
      <w:pPr>
        <w:rPr>
          <w:sz w:val="22"/>
          <w:szCs w:val="22"/>
          <w:lang w:val="sk-SK"/>
        </w:rPr>
      </w:pPr>
    </w:p>
    <w:p w:rsidR="00896DA8" w:rsidRPr="00754142" w:rsidRDefault="00896DA8" w:rsidP="008C0A14">
      <w:pPr>
        <w:rPr>
          <w:bCs/>
          <w:i/>
          <w:color w:val="000000"/>
          <w:sz w:val="22"/>
          <w:szCs w:val="22"/>
          <w:lang w:val="sk-SK"/>
        </w:rPr>
      </w:pPr>
      <w:proofErr w:type="spellStart"/>
      <w:r w:rsidRPr="00754142">
        <w:rPr>
          <w:bCs/>
          <w:i/>
          <w:color w:val="000000"/>
          <w:sz w:val="22"/>
          <w:szCs w:val="22"/>
          <w:lang w:val="sk-SK"/>
        </w:rPr>
        <w:t>Exacerbácie</w:t>
      </w:r>
      <w:proofErr w:type="spellEnd"/>
      <w:r w:rsidRPr="00754142">
        <w:rPr>
          <w:bCs/>
          <w:i/>
          <w:color w:val="000000"/>
          <w:sz w:val="22"/>
          <w:szCs w:val="22"/>
          <w:lang w:val="sk-SK"/>
        </w:rPr>
        <w:t xml:space="preserve"> CHOCHP</w:t>
      </w:r>
    </w:p>
    <w:p w:rsidR="00896DA8" w:rsidRPr="00754142" w:rsidRDefault="00896DA8" w:rsidP="008C0A14">
      <w:pPr>
        <w:rPr>
          <w:sz w:val="22"/>
          <w:szCs w:val="22"/>
          <w:lang w:val="sk-SK"/>
        </w:rPr>
      </w:pPr>
      <w:r w:rsidRPr="00754142">
        <w:rPr>
          <w:bCs/>
          <w:color w:val="000000"/>
          <w:sz w:val="22"/>
          <w:szCs w:val="22"/>
          <w:lang w:val="sk-SK"/>
        </w:rPr>
        <w:t>V 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randomizovanej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, dvojito zaslepenej,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placebom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kontrolovanej štúdii s 1 829 pacientmi so stredne ťažkou až veľmi ťažkou CHOCHP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tiotropiumbromid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štatisticky významne znížil počet pacientov, u ktorých sa prejavili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exacerbácie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CHOCHP (z 32,2 % na 27,8 %) a štatisticky významne znížil počet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exacerbácií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o 19 % (z 1,05 na 0,85 prípadov na jedného pacienta pri jednoročnej liečbe). Navyše 7,0 % pacientov zo skupiny, ktorá dostávala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tiotropiumbromid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a 9,5 % pacientov zo skupiny, ktorá dostávala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placebo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bolo hospitalizovaných z dôvodu </w:t>
      </w:r>
      <w:proofErr w:type="spellStart"/>
      <w:r w:rsidRPr="00754142">
        <w:rPr>
          <w:bCs/>
          <w:color w:val="000000"/>
          <w:sz w:val="22"/>
          <w:szCs w:val="22"/>
          <w:lang w:val="sk-SK"/>
        </w:rPr>
        <w:t>exacerbácie</w:t>
      </w:r>
      <w:proofErr w:type="spellEnd"/>
      <w:r w:rsidRPr="00754142">
        <w:rPr>
          <w:bCs/>
          <w:color w:val="000000"/>
          <w:sz w:val="22"/>
          <w:szCs w:val="22"/>
          <w:lang w:val="sk-SK"/>
        </w:rPr>
        <w:t xml:space="preserve"> CHOCHP (p = 0,056). Počet hospitalizácii z dôvodu CHOCHP sa znížil o 30 % (z 0,25 na 0,18 prípadov na jedného pacienta pri jednoročnej liečbe).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54142">
        <w:rPr>
          <w:iCs/>
          <w:sz w:val="22"/>
          <w:szCs w:val="22"/>
          <w:lang w:val="sk-SK"/>
        </w:rPr>
        <w:lastRenderedPageBreak/>
        <w:t xml:space="preserve">Jednoročná </w:t>
      </w:r>
      <w:proofErr w:type="spellStart"/>
      <w:r w:rsidRPr="00754142">
        <w:rPr>
          <w:iCs/>
          <w:sz w:val="22"/>
          <w:szCs w:val="22"/>
          <w:lang w:val="sk-SK"/>
        </w:rPr>
        <w:t>randomizovaná</w:t>
      </w:r>
      <w:proofErr w:type="spellEnd"/>
      <w:r w:rsidRPr="00754142">
        <w:rPr>
          <w:iCs/>
          <w:sz w:val="22"/>
          <w:szCs w:val="22"/>
          <w:lang w:val="sk-SK"/>
        </w:rPr>
        <w:t xml:space="preserve">, dvojito zaslepená, </w:t>
      </w:r>
      <w:r w:rsidRPr="00754142">
        <w:rPr>
          <w:sz w:val="22"/>
          <w:szCs w:val="22"/>
          <w:lang w:val="sk-SK"/>
        </w:rPr>
        <w:t xml:space="preserve">dvojito kontrolovaná </w:t>
      </w:r>
      <w:r w:rsidRPr="00754142">
        <w:rPr>
          <w:iCs/>
          <w:sz w:val="22"/>
          <w:szCs w:val="22"/>
          <w:lang w:val="sk-SK"/>
        </w:rPr>
        <w:t xml:space="preserve">klinická štúdia s paralelnými skupinami porovnávala účinok liečby 18 </w:t>
      </w:r>
      <w:proofErr w:type="spellStart"/>
      <w:r w:rsidRPr="00754142">
        <w:rPr>
          <w:iCs/>
          <w:sz w:val="22"/>
          <w:szCs w:val="22"/>
          <w:lang w:val="sk-SK"/>
        </w:rPr>
        <w:t>mikrogramami</w:t>
      </w:r>
      <w:proofErr w:type="spellEnd"/>
      <w:r w:rsidRPr="00754142">
        <w:rPr>
          <w:iCs/>
          <w:sz w:val="22"/>
          <w:szCs w:val="22"/>
          <w:lang w:val="sk-SK"/>
        </w:rPr>
        <w:t xml:space="preserve"> </w:t>
      </w:r>
      <w:proofErr w:type="spellStart"/>
      <w:r w:rsidRPr="00754142">
        <w:rPr>
          <w:iCs/>
          <w:sz w:val="22"/>
          <w:szCs w:val="22"/>
          <w:lang w:val="sk-SK"/>
        </w:rPr>
        <w:t>Spirivy</w:t>
      </w:r>
      <w:proofErr w:type="spellEnd"/>
      <w:r w:rsidRPr="00754142">
        <w:rPr>
          <w:iCs/>
          <w:sz w:val="22"/>
          <w:szCs w:val="22"/>
          <w:lang w:val="sk-SK"/>
        </w:rPr>
        <w:t xml:space="preserve"> jedenkrát denne s 50 </w:t>
      </w:r>
      <w:proofErr w:type="spellStart"/>
      <w:r w:rsidRPr="00754142">
        <w:rPr>
          <w:iCs/>
          <w:sz w:val="22"/>
          <w:szCs w:val="22"/>
          <w:lang w:val="sk-SK"/>
        </w:rPr>
        <w:t>mikrogramami</w:t>
      </w:r>
      <w:proofErr w:type="spellEnd"/>
      <w:r w:rsidRPr="00754142">
        <w:rPr>
          <w:iCs/>
          <w:sz w:val="22"/>
          <w:szCs w:val="22"/>
          <w:lang w:val="sk-SK"/>
        </w:rPr>
        <w:t xml:space="preserve"> </w:t>
      </w:r>
      <w:proofErr w:type="spellStart"/>
      <w:r w:rsidRPr="00754142">
        <w:rPr>
          <w:iCs/>
          <w:sz w:val="22"/>
          <w:szCs w:val="22"/>
          <w:lang w:val="sk-SK"/>
        </w:rPr>
        <w:t>salmeterolu</w:t>
      </w:r>
      <w:proofErr w:type="spellEnd"/>
      <w:r w:rsidRPr="00754142">
        <w:rPr>
          <w:iCs/>
          <w:sz w:val="22"/>
          <w:szCs w:val="22"/>
          <w:lang w:val="sk-SK"/>
        </w:rPr>
        <w:t xml:space="preserve"> HFA </w:t>
      </w:r>
      <w:proofErr w:type="spellStart"/>
      <w:r w:rsidRPr="00754142">
        <w:rPr>
          <w:iCs/>
          <w:sz w:val="22"/>
          <w:szCs w:val="22"/>
          <w:lang w:val="sk-SK"/>
        </w:rPr>
        <w:t>pMDI</w:t>
      </w:r>
      <w:proofErr w:type="spellEnd"/>
      <w:r w:rsidRPr="00754142">
        <w:rPr>
          <w:iCs/>
          <w:sz w:val="22"/>
          <w:szCs w:val="22"/>
          <w:lang w:val="sk-SK"/>
        </w:rPr>
        <w:t xml:space="preserve"> dvakrát denne na </w:t>
      </w:r>
      <w:proofErr w:type="spellStart"/>
      <w:r w:rsidRPr="00754142">
        <w:rPr>
          <w:iCs/>
          <w:sz w:val="22"/>
          <w:szCs w:val="22"/>
          <w:lang w:val="sk-SK"/>
        </w:rPr>
        <w:t>incidenc</w:t>
      </w:r>
      <w:r w:rsidR="00754142" w:rsidRPr="00754142">
        <w:rPr>
          <w:iCs/>
          <w:sz w:val="22"/>
          <w:szCs w:val="22"/>
          <w:lang w:val="sk-SK"/>
        </w:rPr>
        <w:t>iu</w:t>
      </w:r>
      <w:proofErr w:type="spellEnd"/>
      <w:r w:rsidR="00754142" w:rsidRPr="00754142">
        <w:rPr>
          <w:iCs/>
          <w:sz w:val="22"/>
          <w:szCs w:val="22"/>
          <w:lang w:val="sk-SK"/>
        </w:rPr>
        <w:t xml:space="preserve"> stredne závažnej a závažnej </w:t>
      </w:r>
      <w:proofErr w:type="spellStart"/>
      <w:r w:rsidRPr="00754142">
        <w:rPr>
          <w:iCs/>
          <w:sz w:val="22"/>
          <w:szCs w:val="22"/>
          <w:lang w:val="sk-SK"/>
        </w:rPr>
        <w:t>exacerbácie</w:t>
      </w:r>
      <w:proofErr w:type="spellEnd"/>
      <w:r w:rsidRPr="00754142">
        <w:rPr>
          <w:iCs/>
          <w:sz w:val="22"/>
          <w:szCs w:val="22"/>
          <w:lang w:val="sk-SK"/>
        </w:rPr>
        <w:t xml:space="preserve"> u 7 376 pacientov s </w:t>
      </w:r>
      <w:r w:rsidRPr="00754142">
        <w:rPr>
          <w:bCs/>
          <w:sz w:val="22"/>
          <w:szCs w:val="22"/>
          <w:lang w:val="sk-SK"/>
        </w:rPr>
        <w:t>CHOCHP</w:t>
      </w:r>
      <w:r w:rsidRPr="00754142">
        <w:rPr>
          <w:iCs/>
          <w:sz w:val="22"/>
          <w:szCs w:val="22"/>
          <w:lang w:val="sk-SK"/>
        </w:rPr>
        <w:t xml:space="preserve"> a </w:t>
      </w:r>
      <w:proofErr w:type="spellStart"/>
      <w:r w:rsidRPr="00754142">
        <w:rPr>
          <w:iCs/>
          <w:sz w:val="22"/>
          <w:szCs w:val="22"/>
          <w:lang w:val="sk-SK"/>
        </w:rPr>
        <w:t>exacerbácie</w:t>
      </w:r>
      <w:proofErr w:type="spellEnd"/>
      <w:r w:rsidRPr="00754142">
        <w:rPr>
          <w:iCs/>
          <w:sz w:val="22"/>
          <w:szCs w:val="22"/>
          <w:lang w:val="sk-SK"/>
        </w:rPr>
        <w:t xml:space="preserve"> v a</w:t>
      </w:r>
      <w:r w:rsidR="004B4421">
        <w:rPr>
          <w:iCs/>
          <w:sz w:val="22"/>
          <w:szCs w:val="22"/>
          <w:lang w:val="sk-SK"/>
        </w:rPr>
        <w:t>namnéze v predchádzajúcom roku.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>Tabuľka 1: Súhrn ko</w:t>
      </w:r>
      <w:r w:rsidR="00754142" w:rsidRPr="00754142">
        <w:rPr>
          <w:sz w:val="22"/>
          <w:szCs w:val="22"/>
          <w:lang w:val="sk-SK"/>
        </w:rPr>
        <w:t xml:space="preserve">ncového ukazovateľa </w:t>
      </w:r>
      <w:proofErr w:type="spellStart"/>
      <w:r w:rsidR="00754142" w:rsidRPr="00754142">
        <w:rPr>
          <w:sz w:val="22"/>
          <w:szCs w:val="22"/>
          <w:lang w:val="sk-SK"/>
        </w:rPr>
        <w:t>exacerbácie</w:t>
      </w:r>
      <w:proofErr w:type="spellEnd"/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4"/>
        <w:gridCol w:w="1554"/>
        <w:gridCol w:w="1681"/>
        <w:gridCol w:w="1865"/>
        <w:gridCol w:w="1246"/>
      </w:tblGrid>
      <w:tr w:rsidR="00896DA8" w:rsidRPr="00754142" w:rsidTr="003E01AA">
        <w:tc>
          <w:tcPr>
            <w:tcW w:w="283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754142">
              <w:rPr>
                <w:b/>
                <w:sz w:val="22"/>
                <w:szCs w:val="22"/>
                <w:lang w:val="sk-SK"/>
              </w:rPr>
              <w:t xml:space="preserve">Koncový ukazovateľ  </w:t>
            </w:r>
          </w:p>
        </w:tc>
        <w:tc>
          <w:tcPr>
            <w:tcW w:w="155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54142">
              <w:rPr>
                <w:b/>
                <w:sz w:val="22"/>
                <w:szCs w:val="22"/>
                <w:lang w:val="sk-SK"/>
              </w:rPr>
              <w:t>S</w:t>
            </w:r>
            <w:r w:rsidR="00083DF1">
              <w:rPr>
                <w:b/>
                <w:sz w:val="22"/>
                <w:szCs w:val="22"/>
                <w:lang w:val="sk-SK"/>
              </w:rPr>
              <w:t>piriva</w:t>
            </w:r>
            <w:proofErr w:type="spellEnd"/>
            <w:r w:rsidRPr="00754142">
              <w:rPr>
                <w:b/>
                <w:sz w:val="22"/>
                <w:szCs w:val="22"/>
                <w:lang w:val="sk-SK"/>
              </w:rPr>
              <w:br/>
            </w:r>
            <w:r w:rsidR="00754142" w:rsidRPr="00754142">
              <w:rPr>
                <w:b/>
                <w:sz w:val="22"/>
                <w:szCs w:val="22"/>
                <w:lang w:val="sk-SK"/>
              </w:rPr>
              <w:t xml:space="preserve">18 </w:t>
            </w:r>
            <w:proofErr w:type="spellStart"/>
            <w:r w:rsidR="00754142" w:rsidRPr="00754142">
              <w:rPr>
                <w:b/>
                <w:sz w:val="22"/>
                <w:szCs w:val="22"/>
                <w:lang w:val="sk-SK"/>
              </w:rPr>
              <w:t>mikrogramov</w:t>
            </w:r>
            <w:proofErr w:type="spellEnd"/>
            <w:r w:rsidR="00754142" w:rsidRPr="00754142">
              <w:rPr>
                <w:b/>
                <w:sz w:val="22"/>
                <w:szCs w:val="22"/>
                <w:lang w:val="sk-SK"/>
              </w:rPr>
              <w:t xml:space="preserve"> (</w:t>
            </w:r>
            <w:proofErr w:type="spellStart"/>
            <w:r w:rsidR="00754142" w:rsidRPr="00754142">
              <w:rPr>
                <w:b/>
                <w:sz w:val="22"/>
                <w:szCs w:val="22"/>
                <w:lang w:val="sk-SK"/>
              </w:rPr>
              <w:t>HandiHaler</w:t>
            </w:r>
            <w:proofErr w:type="spellEnd"/>
            <w:r w:rsidR="00754142" w:rsidRPr="00754142">
              <w:rPr>
                <w:b/>
                <w:sz w:val="22"/>
                <w:szCs w:val="22"/>
                <w:lang w:val="sk-SK"/>
              </w:rPr>
              <w:t>)</w:t>
            </w:r>
          </w:p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754142">
              <w:rPr>
                <w:b/>
                <w:sz w:val="22"/>
                <w:szCs w:val="22"/>
                <w:lang w:val="sk-SK"/>
              </w:rPr>
              <w:t>n = 3 707</w:t>
            </w:r>
          </w:p>
        </w:tc>
        <w:tc>
          <w:tcPr>
            <w:tcW w:w="1681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54142">
              <w:rPr>
                <w:b/>
                <w:sz w:val="22"/>
                <w:szCs w:val="22"/>
                <w:lang w:val="sk-SK"/>
              </w:rPr>
              <w:t>Salmeterol</w:t>
            </w:r>
            <w:proofErr w:type="spellEnd"/>
            <w:r w:rsidRPr="00754142">
              <w:rPr>
                <w:b/>
                <w:sz w:val="22"/>
                <w:szCs w:val="22"/>
                <w:lang w:val="sk-SK"/>
              </w:rPr>
              <w:br/>
            </w:r>
            <w:r w:rsidR="00754142" w:rsidRPr="00754142">
              <w:rPr>
                <w:b/>
                <w:sz w:val="22"/>
                <w:szCs w:val="22"/>
                <w:lang w:val="sk-SK"/>
              </w:rPr>
              <w:t xml:space="preserve">50 </w:t>
            </w:r>
            <w:proofErr w:type="spellStart"/>
            <w:r w:rsidR="00754142" w:rsidRPr="00754142">
              <w:rPr>
                <w:b/>
                <w:sz w:val="22"/>
                <w:szCs w:val="22"/>
                <w:lang w:val="sk-SK"/>
              </w:rPr>
              <w:t>mikrogramov</w:t>
            </w:r>
            <w:proofErr w:type="spellEnd"/>
            <w:r w:rsidR="00754142" w:rsidRPr="00754142">
              <w:rPr>
                <w:b/>
                <w:sz w:val="22"/>
                <w:szCs w:val="22"/>
                <w:lang w:val="sk-SK"/>
              </w:rPr>
              <w:t xml:space="preserve"> (HFA </w:t>
            </w:r>
            <w:proofErr w:type="spellStart"/>
            <w:r w:rsidR="00754142" w:rsidRPr="00754142">
              <w:rPr>
                <w:b/>
                <w:sz w:val="22"/>
                <w:szCs w:val="22"/>
                <w:lang w:val="sk-SK"/>
              </w:rPr>
              <w:t>pMDI</w:t>
            </w:r>
            <w:proofErr w:type="spellEnd"/>
            <w:r w:rsidR="00754142" w:rsidRPr="00754142">
              <w:rPr>
                <w:b/>
                <w:sz w:val="22"/>
                <w:szCs w:val="22"/>
                <w:lang w:val="sk-SK"/>
              </w:rPr>
              <w:t>)</w:t>
            </w:r>
          </w:p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754142">
              <w:rPr>
                <w:b/>
                <w:sz w:val="22"/>
                <w:szCs w:val="22"/>
                <w:lang w:val="sk-SK"/>
              </w:rPr>
              <w:t>n = 3 669</w:t>
            </w:r>
          </w:p>
        </w:tc>
        <w:tc>
          <w:tcPr>
            <w:tcW w:w="1865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r w:rsidRPr="00754142">
              <w:rPr>
                <w:b/>
                <w:sz w:val="22"/>
                <w:szCs w:val="22"/>
                <w:lang w:val="sk-SK"/>
              </w:rPr>
              <w:t xml:space="preserve">Pomer </w:t>
            </w:r>
            <w:r w:rsidRPr="00754142">
              <w:rPr>
                <w:b/>
                <w:sz w:val="22"/>
                <w:szCs w:val="22"/>
                <w:lang w:val="sk-SK"/>
              </w:rPr>
              <w:br/>
              <w:t>(95 % CI)</w:t>
            </w:r>
          </w:p>
        </w:tc>
        <w:tc>
          <w:tcPr>
            <w:tcW w:w="1246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754142">
              <w:rPr>
                <w:b/>
                <w:sz w:val="22"/>
                <w:szCs w:val="22"/>
                <w:lang w:val="sk-SK"/>
              </w:rPr>
              <w:t>p-hodnota</w:t>
            </w:r>
            <w:proofErr w:type="spellEnd"/>
            <w:r w:rsidRPr="00754142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</w:tr>
      <w:tr w:rsidR="00896DA8" w:rsidRPr="00754142" w:rsidTr="003E01AA">
        <w:tc>
          <w:tcPr>
            <w:tcW w:w="283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 xml:space="preserve">Čas [dni] do prvej </w:t>
            </w:r>
            <w:proofErr w:type="spellStart"/>
            <w:r w:rsidRPr="00754142">
              <w:rPr>
                <w:sz w:val="22"/>
                <w:szCs w:val="22"/>
                <w:lang w:val="sk-SK"/>
              </w:rPr>
              <w:t>exacerbácie</w:t>
            </w:r>
            <w:proofErr w:type="spellEnd"/>
            <w:r w:rsidRPr="00754142">
              <w:rPr>
                <w:sz w:val="22"/>
                <w:szCs w:val="22"/>
                <w:vertAlign w:val="superscript"/>
                <w:lang w:val="sk-SK"/>
              </w:rPr>
              <w:t>†</w:t>
            </w:r>
          </w:p>
        </w:tc>
        <w:tc>
          <w:tcPr>
            <w:tcW w:w="1554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187</w:t>
            </w:r>
          </w:p>
        </w:tc>
        <w:tc>
          <w:tcPr>
            <w:tcW w:w="1681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145</w:t>
            </w:r>
          </w:p>
        </w:tc>
        <w:tc>
          <w:tcPr>
            <w:tcW w:w="1865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0,83</w:t>
            </w:r>
          </w:p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(0,77 - 0,90)</w:t>
            </w:r>
          </w:p>
        </w:tc>
        <w:tc>
          <w:tcPr>
            <w:tcW w:w="1246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&lt;0,001</w:t>
            </w:r>
          </w:p>
        </w:tc>
      </w:tr>
      <w:tr w:rsidR="00896DA8" w:rsidRPr="00754142" w:rsidTr="003E01AA">
        <w:tc>
          <w:tcPr>
            <w:tcW w:w="283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 xml:space="preserve">Čas do prvej závažnej (s hospitalizáciou) </w:t>
            </w:r>
            <w:proofErr w:type="spellStart"/>
            <w:r w:rsidRPr="00754142">
              <w:rPr>
                <w:sz w:val="22"/>
                <w:szCs w:val="22"/>
                <w:lang w:val="sk-SK"/>
              </w:rPr>
              <w:t>exacerbácie</w:t>
            </w:r>
            <w:proofErr w:type="spellEnd"/>
            <w:r w:rsidRPr="00754142">
              <w:rPr>
                <w:sz w:val="22"/>
                <w:szCs w:val="22"/>
                <w:vertAlign w:val="superscript"/>
                <w:lang w:val="sk-SK"/>
              </w:rPr>
              <w:t>§</w:t>
            </w:r>
          </w:p>
        </w:tc>
        <w:tc>
          <w:tcPr>
            <w:tcW w:w="1554" w:type="dxa"/>
            <w:vAlign w:val="center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81" w:type="dxa"/>
            <w:vAlign w:val="center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865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0,72</w:t>
            </w:r>
          </w:p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(0,61 - 0,85)</w:t>
            </w:r>
          </w:p>
        </w:tc>
        <w:tc>
          <w:tcPr>
            <w:tcW w:w="1246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&lt;0,001</w:t>
            </w:r>
          </w:p>
        </w:tc>
      </w:tr>
      <w:tr w:rsidR="00896DA8" w:rsidRPr="00754142" w:rsidTr="003E01AA">
        <w:tc>
          <w:tcPr>
            <w:tcW w:w="283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sz w:val="22"/>
                <w:szCs w:val="22"/>
                <w:highlight w:val="yellow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 xml:space="preserve">Pacienti s ≥ 1 </w:t>
            </w:r>
            <w:proofErr w:type="spellStart"/>
            <w:r w:rsidRPr="00754142">
              <w:rPr>
                <w:sz w:val="22"/>
                <w:szCs w:val="22"/>
                <w:lang w:val="sk-SK"/>
              </w:rPr>
              <w:t>exacerbáciou</w:t>
            </w:r>
            <w:proofErr w:type="spellEnd"/>
            <w:r w:rsidRPr="00754142">
              <w:rPr>
                <w:sz w:val="22"/>
                <w:szCs w:val="22"/>
                <w:lang w:val="sk-SK"/>
              </w:rPr>
              <w:t>, n (%)*</w:t>
            </w:r>
          </w:p>
        </w:tc>
        <w:tc>
          <w:tcPr>
            <w:tcW w:w="1554" w:type="dxa"/>
          </w:tcPr>
          <w:p w:rsidR="00896DA8" w:rsidRPr="00754142" w:rsidRDefault="00896DA8" w:rsidP="00BB4CF3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1</w:t>
            </w:r>
            <w:r w:rsidR="00BB4CF3">
              <w:rPr>
                <w:sz w:val="22"/>
                <w:szCs w:val="22"/>
                <w:lang w:val="sk-SK"/>
              </w:rPr>
              <w:t xml:space="preserve"> </w:t>
            </w:r>
            <w:r w:rsidRPr="00754142">
              <w:rPr>
                <w:sz w:val="22"/>
                <w:szCs w:val="22"/>
                <w:lang w:val="sk-SK"/>
              </w:rPr>
              <w:t>277 (34,4)</w:t>
            </w:r>
          </w:p>
        </w:tc>
        <w:tc>
          <w:tcPr>
            <w:tcW w:w="1681" w:type="dxa"/>
          </w:tcPr>
          <w:p w:rsidR="00896DA8" w:rsidRPr="00754142" w:rsidRDefault="00896DA8" w:rsidP="00BB4CF3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1</w:t>
            </w:r>
            <w:r w:rsidR="00BB4CF3">
              <w:rPr>
                <w:sz w:val="22"/>
                <w:szCs w:val="22"/>
                <w:lang w:val="sk-SK"/>
              </w:rPr>
              <w:t xml:space="preserve"> </w:t>
            </w:r>
            <w:r w:rsidRPr="00754142">
              <w:rPr>
                <w:sz w:val="22"/>
                <w:szCs w:val="22"/>
                <w:lang w:val="sk-SK"/>
              </w:rPr>
              <w:t>414 (38,5)</w:t>
            </w:r>
          </w:p>
        </w:tc>
        <w:tc>
          <w:tcPr>
            <w:tcW w:w="1865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0,90</w:t>
            </w:r>
            <w:r w:rsidRPr="00754142">
              <w:rPr>
                <w:sz w:val="22"/>
                <w:szCs w:val="22"/>
                <w:lang w:val="sk-SK"/>
              </w:rPr>
              <w:br/>
              <w:t>(0,85 - 0,95)</w:t>
            </w:r>
          </w:p>
        </w:tc>
        <w:tc>
          <w:tcPr>
            <w:tcW w:w="1246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&lt;0,001</w:t>
            </w:r>
          </w:p>
        </w:tc>
      </w:tr>
      <w:tr w:rsidR="00896DA8" w:rsidRPr="00754142" w:rsidTr="003E01AA">
        <w:tc>
          <w:tcPr>
            <w:tcW w:w="2834" w:type="dxa"/>
          </w:tcPr>
          <w:p w:rsidR="00896DA8" w:rsidRPr="00754142" w:rsidRDefault="00896DA8" w:rsidP="008C0A14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 xml:space="preserve">Pacienti s ≥ 1 závažnou (s hospitalizáciou) </w:t>
            </w:r>
            <w:proofErr w:type="spellStart"/>
            <w:r w:rsidRPr="00754142">
              <w:rPr>
                <w:sz w:val="22"/>
                <w:szCs w:val="22"/>
                <w:lang w:val="sk-SK"/>
              </w:rPr>
              <w:t>exacerbáciou</w:t>
            </w:r>
            <w:proofErr w:type="spellEnd"/>
            <w:r w:rsidRPr="00754142">
              <w:rPr>
                <w:sz w:val="22"/>
                <w:szCs w:val="22"/>
                <w:lang w:val="sk-SK"/>
              </w:rPr>
              <w:t>, n (%)*</w:t>
            </w:r>
          </w:p>
        </w:tc>
        <w:tc>
          <w:tcPr>
            <w:tcW w:w="1554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262 (7,1)</w:t>
            </w:r>
          </w:p>
        </w:tc>
        <w:tc>
          <w:tcPr>
            <w:tcW w:w="1681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336 (9,2)</w:t>
            </w:r>
          </w:p>
        </w:tc>
        <w:tc>
          <w:tcPr>
            <w:tcW w:w="1865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0,77</w:t>
            </w:r>
          </w:p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(0,66 - 0,89)</w:t>
            </w:r>
          </w:p>
        </w:tc>
        <w:tc>
          <w:tcPr>
            <w:tcW w:w="1246" w:type="dxa"/>
          </w:tcPr>
          <w:p w:rsidR="00896DA8" w:rsidRPr="00754142" w:rsidRDefault="00896DA8" w:rsidP="00754142">
            <w:pPr>
              <w:pStyle w:val="CS-TextinTable10pt"/>
              <w:spacing w:before="40" w:after="40"/>
              <w:rPr>
                <w:sz w:val="22"/>
                <w:szCs w:val="22"/>
                <w:lang w:val="sk-SK"/>
              </w:rPr>
            </w:pPr>
            <w:r w:rsidRPr="00754142">
              <w:rPr>
                <w:sz w:val="22"/>
                <w:szCs w:val="22"/>
                <w:lang w:val="sk-SK"/>
              </w:rPr>
              <w:t>&lt;0,001</w:t>
            </w:r>
          </w:p>
        </w:tc>
      </w:tr>
    </w:tbl>
    <w:p w:rsidR="00896DA8" w:rsidRPr="00754142" w:rsidRDefault="00896DA8" w:rsidP="008C0A14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896DA8" w:rsidRPr="00754142" w:rsidRDefault="00896DA8" w:rsidP="008C0A14">
      <w:pPr>
        <w:pStyle w:val="CTRFootNote"/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>†</w:t>
      </w:r>
      <w:r w:rsidRPr="00754142">
        <w:rPr>
          <w:sz w:val="22"/>
          <w:szCs w:val="22"/>
          <w:vertAlign w:val="superscript"/>
          <w:lang w:val="sk-SK"/>
        </w:rPr>
        <w:tab/>
      </w:r>
      <w:r w:rsidRPr="00754142">
        <w:rPr>
          <w:sz w:val="22"/>
          <w:szCs w:val="22"/>
          <w:lang w:val="sk-SK"/>
        </w:rPr>
        <w:t>Čas</w:t>
      </w:r>
      <w:r w:rsidRPr="00754142">
        <w:rPr>
          <w:sz w:val="22"/>
          <w:szCs w:val="22"/>
          <w:vertAlign w:val="superscript"/>
          <w:lang w:val="sk-SK"/>
        </w:rPr>
        <w:t xml:space="preserve"> </w:t>
      </w:r>
      <w:r w:rsidRPr="00754142">
        <w:rPr>
          <w:sz w:val="22"/>
          <w:szCs w:val="22"/>
          <w:lang w:val="sk-SK"/>
        </w:rPr>
        <w:t xml:space="preserve">[dni] sa týkajú prvého </w:t>
      </w:r>
      <w:proofErr w:type="spellStart"/>
      <w:r w:rsidRPr="00754142">
        <w:rPr>
          <w:sz w:val="22"/>
          <w:szCs w:val="22"/>
          <w:lang w:val="sk-SK"/>
        </w:rPr>
        <w:t>kvartilu</w:t>
      </w:r>
      <w:proofErr w:type="spellEnd"/>
      <w:r w:rsidRPr="00754142">
        <w:rPr>
          <w:sz w:val="22"/>
          <w:szCs w:val="22"/>
          <w:lang w:val="sk-SK"/>
        </w:rPr>
        <w:t xml:space="preserve"> pacientov. Čas do analýzy príhody sa vykonal pomocou </w:t>
      </w:r>
      <w:proofErr w:type="spellStart"/>
      <w:r w:rsidRPr="00754142">
        <w:rPr>
          <w:rStyle w:val="Zvraznenie"/>
          <w:b w:val="0"/>
          <w:bCs/>
          <w:sz w:val="22"/>
          <w:szCs w:val="22"/>
          <w:lang w:val="sk-SK"/>
        </w:rPr>
        <w:t>Coxovho</w:t>
      </w:r>
      <w:proofErr w:type="spellEnd"/>
      <w:r w:rsidRPr="00754142">
        <w:rPr>
          <w:rStyle w:val="st1"/>
          <w:sz w:val="22"/>
          <w:szCs w:val="22"/>
          <w:lang w:val="sk-SK"/>
        </w:rPr>
        <w:t xml:space="preserve"> regresného </w:t>
      </w:r>
      <w:r w:rsidRPr="00754142">
        <w:rPr>
          <w:rStyle w:val="Zvraznenie"/>
          <w:b w:val="0"/>
          <w:bCs/>
          <w:sz w:val="22"/>
          <w:szCs w:val="22"/>
          <w:lang w:val="sk-SK"/>
        </w:rPr>
        <w:t>modelu</w:t>
      </w:r>
      <w:r w:rsidRPr="00754142">
        <w:rPr>
          <w:rStyle w:val="st1"/>
          <w:sz w:val="22"/>
          <w:szCs w:val="22"/>
          <w:lang w:val="sk-SK"/>
        </w:rPr>
        <w:t xml:space="preserve"> proporcionálnych rizík s </w:t>
      </w:r>
      <w:r w:rsidRPr="00754142">
        <w:rPr>
          <w:sz w:val="22"/>
          <w:szCs w:val="22"/>
          <w:lang w:val="sk-SK"/>
        </w:rPr>
        <w:t>(spoločné) centrom a liečbou ako súbežnou veličinou; pomer sa vzťahuje k pomeru rizika.</w:t>
      </w:r>
    </w:p>
    <w:p w:rsidR="00896DA8" w:rsidRPr="00754142" w:rsidRDefault="00896DA8" w:rsidP="008C0A14">
      <w:pPr>
        <w:pStyle w:val="CTRFootNote"/>
        <w:rPr>
          <w:b/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>§</w:t>
      </w:r>
      <w:r w:rsidRPr="00754142">
        <w:rPr>
          <w:sz w:val="22"/>
          <w:szCs w:val="22"/>
          <w:lang w:val="sk-SK"/>
        </w:rPr>
        <w:tab/>
        <w:t xml:space="preserve">Čas do analýzy príhody sa vykonal pomocou </w:t>
      </w:r>
      <w:proofErr w:type="spellStart"/>
      <w:r w:rsidRPr="00754142">
        <w:rPr>
          <w:rStyle w:val="Zvraznenie"/>
          <w:b w:val="0"/>
          <w:bCs/>
          <w:sz w:val="22"/>
          <w:szCs w:val="22"/>
          <w:lang w:val="sk-SK"/>
        </w:rPr>
        <w:t>Coxovho</w:t>
      </w:r>
      <w:proofErr w:type="spellEnd"/>
      <w:r w:rsidRPr="00754142">
        <w:rPr>
          <w:rStyle w:val="st1"/>
          <w:sz w:val="22"/>
          <w:szCs w:val="22"/>
          <w:lang w:val="sk-SK"/>
        </w:rPr>
        <w:t xml:space="preserve"> regresného </w:t>
      </w:r>
      <w:r w:rsidRPr="00754142">
        <w:rPr>
          <w:rStyle w:val="Zvraznenie"/>
          <w:b w:val="0"/>
          <w:bCs/>
          <w:sz w:val="22"/>
          <w:szCs w:val="22"/>
          <w:lang w:val="sk-SK"/>
        </w:rPr>
        <w:t>modelu</w:t>
      </w:r>
      <w:r w:rsidRPr="00754142">
        <w:rPr>
          <w:rStyle w:val="st1"/>
          <w:sz w:val="22"/>
          <w:szCs w:val="22"/>
          <w:lang w:val="sk-SK"/>
        </w:rPr>
        <w:t xml:space="preserve"> proporcionálnych rizík s </w:t>
      </w:r>
      <w:r w:rsidRPr="00754142">
        <w:rPr>
          <w:sz w:val="22"/>
          <w:szCs w:val="22"/>
          <w:lang w:val="sk-SK"/>
        </w:rPr>
        <w:t>(spoločné) centrom a liečbou ako súbežnou veličinou; pomer sa vzťahuje k pomeru rizika. Čas</w:t>
      </w:r>
      <w:r w:rsidRPr="00754142">
        <w:rPr>
          <w:sz w:val="22"/>
          <w:szCs w:val="22"/>
          <w:vertAlign w:val="superscript"/>
          <w:lang w:val="sk-SK"/>
        </w:rPr>
        <w:t xml:space="preserve"> </w:t>
      </w:r>
      <w:r w:rsidRPr="00754142">
        <w:rPr>
          <w:sz w:val="22"/>
          <w:szCs w:val="22"/>
          <w:lang w:val="sk-SK"/>
        </w:rPr>
        <w:t xml:space="preserve">[dni] </w:t>
      </w:r>
      <w:r w:rsidR="005D77DA">
        <w:rPr>
          <w:sz w:val="22"/>
          <w:szCs w:val="22"/>
          <w:lang w:val="sk-SK"/>
        </w:rPr>
        <w:t xml:space="preserve">pre </w:t>
      </w:r>
      <w:r w:rsidRPr="00754142">
        <w:rPr>
          <w:sz w:val="22"/>
          <w:szCs w:val="22"/>
          <w:lang w:val="sk-SK"/>
        </w:rPr>
        <w:t xml:space="preserve">prvý </w:t>
      </w:r>
      <w:proofErr w:type="spellStart"/>
      <w:r w:rsidRPr="00754142">
        <w:rPr>
          <w:sz w:val="22"/>
          <w:szCs w:val="22"/>
          <w:lang w:val="sk-SK"/>
        </w:rPr>
        <w:t>kvartil</w:t>
      </w:r>
      <w:proofErr w:type="spellEnd"/>
      <w:r w:rsidRPr="00754142">
        <w:rPr>
          <w:sz w:val="22"/>
          <w:szCs w:val="22"/>
          <w:lang w:val="sk-SK"/>
        </w:rPr>
        <w:t xml:space="preserve"> pacientov nemožno vypočítať, pretože podiel pacientov so závažnou </w:t>
      </w:r>
      <w:proofErr w:type="spellStart"/>
      <w:r w:rsidRPr="00754142">
        <w:rPr>
          <w:sz w:val="22"/>
          <w:szCs w:val="22"/>
          <w:lang w:val="sk-SK"/>
        </w:rPr>
        <w:t>exacerbáciou</w:t>
      </w:r>
      <w:proofErr w:type="spellEnd"/>
      <w:r w:rsidRPr="00754142">
        <w:rPr>
          <w:sz w:val="22"/>
          <w:szCs w:val="22"/>
          <w:lang w:val="sk-SK"/>
        </w:rPr>
        <w:t xml:space="preserve"> je príliš malý.</w:t>
      </w:r>
    </w:p>
    <w:p w:rsidR="00896DA8" w:rsidRPr="00754142" w:rsidRDefault="00896DA8" w:rsidP="008C0A14">
      <w:pPr>
        <w:pStyle w:val="CTRFootNote"/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>*</w:t>
      </w:r>
      <w:r w:rsidRPr="00754142">
        <w:rPr>
          <w:sz w:val="22"/>
          <w:szCs w:val="22"/>
          <w:lang w:val="sk-SK"/>
        </w:rPr>
        <w:tab/>
        <w:t xml:space="preserve">Počet pacientov s príhodou sa analyzoval pomocou </w:t>
      </w:r>
      <w:proofErr w:type="spellStart"/>
      <w:r w:rsidRPr="00754142">
        <w:rPr>
          <w:sz w:val="22"/>
          <w:szCs w:val="22"/>
          <w:lang w:val="sk-SK"/>
        </w:rPr>
        <w:t>Cochran</w:t>
      </w:r>
      <w:r w:rsidR="00BB4CF3">
        <w:rPr>
          <w:sz w:val="22"/>
          <w:szCs w:val="22"/>
          <w:lang w:val="sk-SK"/>
        </w:rPr>
        <w:t>ovho</w:t>
      </w:r>
      <w:r w:rsidRPr="00754142">
        <w:rPr>
          <w:sz w:val="22"/>
          <w:szCs w:val="22"/>
          <w:lang w:val="sk-SK"/>
        </w:rPr>
        <w:t>-Mantel</w:t>
      </w:r>
      <w:r w:rsidR="00BB4CF3">
        <w:rPr>
          <w:sz w:val="22"/>
          <w:szCs w:val="22"/>
          <w:lang w:val="sk-SK"/>
        </w:rPr>
        <w:t>ovho</w:t>
      </w:r>
      <w:r w:rsidRPr="00754142">
        <w:rPr>
          <w:sz w:val="22"/>
          <w:szCs w:val="22"/>
          <w:lang w:val="sk-SK"/>
        </w:rPr>
        <w:t>-Haens</w:t>
      </w:r>
      <w:r w:rsidR="005D77DA">
        <w:rPr>
          <w:sz w:val="22"/>
          <w:szCs w:val="22"/>
          <w:lang w:val="sk-SK"/>
        </w:rPr>
        <w:t>zelovho</w:t>
      </w:r>
      <w:proofErr w:type="spellEnd"/>
      <w:r w:rsidR="005D77DA">
        <w:rPr>
          <w:sz w:val="22"/>
          <w:szCs w:val="22"/>
          <w:lang w:val="sk-SK"/>
        </w:rPr>
        <w:t xml:space="preserve"> testu stratifikovaného </w:t>
      </w:r>
      <w:r w:rsidRPr="00754142">
        <w:rPr>
          <w:sz w:val="22"/>
          <w:szCs w:val="22"/>
          <w:lang w:val="sk-SK"/>
        </w:rPr>
        <w:t>v spoločnom centre; pomer sa vzťahuje k pomeru rizika.</w:t>
      </w:r>
    </w:p>
    <w:p w:rsidR="00896DA8" w:rsidRPr="00754142" w:rsidRDefault="00896DA8" w:rsidP="008C0A14">
      <w:pPr>
        <w:pStyle w:val="CTRFootNote"/>
        <w:rPr>
          <w:b/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V porovnaní so </w:t>
      </w:r>
      <w:proofErr w:type="spellStart"/>
      <w:r w:rsidRPr="00754142">
        <w:rPr>
          <w:sz w:val="22"/>
          <w:szCs w:val="22"/>
          <w:lang w:val="sk-SK"/>
        </w:rPr>
        <w:t>salmeterolom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iCs/>
          <w:sz w:val="22"/>
          <w:szCs w:val="22"/>
          <w:lang w:val="sk-SK"/>
        </w:rPr>
        <w:t>Spiriva</w:t>
      </w:r>
      <w:proofErr w:type="spellEnd"/>
      <w:r w:rsidRPr="00754142">
        <w:rPr>
          <w:sz w:val="22"/>
          <w:szCs w:val="22"/>
          <w:lang w:val="sk-SK"/>
        </w:rPr>
        <w:t xml:space="preserve"> predĺžila čas do prvej </w:t>
      </w:r>
      <w:proofErr w:type="spellStart"/>
      <w:r w:rsidRPr="00754142">
        <w:rPr>
          <w:sz w:val="22"/>
          <w:szCs w:val="22"/>
          <w:lang w:val="sk-SK"/>
        </w:rPr>
        <w:t>exacerbácie</w:t>
      </w:r>
      <w:proofErr w:type="spellEnd"/>
      <w:r w:rsidRPr="00754142">
        <w:rPr>
          <w:sz w:val="22"/>
          <w:szCs w:val="22"/>
          <w:lang w:val="sk-SK"/>
        </w:rPr>
        <w:t xml:space="preserve"> (187 dní voči 145 dňom), so 17 % znížením rizika (pomer rizika, 0,83; 95 % interval spoľahlivosti [CI]; 0,77 až 0,90; </w:t>
      </w:r>
      <w:r w:rsidR="00BF3E7F">
        <w:rPr>
          <w:sz w:val="22"/>
          <w:szCs w:val="22"/>
          <w:lang w:val="sk-SK"/>
        </w:rPr>
        <w:t>p</w:t>
      </w:r>
      <w:r w:rsidRPr="00754142">
        <w:rPr>
          <w:sz w:val="22"/>
          <w:szCs w:val="22"/>
          <w:lang w:val="sk-SK"/>
        </w:rPr>
        <w:t xml:space="preserve">&lt;0,001). </w:t>
      </w:r>
      <w:proofErr w:type="spellStart"/>
      <w:r w:rsidRPr="00754142">
        <w:rPr>
          <w:iCs/>
          <w:sz w:val="22"/>
          <w:szCs w:val="22"/>
          <w:lang w:val="sk-SK"/>
        </w:rPr>
        <w:t>Spiriva</w:t>
      </w:r>
      <w:proofErr w:type="spellEnd"/>
      <w:r w:rsidRPr="00754142">
        <w:rPr>
          <w:sz w:val="22"/>
          <w:szCs w:val="22"/>
          <w:lang w:val="sk-SK"/>
        </w:rPr>
        <w:t xml:space="preserve"> predĺžila aj čas do prvej závažnej (s hospitalizáciou) </w:t>
      </w:r>
      <w:proofErr w:type="spellStart"/>
      <w:r w:rsidRPr="00754142">
        <w:rPr>
          <w:sz w:val="22"/>
          <w:szCs w:val="22"/>
          <w:lang w:val="sk-SK"/>
        </w:rPr>
        <w:t>exacerbácie</w:t>
      </w:r>
      <w:proofErr w:type="spellEnd"/>
      <w:r w:rsidRPr="00754142">
        <w:rPr>
          <w:sz w:val="22"/>
          <w:szCs w:val="22"/>
          <w:lang w:val="sk-SK"/>
        </w:rPr>
        <w:t xml:space="preserve"> (pomer rizika, 0,72; 95 % CI; 0,61 až 0,85; </w:t>
      </w:r>
      <w:r w:rsidR="00BF3E7F">
        <w:rPr>
          <w:sz w:val="22"/>
          <w:szCs w:val="22"/>
          <w:lang w:val="sk-SK"/>
        </w:rPr>
        <w:t>p</w:t>
      </w:r>
      <w:r w:rsidRPr="00754142">
        <w:rPr>
          <w:sz w:val="22"/>
          <w:szCs w:val="22"/>
          <w:lang w:val="sk-SK"/>
        </w:rPr>
        <w:t xml:space="preserve">&lt;0,001). 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754142">
        <w:rPr>
          <w:sz w:val="22"/>
          <w:szCs w:val="22"/>
          <w:u w:val="single"/>
          <w:lang w:val="sk-SK"/>
        </w:rPr>
        <w:t>Dlhodobé klinické štúdie (viac ako 1 rok, až 4 roky)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t xml:space="preserve">V 4-ročnej </w:t>
      </w:r>
      <w:proofErr w:type="spellStart"/>
      <w:r w:rsidRPr="00754142">
        <w:rPr>
          <w:sz w:val="22"/>
          <w:szCs w:val="22"/>
          <w:lang w:val="sk-SK"/>
        </w:rPr>
        <w:t>randomizovanej</w:t>
      </w:r>
      <w:proofErr w:type="spellEnd"/>
      <w:r w:rsidRPr="00754142">
        <w:rPr>
          <w:sz w:val="22"/>
          <w:szCs w:val="22"/>
          <w:lang w:val="sk-SK"/>
        </w:rPr>
        <w:t xml:space="preserve">, dvojito zaslepenej, 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kontrolovanej klinickej štúdii s 5 993 </w:t>
      </w:r>
      <w:proofErr w:type="spellStart"/>
      <w:r w:rsidRPr="00754142">
        <w:rPr>
          <w:sz w:val="22"/>
          <w:szCs w:val="22"/>
          <w:lang w:val="sk-SK"/>
        </w:rPr>
        <w:t>randomizovanými</w:t>
      </w:r>
      <w:proofErr w:type="spellEnd"/>
      <w:r w:rsidRPr="00754142">
        <w:rPr>
          <w:sz w:val="22"/>
          <w:szCs w:val="22"/>
          <w:lang w:val="sk-SK"/>
        </w:rPr>
        <w:t xml:space="preserve"> pacientmi (3 006 pacientov dostávalo </w:t>
      </w:r>
      <w:proofErr w:type="spellStart"/>
      <w:r w:rsidRPr="00754142">
        <w:rPr>
          <w:sz w:val="22"/>
          <w:szCs w:val="22"/>
          <w:lang w:val="sk-SK"/>
        </w:rPr>
        <w:t>placebo</w:t>
      </w:r>
      <w:proofErr w:type="spellEnd"/>
      <w:r w:rsidRPr="00754142">
        <w:rPr>
          <w:sz w:val="22"/>
          <w:szCs w:val="22"/>
          <w:lang w:val="sk-SK"/>
        </w:rPr>
        <w:t xml:space="preserve"> a 2 987 dostávalo </w:t>
      </w:r>
      <w:proofErr w:type="spellStart"/>
      <w:r w:rsidRPr="00754142">
        <w:rPr>
          <w:sz w:val="22"/>
          <w:szCs w:val="22"/>
          <w:lang w:val="sk-SK"/>
        </w:rPr>
        <w:t>Spirivu</w:t>
      </w:r>
      <w:proofErr w:type="spellEnd"/>
      <w:r w:rsidRPr="00754142">
        <w:rPr>
          <w:sz w:val="22"/>
          <w:szCs w:val="22"/>
          <w:lang w:val="sk-SK"/>
        </w:rPr>
        <w:t xml:space="preserve">) </w:t>
      </w:r>
      <w:proofErr w:type="spellStart"/>
      <w:r w:rsidRPr="00754142">
        <w:rPr>
          <w:sz w:val="22"/>
          <w:szCs w:val="22"/>
          <w:lang w:val="sk-SK"/>
        </w:rPr>
        <w:t>Spiriva</w:t>
      </w:r>
      <w:proofErr w:type="spellEnd"/>
      <w:r w:rsidRPr="00754142">
        <w:rPr>
          <w:sz w:val="22"/>
          <w:szCs w:val="22"/>
          <w:lang w:val="sk-SK"/>
        </w:rPr>
        <w:t xml:space="preserve"> v porovnaní s 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trvalo zlepšovala FEV</w:t>
      </w:r>
      <w:r w:rsidRPr="00754142">
        <w:rPr>
          <w:sz w:val="22"/>
          <w:szCs w:val="22"/>
          <w:vertAlign w:val="subscript"/>
          <w:lang w:val="sk-SK"/>
        </w:rPr>
        <w:t>1</w:t>
      </w:r>
      <w:r w:rsidRPr="00754142">
        <w:rPr>
          <w:sz w:val="22"/>
          <w:szCs w:val="22"/>
          <w:lang w:val="sk-SK"/>
        </w:rPr>
        <w:t xml:space="preserve"> počas 4 rokov.</w:t>
      </w:r>
      <w:r w:rsidR="0009073F">
        <w:rPr>
          <w:sz w:val="22"/>
          <w:szCs w:val="22"/>
          <w:lang w:val="sk-SK"/>
        </w:rPr>
        <w:t xml:space="preserve"> Vyšší podiel pacientov ukončil</w:t>
      </w:r>
      <w:r w:rsidRPr="00754142">
        <w:rPr>
          <w:sz w:val="22"/>
          <w:szCs w:val="22"/>
          <w:lang w:val="sk-SK"/>
        </w:rPr>
        <w:t xml:space="preserve"> ≥ 45 mesačnú liečbu v skupine so </w:t>
      </w:r>
      <w:proofErr w:type="spellStart"/>
      <w:r w:rsidRPr="00754142">
        <w:rPr>
          <w:sz w:val="22"/>
          <w:szCs w:val="22"/>
          <w:lang w:val="sk-SK"/>
        </w:rPr>
        <w:t>Spirivou</w:t>
      </w:r>
      <w:proofErr w:type="spellEnd"/>
      <w:r w:rsidRPr="00754142">
        <w:rPr>
          <w:sz w:val="22"/>
          <w:szCs w:val="22"/>
          <w:lang w:val="sk-SK"/>
        </w:rPr>
        <w:t xml:space="preserve"> v porovnaní so skupinou s placebom</w:t>
      </w:r>
      <w:r w:rsidRPr="00754142">
        <w:rPr>
          <w:bCs/>
          <w:sz w:val="22"/>
          <w:szCs w:val="22"/>
          <w:lang w:val="sk-SK" w:eastAsia="de-DE"/>
        </w:rPr>
        <w:t xml:space="preserve">(63,8 % </w:t>
      </w:r>
      <w:proofErr w:type="spellStart"/>
      <w:r w:rsidRPr="00754142">
        <w:rPr>
          <w:bCs/>
          <w:sz w:val="22"/>
          <w:szCs w:val="22"/>
          <w:lang w:val="sk-SK" w:eastAsia="de-DE"/>
        </w:rPr>
        <w:t>vs</w:t>
      </w:r>
      <w:proofErr w:type="spellEnd"/>
      <w:r w:rsidRPr="00754142">
        <w:rPr>
          <w:bCs/>
          <w:sz w:val="22"/>
          <w:szCs w:val="22"/>
          <w:lang w:val="sk-SK" w:eastAsia="de-DE"/>
        </w:rPr>
        <w:t xml:space="preserve"> 55,4 %, p &lt; 0,001)</w:t>
      </w:r>
      <w:r w:rsidRPr="00754142">
        <w:rPr>
          <w:sz w:val="22"/>
          <w:szCs w:val="22"/>
          <w:lang w:val="sk-SK"/>
        </w:rPr>
        <w:t>. Medziročný pomer  poklesu FEV</w:t>
      </w:r>
      <w:r w:rsidRPr="00754142">
        <w:rPr>
          <w:sz w:val="22"/>
          <w:szCs w:val="22"/>
          <w:vertAlign w:val="subscript"/>
          <w:lang w:val="sk-SK"/>
        </w:rPr>
        <w:t>1</w:t>
      </w:r>
      <w:r w:rsidRPr="00754142">
        <w:rPr>
          <w:sz w:val="22"/>
          <w:szCs w:val="22"/>
          <w:lang w:val="sk-SK"/>
        </w:rPr>
        <w:t xml:space="preserve"> bol medzi </w:t>
      </w:r>
      <w:proofErr w:type="spellStart"/>
      <w:r w:rsidRPr="00754142">
        <w:rPr>
          <w:sz w:val="22"/>
          <w:szCs w:val="22"/>
          <w:lang w:val="sk-SK"/>
        </w:rPr>
        <w:t>Spirivou</w:t>
      </w:r>
      <w:proofErr w:type="spellEnd"/>
      <w:r w:rsidRPr="00754142">
        <w:rPr>
          <w:sz w:val="22"/>
          <w:szCs w:val="22"/>
          <w:lang w:val="sk-SK"/>
        </w:rPr>
        <w:t xml:space="preserve"> a </w:t>
      </w:r>
      <w:proofErr w:type="spellStart"/>
      <w:r w:rsidRPr="00754142">
        <w:rPr>
          <w:sz w:val="22"/>
          <w:szCs w:val="22"/>
          <w:lang w:val="sk-SK"/>
        </w:rPr>
        <w:t>placebom</w:t>
      </w:r>
      <w:proofErr w:type="spellEnd"/>
      <w:r w:rsidRPr="00754142">
        <w:rPr>
          <w:sz w:val="22"/>
          <w:szCs w:val="22"/>
          <w:lang w:val="sk-SK"/>
        </w:rPr>
        <w:t xml:space="preserve"> podobný. Počas liečby sa o 16 % znížilo rizi</w:t>
      </w:r>
      <w:r w:rsidR="0009073F">
        <w:rPr>
          <w:sz w:val="22"/>
          <w:szCs w:val="22"/>
          <w:lang w:val="sk-SK"/>
        </w:rPr>
        <w:t xml:space="preserve">ko úmrtia. Výskyt miery úmrtia </w:t>
      </w:r>
      <w:r w:rsidRPr="00754142">
        <w:rPr>
          <w:sz w:val="22"/>
          <w:szCs w:val="22"/>
          <w:lang w:val="sk-SK"/>
        </w:rPr>
        <w:t>v sk</w:t>
      </w:r>
      <w:r w:rsidR="004B4421">
        <w:rPr>
          <w:sz w:val="22"/>
          <w:szCs w:val="22"/>
          <w:lang w:val="sk-SK"/>
        </w:rPr>
        <w:t xml:space="preserve">upine, ktorá dostávala </w:t>
      </w:r>
      <w:proofErr w:type="spellStart"/>
      <w:r w:rsidR="004B4421">
        <w:rPr>
          <w:sz w:val="22"/>
          <w:szCs w:val="22"/>
          <w:lang w:val="sk-SK"/>
        </w:rPr>
        <w:t>placebo</w:t>
      </w:r>
      <w:proofErr w:type="spellEnd"/>
      <w:r w:rsidR="004B4421">
        <w:rPr>
          <w:sz w:val="22"/>
          <w:szCs w:val="22"/>
          <w:lang w:val="sk-SK"/>
        </w:rPr>
        <w:t xml:space="preserve"> </w:t>
      </w:r>
      <w:r w:rsidR="00BF3E7F">
        <w:rPr>
          <w:sz w:val="22"/>
          <w:szCs w:val="22"/>
          <w:lang w:val="sk-SK"/>
        </w:rPr>
        <w:t xml:space="preserve">bolo </w:t>
      </w:r>
      <w:r w:rsidRPr="00754142">
        <w:rPr>
          <w:sz w:val="22"/>
          <w:szCs w:val="22"/>
          <w:lang w:val="sk-SK"/>
        </w:rPr>
        <w:t xml:space="preserve">4,79 na 100 </w:t>
      </w:r>
      <w:proofErr w:type="spellStart"/>
      <w:r w:rsidRPr="00754142">
        <w:rPr>
          <w:sz w:val="22"/>
          <w:szCs w:val="22"/>
          <w:lang w:val="sk-SK"/>
        </w:rPr>
        <w:t>pacientorokov</w:t>
      </w:r>
      <w:proofErr w:type="spellEnd"/>
      <w:r w:rsidRPr="00754142">
        <w:rPr>
          <w:sz w:val="22"/>
          <w:szCs w:val="22"/>
          <w:lang w:val="sk-SK"/>
        </w:rPr>
        <w:t xml:space="preserve"> v porovnaní so skupinou, ktorá dostávala </w:t>
      </w:r>
      <w:proofErr w:type="spellStart"/>
      <w:r w:rsidRPr="00754142">
        <w:rPr>
          <w:sz w:val="22"/>
          <w:szCs w:val="22"/>
          <w:lang w:val="sk-SK"/>
        </w:rPr>
        <w:t>tiotropium</w:t>
      </w:r>
      <w:proofErr w:type="spellEnd"/>
      <w:r w:rsidRPr="00754142">
        <w:rPr>
          <w:sz w:val="22"/>
          <w:szCs w:val="22"/>
          <w:lang w:val="sk-SK"/>
        </w:rPr>
        <w:t xml:space="preserve"> 4,10 na 100 </w:t>
      </w:r>
      <w:proofErr w:type="spellStart"/>
      <w:r w:rsidRPr="00754142">
        <w:rPr>
          <w:sz w:val="22"/>
          <w:szCs w:val="22"/>
          <w:lang w:val="sk-SK"/>
        </w:rPr>
        <w:t>pacientorokov</w:t>
      </w:r>
      <w:proofErr w:type="spellEnd"/>
      <w:r w:rsidRPr="00754142">
        <w:rPr>
          <w:sz w:val="22"/>
          <w:szCs w:val="22"/>
          <w:lang w:val="sk-SK"/>
        </w:rPr>
        <w:t xml:space="preserve"> (pomer rizika (</w:t>
      </w:r>
      <w:proofErr w:type="spellStart"/>
      <w:r w:rsidRPr="00754142">
        <w:rPr>
          <w:sz w:val="22"/>
          <w:szCs w:val="22"/>
          <w:lang w:val="sk-SK"/>
        </w:rPr>
        <w:t>tiotropium</w:t>
      </w:r>
      <w:proofErr w:type="spellEnd"/>
      <w:r w:rsidRPr="00754142">
        <w:rPr>
          <w:sz w:val="22"/>
          <w:szCs w:val="22"/>
          <w:lang w:val="sk-SK"/>
        </w:rPr>
        <w:t>/</w:t>
      </w:r>
      <w:proofErr w:type="spellStart"/>
      <w:r w:rsidRPr="00754142">
        <w:rPr>
          <w:sz w:val="22"/>
          <w:szCs w:val="22"/>
          <w:lang w:val="sk-SK"/>
        </w:rPr>
        <w:t>placebo</w:t>
      </w:r>
      <w:proofErr w:type="spellEnd"/>
      <w:r w:rsidRPr="00754142">
        <w:rPr>
          <w:sz w:val="22"/>
          <w:szCs w:val="22"/>
          <w:lang w:val="sk-SK"/>
        </w:rPr>
        <w:t xml:space="preserve">) = 0,84; 95 % CI = 0,73; 0,97). Liečba </w:t>
      </w:r>
      <w:proofErr w:type="spellStart"/>
      <w:r w:rsidRPr="00754142">
        <w:rPr>
          <w:sz w:val="22"/>
          <w:szCs w:val="22"/>
          <w:lang w:val="sk-SK"/>
        </w:rPr>
        <w:t>tiotropiom</w:t>
      </w:r>
      <w:proofErr w:type="spellEnd"/>
      <w:r w:rsidRPr="00754142">
        <w:rPr>
          <w:sz w:val="22"/>
          <w:szCs w:val="22"/>
          <w:lang w:val="sk-SK"/>
        </w:rPr>
        <w:t xml:space="preserve"> znižuje riziko respiračného zlyhania (podľa záznamov hlásených nežiaducich udalostí) o 19 % (2,09 </w:t>
      </w:r>
      <w:proofErr w:type="spellStart"/>
      <w:r w:rsidRPr="00754142">
        <w:rPr>
          <w:sz w:val="22"/>
          <w:szCs w:val="22"/>
          <w:lang w:val="sk-SK"/>
        </w:rPr>
        <w:t>vs</w:t>
      </w:r>
      <w:proofErr w:type="spellEnd"/>
      <w:r w:rsidRPr="00754142">
        <w:rPr>
          <w:sz w:val="22"/>
          <w:szCs w:val="22"/>
          <w:lang w:val="sk-SK"/>
        </w:rPr>
        <w:t xml:space="preserve"> 1,68 prípadov na 100 </w:t>
      </w:r>
      <w:proofErr w:type="spellStart"/>
      <w:r w:rsidRPr="00754142">
        <w:rPr>
          <w:sz w:val="22"/>
          <w:szCs w:val="22"/>
          <w:lang w:val="sk-SK"/>
        </w:rPr>
        <w:t>pacientorokov</w:t>
      </w:r>
      <w:proofErr w:type="spellEnd"/>
      <w:r w:rsidRPr="00754142">
        <w:rPr>
          <w:sz w:val="22"/>
          <w:szCs w:val="22"/>
          <w:lang w:val="sk-SK"/>
        </w:rPr>
        <w:t>, relatívne riziko (</w:t>
      </w:r>
      <w:proofErr w:type="spellStart"/>
      <w:r w:rsidRPr="00754142">
        <w:rPr>
          <w:sz w:val="22"/>
          <w:szCs w:val="22"/>
          <w:lang w:val="sk-SK"/>
        </w:rPr>
        <w:t>tiotropium</w:t>
      </w:r>
      <w:proofErr w:type="spellEnd"/>
      <w:r w:rsidRPr="00754142">
        <w:rPr>
          <w:sz w:val="22"/>
          <w:szCs w:val="22"/>
          <w:lang w:val="sk-SK"/>
        </w:rPr>
        <w:t>/</w:t>
      </w:r>
      <w:proofErr w:type="spellStart"/>
      <w:r w:rsidRPr="00754142">
        <w:rPr>
          <w:sz w:val="22"/>
          <w:szCs w:val="22"/>
          <w:lang w:val="sk-SK"/>
        </w:rPr>
        <w:t>placebo</w:t>
      </w:r>
      <w:proofErr w:type="spellEnd"/>
      <w:r w:rsidRPr="00754142">
        <w:rPr>
          <w:sz w:val="22"/>
          <w:szCs w:val="22"/>
          <w:lang w:val="sk-SK"/>
        </w:rPr>
        <w:t>) = 0,81; 95 % CI = 0,65; 0,999).</w:t>
      </w:r>
    </w:p>
    <w:p w:rsidR="009E472A" w:rsidRPr="00754142" w:rsidRDefault="009E472A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96DA8" w:rsidRPr="00754142" w:rsidRDefault="00896DA8" w:rsidP="008C0A14">
      <w:pPr>
        <w:keepNext/>
        <w:tabs>
          <w:tab w:val="left" w:pos="7920"/>
        </w:tabs>
        <w:outlineLvl w:val="1"/>
        <w:rPr>
          <w:color w:val="000000"/>
          <w:sz w:val="22"/>
          <w:szCs w:val="22"/>
          <w:lang w:val="sk-SK" w:eastAsia="de-DE"/>
        </w:rPr>
      </w:pPr>
      <w:r w:rsidRPr="00754142">
        <w:rPr>
          <w:i/>
          <w:iCs/>
          <w:color w:val="000000"/>
          <w:sz w:val="22"/>
          <w:szCs w:val="22"/>
          <w:u w:val="single"/>
          <w:lang w:val="sk-SK"/>
        </w:rPr>
        <w:t>Štúdia s </w:t>
      </w:r>
      <w:proofErr w:type="spellStart"/>
      <w:r w:rsidRPr="00754142">
        <w:rPr>
          <w:i/>
          <w:iCs/>
          <w:color w:val="000000"/>
          <w:sz w:val="22"/>
          <w:szCs w:val="22"/>
          <w:u w:val="single"/>
          <w:lang w:val="sk-SK"/>
        </w:rPr>
        <w:t>tiotropiom</w:t>
      </w:r>
      <w:proofErr w:type="spellEnd"/>
      <w:r w:rsidRPr="00754142">
        <w:rPr>
          <w:i/>
          <w:iCs/>
          <w:color w:val="000000"/>
          <w:sz w:val="22"/>
          <w:szCs w:val="22"/>
          <w:u w:val="single"/>
          <w:lang w:val="sk-SK"/>
        </w:rPr>
        <w:t xml:space="preserve"> kontrolovaná aktívnym liekom</w:t>
      </w:r>
    </w:p>
    <w:p w:rsidR="00896DA8" w:rsidRPr="00754142" w:rsidRDefault="00896DA8" w:rsidP="008C0A14">
      <w:pPr>
        <w:rPr>
          <w:color w:val="000000"/>
          <w:sz w:val="22"/>
          <w:szCs w:val="22"/>
          <w:vertAlign w:val="subscript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sz w:val="22"/>
          <w:szCs w:val="22"/>
          <w:lang w:val="sk-SK"/>
        </w:rPr>
        <w:lastRenderedPageBreak/>
        <w:t>Bola vykonaná dlhodobá, rozsiahla, </w:t>
      </w:r>
      <w:proofErr w:type="spellStart"/>
      <w:r w:rsidRPr="00754142">
        <w:rPr>
          <w:sz w:val="22"/>
          <w:szCs w:val="22"/>
          <w:lang w:val="sk-SK"/>
        </w:rPr>
        <w:t>randomizovaná</w:t>
      </w:r>
      <w:proofErr w:type="spellEnd"/>
      <w:r w:rsidRPr="00754142">
        <w:rPr>
          <w:sz w:val="22"/>
          <w:szCs w:val="22"/>
          <w:lang w:val="sk-SK"/>
        </w:rPr>
        <w:t xml:space="preserve">, dvojito zaslepená, aktívnym liekom kontrolovaná klinická štúdia s obdobím pozorovania až 3 roky, aby porovnala účinnosť a bezpečnosť </w:t>
      </w:r>
      <w:proofErr w:type="spellStart"/>
      <w:r w:rsidRPr="00754142">
        <w:rPr>
          <w:sz w:val="22"/>
          <w:szCs w:val="22"/>
          <w:lang w:val="sk-SK"/>
        </w:rPr>
        <w:t>Spirivy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sz w:val="22"/>
          <w:szCs w:val="22"/>
          <w:lang w:val="sk-SK"/>
        </w:rPr>
        <w:t xml:space="preserve"> a </w:t>
      </w:r>
      <w:proofErr w:type="spellStart"/>
      <w:r w:rsidRPr="00754142">
        <w:rPr>
          <w:sz w:val="22"/>
          <w:szCs w:val="22"/>
          <w:lang w:val="sk-SK"/>
        </w:rPr>
        <w:t>Spirivy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sz w:val="22"/>
          <w:szCs w:val="22"/>
          <w:lang w:val="sk-SK"/>
        </w:rPr>
        <w:t xml:space="preserve"> (</w:t>
      </w:r>
      <w:r w:rsidRPr="00754142">
        <w:rPr>
          <w:color w:val="000000"/>
          <w:sz w:val="22"/>
          <w:szCs w:val="22"/>
          <w:lang w:val="sk-SK"/>
        </w:rPr>
        <w:t>5 694</w:t>
      </w:r>
      <w:r w:rsidRPr="00754142">
        <w:rPr>
          <w:sz w:val="22"/>
          <w:szCs w:val="22"/>
          <w:lang w:val="sk-SK"/>
        </w:rPr>
        <w:t xml:space="preserve"> pacientov užívalo </w:t>
      </w:r>
      <w:proofErr w:type="spellStart"/>
      <w:r w:rsidRPr="00754142">
        <w:rPr>
          <w:sz w:val="22"/>
          <w:szCs w:val="22"/>
          <w:lang w:val="sk-SK"/>
        </w:rPr>
        <w:t>Spirivu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sz w:val="22"/>
          <w:szCs w:val="22"/>
          <w:lang w:val="sk-SK"/>
        </w:rPr>
        <w:t xml:space="preserve"> a </w:t>
      </w:r>
      <w:r w:rsidRPr="00754142">
        <w:rPr>
          <w:color w:val="000000"/>
          <w:sz w:val="22"/>
          <w:szCs w:val="22"/>
          <w:lang w:val="sk-SK"/>
        </w:rPr>
        <w:t>5 711</w:t>
      </w:r>
      <w:r w:rsidRPr="00754142">
        <w:rPr>
          <w:sz w:val="22"/>
          <w:szCs w:val="22"/>
          <w:lang w:val="sk-SK"/>
        </w:rPr>
        <w:t xml:space="preserve"> pacientov užívalo </w:t>
      </w:r>
      <w:proofErr w:type="spellStart"/>
      <w:r w:rsidRPr="00754142">
        <w:rPr>
          <w:sz w:val="22"/>
          <w:szCs w:val="22"/>
          <w:lang w:val="sk-SK"/>
        </w:rPr>
        <w:t>Spirivu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sz w:val="22"/>
          <w:szCs w:val="22"/>
          <w:lang w:val="sk-SK"/>
        </w:rPr>
        <w:t xml:space="preserve">). Primárnymi koncovými ukazovateli boli čas do prvej </w:t>
      </w:r>
      <w:proofErr w:type="spellStart"/>
      <w:r w:rsidRPr="00754142">
        <w:rPr>
          <w:sz w:val="22"/>
          <w:szCs w:val="22"/>
          <w:lang w:val="sk-SK"/>
        </w:rPr>
        <w:t>exacerbácie</w:t>
      </w:r>
      <w:proofErr w:type="spellEnd"/>
      <w:r w:rsidRPr="00754142">
        <w:rPr>
          <w:sz w:val="22"/>
          <w:szCs w:val="22"/>
          <w:lang w:val="sk-SK"/>
        </w:rPr>
        <w:t xml:space="preserve"> CHOCHP, čas do mortality zo všetkých príčin a v podskupine (906 pacientov) minimálny FEV</w:t>
      </w:r>
      <w:r w:rsidRPr="00754142">
        <w:rPr>
          <w:sz w:val="22"/>
          <w:szCs w:val="22"/>
          <w:vertAlign w:val="subscript"/>
          <w:lang w:val="sk-SK"/>
        </w:rPr>
        <w:t xml:space="preserve">1 </w:t>
      </w:r>
      <w:r w:rsidRPr="00754142">
        <w:rPr>
          <w:sz w:val="22"/>
          <w:szCs w:val="22"/>
          <w:lang w:val="sk-SK"/>
        </w:rPr>
        <w:t>(pred podaním dávky).</w:t>
      </w:r>
    </w:p>
    <w:p w:rsidR="00896DA8" w:rsidRPr="00754142" w:rsidRDefault="00896DA8" w:rsidP="008C0A14">
      <w:pPr>
        <w:keepNext/>
        <w:tabs>
          <w:tab w:val="left" w:pos="7920"/>
        </w:tabs>
        <w:outlineLvl w:val="1"/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Čas do prvej </w:t>
      </w:r>
      <w:proofErr w:type="spellStart"/>
      <w:r w:rsidRPr="00754142">
        <w:rPr>
          <w:color w:val="000000"/>
          <w:sz w:val="22"/>
          <w:szCs w:val="22"/>
          <w:lang w:val="sk-SK"/>
        </w:rPr>
        <w:t>exacerbácie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CHOCHP bol numericky podobný v štúdii so </w:t>
      </w:r>
      <w:proofErr w:type="spellStart"/>
      <w:r w:rsidRPr="00754142">
        <w:rPr>
          <w:color w:val="000000"/>
          <w:sz w:val="22"/>
          <w:szCs w:val="22"/>
          <w:lang w:val="sk-SK"/>
        </w:rPr>
        <w:t>Spirivou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754142">
        <w:rPr>
          <w:color w:val="000000"/>
          <w:sz w:val="22"/>
          <w:szCs w:val="22"/>
          <w:lang w:val="sk-SK"/>
        </w:rPr>
        <w:t>Spirivou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(pomer rizika (</w:t>
      </w:r>
      <w:proofErr w:type="spellStart"/>
      <w:r w:rsidRPr="00754142">
        <w:rPr>
          <w:color w:val="000000"/>
          <w:sz w:val="22"/>
          <w:szCs w:val="22"/>
          <w:lang w:val="sk-SK"/>
        </w:rPr>
        <w:t>Spiriva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>/</w:t>
      </w:r>
      <w:proofErr w:type="spellStart"/>
      <w:r w:rsidRPr="00754142">
        <w:rPr>
          <w:color w:val="000000"/>
          <w:sz w:val="22"/>
          <w:szCs w:val="22"/>
          <w:lang w:val="sk-SK"/>
        </w:rPr>
        <w:t>Spiriva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) 1,02 s 95 % CI 0,97 až 1,08). Medián počtu dní do prvej </w:t>
      </w:r>
      <w:proofErr w:type="spellStart"/>
      <w:r w:rsidRPr="00754142">
        <w:rPr>
          <w:color w:val="000000"/>
          <w:sz w:val="22"/>
          <w:szCs w:val="22"/>
          <w:lang w:val="sk-SK"/>
        </w:rPr>
        <w:t>exacerbácie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CHOCHP bol 719 dní pri </w:t>
      </w:r>
      <w:proofErr w:type="spellStart"/>
      <w:r w:rsidRPr="00754142">
        <w:rPr>
          <w:color w:val="000000"/>
          <w:sz w:val="22"/>
          <w:szCs w:val="22"/>
          <w:lang w:val="sk-SK"/>
        </w:rPr>
        <w:t>Spirive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a 756 dní pri </w:t>
      </w:r>
      <w:proofErr w:type="spellStart"/>
      <w:r w:rsidRPr="00754142">
        <w:rPr>
          <w:color w:val="000000"/>
          <w:sz w:val="22"/>
          <w:szCs w:val="22"/>
          <w:lang w:val="sk-SK"/>
        </w:rPr>
        <w:t>Spirive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sz w:val="22"/>
          <w:szCs w:val="22"/>
          <w:lang w:val="sk-SK"/>
        </w:rPr>
        <w:t>.</w:t>
      </w:r>
    </w:p>
    <w:p w:rsidR="00896DA8" w:rsidRPr="00754142" w:rsidRDefault="00896DA8" w:rsidP="008C0A14">
      <w:pPr>
        <w:keepNext/>
        <w:tabs>
          <w:tab w:val="left" w:pos="7920"/>
        </w:tabs>
        <w:outlineLvl w:val="1"/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  <w:proofErr w:type="spellStart"/>
      <w:r w:rsidRPr="00754142">
        <w:rPr>
          <w:color w:val="000000"/>
          <w:sz w:val="22"/>
          <w:szCs w:val="22"/>
          <w:lang w:val="sk-SK"/>
        </w:rPr>
        <w:t>Bronchodilatačný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754142">
        <w:rPr>
          <w:color w:val="000000"/>
          <w:sz w:val="22"/>
          <w:szCs w:val="22"/>
          <w:lang w:val="sk-SK"/>
        </w:rPr>
        <w:t>Spirivy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sa udržal vyše 120 týždňov a bol podobný ako pri </w:t>
      </w:r>
      <w:proofErr w:type="spellStart"/>
      <w:r w:rsidRPr="00754142">
        <w:rPr>
          <w:color w:val="000000"/>
          <w:sz w:val="22"/>
          <w:szCs w:val="22"/>
          <w:lang w:val="sk-SK"/>
        </w:rPr>
        <w:t>Spirive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color w:val="000000"/>
          <w:sz w:val="22"/>
          <w:szCs w:val="22"/>
          <w:lang w:val="sk-SK"/>
        </w:rPr>
        <w:t>. Priemerný rozdiel v minimálnom FEV</w:t>
      </w:r>
      <w:r w:rsidRPr="00754142">
        <w:rPr>
          <w:color w:val="000000"/>
          <w:sz w:val="22"/>
          <w:szCs w:val="22"/>
          <w:vertAlign w:val="subscript"/>
          <w:lang w:val="sk-SK"/>
        </w:rPr>
        <w:t>1</w:t>
      </w:r>
      <w:r w:rsidRPr="00754142">
        <w:rPr>
          <w:color w:val="000000"/>
          <w:sz w:val="22"/>
          <w:szCs w:val="22"/>
          <w:lang w:val="sk-SK"/>
        </w:rPr>
        <w:t xml:space="preserve"> pri </w:t>
      </w:r>
      <w:proofErr w:type="spellStart"/>
      <w:r w:rsidRPr="00754142">
        <w:rPr>
          <w:color w:val="000000"/>
          <w:sz w:val="22"/>
          <w:szCs w:val="22"/>
          <w:lang w:val="sk-SK"/>
        </w:rPr>
        <w:t>Spirive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oproti </w:t>
      </w:r>
      <w:proofErr w:type="spellStart"/>
      <w:r w:rsidRPr="00754142">
        <w:rPr>
          <w:color w:val="000000"/>
          <w:sz w:val="22"/>
          <w:szCs w:val="22"/>
          <w:lang w:val="sk-SK"/>
        </w:rPr>
        <w:t>Spirive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Respimat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bol 0,010 l (95% CI −0,018 až 0,038 l).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54142">
        <w:rPr>
          <w:iCs/>
          <w:sz w:val="22"/>
          <w:szCs w:val="22"/>
          <w:lang w:val="sk-SK"/>
        </w:rPr>
        <w:t xml:space="preserve">V </w:t>
      </w:r>
      <w:proofErr w:type="spellStart"/>
      <w:r w:rsidRPr="00754142">
        <w:rPr>
          <w:iCs/>
          <w:sz w:val="22"/>
          <w:szCs w:val="22"/>
          <w:lang w:val="sk-SK"/>
        </w:rPr>
        <w:t>postmarketingovej</w:t>
      </w:r>
      <w:proofErr w:type="spellEnd"/>
      <w:r w:rsidRPr="00754142">
        <w:rPr>
          <w:iCs/>
          <w:sz w:val="22"/>
          <w:szCs w:val="22"/>
          <w:lang w:val="sk-SK"/>
        </w:rPr>
        <w:t xml:space="preserve"> štúdii </w:t>
      </w:r>
      <w:proofErr w:type="spellStart"/>
      <w:r w:rsidRPr="00754142">
        <w:rPr>
          <w:iCs/>
          <w:sz w:val="22"/>
          <w:szCs w:val="22"/>
          <w:lang w:val="sk-SK"/>
        </w:rPr>
        <w:t>TioSpir</w:t>
      </w:r>
      <w:proofErr w:type="spellEnd"/>
      <w:r w:rsidRPr="00754142">
        <w:rPr>
          <w:iCs/>
          <w:sz w:val="22"/>
          <w:szCs w:val="22"/>
          <w:lang w:val="sk-SK"/>
        </w:rPr>
        <w:t xml:space="preserve"> porovnávajúcej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Spirivu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Respimat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a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Spirivu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HandiHaler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bola mortalita zo všetkých príčin vrátane ďalšieho sledovania vitálneho statusu podobná počas štúdie so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Spirivou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HandiHaler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a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Spirivou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Respimat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(pomer rizika (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Spiriva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HandiHaler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>/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Spiriva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 xml:space="preserve"> </w:t>
      </w:r>
      <w:proofErr w:type="spellStart"/>
      <w:r w:rsidRPr="00754142">
        <w:rPr>
          <w:iCs/>
          <w:color w:val="000000"/>
          <w:sz w:val="22"/>
          <w:szCs w:val="22"/>
          <w:lang w:val="sk-SK" w:eastAsia="de-DE"/>
        </w:rPr>
        <w:t>Respimat</w:t>
      </w:r>
      <w:proofErr w:type="spellEnd"/>
      <w:r w:rsidRPr="00754142">
        <w:rPr>
          <w:iCs/>
          <w:color w:val="000000"/>
          <w:sz w:val="22"/>
          <w:szCs w:val="22"/>
          <w:lang w:val="sk-SK" w:eastAsia="de-DE"/>
        </w:rPr>
        <w:t>) 1,04 s 95 % CI 0,91 až 1,19).</w:t>
      </w: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:rsidR="00896DA8" w:rsidRPr="00754142" w:rsidRDefault="00896DA8" w:rsidP="008C0A14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754142">
        <w:rPr>
          <w:sz w:val="22"/>
          <w:szCs w:val="22"/>
          <w:u w:val="single"/>
          <w:lang w:val="sk-SK"/>
        </w:rPr>
        <w:t>Pediatrická populácia</w:t>
      </w:r>
    </w:p>
    <w:p w:rsidR="00896DA8" w:rsidRPr="00754142" w:rsidRDefault="00896DA8" w:rsidP="008C0A14">
      <w:pPr>
        <w:tabs>
          <w:tab w:val="left" w:pos="0"/>
        </w:tabs>
        <w:rPr>
          <w:sz w:val="22"/>
          <w:szCs w:val="22"/>
          <w:lang w:val="sk-SK"/>
        </w:rPr>
      </w:pPr>
      <w:r w:rsidRPr="00754142">
        <w:rPr>
          <w:noProof/>
          <w:sz w:val="22"/>
          <w:szCs w:val="22"/>
          <w:lang w:val="sk-SK"/>
        </w:rPr>
        <w:t xml:space="preserve">Európska agentúra pre lieky udelila výnimku z povinnosti predložiť výsledky štúdií pre Spirivu vo všetkých vekových podskupinách detí a dospievajúcich pre </w:t>
      </w:r>
      <w:r w:rsidRPr="00754142">
        <w:rPr>
          <w:bCs/>
          <w:sz w:val="22"/>
          <w:szCs w:val="22"/>
          <w:lang w:val="sk-SK"/>
        </w:rPr>
        <w:t>CHOCHP</w:t>
      </w:r>
      <w:r w:rsidRPr="00754142">
        <w:rPr>
          <w:b/>
          <w:bCs/>
          <w:sz w:val="22"/>
          <w:szCs w:val="22"/>
          <w:lang w:val="sk-SK"/>
        </w:rPr>
        <w:t xml:space="preserve"> </w:t>
      </w:r>
      <w:r w:rsidRPr="00754142">
        <w:rPr>
          <w:bCs/>
          <w:sz w:val="22"/>
          <w:szCs w:val="22"/>
          <w:lang w:val="sk-SK"/>
        </w:rPr>
        <w:t>a c</w:t>
      </w:r>
      <w:r w:rsidRPr="00754142">
        <w:rPr>
          <w:sz w:val="22"/>
          <w:szCs w:val="22"/>
          <w:lang w:val="sk-SK"/>
        </w:rPr>
        <w:t xml:space="preserve">ystickú </w:t>
      </w:r>
      <w:proofErr w:type="spellStart"/>
      <w:r w:rsidRPr="00754142">
        <w:rPr>
          <w:sz w:val="22"/>
          <w:szCs w:val="22"/>
          <w:lang w:val="sk-SK"/>
        </w:rPr>
        <w:t>fibrózu</w:t>
      </w:r>
      <w:proofErr w:type="spellEnd"/>
      <w:r w:rsidRPr="00754142">
        <w:rPr>
          <w:sz w:val="22"/>
          <w:szCs w:val="22"/>
          <w:lang w:val="sk-SK"/>
        </w:rPr>
        <w:t xml:space="preserve"> </w:t>
      </w:r>
      <w:r w:rsidRPr="00754142">
        <w:rPr>
          <w:noProof/>
          <w:sz w:val="22"/>
          <w:szCs w:val="22"/>
          <w:lang w:val="sk-SK"/>
        </w:rPr>
        <w:t>(pre informácie o použití u detí a dospievajúcich, pozri časť 4.2).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5D77DA">
      <w:pPr>
        <w:pStyle w:val="Nzov"/>
        <w:tabs>
          <w:tab w:val="left" w:pos="567"/>
        </w:tabs>
        <w:jc w:val="left"/>
        <w:rPr>
          <w:sz w:val="22"/>
          <w:szCs w:val="22"/>
        </w:rPr>
      </w:pPr>
      <w:r w:rsidRPr="00754142">
        <w:rPr>
          <w:bCs w:val="0"/>
          <w:sz w:val="22"/>
          <w:szCs w:val="22"/>
        </w:rPr>
        <w:t>5.2</w:t>
      </w:r>
      <w:r w:rsidRPr="00754142">
        <w:rPr>
          <w:bCs w:val="0"/>
          <w:sz w:val="22"/>
          <w:szCs w:val="22"/>
        </w:rPr>
        <w:tab/>
      </w:r>
      <w:proofErr w:type="spellStart"/>
      <w:r w:rsidRPr="00754142">
        <w:rPr>
          <w:sz w:val="22"/>
          <w:szCs w:val="22"/>
        </w:rPr>
        <w:t>Farmakokinetické</w:t>
      </w:r>
      <w:proofErr w:type="spellEnd"/>
      <w:r w:rsidRPr="00754142">
        <w:rPr>
          <w:sz w:val="22"/>
          <w:szCs w:val="22"/>
        </w:rPr>
        <w:t xml:space="preserve"> vlastnosti</w:t>
      </w:r>
    </w:p>
    <w:p w:rsidR="00896DA8" w:rsidRPr="00754142" w:rsidRDefault="00896DA8" w:rsidP="008C0A14">
      <w:pPr>
        <w:pStyle w:val="Nzov"/>
        <w:jc w:val="left"/>
        <w:rPr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  <w:r w:rsidRPr="00754142">
        <w:rPr>
          <w:b w:val="0"/>
          <w:bCs w:val="0"/>
          <w:sz w:val="22"/>
          <w:szCs w:val="22"/>
          <w:u w:val="single"/>
        </w:rPr>
        <w:t>a) Všeobecný úvod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proofErr w:type="spellStart"/>
      <w:r w:rsidRPr="00754142">
        <w:rPr>
          <w:b w:val="0"/>
          <w:bCs w:val="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sz w:val="22"/>
          <w:szCs w:val="22"/>
        </w:rPr>
        <w:t xml:space="preserve"> je </w:t>
      </w:r>
      <w:proofErr w:type="spellStart"/>
      <w:r w:rsidRPr="00754142">
        <w:rPr>
          <w:b w:val="0"/>
          <w:bCs w:val="0"/>
          <w:sz w:val="22"/>
          <w:szCs w:val="22"/>
        </w:rPr>
        <w:t>nechirálna</w:t>
      </w:r>
      <w:proofErr w:type="spellEnd"/>
      <w:r w:rsidRPr="00754142">
        <w:rPr>
          <w:b w:val="0"/>
          <w:bCs w:val="0"/>
          <w:sz w:val="22"/>
          <w:szCs w:val="22"/>
        </w:rPr>
        <w:t xml:space="preserve"> kvartérna amónna zlúčenina je slabo rozpustná vo vode. </w:t>
      </w:r>
      <w:proofErr w:type="spellStart"/>
      <w:r w:rsidRPr="00754142">
        <w:rPr>
          <w:b w:val="0"/>
          <w:bCs w:val="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sz w:val="22"/>
          <w:szCs w:val="22"/>
        </w:rPr>
        <w:t xml:space="preserve"> sa podáva prostredníctvom inhalácie suchého prášku. Všeobecne sa pri inhalačnej ceste podania väčšina podanej dávky ukladá v </w:t>
      </w:r>
      <w:proofErr w:type="spellStart"/>
      <w:r w:rsidRPr="00754142">
        <w:rPr>
          <w:b w:val="0"/>
          <w:bCs w:val="0"/>
          <w:sz w:val="22"/>
          <w:szCs w:val="22"/>
        </w:rPr>
        <w:t>gastrointestinálnom</w:t>
      </w:r>
      <w:proofErr w:type="spellEnd"/>
      <w:r w:rsidRPr="00754142">
        <w:rPr>
          <w:b w:val="0"/>
          <w:bCs w:val="0"/>
          <w:sz w:val="22"/>
          <w:szCs w:val="22"/>
        </w:rPr>
        <w:t xml:space="preserve"> trakte a v menšej miere v cieľovom orgáne v pľúcach. Mnohé nižšie popísané </w:t>
      </w:r>
      <w:proofErr w:type="spellStart"/>
      <w:r w:rsidRPr="00754142">
        <w:rPr>
          <w:b w:val="0"/>
          <w:bCs w:val="0"/>
          <w:sz w:val="22"/>
          <w:szCs w:val="22"/>
        </w:rPr>
        <w:t>farmakokinetické</w:t>
      </w:r>
      <w:proofErr w:type="spellEnd"/>
      <w:r w:rsidRPr="00754142">
        <w:rPr>
          <w:b w:val="0"/>
          <w:bCs w:val="0"/>
          <w:sz w:val="22"/>
          <w:szCs w:val="22"/>
        </w:rPr>
        <w:t xml:space="preserve"> údaje sa získali pri použití vyšších dávok, než ako sú dávky odporúčané na liečbu.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r w:rsidRPr="00754142">
        <w:rPr>
          <w:b w:val="0"/>
          <w:bCs w:val="0"/>
          <w:sz w:val="22"/>
          <w:szCs w:val="22"/>
          <w:u w:val="single"/>
        </w:rPr>
        <w:t>b) Všeobecná charakteristika liečiva po podaní lieku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  <w:r w:rsidRPr="00754142">
        <w:rPr>
          <w:b w:val="0"/>
          <w:bCs w:val="0"/>
          <w:sz w:val="22"/>
          <w:szCs w:val="22"/>
          <w:u w:val="single"/>
        </w:rPr>
        <w:t>Absorpcia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  <w:r w:rsidRPr="00754142">
        <w:rPr>
          <w:b w:val="0"/>
          <w:bCs w:val="0"/>
          <w:sz w:val="22"/>
          <w:szCs w:val="22"/>
        </w:rPr>
        <w:t xml:space="preserve">Po inhalácii suchého prášku mladými zdravými dobrovoľníkmi absolútna biologická dostupnosť 19,5 % poukázala na to, že frakcia dosahujúca pľúca je vysoko biologicky dostupná. Perorálny roztok </w:t>
      </w:r>
      <w:proofErr w:type="spellStart"/>
      <w:r w:rsidRPr="00754142">
        <w:rPr>
          <w:b w:val="0"/>
          <w:bCs w:val="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sz w:val="22"/>
          <w:szCs w:val="22"/>
        </w:rPr>
        <w:t xml:space="preserve"> má absolútnu biologická dostupnosť 2 – 3 %. Maximálne plazmatické koncentrácie </w:t>
      </w:r>
      <w:proofErr w:type="spellStart"/>
      <w:r w:rsidRPr="00754142">
        <w:rPr>
          <w:b w:val="0"/>
          <w:bCs w:val="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sz w:val="22"/>
          <w:szCs w:val="22"/>
        </w:rPr>
        <w:t xml:space="preserve"> sa dosiahli 5 – 7 minút po inhalácii.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r w:rsidRPr="00754142">
        <w:rPr>
          <w:b w:val="0"/>
          <w:bCs w:val="0"/>
          <w:sz w:val="22"/>
          <w:szCs w:val="22"/>
        </w:rPr>
        <w:t xml:space="preserve">V rovnovážnom stave boli vrcholové plazmatické hladiny </w:t>
      </w:r>
      <w:proofErr w:type="spellStart"/>
      <w:r w:rsidRPr="00754142">
        <w:rPr>
          <w:b w:val="0"/>
          <w:bCs w:val="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sz w:val="22"/>
          <w:szCs w:val="22"/>
        </w:rPr>
        <w:t xml:space="preserve"> u pacientov s CHOCHP 12,9 </w:t>
      </w:r>
      <w:proofErr w:type="spellStart"/>
      <w:r w:rsidRPr="00754142">
        <w:rPr>
          <w:b w:val="0"/>
          <w:bCs w:val="0"/>
          <w:sz w:val="22"/>
          <w:szCs w:val="22"/>
        </w:rPr>
        <w:t>pg</w:t>
      </w:r>
      <w:proofErr w:type="spellEnd"/>
      <w:r w:rsidRPr="00754142">
        <w:rPr>
          <w:b w:val="0"/>
          <w:bCs w:val="0"/>
          <w:sz w:val="22"/>
          <w:szCs w:val="22"/>
        </w:rPr>
        <w:t>/ml a rýchlo sa znižovali v </w:t>
      </w:r>
      <w:proofErr w:type="spellStart"/>
      <w:r w:rsidR="00BF3E7F" w:rsidRPr="00754142">
        <w:rPr>
          <w:b w:val="0"/>
          <w:bCs w:val="0"/>
          <w:sz w:val="22"/>
          <w:szCs w:val="22"/>
        </w:rPr>
        <w:t>m</w:t>
      </w:r>
      <w:r w:rsidR="00BF3E7F">
        <w:rPr>
          <w:b w:val="0"/>
          <w:bCs w:val="0"/>
          <w:sz w:val="22"/>
          <w:szCs w:val="22"/>
        </w:rPr>
        <w:t>ulti</w:t>
      </w:r>
      <w:r w:rsidR="00BF3E7F" w:rsidRPr="00754142">
        <w:rPr>
          <w:b w:val="0"/>
          <w:bCs w:val="0"/>
          <w:sz w:val="22"/>
          <w:szCs w:val="22"/>
        </w:rPr>
        <w:t>kompartmentovom</w:t>
      </w:r>
      <w:proofErr w:type="spellEnd"/>
      <w:r w:rsidR="00BF3E7F" w:rsidRPr="00754142">
        <w:rPr>
          <w:b w:val="0"/>
          <w:bCs w:val="0"/>
          <w:sz w:val="22"/>
          <w:szCs w:val="22"/>
        </w:rPr>
        <w:t xml:space="preserve"> </w:t>
      </w:r>
      <w:r w:rsidRPr="00754142">
        <w:rPr>
          <w:b w:val="0"/>
          <w:bCs w:val="0"/>
          <w:sz w:val="22"/>
          <w:szCs w:val="22"/>
        </w:rPr>
        <w:t>prostredí. Rovnovážny stav minimálnych plazmatických koncentrácií bol 1,71</w:t>
      </w:r>
      <w:r w:rsidR="00754142">
        <w:rPr>
          <w:b w:val="0"/>
          <w:bCs w:val="0"/>
          <w:sz w:val="22"/>
          <w:szCs w:val="22"/>
        </w:rPr>
        <w:t xml:space="preserve"> </w:t>
      </w:r>
      <w:proofErr w:type="spellStart"/>
      <w:r w:rsidR="00754142">
        <w:rPr>
          <w:b w:val="0"/>
          <w:bCs w:val="0"/>
          <w:sz w:val="22"/>
          <w:szCs w:val="22"/>
        </w:rPr>
        <w:t>pg</w:t>
      </w:r>
      <w:proofErr w:type="spellEnd"/>
      <w:r w:rsidR="00754142">
        <w:rPr>
          <w:b w:val="0"/>
          <w:bCs w:val="0"/>
          <w:sz w:val="22"/>
          <w:szCs w:val="22"/>
        </w:rPr>
        <w:t>/ml.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r w:rsidRPr="00754142">
        <w:rPr>
          <w:b w:val="0"/>
          <w:sz w:val="22"/>
          <w:szCs w:val="22"/>
        </w:rPr>
        <w:t xml:space="preserve">Systémová expozícia po inhalovaní </w:t>
      </w:r>
      <w:proofErr w:type="spellStart"/>
      <w:r w:rsidRPr="00754142">
        <w:rPr>
          <w:b w:val="0"/>
          <w:sz w:val="22"/>
          <w:szCs w:val="22"/>
        </w:rPr>
        <w:t>tiotropia</w:t>
      </w:r>
      <w:proofErr w:type="spellEnd"/>
      <w:r w:rsidRPr="00754142">
        <w:rPr>
          <w:b w:val="0"/>
          <w:sz w:val="22"/>
          <w:szCs w:val="22"/>
        </w:rPr>
        <w:t xml:space="preserve"> cez pomôcku </w:t>
      </w:r>
      <w:proofErr w:type="spellStart"/>
      <w:r w:rsidRPr="00754142">
        <w:rPr>
          <w:b w:val="0"/>
          <w:sz w:val="22"/>
          <w:szCs w:val="22"/>
        </w:rPr>
        <w:t>HandiHaler</w:t>
      </w:r>
      <w:proofErr w:type="spellEnd"/>
      <w:r w:rsidRPr="00754142">
        <w:rPr>
          <w:b w:val="0"/>
          <w:sz w:val="22"/>
          <w:szCs w:val="22"/>
        </w:rPr>
        <w:t xml:space="preserve"> bola podobná </w:t>
      </w:r>
      <w:proofErr w:type="spellStart"/>
      <w:r w:rsidRPr="00754142">
        <w:rPr>
          <w:b w:val="0"/>
          <w:sz w:val="22"/>
          <w:szCs w:val="22"/>
        </w:rPr>
        <w:t>tiotropiu</w:t>
      </w:r>
      <w:proofErr w:type="spellEnd"/>
      <w:r w:rsidRPr="00754142">
        <w:rPr>
          <w:b w:val="0"/>
          <w:sz w:val="22"/>
          <w:szCs w:val="22"/>
        </w:rPr>
        <w:t xml:space="preserve"> inhalovanému cez inhalátor </w:t>
      </w:r>
      <w:proofErr w:type="spellStart"/>
      <w:r w:rsidRPr="00754142">
        <w:rPr>
          <w:b w:val="0"/>
          <w:sz w:val="22"/>
          <w:szCs w:val="22"/>
        </w:rPr>
        <w:t>Respimat</w:t>
      </w:r>
      <w:proofErr w:type="spellEnd"/>
      <w:r w:rsidRPr="00754142">
        <w:rPr>
          <w:b w:val="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  <w:u w:val="single"/>
        </w:rPr>
      </w:pPr>
      <w:r w:rsidRPr="00754142">
        <w:rPr>
          <w:sz w:val="22"/>
          <w:szCs w:val="22"/>
        </w:rPr>
        <w:t xml:space="preserve">Distribúcia: </w:t>
      </w:r>
      <w:r w:rsidRPr="00754142">
        <w:rPr>
          <w:b w:val="0"/>
          <w:bCs w:val="0"/>
          <w:sz w:val="22"/>
          <w:szCs w:val="22"/>
        </w:rPr>
        <w:t xml:space="preserve">Väzba </w:t>
      </w:r>
      <w:proofErr w:type="spellStart"/>
      <w:r w:rsidRPr="00754142">
        <w:rPr>
          <w:b w:val="0"/>
          <w:bCs w:val="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sz w:val="22"/>
          <w:szCs w:val="22"/>
        </w:rPr>
        <w:t xml:space="preserve"> na plazmatické bielkoviny je 72 % a dokázaný distribučný objem je 32 l/kg. Lokálne koncentrácie v pľúcach nie sú známe, no spôsob podávania poukazuje na podstatne vyššie koncentrácie v pľúcach. Štúdie na potkanoch ukazujú, že </w:t>
      </w:r>
      <w:proofErr w:type="spellStart"/>
      <w:r w:rsidRPr="00754142">
        <w:rPr>
          <w:b w:val="0"/>
          <w:bCs w:val="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sz w:val="22"/>
          <w:szCs w:val="22"/>
        </w:rPr>
        <w:t xml:space="preserve"> v relevantnom rozmedzí neprechádza </w:t>
      </w:r>
      <w:proofErr w:type="spellStart"/>
      <w:r w:rsidRPr="00754142">
        <w:rPr>
          <w:b w:val="0"/>
          <w:bCs w:val="0"/>
          <w:sz w:val="22"/>
          <w:szCs w:val="22"/>
        </w:rPr>
        <w:t>hematoencefalickou</w:t>
      </w:r>
      <w:proofErr w:type="spellEnd"/>
      <w:r w:rsidRPr="00754142">
        <w:rPr>
          <w:b w:val="0"/>
          <w:bCs w:val="0"/>
          <w:sz w:val="22"/>
          <w:szCs w:val="22"/>
        </w:rPr>
        <w:t xml:space="preserve"> bariérou.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sz w:val="22"/>
          <w:szCs w:val="22"/>
        </w:rPr>
      </w:pPr>
      <w:proofErr w:type="spellStart"/>
      <w:r w:rsidRPr="00754142">
        <w:rPr>
          <w:b w:val="0"/>
          <w:bCs w:val="0"/>
          <w:sz w:val="22"/>
          <w:szCs w:val="22"/>
        </w:rPr>
        <w:t>Biotransformácia</w:t>
      </w:r>
      <w:proofErr w:type="spellEnd"/>
      <w:r w:rsidRPr="00754142">
        <w:rPr>
          <w:b w:val="0"/>
          <w:bCs w:val="0"/>
          <w:sz w:val="22"/>
          <w:szCs w:val="22"/>
        </w:rPr>
        <w:t xml:space="preserve">: Rozsah </w:t>
      </w:r>
      <w:proofErr w:type="spellStart"/>
      <w:r w:rsidRPr="00754142">
        <w:rPr>
          <w:b w:val="0"/>
          <w:bCs w:val="0"/>
          <w:sz w:val="22"/>
          <w:szCs w:val="22"/>
        </w:rPr>
        <w:t>biotransformácie</w:t>
      </w:r>
      <w:proofErr w:type="spellEnd"/>
      <w:r w:rsidRPr="00754142">
        <w:rPr>
          <w:b w:val="0"/>
          <w:bCs w:val="0"/>
          <w:sz w:val="22"/>
          <w:szCs w:val="22"/>
        </w:rPr>
        <w:t xml:space="preserve"> je malý. Je to zrejmé zo 74 % vylučovania močom nezmenenej látky po intravenóznom podaní u mladých zdravých dobrovoľníkov. Ester </w:t>
      </w:r>
      <w:proofErr w:type="spellStart"/>
      <w:r w:rsidRPr="00754142">
        <w:rPr>
          <w:b w:val="0"/>
          <w:bCs w:val="0"/>
          <w:sz w:val="22"/>
          <w:szCs w:val="22"/>
        </w:rPr>
        <w:lastRenderedPageBreak/>
        <w:t>tiotropiumbromidu</w:t>
      </w:r>
      <w:proofErr w:type="spellEnd"/>
      <w:r w:rsidRPr="00754142">
        <w:rPr>
          <w:b w:val="0"/>
          <w:bCs w:val="0"/>
          <w:sz w:val="22"/>
          <w:szCs w:val="22"/>
        </w:rPr>
        <w:t xml:space="preserve"> sa neenzymaticky štiepi na alkohol (</w:t>
      </w:r>
      <w:proofErr w:type="spellStart"/>
      <w:r w:rsidRPr="00754142">
        <w:rPr>
          <w:b w:val="0"/>
          <w:bCs w:val="0"/>
          <w:sz w:val="22"/>
          <w:szCs w:val="22"/>
        </w:rPr>
        <w:t>N-metylskopín</w:t>
      </w:r>
      <w:proofErr w:type="spellEnd"/>
      <w:r w:rsidRPr="00754142">
        <w:rPr>
          <w:b w:val="0"/>
          <w:bCs w:val="0"/>
          <w:sz w:val="22"/>
          <w:szCs w:val="22"/>
        </w:rPr>
        <w:t xml:space="preserve">) a kyslú zlúčeninu (kyselinu </w:t>
      </w:r>
      <w:proofErr w:type="spellStart"/>
      <w:r w:rsidRPr="00754142">
        <w:rPr>
          <w:b w:val="0"/>
          <w:bCs w:val="0"/>
          <w:sz w:val="22"/>
          <w:szCs w:val="22"/>
        </w:rPr>
        <w:t>dietylénglykolovú</w:t>
      </w:r>
      <w:proofErr w:type="spellEnd"/>
      <w:r w:rsidRPr="00754142">
        <w:rPr>
          <w:b w:val="0"/>
          <w:bCs w:val="0"/>
          <w:sz w:val="22"/>
          <w:szCs w:val="22"/>
        </w:rPr>
        <w:t xml:space="preserve">), ktoré sú na </w:t>
      </w:r>
      <w:proofErr w:type="spellStart"/>
      <w:r w:rsidRPr="00754142">
        <w:rPr>
          <w:b w:val="0"/>
          <w:bCs w:val="0"/>
          <w:sz w:val="22"/>
          <w:szCs w:val="22"/>
        </w:rPr>
        <w:t>muskarínových</w:t>
      </w:r>
      <w:proofErr w:type="spellEnd"/>
      <w:r w:rsidRPr="00754142">
        <w:rPr>
          <w:b w:val="0"/>
          <w:bCs w:val="0"/>
          <w:sz w:val="22"/>
          <w:szCs w:val="22"/>
        </w:rPr>
        <w:t xml:space="preserve"> receptoroch </w:t>
      </w:r>
      <w:proofErr w:type="spellStart"/>
      <w:r w:rsidRPr="00754142">
        <w:rPr>
          <w:b w:val="0"/>
          <w:bCs w:val="0"/>
          <w:sz w:val="22"/>
          <w:szCs w:val="22"/>
        </w:rPr>
        <w:t>inaktívne</w:t>
      </w:r>
      <w:proofErr w:type="spellEnd"/>
      <w:r w:rsidRPr="00754142">
        <w:rPr>
          <w:b w:val="0"/>
          <w:bCs w:val="0"/>
          <w:sz w:val="22"/>
          <w:szCs w:val="22"/>
        </w:rPr>
        <w:t xml:space="preserve">. </w:t>
      </w:r>
      <w:r w:rsidRPr="00754142">
        <w:rPr>
          <w:b w:val="0"/>
          <w:bCs w:val="0"/>
          <w:i/>
          <w:sz w:val="22"/>
          <w:szCs w:val="22"/>
        </w:rPr>
        <w:t xml:space="preserve">In </w:t>
      </w:r>
      <w:proofErr w:type="spellStart"/>
      <w:r w:rsidRPr="00754142">
        <w:rPr>
          <w:b w:val="0"/>
          <w:bCs w:val="0"/>
          <w:i/>
          <w:sz w:val="22"/>
          <w:szCs w:val="22"/>
        </w:rPr>
        <w:t>vitro</w:t>
      </w:r>
      <w:proofErr w:type="spellEnd"/>
      <w:r w:rsidRPr="00754142">
        <w:rPr>
          <w:b w:val="0"/>
          <w:bCs w:val="0"/>
          <w:sz w:val="22"/>
          <w:szCs w:val="22"/>
        </w:rPr>
        <w:t xml:space="preserve"> experimenty na </w:t>
      </w:r>
      <w:proofErr w:type="spellStart"/>
      <w:r w:rsidRPr="00754142">
        <w:rPr>
          <w:b w:val="0"/>
          <w:bCs w:val="0"/>
          <w:sz w:val="22"/>
          <w:szCs w:val="22"/>
        </w:rPr>
        <w:t>mikrozómoch</w:t>
      </w:r>
      <w:proofErr w:type="spellEnd"/>
      <w:r w:rsidRPr="00754142">
        <w:rPr>
          <w:b w:val="0"/>
          <w:bCs w:val="0"/>
          <w:sz w:val="22"/>
          <w:szCs w:val="22"/>
        </w:rPr>
        <w:t xml:space="preserve"> ľudskej pečene a ľudských </w:t>
      </w:r>
      <w:proofErr w:type="spellStart"/>
      <w:r w:rsidRPr="00754142">
        <w:rPr>
          <w:b w:val="0"/>
          <w:bCs w:val="0"/>
          <w:sz w:val="22"/>
          <w:szCs w:val="22"/>
        </w:rPr>
        <w:t>hepatocytoch</w:t>
      </w:r>
      <w:proofErr w:type="spellEnd"/>
      <w:r w:rsidRPr="00754142">
        <w:rPr>
          <w:b w:val="0"/>
          <w:bCs w:val="0"/>
          <w:sz w:val="22"/>
          <w:szCs w:val="22"/>
        </w:rPr>
        <w:t xml:space="preserve"> poukazujú na to, že určité množstvo liečiva (&lt; 20 % dávky po intravenóznom podaní) sa metabolizuje oxidáciou závislou od </w:t>
      </w:r>
      <w:proofErr w:type="spellStart"/>
      <w:r w:rsidRPr="00754142">
        <w:rPr>
          <w:b w:val="0"/>
          <w:bCs w:val="0"/>
          <w:sz w:val="22"/>
          <w:szCs w:val="22"/>
        </w:rPr>
        <w:t>cytochrómu</w:t>
      </w:r>
      <w:proofErr w:type="spellEnd"/>
      <w:r w:rsidRPr="00754142">
        <w:rPr>
          <w:b w:val="0"/>
          <w:bCs w:val="0"/>
          <w:sz w:val="22"/>
          <w:szCs w:val="22"/>
        </w:rPr>
        <w:t xml:space="preserve"> P450 (CYP) a následnou konjugáciou s </w:t>
      </w:r>
      <w:proofErr w:type="spellStart"/>
      <w:r w:rsidRPr="00754142">
        <w:rPr>
          <w:b w:val="0"/>
          <w:bCs w:val="0"/>
          <w:sz w:val="22"/>
          <w:szCs w:val="22"/>
        </w:rPr>
        <w:t>glutatiónom</w:t>
      </w:r>
      <w:proofErr w:type="spellEnd"/>
      <w:r w:rsidRPr="00754142">
        <w:rPr>
          <w:b w:val="0"/>
          <w:bCs w:val="0"/>
          <w:sz w:val="22"/>
          <w:szCs w:val="22"/>
        </w:rPr>
        <w:t xml:space="preserve"> na rôzne </w:t>
      </w:r>
      <w:proofErr w:type="spellStart"/>
      <w:r w:rsidRPr="00754142">
        <w:rPr>
          <w:b w:val="0"/>
          <w:bCs w:val="0"/>
          <w:sz w:val="22"/>
          <w:szCs w:val="22"/>
        </w:rPr>
        <w:t>metabolity</w:t>
      </w:r>
      <w:proofErr w:type="spellEnd"/>
      <w:r w:rsidRPr="00754142">
        <w:rPr>
          <w:b w:val="0"/>
          <w:bCs w:val="0"/>
          <w:sz w:val="22"/>
          <w:szCs w:val="22"/>
        </w:rPr>
        <w:t xml:space="preserve"> fázy II.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sz w:val="22"/>
          <w:szCs w:val="22"/>
        </w:rPr>
        <w:t>V </w:t>
      </w:r>
      <w:r w:rsidRPr="00754142">
        <w:rPr>
          <w:b w:val="0"/>
          <w:bCs w:val="0"/>
          <w:i/>
          <w:sz w:val="22"/>
          <w:szCs w:val="22"/>
        </w:rPr>
        <w:t xml:space="preserve">in </w:t>
      </w:r>
      <w:proofErr w:type="spellStart"/>
      <w:r w:rsidRPr="00754142">
        <w:rPr>
          <w:b w:val="0"/>
          <w:bCs w:val="0"/>
          <w:i/>
          <w:sz w:val="22"/>
          <w:szCs w:val="22"/>
        </w:rPr>
        <w:t>vitro</w:t>
      </w:r>
      <w:proofErr w:type="spellEnd"/>
      <w:r w:rsidRPr="00754142">
        <w:rPr>
          <w:b w:val="0"/>
          <w:bCs w:val="0"/>
          <w:sz w:val="22"/>
          <w:szCs w:val="22"/>
        </w:rPr>
        <w:t xml:space="preserve"> štúdiách na pečeňových </w:t>
      </w:r>
      <w:proofErr w:type="spellStart"/>
      <w:r w:rsidRPr="00754142">
        <w:rPr>
          <w:b w:val="0"/>
          <w:bCs w:val="0"/>
          <w:sz w:val="22"/>
          <w:szCs w:val="22"/>
        </w:rPr>
        <w:t>mikrozómoch</w:t>
      </w:r>
      <w:proofErr w:type="spellEnd"/>
      <w:r w:rsidRPr="00754142">
        <w:rPr>
          <w:b w:val="0"/>
          <w:bCs w:val="0"/>
          <w:sz w:val="22"/>
          <w:szCs w:val="22"/>
        </w:rPr>
        <w:t xml:space="preserve"> sa odhalilo, že enzymatická cesta môže byť </w:t>
      </w:r>
      <w:proofErr w:type="spellStart"/>
      <w:r w:rsidRPr="00754142">
        <w:rPr>
          <w:b w:val="0"/>
          <w:bCs w:val="0"/>
          <w:sz w:val="22"/>
          <w:szCs w:val="22"/>
        </w:rPr>
        <w:t>inh</w:t>
      </w:r>
      <w:r w:rsidR="004B4421">
        <w:rPr>
          <w:b w:val="0"/>
          <w:bCs w:val="0"/>
          <w:sz w:val="22"/>
          <w:szCs w:val="22"/>
        </w:rPr>
        <w:t>ibovaná</w:t>
      </w:r>
      <w:proofErr w:type="spellEnd"/>
      <w:r w:rsidR="004B4421">
        <w:rPr>
          <w:b w:val="0"/>
          <w:bCs w:val="0"/>
          <w:sz w:val="22"/>
          <w:szCs w:val="22"/>
        </w:rPr>
        <w:t xml:space="preserve"> inhibítormi CYP 2D6 (a </w:t>
      </w:r>
      <w:r w:rsidRPr="00754142">
        <w:rPr>
          <w:b w:val="0"/>
          <w:bCs w:val="0"/>
          <w:sz w:val="22"/>
          <w:szCs w:val="22"/>
        </w:rPr>
        <w:t xml:space="preserve">3A4), </w:t>
      </w:r>
      <w:proofErr w:type="spellStart"/>
      <w:r w:rsidRPr="00754142">
        <w:rPr>
          <w:b w:val="0"/>
          <w:bCs w:val="0"/>
          <w:sz w:val="22"/>
          <w:szCs w:val="22"/>
        </w:rPr>
        <w:t>chinidínom</w:t>
      </w:r>
      <w:proofErr w:type="spellEnd"/>
      <w:r w:rsidRPr="00754142">
        <w:rPr>
          <w:b w:val="0"/>
          <w:bCs w:val="0"/>
          <w:sz w:val="22"/>
          <w:szCs w:val="22"/>
        </w:rPr>
        <w:t xml:space="preserve">, </w:t>
      </w:r>
      <w:proofErr w:type="spellStart"/>
      <w:r w:rsidRPr="00754142">
        <w:rPr>
          <w:b w:val="0"/>
          <w:bCs w:val="0"/>
          <w:sz w:val="22"/>
          <w:szCs w:val="22"/>
        </w:rPr>
        <w:t>ketokonazolom</w:t>
      </w:r>
      <w:proofErr w:type="spellEnd"/>
      <w:r w:rsidRPr="00754142">
        <w:rPr>
          <w:b w:val="0"/>
          <w:bCs w:val="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sz w:val="22"/>
          <w:szCs w:val="22"/>
        </w:rPr>
        <w:t>gestod</w:t>
      </w:r>
      <w:r w:rsidR="00BF3E7F">
        <w:rPr>
          <w:b w:val="0"/>
          <w:bCs w:val="0"/>
          <w:sz w:val="22"/>
          <w:szCs w:val="22"/>
        </w:rPr>
        <w:t>é</w:t>
      </w:r>
      <w:r w:rsidRPr="00754142">
        <w:rPr>
          <w:b w:val="0"/>
          <w:bCs w:val="0"/>
          <w:sz w:val="22"/>
          <w:szCs w:val="22"/>
        </w:rPr>
        <w:t>nom</w:t>
      </w:r>
      <w:proofErr w:type="spellEnd"/>
      <w:r w:rsidRPr="00754142">
        <w:rPr>
          <w:b w:val="0"/>
          <w:bCs w:val="0"/>
          <w:sz w:val="22"/>
          <w:szCs w:val="22"/>
        </w:rPr>
        <w:t xml:space="preserve">. Teda CYP 2D6 a  3A4 sú zahrnuté do metabolickej cesty zodpovednej za elimináciu malého množstva dávky. </w:t>
      </w:r>
      <w:proofErr w:type="spellStart"/>
      <w:r w:rsidRPr="00754142">
        <w:rPr>
          <w:b w:val="0"/>
          <w:bCs w:val="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sz w:val="22"/>
          <w:szCs w:val="22"/>
        </w:rPr>
        <w:t xml:space="preserve"> aj pri veľmi vysokých terapeutických koncentráciách </w:t>
      </w:r>
      <w:proofErr w:type="spellStart"/>
      <w:r w:rsidRPr="00754142">
        <w:rPr>
          <w:b w:val="0"/>
          <w:bCs w:val="0"/>
          <w:sz w:val="22"/>
          <w:szCs w:val="22"/>
        </w:rPr>
        <w:t>ne</w:t>
      </w:r>
      <w:r w:rsidRPr="00754142">
        <w:rPr>
          <w:b w:val="0"/>
          <w:bCs w:val="0"/>
          <w:color w:val="000000"/>
          <w:sz w:val="22"/>
          <w:szCs w:val="22"/>
        </w:rPr>
        <w:t>inhibuje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CYP 1A1, 1A2, 2B6, 2C9, 2C19, 2D6, 2E1 alebo 3A v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mikrozómoch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ľudskej pečene.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Eliminácia</w:t>
      </w:r>
      <w:r w:rsidRPr="00754142">
        <w:rPr>
          <w:b w:val="0"/>
          <w:bCs w:val="0"/>
          <w:color w:val="000000"/>
          <w:sz w:val="22"/>
          <w:szCs w:val="22"/>
        </w:rPr>
        <w:t xml:space="preserve">: Účinný polčas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u pacientov s CHOCHP sa pohybuje medzi 27 – 45 hodinami. Celkový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klírens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bol po intravenóznej dávke u mladých zdravých dobrovoľníkov 880 ml/min. Intravenózne podané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väčšinou nezmenené vylúčené močom (74 %). Po inhalácii suchého prášku pacientmi s CHOCHP do dosiahnutia rovnovážneho stavu je vylučovanie obličkami 7 % (1,3 </w:t>
      </w:r>
      <w:r w:rsidRPr="00754142">
        <w:rPr>
          <w:b w:val="0"/>
          <w:sz w:val="22"/>
          <w:szCs w:val="22"/>
        </w:rPr>
        <w:t>µg</w:t>
      </w:r>
      <w:r w:rsidRPr="00754142">
        <w:rPr>
          <w:b w:val="0"/>
          <w:bCs w:val="0"/>
          <w:color w:val="000000"/>
          <w:sz w:val="22"/>
          <w:szCs w:val="22"/>
        </w:rPr>
        <w:t xml:space="preserve">) nezmeneného liečiva za 24 hodín, zvyšok je prevažne neabsorbované liečivo z čreva, ktoré sa vylučuje stolicou.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Renálny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klírens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prevyšuje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klírens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kreatinínu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čo poukazuje na vylučovanie močom. Po dlhodobej inhalácii jedenkrát denne pacientmi s CHOCHP sa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farmakokinetický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rovnovážny stav dosiahol do 7 dní bez kumulácie liečiva.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color w:val="000000"/>
          <w:sz w:val="22"/>
          <w:szCs w:val="22"/>
        </w:rPr>
        <w:t>Linearita</w:t>
      </w:r>
      <w:proofErr w:type="spellEnd"/>
      <w:r w:rsidRPr="00754142">
        <w:rPr>
          <w:color w:val="000000"/>
          <w:sz w:val="22"/>
          <w:szCs w:val="22"/>
        </w:rPr>
        <w:t>/</w:t>
      </w:r>
      <w:proofErr w:type="spellStart"/>
      <w:r w:rsidRPr="00754142">
        <w:rPr>
          <w:color w:val="000000"/>
          <w:sz w:val="22"/>
          <w:szCs w:val="22"/>
        </w:rPr>
        <w:t>nelinearita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: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vykazuje lineárnu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farmakoki</w:t>
      </w:r>
      <w:r w:rsidR="004B4421">
        <w:rPr>
          <w:b w:val="0"/>
          <w:bCs w:val="0"/>
          <w:color w:val="000000"/>
          <w:sz w:val="22"/>
          <w:szCs w:val="22"/>
        </w:rPr>
        <w:t>netiku</w:t>
      </w:r>
      <w:proofErr w:type="spellEnd"/>
      <w:r w:rsidR="004B4421">
        <w:rPr>
          <w:b w:val="0"/>
          <w:bCs w:val="0"/>
          <w:color w:val="000000"/>
          <w:sz w:val="22"/>
          <w:szCs w:val="22"/>
        </w:rPr>
        <w:t xml:space="preserve"> v terapeutickom rozsahu </w:t>
      </w:r>
      <w:r w:rsidRPr="00754142">
        <w:rPr>
          <w:b w:val="0"/>
          <w:bCs w:val="0"/>
          <w:color w:val="000000"/>
          <w:sz w:val="22"/>
          <w:szCs w:val="22"/>
        </w:rPr>
        <w:t>nezávisle od formy.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>c) Osobitné skupiny pacientov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</w:p>
    <w:p w:rsidR="00896DA8" w:rsidRPr="00754142" w:rsidRDefault="00BF3E7F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Starší </w:t>
      </w:r>
      <w:r w:rsidR="00896DA8" w:rsidRPr="00754142">
        <w:rPr>
          <w:i/>
          <w:color w:val="000000"/>
          <w:sz w:val="22"/>
          <w:szCs w:val="22"/>
        </w:rPr>
        <w:t>pacienti</w:t>
      </w:r>
      <w:r w:rsidR="00896DA8" w:rsidRPr="00754142">
        <w:rPr>
          <w:color w:val="000000"/>
          <w:sz w:val="22"/>
          <w:szCs w:val="22"/>
        </w:rPr>
        <w:t xml:space="preserve">: </w:t>
      </w:r>
      <w:r w:rsidR="00896DA8" w:rsidRPr="00754142">
        <w:rPr>
          <w:b w:val="0"/>
          <w:bCs w:val="0"/>
          <w:color w:val="000000"/>
          <w:sz w:val="22"/>
          <w:szCs w:val="22"/>
        </w:rPr>
        <w:t xml:space="preserve">Tak ako sa očakáva pri všetkých prevažne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renálne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v</w:t>
      </w:r>
      <w:r w:rsidR="00F16F38">
        <w:rPr>
          <w:b w:val="0"/>
          <w:bCs w:val="0"/>
          <w:color w:val="000000"/>
          <w:sz w:val="22"/>
          <w:szCs w:val="22"/>
        </w:rPr>
        <w:t xml:space="preserve">ylučovaných liekoch, zvyšujúci </w:t>
      </w:r>
      <w:r w:rsidR="00896DA8" w:rsidRPr="00754142">
        <w:rPr>
          <w:b w:val="0"/>
          <w:bCs w:val="0"/>
          <w:color w:val="000000"/>
          <w:sz w:val="22"/>
          <w:szCs w:val="22"/>
        </w:rPr>
        <w:t xml:space="preserve">vek sa spája so znížením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renálneho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klírensu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896DA8"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 xml:space="preserve"> (365 ml/min u pacientov s CHOCHP &lt; ako 65-ročných, oproti 271 ml/min u pacientov s CHOCHP &gt; ako 65-ročných). To neviedlo k zodpovedajúcemu nárastu </w:t>
      </w:r>
      <w:r w:rsidR="00896DA8" w:rsidRPr="00754142">
        <w:rPr>
          <w:b w:val="0"/>
          <w:color w:val="000000"/>
          <w:sz w:val="22"/>
          <w:szCs w:val="22"/>
        </w:rPr>
        <w:t>AUC</w:t>
      </w:r>
      <w:r w:rsidR="00896DA8" w:rsidRPr="00754142">
        <w:rPr>
          <w:b w:val="0"/>
          <w:color w:val="000000"/>
          <w:sz w:val="22"/>
          <w:szCs w:val="22"/>
          <w:vertAlign w:val="subscript"/>
        </w:rPr>
        <w:t xml:space="preserve">0-6,ss  </w:t>
      </w:r>
      <w:r w:rsidR="00896DA8" w:rsidRPr="00754142">
        <w:rPr>
          <w:b w:val="0"/>
          <w:color w:val="000000"/>
          <w:sz w:val="22"/>
          <w:szCs w:val="22"/>
        </w:rPr>
        <w:t xml:space="preserve">ani hodnôt </w:t>
      </w:r>
      <w:proofErr w:type="spellStart"/>
      <w:r w:rsidR="00896DA8" w:rsidRPr="00754142">
        <w:rPr>
          <w:b w:val="0"/>
          <w:color w:val="000000"/>
          <w:sz w:val="22"/>
          <w:szCs w:val="22"/>
        </w:rPr>
        <w:t>C</w:t>
      </w:r>
      <w:r w:rsidR="00896DA8" w:rsidRPr="00754142">
        <w:rPr>
          <w:b w:val="0"/>
          <w:color w:val="000000"/>
          <w:sz w:val="22"/>
          <w:szCs w:val="22"/>
          <w:vertAlign w:val="subscript"/>
        </w:rPr>
        <w:t>max,ss</w:t>
      </w:r>
      <w:proofErr w:type="spellEnd"/>
      <w:r w:rsidR="00896DA8" w:rsidRPr="00754142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Pacienti s poruchou funkcie obličiek</w:t>
      </w: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r w:rsidRPr="00754142">
        <w:rPr>
          <w:b w:val="0"/>
          <w:color w:val="000000"/>
          <w:sz w:val="22"/>
          <w:szCs w:val="22"/>
        </w:rPr>
        <w:t xml:space="preserve">Po inhalačnom podaní </w:t>
      </w:r>
      <w:proofErr w:type="spellStart"/>
      <w:r w:rsidRPr="00754142">
        <w:rPr>
          <w:b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color w:val="000000"/>
          <w:sz w:val="22"/>
          <w:szCs w:val="22"/>
        </w:rPr>
        <w:t xml:space="preserve"> raz denne do dosiahnutia rovnovážneho stavu u pacientov s CHOCHP viedla</w:t>
      </w:r>
      <w:r w:rsidRPr="00754142">
        <w:rPr>
          <w:b w:val="0"/>
          <w:bCs w:val="0"/>
          <w:color w:val="000000"/>
          <w:sz w:val="22"/>
          <w:szCs w:val="22"/>
        </w:rPr>
        <w:t xml:space="preserve"> mierna porucha funkcie obličiek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Cl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CR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50 – 80 ml/min  k mierne zvýšenej  AUC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0-6, </w:t>
      </w:r>
      <w:proofErr w:type="spellStart"/>
      <w:r w:rsidRPr="00754142">
        <w:rPr>
          <w:b w:val="0"/>
          <w:bCs w:val="0"/>
          <w:color w:val="000000"/>
          <w:sz w:val="22"/>
          <w:szCs w:val="22"/>
          <w:vertAlign w:val="subscript"/>
        </w:rPr>
        <w:t>ss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(o 1,8 –</w:t>
      </w:r>
      <w:r w:rsidR="00754142">
        <w:rPr>
          <w:b w:val="0"/>
          <w:bCs w:val="0"/>
          <w:color w:val="000000"/>
          <w:sz w:val="22"/>
          <w:szCs w:val="22"/>
        </w:rPr>
        <w:t xml:space="preserve"> 30 </w:t>
      </w:r>
      <w:r w:rsidRPr="00754142">
        <w:rPr>
          <w:b w:val="0"/>
          <w:bCs w:val="0"/>
          <w:color w:val="000000"/>
          <w:sz w:val="22"/>
          <w:szCs w:val="22"/>
        </w:rPr>
        <w:t xml:space="preserve">% vyššej) a podobným hodnotám </w:t>
      </w:r>
      <w:proofErr w:type="spellStart"/>
      <w:r w:rsidRPr="00754142">
        <w:rPr>
          <w:b w:val="0"/>
          <w:color w:val="000000"/>
          <w:sz w:val="22"/>
          <w:szCs w:val="22"/>
          <w:lang w:bidi="th-TH"/>
        </w:rPr>
        <w:t>C</w:t>
      </w:r>
      <w:r w:rsidRPr="00754142">
        <w:rPr>
          <w:b w:val="0"/>
          <w:color w:val="000000"/>
          <w:sz w:val="22"/>
          <w:szCs w:val="22"/>
          <w:vertAlign w:val="subscript"/>
          <w:lang w:bidi="th-TH"/>
        </w:rPr>
        <w:t>max,ss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 v porovnaní s pacientmi s normálnou funkciou obličiek </w:t>
      </w:r>
      <w:r w:rsidRPr="00754142">
        <w:rPr>
          <w:b w:val="0"/>
          <w:color w:val="000000"/>
          <w:sz w:val="22"/>
          <w:szCs w:val="22"/>
        </w:rPr>
        <w:t>(CL</w:t>
      </w:r>
      <w:r w:rsidRPr="00754142">
        <w:rPr>
          <w:b w:val="0"/>
          <w:color w:val="000000"/>
          <w:sz w:val="22"/>
          <w:szCs w:val="22"/>
          <w:vertAlign w:val="subscript"/>
        </w:rPr>
        <w:t>CR</w:t>
      </w:r>
      <w:r w:rsidRPr="00754142">
        <w:rPr>
          <w:b w:val="0"/>
          <w:color w:val="000000"/>
          <w:sz w:val="22"/>
          <w:szCs w:val="22"/>
        </w:rPr>
        <w:t xml:space="preserve"> &gt; 80 ml/min).</w:t>
      </w: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color w:val="000000"/>
          <w:sz w:val="22"/>
          <w:szCs w:val="22"/>
        </w:rPr>
        <w:t>U pacientov</w:t>
      </w:r>
      <w:r w:rsidRPr="00754142">
        <w:rPr>
          <w:b w:val="0"/>
          <w:bCs w:val="0"/>
          <w:color w:val="000000"/>
          <w:sz w:val="22"/>
          <w:szCs w:val="22"/>
        </w:rPr>
        <w:t xml:space="preserve"> s CHOCHP, ktorí majú stredne ťažkú až ťažkú poruchu funkcie obličiek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Cl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>CR</w:t>
      </w:r>
      <w:proofErr w:type="spellEnd"/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 </w:t>
      </w:r>
      <w:r w:rsidRPr="00754142">
        <w:rPr>
          <w:b w:val="0"/>
          <w:bCs w:val="0"/>
          <w:color w:val="000000"/>
          <w:sz w:val="22"/>
          <w:szCs w:val="22"/>
        </w:rPr>
        <w:t xml:space="preserve">&lt; 50 ml/min), intravenózne podávanie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zdvojnásobuje celkovú expozíciu (o 82 % vyššia AUC</w:t>
      </w:r>
      <w:r w:rsidRPr="00754142">
        <w:rPr>
          <w:b w:val="0"/>
          <w:bCs w:val="0"/>
          <w:color w:val="000000"/>
          <w:sz w:val="22"/>
          <w:szCs w:val="22"/>
          <w:vertAlign w:val="subscript"/>
        </w:rPr>
        <w:t xml:space="preserve">0-4h </w:t>
      </w:r>
      <w:r w:rsidRPr="00754142">
        <w:rPr>
          <w:b w:val="0"/>
          <w:bCs w:val="0"/>
          <w:color w:val="000000"/>
          <w:sz w:val="22"/>
          <w:szCs w:val="22"/>
        </w:rPr>
        <w:t>a o 52 % vyššia </w:t>
      </w:r>
      <w:proofErr w:type="spellStart"/>
      <w:r w:rsidRPr="00754142">
        <w:rPr>
          <w:b w:val="0"/>
          <w:color w:val="000000"/>
          <w:sz w:val="22"/>
          <w:szCs w:val="22"/>
          <w:lang w:bidi="th-TH"/>
        </w:rPr>
        <w:t>C</w:t>
      </w:r>
      <w:r w:rsidRPr="00754142">
        <w:rPr>
          <w:b w:val="0"/>
          <w:color w:val="000000"/>
          <w:sz w:val="22"/>
          <w:szCs w:val="22"/>
          <w:vertAlign w:val="subscript"/>
          <w:lang w:bidi="th-TH"/>
        </w:rPr>
        <w:t>max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 v porovnaní s pacientmi s normálnou funkciou obličiek, čo sa potvrdilo aj pri plazmatických koncentráciách po inhalácii suchého prášku.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i/>
          <w:color w:val="000000"/>
          <w:sz w:val="22"/>
          <w:szCs w:val="22"/>
        </w:rPr>
        <w:t>Pacienti s poruchou funkcie pečene</w:t>
      </w:r>
      <w:r w:rsidRPr="00754142">
        <w:rPr>
          <w:color w:val="000000"/>
          <w:sz w:val="22"/>
          <w:szCs w:val="22"/>
        </w:rPr>
        <w:t xml:space="preserve">: </w:t>
      </w:r>
      <w:r w:rsidRPr="00754142">
        <w:rPr>
          <w:b w:val="0"/>
          <w:bCs w:val="0"/>
          <w:color w:val="000000"/>
          <w:sz w:val="22"/>
          <w:szCs w:val="22"/>
        </w:rPr>
        <w:t xml:space="preserve">Neočakáva sa, že by pečeňová nedostatočnosť mala relevantný vplyv na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farmakokinetiku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sa eliminuje prevažne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renálnou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exkréciou (74 % u mladých zdravých dobrovoľníkov) a jednoduchý ester sa neenzymaticky štiepi na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farmakokineticky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neaktívne látky.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i/>
          <w:iCs/>
          <w:sz w:val="22"/>
          <w:szCs w:val="22"/>
        </w:rPr>
        <w:t xml:space="preserve">Japonskí pacienti s CHOCHP: </w:t>
      </w:r>
      <w:r w:rsidRPr="00754142">
        <w:rPr>
          <w:b w:val="0"/>
          <w:sz w:val="22"/>
          <w:szCs w:val="22"/>
        </w:rPr>
        <w:t xml:space="preserve">Pri vzájomnom porovnaní štúdií boli priemerné vrcholové plazmatické koncentrácie </w:t>
      </w:r>
      <w:proofErr w:type="spellStart"/>
      <w:r w:rsidRPr="00754142">
        <w:rPr>
          <w:b w:val="0"/>
          <w:sz w:val="22"/>
          <w:szCs w:val="22"/>
        </w:rPr>
        <w:t>tiotropia</w:t>
      </w:r>
      <w:proofErr w:type="spellEnd"/>
      <w:r w:rsidRPr="00754142">
        <w:rPr>
          <w:b w:val="0"/>
          <w:sz w:val="22"/>
          <w:szCs w:val="22"/>
        </w:rPr>
        <w:t xml:space="preserve"> 10 minút po podaní dávky v rovnovážnom stave o 20 % až 70 % vyššie u japonských pacientov oproti pacientom bielej rasy s CHOCHP po inhalovaní </w:t>
      </w:r>
      <w:proofErr w:type="spellStart"/>
      <w:r w:rsidRPr="00754142">
        <w:rPr>
          <w:b w:val="0"/>
          <w:sz w:val="22"/>
          <w:szCs w:val="22"/>
        </w:rPr>
        <w:t>tiotropia</w:t>
      </w:r>
      <w:proofErr w:type="spellEnd"/>
      <w:r w:rsidRPr="00754142">
        <w:rPr>
          <w:b w:val="0"/>
          <w:sz w:val="22"/>
          <w:szCs w:val="22"/>
        </w:rPr>
        <w:t xml:space="preserve">, ale u japonských pacientov v porovnaní s pacientmi bielej rasy nebol náznak vyššej mortality ani vyššieho  srdcového rizika. U ostatných etnicít alebo rás nie sú k dispozícii dostatočné </w:t>
      </w:r>
      <w:proofErr w:type="spellStart"/>
      <w:r w:rsidRPr="00754142">
        <w:rPr>
          <w:b w:val="0"/>
          <w:sz w:val="22"/>
          <w:szCs w:val="22"/>
        </w:rPr>
        <w:t>farmakokinetické</w:t>
      </w:r>
      <w:proofErr w:type="spellEnd"/>
      <w:r w:rsidRPr="00754142">
        <w:rPr>
          <w:b w:val="0"/>
          <w:sz w:val="22"/>
          <w:szCs w:val="22"/>
        </w:rPr>
        <w:t xml:space="preserve"> údaje.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Deti a dospievajúci: pozri časť 4.2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 xml:space="preserve">d) Vzťah </w:t>
      </w:r>
      <w:proofErr w:type="spellStart"/>
      <w:r w:rsidRPr="00754142">
        <w:rPr>
          <w:b w:val="0"/>
          <w:bCs w:val="0"/>
          <w:color w:val="000000"/>
          <w:sz w:val="22"/>
          <w:szCs w:val="22"/>
          <w:u w:val="single"/>
        </w:rPr>
        <w:t>farmakokinetika</w:t>
      </w:r>
      <w:proofErr w:type="spellEnd"/>
      <w:r w:rsidRPr="00754142">
        <w:rPr>
          <w:b w:val="0"/>
          <w:bCs w:val="0"/>
          <w:color w:val="000000"/>
          <w:sz w:val="22"/>
          <w:szCs w:val="22"/>
          <w:u w:val="single"/>
        </w:rPr>
        <w:t>/</w:t>
      </w:r>
      <w:proofErr w:type="spellStart"/>
      <w:r w:rsidRPr="00754142">
        <w:rPr>
          <w:b w:val="0"/>
          <w:bCs w:val="0"/>
          <w:color w:val="000000"/>
          <w:sz w:val="22"/>
          <w:szCs w:val="22"/>
          <w:u w:val="single"/>
        </w:rPr>
        <w:t>farmakodynamika</w:t>
      </w:r>
      <w:proofErr w:type="spellEnd"/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Nie je priamy vzťah medzi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farmakokinetikou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farmakodynamikou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.</w:t>
      </w:r>
    </w:p>
    <w:p w:rsidR="00754142" w:rsidRPr="00754142" w:rsidRDefault="00754142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5.3</w:t>
      </w:r>
      <w:r w:rsidRPr="00754142">
        <w:rPr>
          <w:color w:val="000000"/>
          <w:sz w:val="22"/>
          <w:szCs w:val="22"/>
        </w:rPr>
        <w:tab/>
        <w:t>Predklinické údaje o bezpečnosti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Mnohé účinky pozorované v konvenčných štúdiách, týkajúce sa farmakologickej bezpečnosti, toxicity po opakovanom podávaní a reprodukčnej toxicity možno vysvetliť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anticholinergickými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vlastnosťami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. U zvierat sa spravidla pozorovala znížená spotreba potravy, nižší prírastok telesnej hmotnosti, sucho v ústach a nose, znížená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lakrimácia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salivácia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mydriáza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zvýšená srdcová frekvencia. Ďalšie relevantné účinky sledované v štúdiách toxicity po opakovanom podávaní boli: mierne dráždenie dýchacích ciest u potkanov a myší v zmysle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rinitídy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zmien epitelu v nosovej dutine a v hrtane,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prostatitída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s proteínovými depozitmi 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litiáza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močového mechúra u potkanov.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Škodlivý účinok na graviditu, embryonálny/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fetálny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vývoj, pôrod alebo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postnatálny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vývoj sa zistil len po hladinách dávok toxických pre matku.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Tiotropiumbromid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nebol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teratogénny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u potkanov ani u králikov. V štúdii celkovej reprodukcie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fertility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na potkanoch sa nezistili známky nežiaducich účinkov na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fertilitu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alebo výkonnosť partnerov pri ktorejkoľvek dávke u liečen</w:t>
      </w:r>
      <w:r w:rsidR="00F16F38">
        <w:rPr>
          <w:b w:val="0"/>
          <w:bCs w:val="0"/>
          <w:color w:val="000000"/>
          <w:sz w:val="22"/>
          <w:szCs w:val="22"/>
        </w:rPr>
        <w:t>ých rodičov ani u ich potomkov.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Zmeny na respiračnom (iritácia) a 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urogenitálnom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prostatitída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) systéme a reprodukčná toxicita sa zistili po lokálnych aj systémových expozíciách vyšších než päťnásobok terapeutickej expozície. Štúdie zamerané na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genotoxicitu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karcinogénny potenciál neodhalili žiadne osobitné riziko pre ľudí.</w:t>
      </w:r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754142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6.</w:t>
      </w:r>
      <w:r w:rsidRPr="00754142">
        <w:rPr>
          <w:color w:val="000000"/>
          <w:sz w:val="22"/>
          <w:szCs w:val="22"/>
        </w:rPr>
        <w:tab/>
      </w:r>
      <w:r w:rsidR="00754142">
        <w:rPr>
          <w:color w:val="000000"/>
          <w:sz w:val="22"/>
          <w:szCs w:val="22"/>
        </w:rPr>
        <w:t xml:space="preserve">FARMACEUTICKÉ </w:t>
      </w:r>
      <w:r w:rsidRPr="00754142">
        <w:rPr>
          <w:color w:val="000000"/>
          <w:sz w:val="22"/>
          <w:szCs w:val="22"/>
        </w:rPr>
        <w:t>INFORMÁCIE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5D77DA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Zoznam pomocných látok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proofErr w:type="spellStart"/>
      <w:r w:rsidRPr="00754142">
        <w:rPr>
          <w:b w:val="0"/>
          <w:bCs w:val="0"/>
          <w:color w:val="000000"/>
          <w:sz w:val="22"/>
          <w:szCs w:val="22"/>
        </w:rPr>
        <w:t>Monohydrát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laktózy (ktorý </w:t>
      </w:r>
      <w:r w:rsidR="009E472A">
        <w:rPr>
          <w:b w:val="0"/>
          <w:bCs w:val="0"/>
          <w:color w:val="000000"/>
          <w:sz w:val="22"/>
          <w:szCs w:val="22"/>
        </w:rPr>
        <w:t xml:space="preserve">môže </w:t>
      </w:r>
      <w:r w:rsidRPr="00754142">
        <w:rPr>
          <w:b w:val="0"/>
          <w:bCs w:val="0"/>
          <w:color w:val="000000"/>
          <w:sz w:val="22"/>
          <w:szCs w:val="22"/>
        </w:rPr>
        <w:t>obsah</w:t>
      </w:r>
      <w:r w:rsidR="009E472A">
        <w:rPr>
          <w:b w:val="0"/>
          <w:bCs w:val="0"/>
          <w:color w:val="000000"/>
          <w:sz w:val="22"/>
          <w:szCs w:val="22"/>
        </w:rPr>
        <w:t>ovať malé množstvá</w:t>
      </w:r>
      <w:r w:rsidRPr="00754142">
        <w:rPr>
          <w:b w:val="0"/>
          <w:bCs w:val="0"/>
          <w:color w:val="000000"/>
          <w:sz w:val="22"/>
          <w:szCs w:val="22"/>
        </w:rPr>
        <w:t xml:space="preserve"> mliečn</w:t>
      </w:r>
      <w:r w:rsidR="009E472A">
        <w:rPr>
          <w:b w:val="0"/>
          <w:bCs w:val="0"/>
          <w:color w:val="000000"/>
          <w:sz w:val="22"/>
          <w:szCs w:val="22"/>
        </w:rPr>
        <w:t>ych</w:t>
      </w:r>
      <w:r w:rsidRPr="00754142">
        <w:rPr>
          <w:b w:val="0"/>
          <w:bCs w:val="0"/>
          <w:color w:val="000000"/>
          <w:sz w:val="22"/>
          <w:szCs w:val="22"/>
        </w:rPr>
        <w:t xml:space="preserve"> bielkov</w:t>
      </w:r>
      <w:r w:rsidR="009E472A">
        <w:rPr>
          <w:b w:val="0"/>
          <w:bCs w:val="0"/>
          <w:color w:val="000000"/>
          <w:sz w:val="22"/>
          <w:szCs w:val="22"/>
        </w:rPr>
        <w:t>ín</w:t>
      </w:r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Inkompatibility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Neaplikovateľné.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Čas použiteľnosti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2 roky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Po prvom otvorení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blistra</w:t>
      </w:r>
      <w:proofErr w:type="spellEnd"/>
      <w:r w:rsidR="00CB7156">
        <w:rPr>
          <w:b w:val="0"/>
          <w:bCs w:val="0"/>
          <w:color w:val="000000"/>
          <w:sz w:val="22"/>
          <w:szCs w:val="22"/>
        </w:rPr>
        <w:t xml:space="preserve"> spotrebujte do nasledujúcich</w:t>
      </w:r>
      <w:r w:rsidR="00732689">
        <w:rPr>
          <w:b w:val="0"/>
          <w:bCs w:val="0"/>
          <w:color w:val="000000"/>
          <w:sz w:val="22"/>
          <w:szCs w:val="22"/>
        </w:rPr>
        <w:t xml:space="preserve"> </w:t>
      </w:r>
      <w:r w:rsidRPr="00754142">
        <w:rPr>
          <w:b w:val="0"/>
          <w:bCs w:val="0"/>
          <w:color w:val="000000"/>
          <w:sz w:val="22"/>
          <w:szCs w:val="22"/>
        </w:rPr>
        <w:t>9 dní</w:t>
      </w:r>
      <w:r w:rsidR="00732689">
        <w:rPr>
          <w:b w:val="0"/>
          <w:bCs w:val="0"/>
          <w:color w:val="000000"/>
          <w:sz w:val="22"/>
          <w:szCs w:val="22"/>
        </w:rPr>
        <w:t>.</w:t>
      </w:r>
    </w:p>
    <w:p w:rsidR="00896DA8" w:rsidRPr="00754142" w:rsidRDefault="00896DA8" w:rsidP="008C0A14">
      <w:pPr>
        <w:tabs>
          <w:tab w:val="left" w:pos="708"/>
        </w:tabs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Pomôcku </w:t>
      </w:r>
      <w:proofErr w:type="spellStart"/>
      <w:r w:rsidRPr="00754142">
        <w:rPr>
          <w:color w:val="000000"/>
          <w:sz w:val="22"/>
          <w:szCs w:val="22"/>
          <w:lang w:val="sk-SK"/>
        </w:rPr>
        <w:t>HandiHaler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zlikvidujte po 12 mesiacoch od začiatku používania.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Špeciálne upozornenia na uchovávanie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Uchovávajte pri teplote do 25 °C.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Neuchovávajte v mrazničke.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Druh obalu a obsah balenia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Hliník/PVC/hliníkové </w:t>
      </w:r>
      <w:proofErr w:type="spellStart"/>
      <w:r w:rsidR="00F16F38">
        <w:rPr>
          <w:b w:val="0"/>
          <w:bCs w:val="0"/>
          <w:color w:val="000000"/>
          <w:sz w:val="22"/>
          <w:szCs w:val="22"/>
        </w:rPr>
        <w:t>odlupovacie</w:t>
      </w:r>
      <w:proofErr w:type="spellEnd"/>
      <w:r w:rsidR="00F16F38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obsahujúce 10 kapsúl.</w:t>
      </w:r>
    </w:p>
    <w:p w:rsidR="00EE0844" w:rsidRPr="0031651B" w:rsidRDefault="00EE0844" w:rsidP="00EE0844">
      <w:pPr>
        <w:rPr>
          <w:sz w:val="22"/>
          <w:szCs w:val="22"/>
          <w:lang w:val="sk-SK" w:eastAsia="zh-CN"/>
        </w:rPr>
      </w:pPr>
      <w:proofErr w:type="spellStart"/>
      <w:r w:rsidRPr="0031651B">
        <w:rPr>
          <w:sz w:val="22"/>
          <w:szCs w:val="22"/>
        </w:rPr>
        <w:t>HandiHaler</w:t>
      </w:r>
      <w:proofErr w:type="spellEnd"/>
      <w:r w:rsidRPr="0031651B">
        <w:rPr>
          <w:sz w:val="22"/>
          <w:szCs w:val="22"/>
        </w:rPr>
        <w:t xml:space="preserve"> je </w:t>
      </w:r>
      <w:proofErr w:type="spellStart"/>
      <w:r w:rsidRPr="0031651B">
        <w:rPr>
          <w:sz w:val="22"/>
          <w:szCs w:val="22"/>
        </w:rPr>
        <w:t>inhalačná</w:t>
      </w:r>
      <w:proofErr w:type="spellEnd"/>
      <w:r w:rsidRPr="0031651B">
        <w:rPr>
          <w:sz w:val="22"/>
          <w:szCs w:val="22"/>
        </w:rPr>
        <w:t xml:space="preserve"> </w:t>
      </w:r>
      <w:proofErr w:type="spellStart"/>
      <w:r w:rsidRPr="0031651B">
        <w:rPr>
          <w:sz w:val="22"/>
          <w:szCs w:val="22"/>
        </w:rPr>
        <w:t>pomôcka</w:t>
      </w:r>
      <w:proofErr w:type="spellEnd"/>
      <w:r w:rsidRPr="0031651B">
        <w:rPr>
          <w:sz w:val="22"/>
          <w:szCs w:val="22"/>
        </w:rPr>
        <w:t xml:space="preserve"> na </w:t>
      </w:r>
      <w:proofErr w:type="spellStart"/>
      <w:r w:rsidRPr="0031651B">
        <w:rPr>
          <w:sz w:val="22"/>
          <w:szCs w:val="22"/>
        </w:rPr>
        <w:t>podanie</w:t>
      </w:r>
      <w:proofErr w:type="spellEnd"/>
      <w:r w:rsidRPr="0031651B">
        <w:rPr>
          <w:sz w:val="22"/>
          <w:szCs w:val="22"/>
        </w:rPr>
        <w:t xml:space="preserve"> jednej dávky, </w:t>
      </w:r>
      <w:proofErr w:type="spellStart"/>
      <w:r w:rsidRPr="0031651B">
        <w:rPr>
          <w:sz w:val="22"/>
          <w:szCs w:val="22"/>
        </w:rPr>
        <w:t>ktorá</w:t>
      </w:r>
      <w:proofErr w:type="spellEnd"/>
      <w:r w:rsidRPr="0031651B">
        <w:rPr>
          <w:sz w:val="22"/>
          <w:szCs w:val="22"/>
        </w:rPr>
        <w:t xml:space="preserve"> </w:t>
      </w:r>
      <w:proofErr w:type="spellStart"/>
      <w:r w:rsidRPr="0031651B">
        <w:rPr>
          <w:sz w:val="22"/>
          <w:szCs w:val="22"/>
        </w:rPr>
        <w:t>sa</w:t>
      </w:r>
      <w:proofErr w:type="spellEnd"/>
      <w:r w:rsidRPr="0031651B">
        <w:rPr>
          <w:sz w:val="22"/>
          <w:szCs w:val="22"/>
        </w:rPr>
        <w:t xml:space="preserve"> </w:t>
      </w:r>
      <w:proofErr w:type="spellStart"/>
      <w:r w:rsidRPr="0031651B">
        <w:rPr>
          <w:sz w:val="22"/>
          <w:szCs w:val="22"/>
        </w:rPr>
        <w:t>vyrába</w:t>
      </w:r>
      <w:proofErr w:type="spellEnd"/>
      <w:r w:rsidRPr="0031651B">
        <w:rPr>
          <w:sz w:val="22"/>
          <w:szCs w:val="22"/>
        </w:rPr>
        <w:t xml:space="preserve"> z plastického </w:t>
      </w:r>
      <w:proofErr w:type="spellStart"/>
      <w:r w:rsidRPr="0031651B">
        <w:rPr>
          <w:sz w:val="22"/>
          <w:szCs w:val="22"/>
        </w:rPr>
        <w:t>akrylonitrilbutadiénstyrénového</w:t>
      </w:r>
      <w:proofErr w:type="spellEnd"/>
      <w:r w:rsidRPr="0031651B">
        <w:rPr>
          <w:sz w:val="22"/>
          <w:szCs w:val="22"/>
        </w:rPr>
        <w:t xml:space="preserve"> (ABS) </w:t>
      </w:r>
      <w:proofErr w:type="spellStart"/>
      <w:r w:rsidRPr="0031651B">
        <w:rPr>
          <w:sz w:val="22"/>
          <w:szCs w:val="22"/>
        </w:rPr>
        <w:t>polyméru</w:t>
      </w:r>
      <w:proofErr w:type="spellEnd"/>
      <w:r w:rsidRPr="0031651B">
        <w:rPr>
          <w:sz w:val="22"/>
          <w:szCs w:val="22"/>
        </w:rPr>
        <w:t xml:space="preserve"> a </w:t>
      </w:r>
      <w:proofErr w:type="spellStart"/>
      <w:r w:rsidRPr="0031651B">
        <w:rPr>
          <w:sz w:val="22"/>
          <w:szCs w:val="22"/>
        </w:rPr>
        <w:t>nehrdzavejúcej</w:t>
      </w:r>
      <w:proofErr w:type="spellEnd"/>
      <w:r w:rsidRPr="0031651B">
        <w:rPr>
          <w:sz w:val="22"/>
          <w:szCs w:val="22"/>
        </w:rPr>
        <w:t xml:space="preserve"> ocele. Komora </w:t>
      </w:r>
      <w:proofErr w:type="spellStart"/>
      <w:r w:rsidRPr="0031651B">
        <w:rPr>
          <w:sz w:val="22"/>
          <w:szCs w:val="22"/>
        </w:rPr>
        <w:t>kasuly</w:t>
      </w:r>
      <w:proofErr w:type="spellEnd"/>
      <w:r w:rsidRPr="0031651B">
        <w:rPr>
          <w:sz w:val="22"/>
          <w:szCs w:val="22"/>
        </w:rPr>
        <w:t xml:space="preserve"> je vyrobená z plastického </w:t>
      </w:r>
      <w:proofErr w:type="spellStart"/>
      <w:r w:rsidRPr="0031651B">
        <w:rPr>
          <w:sz w:val="22"/>
          <w:szCs w:val="22"/>
        </w:rPr>
        <w:t>metylmetakrylátakrylonitritbutadiénstyrénu</w:t>
      </w:r>
      <w:proofErr w:type="spellEnd"/>
      <w:r w:rsidRPr="0031651B">
        <w:rPr>
          <w:sz w:val="22"/>
          <w:szCs w:val="22"/>
        </w:rPr>
        <w:t xml:space="preserve"> (MABS) </w:t>
      </w:r>
      <w:proofErr w:type="spellStart"/>
      <w:r w:rsidRPr="0031651B">
        <w:rPr>
          <w:sz w:val="22"/>
          <w:szCs w:val="22"/>
        </w:rPr>
        <w:t>alebo</w:t>
      </w:r>
      <w:proofErr w:type="spellEnd"/>
      <w:r w:rsidRPr="0031651B">
        <w:rPr>
          <w:sz w:val="22"/>
          <w:szCs w:val="22"/>
        </w:rPr>
        <w:t xml:space="preserve"> polykarbonátu (PK). </w:t>
      </w:r>
    </w:p>
    <w:p w:rsidR="00732689" w:rsidRPr="00754142" w:rsidRDefault="00732689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  <w:u w:val="single"/>
        </w:rPr>
      </w:pPr>
      <w:r w:rsidRPr="00754142">
        <w:rPr>
          <w:b w:val="0"/>
          <w:bCs w:val="0"/>
          <w:color w:val="000000"/>
          <w:sz w:val="22"/>
          <w:szCs w:val="22"/>
          <w:u w:val="single"/>
        </w:rPr>
        <w:t>Dodá</w:t>
      </w:r>
      <w:r w:rsidR="00754142">
        <w:rPr>
          <w:b w:val="0"/>
          <w:bCs w:val="0"/>
          <w:color w:val="000000"/>
          <w:sz w:val="22"/>
          <w:szCs w:val="22"/>
          <w:u w:val="single"/>
        </w:rPr>
        <w:t>vané veľkosti balení a pomôcok: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škatuľka obsahujúca 30 kapsúl (3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škatuľka obsahujúca 60 kapsúl (6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blistrov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škatuľka obsahujúca 90 kapsúl (9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blistrov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lastRenderedPageBreak/>
        <w:t xml:space="preserve">škatuľka obsahujúca pomôcku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10 kapsúl (1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škatuľka obsahujúca pomôcku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a 30 kapsúl (3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blistre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>)</w:t>
      </w:r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nemocničné balenie: spoločné balenie obsahujúce 5 škatuliek po 30 kapsúl plus pomôcka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</w:p>
    <w:p w:rsidR="00896DA8" w:rsidRPr="00754142" w:rsidRDefault="00896DA8" w:rsidP="00754142">
      <w:pPr>
        <w:pStyle w:val="Nzov"/>
        <w:numPr>
          <w:ilvl w:val="0"/>
          <w:numId w:val="4"/>
        </w:numPr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nemocničné balenie: spoločné balenie obsahujúce 5 škatuliek po 60 kapsúl.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 xml:space="preserve">Pomôcka </w:t>
      </w:r>
      <w:proofErr w:type="spellStart"/>
      <w:r w:rsidRPr="00754142">
        <w:rPr>
          <w:b w:val="0"/>
          <w:bCs w:val="0"/>
          <w:color w:val="000000"/>
          <w:sz w:val="22"/>
          <w:szCs w:val="22"/>
        </w:rPr>
        <w:t>HandiHaler</w:t>
      </w:r>
      <w:proofErr w:type="spellEnd"/>
      <w:r w:rsidRPr="00754142">
        <w:rPr>
          <w:b w:val="0"/>
          <w:bCs w:val="0"/>
          <w:color w:val="000000"/>
          <w:sz w:val="22"/>
          <w:szCs w:val="22"/>
        </w:rPr>
        <w:t xml:space="preserve"> je pribalená/dostupná v škatuľke.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  <w:r w:rsidRPr="00754142">
        <w:rPr>
          <w:b w:val="0"/>
          <w:bCs w:val="0"/>
          <w:color w:val="000000"/>
          <w:sz w:val="22"/>
          <w:szCs w:val="22"/>
        </w:rPr>
        <w:t>Na trh nemusia byť uvedené všetky veľkosti balenia.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1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Špeciálne opatrenia na likvidáciu a iné zaobchádzanie s liekom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rPr>
          <w:noProof/>
          <w:sz w:val="22"/>
          <w:szCs w:val="22"/>
          <w:lang w:val="sk-SK"/>
        </w:rPr>
      </w:pPr>
      <w:r w:rsidRPr="00754142">
        <w:rPr>
          <w:noProof/>
          <w:sz w:val="22"/>
          <w:szCs w:val="22"/>
          <w:lang w:val="sk-SK"/>
        </w:rPr>
        <w:t xml:space="preserve">Nepoužitý liek alebo odpad vzniknutý z lieku </w:t>
      </w:r>
      <w:r w:rsidR="001151AF">
        <w:rPr>
          <w:noProof/>
          <w:sz w:val="22"/>
          <w:szCs w:val="22"/>
          <w:lang w:val="sk-SK"/>
        </w:rPr>
        <w:t>sa má zlikvidovať v súlade s národnými požiadavkami</w:t>
      </w:r>
      <w:r w:rsidRPr="00754142">
        <w:rPr>
          <w:noProof/>
          <w:sz w:val="22"/>
          <w:szCs w:val="22"/>
          <w:lang w:val="sk-SK"/>
        </w:rPr>
        <w:t>.</w:t>
      </w:r>
    </w:p>
    <w:p w:rsidR="00896DA8" w:rsidRPr="00754142" w:rsidRDefault="00896DA8" w:rsidP="008C0A14">
      <w:pPr>
        <w:pStyle w:val="Nzov"/>
        <w:jc w:val="left"/>
        <w:rPr>
          <w:b w:val="0"/>
          <w:bCs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C937EB">
      <w:pPr>
        <w:pStyle w:val="Nzov"/>
        <w:numPr>
          <w:ilvl w:val="0"/>
          <w:numId w:val="7"/>
        </w:numPr>
        <w:ind w:left="567" w:hanging="567"/>
        <w:jc w:val="left"/>
        <w:rPr>
          <w:color w:val="000000"/>
          <w:sz w:val="22"/>
          <w:szCs w:val="22"/>
        </w:rPr>
      </w:pPr>
      <w:r w:rsidRPr="00754142">
        <w:rPr>
          <w:color w:val="000000"/>
          <w:sz w:val="22"/>
          <w:szCs w:val="22"/>
        </w:rPr>
        <w:t>DRŽITEĽ ROZHODNUTIA O REGISTRÁCII</w:t>
      </w:r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  <w:proofErr w:type="spellStart"/>
      <w:r w:rsidRPr="00754142">
        <w:rPr>
          <w:color w:val="000000"/>
          <w:sz w:val="22"/>
          <w:szCs w:val="22"/>
          <w:lang w:val="sk-SK"/>
        </w:rPr>
        <w:t>Boehringer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Ingelheim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International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GmbH</w:t>
      </w:r>
      <w:proofErr w:type="spellEnd"/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  <w:proofErr w:type="spellStart"/>
      <w:r w:rsidRPr="00754142">
        <w:rPr>
          <w:color w:val="000000"/>
          <w:sz w:val="22"/>
          <w:szCs w:val="22"/>
          <w:lang w:val="sk-SK"/>
        </w:rPr>
        <w:t>Binger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754142">
        <w:rPr>
          <w:color w:val="000000"/>
          <w:sz w:val="22"/>
          <w:szCs w:val="22"/>
          <w:lang w:val="sk-SK"/>
        </w:rPr>
        <w:t>Strasse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173</w:t>
      </w:r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 xml:space="preserve">D-55216 </w:t>
      </w:r>
      <w:proofErr w:type="spellStart"/>
      <w:r w:rsidRPr="00754142">
        <w:rPr>
          <w:color w:val="000000"/>
          <w:sz w:val="22"/>
          <w:szCs w:val="22"/>
          <w:lang w:val="sk-SK"/>
        </w:rPr>
        <w:t>Ingelheim</w:t>
      </w:r>
      <w:proofErr w:type="spellEnd"/>
      <w:r w:rsidRPr="00754142">
        <w:rPr>
          <w:color w:val="000000"/>
          <w:sz w:val="22"/>
          <w:szCs w:val="22"/>
          <w:lang w:val="sk-SK"/>
        </w:rPr>
        <w:t xml:space="preserve"> nad Rýnom</w:t>
      </w:r>
    </w:p>
    <w:p w:rsidR="00896DA8" w:rsidRPr="00754142" w:rsidRDefault="00896DA8" w:rsidP="00754142">
      <w:pPr>
        <w:rPr>
          <w:color w:val="000000"/>
          <w:sz w:val="22"/>
          <w:szCs w:val="22"/>
          <w:lang w:val="sk-SK"/>
        </w:rPr>
      </w:pPr>
      <w:r w:rsidRPr="00754142">
        <w:rPr>
          <w:color w:val="000000"/>
          <w:sz w:val="22"/>
          <w:szCs w:val="22"/>
          <w:lang w:val="sk-SK"/>
        </w:rPr>
        <w:t>Nemecko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5D77DA" w:rsidP="005D77DA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ab/>
      </w:r>
      <w:r w:rsidR="00896DA8" w:rsidRPr="00754142">
        <w:rPr>
          <w:color w:val="000000"/>
          <w:sz w:val="22"/>
          <w:szCs w:val="22"/>
        </w:rPr>
        <w:t>REGISTRAČNÉ ČÍSLO</w:t>
      </w: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  <w:r w:rsidRPr="00754142">
        <w:rPr>
          <w:b w:val="0"/>
          <w:color w:val="000000"/>
          <w:sz w:val="22"/>
          <w:szCs w:val="22"/>
        </w:rPr>
        <w:t>14/0415/11-S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5D77DA" w:rsidP="005D77DA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ab/>
      </w:r>
      <w:r w:rsidR="00896DA8" w:rsidRPr="00754142">
        <w:rPr>
          <w:color w:val="000000"/>
          <w:sz w:val="22"/>
          <w:szCs w:val="22"/>
        </w:rPr>
        <w:t>DÁTUM PRVEJ REGISTRÁCIE/PREDĹŽENIA REGISTRÁCIE</w:t>
      </w: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b w:val="0"/>
          <w:color w:val="000000"/>
          <w:sz w:val="22"/>
          <w:szCs w:val="22"/>
        </w:rPr>
      </w:pPr>
      <w:r w:rsidRPr="00754142">
        <w:rPr>
          <w:b w:val="0"/>
          <w:color w:val="000000"/>
          <w:sz w:val="22"/>
          <w:szCs w:val="22"/>
        </w:rPr>
        <w:t>Dátum prvej registrácie: 22.06.2011</w:t>
      </w:r>
    </w:p>
    <w:p w:rsidR="001B79E8" w:rsidRPr="001B79E8" w:rsidRDefault="001B79E8" w:rsidP="001B79E8">
      <w:pPr>
        <w:rPr>
          <w:rFonts w:eastAsia="Arial Unicode MS"/>
          <w:bCs/>
          <w:color w:val="000000"/>
          <w:sz w:val="22"/>
          <w:szCs w:val="22"/>
          <w:lang w:val="sk-SK"/>
        </w:rPr>
      </w:pPr>
      <w:r w:rsidRPr="001B79E8">
        <w:rPr>
          <w:rFonts w:eastAsia="Arial Unicode MS"/>
          <w:bCs/>
          <w:color w:val="000000"/>
          <w:sz w:val="22"/>
          <w:szCs w:val="22"/>
          <w:lang w:val="sk-SK"/>
        </w:rPr>
        <w:t>Dátum posledného predĺženia registrácie:</w:t>
      </w:r>
      <w:r w:rsidRPr="001B79E8">
        <w:t xml:space="preserve"> </w:t>
      </w:r>
      <w:r w:rsidRPr="001B79E8">
        <w:rPr>
          <w:rFonts w:eastAsia="Arial Unicode MS"/>
          <w:bCs/>
          <w:color w:val="000000"/>
          <w:sz w:val="22"/>
          <w:szCs w:val="22"/>
          <w:lang w:val="sk-SK"/>
        </w:rPr>
        <w:t>19.05.2017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5D77DA" w:rsidP="005D77DA">
      <w:pPr>
        <w:pStyle w:val="Nzov"/>
        <w:tabs>
          <w:tab w:val="left" w:pos="567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ab/>
        <w:t xml:space="preserve">DÁTUM </w:t>
      </w:r>
      <w:r w:rsidR="00896DA8" w:rsidRPr="00754142">
        <w:rPr>
          <w:color w:val="000000"/>
          <w:sz w:val="22"/>
          <w:szCs w:val="22"/>
        </w:rPr>
        <w:t>REVÍZIE TEXTU</w:t>
      </w:r>
    </w:p>
    <w:p w:rsidR="00896DA8" w:rsidRPr="00754142" w:rsidRDefault="00896DA8" w:rsidP="008C0A14">
      <w:pPr>
        <w:pStyle w:val="Nzov"/>
        <w:jc w:val="left"/>
        <w:rPr>
          <w:color w:val="000000"/>
          <w:sz w:val="22"/>
          <w:szCs w:val="22"/>
        </w:rPr>
      </w:pPr>
    </w:p>
    <w:p w:rsidR="00896DA8" w:rsidRPr="00754142" w:rsidRDefault="001B79E8" w:rsidP="008C0A14">
      <w:pPr>
        <w:pStyle w:val="Nzov"/>
        <w:jc w:val="left"/>
        <w:rPr>
          <w:sz w:val="22"/>
          <w:szCs w:val="22"/>
        </w:rPr>
      </w:pPr>
      <w:r>
        <w:rPr>
          <w:b w:val="0"/>
          <w:color w:val="000000"/>
          <w:sz w:val="22"/>
          <w:szCs w:val="22"/>
        </w:rPr>
        <w:t>Jún 2019</w:t>
      </w:r>
    </w:p>
    <w:sectPr w:rsidR="00896DA8" w:rsidRPr="00754142" w:rsidSect="00E81D08"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C6" w:rsidRDefault="002943C6">
      <w:r>
        <w:separator/>
      </w:r>
    </w:p>
  </w:endnote>
  <w:endnote w:type="continuationSeparator" w:id="0">
    <w:p w:rsidR="002943C6" w:rsidRDefault="0029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EB" w:rsidRDefault="00C937EB" w:rsidP="00872A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937EB" w:rsidRDefault="00C937E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EB" w:rsidRPr="00521127" w:rsidRDefault="00C937EB" w:rsidP="00872A70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521127">
      <w:rPr>
        <w:rStyle w:val="slostrany"/>
        <w:sz w:val="18"/>
        <w:szCs w:val="18"/>
      </w:rPr>
      <w:fldChar w:fldCharType="begin"/>
    </w:r>
    <w:r w:rsidRPr="00521127">
      <w:rPr>
        <w:rStyle w:val="slostrany"/>
        <w:sz w:val="18"/>
        <w:szCs w:val="18"/>
      </w:rPr>
      <w:instrText xml:space="preserve">PAGE  </w:instrText>
    </w:r>
    <w:r w:rsidRPr="00521127">
      <w:rPr>
        <w:rStyle w:val="slostrany"/>
        <w:sz w:val="18"/>
        <w:szCs w:val="18"/>
      </w:rPr>
      <w:fldChar w:fldCharType="separate"/>
    </w:r>
    <w:r w:rsidR="0031651B">
      <w:rPr>
        <w:rStyle w:val="slostrany"/>
        <w:noProof/>
        <w:sz w:val="18"/>
        <w:szCs w:val="18"/>
      </w:rPr>
      <w:t>14</w:t>
    </w:r>
    <w:r w:rsidRPr="00521127">
      <w:rPr>
        <w:rStyle w:val="slostrany"/>
        <w:sz w:val="18"/>
        <w:szCs w:val="18"/>
      </w:rPr>
      <w:fldChar w:fldCharType="end"/>
    </w:r>
  </w:p>
  <w:p w:rsidR="00C937EB" w:rsidRDefault="00C937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C6" w:rsidRDefault="002943C6">
      <w:r>
        <w:separator/>
      </w:r>
    </w:p>
  </w:footnote>
  <w:footnote w:type="continuationSeparator" w:id="0">
    <w:p w:rsidR="002943C6" w:rsidRDefault="00294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BE" w:rsidRDefault="001B79E8" w:rsidP="001307BE">
    <w:pPr>
      <w:widowControl w:val="0"/>
      <w:rPr>
        <w:b/>
        <w:bCs/>
        <w:iCs/>
        <w:noProof/>
        <w:sz w:val="18"/>
        <w:szCs w:val="18"/>
        <w:lang w:val="sk-SK" w:eastAsia="en-US"/>
      </w:rPr>
    </w:pPr>
    <w:r w:rsidRPr="0031651B">
      <w:rPr>
        <w:bCs/>
        <w:sz w:val="18"/>
        <w:szCs w:val="18"/>
        <w:lang w:val="sk-SK" w:eastAsia="sk-SK"/>
      </w:rPr>
      <w:t xml:space="preserve">Príloha č. </w:t>
    </w:r>
    <w:r>
      <w:rPr>
        <w:bCs/>
        <w:sz w:val="18"/>
        <w:szCs w:val="18"/>
        <w:lang w:val="sk-SK" w:eastAsia="sk-SK"/>
      </w:rPr>
      <w:t>1</w:t>
    </w:r>
    <w:r w:rsidRPr="0031651B">
      <w:rPr>
        <w:bCs/>
        <w:sz w:val="18"/>
        <w:szCs w:val="18"/>
        <w:lang w:val="sk-SK" w:eastAsia="sk-SK"/>
      </w:rPr>
      <w:t xml:space="preserve"> k notifikácii </w:t>
    </w:r>
    <w:r w:rsidR="001307BE">
      <w:rPr>
        <w:sz w:val="18"/>
        <w:szCs w:val="18"/>
        <w:lang w:val="sk-SK"/>
      </w:rPr>
      <w:t xml:space="preserve">o zmene, </w:t>
    </w:r>
    <w:proofErr w:type="spellStart"/>
    <w:r w:rsidR="001307BE">
      <w:rPr>
        <w:sz w:val="18"/>
        <w:szCs w:val="18"/>
        <w:lang w:val="sk-SK"/>
      </w:rPr>
      <w:t>ev.č</w:t>
    </w:r>
    <w:proofErr w:type="spellEnd"/>
    <w:r w:rsidR="001307BE">
      <w:rPr>
        <w:sz w:val="18"/>
        <w:szCs w:val="18"/>
        <w:lang w:val="sk-SK"/>
      </w:rPr>
      <w:t xml:space="preserve">.: </w:t>
    </w:r>
    <w:r>
      <w:rPr>
        <w:sz w:val="18"/>
        <w:szCs w:val="18"/>
        <w:lang w:val="sk-SK"/>
      </w:rPr>
      <w:t>2018/06746-ZIB</w:t>
    </w:r>
  </w:p>
  <w:p w:rsidR="001307BE" w:rsidRDefault="001307BE" w:rsidP="001307BE">
    <w:pPr>
      <w:pStyle w:val="Hlavika"/>
      <w:rPr>
        <w:sz w:val="20"/>
        <w:szCs w:val="20"/>
        <w:lang w:val="sk-SK"/>
      </w:rPr>
    </w:pPr>
  </w:p>
  <w:p w:rsidR="001307BE" w:rsidRDefault="001307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110"/>
    <w:multiLevelType w:val="hybridMultilevel"/>
    <w:tmpl w:val="C8C6F6DE"/>
    <w:lvl w:ilvl="0" w:tplc="037295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593F3C"/>
    <w:multiLevelType w:val="multilevel"/>
    <w:tmpl w:val="629A2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C270199"/>
    <w:multiLevelType w:val="multilevel"/>
    <w:tmpl w:val="FA7616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CBA222B"/>
    <w:multiLevelType w:val="hybridMultilevel"/>
    <w:tmpl w:val="0C8A6F6A"/>
    <w:lvl w:ilvl="0" w:tplc="D03C15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98DCA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C295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FCAC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7C51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04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D81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5A8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DA6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B4B5AA1"/>
    <w:multiLevelType w:val="multilevel"/>
    <w:tmpl w:val="41E448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DD83CA8"/>
    <w:multiLevelType w:val="hybridMultilevel"/>
    <w:tmpl w:val="74E2A1DC"/>
    <w:lvl w:ilvl="0" w:tplc="95742A8A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C92476"/>
    <w:multiLevelType w:val="hybridMultilevel"/>
    <w:tmpl w:val="EA60E310"/>
    <w:lvl w:ilvl="0" w:tplc="D07484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licevic,Tatjana (HP Med RA) BI-SK-B">
    <w15:presenceInfo w15:providerId="AD" w15:userId="S-1-5-21-343818398-790525478-682003330-1114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BD"/>
    <w:rsid w:val="00000462"/>
    <w:rsid w:val="00000B5B"/>
    <w:rsid w:val="00000B93"/>
    <w:rsid w:val="00002400"/>
    <w:rsid w:val="000075AA"/>
    <w:rsid w:val="00007759"/>
    <w:rsid w:val="00007B41"/>
    <w:rsid w:val="00010210"/>
    <w:rsid w:val="000146D7"/>
    <w:rsid w:val="00016686"/>
    <w:rsid w:val="00020190"/>
    <w:rsid w:val="00022654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6A29"/>
    <w:rsid w:val="000379EF"/>
    <w:rsid w:val="00043C83"/>
    <w:rsid w:val="000446CD"/>
    <w:rsid w:val="00045C02"/>
    <w:rsid w:val="00046884"/>
    <w:rsid w:val="00050B01"/>
    <w:rsid w:val="00052D7C"/>
    <w:rsid w:val="00054D85"/>
    <w:rsid w:val="00054EBF"/>
    <w:rsid w:val="00055139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5BF7"/>
    <w:rsid w:val="00075C2A"/>
    <w:rsid w:val="00075F23"/>
    <w:rsid w:val="00077C95"/>
    <w:rsid w:val="00080C3A"/>
    <w:rsid w:val="00081D20"/>
    <w:rsid w:val="000823C2"/>
    <w:rsid w:val="00083DF1"/>
    <w:rsid w:val="0008664C"/>
    <w:rsid w:val="00087401"/>
    <w:rsid w:val="0009073F"/>
    <w:rsid w:val="00092B92"/>
    <w:rsid w:val="0009661A"/>
    <w:rsid w:val="0009678A"/>
    <w:rsid w:val="00096AD6"/>
    <w:rsid w:val="00096B70"/>
    <w:rsid w:val="00097943"/>
    <w:rsid w:val="00097B1E"/>
    <w:rsid w:val="00097DF9"/>
    <w:rsid w:val="000A064B"/>
    <w:rsid w:val="000A49B2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307"/>
    <w:rsid w:val="000C0E00"/>
    <w:rsid w:val="000C5290"/>
    <w:rsid w:val="000C6748"/>
    <w:rsid w:val="000C6872"/>
    <w:rsid w:val="000C6B19"/>
    <w:rsid w:val="000C7527"/>
    <w:rsid w:val="000C781B"/>
    <w:rsid w:val="000D2646"/>
    <w:rsid w:val="000D2883"/>
    <w:rsid w:val="000D38CF"/>
    <w:rsid w:val="000E0F80"/>
    <w:rsid w:val="000E3BF5"/>
    <w:rsid w:val="000E603E"/>
    <w:rsid w:val="000E7FC7"/>
    <w:rsid w:val="000F0A2B"/>
    <w:rsid w:val="000F2291"/>
    <w:rsid w:val="000F3DAD"/>
    <w:rsid w:val="000F46F0"/>
    <w:rsid w:val="000F5432"/>
    <w:rsid w:val="000F6F9C"/>
    <w:rsid w:val="000F79F4"/>
    <w:rsid w:val="00102FCE"/>
    <w:rsid w:val="001048A2"/>
    <w:rsid w:val="00104B80"/>
    <w:rsid w:val="00104FAC"/>
    <w:rsid w:val="00105C0D"/>
    <w:rsid w:val="001065FD"/>
    <w:rsid w:val="001074BA"/>
    <w:rsid w:val="00107736"/>
    <w:rsid w:val="001078ED"/>
    <w:rsid w:val="00110CCE"/>
    <w:rsid w:val="0011243C"/>
    <w:rsid w:val="00112FD2"/>
    <w:rsid w:val="00113AFE"/>
    <w:rsid w:val="001141EF"/>
    <w:rsid w:val="0011447E"/>
    <w:rsid w:val="001151AF"/>
    <w:rsid w:val="001153E8"/>
    <w:rsid w:val="00115A36"/>
    <w:rsid w:val="0011664B"/>
    <w:rsid w:val="00117205"/>
    <w:rsid w:val="00117694"/>
    <w:rsid w:val="00117EFB"/>
    <w:rsid w:val="001202CD"/>
    <w:rsid w:val="001205E7"/>
    <w:rsid w:val="00121828"/>
    <w:rsid w:val="00126419"/>
    <w:rsid w:val="00130408"/>
    <w:rsid w:val="001307BE"/>
    <w:rsid w:val="001364DE"/>
    <w:rsid w:val="00136607"/>
    <w:rsid w:val="0013693B"/>
    <w:rsid w:val="00137B06"/>
    <w:rsid w:val="00137EBB"/>
    <w:rsid w:val="0014124F"/>
    <w:rsid w:val="0014444B"/>
    <w:rsid w:val="001458AD"/>
    <w:rsid w:val="00146895"/>
    <w:rsid w:val="00151731"/>
    <w:rsid w:val="0015202F"/>
    <w:rsid w:val="00152BB9"/>
    <w:rsid w:val="00152E3D"/>
    <w:rsid w:val="0015365A"/>
    <w:rsid w:val="001543DA"/>
    <w:rsid w:val="00154A5B"/>
    <w:rsid w:val="0015541F"/>
    <w:rsid w:val="001565F9"/>
    <w:rsid w:val="00157E38"/>
    <w:rsid w:val="00160E5C"/>
    <w:rsid w:val="0016208F"/>
    <w:rsid w:val="00162598"/>
    <w:rsid w:val="00164AC6"/>
    <w:rsid w:val="00164C15"/>
    <w:rsid w:val="00165D3B"/>
    <w:rsid w:val="001662AA"/>
    <w:rsid w:val="0016732B"/>
    <w:rsid w:val="0016735D"/>
    <w:rsid w:val="00167DA9"/>
    <w:rsid w:val="00167F29"/>
    <w:rsid w:val="001704A2"/>
    <w:rsid w:val="00170570"/>
    <w:rsid w:val="00171F58"/>
    <w:rsid w:val="00172234"/>
    <w:rsid w:val="0017223A"/>
    <w:rsid w:val="00172983"/>
    <w:rsid w:val="00172A31"/>
    <w:rsid w:val="00172E45"/>
    <w:rsid w:val="00174380"/>
    <w:rsid w:val="00176686"/>
    <w:rsid w:val="00177D78"/>
    <w:rsid w:val="001844F9"/>
    <w:rsid w:val="001919F1"/>
    <w:rsid w:val="00193780"/>
    <w:rsid w:val="00194BB3"/>
    <w:rsid w:val="0019788F"/>
    <w:rsid w:val="00197A22"/>
    <w:rsid w:val="001A1BE8"/>
    <w:rsid w:val="001A1DE0"/>
    <w:rsid w:val="001A2141"/>
    <w:rsid w:val="001A24EC"/>
    <w:rsid w:val="001A24FC"/>
    <w:rsid w:val="001A2F51"/>
    <w:rsid w:val="001A3541"/>
    <w:rsid w:val="001A3607"/>
    <w:rsid w:val="001A3630"/>
    <w:rsid w:val="001A6B3C"/>
    <w:rsid w:val="001B445C"/>
    <w:rsid w:val="001B5CFC"/>
    <w:rsid w:val="001B660B"/>
    <w:rsid w:val="001B6B94"/>
    <w:rsid w:val="001B79E8"/>
    <w:rsid w:val="001C14D2"/>
    <w:rsid w:val="001C2D7F"/>
    <w:rsid w:val="001C3CAA"/>
    <w:rsid w:val="001C47A2"/>
    <w:rsid w:val="001C6137"/>
    <w:rsid w:val="001C6EDA"/>
    <w:rsid w:val="001C79CB"/>
    <w:rsid w:val="001D0265"/>
    <w:rsid w:val="001D0CA7"/>
    <w:rsid w:val="001D0ED6"/>
    <w:rsid w:val="001D11B0"/>
    <w:rsid w:val="001D342F"/>
    <w:rsid w:val="001D37DC"/>
    <w:rsid w:val="001D3D24"/>
    <w:rsid w:val="001E045F"/>
    <w:rsid w:val="001E08A7"/>
    <w:rsid w:val="001E1A56"/>
    <w:rsid w:val="001E22AF"/>
    <w:rsid w:val="001E25F8"/>
    <w:rsid w:val="001E2849"/>
    <w:rsid w:val="001E386C"/>
    <w:rsid w:val="001E41BE"/>
    <w:rsid w:val="001E49CC"/>
    <w:rsid w:val="001E4A85"/>
    <w:rsid w:val="001E4D04"/>
    <w:rsid w:val="001E6516"/>
    <w:rsid w:val="001F067C"/>
    <w:rsid w:val="001F403C"/>
    <w:rsid w:val="001F5181"/>
    <w:rsid w:val="001F5C50"/>
    <w:rsid w:val="001F7C30"/>
    <w:rsid w:val="002003A5"/>
    <w:rsid w:val="00201F3C"/>
    <w:rsid w:val="002037DC"/>
    <w:rsid w:val="00204705"/>
    <w:rsid w:val="00204A19"/>
    <w:rsid w:val="00206153"/>
    <w:rsid w:val="00207552"/>
    <w:rsid w:val="0021062F"/>
    <w:rsid w:val="00210A45"/>
    <w:rsid w:val="00212196"/>
    <w:rsid w:val="00213A4E"/>
    <w:rsid w:val="00213AEE"/>
    <w:rsid w:val="0021474A"/>
    <w:rsid w:val="00215432"/>
    <w:rsid w:val="0021689E"/>
    <w:rsid w:val="00222E3A"/>
    <w:rsid w:val="00224AF0"/>
    <w:rsid w:val="002259D2"/>
    <w:rsid w:val="00225CE4"/>
    <w:rsid w:val="0022729C"/>
    <w:rsid w:val="00230200"/>
    <w:rsid w:val="00230238"/>
    <w:rsid w:val="00231F22"/>
    <w:rsid w:val="00232F40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81C"/>
    <w:rsid w:val="002546DC"/>
    <w:rsid w:val="0025503A"/>
    <w:rsid w:val="002554FF"/>
    <w:rsid w:val="0025797C"/>
    <w:rsid w:val="00261A4E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4729"/>
    <w:rsid w:val="00275958"/>
    <w:rsid w:val="0027781A"/>
    <w:rsid w:val="00280643"/>
    <w:rsid w:val="002825CC"/>
    <w:rsid w:val="002826D1"/>
    <w:rsid w:val="002838DF"/>
    <w:rsid w:val="002858E0"/>
    <w:rsid w:val="002864F9"/>
    <w:rsid w:val="00287D20"/>
    <w:rsid w:val="0029107C"/>
    <w:rsid w:val="002912FA"/>
    <w:rsid w:val="002939A4"/>
    <w:rsid w:val="00293DFF"/>
    <w:rsid w:val="002943C6"/>
    <w:rsid w:val="00294715"/>
    <w:rsid w:val="002949F2"/>
    <w:rsid w:val="00296771"/>
    <w:rsid w:val="00297779"/>
    <w:rsid w:val="002979C5"/>
    <w:rsid w:val="002A4FA1"/>
    <w:rsid w:val="002A6A1A"/>
    <w:rsid w:val="002B085B"/>
    <w:rsid w:val="002B1D39"/>
    <w:rsid w:val="002B360E"/>
    <w:rsid w:val="002B4803"/>
    <w:rsid w:val="002B5067"/>
    <w:rsid w:val="002B65D5"/>
    <w:rsid w:val="002C079E"/>
    <w:rsid w:val="002C2DDB"/>
    <w:rsid w:val="002C32D9"/>
    <w:rsid w:val="002C4180"/>
    <w:rsid w:val="002C632F"/>
    <w:rsid w:val="002C6D97"/>
    <w:rsid w:val="002D0D21"/>
    <w:rsid w:val="002D7EEA"/>
    <w:rsid w:val="002E3520"/>
    <w:rsid w:val="002E5D85"/>
    <w:rsid w:val="002E5FC8"/>
    <w:rsid w:val="002E6A18"/>
    <w:rsid w:val="002E6BFE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0F87"/>
    <w:rsid w:val="003026FC"/>
    <w:rsid w:val="00303569"/>
    <w:rsid w:val="00303954"/>
    <w:rsid w:val="0030523E"/>
    <w:rsid w:val="00305C48"/>
    <w:rsid w:val="00305C4B"/>
    <w:rsid w:val="00306D54"/>
    <w:rsid w:val="00312096"/>
    <w:rsid w:val="00312535"/>
    <w:rsid w:val="00312D71"/>
    <w:rsid w:val="00315146"/>
    <w:rsid w:val="0031622F"/>
    <w:rsid w:val="0031651B"/>
    <w:rsid w:val="00317563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0C45"/>
    <w:rsid w:val="00331A78"/>
    <w:rsid w:val="00332309"/>
    <w:rsid w:val="00332D1C"/>
    <w:rsid w:val="003355F7"/>
    <w:rsid w:val="00335F98"/>
    <w:rsid w:val="00336ECF"/>
    <w:rsid w:val="00341B45"/>
    <w:rsid w:val="00343816"/>
    <w:rsid w:val="00343E19"/>
    <w:rsid w:val="0034551C"/>
    <w:rsid w:val="0034672F"/>
    <w:rsid w:val="00352012"/>
    <w:rsid w:val="0035264C"/>
    <w:rsid w:val="00357AAE"/>
    <w:rsid w:val="00357ACE"/>
    <w:rsid w:val="00360506"/>
    <w:rsid w:val="0036349A"/>
    <w:rsid w:val="00363639"/>
    <w:rsid w:val="00363C97"/>
    <w:rsid w:val="003673BF"/>
    <w:rsid w:val="003705B4"/>
    <w:rsid w:val="00373BA5"/>
    <w:rsid w:val="00373D03"/>
    <w:rsid w:val="003800FA"/>
    <w:rsid w:val="00380270"/>
    <w:rsid w:val="0038112D"/>
    <w:rsid w:val="00381252"/>
    <w:rsid w:val="003812D6"/>
    <w:rsid w:val="00381BDF"/>
    <w:rsid w:val="00384EEE"/>
    <w:rsid w:val="003859B8"/>
    <w:rsid w:val="00385CD8"/>
    <w:rsid w:val="00392CE2"/>
    <w:rsid w:val="00394580"/>
    <w:rsid w:val="00395052"/>
    <w:rsid w:val="003956E9"/>
    <w:rsid w:val="00396871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221"/>
    <w:rsid w:val="003C0758"/>
    <w:rsid w:val="003C1BA1"/>
    <w:rsid w:val="003C49D0"/>
    <w:rsid w:val="003C55A5"/>
    <w:rsid w:val="003C627C"/>
    <w:rsid w:val="003C7D7F"/>
    <w:rsid w:val="003D0D18"/>
    <w:rsid w:val="003D14FE"/>
    <w:rsid w:val="003D16EF"/>
    <w:rsid w:val="003D4249"/>
    <w:rsid w:val="003D4C7D"/>
    <w:rsid w:val="003D5C30"/>
    <w:rsid w:val="003D66FB"/>
    <w:rsid w:val="003D6D22"/>
    <w:rsid w:val="003D7FE9"/>
    <w:rsid w:val="003E01AA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2EF2"/>
    <w:rsid w:val="00400C72"/>
    <w:rsid w:val="00400DCA"/>
    <w:rsid w:val="0040203D"/>
    <w:rsid w:val="00403C24"/>
    <w:rsid w:val="004069B1"/>
    <w:rsid w:val="004119F9"/>
    <w:rsid w:val="00411F2A"/>
    <w:rsid w:val="0041327F"/>
    <w:rsid w:val="004137C4"/>
    <w:rsid w:val="00413835"/>
    <w:rsid w:val="004142E0"/>
    <w:rsid w:val="0041541D"/>
    <w:rsid w:val="0041607A"/>
    <w:rsid w:val="00417F9E"/>
    <w:rsid w:val="00420593"/>
    <w:rsid w:val="004234C6"/>
    <w:rsid w:val="00424044"/>
    <w:rsid w:val="004240BA"/>
    <w:rsid w:val="004246CF"/>
    <w:rsid w:val="00425ACD"/>
    <w:rsid w:val="00426927"/>
    <w:rsid w:val="004312D6"/>
    <w:rsid w:val="0043357E"/>
    <w:rsid w:val="0043567D"/>
    <w:rsid w:val="00435AEE"/>
    <w:rsid w:val="0043768F"/>
    <w:rsid w:val="00440168"/>
    <w:rsid w:val="004408AD"/>
    <w:rsid w:val="00440F7E"/>
    <w:rsid w:val="00441DCC"/>
    <w:rsid w:val="00442D53"/>
    <w:rsid w:val="00443B2C"/>
    <w:rsid w:val="00444B36"/>
    <w:rsid w:val="004452A1"/>
    <w:rsid w:val="004454B2"/>
    <w:rsid w:val="00457E64"/>
    <w:rsid w:val="004613A1"/>
    <w:rsid w:val="0046142B"/>
    <w:rsid w:val="00461464"/>
    <w:rsid w:val="0046499C"/>
    <w:rsid w:val="00465CA8"/>
    <w:rsid w:val="00466501"/>
    <w:rsid w:val="00470F43"/>
    <w:rsid w:val="00471821"/>
    <w:rsid w:val="00473518"/>
    <w:rsid w:val="00473587"/>
    <w:rsid w:val="004744D6"/>
    <w:rsid w:val="00476047"/>
    <w:rsid w:val="0047610E"/>
    <w:rsid w:val="00477BA6"/>
    <w:rsid w:val="00480F55"/>
    <w:rsid w:val="00483CB5"/>
    <w:rsid w:val="0048466B"/>
    <w:rsid w:val="00486AF5"/>
    <w:rsid w:val="00493409"/>
    <w:rsid w:val="004953AA"/>
    <w:rsid w:val="00497706"/>
    <w:rsid w:val="00497B16"/>
    <w:rsid w:val="004A056C"/>
    <w:rsid w:val="004A0929"/>
    <w:rsid w:val="004A2524"/>
    <w:rsid w:val="004A2533"/>
    <w:rsid w:val="004A2E20"/>
    <w:rsid w:val="004A3EF6"/>
    <w:rsid w:val="004A77D8"/>
    <w:rsid w:val="004B0223"/>
    <w:rsid w:val="004B0E14"/>
    <w:rsid w:val="004B1596"/>
    <w:rsid w:val="004B1DB4"/>
    <w:rsid w:val="004B4421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5980"/>
    <w:rsid w:val="004D74C1"/>
    <w:rsid w:val="004E094C"/>
    <w:rsid w:val="004E16F6"/>
    <w:rsid w:val="004E1C94"/>
    <w:rsid w:val="004E2367"/>
    <w:rsid w:val="004E2B57"/>
    <w:rsid w:val="004E596A"/>
    <w:rsid w:val="004E5ABA"/>
    <w:rsid w:val="004E7C62"/>
    <w:rsid w:val="004F16F9"/>
    <w:rsid w:val="004F2072"/>
    <w:rsid w:val="004F2344"/>
    <w:rsid w:val="004F2E09"/>
    <w:rsid w:val="004F320A"/>
    <w:rsid w:val="004F32A0"/>
    <w:rsid w:val="004F6036"/>
    <w:rsid w:val="004F6B20"/>
    <w:rsid w:val="004F71F4"/>
    <w:rsid w:val="005046D8"/>
    <w:rsid w:val="00504780"/>
    <w:rsid w:val="005073E0"/>
    <w:rsid w:val="005073FE"/>
    <w:rsid w:val="00507C0F"/>
    <w:rsid w:val="00511433"/>
    <w:rsid w:val="005125C2"/>
    <w:rsid w:val="005130DC"/>
    <w:rsid w:val="005140C1"/>
    <w:rsid w:val="0051591C"/>
    <w:rsid w:val="005171F1"/>
    <w:rsid w:val="00521127"/>
    <w:rsid w:val="00521EB7"/>
    <w:rsid w:val="0052315D"/>
    <w:rsid w:val="00531DEA"/>
    <w:rsid w:val="005348BF"/>
    <w:rsid w:val="005362AF"/>
    <w:rsid w:val="005375C8"/>
    <w:rsid w:val="00540B36"/>
    <w:rsid w:val="00541E5F"/>
    <w:rsid w:val="005421E6"/>
    <w:rsid w:val="00542C93"/>
    <w:rsid w:val="00542E10"/>
    <w:rsid w:val="00544E0D"/>
    <w:rsid w:val="00544E50"/>
    <w:rsid w:val="005462E8"/>
    <w:rsid w:val="00546F98"/>
    <w:rsid w:val="00547F19"/>
    <w:rsid w:val="00551B0C"/>
    <w:rsid w:val="00554A0E"/>
    <w:rsid w:val="00563158"/>
    <w:rsid w:val="005646FA"/>
    <w:rsid w:val="005656DA"/>
    <w:rsid w:val="00565BC6"/>
    <w:rsid w:val="005664BA"/>
    <w:rsid w:val="0057064B"/>
    <w:rsid w:val="005708D6"/>
    <w:rsid w:val="005735B3"/>
    <w:rsid w:val="005742CD"/>
    <w:rsid w:val="00575DF3"/>
    <w:rsid w:val="00576125"/>
    <w:rsid w:val="0057755F"/>
    <w:rsid w:val="005822BD"/>
    <w:rsid w:val="00582BE7"/>
    <w:rsid w:val="00583A2F"/>
    <w:rsid w:val="00584BE9"/>
    <w:rsid w:val="005851E1"/>
    <w:rsid w:val="0059170E"/>
    <w:rsid w:val="00591FE1"/>
    <w:rsid w:val="00592FC4"/>
    <w:rsid w:val="005934EE"/>
    <w:rsid w:val="00593A80"/>
    <w:rsid w:val="005940B2"/>
    <w:rsid w:val="00595C7D"/>
    <w:rsid w:val="00596F75"/>
    <w:rsid w:val="005A0A6A"/>
    <w:rsid w:val="005A1588"/>
    <w:rsid w:val="005A2F3A"/>
    <w:rsid w:val="005A455C"/>
    <w:rsid w:val="005A4B25"/>
    <w:rsid w:val="005A5966"/>
    <w:rsid w:val="005A5EB6"/>
    <w:rsid w:val="005A6486"/>
    <w:rsid w:val="005A6D85"/>
    <w:rsid w:val="005B27A9"/>
    <w:rsid w:val="005B35CC"/>
    <w:rsid w:val="005B45A8"/>
    <w:rsid w:val="005B63BC"/>
    <w:rsid w:val="005B75AD"/>
    <w:rsid w:val="005C163C"/>
    <w:rsid w:val="005C3ABA"/>
    <w:rsid w:val="005C47B5"/>
    <w:rsid w:val="005C48CC"/>
    <w:rsid w:val="005C52C8"/>
    <w:rsid w:val="005C5B24"/>
    <w:rsid w:val="005C68F4"/>
    <w:rsid w:val="005D0486"/>
    <w:rsid w:val="005D245E"/>
    <w:rsid w:val="005D2550"/>
    <w:rsid w:val="005D31D7"/>
    <w:rsid w:val="005D37E2"/>
    <w:rsid w:val="005D4F1F"/>
    <w:rsid w:val="005D6257"/>
    <w:rsid w:val="005D6953"/>
    <w:rsid w:val="005D718F"/>
    <w:rsid w:val="005D77DA"/>
    <w:rsid w:val="005D7A43"/>
    <w:rsid w:val="005E08FD"/>
    <w:rsid w:val="005E1B70"/>
    <w:rsid w:val="005E3239"/>
    <w:rsid w:val="005E498E"/>
    <w:rsid w:val="005E5526"/>
    <w:rsid w:val="005E66E2"/>
    <w:rsid w:val="005E6F13"/>
    <w:rsid w:val="005F1432"/>
    <w:rsid w:val="005F1AA0"/>
    <w:rsid w:val="005F1F9E"/>
    <w:rsid w:val="005F2C9B"/>
    <w:rsid w:val="005F482D"/>
    <w:rsid w:val="005F611C"/>
    <w:rsid w:val="006023CE"/>
    <w:rsid w:val="006029B6"/>
    <w:rsid w:val="00603B15"/>
    <w:rsid w:val="00604419"/>
    <w:rsid w:val="00605343"/>
    <w:rsid w:val="00606504"/>
    <w:rsid w:val="0060661B"/>
    <w:rsid w:val="00611099"/>
    <w:rsid w:val="00611200"/>
    <w:rsid w:val="00611AED"/>
    <w:rsid w:val="00613065"/>
    <w:rsid w:val="006130B7"/>
    <w:rsid w:val="00617CE0"/>
    <w:rsid w:val="006229A1"/>
    <w:rsid w:val="0062441D"/>
    <w:rsid w:val="00624AC6"/>
    <w:rsid w:val="00624C88"/>
    <w:rsid w:val="00624DAC"/>
    <w:rsid w:val="00624E6E"/>
    <w:rsid w:val="00625B24"/>
    <w:rsid w:val="00626A28"/>
    <w:rsid w:val="0063090B"/>
    <w:rsid w:val="00630DE2"/>
    <w:rsid w:val="0063289A"/>
    <w:rsid w:val="00637D38"/>
    <w:rsid w:val="00641384"/>
    <w:rsid w:val="00641625"/>
    <w:rsid w:val="0064221F"/>
    <w:rsid w:val="00642221"/>
    <w:rsid w:val="006430A8"/>
    <w:rsid w:val="00646E6C"/>
    <w:rsid w:val="0064725D"/>
    <w:rsid w:val="00650BA4"/>
    <w:rsid w:val="00652E77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6787F"/>
    <w:rsid w:val="0067031C"/>
    <w:rsid w:val="00671D2D"/>
    <w:rsid w:val="006722D2"/>
    <w:rsid w:val="00672A0B"/>
    <w:rsid w:val="006750FD"/>
    <w:rsid w:val="00676C1C"/>
    <w:rsid w:val="0068066E"/>
    <w:rsid w:val="00681D35"/>
    <w:rsid w:val="00683843"/>
    <w:rsid w:val="00691744"/>
    <w:rsid w:val="00692D35"/>
    <w:rsid w:val="00694C82"/>
    <w:rsid w:val="006953C8"/>
    <w:rsid w:val="006968B7"/>
    <w:rsid w:val="006977FA"/>
    <w:rsid w:val="00697D7E"/>
    <w:rsid w:val="006A1656"/>
    <w:rsid w:val="006A3A3A"/>
    <w:rsid w:val="006A4184"/>
    <w:rsid w:val="006A4283"/>
    <w:rsid w:val="006B044D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2962"/>
    <w:rsid w:val="006D34EC"/>
    <w:rsid w:val="006D5338"/>
    <w:rsid w:val="006D5486"/>
    <w:rsid w:val="006D57DC"/>
    <w:rsid w:val="006D6EAA"/>
    <w:rsid w:val="006D743C"/>
    <w:rsid w:val="006E13FE"/>
    <w:rsid w:val="006E1D36"/>
    <w:rsid w:val="006E2DD0"/>
    <w:rsid w:val="006E2F72"/>
    <w:rsid w:val="006E42A8"/>
    <w:rsid w:val="006E6AAA"/>
    <w:rsid w:val="006E7422"/>
    <w:rsid w:val="006F0215"/>
    <w:rsid w:val="006F1F8F"/>
    <w:rsid w:val="006F210F"/>
    <w:rsid w:val="006F27D3"/>
    <w:rsid w:val="006F5C59"/>
    <w:rsid w:val="006F5EF9"/>
    <w:rsid w:val="006F6DBE"/>
    <w:rsid w:val="006F7150"/>
    <w:rsid w:val="006F79B0"/>
    <w:rsid w:val="00700C79"/>
    <w:rsid w:val="00700F79"/>
    <w:rsid w:val="00701901"/>
    <w:rsid w:val="00701EAE"/>
    <w:rsid w:val="007042E0"/>
    <w:rsid w:val="00704B2A"/>
    <w:rsid w:val="00705F66"/>
    <w:rsid w:val="00706548"/>
    <w:rsid w:val="0071140D"/>
    <w:rsid w:val="00711E47"/>
    <w:rsid w:val="00713B8C"/>
    <w:rsid w:val="00713F75"/>
    <w:rsid w:val="00714028"/>
    <w:rsid w:val="007177F1"/>
    <w:rsid w:val="00717AB8"/>
    <w:rsid w:val="00720C0B"/>
    <w:rsid w:val="00720CF0"/>
    <w:rsid w:val="007220D0"/>
    <w:rsid w:val="0072351B"/>
    <w:rsid w:val="00723C23"/>
    <w:rsid w:val="00725424"/>
    <w:rsid w:val="00726CB4"/>
    <w:rsid w:val="00726CED"/>
    <w:rsid w:val="00726F65"/>
    <w:rsid w:val="007315B7"/>
    <w:rsid w:val="00732689"/>
    <w:rsid w:val="007331C7"/>
    <w:rsid w:val="00736E95"/>
    <w:rsid w:val="00737F90"/>
    <w:rsid w:val="00741CAE"/>
    <w:rsid w:val="007421DD"/>
    <w:rsid w:val="00742345"/>
    <w:rsid w:val="007425B0"/>
    <w:rsid w:val="00742836"/>
    <w:rsid w:val="00743D54"/>
    <w:rsid w:val="00744905"/>
    <w:rsid w:val="00744CE9"/>
    <w:rsid w:val="00745BC5"/>
    <w:rsid w:val="007461A2"/>
    <w:rsid w:val="007462F2"/>
    <w:rsid w:val="00746450"/>
    <w:rsid w:val="0074716A"/>
    <w:rsid w:val="00747E79"/>
    <w:rsid w:val="00750ECA"/>
    <w:rsid w:val="00751F6A"/>
    <w:rsid w:val="00752670"/>
    <w:rsid w:val="00753C9C"/>
    <w:rsid w:val="00754142"/>
    <w:rsid w:val="00754525"/>
    <w:rsid w:val="007555A4"/>
    <w:rsid w:val="00760218"/>
    <w:rsid w:val="007614CD"/>
    <w:rsid w:val="00764FD6"/>
    <w:rsid w:val="00765044"/>
    <w:rsid w:val="00766390"/>
    <w:rsid w:val="00766E18"/>
    <w:rsid w:val="007676CC"/>
    <w:rsid w:val="00767899"/>
    <w:rsid w:val="00775235"/>
    <w:rsid w:val="00776F42"/>
    <w:rsid w:val="0078057A"/>
    <w:rsid w:val="0078447A"/>
    <w:rsid w:val="00784CCB"/>
    <w:rsid w:val="0078567D"/>
    <w:rsid w:val="00786291"/>
    <w:rsid w:val="00786B01"/>
    <w:rsid w:val="0079123A"/>
    <w:rsid w:val="00793728"/>
    <w:rsid w:val="0079728B"/>
    <w:rsid w:val="007A10FA"/>
    <w:rsid w:val="007A1FA2"/>
    <w:rsid w:val="007A53F0"/>
    <w:rsid w:val="007A6A88"/>
    <w:rsid w:val="007B18F4"/>
    <w:rsid w:val="007B27B7"/>
    <w:rsid w:val="007B45A3"/>
    <w:rsid w:val="007C04FB"/>
    <w:rsid w:val="007C0EE2"/>
    <w:rsid w:val="007C2BC4"/>
    <w:rsid w:val="007C316B"/>
    <w:rsid w:val="007C4EB4"/>
    <w:rsid w:val="007C6EEC"/>
    <w:rsid w:val="007C72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1009"/>
    <w:rsid w:val="007F43A7"/>
    <w:rsid w:val="007F43CB"/>
    <w:rsid w:val="007F6014"/>
    <w:rsid w:val="0080004C"/>
    <w:rsid w:val="00801440"/>
    <w:rsid w:val="00801B0C"/>
    <w:rsid w:val="00801B4F"/>
    <w:rsid w:val="00802EDB"/>
    <w:rsid w:val="00803440"/>
    <w:rsid w:val="008044B9"/>
    <w:rsid w:val="008079E1"/>
    <w:rsid w:val="00810141"/>
    <w:rsid w:val="00811B82"/>
    <w:rsid w:val="00814015"/>
    <w:rsid w:val="0081550F"/>
    <w:rsid w:val="00815CA5"/>
    <w:rsid w:val="0081745B"/>
    <w:rsid w:val="00817AFE"/>
    <w:rsid w:val="00817CAD"/>
    <w:rsid w:val="008203F1"/>
    <w:rsid w:val="008214E0"/>
    <w:rsid w:val="0082299D"/>
    <w:rsid w:val="0082532F"/>
    <w:rsid w:val="008257C6"/>
    <w:rsid w:val="00825932"/>
    <w:rsid w:val="0082593D"/>
    <w:rsid w:val="00831CC0"/>
    <w:rsid w:val="00833FF8"/>
    <w:rsid w:val="00837448"/>
    <w:rsid w:val="00840661"/>
    <w:rsid w:val="008446FB"/>
    <w:rsid w:val="00847489"/>
    <w:rsid w:val="008509BC"/>
    <w:rsid w:val="0085145E"/>
    <w:rsid w:val="0085220F"/>
    <w:rsid w:val="008561A3"/>
    <w:rsid w:val="008629F5"/>
    <w:rsid w:val="00862A8E"/>
    <w:rsid w:val="00863135"/>
    <w:rsid w:val="00867083"/>
    <w:rsid w:val="008670E5"/>
    <w:rsid w:val="008673B5"/>
    <w:rsid w:val="00872A70"/>
    <w:rsid w:val="008744B7"/>
    <w:rsid w:val="00874518"/>
    <w:rsid w:val="00874CAE"/>
    <w:rsid w:val="0087557D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0E15"/>
    <w:rsid w:val="00891ECA"/>
    <w:rsid w:val="00892DBF"/>
    <w:rsid w:val="00896B7B"/>
    <w:rsid w:val="00896DA8"/>
    <w:rsid w:val="00897629"/>
    <w:rsid w:val="008A0332"/>
    <w:rsid w:val="008A0B30"/>
    <w:rsid w:val="008A1AA0"/>
    <w:rsid w:val="008A1F71"/>
    <w:rsid w:val="008A297F"/>
    <w:rsid w:val="008A43C1"/>
    <w:rsid w:val="008A5AD0"/>
    <w:rsid w:val="008A61BC"/>
    <w:rsid w:val="008A7747"/>
    <w:rsid w:val="008A7C58"/>
    <w:rsid w:val="008A7DD1"/>
    <w:rsid w:val="008A7E84"/>
    <w:rsid w:val="008B1EE6"/>
    <w:rsid w:val="008B26D5"/>
    <w:rsid w:val="008B50EA"/>
    <w:rsid w:val="008B5830"/>
    <w:rsid w:val="008B5B27"/>
    <w:rsid w:val="008B78CD"/>
    <w:rsid w:val="008C04CE"/>
    <w:rsid w:val="008C0A14"/>
    <w:rsid w:val="008C0B58"/>
    <w:rsid w:val="008C100E"/>
    <w:rsid w:val="008C1BF5"/>
    <w:rsid w:val="008C1F9D"/>
    <w:rsid w:val="008C2B2C"/>
    <w:rsid w:val="008C2B64"/>
    <w:rsid w:val="008C36E1"/>
    <w:rsid w:val="008C71AC"/>
    <w:rsid w:val="008C7D1D"/>
    <w:rsid w:val="008C7D58"/>
    <w:rsid w:val="008D03C9"/>
    <w:rsid w:val="008D4706"/>
    <w:rsid w:val="008D642E"/>
    <w:rsid w:val="008D7A21"/>
    <w:rsid w:val="008E3FAA"/>
    <w:rsid w:val="008E40D4"/>
    <w:rsid w:val="008F0689"/>
    <w:rsid w:val="008F137D"/>
    <w:rsid w:val="008F3E8E"/>
    <w:rsid w:val="008F406B"/>
    <w:rsid w:val="008F4D13"/>
    <w:rsid w:val="008F53F3"/>
    <w:rsid w:val="008F7A6D"/>
    <w:rsid w:val="009004A1"/>
    <w:rsid w:val="009005D8"/>
    <w:rsid w:val="0090218B"/>
    <w:rsid w:val="009025F6"/>
    <w:rsid w:val="009047C2"/>
    <w:rsid w:val="00906947"/>
    <w:rsid w:val="0091041B"/>
    <w:rsid w:val="00910B6C"/>
    <w:rsid w:val="00912BB6"/>
    <w:rsid w:val="009131B8"/>
    <w:rsid w:val="00914642"/>
    <w:rsid w:val="00915643"/>
    <w:rsid w:val="0091780D"/>
    <w:rsid w:val="009179B5"/>
    <w:rsid w:val="00917CC6"/>
    <w:rsid w:val="009207EC"/>
    <w:rsid w:val="00920F77"/>
    <w:rsid w:val="00923BFD"/>
    <w:rsid w:val="00924726"/>
    <w:rsid w:val="00925A62"/>
    <w:rsid w:val="00925C97"/>
    <w:rsid w:val="0093050F"/>
    <w:rsid w:val="00931156"/>
    <w:rsid w:val="00932724"/>
    <w:rsid w:val="0093314D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1D30"/>
    <w:rsid w:val="00951DFC"/>
    <w:rsid w:val="009526A5"/>
    <w:rsid w:val="009553E1"/>
    <w:rsid w:val="00955634"/>
    <w:rsid w:val="009568F0"/>
    <w:rsid w:val="00956970"/>
    <w:rsid w:val="0096063B"/>
    <w:rsid w:val="00961D21"/>
    <w:rsid w:val="009625F8"/>
    <w:rsid w:val="00962D7D"/>
    <w:rsid w:val="00964DC8"/>
    <w:rsid w:val="00965E10"/>
    <w:rsid w:val="00966032"/>
    <w:rsid w:val="00966081"/>
    <w:rsid w:val="0096693C"/>
    <w:rsid w:val="00971775"/>
    <w:rsid w:val="00972D25"/>
    <w:rsid w:val="0097547C"/>
    <w:rsid w:val="0097564B"/>
    <w:rsid w:val="00975C33"/>
    <w:rsid w:val="00980C6E"/>
    <w:rsid w:val="009821D1"/>
    <w:rsid w:val="009831DA"/>
    <w:rsid w:val="00985622"/>
    <w:rsid w:val="00990F84"/>
    <w:rsid w:val="00991248"/>
    <w:rsid w:val="0099402A"/>
    <w:rsid w:val="00994C84"/>
    <w:rsid w:val="00996C75"/>
    <w:rsid w:val="00997254"/>
    <w:rsid w:val="009A0735"/>
    <w:rsid w:val="009A0EB5"/>
    <w:rsid w:val="009A16E3"/>
    <w:rsid w:val="009A1A9C"/>
    <w:rsid w:val="009A22B4"/>
    <w:rsid w:val="009A4F50"/>
    <w:rsid w:val="009A5246"/>
    <w:rsid w:val="009A6BDE"/>
    <w:rsid w:val="009B1292"/>
    <w:rsid w:val="009B1355"/>
    <w:rsid w:val="009B2E95"/>
    <w:rsid w:val="009B45A9"/>
    <w:rsid w:val="009B65D3"/>
    <w:rsid w:val="009B6925"/>
    <w:rsid w:val="009B6F48"/>
    <w:rsid w:val="009C1CA3"/>
    <w:rsid w:val="009C4C9D"/>
    <w:rsid w:val="009D19E7"/>
    <w:rsid w:val="009D362B"/>
    <w:rsid w:val="009D3C83"/>
    <w:rsid w:val="009D4804"/>
    <w:rsid w:val="009D4FA4"/>
    <w:rsid w:val="009D5791"/>
    <w:rsid w:val="009D76BD"/>
    <w:rsid w:val="009E1543"/>
    <w:rsid w:val="009E1E44"/>
    <w:rsid w:val="009E2F5C"/>
    <w:rsid w:val="009E3454"/>
    <w:rsid w:val="009E472A"/>
    <w:rsid w:val="009E4D08"/>
    <w:rsid w:val="009E5E07"/>
    <w:rsid w:val="009F00A3"/>
    <w:rsid w:val="009F0B9E"/>
    <w:rsid w:val="009F3D38"/>
    <w:rsid w:val="009F5718"/>
    <w:rsid w:val="009F656E"/>
    <w:rsid w:val="00A00222"/>
    <w:rsid w:val="00A0077B"/>
    <w:rsid w:val="00A01008"/>
    <w:rsid w:val="00A0121F"/>
    <w:rsid w:val="00A01BE3"/>
    <w:rsid w:val="00A020F5"/>
    <w:rsid w:val="00A02699"/>
    <w:rsid w:val="00A02FCE"/>
    <w:rsid w:val="00A04D4E"/>
    <w:rsid w:val="00A04E8E"/>
    <w:rsid w:val="00A0669F"/>
    <w:rsid w:val="00A10C62"/>
    <w:rsid w:val="00A11022"/>
    <w:rsid w:val="00A11084"/>
    <w:rsid w:val="00A12579"/>
    <w:rsid w:val="00A12D45"/>
    <w:rsid w:val="00A12EBA"/>
    <w:rsid w:val="00A1307B"/>
    <w:rsid w:val="00A20F4B"/>
    <w:rsid w:val="00A23453"/>
    <w:rsid w:val="00A2464B"/>
    <w:rsid w:val="00A24E03"/>
    <w:rsid w:val="00A254BD"/>
    <w:rsid w:val="00A263A9"/>
    <w:rsid w:val="00A27C42"/>
    <w:rsid w:val="00A30DBE"/>
    <w:rsid w:val="00A320E3"/>
    <w:rsid w:val="00A36878"/>
    <w:rsid w:val="00A37920"/>
    <w:rsid w:val="00A37B7C"/>
    <w:rsid w:val="00A420F6"/>
    <w:rsid w:val="00A42BCB"/>
    <w:rsid w:val="00A42FD4"/>
    <w:rsid w:val="00A44F7A"/>
    <w:rsid w:val="00A47656"/>
    <w:rsid w:val="00A505D5"/>
    <w:rsid w:val="00A52A72"/>
    <w:rsid w:val="00A5452F"/>
    <w:rsid w:val="00A54F48"/>
    <w:rsid w:val="00A553E2"/>
    <w:rsid w:val="00A5725A"/>
    <w:rsid w:val="00A57946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933"/>
    <w:rsid w:val="00A75F50"/>
    <w:rsid w:val="00A76256"/>
    <w:rsid w:val="00A81030"/>
    <w:rsid w:val="00A81E91"/>
    <w:rsid w:val="00A823F6"/>
    <w:rsid w:val="00A83592"/>
    <w:rsid w:val="00A850F2"/>
    <w:rsid w:val="00A85292"/>
    <w:rsid w:val="00A85ECD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2968"/>
    <w:rsid w:val="00AA397A"/>
    <w:rsid w:val="00AA3A50"/>
    <w:rsid w:val="00AA4B03"/>
    <w:rsid w:val="00AA55ED"/>
    <w:rsid w:val="00AA5F1D"/>
    <w:rsid w:val="00AA66C3"/>
    <w:rsid w:val="00AB12D7"/>
    <w:rsid w:val="00AB178B"/>
    <w:rsid w:val="00AB2BFF"/>
    <w:rsid w:val="00AB5156"/>
    <w:rsid w:val="00AB54EE"/>
    <w:rsid w:val="00AB5752"/>
    <w:rsid w:val="00AB764D"/>
    <w:rsid w:val="00AC0B0E"/>
    <w:rsid w:val="00AC190D"/>
    <w:rsid w:val="00AC1C82"/>
    <w:rsid w:val="00AC28ED"/>
    <w:rsid w:val="00AC5BCF"/>
    <w:rsid w:val="00AC61D7"/>
    <w:rsid w:val="00AD0DBA"/>
    <w:rsid w:val="00AD1E28"/>
    <w:rsid w:val="00AD45AA"/>
    <w:rsid w:val="00AE07A9"/>
    <w:rsid w:val="00AE08B2"/>
    <w:rsid w:val="00AE17D7"/>
    <w:rsid w:val="00AE1C11"/>
    <w:rsid w:val="00AE236C"/>
    <w:rsid w:val="00AE259B"/>
    <w:rsid w:val="00AE39EA"/>
    <w:rsid w:val="00AE4466"/>
    <w:rsid w:val="00AE63D1"/>
    <w:rsid w:val="00AF0E57"/>
    <w:rsid w:val="00AF3BE2"/>
    <w:rsid w:val="00AF4D21"/>
    <w:rsid w:val="00AF74E4"/>
    <w:rsid w:val="00B01422"/>
    <w:rsid w:val="00B0462C"/>
    <w:rsid w:val="00B04728"/>
    <w:rsid w:val="00B04AFF"/>
    <w:rsid w:val="00B05DD0"/>
    <w:rsid w:val="00B06BE2"/>
    <w:rsid w:val="00B06C7E"/>
    <w:rsid w:val="00B06E3A"/>
    <w:rsid w:val="00B102BE"/>
    <w:rsid w:val="00B10450"/>
    <w:rsid w:val="00B10759"/>
    <w:rsid w:val="00B108F7"/>
    <w:rsid w:val="00B11766"/>
    <w:rsid w:val="00B12AD7"/>
    <w:rsid w:val="00B12BBE"/>
    <w:rsid w:val="00B1580D"/>
    <w:rsid w:val="00B1792D"/>
    <w:rsid w:val="00B20491"/>
    <w:rsid w:val="00B2119C"/>
    <w:rsid w:val="00B217FD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372D"/>
    <w:rsid w:val="00B53D00"/>
    <w:rsid w:val="00B547EE"/>
    <w:rsid w:val="00B56D2A"/>
    <w:rsid w:val="00B605B9"/>
    <w:rsid w:val="00B607FF"/>
    <w:rsid w:val="00B61801"/>
    <w:rsid w:val="00B619AC"/>
    <w:rsid w:val="00B64B99"/>
    <w:rsid w:val="00B6566D"/>
    <w:rsid w:val="00B65F86"/>
    <w:rsid w:val="00B6698B"/>
    <w:rsid w:val="00B70BE2"/>
    <w:rsid w:val="00B7255A"/>
    <w:rsid w:val="00B72D78"/>
    <w:rsid w:val="00B73499"/>
    <w:rsid w:val="00B73D1C"/>
    <w:rsid w:val="00B74307"/>
    <w:rsid w:val="00B74394"/>
    <w:rsid w:val="00B74635"/>
    <w:rsid w:val="00B76D48"/>
    <w:rsid w:val="00B800AD"/>
    <w:rsid w:val="00B82EF5"/>
    <w:rsid w:val="00B83A52"/>
    <w:rsid w:val="00B84C42"/>
    <w:rsid w:val="00B85AF7"/>
    <w:rsid w:val="00B860DC"/>
    <w:rsid w:val="00B86E6A"/>
    <w:rsid w:val="00B90A80"/>
    <w:rsid w:val="00B917F3"/>
    <w:rsid w:val="00B93C68"/>
    <w:rsid w:val="00B93D2A"/>
    <w:rsid w:val="00B940B5"/>
    <w:rsid w:val="00B94874"/>
    <w:rsid w:val="00B94919"/>
    <w:rsid w:val="00B9784E"/>
    <w:rsid w:val="00BA13F2"/>
    <w:rsid w:val="00BA220A"/>
    <w:rsid w:val="00BA405C"/>
    <w:rsid w:val="00BA4859"/>
    <w:rsid w:val="00BA4B17"/>
    <w:rsid w:val="00BA7816"/>
    <w:rsid w:val="00BB287E"/>
    <w:rsid w:val="00BB4CF3"/>
    <w:rsid w:val="00BB6531"/>
    <w:rsid w:val="00BC1986"/>
    <w:rsid w:val="00BC407B"/>
    <w:rsid w:val="00BC49DC"/>
    <w:rsid w:val="00BC508A"/>
    <w:rsid w:val="00BD10BA"/>
    <w:rsid w:val="00BD14A3"/>
    <w:rsid w:val="00BD20D5"/>
    <w:rsid w:val="00BD2F0F"/>
    <w:rsid w:val="00BD338E"/>
    <w:rsid w:val="00BD5546"/>
    <w:rsid w:val="00BD728B"/>
    <w:rsid w:val="00BD72D5"/>
    <w:rsid w:val="00BE0AB7"/>
    <w:rsid w:val="00BE1599"/>
    <w:rsid w:val="00BE2FA3"/>
    <w:rsid w:val="00BE3550"/>
    <w:rsid w:val="00BE7ED3"/>
    <w:rsid w:val="00BF202C"/>
    <w:rsid w:val="00BF2259"/>
    <w:rsid w:val="00BF3E7F"/>
    <w:rsid w:val="00BF4298"/>
    <w:rsid w:val="00BF4E86"/>
    <w:rsid w:val="00BF57D1"/>
    <w:rsid w:val="00BF5AA0"/>
    <w:rsid w:val="00BF6E8D"/>
    <w:rsid w:val="00C01029"/>
    <w:rsid w:val="00C01279"/>
    <w:rsid w:val="00C065F2"/>
    <w:rsid w:val="00C0690A"/>
    <w:rsid w:val="00C06C3D"/>
    <w:rsid w:val="00C07191"/>
    <w:rsid w:val="00C108A7"/>
    <w:rsid w:val="00C11329"/>
    <w:rsid w:val="00C1525E"/>
    <w:rsid w:val="00C176A4"/>
    <w:rsid w:val="00C20523"/>
    <w:rsid w:val="00C20A13"/>
    <w:rsid w:val="00C2152D"/>
    <w:rsid w:val="00C22583"/>
    <w:rsid w:val="00C231BA"/>
    <w:rsid w:val="00C26991"/>
    <w:rsid w:val="00C27882"/>
    <w:rsid w:val="00C3143C"/>
    <w:rsid w:val="00C33F5F"/>
    <w:rsid w:val="00C358DB"/>
    <w:rsid w:val="00C370D9"/>
    <w:rsid w:val="00C37338"/>
    <w:rsid w:val="00C37702"/>
    <w:rsid w:val="00C37757"/>
    <w:rsid w:val="00C40EBE"/>
    <w:rsid w:val="00C4181E"/>
    <w:rsid w:val="00C41AAE"/>
    <w:rsid w:val="00C41DCF"/>
    <w:rsid w:val="00C4303B"/>
    <w:rsid w:val="00C43394"/>
    <w:rsid w:val="00C44298"/>
    <w:rsid w:val="00C4467E"/>
    <w:rsid w:val="00C447C6"/>
    <w:rsid w:val="00C44AEB"/>
    <w:rsid w:val="00C45871"/>
    <w:rsid w:val="00C475BD"/>
    <w:rsid w:val="00C47A10"/>
    <w:rsid w:val="00C47C63"/>
    <w:rsid w:val="00C511BB"/>
    <w:rsid w:val="00C5435D"/>
    <w:rsid w:val="00C546A5"/>
    <w:rsid w:val="00C55877"/>
    <w:rsid w:val="00C56C3B"/>
    <w:rsid w:val="00C61894"/>
    <w:rsid w:val="00C6200C"/>
    <w:rsid w:val="00C62E33"/>
    <w:rsid w:val="00C62E65"/>
    <w:rsid w:val="00C638FF"/>
    <w:rsid w:val="00C65FAE"/>
    <w:rsid w:val="00C67F17"/>
    <w:rsid w:val="00C67FB3"/>
    <w:rsid w:val="00C71558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7EB"/>
    <w:rsid w:val="00C93BE3"/>
    <w:rsid w:val="00C96767"/>
    <w:rsid w:val="00C96B9A"/>
    <w:rsid w:val="00CA22C7"/>
    <w:rsid w:val="00CA3118"/>
    <w:rsid w:val="00CA636D"/>
    <w:rsid w:val="00CB10F0"/>
    <w:rsid w:val="00CB1656"/>
    <w:rsid w:val="00CB1F3B"/>
    <w:rsid w:val="00CB296F"/>
    <w:rsid w:val="00CB48CE"/>
    <w:rsid w:val="00CB4D89"/>
    <w:rsid w:val="00CB5596"/>
    <w:rsid w:val="00CB7122"/>
    <w:rsid w:val="00CB7156"/>
    <w:rsid w:val="00CB767F"/>
    <w:rsid w:val="00CC1124"/>
    <w:rsid w:val="00CC468B"/>
    <w:rsid w:val="00CC5139"/>
    <w:rsid w:val="00CC6D23"/>
    <w:rsid w:val="00CC7A78"/>
    <w:rsid w:val="00CD3E70"/>
    <w:rsid w:val="00CE2B08"/>
    <w:rsid w:val="00CE3408"/>
    <w:rsid w:val="00CE5DB4"/>
    <w:rsid w:val="00CE6333"/>
    <w:rsid w:val="00CE7761"/>
    <w:rsid w:val="00CF257F"/>
    <w:rsid w:val="00CF7F2F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0EA9"/>
    <w:rsid w:val="00D21D52"/>
    <w:rsid w:val="00D22F48"/>
    <w:rsid w:val="00D2336F"/>
    <w:rsid w:val="00D252CB"/>
    <w:rsid w:val="00D26B6F"/>
    <w:rsid w:val="00D32A2D"/>
    <w:rsid w:val="00D32FB4"/>
    <w:rsid w:val="00D33291"/>
    <w:rsid w:val="00D37A7D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3D74"/>
    <w:rsid w:val="00D5456B"/>
    <w:rsid w:val="00D54907"/>
    <w:rsid w:val="00D54C85"/>
    <w:rsid w:val="00D5584D"/>
    <w:rsid w:val="00D564ED"/>
    <w:rsid w:val="00D6040E"/>
    <w:rsid w:val="00D61423"/>
    <w:rsid w:val="00D6184A"/>
    <w:rsid w:val="00D6189F"/>
    <w:rsid w:val="00D63E09"/>
    <w:rsid w:val="00D7110B"/>
    <w:rsid w:val="00D719AE"/>
    <w:rsid w:val="00D71F34"/>
    <w:rsid w:val="00D73FDD"/>
    <w:rsid w:val="00D74403"/>
    <w:rsid w:val="00D76035"/>
    <w:rsid w:val="00D767F0"/>
    <w:rsid w:val="00D771B6"/>
    <w:rsid w:val="00D81AAC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4F2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725"/>
    <w:rsid w:val="00DA2A36"/>
    <w:rsid w:val="00DA2BE8"/>
    <w:rsid w:val="00DA3A65"/>
    <w:rsid w:val="00DA61FA"/>
    <w:rsid w:val="00DA7ACE"/>
    <w:rsid w:val="00DB103C"/>
    <w:rsid w:val="00DB1737"/>
    <w:rsid w:val="00DB1831"/>
    <w:rsid w:val="00DB2A6B"/>
    <w:rsid w:val="00DB646D"/>
    <w:rsid w:val="00DB6C61"/>
    <w:rsid w:val="00DC1258"/>
    <w:rsid w:val="00DC175D"/>
    <w:rsid w:val="00DC4D52"/>
    <w:rsid w:val="00DC52B3"/>
    <w:rsid w:val="00DC5414"/>
    <w:rsid w:val="00DC59E3"/>
    <w:rsid w:val="00DC5DB1"/>
    <w:rsid w:val="00DD0068"/>
    <w:rsid w:val="00DD1922"/>
    <w:rsid w:val="00DD25AE"/>
    <w:rsid w:val="00DD25F6"/>
    <w:rsid w:val="00DD3A95"/>
    <w:rsid w:val="00DD3B00"/>
    <w:rsid w:val="00DD421C"/>
    <w:rsid w:val="00DD5D1E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6015"/>
    <w:rsid w:val="00DF6104"/>
    <w:rsid w:val="00DF7E45"/>
    <w:rsid w:val="00E01FA7"/>
    <w:rsid w:val="00E032D2"/>
    <w:rsid w:val="00E03D11"/>
    <w:rsid w:val="00E1123F"/>
    <w:rsid w:val="00E1204F"/>
    <w:rsid w:val="00E162E2"/>
    <w:rsid w:val="00E16C0E"/>
    <w:rsid w:val="00E17739"/>
    <w:rsid w:val="00E2263E"/>
    <w:rsid w:val="00E2448B"/>
    <w:rsid w:val="00E25439"/>
    <w:rsid w:val="00E25E15"/>
    <w:rsid w:val="00E27737"/>
    <w:rsid w:val="00E30CBD"/>
    <w:rsid w:val="00E312D1"/>
    <w:rsid w:val="00E35FCB"/>
    <w:rsid w:val="00E363F5"/>
    <w:rsid w:val="00E36BC8"/>
    <w:rsid w:val="00E40BD3"/>
    <w:rsid w:val="00E41CA5"/>
    <w:rsid w:val="00E41EBF"/>
    <w:rsid w:val="00E422C6"/>
    <w:rsid w:val="00E42D0A"/>
    <w:rsid w:val="00E43BEF"/>
    <w:rsid w:val="00E45EEC"/>
    <w:rsid w:val="00E51884"/>
    <w:rsid w:val="00E52681"/>
    <w:rsid w:val="00E552A8"/>
    <w:rsid w:val="00E57795"/>
    <w:rsid w:val="00E57E93"/>
    <w:rsid w:val="00E6211B"/>
    <w:rsid w:val="00E62AEC"/>
    <w:rsid w:val="00E63A7D"/>
    <w:rsid w:val="00E64F77"/>
    <w:rsid w:val="00E6543A"/>
    <w:rsid w:val="00E655FA"/>
    <w:rsid w:val="00E6589C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80722"/>
    <w:rsid w:val="00E81D08"/>
    <w:rsid w:val="00E855B6"/>
    <w:rsid w:val="00E869E7"/>
    <w:rsid w:val="00E8789E"/>
    <w:rsid w:val="00E91F47"/>
    <w:rsid w:val="00E920E0"/>
    <w:rsid w:val="00E93406"/>
    <w:rsid w:val="00E93C86"/>
    <w:rsid w:val="00E94596"/>
    <w:rsid w:val="00EA114C"/>
    <w:rsid w:val="00EA11F0"/>
    <w:rsid w:val="00EA3943"/>
    <w:rsid w:val="00EA39BB"/>
    <w:rsid w:val="00EA464E"/>
    <w:rsid w:val="00EA5D6C"/>
    <w:rsid w:val="00EA6BF9"/>
    <w:rsid w:val="00EA70BD"/>
    <w:rsid w:val="00EA76E7"/>
    <w:rsid w:val="00EB0595"/>
    <w:rsid w:val="00EB1607"/>
    <w:rsid w:val="00EB3BD9"/>
    <w:rsid w:val="00EB4C4F"/>
    <w:rsid w:val="00EB564A"/>
    <w:rsid w:val="00EB5831"/>
    <w:rsid w:val="00EB615E"/>
    <w:rsid w:val="00EC42EB"/>
    <w:rsid w:val="00EC5159"/>
    <w:rsid w:val="00EC5425"/>
    <w:rsid w:val="00EC6AEE"/>
    <w:rsid w:val="00EC6D7F"/>
    <w:rsid w:val="00EC6DA7"/>
    <w:rsid w:val="00EC7B59"/>
    <w:rsid w:val="00ED07F6"/>
    <w:rsid w:val="00ED097F"/>
    <w:rsid w:val="00ED2457"/>
    <w:rsid w:val="00ED6B03"/>
    <w:rsid w:val="00ED701C"/>
    <w:rsid w:val="00EE0844"/>
    <w:rsid w:val="00EE0F3F"/>
    <w:rsid w:val="00EE1275"/>
    <w:rsid w:val="00EE1B5D"/>
    <w:rsid w:val="00EE2CD2"/>
    <w:rsid w:val="00EE3E97"/>
    <w:rsid w:val="00EE4645"/>
    <w:rsid w:val="00EE51C4"/>
    <w:rsid w:val="00EE66E5"/>
    <w:rsid w:val="00EE784C"/>
    <w:rsid w:val="00EF0255"/>
    <w:rsid w:val="00EF0E13"/>
    <w:rsid w:val="00EF23BE"/>
    <w:rsid w:val="00EF2E83"/>
    <w:rsid w:val="00EF713F"/>
    <w:rsid w:val="00EF7EB3"/>
    <w:rsid w:val="00F01494"/>
    <w:rsid w:val="00F0204E"/>
    <w:rsid w:val="00F0231E"/>
    <w:rsid w:val="00F02387"/>
    <w:rsid w:val="00F03AAD"/>
    <w:rsid w:val="00F049B4"/>
    <w:rsid w:val="00F06EAC"/>
    <w:rsid w:val="00F112A8"/>
    <w:rsid w:val="00F11E6D"/>
    <w:rsid w:val="00F132A2"/>
    <w:rsid w:val="00F143DE"/>
    <w:rsid w:val="00F15C82"/>
    <w:rsid w:val="00F16F38"/>
    <w:rsid w:val="00F178A6"/>
    <w:rsid w:val="00F17A6C"/>
    <w:rsid w:val="00F20276"/>
    <w:rsid w:val="00F204F4"/>
    <w:rsid w:val="00F20564"/>
    <w:rsid w:val="00F2174C"/>
    <w:rsid w:val="00F230CC"/>
    <w:rsid w:val="00F265E3"/>
    <w:rsid w:val="00F26C24"/>
    <w:rsid w:val="00F26CF4"/>
    <w:rsid w:val="00F30FAE"/>
    <w:rsid w:val="00F34A66"/>
    <w:rsid w:val="00F35388"/>
    <w:rsid w:val="00F372B9"/>
    <w:rsid w:val="00F3741F"/>
    <w:rsid w:val="00F37FAC"/>
    <w:rsid w:val="00F403A5"/>
    <w:rsid w:val="00F42454"/>
    <w:rsid w:val="00F4267C"/>
    <w:rsid w:val="00F42C42"/>
    <w:rsid w:val="00F44BE7"/>
    <w:rsid w:val="00F4674A"/>
    <w:rsid w:val="00F54540"/>
    <w:rsid w:val="00F55180"/>
    <w:rsid w:val="00F55DD9"/>
    <w:rsid w:val="00F56EAA"/>
    <w:rsid w:val="00F60970"/>
    <w:rsid w:val="00F613BC"/>
    <w:rsid w:val="00F62F53"/>
    <w:rsid w:val="00F637AE"/>
    <w:rsid w:val="00F63819"/>
    <w:rsid w:val="00F6667B"/>
    <w:rsid w:val="00F70824"/>
    <w:rsid w:val="00F70B61"/>
    <w:rsid w:val="00F70DA0"/>
    <w:rsid w:val="00F716F3"/>
    <w:rsid w:val="00F7228F"/>
    <w:rsid w:val="00F732A3"/>
    <w:rsid w:val="00F73377"/>
    <w:rsid w:val="00F768C8"/>
    <w:rsid w:val="00F77194"/>
    <w:rsid w:val="00F810FC"/>
    <w:rsid w:val="00F827B3"/>
    <w:rsid w:val="00F8309E"/>
    <w:rsid w:val="00F848F9"/>
    <w:rsid w:val="00F8621E"/>
    <w:rsid w:val="00F90C1E"/>
    <w:rsid w:val="00F90D3C"/>
    <w:rsid w:val="00F91EC6"/>
    <w:rsid w:val="00F9214D"/>
    <w:rsid w:val="00F93D9F"/>
    <w:rsid w:val="00F943D8"/>
    <w:rsid w:val="00F97D7E"/>
    <w:rsid w:val="00FA019B"/>
    <w:rsid w:val="00FA1973"/>
    <w:rsid w:val="00FA2ED3"/>
    <w:rsid w:val="00FA488C"/>
    <w:rsid w:val="00FA4F0C"/>
    <w:rsid w:val="00FA562E"/>
    <w:rsid w:val="00FA5D2E"/>
    <w:rsid w:val="00FA6330"/>
    <w:rsid w:val="00FA6F49"/>
    <w:rsid w:val="00FA7007"/>
    <w:rsid w:val="00FA75C0"/>
    <w:rsid w:val="00FA78BD"/>
    <w:rsid w:val="00FB0E8D"/>
    <w:rsid w:val="00FB2FC4"/>
    <w:rsid w:val="00FB3014"/>
    <w:rsid w:val="00FB398C"/>
    <w:rsid w:val="00FB6BA5"/>
    <w:rsid w:val="00FB723C"/>
    <w:rsid w:val="00FB7898"/>
    <w:rsid w:val="00FC159B"/>
    <w:rsid w:val="00FC247F"/>
    <w:rsid w:val="00FC4292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52A2"/>
    <w:rsid w:val="00FE58BC"/>
    <w:rsid w:val="00FE5C43"/>
    <w:rsid w:val="00FF0FB2"/>
    <w:rsid w:val="00FF163F"/>
    <w:rsid w:val="00FF2889"/>
    <w:rsid w:val="00FF3B11"/>
    <w:rsid w:val="00FF5078"/>
    <w:rsid w:val="00FF5F30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CBD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4EB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54EBF"/>
    <w:rPr>
      <w:rFonts w:cs="Times New Roman"/>
      <w:b/>
      <w:caps/>
      <w:sz w:val="26"/>
      <w:lang w:val="en-US" w:eastAsia="en-US"/>
    </w:rPr>
  </w:style>
  <w:style w:type="paragraph" w:styleId="Nzov">
    <w:name w:val="Title"/>
    <w:basedOn w:val="Normlny"/>
    <w:link w:val="NzovChar"/>
    <w:uiPriority w:val="99"/>
    <w:qFormat/>
    <w:rsid w:val="00E30CBD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5F2C9B"/>
    <w:rPr>
      <w:rFonts w:cs="Times New Roman"/>
      <w:b/>
      <w:sz w:val="24"/>
      <w:lang w:val="sk-SK" w:eastAsia="cs-CZ"/>
    </w:rPr>
  </w:style>
  <w:style w:type="paragraph" w:styleId="Zkladntext">
    <w:name w:val="Body Text"/>
    <w:basedOn w:val="Normlny"/>
    <w:link w:val="ZkladntextChar"/>
    <w:uiPriority w:val="99"/>
    <w:rsid w:val="00E30CBD"/>
    <w:rPr>
      <w:b/>
      <w:bCs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48A2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E30C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0AB7"/>
    <w:rPr>
      <w:rFonts w:cs="Times New Roman"/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E30CBD"/>
    <w:rPr>
      <w:rFonts w:cs="Times New Roman"/>
    </w:rPr>
  </w:style>
  <w:style w:type="paragraph" w:customStyle="1" w:styleId="CTRFootNote">
    <w:name w:val="CTR:FootNote"/>
    <w:basedOn w:val="Normlny"/>
    <w:uiPriority w:val="99"/>
    <w:rsid w:val="0043357E"/>
    <w:pPr>
      <w:spacing w:line="240" w:lineRule="atLeast"/>
      <w:ind w:left="432" w:hanging="432"/>
    </w:pPr>
    <w:rPr>
      <w:sz w:val="18"/>
      <w:szCs w:val="20"/>
      <w:lang w:val="en-US" w:eastAsia="en-US"/>
    </w:rPr>
  </w:style>
  <w:style w:type="paragraph" w:customStyle="1" w:styleId="CS-TextinTable10pt">
    <w:name w:val="CS-Text_in_Table:10pt"/>
    <w:basedOn w:val="Normlny"/>
    <w:uiPriority w:val="99"/>
    <w:rsid w:val="0043357E"/>
    <w:pPr>
      <w:keepNext/>
      <w:keepLines/>
      <w:tabs>
        <w:tab w:val="left" w:pos="144"/>
      </w:tabs>
      <w:spacing w:before="120" w:after="120"/>
    </w:pPr>
    <w:rPr>
      <w:sz w:val="20"/>
      <w:szCs w:val="20"/>
      <w:lang w:val="en-GB" w:eastAsia="de-DE"/>
    </w:rPr>
  </w:style>
  <w:style w:type="character" w:styleId="Zvraznenie">
    <w:name w:val="Emphasis"/>
    <w:basedOn w:val="Predvolenpsmoodseku"/>
    <w:uiPriority w:val="99"/>
    <w:qFormat/>
    <w:rsid w:val="001202CD"/>
    <w:rPr>
      <w:rFonts w:cs="Times New Roman"/>
      <w:b/>
    </w:rPr>
  </w:style>
  <w:style w:type="character" w:customStyle="1" w:styleId="st1">
    <w:name w:val="st1"/>
    <w:basedOn w:val="Predvolenpsmoodseku"/>
    <w:uiPriority w:val="99"/>
    <w:rsid w:val="001202C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0441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4419"/>
    <w:rPr>
      <w:rFonts w:ascii="Tahoma" w:hAnsi="Tahoma" w:cs="Times New Roman"/>
      <w:sz w:val="16"/>
      <w:lang w:val="cs-CZ" w:eastAsia="cs-CZ"/>
    </w:rPr>
  </w:style>
  <w:style w:type="paragraph" w:styleId="Normlnywebov">
    <w:name w:val="Normal (Web)"/>
    <w:basedOn w:val="Normlny"/>
    <w:uiPriority w:val="99"/>
    <w:rsid w:val="00E93406"/>
    <w:pPr>
      <w:spacing w:before="96" w:after="96"/>
    </w:pPr>
    <w:rPr>
      <w:lang w:val="en-US" w:eastAsia="en-US"/>
    </w:rPr>
  </w:style>
  <w:style w:type="paragraph" w:styleId="Revzia">
    <w:name w:val="Revision"/>
    <w:hidden/>
    <w:uiPriority w:val="99"/>
    <w:semiHidden/>
    <w:rsid w:val="00435AEE"/>
    <w:rPr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A0E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048A2"/>
    <w:rPr>
      <w:rFonts w:cs="Times New Roman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054EBF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1A24E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A24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A24EC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A24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A24E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CBD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4EBF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54EBF"/>
    <w:rPr>
      <w:rFonts w:cs="Times New Roman"/>
      <w:b/>
      <w:caps/>
      <w:sz w:val="26"/>
      <w:lang w:val="en-US" w:eastAsia="en-US"/>
    </w:rPr>
  </w:style>
  <w:style w:type="paragraph" w:styleId="Nzov">
    <w:name w:val="Title"/>
    <w:basedOn w:val="Normlny"/>
    <w:link w:val="NzovChar"/>
    <w:uiPriority w:val="99"/>
    <w:qFormat/>
    <w:rsid w:val="00E30CBD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5F2C9B"/>
    <w:rPr>
      <w:rFonts w:cs="Times New Roman"/>
      <w:b/>
      <w:sz w:val="24"/>
      <w:lang w:val="sk-SK" w:eastAsia="cs-CZ"/>
    </w:rPr>
  </w:style>
  <w:style w:type="paragraph" w:styleId="Zkladntext">
    <w:name w:val="Body Text"/>
    <w:basedOn w:val="Normlny"/>
    <w:link w:val="ZkladntextChar"/>
    <w:uiPriority w:val="99"/>
    <w:rsid w:val="00E30CBD"/>
    <w:rPr>
      <w:b/>
      <w:bCs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048A2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E30C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0AB7"/>
    <w:rPr>
      <w:rFonts w:cs="Times New Roman"/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E30CBD"/>
    <w:rPr>
      <w:rFonts w:cs="Times New Roman"/>
    </w:rPr>
  </w:style>
  <w:style w:type="paragraph" w:customStyle="1" w:styleId="CTRFootNote">
    <w:name w:val="CTR:FootNote"/>
    <w:basedOn w:val="Normlny"/>
    <w:uiPriority w:val="99"/>
    <w:rsid w:val="0043357E"/>
    <w:pPr>
      <w:spacing w:line="240" w:lineRule="atLeast"/>
      <w:ind w:left="432" w:hanging="432"/>
    </w:pPr>
    <w:rPr>
      <w:sz w:val="18"/>
      <w:szCs w:val="20"/>
      <w:lang w:val="en-US" w:eastAsia="en-US"/>
    </w:rPr>
  </w:style>
  <w:style w:type="paragraph" w:customStyle="1" w:styleId="CS-TextinTable10pt">
    <w:name w:val="CS-Text_in_Table:10pt"/>
    <w:basedOn w:val="Normlny"/>
    <w:uiPriority w:val="99"/>
    <w:rsid w:val="0043357E"/>
    <w:pPr>
      <w:keepNext/>
      <w:keepLines/>
      <w:tabs>
        <w:tab w:val="left" w:pos="144"/>
      </w:tabs>
      <w:spacing w:before="120" w:after="120"/>
    </w:pPr>
    <w:rPr>
      <w:sz w:val="20"/>
      <w:szCs w:val="20"/>
      <w:lang w:val="en-GB" w:eastAsia="de-DE"/>
    </w:rPr>
  </w:style>
  <w:style w:type="character" w:styleId="Zvraznenie">
    <w:name w:val="Emphasis"/>
    <w:basedOn w:val="Predvolenpsmoodseku"/>
    <w:uiPriority w:val="99"/>
    <w:qFormat/>
    <w:rsid w:val="001202CD"/>
    <w:rPr>
      <w:rFonts w:cs="Times New Roman"/>
      <w:b/>
    </w:rPr>
  </w:style>
  <w:style w:type="character" w:customStyle="1" w:styleId="st1">
    <w:name w:val="st1"/>
    <w:basedOn w:val="Predvolenpsmoodseku"/>
    <w:uiPriority w:val="99"/>
    <w:rsid w:val="001202C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0441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04419"/>
    <w:rPr>
      <w:rFonts w:ascii="Tahoma" w:hAnsi="Tahoma" w:cs="Times New Roman"/>
      <w:sz w:val="16"/>
      <w:lang w:val="cs-CZ" w:eastAsia="cs-CZ"/>
    </w:rPr>
  </w:style>
  <w:style w:type="paragraph" w:styleId="Normlnywebov">
    <w:name w:val="Normal (Web)"/>
    <w:basedOn w:val="Normlny"/>
    <w:uiPriority w:val="99"/>
    <w:rsid w:val="00E93406"/>
    <w:pPr>
      <w:spacing w:before="96" w:after="96"/>
    </w:pPr>
    <w:rPr>
      <w:lang w:val="en-US" w:eastAsia="en-US"/>
    </w:rPr>
  </w:style>
  <w:style w:type="paragraph" w:styleId="Revzia">
    <w:name w:val="Revision"/>
    <w:hidden/>
    <w:uiPriority w:val="99"/>
    <w:semiHidden/>
    <w:rsid w:val="00435AEE"/>
    <w:rPr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A0E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048A2"/>
    <w:rPr>
      <w:rFonts w:cs="Times New Roman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054EBF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1A24E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A24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A24EC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A24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A24E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ema.europa.eu/docs/en_GB/document_library/Template_or_form/2013/03/WC500139752.doc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4846</Words>
  <Characters>27624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32406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marosz</dc:creator>
  <cp:lastModifiedBy>EM</cp:lastModifiedBy>
  <cp:revision>4</cp:revision>
  <cp:lastPrinted>2011-07-20T12:46:00Z</cp:lastPrinted>
  <dcterms:created xsi:type="dcterms:W3CDTF">2019-06-19T13:10:00Z</dcterms:created>
  <dcterms:modified xsi:type="dcterms:W3CDTF">2019-06-26T10:22:00Z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