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2CE2F" w14:textId="77777777" w:rsidR="000B2B40" w:rsidRPr="000C254D" w:rsidRDefault="000B2B40" w:rsidP="00FC42C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SÚHRN CHARAKTERISTICKÝCH VLASTNOSTÍ LIEKU</w:t>
      </w:r>
    </w:p>
    <w:p w14:paraId="0EFC978D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B4EB1BA" w14:textId="77777777"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504D435" w14:textId="77777777" w:rsidR="000B2B40" w:rsidRPr="000C254D" w:rsidRDefault="000B2B40" w:rsidP="00FC42CA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NÁZOV LIEKU</w:t>
      </w:r>
    </w:p>
    <w:p w14:paraId="054DD278" w14:textId="77777777" w:rsidR="00FC42CA" w:rsidRPr="000C254D" w:rsidRDefault="00FC42CA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58FF793" w14:textId="77777777" w:rsidR="00547910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Fulvestrant </w:t>
      </w:r>
      <w:r w:rsidR="00547910" w:rsidRPr="000C254D">
        <w:rPr>
          <w:rFonts w:ascii="Times New Roman" w:hAnsi="Times New Roman"/>
          <w:lang w:val="sk-SK"/>
        </w:rPr>
        <w:t>STADA</w:t>
      </w:r>
      <w:r w:rsidRPr="000C254D">
        <w:rPr>
          <w:rFonts w:ascii="Times New Roman" w:hAnsi="Times New Roman"/>
          <w:lang w:val="sk-SK"/>
        </w:rPr>
        <w:t xml:space="preserve"> 250 mg</w:t>
      </w:r>
      <w:r w:rsidR="00130C69" w:rsidRPr="000C254D">
        <w:rPr>
          <w:rFonts w:ascii="Times New Roman" w:hAnsi="Times New Roman"/>
          <w:lang w:val="sk-SK"/>
        </w:rPr>
        <w:t xml:space="preserve"> </w:t>
      </w:r>
    </w:p>
    <w:p w14:paraId="4F197BCC" w14:textId="77777777"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injekčný roztok naplnený v injekčnej striekačke</w:t>
      </w:r>
    </w:p>
    <w:p w14:paraId="1FAF2032" w14:textId="77777777"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C72E4E6" w14:textId="77777777" w:rsidR="00FC42CA" w:rsidRPr="000C254D" w:rsidRDefault="00FC42CA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EC41102" w14:textId="77777777" w:rsidR="000B2B40" w:rsidRPr="000C254D" w:rsidRDefault="000B2B40" w:rsidP="00FC42CA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KVALITATÍVNE A KVANTITATÍVNE ZLOŽENIE</w:t>
      </w:r>
    </w:p>
    <w:p w14:paraId="42CD888A" w14:textId="77777777"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61FBF810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Jedna naplnená injekčná striekačka obsahuje 250 mg fulvestrantu v 5 ml roztoku.</w:t>
      </w:r>
    </w:p>
    <w:p w14:paraId="1A68672A" w14:textId="77777777" w:rsidR="00FC42CA" w:rsidRPr="000C254D" w:rsidRDefault="00FC42CA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Každý ml</w:t>
      </w:r>
      <w:r w:rsidR="00547910" w:rsidRPr="000C254D">
        <w:rPr>
          <w:rFonts w:ascii="Times New Roman" w:hAnsi="Times New Roman"/>
          <w:lang w:val="sk-SK"/>
        </w:rPr>
        <w:t xml:space="preserve"> injekčného</w:t>
      </w:r>
      <w:r w:rsidRPr="000C254D">
        <w:rPr>
          <w:rFonts w:ascii="Times New Roman" w:hAnsi="Times New Roman"/>
          <w:lang w:val="sk-SK"/>
        </w:rPr>
        <w:t xml:space="preserve"> roztoku obsahuje 50 mg fulvestrantu.</w:t>
      </w:r>
    </w:p>
    <w:p w14:paraId="324A7892" w14:textId="77777777"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E00495C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Pomocné látky so známym účinkom:</w:t>
      </w:r>
    </w:p>
    <w:p w14:paraId="1C0B43D6" w14:textId="77777777" w:rsidR="00547910" w:rsidRPr="000C254D" w:rsidRDefault="0054791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Každý ml roztoku obsahuje 100 mg etanolu (96%), 100 mg benzylalkoholu a 150 mg benzylbenzoátu.</w:t>
      </w:r>
    </w:p>
    <w:p w14:paraId="7736347E" w14:textId="77777777" w:rsidR="00FC42CA" w:rsidRPr="000C254D" w:rsidRDefault="00FC42CA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</w:p>
    <w:p w14:paraId="7588B81C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Úplný zoznam pomocných látok , pozri časť 6.1.</w:t>
      </w:r>
    </w:p>
    <w:p w14:paraId="190C1192" w14:textId="77777777"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F0ACA34" w14:textId="77777777" w:rsidR="008D5A94" w:rsidRPr="000C254D" w:rsidRDefault="008D5A9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BFC279F" w14:textId="77777777" w:rsidR="00472DF5" w:rsidRPr="000C254D" w:rsidRDefault="000B2B40" w:rsidP="00FC42CA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LIEKOVÁ FORMA</w:t>
      </w:r>
    </w:p>
    <w:p w14:paraId="7388ECFA" w14:textId="77777777" w:rsidR="008D5A94" w:rsidRPr="000C254D" w:rsidRDefault="008D5A9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6F83A70" w14:textId="77777777" w:rsidR="00472DF5" w:rsidRPr="000C254D" w:rsidRDefault="008D5A9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I</w:t>
      </w:r>
      <w:r w:rsidR="00472DF5" w:rsidRPr="000C254D">
        <w:rPr>
          <w:rFonts w:ascii="Times New Roman" w:hAnsi="Times New Roman"/>
          <w:lang w:val="sk-SK"/>
        </w:rPr>
        <w:t>njekčný roztok naplnený v injekčnej striekačke</w:t>
      </w:r>
    </w:p>
    <w:p w14:paraId="5BE6D23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Číry, bez</w:t>
      </w:r>
      <w:r w:rsidR="008D5A94" w:rsidRPr="000C254D">
        <w:rPr>
          <w:rFonts w:ascii="Times New Roman" w:hAnsi="Times New Roman"/>
          <w:lang w:val="sk-SK"/>
        </w:rPr>
        <w:t xml:space="preserve">farebný až žltý </w:t>
      </w:r>
      <w:r w:rsidR="00FD7416" w:rsidRPr="0004599A">
        <w:rPr>
          <w:rFonts w:ascii="Times New Roman" w:hAnsi="Times New Roman"/>
          <w:lang w:val="sk-SK"/>
        </w:rPr>
        <w:t>olejovitý</w:t>
      </w:r>
      <w:r w:rsidR="00FD7416" w:rsidRPr="000C254D">
        <w:rPr>
          <w:rFonts w:ascii="Times New Roman" w:hAnsi="Times New Roman"/>
          <w:lang w:val="sk-SK"/>
        </w:rPr>
        <w:t xml:space="preserve"> </w:t>
      </w:r>
      <w:r w:rsidR="008D5A94" w:rsidRPr="000C254D">
        <w:rPr>
          <w:rFonts w:ascii="Times New Roman" w:hAnsi="Times New Roman"/>
          <w:lang w:val="sk-SK"/>
        </w:rPr>
        <w:t>viskózny roztok v podstate bez viditeľných častíc.</w:t>
      </w:r>
    </w:p>
    <w:p w14:paraId="411ABD81" w14:textId="77777777"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9E4C293" w14:textId="77777777"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8094A89" w14:textId="77777777" w:rsidR="00472DF5" w:rsidRPr="000C254D" w:rsidRDefault="000B2B40" w:rsidP="00FC42CA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KLINICKÉ ÚDAJE</w:t>
      </w:r>
    </w:p>
    <w:p w14:paraId="377D2809" w14:textId="77777777" w:rsidR="008D5A94" w:rsidRPr="000C254D" w:rsidRDefault="008D5A94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14:paraId="5775B8EF" w14:textId="77777777"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4.1 </w:t>
      </w:r>
      <w:r w:rsidR="00B10CB1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Terapeutické indikácie</w:t>
      </w:r>
    </w:p>
    <w:p w14:paraId="5A449698" w14:textId="77777777"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14522308" w14:textId="77777777" w:rsidR="000B2B40" w:rsidRPr="000C254D" w:rsidRDefault="001A529C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Fulvestrant </w:t>
      </w:r>
      <w:r w:rsidR="00FD7416" w:rsidRPr="000C254D">
        <w:rPr>
          <w:rFonts w:ascii="Times New Roman" w:hAnsi="Times New Roman"/>
          <w:lang w:val="sk-SK"/>
        </w:rPr>
        <w:t>STADA</w:t>
      </w:r>
      <w:r w:rsidRPr="000C254D">
        <w:rPr>
          <w:rFonts w:ascii="Times New Roman" w:hAnsi="Times New Roman"/>
          <w:lang w:val="sk-SK"/>
        </w:rPr>
        <w:t xml:space="preserve"> je indikovaný:</w:t>
      </w:r>
    </w:p>
    <w:p w14:paraId="2E16AD45" w14:textId="77777777" w:rsidR="001A529C" w:rsidRPr="000C254D" w:rsidRDefault="001A529C" w:rsidP="001A529C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monoterapii na liečbu lokálne pokročilého alebo metastatického karcinómu prsníka s pozitivitou estrogénových receptorov u postmenopauzálnych žien:</w:t>
      </w:r>
    </w:p>
    <w:p w14:paraId="3701EEDB" w14:textId="77777777"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- bez predchádzajúcej endokrinnej liečby, alebo</w:t>
      </w:r>
    </w:p>
    <w:p w14:paraId="603529A3" w14:textId="77777777"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- s relapsom ochorenia počas alebo po adjuvantnej antiestrogénovej liečbe alebo pri progresii    </w:t>
      </w:r>
    </w:p>
    <w:p w14:paraId="728B497F" w14:textId="77777777"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  ochorenia počas antiestrogénovej liečby.</w:t>
      </w:r>
    </w:p>
    <w:p w14:paraId="648F93EE" w14:textId="77777777" w:rsidR="001A529C" w:rsidRPr="000C254D" w:rsidRDefault="001A529C" w:rsidP="001A529C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kombinácií s palbociklibom na liečbu lokálne pokročilého alebo metastatického karcinómu</w:t>
      </w:r>
    </w:p>
    <w:p w14:paraId="732B08F8" w14:textId="77777777"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prsníka s pozitivitou hormonálnych receptorov (HR) a negativitou receptora 2 pre ľudský</w:t>
      </w:r>
    </w:p>
    <w:p w14:paraId="5504076E" w14:textId="77777777"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epidermálny rastový faktor (HER2) u žien, ktoré predtým podstúpili endokrinnú liečbu (pozri</w:t>
      </w:r>
    </w:p>
    <w:p w14:paraId="169DF230" w14:textId="77777777"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časť 5.1).</w:t>
      </w:r>
    </w:p>
    <w:p w14:paraId="4460CC24" w14:textId="77777777"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50845D77" w14:textId="77777777"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U pre- alebo perimenopauzálnych žien sa má kombinovaná liečba palbociklibom kombinovať</w:t>
      </w:r>
    </w:p>
    <w:p w14:paraId="010276A6" w14:textId="77777777" w:rsidR="001A529C" w:rsidRPr="000C254D" w:rsidRDefault="001A529C" w:rsidP="001A529C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 agonistom hormónu uvoľňujúceho luteinizačný hormón (LHRH).</w:t>
      </w:r>
    </w:p>
    <w:p w14:paraId="568E7EAB" w14:textId="77777777"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39E4116" w14:textId="77777777"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4.2 </w:t>
      </w:r>
      <w:r w:rsidR="00B10CB1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Dávkovanie a spôsob podávania</w:t>
      </w:r>
    </w:p>
    <w:p w14:paraId="5933BB90" w14:textId="77777777"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30AF6399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Dávkovanie</w:t>
      </w:r>
    </w:p>
    <w:p w14:paraId="538CA7B8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b/>
          <w:i/>
          <w:lang w:val="sk-SK"/>
        </w:rPr>
      </w:pPr>
    </w:p>
    <w:p w14:paraId="560B0E17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Dospelé ženy (vrátane starších žien)</w:t>
      </w:r>
    </w:p>
    <w:p w14:paraId="012876CE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Odporúčaná dávka je 500 mg v jednomesačných intervaloch s ďalšou 500 mg dávkou podanou dva</w:t>
      </w:r>
    </w:p>
    <w:p w14:paraId="08626646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týždne po začiatočnej dávke.</w:t>
      </w:r>
    </w:p>
    <w:p w14:paraId="41FA5011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ADE69D7" w14:textId="77777777"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lastRenderedPageBreak/>
        <w:t xml:space="preserve">Pri použití </w:t>
      </w:r>
      <w:r w:rsidRPr="000C254D">
        <w:rPr>
          <w:rFonts w:ascii="Times New Roman" w:hAnsi="Times New Roman"/>
          <w:lang w:val="sk-SK"/>
        </w:rPr>
        <w:t xml:space="preserve">Fulvestrantu </w:t>
      </w:r>
      <w:r w:rsidR="00FD7416" w:rsidRPr="000C254D">
        <w:rPr>
          <w:rFonts w:ascii="Times New Roman" w:hAnsi="Times New Roman"/>
          <w:lang w:val="sk-SK"/>
        </w:rPr>
        <w:t>STADA</w:t>
      </w:r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v kombinácií s palbociklibom pozri tiež súhrn charakteristických vlastností</w:t>
      </w:r>
      <w:r w:rsidR="00D31DB6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palbociklibu.</w:t>
      </w:r>
    </w:p>
    <w:p w14:paraId="018F2E2F" w14:textId="77777777" w:rsidR="00D31DB6" w:rsidRPr="000C254D" w:rsidRDefault="00D31DB6" w:rsidP="001A529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6CEB62B7" w14:textId="77777777" w:rsidR="001A529C" w:rsidRPr="000C254D" w:rsidRDefault="001A529C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Pred začatím liečby kombináciou </w:t>
      </w:r>
      <w:r w:rsidR="002169C2" w:rsidRPr="000C254D">
        <w:rPr>
          <w:rFonts w:ascii="Times New Roman" w:hAnsi="Times New Roman"/>
          <w:lang w:val="sk-SK"/>
        </w:rPr>
        <w:t>f</w:t>
      </w:r>
      <w:r w:rsidR="00D31DB6" w:rsidRPr="000C254D">
        <w:rPr>
          <w:rFonts w:ascii="Times New Roman" w:hAnsi="Times New Roman"/>
          <w:lang w:val="sk-SK"/>
        </w:rPr>
        <w:t xml:space="preserve">ulvestrant </w:t>
      </w:r>
      <w:r w:rsidRPr="000C254D">
        <w:rPr>
          <w:rFonts w:ascii="Times New Roman" w:eastAsia="TimesNewRoman" w:hAnsi="Times New Roman"/>
          <w:lang w:val="sk-SK"/>
        </w:rPr>
        <w:t>plus palbociklib a počas jej trvania musia byť</w:t>
      </w:r>
      <w:r w:rsidR="00D31DB6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pre/perimenopauzálne ženy liečené agonistom LHRH podľa lokálnej klinickej praxe.</w:t>
      </w:r>
    </w:p>
    <w:p w14:paraId="1D36F5AD" w14:textId="77777777" w:rsidR="001A529C" w:rsidRPr="000C254D" w:rsidRDefault="001A529C" w:rsidP="001A529C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07BC224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Osobitné populácie</w:t>
      </w:r>
    </w:p>
    <w:p w14:paraId="06D3C62F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Porucha funkcie obličiek</w:t>
      </w:r>
    </w:p>
    <w:p w14:paraId="0566AA28" w14:textId="496AFDCB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 paciento</w:t>
      </w:r>
      <w:r w:rsidR="0030694A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 xml:space="preserve"> s ľahkou až stredne ťažkou poruchou funkcie obličiek</w:t>
      </w:r>
      <w:r w:rsidR="006D6FCB" w:rsidRPr="000C254D">
        <w:rPr>
          <w:rFonts w:ascii="Times New Roman" w:hAnsi="Times New Roman"/>
          <w:lang w:val="sk-SK"/>
        </w:rPr>
        <w:t xml:space="preserve"> </w:t>
      </w:r>
      <w:r w:rsidR="00B96283" w:rsidRPr="000C254D">
        <w:rPr>
          <w:rFonts w:ascii="Times New Roman" w:hAnsi="Times New Roman"/>
          <w:lang w:val="sk-SK"/>
        </w:rPr>
        <w:t>(klírens kreatinínu ≥ 30 ml/min)</w:t>
      </w:r>
      <w:r w:rsidRPr="000C254D">
        <w:rPr>
          <w:rFonts w:ascii="Times New Roman" w:hAnsi="Times New Roman"/>
          <w:lang w:val="sk-SK"/>
        </w:rPr>
        <w:t xml:space="preserve"> sa neodporúča žiadna úprava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dávky. U </w:t>
      </w:r>
      <w:r w:rsidR="0030694A" w:rsidRPr="000C254D">
        <w:rPr>
          <w:rFonts w:ascii="Times New Roman" w:hAnsi="Times New Roman"/>
          <w:lang w:val="sk-SK"/>
        </w:rPr>
        <w:t>paciento</w:t>
      </w:r>
      <w:r w:rsidR="0030694A">
        <w:rPr>
          <w:rFonts w:ascii="Times New Roman" w:hAnsi="Times New Roman"/>
          <w:lang w:val="sk-SK"/>
        </w:rPr>
        <w:t>k</w:t>
      </w:r>
      <w:r w:rsidR="0030694A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s ťažkou poruchou funkcie obličiek</w:t>
      </w:r>
      <w:r w:rsidR="00AB6E71" w:rsidRPr="000C254D">
        <w:rPr>
          <w:rFonts w:ascii="Times New Roman" w:hAnsi="Times New Roman"/>
          <w:lang w:val="sk-SK"/>
        </w:rPr>
        <w:t xml:space="preserve"> (klírens kreatinínu &lt; 30 ml/min)</w:t>
      </w:r>
      <w:r w:rsidRPr="000C254D">
        <w:rPr>
          <w:rFonts w:ascii="Times New Roman" w:hAnsi="Times New Roman"/>
          <w:lang w:val="sk-SK"/>
        </w:rPr>
        <w:t xml:space="preserve"> bezpečnosť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a účinnosť nebola hodnotená, u týchto </w:t>
      </w:r>
      <w:r w:rsidR="0030694A" w:rsidRPr="000C254D">
        <w:rPr>
          <w:rFonts w:ascii="Times New Roman" w:hAnsi="Times New Roman"/>
          <w:lang w:val="sk-SK"/>
        </w:rPr>
        <w:t>paciento</w:t>
      </w:r>
      <w:r w:rsidR="0030694A">
        <w:rPr>
          <w:rFonts w:ascii="Times New Roman" w:hAnsi="Times New Roman"/>
          <w:lang w:val="sk-SK"/>
        </w:rPr>
        <w:t>k</w:t>
      </w:r>
      <w:r w:rsidR="0030694A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je preto potrebná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zvýšená opatrnosť</w:t>
      </w:r>
      <w:r w:rsidR="004D267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(pozri časť 4.4).</w:t>
      </w:r>
    </w:p>
    <w:p w14:paraId="4E9A7308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63BE415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Porucha funkcie pečene</w:t>
      </w:r>
    </w:p>
    <w:p w14:paraId="12A9BBDE" w14:textId="2897374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 paciento</w:t>
      </w:r>
      <w:r w:rsidR="00D2677B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 xml:space="preserve"> s ľahkou až stredne ťažkou poruchou funkcie pečene nie je potrebná úprava dávky.</w:t>
      </w:r>
    </w:p>
    <w:p w14:paraId="1498FD02" w14:textId="79BED9F6" w:rsidR="000B2B40" w:rsidRPr="000C254D" w:rsidRDefault="00D31DB6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Keďže však</w:t>
      </w:r>
      <w:r w:rsidR="000B2B40" w:rsidRPr="000C254D">
        <w:rPr>
          <w:rFonts w:ascii="Times New Roman" w:hAnsi="Times New Roman"/>
          <w:lang w:val="sk-SK"/>
        </w:rPr>
        <w:t xml:space="preserve"> expozícia fulvestrantu môže byť zvýšená, </w:t>
      </w:r>
      <w:r w:rsidR="00B10CB1" w:rsidRPr="000C254D">
        <w:rPr>
          <w:rFonts w:ascii="Times New Roman" w:hAnsi="Times New Roman"/>
          <w:lang w:val="sk-SK"/>
        </w:rPr>
        <w:t>Fulvestrant</w:t>
      </w:r>
      <w:r w:rsidR="000B2B40"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="00AB6E71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sa má u týchto paciento</w:t>
      </w:r>
      <w:r w:rsidR="00D2677B">
        <w:rPr>
          <w:rFonts w:ascii="Times New Roman" w:hAnsi="Times New Roman"/>
          <w:lang w:val="sk-SK"/>
        </w:rPr>
        <w:t>k</w:t>
      </w:r>
      <w:r w:rsidR="000B2B40" w:rsidRPr="000C254D">
        <w:rPr>
          <w:rFonts w:ascii="Times New Roman" w:hAnsi="Times New Roman"/>
          <w:lang w:val="sk-SK"/>
        </w:rPr>
        <w:t xml:space="preserve"> podávať</w:t>
      </w:r>
      <w:r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s opatrnosťou. Nie sú údaje u paciento</w:t>
      </w:r>
      <w:r w:rsidR="00D2677B">
        <w:rPr>
          <w:rFonts w:ascii="Times New Roman" w:hAnsi="Times New Roman"/>
          <w:lang w:val="sk-SK"/>
        </w:rPr>
        <w:t>k</w:t>
      </w:r>
      <w:r w:rsidR="000B2B40" w:rsidRPr="000C254D">
        <w:rPr>
          <w:rFonts w:ascii="Times New Roman" w:hAnsi="Times New Roman"/>
          <w:lang w:val="sk-SK"/>
        </w:rPr>
        <w:t xml:space="preserve"> s ťažkou poruchou funkcie pečene (pozri časti 4.3, 4.4 a 5.2).</w:t>
      </w:r>
    </w:p>
    <w:p w14:paraId="4C2EE289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DB56D13" w14:textId="77777777" w:rsidR="000B2B40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i/>
          <w:lang w:val="sk-SK"/>
        </w:rPr>
      </w:pPr>
      <w:r w:rsidRPr="000C254D">
        <w:rPr>
          <w:rFonts w:ascii="Times New Roman" w:hAnsi="Times New Roman"/>
          <w:i/>
          <w:lang w:val="sk-SK"/>
        </w:rPr>
        <w:t>Pediatrická populácia</w:t>
      </w:r>
    </w:p>
    <w:p w14:paraId="74263A6E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Bezpečnosť a účinnosť </w:t>
      </w:r>
      <w:r w:rsidR="002169C2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u</w:t>
      </w:r>
      <w:r w:rsidR="00AB6E71" w:rsidRPr="000C254D">
        <w:rPr>
          <w:rFonts w:ascii="Times New Roman" w:hAnsi="Times New Roman"/>
          <w:lang w:val="sk-SK"/>
        </w:rPr>
        <w:t xml:space="preserve"> </w:t>
      </w:r>
      <w:r w:rsidR="002169C2" w:rsidRPr="000C254D">
        <w:rPr>
          <w:rFonts w:ascii="Times New Roman" w:hAnsi="Times New Roman"/>
          <w:lang w:val="sk-SK"/>
        </w:rPr>
        <w:t xml:space="preserve">STADA </w:t>
      </w:r>
      <w:r w:rsidRPr="000C254D">
        <w:rPr>
          <w:rFonts w:ascii="Times New Roman" w:hAnsi="Times New Roman"/>
          <w:lang w:val="sk-SK"/>
        </w:rPr>
        <w:t>u detí</w:t>
      </w:r>
      <w:r w:rsidR="004D2674" w:rsidRPr="000C254D">
        <w:rPr>
          <w:rFonts w:ascii="Times New Roman" w:hAnsi="Times New Roman"/>
          <w:lang w:val="sk-SK"/>
        </w:rPr>
        <w:t xml:space="preserve"> </w:t>
      </w:r>
      <w:r w:rsidR="00D31DB6" w:rsidRPr="000C254D">
        <w:rPr>
          <w:rFonts w:ascii="Times New Roman" w:hAnsi="Times New Roman"/>
          <w:lang w:val="sk-SK"/>
        </w:rPr>
        <w:t>od narodenia d</w:t>
      </w:r>
      <w:r w:rsidRPr="000C254D">
        <w:rPr>
          <w:rFonts w:ascii="Times New Roman" w:hAnsi="Times New Roman"/>
          <w:lang w:val="sk-SK"/>
        </w:rPr>
        <w:t>o veku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18 rokov nebola preukázaná. V </w:t>
      </w:r>
      <w:r w:rsidR="00D31DB6" w:rsidRPr="000C254D">
        <w:rPr>
          <w:rFonts w:ascii="Times New Roman" w:hAnsi="Times New Roman"/>
          <w:lang w:val="sk-SK"/>
        </w:rPr>
        <w:t>s</w:t>
      </w:r>
      <w:r w:rsidRPr="000C254D">
        <w:rPr>
          <w:rFonts w:ascii="Times New Roman" w:hAnsi="Times New Roman"/>
          <w:lang w:val="sk-SK"/>
        </w:rPr>
        <w:t>účasnosti sú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dostupné údaje opísané v častiach 5.1 a 5.2, ale nemôže sa </w:t>
      </w:r>
      <w:r w:rsidR="00D31DB6" w:rsidRPr="000C254D">
        <w:rPr>
          <w:rFonts w:ascii="Times New Roman" w:hAnsi="Times New Roman"/>
          <w:lang w:val="sk-SK"/>
        </w:rPr>
        <w:t>vydať</w:t>
      </w:r>
      <w:r w:rsidRPr="000C254D">
        <w:rPr>
          <w:rFonts w:ascii="Times New Roman" w:hAnsi="Times New Roman"/>
          <w:lang w:val="sk-SK"/>
        </w:rPr>
        <w:t xml:space="preserve"> žiadne odporúčanie </w:t>
      </w:r>
      <w:r w:rsidR="00D31DB6" w:rsidRPr="000C254D">
        <w:rPr>
          <w:rFonts w:ascii="Times New Roman" w:hAnsi="Times New Roman"/>
          <w:lang w:val="sk-SK"/>
        </w:rPr>
        <w:t>na</w:t>
      </w:r>
      <w:r w:rsidRPr="000C254D">
        <w:rPr>
          <w:rFonts w:ascii="Times New Roman" w:hAnsi="Times New Roman"/>
          <w:lang w:val="sk-SK"/>
        </w:rPr>
        <w:t xml:space="preserve"> dávkovanie.</w:t>
      </w:r>
    </w:p>
    <w:p w14:paraId="799C8791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509BE64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Spôsob podávania</w:t>
      </w:r>
    </w:p>
    <w:p w14:paraId="61D9A76A" w14:textId="77777777" w:rsidR="00D31DB6" w:rsidRPr="000C254D" w:rsidRDefault="00B10CB1" w:rsidP="00D31DB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</w:t>
      </w:r>
      <w:r w:rsidR="000B2B40"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="00AB6E71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sa má podávať formou dvoch následných 5 ml injekcií pomalou vnútrosvalovou injekciou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(1-2 minúty/injekc</w:t>
      </w:r>
      <w:r w:rsidR="00D31DB6" w:rsidRPr="000C254D">
        <w:rPr>
          <w:rFonts w:ascii="Times New Roman" w:hAnsi="Times New Roman"/>
          <w:lang w:val="sk-SK"/>
        </w:rPr>
        <w:t>ia) do každého sedacieho svalu</w:t>
      </w:r>
      <w:r w:rsidR="00D31DB6" w:rsidRPr="000C254D">
        <w:rPr>
          <w:rFonts w:ascii="Times New Roman" w:eastAsia="TimesNewRoman" w:hAnsi="Times New Roman"/>
          <w:lang w:val="sk-SK"/>
        </w:rPr>
        <w:t xml:space="preserve"> (gluteálna oblasť).</w:t>
      </w:r>
    </w:p>
    <w:p w14:paraId="75F88A56" w14:textId="77777777" w:rsidR="002169C2" w:rsidRPr="000C254D" w:rsidRDefault="002169C2" w:rsidP="00D31DB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ADFF69B" w14:textId="77777777"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Opatrnosť je potrebná pri injekčnom podávaní </w:t>
      </w:r>
      <w:r w:rsidRPr="000C254D">
        <w:rPr>
          <w:rFonts w:ascii="Times New Roman" w:hAnsi="Times New Roman"/>
          <w:lang w:val="sk-SK"/>
        </w:rPr>
        <w:t xml:space="preserve">Fulvestrantu </w:t>
      </w:r>
      <w:r w:rsidR="00FD7416" w:rsidRPr="000C254D">
        <w:rPr>
          <w:rFonts w:ascii="Times New Roman" w:hAnsi="Times New Roman"/>
          <w:lang w:val="sk-SK"/>
        </w:rPr>
        <w:t>STADA</w:t>
      </w:r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do dorzogluteálnej oblasti z dôvodu blízkosti sedacieho nervu.</w:t>
      </w:r>
    </w:p>
    <w:p w14:paraId="5D0491C4" w14:textId="77777777"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1358F6E7" w14:textId="77777777" w:rsidR="004D2674" w:rsidRPr="000C254D" w:rsidRDefault="00D31DB6" w:rsidP="00D31D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Podrobné pokyny na podávanie, pozri časť 6.6.</w:t>
      </w:r>
    </w:p>
    <w:p w14:paraId="5704C892" w14:textId="77777777" w:rsidR="00C464FE" w:rsidRPr="000C254D" w:rsidRDefault="00C464FE" w:rsidP="00FC42CA">
      <w:pPr>
        <w:spacing w:after="0" w:line="240" w:lineRule="auto"/>
        <w:contextualSpacing/>
        <w:rPr>
          <w:rFonts w:ascii="Times New Roman" w:hAnsi="Times New Roman"/>
          <w:b/>
          <w:lang w:val="sk-SK"/>
        </w:rPr>
      </w:pPr>
    </w:p>
    <w:p w14:paraId="6D8F5BE8" w14:textId="77777777" w:rsidR="000B2B40" w:rsidRPr="000C254D" w:rsidRDefault="000B2B40" w:rsidP="00FC42CA">
      <w:pPr>
        <w:pStyle w:val="Odsekzoznamu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Kontraindikácie</w:t>
      </w:r>
    </w:p>
    <w:p w14:paraId="2FC5CF70" w14:textId="77777777" w:rsidR="00D31DB6" w:rsidRPr="000C254D" w:rsidRDefault="00D31DB6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2B3D4C7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Precitlivenosť na liečivo alebo na ktorúkoľvek </w:t>
      </w:r>
      <w:r w:rsidR="00AB7935" w:rsidRPr="000C254D">
        <w:rPr>
          <w:rFonts w:ascii="Times New Roman" w:hAnsi="Times New Roman"/>
          <w:lang w:val="sk-SK"/>
        </w:rPr>
        <w:t xml:space="preserve">z </w:t>
      </w:r>
      <w:r w:rsidRPr="000C254D">
        <w:rPr>
          <w:rFonts w:ascii="Times New Roman" w:hAnsi="Times New Roman"/>
          <w:lang w:val="sk-SK"/>
        </w:rPr>
        <w:t>pomocn</w:t>
      </w:r>
      <w:r w:rsidR="00AB7935" w:rsidRPr="000C254D">
        <w:rPr>
          <w:rFonts w:ascii="Times New Roman" w:hAnsi="Times New Roman"/>
          <w:lang w:val="sk-SK"/>
        </w:rPr>
        <w:t>ých</w:t>
      </w:r>
      <w:r w:rsidRPr="000C254D">
        <w:rPr>
          <w:rFonts w:ascii="Times New Roman" w:hAnsi="Times New Roman"/>
          <w:lang w:val="sk-SK"/>
        </w:rPr>
        <w:t xml:space="preserve"> lát</w:t>
      </w:r>
      <w:r w:rsidR="00AB7935" w:rsidRPr="000C254D">
        <w:rPr>
          <w:rFonts w:ascii="Times New Roman" w:hAnsi="Times New Roman"/>
          <w:lang w:val="sk-SK"/>
        </w:rPr>
        <w:t>ok</w:t>
      </w:r>
      <w:r w:rsidRPr="000C254D">
        <w:rPr>
          <w:rFonts w:ascii="Times New Roman" w:hAnsi="Times New Roman"/>
          <w:lang w:val="sk-SK"/>
        </w:rPr>
        <w:t xml:space="preserve"> uveden</w:t>
      </w:r>
      <w:r w:rsidR="00AB7935" w:rsidRPr="000C254D">
        <w:rPr>
          <w:rFonts w:ascii="Times New Roman" w:hAnsi="Times New Roman"/>
          <w:lang w:val="sk-SK"/>
        </w:rPr>
        <w:t>ých</w:t>
      </w:r>
      <w:r w:rsidRPr="000C254D">
        <w:rPr>
          <w:rFonts w:ascii="Times New Roman" w:hAnsi="Times New Roman"/>
          <w:lang w:val="sk-SK"/>
        </w:rPr>
        <w:t xml:space="preserve"> v časti 6.1.</w:t>
      </w:r>
    </w:p>
    <w:p w14:paraId="57F6AF0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Gravidita a laktácia (pozri časť 4.6).</w:t>
      </w:r>
    </w:p>
    <w:p w14:paraId="2DA4BBF7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Ťažká porucha funkcie pečene (pozri časť 4.4 a 5.2).</w:t>
      </w:r>
    </w:p>
    <w:p w14:paraId="23CBBD36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A268939" w14:textId="77777777" w:rsidR="000B2B40" w:rsidRPr="000C254D" w:rsidRDefault="000B2B40" w:rsidP="00FC42CA">
      <w:pPr>
        <w:pStyle w:val="Odsekzoznamu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Osobitné upozornenia a opatrenia pri používaní</w:t>
      </w:r>
    </w:p>
    <w:p w14:paraId="136B29EC" w14:textId="77777777" w:rsidR="00D31DB6" w:rsidRPr="000C254D" w:rsidRDefault="00D31DB6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13410E3" w14:textId="29BCAC0D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 paciento</w:t>
      </w:r>
      <w:r w:rsidR="00D2677B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 xml:space="preserve"> s ľahkou až stredne ťažkou poruchou funkcie pečene sa má </w:t>
      </w:r>
      <w:r w:rsidR="002169C2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 xml:space="preserve"> podávať so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zvýšenou opatrnosťou (pozri časti 4.2, 4.3 a 5.2).</w:t>
      </w:r>
    </w:p>
    <w:p w14:paraId="15789940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E9BFC59" w14:textId="462147F6" w:rsidR="000B2B40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</w:t>
      </w:r>
      <w:r w:rsidR="000B2B40" w:rsidRPr="000C254D">
        <w:rPr>
          <w:rFonts w:ascii="Times New Roman" w:hAnsi="Times New Roman"/>
          <w:lang w:val="sk-SK"/>
        </w:rPr>
        <w:t xml:space="preserve"> sa má podávať so zvýšenou opatrnosťou u paciento</w:t>
      </w:r>
      <w:r w:rsidR="00D2677B">
        <w:rPr>
          <w:rFonts w:ascii="Times New Roman" w:hAnsi="Times New Roman"/>
          <w:lang w:val="sk-SK"/>
        </w:rPr>
        <w:t>k</w:t>
      </w:r>
      <w:r w:rsidR="000B2B40" w:rsidRPr="000C254D">
        <w:rPr>
          <w:rFonts w:ascii="Times New Roman" w:hAnsi="Times New Roman"/>
          <w:lang w:val="sk-SK"/>
        </w:rPr>
        <w:t xml:space="preserve"> s ťažkou poruchou funkcie obličiek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(klírens kreatinínu menej ako 30 ml/min).</w:t>
      </w:r>
    </w:p>
    <w:p w14:paraId="512CC2D7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D3B8A26" w14:textId="79C586CF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Vzhľadom na intramuskulárny spôsob podania sa má </w:t>
      </w:r>
      <w:r w:rsidR="002169C2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 xml:space="preserve"> používať opatrne u</w:t>
      </w:r>
      <w:r w:rsidR="00D31DB6" w:rsidRPr="000C254D">
        <w:rPr>
          <w:rFonts w:ascii="Times New Roman" w:hAnsi="Times New Roman"/>
          <w:lang w:val="sk-SK"/>
        </w:rPr>
        <w:t> </w:t>
      </w:r>
      <w:r w:rsidRPr="000C254D">
        <w:rPr>
          <w:rFonts w:ascii="Times New Roman" w:hAnsi="Times New Roman"/>
          <w:lang w:val="sk-SK"/>
        </w:rPr>
        <w:t>paciento</w:t>
      </w:r>
      <w:r w:rsidR="00D2677B">
        <w:rPr>
          <w:rFonts w:ascii="Times New Roman" w:hAnsi="Times New Roman"/>
          <w:lang w:val="sk-SK"/>
        </w:rPr>
        <w:t>k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s hemoragickou diatézou, trombocytopéniou alebo u paciento</w:t>
      </w:r>
      <w:r w:rsidR="00D2677B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 xml:space="preserve"> liečených antikoagulanciami.</w:t>
      </w:r>
    </w:p>
    <w:p w14:paraId="302F97B1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CDB2A8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 žien s pokročilou rakovinou prsníka sa často vyskytli tromboembolické príhody, ktoré boli</w:t>
      </w:r>
    </w:p>
    <w:p w14:paraId="6EFA8275" w14:textId="29D1A4CB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pozorované v klinických štúdiách s </w:t>
      </w:r>
      <w:r w:rsidR="00D31DB6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</w:t>
      </w:r>
      <w:r w:rsidR="00AB6E71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(pozri časť 4.8). Pri predpisovaní </w:t>
      </w:r>
      <w:r w:rsidR="002169C2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u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rizikovým pacient</w:t>
      </w:r>
      <w:r w:rsidR="00D2677B">
        <w:rPr>
          <w:rFonts w:ascii="Times New Roman" w:hAnsi="Times New Roman"/>
          <w:lang w:val="sk-SK"/>
        </w:rPr>
        <w:t>kám</w:t>
      </w:r>
      <w:r w:rsidRPr="000C254D">
        <w:rPr>
          <w:rFonts w:ascii="Times New Roman" w:hAnsi="Times New Roman"/>
          <w:lang w:val="sk-SK"/>
        </w:rPr>
        <w:t xml:space="preserve"> sa má na to brať ohľad.</w:t>
      </w:r>
    </w:p>
    <w:p w14:paraId="1B6BBC6A" w14:textId="77777777" w:rsidR="00D31DB6" w:rsidRPr="000C254D" w:rsidRDefault="00D31DB6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F27F65E" w14:textId="77777777"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V súvislosti s injekciou </w:t>
      </w:r>
      <w:r w:rsidR="00286944" w:rsidRPr="000C254D">
        <w:rPr>
          <w:rFonts w:ascii="Times New Roman" w:eastAsia="TimesNewRoman" w:hAnsi="Times New Roman"/>
          <w:lang w:val="sk-SK"/>
        </w:rPr>
        <w:t>fulvestrantu</w:t>
      </w:r>
      <w:r w:rsidRPr="000C254D">
        <w:rPr>
          <w:rFonts w:ascii="Times New Roman" w:eastAsia="TimesNewRoman" w:hAnsi="Times New Roman"/>
          <w:lang w:val="sk-SK"/>
        </w:rPr>
        <w:t xml:space="preserve"> sa zaznamenali udalosti súvisiace s miestom podania injekcie ako je</w:t>
      </w:r>
    </w:p>
    <w:p w14:paraId="0B232F0C" w14:textId="77777777"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ischias, neuralgia, neuropatická bolesť a periférna neuropatia. Opatrnosť je potrebná pri injekčnom</w:t>
      </w:r>
    </w:p>
    <w:p w14:paraId="5FD089FE" w14:textId="77777777"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podávaní </w:t>
      </w:r>
      <w:r w:rsidR="00565ACB" w:rsidRPr="000C254D">
        <w:rPr>
          <w:rFonts w:ascii="Times New Roman" w:hAnsi="Times New Roman"/>
          <w:lang w:val="sk-SK"/>
        </w:rPr>
        <w:t>f</w:t>
      </w:r>
      <w:r w:rsidR="00286944" w:rsidRPr="000C254D">
        <w:rPr>
          <w:rFonts w:ascii="Times New Roman" w:hAnsi="Times New Roman"/>
          <w:lang w:val="sk-SK"/>
        </w:rPr>
        <w:t xml:space="preserve">ulvestrantu </w:t>
      </w:r>
      <w:r w:rsidRPr="000C254D">
        <w:rPr>
          <w:rFonts w:ascii="Times New Roman" w:eastAsia="TimesNewRoman" w:hAnsi="Times New Roman"/>
          <w:lang w:val="sk-SK"/>
        </w:rPr>
        <w:t>do dorzogluteálnej oblasti z dôvodu blízkosti sedacieho nervu (pozri časti 4.2</w:t>
      </w:r>
      <w:r w:rsidR="0028694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a 4.8).</w:t>
      </w:r>
    </w:p>
    <w:p w14:paraId="5E4ABCAC" w14:textId="77777777" w:rsidR="00286944" w:rsidRPr="000C254D" w:rsidRDefault="00286944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743505CC" w14:textId="77777777"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Zatiaľ nie sú k dispozícii dlhodobé údaje o pôsobení fulvestrantu na kosti. Vzhľadom na mechanizmus</w:t>
      </w:r>
    </w:p>
    <w:p w14:paraId="312C51DB" w14:textId="77777777"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účinku fulvestrantu existuje potenciálne riziko vzniku osteoporózy.</w:t>
      </w:r>
    </w:p>
    <w:p w14:paraId="0C4D0405" w14:textId="77777777" w:rsidR="00286944" w:rsidRPr="000C254D" w:rsidRDefault="00286944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019FF5E8" w14:textId="77777777"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Účinnosť a bezpečnosť </w:t>
      </w:r>
      <w:r w:rsidR="00286944" w:rsidRPr="000C254D">
        <w:rPr>
          <w:rFonts w:ascii="Times New Roman" w:eastAsia="TimesNewRoman" w:hAnsi="Times New Roman"/>
          <w:lang w:val="sk-SK"/>
        </w:rPr>
        <w:t>fulvestrantu</w:t>
      </w:r>
      <w:r w:rsidRPr="000C254D">
        <w:rPr>
          <w:rFonts w:ascii="Times New Roman" w:eastAsia="TimesNewRoman" w:hAnsi="Times New Roman"/>
          <w:lang w:val="sk-SK"/>
        </w:rPr>
        <w:t xml:space="preserve"> (buď v monoterapii alebo v kombinácii s palbociklibom) sa</w:t>
      </w:r>
    </w:p>
    <w:p w14:paraId="70A980B2" w14:textId="77777777"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u pacientok s kritickým viscerálnym ochorením neskúmala.</w:t>
      </w:r>
    </w:p>
    <w:p w14:paraId="31BB2E71" w14:textId="77777777" w:rsidR="00286944" w:rsidRPr="000C254D" w:rsidRDefault="00286944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74F17B24" w14:textId="77777777" w:rsidR="00D31DB6" w:rsidRPr="000C254D" w:rsidRDefault="00D31DB6" w:rsidP="002869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Pri použití </w:t>
      </w:r>
      <w:r w:rsidR="00286944" w:rsidRPr="000C254D">
        <w:rPr>
          <w:rFonts w:ascii="Times New Roman" w:hAnsi="Times New Roman"/>
          <w:lang w:val="sk-SK"/>
        </w:rPr>
        <w:t xml:space="preserve">Fulvestrantu </w:t>
      </w:r>
      <w:r w:rsidR="00FD7416" w:rsidRPr="000C254D">
        <w:rPr>
          <w:rFonts w:ascii="Times New Roman" w:hAnsi="Times New Roman"/>
          <w:lang w:val="sk-SK"/>
        </w:rPr>
        <w:t>STADA</w:t>
      </w:r>
      <w:r w:rsidR="0028694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v kombinácií s palbociklibom pozri tiež súhrn charakteristických vlastností</w:t>
      </w:r>
      <w:r w:rsidR="0028694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palbociklibu.</w:t>
      </w:r>
    </w:p>
    <w:p w14:paraId="6F0E08F7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87AD35C" w14:textId="77777777" w:rsidR="00286944" w:rsidRPr="000C254D" w:rsidRDefault="00286944" w:rsidP="002869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Interferencia s hodnotením protilátok proti estradiolu</w:t>
      </w:r>
    </w:p>
    <w:p w14:paraId="6B0B2BFD" w14:textId="77777777" w:rsidR="00286944" w:rsidRPr="000C254D" w:rsidRDefault="00286944" w:rsidP="0028694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Vzhľadom na štrukturálnu podobnosť fulvestrantu a estradiolu, môže fulvestrant interferovať</w:t>
      </w:r>
    </w:p>
    <w:p w14:paraId="26A37243" w14:textId="77777777" w:rsidR="00286944" w:rsidRPr="000C254D" w:rsidRDefault="00286944" w:rsidP="0028694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 hodnotením protilátok proti estradiolu a môže mať za následok falošne zvýšené hladiny estradiolu.</w:t>
      </w:r>
    </w:p>
    <w:p w14:paraId="676336CD" w14:textId="77777777" w:rsidR="00286944" w:rsidRPr="000C254D" w:rsidRDefault="00286944" w:rsidP="0028694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643A34BB" w14:textId="77777777" w:rsidR="000B2B40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Pediatrická populácia</w:t>
      </w:r>
    </w:p>
    <w:p w14:paraId="2805D71B" w14:textId="77777777" w:rsidR="00565ACB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</w:t>
      </w:r>
      <w:r w:rsidR="000B2B40"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="00AB6E71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sa neodporúča používať u detí a mladistvých, pretože bezpečnosť a účinnosť u tejto skupiny</w:t>
      </w:r>
      <w:r w:rsidR="00E86410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pacientov nebola stanovená (pozri časť 5.1).</w:t>
      </w:r>
      <w:r w:rsidR="00E86410" w:rsidRPr="000C254D">
        <w:rPr>
          <w:rFonts w:ascii="Times New Roman" w:hAnsi="Times New Roman"/>
          <w:lang w:val="sk-SK"/>
        </w:rPr>
        <w:t xml:space="preserve"> </w:t>
      </w:r>
    </w:p>
    <w:p w14:paraId="0319F33D" w14:textId="77777777" w:rsidR="00565ACB" w:rsidRPr="000C254D" w:rsidRDefault="00565AC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5952921" w14:textId="77777777" w:rsidR="00565ACB" w:rsidRPr="000C254D" w:rsidRDefault="00565ACB" w:rsidP="00565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Fulvestrant STADA obsahuje etanol 96% (alkohol)</w:t>
      </w:r>
    </w:p>
    <w:p w14:paraId="165792C9" w14:textId="6AABC14E" w:rsidR="00565ACB" w:rsidRPr="000C254D" w:rsidRDefault="00565ACB" w:rsidP="00565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Tento liek</w:t>
      </w:r>
      <w:r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obsahuje 12,4 obj % etanolu (alkohol) t.j. až do 1 000 mg na dávku, čo zodpovedá 25 ml piva alebo 10 ml vína na dávku. Škodlivé pre tých, ktorí trpia alkoholizmom. Musí sa vziať do úvahy u dojčiacich a tehotných žien, detí a vysoko rizikových skupín, ako sú pacient</w:t>
      </w:r>
      <w:r w:rsidR="00D2677B">
        <w:rPr>
          <w:rFonts w:ascii="Times New Roman" w:hAnsi="Times New Roman"/>
          <w:lang w:val="sk-SK"/>
        </w:rPr>
        <w:t>ky</w:t>
      </w:r>
      <w:r w:rsidRPr="000C254D">
        <w:rPr>
          <w:rFonts w:ascii="Times New Roman" w:hAnsi="Times New Roman"/>
          <w:lang w:val="sk-SK"/>
        </w:rPr>
        <w:t xml:space="preserve"> s ochorením pečene alebo epilepsiou.</w:t>
      </w:r>
    </w:p>
    <w:p w14:paraId="38A6F18D" w14:textId="77777777" w:rsidR="00565ACB" w:rsidRPr="000C254D" w:rsidRDefault="00565ACB" w:rsidP="00565ACB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78D8177" w14:textId="77777777" w:rsidR="00565ACB" w:rsidRPr="000C254D" w:rsidRDefault="00565ACB" w:rsidP="00565ACB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Fulvestrant STADA</w:t>
      </w:r>
      <w:r w:rsidRPr="000C254D">
        <w:rPr>
          <w:rFonts w:ascii="Times New Roman" w:eastAsia="TimesNewRoman" w:hAnsi="Times New Roman"/>
          <w:u w:val="single"/>
          <w:lang w:val="sk-SK"/>
        </w:rPr>
        <w:t xml:space="preserve"> </w:t>
      </w:r>
      <w:r w:rsidRPr="000C254D">
        <w:rPr>
          <w:rFonts w:ascii="Times New Roman" w:hAnsi="Times New Roman"/>
          <w:u w:val="single"/>
          <w:lang w:val="sk-SK"/>
        </w:rPr>
        <w:t>obsahuje benzylalkohol</w:t>
      </w:r>
    </w:p>
    <w:p w14:paraId="0AACAADE" w14:textId="77777777" w:rsidR="00565ACB" w:rsidRPr="000C254D" w:rsidRDefault="00565ACB" w:rsidP="00565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Tento liek</w:t>
      </w:r>
      <w:r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obsahuje 500 mg benzylalkoholu v každých 5 ml. Benzylalkohol môže spôsobiť alergické reakcie. </w:t>
      </w:r>
    </w:p>
    <w:p w14:paraId="1D23CB36" w14:textId="77777777" w:rsidR="00565ACB" w:rsidRPr="000C254D" w:rsidRDefault="00565AC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13791D1" w14:textId="055BB89C" w:rsidR="00565ACB" w:rsidRPr="000C254D" w:rsidRDefault="00E8641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 xml:space="preserve">Fulvestrant </w:t>
      </w:r>
      <w:r w:rsidR="00FD7416" w:rsidRPr="000C254D">
        <w:rPr>
          <w:rFonts w:ascii="Times New Roman" w:hAnsi="Times New Roman"/>
          <w:u w:val="single"/>
          <w:lang w:val="sk-SK"/>
        </w:rPr>
        <w:t>STADA</w:t>
      </w:r>
      <w:r w:rsidRPr="000C254D">
        <w:rPr>
          <w:rFonts w:ascii="Times New Roman" w:hAnsi="Times New Roman"/>
          <w:u w:val="single"/>
          <w:lang w:val="sk-SK"/>
        </w:rPr>
        <w:t xml:space="preserve">  obsahuje </w:t>
      </w:r>
      <w:r w:rsidR="00792E1B" w:rsidRPr="000C254D">
        <w:rPr>
          <w:rFonts w:ascii="Times New Roman" w:hAnsi="Times New Roman"/>
          <w:u w:val="single"/>
          <w:lang w:val="sk-SK"/>
        </w:rPr>
        <w:t>benzyl</w:t>
      </w:r>
      <w:r w:rsidR="00792E1B">
        <w:rPr>
          <w:rFonts w:ascii="Times New Roman" w:hAnsi="Times New Roman"/>
          <w:u w:val="single"/>
          <w:lang w:val="sk-SK"/>
        </w:rPr>
        <w:t>benzoát</w:t>
      </w:r>
    </w:p>
    <w:p w14:paraId="4BE19F12" w14:textId="2AC5DF30" w:rsidR="00565ACB" w:rsidRPr="000C254D" w:rsidRDefault="00565ACB" w:rsidP="00565AC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Tento liek obsahuje 750 mg benzyl</w:t>
      </w:r>
      <w:r w:rsidR="00792E1B">
        <w:rPr>
          <w:rFonts w:ascii="Times New Roman" w:hAnsi="Times New Roman"/>
          <w:lang w:val="sk-SK"/>
        </w:rPr>
        <w:t>benzoátu</w:t>
      </w:r>
      <w:r w:rsidRPr="000C254D">
        <w:rPr>
          <w:rFonts w:ascii="Times New Roman" w:hAnsi="Times New Roman"/>
          <w:lang w:val="sk-SK"/>
        </w:rPr>
        <w:t xml:space="preserve"> v každých 5 ml.</w:t>
      </w:r>
    </w:p>
    <w:p w14:paraId="29A04C75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5A1FE6C" w14:textId="77777777" w:rsidR="00B10CB1" w:rsidRPr="000C254D" w:rsidRDefault="000B2B40" w:rsidP="00FC42CA">
      <w:pPr>
        <w:pStyle w:val="Odsekzoznamu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Liekové a iné interakcie</w:t>
      </w:r>
    </w:p>
    <w:p w14:paraId="32AA2783" w14:textId="77777777" w:rsidR="00E86410" w:rsidRPr="000C254D" w:rsidRDefault="00E8641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4BAA1DC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Klinická interakčná štúdia s midazolamom (substrátom CYP3A4) preukázala, že fulvestrant</w:t>
      </w:r>
    </w:p>
    <w:p w14:paraId="46E04386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neinhibuje CYP3A4. Klinické interakčné štúdie s rifampicínom (induktor CYP3A4) a ketokonazolom</w:t>
      </w:r>
    </w:p>
    <w:p w14:paraId="248B33EA" w14:textId="040FF5DB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(inhibítor CYP3A4) nepreukázali žiadne klinicky významné zmeny klírensu fulvestrantu. Pacient</w:t>
      </w:r>
      <w:r w:rsidR="00D2677B">
        <w:rPr>
          <w:rFonts w:ascii="Times New Roman" w:hAnsi="Times New Roman"/>
          <w:lang w:val="sk-SK"/>
        </w:rPr>
        <w:t>ka</w:t>
      </w:r>
      <w:r w:rsidRPr="000C254D">
        <w:rPr>
          <w:rFonts w:ascii="Times New Roman" w:hAnsi="Times New Roman"/>
          <w:lang w:val="sk-SK"/>
        </w:rPr>
        <w:t>m,</w:t>
      </w:r>
    </w:p>
    <w:p w14:paraId="0B534F6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ktorým sa podáva fulvestrant súbežne s inhibítormi alebo induktormi CYP3A4, nie je preto potrebné</w:t>
      </w:r>
    </w:p>
    <w:p w14:paraId="16191EFF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upravo</w:t>
      </w:r>
      <w:r w:rsidR="00B10CB1" w:rsidRPr="000C254D">
        <w:rPr>
          <w:rFonts w:ascii="Times New Roman" w:hAnsi="Times New Roman"/>
          <w:lang w:val="sk-SK"/>
        </w:rPr>
        <w:t>vať dávku</w:t>
      </w:r>
      <w:r w:rsidRPr="000C254D">
        <w:rPr>
          <w:rFonts w:ascii="Times New Roman" w:hAnsi="Times New Roman"/>
          <w:lang w:val="sk-SK"/>
        </w:rPr>
        <w:t>.</w:t>
      </w:r>
    </w:p>
    <w:p w14:paraId="5CC6DF8C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47ADF91" w14:textId="77777777" w:rsidR="00B10CB1" w:rsidRPr="000C254D" w:rsidRDefault="000B2B40" w:rsidP="00FC42CA">
      <w:pPr>
        <w:pStyle w:val="Odsekzoznamu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Fertilita, gravidita a laktácia</w:t>
      </w:r>
    </w:p>
    <w:p w14:paraId="08DF9220" w14:textId="77777777" w:rsidR="00E86410" w:rsidRPr="000C254D" w:rsidRDefault="00E8641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</w:p>
    <w:p w14:paraId="03F57DF1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Ženy vo fertilnom veku</w:t>
      </w:r>
    </w:p>
    <w:p w14:paraId="7BED2F62" w14:textId="77777777" w:rsidR="000B2B40" w:rsidRPr="000C254D" w:rsidRDefault="00C52C3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Pacientkam</w:t>
      </w:r>
      <w:r w:rsidR="000B2B40" w:rsidRPr="000C254D">
        <w:rPr>
          <w:rFonts w:ascii="Times New Roman" w:hAnsi="Times New Roman"/>
          <w:lang w:val="sk-SK"/>
        </w:rPr>
        <w:t xml:space="preserve"> vo fertilnom veku sa má odporučiť používanie účinnej antikoncepcie počas liečby.</w:t>
      </w:r>
    </w:p>
    <w:p w14:paraId="553FC294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A188AE6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Gravidita</w:t>
      </w:r>
    </w:p>
    <w:p w14:paraId="6A9558F1" w14:textId="77777777" w:rsidR="00FC5DBD" w:rsidRPr="000C254D" w:rsidRDefault="00B10CB1" w:rsidP="00FC5DBD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</w:t>
      </w:r>
      <w:r w:rsidR="00AB6E71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je kontraindikovaný v gravidite (pozri časť 4.3). Preukázalo sa, že fulvestrant prechádza</w:t>
      </w:r>
      <w:r w:rsidR="00FC5DBD" w:rsidRPr="000C254D">
        <w:rPr>
          <w:rFonts w:ascii="Times New Roman" w:hAnsi="Times New Roman"/>
          <w:lang w:val="sk-SK"/>
        </w:rPr>
        <w:t xml:space="preserve"> placentou po jednorazovej dávke u potkanov a králikov. Štúdie na zvieratách preukázali reprodukčnú toxicitu, vrátane zvýšeného výskytu abnormalít a úmrtí plodu (pozri časť 5.3). Ak dôjde ku gravidite pri užívaní Fulvestrantu </w:t>
      </w:r>
      <w:r w:rsidR="00FD7416" w:rsidRPr="000C254D">
        <w:rPr>
          <w:rFonts w:ascii="Times New Roman" w:hAnsi="Times New Roman"/>
          <w:lang w:val="sk-SK"/>
        </w:rPr>
        <w:t>STADA</w:t>
      </w:r>
      <w:r w:rsidR="00FC5DBD" w:rsidRPr="000C254D">
        <w:rPr>
          <w:rFonts w:ascii="Times New Roman" w:hAnsi="Times New Roman"/>
          <w:lang w:val="sk-SK"/>
        </w:rPr>
        <w:t>, musí byť pacientka informovaná o potenciálnom riziku pre plod a potenciálnom riziku potratu.</w:t>
      </w:r>
    </w:p>
    <w:p w14:paraId="7E820903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DA0B4C5" w14:textId="77777777" w:rsidR="000B2B40" w:rsidRPr="000C254D" w:rsidRDefault="00FC5DBD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Dojčenie</w:t>
      </w:r>
    </w:p>
    <w:p w14:paraId="7943CCFE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Počas liečby </w:t>
      </w:r>
      <w:r w:rsidR="00C52C34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 sa musí dojčenie ukončiť. Fulvestrant sa u samíc potkanov vylučuje do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materského mlieka. Nie je známe, či sa fulvestrant vylučuje do materského mlieka aj u ľudí.</w:t>
      </w:r>
    </w:p>
    <w:p w14:paraId="391C2DE6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Vzhľadom k možnosti závažných nežiaducich účinkov fulvestrantu u dojčených detí je používanie</w:t>
      </w:r>
    </w:p>
    <w:p w14:paraId="0919B3B0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počas laktácie kontraindikované (pozri časť 4.3).</w:t>
      </w:r>
    </w:p>
    <w:p w14:paraId="3A0F2654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23E319D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Fertilita</w:t>
      </w:r>
    </w:p>
    <w:p w14:paraId="570250B7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Účinky </w:t>
      </w:r>
      <w:r w:rsidR="00FC5DBD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u</w:t>
      </w:r>
      <w:r w:rsidR="00AB6E71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na plodnosť ľudí sa nehodnotili.</w:t>
      </w:r>
    </w:p>
    <w:p w14:paraId="0EDF5FEA" w14:textId="77777777"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A6F48E9" w14:textId="77777777"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4.7 </w:t>
      </w:r>
      <w:r w:rsidR="00B10CB1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Ovplyvnenie schopnosti viesť vozidlá a obsluhovať stroje</w:t>
      </w:r>
    </w:p>
    <w:p w14:paraId="0A4CCF44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FB81528" w14:textId="77777777" w:rsidR="000B2B40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</w:t>
      </w:r>
      <w:r w:rsidR="00362833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nemá žiadny alebo má zanedbateľný vplyv na schopnosť viesť vozidlá alebo obsluhovať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 xml:space="preserve">stroje. Vzhľadom na to, že sa počas užívania </w:t>
      </w:r>
      <w:r w:rsidR="00FC5DBD" w:rsidRPr="000C254D">
        <w:rPr>
          <w:rFonts w:ascii="Times New Roman" w:hAnsi="Times New Roman"/>
          <w:lang w:val="sk-SK"/>
        </w:rPr>
        <w:t>f</w:t>
      </w:r>
      <w:r w:rsidRPr="000C254D">
        <w:rPr>
          <w:rFonts w:ascii="Times New Roman" w:hAnsi="Times New Roman"/>
          <w:lang w:val="sk-SK"/>
        </w:rPr>
        <w:t>ulvestrant</w:t>
      </w:r>
      <w:r w:rsidR="000B2B40" w:rsidRPr="000C254D">
        <w:rPr>
          <w:rFonts w:ascii="Times New Roman" w:hAnsi="Times New Roman"/>
          <w:lang w:val="sk-SK"/>
        </w:rPr>
        <w:t>u veľmi často vyskytli prípady asténie, musí sa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venovať zvýšená opatrnosť pacientk</w:t>
      </w:r>
      <w:r w:rsidR="00FC5DBD" w:rsidRPr="000C254D">
        <w:rPr>
          <w:rFonts w:ascii="Times New Roman" w:hAnsi="Times New Roman"/>
          <w:lang w:val="sk-SK"/>
        </w:rPr>
        <w:t>a</w:t>
      </w:r>
      <w:r w:rsidR="000B2B40" w:rsidRPr="000C254D">
        <w:rPr>
          <w:rFonts w:ascii="Times New Roman" w:hAnsi="Times New Roman"/>
          <w:lang w:val="sk-SK"/>
        </w:rPr>
        <w:t>m, u ktorých sa vyskytol tento nežiaduci účinok počas vedenia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motorových vozidiel alebo obsluhy strojov.</w:t>
      </w:r>
    </w:p>
    <w:p w14:paraId="141074E1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6608AF1" w14:textId="77777777" w:rsidR="002E18B3" w:rsidRPr="000C254D" w:rsidRDefault="00D170D4" w:rsidP="00FC42CA">
      <w:pPr>
        <w:pStyle w:val="Odsekzoznamu"/>
        <w:numPr>
          <w:ilvl w:val="1"/>
          <w:numId w:val="8"/>
        </w:numPr>
        <w:spacing w:after="0" w:line="240" w:lineRule="auto"/>
        <w:ind w:left="340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     </w:t>
      </w:r>
      <w:r w:rsidR="00823DE2" w:rsidRPr="000C254D">
        <w:rPr>
          <w:rFonts w:ascii="Times New Roman" w:hAnsi="Times New Roman"/>
          <w:b/>
          <w:bCs/>
          <w:lang w:val="sk-SK"/>
        </w:rPr>
        <w:t>Nežiaduce účinky</w:t>
      </w:r>
    </w:p>
    <w:p w14:paraId="50BF2A06" w14:textId="77777777" w:rsidR="00FC5DBD" w:rsidRPr="000C254D" w:rsidRDefault="00FC5DBD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0BC064A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Súhrn bezpečnostného profilu</w:t>
      </w:r>
    </w:p>
    <w:p w14:paraId="584A241E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0C254D">
        <w:rPr>
          <w:rFonts w:ascii="Times New Roman" w:eastAsia="TimesNewRoman" w:hAnsi="Times New Roman"/>
          <w:i/>
          <w:iCs/>
          <w:lang w:val="sk-SK"/>
        </w:rPr>
        <w:t>Monoterapia</w:t>
      </w:r>
    </w:p>
    <w:p w14:paraId="6D8A0941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tejto časti sa nachádzajú informácie, vychádzajúce zo všetkých nežiaducich reakcií z klinických</w:t>
      </w:r>
    </w:p>
    <w:p w14:paraId="6391EBD0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štúdií, postmarketingových štúdií alebo zo spontánnych hlásení. V súhrnnom súbore údajov</w:t>
      </w:r>
    </w:p>
    <w:p w14:paraId="7010654C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z monoterapie fulvestrantom boli najčastejšie hlásenými nežiaducimi reakciami reakcie v mieste</w:t>
      </w:r>
    </w:p>
    <w:p w14:paraId="400B138A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podania injekcie, asténia, nauzea a zvýšenie hepatálnych enzýmov (ALT, AST, ALP).</w:t>
      </w:r>
    </w:p>
    <w:p w14:paraId="03F96396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116E2BCA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tabuľke 1 boli zistené nasledujúce kategórie frekvencie nežiaducich reakcií (adverse drug reactions,</w:t>
      </w:r>
    </w:p>
    <w:p w14:paraId="4A92A3FF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ADRs), ktoré sú založené na združených analýzach bezpečnosti v liečebnej skupine užívajúcej</w:t>
      </w:r>
    </w:p>
    <w:p w14:paraId="76AA4FA4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fulvestrant </w:t>
      </w:r>
      <w:r w:rsidRPr="000C254D">
        <w:rPr>
          <w:rFonts w:ascii="Times New Roman" w:eastAsia="TimesNewRoman" w:hAnsi="Times New Roman"/>
          <w:lang w:val="sk-SK"/>
        </w:rPr>
        <w:t xml:space="preserve">500 mg v štúdiách porovnávajúcich </w:t>
      </w:r>
      <w:r w:rsidRPr="000C254D">
        <w:rPr>
          <w:rFonts w:ascii="Times New Roman" w:hAnsi="Times New Roman"/>
          <w:lang w:val="sk-SK"/>
        </w:rPr>
        <w:t xml:space="preserve">fulvestrant </w:t>
      </w:r>
      <w:r w:rsidRPr="000C254D">
        <w:rPr>
          <w:rFonts w:ascii="Times New Roman" w:eastAsia="TimesNewRoman" w:hAnsi="Times New Roman"/>
          <w:lang w:val="sk-SK"/>
        </w:rPr>
        <w:t xml:space="preserve">500 mg s </w:t>
      </w:r>
      <w:r w:rsidRPr="000C254D">
        <w:rPr>
          <w:rFonts w:ascii="Times New Roman" w:hAnsi="Times New Roman"/>
          <w:lang w:val="sk-SK"/>
        </w:rPr>
        <w:t xml:space="preserve">fulvestrantom </w:t>
      </w:r>
      <w:r w:rsidRPr="000C254D">
        <w:rPr>
          <w:rFonts w:ascii="Times New Roman" w:eastAsia="TimesNewRoman" w:hAnsi="Times New Roman"/>
          <w:lang w:val="sk-SK"/>
        </w:rPr>
        <w:t>250 mg [CONFIRM</w:t>
      </w:r>
    </w:p>
    <w:p w14:paraId="7EBE36E4" w14:textId="77777777" w:rsidR="004707F4" w:rsidRPr="000C254D" w:rsidRDefault="00FC5DBD" w:rsidP="00FC5DBD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(Štúdia D6997C00002), FINDER 1 (Štúdia D6997C00004), FINDER 2 (Štúdia D6997C00006)</w:t>
      </w:r>
    </w:p>
    <w:p w14:paraId="624CD3D1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 NEWEST (Štúdia D6997C00003)], alebo zo samotnej štúdie FALCON (Štúdia D699BC00001),</w:t>
      </w:r>
    </w:p>
    <w:p w14:paraId="3866F708" w14:textId="77777777" w:rsidR="00C52C34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ktorá porovnávala </w:t>
      </w:r>
      <w:r w:rsidRPr="000C254D">
        <w:rPr>
          <w:rFonts w:ascii="Times New Roman" w:hAnsi="Times New Roman"/>
          <w:lang w:val="sk-SK"/>
        </w:rPr>
        <w:t xml:space="preserve">fulvestrant </w:t>
      </w:r>
      <w:r w:rsidRPr="000C254D">
        <w:rPr>
          <w:rFonts w:ascii="Times New Roman" w:eastAsia="TimesNewRoman" w:hAnsi="Times New Roman"/>
          <w:lang w:val="sk-SK"/>
        </w:rPr>
        <w:t xml:space="preserve">500 mg s anastrozolom 1 mg. </w:t>
      </w:r>
    </w:p>
    <w:p w14:paraId="611FBC48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Pri rozdieloch vo frekvenciách pri</w:t>
      </w:r>
      <w:r w:rsidR="00C52C3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združených analýzach bezpečnosti a štúdii FALCON sa uvádza najvyššia frekvencia. V tabuľke 1 sú</w:t>
      </w:r>
      <w:r w:rsidR="00C52C3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frekvencie založené na všetkých hlásených nežiaducich reakciách bez ohľadu na hodnotenie kauzality</w:t>
      </w:r>
      <w:r w:rsidR="00C52C3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skúšajúcim. Medián trvania liečby fulvestrantom 500 mg v združenom súbore údajov (vrátane štúdií</w:t>
      </w:r>
      <w:r w:rsidR="00C52C3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uvedených vyššie plus FALCON) bol 6,5 mesiacov.</w:t>
      </w:r>
    </w:p>
    <w:p w14:paraId="1986EFD9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68AC1B91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Tabuľkový zoznam nežiaducich reakcií</w:t>
      </w:r>
    </w:p>
    <w:p w14:paraId="2DAA6B4F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Nižšie uvedené nežiaduce reakcie sú klasifikované podľa frekvencie a triedy orgánových systémov</w:t>
      </w:r>
    </w:p>
    <w:p w14:paraId="7DE3832C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(System Organ Class – SOC). Skupiny frekvencií sú definované nasledovne: veľmi časté (≥ 1/10),</w:t>
      </w:r>
    </w:p>
    <w:p w14:paraId="1C2C2825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časté (≥ 1/100 až &lt; 1/10), menej časté (≥ 1/1 000 až &lt; 1/100). V rámci jednotlivých skupín frekvencií</w:t>
      </w:r>
    </w:p>
    <w:p w14:paraId="650CE257" w14:textId="77777777" w:rsidR="00FC5DBD" w:rsidRPr="000C254D" w:rsidRDefault="00FC5DBD" w:rsidP="00FC5DBD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sú nežiaduce reakcie usporiadané v poradí klesajúcej závažnosti.</w:t>
      </w:r>
    </w:p>
    <w:p w14:paraId="3A5407B6" w14:textId="77777777" w:rsidR="00FC5DBD" w:rsidRPr="000C254D" w:rsidRDefault="00FC5DBD" w:rsidP="00FC5DBD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4B89E5E" w14:textId="77777777" w:rsidR="00011A32" w:rsidRPr="000C254D" w:rsidRDefault="00FC5DBD" w:rsidP="00FC42CA">
      <w:pPr>
        <w:spacing w:after="0" w:line="240" w:lineRule="auto"/>
        <w:contextualSpacing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Tabuľka 1 Nežiaduce reakcie hlásené pacientkami liečenými fulvestrantom v monoterapii</w:t>
      </w:r>
    </w:p>
    <w:p w14:paraId="79A06066" w14:textId="77777777" w:rsidR="00FC5DBD" w:rsidRPr="000C254D" w:rsidRDefault="00FC5DBD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2"/>
        <w:gridCol w:w="2374"/>
        <w:gridCol w:w="3798"/>
      </w:tblGrid>
      <w:tr w:rsidR="000915FD" w:rsidRPr="000C254D" w14:paraId="2D325866" w14:textId="77777777" w:rsidTr="004D267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F2A9C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Nežiaduce reakcie podľa orgánových systémov a frekvencie</w:t>
            </w:r>
          </w:p>
        </w:tc>
      </w:tr>
      <w:tr w:rsidR="000915FD" w:rsidRPr="000C254D" w14:paraId="75B20ABC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5FD98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Infekcie a nákazy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EA76D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A0080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Infekcie </w:t>
            </w:r>
            <w:r w:rsidRPr="00BD1974">
              <w:rPr>
                <w:rFonts w:ascii="Times New Roman" w:hAnsi="Times New Roman"/>
                <w:lang w:val="sk-SK"/>
              </w:rPr>
              <w:t>močového systému</w:t>
            </w:r>
          </w:p>
        </w:tc>
      </w:tr>
      <w:tr w:rsidR="00782944" w:rsidRPr="004C5B97" w14:paraId="670FDE50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2BF23" w14:textId="77777777" w:rsidR="00782944" w:rsidRPr="000C254D" w:rsidRDefault="00782944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Poruchy krvi a lymfatického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B90D5" w14:textId="77777777" w:rsidR="00782944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</w:t>
            </w:r>
            <w:r w:rsidR="00782944" w:rsidRPr="000C254D">
              <w:rPr>
                <w:rFonts w:ascii="Times New Roman" w:hAnsi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2388" w14:textId="7357759F" w:rsidR="00782944" w:rsidRPr="000C254D" w:rsidRDefault="00782944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Zníženie počtu krvných do</w:t>
            </w:r>
            <w:r w:rsidR="00D2677B">
              <w:rPr>
                <w:rFonts w:ascii="Times New Roman" w:hAnsi="Times New Roman"/>
                <w:lang w:val="sk-SK"/>
              </w:rPr>
              <w:t>š</w:t>
            </w:r>
            <w:r w:rsidRPr="000C254D">
              <w:rPr>
                <w:rFonts w:ascii="Times New Roman" w:hAnsi="Times New Roman"/>
                <w:lang w:val="sk-SK"/>
              </w:rPr>
              <w:t>tičiek</w:t>
            </w:r>
            <w:r w:rsidR="00544E18" w:rsidRPr="000C254D">
              <w:rPr>
                <w:rFonts w:ascii="Times New Roman" w:hAnsi="Times New Roman"/>
                <w:lang w:val="sk-SK"/>
              </w:rPr>
              <w:t xml:space="preserve"> </w:t>
            </w:r>
            <w:r w:rsidR="00CF73D8" w:rsidRPr="000C254D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0C254D" w14:paraId="1B10A4FB" w14:textId="77777777" w:rsidTr="001C3EC0">
        <w:trPr>
          <w:trHeight w:val="128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6D08EF5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Poruchy imunitného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93C6C" w14:textId="77777777" w:rsidR="000D1816" w:rsidRPr="000C254D" w:rsidRDefault="000D1816" w:rsidP="00F84E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F5FD8E4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Hypersenzitívne reakcie</w:t>
            </w:r>
            <w:r w:rsidR="00544E18" w:rsidRPr="000C254D">
              <w:rPr>
                <w:rFonts w:ascii="Times New Roman" w:hAnsi="Times New Roman"/>
                <w:lang w:val="sk-SK"/>
              </w:rPr>
              <w:t xml:space="preserve"> </w:t>
            </w:r>
            <w:r w:rsidR="00544E18" w:rsidRPr="000C254D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0C254D" w14:paraId="3F23D007" w14:textId="77777777" w:rsidTr="001C3EC0">
        <w:trPr>
          <w:trHeight w:val="127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5F84A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3172E" w14:textId="77777777" w:rsidR="000D1816" w:rsidRPr="000C254D" w:rsidRDefault="000D1816" w:rsidP="00F84E9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D39EB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Anafylaktické reakcie</w:t>
            </w:r>
          </w:p>
        </w:tc>
      </w:tr>
      <w:tr w:rsidR="000915FD" w:rsidRPr="000C254D" w14:paraId="6757101F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06659" w14:textId="5AFBD8F5" w:rsidR="000915FD" w:rsidRPr="000C254D" w:rsidRDefault="008E2415" w:rsidP="007558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Poruchy metabolizmu a výživy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33AF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95538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Anorexia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0C254D" w14:paraId="3D1793E7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259B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Poruchy nervového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997C0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F96C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Bolesť hlavy</w:t>
            </w:r>
          </w:p>
        </w:tc>
      </w:tr>
      <w:tr w:rsidR="000D1816" w:rsidRPr="000C254D" w14:paraId="558B9B9E" w14:textId="77777777" w:rsidTr="001C3EC0">
        <w:trPr>
          <w:trHeight w:val="383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C91CF52" w14:textId="0ABF2552" w:rsidR="000D1816" w:rsidRPr="000C254D" w:rsidRDefault="008E2415" w:rsidP="007558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</w:t>
            </w:r>
            <w:r w:rsidR="000D1816" w:rsidRPr="000C254D">
              <w:rPr>
                <w:rFonts w:ascii="Times New Roman" w:hAnsi="Times New Roman"/>
                <w:lang w:val="sk-SK"/>
              </w:rPr>
              <w:t>oruchy</w:t>
            </w:r>
            <w:r>
              <w:rPr>
                <w:rFonts w:ascii="Times New Roman" w:hAnsi="Times New Roman"/>
                <w:lang w:val="sk-SK"/>
              </w:rPr>
              <w:t xml:space="preserve"> ciev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B64CB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5E677B7" w14:textId="77777777" w:rsidR="000D1816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Návaly tepla</w:t>
            </w:r>
            <w:r w:rsidR="00544E18" w:rsidRPr="000C254D">
              <w:rPr>
                <w:rFonts w:ascii="Times New Roman" w:hAnsi="Times New Roman"/>
                <w:lang w:val="sk-SK"/>
              </w:rPr>
              <w:t xml:space="preserve"> </w:t>
            </w:r>
            <w:r w:rsidRPr="000C254D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0C254D" w14:paraId="7E6CA23A" w14:textId="77777777" w:rsidTr="001C3EC0">
        <w:trPr>
          <w:trHeight w:val="382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DEB11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FCFE1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6C95F" w14:textId="77777777" w:rsidR="000D1816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Venózna tromboembólia</w:t>
            </w:r>
            <w:r w:rsidR="00544E18" w:rsidRPr="000C254D">
              <w:rPr>
                <w:rFonts w:ascii="Times New Roman" w:hAnsi="Times New Roman"/>
                <w:lang w:val="sk-SK"/>
              </w:rPr>
              <w:t xml:space="preserve"> 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  <w:p w14:paraId="32082B29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0915FD" w:rsidRPr="000C254D" w14:paraId="2A370741" w14:textId="77777777" w:rsidTr="004D2674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87F36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Poruchy gastrointestinálneho traktu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5031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3BC2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Nauzea </w:t>
            </w:r>
          </w:p>
        </w:tc>
      </w:tr>
      <w:tr w:rsidR="000915FD" w:rsidRPr="000C254D" w14:paraId="68FDA293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E1A96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EBB64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7CF6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Vracanie, hnačka</w:t>
            </w:r>
          </w:p>
        </w:tc>
      </w:tr>
      <w:tr w:rsidR="000915FD" w:rsidRPr="004C5B97" w14:paraId="124A0E9C" w14:textId="77777777" w:rsidTr="004D2674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2C5A8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Poruchy pečene a žlčových ciest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59938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3D55B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Zvýšenie hladín pečeňových</w:t>
            </w:r>
          </w:p>
          <w:p w14:paraId="799CDFF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enzýmov (ALT, AST, ALP)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0C254D" w14:paraId="50A63CB8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298C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9C68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16395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Zvýšený bilirubín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4C5B97" w14:paraId="6102F523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446C6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BCAE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504B8" w14:textId="77777777" w:rsidR="000915FD" w:rsidRPr="000C254D" w:rsidRDefault="000915FD" w:rsidP="007B2DA8">
            <w:pPr>
              <w:spacing w:after="0" w:line="240" w:lineRule="auto"/>
              <w:contextualSpacing/>
              <w:rPr>
                <w:rFonts w:ascii="Times New Roman" w:hAnsi="Times New Roman"/>
                <w:vertAlign w:val="superscript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Zlyhanie pečene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  <w:r w:rsidR="000D1816"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,f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, hepatitída</w:t>
            </w:r>
            <w:r w:rsidR="000D1816"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f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, </w:t>
            </w:r>
            <w:r w:rsidRPr="000C254D">
              <w:rPr>
                <w:rFonts w:ascii="Times New Roman" w:hAnsi="Times New Roman"/>
                <w:lang w:val="sk-SK"/>
              </w:rPr>
              <w:t>zvýšené gama-GT</w:t>
            </w:r>
            <w:r w:rsidR="000D1816" w:rsidRPr="000C254D">
              <w:rPr>
                <w:rFonts w:ascii="Times New Roman" w:hAnsi="Times New Roman"/>
                <w:vertAlign w:val="superscript"/>
                <w:lang w:val="sk-SK"/>
              </w:rPr>
              <w:t>f</w:t>
            </w:r>
          </w:p>
        </w:tc>
      </w:tr>
      <w:tr w:rsidR="000915FD" w:rsidRPr="000C254D" w14:paraId="62F9D24E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327F1" w14:textId="510724EB" w:rsidR="000915FD" w:rsidRPr="000C254D" w:rsidRDefault="000915FD" w:rsidP="007558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Poruchy kože a </w:t>
            </w:r>
            <w:r w:rsidR="008E2415" w:rsidRPr="000C254D">
              <w:rPr>
                <w:rFonts w:ascii="Times New Roman" w:hAnsi="Times New Roman"/>
                <w:lang w:val="sk-SK"/>
              </w:rPr>
              <w:t>podkožn</w:t>
            </w:r>
            <w:r w:rsidR="008E2415">
              <w:rPr>
                <w:rFonts w:ascii="Times New Roman" w:hAnsi="Times New Roman"/>
                <w:lang w:val="sk-SK"/>
              </w:rPr>
              <w:t>ého tkaniva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0156D" w14:textId="77777777" w:rsidR="000915FD" w:rsidRPr="000C254D" w:rsidRDefault="000D1816" w:rsidP="007B2DA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</w:t>
            </w:r>
            <w:r w:rsidR="000915FD" w:rsidRPr="000C254D">
              <w:rPr>
                <w:rFonts w:ascii="Times New Roman" w:hAnsi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2DE5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Vyrážka</w:t>
            </w:r>
            <w:r w:rsidR="000D1816" w:rsidRPr="000C254D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0C254D" w14:paraId="1F07E42F" w14:textId="77777777" w:rsidTr="001C3EC0">
        <w:trPr>
          <w:trHeight w:val="255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505D47A" w14:textId="60991F42" w:rsidR="000D1816" w:rsidRPr="000C254D" w:rsidRDefault="000D1816" w:rsidP="0075586F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Poruchy </w:t>
            </w:r>
            <w:r w:rsidR="008E2415">
              <w:rPr>
                <w:rFonts w:ascii="Times New Roman" w:hAnsi="Times New Roman"/>
                <w:lang w:val="sk-SK"/>
              </w:rPr>
              <w:t>kostrovej a svalovej sústavy a spojivového tkaniva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51380" w14:textId="77777777" w:rsidR="000D1816" w:rsidRPr="000C254D" w:rsidRDefault="000D1816" w:rsidP="007B2DA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1CBA04C5" w14:textId="77777777" w:rsidR="000D1816" w:rsidRPr="000C254D" w:rsidRDefault="007B2DA8" w:rsidP="000D181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B</w:t>
            </w:r>
            <w:r w:rsidR="000D1816" w:rsidRPr="000C254D">
              <w:rPr>
                <w:rFonts w:ascii="Times New Roman" w:hAnsi="Times New Roman"/>
                <w:color w:val="000000"/>
                <w:lang w:val="sk-SK"/>
              </w:rPr>
              <w:t xml:space="preserve">olesť kĺbov a </w:t>
            </w:r>
          </w:p>
          <w:p w14:paraId="2755C95E" w14:textId="77777777" w:rsidR="000D1816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muskuloskeletálna bolesť 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d</w:t>
            </w:r>
          </w:p>
          <w:p w14:paraId="211ADFC9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D1816" w:rsidRPr="000C254D" w14:paraId="072498B5" w14:textId="77777777" w:rsidTr="001C3EC0">
        <w:trPr>
          <w:trHeight w:val="255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9A177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40329" w14:textId="77777777" w:rsidR="000D1816" w:rsidRPr="000C254D" w:rsidRDefault="000D1816" w:rsidP="00CF73D8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A06D4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Bolesť chrbta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D1816" w:rsidRPr="000C254D" w14:paraId="34976A44" w14:textId="77777777" w:rsidTr="001C3EC0">
        <w:trPr>
          <w:trHeight w:val="255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203193F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Poruchy reprodukčného systému a prsníkov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C46EA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  <w:p w14:paraId="62696313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00AACE5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Vaginalne krvácanie </w:t>
            </w:r>
            <w:r w:rsidRPr="000C254D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0C254D" w14:paraId="78268756" w14:textId="77777777" w:rsidTr="001C3EC0">
        <w:trPr>
          <w:trHeight w:val="255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47877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E3278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2D2C6" w14:textId="77777777" w:rsidR="000D1816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Vaginálna moniliáza </w:t>
            </w:r>
            <w:r w:rsidRPr="000C254D">
              <w:rPr>
                <w:rFonts w:ascii="Times New Roman" w:hAnsi="Times New Roman"/>
                <w:vertAlign w:val="superscript"/>
                <w:lang w:val="sk-SK"/>
              </w:rPr>
              <w:t>f</w:t>
            </w:r>
            <w:r w:rsidRPr="000C254D">
              <w:rPr>
                <w:rFonts w:ascii="Times New Roman" w:hAnsi="Times New Roman"/>
                <w:lang w:val="sk-SK"/>
              </w:rPr>
              <w:t xml:space="preserve">, leukorea </w:t>
            </w:r>
            <w:r w:rsidRPr="000C254D">
              <w:rPr>
                <w:rFonts w:ascii="Times New Roman" w:hAnsi="Times New Roman"/>
                <w:vertAlign w:val="superscript"/>
                <w:lang w:val="sk-SK"/>
              </w:rPr>
              <w:t>f</w:t>
            </w:r>
          </w:p>
          <w:p w14:paraId="1FDCE414" w14:textId="77777777" w:rsidR="000D1816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 </w:t>
            </w:r>
          </w:p>
        </w:tc>
      </w:tr>
      <w:tr w:rsidR="000D1816" w:rsidRPr="000C254D" w14:paraId="06FA90FB" w14:textId="77777777" w:rsidTr="001C3EC0">
        <w:trPr>
          <w:trHeight w:val="255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922F7A8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Celkové poruchy a reakcie v mieste podania</w:t>
            </w:r>
          </w:p>
          <w:p w14:paraId="4D83ED54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48EC0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055306B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Asténia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, </w:t>
            </w:r>
            <w:r w:rsidRPr="000C254D">
              <w:rPr>
                <w:rFonts w:ascii="Times New Roman" w:hAnsi="Times New Roman"/>
                <w:lang w:val="sk-SK"/>
              </w:rPr>
              <w:t>reakcie v mieste podania</w:t>
            </w:r>
          </w:p>
          <w:p w14:paraId="6F2F5C73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injekcie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b</w:t>
            </w:r>
          </w:p>
        </w:tc>
      </w:tr>
      <w:tr w:rsidR="000D1816" w:rsidRPr="000C254D" w14:paraId="7BBD9018" w14:textId="77777777" w:rsidTr="001C3EC0">
        <w:trPr>
          <w:trHeight w:val="255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98A18F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AC383" w14:textId="77777777" w:rsidR="000D1816" w:rsidRPr="000C254D" w:rsidRDefault="00544E18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B6D42" w14:textId="77777777" w:rsidR="00544E18" w:rsidRPr="000C254D" w:rsidRDefault="00544E18" w:rsidP="00544E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Periférna neuropatia 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e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, ischias 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e</w:t>
            </w:r>
          </w:p>
          <w:p w14:paraId="3E8B2956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D1816" w:rsidRPr="004C5B97" w14:paraId="5D3F0037" w14:textId="77777777" w:rsidTr="001C3EC0">
        <w:trPr>
          <w:trHeight w:val="651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DF057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A0AC0" w14:textId="77777777"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B5D16" w14:textId="44A58F50" w:rsidR="000D1816" w:rsidRPr="000C254D" w:rsidRDefault="000D1816" w:rsidP="007558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Krvácanie v mieste </w:t>
            </w:r>
            <w:r w:rsidR="00842302">
              <w:rPr>
                <w:rFonts w:ascii="Times New Roman" w:hAnsi="Times New Roman"/>
                <w:lang w:val="sk-SK"/>
              </w:rPr>
              <w:t>podania injekcie</w:t>
            </w:r>
            <w:r w:rsidR="00842302" w:rsidRPr="000C254D">
              <w:rPr>
                <w:rFonts w:ascii="Times New Roman" w:hAnsi="Times New Roman"/>
                <w:lang w:val="sk-SK"/>
              </w:rPr>
              <w:t xml:space="preserve"> </w:t>
            </w:r>
            <w:r w:rsidR="00544E18" w:rsidRPr="000C254D">
              <w:rPr>
                <w:rFonts w:ascii="Times New Roman" w:hAnsi="Times New Roman"/>
                <w:vertAlign w:val="superscript"/>
                <w:lang w:val="sk-SK"/>
              </w:rPr>
              <w:t>f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lang w:val="sk-SK"/>
              </w:rPr>
              <w:t xml:space="preserve"> hematóm v mieste </w:t>
            </w:r>
            <w:r w:rsidR="00842302">
              <w:rPr>
                <w:rFonts w:ascii="Times New Roman" w:hAnsi="Times New Roman"/>
                <w:lang w:val="sk-SK"/>
              </w:rPr>
              <w:t>podania injekcie</w:t>
            </w:r>
            <w:r w:rsidR="00842302"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="00544E18"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f</w:t>
            </w:r>
            <w:r w:rsidR="00544E18" w:rsidRPr="000C254D">
              <w:rPr>
                <w:rFonts w:ascii="Times New Roman" w:hAnsi="Times New Roman"/>
                <w:color w:val="000000"/>
                <w:lang w:val="sk-SK"/>
              </w:rPr>
              <w:t xml:space="preserve">, neuralgia </w:t>
            </w:r>
            <w:r w:rsidR="00544E18"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cf</w:t>
            </w:r>
          </w:p>
        </w:tc>
      </w:tr>
    </w:tbl>
    <w:p w14:paraId="54F8150C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highlight w:val="yellow"/>
          <w:lang w:val="sk-SK"/>
        </w:rPr>
      </w:pPr>
    </w:p>
    <w:p w14:paraId="4C4C49BF" w14:textId="5E61D715" w:rsidR="000B2B40" w:rsidRPr="000C254D" w:rsidRDefault="000B2B40" w:rsidP="004C5B97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vertAlign w:val="superscript"/>
          <w:lang w:val="sk-SK"/>
        </w:rPr>
        <w:t>a</w:t>
      </w:r>
      <w:r w:rsidRPr="000C254D">
        <w:rPr>
          <w:rFonts w:ascii="Times New Roman" w:hAnsi="Times New Roman"/>
          <w:lang w:val="sk-SK"/>
        </w:rPr>
        <w:t xml:space="preserve"> </w:t>
      </w:r>
      <w:r w:rsidR="0075586F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Vrátane nežiaducich reakcií, pr</w:t>
      </w:r>
      <w:r w:rsidR="00F976C4">
        <w:rPr>
          <w:rFonts w:ascii="Times New Roman" w:hAnsi="Times New Roman"/>
          <w:lang w:val="sk-SK"/>
        </w:rPr>
        <w:t>i</w:t>
      </w:r>
      <w:r w:rsidRPr="000C254D">
        <w:rPr>
          <w:rFonts w:ascii="Times New Roman" w:hAnsi="Times New Roman"/>
          <w:lang w:val="sk-SK"/>
        </w:rPr>
        <w:t xml:space="preserve"> ktor</w:t>
      </w:r>
      <w:r w:rsidR="00F976C4">
        <w:rPr>
          <w:rFonts w:ascii="Times New Roman" w:hAnsi="Times New Roman"/>
          <w:lang w:val="sk-SK"/>
        </w:rPr>
        <w:t>ých nie je možné stanoviť podiel</w:t>
      </w:r>
      <w:r w:rsidR="00F976C4" w:rsidRPr="000C254D">
        <w:rPr>
          <w:rFonts w:ascii="Times New Roman" w:hAnsi="Times New Roman"/>
          <w:lang w:val="sk-SK"/>
        </w:rPr>
        <w:t xml:space="preserve"> fulvestrantu </w:t>
      </w:r>
      <w:r w:rsidR="00F976C4">
        <w:rPr>
          <w:rFonts w:ascii="Times New Roman" w:hAnsi="Times New Roman"/>
          <w:lang w:val="sk-SK"/>
        </w:rPr>
        <w:t>na ich vzniku vzhľadom na základné ochorenie</w:t>
      </w:r>
      <w:r w:rsidRPr="000C254D">
        <w:rPr>
          <w:rFonts w:ascii="Times New Roman" w:hAnsi="Times New Roman"/>
          <w:lang w:val="sk-SK"/>
        </w:rPr>
        <w:t>.</w:t>
      </w:r>
    </w:p>
    <w:p w14:paraId="25B5FCCE" w14:textId="4D80E61A" w:rsidR="000B2B40" w:rsidRPr="000C254D" w:rsidRDefault="000B2B40" w:rsidP="004C5B97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vertAlign w:val="superscript"/>
          <w:lang w:val="sk-SK"/>
        </w:rPr>
        <w:t>b</w:t>
      </w:r>
      <w:r w:rsidRPr="000C254D">
        <w:rPr>
          <w:rFonts w:ascii="Times New Roman" w:hAnsi="Times New Roman"/>
          <w:lang w:val="sk-SK"/>
        </w:rPr>
        <w:t xml:space="preserve"> </w:t>
      </w:r>
      <w:r w:rsidR="0075586F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 xml:space="preserve">Termín reakcie v mieste </w:t>
      </w:r>
      <w:r w:rsidR="00CF5287">
        <w:rPr>
          <w:rFonts w:ascii="Times New Roman" w:hAnsi="Times New Roman"/>
          <w:lang w:val="sk-SK"/>
        </w:rPr>
        <w:t>podania</w:t>
      </w:r>
      <w:r w:rsidR="00842302">
        <w:rPr>
          <w:rFonts w:ascii="Times New Roman" w:hAnsi="Times New Roman"/>
          <w:lang w:val="sk-SK"/>
        </w:rPr>
        <w:t xml:space="preserve"> injekcie</w:t>
      </w:r>
      <w:r w:rsidR="00CF528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nezahŕňa </w:t>
      </w:r>
      <w:r w:rsidR="009475F8">
        <w:rPr>
          <w:rFonts w:ascii="Times New Roman" w:hAnsi="Times New Roman"/>
          <w:lang w:val="sk-SK"/>
        </w:rPr>
        <w:t>termíny</w:t>
      </w:r>
      <w:r w:rsidR="00CF528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krvácanie v mieste </w:t>
      </w:r>
      <w:r w:rsidR="00CF5287">
        <w:rPr>
          <w:rFonts w:ascii="Times New Roman" w:hAnsi="Times New Roman"/>
          <w:lang w:val="sk-SK"/>
        </w:rPr>
        <w:t>podania</w:t>
      </w:r>
      <w:r w:rsidR="00842302">
        <w:rPr>
          <w:rFonts w:ascii="Times New Roman" w:hAnsi="Times New Roman"/>
          <w:lang w:val="sk-SK"/>
        </w:rPr>
        <w:t xml:space="preserve"> injekcie,</w:t>
      </w:r>
      <w:r w:rsidR="00CF5287">
        <w:rPr>
          <w:rFonts w:ascii="Times New Roman" w:hAnsi="Times New Roman"/>
          <w:lang w:val="sk-SK"/>
        </w:rPr>
        <w:t> </w:t>
      </w:r>
      <w:r w:rsidRPr="000C254D">
        <w:rPr>
          <w:rFonts w:ascii="Times New Roman" w:hAnsi="Times New Roman"/>
          <w:lang w:val="sk-SK"/>
        </w:rPr>
        <w:t>hematóm</w:t>
      </w:r>
      <w:r w:rsidR="00CF5287">
        <w:rPr>
          <w:rFonts w:ascii="Times New Roman" w:hAnsi="Times New Roman"/>
          <w:lang w:val="sk-SK"/>
        </w:rPr>
        <w:t xml:space="preserve"> v mieste podania</w:t>
      </w:r>
      <w:r w:rsidR="00842302">
        <w:rPr>
          <w:rFonts w:ascii="Times New Roman" w:hAnsi="Times New Roman"/>
          <w:lang w:val="sk-SK"/>
        </w:rPr>
        <w:t xml:space="preserve"> injekcie</w:t>
      </w:r>
      <w:r w:rsidR="00CF5287">
        <w:rPr>
          <w:rFonts w:ascii="Times New Roman" w:hAnsi="Times New Roman"/>
          <w:lang w:val="sk-SK"/>
        </w:rPr>
        <w:t>, ischias, neuralgia a periférna neuropatia</w:t>
      </w:r>
      <w:r w:rsidRPr="000C254D">
        <w:rPr>
          <w:rFonts w:ascii="Times New Roman" w:hAnsi="Times New Roman"/>
          <w:lang w:val="sk-SK"/>
        </w:rPr>
        <w:t>.</w:t>
      </w:r>
    </w:p>
    <w:p w14:paraId="51B02B33" w14:textId="358616E0" w:rsidR="000B2B40" w:rsidRPr="000C254D" w:rsidRDefault="000B2B40" w:rsidP="004C5B97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vertAlign w:val="superscript"/>
          <w:lang w:val="sk-SK"/>
        </w:rPr>
        <w:t>c</w:t>
      </w:r>
      <w:r w:rsidRPr="000C254D">
        <w:rPr>
          <w:rFonts w:ascii="Times New Roman" w:hAnsi="Times New Roman"/>
          <w:lang w:val="sk-SK"/>
        </w:rPr>
        <w:t xml:space="preserve"> </w:t>
      </w:r>
      <w:r w:rsidR="0075586F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Udalosť sa nepozorovala vo veľkých klinických štúdiách (CONFIRM, FINDER 1</w:t>
      </w:r>
      <w:r w:rsidR="004707F4" w:rsidRPr="000C254D">
        <w:rPr>
          <w:rFonts w:ascii="Times New Roman" w:hAnsi="Times New Roman"/>
          <w:lang w:val="sk-SK"/>
        </w:rPr>
        <w:t xml:space="preserve">, FINDER 2. NEWEST). Frekvencia </w:t>
      </w:r>
      <w:r w:rsidRPr="000C254D">
        <w:rPr>
          <w:rFonts w:ascii="Times New Roman" w:hAnsi="Times New Roman"/>
          <w:lang w:val="sk-SK"/>
        </w:rPr>
        <w:t>sa vypočítala pomocou hornej hranice 95% intervalu spoľahlivosti pre odhad bodu. Počíta sa ako 3/</w:t>
      </w:r>
      <w:r w:rsidR="00CF5287" w:rsidRPr="000C254D">
        <w:rPr>
          <w:rFonts w:ascii="Times New Roman" w:hAnsi="Times New Roman"/>
          <w:lang w:val="sk-SK"/>
        </w:rPr>
        <w:t>56</w:t>
      </w:r>
      <w:r w:rsidR="00CF5287">
        <w:rPr>
          <w:rFonts w:ascii="Times New Roman" w:hAnsi="Times New Roman"/>
          <w:lang w:val="sk-SK"/>
        </w:rPr>
        <w:t>0</w:t>
      </w:r>
      <w:r w:rsidR="00CF5287" w:rsidRPr="000C254D">
        <w:rPr>
          <w:rFonts w:ascii="Times New Roman" w:hAnsi="Times New Roman"/>
          <w:lang w:val="sk-SK"/>
        </w:rPr>
        <w:t xml:space="preserve"> </w:t>
      </w:r>
      <w:r w:rsidR="004707F4" w:rsidRPr="000C254D">
        <w:rPr>
          <w:rFonts w:ascii="Times New Roman" w:hAnsi="Times New Roman"/>
          <w:lang w:val="sk-SK"/>
        </w:rPr>
        <w:t xml:space="preserve">(kde </w:t>
      </w:r>
      <w:r w:rsidR="00CF5287" w:rsidRPr="000C254D">
        <w:rPr>
          <w:rFonts w:ascii="Times New Roman" w:hAnsi="Times New Roman"/>
          <w:lang w:val="sk-SK"/>
        </w:rPr>
        <w:t>56</w:t>
      </w:r>
      <w:r w:rsidR="00CF5287">
        <w:rPr>
          <w:rFonts w:ascii="Times New Roman" w:hAnsi="Times New Roman"/>
          <w:lang w:val="sk-SK"/>
        </w:rPr>
        <w:t>0</w:t>
      </w:r>
      <w:r w:rsidR="00CF5287" w:rsidRPr="000C254D">
        <w:rPr>
          <w:rFonts w:ascii="Times New Roman" w:hAnsi="Times New Roman"/>
          <w:lang w:val="sk-SK"/>
        </w:rPr>
        <w:t xml:space="preserve"> </w:t>
      </w:r>
      <w:r w:rsidR="004707F4" w:rsidRPr="000C254D">
        <w:rPr>
          <w:rFonts w:ascii="Times New Roman" w:hAnsi="Times New Roman"/>
          <w:lang w:val="sk-SK"/>
        </w:rPr>
        <w:t xml:space="preserve">je </w:t>
      </w:r>
      <w:r w:rsidRPr="000C254D">
        <w:rPr>
          <w:rFonts w:ascii="Times New Roman" w:hAnsi="Times New Roman"/>
          <w:lang w:val="sk-SK"/>
        </w:rPr>
        <w:t xml:space="preserve">počet </w:t>
      </w:r>
      <w:r w:rsidR="00F976C4" w:rsidRPr="000C254D">
        <w:rPr>
          <w:rFonts w:ascii="Times New Roman" w:hAnsi="Times New Roman"/>
          <w:lang w:val="sk-SK"/>
        </w:rPr>
        <w:t>paciento</w:t>
      </w:r>
      <w:r w:rsidR="00F976C4">
        <w:rPr>
          <w:rFonts w:ascii="Times New Roman" w:hAnsi="Times New Roman"/>
          <w:lang w:val="sk-SK"/>
        </w:rPr>
        <w:t>k</w:t>
      </w:r>
      <w:r w:rsidR="00F976C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vo veľkých klinických štúdiách), čo zodpovedá </w:t>
      </w:r>
      <w:r w:rsidR="00842302">
        <w:rPr>
          <w:rFonts w:ascii="Times New Roman" w:hAnsi="Times New Roman"/>
          <w:lang w:val="sk-SK"/>
        </w:rPr>
        <w:t xml:space="preserve">kategórii </w:t>
      </w:r>
      <w:r w:rsidRPr="000C254D">
        <w:rPr>
          <w:rFonts w:ascii="Times New Roman" w:hAnsi="Times New Roman"/>
          <w:lang w:val="sk-SK"/>
        </w:rPr>
        <w:t>frekvenci</w:t>
      </w:r>
      <w:r w:rsidR="00842302">
        <w:rPr>
          <w:rFonts w:ascii="Times New Roman" w:hAnsi="Times New Roman"/>
          <w:lang w:val="sk-SK"/>
        </w:rPr>
        <w:t>e</w:t>
      </w:r>
      <w:r w:rsidRPr="000C254D">
        <w:rPr>
          <w:rFonts w:ascii="Times New Roman" w:hAnsi="Times New Roman"/>
          <w:lang w:val="sk-SK"/>
        </w:rPr>
        <w:t xml:space="preserve"> "menej časté“.</w:t>
      </w:r>
    </w:p>
    <w:p w14:paraId="6E761E7D" w14:textId="77777777" w:rsidR="00FC5DBD" w:rsidRPr="000C254D" w:rsidRDefault="00FC5DBD" w:rsidP="00B033D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vertAlign w:val="superscript"/>
          <w:lang w:val="sk-SK"/>
        </w:rPr>
        <w:t>d</w:t>
      </w:r>
      <w:r w:rsidRPr="000C254D">
        <w:rPr>
          <w:rFonts w:ascii="Times New Roman" w:eastAsia="TimesNewRoman" w:hAnsi="Times New Roman"/>
          <w:lang w:val="sk-SK"/>
        </w:rPr>
        <w:t xml:space="preserve"> </w:t>
      </w:r>
      <w:r w:rsidR="00B033D4">
        <w:rPr>
          <w:rFonts w:ascii="Times New Roman" w:eastAsia="TimesNewRoman" w:hAnsi="Times New Roman"/>
          <w:lang w:val="sk-SK"/>
        </w:rPr>
        <w:t xml:space="preserve">   </w:t>
      </w:r>
      <w:r w:rsidRPr="000C254D">
        <w:rPr>
          <w:rFonts w:ascii="Times New Roman" w:eastAsia="TimesNewRoman" w:hAnsi="Times New Roman"/>
          <w:lang w:val="sk-SK"/>
        </w:rPr>
        <w:t>Zahŕňa: artralgiu a menej častú muskuloskeletálnu bolesť, myalgiu a bolesť v končatinách.</w:t>
      </w:r>
    </w:p>
    <w:p w14:paraId="447C8EE1" w14:textId="77777777" w:rsidR="00FC5DBD" w:rsidRPr="000C254D" w:rsidRDefault="00FC5DBD" w:rsidP="004C5B9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vertAlign w:val="superscript"/>
          <w:lang w:val="sk-SK"/>
        </w:rPr>
        <w:t>e</w:t>
      </w:r>
      <w:r w:rsidRPr="000C254D">
        <w:rPr>
          <w:rFonts w:ascii="Times New Roman" w:eastAsia="TimesNewRoman" w:hAnsi="Times New Roman"/>
          <w:lang w:val="sk-SK"/>
        </w:rPr>
        <w:t xml:space="preserve"> </w:t>
      </w:r>
      <w:r w:rsidR="0075586F">
        <w:rPr>
          <w:rFonts w:ascii="Times New Roman" w:eastAsia="TimesNewRoman" w:hAnsi="Times New Roman"/>
          <w:lang w:val="sk-SK"/>
        </w:rPr>
        <w:tab/>
      </w:r>
      <w:r w:rsidRPr="000C254D">
        <w:rPr>
          <w:rFonts w:ascii="Times New Roman" w:eastAsia="TimesNewRoman" w:hAnsi="Times New Roman"/>
          <w:lang w:val="sk-SK"/>
        </w:rPr>
        <w:t>Kategória frekvencie je rozdielna medzi údajmi zo združených analýz bezpečnosti a štúdiou FALCON.</w:t>
      </w:r>
    </w:p>
    <w:p w14:paraId="7982361C" w14:textId="7428676A" w:rsidR="000B2B40" w:rsidRPr="000C254D" w:rsidRDefault="00FC5DBD" w:rsidP="00FC5DBD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vertAlign w:val="superscript"/>
          <w:lang w:val="sk-SK"/>
        </w:rPr>
        <w:t>f</w:t>
      </w:r>
      <w:r w:rsidRPr="000C254D">
        <w:rPr>
          <w:rFonts w:ascii="Times New Roman" w:eastAsia="TimesNewRoman" w:hAnsi="Times New Roman"/>
          <w:lang w:val="sk-SK"/>
        </w:rPr>
        <w:t xml:space="preserve"> </w:t>
      </w:r>
      <w:r w:rsidR="00B033D4">
        <w:rPr>
          <w:rFonts w:ascii="Times New Roman" w:eastAsia="TimesNewRoman" w:hAnsi="Times New Roman"/>
          <w:lang w:val="sk-SK"/>
        </w:rPr>
        <w:t xml:space="preserve">    </w:t>
      </w:r>
      <w:r w:rsidR="0075586F">
        <w:rPr>
          <w:rFonts w:ascii="Times New Roman" w:eastAsia="TimesNewRoman" w:hAnsi="Times New Roman"/>
          <w:lang w:val="sk-SK"/>
        </w:rPr>
        <w:t>Nežiaduca reakcia</w:t>
      </w:r>
      <w:r w:rsidR="0075586F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sa v štúdii FALCON nepozorovala.</w:t>
      </w:r>
    </w:p>
    <w:p w14:paraId="1362D15A" w14:textId="77777777" w:rsidR="00FC5DBD" w:rsidRPr="000C254D" w:rsidRDefault="00FC5DBD" w:rsidP="00FC5DBD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10622DD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Opis vybraných nežiaducich reakcií</w:t>
      </w:r>
    </w:p>
    <w:p w14:paraId="737468D3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Opis uvádzaný nižšie je založený na bezpečnostnej analýze súboru 228 pacientok, ktoré dostali aspoň</w:t>
      </w:r>
    </w:p>
    <w:p w14:paraId="53E6601C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jednu (1) dávku fulvestrantu a 232 pacientok, ktoré dostali aspoň jednu (1) dávku anastrozolu vo fáze</w:t>
      </w:r>
    </w:p>
    <w:p w14:paraId="4801FCF2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3 štúdie FALCON.</w:t>
      </w:r>
    </w:p>
    <w:p w14:paraId="0F51A38A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</w:p>
    <w:p w14:paraId="49FB8D85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0C254D">
        <w:rPr>
          <w:rFonts w:ascii="Times New Roman" w:eastAsia="TimesNewRoman" w:hAnsi="Times New Roman"/>
          <w:i/>
          <w:iCs/>
          <w:lang w:val="sk-SK"/>
        </w:rPr>
        <w:t>Bolesť kĺbov a muskuloskeletálna bolesť</w:t>
      </w:r>
    </w:p>
    <w:p w14:paraId="5270FD7C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štúdii FALCON bol počet pacientok, ktoré hlásili nežiaducu reakciu bolesť kĺbov</w:t>
      </w:r>
    </w:p>
    <w:p w14:paraId="53B9538A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 muskuloskeletálnu bolesť 65 (31,2%) v skupine s fulvestrantom a 48 (24,1%) v skupine</w:t>
      </w:r>
    </w:p>
    <w:p w14:paraId="07C6B8A4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 anastrozolom. Zo 65 pacientok v skupine s </w:t>
      </w:r>
      <w:r w:rsidR="00372E8E" w:rsidRPr="000C254D">
        <w:rPr>
          <w:rFonts w:ascii="Times New Roman" w:eastAsia="TimesNewRoman" w:hAnsi="Times New Roman"/>
          <w:lang w:val="sk-SK"/>
        </w:rPr>
        <w:t xml:space="preserve">fulvestrantom </w:t>
      </w:r>
      <w:r w:rsidRPr="000C254D">
        <w:rPr>
          <w:rFonts w:ascii="Times New Roman" w:eastAsia="TimesNewRoman" w:hAnsi="Times New Roman"/>
          <w:lang w:val="sk-SK"/>
        </w:rPr>
        <w:t>40% (26/65) pacientok hlásilo bolesť kĺbov</w:t>
      </w:r>
    </w:p>
    <w:p w14:paraId="6DA62772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 muskuloskeletálnu bolesť počas prvého mesiaca liečby a 66,2% (43/65) pacientok počas prvých 3</w:t>
      </w:r>
    </w:p>
    <w:p w14:paraId="1A441F47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mesiacov liečby. Žiadna pacientka nehlásila udalosť stupňa ≥ 3 podľa CTCAE, alebo udalosť</w:t>
      </w:r>
    </w:p>
    <w:p w14:paraId="427098C5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vyžadujúcu zníženie dávky, prerušenie dávkovania alebo ukončenie liečby z dôvodu týchto</w:t>
      </w:r>
    </w:p>
    <w:p w14:paraId="74A19D52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nežiaducich reakcií.</w:t>
      </w:r>
    </w:p>
    <w:p w14:paraId="771D583C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</w:p>
    <w:p w14:paraId="3BCEE2F8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0C254D">
        <w:rPr>
          <w:rFonts w:ascii="Times New Roman" w:eastAsia="TimesNewRoman" w:hAnsi="Times New Roman"/>
          <w:i/>
          <w:iCs/>
          <w:lang w:val="sk-SK"/>
        </w:rPr>
        <w:t>Kombinovaná liečba s palbociklibom</w:t>
      </w:r>
    </w:p>
    <w:p w14:paraId="0AE61099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Celkový bezpečnostný profil fulvestrantu pri použití v kombinácii s palbociklibom je založený na</w:t>
      </w:r>
    </w:p>
    <w:p w14:paraId="37178284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údajoch od 517 pacientok s HR-pozitívnym, HER2-negatívnym pokročilým alebo metastatickým</w:t>
      </w:r>
    </w:p>
    <w:p w14:paraId="1BF6DFFE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karcinómom prsníka v randomizovanej štúdii PALOMA3 (pozri časť 5.1). Najčastejšími (≥ 20%)</w:t>
      </w:r>
    </w:p>
    <w:p w14:paraId="68FBC52C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nežiaducimi reakciami akéhokoľvek stupňa, hlásenými u pacientok dostávajúcich fulvestrant</w:t>
      </w:r>
    </w:p>
    <w:p w14:paraId="1DC82824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kombinácii s palbociklibom, boli neutropénia, leukopénia, infekcie, únava, nauzea, anémia,</w:t>
      </w:r>
    </w:p>
    <w:p w14:paraId="22B8A9EC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stomatitída, hnačka a trombocytopénia. Najčastejšími (≥ 2%) nežiaducimi reakciami stupňa ≥ 3 boli</w:t>
      </w:r>
    </w:p>
    <w:p w14:paraId="215B8918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neutropénia, leukopénia, anémia, infekcie, zvýšená hladina AST, trombocytopénia a únava.</w:t>
      </w:r>
    </w:p>
    <w:p w14:paraId="4FA726B3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5A8477B8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tabuľke 2 sú uvedené nežiaduce reakcie zo štúdie PALOMA3.</w:t>
      </w:r>
    </w:p>
    <w:p w14:paraId="26F1ADC1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Medián trvania expozície fulvestrantu bol v skupine s fulvestrantom + palbociklibom 11,2 mesiacov</w:t>
      </w:r>
    </w:p>
    <w:p w14:paraId="20A38BC6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 4,9 mesiacov v skupine s fulvestrantom + placebo. Medián trvania expozície palbociklibu v skupine</w:t>
      </w:r>
    </w:p>
    <w:p w14:paraId="3D35E96C" w14:textId="77777777"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 fulvestrantom + palbociklib bol 10,8 mesiacov.</w:t>
      </w:r>
    </w:p>
    <w:p w14:paraId="58489A71" w14:textId="77777777" w:rsidR="00372E8E" w:rsidRPr="000C254D" w:rsidRDefault="00372E8E" w:rsidP="00FC5DBD">
      <w:pPr>
        <w:spacing w:after="0" w:line="240" w:lineRule="auto"/>
        <w:contextualSpacing/>
        <w:rPr>
          <w:rFonts w:ascii="Times New Roman" w:eastAsia="TimesNewRoman,Bold" w:hAnsi="Times New Roman"/>
          <w:b/>
          <w:bCs/>
          <w:lang w:val="sk-SK"/>
        </w:rPr>
      </w:pPr>
    </w:p>
    <w:p w14:paraId="7459C274" w14:textId="77777777" w:rsidR="00FC5DBD" w:rsidRPr="000C254D" w:rsidRDefault="00FC5DBD" w:rsidP="00FC5DBD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Tabuľka 2 Nežiaduce reakcie zo štúdie PALOMA3 (N=517)</w:t>
      </w:r>
    </w:p>
    <w:p w14:paraId="3285E170" w14:textId="77777777" w:rsidR="00372E8E" w:rsidRPr="000C254D" w:rsidRDefault="00372E8E" w:rsidP="00372E8E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  <w:lang w:val="sk-S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1276"/>
        <w:gridCol w:w="1559"/>
        <w:gridCol w:w="1134"/>
      </w:tblGrid>
      <w:tr w:rsidR="00372E8E" w:rsidRPr="000C254D" w14:paraId="1ABFB8FD" w14:textId="77777777" w:rsidTr="007C41B8">
        <w:trPr>
          <w:trHeight w:val="388"/>
        </w:trPr>
        <w:tc>
          <w:tcPr>
            <w:tcW w:w="4219" w:type="dxa"/>
            <w:vMerge w:val="restart"/>
            <w:shd w:val="clear" w:color="auto" w:fill="auto"/>
          </w:tcPr>
          <w:p w14:paraId="552664EC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Trieda orgánových systémov</w:t>
            </w:r>
          </w:p>
          <w:p w14:paraId="3CFA8667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Frekvencia</w:t>
            </w:r>
          </w:p>
          <w:p w14:paraId="720300FF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Preferovaný termín</w:t>
            </w:r>
            <w:r w:rsidRPr="000C254D">
              <w:rPr>
                <w:rFonts w:ascii="Times New Roman" w:eastAsia="TimesNewRoman,Bold" w:hAnsi="Times New Roman"/>
                <w:b/>
                <w:bCs/>
                <w:vertAlign w:val="superscript"/>
                <w:lang w:val="sk-SK"/>
              </w:rPr>
              <w:t>a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84A1FD5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Fulvestrant + Palbociclib</w:t>
            </w:r>
          </w:p>
          <w:p w14:paraId="4EB42F7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(N=345)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18E5A5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 xml:space="preserve">Fulvestrant + placebo </w:t>
            </w:r>
          </w:p>
          <w:p w14:paraId="7D2BF76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(N=172)</w:t>
            </w:r>
          </w:p>
        </w:tc>
      </w:tr>
      <w:tr w:rsidR="00372E8E" w:rsidRPr="000C254D" w14:paraId="56DD1732" w14:textId="77777777" w:rsidTr="007C41B8">
        <w:trPr>
          <w:trHeight w:val="401"/>
        </w:trPr>
        <w:tc>
          <w:tcPr>
            <w:tcW w:w="4219" w:type="dxa"/>
            <w:vMerge/>
            <w:shd w:val="clear" w:color="auto" w:fill="auto"/>
          </w:tcPr>
          <w:p w14:paraId="482871C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2A22ED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Všetky stupne</w:t>
            </w:r>
          </w:p>
          <w:p w14:paraId="32EBF3D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  <w:tc>
          <w:tcPr>
            <w:tcW w:w="1276" w:type="dxa"/>
            <w:shd w:val="clear" w:color="auto" w:fill="auto"/>
          </w:tcPr>
          <w:p w14:paraId="20F6D4C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Stupeň ≥ 3</w:t>
            </w:r>
          </w:p>
          <w:p w14:paraId="384E97D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  <w:tc>
          <w:tcPr>
            <w:tcW w:w="1559" w:type="dxa"/>
            <w:shd w:val="clear" w:color="auto" w:fill="auto"/>
          </w:tcPr>
          <w:p w14:paraId="3A22CA26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Všetky stupne</w:t>
            </w:r>
          </w:p>
          <w:p w14:paraId="63B1E77F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  <w:tc>
          <w:tcPr>
            <w:tcW w:w="1134" w:type="dxa"/>
            <w:shd w:val="clear" w:color="auto" w:fill="auto"/>
          </w:tcPr>
          <w:p w14:paraId="3B0AEF3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Stupeň ≥ 3</w:t>
            </w:r>
          </w:p>
          <w:p w14:paraId="2D880964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</w:tr>
      <w:tr w:rsidR="00372E8E" w:rsidRPr="000C254D" w14:paraId="0DFEB46F" w14:textId="77777777" w:rsidTr="007C41B8">
        <w:tc>
          <w:tcPr>
            <w:tcW w:w="9747" w:type="dxa"/>
            <w:gridSpan w:val="5"/>
            <w:shd w:val="clear" w:color="auto" w:fill="auto"/>
          </w:tcPr>
          <w:p w14:paraId="7ACFB925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Infekcie a nákazy</w:t>
            </w:r>
          </w:p>
        </w:tc>
      </w:tr>
      <w:tr w:rsidR="00372E8E" w:rsidRPr="000C254D" w14:paraId="40552F97" w14:textId="77777777" w:rsidTr="007C41B8">
        <w:tc>
          <w:tcPr>
            <w:tcW w:w="4219" w:type="dxa"/>
            <w:shd w:val="clear" w:color="auto" w:fill="auto"/>
          </w:tcPr>
          <w:p w14:paraId="7F5CC0B1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2459334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0D0FD5E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338E970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0043B3C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7C926DF7" w14:textId="77777777" w:rsidTr="007C41B8">
        <w:tc>
          <w:tcPr>
            <w:tcW w:w="4219" w:type="dxa"/>
            <w:shd w:val="clear" w:color="auto" w:fill="auto"/>
          </w:tcPr>
          <w:p w14:paraId="1F0F7A3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Infekcie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14:paraId="2FD06759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163 (47.2)</w:t>
            </w:r>
          </w:p>
        </w:tc>
        <w:tc>
          <w:tcPr>
            <w:tcW w:w="1276" w:type="dxa"/>
            <w:shd w:val="clear" w:color="auto" w:fill="auto"/>
          </w:tcPr>
          <w:p w14:paraId="6919933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11 (3.2)</w:t>
            </w:r>
          </w:p>
        </w:tc>
        <w:tc>
          <w:tcPr>
            <w:tcW w:w="1559" w:type="dxa"/>
            <w:shd w:val="clear" w:color="auto" w:fill="auto"/>
          </w:tcPr>
          <w:p w14:paraId="1532065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54 (31.4)</w:t>
            </w:r>
          </w:p>
        </w:tc>
        <w:tc>
          <w:tcPr>
            <w:tcW w:w="1134" w:type="dxa"/>
            <w:shd w:val="clear" w:color="auto" w:fill="auto"/>
          </w:tcPr>
          <w:p w14:paraId="3B2B060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5 (2.9)</w:t>
            </w:r>
          </w:p>
        </w:tc>
      </w:tr>
      <w:tr w:rsidR="00372E8E" w:rsidRPr="000C254D" w14:paraId="219538BC" w14:textId="77777777" w:rsidTr="007C41B8">
        <w:tc>
          <w:tcPr>
            <w:tcW w:w="9747" w:type="dxa"/>
            <w:gridSpan w:val="5"/>
            <w:shd w:val="clear" w:color="auto" w:fill="auto"/>
          </w:tcPr>
          <w:p w14:paraId="1891848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krvi a lymfatického systému</w:t>
            </w:r>
          </w:p>
        </w:tc>
      </w:tr>
      <w:tr w:rsidR="00372E8E" w:rsidRPr="000C254D" w14:paraId="743AA96F" w14:textId="77777777" w:rsidTr="007C41B8">
        <w:tc>
          <w:tcPr>
            <w:tcW w:w="4219" w:type="dxa"/>
            <w:shd w:val="clear" w:color="auto" w:fill="auto"/>
          </w:tcPr>
          <w:p w14:paraId="74AE3F0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5BB54C0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5533A4C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3946460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57F88607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70DF60E2" w14:textId="77777777" w:rsidTr="007C41B8">
        <w:tc>
          <w:tcPr>
            <w:tcW w:w="4219" w:type="dxa"/>
            <w:shd w:val="clear" w:color="auto" w:fill="auto"/>
          </w:tcPr>
          <w:p w14:paraId="098300F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Neutropénia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14:paraId="01C7A32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287 (83.2)</w:t>
            </w:r>
          </w:p>
        </w:tc>
        <w:tc>
          <w:tcPr>
            <w:tcW w:w="1276" w:type="dxa"/>
            <w:shd w:val="clear" w:color="auto" w:fill="auto"/>
          </w:tcPr>
          <w:p w14:paraId="62CB9A5C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228 (66.1)</w:t>
            </w:r>
          </w:p>
        </w:tc>
        <w:tc>
          <w:tcPr>
            <w:tcW w:w="1559" w:type="dxa"/>
            <w:shd w:val="clear" w:color="auto" w:fill="auto"/>
          </w:tcPr>
          <w:p w14:paraId="37EDB14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7 (4.1)</w:t>
            </w:r>
          </w:p>
        </w:tc>
        <w:tc>
          <w:tcPr>
            <w:tcW w:w="1134" w:type="dxa"/>
            <w:shd w:val="clear" w:color="auto" w:fill="auto"/>
          </w:tcPr>
          <w:p w14:paraId="34B723A6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(0.6)</w:t>
            </w:r>
          </w:p>
        </w:tc>
      </w:tr>
      <w:tr w:rsidR="00372E8E" w:rsidRPr="000C254D" w14:paraId="33D61AB6" w14:textId="77777777" w:rsidTr="007C41B8">
        <w:tc>
          <w:tcPr>
            <w:tcW w:w="4219" w:type="dxa"/>
            <w:shd w:val="clear" w:color="auto" w:fill="auto"/>
          </w:tcPr>
          <w:p w14:paraId="4494A62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Leukopénia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14:paraId="15B7F1B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183 (53.0)</w:t>
            </w:r>
          </w:p>
        </w:tc>
        <w:tc>
          <w:tcPr>
            <w:tcW w:w="1276" w:type="dxa"/>
            <w:shd w:val="clear" w:color="auto" w:fill="auto"/>
          </w:tcPr>
          <w:p w14:paraId="4CC13D31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105 (30.4)</w:t>
            </w:r>
          </w:p>
        </w:tc>
        <w:tc>
          <w:tcPr>
            <w:tcW w:w="1559" w:type="dxa"/>
            <w:shd w:val="clear" w:color="auto" w:fill="auto"/>
          </w:tcPr>
          <w:p w14:paraId="2C556BB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9 (5.2)</w:t>
            </w:r>
          </w:p>
        </w:tc>
        <w:tc>
          <w:tcPr>
            <w:tcW w:w="1134" w:type="dxa"/>
            <w:shd w:val="clear" w:color="auto" w:fill="auto"/>
          </w:tcPr>
          <w:p w14:paraId="641279C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(1.2)</w:t>
            </w:r>
          </w:p>
        </w:tc>
      </w:tr>
      <w:tr w:rsidR="00372E8E" w:rsidRPr="000C254D" w14:paraId="65F3CF78" w14:textId="77777777" w:rsidTr="007C41B8">
        <w:tc>
          <w:tcPr>
            <w:tcW w:w="4219" w:type="dxa"/>
            <w:shd w:val="clear" w:color="auto" w:fill="auto"/>
          </w:tcPr>
          <w:p w14:paraId="37CB8F09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Anémia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e</w:t>
            </w:r>
          </w:p>
        </w:tc>
        <w:tc>
          <w:tcPr>
            <w:tcW w:w="1559" w:type="dxa"/>
            <w:shd w:val="clear" w:color="auto" w:fill="auto"/>
          </w:tcPr>
          <w:p w14:paraId="173B1AB9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102 (29.6)</w:t>
            </w:r>
          </w:p>
        </w:tc>
        <w:tc>
          <w:tcPr>
            <w:tcW w:w="1276" w:type="dxa"/>
            <w:shd w:val="clear" w:color="auto" w:fill="auto"/>
          </w:tcPr>
          <w:p w14:paraId="517CE58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12 (3.5)</w:t>
            </w:r>
          </w:p>
        </w:tc>
        <w:tc>
          <w:tcPr>
            <w:tcW w:w="1559" w:type="dxa"/>
            <w:shd w:val="clear" w:color="auto" w:fill="auto"/>
          </w:tcPr>
          <w:p w14:paraId="3F7D457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22 (12.8)</w:t>
            </w:r>
          </w:p>
        </w:tc>
        <w:tc>
          <w:tcPr>
            <w:tcW w:w="1134" w:type="dxa"/>
            <w:shd w:val="clear" w:color="auto" w:fill="auto"/>
          </w:tcPr>
          <w:p w14:paraId="43DF3B54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(1.7)</w:t>
            </w:r>
          </w:p>
        </w:tc>
      </w:tr>
      <w:tr w:rsidR="00372E8E" w:rsidRPr="000C254D" w14:paraId="67388742" w14:textId="77777777" w:rsidTr="007C41B8">
        <w:tc>
          <w:tcPr>
            <w:tcW w:w="4219" w:type="dxa"/>
            <w:shd w:val="clear" w:color="auto" w:fill="auto"/>
          </w:tcPr>
          <w:p w14:paraId="556B1326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Thrombocytopénia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f</w:t>
            </w:r>
          </w:p>
        </w:tc>
        <w:tc>
          <w:tcPr>
            <w:tcW w:w="1559" w:type="dxa"/>
            <w:shd w:val="clear" w:color="auto" w:fill="auto"/>
          </w:tcPr>
          <w:p w14:paraId="07CA698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78 (22.6)</w:t>
            </w:r>
          </w:p>
        </w:tc>
        <w:tc>
          <w:tcPr>
            <w:tcW w:w="1276" w:type="dxa"/>
            <w:shd w:val="clear" w:color="auto" w:fill="auto"/>
          </w:tcPr>
          <w:p w14:paraId="7B3E456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8 (2.3)</w:t>
            </w:r>
          </w:p>
        </w:tc>
        <w:tc>
          <w:tcPr>
            <w:tcW w:w="1559" w:type="dxa"/>
            <w:shd w:val="clear" w:color="auto" w:fill="auto"/>
          </w:tcPr>
          <w:p w14:paraId="1EF8EAC4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 (0.0)</w:t>
            </w:r>
          </w:p>
        </w:tc>
        <w:tc>
          <w:tcPr>
            <w:tcW w:w="1134" w:type="dxa"/>
            <w:shd w:val="clear" w:color="auto" w:fill="auto"/>
          </w:tcPr>
          <w:p w14:paraId="4E532829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0C254D" w14:paraId="5B13F16D" w14:textId="77777777" w:rsidTr="007C41B8">
        <w:tc>
          <w:tcPr>
            <w:tcW w:w="4219" w:type="dxa"/>
            <w:shd w:val="clear" w:color="auto" w:fill="auto"/>
          </w:tcPr>
          <w:p w14:paraId="7EA9CB0F" w14:textId="77777777" w:rsidR="00372E8E" w:rsidRPr="000C254D" w:rsidRDefault="0077236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Menej časté</w:t>
            </w:r>
          </w:p>
        </w:tc>
        <w:tc>
          <w:tcPr>
            <w:tcW w:w="1559" w:type="dxa"/>
            <w:shd w:val="clear" w:color="auto" w:fill="auto"/>
          </w:tcPr>
          <w:p w14:paraId="52E007B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7794EEB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2795D5C4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3A36958C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2AC7ADEC" w14:textId="77777777" w:rsidTr="007C41B8">
        <w:tc>
          <w:tcPr>
            <w:tcW w:w="4219" w:type="dxa"/>
            <w:shd w:val="clear" w:color="auto" w:fill="auto"/>
          </w:tcPr>
          <w:p w14:paraId="2721CD1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Febril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ná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neutrop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é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nia</w:t>
            </w:r>
          </w:p>
        </w:tc>
        <w:tc>
          <w:tcPr>
            <w:tcW w:w="1559" w:type="dxa"/>
            <w:shd w:val="clear" w:color="auto" w:fill="auto"/>
          </w:tcPr>
          <w:p w14:paraId="56C509A6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(0.9)</w:t>
            </w:r>
          </w:p>
        </w:tc>
        <w:tc>
          <w:tcPr>
            <w:tcW w:w="1276" w:type="dxa"/>
            <w:shd w:val="clear" w:color="auto" w:fill="auto"/>
          </w:tcPr>
          <w:p w14:paraId="60100489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(0.9)</w:t>
            </w:r>
          </w:p>
        </w:tc>
        <w:tc>
          <w:tcPr>
            <w:tcW w:w="1559" w:type="dxa"/>
            <w:shd w:val="clear" w:color="auto" w:fill="auto"/>
          </w:tcPr>
          <w:p w14:paraId="618AF6C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(0.6)</w:t>
            </w:r>
          </w:p>
        </w:tc>
        <w:tc>
          <w:tcPr>
            <w:tcW w:w="1134" w:type="dxa"/>
            <w:shd w:val="clear" w:color="auto" w:fill="auto"/>
          </w:tcPr>
          <w:p w14:paraId="2B2AFA0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(0.6)</w:t>
            </w:r>
          </w:p>
        </w:tc>
      </w:tr>
      <w:tr w:rsidR="00372E8E" w:rsidRPr="000C254D" w14:paraId="38732786" w14:textId="77777777" w:rsidTr="007C41B8">
        <w:tc>
          <w:tcPr>
            <w:tcW w:w="9747" w:type="dxa"/>
            <w:gridSpan w:val="5"/>
            <w:shd w:val="clear" w:color="auto" w:fill="auto"/>
          </w:tcPr>
          <w:p w14:paraId="49681179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metabolizmu a výživy</w:t>
            </w:r>
          </w:p>
        </w:tc>
      </w:tr>
      <w:tr w:rsidR="00372E8E" w:rsidRPr="000C254D" w14:paraId="55D3018A" w14:textId="77777777" w:rsidTr="007C41B8">
        <w:tc>
          <w:tcPr>
            <w:tcW w:w="4219" w:type="dxa"/>
            <w:shd w:val="clear" w:color="auto" w:fill="auto"/>
          </w:tcPr>
          <w:p w14:paraId="34C00DF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46E528E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605F142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3A9463F9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69CC1874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3EBBBEB8" w14:textId="77777777" w:rsidTr="007C41B8">
        <w:tc>
          <w:tcPr>
            <w:tcW w:w="4219" w:type="dxa"/>
            <w:shd w:val="clear" w:color="auto" w:fill="auto"/>
          </w:tcPr>
          <w:p w14:paraId="1AEEFE7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Znížená chuť do jedla</w:t>
            </w:r>
          </w:p>
        </w:tc>
        <w:tc>
          <w:tcPr>
            <w:tcW w:w="1559" w:type="dxa"/>
            <w:shd w:val="clear" w:color="auto" w:fill="auto"/>
          </w:tcPr>
          <w:p w14:paraId="5DA44A2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55 (15.9)</w:t>
            </w:r>
          </w:p>
        </w:tc>
        <w:tc>
          <w:tcPr>
            <w:tcW w:w="1276" w:type="dxa"/>
            <w:shd w:val="clear" w:color="auto" w:fill="auto"/>
          </w:tcPr>
          <w:p w14:paraId="02BDCC35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(0.9)</w:t>
            </w:r>
          </w:p>
        </w:tc>
        <w:tc>
          <w:tcPr>
            <w:tcW w:w="1559" w:type="dxa"/>
            <w:shd w:val="clear" w:color="auto" w:fill="auto"/>
          </w:tcPr>
          <w:p w14:paraId="464FC167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14 (8.1)</w:t>
            </w:r>
          </w:p>
        </w:tc>
        <w:tc>
          <w:tcPr>
            <w:tcW w:w="1134" w:type="dxa"/>
            <w:shd w:val="clear" w:color="auto" w:fill="auto"/>
          </w:tcPr>
          <w:p w14:paraId="7CBB7671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(0.6)</w:t>
            </w:r>
          </w:p>
        </w:tc>
      </w:tr>
      <w:tr w:rsidR="00372E8E" w:rsidRPr="000C254D" w14:paraId="14F752FE" w14:textId="77777777" w:rsidTr="007C41B8">
        <w:tc>
          <w:tcPr>
            <w:tcW w:w="9747" w:type="dxa"/>
            <w:gridSpan w:val="5"/>
            <w:shd w:val="clear" w:color="auto" w:fill="auto"/>
          </w:tcPr>
          <w:p w14:paraId="4390617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nervového systému</w:t>
            </w:r>
          </w:p>
        </w:tc>
      </w:tr>
      <w:tr w:rsidR="00372E8E" w:rsidRPr="000C254D" w14:paraId="6D30DADA" w14:textId="77777777" w:rsidTr="007C41B8">
        <w:tc>
          <w:tcPr>
            <w:tcW w:w="4219" w:type="dxa"/>
            <w:shd w:val="clear" w:color="auto" w:fill="auto"/>
          </w:tcPr>
          <w:p w14:paraId="6F37A86C" w14:textId="77777777" w:rsidR="00372E8E" w:rsidRPr="000C254D" w:rsidRDefault="0077236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</w:tcPr>
          <w:p w14:paraId="4545226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0844D9D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4664847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72EF9B97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3B22155F" w14:textId="77777777" w:rsidTr="007C41B8">
        <w:tc>
          <w:tcPr>
            <w:tcW w:w="4219" w:type="dxa"/>
            <w:shd w:val="clear" w:color="auto" w:fill="auto"/>
          </w:tcPr>
          <w:p w14:paraId="0648C5B9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Dysge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úz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ia</w:t>
            </w:r>
          </w:p>
        </w:tc>
        <w:tc>
          <w:tcPr>
            <w:tcW w:w="1559" w:type="dxa"/>
            <w:shd w:val="clear" w:color="auto" w:fill="auto"/>
          </w:tcPr>
          <w:p w14:paraId="30D60CA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23 (6.7)</w:t>
            </w:r>
          </w:p>
        </w:tc>
        <w:tc>
          <w:tcPr>
            <w:tcW w:w="1276" w:type="dxa"/>
            <w:shd w:val="clear" w:color="auto" w:fill="auto"/>
          </w:tcPr>
          <w:p w14:paraId="1EB0DA6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1B6A86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5 (2.9)</w:t>
            </w:r>
          </w:p>
        </w:tc>
        <w:tc>
          <w:tcPr>
            <w:tcW w:w="1134" w:type="dxa"/>
            <w:shd w:val="clear" w:color="auto" w:fill="auto"/>
          </w:tcPr>
          <w:p w14:paraId="5767909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0C254D" w14:paraId="3A6A9586" w14:textId="77777777" w:rsidTr="007C41B8">
        <w:tc>
          <w:tcPr>
            <w:tcW w:w="9747" w:type="dxa"/>
            <w:gridSpan w:val="5"/>
            <w:shd w:val="clear" w:color="auto" w:fill="auto"/>
          </w:tcPr>
          <w:p w14:paraId="259AB04F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oka</w:t>
            </w:r>
          </w:p>
        </w:tc>
      </w:tr>
      <w:tr w:rsidR="00372E8E" w:rsidRPr="000C254D" w14:paraId="35747F05" w14:textId="77777777" w:rsidTr="007C41B8">
        <w:tc>
          <w:tcPr>
            <w:tcW w:w="4219" w:type="dxa"/>
            <w:shd w:val="clear" w:color="auto" w:fill="auto"/>
          </w:tcPr>
          <w:p w14:paraId="25F712D1" w14:textId="77777777" w:rsidR="00372E8E" w:rsidRPr="000C254D" w:rsidRDefault="0077236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</w:tcPr>
          <w:p w14:paraId="1299AD4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2C9A207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2FDD3A1F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550B8184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1FF35A5A" w14:textId="77777777" w:rsidTr="007C41B8">
        <w:tc>
          <w:tcPr>
            <w:tcW w:w="4219" w:type="dxa"/>
            <w:shd w:val="clear" w:color="auto" w:fill="auto"/>
          </w:tcPr>
          <w:p w14:paraId="5139A307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Zvýšené slzenie</w:t>
            </w:r>
          </w:p>
        </w:tc>
        <w:tc>
          <w:tcPr>
            <w:tcW w:w="1559" w:type="dxa"/>
            <w:shd w:val="clear" w:color="auto" w:fill="auto"/>
          </w:tcPr>
          <w:p w14:paraId="2B3036EF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22 (6.4)</w:t>
            </w:r>
          </w:p>
        </w:tc>
        <w:tc>
          <w:tcPr>
            <w:tcW w:w="1276" w:type="dxa"/>
            <w:shd w:val="clear" w:color="auto" w:fill="auto"/>
          </w:tcPr>
          <w:p w14:paraId="73B83E2C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E36058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(1.2)</w:t>
            </w:r>
          </w:p>
        </w:tc>
        <w:tc>
          <w:tcPr>
            <w:tcW w:w="1134" w:type="dxa"/>
            <w:shd w:val="clear" w:color="auto" w:fill="auto"/>
          </w:tcPr>
          <w:p w14:paraId="797F33C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0C254D" w14:paraId="50734A08" w14:textId="77777777" w:rsidTr="007C41B8">
        <w:tc>
          <w:tcPr>
            <w:tcW w:w="4219" w:type="dxa"/>
            <w:shd w:val="clear" w:color="auto" w:fill="auto"/>
          </w:tcPr>
          <w:p w14:paraId="55DDF38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Rozmazané videnie</w:t>
            </w:r>
          </w:p>
        </w:tc>
        <w:tc>
          <w:tcPr>
            <w:tcW w:w="1559" w:type="dxa"/>
            <w:shd w:val="clear" w:color="auto" w:fill="auto"/>
          </w:tcPr>
          <w:p w14:paraId="3ED565A7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20 (5.8)</w:t>
            </w:r>
          </w:p>
        </w:tc>
        <w:tc>
          <w:tcPr>
            <w:tcW w:w="1276" w:type="dxa"/>
            <w:shd w:val="clear" w:color="auto" w:fill="auto"/>
          </w:tcPr>
          <w:p w14:paraId="1BA9940F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3A1B58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(1.7)</w:t>
            </w:r>
          </w:p>
        </w:tc>
        <w:tc>
          <w:tcPr>
            <w:tcW w:w="1134" w:type="dxa"/>
            <w:shd w:val="clear" w:color="auto" w:fill="auto"/>
          </w:tcPr>
          <w:p w14:paraId="7DBCD639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0C254D" w14:paraId="0CFBDF8A" w14:textId="77777777" w:rsidTr="007C41B8">
        <w:tc>
          <w:tcPr>
            <w:tcW w:w="4219" w:type="dxa"/>
            <w:shd w:val="clear" w:color="auto" w:fill="auto"/>
          </w:tcPr>
          <w:p w14:paraId="71EC0286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Suché oko</w:t>
            </w:r>
          </w:p>
        </w:tc>
        <w:tc>
          <w:tcPr>
            <w:tcW w:w="1559" w:type="dxa"/>
            <w:shd w:val="clear" w:color="auto" w:fill="auto"/>
          </w:tcPr>
          <w:p w14:paraId="0629C4EC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13 (3.8)</w:t>
            </w:r>
          </w:p>
        </w:tc>
        <w:tc>
          <w:tcPr>
            <w:tcW w:w="1276" w:type="dxa"/>
            <w:shd w:val="clear" w:color="auto" w:fill="auto"/>
          </w:tcPr>
          <w:p w14:paraId="0B743721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473929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(1.7)</w:t>
            </w:r>
          </w:p>
        </w:tc>
        <w:tc>
          <w:tcPr>
            <w:tcW w:w="1134" w:type="dxa"/>
            <w:shd w:val="clear" w:color="auto" w:fill="auto"/>
          </w:tcPr>
          <w:p w14:paraId="60CBFED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0C254D" w14:paraId="706E8D95" w14:textId="77777777" w:rsidTr="007C41B8">
        <w:tc>
          <w:tcPr>
            <w:tcW w:w="9747" w:type="dxa"/>
            <w:gridSpan w:val="5"/>
            <w:shd w:val="clear" w:color="auto" w:fill="auto"/>
          </w:tcPr>
          <w:p w14:paraId="35BB606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dýchacej sústavy, hrudníka a mediastína</w:t>
            </w:r>
          </w:p>
        </w:tc>
      </w:tr>
      <w:tr w:rsidR="00372E8E" w:rsidRPr="000C254D" w14:paraId="7B9175BF" w14:textId="77777777" w:rsidTr="007C41B8">
        <w:tc>
          <w:tcPr>
            <w:tcW w:w="4219" w:type="dxa"/>
            <w:shd w:val="clear" w:color="auto" w:fill="auto"/>
          </w:tcPr>
          <w:p w14:paraId="5C3A8D7B" w14:textId="77777777" w:rsidR="00372E8E" w:rsidRPr="000C254D" w:rsidRDefault="0077236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</w:tcPr>
          <w:p w14:paraId="4D52875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721FF94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4FAA708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58ACE31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59523F91" w14:textId="77777777" w:rsidTr="007C41B8">
        <w:tc>
          <w:tcPr>
            <w:tcW w:w="4219" w:type="dxa"/>
            <w:shd w:val="clear" w:color="auto" w:fill="auto"/>
          </w:tcPr>
          <w:p w14:paraId="165F12A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Epista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xa</w:t>
            </w:r>
          </w:p>
        </w:tc>
        <w:tc>
          <w:tcPr>
            <w:tcW w:w="1559" w:type="dxa"/>
            <w:shd w:val="clear" w:color="auto" w:fill="auto"/>
          </w:tcPr>
          <w:p w14:paraId="585B6AA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23 (6.7)</w:t>
            </w:r>
          </w:p>
        </w:tc>
        <w:tc>
          <w:tcPr>
            <w:tcW w:w="1276" w:type="dxa"/>
            <w:shd w:val="clear" w:color="auto" w:fill="auto"/>
          </w:tcPr>
          <w:p w14:paraId="46178EA4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0C7FAB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(1.7)</w:t>
            </w:r>
          </w:p>
        </w:tc>
        <w:tc>
          <w:tcPr>
            <w:tcW w:w="1134" w:type="dxa"/>
            <w:shd w:val="clear" w:color="auto" w:fill="auto"/>
          </w:tcPr>
          <w:p w14:paraId="62EA808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0C254D" w14:paraId="76FD8F3F" w14:textId="77777777" w:rsidTr="007C41B8">
        <w:tc>
          <w:tcPr>
            <w:tcW w:w="9747" w:type="dxa"/>
            <w:gridSpan w:val="5"/>
            <w:shd w:val="clear" w:color="auto" w:fill="auto"/>
          </w:tcPr>
          <w:p w14:paraId="435D8D2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gastrointestinálneho traktu</w:t>
            </w:r>
          </w:p>
        </w:tc>
      </w:tr>
      <w:tr w:rsidR="00372E8E" w:rsidRPr="000C254D" w14:paraId="6BBCECF3" w14:textId="77777777" w:rsidTr="007C41B8">
        <w:tc>
          <w:tcPr>
            <w:tcW w:w="4219" w:type="dxa"/>
            <w:shd w:val="clear" w:color="auto" w:fill="auto"/>
          </w:tcPr>
          <w:p w14:paraId="786D61E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17523BE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48D1DEE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3661C5D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5FEEEB1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41CB431D" w14:textId="77777777" w:rsidTr="007C41B8">
        <w:tc>
          <w:tcPr>
            <w:tcW w:w="4219" w:type="dxa"/>
            <w:shd w:val="clear" w:color="auto" w:fill="auto"/>
          </w:tcPr>
          <w:p w14:paraId="49DB173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Nau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z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ea</w:t>
            </w:r>
          </w:p>
        </w:tc>
        <w:tc>
          <w:tcPr>
            <w:tcW w:w="1559" w:type="dxa"/>
            <w:shd w:val="clear" w:color="auto" w:fill="auto"/>
          </w:tcPr>
          <w:p w14:paraId="7515A8CF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117 (33.9)</w:t>
            </w:r>
          </w:p>
        </w:tc>
        <w:tc>
          <w:tcPr>
            <w:tcW w:w="1276" w:type="dxa"/>
            <w:shd w:val="clear" w:color="auto" w:fill="auto"/>
          </w:tcPr>
          <w:p w14:paraId="5AFA109F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65C94A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48 (27.9)</w:t>
            </w:r>
          </w:p>
        </w:tc>
        <w:tc>
          <w:tcPr>
            <w:tcW w:w="1134" w:type="dxa"/>
            <w:shd w:val="clear" w:color="auto" w:fill="auto"/>
          </w:tcPr>
          <w:p w14:paraId="68C0A6C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(0.6)</w:t>
            </w:r>
          </w:p>
        </w:tc>
      </w:tr>
      <w:tr w:rsidR="00372E8E" w:rsidRPr="000C254D" w14:paraId="587E3778" w14:textId="77777777" w:rsidTr="007C41B8">
        <w:tc>
          <w:tcPr>
            <w:tcW w:w="4219" w:type="dxa"/>
            <w:shd w:val="clear" w:color="auto" w:fill="auto"/>
          </w:tcPr>
          <w:p w14:paraId="2DDA7E1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Stomatit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ída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g</w:t>
            </w:r>
          </w:p>
        </w:tc>
        <w:tc>
          <w:tcPr>
            <w:tcW w:w="1559" w:type="dxa"/>
            <w:shd w:val="clear" w:color="auto" w:fill="auto"/>
          </w:tcPr>
          <w:p w14:paraId="3222ED14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97 (28.1)</w:t>
            </w:r>
          </w:p>
        </w:tc>
        <w:tc>
          <w:tcPr>
            <w:tcW w:w="1276" w:type="dxa"/>
            <w:shd w:val="clear" w:color="auto" w:fill="auto"/>
          </w:tcPr>
          <w:p w14:paraId="00EDD3C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(0.6)</w:t>
            </w:r>
          </w:p>
        </w:tc>
        <w:tc>
          <w:tcPr>
            <w:tcW w:w="1559" w:type="dxa"/>
            <w:shd w:val="clear" w:color="auto" w:fill="auto"/>
          </w:tcPr>
          <w:p w14:paraId="3EE19BDC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22 (12.8)</w:t>
            </w:r>
          </w:p>
        </w:tc>
        <w:tc>
          <w:tcPr>
            <w:tcW w:w="1134" w:type="dxa"/>
            <w:shd w:val="clear" w:color="auto" w:fill="auto"/>
          </w:tcPr>
          <w:p w14:paraId="70250D5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0C254D" w14:paraId="43BB8F6E" w14:textId="77777777" w:rsidTr="007C41B8">
        <w:tc>
          <w:tcPr>
            <w:tcW w:w="4219" w:type="dxa"/>
            <w:shd w:val="clear" w:color="auto" w:fill="auto"/>
          </w:tcPr>
          <w:p w14:paraId="7D22E78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Hnačka</w:t>
            </w:r>
          </w:p>
        </w:tc>
        <w:tc>
          <w:tcPr>
            <w:tcW w:w="1559" w:type="dxa"/>
            <w:shd w:val="clear" w:color="auto" w:fill="auto"/>
          </w:tcPr>
          <w:p w14:paraId="3F185C2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81 (23.5)</w:t>
            </w:r>
          </w:p>
        </w:tc>
        <w:tc>
          <w:tcPr>
            <w:tcW w:w="1276" w:type="dxa"/>
            <w:shd w:val="clear" w:color="auto" w:fill="auto"/>
          </w:tcPr>
          <w:p w14:paraId="24948D81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20543F5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33 (19.2)</w:t>
            </w:r>
          </w:p>
        </w:tc>
        <w:tc>
          <w:tcPr>
            <w:tcW w:w="1134" w:type="dxa"/>
            <w:shd w:val="clear" w:color="auto" w:fill="auto"/>
          </w:tcPr>
          <w:p w14:paraId="4F0D13C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(1.2)</w:t>
            </w:r>
          </w:p>
        </w:tc>
      </w:tr>
      <w:tr w:rsidR="00372E8E" w:rsidRPr="000C254D" w14:paraId="22816F38" w14:textId="77777777" w:rsidTr="007C41B8">
        <w:tc>
          <w:tcPr>
            <w:tcW w:w="4219" w:type="dxa"/>
            <w:shd w:val="clear" w:color="auto" w:fill="auto"/>
          </w:tcPr>
          <w:p w14:paraId="0D7A5145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Vracanie</w:t>
            </w:r>
          </w:p>
        </w:tc>
        <w:tc>
          <w:tcPr>
            <w:tcW w:w="1559" w:type="dxa"/>
            <w:shd w:val="clear" w:color="auto" w:fill="auto"/>
          </w:tcPr>
          <w:p w14:paraId="288C838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65 (18.8)</w:t>
            </w:r>
          </w:p>
        </w:tc>
        <w:tc>
          <w:tcPr>
            <w:tcW w:w="1276" w:type="dxa"/>
            <w:shd w:val="clear" w:color="auto" w:fill="auto"/>
          </w:tcPr>
          <w:p w14:paraId="319ECC7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(0.6)</w:t>
            </w:r>
          </w:p>
        </w:tc>
        <w:tc>
          <w:tcPr>
            <w:tcW w:w="1559" w:type="dxa"/>
            <w:shd w:val="clear" w:color="auto" w:fill="auto"/>
          </w:tcPr>
          <w:p w14:paraId="34173685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26 (15.1)</w:t>
            </w:r>
          </w:p>
        </w:tc>
        <w:tc>
          <w:tcPr>
            <w:tcW w:w="1134" w:type="dxa"/>
            <w:shd w:val="clear" w:color="auto" w:fill="auto"/>
          </w:tcPr>
          <w:p w14:paraId="799349C1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(0.6)</w:t>
            </w:r>
          </w:p>
        </w:tc>
      </w:tr>
      <w:tr w:rsidR="00372E8E" w:rsidRPr="000C254D" w14:paraId="0EDD9D68" w14:textId="77777777" w:rsidTr="007C41B8">
        <w:tc>
          <w:tcPr>
            <w:tcW w:w="9747" w:type="dxa"/>
            <w:gridSpan w:val="5"/>
            <w:shd w:val="clear" w:color="auto" w:fill="auto"/>
          </w:tcPr>
          <w:p w14:paraId="5A9485C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kože a podkožného tkaniva</w:t>
            </w:r>
          </w:p>
        </w:tc>
      </w:tr>
      <w:tr w:rsidR="00372E8E" w:rsidRPr="000C254D" w14:paraId="2E1EEB07" w14:textId="77777777" w:rsidTr="007C41B8">
        <w:tc>
          <w:tcPr>
            <w:tcW w:w="4219" w:type="dxa"/>
            <w:shd w:val="clear" w:color="auto" w:fill="auto"/>
          </w:tcPr>
          <w:p w14:paraId="66EC5E65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14EE2AB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0FE8DEFC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73BF27BC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07644E5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651482A4" w14:textId="77777777" w:rsidTr="007C41B8">
        <w:tc>
          <w:tcPr>
            <w:tcW w:w="4219" w:type="dxa"/>
            <w:shd w:val="clear" w:color="auto" w:fill="auto"/>
          </w:tcPr>
          <w:p w14:paraId="732B2995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Alop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é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cia</w:t>
            </w:r>
          </w:p>
        </w:tc>
        <w:tc>
          <w:tcPr>
            <w:tcW w:w="1559" w:type="dxa"/>
            <w:shd w:val="clear" w:color="auto" w:fill="auto"/>
          </w:tcPr>
          <w:p w14:paraId="59E72241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62 (18.0)</w:t>
            </w:r>
          </w:p>
        </w:tc>
        <w:tc>
          <w:tcPr>
            <w:tcW w:w="1276" w:type="dxa"/>
            <w:shd w:val="clear" w:color="auto" w:fill="auto"/>
          </w:tcPr>
          <w:p w14:paraId="1319EB76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46ACB2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11 (6.4)</w:t>
            </w:r>
          </w:p>
        </w:tc>
        <w:tc>
          <w:tcPr>
            <w:tcW w:w="1134" w:type="dxa"/>
            <w:shd w:val="clear" w:color="auto" w:fill="auto"/>
          </w:tcPr>
          <w:p w14:paraId="7000ADB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0C254D" w14:paraId="7F723448" w14:textId="77777777" w:rsidTr="007C41B8">
        <w:tc>
          <w:tcPr>
            <w:tcW w:w="4219" w:type="dxa"/>
            <w:shd w:val="clear" w:color="auto" w:fill="auto"/>
          </w:tcPr>
          <w:p w14:paraId="5EE4CCE1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Vyrážka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h</w:t>
            </w:r>
          </w:p>
        </w:tc>
        <w:tc>
          <w:tcPr>
            <w:tcW w:w="1559" w:type="dxa"/>
            <w:shd w:val="clear" w:color="auto" w:fill="auto"/>
          </w:tcPr>
          <w:p w14:paraId="0A94C4E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58 (16.8)</w:t>
            </w:r>
          </w:p>
        </w:tc>
        <w:tc>
          <w:tcPr>
            <w:tcW w:w="1276" w:type="dxa"/>
            <w:shd w:val="clear" w:color="auto" w:fill="auto"/>
          </w:tcPr>
          <w:p w14:paraId="0851D039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(0.6)</w:t>
            </w:r>
          </w:p>
        </w:tc>
        <w:tc>
          <w:tcPr>
            <w:tcW w:w="1559" w:type="dxa"/>
            <w:shd w:val="clear" w:color="auto" w:fill="auto"/>
          </w:tcPr>
          <w:p w14:paraId="45ADBE1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11 (6.4)</w:t>
            </w:r>
          </w:p>
        </w:tc>
        <w:tc>
          <w:tcPr>
            <w:tcW w:w="1134" w:type="dxa"/>
            <w:shd w:val="clear" w:color="auto" w:fill="auto"/>
          </w:tcPr>
          <w:p w14:paraId="3561AE8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0C254D" w14:paraId="5643F0D1" w14:textId="77777777" w:rsidTr="007C41B8">
        <w:tc>
          <w:tcPr>
            <w:tcW w:w="4219" w:type="dxa"/>
            <w:shd w:val="clear" w:color="auto" w:fill="auto"/>
          </w:tcPr>
          <w:p w14:paraId="5B4C9EEC" w14:textId="77777777" w:rsidR="00372E8E" w:rsidRPr="000C254D" w:rsidRDefault="0077236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</w:tcPr>
          <w:p w14:paraId="2579ABD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47C10981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3966384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4B74ADFF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450B37F3" w14:textId="77777777" w:rsidTr="007C41B8">
        <w:tc>
          <w:tcPr>
            <w:tcW w:w="4219" w:type="dxa"/>
            <w:shd w:val="clear" w:color="auto" w:fill="auto"/>
          </w:tcPr>
          <w:p w14:paraId="077A725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Suchá koža</w:t>
            </w:r>
          </w:p>
        </w:tc>
        <w:tc>
          <w:tcPr>
            <w:tcW w:w="1559" w:type="dxa"/>
            <w:shd w:val="clear" w:color="auto" w:fill="auto"/>
          </w:tcPr>
          <w:p w14:paraId="7F8078F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21 (6.1)</w:t>
            </w:r>
          </w:p>
        </w:tc>
        <w:tc>
          <w:tcPr>
            <w:tcW w:w="1276" w:type="dxa"/>
            <w:shd w:val="clear" w:color="auto" w:fill="auto"/>
          </w:tcPr>
          <w:p w14:paraId="7EACCED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688739C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(1.2)</w:t>
            </w:r>
          </w:p>
        </w:tc>
        <w:tc>
          <w:tcPr>
            <w:tcW w:w="1134" w:type="dxa"/>
            <w:shd w:val="clear" w:color="auto" w:fill="auto"/>
          </w:tcPr>
          <w:p w14:paraId="7BC80F9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0C254D" w14:paraId="514D4105" w14:textId="77777777" w:rsidTr="007C41B8">
        <w:tc>
          <w:tcPr>
            <w:tcW w:w="9747" w:type="dxa"/>
            <w:gridSpan w:val="5"/>
            <w:shd w:val="clear" w:color="auto" w:fill="auto"/>
          </w:tcPr>
          <w:p w14:paraId="5A6E375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Celkové poruchy a reakcie v mieste podania</w:t>
            </w:r>
          </w:p>
        </w:tc>
      </w:tr>
      <w:tr w:rsidR="00372E8E" w:rsidRPr="000C254D" w14:paraId="29175CDE" w14:textId="77777777" w:rsidTr="007C41B8">
        <w:tc>
          <w:tcPr>
            <w:tcW w:w="4219" w:type="dxa"/>
            <w:shd w:val="clear" w:color="auto" w:fill="auto"/>
          </w:tcPr>
          <w:p w14:paraId="1BC43CC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525D5219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612369D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269F3D8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4607821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2259128C" w14:textId="77777777" w:rsidTr="007C41B8">
        <w:tc>
          <w:tcPr>
            <w:tcW w:w="4219" w:type="dxa"/>
            <w:shd w:val="clear" w:color="auto" w:fill="auto"/>
          </w:tcPr>
          <w:p w14:paraId="00526B5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Únava</w:t>
            </w:r>
          </w:p>
        </w:tc>
        <w:tc>
          <w:tcPr>
            <w:tcW w:w="1559" w:type="dxa"/>
            <w:shd w:val="clear" w:color="auto" w:fill="auto"/>
          </w:tcPr>
          <w:p w14:paraId="74EBE4E1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142 (41.2)</w:t>
            </w:r>
          </w:p>
        </w:tc>
        <w:tc>
          <w:tcPr>
            <w:tcW w:w="1276" w:type="dxa"/>
            <w:shd w:val="clear" w:color="auto" w:fill="auto"/>
          </w:tcPr>
          <w:p w14:paraId="18B87F8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8 (2.3)</w:t>
            </w:r>
          </w:p>
        </w:tc>
        <w:tc>
          <w:tcPr>
            <w:tcW w:w="1559" w:type="dxa"/>
            <w:shd w:val="clear" w:color="auto" w:fill="auto"/>
          </w:tcPr>
          <w:p w14:paraId="79005226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50 (29.1)</w:t>
            </w:r>
          </w:p>
        </w:tc>
        <w:tc>
          <w:tcPr>
            <w:tcW w:w="1134" w:type="dxa"/>
            <w:shd w:val="clear" w:color="auto" w:fill="auto"/>
          </w:tcPr>
          <w:p w14:paraId="1C5C774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 (1.2)</w:t>
            </w:r>
          </w:p>
        </w:tc>
      </w:tr>
      <w:tr w:rsidR="00372E8E" w:rsidRPr="000C254D" w14:paraId="11EF696B" w14:textId="77777777" w:rsidTr="007C41B8">
        <w:tc>
          <w:tcPr>
            <w:tcW w:w="4219" w:type="dxa"/>
            <w:shd w:val="clear" w:color="auto" w:fill="auto"/>
          </w:tcPr>
          <w:p w14:paraId="4E295555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Pyrexia</w:t>
            </w:r>
          </w:p>
        </w:tc>
        <w:tc>
          <w:tcPr>
            <w:tcW w:w="1559" w:type="dxa"/>
            <w:shd w:val="clear" w:color="auto" w:fill="auto"/>
          </w:tcPr>
          <w:p w14:paraId="22BB7AD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44 (12.8)</w:t>
            </w:r>
          </w:p>
        </w:tc>
        <w:tc>
          <w:tcPr>
            <w:tcW w:w="1276" w:type="dxa"/>
            <w:shd w:val="clear" w:color="auto" w:fill="auto"/>
          </w:tcPr>
          <w:p w14:paraId="0D655A16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(0.3)</w:t>
            </w:r>
          </w:p>
        </w:tc>
        <w:tc>
          <w:tcPr>
            <w:tcW w:w="1559" w:type="dxa"/>
            <w:shd w:val="clear" w:color="auto" w:fill="auto"/>
          </w:tcPr>
          <w:p w14:paraId="043DC3C1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9 (5.2)</w:t>
            </w:r>
          </w:p>
        </w:tc>
        <w:tc>
          <w:tcPr>
            <w:tcW w:w="1134" w:type="dxa"/>
            <w:shd w:val="clear" w:color="auto" w:fill="auto"/>
          </w:tcPr>
          <w:p w14:paraId="508B7AB6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0C254D" w14:paraId="19D7A791" w14:textId="77777777" w:rsidTr="007C41B8">
        <w:tc>
          <w:tcPr>
            <w:tcW w:w="4219" w:type="dxa"/>
            <w:shd w:val="clear" w:color="auto" w:fill="auto"/>
          </w:tcPr>
          <w:p w14:paraId="28ABE46C" w14:textId="77777777" w:rsidR="00372E8E" w:rsidRPr="000C254D" w:rsidRDefault="0077236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</w:tcPr>
          <w:p w14:paraId="6566BFB3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31D52645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92A02A7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3BB4957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088D3468" w14:textId="77777777" w:rsidTr="007C41B8">
        <w:tc>
          <w:tcPr>
            <w:tcW w:w="4219" w:type="dxa"/>
            <w:shd w:val="clear" w:color="auto" w:fill="auto"/>
          </w:tcPr>
          <w:p w14:paraId="01442046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Ast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é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nia</w:t>
            </w:r>
          </w:p>
        </w:tc>
        <w:tc>
          <w:tcPr>
            <w:tcW w:w="1559" w:type="dxa"/>
            <w:shd w:val="clear" w:color="auto" w:fill="auto"/>
          </w:tcPr>
          <w:p w14:paraId="2D96D28E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26 (7.5) </w:t>
            </w:r>
          </w:p>
        </w:tc>
        <w:tc>
          <w:tcPr>
            <w:tcW w:w="1276" w:type="dxa"/>
            <w:shd w:val="clear" w:color="auto" w:fill="auto"/>
          </w:tcPr>
          <w:p w14:paraId="0E18631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89F002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9 (5.2)</w:t>
            </w:r>
          </w:p>
        </w:tc>
        <w:tc>
          <w:tcPr>
            <w:tcW w:w="1134" w:type="dxa"/>
            <w:shd w:val="clear" w:color="auto" w:fill="auto"/>
          </w:tcPr>
          <w:p w14:paraId="66D4B0B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 (0.6)</w:t>
            </w:r>
          </w:p>
        </w:tc>
      </w:tr>
      <w:tr w:rsidR="00372E8E" w:rsidRPr="000C254D" w14:paraId="67E8607E" w14:textId="77777777" w:rsidTr="007C41B8">
        <w:tc>
          <w:tcPr>
            <w:tcW w:w="9747" w:type="dxa"/>
            <w:gridSpan w:val="5"/>
            <w:shd w:val="clear" w:color="auto" w:fill="auto"/>
          </w:tcPr>
          <w:p w14:paraId="2C2022E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Laboratórne vyšetrenia</w:t>
            </w:r>
          </w:p>
        </w:tc>
      </w:tr>
      <w:tr w:rsidR="00372E8E" w:rsidRPr="000C254D" w14:paraId="11615432" w14:textId="77777777" w:rsidTr="007C41B8">
        <w:tc>
          <w:tcPr>
            <w:tcW w:w="4219" w:type="dxa"/>
            <w:shd w:val="clear" w:color="auto" w:fill="auto"/>
          </w:tcPr>
          <w:p w14:paraId="58CABAC8" w14:textId="77777777" w:rsidR="00372E8E" w:rsidRPr="000C254D" w:rsidRDefault="0077236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</w:tcPr>
          <w:p w14:paraId="746C71E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7F5AB6A8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61E4217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61DA5E5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0C254D" w14:paraId="4138DEBF" w14:textId="77777777" w:rsidTr="007C41B8">
        <w:tc>
          <w:tcPr>
            <w:tcW w:w="4219" w:type="dxa"/>
            <w:shd w:val="clear" w:color="auto" w:fill="auto"/>
          </w:tcPr>
          <w:p w14:paraId="5DE7C4EC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Zvýšená hladina 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AST </w:t>
            </w:r>
          </w:p>
        </w:tc>
        <w:tc>
          <w:tcPr>
            <w:tcW w:w="1559" w:type="dxa"/>
            <w:shd w:val="clear" w:color="auto" w:fill="auto"/>
          </w:tcPr>
          <w:p w14:paraId="1F7A8BDF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26 (7.5)</w:t>
            </w:r>
          </w:p>
        </w:tc>
        <w:tc>
          <w:tcPr>
            <w:tcW w:w="1276" w:type="dxa"/>
            <w:shd w:val="clear" w:color="auto" w:fill="auto"/>
          </w:tcPr>
          <w:p w14:paraId="3B54A056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10 (2.9)</w:t>
            </w:r>
          </w:p>
        </w:tc>
        <w:tc>
          <w:tcPr>
            <w:tcW w:w="1559" w:type="dxa"/>
            <w:shd w:val="clear" w:color="auto" w:fill="auto"/>
          </w:tcPr>
          <w:p w14:paraId="3897D12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9 (5.2)</w:t>
            </w:r>
          </w:p>
        </w:tc>
        <w:tc>
          <w:tcPr>
            <w:tcW w:w="1134" w:type="dxa"/>
            <w:shd w:val="clear" w:color="auto" w:fill="auto"/>
          </w:tcPr>
          <w:p w14:paraId="334034DD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(1.7)</w:t>
            </w:r>
          </w:p>
        </w:tc>
      </w:tr>
      <w:tr w:rsidR="00372E8E" w:rsidRPr="000C254D" w14:paraId="5BF736AA" w14:textId="77777777" w:rsidTr="007C41B8">
        <w:tc>
          <w:tcPr>
            <w:tcW w:w="4219" w:type="dxa"/>
            <w:shd w:val="clear" w:color="auto" w:fill="auto"/>
          </w:tcPr>
          <w:p w14:paraId="3DC624C5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</w:t>
            </w:r>
            <w:r w:rsidR="0077236E"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Zvýšená hladina </w:t>
            </w: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ALT </w:t>
            </w:r>
          </w:p>
        </w:tc>
        <w:tc>
          <w:tcPr>
            <w:tcW w:w="1559" w:type="dxa"/>
            <w:shd w:val="clear" w:color="auto" w:fill="auto"/>
          </w:tcPr>
          <w:p w14:paraId="757D7C2B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20 (5.8)</w:t>
            </w:r>
          </w:p>
        </w:tc>
        <w:tc>
          <w:tcPr>
            <w:tcW w:w="1276" w:type="dxa"/>
            <w:shd w:val="clear" w:color="auto" w:fill="auto"/>
          </w:tcPr>
          <w:p w14:paraId="6A117F52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6 (1.7)</w:t>
            </w:r>
          </w:p>
        </w:tc>
        <w:tc>
          <w:tcPr>
            <w:tcW w:w="1559" w:type="dxa"/>
            <w:shd w:val="clear" w:color="auto" w:fill="auto"/>
          </w:tcPr>
          <w:p w14:paraId="3C4E56D0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6 (3.5)</w:t>
            </w:r>
          </w:p>
        </w:tc>
        <w:tc>
          <w:tcPr>
            <w:tcW w:w="1134" w:type="dxa"/>
            <w:shd w:val="clear" w:color="auto" w:fill="auto"/>
          </w:tcPr>
          <w:p w14:paraId="2465443A" w14:textId="77777777" w:rsidR="00372E8E" w:rsidRPr="000C254D" w:rsidRDefault="00372E8E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</w:tbl>
    <w:p w14:paraId="35F9108B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ALT=alanínaminotransferáza; AST=aspartátaminotransferáza; N/n=počet pacientov</w:t>
      </w:r>
    </w:p>
    <w:p w14:paraId="2EFC76D8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a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>Preferované termíny (Preferred Terms, PTs) sú uvedené podľa MedDRA 17.1.</w:t>
      </w:r>
    </w:p>
    <w:p w14:paraId="266807D9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b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>Infekcie zahŕňajú všetky PTs, ktoré sú súčasťou triedy orgánových systémov „Infekcie a nákazy”.</w:t>
      </w:r>
    </w:p>
    <w:p w14:paraId="0001DF56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c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>Neutropénia zahŕňa nasledujúce PTs: neutropénia, znížený počet neutrofilov.</w:t>
      </w:r>
    </w:p>
    <w:p w14:paraId="62E18F00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d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>Leukopénia zahŕňa nasledujúce PTs: leukopénia, znížený počet bielych krviniek.</w:t>
      </w:r>
    </w:p>
    <w:p w14:paraId="0237EC04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e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>Anémia zahŕňa nasledujúce PTs: anémia, znížený hemoglobín, znížený hematokrit.</w:t>
      </w:r>
    </w:p>
    <w:p w14:paraId="3665FDD7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f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>Trombocytopénia zahŕňa nasledujúce PTs: trombocytopénia, znížený počet krvných doštičiek.</w:t>
      </w:r>
    </w:p>
    <w:p w14:paraId="01C7F748" w14:textId="77777777" w:rsidR="00B033D4" w:rsidRDefault="0077236E" w:rsidP="004C5B9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g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>Stomatitída zahŕňa nasledujúce PTs: aftózna stomatitída, cheilitída, glositída, glosodýnia, ulcerácia v</w:t>
      </w:r>
      <w:r w:rsidR="00B033D4">
        <w:rPr>
          <w:rFonts w:ascii="Times New Roman" w:eastAsia="TimesNewRoman" w:hAnsi="Times New Roman"/>
          <w:lang w:val="sk-SK"/>
        </w:rPr>
        <w:t xml:space="preserve"> </w:t>
      </w:r>
    </w:p>
    <w:p w14:paraId="3CA3728A" w14:textId="4D1437C1" w:rsidR="0077236E" w:rsidRPr="000C254D" w:rsidRDefault="00B033D4" w:rsidP="004C5B9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 xml:space="preserve">     </w:t>
      </w:r>
      <w:r w:rsidR="0077236E" w:rsidRPr="000C254D">
        <w:rPr>
          <w:rFonts w:ascii="Times New Roman" w:eastAsia="TimesNewRoman" w:hAnsi="Times New Roman"/>
          <w:lang w:val="sk-SK"/>
        </w:rPr>
        <w:t>ústach,</w:t>
      </w:r>
      <w:r>
        <w:rPr>
          <w:rFonts w:ascii="Times New Roman" w:eastAsia="TimesNewRoman" w:hAnsi="Times New Roman"/>
          <w:lang w:val="sk-SK"/>
        </w:rPr>
        <w:t xml:space="preserve"> </w:t>
      </w:r>
      <w:r w:rsidR="0077236E" w:rsidRPr="000C254D">
        <w:rPr>
          <w:rFonts w:ascii="Times New Roman" w:eastAsia="TimesNewRoman" w:hAnsi="Times New Roman"/>
          <w:lang w:val="sk-SK"/>
        </w:rPr>
        <w:t>zápal sliznice, bolesť v ústach, orofaryngeálny diskomfort, orofaryngeálna bolesť, stomatitída.</w:t>
      </w:r>
    </w:p>
    <w:p w14:paraId="656DEBD3" w14:textId="77777777" w:rsidR="00B033D4" w:rsidRDefault="0077236E" w:rsidP="004C5B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h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 xml:space="preserve">Vyrážka zahŕňa nasledujúce PTs: vyrážka, makulopapulárna vyrážka, svrbiaca vyrážka, erytematózna </w:t>
      </w:r>
      <w:r w:rsidR="00B033D4">
        <w:rPr>
          <w:rFonts w:ascii="Times New Roman" w:eastAsia="TimesNewRoman" w:hAnsi="Times New Roman"/>
          <w:lang w:val="sk-SK"/>
        </w:rPr>
        <w:t xml:space="preserve">      </w:t>
      </w:r>
    </w:p>
    <w:p w14:paraId="38057358" w14:textId="7A640097" w:rsidR="00372E8E" w:rsidRPr="000C254D" w:rsidRDefault="00B033D4" w:rsidP="004C5B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 xml:space="preserve">     </w:t>
      </w:r>
      <w:r w:rsidR="0077236E" w:rsidRPr="000C254D">
        <w:rPr>
          <w:rFonts w:ascii="Times New Roman" w:eastAsia="TimesNewRoman" w:hAnsi="Times New Roman"/>
          <w:lang w:val="sk-SK"/>
        </w:rPr>
        <w:t>vyrážka,</w:t>
      </w:r>
      <w:r>
        <w:rPr>
          <w:rFonts w:ascii="Times New Roman" w:eastAsia="TimesNewRoman" w:hAnsi="Times New Roman"/>
          <w:lang w:val="sk-SK"/>
        </w:rPr>
        <w:t xml:space="preserve"> </w:t>
      </w:r>
      <w:r w:rsidR="0077236E" w:rsidRPr="000C254D">
        <w:rPr>
          <w:rFonts w:ascii="Times New Roman" w:eastAsia="TimesNewRoman" w:hAnsi="Times New Roman"/>
          <w:lang w:val="sk-SK"/>
        </w:rPr>
        <w:t>papulárna vyrážka, dermatitída, akneiformná dermatitída, toxická kožná erupcia.</w:t>
      </w:r>
    </w:p>
    <w:p w14:paraId="4426CCD6" w14:textId="77777777" w:rsidR="0077236E" w:rsidRPr="000C254D" w:rsidRDefault="0077236E" w:rsidP="0077236E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14:paraId="1F8D0DBA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Opis vybraných nežiaducich reakcií</w:t>
      </w:r>
    </w:p>
    <w:p w14:paraId="01546633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0C254D">
        <w:rPr>
          <w:rFonts w:ascii="Times New Roman" w:eastAsia="TimesNewRoman" w:hAnsi="Times New Roman"/>
          <w:i/>
          <w:iCs/>
          <w:lang w:val="sk-SK"/>
        </w:rPr>
        <w:t>Neutropénia</w:t>
      </w:r>
    </w:p>
    <w:p w14:paraId="1DE16CE6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U pacientok, ktoré v štúdii PALOMA3 dostávali fulvestrant v kombinácii s palbociklibom sa</w:t>
      </w:r>
    </w:p>
    <w:p w14:paraId="6C1B7A23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neutropénia akéhokoľvek stupňa hlásila u 287 (83,2%) pacientok, neutropénia stupňa 3 sa hlásila</w:t>
      </w:r>
    </w:p>
    <w:p w14:paraId="75297A19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u 191 (55,4%) pacientok a neutropénia stupňa 4 sa hlásila u 37 (10,7%) pacientok. V skupine</w:t>
      </w:r>
    </w:p>
    <w:p w14:paraId="533E1089" w14:textId="77777777" w:rsidR="0077236E" w:rsidRPr="000C254D" w:rsidRDefault="0077236E" w:rsidP="0077236E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 fulvestrantom + placebo (n=172) sa neutropénia akéhokoľvek stupňa hlásila u 7 (4,1%) pacientok,</w:t>
      </w:r>
    </w:p>
    <w:p w14:paraId="0F0D3090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neutropénia stupňa 3 u 1 (0,6%) pacientky. V skupine s fulvestrantom + placebo sa nehlásila žiadna</w:t>
      </w:r>
    </w:p>
    <w:p w14:paraId="080CC128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neutropénia stupňa 4.</w:t>
      </w:r>
    </w:p>
    <w:p w14:paraId="6C5AE1E3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7598B0CE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U pacientok dostávajúcich fulvestrant v kombinácii s palbociklibom bol medián času do prvej epizódy</w:t>
      </w:r>
    </w:p>
    <w:p w14:paraId="7DC3CC0A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neutropénie akéhokoľvek stupňa 15 dní (rozsah: 13 - 317) a medián trvania neutropénie stupňa ≥ 3 bol</w:t>
      </w:r>
    </w:p>
    <w:p w14:paraId="5B77898D" w14:textId="77777777" w:rsidR="0077236E" w:rsidRPr="000C254D" w:rsidRDefault="0077236E" w:rsidP="00BA0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7 dní. Febrilná neutropénia sa hlásila u 0,9% pacientok dostávajúcich fulvestrant v kombinácii</w:t>
      </w:r>
    </w:p>
    <w:p w14:paraId="13E4D20C" w14:textId="77777777" w:rsidR="0077236E" w:rsidRPr="000C254D" w:rsidRDefault="0077236E" w:rsidP="00BA06E2">
      <w:pPr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 palbociklibom.</w:t>
      </w:r>
    </w:p>
    <w:p w14:paraId="4C5AD872" w14:textId="77777777" w:rsidR="0077236E" w:rsidRPr="000C254D" w:rsidRDefault="0077236E" w:rsidP="00BA06E2">
      <w:pPr>
        <w:spacing w:after="0" w:line="240" w:lineRule="auto"/>
        <w:rPr>
          <w:rFonts w:ascii="Times New Roman" w:hAnsi="Times New Roman"/>
          <w:lang w:val="sk-SK"/>
        </w:rPr>
      </w:pPr>
    </w:p>
    <w:p w14:paraId="542E6F32" w14:textId="77777777" w:rsidR="00BA06E2" w:rsidRPr="000C254D" w:rsidRDefault="00BA06E2" w:rsidP="00BA06E2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Hlásenie podozrení na nežiaduce reakcie</w:t>
      </w:r>
    </w:p>
    <w:p w14:paraId="146CAC94" w14:textId="77777777" w:rsidR="00BA06E2" w:rsidRPr="000C254D" w:rsidRDefault="00BA06E2" w:rsidP="00BA06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Hypertextovprepojenie"/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0C254D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8" w:history="1">
        <w:r w:rsidRPr="000C254D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 V</w:t>
        </w:r>
      </w:hyperlink>
      <w:r w:rsidRPr="000C254D">
        <w:rPr>
          <w:rStyle w:val="Hypertextovprepojenie"/>
          <w:rFonts w:ascii="Times New Roman" w:hAnsi="Times New Roman"/>
          <w:lang w:val="sk-SK"/>
        </w:rPr>
        <w:t>.</w:t>
      </w:r>
    </w:p>
    <w:p w14:paraId="28257452" w14:textId="77777777" w:rsidR="00FC5DBD" w:rsidRPr="000C254D" w:rsidRDefault="00FC5DBD" w:rsidP="00FC5DBD">
      <w:pPr>
        <w:pStyle w:val="Odsekzoznamu"/>
        <w:spacing w:after="0" w:line="240" w:lineRule="auto"/>
        <w:ind w:left="340"/>
        <w:rPr>
          <w:rFonts w:ascii="Times New Roman" w:hAnsi="Times New Roman"/>
          <w:b/>
          <w:bCs/>
          <w:lang w:val="sk-SK"/>
        </w:rPr>
      </w:pPr>
    </w:p>
    <w:p w14:paraId="3FEC3D5D" w14:textId="77777777" w:rsidR="002E18B3" w:rsidRPr="000C254D" w:rsidRDefault="00D170D4" w:rsidP="00FC42CA">
      <w:pPr>
        <w:pStyle w:val="Odsekzoznamu"/>
        <w:numPr>
          <w:ilvl w:val="1"/>
          <w:numId w:val="8"/>
        </w:numPr>
        <w:spacing w:after="0" w:line="240" w:lineRule="auto"/>
        <w:ind w:left="340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    </w:t>
      </w:r>
      <w:r w:rsidR="000B2B40" w:rsidRPr="000C254D">
        <w:rPr>
          <w:rFonts w:ascii="Times New Roman" w:hAnsi="Times New Roman"/>
          <w:b/>
          <w:bCs/>
          <w:lang w:val="sk-SK"/>
        </w:rPr>
        <w:t>Predávkovanie</w:t>
      </w:r>
    </w:p>
    <w:p w14:paraId="64FAEEE0" w14:textId="77777777" w:rsidR="00FC5DBD" w:rsidRPr="000C254D" w:rsidRDefault="00FC5DBD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9AAFC44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Sú známe jednotlivé hlásenia predávkovania fulvestrantom u ľudí. V prípade predávkovania sa</w:t>
      </w:r>
    </w:p>
    <w:p w14:paraId="7F9C7DF6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odporúča symptomatická podporná liečba. Štúdie na zvieratách udávajú, že okrem účinkov priamo</w:t>
      </w:r>
    </w:p>
    <w:p w14:paraId="31994E97" w14:textId="77777777"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alebo nepriamo spojených s antiestrogénnou aktivitou, sa pri vyšších dávkach fulvestrantu</w:t>
      </w:r>
    </w:p>
    <w:p w14:paraId="6168B305" w14:textId="77777777" w:rsidR="004707F4" w:rsidRPr="000C254D" w:rsidRDefault="0077236E" w:rsidP="0077236E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nepreukázali žiadne iné účinky (pozri časť 5.3).</w:t>
      </w:r>
    </w:p>
    <w:p w14:paraId="08A8C18D" w14:textId="77777777" w:rsidR="0077236E" w:rsidRPr="000C254D" w:rsidRDefault="0077236E" w:rsidP="0077236E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14:paraId="4D1605EE" w14:textId="77777777" w:rsidR="0077236E" w:rsidRPr="000C254D" w:rsidRDefault="0077236E" w:rsidP="0077236E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0EE4EC8" w14:textId="77777777" w:rsidR="002E18B3" w:rsidRPr="000C254D" w:rsidRDefault="000B2B40" w:rsidP="00FC42CA">
      <w:pPr>
        <w:pStyle w:val="Odsekzoznamu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FARMAKOLOGICKÉ VLASTNOSTI</w:t>
      </w:r>
    </w:p>
    <w:p w14:paraId="315127E6" w14:textId="77777777" w:rsidR="00FC5DBD" w:rsidRPr="000C254D" w:rsidRDefault="00FC5DBD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14:paraId="117462D9" w14:textId="77777777"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5.1 </w:t>
      </w:r>
      <w:r w:rsidR="004707F4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Farmakodynamické vlastnosti</w:t>
      </w:r>
    </w:p>
    <w:p w14:paraId="3900CC77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6EB0BC75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Farmakoterapeutická skupina: Endokrinná liečba, </w:t>
      </w:r>
      <w:r w:rsidR="0077236E" w:rsidRPr="000C254D">
        <w:rPr>
          <w:rFonts w:ascii="Times New Roman" w:hAnsi="Times New Roman"/>
          <w:lang w:val="sk-SK"/>
        </w:rPr>
        <w:t>a</w:t>
      </w:r>
      <w:r w:rsidRPr="000C254D">
        <w:rPr>
          <w:rFonts w:ascii="Times New Roman" w:hAnsi="Times New Roman"/>
          <w:lang w:val="sk-SK"/>
        </w:rPr>
        <w:t>ntiestrogény, ATC kód: L02BA03</w:t>
      </w:r>
    </w:p>
    <w:p w14:paraId="0D3ABC6F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15B9F68" w14:textId="77777777" w:rsidR="000B2B40" w:rsidRPr="000C254D" w:rsidRDefault="00AB7935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Mechanizmus</w:t>
      </w:r>
      <w:r w:rsidR="000B2B40" w:rsidRPr="000C254D">
        <w:rPr>
          <w:rFonts w:ascii="Times New Roman" w:hAnsi="Times New Roman"/>
          <w:u w:val="single"/>
          <w:lang w:val="sk-SK"/>
        </w:rPr>
        <w:t xml:space="preserve"> účinku a farmakodynamické účinky</w:t>
      </w:r>
    </w:p>
    <w:p w14:paraId="52FF0B48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 je kompetitívny antagonista estrogénového receptora (ER) s afinitou porovnateľnou</w:t>
      </w:r>
    </w:p>
    <w:p w14:paraId="1D60B355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s estradiolom. Fulvestrant blokuje trofický účinok estrogénov bez akejkoľvek čiastočnej agonistickej</w:t>
      </w:r>
    </w:p>
    <w:p w14:paraId="21CC861E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(estrogénu podobnej) aktivity. Mechanizmus účinku je spojený s potlačením hladín proteínu</w:t>
      </w:r>
    </w:p>
    <w:p w14:paraId="3E41F641" w14:textId="77777777" w:rsidR="004707F4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estrogénového receptora. </w:t>
      </w:r>
    </w:p>
    <w:p w14:paraId="0390EECA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Klinické skúšky u postmenopauzálnych žien s</w:t>
      </w:r>
      <w:r w:rsidR="009755C6" w:rsidRPr="000C254D">
        <w:rPr>
          <w:rFonts w:ascii="Times New Roman" w:hAnsi="Times New Roman"/>
          <w:lang w:val="sk-SK"/>
        </w:rPr>
        <w:t xml:space="preserve"> primárnym karcinómom </w:t>
      </w:r>
      <w:r w:rsidRPr="000C254D">
        <w:rPr>
          <w:rFonts w:ascii="Times New Roman" w:hAnsi="Times New Roman"/>
          <w:lang w:val="sk-SK"/>
        </w:rPr>
        <w:t>prsníka</w:t>
      </w:r>
      <w:r w:rsidR="00CB0CBF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preukázali, že fulvestrant významne znižuje </w:t>
      </w:r>
      <w:r w:rsidR="009755C6" w:rsidRPr="000C254D">
        <w:rPr>
          <w:rFonts w:ascii="Times New Roman" w:hAnsi="Times New Roman"/>
          <w:lang w:val="sk-SK"/>
        </w:rPr>
        <w:t xml:space="preserve">hladinu proteínu </w:t>
      </w:r>
      <w:r w:rsidRPr="000C254D">
        <w:rPr>
          <w:rFonts w:ascii="Times New Roman" w:hAnsi="Times New Roman"/>
          <w:lang w:val="sk-SK"/>
        </w:rPr>
        <w:t>ER v ER pozitívnych nádoroch v porovnaní s</w:t>
      </w:r>
      <w:r w:rsidR="00CB0CBF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placebom. Taktiež sa pozorovalo významné zníženie expresie progesterónového receptora</w:t>
      </w:r>
      <w:r w:rsidR="001D76D2" w:rsidRPr="000C254D">
        <w:rPr>
          <w:rFonts w:ascii="Times New Roman" w:hAnsi="Times New Roman"/>
          <w:lang w:val="sk-SK"/>
        </w:rPr>
        <w:t xml:space="preserve"> v </w:t>
      </w:r>
      <w:r w:rsidR="00F54043" w:rsidRPr="000C254D">
        <w:rPr>
          <w:rFonts w:ascii="Times New Roman" w:hAnsi="Times New Roman"/>
          <w:lang w:val="sk-SK"/>
        </w:rPr>
        <w:t>súlade</w:t>
      </w:r>
      <w:r w:rsidR="001D76D2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 </w:t>
      </w:r>
      <w:r w:rsidR="001D76D2" w:rsidRPr="000C254D">
        <w:rPr>
          <w:rFonts w:ascii="Times New Roman" w:hAnsi="Times New Roman"/>
          <w:lang w:val="sk-SK"/>
        </w:rPr>
        <w:t>s chýbajúcim vnútorným agonistickým estrogénovým účinkom</w:t>
      </w:r>
      <w:r w:rsidR="00CB0CBF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 Tiež sa preukázalo, že fulvestrant 500 mg znižuje </w:t>
      </w:r>
      <w:r w:rsidR="009755C6" w:rsidRPr="000C254D">
        <w:rPr>
          <w:rFonts w:ascii="Times New Roman" w:hAnsi="Times New Roman"/>
          <w:lang w:val="sk-SK"/>
        </w:rPr>
        <w:t xml:space="preserve">počet </w:t>
      </w:r>
      <w:r w:rsidRPr="000C254D">
        <w:rPr>
          <w:rFonts w:ascii="Times New Roman" w:hAnsi="Times New Roman"/>
          <w:lang w:val="sk-SK"/>
        </w:rPr>
        <w:t>ER a</w:t>
      </w:r>
      <w:r w:rsidR="00CB0CBF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proliferáciu markeru Ki67, vo väčšej miere ako fulvestrant 250 mg v nádoroch prsníka v</w:t>
      </w:r>
      <w:r w:rsidR="001D76D2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postmenopauzálnej neoadjuvantnej liečbe.</w:t>
      </w:r>
    </w:p>
    <w:p w14:paraId="6A256052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6ED18AF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Klinická bezpečnosť a účinnosť pri pokročilom karcinóme prsníka</w:t>
      </w:r>
    </w:p>
    <w:p w14:paraId="40D8C4D2" w14:textId="77777777" w:rsidR="00B93804" w:rsidRPr="000C254D" w:rsidRDefault="00B9380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7037E8F" w14:textId="77777777" w:rsidR="00B93804" w:rsidRPr="000C254D" w:rsidRDefault="00B93804" w:rsidP="00FC42CA">
      <w:pPr>
        <w:spacing w:after="0" w:line="240" w:lineRule="auto"/>
        <w:contextualSpacing/>
        <w:rPr>
          <w:rFonts w:ascii="Times New Roman" w:hAnsi="Times New Roman"/>
          <w:i/>
          <w:lang w:val="sk-SK"/>
        </w:rPr>
      </w:pPr>
      <w:r w:rsidRPr="000C254D">
        <w:rPr>
          <w:rFonts w:ascii="Times New Roman" w:hAnsi="Times New Roman"/>
          <w:i/>
          <w:lang w:val="sk-SK"/>
        </w:rPr>
        <w:t>Monoterapia</w:t>
      </w:r>
    </w:p>
    <w:p w14:paraId="3C1B1EB9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Klinickú štúdiu fázy III ukončilo 736 postmenopauzálnych žien s pokročilým karcinómom prsníka,</w:t>
      </w:r>
    </w:p>
    <w:p w14:paraId="777672D3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ktoré mali rekurenciu ochorenia počas alebo po adjuvantnej endokrinnej liečbe alebo progresii</w:t>
      </w:r>
    </w:p>
    <w:p w14:paraId="161FFDC5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následnej endokrinnej liečby pokročilého ochorenia. Štúdia zahŕňala 423 pacientov, ktorí recidivovali</w:t>
      </w:r>
    </w:p>
    <w:p w14:paraId="64571E7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alebo mali progresiu počas antiestrogénnej liečby (AE podskupina) a 313 pacientov, ktorí recidivovali</w:t>
      </w:r>
    </w:p>
    <w:p w14:paraId="7D37D7DF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alebo mali progresiu počas liečby inhibítorom aromatázy (AI podskupina). Táto štúdia porovnávala</w:t>
      </w:r>
    </w:p>
    <w:p w14:paraId="62618BC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účinnosť a bezpečnosť </w:t>
      </w:r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 xml:space="preserve">u 500 mg (n=362) s </w:t>
      </w:r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 250 mg (n=374). Prežitie</w:t>
      </w:r>
      <w:r w:rsidR="00CB0CBF" w:rsidRPr="000C254D">
        <w:rPr>
          <w:rFonts w:ascii="Times New Roman" w:hAnsi="Times New Roman"/>
          <w:lang w:val="sk-SK"/>
        </w:rPr>
        <w:t xml:space="preserve"> bez</w:t>
      </w:r>
      <w:r w:rsidRPr="000C254D">
        <w:rPr>
          <w:rFonts w:ascii="Times New Roman" w:hAnsi="Times New Roman"/>
          <w:lang w:val="sk-SK"/>
        </w:rPr>
        <w:t xml:space="preserve"> progresie</w:t>
      </w:r>
      <w:r w:rsidR="00CB0CBF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(</w:t>
      </w:r>
      <w:r w:rsidR="001D76D2" w:rsidRPr="000C254D">
        <w:rPr>
          <w:rFonts w:ascii="Times New Roman" w:hAnsi="Times New Roman"/>
          <w:lang w:val="sk-SK"/>
        </w:rPr>
        <w:t>Progression-free survival,</w:t>
      </w:r>
      <w:r w:rsidRPr="000C254D">
        <w:rPr>
          <w:rFonts w:ascii="Times New Roman" w:hAnsi="Times New Roman"/>
          <w:lang w:val="sk-SK"/>
        </w:rPr>
        <w:t>PFS) bolo primárnym cieľom, kľúčové sekundárne ciele bezpečnosti zahŕňali objektívnu mieru</w:t>
      </w:r>
      <w:r w:rsidR="00CB0ECB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odpovede (objective response rate, ORR), mieru klinického úžitku (clinical benefit rate, CBR)</w:t>
      </w:r>
      <w:r w:rsidR="00CB0ECB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a celkové prežívanie (overall survival, OS). Výsledky účinnosti pre CONFIRM štúdiu sú zhrnuté pre</w:t>
      </w:r>
      <w:r w:rsidR="00CB0ECB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všetkých pacientov a podskupinou pacientov, ktorí mali nedostatočnú liečbu antiestrogén ver</w:t>
      </w:r>
      <w:r w:rsidR="00CB0ECB" w:rsidRPr="000C254D">
        <w:rPr>
          <w:rFonts w:ascii="Times New Roman" w:hAnsi="Times New Roman"/>
          <w:lang w:val="sk-SK"/>
        </w:rPr>
        <w:t>z</w:t>
      </w:r>
      <w:r w:rsidRPr="000C254D">
        <w:rPr>
          <w:rFonts w:ascii="Times New Roman" w:hAnsi="Times New Roman"/>
          <w:lang w:val="sk-SK"/>
        </w:rPr>
        <w:t>us</w:t>
      </w:r>
      <w:r w:rsidR="00CB0ECB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inhibítor aromatázy v tabuľke </w:t>
      </w:r>
      <w:r w:rsidR="00B93804" w:rsidRPr="000C254D">
        <w:rPr>
          <w:rFonts w:ascii="Times New Roman" w:hAnsi="Times New Roman"/>
          <w:lang w:val="sk-SK"/>
        </w:rPr>
        <w:t>3</w:t>
      </w:r>
      <w:r w:rsidRPr="000C254D">
        <w:rPr>
          <w:rFonts w:ascii="Times New Roman" w:hAnsi="Times New Roman"/>
          <w:lang w:val="sk-SK"/>
        </w:rPr>
        <w:t>.</w:t>
      </w:r>
    </w:p>
    <w:p w14:paraId="533B7428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AE404D7" w14:textId="1E21A2ED" w:rsidR="000B2B40" w:rsidRPr="000C254D" w:rsidRDefault="000B2B40" w:rsidP="00FC42CA">
      <w:pPr>
        <w:spacing w:after="0" w:line="240" w:lineRule="auto"/>
        <w:ind w:left="1701" w:hanging="1701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Tabuľka </w:t>
      </w:r>
      <w:r w:rsidR="00B93804" w:rsidRPr="000C254D">
        <w:rPr>
          <w:rFonts w:ascii="Times New Roman" w:hAnsi="Times New Roman"/>
          <w:b/>
          <w:bCs/>
          <w:lang w:val="sk-SK"/>
        </w:rPr>
        <w:t>3</w:t>
      </w:r>
      <w:r w:rsidRPr="000C254D">
        <w:rPr>
          <w:rFonts w:ascii="Times New Roman" w:hAnsi="Times New Roman"/>
          <w:b/>
          <w:bCs/>
          <w:lang w:val="sk-SK"/>
        </w:rPr>
        <w:t xml:space="preserve"> </w:t>
      </w:r>
      <w:r w:rsidR="004707F4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 xml:space="preserve">Prehľad výsledkov primárneho cieľa účinnosti (PFS </w:t>
      </w:r>
      <w:r w:rsidR="008B1113">
        <w:rPr>
          <w:rFonts w:ascii="Times New Roman" w:hAnsi="Times New Roman"/>
          <w:b/>
          <w:bCs/>
          <w:lang w:val="sk-SK"/>
        </w:rPr>
        <w:t>–</w:t>
      </w:r>
      <w:r w:rsidRPr="000C254D">
        <w:rPr>
          <w:rFonts w:ascii="Times New Roman" w:hAnsi="Times New Roman"/>
          <w:b/>
          <w:bCs/>
          <w:lang w:val="sk-SK"/>
        </w:rPr>
        <w:t xml:space="preserve"> </w:t>
      </w:r>
      <w:r w:rsidR="008B1113" w:rsidRPr="004C5B97">
        <w:rPr>
          <w:rFonts w:ascii="Times New Roman" w:hAnsi="Times New Roman"/>
          <w:b/>
          <w:bCs/>
          <w:lang w:val="en-GB"/>
        </w:rPr>
        <w:t>progression free survival</w:t>
      </w:r>
      <w:r w:rsidRPr="004C5B97">
        <w:rPr>
          <w:rFonts w:ascii="Times New Roman" w:hAnsi="Times New Roman"/>
          <w:b/>
          <w:bCs/>
          <w:lang w:val="sk-SK"/>
        </w:rPr>
        <w:t>)</w:t>
      </w:r>
    </w:p>
    <w:p w14:paraId="089A6B93" w14:textId="77777777" w:rsidR="000B2B40" w:rsidRPr="000C254D" w:rsidRDefault="000B2B40" w:rsidP="00FC42CA">
      <w:pPr>
        <w:spacing w:after="0" w:line="240" w:lineRule="auto"/>
        <w:ind w:left="1701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a kľúčových sekundárnych cieľov účinnosti v štúdii CONFIRM</w:t>
      </w:r>
    </w:p>
    <w:tbl>
      <w:tblPr>
        <w:tblW w:w="519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9"/>
        <w:gridCol w:w="1491"/>
        <w:gridCol w:w="1325"/>
        <w:gridCol w:w="1325"/>
        <w:gridCol w:w="1325"/>
        <w:gridCol w:w="1325"/>
        <w:gridCol w:w="1321"/>
      </w:tblGrid>
      <w:tr w:rsidR="000915FD" w:rsidRPr="000C254D" w14:paraId="6612F5F3" w14:textId="77777777" w:rsidTr="004D2674">
        <w:trPr>
          <w:tblCellSpacing w:w="0" w:type="dxa"/>
        </w:trPr>
        <w:tc>
          <w:tcPr>
            <w:tcW w:w="879" w:type="pct"/>
            <w:vMerge w:val="restart"/>
            <w:tcBorders>
              <w:top w:val="single" w:sz="4" w:space="0" w:color="auto"/>
            </w:tcBorders>
            <w:hideMark/>
          </w:tcPr>
          <w:p w14:paraId="271D941C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</w:tcBorders>
            <w:hideMark/>
          </w:tcPr>
          <w:p w14:paraId="34C7C85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Typ odhadu;</w:t>
            </w:r>
          </w:p>
          <w:p w14:paraId="6F5EA1F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porovnanie</w:t>
            </w:r>
          </w:p>
          <w:p w14:paraId="1C77E56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liečby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14:paraId="3EA7AF0D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fulvestrant 500 mg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</w:p>
          <w:p w14:paraId="41F36661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(N=362)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14:paraId="31AB7D38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fulvestrant 250 mg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</w:p>
          <w:p w14:paraId="1AEF88FD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(N=374)</w:t>
            </w:r>
          </w:p>
        </w:tc>
        <w:tc>
          <w:tcPr>
            <w:tcW w:w="2017" w:type="pct"/>
            <w:gridSpan w:val="3"/>
            <w:tcBorders>
              <w:top w:val="single" w:sz="4" w:space="0" w:color="auto"/>
            </w:tcBorders>
            <w:hideMark/>
          </w:tcPr>
          <w:p w14:paraId="72671BDD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Porovnanie medzi skupinami</w:t>
            </w:r>
          </w:p>
          <w:p w14:paraId="78A4D1D6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(fulvestrant 500 mg/fulvestrant 250 mg)</w:t>
            </w:r>
          </w:p>
        </w:tc>
      </w:tr>
      <w:tr w:rsidR="000915FD" w:rsidRPr="000C254D" w14:paraId="6CDFF742" w14:textId="77777777" w:rsidTr="004D2674">
        <w:trPr>
          <w:trHeight w:val="497"/>
          <w:tblCellSpacing w:w="0" w:type="dxa"/>
        </w:trPr>
        <w:tc>
          <w:tcPr>
            <w:tcW w:w="879" w:type="pct"/>
            <w:vMerge/>
            <w:vAlign w:val="center"/>
            <w:hideMark/>
          </w:tcPr>
          <w:p w14:paraId="00726B2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14:paraId="40869FD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B017E4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9137A9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2310F9DB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Hazard ratio</w:t>
            </w: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5D4E0785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95% CI</w:t>
            </w: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158365AA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p-hodnota</w:t>
            </w:r>
          </w:p>
        </w:tc>
      </w:tr>
      <w:tr w:rsidR="000915FD" w:rsidRPr="000C254D" w14:paraId="3286C493" w14:textId="77777777" w:rsidTr="004D2674">
        <w:trPr>
          <w:tblCellSpacing w:w="0" w:type="dxa"/>
        </w:trPr>
        <w:tc>
          <w:tcPr>
            <w:tcW w:w="879" w:type="pct"/>
            <w:tcBorders>
              <w:top w:val="single" w:sz="4" w:space="0" w:color="auto"/>
            </w:tcBorders>
            <w:hideMark/>
          </w:tcPr>
          <w:p w14:paraId="671D8A46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PFS</w:t>
            </w:r>
          </w:p>
        </w:tc>
        <w:tc>
          <w:tcPr>
            <w:tcW w:w="758" w:type="pct"/>
            <w:tcBorders>
              <w:top w:val="single" w:sz="4" w:space="0" w:color="auto"/>
            </w:tcBorders>
            <w:hideMark/>
          </w:tcPr>
          <w:p w14:paraId="734E7D76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KM medián v mesiacoch;</w:t>
            </w:r>
          </w:p>
          <w:p w14:paraId="2530167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hazard ratio</w:t>
            </w: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40DBDF14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4E09CD0B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690C0379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0CEE290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27A9A760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14:paraId="474DBB5A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773005C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Všetci pacienti</w:t>
            </w:r>
          </w:p>
        </w:tc>
        <w:tc>
          <w:tcPr>
            <w:tcW w:w="673" w:type="pct"/>
            <w:hideMark/>
          </w:tcPr>
          <w:p w14:paraId="085B97D7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6,5</w:t>
            </w:r>
          </w:p>
        </w:tc>
        <w:tc>
          <w:tcPr>
            <w:tcW w:w="673" w:type="pct"/>
            <w:hideMark/>
          </w:tcPr>
          <w:p w14:paraId="3CDCCB14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5,5</w:t>
            </w:r>
          </w:p>
        </w:tc>
        <w:tc>
          <w:tcPr>
            <w:tcW w:w="673" w:type="pct"/>
            <w:hideMark/>
          </w:tcPr>
          <w:p w14:paraId="7D678C0A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0,80</w:t>
            </w:r>
          </w:p>
        </w:tc>
        <w:tc>
          <w:tcPr>
            <w:tcW w:w="673" w:type="pct"/>
            <w:hideMark/>
          </w:tcPr>
          <w:p w14:paraId="08744A4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0,68; 0,94</w:t>
            </w:r>
          </w:p>
        </w:tc>
        <w:tc>
          <w:tcPr>
            <w:tcW w:w="671" w:type="pct"/>
            <w:hideMark/>
          </w:tcPr>
          <w:p w14:paraId="705350C0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0,006</w:t>
            </w:r>
          </w:p>
        </w:tc>
      </w:tr>
      <w:tr w:rsidR="000915FD" w:rsidRPr="000C254D" w14:paraId="2F9C3AB9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0C19513A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-AE </w:t>
            </w:r>
            <w:r w:rsidRPr="000C254D">
              <w:rPr>
                <w:rFonts w:ascii="Times New Roman" w:hAnsi="Times New Roman"/>
                <w:b/>
                <w:bCs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  (n=423)</w:t>
            </w:r>
          </w:p>
        </w:tc>
        <w:tc>
          <w:tcPr>
            <w:tcW w:w="673" w:type="pct"/>
            <w:hideMark/>
          </w:tcPr>
          <w:p w14:paraId="424DD644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8,6</w:t>
            </w:r>
          </w:p>
        </w:tc>
        <w:tc>
          <w:tcPr>
            <w:tcW w:w="673" w:type="pct"/>
            <w:hideMark/>
          </w:tcPr>
          <w:p w14:paraId="3F21D16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5,8</w:t>
            </w:r>
          </w:p>
        </w:tc>
        <w:tc>
          <w:tcPr>
            <w:tcW w:w="673" w:type="pct"/>
            <w:hideMark/>
          </w:tcPr>
          <w:p w14:paraId="0F6A7EE9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0,76</w:t>
            </w:r>
          </w:p>
        </w:tc>
        <w:tc>
          <w:tcPr>
            <w:tcW w:w="673" w:type="pct"/>
            <w:hideMark/>
          </w:tcPr>
          <w:p w14:paraId="0393701D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0,62; 0,94</w:t>
            </w:r>
          </w:p>
        </w:tc>
        <w:tc>
          <w:tcPr>
            <w:tcW w:w="671" w:type="pct"/>
            <w:hideMark/>
          </w:tcPr>
          <w:p w14:paraId="4A40B63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0,013</w:t>
            </w:r>
          </w:p>
        </w:tc>
      </w:tr>
      <w:tr w:rsidR="000915FD" w:rsidRPr="000C254D" w14:paraId="2C1BCC07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178588A7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-AI </w:t>
            </w:r>
            <w:r w:rsidRPr="000C254D">
              <w:rPr>
                <w:rFonts w:ascii="Times New Roman" w:hAnsi="Times New Roman"/>
                <w:b/>
                <w:bCs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   (n=313)</w:t>
            </w:r>
            <w:r w:rsidRPr="000C254D">
              <w:rPr>
                <w:rFonts w:ascii="Times New Roman" w:hAnsi="Times New Roman"/>
                <w:b/>
                <w:bCs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8D8200B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5,4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6523ABD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4,1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BA4182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0,85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13EC864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0,67; 1,08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309A5781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0,195</w:t>
            </w:r>
          </w:p>
        </w:tc>
      </w:tr>
      <w:tr w:rsidR="000915FD" w:rsidRPr="000C254D" w14:paraId="220E230B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416EEC0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OS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b</w:t>
            </w:r>
          </w:p>
        </w:tc>
        <w:tc>
          <w:tcPr>
            <w:tcW w:w="758" w:type="pct"/>
            <w:hideMark/>
          </w:tcPr>
          <w:p w14:paraId="5762A1D0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K-M </w:t>
            </w:r>
            <w:r w:rsidRPr="000C254D">
              <w:rPr>
                <w:rFonts w:ascii="Times New Roman" w:hAnsi="Times New Roman"/>
                <w:lang w:val="sk-SK"/>
              </w:rPr>
              <w:t>medián v</w:t>
            </w:r>
          </w:p>
          <w:p w14:paraId="7DE68266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mesiacoch; 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hazard ratio </w:t>
            </w:r>
          </w:p>
        </w:tc>
        <w:tc>
          <w:tcPr>
            <w:tcW w:w="673" w:type="pct"/>
            <w:hideMark/>
          </w:tcPr>
          <w:p w14:paraId="0F257B18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2BEFFAE5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3078FF5B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2CE9099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hideMark/>
          </w:tcPr>
          <w:p w14:paraId="0320F2C5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14:paraId="6ACE262A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13632EAC" w14:textId="1962CE60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Všetci pacienti</w:t>
            </w:r>
          </w:p>
        </w:tc>
        <w:tc>
          <w:tcPr>
            <w:tcW w:w="758" w:type="pct"/>
            <w:hideMark/>
          </w:tcPr>
          <w:p w14:paraId="5F02468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7557FB1C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26,4 </w:t>
            </w:r>
          </w:p>
        </w:tc>
        <w:tc>
          <w:tcPr>
            <w:tcW w:w="673" w:type="pct"/>
            <w:hideMark/>
          </w:tcPr>
          <w:p w14:paraId="4B49541D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22,3 </w:t>
            </w:r>
          </w:p>
        </w:tc>
        <w:tc>
          <w:tcPr>
            <w:tcW w:w="673" w:type="pct"/>
            <w:hideMark/>
          </w:tcPr>
          <w:p w14:paraId="572CA896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0,81 </w:t>
            </w:r>
          </w:p>
        </w:tc>
        <w:tc>
          <w:tcPr>
            <w:tcW w:w="673" w:type="pct"/>
            <w:hideMark/>
          </w:tcPr>
          <w:p w14:paraId="674C6A57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0,69; 0,96 </w:t>
            </w:r>
          </w:p>
        </w:tc>
        <w:tc>
          <w:tcPr>
            <w:tcW w:w="671" w:type="pct"/>
            <w:hideMark/>
          </w:tcPr>
          <w:p w14:paraId="7998825D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0,016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</w:p>
        </w:tc>
      </w:tr>
      <w:tr w:rsidR="000915FD" w:rsidRPr="000C254D" w14:paraId="04FACE10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019B072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-AE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(n=423) </w:t>
            </w:r>
          </w:p>
        </w:tc>
        <w:tc>
          <w:tcPr>
            <w:tcW w:w="673" w:type="pct"/>
            <w:hideMark/>
          </w:tcPr>
          <w:p w14:paraId="336F352C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30,6 </w:t>
            </w:r>
          </w:p>
        </w:tc>
        <w:tc>
          <w:tcPr>
            <w:tcW w:w="673" w:type="pct"/>
            <w:hideMark/>
          </w:tcPr>
          <w:p w14:paraId="4C579B1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23,9 </w:t>
            </w:r>
          </w:p>
        </w:tc>
        <w:tc>
          <w:tcPr>
            <w:tcW w:w="673" w:type="pct"/>
            <w:hideMark/>
          </w:tcPr>
          <w:p w14:paraId="57E4EED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0,79 </w:t>
            </w:r>
          </w:p>
        </w:tc>
        <w:tc>
          <w:tcPr>
            <w:tcW w:w="673" w:type="pct"/>
            <w:hideMark/>
          </w:tcPr>
          <w:p w14:paraId="04AAD864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0,63; 0,99 </w:t>
            </w:r>
          </w:p>
        </w:tc>
        <w:tc>
          <w:tcPr>
            <w:tcW w:w="671" w:type="pct"/>
            <w:hideMark/>
          </w:tcPr>
          <w:p w14:paraId="293C2F99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0,038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</w:p>
        </w:tc>
      </w:tr>
      <w:tr w:rsidR="000915FD" w:rsidRPr="000C254D" w14:paraId="502307E6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24BFE83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-AI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(n=313)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13D87B5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24,1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08C2E40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20,8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CD7450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0,86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9813B4B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0,67; 1,11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1DCCAD5A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0,241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</w:p>
        </w:tc>
      </w:tr>
      <w:tr w:rsidR="000915FD" w:rsidRPr="000C254D" w14:paraId="0B1821FA" w14:textId="77777777" w:rsidTr="004D2674">
        <w:trPr>
          <w:tblCellSpacing w:w="0" w:type="dxa"/>
        </w:trPr>
        <w:tc>
          <w:tcPr>
            <w:tcW w:w="879" w:type="pct"/>
            <w:vMerge w:val="restart"/>
            <w:hideMark/>
          </w:tcPr>
          <w:p w14:paraId="6AF2D0DA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hideMark/>
          </w:tcPr>
          <w:p w14:paraId="00433449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Typ odhadu;</w:t>
            </w:r>
          </w:p>
          <w:p w14:paraId="2D397604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porovnanie</w:t>
            </w:r>
          </w:p>
          <w:p w14:paraId="1071325A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liečby</w:t>
            </w:r>
          </w:p>
        </w:tc>
        <w:tc>
          <w:tcPr>
            <w:tcW w:w="673" w:type="pct"/>
            <w:vMerge w:val="restart"/>
            <w:hideMark/>
          </w:tcPr>
          <w:p w14:paraId="61A55FB7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fulvestrant 500 mg </w:t>
            </w:r>
          </w:p>
          <w:p w14:paraId="2055D217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(N=362) </w:t>
            </w:r>
          </w:p>
        </w:tc>
        <w:tc>
          <w:tcPr>
            <w:tcW w:w="673" w:type="pct"/>
            <w:vMerge w:val="restart"/>
            <w:hideMark/>
          </w:tcPr>
          <w:p w14:paraId="17697155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fulvestrant 250 mg </w:t>
            </w:r>
          </w:p>
          <w:p w14:paraId="432D8D77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(N=374) </w:t>
            </w:r>
          </w:p>
        </w:tc>
        <w:tc>
          <w:tcPr>
            <w:tcW w:w="2017" w:type="pct"/>
            <w:gridSpan w:val="3"/>
            <w:hideMark/>
          </w:tcPr>
          <w:p w14:paraId="4598E1ED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Porovnanie medzi skupinami</w:t>
            </w:r>
          </w:p>
          <w:p w14:paraId="152016D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(fulvestrant 500 mg / fulvestrant 250 mg) </w:t>
            </w:r>
          </w:p>
        </w:tc>
      </w:tr>
      <w:tr w:rsidR="000915FD" w:rsidRPr="000C254D" w14:paraId="26E10DB8" w14:textId="77777777" w:rsidTr="004D2674">
        <w:trPr>
          <w:tblCellSpacing w:w="0" w:type="dxa"/>
        </w:trPr>
        <w:tc>
          <w:tcPr>
            <w:tcW w:w="8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DC235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7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44072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3D29757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104C557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F136131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Absolútny rozdiel v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%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45844C5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95% CI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7F70D67A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14:paraId="52E9A78B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22D8080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ORR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d</w:t>
            </w:r>
          </w:p>
        </w:tc>
        <w:tc>
          <w:tcPr>
            <w:tcW w:w="758" w:type="pct"/>
            <w:hideMark/>
          </w:tcPr>
          <w:p w14:paraId="54B82F75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% </w:t>
            </w:r>
            <w:r w:rsidRPr="000C254D">
              <w:rPr>
                <w:rFonts w:ascii="Times New Roman" w:hAnsi="Times New Roman"/>
                <w:lang w:val="sk-SK"/>
              </w:rPr>
              <w:t>pacientov s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OR; </w:t>
            </w:r>
            <w:r w:rsidRPr="000C254D">
              <w:rPr>
                <w:rFonts w:ascii="Times New Roman" w:hAnsi="Times New Roman"/>
                <w:lang w:val="sk-SK"/>
              </w:rPr>
              <w:t>absolútny</w:t>
            </w:r>
          </w:p>
          <w:p w14:paraId="3901899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rozdiel v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% </w:t>
            </w:r>
          </w:p>
        </w:tc>
        <w:tc>
          <w:tcPr>
            <w:tcW w:w="673" w:type="pct"/>
            <w:hideMark/>
          </w:tcPr>
          <w:p w14:paraId="0B079FBA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3E87557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68E5DD10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555EA92B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hideMark/>
          </w:tcPr>
          <w:p w14:paraId="2B8CC837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14:paraId="5477DC8C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68CD56DC" w14:textId="27908228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Všetci pacienti</w:t>
            </w:r>
          </w:p>
        </w:tc>
        <w:tc>
          <w:tcPr>
            <w:tcW w:w="673" w:type="pct"/>
            <w:hideMark/>
          </w:tcPr>
          <w:p w14:paraId="288A2E2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13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8 </w:t>
            </w:r>
          </w:p>
        </w:tc>
        <w:tc>
          <w:tcPr>
            <w:tcW w:w="673" w:type="pct"/>
            <w:hideMark/>
          </w:tcPr>
          <w:p w14:paraId="581A8901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14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14:paraId="0D06D398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-0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8 </w:t>
            </w:r>
          </w:p>
        </w:tc>
        <w:tc>
          <w:tcPr>
            <w:tcW w:w="673" w:type="pct"/>
            <w:hideMark/>
          </w:tcPr>
          <w:p w14:paraId="59F014BB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8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6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14:paraId="6A5831B5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14:paraId="4E499A9F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1554C100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-AE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(n=296) </w:t>
            </w:r>
          </w:p>
        </w:tc>
        <w:tc>
          <w:tcPr>
            <w:tcW w:w="673" w:type="pct"/>
            <w:hideMark/>
          </w:tcPr>
          <w:p w14:paraId="6F7CE42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18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14:paraId="254AA7FB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19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14:paraId="3C1B17FC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-1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 </w:t>
            </w:r>
          </w:p>
        </w:tc>
        <w:tc>
          <w:tcPr>
            <w:tcW w:w="673" w:type="pct"/>
            <w:hideMark/>
          </w:tcPr>
          <w:p w14:paraId="7673E32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-8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2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9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14:paraId="56DF443C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14:paraId="0F6FDEC5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78BDA405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-AI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(n=205)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E4A40FD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7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1ABF66A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8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5D190571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-1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3F29E16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9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8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2DA78A4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14:paraId="32588726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51C1E868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CBR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e</w:t>
            </w:r>
          </w:p>
        </w:tc>
        <w:tc>
          <w:tcPr>
            <w:tcW w:w="758" w:type="pct"/>
            <w:hideMark/>
          </w:tcPr>
          <w:p w14:paraId="16FDCA81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% </w:t>
            </w:r>
            <w:r w:rsidRPr="000C254D">
              <w:rPr>
                <w:rFonts w:ascii="Times New Roman" w:hAnsi="Times New Roman"/>
                <w:lang w:val="sk-SK"/>
              </w:rPr>
              <w:t>pacientov s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CB; </w:t>
            </w:r>
            <w:r w:rsidRPr="000C254D">
              <w:rPr>
                <w:rFonts w:ascii="Times New Roman" w:hAnsi="Times New Roman"/>
                <w:lang w:val="sk-SK"/>
              </w:rPr>
              <w:t>absolútny</w:t>
            </w:r>
          </w:p>
          <w:p w14:paraId="214E7FD8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rozdiel v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% </w:t>
            </w:r>
          </w:p>
        </w:tc>
        <w:tc>
          <w:tcPr>
            <w:tcW w:w="673" w:type="pct"/>
            <w:hideMark/>
          </w:tcPr>
          <w:p w14:paraId="5B8B5829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0BC1FCC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2C0C317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6AD393A0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hideMark/>
          </w:tcPr>
          <w:p w14:paraId="51D34DB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14:paraId="6B245BEE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09457C59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Všetci pacienti</w:t>
            </w:r>
          </w:p>
        </w:tc>
        <w:tc>
          <w:tcPr>
            <w:tcW w:w="758" w:type="pct"/>
            <w:hideMark/>
          </w:tcPr>
          <w:p w14:paraId="49C01702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693F75CD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45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14:paraId="42971DA7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39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14:paraId="3A5963E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6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 </w:t>
            </w:r>
          </w:p>
        </w:tc>
        <w:tc>
          <w:tcPr>
            <w:tcW w:w="673" w:type="pct"/>
            <w:hideMark/>
          </w:tcPr>
          <w:p w14:paraId="1259DB9A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-1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1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13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14:paraId="1C4A5826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14:paraId="483BBB11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6CE7A727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-AE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(n=423) </w:t>
            </w:r>
          </w:p>
        </w:tc>
        <w:tc>
          <w:tcPr>
            <w:tcW w:w="673" w:type="pct"/>
            <w:hideMark/>
          </w:tcPr>
          <w:p w14:paraId="0E048060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52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4 </w:t>
            </w:r>
          </w:p>
        </w:tc>
        <w:tc>
          <w:tcPr>
            <w:tcW w:w="673" w:type="pct"/>
            <w:hideMark/>
          </w:tcPr>
          <w:p w14:paraId="5DBDAA6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45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14:paraId="504029B5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7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3" w:type="pct"/>
            <w:hideMark/>
          </w:tcPr>
          <w:p w14:paraId="488CE63C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-2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2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16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6 </w:t>
            </w:r>
          </w:p>
        </w:tc>
        <w:tc>
          <w:tcPr>
            <w:tcW w:w="671" w:type="pct"/>
            <w:hideMark/>
          </w:tcPr>
          <w:p w14:paraId="606971B3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14:paraId="632CBD62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36844941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-AI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(n=313)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BFB006F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36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374C502E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32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5ACD4D9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3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9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526E3E08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-6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1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15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6A4E9165" w14:textId="77777777"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</w:tbl>
    <w:p w14:paraId="466A55CF" w14:textId="2A5D7C8D" w:rsidR="000B2B40" w:rsidRPr="000C254D" w:rsidRDefault="000B2B40" w:rsidP="00FC42CA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a </w:t>
      </w:r>
      <w:r w:rsidR="004707F4" w:rsidRPr="000C254D">
        <w:rPr>
          <w:rFonts w:ascii="Times New Roman" w:hAnsi="Times New Roman"/>
          <w:lang w:val="sk-SK"/>
        </w:rPr>
        <w:tab/>
      </w:r>
      <w:r w:rsidR="00B10CB1" w:rsidRPr="000C254D">
        <w:rPr>
          <w:rFonts w:ascii="Times New Roman" w:hAnsi="Times New Roman"/>
          <w:lang w:val="sk-SK"/>
        </w:rPr>
        <w:t>Fulvestrant</w:t>
      </w:r>
      <w:r w:rsidRPr="000C254D">
        <w:rPr>
          <w:rFonts w:ascii="Times New Roman" w:hAnsi="Times New Roman"/>
          <w:lang w:val="sk-SK"/>
        </w:rPr>
        <w:t xml:space="preserve"> je indikovaný </w:t>
      </w:r>
      <w:r w:rsidR="00BD40B4">
        <w:rPr>
          <w:rFonts w:ascii="Times New Roman" w:hAnsi="Times New Roman"/>
          <w:lang w:val="sk-SK"/>
        </w:rPr>
        <w:t xml:space="preserve">u </w:t>
      </w:r>
      <w:r w:rsidR="00B033D4">
        <w:rPr>
          <w:rFonts w:ascii="Times New Roman" w:hAnsi="Times New Roman"/>
          <w:lang w:val="sk-SK"/>
        </w:rPr>
        <w:t>pacient</w:t>
      </w:r>
      <w:r w:rsidR="00BD40B4">
        <w:rPr>
          <w:rFonts w:ascii="Times New Roman" w:hAnsi="Times New Roman"/>
          <w:lang w:val="sk-SK"/>
        </w:rPr>
        <w:t>ok</w:t>
      </w:r>
      <w:r w:rsidRPr="000C254D">
        <w:rPr>
          <w:rFonts w:ascii="Times New Roman" w:hAnsi="Times New Roman"/>
          <w:lang w:val="sk-SK"/>
        </w:rPr>
        <w:t xml:space="preserve">, </w:t>
      </w:r>
      <w:r w:rsidR="00B033D4" w:rsidRPr="000C254D">
        <w:rPr>
          <w:rFonts w:ascii="Times New Roman" w:hAnsi="Times New Roman"/>
          <w:lang w:val="sk-SK"/>
        </w:rPr>
        <w:t>ktor</w:t>
      </w:r>
      <w:r w:rsidR="00B033D4">
        <w:rPr>
          <w:rFonts w:ascii="Times New Roman" w:hAnsi="Times New Roman"/>
          <w:lang w:val="sk-SK"/>
        </w:rPr>
        <w:t xml:space="preserve">é </w:t>
      </w:r>
      <w:r w:rsidRPr="000C254D">
        <w:rPr>
          <w:rFonts w:ascii="Times New Roman" w:hAnsi="Times New Roman"/>
          <w:lang w:val="sk-SK"/>
        </w:rPr>
        <w:t>recidivovali alebo mali progresiu počas antiestrogénnej liečby.</w:t>
      </w:r>
      <w:r w:rsidR="004707F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Výsledky v AI podskupine sú nepresvedčivé.</w:t>
      </w:r>
    </w:p>
    <w:p w14:paraId="786AADAD" w14:textId="77777777" w:rsidR="000B2B40" w:rsidRPr="000C254D" w:rsidRDefault="000B2B40" w:rsidP="00FC42CA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b </w:t>
      </w:r>
      <w:r w:rsidR="004707F4" w:rsidRPr="000C254D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OS je uvádzané pre finálnu analýzu celkového prežitia pri 75% úplnosti dát.</w:t>
      </w:r>
    </w:p>
    <w:p w14:paraId="2F95D0FE" w14:textId="77777777" w:rsidR="000B2B40" w:rsidRPr="000C254D" w:rsidRDefault="000B2B40" w:rsidP="00FC42CA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c </w:t>
      </w:r>
      <w:r w:rsidR="004707F4" w:rsidRPr="000C254D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Nominálna hodnota p bez úpravy na opakované hodnoty medzi pôvodnou analýzou celkového prežitia pri</w:t>
      </w:r>
      <w:r w:rsidR="004707F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50% úplnosti dát a aktualizovanou analýzou celkového prežitia pri 75% úplnosti dát.</w:t>
      </w:r>
    </w:p>
    <w:p w14:paraId="217F5F97" w14:textId="4B6E1B93" w:rsidR="000B2B40" w:rsidRPr="000C254D" w:rsidRDefault="000B2B40" w:rsidP="00FC42CA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d </w:t>
      </w:r>
      <w:r w:rsidR="004707F4" w:rsidRPr="000C254D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ORR bol</w:t>
      </w:r>
      <w:r w:rsidR="00BD40B4">
        <w:rPr>
          <w:rFonts w:ascii="Times New Roman" w:hAnsi="Times New Roman"/>
          <w:lang w:val="sk-SK"/>
        </w:rPr>
        <w:t>a</w:t>
      </w:r>
      <w:r w:rsidRPr="000C254D">
        <w:rPr>
          <w:rFonts w:ascii="Times New Roman" w:hAnsi="Times New Roman"/>
          <w:lang w:val="sk-SK"/>
        </w:rPr>
        <w:t xml:space="preserve"> </w:t>
      </w:r>
      <w:r w:rsidR="00BD40B4" w:rsidRPr="000C254D">
        <w:rPr>
          <w:rFonts w:ascii="Times New Roman" w:hAnsi="Times New Roman"/>
          <w:lang w:val="sk-SK"/>
        </w:rPr>
        <w:t>stanoven</w:t>
      </w:r>
      <w:r w:rsidR="00BD40B4">
        <w:rPr>
          <w:rFonts w:ascii="Times New Roman" w:hAnsi="Times New Roman"/>
          <w:lang w:val="sk-SK"/>
        </w:rPr>
        <w:t>á</w:t>
      </w:r>
      <w:r w:rsidR="00BD40B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u </w:t>
      </w:r>
      <w:r w:rsidR="00B033D4" w:rsidRPr="000C254D">
        <w:rPr>
          <w:rFonts w:ascii="Times New Roman" w:hAnsi="Times New Roman"/>
          <w:lang w:val="sk-SK"/>
        </w:rPr>
        <w:t>paciento</w:t>
      </w:r>
      <w:r w:rsidR="00B033D4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>, u ktorých bola dostupná základná odpoveď (t.j., u ktorých bolo</w:t>
      </w:r>
    </w:p>
    <w:p w14:paraId="2E82E9FD" w14:textId="77777777" w:rsidR="000B2B40" w:rsidRPr="000C254D" w:rsidRDefault="000B2B40" w:rsidP="00FC42CA">
      <w:pPr>
        <w:spacing w:after="0" w:line="240" w:lineRule="auto"/>
        <w:ind w:left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merateľné základné ochorenie: skupina 240 pacientov na </w:t>
      </w:r>
      <w:r w:rsidR="00B93804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e 500 mg a skupina 261 pacientov na</w:t>
      </w:r>
      <w:r w:rsidR="004707F4" w:rsidRPr="000C254D">
        <w:rPr>
          <w:rFonts w:ascii="Times New Roman" w:hAnsi="Times New Roman"/>
          <w:lang w:val="sk-SK"/>
        </w:rPr>
        <w:t xml:space="preserve"> </w:t>
      </w:r>
      <w:r w:rsidR="00B93804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e 250 mg).</w:t>
      </w:r>
    </w:p>
    <w:p w14:paraId="6F576959" w14:textId="4B8D1793" w:rsidR="000B2B40" w:rsidRPr="000C254D" w:rsidRDefault="000B2B40" w:rsidP="00FC42CA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e </w:t>
      </w:r>
      <w:r w:rsidR="004707F4" w:rsidRPr="000C254D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Pacient</w:t>
      </w:r>
      <w:r w:rsidR="00BD40B4">
        <w:rPr>
          <w:rFonts w:ascii="Times New Roman" w:hAnsi="Times New Roman"/>
          <w:lang w:val="sk-SK"/>
        </w:rPr>
        <w:t>ky</w:t>
      </w:r>
      <w:r w:rsidRPr="000C254D">
        <w:rPr>
          <w:rFonts w:ascii="Times New Roman" w:hAnsi="Times New Roman"/>
          <w:lang w:val="sk-SK"/>
        </w:rPr>
        <w:t xml:space="preserve"> s najlepšou objektívnou odpoveďou kompletnej </w:t>
      </w:r>
      <w:r w:rsidR="00BD40B4" w:rsidRPr="000C254D">
        <w:rPr>
          <w:rFonts w:ascii="Times New Roman" w:hAnsi="Times New Roman"/>
          <w:lang w:val="sk-SK"/>
        </w:rPr>
        <w:t>odpoved</w:t>
      </w:r>
      <w:r w:rsidR="00BD40B4">
        <w:rPr>
          <w:rFonts w:ascii="Times New Roman" w:hAnsi="Times New Roman"/>
          <w:lang w:val="sk-SK"/>
        </w:rPr>
        <w:t>e</w:t>
      </w:r>
      <w:r w:rsidRPr="000C254D">
        <w:rPr>
          <w:rFonts w:ascii="Times New Roman" w:hAnsi="Times New Roman"/>
          <w:lang w:val="sk-SK"/>
        </w:rPr>
        <w:t>, čiastočnou odpoveďou alebo</w:t>
      </w:r>
      <w:r w:rsidR="004707F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stabilizovaným ochorením ≥24 týždňov.</w:t>
      </w:r>
    </w:p>
    <w:p w14:paraId="07715E64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33EDAE7" w14:textId="0DE79198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PFS:</w:t>
      </w:r>
      <w:r w:rsidR="006D6FCB" w:rsidRPr="000C254D">
        <w:rPr>
          <w:rFonts w:ascii="Times New Roman" w:hAnsi="Times New Roman"/>
          <w:lang w:val="sk-SK"/>
        </w:rPr>
        <w:t xml:space="preserve"> </w:t>
      </w:r>
      <w:r w:rsidR="00D02B2C" w:rsidRPr="000C254D">
        <w:rPr>
          <w:rFonts w:ascii="Times New Roman" w:hAnsi="Times New Roman"/>
          <w:lang w:val="sk-SK"/>
        </w:rPr>
        <w:t>P</w:t>
      </w:r>
      <w:r w:rsidRPr="000C254D">
        <w:rPr>
          <w:rFonts w:ascii="Times New Roman" w:hAnsi="Times New Roman"/>
          <w:lang w:val="sk-SK"/>
        </w:rPr>
        <w:t>režitie</w:t>
      </w:r>
      <w:r w:rsidR="00D02B2C" w:rsidRPr="000C254D">
        <w:rPr>
          <w:rFonts w:ascii="Times New Roman" w:hAnsi="Times New Roman"/>
          <w:lang w:val="sk-SK"/>
        </w:rPr>
        <w:t xml:space="preserve"> bez</w:t>
      </w:r>
      <w:r w:rsidRPr="000C254D">
        <w:rPr>
          <w:rFonts w:ascii="Times New Roman" w:hAnsi="Times New Roman"/>
          <w:lang w:val="sk-SK"/>
        </w:rPr>
        <w:t xml:space="preserve"> progresie</w:t>
      </w:r>
      <w:r w:rsidR="00BD40B4">
        <w:rPr>
          <w:rFonts w:ascii="Times New Roman" w:hAnsi="Times New Roman"/>
          <w:lang w:val="sk-SK"/>
        </w:rPr>
        <w:t xml:space="preserve"> (progresion- free survival)</w:t>
      </w:r>
      <w:r w:rsidRPr="000C254D">
        <w:rPr>
          <w:rFonts w:ascii="Times New Roman" w:hAnsi="Times New Roman"/>
          <w:lang w:val="sk-SK"/>
        </w:rPr>
        <w:t>; ORR:</w:t>
      </w:r>
      <w:r w:rsidR="00302A1C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Objektívna miera odpovede</w:t>
      </w:r>
      <w:r w:rsidR="00BD40B4">
        <w:rPr>
          <w:rFonts w:ascii="Times New Roman" w:hAnsi="Times New Roman"/>
          <w:lang w:val="sk-SK"/>
        </w:rPr>
        <w:t xml:space="preserve"> (objective response rate)</w:t>
      </w:r>
      <w:r w:rsidRPr="000C254D">
        <w:rPr>
          <w:rFonts w:ascii="Times New Roman" w:hAnsi="Times New Roman"/>
          <w:lang w:val="sk-SK"/>
        </w:rPr>
        <w:t>; OR:</w:t>
      </w:r>
      <w:r w:rsidR="00302A1C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Objektívna odpoveď</w:t>
      </w:r>
      <w:r w:rsidR="00BD40B4">
        <w:rPr>
          <w:rFonts w:ascii="Times New Roman" w:hAnsi="Times New Roman"/>
          <w:lang w:val="sk-SK"/>
        </w:rPr>
        <w:t xml:space="preserve"> (objective response)</w:t>
      </w:r>
      <w:r w:rsidRPr="000C254D">
        <w:rPr>
          <w:rFonts w:ascii="Times New Roman" w:hAnsi="Times New Roman"/>
          <w:lang w:val="sk-SK"/>
        </w:rPr>
        <w:t>; CBR:</w:t>
      </w:r>
      <w:r w:rsidR="00D2677B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Miera </w:t>
      </w:r>
      <w:r w:rsidR="00F71359" w:rsidRPr="000C254D">
        <w:rPr>
          <w:rFonts w:ascii="Times New Roman" w:hAnsi="Times New Roman"/>
          <w:lang w:val="sk-SK"/>
        </w:rPr>
        <w:t>klinickej prospešnosti</w:t>
      </w:r>
      <w:r w:rsidR="00BD40B4">
        <w:rPr>
          <w:rFonts w:ascii="Times New Roman" w:hAnsi="Times New Roman"/>
          <w:lang w:val="sk-SK"/>
        </w:rPr>
        <w:t xml:space="preserve"> (clinical benefit rate)</w:t>
      </w:r>
      <w:r w:rsidRPr="000C254D">
        <w:rPr>
          <w:rFonts w:ascii="Times New Roman" w:hAnsi="Times New Roman"/>
          <w:lang w:val="sk-SK"/>
        </w:rPr>
        <w:t>;</w:t>
      </w:r>
      <w:r w:rsidR="004707F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CB:</w:t>
      </w:r>
      <w:r w:rsidR="00D2677B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Klinick</w:t>
      </w:r>
      <w:r w:rsidR="00F71359" w:rsidRPr="000C254D">
        <w:rPr>
          <w:rFonts w:ascii="Times New Roman" w:hAnsi="Times New Roman"/>
          <w:lang w:val="sk-SK"/>
        </w:rPr>
        <w:t>á</w:t>
      </w:r>
      <w:r w:rsidRPr="000C254D">
        <w:rPr>
          <w:rFonts w:ascii="Times New Roman" w:hAnsi="Times New Roman"/>
          <w:lang w:val="sk-SK"/>
        </w:rPr>
        <w:t xml:space="preserve"> </w:t>
      </w:r>
      <w:r w:rsidR="00F71359" w:rsidRPr="000C254D">
        <w:rPr>
          <w:rFonts w:ascii="Times New Roman" w:hAnsi="Times New Roman"/>
          <w:lang w:val="sk-SK"/>
        </w:rPr>
        <w:t>prospešnosť</w:t>
      </w:r>
      <w:r w:rsidR="00BD40B4">
        <w:rPr>
          <w:rFonts w:ascii="Times New Roman" w:hAnsi="Times New Roman"/>
          <w:lang w:val="sk-SK"/>
        </w:rPr>
        <w:t xml:space="preserve"> (clinical benefit)</w:t>
      </w:r>
      <w:r w:rsidRPr="000C254D">
        <w:rPr>
          <w:rFonts w:ascii="Times New Roman" w:hAnsi="Times New Roman"/>
          <w:lang w:val="sk-SK"/>
        </w:rPr>
        <w:t>; OS:</w:t>
      </w:r>
      <w:r w:rsidR="00D2677B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Celkové prežívanie</w:t>
      </w:r>
      <w:r w:rsidR="00BD40B4">
        <w:rPr>
          <w:rFonts w:ascii="Times New Roman" w:hAnsi="Times New Roman"/>
          <w:lang w:val="sk-SK"/>
        </w:rPr>
        <w:t xml:space="preserve"> (overall survival)</w:t>
      </w:r>
      <w:r w:rsidRPr="000C254D">
        <w:rPr>
          <w:rFonts w:ascii="Times New Roman" w:hAnsi="Times New Roman"/>
          <w:lang w:val="sk-SK"/>
        </w:rPr>
        <w:t>; K-M:Kaplan-Meier; CI:</w:t>
      </w:r>
      <w:r w:rsidR="00D2677B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Interval spoľahlivosti</w:t>
      </w:r>
      <w:r w:rsidR="00BD40B4">
        <w:rPr>
          <w:rFonts w:ascii="Times New Roman" w:hAnsi="Times New Roman"/>
          <w:lang w:val="sk-SK"/>
        </w:rPr>
        <w:t xml:space="preserve"> (confidence interval)</w:t>
      </w:r>
      <w:r w:rsidRPr="000C254D">
        <w:rPr>
          <w:rFonts w:ascii="Times New Roman" w:hAnsi="Times New Roman"/>
          <w:lang w:val="sk-SK"/>
        </w:rPr>
        <w:t>; AI: inhibítor aromatázy</w:t>
      </w:r>
      <w:r w:rsidR="00BD40B4">
        <w:rPr>
          <w:rFonts w:ascii="Times New Roman" w:hAnsi="Times New Roman"/>
          <w:lang w:val="sk-SK"/>
        </w:rPr>
        <w:t xml:space="preserve"> (aromatese inhibitor)</w:t>
      </w:r>
      <w:r w:rsidRPr="000C254D">
        <w:rPr>
          <w:rFonts w:ascii="Times New Roman" w:hAnsi="Times New Roman"/>
          <w:lang w:val="sk-SK"/>
        </w:rPr>
        <w:t>; AE:</w:t>
      </w:r>
      <w:r w:rsidR="004707F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antiestrogén.</w:t>
      </w:r>
    </w:p>
    <w:p w14:paraId="3D6088B7" w14:textId="77777777" w:rsidR="00B93804" w:rsidRPr="000C254D" w:rsidRDefault="00B9380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B69A22F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Randomizovaná, dvojito zaslepená „double-dummy“ multicentrická štúdia fázy III fulvestrant 500 mg</w:t>
      </w:r>
    </w:p>
    <w:p w14:paraId="5E7FA669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oproti anastrozolu 1 mg sa uskutočnila u postmenopauzálnych žien s lokálne pokročilým alebo</w:t>
      </w:r>
    </w:p>
    <w:p w14:paraId="621FF2F8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metastatickým karcinómom prsníka s pozitivitou estrogénových a/alebo progesterónových receptorov,</w:t>
      </w:r>
    </w:p>
    <w:p w14:paraId="7EB8F25A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ktoré neboli v minulosti liečené žiadnou hormonálnou liečbou. Celkovo 462 pacientok bolo postupne</w:t>
      </w:r>
    </w:p>
    <w:p w14:paraId="183653DE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randomizovaných 1:1 na podávanie fulvestrantu 500 mg alebo na užívanie anastrozolu 1 mg.</w:t>
      </w:r>
    </w:p>
    <w:p w14:paraId="773C3826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5C42F51A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Randomizácia bola stratifikovaná podľa typu ochorenia (lokálne pokročilé alebo metastatické),</w:t>
      </w:r>
    </w:p>
    <w:p w14:paraId="0FC1C47C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predchádzajúcej chemoterapie pokročilého ochorenia a merateľného ochorenia.</w:t>
      </w:r>
    </w:p>
    <w:p w14:paraId="179B7AF4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42C89511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Primárnym cieľom účinnosti v štúdii bolo prežívanie bez progresie (PFS) hodnotené skúšajúcim</w:t>
      </w:r>
    </w:p>
    <w:p w14:paraId="240B9062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pomocou kritérií na hodnotenie odpovede pri solídnych nádoroch (Response Evaluation Criteria in</w:t>
      </w:r>
    </w:p>
    <w:p w14:paraId="6AAEC5F5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Solid Tumours, RECIST verzia 1.1). Kľúčové sekundárne ciele účinnosti zahŕňali celkové prežívanie</w:t>
      </w:r>
    </w:p>
    <w:p w14:paraId="4DED3759" w14:textId="77777777" w:rsidR="00B93804" w:rsidRPr="000C254D" w:rsidRDefault="00B93804" w:rsidP="00B93804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(OS) a objektívnu mieru odpovede (ORR).</w:t>
      </w:r>
    </w:p>
    <w:p w14:paraId="20712807" w14:textId="77777777" w:rsidR="00B93804" w:rsidRPr="000C254D" w:rsidRDefault="00B9380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0194E17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Medián veku pacientok zaradených do tejto štúdie bol 63 rokov (rozsah 36-90). Väčšina z týchto</w:t>
      </w:r>
    </w:p>
    <w:p w14:paraId="55D58F03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pacientok (87,0%) mala metastatické ochorenie na začiatku. Päťdesiatpäť percent (55,0%) pacientok</w:t>
      </w:r>
    </w:p>
    <w:p w14:paraId="7CDC4AF1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malo viscerálne metastázy na začiatku. Celkovo 17,1% z pacientok dostalo predchádzajúci režim</w:t>
      </w:r>
    </w:p>
    <w:p w14:paraId="2A33EC20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chemoterapie na liečbu pokročilého ochorenia; 84,2% z pacientok malo merateľné ochorenie.</w:t>
      </w:r>
    </w:p>
    <w:p w14:paraId="24F642BF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166B58EE" w14:textId="7ECE4D2C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Konzistentné výsledky sa pozorovali </w:t>
      </w:r>
      <w:r w:rsidR="00E35068">
        <w:rPr>
          <w:rFonts w:ascii="Times New Roman" w:eastAsia="TimesNewRoman" w:hAnsi="Times New Roman"/>
          <w:lang w:val="sk-SK"/>
        </w:rPr>
        <w:t>vo väčšine</w:t>
      </w:r>
      <w:r w:rsidRPr="000C254D">
        <w:rPr>
          <w:rFonts w:ascii="Times New Roman" w:eastAsia="TimesNewRoman" w:hAnsi="Times New Roman"/>
          <w:lang w:val="sk-SK"/>
        </w:rPr>
        <w:t xml:space="preserve"> vopred špecifikovaných podskupín pacientok.</w:t>
      </w:r>
    </w:p>
    <w:p w14:paraId="2F3F5723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podskupine pacientok s len neviscerálnymi metastázami (n=208) bol HR 0,592 (95% CI: 0,419;</w:t>
      </w:r>
    </w:p>
    <w:p w14:paraId="2BFEA7CB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0,837) v skupine s fulvestrantom oproti skupine s anastrozolom. V podskupine pacientok s viscerálnymi</w:t>
      </w:r>
    </w:p>
    <w:p w14:paraId="6377D48F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metastázami (n=254) bol HR 0,993 (95% CI: 0,740; 1,331) v skupine s fulvestrantom oproti skupine</w:t>
      </w:r>
    </w:p>
    <w:p w14:paraId="07226C89" w14:textId="77777777" w:rsidR="00B93804" w:rsidRPr="000C254D" w:rsidRDefault="00B93804" w:rsidP="00B93804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 anastrozolom. Výsledky účinnosti zo štúdie FALCON sú uvedené v tabuľke 4 a na obrázku 1.</w:t>
      </w:r>
    </w:p>
    <w:p w14:paraId="4EAA7D8A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D9EF2B1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Tabuľka 4 Súhrn výsledkov primárneho cieľa účinnosti (PFS) a kľúčových sekundárnych</w:t>
      </w:r>
    </w:p>
    <w:p w14:paraId="55D16F27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cieľov účinnosti (hodnotené skúšajúcim v populácii podľa liečebného zámeru) ─ štúdia</w:t>
      </w:r>
    </w:p>
    <w:p w14:paraId="5EA218F0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FALCON</w:t>
      </w:r>
    </w:p>
    <w:p w14:paraId="0BA38D00" w14:textId="77777777"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color w:val="00000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93804" w:rsidRPr="000C254D" w14:paraId="6E0FE21D" w14:textId="77777777" w:rsidTr="007C41B8">
        <w:tc>
          <w:tcPr>
            <w:tcW w:w="3070" w:type="dxa"/>
            <w:shd w:val="clear" w:color="auto" w:fill="auto"/>
          </w:tcPr>
          <w:p w14:paraId="1C64FC5D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3071" w:type="dxa"/>
            <w:shd w:val="clear" w:color="auto" w:fill="auto"/>
          </w:tcPr>
          <w:p w14:paraId="69323A93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</w:t>
            </w: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br/>
              <w:t>500 mg</w:t>
            </w: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br/>
              <w:t>(N=230)</w:t>
            </w:r>
          </w:p>
        </w:tc>
        <w:tc>
          <w:tcPr>
            <w:tcW w:w="3071" w:type="dxa"/>
            <w:shd w:val="clear" w:color="auto" w:fill="auto"/>
          </w:tcPr>
          <w:p w14:paraId="46FDFB7C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Anastrozol</w:t>
            </w:r>
          </w:p>
          <w:p w14:paraId="18A594F9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1 mg</w:t>
            </w:r>
          </w:p>
          <w:p w14:paraId="2350CE87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(N=232)</w:t>
            </w:r>
          </w:p>
        </w:tc>
      </w:tr>
      <w:tr w:rsidR="00B93804" w:rsidRPr="000C254D" w14:paraId="432C6D30" w14:textId="77777777" w:rsidTr="007C41B8">
        <w:tc>
          <w:tcPr>
            <w:tcW w:w="9212" w:type="dxa"/>
            <w:gridSpan w:val="3"/>
            <w:shd w:val="clear" w:color="auto" w:fill="auto"/>
          </w:tcPr>
          <w:p w14:paraId="726260E7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Prežívanie bez progresie</w:t>
            </w:r>
          </w:p>
        </w:tc>
      </w:tr>
      <w:tr w:rsidR="00B93804" w:rsidRPr="000C254D" w14:paraId="4313EDD1" w14:textId="77777777" w:rsidTr="007C41B8">
        <w:tc>
          <w:tcPr>
            <w:tcW w:w="3070" w:type="dxa"/>
            <w:shd w:val="clear" w:color="auto" w:fill="auto"/>
          </w:tcPr>
          <w:p w14:paraId="1A659A3D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Počet PFS udalostí (%)</w:t>
            </w:r>
          </w:p>
        </w:tc>
        <w:tc>
          <w:tcPr>
            <w:tcW w:w="3071" w:type="dxa"/>
            <w:shd w:val="clear" w:color="auto" w:fill="auto"/>
          </w:tcPr>
          <w:p w14:paraId="46DADACB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143 (62.2%)</w:t>
            </w:r>
          </w:p>
        </w:tc>
        <w:tc>
          <w:tcPr>
            <w:tcW w:w="3071" w:type="dxa"/>
            <w:shd w:val="clear" w:color="auto" w:fill="auto"/>
          </w:tcPr>
          <w:p w14:paraId="55088645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166 (71.6%)</w:t>
            </w:r>
          </w:p>
        </w:tc>
      </w:tr>
      <w:tr w:rsidR="00B93804" w:rsidRPr="000C254D" w14:paraId="1A440C89" w14:textId="77777777" w:rsidTr="007C41B8">
        <w:tc>
          <w:tcPr>
            <w:tcW w:w="3070" w:type="dxa"/>
            <w:shd w:val="clear" w:color="auto" w:fill="auto"/>
          </w:tcPr>
          <w:p w14:paraId="6E974237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PFS pomer rizika (95% CI)</w:t>
            </w:r>
          </w:p>
          <w:p w14:paraId="3BD42946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55402E7B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HR 0.797 (0.637 - 0.999)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0.0486</w:t>
            </w:r>
          </w:p>
        </w:tc>
      </w:tr>
      <w:tr w:rsidR="00B93804" w:rsidRPr="000C254D" w14:paraId="687C5619" w14:textId="77777777" w:rsidTr="007C41B8">
        <w:tc>
          <w:tcPr>
            <w:tcW w:w="3070" w:type="dxa"/>
            <w:shd w:val="clear" w:color="auto" w:fill="auto"/>
          </w:tcPr>
          <w:p w14:paraId="3FA1B42B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Medián PFS [mesiace (95% CI)]</w:t>
            </w:r>
          </w:p>
        </w:tc>
        <w:tc>
          <w:tcPr>
            <w:tcW w:w="3071" w:type="dxa"/>
            <w:shd w:val="clear" w:color="auto" w:fill="auto"/>
          </w:tcPr>
          <w:p w14:paraId="3989ABA4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16.6 (13.8, 21.0)</w:t>
            </w:r>
          </w:p>
        </w:tc>
        <w:tc>
          <w:tcPr>
            <w:tcW w:w="3071" w:type="dxa"/>
            <w:shd w:val="clear" w:color="auto" w:fill="auto"/>
          </w:tcPr>
          <w:p w14:paraId="718A7A22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13.8 (12.0, 16.6)</w:t>
            </w:r>
          </w:p>
        </w:tc>
      </w:tr>
      <w:tr w:rsidR="00B93804" w:rsidRPr="000C254D" w14:paraId="5A99634C" w14:textId="77777777" w:rsidTr="007C41B8">
        <w:tc>
          <w:tcPr>
            <w:tcW w:w="3070" w:type="dxa"/>
            <w:shd w:val="clear" w:color="auto" w:fill="auto"/>
          </w:tcPr>
          <w:p w14:paraId="04FFDEB8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Počet OS udalostí*</w:t>
            </w:r>
          </w:p>
        </w:tc>
        <w:tc>
          <w:tcPr>
            <w:tcW w:w="3071" w:type="dxa"/>
            <w:shd w:val="clear" w:color="auto" w:fill="auto"/>
          </w:tcPr>
          <w:p w14:paraId="670FDFF4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67 (29.1%)</w:t>
            </w:r>
          </w:p>
        </w:tc>
        <w:tc>
          <w:tcPr>
            <w:tcW w:w="3071" w:type="dxa"/>
            <w:shd w:val="clear" w:color="auto" w:fill="auto"/>
          </w:tcPr>
          <w:p w14:paraId="670F8CCC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75 (32.3%)</w:t>
            </w:r>
          </w:p>
        </w:tc>
      </w:tr>
      <w:tr w:rsidR="00B93804" w:rsidRPr="000C254D" w14:paraId="769DE2C4" w14:textId="77777777" w:rsidTr="007C41B8">
        <w:tc>
          <w:tcPr>
            <w:tcW w:w="3070" w:type="dxa"/>
            <w:shd w:val="clear" w:color="auto" w:fill="auto"/>
          </w:tcPr>
          <w:p w14:paraId="498337BF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OS pomer rizika (95% CI)</w:t>
            </w:r>
          </w:p>
          <w:p w14:paraId="49FE6BC2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4078D55B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HR 0.875 (0.629 – 1.217) 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0.4277</w:t>
            </w:r>
          </w:p>
        </w:tc>
      </w:tr>
      <w:tr w:rsidR="00B93804" w:rsidRPr="000C254D" w14:paraId="585B1A58" w14:textId="77777777" w:rsidTr="007C41B8">
        <w:tc>
          <w:tcPr>
            <w:tcW w:w="3070" w:type="dxa"/>
            <w:shd w:val="clear" w:color="auto" w:fill="auto"/>
          </w:tcPr>
          <w:p w14:paraId="221169D3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ORR**</w:t>
            </w:r>
          </w:p>
        </w:tc>
        <w:tc>
          <w:tcPr>
            <w:tcW w:w="3071" w:type="dxa"/>
            <w:shd w:val="clear" w:color="auto" w:fill="auto"/>
          </w:tcPr>
          <w:p w14:paraId="1115776E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89 (46.1%)</w:t>
            </w:r>
          </w:p>
        </w:tc>
        <w:tc>
          <w:tcPr>
            <w:tcW w:w="3071" w:type="dxa"/>
            <w:shd w:val="clear" w:color="auto" w:fill="auto"/>
          </w:tcPr>
          <w:p w14:paraId="7F937E24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88 (44.9%)</w:t>
            </w:r>
          </w:p>
        </w:tc>
      </w:tr>
      <w:tr w:rsidR="00B93804" w:rsidRPr="000C254D" w14:paraId="5B04F012" w14:textId="77777777" w:rsidTr="007C41B8">
        <w:tc>
          <w:tcPr>
            <w:tcW w:w="3070" w:type="dxa"/>
            <w:shd w:val="clear" w:color="auto" w:fill="auto"/>
          </w:tcPr>
          <w:p w14:paraId="3A0E9822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ORR Odds Ratio (95% CI) 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5CEF14FC" w14:textId="77777777" w:rsidR="00B93804" w:rsidRPr="000C254D" w:rsidRDefault="00B93804" w:rsidP="007C41B8">
            <w:pPr>
              <w:tabs>
                <w:tab w:val="left" w:pos="1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OR 1.074 (0.716 – 1.614) 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0.7290</w:t>
            </w:r>
          </w:p>
        </w:tc>
      </w:tr>
      <w:tr w:rsidR="00B93804" w:rsidRPr="000C254D" w14:paraId="1F0409D9" w14:textId="77777777" w:rsidTr="007C41B8">
        <w:tc>
          <w:tcPr>
            <w:tcW w:w="3070" w:type="dxa"/>
            <w:shd w:val="clear" w:color="auto" w:fill="auto"/>
          </w:tcPr>
          <w:p w14:paraId="677ACB49" w14:textId="77777777" w:rsidR="00B93804" w:rsidRPr="000C254D" w:rsidRDefault="009E57C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Medián DoR (mesiace)</w:t>
            </w:r>
          </w:p>
        </w:tc>
        <w:tc>
          <w:tcPr>
            <w:tcW w:w="3071" w:type="dxa"/>
            <w:shd w:val="clear" w:color="auto" w:fill="auto"/>
          </w:tcPr>
          <w:p w14:paraId="6CD5AD2C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20.0</w:t>
            </w:r>
          </w:p>
        </w:tc>
        <w:tc>
          <w:tcPr>
            <w:tcW w:w="3071" w:type="dxa"/>
            <w:shd w:val="clear" w:color="auto" w:fill="auto"/>
          </w:tcPr>
          <w:p w14:paraId="5C616246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13.2</w:t>
            </w:r>
          </w:p>
        </w:tc>
      </w:tr>
      <w:tr w:rsidR="00B93804" w:rsidRPr="000C254D" w14:paraId="49D5DBEE" w14:textId="77777777" w:rsidTr="007C41B8">
        <w:tc>
          <w:tcPr>
            <w:tcW w:w="3070" w:type="dxa"/>
            <w:shd w:val="clear" w:color="auto" w:fill="auto"/>
          </w:tcPr>
          <w:p w14:paraId="78FA8B51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CBR</w:t>
            </w:r>
          </w:p>
        </w:tc>
        <w:tc>
          <w:tcPr>
            <w:tcW w:w="3071" w:type="dxa"/>
            <w:shd w:val="clear" w:color="auto" w:fill="auto"/>
          </w:tcPr>
          <w:p w14:paraId="3EBF9930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180 (78.3%)</w:t>
            </w:r>
          </w:p>
        </w:tc>
        <w:tc>
          <w:tcPr>
            <w:tcW w:w="3071" w:type="dxa"/>
            <w:shd w:val="clear" w:color="auto" w:fill="auto"/>
          </w:tcPr>
          <w:p w14:paraId="57649C87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172 (74.1%)</w:t>
            </w:r>
          </w:p>
        </w:tc>
      </w:tr>
      <w:tr w:rsidR="00B93804" w:rsidRPr="000C254D" w14:paraId="7EEDA936" w14:textId="77777777" w:rsidTr="007C41B8">
        <w:tc>
          <w:tcPr>
            <w:tcW w:w="3070" w:type="dxa"/>
            <w:shd w:val="clear" w:color="auto" w:fill="auto"/>
          </w:tcPr>
          <w:p w14:paraId="2C632117" w14:textId="77777777"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CBR Odds Ratio (95% CI) </w:t>
            </w:r>
            <w:r w:rsidR="009E57CE"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71F92AD9" w14:textId="77777777" w:rsidR="00B93804" w:rsidRPr="000C254D" w:rsidRDefault="00B93804" w:rsidP="007C41B8">
            <w:pPr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OR 1.253 (0.815 – 1.932) 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0.3045</w:t>
            </w:r>
          </w:p>
        </w:tc>
      </w:tr>
    </w:tbl>
    <w:p w14:paraId="7E81697C" w14:textId="77777777" w:rsidR="009E57CE" w:rsidRPr="000C254D" w:rsidRDefault="009E57CE" w:rsidP="009E57CE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0C254D">
        <w:rPr>
          <w:rFonts w:ascii="Times New Roman" w:eastAsia="TimesNewRoman,Bold" w:hAnsi="Times New Roman"/>
          <w:bCs/>
          <w:lang w:val="sk-SK"/>
        </w:rPr>
        <w:t>*(31% úplnosť dát) – nie konečná analýza OS</w:t>
      </w:r>
    </w:p>
    <w:p w14:paraId="45B8B767" w14:textId="77777777" w:rsidR="00B93804" w:rsidRPr="000C254D" w:rsidRDefault="009E57CE" w:rsidP="009E57CE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,Bold" w:hAnsi="Times New Roman"/>
          <w:bCs/>
          <w:lang w:val="sk-SK"/>
        </w:rPr>
        <w:t>**u pacientok s merateľným ochorením</w:t>
      </w:r>
    </w:p>
    <w:p w14:paraId="5A60BFE9" w14:textId="77777777" w:rsidR="009E57CE" w:rsidRPr="000C254D" w:rsidRDefault="009E57CE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4CAF3126" w14:textId="77777777" w:rsidR="00C33584" w:rsidRPr="000C254D" w:rsidRDefault="00C33584" w:rsidP="00C3358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Obrázok 1 Kaplanova-Meierova krivka prežívania bez progresie (hodnotené skúšajúcim</w:t>
      </w:r>
    </w:p>
    <w:p w14:paraId="77FD6108" w14:textId="77777777" w:rsidR="009E57CE" w:rsidRPr="000C254D" w:rsidRDefault="00C33584" w:rsidP="00C33584">
      <w:pPr>
        <w:spacing w:after="0" w:line="240" w:lineRule="auto"/>
        <w:contextualSpacing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v populácii podľa liečebného zámeru) ─ štúdia FALCON</w:t>
      </w:r>
    </w:p>
    <w:p w14:paraId="4E807521" w14:textId="77777777" w:rsidR="008B51DA" w:rsidRPr="000C254D" w:rsidRDefault="008B51DA" w:rsidP="00C33584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311A4B54" w14:textId="77777777" w:rsidR="009E57CE" w:rsidRPr="000C254D" w:rsidRDefault="009E57CE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58C8B546" w14:textId="77777777" w:rsidR="008B51DA" w:rsidRPr="000C254D" w:rsidRDefault="004C5B97" w:rsidP="00FC42CA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>
        <w:rPr>
          <w:rFonts w:ascii="Times New Roman" w:hAnsi="Times New Roman"/>
          <w:lang w:val="sk-SK" w:eastAsia="sk-SK"/>
        </w:rPr>
        <w:pict w14:anchorId="2DEA1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5" o:spid="_x0000_i1025" type="#_x0000_t75" style="width:453pt;height:259.5pt;visibility:visible">
            <v:imagedata r:id="rId9" o:title=""/>
          </v:shape>
        </w:pict>
      </w:r>
    </w:p>
    <w:p w14:paraId="26DF1D84" w14:textId="77777777" w:rsidR="008B51DA" w:rsidRPr="000C254D" w:rsidRDefault="008B51DA" w:rsidP="00FC42CA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14:paraId="587C17AF" w14:textId="77777777" w:rsidR="008B51DA" w:rsidRPr="000C254D" w:rsidRDefault="008B51DA" w:rsidP="00FC42CA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14:paraId="2BA58066" w14:textId="77777777" w:rsidR="009E57CE" w:rsidRPr="000C254D" w:rsidRDefault="008B51DA" w:rsidP="00FC42CA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Probability of PFS = </w:t>
      </w:r>
      <w:r w:rsidR="00C33584" w:rsidRPr="000C254D">
        <w:rPr>
          <w:rFonts w:ascii="Times New Roman" w:eastAsia="TimesNewRoman" w:hAnsi="Times New Roman"/>
          <w:lang w:val="sk-SK"/>
        </w:rPr>
        <w:t>Pravdepodobnosť PFS</w:t>
      </w:r>
    </w:p>
    <w:p w14:paraId="073B8B25" w14:textId="77777777" w:rsidR="008B51DA" w:rsidRPr="000C254D" w:rsidRDefault="008B51DA" w:rsidP="00FC42CA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14:paraId="1255C5DD" w14:textId="77777777" w:rsidR="008B51DA" w:rsidRPr="000C254D" w:rsidRDefault="008B51DA" w:rsidP="008B51DA">
      <w:pPr>
        <w:spacing w:after="0" w:line="240" w:lineRule="auto"/>
        <w:contextualSpacing/>
        <w:jc w:val="center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Čas od randomizácie (mesiace)</w:t>
      </w:r>
    </w:p>
    <w:p w14:paraId="7F946455" w14:textId="77777777" w:rsidR="008B51DA" w:rsidRPr="000C254D" w:rsidRDefault="008B51DA" w:rsidP="008B51D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jc w:val="center"/>
        <w:rPr>
          <w:rFonts w:ascii="Times New Roman" w:hAnsi="Times New Roman"/>
          <w:iCs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Liečba ——— Fulvestrant 500 mg (N=230) - - - - - - Anastrozol 1 mg (N=232)</w:t>
      </w:r>
    </w:p>
    <w:p w14:paraId="7ADA01CB" w14:textId="77777777" w:rsidR="009E57CE" w:rsidRPr="000C254D" w:rsidRDefault="009E57CE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1883BEC3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Počet pacientov v riziku:</w:t>
      </w:r>
    </w:p>
    <w:p w14:paraId="1139F59E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FUL500     230     187     171       150       124     110 </w:t>
      </w:r>
      <w:r w:rsidRPr="000C254D">
        <w:rPr>
          <w:rFonts w:ascii="Times New Roman" w:eastAsia="TimesNewRoman" w:hAnsi="Times New Roman"/>
          <w:lang w:val="sk-SK"/>
        </w:rPr>
        <w:tab/>
        <w:t xml:space="preserve"> 96     81      63         44       24       11      2       0</w:t>
      </w:r>
    </w:p>
    <w:p w14:paraId="77905967" w14:textId="77777777" w:rsidR="008B51DA" w:rsidRPr="000C254D" w:rsidRDefault="008B51DA" w:rsidP="008B51DA">
      <w:pPr>
        <w:spacing w:after="0" w:line="240" w:lineRule="auto"/>
        <w:contextualSpacing/>
        <w:rPr>
          <w:rFonts w:ascii="Times New Roman" w:hAnsi="Times New Roman"/>
          <w:iCs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ANAS1      232     194     162       139      120      102   84     60      45          31       22      10       0       0</w:t>
      </w:r>
    </w:p>
    <w:p w14:paraId="77C2CEA8" w14:textId="77777777" w:rsidR="008B51DA" w:rsidRPr="000C254D" w:rsidRDefault="008B51DA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077F082F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Vykonali sa dve klinické štúdie fázy 3 u celkovo 851 postmenopauzálnych žien s pokročilým</w:t>
      </w:r>
    </w:p>
    <w:p w14:paraId="2F699E02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karcinómom prsníka, u ktorých došlo k návratu ochorenia počas alebo po adjuvantnej endokrinnej</w:t>
      </w:r>
    </w:p>
    <w:p w14:paraId="01DF8FA4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liečbe, alebo k progresii ochorenia po endokrinnej liečbe pokročilého ochorenia. Sedemdesiatsedem</w:t>
      </w:r>
    </w:p>
    <w:p w14:paraId="7896430B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percent (77%) populácie v štúdii malo karcinóm prsníka s pozitivitou estrogénových receptorov.</w:t>
      </w:r>
    </w:p>
    <w:p w14:paraId="3796ED3E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týchto štúdiách sa porovnávala bezpečnosť a účinnosť podávania fulvestrantu 250 mg raz do mesiaca</w:t>
      </w:r>
    </w:p>
    <w:p w14:paraId="341831D3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 každodenným podávaním 1 mg anastrozolu (inhibítora aromatázy). Celkovo bol fulvestrant</w:t>
      </w:r>
    </w:p>
    <w:p w14:paraId="1F3C3E60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mesačnej dávke 250 mg minimálne rovnako účinný ako anastrozol z hľadiska prežívania bez</w:t>
      </w:r>
    </w:p>
    <w:p w14:paraId="6531B0BB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progresie, objektívnej reakcie a doby do úmrtia. Medzi oboma liečebnými skupinami neboli</w:t>
      </w:r>
    </w:p>
    <w:p w14:paraId="3E55D731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konečných ukazovateľoch zaznamenané žiadne štatisticky významné rozdiely. Primárnym cieľom</w:t>
      </w:r>
    </w:p>
    <w:p w14:paraId="7E2D43CB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štúdie bolo prežívanie bez progresie. Kombinovaná analýza oboch štúdií preukázala, že k progresii</w:t>
      </w:r>
    </w:p>
    <w:p w14:paraId="298ED083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došlo u 83% pacientok, ktorým sa podával fulvestrant oproti 85% pacientok, ktoré užívali anastrozol.</w:t>
      </w:r>
    </w:p>
    <w:p w14:paraId="66E1FE8A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Kombinovaná analýza oboch štúdií poukázala na to, že pomer rizika fulvestrantu 250 mg a anastrozolu</w:t>
      </w:r>
    </w:p>
    <w:p w14:paraId="06EEE2E1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z hľadiska prežívania bez progresie predstavoval 0,95 (95% CI 0,82 až 1,10). Objektívna miera</w:t>
      </w:r>
    </w:p>
    <w:p w14:paraId="1582970D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odpovede bola pre fulvestrant 250 mg 19,2% v porovnaní so 16,5% pre anastrozol. Medián času do</w:t>
      </w:r>
    </w:p>
    <w:p w14:paraId="4DE981DF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úmrtia bol 27,4 mesiacov u pacientok liečených fulvestrantom a 27,6 mesiacov u pacientok liečených</w:t>
      </w:r>
    </w:p>
    <w:p w14:paraId="1228320A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anastrozolom. Pomer rizika pre fulvestrant 250 mg k anastrozolu v čase do úmrtia bol 1,01 (95% CI</w:t>
      </w:r>
    </w:p>
    <w:p w14:paraId="2B145DEF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0,86 až 1,19).</w:t>
      </w:r>
    </w:p>
    <w:p w14:paraId="47646B6C" w14:textId="77777777" w:rsidR="008C100D" w:rsidRPr="000C254D" w:rsidRDefault="008C100D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7279E0A7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0C254D">
        <w:rPr>
          <w:rFonts w:ascii="Times New Roman" w:eastAsia="TimesNewRoman" w:hAnsi="Times New Roman"/>
          <w:i/>
          <w:iCs/>
          <w:lang w:val="sk-SK"/>
        </w:rPr>
        <w:t>Kombinovaná liečba s palbociklibom</w:t>
      </w:r>
    </w:p>
    <w:p w14:paraId="48AC5F61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Medzinárodná, randomizovaná, dvojito-zaslepená, multicentrická štúdia fázy 3 s paralelnými</w:t>
      </w:r>
    </w:p>
    <w:p w14:paraId="17D3D7B2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skupinami porovnávajúca </w:t>
      </w:r>
      <w:r w:rsidR="008C100D" w:rsidRPr="000C254D">
        <w:rPr>
          <w:rFonts w:ascii="Times New Roman" w:eastAsia="TimesNewRoman" w:hAnsi="Times New Roman"/>
          <w:lang w:val="sk-SK"/>
        </w:rPr>
        <w:t xml:space="preserve">fulvestrant </w:t>
      </w:r>
      <w:r w:rsidRPr="000C254D">
        <w:rPr>
          <w:rFonts w:ascii="Times New Roman" w:eastAsia="TimesNewRoman" w:hAnsi="Times New Roman"/>
          <w:lang w:val="sk-SK"/>
        </w:rPr>
        <w:t xml:space="preserve">500 mg plus palbociklib 125 mg oproti </w:t>
      </w:r>
      <w:r w:rsidR="008C100D" w:rsidRPr="000C254D">
        <w:rPr>
          <w:rFonts w:ascii="Times New Roman" w:eastAsia="TimesNewRoman" w:hAnsi="Times New Roman"/>
          <w:lang w:val="sk-SK"/>
        </w:rPr>
        <w:t xml:space="preserve">fulvestrantu </w:t>
      </w:r>
      <w:r w:rsidRPr="000C254D">
        <w:rPr>
          <w:rFonts w:ascii="Times New Roman" w:eastAsia="TimesNewRoman" w:hAnsi="Times New Roman"/>
          <w:lang w:val="sk-SK"/>
        </w:rPr>
        <w:t>500 mg plus</w:t>
      </w:r>
    </w:p>
    <w:p w14:paraId="350677C5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placebo sa vykonala u žien s HR-pozitívnym, HER2-negatívnym lokálne pokročilým karcinómom</w:t>
      </w:r>
    </w:p>
    <w:p w14:paraId="542D8B92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prsníka nevhodným na resekciu alebo rádioterapiu s kuratívnym zámerom alebo s metastatickým</w:t>
      </w:r>
    </w:p>
    <w:p w14:paraId="7250330F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karcinómom prsníka, nezávisle od ich menopauzálneho stavu, s progresiou ochorenia po</w:t>
      </w:r>
    </w:p>
    <w:p w14:paraId="09C3AA2F" w14:textId="77777777"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predchádzajúcej endokrinnej liečbe v (neo)adjuvantnom použití alebo použití pri metastatickom</w:t>
      </w:r>
    </w:p>
    <w:p w14:paraId="3264778F" w14:textId="77777777" w:rsidR="008B51DA" w:rsidRPr="000C254D" w:rsidRDefault="008B51DA" w:rsidP="008B51DA">
      <w:pPr>
        <w:spacing w:after="0" w:line="240" w:lineRule="auto"/>
        <w:contextualSpacing/>
        <w:rPr>
          <w:rFonts w:ascii="Times New Roman" w:hAnsi="Times New Roman"/>
          <w:iCs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ochorení.</w:t>
      </w:r>
    </w:p>
    <w:p w14:paraId="534B826A" w14:textId="77777777" w:rsidR="008B51DA" w:rsidRPr="000C254D" w:rsidRDefault="008B51DA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12D6F1B4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Celkovo 521 pre/perimenopauzálnych žien, ktorých ochorenie progredovalo v priebehu 12 mesiacov</w:t>
      </w:r>
    </w:p>
    <w:p w14:paraId="5B034E05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od ukončenia adjuvantnej endokrinnej liečby alebo počas nej, či v rámci 1 mesiaca po endokrinnej</w:t>
      </w:r>
    </w:p>
    <w:p w14:paraId="28D50889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liečbe pokročilého ochorenia, alebo počas nej, bolo randomizovaných v pomere 2:1 do skupín</w:t>
      </w:r>
    </w:p>
    <w:p w14:paraId="0FB526C5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fulvestrant plus palbociklib alebo fulvestrant plus placebo a stratifikovaných podľa zdokumentovanej</w:t>
      </w:r>
    </w:p>
    <w:p w14:paraId="339D137B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citlivosti na predchádzajúcu hormonálnu liečbu, menopauzálneho stavu pri vstupe do štúdie (pre/perimenopauzálne oproti postmenopauzálnym) a prítomnosti viscerálnych metastáz.</w:t>
      </w:r>
    </w:p>
    <w:p w14:paraId="2C012D34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Pre/perimenopauzálne ženy dostali agonistu LHRH, goserelín. Pacientky s pokročilým,</w:t>
      </w:r>
    </w:p>
    <w:p w14:paraId="442FDD5C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symptomatickým, viscerálnym rozsevom metastáz, ktoré mali riziko život ohrozujúcich komplikácií</w:t>
      </w:r>
    </w:p>
    <w:p w14:paraId="7B4BF879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krátkej dobe (vrátane pacientok s masívnymi nekontrolovanými výpotkami [pleurálny,</w:t>
      </w:r>
    </w:p>
    <w:p w14:paraId="2C8822EF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perikardiálny, peritoneálny], pľúcnou lymfangitídou a viac ako 50% postihnutím pečene), neboli</w:t>
      </w:r>
    </w:p>
    <w:p w14:paraId="7DB0F0BB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vhodné pre zaradenie do štúdie.</w:t>
      </w:r>
    </w:p>
    <w:p w14:paraId="081021D6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6DEEB16E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Pacientky pokračovali v užívaní priradenej liečby, kým nedošlo k objektívnej progresii ochorenia,</w:t>
      </w:r>
    </w:p>
    <w:p w14:paraId="7919CCFB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symptomatickému zhoršeniu, neprijateľnej toxicite, úmrtiu alebo zrušeniu súhlasu, podľa toho, čo sa</w:t>
      </w:r>
    </w:p>
    <w:p w14:paraId="6DD9BB7B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vyskytlo ako prvé. Prestup z jednej liečebnej skupiny do druhej nebol povolený.</w:t>
      </w:r>
    </w:p>
    <w:p w14:paraId="54FA5917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Rozdelenie pacientok podľa vstupných demografických a prognostických charakteristík do skupiny</w:t>
      </w:r>
    </w:p>
    <w:p w14:paraId="2338A77E" w14:textId="77777777" w:rsidR="008C100D" w:rsidRPr="000C254D" w:rsidRDefault="008C100D" w:rsidP="008C100D">
      <w:pPr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fulvestrant </w:t>
      </w:r>
      <w:r w:rsidRPr="000C254D">
        <w:rPr>
          <w:rFonts w:ascii="Times New Roman" w:eastAsia="TimesNewRoman" w:hAnsi="Times New Roman"/>
          <w:lang w:val="sk-SK"/>
        </w:rPr>
        <w:t xml:space="preserve">plus palbociklib a skupiny </w:t>
      </w:r>
      <w:r w:rsidRPr="000C254D">
        <w:rPr>
          <w:rFonts w:ascii="Times New Roman" w:hAnsi="Times New Roman"/>
          <w:lang w:val="sk-SK"/>
        </w:rPr>
        <w:t xml:space="preserve">fulvestrant </w:t>
      </w:r>
      <w:r w:rsidRPr="000C254D">
        <w:rPr>
          <w:rFonts w:ascii="Times New Roman" w:eastAsia="TimesNewRoman" w:hAnsi="Times New Roman"/>
          <w:lang w:val="sk-SK"/>
        </w:rPr>
        <w:t>plus placebo bolo vyvážené. Medián veku pacientok</w:t>
      </w:r>
    </w:p>
    <w:p w14:paraId="4F7E41F9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zaradených do tejto štúdie bol 57 rokov (rozsah 29 až 88). V každej liečebnej skupine bola väčšina</w:t>
      </w:r>
    </w:p>
    <w:p w14:paraId="39B5C5F3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pacientok bielej rasy s dokumentovanou citlivosťou na predchádzajúcu hormonálnu liečbu a po</w:t>
      </w:r>
    </w:p>
    <w:p w14:paraId="0D77C29D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menopauze. Približne 20% pacientok bolo pre/perimenopauzálnych. Všetky pacientky dostali</w:t>
      </w:r>
    </w:p>
    <w:p w14:paraId="4671B184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predchádzajúcu systémovú liečbu a väčšina pacientok v každej z liečebných skupín dostala</w:t>
      </w:r>
    </w:p>
    <w:p w14:paraId="12B3DC70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predchádzajúcu chemoterapiu kvôli primárnej diagnóze. ECOG skóre PS = 0 mala viac ako polovica</w:t>
      </w:r>
    </w:p>
    <w:p w14:paraId="191C731B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(62%) pacientok, 60% malo viscerálne metastázy a 60% dostalo viac ako 1 predchádzajúcu</w:t>
      </w:r>
    </w:p>
    <w:p w14:paraId="7378920C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hormonálnu liečbu kvôli ich primárnej diagnóze.</w:t>
      </w:r>
    </w:p>
    <w:p w14:paraId="7387BBE2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393FD21A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Primárnym cieľom štúdie bolo skúšajúcim lekárom hodnotené PFS podľa kritérií RECIST 1.1.</w:t>
      </w:r>
    </w:p>
    <w:p w14:paraId="606BF2CE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Podporné PFS analýzy boli založené na nezávislej centrálnej rádiologickej kontrole. Sekundárne ciele</w:t>
      </w:r>
    </w:p>
    <w:p w14:paraId="284EADFE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zahŕňali OR, CBR, OS, bezpečnosť a čas do zhoršenia bolesti (time-to-deterioration, TTD).</w:t>
      </w:r>
    </w:p>
    <w:p w14:paraId="6D75A4FD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55477532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Štúdia splnila svoj primárny cieľ, predĺženie PFS hodnotené skúšajúcim lekárom pri predbežnej</w:t>
      </w:r>
    </w:p>
    <w:p w14:paraId="3167DF99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analýze vykonanej pri 82% plánovaných PFS udalostí; výsledky prekročili vopred špecifikovanú</w:t>
      </w:r>
    </w:p>
    <w:p w14:paraId="78F9C1A7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Haybittle-Petovu hranicu účinnosti (α = 0,00135) dokazujúc tak štatisticky významné predĺženie PFS</w:t>
      </w:r>
    </w:p>
    <w:p w14:paraId="2087120A" w14:textId="77777777" w:rsidR="008B51DA" w:rsidRPr="000C254D" w:rsidRDefault="008C100D" w:rsidP="008C100D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 klinicky významný účinok liečby. Novšia aktualizácia údajov o účinnosti je uvedená v tabuľke 5.</w:t>
      </w:r>
    </w:p>
    <w:p w14:paraId="78CBD289" w14:textId="77777777" w:rsidR="008B51DA" w:rsidRPr="000C254D" w:rsidRDefault="008B51DA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3E58C7DB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Tabuľka 5 Výsledky účinnosti – štúdia PALOMA3 (hodnotené skúšajúcim v populácii podľa</w:t>
      </w:r>
    </w:p>
    <w:p w14:paraId="6EF80096" w14:textId="77777777" w:rsidR="008C100D" w:rsidRPr="000C254D" w:rsidRDefault="008C100D" w:rsidP="008C100D">
      <w:pPr>
        <w:spacing w:after="0" w:line="240" w:lineRule="auto"/>
        <w:contextualSpacing/>
        <w:rPr>
          <w:rFonts w:ascii="Times New Roman" w:hAnsi="Times New Roman"/>
          <w:i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liečebného zámeru)</w:t>
      </w:r>
    </w:p>
    <w:p w14:paraId="3B3B6724" w14:textId="77777777"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color w:val="00000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C100D" w:rsidRPr="004C5B97" w14:paraId="0E23E4DC" w14:textId="77777777" w:rsidTr="007C41B8">
        <w:tc>
          <w:tcPr>
            <w:tcW w:w="3070" w:type="dxa"/>
            <w:vMerge w:val="restart"/>
            <w:shd w:val="clear" w:color="auto" w:fill="auto"/>
          </w:tcPr>
          <w:p w14:paraId="70F0923D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14:paraId="582716E9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Aktualizovaná analýza</w:t>
            </w:r>
          </w:p>
          <w:p w14:paraId="6EA6C015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(ukončenie zberu údajov 23. októbra 2015)</w:t>
            </w:r>
          </w:p>
        </w:tc>
      </w:tr>
      <w:tr w:rsidR="008C100D" w:rsidRPr="000C254D" w14:paraId="1ABFB7BF" w14:textId="77777777" w:rsidTr="007C41B8">
        <w:tc>
          <w:tcPr>
            <w:tcW w:w="3070" w:type="dxa"/>
            <w:vMerge/>
            <w:shd w:val="clear" w:color="auto" w:fill="auto"/>
          </w:tcPr>
          <w:p w14:paraId="120F8FE3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3071" w:type="dxa"/>
            <w:shd w:val="clear" w:color="auto" w:fill="auto"/>
          </w:tcPr>
          <w:p w14:paraId="7A0FA146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 plus palbociclib</w:t>
            </w:r>
          </w:p>
          <w:p w14:paraId="44AAE1E8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(N=347)</w:t>
            </w:r>
          </w:p>
        </w:tc>
        <w:tc>
          <w:tcPr>
            <w:tcW w:w="3071" w:type="dxa"/>
            <w:shd w:val="clear" w:color="auto" w:fill="auto"/>
          </w:tcPr>
          <w:p w14:paraId="6AA95546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 plus placebo</w:t>
            </w:r>
          </w:p>
          <w:p w14:paraId="7D395004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(N=174)</w:t>
            </w:r>
          </w:p>
        </w:tc>
      </w:tr>
      <w:tr w:rsidR="008C100D" w:rsidRPr="000C254D" w14:paraId="3E7AE26E" w14:textId="77777777" w:rsidTr="007C41B8">
        <w:tc>
          <w:tcPr>
            <w:tcW w:w="3070" w:type="dxa"/>
            <w:shd w:val="clear" w:color="auto" w:fill="auto"/>
          </w:tcPr>
          <w:p w14:paraId="47F8CB77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Prežívanie bez progresie</w:t>
            </w:r>
          </w:p>
        </w:tc>
        <w:tc>
          <w:tcPr>
            <w:tcW w:w="3071" w:type="dxa"/>
            <w:shd w:val="clear" w:color="auto" w:fill="auto"/>
          </w:tcPr>
          <w:p w14:paraId="2EA26D19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</w:p>
        </w:tc>
        <w:tc>
          <w:tcPr>
            <w:tcW w:w="3071" w:type="dxa"/>
            <w:shd w:val="clear" w:color="auto" w:fill="auto"/>
          </w:tcPr>
          <w:p w14:paraId="28401BE5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</w:tr>
      <w:tr w:rsidR="008C100D" w:rsidRPr="000C254D" w14:paraId="7A6AA5FE" w14:textId="77777777" w:rsidTr="007C41B8">
        <w:tc>
          <w:tcPr>
            <w:tcW w:w="3070" w:type="dxa"/>
            <w:shd w:val="clear" w:color="auto" w:fill="auto"/>
          </w:tcPr>
          <w:p w14:paraId="0B4D5F52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Medián [mesiace (95% CI)]</w:t>
            </w:r>
          </w:p>
        </w:tc>
        <w:tc>
          <w:tcPr>
            <w:tcW w:w="3071" w:type="dxa"/>
            <w:shd w:val="clear" w:color="auto" w:fill="auto"/>
          </w:tcPr>
          <w:p w14:paraId="324E7999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11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2 (9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5, 12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9)</w:t>
            </w:r>
          </w:p>
        </w:tc>
        <w:tc>
          <w:tcPr>
            <w:tcW w:w="3071" w:type="dxa"/>
            <w:shd w:val="clear" w:color="auto" w:fill="auto"/>
          </w:tcPr>
          <w:p w14:paraId="079BADE4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4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6 (3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5, 5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6)</w:t>
            </w:r>
          </w:p>
        </w:tc>
      </w:tr>
      <w:tr w:rsidR="008C100D" w:rsidRPr="000C254D" w14:paraId="55186B07" w14:textId="77777777" w:rsidTr="007C41B8">
        <w:tc>
          <w:tcPr>
            <w:tcW w:w="3070" w:type="dxa"/>
            <w:shd w:val="clear" w:color="auto" w:fill="auto"/>
          </w:tcPr>
          <w:p w14:paraId="686EFAE1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Pomer rizika (95% CI) </w:t>
            </w:r>
          </w:p>
          <w:p w14:paraId="049B8274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5CE84127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0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497 (0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398, 0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620), p &lt;0.000001</w:t>
            </w:r>
          </w:p>
        </w:tc>
      </w:tr>
      <w:tr w:rsidR="008C100D" w:rsidRPr="000C254D" w14:paraId="2F9BC28E" w14:textId="77777777" w:rsidTr="007C41B8">
        <w:tc>
          <w:tcPr>
            <w:tcW w:w="9212" w:type="dxa"/>
            <w:gridSpan w:val="3"/>
            <w:shd w:val="clear" w:color="auto" w:fill="auto"/>
          </w:tcPr>
          <w:p w14:paraId="24CEE108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Sekundárne ciele*</w:t>
            </w:r>
          </w:p>
        </w:tc>
      </w:tr>
      <w:tr w:rsidR="008C100D" w:rsidRPr="000C254D" w14:paraId="2FBF1936" w14:textId="77777777" w:rsidTr="007C41B8">
        <w:tc>
          <w:tcPr>
            <w:tcW w:w="3070" w:type="dxa"/>
            <w:shd w:val="clear" w:color="auto" w:fill="auto"/>
          </w:tcPr>
          <w:p w14:paraId="0583827A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OR [% (95% CI)]</w:t>
            </w:r>
          </w:p>
        </w:tc>
        <w:tc>
          <w:tcPr>
            <w:tcW w:w="3071" w:type="dxa"/>
            <w:shd w:val="clear" w:color="auto" w:fill="auto"/>
          </w:tcPr>
          <w:p w14:paraId="21314156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26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2 (21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7, 31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2)</w:t>
            </w:r>
          </w:p>
        </w:tc>
        <w:tc>
          <w:tcPr>
            <w:tcW w:w="3071" w:type="dxa"/>
            <w:shd w:val="clear" w:color="auto" w:fill="auto"/>
          </w:tcPr>
          <w:p w14:paraId="79A450DD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13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8 (9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0, 19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8)</w:t>
            </w:r>
          </w:p>
        </w:tc>
      </w:tr>
      <w:tr w:rsidR="008C100D" w:rsidRPr="000C254D" w14:paraId="02A268AC" w14:textId="77777777" w:rsidTr="007C41B8">
        <w:tc>
          <w:tcPr>
            <w:tcW w:w="3070" w:type="dxa"/>
            <w:shd w:val="clear" w:color="auto" w:fill="auto"/>
          </w:tcPr>
          <w:p w14:paraId="5136E7E2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OR (merateľné ochorenie) [% </w:t>
            </w:r>
          </w:p>
          <w:p w14:paraId="426ABCF1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(95% CI)]</w:t>
            </w:r>
          </w:p>
        </w:tc>
        <w:tc>
          <w:tcPr>
            <w:tcW w:w="3071" w:type="dxa"/>
            <w:shd w:val="clear" w:color="auto" w:fill="auto"/>
          </w:tcPr>
          <w:p w14:paraId="13DF3C59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33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7 (28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1, 39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7)</w:t>
            </w:r>
          </w:p>
        </w:tc>
        <w:tc>
          <w:tcPr>
            <w:tcW w:w="3071" w:type="dxa"/>
            <w:shd w:val="clear" w:color="auto" w:fill="auto"/>
          </w:tcPr>
          <w:p w14:paraId="761AF127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17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4 (11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5, 24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8)</w:t>
            </w:r>
          </w:p>
        </w:tc>
      </w:tr>
      <w:tr w:rsidR="008C100D" w:rsidRPr="000C254D" w14:paraId="4C5CE5A4" w14:textId="77777777" w:rsidTr="007C41B8">
        <w:tc>
          <w:tcPr>
            <w:tcW w:w="3070" w:type="dxa"/>
            <w:shd w:val="clear" w:color="auto" w:fill="auto"/>
          </w:tcPr>
          <w:p w14:paraId="2B963992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DOR (merateľné ochorenie) </w:t>
            </w:r>
          </w:p>
          <w:p w14:paraId="3D2B5A87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[months (95% CI)]</w:t>
            </w:r>
          </w:p>
        </w:tc>
        <w:tc>
          <w:tcPr>
            <w:tcW w:w="3071" w:type="dxa"/>
            <w:shd w:val="clear" w:color="auto" w:fill="auto"/>
          </w:tcPr>
          <w:p w14:paraId="433CB845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9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2 (7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2, 10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4)</w:t>
            </w:r>
          </w:p>
        </w:tc>
        <w:tc>
          <w:tcPr>
            <w:tcW w:w="3071" w:type="dxa"/>
            <w:shd w:val="clear" w:color="auto" w:fill="auto"/>
          </w:tcPr>
          <w:p w14:paraId="0B7616FF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7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4 (3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9, NE)</w:t>
            </w:r>
          </w:p>
        </w:tc>
      </w:tr>
      <w:tr w:rsidR="008C100D" w:rsidRPr="000C254D" w14:paraId="48F5B632" w14:textId="77777777" w:rsidTr="007C41B8">
        <w:tc>
          <w:tcPr>
            <w:tcW w:w="3070" w:type="dxa"/>
            <w:shd w:val="clear" w:color="auto" w:fill="auto"/>
          </w:tcPr>
          <w:p w14:paraId="22E2967A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CBR [% (95% CI)]</w:t>
            </w:r>
          </w:p>
        </w:tc>
        <w:tc>
          <w:tcPr>
            <w:tcW w:w="3071" w:type="dxa"/>
            <w:shd w:val="clear" w:color="auto" w:fill="auto"/>
          </w:tcPr>
          <w:p w14:paraId="69B38E40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68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0 (62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8, 72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9)</w:t>
            </w:r>
          </w:p>
        </w:tc>
        <w:tc>
          <w:tcPr>
            <w:tcW w:w="3071" w:type="dxa"/>
            <w:shd w:val="clear" w:color="auto" w:fill="auto"/>
          </w:tcPr>
          <w:p w14:paraId="2865157A" w14:textId="77777777" w:rsidR="008C100D" w:rsidRPr="000C254D" w:rsidRDefault="008C100D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39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7 (32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3, 47</w:t>
            </w:r>
            <w:r w:rsidR="006569FA"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3)</w:t>
            </w:r>
          </w:p>
        </w:tc>
      </w:tr>
    </w:tbl>
    <w:p w14:paraId="155B83F1" w14:textId="77777777"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*Výsledky odpovedí založené na potvrdených a nepotvrdených odpovediach.</w:t>
      </w:r>
    </w:p>
    <w:p w14:paraId="4FAAE052" w14:textId="4B738AF8" w:rsidR="008C100D" w:rsidRPr="000C254D" w:rsidRDefault="006569FA" w:rsidP="004C5B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 = počet pacientok; CI = interval spoľahlivosti; NE = nie je možné určiť; OR = objektívna odpoveď; CBR =</w:t>
      </w:r>
      <w:r w:rsidR="00E35068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miera klinického prínosu; DOR = trvanie odpovede</w:t>
      </w:r>
    </w:p>
    <w:p w14:paraId="696C9768" w14:textId="77777777" w:rsidR="008C100D" w:rsidRPr="000C254D" w:rsidRDefault="008C100D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05F96706" w14:textId="77777777"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Obrázok 2. Kaplanova-Meierova krivka prežívania bez progresie ochorenia (hodnotenie</w:t>
      </w:r>
    </w:p>
    <w:p w14:paraId="4BF1F66B" w14:textId="77777777" w:rsidR="006569FA" w:rsidRPr="000C254D" w:rsidRDefault="006569FA" w:rsidP="006569F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skúšajúcim lekárom v populácii podľa liečebného zámeru) – štúdia PALOMA3</w:t>
      </w:r>
    </w:p>
    <w:p w14:paraId="1C874B47" w14:textId="77777777" w:rsidR="006569FA" w:rsidRPr="000C254D" w:rsidRDefault="004C5B97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>
        <w:rPr>
          <w:rFonts w:ascii="Times New Roman" w:hAnsi="Times New Roman"/>
          <w:i/>
          <w:lang w:val="sk-SK" w:eastAsia="sk-SK"/>
        </w:rPr>
        <w:pict w14:anchorId="07840422">
          <v:shape id="Obrázok 3" o:spid="_x0000_i1026" type="#_x0000_t75" style="width:470.25pt;height:363.75pt;visibility:visible">
            <v:imagedata r:id="rId10" o:title=""/>
          </v:shape>
        </w:pict>
      </w:r>
    </w:p>
    <w:p w14:paraId="0D5FA58F" w14:textId="77777777" w:rsidR="006569FA" w:rsidRPr="000C254D" w:rsidRDefault="006569FA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14:paraId="295F0C5C" w14:textId="77777777"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FUL=fulvestrant; PAL=palbociklib; PCB=placebo.</w:t>
      </w:r>
    </w:p>
    <w:p w14:paraId="3E69DBBF" w14:textId="77777777"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7E1FFC4F" w14:textId="77777777"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Zníženie rizika progresie ochorenia alebo úmrtia v skupine fulvestrant plus palbociklib sa pozorovalo vo</w:t>
      </w:r>
    </w:p>
    <w:p w14:paraId="2C1F5F4E" w14:textId="77777777"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všetkých podskupinách pacientok definovaných stratifikačnými faktormi a vstupnými charakteristikami. Bolo to evidentné u pre/perimenopauzálnych žien (HR 0,46 [95% CI: 0,28; 0,75]) a postmenopauzálnych žien (HR 0,52 [95% CI: 0,40; 0,66]) a pacientok s viscerálnymi metastatickými ložiskami (HR 0,50 [95% CI: 0,38; 0,65]) a pacientok s neviscerálnymi metastatickými ložiskami (HR 0,48 [95% CI: 0,33; 0,71]). Prínos bol tiež pozorovaný nezávisle od počtu línií predchádzajúcej liečby pre metastatické ochorenie, či bol počet 0 (HR 0,59 [95% CI: 0,37; 0,93]), 1 (HR 0,46 [95% CI: 0,32; 0,64]), 2 (HR 0,48 [95% CI: 0,30; 0,76]) alebo ≥ 3 línie (HR 0,59 [95% CI: 0,28; 1,22]). Ďalšie ukazovatele účinnosti (OR a TTR) hodnotené v podskupinách pacientok s viscerálnym ochorením alebo bez neho sú zobrazené v tabuľke 6.</w:t>
      </w:r>
    </w:p>
    <w:p w14:paraId="4A980FDF" w14:textId="77777777"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46A5C45D" w14:textId="77777777"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Tabuľka 6 Výsledky účinnosti na viscerálne a neviscerálne ochorenie zo štúdie PALOMA3</w:t>
      </w:r>
    </w:p>
    <w:p w14:paraId="606B0245" w14:textId="77777777" w:rsidR="006569FA" w:rsidRPr="000C254D" w:rsidRDefault="006569FA" w:rsidP="006569F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(populácia podľa liečebného zámeru)</w:t>
      </w:r>
    </w:p>
    <w:p w14:paraId="0442ECC8" w14:textId="77777777" w:rsidR="006569FA" w:rsidRPr="000C254D" w:rsidRDefault="006569FA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842"/>
        <w:gridCol w:w="1843"/>
      </w:tblGrid>
      <w:tr w:rsidR="006569FA" w:rsidRPr="000C254D" w14:paraId="3E2E7654" w14:textId="77777777" w:rsidTr="007C41B8">
        <w:tc>
          <w:tcPr>
            <w:tcW w:w="1951" w:type="dxa"/>
            <w:shd w:val="clear" w:color="auto" w:fill="auto"/>
          </w:tcPr>
          <w:p w14:paraId="168274B9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5C49C4C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Viscerálne ochorenie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2ACE734" w14:textId="77777777" w:rsidR="006569FA" w:rsidRPr="000C254D" w:rsidRDefault="00CD6CB6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Neviscerálne ochorenie</w:t>
            </w:r>
          </w:p>
        </w:tc>
      </w:tr>
      <w:tr w:rsidR="006569FA" w:rsidRPr="000C254D" w14:paraId="17532AC0" w14:textId="77777777" w:rsidTr="007C41B8">
        <w:tc>
          <w:tcPr>
            <w:tcW w:w="1951" w:type="dxa"/>
            <w:shd w:val="clear" w:color="auto" w:fill="auto"/>
          </w:tcPr>
          <w:p w14:paraId="177E5674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1843" w:type="dxa"/>
            <w:shd w:val="clear" w:color="auto" w:fill="auto"/>
          </w:tcPr>
          <w:p w14:paraId="64C753C4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 plus</w:t>
            </w:r>
          </w:p>
          <w:p w14:paraId="4DE565D0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palbociclib</w:t>
            </w:r>
          </w:p>
          <w:p w14:paraId="747FADB5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(N=206)</w:t>
            </w:r>
          </w:p>
        </w:tc>
        <w:tc>
          <w:tcPr>
            <w:tcW w:w="1843" w:type="dxa"/>
            <w:shd w:val="clear" w:color="auto" w:fill="auto"/>
          </w:tcPr>
          <w:p w14:paraId="6137EE17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Fulvestrant plus </w:t>
            </w:r>
          </w:p>
          <w:p w14:paraId="39B5D394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placebo</w:t>
            </w:r>
          </w:p>
          <w:p w14:paraId="0F82ABD6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(N=105)</w:t>
            </w:r>
          </w:p>
        </w:tc>
        <w:tc>
          <w:tcPr>
            <w:tcW w:w="1842" w:type="dxa"/>
            <w:shd w:val="clear" w:color="auto" w:fill="auto"/>
          </w:tcPr>
          <w:p w14:paraId="2306E6C5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Fulvestrant plus </w:t>
            </w:r>
          </w:p>
          <w:p w14:paraId="5ACFC59E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palbociclib</w:t>
            </w:r>
          </w:p>
          <w:p w14:paraId="6FDD251F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(N=141)</w:t>
            </w:r>
          </w:p>
        </w:tc>
        <w:tc>
          <w:tcPr>
            <w:tcW w:w="1843" w:type="dxa"/>
            <w:shd w:val="clear" w:color="auto" w:fill="auto"/>
          </w:tcPr>
          <w:p w14:paraId="11E61797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Fulvestrant plus </w:t>
            </w:r>
          </w:p>
          <w:p w14:paraId="4323C31D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placebo</w:t>
            </w:r>
          </w:p>
          <w:p w14:paraId="4E00FF68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(N=69)</w:t>
            </w:r>
          </w:p>
        </w:tc>
      </w:tr>
      <w:tr w:rsidR="006569FA" w:rsidRPr="000C254D" w14:paraId="235DA387" w14:textId="77777777" w:rsidTr="007C41B8">
        <w:tc>
          <w:tcPr>
            <w:tcW w:w="1951" w:type="dxa"/>
            <w:shd w:val="clear" w:color="auto" w:fill="auto"/>
          </w:tcPr>
          <w:p w14:paraId="6C9BC5CA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OR [% (95% CI)]</w:t>
            </w:r>
          </w:p>
        </w:tc>
        <w:tc>
          <w:tcPr>
            <w:tcW w:w="1843" w:type="dxa"/>
            <w:shd w:val="clear" w:color="auto" w:fill="auto"/>
          </w:tcPr>
          <w:p w14:paraId="2EFFBF82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35.0</w:t>
            </w:r>
          </w:p>
          <w:p w14:paraId="2462B213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(28.5, 41.9)</w:t>
            </w:r>
          </w:p>
        </w:tc>
        <w:tc>
          <w:tcPr>
            <w:tcW w:w="1843" w:type="dxa"/>
            <w:shd w:val="clear" w:color="auto" w:fill="auto"/>
          </w:tcPr>
          <w:p w14:paraId="79564031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13.3</w:t>
            </w:r>
          </w:p>
          <w:p w14:paraId="7CE987F7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(7.5, 21.4)</w:t>
            </w:r>
          </w:p>
        </w:tc>
        <w:tc>
          <w:tcPr>
            <w:tcW w:w="1842" w:type="dxa"/>
            <w:shd w:val="clear" w:color="auto" w:fill="auto"/>
          </w:tcPr>
          <w:p w14:paraId="26120BCA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13.5</w:t>
            </w:r>
          </w:p>
          <w:p w14:paraId="1D5AFE01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(8.3, 20.2)</w:t>
            </w:r>
          </w:p>
        </w:tc>
        <w:tc>
          <w:tcPr>
            <w:tcW w:w="1843" w:type="dxa"/>
            <w:shd w:val="clear" w:color="auto" w:fill="auto"/>
          </w:tcPr>
          <w:p w14:paraId="46CF39FD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14.5</w:t>
            </w:r>
          </w:p>
          <w:p w14:paraId="16F07FA5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(7.2, 25.0)</w:t>
            </w:r>
          </w:p>
        </w:tc>
      </w:tr>
      <w:tr w:rsidR="006569FA" w:rsidRPr="000C254D" w14:paraId="37F53407" w14:textId="77777777" w:rsidTr="007C41B8">
        <w:tc>
          <w:tcPr>
            <w:tcW w:w="1951" w:type="dxa"/>
            <w:shd w:val="clear" w:color="auto" w:fill="auto"/>
          </w:tcPr>
          <w:p w14:paraId="5A572990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TTR*, Medi</w:t>
            </w:r>
            <w:r w:rsidR="00CD6CB6"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á</w:t>
            </w: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n </w:t>
            </w:r>
          </w:p>
          <w:p w14:paraId="5CE26A01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[</w:t>
            </w:r>
            <w:r w:rsidR="00CD6CB6"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mesiace</w:t>
            </w: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(</w:t>
            </w:r>
            <w:r w:rsidR="00CD6CB6"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rozsah</w:t>
            </w: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)]</w:t>
            </w:r>
          </w:p>
        </w:tc>
        <w:tc>
          <w:tcPr>
            <w:tcW w:w="1843" w:type="dxa"/>
            <w:shd w:val="clear" w:color="auto" w:fill="auto"/>
          </w:tcPr>
          <w:p w14:paraId="75098964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3.8</w:t>
            </w:r>
          </w:p>
          <w:p w14:paraId="09E8CA27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(3.5, 16.7)</w:t>
            </w:r>
          </w:p>
        </w:tc>
        <w:tc>
          <w:tcPr>
            <w:tcW w:w="1843" w:type="dxa"/>
            <w:shd w:val="clear" w:color="auto" w:fill="auto"/>
          </w:tcPr>
          <w:p w14:paraId="429FE15B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5.4</w:t>
            </w:r>
          </w:p>
          <w:p w14:paraId="0A9539D4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(3.5, 16.7)</w:t>
            </w:r>
          </w:p>
        </w:tc>
        <w:tc>
          <w:tcPr>
            <w:tcW w:w="1842" w:type="dxa"/>
            <w:shd w:val="clear" w:color="auto" w:fill="auto"/>
          </w:tcPr>
          <w:p w14:paraId="19D81E5C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3.7</w:t>
            </w:r>
          </w:p>
          <w:p w14:paraId="13116692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(1.9, 13.7)</w:t>
            </w:r>
          </w:p>
        </w:tc>
        <w:tc>
          <w:tcPr>
            <w:tcW w:w="1843" w:type="dxa"/>
            <w:shd w:val="clear" w:color="auto" w:fill="auto"/>
          </w:tcPr>
          <w:p w14:paraId="1D98BCE4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3.6</w:t>
            </w:r>
          </w:p>
          <w:p w14:paraId="0793461B" w14:textId="77777777"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(3.4, 3.7)</w:t>
            </w:r>
          </w:p>
        </w:tc>
      </w:tr>
    </w:tbl>
    <w:p w14:paraId="54D9CF8D" w14:textId="77777777"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*Výsledky odpovedí založené na potvrdených a nepotvrdených odpovediach.</w:t>
      </w:r>
    </w:p>
    <w:p w14:paraId="42FC3A5A" w14:textId="77777777"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 = počet pacientok; CI = interval spoľahlivosti; OR = objektívna odpoveď; TTR = čas do prvej odpovede</w:t>
      </w:r>
    </w:p>
    <w:p w14:paraId="61575846" w14:textId="77777777" w:rsidR="006569FA" w:rsidRPr="000C254D" w:rsidRDefault="00CD6CB6" w:rsidP="00CD6CB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nádoru.</w:t>
      </w:r>
    </w:p>
    <w:p w14:paraId="6EE25D81" w14:textId="77777777" w:rsidR="00CD6CB6" w:rsidRPr="000C254D" w:rsidRDefault="00CD6CB6" w:rsidP="00CD6CB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14:paraId="7D2A032A" w14:textId="77777777"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Pacientkami hlásené príznaky boli hodnotené pomocou dotazníka kvality života (quality of life</w:t>
      </w:r>
    </w:p>
    <w:p w14:paraId="4FC85246" w14:textId="77777777"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questionnaire, QLQ)-C30 Európskej organizácie pre výskum a liečbu rakoviny a jeho modulu</w:t>
      </w:r>
    </w:p>
    <w:p w14:paraId="5309368C" w14:textId="77777777"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rakoviny prsníka (EORTC QLQ BR23). Celkovo 335 pacientok v skupine fulvestrant plus palbociklib</w:t>
      </w:r>
    </w:p>
    <w:p w14:paraId="237E8103" w14:textId="77777777"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 166 pacientok v skupine fulvestrant plus placebo vyplnilo dotazník pri vstupe do štúdie a aspoň raz na</w:t>
      </w:r>
    </w:p>
    <w:p w14:paraId="472815FF" w14:textId="77777777"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ďalšej návšteve.</w:t>
      </w:r>
    </w:p>
    <w:p w14:paraId="67E0C388" w14:textId="77777777"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Čas do zhoršenia bol vopred špecifikovaný ako čas medzi vstupom do štúdie a prvým výskytom</w:t>
      </w:r>
    </w:p>
    <w:p w14:paraId="34BA27D3" w14:textId="77777777"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≥ 10-bodového vzostupu oproti počiatočnej hodnote skóre príznakov bolesti. Pridanie palbociklibu</w:t>
      </w:r>
    </w:p>
    <w:p w14:paraId="6496A750" w14:textId="77777777"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k fulvestrantu viedlo k prínosu, pokiaľ ide o príznaky, pretože významne predĺžilo čas do zhoršenia</w:t>
      </w:r>
    </w:p>
    <w:p w14:paraId="029D83DB" w14:textId="77777777"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príznakov bolesti v porovnaní so skupinou fulvestrant plus placebo (medián 8,0 mesiacov oproti 2,8</w:t>
      </w:r>
    </w:p>
    <w:p w14:paraId="6FD8093A" w14:textId="77777777" w:rsidR="00CD6CB6" w:rsidRPr="000C254D" w:rsidRDefault="00CD6CB6" w:rsidP="00CD6CB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mesiacov; HR = 0,64 [95% CI: 0,49; 0,85]; p &lt; 0,001).</w:t>
      </w:r>
    </w:p>
    <w:p w14:paraId="4DE6D767" w14:textId="77777777" w:rsidR="00CD6CB6" w:rsidRPr="000C254D" w:rsidRDefault="00CD6CB6" w:rsidP="00CD6CB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14:paraId="2BE27963" w14:textId="77777777" w:rsidR="000B2B40" w:rsidRPr="000C254D" w:rsidRDefault="00823DE2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Účinky na endometrium po menopauze</w:t>
      </w:r>
    </w:p>
    <w:p w14:paraId="2A57A52E" w14:textId="77777777" w:rsidR="000B2B40" w:rsidRPr="000C254D" w:rsidRDefault="00823DE2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Predklinické údaje nenaznačujú stimulačný účinok fulvestrantu na endometrium po menopauze (pozri</w:t>
      </w:r>
    </w:p>
    <w:p w14:paraId="7F68A3DC" w14:textId="77777777" w:rsidR="000B2B40" w:rsidRPr="000C254D" w:rsidRDefault="00823DE2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časť 5.3). Dvojtýždňová štúdia u zdravých postmenopauzálnych dobrovoľníčok liečených 20 </w:t>
      </w:r>
      <w:r w:rsidR="000B2B40" w:rsidRPr="000C254D">
        <w:rPr>
          <w:rFonts w:ascii="Times New Roman" w:hAnsi="Times New Roman"/>
          <w:lang w:val="sk-SK"/>
        </w:rPr>
        <w:t>μ</w:t>
      </w:r>
      <w:r w:rsidRPr="000C254D">
        <w:rPr>
          <w:rFonts w:ascii="Times New Roman" w:hAnsi="Times New Roman"/>
          <w:lang w:val="sk-SK"/>
        </w:rPr>
        <w:t>g</w:t>
      </w:r>
    </w:p>
    <w:p w14:paraId="6C631A11" w14:textId="77777777" w:rsidR="000B2B40" w:rsidRPr="000C254D" w:rsidRDefault="00823DE2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etinylestradiolu denne preukázala, že predliečenie fulvestrantom 250 mg malo za následok signifikantne</w:t>
      </w:r>
    </w:p>
    <w:p w14:paraId="30EBF4CA" w14:textId="77777777" w:rsidR="000B2B40" w:rsidRPr="000C254D" w:rsidRDefault="00823DE2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redukovanú stimuláciu postmenopauzálneho endometria v porovnaní s predliečením placebom,</w:t>
      </w:r>
    </w:p>
    <w:p w14:paraId="671AB189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hodnotenú na základe ultrasonografického merania hrúbky endometria.</w:t>
      </w:r>
    </w:p>
    <w:p w14:paraId="0619D1E7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3F8DEDA" w14:textId="71AE90B5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Neoadjuvantná liečba </w:t>
      </w:r>
      <w:r w:rsidR="00F06A63">
        <w:rPr>
          <w:rFonts w:ascii="Times New Roman" w:hAnsi="Times New Roman"/>
          <w:lang w:val="sk-SK"/>
        </w:rPr>
        <w:t xml:space="preserve">trvajúca </w:t>
      </w:r>
      <w:r w:rsidRPr="000C254D">
        <w:rPr>
          <w:rFonts w:ascii="Times New Roman" w:hAnsi="Times New Roman"/>
          <w:lang w:val="sk-SK"/>
        </w:rPr>
        <w:t xml:space="preserve">až 16 týždňov u pacientiek s karcinómom prsníka liečených buď </w:t>
      </w:r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</w:t>
      </w:r>
      <w:r w:rsidR="00F06A63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500 mg alebo 250 mg </w:t>
      </w:r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 neviedla ku klinicky významným zmenám v hrúbke endometria, čo</w:t>
      </w:r>
      <w:r w:rsidR="00F06A63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ukazuje na nedostatočný agonist</w:t>
      </w:r>
      <w:r w:rsidR="00F06A63">
        <w:rPr>
          <w:rFonts w:ascii="Times New Roman" w:hAnsi="Times New Roman"/>
          <w:lang w:val="sk-SK"/>
        </w:rPr>
        <w:t>ický účinok</w:t>
      </w:r>
      <w:r w:rsidRPr="000C254D">
        <w:rPr>
          <w:rFonts w:ascii="Times New Roman" w:hAnsi="Times New Roman"/>
          <w:lang w:val="sk-SK"/>
        </w:rPr>
        <w:t>. Neexistujú žiadne dôk</w:t>
      </w:r>
      <w:r w:rsidR="004707F4" w:rsidRPr="000C254D">
        <w:rPr>
          <w:rFonts w:ascii="Times New Roman" w:hAnsi="Times New Roman"/>
          <w:lang w:val="sk-SK"/>
        </w:rPr>
        <w:t xml:space="preserve">azy o nepriaznivých účinkoch na </w:t>
      </w:r>
      <w:r w:rsidRPr="000C254D">
        <w:rPr>
          <w:rFonts w:ascii="Times New Roman" w:hAnsi="Times New Roman"/>
          <w:lang w:val="sk-SK"/>
        </w:rPr>
        <w:t>en</w:t>
      </w:r>
      <w:r w:rsidR="00CD6CB6" w:rsidRPr="000C254D">
        <w:rPr>
          <w:rFonts w:ascii="Times New Roman" w:hAnsi="Times New Roman"/>
          <w:lang w:val="sk-SK"/>
        </w:rPr>
        <w:t>dometrium u sledovaných paciento</w:t>
      </w:r>
      <w:r w:rsidRPr="000C254D">
        <w:rPr>
          <w:rFonts w:ascii="Times New Roman" w:hAnsi="Times New Roman"/>
          <w:lang w:val="sk-SK"/>
        </w:rPr>
        <w:t>k s karcinómom prsníka. Nie sú k dispozícii údaje týkajúce sa</w:t>
      </w:r>
      <w:r w:rsidR="00F06A63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endometriálnej morfológie.</w:t>
      </w:r>
    </w:p>
    <w:p w14:paraId="5D8A445C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C6D5E3B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V dvoch krátkodobých štúdiách (1 a 12 týždňov) u premenopauzálnych pacientiek s benígnym</w:t>
      </w:r>
    </w:p>
    <w:p w14:paraId="2AC4CAFC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gynekologickým ochorením sa nepozorovali žiadne signifikantné zmeny v hrúbke endometria</w:t>
      </w:r>
    </w:p>
    <w:p w14:paraId="5AABFF4F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ultrazvukovým meraním pri porovnaní skupín, ktorým sa podával fulvestrant a placebo.</w:t>
      </w:r>
    </w:p>
    <w:p w14:paraId="136E6AC5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E02BEB8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Účinky na kosti</w:t>
      </w:r>
    </w:p>
    <w:p w14:paraId="0E07D4C1" w14:textId="50F25342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Nie sú k dispozícii dlhodobé údaje o účinku fulvestrantu na kosti. Neoadjuvantná liečba </w:t>
      </w:r>
      <w:r w:rsidR="00F06A63">
        <w:rPr>
          <w:rFonts w:ascii="Times New Roman" w:hAnsi="Times New Roman"/>
          <w:lang w:val="sk-SK"/>
        </w:rPr>
        <w:t xml:space="preserve">trvajúca </w:t>
      </w:r>
      <w:r w:rsidRPr="000C254D">
        <w:rPr>
          <w:rFonts w:ascii="Times New Roman" w:hAnsi="Times New Roman"/>
          <w:lang w:val="sk-SK"/>
        </w:rPr>
        <w:t>až 16 týždňov</w:t>
      </w:r>
      <w:r w:rsidR="00F06A63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u pacient</w:t>
      </w:r>
      <w:r w:rsidR="00D2677B">
        <w:rPr>
          <w:rFonts w:ascii="Times New Roman" w:hAnsi="Times New Roman"/>
          <w:lang w:val="sk-SK"/>
        </w:rPr>
        <w:t>o</w:t>
      </w:r>
      <w:r w:rsidRPr="000C254D">
        <w:rPr>
          <w:rFonts w:ascii="Times New Roman" w:hAnsi="Times New Roman"/>
          <w:lang w:val="sk-SK"/>
        </w:rPr>
        <w:t xml:space="preserve">k s karcinómom prsníka buď </w:t>
      </w:r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 xml:space="preserve">om 500 mg alebo 250 mg </w:t>
      </w:r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 neviedla ku</w:t>
      </w:r>
      <w:r w:rsidR="00F06A63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klinicky významným zmenám markerov kostného obratu v sére.</w:t>
      </w:r>
    </w:p>
    <w:p w14:paraId="5D79A8C2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F4C009B" w14:textId="77777777" w:rsidR="000B2B40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Pediatrická populácia</w:t>
      </w:r>
    </w:p>
    <w:p w14:paraId="41C003E3" w14:textId="77777777" w:rsidR="00CD6CB6" w:rsidRPr="000C254D" w:rsidRDefault="00B10CB1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</w:t>
      </w:r>
      <w:r w:rsidR="000B2B40"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="00CD6CB6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nie je indikovaný na použitie u detí. Európska lieková agentúra udelila výnimku z povinnosti</w:t>
      </w:r>
      <w:r w:rsidR="00CD6CB6" w:rsidRPr="000C254D">
        <w:rPr>
          <w:rFonts w:ascii="Times New Roman" w:hAnsi="Times New Roman"/>
          <w:lang w:val="sk-SK"/>
        </w:rPr>
        <w:t xml:space="preserve"> predložiť výsledky štúdii </w:t>
      </w:r>
      <w:r w:rsidR="00236E77" w:rsidRPr="000C254D">
        <w:rPr>
          <w:rFonts w:ascii="Times New Roman" w:hAnsi="Times New Roman"/>
          <w:lang w:val="sk-SK"/>
        </w:rPr>
        <w:t xml:space="preserve">s </w:t>
      </w:r>
      <w:r w:rsidR="00CD6CB6" w:rsidRPr="000C254D">
        <w:rPr>
          <w:rFonts w:ascii="Times New Roman" w:hAnsi="Times New Roman"/>
          <w:lang w:val="sk-SK"/>
        </w:rPr>
        <w:t>fulvestrant</w:t>
      </w:r>
      <w:r w:rsidR="00236E77" w:rsidRPr="000C254D">
        <w:rPr>
          <w:rFonts w:ascii="Times New Roman" w:hAnsi="Times New Roman"/>
          <w:lang w:val="sk-SK"/>
        </w:rPr>
        <w:t>om</w:t>
      </w:r>
      <w:r w:rsidR="00CD6CB6" w:rsidRPr="000C254D">
        <w:rPr>
          <w:rFonts w:ascii="Times New Roman" w:hAnsi="Times New Roman"/>
          <w:lang w:val="sk-SK"/>
        </w:rPr>
        <w:t xml:space="preserve"> </w:t>
      </w:r>
      <w:r w:rsidR="00236E77" w:rsidRPr="000C254D">
        <w:rPr>
          <w:rFonts w:ascii="Times New Roman" w:hAnsi="Times New Roman"/>
          <w:lang w:val="sk-SK"/>
        </w:rPr>
        <w:t>vo všetkých podskupinách pediatrickej populácie</w:t>
      </w:r>
      <w:r w:rsidR="00CD6CB6" w:rsidRPr="000C254D">
        <w:rPr>
          <w:rFonts w:ascii="Times New Roman" w:hAnsi="Times New Roman"/>
          <w:lang w:val="sk-SK"/>
        </w:rPr>
        <w:t xml:space="preserve"> </w:t>
      </w:r>
      <w:r w:rsidR="000C712A" w:rsidRPr="000C254D">
        <w:rPr>
          <w:rFonts w:ascii="Times New Roman" w:hAnsi="Times New Roman"/>
          <w:lang w:val="sk-SK"/>
        </w:rPr>
        <w:t>pri</w:t>
      </w:r>
      <w:r w:rsidR="00CD6CB6" w:rsidRPr="000C254D">
        <w:rPr>
          <w:rFonts w:ascii="Times New Roman" w:hAnsi="Times New Roman"/>
          <w:lang w:val="sk-SK"/>
        </w:rPr>
        <w:t xml:space="preserve"> karcinóme prsníka (pozri časť 4.2 pre informáciu o pediatrickom použití).</w:t>
      </w:r>
    </w:p>
    <w:p w14:paraId="7E620389" w14:textId="77777777" w:rsidR="000C712A" w:rsidRPr="000C254D" w:rsidRDefault="000C712A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12EAA70" w14:textId="77777777"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Otvorená štúdia fázy II skúmala bezpečnosť, účinnosť a farmakokinetiku fulvestrantu u 30 dievčat vo</w:t>
      </w:r>
    </w:p>
    <w:p w14:paraId="464D5458" w14:textId="77777777"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veku od 1 do 8 rokov s progresívnou predčasnou pubertou spojenou s McCune Albrightovým</w:t>
      </w:r>
    </w:p>
    <w:p w14:paraId="1FA97CA7" w14:textId="3648E91D"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syndrómom (MAS). </w:t>
      </w:r>
      <w:r w:rsidR="00F06A63" w:rsidRPr="000C254D">
        <w:rPr>
          <w:rFonts w:ascii="Times New Roman" w:hAnsi="Times New Roman"/>
          <w:lang w:val="sk-SK"/>
        </w:rPr>
        <w:t>Detsk</w:t>
      </w:r>
      <w:r w:rsidR="00F06A63">
        <w:rPr>
          <w:rFonts w:ascii="Times New Roman" w:hAnsi="Times New Roman"/>
          <w:lang w:val="sk-SK"/>
        </w:rPr>
        <w:t>é</w:t>
      </w:r>
      <w:r w:rsidR="00F06A63" w:rsidRPr="000C254D">
        <w:rPr>
          <w:rFonts w:ascii="Times New Roman" w:hAnsi="Times New Roman"/>
          <w:lang w:val="sk-SK"/>
        </w:rPr>
        <w:t xml:space="preserve"> pacient</w:t>
      </w:r>
      <w:r w:rsidR="00F06A63">
        <w:rPr>
          <w:rFonts w:ascii="Times New Roman" w:hAnsi="Times New Roman"/>
          <w:lang w:val="sk-SK"/>
        </w:rPr>
        <w:t>ky</w:t>
      </w:r>
      <w:r w:rsidR="00F06A63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dostali intramuskulárnu dávku fulvestrantu 4 mg/kg mesačne.</w:t>
      </w:r>
    </w:p>
    <w:p w14:paraId="441FCD7D" w14:textId="77777777"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Táto 12 mesačná štúdia skúmala škálu cieľov MAS a ukázala zníženie frekvencie vaginálneho</w:t>
      </w:r>
    </w:p>
    <w:p w14:paraId="131AFE71" w14:textId="77777777"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krvácania a zníženie rýchlosti vzostupu kostného veku. V tejto štúdii bol u detí rovnovážny stav</w:t>
      </w:r>
    </w:p>
    <w:p w14:paraId="0D9FFA37" w14:textId="77777777"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koncentrácie fulvestrantu v súlade s dospelými (pozri časť 5.2). Z tejto malej štúdie sa nezistili žiadne</w:t>
      </w:r>
    </w:p>
    <w:p w14:paraId="4D4EB632" w14:textId="77777777"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nové vyplývajúce obavy týkajúce sa bezpečnosti, ale 5-ročné údaje zatiaľ nie sú k dispozícii.</w:t>
      </w:r>
    </w:p>
    <w:p w14:paraId="5FB06811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0D952E18" w14:textId="77777777"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5.2 </w:t>
      </w:r>
      <w:r w:rsidR="007961D7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Farmakokinetické vlastnosti</w:t>
      </w:r>
    </w:p>
    <w:p w14:paraId="2F1600FF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7A310BE7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Absorpcia</w:t>
      </w:r>
    </w:p>
    <w:p w14:paraId="46A291E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Po podaní </w:t>
      </w:r>
      <w:r w:rsidR="0046438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u vo forme dlhodobo pôsobiacej intramuskulárnej injekcie sa fulvestrant pomaly</w:t>
      </w:r>
    </w:p>
    <w:p w14:paraId="65C35368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vstrebáva a maximálne plazmatické koncentrácie (Cmax) sa dosiahnu približne po 5 dňoch. Podaním</w:t>
      </w:r>
    </w:p>
    <w:p w14:paraId="1163A17D" w14:textId="77777777" w:rsidR="000B2B40" w:rsidRPr="000C254D" w:rsidRDefault="00464383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="000B2B40" w:rsidRPr="000C254D">
        <w:rPr>
          <w:rFonts w:ascii="Times New Roman" w:hAnsi="Times New Roman"/>
          <w:lang w:val="sk-SK"/>
        </w:rPr>
        <w:t>u v režime 500 mg sa dosiahnu hladiny expozície zodpovedajúce alebo blízke rovnovážnemu</w:t>
      </w:r>
    </w:p>
    <w:p w14:paraId="3636F0AF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stavu počas prvého mesiaca dávkovania (priemer [CV]: AUC 475 [33,4%] ng.dní/ml, C</w:t>
      </w:r>
      <w:r w:rsidRPr="000C254D">
        <w:rPr>
          <w:rFonts w:ascii="Times New Roman" w:hAnsi="Times New Roman"/>
          <w:vertAlign w:val="subscript"/>
          <w:lang w:val="sk-SK"/>
        </w:rPr>
        <w:t>max</w:t>
      </w:r>
      <w:r w:rsidRPr="000C254D">
        <w:rPr>
          <w:rFonts w:ascii="Times New Roman" w:hAnsi="Times New Roman"/>
          <w:lang w:val="sk-SK"/>
        </w:rPr>
        <w:t xml:space="preserve"> 25,1</w:t>
      </w:r>
    </w:p>
    <w:p w14:paraId="74BC2CDB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[35,3%] ng/ml, C</w:t>
      </w:r>
      <w:r w:rsidRPr="000C254D">
        <w:rPr>
          <w:rFonts w:ascii="Times New Roman" w:hAnsi="Times New Roman"/>
          <w:vertAlign w:val="subscript"/>
          <w:lang w:val="sk-SK"/>
        </w:rPr>
        <w:t>min</w:t>
      </w:r>
      <w:r w:rsidRPr="000C254D">
        <w:rPr>
          <w:rFonts w:ascii="Times New Roman" w:hAnsi="Times New Roman"/>
          <w:lang w:val="sk-SK"/>
        </w:rPr>
        <w:t xml:space="preserve"> 16,3 [25,9%] ng/ml). V rovnovážnom stave sa plazmatické koncentrácie</w:t>
      </w:r>
    </w:p>
    <w:p w14:paraId="7211D21B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fulvestrantu udržiavajú v relatívne úzkom rozmedzí s až približne 3-násobným rozdielom medzi</w:t>
      </w:r>
    </w:p>
    <w:p w14:paraId="30B63C16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maximálnou a minimálnou k</w:t>
      </w:r>
      <w:r w:rsidR="007961D7" w:rsidRPr="000C254D">
        <w:rPr>
          <w:rFonts w:ascii="Times New Roman" w:hAnsi="Times New Roman"/>
          <w:lang w:val="sk-SK"/>
        </w:rPr>
        <w:t xml:space="preserve">oncentráciou. </w:t>
      </w:r>
      <w:r w:rsidRPr="000C254D">
        <w:rPr>
          <w:rFonts w:ascii="Times New Roman" w:hAnsi="Times New Roman"/>
          <w:lang w:val="sk-SK"/>
        </w:rPr>
        <w:t>Po intramuskulárnom podaní je expozícia v rozsahu dávok 50 až 500 mg približne úmerná dávke.</w:t>
      </w:r>
    </w:p>
    <w:p w14:paraId="5A2BEF95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2930DEE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Distribúcia</w:t>
      </w:r>
    </w:p>
    <w:p w14:paraId="3E8A4565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Fulvestrant sa extenzívne a rýchlo distribuuje. </w:t>
      </w:r>
      <w:r w:rsidR="000C712A" w:rsidRPr="000C254D">
        <w:rPr>
          <w:rFonts w:ascii="Times New Roman" w:hAnsi="Times New Roman"/>
          <w:lang w:val="sk-SK"/>
        </w:rPr>
        <w:t>V</w:t>
      </w:r>
      <w:r w:rsidRPr="000C254D">
        <w:rPr>
          <w:rFonts w:ascii="Times New Roman" w:hAnsi="Times New Roman"/>
          <w:lang w:val="sk-SK"/>
        </w:rPr>
        <w:t xml:space="preserve">eľký </w:t>
      </w:r>
      <w:r w:rsidR="000C712A" w:rsidRPr="000C254D">
        <w:rPr>
          <w:rFonts w:ascii="Times New Roman" w:hAnsi="Times New Roman"/>
          <w:lang w:val="sk-SK"/>
        </w:rPr>
        <w:t xml:space="preserve">zdanlivý </w:t>
      </w:r>
      <w:r w:rsidRPr="000C254D">
        <w:rPr>
          <w:rFonts w:ascii="Times New Roman" w:hAnsi="Times New Roman"/>
          <w:lang w:val="sk-SK"/>
        </w:rPr>
        <w:t>distribučný objem v ustálenom stave</w:t>
      </w:r>
    </w:p>
    <w:p w14:paraId="5994F6AD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(</w:t>
      </w:r>
      <w:r w:rsidR="00CE2217" w:rsidRPr="000C254D">
        <w:rPr>
          <w:rFonts w:ascii="Times New Roman" w:hAnsi="Times New Roman"/>
          <w:lang w:val="sk-SK"/>
        </w:rPr>
        <w:t xml:space="preserve">volume of distribution at steady state </w:t>
      </w:r>
      <w:r w:rsidR="00F54043" w:rsidRPr="000C254D">
        <w:rPr>
          <w:rFonts w:ascii="Times New Roman" w:hAnsi="Times New Roman"/>
          <w:lang w:val="sk-SK"/>
        </w:rPr>
        <w:t>Vdss</w:t>
      </w:r>
      <w:r w:rsidRPr="000C254D">
        <w:rPr>
          <w:rFonts w:ascii="Times New Roman" w:hAnsi="Times New Roman"/>
          <w:lang w:val="sk-SK"/>
        </w:rPr>
        <w:t>) je približne 3 až 5 l/kg, čo naznačuje, že distribúcia je väčšinou extravaskulárna. Fulvestrant sa</w:t>
      </w:r>
      <w:r w:rsidR="00CE221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vo vysokej miere (99%) viaže na plazmatické bielkoviny. Hlavnými zložkami väzby sú lipoproteínové</w:t>
      </w:r>
      <w:r w:rsidR="00CE221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frakcie veľmi nízkej denzity (</w:t>
      </w:r>
      <w:r w:rsidR="00B7106C" w:rsidRPr="000C254D">
        <w:rPr>
          <w:rFonts w:ascii="Times New Roman" w:hAnsi="Times New Roman"/>
          <w:lang w:val="sk-SK"/>
        </w:rPr>
        <w:t>v</w:t>
      </w:r>
      <w:r w:rsidR="00B7106C" w:rsidRPr="000C254D">
        <w:rPr>
          <w:rFonts w:ascii="Times New Roman" w:eastAsia="TimesNewRoman,Bold" w:hAnsi="Times New Roman"/>
          <w:color w:val="000000"/>
          <w:lang w:val="sk-SK"/>
        </w:rPr>
        <w:t xml:space="preserve">ery low density lipoprotein </w:t>
      </w:r>
      <w:r w:rsidRPr="000C254D">
        <w:rPr>
          <w:rFonts w:ascii="Times New Roman" w:hAnsi="Times New Roman"/>
          <w:lang w:val="sk-SK"/>
        </w:rPr>
        <w:t>VLDL), nízkej denzity (</w:t>
      </w:r>
      <w:r w:rsidR="00B7106C" w:rsidRPr="000C254D">
        <w:rPr>
          <w:rFonts w:ascii="Times New Roman" w:eastAsia="TimesNewRoman,Bold" w:hAnsi="Times New Roman"/>
          <w:color w:val="000000"/>
          <w:lang w:val="sk-SK"/>
        </w:rPr>
        <w:t xml:space="preserve">low density lipoprotein </w:t>
      </w:r>
      <w:r w:rsidRPr="000C254D">
        <w:rPr>
          <w:rFonts w:ascii="Times New Roman" w:hAnsi="Times New Roman"/>
          <w:lang w:val="sk-SK"/>
        </w:rPr>
        <w:t>LDL) a vysokej denzity (</w:t>
      </w:r>
      <w:r w:rsidR="00B7106C" w:rsidRPr="000C254D">
        <w:rPr>
          <w:rFonts w:ascii="Times New Roman" w:eastAsia="TimesNewRoman,Bold" w:hAnsi="Times New Roman"/>
          <w:color w:val="000000"/>
          <w:lang w:val="sk-SK"/>
        </w:rPr>
        <w:t>high density lipoprotein</w:t>
      </w:r>
      <w:r w:rsidR="00B7106C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HDL). Neboli</w:t>
      </w:r>
      <w:r w:rsidR="00CE221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uskutočnené žiadne štúdie interakcie ohľadom kompetitívnej väzby na bielkoviny. Úloha globulínu,</w:t>
      </w:r>
      <w:r w:rsidR="00CE221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ktorý viaže </w:t>
      </w:r>
      <w:r w:rsidR="00464383" w:rsidRPr="000C254D">
        <w:rPr>
          <w:rFonts w:ascii="Times New Roman" w:hAnsi="Times New Roman"/>
          <w:lang w:val="sk-SK"/>
        </w:rPr>
        <w:t>pohlavné</w:t>
      </w:r>
      <w:r w:rsidRPr="000C254D">
        <w:rPr>
          <w:rFonts w:ascii="Times New Roman" w:hAnsi="Times New Roman"/>
          <w:lang w:val="sk-SK"/>
        </w:rPr>
        <w:t xml:space="preserve"> hormóny (</w:t>
      </w:r>
      <w:r w:rsidR="00B7106C" w:rsidRPr="000C254D">
        <w:rPr>
          <w:rFonts w:ascii="Times New Roman" w:hAnsi="Times New Roman"/>
          <w:lang w:val="sk-SK"/>
        </w:rPr>
        <w:t xml:space="preserve">sex hormone-binding globulin </w:t>
      </w:r>
      <w:r w:rsidRPr="000C254D">
        <w:rPr>
          <w:rFonts w:ascii="Times New Roman" w:hAnsi="Times New Roman"/>
          <w:lang w:val="sk-SK"/>
        </w:rPr>
        <w:t>SHBG), nebola stanovená.</w:t>
      </w:r>
    </w:p>
    <w:p w14:paraId="42C83386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56D6C01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Biotransformácia</w:t>
      </w:r>
    </w:p>
    <w:p w14:paraId="21D5316A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Metabolizmus fulvestrantu nebol plne hodnotený, ale zahŕňa kombinácie celého radu možných</w:t>
      </w:r>
    </w:p>
    <w:p w14:paraId="0AD57B30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biotransformačných ciest, ktoré sú analogické cestám endogénnych steroidov. Identifikované</w:t>
      </w:r>
    </w:p>
    <w:p w14:paraId="3AE3A57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metabolity (vrátane metabolitov typu 17-ketón, sulfón, 3-síran, 3- a 17-glukuronid) sú v</w:t>
      </w:r>
    </w:p>
    <w:p w14:paraId="4A4EEB6B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antiestrogénových modeloch buď menej účinné, alebo vykazujú podobný účinok ako fulvestrant.</w:t>
      </w:r>
    </w:p>
    <w:p w14:paraId="50AA3C04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Skúšky na preparátoch ľudskej pečene a rekombinantných ľudských enzýmoch udávajú, že na oxidácii</w:t>
      </w:r>
    </w:p>
    <w:p w14:paraId="2DCD3E9F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fulvestrantu sa podieľa z P-450 izoenzýmov iba CYP 3A4, </w:t>
      </w:r>
      <w:r w:rsidRPr="000C254D">
        <w:rPr>
          <w:rFonts w:ascii="Times New Roman" w:hAnsi="Times New Roman"/>
          <w:i/>
          <w:iCs/>
          <w:lang w:val="sk-SK"/>
        </w:rPr>
        <w:t xml:space="preserve">in vivo </w:t>
      </w:r>
      <w:r w:rsidRPr="000C254D">
        <w:rPr>
          <w:rFonts w:ascii="Times New Roman" w:hAnsi="Times New Roman"/>
          <w:lang w:val="sk-SK"/>
        </w:rPr>
        <w:t>sa však zdá, že prevládajú cesty</w:t>
      </w:r>
    </w:p>
    <w:p w14:paraId="35E81315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nevyužívajúce P-450. Údaje </w:t>
      </w:r>
      <w:r w:rsidRPr="000C254D">
        <w:rPr>
          <w:rFonts w:ascii="Times New Roman" w:hAnsi="Times New Roman"/>
          <w:i/>
          <w:iCs/>
          <w:lang w:val="sk-SK"/>
        </w:rPr>
        <w:t xml:space="preserve">in vitro </w:t>
      </w:r>
      <w:r w:rsidRPr="000C254D">
        <w:rPr>
          <w:rFonts w:ascii="Times New Roman" w:hAnsi="Times New Roman"/>
          <w:lang w:val="sk-SK"/>
        </w:rPr>
        <w:t>naznačujú, že fulvestrant neinhibuje izoenzýmy CYP450.</w:t>
      </w:r>
    </w:p>
    <w:p w14:paraId="2330E4BF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5C43E3E" w14:textId="77777777" w:rsidR="000B2B40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Eliminácia</w:t>
      </w:r>
    </w:p>
    <w:p w14:paraId="7494959B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 sa eliminuje predovšetkým v metabolizovanej forme. Hlavnou cestou vylučovania je</w:t>
      </w:r>
    </w:p>
    <w:p w14:paraId="033C4749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stolica, močom sa vylučuje menej ako 1%. Fulvestrant má vysoký klírens, 11±1,7ml/min/kg, čo</w:t>
      </w:r>
    </w:p>
    <w:p w14:paraId="3A876541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naznačuje vysoký podiel extrakcie pečeňou. Terminálny polčas (t</w:t>
      </w:r>
      <w:r w:rsidRPr="000C254D">
        <w:rPr>
          <w:rFonts w:ascii="Times New Roman" w:hAnsi="Times New Roman"/>
          <w:vertAlign w:val="subscript"/>
          <w:lang w:val="sk-SK"/>
        </w:rPr>
        <w:t>1/2</w:t>
      </w:r>
      <w:r w:rsidRPr="000C254D">
        <w:rPr>
          <w:rFonts w:ascii="Times New Roman" w:hAnsi="Times New Roman"/>
          <w:lang w:val="sk-SK"/>
        </w:rPr>
        <w:t>) po intramuskulárnom podaní sa</w:t>
      </w:r>
    </w:p>
    <w:p w14:paraId="77444F1F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riadi rýchlosťou absorpcie a odhaduje sa na 50 dní.</w:t>
      </w:r>
    </w:p>
    <w:p w14:paraId="129C474F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0685CAC" w14:textId="77777777" w:rsidR="00CB0ECB" w:rsidRPr="000C254D" w:rsidRDefault="000C712A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 xml:space="preserve">Osobitné </w:t>
      </w:r>
      <w:r w:rsidR="000B2B40" w:rsidRPr="000C254D">
        <w:rPr>
          <w:rFonts w:ascii="Times New Roman" w:hAnsi="Times New Roman"/>
          <w:u w:val="single"/>
          <w:lang w:val="sk-SK"/>
        </w:rPr>
        <w:t xml:space="preserve">skupiny </w:t>
      </w:r>
    </w:p>
    <w:p w14:paraId="0EB7E417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Farmakokinetická analýza populácie, podľa údajov zo štúdií fázy III, nezaznamenala pri fulvestrante</w:t>
      </w:r>
    </w:p>
    <w:p w14:paraId="3FB60346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žiadne rozdiely vo farmakokinetickom profile pokiaľ ide o vek (rozsah 33 až 89 rokov), hmotnosť (40-</w:t>
      </w:r>
    </w:p>
    <w:p w14:paraId="44A861C1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127 kg) alebo rasu.</w:t>
      </w:r>
    </w:p>
    <w:p w14:paraId="0ABB1457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607FE4F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Porucha funkcie obličiek</w:t>
      </w:r>
    </w:p>
    <w:p w14:paraId="3BB3F916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Ľahká až stredne ťažká porucha funkcie obličiek neovplyvnila v žiadnom klinicky významnom</w:t>
      </w:r>
    </w:p>
    <w:p w14:paraId="02679969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rozsahu farmakokinetiku fulvestrantu.</w:t>
      </w:r>
    </w:p>
    <w:p w14:paraId="5B751182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52D8331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Porucha funkcie pečene</w:t>
      </w:r>
    </w:p>
    <w:p w14:paraId="2E0ECCEA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Farmakokinetika fulvestrantu bola hodnotená v klinickom skúšaní s podaním jednorazovej dávky</w:t>
      </w:r>
    </w:p>
    <w:p w14:paraId="08D7E5E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pacientom s </w:t>
      </w:r>
      <w:r w:rsidR="000C712A" w:rsidRPr="000C254D">
        <w:rPr>
          <w:rFonts w:ascii="Times New Roman" w:hAnsi="Times New Roman"/>
          <w:lang w:val="sk-SK"/>
        </w:rPr>
        <w:t>ľahkou</w:t>
      </w:r>
      <w:r w:rsidR="00B7106C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až stredne ťažkou poruchou funkcie pečene (v štádiu A a B podľa Child-</w:t>
      </w:r>
    </w:p>
    <w:p w14:paraId="5D9ABD68" w14:textId="2623D5E1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Pughovej klasifikácie . Bola použitá vysoká dávka lieku v krátkodobo pôsobiacej intramuskulárnej</w:t>
      </w:r>
    </w:p>
    <w:p w14:paraId="1461225D" w14:textId="47D0D222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injekcii. U </w:t>
      </w:r>
      <w:r w:rsidR="00EB319B">
        <w:rPr>
          <w:rFonts w:ascii="Times New Roman" w:hAnsi="Times New Roman"/>
          <w:lang w:val="sk-SK"/>
        </w:rPr>
        <w:t>žien</w:t>
      </w:r>
      <w:r w:rsidR="00EB319B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s poruchou funkcie pečene bolo až 2,5-násobné zvýšenie AUC v porovnaní so</w:t>
      </w:r>
    </w:p>
    <w:p w14:paraId="6D700C9E" w14:textId="311A4170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zdravými subjektami. Predpokladá sa, že u </w:t>
      </w:r>
      <w:r w:rsidR="00EB319B" w:rsidRPr="000C254D">
        <w:rPr>
          <w:rFonts w:ascii="Times New Roman" w:hAnsi="Times New Roman"/>
          <w:lang w:val="sk-SK"/>
        </w:rPr>
        <w:t>paciento</w:t>
      </w:r>
      <w:r w:rsidR="00EB319B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 xml:space="preserve">, ktorým sa podáva </w:t>
      </w:r>
      <w:r w:rsidR="00B10CB1" w:rsidRPr="000C254D">
        <w:rPr>
          <w:rFonts w:ascii="Times New Roman" w:hAnsi="Times New Roman"/>
          <w:lang w:val="sk-SK"/>
        </w:rPr>
        <w:t>Fulvestrant</w:t>
      </w:r>
      <w:r w:rsidRPr="000C254D">
        <w:rPr>
          <w:rFonts w:ascii="Times New Roman" w:hAnsi="Times New Roman"/>
          <w:lang w:val="sk-SK"/>
        </w:rPr>
        <w:t>, bude takéto</w:t>
      </w:r>
    </w:p>
    <w:p w14:paraId="7EA10A7F" w14:textId="574D2C6B" w:rsidR="000B2B40" w:rsidRPr="000C254D" w:rsidRDefault="00B7106C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zvýšenie</w:t>
      </w:r>
      <w:r w:rsidR="000B2B40" w:rsidRPr="000C254D">
        <w:rPr>
          <w:rFonts w:ascii="Times New Roman" w:hAnsi="Times New Roman"/>
          <w:lang w:val="sk-SK"/>
        </w:rPr>
        <w:t xml:space="preserve"> expozície dobre tolerované. </w:t>
      </w:r>
      <w:r w:rsidR="00EB319B">
        <w:rPr>
          <w:rFonts w:ascii="Times New Roman" w:hAnsi="Times New Roman"/>
          <w:lang w:val="sk-SK"/>
        </w:rPr>
        <w:t>Ženy</w:t>
      </w:r>
      <w:r w:rsidR="00EB319B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s ťažkou poruchou funkcie pečene (štádium C podľa</w:t>
      </w:r>
    </w:p>
    <w:p w14:paraId="031CA925" w14:textId="46ADF0B1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Child-Pughovej klasifikácie) neboli </w:t>
      </w:r>
      <w:r w:rsidR="00EB319B" w:rsidRPr="000C254D">
        <w:rPr>
          <w:rFonts w:ascii="Times New Roman" w:hAnsi="Times New Roman"/>
          <w:lang w:val="sk-SK"/>
        </w:rPr>
        <w:t>hodnoten</w:t>
      </w:r>
      <w:r w:rsidR="00EB319B">
        <w:rPr>
          <w:rFonts w:ascii="Times New Roman" w:hAnsi="Times New Roman"/>
          <w:lang w:val="sk-SK"/>
        </w:rPr>
        <w:t>é</w:t>
      </w:r>
      <w:r w:rsidRPr="000C254D">
        <w:rPr>
          <w:rFonts w:ascii="Times New Roman" w:hAnsi="Times New Roman"/>
          <w:lang w:val="sk-SK"/>
        </w:rPr>
        <w:t>.</w:t>
      </w:r>
    </w:p>
    <w:p w14:paraId="7D919F6B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69DC7CE" w14:textId="77777777" w:rsidR="000B2B40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Pediatrická populácia</w:t>
      </w:r>
    </w:p>
    <w:p w14:paraId="7E070505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Farmakokinetika fulvestrantu sa hodnotila v klinickom skúšaní vykonanom u 30 dievčat s</w:t>
      </w:r>
    </w:p>
    <w:p w14:paraId="6E589330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progresívnou predčasnou pubertou spojenou s McCune Albrightovým syndrómom (pozri časť 5.1).</w:t>
      </w:r>
    </w:p>
    <w:p w14:paraId="57139ABD" w14:textId="4B920D88" w:rsidR="000B2B40" w:rsidRPr="000C254D" w:rsidRDefault="00EB319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Detsk</w:t>
      </w:r>
      <w:r>
        <w:rPr>
          <w:rFonts w:ascii="Times New Roman" w:hAnsi="Times New Roman"/>
          <w:lang w:val="sk-SK"/>
        </w:rPr>
        <w:t>é</w:t>
      </w:r>
      <w:r w:rsidRPr="000C254D">
        <w:rPr>
          <w:rFonts w:ascii="Times New Roman" w:hAnsi="Times New Roman"/>
          <w:lang w:val="sk-SK"/>
        </w:rPr>
        <w:t xml:space="preserve"> pacient</w:t>
      </w:r>
      <w:r>
        <w:rPr>
          <w:rFonts w:ascii="Times New Roman" w:hAnsi="Times New Roman"/>
          <w:lang w:val="sk-SK"/>
        </w:rPr>
        <w:t>ky</w:t>
      </w:r>
      <w:r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boli vo veku 1 až 8 rokov a dostali intramuskulárnu dávku fulvestrantu 4 mg/kg</w:t>
      </w:r>
    </w:p>
    <w:p w14:paraId="262419B5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mesačne. Geometrický priemer (smerodajná odchýlka) rovnovážneho stavu koncentrácie (C min, ss)</w:t>
      </w:r>
    </w:p>
    <w:p w14:paraId="51FAEE73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 AUCss bol 4,2 (0,9) ng/ml a 3680 (1020) ng*hod/ml, v uvedenom poradí. Hoci sú zozbierané údaje</w:t>
      </w:r>
    </w:p>
    <w:p w14:paraId="229A8660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obmedzené, rovnovážny stav koncentrácie fulvestrantu u detí sa zdá byť v súlade s dospelými.</w:t>
      </w:r>
    </w:p>
    <w:p w14:paraId="1D21C720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3E0DD95" w14:textId="77777777" w:rsidR="002E18B3" w:rsidRPr="000C254D" w:rsidRDefault="00D170D4" w:rsidP="00FC42CA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5.3      </w:t>
      </w:r>
      <w:r w:rsidR="000B2B40" w:rsidRPr="000C254D">
        <w:rPr>
          <w:rFonts w:ascii="Times New Roman" w:hAnsi="Times New Roman"/>
          <w:b/>
          <w:bCs/>
          <w:lang w:val="sk-SK"/>
        </w:rPr>
        <w:t>Predklinické údaje o bezpečnosti</w:t>
      </w:r>
    </w:p>
    <w:p w14:paraId="54A1777E" w14:textId="77777777" w:rsidR="002344BA" w:rsidRPr="000C254D" w:rsidRDefault="002344BA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171F8DC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Akútna toxicita fulvestrantu je nízka.</w:t>
      </w:r>
    </w:p>
    <w:p w14:paraId="1C64F2D4" w14:textId="77777777" w:rsidR="00CB0ECB" w:rsidRPr="000C254D" w:rsidRDefault="00CB0EC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A1B2965" w14:textId="19EB1F68" w:rsidR="004707F4" w:rsidRPr="000C254D" w:rsidRDefault="00EB319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F</w:t>
      </w:r>
      <w:r w:rsidR="000B2B40" w:rsidRPr="000C254D">
        <w:rPr>
          <w:rFonts w:ascii="Times New Roman" w:hAnsi="Times New Roman"/>
          <w:lang w:val="sk-SK"/>
        </w:rPr>
        <w:t xml:space="preserve">ulvestrant </w:t>
      </w:r>
      <w:r w:rsidR="009F720F">
        <w:rPr>
          <w:rFonts w:ascii="Times New Roman" w:hAnsi="Times New Roman"/>
          <w:lang w:val="sk-SK"/>
        </w:rPr>
        <w:t>bol dobre tolerovaný</w:t>
      </w:r>
      <w:r w:rsidR="000B2B40" w:rsidRPr="000C254D">
        <w:rPr>
          <w:rFonts w:ascii="Times New Roman" w:hAnsi="Times New Roman"/>
          <w:lang w:val="sk-SK"/>
        </w:rPr>
        <w:t xml:space="preserve"> u všetkých zvieracích druhov v</w:t>
      </w:r>
      <w:r w:rsidR="009F720F">
        <w:rPr>
          <w:rFonts w:ascii="Times New Roman" w:hAnsi="Times New Roman"/>
          <w:lang w:val="sk-SK"/>
        </w:rPr>
        <w:t> </w:t>
      </w:r>
      <w:r w:rsidR="000B2B40" w:rsidRPr="000C254D">
        <w:rPr>
          <w:rFonts w:ascii="Times New Roman" w:hAnsi="Times New Roman"/>
          <w:lang w:val="sk-SK"/>
        </w:rPr>
        <w:t>skúškach</w:t>
      </w:r>
      <w:r w:rsidR="009F720F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s podávaním opakovaných dávok. Miestne reakcie vrátane myozitídy a tvorby granulómov v</w:t>
      </w:r>
      <w:r w:rsidR="009F720F">
        <w:rPr>
          <w:rFonts w:ascii="Times New Roman" w:hAnsi="Times New Roman"/>
          <w:lang w:val="sk-SK"/>
        </w:rPr>
        <w:t> </w:t>
      </w:r>
      <w:r w:rsidR="000B2B40" w:rsidRPr="000C254D">
        <w:rPr>
          <w:rFonts w:ascii="Times New Roman" w:hAnsi="Times New Roman"/>
          <w:lang w:val="sk-SK"/>
        </w:rPr>
        <w:t>mieste</w:t>
      </w:r>
      <w:r w:rsidR="009F720F">
        <w:rPr>
          <w:rFonts w:ascii="Times New Roman" w:hAnsi="Times New Roman"/>
          <w:lang w:val="sk-SK"/>
        </w:rPr>
        <w:t xml:space="preserve"> </w:t>
      </w:r>
      <w:r w:rsidR="00D2677B" w:rsidRPr="000C254D">
        <w:rPr>
          <w:rFonts w:ascii="Times New Roman" w:hAnsi="Times New Roman"/>
          <w:lang w:val="sk-SK"/>
        </w:rPr>
        <w:t>podania injekcie sa pripisovali vehikulu, avšak závažnosť myozitídy u králikov sa pri fulvestrante</w:t>
      </w:r>
      <w:r w:rsidR="00D2677B">
        <w:rPr>
          <w:rFonts w:ascii="Times New Roman" w:hAnsi="Times New Roman"/>
          <w:lang w:val="sk-SK"/>
        </w:rPr>
        <w:t xml:space="preserve"> </w:t>
      </w:r>
      <w:r w:rsidR="00D2677B" w:rsidRPr="000C254D">
        <w:rPr>
          <w:rFonts w:ascii="Times New Roman" w:hAnsi="Times New Roman"/>
          <w:lang w:val="sk-SK"/>
        </w:rPr>
        <w:t>zvyšovala v porovnaní so skupinou, ktorej bol podávaný fyziologický roztok. V skúškach toxicity s</w:t>
      </w:r>
      <w:r w:rsidR="00D2677B">
        <w:rPr>
          <w:rFonts w:ascii="Times New Roman" w:hAnsi="Times New Roman"/>
          <w:lang w:val="sk-SK"/>
        </w:rPr>
        <w:t xml:space="preserve"> </w:t>
      </w:r>
      <w:r w:rsidR="00D2677B" w:rsidRPr="000C254D">
        <w:rPr>
          <w:rFonts w:ascii="Times New Roman" w:hAnsi="Times New Roman"/>
          <w:lang w:val="sk-SK"/>
        </w:rPr>
        <w:t>opakovanými intramuskulárnymi dávkami fulvestrantu potkanom a psom bola antiestrogénová aktivita</w:t>
      </w:r>
      <w:r w:rsidR="00D2677B">
        <w:rPr>
          <w:rFonts w:ascii="Times New Roman" w:hAnsi="Times New Roman"/>
          <w:lang w:val="sk-SK"/>
        </w:rPr>
        <w:t xml:space="preserve"> </w:t>
      </w:r>
      <w:r w:rsidR="00D2677B" w:rsidRPr="000C254D">
        <w:rPr>
          <w:rFonts w:ascii="Times New Roman" w:hAnsi="Times New Roman"/>
          <w:lang w:val="sk-SK"/>
        </w:rPr>
        <w:t>fulvestrantu zodpovedná za väčšinu prejavených účinkov, a to predovšetkým na ženský reprodukčný</w:t>
      </w:r>
      <w:r w:rsidR="00D2677B">
        <w:rPr>
          <w:rFonts w:ascii="Times New Roman" w:hAnsi="Times New Roman"/>
          <w:lang w:val="sk-SK"/>
        </w:rPr>
        <w:t xml:space="preserve"> </w:t>
      </w:r>
      <w:r w:rsidR="00D2677B" w:rsidRPr="000C254D">
        <w:rPr>
          <w:rFonts w:ascii="Times New Roman" w:hAnsi="Times New Roman"/>
          <w:lang w:val="sk-SK"/>
        </w:rPr>
        <w:t>systém, ale aj na iné orgány, citlivé na hormóny u obidvoch pohlaví.U niektorých psov sa pozorovala</w:t>
      </w:r>
      <w:r w:rsidR="00D2677B">
        <w:rPr>
          <w:rFonts w:ascii="Times New Roman" w:hAnsi="Times New Roman"/>
          <w:lang w:val="sk-SK"/>
        </w:rPr>
        <w:t xml:space="preserve"> </w:t>
      </w:r>
      <w:r w:rsidR="00D2677B" w:rsidRPr="000C254D">
        <w:rPr>
          <w:rFonts w:ascii="Times New Roman" w:hAnsi="Times New Roman"/>
          <w:lang w:val="sk-SK"/>
        </w:rPr>
        <w:t>arteritída v rade rôznych tkanív po chronickom (12 mesačnom) dávkovaní.</w:t>
      </w:r>
    </w:p>
    <w:p w14:paraId="7F0FF695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V skúškach na psoch pri perorálnom a intravenóznom podaní boli pozorované účinky na</w:t>
      </w:r>
    </w:p>
    <w:p w14:paraId="2273ABBD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kardiovaskulárny systém (mierne zvýšenie S-T segmentu EKG pri perorálnom podaní</w:t>
      </w:r>
    </w:p>
    <w:p w14:paraId="4A90440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 zastavenie sínusového uzla u jedného psa pri intravenóznom podaní). Tieto účinky sa vyskytli pri</w:t>
      </w:r>
    </w:p>
    <w:p w14:paraId="1B8DCC1B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koncentrácii fulvestrantu vyššej ako u pacientov (C</w:t>
      </w:r>
      <w:r w:rsidRPr="00D2677B">
        <w:rPr>
          <w:rFonts w:ascii="Times New Roman" w:hAnsi="Times New Roman"/>
          <w:vertAlign w:val="subscript"/>
          <w:lang w:val="sk-SK"/>
        </w:rPr>
        <w:t>max</w:t>
      </w:r>
      <w:r w:rsidRPr="000C254D">
        <w:rPr>
          <w:rFonts w:ascii="Times New Roman" w:hAnsi="Times New Roman"/>
          <w:lang w:val="sk-SK"/>
        </w:rPr>
        <w:t xml:space="preserve"> &gt; 15 krát), a pre bezpečnosť u človeka majú pri</w:t>
      </w:r>
    </w:p>
    <w:p w14:paraId="29DBF74F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podaní klinickej dávky pravdepodobne len obmedzený význam.</w:t>
      </w:r>
    </w:p>
    <w:p w14:paraId="76AB60D2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7AE514D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 nepreukázal žiadny genotoxický potenciál.</w:t>
      </w:r>
    </w:p>
    <w:p w14:paraId="6571B7EF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6AA382B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Účinky fulvestrantu na reprodukciu a vývoj embrya/plodu preukázali pri dávkach podobných dávkam</w:t>
      </w:r>
    </w:p>
    <w:p w14:paraId="5B39BC7C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klinickým jeho antiestrogénny účinok. U potkanov sa pozoroval reverzibilný pokles plodnosti samíc a</w:t>
      </w:r>
    </w:p>
    <w:p w14:paraId="5100CC58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prežití embryí, dystokia a zvýšený výskyt abnormalít plodu vrátane tarzálnej flexúry. Fulvestrant</w:t>
      </w:r>
    </w:p>
    <w:p w14:paraId="26AC2A01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podávaný králikom mal za následok potrat. Bolo pozorovan</w:t>
      </w:r>
      <w:r w:rsidR="004707F4" w:rsidRPr="000C254D">
        <w:rPr>
          <w:rFonts w:ascii="Times New Roman" w:hAnsi="Times New Roman"/>
          <w:lang w:val="sk-SK"/>
        </w:rPr>
        <w:t xml:space="preserve">é zvýšenie hmotnosti placenty a </w:t>
      </w:r>
      <w:r w:rsidRPr="000C254D">
        <w:rPr>
          <w:rFonts w:ascii="Times New Roman" w:hAnsi="Times New Roman"/>
          <w:lang w:val="sk-SK"/>
        </w:rPr>
        <w:t>postimplantačná strata plodov. U králikov došlo k zvýšenému výskytu zmien plodu (dorzálny posun</w:t>
      </w:r>
    </w:p>
    <w:p w14:paraId="35D440A1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panvového pletenca a 27. presakrálneho stavca).</w:t>
      </w:r>
    </w:p>
    <w:p w14:paraId="2AC03948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B623C00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Dvojročná štúdia onkogenicity na potkanoch (intramuskulárne podanie </w:t>
      </w:r>
      <w:r w:rsidR="00876B2B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u) ukázala zvýšený</w:t>
      </w:r>
    </w:p>
    <w:p w14:paraId="72A4925B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výskyt benígnych bunkových nádorov granulózy vaječníkov u potkaních samíc pri vysokých dávkach</w:t>
      </w:r>
    </w:p>
    <w:p w14:paraId="2E8F9C67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10 mg raz za 15 dní a zvýšený výskyt testikulárnych Leydigových bunkových nádorov u samcov. V</w:t>
      </w:r>
    </w:p>
    <w:p w14:paraId="566FF24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dvojročnej štúdii onkogenicity na myšiach (perorálne podanie denne) bola zvýšená incidencia</w:t>
      </w:r>
    </w:p>
    <w:p w14:paraId="1FADBBD3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zväzkových stromálnych nádorov vaječníkov u samíc (benígnych aj malígnych) v dávkach 150</w:t>
      </w:r>
    </w:p>
    <w:p w14:paraId="670B4C11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 500 mg/kg/deň. S ohľadom na tieto nálezy pre úroveň nulového účinku (</w:t>
      </w:r>
      <w:r w:rsidRPr="000C254D">
        <w:rPr>
          <w:rFonts w:ascii="Times New Roman" w:hAnsi="Times New Roman"/>
          <w:i/>
          <w:iCs/>
          <w:lang w:val="sk-SK"/>
        </w:rPr>
        <w:t xml:space="preserve">'the no-effect level') </w:t>
      </w:r>
      <w:r w:rsidRPr="000C254D">
        <w:rPr>
          <w:rFonts w:ascii="Times New Roman" w:hAnsi="Times New Roman"/>
          <w:lang w:val="sk-SK"/>
        </w:rPr>
        <w:t>bola</w:t>
      </w:r>
    </w:p>
    <w:p w14:paraId="37720DC8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systémová expozícia (AUC) u potkanov približne 1,5-krát vyššia než očakávaná expozícia u žien</w:t>
      </w:r>
    </w:p>
    <w:p w14:paraId="2D8770D2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 0,8-krát vyššia než expozícia u mužov a u myší približne 0,8-krát vyššia než očakávaná expozícia</w:t>
      </w:r>
    </w:p>
    <w:p w14:paraId="400006D9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 mužov či žien. Vyvolanie týchto nádorov zodpovedá farmakologicky vyvolaným endokrinným</w:t>
      </w:r>
    </w:p>
    <w:p w14:paraId="5C139583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spätne väzbovým zmenám v hladinách gonadotropínov spôsobených antiestrogénmi u cyklujúcich</w:t>
      </w:r>
    </w:p>
    <w:p w14:paraId="765BA4E5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zvierat. Preto tieto poznatky nie sú považované za dôležité pre použitie fulvestrantu</w:t>
      </w:r>
    </w:p>
    <w:p w14:paraId="34D1CB05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 postmenopauzálnych žien s pokročilým karcinómom prsníka.</w:t>
      </w:r>
    </w:p>
    <w:p w14:paraId="6F6652F5" w14:textId="77777777" w:rsidR="002344BA" w:rsidRPr="000C254D" w:rsidRDefault="002344BA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3898088" w14:textId="77777777" w:rsidR="002344BA" w:rsidRPr="000C254D" w:rsidRDefault="002344BA" w:rsidP="002344B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Hodnotenie environmentálneho rizika (ERA)</w:t>
      </w:r>
    </w:p>
    <w:p w14:paraId="0D14C13E" w14:textId="77777777" w:rsidR="002344BA" w:rsidRPr="000C254D" w:rsidRDefault="002344BA" w:rsidP="002344B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Štúdie hodnotenia environmentálneho rizika preukázali, že fulvestrant má potenciál nepriaznivo</w:t>
      </w:r>
    </w:p>
    <w:p w14:paraId="70462736" w14:textId="77777777" w:rsidR="002344BA" w:rsidRPr="000C254D" w:rsidRDefault="002344BA" w:rsidP="002344BA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ovplyvňovať vodné prostredie (pozri časť 6.6).</w:t>
      </w:r>
    </w:p>
    <w:p w14:paraId="4E5B2B97" w14:textId="77777777" w:rsidR="002344BA" w:rsidRPr="000C254D" w:rsidRDefault="002344BA" w:rsidP="002344B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AA42C21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73DB386" w14:textId="77777777" w:rsidR="002E18B3" w:rsidRPr="000C254D" w:rsidRDefault="000B2B40" w:rsidP="00FC42CA">
      <w:pPr>
        <w:pStyle w:val="Odsekzoznamu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FARMACEUTICKÉ INFORMÁCIE</w:t>
      </w:r>
    </w:p>
    <w:p w14:paraId="051CE4BD" w14:textId="77777777" w:rsidR="002344BA" w:rsidRPr="000C254D" w:rsidRDefault="002344BA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14:paraId="407FDDF5" w14:textId="77777777"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6.1 </w:t>
      </w:r>
      <w:r w:rsidR="004707F4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Zoznam pomocných látok</w:t>
      </w:r>
    </w:p>
    <w:p w14:paraId="0472DBCC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4566C1C7" w14:textId="77777777" w:rsidR="000B2B40" w:rsidRPr="000C254D" w:rsidRDefault="00530F89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e</w:t>
      </w:r>
      <w:r w:rsidR="000B2B40" w:rsidRPr="000C254D">
        <w:rPr>
          <w:rFonts w:ascii="Times New Roman" w:hAnsi="Times New Roman"/>
          <w:lang w:val="sk-SK"/>
        </w:rPr>
        <w:t>tano</w:t>
      </w:r>
      <w:r w:rsidR="00F21CBB" w:rsidRPr="000C254D">
        <w:rPr>
          <w:rFonts w:ascii="Times New Roman" w:hAnsi="Times New Roman"/>
          <w:lang w:val="sk-SK"/>
        </w:rPr>
        <w:t xml:space="preserve">l </w:t>
      </w:r>
      <w:r w:rsidR="000B2B40" w:rsidRPr="000C254D">
        <w:rPr>
          <w:rFonts w:ascii="Times New Roman" w:hAnsi="Times New Roman"/>
          <w:lang w:val="sk-SK"/>
        </w:rPr>
        <w:t xml:space="preserve">96 </w:t>
      </w:r>
      <w:r w:rsidR="002344BA" w:rsidRPr="000C254D">
        <w:rPr>
          <w:rFonts w:ascii="Times New Roman" w:hAnsi="Times New Roman"/>
          <w:lang w:val="sk-SK"/>
        </w:rPr>
        <w:t>%</w:t>
      </w:r>
    </w:p>
    <w:p w14:paraId="1224D0A1" w14:textId="77777777" w:rsidR="000B2B40" w:rsidRPr="000C254D" w:rsidRDefault="00530F89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b</w:t>
      </w:r>
      <w:r w:rsidR="000B2B40" w:rsidRPr="000C254D">
        <w:rPr>
          <w:rFonts w:ascii="Times New Roman" w:hAnsi="Times New Roman"/>
          <w:lang w:val="sk-SK"/>
        </w:rPr>
        <w:t>enzylalkohol</w:t>
      </w:r>
    </w:p>
    <w:p w14:paraId="29646218" w14:textId="77777777" w:rsidR="007961D7" w:rsidRPr="000C254D" w:rsidRDefault="00530F89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b</w:t>
      </w:r>
      <w:r w:rsidR="003353CF" w:rsidRPr="000C254D">
        <w:rPr>
          <w:rFonts w:ascii="Times New Roman" w:hAnsi="Times New Roman"/>
          <w:lang w:val="sk-SK"/>
        </w:rPr>
        <w:t>enzylbenzoát</w:t>
      </w:r>
    </w:p>
    <w:p w14:paraId="0B13EFA4" w14:textId="6C20910D" w:rsidR="000B2B40" w:rsidRPr="000C254D" w:rsidRDefault="00530F89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r</w:t>
      </w:r>
      <w:r w:rsidR="000B2B40" w:rsidRPr="000C254D">
        <w:rPr>
          <w:rFonts w:ascii="Times New Roman" w:hAnsi="Times New Roman"/>
          <w:lang w:val="sk-SK"/>
        </w:rPr>
        <w:t>icínový olej</w:t>
      </w:r>
      <w:r w:rsidR="001B0C4A">
        <w:rPr>
          <w:rFonts w:ascii="Times New Roman" w:hAnsi="Times New Roman"/>
          <w:lang w:val="sk-SK"/>
        </w:rPr>
        <w:t>,</w:t>
      </w:r>
      <w:r w:rsidR="00F21CBB" w:rsidRPr="000C254D">
        <w:rPr>
          <w:rFonts w:ascii="Times New Roman" w:hAnsi="Times New Roman"/>
          <w:lang w:val="sk-SK"/>
        </w:rPr>
        <w:t xml:space="preserve"> </w:t>
      </w:r>
      <w:r w:rsidR="001B0C4A">
        <w:rPr>
          <w:rFonts w:ascii="Times New Roman" w:hAnsi="Times New Roman"/>
          <w:lang w:val="sk-SK"/>
        </w:rPr>
        <w:t>rafinovaný</w:t>
      </w:r>
    </w:p>
    <w:p w14:paraId="16DD0D8B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95D525B" w14:textId="77777777"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6.2 </w:t>
      </w:r>
      <w:r w:rsidR="004707F4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Inkompatibility</w:t>
      </w:r>
    </w:p>
    <w:p w14:paraId="4C2D4420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14:paraId="7F9B5C02" w14:textId="77777777" w:rsidR="004707F4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Nevykonali sa štúdie kompatibility, preto sa tento li</w:t>
      </w:r>
      <w:r w:rsidR="004707F4" w:rsidRPr="000C254D">
        <w:rPr>
          <w:rFonts w:ascii="Times New Roman" w:hAnsi="Times New Roman"/>
          <w:lang w:val="sk-SK"/>
        </w:rPr>
        <w:t>ek nesmie miešať s inými liekmi</w:t>
      </w:r>
      <w:r w:rsidR="00CE2947" w:rsidRPr="000C254D">
        <w:rPr>
          <w:rFonts w:ascii="Times New Roman" w:hAnsi="Times New Roman"/>
          <w:lang w:val="sk-SK"/>
        </w:rPr>
        <w:t>.</w:t>
      </w:r>
    </w:p>
    <w:p w14:paraId="0625B782" w14:textId="77777777" w:rsidR="00876B2B" w:rsidRPr="000C254D" w:rsidRDefault="00876B2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FFDB696" w14:textId="77777777" w:rsidR="002E18B3" w:rsidRPr="000C254D" w:rsidRDefault="00D170D4" w:rsidP="00FC42CA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6.3    </w:t>
      </w:r>
      <w:r w:rsidR="00823DE2" w:rsidRPr="000C254D">
        <w:rPr>
          <w:rFonts w:ascii="Times New Roman" w:hAnsi="Times New Roman"/>
          <w:b/>
          <w:bCs/>
          <w:lang w:val="sk-SK"/>
        </w:rPr>
        <w:t>Čas použiteľnosti</w:t>
      </w:r>
    </w:p>
    <w:p w14:paraId="735299D1" w14:textId="77777777" w:rsidR="00F21CBB" w:rsidRPr="000C254D" w:rsidRDefault="00F21CB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2E3D48C" w14:textId="77777777" w:rsidR="000B2B40" w:rsidRPr="000C254D" w:rsidRDefault="00CB0EC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4</w:t>
      </w:r>
      <w:r w:rsidR="000B2B40" w:rsidRPr="000C254D">
        <w:rPr>
          <w:rFonts w:ascii="Times New Roman" w:hAnsi="Times New Roman"/>
          <w:lang w:val="sk-SK"/>
        </w:rPr>
        <w:t xml:space="preserve"> roky</w:t>
      </w:r>
    </w:p>
    <w:p w14:paraId="395DCECF" w14:textId="77777777"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ED3ADC5" w14:textId="77777777" w:rsidR="002E18B3" w:rsidRPr="000C254D" w:rsidRDefault="00D170D4" w:rsidP="00FC42CA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6.4    </w:t>
      </w:r>
      <w:r w:rsidR="00823DE2" w:rsidRPr="000C254D">
        <w:rPr>
          <w:rFonts w:ascii="Times New Roman" w:hAnsi="Times New Roman"/>
          <w:b/>
          <w:bCs/>
          <w:lang w:val="sk-SK"/>
        </w:rPr>
        <w:t>Špeciálne upozornenia na uchovávanie</w:t>
      </w:r>
    </w:p>
    <w:p w14:paraId="79BE3ED9" w14:textId="77777777" w:rsidR="00F21CBB" w:rsidRPr="000C254D" w:rsidRDefault="00F21CB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27DF456" w14:textId="77777777" w:rsidR="002C36F1" w:rsidRPr="000C254D" w:rsidRDefault="002C36F1" w:rsidP="002C36F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Uchovávajte a prepravujte v chladničke (2 °C – 8 °C). </w:t>
      </w:r>
    </w:p>
    <w:p w14:paraId="05133122" w14:textId="3869895F" w:rsidR="002C36F1" w:rsidRPr="000C254D" w:rsidRDefault="002C36F1" w:rsidP="002C36F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Naplnenú injekčnú striekačku uchovávajte v pôvodnom </w:t>
      </w:r>
      <w:r w:rsidR="001B0C4A">
        <w:rPr>
          <w:rFonts w:ascii="Times New Roman" w:hAnsi="Times New Roman"/>
          <w:lang w:val="sk-SK"/>
        </w:rPr>
        <w:t>obale</w:t>
      </w:r>
      <w:r w:rsidR="001B0C4A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na ochranu pred svetlom.</w:t>
      </w:r>
    </w:p>
    <w:p w14:paraId="4C508712" w14:textId="77777777" w:rsidR="002C36F1" w:rsidRPr="000C254D" w:rsidRDefault="002C36F1" w:rsidP="002C36F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14:paraId="63E61170" w14:textId="77777777" w:rsidR="006B2F8C" w:rsidRDefault="002C36F1" w:rsidP="002C36F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Má sa zamedziť teplotným odchýlkam mimo rozsahu 2 °C – 8 °C. </w:t>
      </w:r>
      <w:r w:rsidR="001B0C4A" w:rsidRPr="004C5B97">
        <w:rPr>
          <w:rFonts w:ascii="Times New Roman" w:eastAsia="Times New Roman" w:hAnsi="Times New Roman"/>
          <w:lang w:val="sk-SK" w:bidi="sk-SK"/>
        </w:rPr>
        <w:t>Vyhnite sa uchovávaniu pri teplote prevyšujúcej 30 °C a</w:t>
      </w:r>
      <w:r w:rsidR="001B0C4A">
        <w:rPr>
          <w:rFonts w:ascii="Times New Roman" w:eastAsia="Times New Roman" w:hAnsi="Times New Roman"/>
          <w:lang w:val="sk-SK" w:bidi="sk-SK"/>
        </w:rPr>
        <w:t xml:space="preserve"> v prípade, </w:t>
      </w:r>
      <w:r w:rsidR="001B0C4A" w:rsidRPr="004C5B97">
        <w:rPr>
          <w:rFonts w:ascii="Times New Roman" w:eastAsia="Times New Roman" w:hAnsi="Times New Roman"/>
          <w:lang w:val="sk-SK" w:bidi="sk-SK"/>
        </w:rPr>
        <w:t xml:space="preserve">uchovávania </w:t>
      </w:r>
      <w:r w:rsidR="001B0C4A">
        <w:rPr>
          <w:rFonts w:ascii="Times New Roman" w:eastAsia="Times New Roman" w:hAnsi="Times New Roman"/>
          <w:lang w:val="sk-SK" w:bidi="sk-SK"/>
        </w:rPr>
        <w:t xml:space="preserve">tohto </w:t>
      </w:r>
      <w:r w:rsidR="001B0C4A" w:rsidRPr="004C5B97">
        <w:rPr>
          <w:rFonts w:ascii="Times New Roman" w:eastAsia="Times New Roman" w:hAnsi="Times New Roman"/>
          <w:lang w:val="sk-SK" w:bidi="sk-SK"/>
        </w:rPr>
        <w:t>liek</w:t>
      </w:r>
      <w:r w:rsidR="001B0C4A">
        <w:rPr>
          <w:rFonts w:ascii="Times New Roman" w:eastAsia="Times New Roman" w:hAnsi="Times New Roman"/>
          <w:lang w:val="sk-SK" w:bidi="sk-SK"/>
        </w:rPr>
        <w:t>u</w:t>
      </w:r>
      <w:r w:rsidR="00955B2B">
        <w:rPr>
          <w:rFonts w:ascii="Times New Roman" w:eastAsia="Times New Roman" w:hAnsi="Times New Roman"/>
          <w:lang w:val="sk-SK" w:bidi="sk-SK"/>
        </w:rPr>
        <w:t xml:space="preserve"> pri teplote</w:t>
      </w:r>
      <w:r w:rsidR="001B0C4A" w:rsidRPr="004C5B97">
        <w:rPr>
          <w:rFonts w:ascii="Times New Roman" w:eastAsia="Times New Roman" w:hAnsi="Times New Roman"/>
          <w:lang w:val="sk-SK" w:bidi="sk-SK"/>
        </w:rPr>
        <w:t xml:space="preserve"> nižš</w:t>
      </w:r>
      <w:r w:rsidR="00955B2B">
        <w:rPr>
          <w:rFonts w:ascii="Times New Roman" w:eastAsia="Times New Roman" w:hAnsi="Times New Roman"/>
          <w:lang w:val="sk-SK" w:bidi="sk-SK"/>
        </w:rPr>
        <w:t>ej</w:t>
      </w:r>
      <w:r w:rsidR="001B0C4A" w:rsidRPr="004C5B97">
        <w:rPr>
          <w:rFonts w:ascii="Times New Roman" w:eastAsia="Times New Roman" w:hAnsi="Times New Roman"/>
          <w:lang w:val="sk-SK" w:bidi="sk-SK"/>
        </w:rPr>
        <w:t xml:space="preserve"> ako 25 °C</w:t>
      </w:r>
      <w:r w:rsidR="00955B2B">
        <w:rPr>
          <w:rFonts w:ascii="Times New Roman" w:eastAsia="Times New Roman" w:hAnsi="Times New Roman"/>
          <w:lang w:val="sk-SK" w:bidi="sk-SK"/>
        </w:rPr>
        <w:t xml:space="preserve"> v priemere</w:t>
      </w:r>
      <w:r w:rsidR="001B0C4A" w:rsidRPr="004C5B97">
        <w:rPr>
          <w:rFonts w:ascii="Times New Roman" w:eastAsia="Times New Roman" w:hAnsi="Times New Roman"/>
          <w:lang w:val="sk-SK" w:bidi="sk-SK"/>
        </w:rPr>
        <w:t xml:space="preserve"> (ale nad rozsah 2 °C - 8 °C)</w:t>
      </w:r>
      <w:r w:rsidR="001B0C4A" w:rsidRPr="001B0C4A">
        <w:rPr>
          <w:rFonts w:ascii="Times New Roman" w:eastAsia="Times New Roman" w:hAnsi="Times New Roman"/>
          <w:lang w:val="sk-SK" w:bidi="sk-SK"/>
        </w:rPr>
        <w:t xml:space="preserve"> </w:t>
      </w:r>
      <w:r w:rsidR="00955B2B">
        <w:rPr>
          <w:rFonts w:ascii="Times New Roman" w:eastAsia="Times New Roman" w:hAnsi="Times New Roman"/>
          <w:lang w:val="sk-SK" w:bidi="sk-SK"/>
        </w:rPr>
        <w:t>uchovávanie</w:t>
      </w:r>
      <w:r w:rsidR="001B0C4A">
        <w:rPr>
          <w:rFonts w:ascii="Times New Roman" w:eastAsia="Times New Roman" w:hAnsi="Times New Roman"/>
          <w:lang w:val="sk-SK" w:bidi="sk-SK"/>
        </w:rPr>
        <w:t xml:space="preserve"> nemá presiahnuť</w:t>
      </w:r>
      <w:r w:rsidR="001B0C4A" w:rsidRPr="00AD1FEC">
        <w:rPr>
          <w:rFonts w:ascii="Times New Roman" w:eastAsia="Times New Roman" w:hAnsi="Times New Roman"/>
          <w:lang w:val="sk-SK" w:bidi="sk-SK"/>
        </w:rPr>
        <w:t xml:space="preserve"> 28-dňové obdobie</w:t>
      </w:r>
      <w:r w:rsidR="001B0C4A" w:rsidRPr="004C5B97">
        <w:rPr>
          <w:rFonts w:ascii="Times New Roman" w:eastAsia="Times New Roman" w:hAnsi="Times New Roman"/>
          <w:lang w:val="sk-SK" w:bidi="sk-SK"/>
        </w:rPr>
        <w:t xml:space="preserve">. </w:t>
      </w:r>
      <w:r w:rsidRPr="000C254D">
        <w:rPr>
          <w:rFonts w:ascii="Times New Roman" w:hAnsi="Times New Roman"/>
          <w:lang w:val="sk-SK"/>
        </w:rPr>
        <w:t xml:space="preserve">Po teplotných odchýlkach sa má liek ihneď vrátiť do odporúčaných podmienok uchovávania (uchovávanie a preprava v chladničke </w:t>
      </w:r>
    </w:p>
    <w:p w14:paraId="485A8D56" w14:textId="0C37DBE5" w:rsidR="002C36F1" w:rsidRPr="000C254D" w:rsidRDefault="002C36F1" w:rsidP="002C36F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bookmarkStart w:id="0" w:name="_GoBack"/>
      <w:bookmarkEnd w:id="0"/>
      <w:r w:rsidRPr="000C254D">
        <w:rPr>
          <w:rFonts w:ascii="Times New Roman" w:hAnsi="Times New Roman"/>
          <w:lang w:val="sk-SK"/>
        </w:rPr>
        <w:t xml:space="preserve">2 °C – 8 </w:t>
      </w:r>
      <w:r w:rsidR="006B2F8C">
        <w:rPr>
          <w:rFonts w:ascii="Times New Roman" w:hAnsi="Times New Roman"/>
          <w:lang w:val="sk-SK"/>
        </w:rPr>
        <w:t> </w:t>
      </w:r>
      <w:r w:rsidRPr="000C254D">
        <w:rPr>
          <w:rFonts w:ascii="Times New Roman" w:hAnsi="Times New Roman"/>
          <w:lang w:val="sk-SK"/>
        </w:rPr>
        <w:t>°C). Teplotné odchýlky majú kumulatívny účinok na kvalitu lieku a 28-dňová lehota sa nesmie prekročiť počas štvorročného času použiteľnosti Fulvestrantu STADA (pozri časť 6.3). Vystavením teplotám nižším ako 2 °C nedôjde k poškodeniu lieku za predpokladu, že nie je uchovávaný pod -20 °C.</w:t>
      </w:r>
    </w:p>
    <w:p w14:paraId="54ED073D" w14:textId="77777777" w:rsidR="00CB0ECB" w:rsidRPr="000C254D" w:rsidRDefault="00CB0ECB" w:rsidP="00FC42CA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</w:p>
    <w:p w14:paraId="243B97B0" w14:textId="77777777" w:rsidR="002E18B3" w:rsidRPr="000C254D" w:rsidRDefault="00D170D4" w:rsidP="00FC42CA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6.5    </w:t>
      </w:r>
      <w:r w:rsidR="000B2B40" w:rsidRPr="000C254D">
        <w:rPr>
          <w:rFonts w:ascii="Times New Roman" w:hAnsi="Times New Roman"/>
          <w:b/>
          <w:bCs/>
          <w:lang w:val="sk-SK"/>
        </w:rPr>
        <w:t>Druh obalu a obsah balenia</w:t>
      </w:r>
    </w:p>
    <w:p w14:paraId="1D36FD54" w14:textId="77777777" w:rsidR="00F21CBB" w:rsidRPr="000C254D" w:rsidRDefault="00F21CB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1A13071" w14:textId="77777777" w:rsidR="00F21CBB" w:rsidRPr="000C254D" w:rsidRDefault="00F21CBB" w:rsidP="00F21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Balenie s naplnenou injek</w:t>
      </w:r>
      <w:r w:rsidRPr="000C254D">
        <w:rPr>
          <w:rFonts w:ascii="Times New Roman" w:eastAsia="TimesNewRoman" w:hAnsi="Times New Roman"/>
          <w:lang w:val="sk-SK"/>
        </w:rPr>
        <w:t>č</w:t>
      </w:r>
      <w:r w:rsidRPr="000C254D">
        <w:rPr>
          <w:rFonts w:ascii="Times New Roman" w:hAnsi="Times New Roman"/>
          <w:lang w:val="sk-SK"/>
        </w:rPr>
        <w:t>nou strieka</w:t>
      </w:r>
      <w:r w:rsidRPr="000C254D">
        <w:rPr>
          <w:rFonts w:ascii="Times New Roman" w:eastAsia="TimesNewRoman" w:hAnsi="Times New Roman"/>
          <w:lang w:val="sk-SK"/>
        </w:rPr>
        <w:t>č</w:t>
      </w:r>
      <w:r w:rsidRPr="000C254D">
        <w:rPr>
          <w:rFonts w:ascii="Times New Roman" w:hAnsi="Times New Roman"/>
          <w:lang w:val="sk-SK"/>
        </w:rPr>
        <w:t>kou obsahuje:</w:t>
      </w:r>
    </w:p>
    <w:p w14:paraId="7FCC5057" w14:textId="77777777" w:rsidR="00462A01" w:rsidRPr="000C254D" w:rsidRDefault="00F21CBB" w:rsidP="00462A0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Jednu naplnenú injek</w:t>
      </w:r>
      <w:r w:rsidRPr="000C254D">
        <w:rPr>
          <w:rFonts w:ascii="Times New Roman" w:eastAsia="TimesNewRoman" w:hAnsi="Times New Roman"/>
          <w:lang w:val="sk-SK"/>
        </w:rPr>
        <w:t>č</w:t>
      </w:r>
      <w:r w:rsidRPr="000C254D">
        <w:rPr>
          <w:rFonts w:ascii="Times New Roman" w:hAnsi="Times New Roman"/>
          <w:lang w:val="sk-SK"/>
        </w:rPr>
        <w:t>ná strieka</w:t>
      </w:r>
      <w:r w:rsidRPr="000C254D">
        <w:rPr>
          <w:rFonts w:ascii="Times New Roman" w:eastAsia="TimesNewRoman" w:hAnsi="Times New Roman"/>
          <w:lang w:val="sk-SK"/>
        </w:rPr>
        <w:t>č</w:t>
      </w:r>
      <w:r w:rsidRPr="000C254D">
        <w:rPr>
          <w:rFonts w:ascii="Times New Roman" w:hAnsi="Times New Roman"/>
          <w:lang w:val="sk-SK"/>
        </w:rPr>
        <w:t xml:space="preserve">ku z </w:t>
      </w:r>
      <w:r w:rsidRPr="000C254D">
        <w:rPr>
          <w:rFonts w:ascii="Times New Roman" w:eastAsia="TimesNewRoman" w:hAnsi="Times New Roman"/>
          <w:lang w:val="sk-SK"/>
        </w:rPr>
        <w:t>č</w:t>
      </w:r>
      <w:r w:rsidRPr="000C254D">
        <w:rPr>
          <w:rFonts w:ascii="Times New Roman" w:hAnsi="Times New Roman"/>
          <w:lang w:val="sk-SK"/>
        </w:rPr>
        <w:t xml:space="preserve">íreho skla typu 1 </w:t>
      </w:r>
      <w:r w:rsidR="002C36F1" w:rsidRPr="000C254D">
        <w:rPr>
          <w:rFonts w:ascii="Times New Roman" w:hAnsi="Times New Roman"/>
          <w:lang w:val="sk-SK"/>
        </w:rPr>
        <w:t>s plastovým uzáverom injekčnej striekačky</w:t>
      </w:r>
      <w:r w:rsidRPr="000C254D">
        <w:rPr>
          <w:rFonts w:ascii="Times New Roman" w:hAnsi="Times New Roman"/>
          <w:lang w:val="sk-SK"/>
        </w:rPr>
        <w:t xml:space="preserve">, </w:t>
      </w:r>
      <w:r w:rsidR="00222F40" w:rsidRPr="000C254D">
        <w:rPr>
          <w:rFonts w:ascii="Times New Roman" w:hAnsi="Times New Roman"/>
          <w:lang w:val="sk-SK"/>
        </w:rPr>
        <w:t xml:space="preserve">s brómbutylovou gumenou zátkou, polypropylénovou </w:t>
      </w:r>
      <w:r w:rsidRPr="000C254D">
        <w:rPr>
          <w:rFonts w:ascii="Times New Roman" w:hAnsi="Times New Roman"/>
          <w:lang w:val="sk-SK"/>
        </w:rPr>
        <w:t>piesto</w:t>
      </w:r>
      <w:r w:rsidR="00462A01" w:rsidRPr="000C254D">
        <w:rPr>
          <w:rFonts w:ascii="Times New Roman" w:hAnsi="Times New Roman"/>
          <w:lang w:val="sk-SK"/>
        </w:rPr>
        <w:t>vou tyčinkou</w:t>
      </w:r>
      <w:r w:rsidRPr="000C254D">
        <w:rPr>
          <w:rFonts w:ascii="Times New Roman" w:hAnsi="Times New Roman"/>
          <w:lang w:val="sk-SK"/>
        </w:rPr>
        <w:t xml:space="preserve"> </w:t>
      </w:r>
      <w:r w:rsidR="00462A01" w:rsidRPr="000C254D">
        <w:rPr>
          <w:rFonts w:ascii="Times New Roman" w:hAnsi="Times New Roman"/>
          <w:lang w:val="sk-SK"/>
        </w:rPr>
        <w:t xml:space="preserve">a spätnou zátkou s poistným uzáverom </w:t>
      </w:r>
      <w:r w:rsidRPr="000C254D">
        <w:rPr>
          <w:rFonts w:ascii="Times New Roman" w:hAnsi="Times New Roman"/>
          <w:lang w:val="sk-SK"/>
        </w:rPr>
        <w:t>obsahujúc</w:t>
      </w:r>
      <w:r w:rsidR="00462A01" w:rsidRPr="000C254D">
        <w:rPr>
          <w:rFonts w:ascii="Times New Roman" w:hAnsi="Times New Roman"/>
          <w:lang w:val="sk-SK"/>
        </w:rPr>
        <w:t>u</w:t>
      </w:r>
      <w:r w:rsidRPr="000C254D">
        <w:rPr>
          <w:rFonts w:ascii="Times New Roman" w:hAnsi="Times New Roman"/>
          <w:lang w:val="sk-SK"/>
        </w:rPr>
        <w:t xml:space="preserve"> </w:t>
      </w:r>
      <w:r w:rsidR="00462A01" w:rsidRPr="000C254D">
        <w:rPr>
          <w:rFonts w:ascii="Times New Roman" w:hAnsi="Times New Roman"/>
          <w:lang w:val="sk-SK"/>
        </w:rPr>
        <w:t>5</w:t>
      </w:r>
      <w:r w:rsidR="00222F40" w:rsidRPr="000C254D">
        <w:rPr>
          <w:rFonts w:ascii="Times New Roman" w:hAnsi="Times New Roman"/>
          <w:lang w:val="sk-SK"/>
        </w:rPr>
        <w:t xml:space="preserve"> </w:t>
      </w:r>
      <w:r w:rsidR="00462A01" w:rsidRPr="000C254D">
        <w:rPr>
          <w:rFonts w:ascii="Times New Roman" w:hAnsi="Times New Roman"/>
          <w:lang w:val="sk-SK"/>
        </w:rPr>
        <w:t>ml injekčn</w:t>
      </w:r>
      <w:r w:rsidR="00222F40" w:rsidRPr="000C254D">
        <w:rPr>
          <w:rFonts w:ascii="Times New Roman" w:hAnsi="Times New Roman"/>
          <w:lang w:val="sk-SK"/>
        </w:rPr>
        <w:t>ého</w:t>
      </w:r>
      <w:r w:rsidR="00462A01" w:rsidRPr="000C254D">
        <w:rPr>
          <w:rFonts w:ascii="Times New Roman" w:hAnsi="Times New Roman"/>
          <w:lang w:val="sk-SK"/>
        </w:rPr>
        <w:t xml:space="preserve"> roztok</w:t>
      </w:r>
      <w:r w:rsidR="00222F40" w:rsidRPr="000C254D">
        <w:rPr>
          <w:rFonts w:ascii="Times New Roman" w:hAnsi="Times New Roman"/>
          <w:lang w:val="sk-SK"/>
        </w:rPr>
        <w:t>u.</w:t>
      </w:r>
    </w:p>
    <w:p w14:paraId="5C330C05" w14:textId="77777777" w:rsidR="00222F40" w:rsidRPr="000C254D" w:rsidRDefault="00222F40" w:rsidP="00462A01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D6103BE" w14:textId="77777777" w:rsidR="00222F40" w:rsidRPr="000C254D" w:rsidRDefault="00222F40" w:rsidP="00462A0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Fulvestrant STADA má dva typy balenia:</w:t>
      </w:r>
    </w:p>
    <w:p w14:paraId="7DD96763" w14:textId="77777777" w:rsidR="00222F40" w:rsidRPr="000C254D" w:rsidRDefault="00222F40" w:rsidP="00222F4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Papierová škatuľa s blistrom s</w:t>
      </w:r>
      <w:r w:rsidR="00966797" w:rsidRPr="000C254D">
        <w:rPr>
          <w:rFonts w:ascii="Times New Roman" w:hAnsi="Times New Roman"/>
          <w:lang w:val="sk-SK"/>
        </w:rPr>
        <w:t xml:space="preserve"> jednou</w:t>
      </w:r>
      <w:r w:rsidRPr="000C254D">
        <w:rPr>
          <w:rFonts w:ascii="Times New Roman" w:hAnsi="Times New Roman"/>
          <w:lang w:val="sk-SK"/>
        </w:rPr>
        <w:t> naplnenou injekčnou striekačkou, jednou hypodermickou sterilnou ihlou</w:t>
      </w:r>
      <w:r w:rsidR="0096679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(BD SafetyGlide) a</w:t>
      </w:r>
      <w:r w:rsidR="000C254D" w:rsidRPr="000C254D">
        <w:rPr>
          <w:rFonts w:ascii="Times New Roman" w:hAnsi="Times New Roman"/>
          <w:lang w:val="sk-SK"/>
        </w:rPr>
        <w:t xml:space="preserve"> jednou </w:t>
      </w:r>
      <w:r w:rsidRPr="000C254D">
        <w:rPr>
          <w:rFonts w:ascii="Times New Roman" w:hAnsi="Times New Roman"/>
          <w:lang w:val="sk-SK"/>
        </w:rPr>
        <w:t>písomnou informáciou</w:t>
      </w:r>
      <w:r w:rsidR="000C254D" w:rsidRPr="000C254D">
        <w:rPr>
          <w:rFonts w:ascii="Times New Roman" w:hAnsi="Times New Roman"/>
          <w:lang w:val="sk-SK"/>
        </w:rPr>
        <w:t>.</w:t>
      </w:r>
    </w:p>
    <w:p w14:paraId="1860393A" w14:textId="77777777" w:rsidR="00F21CBB" w:rsidRPr="000C254D" w:rsidRDefault="00F21CBB" w:rsidP="00F21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alebo</w:t>
      </w:r>
    </w:p>
    <w:p w14:paraId="3E802E14" w14:textId="77777777" w:rsidR="00966797" w:rsidRPr="000C254D" w:rsidRDefault="00966797" w:rsidP="0096679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Papierová škatuľa s dvoma blistrami v každom s naplnenou injekčnou striekačkou, dvoma hypodermickými sterilnými ihlami (BD SafetyGlide) a jednou písomnou informáciou.</w:t>
      </w:r>
    </w:p>
    <w:p w14:paraId="56747E18" w14:textId="77777777" w:rsidR="00F21CBB" w:rsidRPr="000C254D" w:rsidRDefault="00F21CBB" w:rsidP="00F431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E164DD6" w14:textId="77777777" w:rsidR="00435278" w:rsidRPr="000C254D" w:rsidRDefault="00435278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Na trh nemusia byť uvedené všetky veľkosti balenia.</w:t>
      </w:r>
    </w:p>
    <w:p w14:paraId="48B4F2E4" w14:textId="77777777" w:rsidR="003D0D66" w:rsidRPr="000C254D" w:rsidRDefault="003D0D66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0D70119" w14:textId="77777777" w:rsidR="004707F4" w:rsidRPr="000C254D" w:rsidRDefault="00435278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highlight w:val="yellow"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6.6 </w:t>
      </w:r>
      <w:r w:rsidRPr="000C254D">
        <w:rPr>
          <w:rFonts w:ascii="Times New Roman" w:hAnsi="Times New Roman"/>
          <w:b/>
          <w:bCs/>
          <w:lang w:val="sk-SK"/>
        </w:rPr>
        <w:tab/>
      </w:r>
      <w:r w:rsidR="000B2B40" w:rsidRPr="000C254D">
        <w:rPr>
          <w:rFonts w:ascii="Times New Roman" w:hAnsi="Times New Roman"/>
          <w:b/>
          <w:bCs/>
          <w:lang w:val="sk-SK"/>
        </w:rPr>
        <w:t>Špeciálne opatrenia na likvidáciu a iné zaobchádzanie s liekom</w:t>
      </w:r>
    </w:p>
    <w:p w14:paraId="335207FB" w14:textId="77777777" w:rsidR="00435278" w:rsidRPr="000C254D" w:rsidRDefault="00435278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</w:p>
    <w:p w14:paraId="6D08F13C" w14:textId="77777777" w:rsidR="00966797" w:rsidRPr="000C254D" w:rsidRDefault="00966797" w:rsidP="000F6997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Spôsob zaobchádzania a likvidácie musí korešpondovať </w:t>
      </w:r>
      <w:r w:rsidR="000F6997" w:rsidRPr="000C254D">
        <w:rPr>
          <w:rFonts w:ascii="Times New Roman" w:eastAsia="TimesNewRoman" w:hAnsi="Times New Roman"/>
          <w:lang w:val="sk-SK"/>
        </w:rPr>
        <w:t xml:space="preserve">s inými chemoterapeutikami a byť v súlade s národnými požiadavkami. Tehotné zdravotnícke pracovníčky nesmú manipulovať a/alebo podávať Fulvestrant STADA 250 mg </w:t>
      </w:r>
      <w:r w:rsidR="000F6997" w:rsidRPr="000C254D">
        <w:rPr>
          <w:rFonts w:ascii="Times New Roman" w:hAnsi="Times New Roman"/>
          <w:lang w:val="sk-SK"/>
        </w:rPr>
        <w:t>injekčný roztok naplnený v injekčnej striekačke.</w:t>
      </w:r>
    </w:p>
    <w:p w14:paraId="0B1B8ED3" w14:textId="77777777" w:rsidR="00966797" w:rsidRPr="000C254D" w:rsidRDefault="00966797" w:rsidP="00FC42CA">
      <w:pPr>
        <w:pStyle w:val="Odsekzoznamu"/>
        <w:spacing w:after="0" w:line="240" w:lineRule="auto"/>
        <w:ind w:left="0"/>
        <w:rPr>
          <w:rFonts w:ascii="Times New Roman" w:eastAsia="TimesNewRoman" w:hAnsi="Times New Roman"/>
          <w:u w:val="single"/>
          <w:lang w:val="sk-SK"/>
        </w:rPr>
      </w:pPr>
    </w:p>
    <w:p w14:paraId="3B42EA3A" w14:textId="77777777" w:rsidR="00F431A6" w:rsidRPr="000C254D" w:rsidRDefault="00F431A6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Pokyny na podávanie</w:t>
      </w:r>
    </w:p>
    <w:p w14:paraId="1120880B" w14:textId="77777777"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Injekciu podávajte podľa lokálnych postupov </w:t>
      </w:r>
      <w:r w:rsidR="00E8520A" w:rsidRPr="000C254D">
        <w:rPr>
          <w:rFonts w:ascii="Times New Roman" w:eastAsia="TimesNewRoman" w:hAnsi="Times New Roman"/>
          <w:lang w:val="sk-SK"/>
        </w:rPr>
        <w:t>na</w:t>
      </w:r>
      <w:r w:rsidRPr="000C254D">
        <w:rPr>
          <w:rFonts w:ascii="Times New Roman" w:eastAsia="TimesNewRoman" w:hAnsi="Times New Roman"/>
          <w:lang w:val="sk-SK"/>
        </w:rPr>
        <w:t xml:space="preserve"> podávanie intramuskulárnych injekcií s veľkým</w:t>
      </w:r>
    </w:p>
    <w:p w14:paraId="280FC0B9" w14:textId="77777777"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objemom.</w:t>
      </w:r>
    </w:p>
    <w:p w14:paraId="7F6151EB" w14:textId="77777777"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5390A6F8" w14:textId="77777777"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POZNÁMKA: Vzhľadom na blízkosť sedacieho nervu je potrebná opatrnosť pri injekčnom podávaní</w:t>
      </w:r>
    </w:p>
    <w:p w14:paraId="6F626902" w14:textId="77777777" w:rsidR="004D2674" w:rsidRPr="000C254D" w:rsidRDefault="00F431A6" w:rsidP="00F431A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Fulvestrantu </w:t>
      </w:r>
      <w:r w:rsidR="00FD7416" w:rsidRPr="000C254D">
        <w:rPr>
          <w:rFonts w:ascii="Times New Roman" w:hAnsi="Times New Roman"/>
          <w:lang w:val="sk-SK"/>
        </w:rPr>
        <w:t>STADA</w:t>
      </w:r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do dorzogluteálnej oblasti (pozri časť 4.4).</w:t>
      </w:r>
    </w:p>
    <w:p w14:paraId="2D6367AA" w14:textId="77777777"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598CBB00" w14:textId="77777777"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Upozornenie</w:t>
      </w:r>
      <w:r w:rsidR="000F6997" w:rsidRPr="000C254D">
        <w:rPr>
          <w:rFonts w:ascii="Times New Roman" w:eastAsia="TimesNewRoman" w:hAnsi="Times New Roman"/>
          <w:lang w:val="sk-SK"/>
        </w:rPr>
        <w:t>:</w:t>
      </w:r>
      <w:r w:rsidRPr="000C254D">
        <w:rPr>
          <w:rFonts w:ascii="Times New Roman" w:eastAsia="TimesNewRoman" w:hAnsi="Times New Roman"/>
          <w:lang w:val="sk-SK"/>
        </w:rPr>
        <w:t xml:space="preserve"> Bezpečnostnú ihlu (BD SafetyGlide </w:t>
      </w:r>
      <w:r w:rsidR="003A4FD4" w:rsidRPr="000C254D">
        <w:rPr>
          <w:rFonts w:ascii="Times New Roman" w:eastAsia="TimesNewRoman" w:hAnsi="Times New Roman"/>
          <w:lang w:val="sk-SK"/>
        </w:rPr>
        <w:t>chránená hypodermická ihla</w:t>
      </w:r>
      <w:r w:rsidRPr="000C254D">
        <w:rPr>
          <w:rFonts w:ascii="Times New Roman" w:eastAsia="TimesNewRoman" w:hAnsi="Times New Roman"/>
          <w:lang w:val="sk-SK"/>
        </w:rPr>
        <w:t>) pred použitím</w:t>
      </w:r>
    </w:p>
    <w:p w14:paraId="06EECB77" w14:textId="77777777"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neautoklávujte. Počas použitia aj pri likvidácii musia byť ruky stále za ihlou.</w:t>
      </w:r>
    </w:p>
    <w:p w14:paraId="12004D41" w14:textId="77777777"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30A072DB" w14:textId="77777777" w:rsidR="00F431A6" w:rsidRPr="000C254D" w:rsidRDefault="00F431A6" w:rsidP="00F431A6">
      <w:p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 xml:space="preserve">Pre každú </w:t>
      </w:r>
      <w:r w:rsidR="000F6997" w:rsidRPr="000C254D">
        <w:rPr>
          <w:rFonts w:ascii="Times New Roman" w:eastAsia="TimesNewRoman" w:hAnsi="Times New Roman"/>
          <w:u w:val="single"/>
          <w:lang w:val="sk-SK"/>
        </w:rPr>
        <w:t xml:space="preserve">z oboch </w:t>
      </w:r>
      <w:r w:rsidRPr="000C254D">
        <w:rPr>
          <w:rFonts w:ascii="Times New Roman" w:eastAsia="TimesNewRoman" w:hAnsi="Times New Roman"/>
          <w:u w:val="single"/>
          <w:lang w:val="sk-SK"/>
        </w:rPr>
        <w:t>injekčn</w:t>
      </w:r>
      <w:r w:rsidR="000F6997" w:rsidRPr="000C254D">
        <w:rPr>
          <w:rFonts w:ascii="Times New Roman" w:eastAsia="TimesNewRoman" w:hAnsi="Times New Roman"/>
          <w:u w:val="single"/>
          <w:lang w:val="sk-SK"/>
        </w:rPr>
        <w:t>ých</w:t>
      </w:r>
      <w:r w:rsidRPr="000C254D">
        <w:rPr>
          <w:rFonts w:ascii="Times New Roman" w:eastAsia="TimesNewRoman" w:hAnsi="Times New Roman"/>
          <w:u w:val="single"/>
          <w:lang w:val="sk-SK"/>
        </w:rPr>
        <w:t xml:space="preserve"> </w:t>
      </w:r>
      <w:r w:rsidR="008556A6" w:rsidRPr="000C254D">
        <w:rPr>
          <w:rFonts w:ascii="Times New Roman" w:eastAsia="TimesNewRoman" w:hAnsi="Times New Roman"/>
          <w:u w:val="single"/>
          <w:lang w:val="sk-SK"/>
        </w:rPr>
        <w:t>striekač</w:t>
      </w:r>
      <w:r w:rsidR="000F6997" w:rsidRPr="000C254D">
        <w:rPr>
          <w:rFonts w:ascii="Times New Roman" w:eastAsia="TimesNewRoman" w:hAnsi="Times New Roman"/>
          <w:u w:val="single"/>
          <w:lang w:val="sk-SK"/>
        </w:rPr>
        <w:t>ie</w:t>
      </w:r>
      <w:r w:rsidR="008556A6" w:rsidRPr="000C254D">
        <w:rPr>
          <w:rFonts w:ascii="Times New Roman" w:eastAsia="TimesNewRoman" w:hAnsi="Times New Roman"/>
          <w:u w:val="single"/>
          <w:lang w:val="sk-SK"/>
        </w:rPr>
        <w:t>k</w:t>
      </w:r>
      <w:r w:rsidRPr="000C254D">
        <w:rPr>
          <w:rFonts w:ascii="Times New Roman" w:eastAsia="TimesNewRoman" w:hAnsi="Times New Roman"/>
          <w:u w:val="single"/>
          <w:lang w:val="sk-SK"/>
        </w:rPr>
        <w:t>:</w:t>
      </w:r>
    </w:p>
    <w:p w14:paraId="166316E6" w14:textId="77777777" w:rsidR="000F6997" w:rsidRPr="000C254D" w:rsidRDefault="000F6997" w:rsidP="00F431A6">
      <w:p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</w:p>
    <w:p w14:paraId="72723923" w14:textId="77777777" w:rsidR="000F6997" w:rsidRPr="000C254D" w:rsidRDefault="000F6997" w:rsidP="000F699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Vyberte sklenenú injekčnú striekačku z blistra a skontrolujte, či nie je poškodená.</w:t>
      </w:r>
    </w:p>
    <w:p w14:paraId="2306EDC6" w14:textId="77777777" w:rsidR="000F6997" w:rsidRPr="000C254D" w:rsidRDefault="000F6997" w:rsidP="000F699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Opatrne vyberte bezpečnostnú ihlu (SafetyGlide) z vonkajšieho obalu.</w:t>
      </w:r>
    </w:p>
    <w:p w14:paraId="5BDC9AB9" w14:textId="77777777" w:rsidR="000F6997" w:rsidRPr="000C254D" w:rsidRDefault="000F6997" w:rsidP="000F699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hAnsi="Times New Roman"/>
          <w:lang w:val="sk-SK"/>
        </w:rPr>
        <w:t>Parenterálne roztoky sa musia pred podávaním vizuálne skontrolovať, či neobsahujú častice a či nedošlo k zmene ich zafarbenia.</w:t>
      </w:r>
    </w:p>
    <w:p w14:paraId="39288439" w14:textId="77777777" w:rsidR="000F6997" w:rsidRPr="000C254D" w:rsidRDefault="000F6997" w:rsidP="000F699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Injekčnú striekačku držte vo zvislej polohe</w:t>
      </w:r>
    </w:p>
    <w:p w14:paraId="62655074" w14:textId="77777777" w:rsidR="000F6997" w:rsidRPr="000C254D" w:rsidRDefault="000F6997" w:rsidP="0085080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Druhou rukou držte kryt  a opatrným otáčaním ho odstráňte.</w:t>
      </w:r>
      <w:r w:rsidR="00850802" w:rsidRPr="000C254D">
        <w:rPr>
          <w:rFonts w:ascii="Times New Roman" w:eastAsia="TimesNewRoman" w:hAnsi="Times New Roman"/>
          <w:lang w:val="sk-SK"/>
        </w:rPr>
        <w:t xml:space="preserve"> Na zachovanie sterility sa nedotýkajte hrotu injekčnej striekačky (pozri obrázok 1).</w:t>
      </w:r>
    </w:p>
    <w:p w14:paraId="63CC527F" w14:textId="77777777" w:rsidR="002E18B3" w:rsidRPr="000C254D" w:rsidRDefault="002E18B3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085C29B" w14:textId="77777777"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14:paraId="16878070" w14:textId="77777777" w:rsidR="000C254D" w:rsidRPr="000C254D" w:rsidRDefault="004C5B97" w:rsidP="000C254D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pict w14:anchorId="6E9F2F1E">
          <v:shape id="_x0000_i1027" type="#_x0000_t75" style="width:113.25pt;height:167.25pt">
            <v:imagedata r:id="rId11" o:title=""/>
          </v:shape>
        </w:pict>
      </w:r>
    </w:p>
    <w:p w14:paraId="67571124" w14:textId="77777777"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Obrázok 1</w:t>
      </w:r>
    </w:p>
    <w:p w14:paraId="123984B9" w14:textId="77777777"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14:paraId="43A55D3C" w14:textId="77777777" w:rsidR="000C254D" w:rsidRPr="000C254D" w:rsidRDefault="000C254D" w:rsidP="000C254D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Pripojte bezpečnostnú ihlu k luerovej koncovke injekčnej striekačky a otáčajte ňou, kým pevne nezapadne (pozri obrázok </w:t>
      </w:r>
      <w:r>
        <w:rPr>
          <w:rFonts w:ascii="Times New Roman" w:hAnsi="Times New Roman"/>
          <w:lang w:val="sk-SK"/>
        </w:rPr>
        <w:t>2</w:t>
      </w:r>
      <w:r w:rsidRPr="000C254D">
        <w:rPr>
          <w:rFonts w:ascii="Times New Roman" w:hAnsi="Times New Roman"/>
          <w:lang w:val="sk-SK"/>
        </w:rPr>
        <w:t>).</w:t>
      </w:r>
    </w:p>
    <w:p w14:paraId="39F6B132" w14:textId="77777777" w:rsidR="000C254D" w:rsidRPr="000C254D" w:rsidRDefault="004C5B97" w:rsidP="000C254D">
      <w:pPr>
        <w:widowControl w:val="0"/>
        <w:tabs>
          <w:tab w:val="left" w:pos="567"/>
          <w:tab w:val="left" w:pos="2977"/>
        </w:tabs>
        <w:spacing w:after="0" w:line="240" w:lineRule="auto"/>
        <w:ind w:left="36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pict w14:anchorId="6BDF7686">
          <v:shape id="_x0000_i1028" type="#_x0000_t75" style="width:113.25pt;height:163.5pt">
            <v:imagedata r:id="rId12" o:title=""/>
          </v:shape>
        </w:pict>
      </w:r>
    </w:p>
    <w:p w14:paraId="47F8A24E" w14:textId="77777777"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Obrázok 2</w:t>
      </w:r>
    </w:p>
    <w:p w14:paraId="28776DB1" w14:textId="77777777"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14:paraId="08B7F399" w14:textId="77777777" w:rsidR="000C254D" w:rsidRPr="000C254D" w:rsidRDefault="000C254D" w:rsidP="000C254D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Skontrolujte, či je ihla zafixovaná k luerovému konektoru, predtým ako ju otočíte z vertikálnej roviny. </w:t>
      </w:r>
    </w:p>
    <w:p w14:paraId="1408F553" w14:textId="77777777" w:rsidR="000C254D" w:rsidRPr="000C254D" w:rsidRDefault="000C254D" w:rsidP="000C254D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Priamym pohybom stiahnite z ihly kryt tak, aby sa nepoškodil hrot ihly. </w:t>
      </w:r>
    </w:p>
    <w:p w14:paraId="36B8223B" w14:textId="77777777" w:rsidR="000C254D" w:rsidRPr="000C254D" w:rsidRDefault="000C254D" w:rsidP="000C254D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Preneste naplnenú injekčnú striekačku na miesto podania. </w:t>
      </w:r>
    </w:p>
    <w:p w14:paraId="51060A4C" w14:textId="77777777" w:rsidR="000C254D" w:rsidRPr="000C254D" w:rsidRDefault="000C254D" w:rsidP="000C254D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Odstráňte kryt z ihly. </w:t>
      </w:r>
    </w:p>
    <w:p w14:paraId="6FC5EFC8" w14:textId="77777777" w:rsidR="000C254D" w:rsidRDefault="000C254D" w:rsidP="000C254D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>Vytlačte z injekčnej striekačky prebytočný plyn.</w:t>
      </w:r>
    </w:p>
    <w:p w14:paraId="178CB442" w14:textId="77777777" w:rsidR="000C254D" w:rsidRPr="000C254D" w:rsidRDefault="000C254D" w:rsidP="00446DE6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Podávajte pomaly intramuskulárne (1-2 minúty/injekcia) do sedacieho svalu (gluteálna oblasť). Na uľahčenie podávania je skosená strana ihly orientovaná k ramenu páčky (pozri obrázok </w:t>
      </w:r>
      <w:r>
        <w:rPr>
          <w:rFonts w:eastAsia="Calibri"/>
          <w:sz w:val="22"/>
          <w:szCs w:val="22"/>
          <w:lang w:val="sk-SK" w:eastAsia="en-US"/>
        </w:rPr>
        <w:t>3</w:t>
      </w:r>
      <w:r w:rsidRPr="000C254D">
        <w:rPr>
          <w:rFonts w:eastAsia="Calibri"/>
          <w:sz w:val="22"/>
          <w:szCs w:val="22"/>
          <w:lang w:val="sk-SK" w:eastAsia="en-US"/>
        </w:rPr>
        <w:t>).</w:t>
      </w:r>
    </w:p>
    <w:p w14:paraId="0BEC1156" w14:textId="77777777" w:rsidR="000C254D" w:rsidRPr="000C254D" w:rsidRDefault="000C254D" w:rsidP="000C254D">
      <w:pPr>
        <w:pStyle w:val="TableText"/>
        <w:widowControl w:val="0"/>
        <w:tabs>
          <w:tab w:val="left" w:pos="567"/>
        </w:tabs>
        <w:ind w:left="567"/>
        <w:rPr>
          <w:sz w:val="22"/>
          <w:szCs w:val="22"/>
          <w:lang w:val="sk-SK" w:eastAsia="en-US"/>
        </w:rPr>
      </w:pPr>
    </w:p>
    <w:p w14:paraId="7A61BD0C" w14:textId="77777777" w:rsidR="000C254D" w:rsidRPr="000C254D" w:rsidRDefault="004C5B97" w:rsidP="000C254D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pict w14:anchorId="76D2F0C8">
          <v:shape id="_x0000_i1029" type="#_x0000_t75" style="width:150.75pt;height:113.25pt">
            <v:imagedata r:id="rId13" o:title=""/>
          </v:shape>
        </w:pict>
      </w:r>
    </w:p>
    <w:p w14:paraId="129E6707" w14:textId="77777777" w:rsidR="000C254D" w:rsidRPr="000C254D" w:rsidRDefault="000C254D" w:rsidP="000C254D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Obrázok 3</w:t>
      </w:r>
    </w:p>
    <w:p w14:paraId="61E34026" w14:textId="77777777" w:rsidR="000C254D" w:rsidRPr="000C254D" w:rsidRDefault="000C254D" w:rsidP="000C254D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</w:p>
    <w:p w14:paraId="6620CC04" w14:textId="77777777" w:rsidR="00446DE6" w:rsidRPr="00446DE6" w:rsidRDefault="00446DE6" w:rsidP="00446DE6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1003"/>
        <w:rPr>
          <w:rFonts w:ascii="Times New Roman" w:eastAsia="Times New Roman" w:hAnsi="Times New Roman"/>
          <w:lang w:val="sk-SK"/>
        </w:rPr>
      </w:pPr>
      <w:r w:rsidRPr="00446DE6">
        <w:rPr>
          <w:rFonts w:ascii="Times New Roman" w:eastAsia="Times New Roman" w:hAnsi="Times New Roman"/>
          <w:lang w:val="sk-SK"/>
        </w:rPr>
        <w:t xml:space="preserve">Po podaní injekcie ihneď využite ťah jedného prsta na aktiváciu ramena páčky, ktorá aktivuje ochranný mechanizmus (pozri obrázok </w:t>
      </w:r>
      <w:r>
        <w:rPr>
          <w:rFonts w:ascii="Times New Roman" w:eastAsia="Times New Roman" w:hAnsi="Times New Roman"/>
          <w:lang w:val="sk-SK"/>
        </w:rPr>
        <w:t>4</w:t>
      </w:r>
      <w:r w:rsidRPr="00446DE6">
        <w:rPr>
          <w:rFonts w:ascii="Times New Roman" w:eastAsia="Times New Roman" w:hAnsi="Times New Roman"/>
          <w:lang w:val="sk-SK"/>
        </w:rPr>
        <w:t xml:space="preserve">). </w:t>
      </w:r>
    </w:p>
    <w:p w14:paraId="133FA9F8" w14:textId="77777777" w:rsidR="00446DE6" w:rsidRDefault="00446DE6" w:rsidP="00446DE6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  <w:r w:rsidRPr="00446DE6">
        <w:rPr>
          <w:rFonts w:ascii="Times New Roman" w:eastAsia="Times New Roman" w:hAnsi="Times New Roman"/>
          <w:lang w:val="sk-SK"/>
        </w:rPr>
        <w:t>POZNÁMKA: Aktivujte mechanizmus smerom od seba a</w:t>
      </w:r>
      <w:r>
        <w:rPr>
          <w:rFonts w:ascii="Times New Roman" w:eastAsia="Times New Roman" w:hAnsi="Times New Roman"/>
          <w:lang w:val="sk-SK"/>
        </w:rPr>
        <w:t> </w:t>
      </w:r>
      <w:r w:rsidRPr="00446DE6">
        <w:rPr>
          <w:rFonts w:ascii="Times New Roman" w:eastAsia="Times New Roman" w:hAnsi="Times New Roman"/>
          <w:lang w:val="sk-SK"/>
        </w:rPr>
        <w:t>iných</w:t>
      </w:r>
      <w:r>
        <w:rPr>
          <w:rFonts w:ascii="Times New Roman" w:eastAsia="Times New Roman" w:hAnsi="Times New Roman"/>
          <w:lang w:val="sk-SK"/>
        </w:rPr>
        <w:t xml:space="preserve"> ľudí</w:t>
      </w:r>
      <w:r w:rsidRPr="00446DE6">
        <w:rPr>
          <w:rFonts w:ascii="Times New Roman" w:eastAsia="Times New Roman" w:hAnsi="Times New Roman"/>
          <w:lang w:val="sk-SK"/>
        </w:rPr>
        <w:t xml:space="preserve">. Dávajte pozor na </w:t>
      </w:r>
      <w:r>
        <w:rPr>
          <w:rFonts w:ascii="Times New Roman" w:eastAsia="Times New Roman" w:hAnsi="Times New Roman"/>
          <w:lang w:val="sk-SK"/>
        </w:rPr>
        <w:t>kliknutie</w:t>
      </w:r>
      <w:r w:rsidRPr="00446DE6">
        <w:rPr>
          <w:rFonts w:ascii="Times New Roman" w:eastAsia="Times New Roman" w:hAnsi="Times New Roman"/>
          <w:lang w:val="sk-SK"/>
        </w:rPr>
        <w:t xml:space="preserve"> a vizuálne sa presvedčte, že hrot ihly je úplne zakrytý.</w:t>
      </w:r>
    </w:p>
    <w:p w14:paraId="0C6853E2" w14:textId="77777777" w:rsidR="00446DE6" w:rsidRDefault="00446DE6" w:rsidP="000C254D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14:paraId="1966AED7" w14:textId="77777777" w:rsidR="00446DE6" w:rsidRDefault="00446DE6" w:rsidP="000C254D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14:paraId="134E2841" w14:textId="77777777" w:rsidR="00446DE6" w:rsidRPr="000C254D" w:rsidRDefault="00446DE6" w:rsidP="000C254D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14:paraId="386AF74B" w14:textId="77777777" w:rsidR="000C254D" w:rsidRPr="000C254D" w:rsidRDefault="004C5B97" w:rsidP="000C254D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pict w14:anchorId="156C1D79">
          <v:shape id="_x0000_i1030" type="#_x0000_t75" style="width:113.25pt;height:113.25pt">
            <v:imagedata r:id="rId14" o:title=""/>
          </v:shape>
        </w:pict>
      </w:r>
    </w:p>
    <w:p w14:paraId="7A9DBC21" w14:textId="77777777" w:rsidR="000C254D" w:rsidRPr="000C254D" w:rsidRDefault="00446DE6" w:rsidP="000C254D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Obrázok 4</w:t>
      </w:r>
    </w:p>
    <w:p w14:paraId="10472D8F" w14:textId="77777777"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sk-SK"/>
        </w:rPr>
      </w:pPr>
    </w:p>
    <w:p w14:paraId="15AB8C43" w14:textId="77777777" w:rsidR="000C254D" w:rsidRPr="000C254D" w:rsidRDefault="000C254D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1309A7D" w14:textId="77777777" w:rsidR="00435278" w:rsidRPr="000C254D" w:rsidRDefault="00823DE2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0C254D">
        <w:rPr>
          <w:rFonts w:ascii="Times New Roman" w:hAnsi="Times New Roman"/>
          <w:bCs/>
          <w:u w:val="single"/>
          <w:lang w:val="sk-SK"/>
        </w:rPr>
        <w:t>Likvidácia</w:t>
      </w:r>
    </w:p>
    <w:p w14:paraId="70A3976E" w14:textId="77777777" w:rsidR="00435278" w:rsidRPr="000C254D" w:rsidRDefault="00823DE2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0C254D">
        <w:rPr>
          <w:rFonts w:ascii="Times New Roman" w:hAnsi="Times New Roman"/>
          <w:bCs/>
          <w:lang w:val="sk-SK"/>
        </w:rPr>
        <w:t xml:space="preserve">Naplnené striekačky sú určené </w:t>
      </w:r>
      <w:r w:rsidRPr="000C254D">
        <w:rPr>
          <w:rFonts w:ascii="Times New Roman" w:hAnsi="Times New Roman"/>
          <w:b/>
          <w:bCs/>
          <w:lang w:val="sk-SK"/>
        </w:rPr>
        <w:t xml:space="preserve">len </w:t>
      </w:r>
      <w:r w:rsidRPr="000C254D">
        <w:rPr>
          <w:rFonts w:ascii="Times New Roman" w:hAnsi="Times New Roman"/>
          <w:bCs/>
          <w:lang w:val="sk-SK"/>
        </w:rPr>
        <w:t>na jednorazové použitie.</w:t>
      </w:r>
    </w:p>
    <w:p w14:paraId="4EF55810" w14:textId="77777777" w:rsidR="00435278" w:rsidRPr="000C254D" w:rsidRDefault="00026453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0C254D">
        <w:rPr>
          <w:rFonts w:ascii="Times New Roman" w:hAnsi="Times New Roman"/>
          <w:lang w:val="sk-SK" w:eastAsia="sk-SK"/>
        </w:rPr>
        <w:t>Tento liek môže predstavovať riziko pre vodné prostredie.</w:t>
      </w:r>
      <w:r w:rsidRPr="000C254D">
        <w:rPr>
          <w:rFonts w:ascii="Times New Roman" w:hAnsi="Times New Roman"/>
          <w:lang w:val="sk-SK"/>
        </w:rPr>
        <w:t xml:space="preserve"> </w:t>
      </w:r>
      <w:r w:rsidR="00823DE2" w:rsidRPr="000C254D">
        <w:rPr>
          <w:rFonts w:ascii="Times New Roman" w:hAnsi="Times New Roman"/>
          <w:bCs/>
          <w:lang w:val="sk-SK"/>
        </w:rPr>
        <w:t>Všetok nepoužitý liek alebo odpad vzniknutý z lieku sa má zlikvidovať v súlade s národnými požiadavkami</w:t>
      </w:r>
      <w:r w:rsidR="00F82657" w:rsidRPr="000C254D">
        <w:rPr>
          <w:rFonts w:ascii="Times New Roman" w:hAnsi="Times New Roman"/>
          <w:bCs/>
          <w:lang w:val="sk-SK"/>
        </w:rPr>
        <w:t xml:space="preserve"> (pozri časť 5.3)</w:t>
      </w:r>
      <w:r w:rsidR="00823DE2" w:rsidRPr="000C254D">
        <w:rPr>
          <w:rFonts w:ascii="Times New Roman" w:hAnsi="Times New Roman"/>
          <w:bCs/>
          <w:lang w:val="sk-SK"/>
        </w:rPr>
        <w:t>.</w:t>
      </w:r>
    </w:p>
    <w:p w14:paraId="35403674" w14:textId="77777777" w:rsidR="003D0D66" w:rsidRPr="000C254D" w:rsidRDefault="003D0D66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</w:p>
    <w:p w14:paraId="7B75D568" w14:textId="77777777" w:rsidR="003D0D66" w:rsidRPr="000C254D" w:rsidRDefault="003D0D66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</w:p>
    <w:p w14:paraId="7288EBBE" w14:textId="77777777" w:rsidR="002E18B3" w:rsidRPr="000C254D" w:rsidRDefault="000B2B40" w:rsidP="00FC42CA">
      <w:pPr>
        <w:pStyle w:val="Odsekzoznamu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DRŽITEĽ ROZHODNUTIA O REGISTRÁCII</w:t>
      </w:r>
    </w:p>
    <w:p w14:paraId="09C8C6B2" w14:textId="77777777" w:rsidR="00F82657" w:rsidRPr="000C254D" w:rsidRDefault="00F82657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767B5914" w14:textId="77777777" w:rsidR="00F82657" w:rsidRDefault="00446DE6" w:rsidP="00F82657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STADA Arzneimittel AG</w:t>
      </w:r>
    </w:p>
    <w:p w14:paraId="751539DE" w14:textId="77777777" w:rsidR="00446DE6" w:rsidRDefault="00446DE6" w:rsidP="00F82657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Stadastrasse 2-18</w:t>
      </w:r>
    </w:p>
    <w:p w14:paraId="4A59DF2D" w14:textId="77777777" w:rsidR="00446DE6" w:rsidRDefault="00446DE6" w:rsidP="00F82657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61118 Bad Vilbel</w:t>
      </w:r>
    </w:p>
    <w:p w14:paraId="74D39FFB" w14:textId="77777777" w:rsidR="00446DE6" w:rsidRPr="000C254D" w:rsidRDefault="00446DE6" w:rsidP="00F82657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Nemecko</w:t>
      </w:r>
    </w:p>
    <w:p w14:paraId="75AD49D4" w14:textId="77777777" w:rsidR="00150B75" w:rsidRPr="000C254D" w:rsidRDefault="00150B7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3F64EB7" w14:textId="77777777" w:rsidR="00F82657" w:rsidRPr="000C254D" w:rsidRDefault="00F82657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6B369054" w14:textId="77777777" w:rsidR="002E18B3" w:rsidRPr="000C254D" w:rsidRDefault="000B2B40" w:rsidP="00FC42CA">
      <w:pPr>
        <w:pStyle w:val="Odsekzoznamu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REGISTRAČNÉ ČÍSL</w:t>
      </w:r>
      <w:r w:rsidR="00446DE6">
        <w:rPr>
          <w:rFonts w:ascii="Times New Roman" w:hAnsi="Times New Roman"/>
          <w:b/>
          <w:bCs/>
          <w:lang w:val="sk-SK"/>
        </w:rPr>
        <w:t>O</w:t>
      </w:r>
    </w:p>
    <w:p w14:paraId="274BDC28" w14:textId="77777777" w:rsidR="00F82657" w:rsidRPr="000C254D" w:rsidRDefault="00F82657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449A4E7" w14:textId="0B742608" w:rsidR="00F82657" w:rsidRPr="000C254D" w:rsidRDefault="000968BE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34/</w:t>
      </w:r>
      <w:r w:rsidR="008B1113">
        <w:rPr>
          <w:rFonts w:ascii="Times New Roman" w:hAnsi="Times New Roman"/>
          <w:lang w:val="sk-SK"/>
        </w:rPr>
        <w:t>0224/19-S</w:t>
      </w:r>
    </w:p>
    <w:p w14:paraId="3847F880" w14:textId="77777777" w:rsidR="000968BE" w:rsidRPr="000C254D" w:rsidRDefault="000968BE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3C152463" w14:textId="77777777" w:rsidR="000968BE" w:rsidRPr="000C254D" w:rsidRDefault="000968BE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1221B44C" w14:textId="77777777" w:rsidR="002E18B3" w:rsidRPr="000C254D" w:rsidRDefault="000B2B40" w:rsidP="00FC42CA">
      <w:pPr>
        <w:pStyle w:val="Odsekzoznamu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DÁTUM PRVEJ REGISTRÁCIE/ PREDĹŽENIA REGISTRÁCIE</w:t>
      </w:r>
    </w:p>
    <w:p w14:paraId="320E8248" w14:textId="77777777" w:rsidR="009C3157" w:rsidRPr="000C254D" w:rsidRDefault="009C3157" w:rsidP="00FC42CA">
      <w:pPr>
        <w:pStyle w:val="Odsekzoznamu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71A8C03F" w14:textId="77777777"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Dátum prvej registrácie: </w:t>
      </w:r>
    </w:p>
    <w:p w14:paraId="71E424A6" w14:textId="77777777" w:rsidR="009C3157" w:rsidRPr="000C254D" w:rsidRDefault="009C3157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585EE692" w14:textId="77777777" w:rsidR="00435278" w:rsidRPr="000C254D" w:rsidRDefault="00435278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4BC04907" w14:textId="77777777" w:rsidR="00B816C6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10. </w:t>
      </w:r>
      <w:r w:rsidR="00150B75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DÁTUM REVÍZIE TEXTU</w:t>
      </w:r>
    </w:p>
    <w:p w14:paraId="2ABE7127" w14:textId="77777777" w:rsidR="00323A6A" w:rsidRPr="000C254D" w:rsidRDefault="00323A6A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14:paraId="6707B650" w14:textId="0F2A5D99" w:rsidR="002E18B3" w:rsidRPr="004C5B97" w:rsidRDefault="00273546" w:rsidP="00FC42CA">
      <w:pPr>
        <w:spacing w:after="0" w:line="240" w:lineRule="auto"/>
        <w:contextualSpacing/>
        <w:rPr>
          <w:rFonts w:ascii="Times New Roman" w:hAnsi="Times New Roman"/>
          <w:bCs/>
          <w:lang w:val="sk-SK"/>
        </w:rPr>
      </w:pPr>
      <w:r w:rsidRPr="004C5B97">
        <w:rPr>
          <w:rFonts w:ascii="Times New Roman" w:hAnsi="Times New Roman"/>
          <w:bCs/>
          <w:lang w:val="sk-SK"/>
        </w:rPr>
        <w:t>07/2019</w:t>
      </w:r>
    </w:p>
    <w:sectPr w:rsidR="002E18B3" w:rsidRPr="004C5B97" w:rsidSect="00FC42CA">
      <w:headerReference w:type="default" r:id="rId15"/>
      <w:footerReference w:type="default" r:id="rId16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8ADD6" w14:textId="77777777" w:rsidR="00595B69" w:rsidRDefault="00595B69" w:rsidP="005E3F72">
      <w:pPr>
        <w:spacing w:after="0" w:line="240" w:lineRule="auto"/>
      </w:pPr>
      <w:r>
        <w:separator/>
      </w:r>
    </w:p>
  </w:endnote>
  <w:endnote w:type="continuationSeparator" w:id="0">
    <w:p w14:paraId="1A4938A4" w14:textId="77777777" w:rsidR="00595B69" w:rsidRDefault="00595B69" w:rsidP="005E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C36A5" w14:textId="77777777" w:rsidR="00A500AB" w:rsidRPr="00D31DB6" w:rsidRDefault="00A500AB">
    <w:pPr>
      <w:pStyle w:val="Pta"/>
      <w:jc w:val="center"/>
      <w:rPr>
        <w:rFonts w:ascii="Times New Roman" w:hAnsi="Times New Roman"/>
        <w:sz w:val="18"/>
        <w:szCs w:val="18"/>
      </w:rPr>
    </w:pPr>
    <w:r w:rsidRPr="00D31DB6">
      <w:rPr>
        <w:rFonts w:ascii="Times New Roman" w:hAnsi="Times New Roman"/>
        <w:sz w:val="18"/>
        <w:szCs w:val="18"/>
      </w:rPr>
      <w:fldChar w:fldCharType="begin"/>
    </w:r>
    <w:r w:rsidRPr="00D31DB6">
      <w:rPr>
        <w:rFonts w:ascii="Times New Roman" w:hAnsi="Times New Roman"/>
        <w:sz w:val="18"/>
        <w:szCs w:val="18"/>
      </w:rPr>
      <w:instrText>PAGE   \* MERGEFORMAT</w:instrText>
    </w:r>
    <w:r w:rsidRPr="00D31DB6">
      <w:rPr>
        <w:rFonts w:ascii="Times New Roman" w:hAnsi="Times New Roman"/>
        <w:sz w:val="18"/>
        <w:szCs w:val="18"/>
      </w:rPr>
      <w:fldChar w:fldCharType="separate"/>
    </w:r>
    <w:r w:rsidR="006B2F8C" w:rsidRPr="006B2F8C">
      <w:rPr>
        <w:rFonts w:ascii="Times New Roman" w:hAnsi="Times New Roman"/>
        <w:noProof/>
        <w:sz w:val="18"/>
        <w:szCs w:val="18"/>
        <w:lang w:val="sk-SK"/>
      </w:rPr>
      <w:t>20</w:t>
    </w:r>
    <w:r w:rsidRPr="00D31DB6">
      <w:rPr>
        <w:rFonts w:ascii="Times New Roman" w:hAnsi="Times New Roman"/>
        <w:sz w:val="18"/>
        <w:szCs w:val="18"/>
      </w:rPr>
      <w:fldChar w:fldCharType="end"/>
    </w:r>
  </w:p>
  <w:p w14:paraId="09090D85" w14:textId="77777777" w:rsidR="00A500AB" w:rsidRDefault="00A500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B8A77" w14:textId="77777777" w:rsidR="00595B69" w:rsidRDefault="00595B69" w:rsidP="005E3F72">
      <w:pPr>
        <w:spacing w:after="0" w:line="240" w:lineRule="auto"/>
      </w:pPr>
      <w:r>
        <w:separator/>
      </w:r>
    </w:p>
  </w:footnote>
  <w:footnote w:type="continuationSeparator" w:id="0">
    <w:p w14:paraId="1618FC05" w14:textId="77777777" w:rsidR="00595B69" w:rsidRDefault="00595B69" w:rsidP="005E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AF23D" w14:textId="77777777" w:rsidR="00A500AB" w:rsidRPr="0023506C" w:rsidRDefault="00A500AB">
    <w:pPr>
      <w:pStyle w:val="Hlavika"/>
      <w:rPr>
        <w:rFonts w:ascii="Times New Roman" w:hAnsi="Times New Roman"/>
        <w:sz w:val="18"/>
        <w:szCs w:val="18"/>
        <w:lang w:val="sk-SK"/>
      </w:rPr>
    </w:pPr>
    <w:r w:rsidRPr="0023506C">
      <w:rPr>
        <w:rFonts w:ascii="Times New Roman" w:hAnsi="Times New Roman"/>
        <w:sz w:val="18"/>
        <w:szCs w:val="18"/>
        <w:lang w:val="sk-SK"/>
      </w:rPr>
      <w:t>Schválený text k rozhodnutiu o registrácii, ev.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23506C">
      <w:rPr>
        <w:rFonts w:ascii="Times New Roman" w:hAnsi="Times New Roman"/>
        <w:sz w:val="18"/>
        <w:szCs w:val="18"/>
        <w:lang w:val="sk-SK"/>
      </w:rPr>
      <w:t xml:space="preserve">č.: </w:t>
    </w:r>
    <w:r>
      <w:rPr>
        <w:rFonts w:ascii="Times New Roman" w:hAnsi="Times New Roman"/>
        <w:sz w:val="18"/>
        <w:szCs w:val="18"/>
        <w:lang w:val="sk-SK"/>
      </w:rPr>
      <w:t>2018/00009-REG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77F8"/>
    <w:multiLevelType w:val="hybridMultilevel"/>
    <w:tmpl w:val="8E9C84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74B51"/>
    <w:multiLevelType w:val="hybridMultilevel"/>
    <w:tmpl w:val="C50E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5CF8"/>
    <w:multiLevelType w:val="multilevel"/>
    <w:tmpl w:val="9C469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63B57E2"/>
    <w:multiLevelType w:val="hybridMultilevel"/>
    <w:tmpl w:val="8FAE853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8764562"/>
    <w:multiLevelType w:val="hybridMultilevel"/>
    <w:tmpl w:val="5B764396"/>
    <w:lvl w:ilvl="0" w:tplc="F9EEAB6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BD0CDD"/>
    <w:multiLevelType w:val="hybridMultilevel"/>
    <w:tmpl w:val="53AE8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B58F2"/>
    <w:multiLevelType w:val="hybridMultilevel"/>
    <w:tmpl w:val="3DD20752"/>
    <w:lvl w:ilvl="0" w:tplc="348893DC">
      <w:numFmt w:val="bullet"/>
      <w:lvlText w:val="•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510C15"/>
    <w:multiLevelType w:val="hybridMultilevel"/>
    <w:tmpl w:val="86864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A4A6B"/>
    <w:multiLevelType w:val="multilevel"/>
    <w:tmpl w:val="814A53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</w:rPr>
    </w:lvl>
  </w:abstractNum>
  <w:abstractNum w:abstractNumId="10" w15:restartNumberingAfterBreak="0">
    <w:nsid w:val="55C11243"/>
    <w:multiLevelType w:val="multilevel"/>
    <w:tmpl w:val="9A4CFC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1" w15:restartNumberingAfterBreak="0">
    <w:nsid w:val="571C1E59"/>
    <w:multiLevelType w:val="hybridMultilevel"/>
    <w:tmpl w:val="7EE0D1A2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D16AF5"/>
    <w:multiLevelType w:val="hybridMultilevel"/>
    <w:tmpl w:val="0DF27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77A7"/>
    <w:multiLevelType w:val="hybridMultilevel"/>
    <w:tmpl w:val="CA5CAD20"/>
    <w:lvl w:ilvl="0" w:tplc="348893DC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48639AE"/>
    <w:multiLevelType w:val="hybridMultilevel"/>
    <w:tmpl w:val="77846E22"/>
    <w:lvl w:ilvl="0" w:tplc="800EF8C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5C49"/>
    <w:multiLevelType w:val="multilevel"/>
    <w:tmpl w:val="596033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8"/>
  </w:num>
  <w:num w:numId="11">
    <w:abstractNumId w:val="14"/>
  </w:num>
  <w:num w:numId="12">
    <w:abstractNumId w:val="5"/>
  </w:num>
  <w:num w:numId="13">
    <w:abstractNumId w:val="13"/>
  </w:num>
  <w:num w:numId="14">
    <w:abstractNumId w:val="7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B40"/>
    <w:rsid w:val="00011A32"/>
    <w:rsid w:val="000212FD"/>
    <w:rsid w:val="00026453"/>
    <w:rsid w:val="00031CF2"/>
    <w:rsid w:val="0004599A"/>
    <w:rsid w:val="00070734"/>
    <w:rsid w:val="000915FD"/>
    <w:rsid w:val="000968BE"/>
    <w:rsid w:val="000B2B40"/>
    <w:rsid w:val="000C254D"/>
    <w:rsid w:val="000C712A"/>
    <w:rsid w:val="000D0BE0"/>
    <w:rsid w:val="000D1816"/>
    <w:rsid w:val="000F6997"/>
    <w:rsid w:val="00102B2F"/>
    <w:rsid w:val="0012057A"/>
    <w:rsid w:val="00127A27"/>
    <w:rsid w:val="00130C69"/>
    <w:rsid w:val="001422C1"/>
    <w:rsid w:val="00150B75"/>
    <w:rsid w:val="00165738"/>
    <w:rsid w:val="00176FA9"/>
    <w:rsid w:val="00180190"/>
    <w:rsid w:val="001A529C"/>
    <w:rsid w:val="001B0C4A"/>
    <w:rsid w:val="001C3EC0"/>
    <w:rsid w:val="001C7883"/>
    <w:rsid w:val="001D76D2"/>
    <w:rsid w:val="001F730E"/>
    <w:rsid w:val="00201AB2"/>
    <w:rsid w:val="002169C2"/>
    <w:rsid w:val="00222F40"/>
    <w:rsid w:val="002344BA"/>
    <w:rsid w:val="0023506C"/>
    <w:rsid w:val="00236E77"/>
    <w:rsid w:val="00272E12"/>
    <w:rsid w:val="002734E4"/>
    <w:rsid w:val="00273546"/>
    <w:rsid w:val="00286944"/>
    <w:rsid w:val="002C36F1"/>
    <w:rsid w:val="002C7D8E"/>
    <w:rsid w:val="002D0EC9"/>
    <w:rsid w:val="002D520B"/>
    <w:rsid w:val="002E18B3"/>
    <w:rsid w:val="002E5A4F"/>
    <w:rsid w:val="00302A1C"/>
    <w:rsid w:val="0030694A"/>
    <w:rsid w:val="00323A6A"/>
    <w:rsid w:val="003353CF"/>
    <w:rsid w:val="00340F47"/>
    <w:rsid w:val="00354BA1"/>
    <w:rsid w:val="00362833"/>
    <w:rsid w:val="00365651"/>
    <w:rsid w:val="00372E8E"/>
    <w:rsid w:val="003835B6"/>
    <w:rsid w:val="0039119A"/>
    <w:rsid w:val="00391229"/>
    <w:rsid w:val="00393728"/>
    <w:rsid w:val="003A4FD4"/>
    <w:rsid w:val="003D0D66"/>
    <w:rsid w:val="003E46F4"/>
    <w:rsid w:val="00414F96"/>
    <w:rsid w:val="00421CFF"/>
    <w:rsid w:val="00435278"/>
    <w:rsid w:val="00446DE6"/>
    <w:rsid w:val="00462A01"/>
    <w:rsid w:val="00464383"/>
    <w:rsid w:val="004707F4"/>
    <w:rsid w:val="00472DF5"/>
    <w:rsid w:val="00474B04"/>
    <w:rsid w:val="004C5B97"/>
    <w:rsid w:val="004D2674"/>
    <w:rsid w:val="00530F89"/>
    <w:rsid w:val="00544E18"/>
    <w:rsid w:val="00545911"/>
    <w:rsid w:val="00547910"/>
    <w:rsid w:val="00565ACB"/>
    <w:rsid w:val="00595B69"/>
    <w:rsid w:val="005C5D97"/>
    <w:rsid w:val="005C65DE"/>
    <w:rsid w:val="005E3F72"/>
    <w:rsid w:val="005F03C7"/>
    <w:rsid w:val="005F72F6"/>
    <w:rsid w:val="006169CF"/>
    <w:rsid w:val="006346A7"/>
    <w:rsid w:val="006569FA"/>
    <w:rsid w:val="00672279"/>
    <w:rsid w:val="006B2F8C"/>
    <w:rsid w:val="006D6FCB"/>
    <w:rsid w:val="006E054E"/>
    <w:rsid w:val="00713E79"/>
    <w:rsid w:val="00740B39"/>
    <w:rsid w:val="007419CC"/>
    <w:rsid w:val="00746CE1"/>
    <w:rsid w:val="0075586F"/>
    <w:rsid w:val="00764C97"/>
    <w:rsid w:val="0077236E"/>
    <w:rsid w:val="00782944"/>
    <w:rsid w:val="00785764"/>
    <w:rsid w:val="00792E1B"/>
    <w:rsid w:val="007961D7"/>
    <w:rsid w:val="007B2DA8"/>
    <w:rsid w:val="007C41B8"/>
    <w:rsid w:val="007F2230"/>
    <w:rsid w:val="00804EE6"/>
    <w:rsid w:val="00823DE2"/>
    <w:rsid w:val="00840B6A"/>
    <w:rsid w:val="00842302"/>
    <w:rsid w:val="00850802"/>
    <w:rsid w:val="00852814"/>
    <w:rsid w:val="008556A6"/>
    <w:rsid w:val="00873BCB"/>
    <w:rsid w:val="00876B2B"/>
    <w:rsid w:val="008B1113"/>
    <w:rsid w:val="008B51DA"/>
    <w:rsid w:val="008C100D"/>
    <w:rsid w:val="008D5A94"/>
    <w:rsid w:val="008D7807"/>
    <w:rsid w:val="008E2415"/>
    <w:rsid w:val="00902799"/>
    <w:rsid w:val="009303E5"/>
    <w:rsid w:val="00937035"/>
    <w:rsid w:val="00942244"/>
    <w:rsid w:val="009475F8"/>
    <w:rsid w:val="00955B2B"/>
    <w:rsid w:val="00966797"/>
    <w:rsid w:val="00967E50"/>
    <w:rsid w:val="009755C6"/>
    <w:rsid w:val="009901CA"/>
    <w:rsid w:val="009A4463"/>
    <w:rsid w:val="009C3157"/>
    <w:rsid w:val="009E57CE"/>
    <w:rsid w:val="009F4656"/>
    <w:rsid w:val="009F720F"/>
    <w:rsid w:val="00A33A42"/>
    <w:rsid w:val="00A500AB"/>
    <w:rsid w:val="00A823C4"/>
    <w:rsid w:val="00AB4521"/>
    <w:rsid w:val="00AB6E71"/>
    <w:rsid w:val="00AB7935"/>
    <w:rsid w:val="00AC03A0"/>
    <w:rsid w:val="00B033D4"/>
    <w:rsid w:val="00B10CB1"/>
    <w:rsid w:val="00B2428B"/>
    <w:rsid w:val="00B33E40"/>
    <w:rsid w:val="00B43D4B"/>
    <w:rsid w:val="00B54C35"/>
    <w:rsid w:val="00B667F3"/>
    <w:rsid w:val="00B7106C"/>
    <w:rsid w:val="00B816C6"/>
    <w:rsid w:val="00B9091F"/>
    <w:rsid w:val="00B919F8"/>
    <w:rsid w:val="00B93804"/>
    <w:rsid w:val="00B96283"/>
    <w:rsid w:val="00BA06E2"/>
    <w:rsid w:val="00BA2363"/>
    <w:rsid w:val="00BD1974"/>
    <w:rsid w:val="00BD40B4"/>
    <w:rsid w:val="00C0234F"/>
    <w:rsid w:val="00C33584"/>
    <w:rsid w:val="00C4131C"/>
    <w:rsid w:val="00C464FE"/>
    <w:rsid w:val="00C52C34"/>
    <w:rsid w:val="00C633EA"/>
    <w:rsid w:val="00C81469"/>
    <w:rsid w:val="00C93CA9"/>
    <w:rsid w:val="00CB0CBF"/>
    <w:rsid w:val="00CB0ECB"/>
    <w:rsid w:val="00CC21C5"/>
    <w:rsid w:val="00CC6CF9"/>
    <w:rsid w:val="00CD21E3"/>
    <w:rsid w:val="00CD6CB6"/>
    <w:rsid w:val="00CE2217"/>
    <w:rsid w:val="00CE2947"/>
    <w:rsid w:val="00CE3647"/>
    <w:rsid w:val="00CF5287"/>
    <w:rsid w:val="00CF73D8"/>
    <w:rsid w:val="00D02B2C"/>
    <w:rsid w:val="00D06B77"/>
    <w:rsid w:val="00D170D4"/>
    <w:rsid w:val="00D2677B"/>
    <w:rsid w:val="00D31DB6"/>
    <w:rsid w:val="00D32A3C"/>
    <w:rsid w:val="00D41CE7"/>
    <w:rsid w:val="00D645F1"/>
    <w:rsid w:val="00D9170B"/>
    <w:rsid w:val="00E22CE9"/>
    <w:rsid w:val="00E35068"/>
    <w:rsid w:val="00E8520A"/>
    <w:rsid w:val="00E86410"/>
    <w:rsid w:val="00E9564B"/>
    <w:rsid w:val="00EB319B"/>
    <w:rsid w:val="00EC2A7E"/>
    <w:rsid w:val="00EC4CCF"/>
    <w:rsid w:val="00ED0D19"/>
    <w:rsid w:val="00F06A63"/>
    <w:rsid w:val="00F21CBB"/>
    <w:rsid w:val="00F431A6"/>
    <w:rsid w:val="00F54043"/>
    <w:rsid w:val="00F71359"/>
    <w:rsid w:val="00F77366"/>
    <w:rsid w:val="00F82657"/>
    <w:rsid w:val="00F845D1"/>
    <w:rsid w:val="00F84E90"/>
    <w:rsid w:val="00F85F2B"/>
    <w:rsid w:val="00F93C88"/>
    <w:rsid w:val="00F976C4"/>
    <w:rsid w:val="00FC42CA"/>
    <w:rsid w:val="00FC5DBD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8C63C64"/>
  <w15:docId w15:val="{2EA9C840-4E85-42F3-9A49-726847D4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3DE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2DF5"/>
    <w:pPr>
      <w:ind w:left="720"/>
      <w:contextualSpacing/>
    </w:pPr>
  </w:style>
  <w:style w:type="character" w:styleId="Hypertextovprepojenie">
    <w:name w:val="Hyperlink"/>
    <w:unhideWhenUsed/>
    <w:rsid w:val="004707F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4CC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F72"/>
  </w:style>
  <w:style w:type="paragraph" w:styleId="Pta">
    <w:name w:val="footer"/>
    <w:basedOn w:val="Normlny"/>
    <w:link w:val="Pt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F72"/>
  </w:style>
  <w:style w:type="character" w:styleId="Odkaznakomentr">
    <w:name w:val="annotation reference"/>
    <w:uiPriority w:val="99"/>
    <w:semiHidden/>
    <w:unhideWhenUsed/>
    <w:rsid w:val="003D0D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0D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D0D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0D6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D0D6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CC6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287724709msonormal">
    <w:name w:val="yiv9287724709msonormal"/>
    <w:basedOn w:val="Normlny"/>
    <w:rsid w:val="00F82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D32A3C"/>
    <w:rPr>
      <w:sz w:val="22"/>
      <w:szCs w:val="22"/>
      <w:lang w:val="en-US" w:eastAsia="en-US"/>
    </w:rPr>
  </w:style>
  <w:style w:type="character" w:customStyle="1" w:styleId="TextChar1">
    <w:name w:val="Text Char1"/>
    <w:link w:val="Text"/>
    <w:locked/>
    <w:rsid w:val="0039372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393728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  <w:style w:type="paragraph" w:customStyle="1" w:styleId="TableText">
    <w:name w:val="Table Text"/>
    <w:basedOn w:val="Normlny"/>
    <w:uiPriority w:val="99"/>
    <w:rsid w:val="000C254D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EC3ED-9BD6-4340-B7A4-9FF64215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7281</Words>
  <Characters>41502</Characters>
  <Application>Microsoft Office Word</Application>
  <DocSecurity>0</DocSecurity>
  <Lines>345</Lines>
  <Paragraphs>97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48686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Kristína Ráczová</cp:lastModifiedBy>
  <cp:revision>5</cp:revision>
  <cp:lastPrinted>2015-09-09T10:00:00Z</cp:lastPrinted>
  <dcterms:created xsi:type="dcterms:W3CDTF">2019-07-09T14:03:00Z</dcterms:created>
  <dcterms:modified xsi:type="dcterms:W3CDTF">2019-07-10T08:56:00Z</dcterms:modified>
</cp:coreProperties>
</file>