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340F7" w14:textId="77777777" w:rsidR="00625CF2" w:rsidRPr="009A517F" w:rsidRDefault="00625CF2" w:rsidP="00625CF2">
      <w:pPr>
        <w:pStyle w:val="Nadpis4"/>
        <w:rPr>
          <w:sz w:val="22"/>
          <w:lang w:val="sk-SK"/>
        </w:rPr>
      </w:pPr>
      <w:bookmarkStart w:id="0" w:name="_GoBack"/>
      <w:bookmarkEnd w:id="0"/>
      <w:r w:rsidRPr="009A517F">
        <w:rPr>
          <w:sz w:val="22"/>
          <w:lang w:val="sk-SK"/>
        </w:rPr>
        <w:t>Súhrn charakteristických vlastností lieku</w:t>
      </w:r>
    </w:p>
    <w:p w14:paraId="69603E3C" w14:textId="77777777" w:rsidR="00625CF2" w:rsidRPr="009A517F" w:rsidRDefault="00625CF2" w:rsidP="00625CF2">
      <w:pPr>
        <w:rPr>
          <w:sz w:val="22"/>
          <w:szCs w:val="22"/>
        </w:rPr>
      </w:pPr>
    </w:p>
    <w:p w14:paraId="2C408367" w14:textId="77777777" w:rsidR="00625CF2" w:rsidRPr="009A517F" w:rsidRDefault="00625CF2" w:rsidP="00625CF2">
      <w:pPr>
        <w:rPr>
          <w:sz w:val="22"/>
          <w:szCs w:val="22"/>
        </w:rPr>
      </w:pPr>
    </w:p>
    <w:p w14:paraId="41FDC6B5" w14:textId="77777777" w:rsidR="00625CF2" w:rsidRPr="009A517F" w:rsidRDefault="00625CF2" w:rsidP="00625CF2">
      <w:pPr>
        <w:widowControl w:val="0"/>
        <w:rPr>
          <w:sz w:val="22"/>
          <w:szCs w:val="22"/>
        </w:rPr>
      </w:pPr>
      <w:r w:rsidRPr="009A517F">
        <w:rPr>
          <w:b/>
          <w:iCs/>
          <w:sz w:val="22"/>
          <w:szCs w:val="22"/>
        </w:rPr>
        <w:t>1.</w:t>
      </w:r>
      <w:r w:rsidRPr="009A517F">
        <w:rPr>
          <w:bCs/>
          <w:iCs/>
          <w:sz w:val="22"/>
          <w:szCs w:val="22"/>
        </w:rPr>
        <w:tab/>
      </w:r>
      <w:r w:rsidRPr="009A517F">
        <w:rPr>
          <w:b/>
          <w:sz w:val="22"/>
          <w:szCs w:val="22"/>
        </w:rPr>
        <w:t>NÁZOV LIEKU</w:t>
      </w:r>
    </w:p>
    <w:p w14:paraId="3FBCE1C0" w14:textId="77777777" w:rsidR="00625CF2" w:rsidRPr="009A517F" w:rsidRDefault="00625CF2" w:rsidP="00625CF2">
      <w:pPr>
        <w:pStyle w:val="Hlavika"/>
        <w:tabs>
          <w:tab w:val="clear" w:pos="4153"/>
          <w:tab w:val="clear" w:pos="8306"/>
        </w:tabs>
        <w:rPr>
          <w:iCs/>
          <w:sz w:val="22"/>
          <w:szCs w:val="22"/>
          <w:lang w:val="sk-SK"/>
        </w:rPr>
      </w:pPr>
    </w:p>
    <w:p w14:paraId="26464150" w14:textId="77777777" w:rsidR="00A31C5F" w:rsidRDefault="000D3453" w:rsidP="00625CF2">
      <w:pPr>
        <w:rPr>
          <w:iCs/>
          <w:sz w:val="22"/>
          <w:szCs w:val="22"/>
        </w:rPr>
      </w:pPr>
      <w:r w:rsidRPr="009A517F">
        <w:rPr>
          <w:iCs/>
          <w:sz w:val="22"/>
          <w:szCs w:val="22"/>
        </w:rPr>
        <w:t>Midazolam Baxter</w:t>
      </w:r>
      <w:r w:rsidR="0042168E" w:rsidRPr="009A517F">
        <w:rPr>
          <w:iCs/>
          <w:sz w:val="22"/>
          <w:szCs w:val="22"/>
        </w:rPr>
        <w:t xml:space="preserve"> </w:t>
      </w:r>
      <w:r w:rsidR="00665602">
        <w:rPr>
          <w:iCs/>
          <w:sz w:val="22"/>
          <w:szCs w:val="22"/>
        </w:rPr>
        <w:t>5</w:t>
      </w:r>
      <w:r w:rsidR="00665602" w:rsidRPr="009A517F">
        <w:rPr>
          <w:iCs/>
          <w:sz w:val="22"/>
          <w:szCs w:val="22"/>
        </w:rPr>
        <w:t xml:space="preserve"> mg/ml</w:t>
      </w:r>
    </w:p>
    <w:p w14:paraId="2AD411C1" w14:textId="47872293" w:rsidR="00625CF2" w:rsidRPr="009A517F" w:rsidRDefault="0042168E" w:rsidP="00625CF2">
      <w:pPr>
        <w:rPr>
          <w:iCs/>
          <w:sz w:val="22"/>
          <w:szCs w:val="22"/>
        </w:rPr>
      </w:pPr>
      <w:r w:rsidRPr="009A517F">
        <w:rPr>
          <w:iCs/>
          <w:sz w:val="22"/>
          <w:szCs w:val="22"/>
        </w:rPr>
        <w:t>injekčný</w:t>
      </w:r>
      <w:r w:rsidR="003D6353" w:rsidRPr="009A517F">
        <w:rPr>
          <w:iCs/>
          <w:sz w:val="22"/>
          <w:szCs w:val="22"/>
        </w:rPr>
        <w:t>/infúzny</w:t>
      </w:r>
      <w:r w:rsidRPr="009A517F">
        <w:rPr>
          <w:iCs/>
          <w:sz w:val="22"/>
          <w:szCs w:val="22"/>
        </w:rPr>
        <w:t xml:space="preserve"> roztok</w:t>
      </w:r>
    </w:p>
    <w:p w14:paraId="797FA594" w14:textId="77777777" w:rsidR="0042168E" w:rsidRPr="009A517F" w:rsidRDefault="0042168E" w:rsidP="00625CF2">
      <w:pPr>
        <w:rPr>
          <w:iCs/>
          <w:sz w:val="22"/>
          <w:szCs w:val="22"/>
        </w:rPr>
      </w:pPr>
    </w:p>
    <w:p w14:paraId="24B9EB03" w14:textId="77777777" w:rsidR="00625CF2" w:rsidRPr="009A517F" w:rsidRDefault="00625CF2" w:rsidP="00625CF2">
      <w:pPr>
        <w:widowControl w:val="0"/>
        <w:rPr>
          <w:sz w:val="22"/>
          <w:szCs w:val="22"/>
        </w:rPr>
      </w:pPr>
    </w:p>
    <w:p w14:paraId="0B79A587" w14:textId="77777777" w:rsidR="00625CF2" w:rsidRPr="009A517F" w:rsidRDefault="00625CF2" w:rsidP="00625CF2">
      <w:pPr>
        <w:widowControl w:val="0"/>
        <w:rPr>
          <w:sz w:val="22"/>
          <w:szCs w:val="22"/>
        </w:rPr>
      </w:pPr>
      <w:r w:rsidRPr="009A517F">
        <w:rPr>
          <w:b/>
          <w:sz w:val="22"/>
          <w:szCs w:val="22"/>
        </w:rPr>
        <w:t>2.</w:t>
      </w:r>
      <w:r w:rsidRPr="009A517F">
        <w:rPr>
          <w:b/>
          <w:sz w:val="22"/>
          <w:szCs w:val="22"/>
        </w:rPr>
        <w:tab/>
        <w:t>KVALITATÍVNE A KVANTITATÍVNE ZLOŽENIE</w:t>
      </w:r>
    </w:p>
    <w:p w14:paraId="54CFD630" w14:textId="77777777" w:rsidR="00625CF2" w:rsidRPr="009A517F" w:rsidRDefault="00625CF2" w:rsidP="00625CF2">
      <w:pPr>
        <w:pStyle w:val="Normlnywebov"/>
        <w:spacing w:before="0" w:beforeAutospacing="0" w:after="0" w:afterAutospacing="0"/>
        <w:rPr>
          <w:sz w:val="22"/>
          <w:szCs w:val="22"/>
          <w:lang w:val="sk-SK"/>
        </w:rPr>
      </w:pPr>
    </w:p>
    <w:p w14:paraId="16ED18C9" w14:textId="2EB59182" w:rsidR="00625CF2" w:rsidRPr="009A517F" w:rsidRDefault="00BD4CDC" w:rsidP="00625CF2">
      <w:pPr>
        <w:rPr>
          <w:sz w:val="22"/>
          <w:szCs w:val="22"/>
        </w:rPr>
      </w:pPr>
      <w:r w:rsidRPr="009A517F">
        <w:rPr>
          <w:sz w:val="22"/>
          <w:szCs w:val="22"/>
        </w:rPr>
        <w:t xml:space="preserve">Jeden ml obsahuje </w:t>
      </w:r>
      <w:r w:rsidR="00E1235F">
        <w:rPr>
          <w:sz w:val="22"/>
          <w:szCs w:val="22"/>
        </w:rPr>
        <w:t>5</w:t>
      </w:r>
      <w:r w:rsidR="00E1235F" w:rsidRPr="009A517F">
        <w:rPr>
          <w:sz w:val="22"/>
          <w:szCs w:val="22"/>
        </w:rPr>
        <w:t xml:space="preserve"> </w:t>
      </w:r>
      <w:r w:rsidRPr="009A517F">
        <w:rPr>
          <w:sz w:val="22"/>
          <w:szCs w:val="22"/>
        </w:rPr>
        <w:t xml:space="preserve">mg midazolamu (vo forme </w:t>
      </w:r>
      <w:r w:rsidR="003B67AE" w:rsidRPr="009A517F">
        <w:rPr>
          <w:sz w:val="22"/>
          <w:szCs w:val="22"/>
        </w:rPr>
        <w:t>chloridu).</w:t>
      </w:r>
    </w:p>
    <w:p w14:paraId="050BB047" w14:textId="4AFC367F" w:rsidR="003B67AE" w:rsidRPr="009A517F" w:rsidRDefault="003B67AE" w:rsidP="00625CF2">
      <w:pPr>
        <w:rPr>
          <w:sz w:val="22"/>
          <w:szCs w:val="22"/>
        </w:rPr>
      </w:pPr>
      <w:r w:rsidRPr="009A517F">
        <w:rPr>
          <w:sz w:val="22"/>
          <w:szCs w:val="22"/>
        </w:rPr>
        <w:t xml:space="preserve">Jedna </w:t>
      </w:r>
      <w:r w:rsidR="00665602">
        <w:rPr>
          <w:sz w:val="22"/>
          <w:szCs w:val="22"/>
        </w:rPr>
        <w:t>1</w:t>
      </w:r>
      <w:r w:rsidRPr="009A517F">
        <w:rPr>
          <w:sz w:val="22"/>
          <w:szCs w:val="22"/>
        </w:rPr>
        <w:t xml:space="preserve"> ml ampulka obsahuje 5 mg midazolamu (vo forme chloridu).</w:t>
      </w:r>
    </w:p>
    <w:p w14:paraId="6BC6ACD3" w14:textId="0831E5F4" w:rsidR="00665602" w:rsidRPr="009A517F" w:rsidRDefault="00665602" w:rsidP="00665602">
      <w:pPr>
        <w:rPr>
          <w:sz w:val="22"/>
          <w:szCs w:val="22"/>
        </w:rPr>
      </w:pPr>
      <w:r w:rsidRPr="009A517F">
        <w:rPr>
          <w:sz w:val="22"/>
          <w:szCs w:val="22"/>
        </w:rPr>
        <w:t xml:space="preserve">Jedna </w:t>
      </w:r>
      <w:r>
        <w:rPr>
          <w:sz w:val="22"/>
          <w:szCs w:val="22"/>
        </w:rPr>
        <w:t>3</w:t>
      </w:r>
      <w:r w:rsidRPr="009A517F">
        <w:rPr>
          <w:sz w:val="22"/>
          <w:szCs w:val="22"/>
        </w:rPr>
        <w:t xml:space="preserve"> ml ampulka obsahuje </w:t>
      </w:r>
      <w:r>
        <w:rPr>
          <w:sz w:val="22"/>
          <w:szCs w:val="22"/>
        </w:rPr>
        <w:t>1</w:t>
      </w:r>
      <w:r w:rsidRPr="009A517F">
        <w:rPr>
          <w:sz w:val="22"/>
          <w:szCs w:val="22"/>
        </w:rPr>
        <w:t>5 mg midazolamu (vo forme chloridu).</w:t>
      </w:r>
    </w:p>
    <w:p w14:paraId="7D4F83E0" w14:textId="55B08D13" w:rsidR="00665602" w:rsidRPr="009A517F" w:rsidRDefault="00665602" w:rsidP="00665602">
      <w:pPr>
        <w:rPr>
          <w:sz w:val="22"/>
          <w:szCs w:val="22"/>
        </w:rPr>
      </w:pPr>
      <w:r w:rsidRPr="009A517F">
        <w:rPr>
          <w:sz w:val="22"/>
          <w:szCs w:val="22"/>
        </w:rPr>
        <w:t xml:space="preserve">Jedna </w:t>
      </w:r>
      <w:r>
        <w:rPr>
          <w:sz w:val="22"/>
          <w:szCs w:val="22"/>
        </w:rPr>
        <w:t>10</w:t>
      </w:r>
      <w:r w:rsidRPr="009A517F">
        <w:rPr>
          <w:sz w:val="22"/>
          <w:szCs w:val="22"/>
        </w:rPr>
        <w:t xml:space="preserve"> ml ampulka obsahuje 5</w:t>
      </w:r>
      <w:r>
        <w:rPr>
          <w:sz w:val="22"/>
          <w:szCs w:val="22"/>
        </w:rPr>
        <w:t>0</w:t>
      </w:r>
      <w:r w:rsidRPr="009A517F">
        <w:rPr>
          <w:sz w:val="22"/>
          <w:szCs w:val="22"/>
        </w:rPr>
        <w:t xml:space="preserve"> mg midazolamu (vo forme chloridu).</w:t>
      </w:r>
    </w:p>
    <w:p w14:paraId="6E831817" w14:textId="77777777" w:rsidR="00665602" w:rsidRPr="009A517F" w:rsidRDefault="00665602" w:rsidP="00665602">
      <w:pPr>
        <w:rPr>
          <w:sz w:val="22"/>
          <w:szCs w:val="22"/>
        </w:rPr>
      </w:pPr>
    </w:p>
    <w:p w14:paraId="3880D77E" w14:textId="52E3A129" w:rsidR="003B67AE" w:rsidRPr="009A517F" w:rsidRDefault="003B67AE" w:rsidP="003B67AE">
      <w:pPr>
        <w:adjustRightInd w:val="0"/>
        <w:rPr>
          <w:sz w:val="22"/>
          <w:szCs w:val="22"/>
        </w:rPr>
      </w:pPr>
      <w:r w:rsidRPr="009A517F">
        <w:rPr>
          <w:sz w:val="22"/>
          <w:szCs w:val="22"/>
        </w:rPr>
        <w:t>Tento liek obsahuje sodík. Obsah sodíka je menej ako 1 mmol (23 mg) v ampulke, t. j. v podstate zanedbateľné množstvo sodíka.</w:t>
      </w:r>
    </w:p>
    <w:p w14:paraId="01AA8986" w14:textId="066A952D" w:rsidR="003B67AE" w:rsidRPr="009A517F" w:rsidRDefault="003B67AE" w:rsidP="003B67AE">
      <w:pPr>
        <w:adjustRightInd w:val="0"/>
        <w:rPr>
          <w:sz w:val="22"/>
          <w:szCs w:val="22"/>
        </w:rPr>
      </w:pPr>
    </w:p>
    <w:p w14:paraId="41E99B5E" w14:textId="43EB8D3F" w:rsidR="003B67AE" w:rsidRPr="009A517F" w:rsidRDefault="003B67AE" w:rsidP="003B67AE">
      <w:pPr>
        <w:adjustRightInd w:val="0"/>
        <w:rPr>
          <w:sz w:val="22"/>
          <w:szCs w:val="22"/>
        </w:rPr>
      </w:pPr>
      <w:r w:rsidRPr="009A517F">
        <w:rPr>
          <w:sz w:val="22"/>
          <w:szCs w:val="22"/>
        </w:rPr>
        <w:t>Úplný zoznam pomocných látok, pozri časť 6.1.</w:t>
      </w:r>
    </w:p>
    <w:p w14:paraId="131B84A7" w14:textId="77777777" w:rsidR="00BD4CDC" w:rsidRPr="009A517F" w:rsidRDefault="00BD4CDC" w:rsidP="00625CF2">
      <w:pPr>
        <w:rPr>
          <w:sz w:val="22"/>
          <w:szCs w:val="22"/>
        </w:rPr>
      </w:pPr>
    </w:p>
    <w:p w14:paraId="20DCA027" w14:textId="77777777" w:rsidR="00625CF2" w:rsidRPr="009A517F" w:rsidRDefault="00625CF2" w:rsidP="00625CF2">
      <w:pPr>
        <w:rPr>
          <w:sz w:val="22"/>
          <w:szCs w:val="22"/>
        </w:rPr>
      </w:pPr>
    </w:p>
    <w:p w14:paraId="4AF8B66F" w14:textId="77777777" w:rsidR="00625CF2" w:rsidRPr="009A517F" w:rsidRDefault="00625CF2" w:rsidP="00625CF2">
      <w:pPr>
        <w:ind w:left="567" w:hanging="567"/>
        <w:rPr>
          <w:b/>
          <w:caps/>
          <w:sz w:val="22"/>
          <w:szCs w:val="22"/>
        </w:rPr>
      </w:pPr>
      <w:r w:rsidRPr="009A517F">
        <w:rPr>
          <w:b/>
          <w:sz w:val="22"/>
          <w:szCs w:val="22"/>
        </w:rPr>
        <w:t>3.</w:t>
      </w:r>
      <w:r w:rsidRPr="009A517F">
        <w:rPr>
          <w:b/>
          <w:sz w:val="22"/>
          <w:szCs w:val="22"/>
        </w:rPr>
        <w:tab/>
        <w:t>LIEKOVÁ FORMA</w:t>
      </w:r>
    </w:p>
    <w:p w14:paraId="427B97FE" w14:textId="77777777" w:rsidR="00625CF2" w:rsidRPr="009A517F" w:rsidRDefault="00625CF2" w:rsidP="00625CF2">
      <w:pPr>
        <w:pStyle w:val="Normlnywebov"/>
        <w:spacing w:before="0" w:beforeAutospacing="0" w:after="0" w:afterAutospacing="0"/>
        <w:rPr>
          <w:sz w:val="22"/>
          <w:szCs w:val="22"/>
          <w:lang w:val="sk-SK"/>
        </w:rPr>
      </w:pPr>
    </w:p>
    <w:p w14:paraId="2C4BAB4A" w14:textId="31560759" w:rsidR="00625CF2" w:rsidRPr="009A517F" w:rsidRDefault="003D6353" w:rsidP="00625CF2">
      <w:pPr>
        <w:rPr>
          <w:iCs/>
          <w:sz w:val="22"/>
          <w:szCs w:val="22"/>
        </w:rPr>
      </w:pPr>
      <w:r w:rsidRPr="009A517F">
        <w:rPr>
          <w:iCs/>
          <w:sz w:val="22"/>
          <w:szCs w:val="22"/>
        </w:rPr>
        <w:t>Injekčný/infúzny roztok.</w:t>
      </w:r>
    </w:p>
    <w:p w14:paraId="4C64A73D" w14:textId="4C70BB0E" w:rsidR="003D6353" w:rsidRPr="009A517F" w:rsidRDefault="003D6353" w:rsidP="00625CF2">
      <w:pPr>
        <w:rPr>
          <w:sz w:val="22"/>
          <w:szCs w:val="22"/>
        </w:rPr>
      </w:pPr>
    </w:p>
    <w:p w14:paraId="1BC4F782" w14:textId="4EC4E92E" w:rsidR="003D6353" w:rsidRPr="009A517F" w:rsidRDefault="003D6353" w:rsidP="00625CF2">
      <w:pPr>
        <w:rPr>
          <w:sz w:val="22"/>
          <w:szCs w:val="22"/>
        </w:rPr>
      </w:pPr>
      <w:r w:rsidRPr="009A517F">
        <w:rPr>
          <w:sz w:val="22"/>
          <w:szCs w:val="22"/>
        </w:rPr>
        <w:t>Číry, bezfarebný až slabožltý roztok, v podstate bez prítomnosti viditeľných častíc.</w:t>
      </w:r>
    </w:p>
    <w:p w14:paraId="73325D8E" w14:textId="6851E371" w:rsidR="003D6353" w:rsidRPr="009A517F" w:rsidRDefault="003D6353" w:rsidP="00625CF2">
      <w:pPr>
        <w:rPr>
          <w:sz w:val="22"/>
          <w:szCs w:val="22"/>
        </w:rPr>
      </w:pPr>
      <w:r w:rsidRPr="009A517F">
        <w:rPr>
          <w:sz w:val="22"/>
          <w:szCs w:val="22"/>
        </w:rPr>
        <w:t>pH roztoku je medzi 2,90 a 3,70 a</w:t>
      </w:r>
      <w:r w:rsidR="00A574D4" w:rsidRPr="009A517F">
        <w:rPr>
          <w:sz w:val="22"/>
          <w:szCs w:val="22"/>
        </w:rPr>
        <w:t xml:space="preserve"> osmolalita roztoku má byť </w:t>
      </w:r>
      <w:r w:rsidR="00665602">
        <w:rPr>
          <w:sz w:val="22"/>
          <w:szCs w:val="22"/>
        </w:rPr>
        <w:t>180</w:t>
      </w:r>
      <w:r w:rsidR="00A574D4" w:rsidRPr="009A517F">
        <w:rPr>
          <w:sz w:val="22"/>
          <w:szCs w:val="22"/>
        </w:rPr>
        <w:t xml:space="preserve"> mOsmol/kg až </w:t>
      </w:r>
      <w:r w:rsidR="00665602">
        <w:rPr>
          <w:sz w:val="22"/>
          <w:szCs w:val="22"/>
        </w:rPr>
        <w:t>2</w:t>
      </w:r>
      <w:r w:rsidR="00A574D4" w:rsidRPr="009A517F">
        <w:rPr>
          <w:sz w:val="22"/>
          <w:szCs w:val="22"/>
        </w:rPr>
        <w:t>20 mOsmol/kg.</w:t>
      </w:r>
    </w:p>
    <w:p w14:paraId="31A6CCF5" w14:textId="77777777" w:rsidR="003B67AE" w:rsidRPr="009A517F" w:rsidRDefault="003B67AE" w:rsidP="00625CF2">
      <w:pPr>
        <w:rPr>
          <w:sz w:val="22"/>
          <w:szCs w:val="22"/>
        </w:rPr>
      </w:pPr>
    </w:p>
    <w:p w14:paraId="6DF6F199" w14:textId="77777777" w:rsidR="00625CF2" w:rsidRPr="009A517F" w:rsidRDefault="00625CF2" w:rsidP="00625CF2">
      <w:pPr>
        <w:rPr>
          <w:sz w:val="22"/>
          <w:szCs w:val="22"/>
        </w:rPr>
      </w:pPr>
    </w:p>
    <w:p w14:paraId="359F71DE" w14:textId="77777777" w:rsidR="00625CF2" w:rsidRPr="009A517F" w:rsidRDefault="00625CF2" w:rsidP="00625CF2">
      <w:pPr>
        <w:ind w:left="567" w:hanging="567"/>
        <w:rPr>
          <w:caps/>
          <w:sz w:val="22"/>
          <w:szCs w:val="22"/>
        </w:rPr>
      </w:pPr>
      <w:r w:rsidRPr="009A517F">
        <w:rPr>
          <w:b/>
          <w:caps/>
          <w:sz w:val="22"/>
          <w:szCs w:val="22"/>
        </w:rPr>
        <w:t>4.</w:t>
      </w:r>
      <w:r w:rsidRPr="009A517F">
        <w:rPr>
          <w:b/>
          <w:caps/>
          <w:sz w:val="22"/>
          <w:szCs w:val="22"/>
        </w:rPr>
        <w:tab/>
        <w:t>KLINICKÉ ÚDAJE</w:t>
      </w:r>
    </w:p>
    <w:p w14:paraId="40E03215" w14:textId="77777777" w:rsidR="00625CF2" w:rsidRPr="009A517F" w:rsidRDefault="00625CF2" w:rsidP="00625CF2">
      <w:pPr>
        <w:rPr>
          <w:sz w:val="22"/>
          <w:szCs w:val="22"/>
        </w:rPr>
      </w:pPr>
    </w:p>
    <w:p w14:paraId="73EE20B3" w14:textId="77777777" w:rsidR="00625CF2" w:rsidRPr="009A517F" w:rsidRDefault="00625CF2" w:rsidP="00625CF2">
      <w:pPr>
        <w:numPr>
          <w:ilvl w:val="1"/>
          <w:numId w:val="10"/>
        </w:numPr>
        <w:autoSpaceDE/>
        <w:autoSpaceDN/>
        <w:rPr>
          <w:b/>
          <w:sz w:val="22"/>
          <w:szCs w:val="22"/>
        </w:rPr>
      </w:pPr>
      <w:r w:rsidRPr="009A517F">
        <w:rPr>
          <w:b/>
          <w:sz w:val="22"/>
          <w:szCs w:val="22"/>
        </w:rPr>
        <w:t>Terapeutické indikácie</w:t>
      </w:r>
    </w:p>
    <w:p w14:paraId="11696166" w14:textId="1D7B51A5" w:rsidR="00625CF2" w:rsidRPr="009A517F" w:rsidRDefault="00625CF2" w:rsidP="00625CF2">
      <w:pPr>
        <w:rPr>
          <w:sz w:val="22"/>
          <w:szCs w:val="22"/>
        </w:rPr>
      </w:pPr>
    </w:p>
    <w:p w14:paraId="2B8E2842" w14:textId="77777777" w:rsidR="00A574D4" w:rsidRPr="009A517F" w:rsidRDefault="00A574D4" w:rsidP="00A574D4">
      <w:pPr>
        <w:rPr>
          <w:sz w:val="22"/>
          <w:szCs w:val="22"/>
        </w:rPr>
      </w:pPr>
      <w:r w:rsidRPr="009A517F">
        <w:rPr>
          <w:sz w:val="22"/>
          <w:szCs w:val="22"/>
        </w:rPr>
        <w:t xml:space="preserve">Midazolam je krátkodobo pôsobiace </w:t>
      </w:r>
      <w:r w:rsidRPr="00341FFD">
        <w:rPr>
          <w:sz w:val="22"/>
          <w:szCs w:val="22"/>
        </w:rPr>
        <w:t>hypnotikum</w:t>
      </w:r>
      <w:r w:rsidRPr="009A517F">
        <w:rPr>
          <w:sz w:val="22"/>
          <w:szCs w:val="22"/>
        </w:rPr>
        <w:t xml:space="preserve"> používané v nasledujúcich indikáciách:</w:t>
      </w:r>
    </w:p>
    <w:p w14:paraId="07AB3DA7" w14:textId="77777777" w:rsidR="00A574D4" w:rsidRPr="009A517F" w:rsidRDefault="00A574D4" w:rsidP="00A574D4">
      <w:pPr>
        <w:rPr>
          <w:sz w:val="22"/>
          <w:szCs w:val="22"/>
        </w:rPr>
      </w:pPr>
    </w:p>
    <w:p w14:paraId="4F68E2B2" w14:textId="77777777" w:rsidR="00A574D4" w:rsidRPr="009A517F" w:rsidRDefault="00A574D4" w:rsidP="00A574D4">
      <w:pPr>
        <w:rPr>
          <w:sz w:val="22"/>
          <w:szCs w:val="22"/>
        </w:rPr>
      </w:pPr>
      <w:r w:rsidRPr="009A517F">
        <w:rPr>
          <w:b/>
          <w:sz w:val="22"/>
          <w:szCs w:val="22"/>
        </w:rPr>
        <w:t>Dospelí</w:t>
      </w:r>
    </w:p>
    <w:p w14:paraId="05CD94E5" w14:textId="4677A7C4" w:rsidR="00A574D4" w:rsidRPr="009A517F" w:rsidRDefault="00A574D4" w:rsidP="00A574D4">
      <w:pPr>
        <w:numPr>
          <w:ilvl w:val="0"/>
          <w:numId w:val="13"/>
        </w:numPr>
        <w:autoSpaceDE/>
        <w:autoSpaceDN/>
        <w:ind w:left="567" w:hanging="357"/>
        <w:rPr>
          <w:sz w:val="22"/>
          <w:szCs w:val="22"/>
        </w:rPr>
      </w:pPr>
      <w:r w:rsidRPr="009A517F">
        <w:rPr>
          <w:sz w:val="22"/>
          <w:szCs w:val="22"/>
        </w:rPr>
        <w:t xml:space="preserve">SEDÁCIA PRI VEDOMÍ </w:t>
      </w:r>
      <w:r w:rsidR="006822E7" w:rsidRPr="009A517F">
        <w:rPr>
          <w:sz w:val="22"/>
          <w:szCs w:val="22"/>
        </w:rPr>
        <w:t>s lokálnou anestéziou alebo bez nej pred diagnostickými alebo terapeutickými výkonmi alebo počas nich.</w:t>
      </w:r>
    </w:p>
    <w:p w14:paraId="3AD5BA95" w14:textId="77777777" w:rsidR="00A574D4" w:rsidRPr="009A517F" w:rsidRDefault="00A574D4" w:rsidP="00A574D4">
      <w:pPr>
        <w:numPr>
          <w:ilvl w:val="0"/>
          <w:numId w:val="13"/>
        </w:numPr>
        <w:autoSpaceDE/>
        <w:autoSpaceDN/>
        <w:ind w:left="567" w:hanging="357"/>
        <w:rPr>
          <w:sz w:val="22"/>
          <w:szCs w:val="22"/>
        </w:rPr>
      </w:pPr>
      <w:r w:rsidRPr="009A517F">
        <w:rPr>
          <w:sz w:val="22"/>
          <w:szCs w:val="22"/>
        </w:rPr>
        <w:t>ANESTÉZIA</w:t>
      </w:r>
    </w:p>
    <w:p w14:paraId="3463B21B" w14:textId="3749778E" w:rsidR="00A574D4" w:rsidRPr="009A517F" w:rsidRDefault="00A574D4" w:rsidP="00A574D4">
      <w:pPr>
        <w:numPr>
          <w:ilvl w:val="1"/>
          <w:numId w:val="13"/>
        </w:numPr>
        <w:autoSpaceDE/>
        <w:autoSpaceDN/>
        <w:ind w:left="992" w:hanging="357"/>
        <w:rPr>
          <w:sz w:val="22"/>
          <w:szCs w:val="22"/>
        </w:rPr>
      </w:pPr>
      <w:r w:rsidRPr="009A517F">
        <w:rPr>
          <w:sz w:val="22"/>
          <w:szCs w:val="22"/>
        </w:rPr>
        <w:t>premedikácia pred navodením anestézie,</w:t>
      </w:r>
    </w:p>
    <w:p w14:paraId="6FB496B0" w14:textId="187C608C" w:rsidR="00A574D4" w:rsidRPr="009A517F" w:rsidRDefault="00A574D4" w:rsidP="00A574D4">
      <w:pPr>
        <w:numPr>
          <w:ilvl w:val="1"/>
          <w:numId w:val="13"/>
        </w:numPr>
        <w:autoSpaceDE/>
        <w:autoSpaceDN/>
        <w:ind w:left="992" w:hanging="357"/>
        <w:rPr>
          <w:sz w:val="22"/>
          <w:szCs w:val="22"/>
        </w:rPr>
      </w:pPr>
      <w:r w:rsidRPr="009A517F">
        <w:rPr>
          <w:sz w:val="22"/>
          <w:szCs w:val="22"/>
        </w:rPr>
        <w:t>navodenie anestézie,</w:t>
      </w:r>
    </w:p>
    <w:p w14:paraId="7E05D8D1" w14:textId="7690AC27" w:rsidR="00A574D4" w:rsidRPr="009A517F" w:rsidRDefault="00A574D4" w:rsidP="00A574D4">
      <w:pPr>
        <w:numPr>
          <w:ilvl w:val="1"/>
          <w:numId w:val="13"/>
        </w:numPr>
        <w:autoSpaceDE/>
        <w:autoSpaceDN/>
        <w:ind w:left="992" w:hanging="357"/>
        <w:rPr>
          <w:sz w:val="22"/>
          <w:szCs w:val="22"/>
        </w:rPr>
      </w:pPr>
      <w:r w:rsidRPr="009A517F">
        <w:rPr>
          <w:sz w:val="22"/>
          <w:szCs w:val="22"/>
        </w:rPr>
        <w:t>ako sedatívna zložka pri kombinovanej anestézii.</w:t>
      </w:r>
    </w:p>
    <w:p w14:paraId="415BC5EF" w14:textId="27295772" w:rsidR="00A574D4" w:rsidRPr="009A517F" w:rsidRDefault="00A574D4" w:rsidP="00A574D4">
      <w:pPr>
        <w:numPr>
          <w:ilvl w:val="0"/>
          <w:numId w:val="14"/>
        </w:numPr>
        <w:autoSpaceDE/>
        <w:autoSpaceDN/>
        <w:ind w:left="567" w:hanging="357"/>
        <w:rPr>
          <w:sz w:val="22"/>
          <w:szCs w:val="22"/>
        </w:rPr>
      </w:pPr>
      <w:r w:rsidRPr="009A517F">
        <w:rPr>
          <w:sz w:val="22"/>
          <w:szCs w:val="22"/>
        </w:rPr>
        <w:t>SEDÁCIA NA JEDNOTKE INTENZÍVNEJ STAROSTLIVOSTI.</w:t>
      </w:r>
    </w:p>
    <w:p w14:paraId="78C52CF9" w14:textId="77777777" w:rsidR="00A574D4" w:rsidRPr="009A517F" w:rsidRDefault="00A574D4" w:rsidP="00A574D4">
      <w:pPr>
        <w:rPr>
          <w:sz w:val="22"/>
          <w:szCs w:val="22"/>
        </w:rPr>
      </w:pPr>
    </w:p>
    <w:p w14:paraId="3F5B53C7" w14:textId="77777777" w:rsidR="00A574D4" w:rsidRPr="009A517F" w:rsidRDefault="00A574D4" w:rsidP="00A574D4">
      <w:pPr>
        <w:rPr>
          <w:sz w:val="22"/>
          <w:szCs w:val="22"/>
        </w:rPr>
      </w:pPr>
      <w:r w:rsidRPr="009A517F">
        <w:rPr>
          <w:b/>
          <w:sz w:val="22"/>
          <w:szCs w:val="22"/>
        </w:rPr>
        <w:t>Deti</w:t>
      </w:r>
    </w:p>
    <w:p w14:paraId="2DA9D4EF" w14:textId="3ACC6CF7" w:rsidR="00A574D4" w:rsidRPr="009A517F" w:rsidRDefault="00A574D4" w:rsidP="00A574D4">
      <w:pPr>
        <w:numPr>
          <w:ilvl w:val="0"/>
          <w:numId w:val="13"/>
        </w:numPr>
        <w:autoSpaceDE/>
        <w:autoSpaceDN/>
        <w:ind w:left="567" w:hanging="357"/>
        <w:rPr>
          <w:sz w:val="22"/>
          <w:szCs w:val="22"/>
        </w:rPr>
      </w:pPr>
      <w:r w:rsidRPr="009A517F">
        <w:rPr>
          <w:sz w:val="22"/>
          <w:szCs w:val="22"/>
        </w:rPr>
        <w:t>SEDÁCIA PRI VEDOMÍ s lokálnou anestéziou alebo bez nej pred diagnostický</w:t>
      </w:r>
      <w:r w:rsidR="006822E7" w:rsidRPr="009A517F">
        <w:rPr>
          <w:sz w:val="22"/>
          <w:szCs w:val="22"/>
        </w:rPr>
        <w:t>mi</w:t>
      </w:r>
      <w:r w:rsidRPr="009A517F">
        <w:rPr>
          <w:sz w:val="22"/>
          <w:szCs w:val="22"/>
        </w:rPr>
        <w:t xml:space="preserve"> alebo terapeutický</w:t>
      </w:r>
      <w:r w:rsidR="006822E7" w:rsidRPr="009A517F">
        <w:rPr>
          <w:sz w:val="22"/>
          <w:szCs w:val="22"/>
        </w:rPr>
        <w:t>mi</w:t>
      </w:r>
      <w:r w:rsidRPr="009A517F">
        <w:rPr>
          <w:sz w:val="22"/>
          <w:szCs w:val="22"/>
        </w:rPr>
        <w:t xml:space="preserve"> výkon</w:t>
      </w:r>
      <w:r w:rsidR="006822E7" w:rsidRPr="009A517F">
        <w:rPr>
          <w:sz w:val="22"/>
          <w:szCs w:val="22"/>
        </w:rPr>
        <w:t>mi alebo počas nich.</w:t>
      </w:r>
    </w:p>
    <w:p w14:paraId="675A8DEB" w14:textId="77777777" w:rsidR="00A574D4" w:rsidRPr="009A517F" w:rsidRDefault="00A574D4" w:rsidP="00A574D4">
      <w:pPr>
        <w:numPr>
          <w:ilvl w:val="0"/>
          <w:numId w:val="13"/>
        </w:numPr>
        <w:autoSpaceDE/>
        <w:autoSpaceDN/>
        <w:ind w:left="567" w:hanging="357"/>
        <w:rPr>
          <w:sz w:val="22"/>
          <w:szCs w:val="22"/>
        </w:rPr>
      </w:pPr>
      <w:r w:rsidRPr="009A517F">
        <w:rPr>
          <w:sz w:val="22"/>
          <w:szCs w:val="22"/>
        </w:rPr>
        <w:t>ANESTÉZIA</w:t>
      </w:r>
    </w:p>
    <w:p w14:paraId="180359F3" w14:textId="6693AC0E" w:rsidR="00A574D4" w:rsidRPr="009A517F" w:rsidRDefault="00A574D4" w:rsidP="00A574D4">
      <w:pPr>
        <w:numPr>
          <w:ilvl w:val="1"/>
          <w:numId w:val="13"/>
        </w:numPr>
        <w:autoSpaceDE/>
        <w:autoSpaceDN/>
        <w:ind w:left="992" w:hanging="357"/>
        <w:rPr>
          <w:sz w:val="22"/>
          <w:szCs w:val="22"/>
        </w:rPr>
      </w:pPr>
      <w:r w:rsidRPr="009A517F">
        <w:rPr>
          <w:sz w:val="22"/>
          <w:szCs w:val="22"/>
        </w:rPr>
        <w:t xml:space="preserve">premedikácia pred </w:t>
      </w:r>
      <w:r w:rsidR="006822E7" w:rsidRPr="009A517F">
        <w:rPr>
          <w:sz w:val="22"/>
          <w:szCs w:val="22"/>
        </w:rPr>
        <w:t>navodením</w:t>
      </w:r>
      <w:r w:rsidRPr="009A517F">
        <w:rPr>
          <w:sz w:val="22"/>
          <w:szCs w:val="22"/>
        </w:rPr>
        <w:t xml:space="preserve"> anestézie</w:t>
      </w:r>
      <w:r w:rsidR="006822E7" w:rsidRPr="009A517F">
        <w:rPr>
          <w:sz w:val="22"/>
          <w:szCs w:val="22"/>
        </w:rPr>
        <w:t>.</w:t>
      </w:r>
    </w:p>
    <w:p w14:paraId="539E7021" w14:textId="4A3C7BAA" w:rsidR="00A574D4" w:rsidRPr="009A517F" w:rsidRDefault="00A574D4" w:rsidP="00A574D4">
      <w:pPr>
        <w:numPr>
          <w:ilvl w:val="0"/>
          <w:numId w:val="14"/>
        </w:numPr>
        <w:autoSpaceDE/>
        <w:autoSpaceDN/>
        <w:ind w:left="567" w:hanging="357"/>
        <w:rPr>
          <w:sz w:val="22"/>
          <w:szCs w:val="22"/>
        </w:rPr>
      </w:pPr>
      <w:r w:rsidRPr="009A517F">
        <w:rPr>
          <w:sz w:val="22"/>
          <w:szCs w:val="22"/>
        </w:rPr>
        <w:t>SEDÁCIA NA JEDNOTKE INTENZÍVNEJ STAROSTLIVOSTI</w:t>
      </w:r>
      <w:r w:rsidR="006822E7" w:rsidRPr="009A517F">
        <w:rPr>
          <w:sz w:val="22"/>
          <w:szCs w:val="22"/>
        </w:rPr>
        <w:t>.</w:t>
      </w:r>
    </w:p>
    <w:p w14:paraId="1EF7EFA0" w14:textId="28B087F2" w:rsidR="00A574D4" w:rsidRPr="009A517F" w:rsidRDefault="00A574D4" w:rsidP="00965B07">
      <w:pPr>
        <w:jc w:val="center"/>
        <w:rPr>
          <w:sz w:val="22"/>
          <w:szCs w:val="22"/>
        </w:rPr>
      </w:pPr>
    </w:p>
    <w:p w14:paraId="71467A21" w14:textId="77777777" w:rsidR="00625CF2" w:rsidRPr="009A517F" w:rsidRDefault="00625CF2" w:rsidP="00625CF2">
      <w:pPr>
        <w:numPr>
          <w:ilvl w:val="1"/>
          <w:numId w:val="10"/>
        </w:numPr>
        <w:autoSpaceDE/>
        <w:autoSpaceDN/>
        <w:rPr>
          <w:b/>
          <w:sz w:val="22"/>
          <w:szCs w:val="22"/>
        </w:rPr>
      </w:pPr>
      <w:r w:rsidRPr="009A517F">
        <w:rPr>
          <w:b/>
          <w:sz w:val="22"/>
          <w:szCs w:val="22"/>
        </w:rPr>
        <w:lastRenderedPageBreak/>
        <w:t>Dávkovanie a spôsob podávania</w:t>
      </w:r>
    </w:p>
    <w:p w14:paraId="37C8410B" w14:textId="77777777" w:rsidR="00625CF2" w:rsidRPr="009A517F" w:rsidRDefault="00625CF2" w:rsidP="00625CF2">
      <w:pPr>
        <w:rPr>
          <w:b/>
          <w:sz w:val="22"/>
          <w:szCs w:val="22"/>
        </w:rPr>
      </w:pPr>
    </w:p>
    <w:p w14:paraId="187422FB" w14:textId="77777777" w:rsidR="00625CF2" w:rsidRPr="009A517F" w:rsidRDefault="00625CF2" w:rsidP="00625CF2">
      <w:pPr>
        <w:rPr>
          <w:sz w:val="22"/>
          <w:szCs w:val="22"/>
          <w:u w:val="single"/>
        </w:rPr>
      </w:pPr>
      <w:r w:rsidRPr="009A517F">
        <w:rPr>
          <w:sz w:val="22"/>
          <w:szCs w:val="22"/>
          <w:u w:val="single"/>
        </w:rPr>
        <w:t>Dávkovanie</w:t>
      </w:r>
    </w:p>
    <w:p w14:paraId="3A6EC4CF" w14:textId="77777777" w:rsidR="00625CF2" w:rsidRPr="009A517F" w:rsidRDefault="00625CF2" w:rsidP="00625CF2">
      <w:pPr>
        <w:rPr>
          <w:b/>
          <w:sz w:val="22"/>
          <w:szCs w:val="22"/>
        </w:rPr>
      </w:pPr>
    </w:p>
    <w:p w14:paraId="3F17E126" w14:textId="5CD1AA51" w:rsidR="006822E7" w:rsidRPr="009A517F" w:rsidRDefault="006822E7" w:rsidP="006822E7">
      <w:pPr>
        <w:rPr>
          <w:sz w:val="22"/>
          <w:szCs w:val="22"/>
        </w:rPr>
      </w:pPr>
      <w:r w:rsidRPr="009A517F">
        <w:rPr>
          <w:sz w:val="22"/>
          <w:szCs w:val="22"/>
        </w:rPr>
        <w:t>ŠTANDARDNÉ DÁVKOVANIE</w:t>
      </w:r>
    </w:p>
    <w:p w14:paraId="727FC8EE" w14:textId="77777777" w:rsidR="006822E7" w:rsidRPr="009A517F" w:rsidRDefault="006822E7" w:rsidP="006822E7">
      <w:pPr>
        <w:rPr>
          <w:sz w:val="22"/>
          <w:szCs w:val="22"/>
        </w:rPr>
      </w:pPr>
    </w:p>
    <w:p w14:paraId="12253E15" w14:textId="22C06545" w:rsidR="006822E7" w:rsidRPr="009A517F" w:rsidRDefault="006822E7" w:rsidP="006822E7">
      <w:pPr>
        <w:rPr>
          <w:sz w:val="22"/>
          <w:szCs w:val="22"/>
        </w:rPr>
      </w:pPr>
      <w:r w:rsidRPr="009A517F">
        <w:rPr>
          <w:sz w:val="22"/>
          <w:szCs w:val="22"/>
        </w:rPr>
        <w:t xml:space="preserve">Midazolam je účinné sedatívum vyžadujúce </w:t>
      </w:r>
      <w:r w:rsidR="00023716" w:rsidRPr="009A517F">
        <w:rPr>
          <w:sz w:val="22"/>
          <w:szCs w:val="22"/>
        </w:rPr>
        <w:t xml:space="preserve">titráciu a </w:t>
      </w:r>
      <w:r w:rsidRPr="009A517F">
        <w:rPr>
          <w:sz w:val="22"/>
          <w:szCs w:val="22"/>
        </w:rPr>
        <w:t>pomalé podávanie. Titrácia sa dôrazne odporúča, aby bola dosiahnutá bezpečná úroveň sedácie podľa klinickej potreby, fyzického stavu, veku pacienta a sprievodnej liečby. U pacientov starších ako 60 rokov, oslabených alebo chronicky chorých pacientov a u detí sa má liek podávať opatrne a individuálne sa majú vziať do úvahy rizikové faktory každého pacienta. Štandardné dávkovanie je uvedené v nasledujúcej tabuľke, ďalšie informácie potom v texte ďalej.</w:t>
      </w:r>
    </w:p>
    <w:p w14:paraId="39CB65D9" w14:textId="77777777" w:rsidR="006822E7" w:rsidRPr="009A517F" w:rsidRDefault="006822E7" w:rsidP="006822E7">
      <w:pPr>
        <w:rPr>
          <w:sz w:val="22"/>
          <w:szCs w:val="22"/>
        </w:rPr>
      </w:pPr>
    </w:p>
    <w:tbl>
      <w:tblPr>
        <w:tblW w:w="5318" w:type="pct"/>
        <w:tblInd w:w="-147" w:type="dxa"/>
        <w:tblCellMar>
          <w:top w:w="22" w:type="dxa"/>
          <w:right w:w="91" w:type="dxa"/>
        </w:tblCellMar>
        <w:tblLook w:val="04A0" w:firstRow="1" w:lastRow="0" w:firstColumn="1" w:lastColumn="0" w:noHBand="0" w:noVBand="1"/>
      </w:tblPr>
      <w:tblGrid>
        <w:gridCol w:w="1758"/>
        <w:gridCol w:w="2551"/>
        <w:gridCol w:w="2823"/>
        <w:gridCol w:w="2859"/>
      </w:tblGrid>
      <w:tr w:rsidR="006822E7" w:rsidRPr="009A517F" w14:paraId="2BC85A95" w14:textId="77777777" w:rsidTr="006822E7">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F14D7" w14:textId="77777777" w:rsidR="006822E7" w:rsidRPr="009A517F" w:rsidRDefault="006822E7" w:rsidP="009A517F">
            <w:pPr>
              <w:ind w:right="16"/>
              <w:jc w:val="center"/>
              <w:rPr>
                <w:b/>
                <w:bCs/>
                <w:sz w:val="22"/>
                <w:szCs w:val="22"/>
              </w:rPr>
            </w:pPr>
            <w:r w:rsidRPr="009A517F">
              <w:rPr>
                <w:b/>
                <w:bCs/>
                <w:sz w:val="22"/>
                <w:szCs w:val="22"/>
              </w:rPr>
              <w:t xml:space="preserve">Indikácia </w:t>
            </w:r>
          </w:p>
        </w:tc>
        <w:tc>
          <w:tcPr>
            <w:tcW w:w="1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F623C" w14:textId="77777777" w:rsidR="006822E7" w:rsidRPr="009A517F" w:rsidRDefault="006822E7" w:rsidP="009A517F">
            <w:pPr>
              <w:ind w:right="17"/>
              <w:jc w:val="center"/>
              <w:rPr>
                <w:b/>
                <w:bCs/>
                <w:sz w:val="22"/>
                <w:szCs w:val="22"/>
              </w:rPr>
            </w:pPr>
            <w:r w:rsidRPr="009A517F">
              <w:rPr>
                <w:b/>
                <w:bCs/>
                <w:sz w:val="22"/>
                <w:szCs w:val="22"/>
              </w:rPr>
              <w:t xml:space="preserve">Dospelí vo veku &lt;60 rokov </w:t>
            </w:r>
          </w:p>
        </w:tc>
        <w:tc>
          <w:tcPr>
            <w:tcW w:w="1491" w:type="pct"/>
            <w:tcBorders>
              <w:top w:val="single" w:sz="4" w:space="0" w:color="000000"/>
              <w:left w:val="single" w:sz="4" w:space="0" w:color="000000"/>
              <w:bottom w:val="single" w:sz="4" w:space="0" w:color="000000"/>
              <w:right w:val="single" w:sz="4" w:space="0" w:color="000000"/>
            </w:tcBorders>
            <w:shd w:val="clear" w:color="auto" w:fill="auto"/>
          </w:tcPr>
          <w:p w14:paraId="29886161" w14:textId="77777777" w:rsidR="006822E7" w:rsidRPr="009A517F" w:rsidRDefault="006822E7" w:rsidP="009A517F">
            <w:pPr>
              <w:jc w:val="center"/>
              <w:rPr>
                <w:b/>
                <w:bCs/>
                <w:sz w:val="22"/>
                <w:szCs w:val="22"/>
              </w:rPr>
            </w:pPr>
            <w:r w:rsidRPr="009A517F">
              <w:rPr>
                <w:b/>
                <w:bCs/>
                <w:sz w:val="22"/>
                <w:szCs w:val="22"/>
              </w:rPr>
              <w:t>Dospelí vo veku ≥60 rokov /</w:t>
            </w:r>
            <w:r w:rsidRPr="009A517F">
              <w:rPr>
                <w:b/>
                <w:bCs/>
                <w:sz w:val="22"/>
                <w:szCs w:val="22"/>
                <w:shd w:val="clear" w:color="auto" w:fill="FFFFFF"/>
              </w:rPr>
              <w:t xml:space="preserve"> </w:t>
            </w:r>
            <w:r w:rsidRPr="009A517F">
              <w:rPr>
                <w:b/>
                <w:bCs/>
                <w:sz w:val="22"/>
                <w:szCs w:val="22"/>
              </w:rPr>
              <w:t>oslabení alebo chronicky chorí pacienti</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C87F3" w14:textId="77777777" w:rsidR="006822E7" w:rsidRPr="009A517F" w:rsidRDefault="006822E7" w:rsidP="009A517F">
            <w:pPr>
              <w:ind w:right="17"/>
              <w:jc w:val="center"/>
              <w:rPr>
                <w:b/>
                <w:bCs/>
                <w:sz w:val="22"/>
                <w:szCs w:val="22"/>
              </w:rPr>
            </w:pPr>
            <w:r w:rsidRPr="009A517F">
              <w:rPr>
                <w:b/>
                <w:bCs/>
                <w:sz w:val="22"/>
                <w:szCs w:val="22"/>
              </w:rPr>
              <w:t xml:space="preserve">Deti </w:t>
            </w:r>
          </w:p>
        </w:tc>
      </w:tr>
      <w:tr w:rsidR="006822E7" w:rsidRPr="009A517F" w14:paraId="341E81DC" w14:textId="77777777" w:rsidTr="006822E7">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7CFC9" w14:textId="77777777" w:rsidR="006822E7" w:rsidRPr="009A517F" w:rsidRDefault="006822E7" w:rsidP="009A517F">
            <w:pPr>
              <w:rPr>
                <w:sz w:val="22"/>
                <w:szCs w:val="22"/>
              </w:rPr>
            </w:pPr>
            <w:r w:rsidRPr="009A517F">
              <w:rPr>
                <w:sz w:val="22"/>
                <w:szCs w:val="22"/>
              </w:rPr>
              <w:t>Sedácia pri vedomí</w:t>
            </w:r>
          </w:p>
        </w:tc>
        <w:tc>
          <w:tcPr>
            <w:tcW w:w="1355" w:type="pct"/>
            <w:tcBorders>
              <w:top w:val="single" w:sz="4" w:space="0" w:color="000000"/>
              <w:left w:val="single" w:sz="4" w:space="0" w:color="000000"/>
              <w:bottom w:val="single" w:sz="4" w:space="0" w:color="000000"/>
              <w:right w:val="single" w:sz="4" w:space="0" w:color="000000"/>
            </w:tcBorders>
            <w:shd w:val="clear" w:color="auto" w:fill="auto"/>
          </w:tcPr>
          <w:p w14:paraId="1DFB1AB4" w14:textId="49F9DC83" w:rsidR="006822E7" w:rsidRPr="009A517F" w:rsidRDefault="006822E7" w:rsidP="009A517F">
            <w:pPr>
              <w:rPr>
                <w:b/>
                <w:bCs/>
                <w:sz w:val="22"/>
                <w:szCs w:val="22"/>
              </w:rPr>
            </w:pPr>
            <w:r w:rsidRPr="009A517F">
              <w:rPr>
                <w:b/>
                <w:bCs/>
                <w:sz w:val="22"/>
                <w:szCs w:val="22"/>
              </w:rPr>
              <w:t>i.</w:t>
            </w:r>
            <w:r w:rsidR="00023716" w:rsidRPr="009A517F">
              <w:rPr>
                <w:b/>
                <w:bCs/>
                <w:sz w:val="22"/>
                <w:szCs w:val="22"/>
              </w:rPr>
              <w:t xml:space="preserve"> </w:t>
            </w:r>
            <w:r w:rsidRPr="009A517F">
              <w:rPr>
                <w:b/>
                <w:bCs/>
                <w:sz w:val="22"/>
                <w:szCs w:val="22"/>
              </w:rPr>
              <w:t>v.</w:t>
            </w:r>
          </w:p>
          <w:p w14:paraId="453C2636" w14:textId="6580A742" w:rsidR="006822E7" w:rsidRPr="009A517F" w:rsidRDefault="006822E7" w:rsidP="009A517F">
            <w:pPr>
              <w:rPr>
                <w:sz w:val="22"/>
                <w:szCs w:val="22"/>
              </w:rPr>
            </w:pPr>
            <w:r w:rsidRPr="009A517F">
              <w:rPr>
                <w:sz w:val="22"/>
                <w:szCs w:val="22"/>
              </w:rPr>
              <w:t>Úvodná dávka: 2</w:t>
            </w:r>
            <w:r w:rsidR="00023716" w:rsidRPr="009A517F">
              <w:rPr>
                <w:sz w:val="22"/>
                <w:szCs w:val="22"/>
              </w:rPr>
              <w:t> – </w:t>
            </w:r>
            <w:r w:rsidRPr="009A517F">
              <w:rPr>
                <w:sz w:val="22"/>
                <w:szCs w:val="22"/>
              </w:rPr>
              <w:t>2,5 mg Titračné dávky: 1 mg</w:t>
            </w:r>
          </w:p>
          <w:p w14:paraId="2F92AFA6" w14:textId="1B56BCFB" w:rsidR="006822E7" w:rsidRPr="009A517F" w:rsidRDefault="006822E7" w:rsidP="009A517F">
            <w:pPr>
              <w:rPr>
                <w:sz w:val="22"/>
                <w:szCs w:val="22"/>
              </w:rPr>
            </w:pPr>
            <w:r w:rsidRPr="009A517F">
              <w:rPr>
                <w:sz w:val="22"/>
                <w:szCs w:val="22"/>
              </w:rPr>
              <w:t>Celková dávka: 3,5</w:t>
            </w:r>
            <w:r w:rsidR="00023716" w:rsidRPr="009A517F">
              <w:rPr>
                <w:sz w:val="22"/>
                <w:szCs w:val="22"/>
              </w:rPr>
              <w:t> – </w:t>
            </w:r>
            <w:r w:rsidRPr="009A517F">
              <w:rPr>
                <w:sz w:val="22"/>
                <w:szCs w:val="22"/>
              </w:rPr>
              <w:t>7,5</w:t>
            </w:r>
            <w:r w:rsidR="00023716" w:rsidRPr="009A517F">
              <w:rPr>
                <w:sz w:val="22"/>
                <w:szCs w:val="22"/>
              </w:rPr>
              <w:t> </w:t>
            </w:r>
            <w:r w:rsidRPr="009A517F">
              <w:rPr>
                <w:sz w:val="22"/>
                <w:szCs w:val="22"/>
              </w:rPr>
              <w:t xml:space="preserve">mg </w:t>
            </w:r>
          </w:p>
        </w:tc>
        <w:tc>
          <w:tcPr>
            <w:tcW w:w="1491" w:type="pct"/>
            <w:tcBorders>
              <w:top w:val="single" w:sz="4" w:space="0" w:color="000000"/>
              <w:left w:val="single" w:sz="4" w:space="0" w:color="000000"/>
              <w:bottom w:val="single" w:sz="4" w:space="0" w:color="000000"/>
              <w:right w:val="single" w:sz="4" w:space="0" w:color="000000"/>
            </w:tcBorders>
            <w:shd w:val="clear" w:color="auto" w:fill="auto"/>
          </w:tcPr>
          <w:p w14:paraId="29693877" w14:textId="5BF9CC8F" w:rsidR="006822E7" w:rsidRPr="009A517F" w:rsidRDefault="00023716" w:rsidP="00023716">
            <w:pPr>
              <w:rPr>
                <w:b/>
                <w:bCs/>
                <w:sz w:val="22"/>
                <w:szCs w:val="22"/>
              </w:rPr>
            </w:pPr>
            <w:r w:rsidRPr="009A517F">
              <w:rPr>
                <w:b/>
                <w:bCs/>
                <w:sz w:val="22"/>
                <w:szCs w:val="22"/>
              </w:rPr>
              <w:t xml:space="preserve">i. </w:t>
            </w:r>
            <w:r w:rsidR="006822E7" w:rsidRPr="009A517F">
              <w:rPr>
                <w:b/>
                <w:bCs/>
                <w:sz w:val="22"/>
                <w:szCs w:val="22"/>
              </w:rPr>
              <w:t>v.</w:t>
            </w:r>
          </w:p>
          <w:p w14:paraId="44A7F9CF" w14:textId="7E2AF275" w:rsidR="006822E7" w:rsidRPr="009A517F" w:rsidRDefault="006822E7" w:rsidP="009A517F">
            <w:pPr>
              <w:rPr>
                <w:sz w:val="22"/>
                <w:szCs w:val="22"/>
              </w:rPr>
            </w:pPr>
            <w:r w:rsidRPr="009A517F">
              <w:rPr>
                <w:sz w:val="22"/>
                <w:szCs w:val="22"/>
              </w:rPr>
              <w:t>Úvodná dávka: 0,5</w:t>
            </w:r>
            <w:r w:rsidR="00023716" w:rsidRPr="009A517F">
              <w:rPr>
                <w:sz w:val="22"/>
                <w:szCs w:val="22"/>
              </w:rPr>
              <w:t> – </w:t>
            </w:r>
            <w:r w:rsidRPr="009A517F">
              <w:rPr>
                <w:sz w:val="22"/>
                <w:szCs w:val="22"/>
              </w:rPr>
              <w:t>1 mg Titračné dávky: 0,5</w:t>
            </w:r>
            <w:r w:rsidR="00023716" w:rsidRPr="009A517F">
              <w:rPr>
                <w:sz w:val="22"/>
                <w:szCs w:val="22"/>
              </w:rPr>
              <w:t> – </w:t>
            </w:r>
            <w:r w:rsidRPr="009A517F">
              <w:rPr>
                <w:sz w:val="22"/>
                <w:szCs w:val="22"/>
              </w:rPr>
              <w:t>1 mg</w:t>
            </w:r>
          </w:p>
          <w:p w14:paraId="7B274619" w14:textId="50A46452" w:rsidR="006822E7" w:rsidRPr="009A517F" w:rsidRDefault="006822E7" w:rsidP="009A517F">
            <w:pPr>
              <w:rPr>
                <w:sz w:val="22"/>
                <w:szCs w:val="22"/>
              </w:rPr>
            </w:pPr>
            <w:r w:rsidRPr="009A517F">
              <w:rPr>
                <w:sz w:val="22"/>
                <w:szCs w:val="22"/>
              </w:rPr>
              <w:t>Celková dávka: &lt;</w:t>
            </w:r>
            <w:r w:rsidR="00023716" w:rsidRPr="009A517F">
              <w:rPr>
                <w:sz w:val="22"/>
                <w:szCs w:val="22"/>
              </w:rPr>
              <w:t> </w:t>
            </w:r>
            <w:r w:rsidRPr="009A517F">
              <w:rPr>
                <w:sz w:val="22"/>
                <w:szCs w:val="22"/>
              </w:rPr>
              <w:t>3,5 mg</w:t>
            </w:r>
          </w:p>
        </w:tc>
        <w:tc>
          <w:tcPr>
            <w:tcW w:w="1509" w:type="pct"/>
            <w:tcBorders>
              <w:top w:val="single" w:sz="4" w:space="0" w:color="000000"/>
              <w:left w:val="single" w:sz="4" w:space="0" w:color="000000"/>
              <w:bottom w:val="single" w:sz="4" w:space="0" w:color="000000"/>
              <w:right w:val="single" w:sz="4" w:space="0" w:color="000000"/>
            </w:tcBorders>
            <w:shd w:val="clear" w:color="auto" w:fill="auto"/>
          </w:tcPr>
          <w:p w14:paraId="2CB92D5C" w14:textId="6EE8487B" w:rsidR="006822E7" w:rsidRPr="009A517F" w:rsidRDefault="006822E7" w:rsidP="009A517F">
            <w:pPr>
              <w:rPr>
                <w:b/>
                <w:bCs/>
                <w:sz w:val="22"/>
                <w:szCs w:val="22"/>
              </w:rPr>
            </w:pPr>
            <w:r w:rsidRPr="009A517F">
              <w:rPr>
                <w:b/>
                <w:bCs/>
                <w:sz w:val="22"/>
                <w:szCs w:val="22"/>
              </w:rPr>
              <w:t>i.</w:t>
            </w:r>
            <w:r w:rsidR="00023716" w:rsidRPr="009A517F">
              <w:rPr>
                <w:b/>
                <w:bCs/>
                <w:sz w:val="22"/>
                <w:szCs w:val="22"/>
              </w:rPr>
              <w:t xml:space="preserve"> </w:t>
            </w:r>
            <w:r w:rsidRPr="009A517F">
              <w:rPr>
                <w:b/>
                <w:bCs/>
                <w:sz w:val="22"/>
                <w:szCs w:val="22"/>
              </w:rPr>
              <w:t>v. u pacientov vo veku od 6 mesiacov do 5 rokov</w:t>
            </w:r>
          </w:p>
          <w:p w14:paraId="570DFB10" w14:textId="3E33AB3D" w:rsidR="006822E7" w:rsidRPr="009A517F" w:rsidRDefault="006822E7" w:rsidP="009A517F">
            <w:pPr>
              <w:rPr>
                <w:sz w:val="22"/>
                <w:szCs w:val="22"/>
              </w:rPr>
            </w:pPr>
            <w:r w:rsidRPr="009A517F">
              <w:rPr>
                <w:sz w:val="22"/>
                <w:szCs w:val="22"/>
              </w:rPr>
              <w:t>Úvodná dávka: 0,05</w:t>
            </w:r>
            <w:r w:rsidR="00023716" w:rsidRPr="009A517F">
              <w:rPr>
                <w:sz w:val="22"/>
                <w:szCs w:val="22"/>
              </w:rPr>
              <w:t> – </w:t>
            </w:r>
            <w:r w:rsidRPr="009A517F">
              <w:rPr>
                <w:sz w:val="22"/>
                <w:szCs w:val="22"/>
              </w:rPr>
              <w:t>0,1</w:t>
            </w:r>
            <w:r w:rsidR="00023716" w:rsidRPr="009A517F">
              <w:rPr>
                <w:sz w:val="22"/>
                <w:szCs w:val="22"/>
              </w:rPr>
              <w:t> </w:t>
            </w:r>
            <w:r w:rsidRPr="009A517F">
              <w:rPr>
                <w:sz w:val="22"/>
                <w:szCs w:val="22"/>
              </w:rPr>
              <w:t>mg/kg</w:t>
            </w:r>
          </w:p>
          <w:p w14:paraId="4E656A15" w14:textId="5F3D065F" w:rsidR="006822E7" w:rsidRPr="009A517F" w:rsidRDefault="006822E7" w:rsidP="009A517F">
            <w:pPr>
              <w:rPr>
                <w:sz w:val="22"/>
                <w:szCs w:val="22"/>
              </w:rPr>
            </w:pPr>
            <w:r w:rsidRPr="009A517F">
              <w:rPr>
                <w:sz w:val="22"/>
                <w:szCs w:val="22"/>
              </w:rPr>
              <w:t>Celková dávka: &lt;</w:t>
            </w:r>
            <w:r w:rsidR="00023716" w:rsidRPr="009A517F">
              <w:rPr>
                <w:sz w:val="22"/>
                <w:szCs w:val="22"/>
              </w:rPr>
              <w:t> </w:t>
            </w:r>
            <w:r w:rsidRPr="009A517F">
              <w:rPr>
                <w:sz w:val="22"/>
                <w:szCs w:val="22"/>
              </w:rPr>
              <w:t>6 mg</w:t>
            </w:r>
          </w:p>
          <w:p w14:paraId="23A3763B" w14:textId="455A4D51" w:rsidR="006822E7" w:rsidRPr="009A517F" w:rsidRDefault="006822E7" w:rsidP="009A517F">
            <w:pPr>
              <w:rPr>
                <w:b/>
                <w:bCs/>
                <w:sz w:val="22"/>
                <w:szCs w:val="22"/>
              </w:rPr>
            </w:pPr>
            <w:r w:rsidRPr="009A517F">
              <w:rPr>
                <w:b/>
                <w:bCs/>
                <w:sz w:val="22"/>
                <w:szCs w:val="22"/>
              </w:rPr>
              <w:t>i.</w:t>
            </w:r>
            <w:r w:rsidR="00023716" w:rsidRPr="009A517F">
              <w:rPr>
                <w:b/>
                <w:bCs/>
                <w:sz w:val="22"/>
                <w:szCs w:val="22"/>
              </w:rPr>
              <w:t xml:space="preserve"> </w:t>
            </w:r>
            <w:r w:rsidRPr="009A517F">
              <w:rPr>
                <w:b/>
                <w:bCs/>
                <w:sz w:val="22"/>
                <w:szCs w:val="22"/>
              </w:rPr>
              <w:t>v. u pacientov vo veku 6-12 rokov</w:t>
            </w:r>
          </w:p>
          <w:p w14:paraId="50FB7DAA" w14:textId="3EA73AC2" w:rsidR="006822E7" w:rsidRPr="009A517F" w:rsidRDefault="006822E7" w:rsidP="009A517F">
            <w:pPr>
              <w:rPr>
                <w:sz w:val="22"/>
                <w:szCs w:val="22"/>
              </w:rPr>
            </w:pPr>
            <w:r w:rsidRPr="009A517F">
              <w:rPr>
                <w:sz w:val="22"/>
                <w:szCs w:val="22"/>
              </w:rPr>
              <w:t>Úvodná dávka: 0,025</w:t>
            </w:r>
            <w:r w:rsidR="00023716" w:rsidRPr="009A517F">
              <w:rPr>
                <w:sz w:val="22"/>
                <w:szCs w:val="22"/>
              </w:rPr>
              <w:t> – </w:t>
            </w:r>
            <w:r w:rsidRPr="009A517F">
              <w:rPr>
                <w:sz w:val="22"/>
                <w:szCs w:val="22"/>
              </w:rPr>
              <w:t>0,05</w:t>
            </w:r>
            <w:r w:rsidR="00023716" w:rsidRPr="009A517F">
              <w:rPr>
                <w:sz w:val="22"/>
                <w:szCs w:val="22"/>
              </w:rPr>
              <w:t> </w:t>
            </w:r>
            <w:r w:rsidRPr="009A517F">
              <w:rPr>
                <w:sz w:val="22"/>
                <w:szCs w:val="22"/>
              </w:rPr>
              <w:t>mg/kg</w:t>
            </w:r>
          </w:p>
          <w:p w14:paraId="5B10C07E" w14:textId="3085FD58" w:rsidR="006822E7" w:rsidRPr="009A517F" w:rsidRDefault="006822E7" w:rsidP="009A517F">
            <w:pPr>
              <w:rPr>
                <w:sz w:val="22"/>
                <w:szCs w:val="22"/>
              </w:rPr>
            </w:pPr>
            <w:r w:rsidRPr="009A517F">
              <w:rPr>
                <w:sz w:val="22"/>
                <w:szCs w:val="22"/>
              </w:rPr>
              <w:t>Celková dávka: &lt;</w:t>
            </w:r>
            <w:r w:rsidR="00023716" w:rsidRPr="009A517F">
              <w:rPr>
                <w:sz w:val="22"/>
                <w:szCs w:val="22"/>
              </w:rPr>
              <w:t> </w:t>
            </w:r>
            <w:r w:rsidRPr="009A517F">
              <w:rPr>
                <w:sz w:val="22"/>
                <w:szCs w:val="22"/>
              </w:rPr>
              <w:t>10 mg</w:t>
            </w:r>
          </w:p>
          <w:p w14:paraId="2CB58488" w14:textId="77777777" w:rsidR="006822E7" w:rsidRPr="009A517F" w:rsidRDefault="006822E7" w:rsidP="009A517F">
            <w:pPr>
              <w:rPr>
                <w:b/>
                <w:bCs/>
                <w:sz w:val="22"/>
                <w:szCs w:val="22"/>
              </w:rPr>
            </w:pPr>
            <w:r w:rsidRPr="009A517F">
              <w:rPr>
                <w:b/>
                <w:bCs/>
                <w:sz w:val="22"/>
                <w:szCs w:val="22"/>
              </w:rPr>
              <w:t>Rektálne podanie u detí starších ako 6 mesiacov</w:t>
            </w:r>
          </w:p>
          <w:p w14:paraId="4AAA1851" w14:textId="3391EC26" w:rsidR="006822E7" w:rsidRPr="009A517F" w:rsidRDefault="006822E7" w:rsidP="009A517F">
            <w:pPr>
              <w:rPr>
                <w:sz w:val="22"/>
                <w:szCs w:val="22"/>
              </w:rPr>
            </w:pPr>
            <w:r w:rsidRPr="009A517F">
              <w:rPr>
                <w:sz w:val="22"/>
                <w:szCs w:val="22"/>
              </w:rPr>
              <w:t>0,3</w:t>
            </w:r>
            <w:r w:rsidR="00023716" w:rsidRPr="009A517F">
              <w:rPr>
                <w:sz w:val="22"/>
                <w:szCs w:val="22"/>
              </w:rPr>
              <w:t> – </w:t>
            </w:r>
            <w:r w:rsidRPr="009A517F">
              <w:rPr>
                <w:sz w:val="22"/>
                <w:szCs w:val="22"/>
              </w:rPr>
              <w:t>0,5 mg/kg</w:t>
            </w:r>
          </w:p>
          <w:p w14:paraId="7A73BD21" w14:textId="2EB76A52" w:rsidR="006822E7" w:rsidRPr="009A517F" w:rsidRDefault="006822E7" w:rsidP="009A517F">
            <w:pPr>
              <w:rPr>
                <w:b/>
                <w:bCs/>
                <w:sz w:val="22"/>
                <w:szCs w:val="22"/>
              </w:rPr>
            </w:pPr>
            <w:r w:rsidRPr="009A517F">
              <w:rPr>
                <w:b/>
                <w:bCs/>
                <w:sz w:val="22"/>
                <w:szCs w:val="22"/>
              </w:rPr>
              <w:t>i.</w:t>
            </w:r>
            <w:r w:rsidR="00023716" w:rsidRPr="009A517F">
              <w:rPr>
                <w:b/>
                <w:bCs/>
                <w:sz w:val="22"/>
                <w:szCs w:val="22"/>
              </w:rPr>
              <w:t xml:space="preserve"> </w:t>
            </w:r>
            <w:r w:rsidRPr="009A517F">
              <w:rPr>
                <w:b/>
                <w:bCs/>
                <w:sz w:val="22"/>
                <w:szCs w:val="22"/>
              </w:rPr>
              <w:t>m. u detí vo veku 1</w:t>
            </w:r>
            <w:r w:rsidR="00023716" w:rsidRPr="009A517F">
              <w:rPr>
                <w:b/>
                <w:bCs/>
                <w:sz w:val="22"/>
                <w:szCs w:val="22"/>
              </w:rPr>
              <w:t> – </w:t>
            </w:r>
            <w:r w:rsidRPr="009A517F">
              <w:rPr>
                <w:b/>
                <w:bCs/>
                <w:sz w:val="22"/>
                <w:szCs w:val="22"/>
              </w:rPr>
              <w:t>15 rokov</w:t>
            </w:r>
          </w:p>
          <w:p w14:paraId="452B95CC" w14:textId="6929B32D" w:rsidR="006822E7" w:rsidRPr="009A517F" w:rsidRDefault="006822E7" w:rsidP="009A517F">
            <w:pPr>
              <w:rPr>
                <w:sz w:val="22"/>
                <w:szCs w:val="22"/>
              </w:rPr>
            </w:pPr>
            <w:r w:rsidRPr="009A517F">
              <w:rPr>
                <w:sz w:val="22"/>
                <w:szCs w:val="22"/>
              </w:rPr>
              <w:t>0,05</w:t>
            </w:r>
            <w:r w:rsidR="00023716" w:rsidRPr="009A517F">
              <w:rPr>
                <w:sz w:val="22"/>
                <w:szCs w:val="22"/>
              </w:rPr>
              <w:t> – </w:t>
            </w:r>
            <w:r w:rsidRPr="009A517F">
              <w:rPr>
                <w:sz w:val="22"/>
                <w:szCs w:val="22"/>
              </w:rPr>
              <w:t xml:space="preserve">0,15 mg/kg </w:t>
            </w:r>
          </w:p>
        </w:tc>
      </w:tr>
      <w:tr w:rsidR="006822E7" w:rsidRPr="009A517F" w14:paraId="072A6F5F" w14:textId="77777777" w:rsidTr="006822E7">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8AB18" w14:textId="77777777" w:rsidR="006822E7" w:rsidRPr="009A517F" w:rsidRDefault="006822E7" w:rsidP="009A517F">
            <w:pPr>
              <w:rPr>
                <w:sz w:val="22"/>
                <w:szCs w:val="22"/>
              </w:rPr>
            </w:pPr>
            <w:r w:rsidRPr="009A517F">
              <w:rPr>
                <w:sz w:val="22"/>
                <w:szCs w:val="22"/>
                <w:shd w:val="clear" w:color="auto" w:fill="FFFFFF"/>
              </w:rPr>
              <w:t>Premedikácia pred anestéziou</w:t>
            </w:r>
          </w:p>
        </w:tc>
        <w:tc>
          <w:tcPr>
            <w:tcW w:w="1355" w:type="pct"/>
            <w:tcBorders>
              <w:top w:val="single" w:sz="4" w:space="0" w:color="000000"/>
              <w:left w:val="single" w:sz="4" w:space="0" w:color="000000"/>
              <w:bottom w:val="single" w:sz="4" w:space="0" w:color="000000"/>
              <w:right w:val="single" w:sz="4" w:space="0" w:color="000000"/>
            </w:tcBorders>
            <w:shd w:val="clear" w:color="auto" w:fill="auto"/>
          </w:tcPr>
          <w:p w14:paraId="777866D8" w14:textId="7FCBA8C6" w:rsidR="006822E7" w:rsidRPr="009A517F" w:rsidRDefault="006822E7" w:rsidP="009A517F">
            <w:pPr>
              <w:rPr>
                <w:b/>
                <w:bCs/>
                <w:sz w:val="22"/>
                <w:szCs w:val="22"/>
              </w:rPr>
            </w:pPr>
            <w:r w:rsidRPr="009A517F">
              <w:rPr>
                <w:b/>
                <w:bCs/>
                <w:sz w:val="22"/>
                <w:szCs w:val="22"/>
              </w:rPr>
              <w:t>i.</w:t>
            </w:r>
            <w:r w:rsidR="00023716" w:rsidRPr="009A517F">
              <w:rPr>
                <w:b/>
                <w:bCs/>
                <w:sz w:val="22"/>
                <w:szCs w:val="22"/>
              </w:rPr>
              <w:t xml:space="preserve"> </w:t>
            </w:r>
            <w:r w:rsidRPr="009A517F">
              <w:rPr>
                <w:b/>
                <w:bCs/>
                <w:sz w:val="22"/>
                <w:szCs w:val="22"/>
              </w:rPr>
              <w:t>v.</w:t>
            </w:r>
          </w:p>
          <w:p w14:paraId="610E7656" w14:textId="6662512F" w:rsidR="006822E7" w:rsidRPr="009A517F" w:rsidRDefault="006822E7" w:rsidP="009A517F">
            <w:pPr>
              <w:rPr>
                <w:sz w:val="22"/>
                <w:szCs w:val="22"/>
              </w:rPr>
            </w:pPr>
            <w:r w:rsidRPr="009A517F">
              <w:rPr>
                <w:sz w:val="22"/>
                <w:szCs w:val="22"/>
              </w:rPr>
              <w:t>1</w:t>
            </w:r>
            <w:r w:rsidR="00023716" w:rsidRPr="009A517F">
              <w:rPr>
                <w:sz w:val="22"/>
                <w:szCs w:val="22"/>
              </w:rPr>
              <w:t> – </w:t>
            </w:r>
            <w:r w:rsidRPr="009A517F">
              <w:rPr>
                <w:sz w:val="22"/>
                <w:szCs w:val="22"/>
              </w:rPr>
              <w:t>2 mg opakovane</w:t>
            </w:r>
          </w:p>
          <w:p w14:paraId="02DEA37A" w14:textId="64D17713" w:rsidR="006822E7" w:rsidRPr="009A517F" w:rsidRDefault="006822E7" w:rsidP="009A517F">
            <w:pPr>
              <w:rPr>
                <w:b/>
                <w:bCs/>
                <w:sz w:val="22"/>
                <w:szCs w:val="22"/>
              </w:rPr>
            </w:pPr>
            <w:r w:rsidRPr="009A517F">
              <w:rPr>
                <w:b/>
                <w:bCs/>
                <w:sz w:val="22"/>
                <w:szCs w:val="22"/>
              </w:rPr>
              <w:t>i.</w:t>
            </w:r>
            <w:r w:rsidR="00023716" w:rsidRPr="009A517F">
              <w:rPr>
                <w:b/>
                <w:bCs/>
                <w:sz w:val="22"/>
                <w:szCs w:val="22"/>
              </w:rPr>
              <w:t xml:space="preserve"> </w:t>
            </w:r>
            <w:r w:rsidRPr="009A517F">
              <w:rPr>
                <w:b/>
                <w:bCs/>
                <w:sz w:val="22"/>
                <w:szCs w:val="22"/>
              </w:rPr>
              <w:t>m.</w:t>
            </w:r>
          </w:p>
          <w:p w14:paraId="323237D1" w14:textId="6876A9D9" w:rsidR="006822E7" w:rsidRPr="009A517F" w:rsidRDefault="006822E7" w:rsidP="009A517F">
            <w:pPr>
              <w:rPr>
                <w:sz w:val="22"/>
                <w:szCs w:val="22"/>
              </w:rPr>
            </w:pPr>
            <w:r w:rsidRPr="009A517F">
              <w:rPr>
                <w:sz w:val="22"/>
                <w:szCs w:val="22"/>
              </w:rPr>
              <w:t>0,07</w:t>
            </w:r>
            <w:r w:rsidR="00023716" w:rsidRPr="009A517F">
              <w:rPr>
                <w:sz w:val="22"/>
                <w:szCs w:val="22"/>
              </w:rPr>
              <w:t> – </w:t>
            </w:r>
            <w:r w:rsidRPr="009A517F">
              <w:rPr>
                <w:sz w:val="22"/>
                <w:szCs w:val="22"/>
              </w:rPr>
              <w:t xml:space="preserve">0,1 mg/kg </w:t>
            </w:r>
          </w:p>
        </w:tc>
        <w:tc>
          <w:tcPr>
            <w:tcW w:w="1491" w:type="pct"/>
            <w:tcBorders>
              <w:top w:val="single" w:sz="4" w:space="0" w:color="000000"/>
              <w:left w:val="single" w:sz="4" w:space="0" w:color="000000"/>
              <w:bottom w:val="single" w:sz="4" w:space="0" w:color="000000"/>
              <w:right w:val="single" w:sz="4" w:space="0" w:color="000000"/>
            </w:tcBorders>
            <w:shd w:val="clear" w:color="auto" w:fill="auto"/>
          </w:tcPr>
          <w:p w14:paraId="4B94251E" w14:textId="2B5EEBAF" w:rsidR="006822E7" w:rsidRPr="009A517F" w:rsidRDefault="006822E7" w:rsidP="009A517F">
            <w:pPr>
              <w:rPr>
                <w:b/>
                <w:bCs/>
                <w:sz w:val="22"/>
                <w:szCs w:val="22"/>
              </w:rPr>
            </w:pPr>
            <w:r w:rsidRPr="009A517F">
              <w:rPr>
                <w:b/>
                <w:bCs/>
                <w:sz w:val="22"/>
                <w:szCs w:val="22"/>
              </w:rPr>
              <w:t>i.</w:t>
            </w:r>
            <w:r w:rsidR="00023716" w:rsidRPr="009A517F">
              <w:rPr>
                <w:b/>
                <w:bCs/>
                <w:sz w:val="22"/>
                <w:szCs w:val="22"/>
              </w:rPr>
              <w:t xml:space="preserve"> </w:t>
            </w:r>
            <w:r w:rsidRPr="009A517F">
              <w:rPr>
                <w:b/>
                <w:bCs/>
                <w:sz w:val="22"/>
                <w:szCs w:val="22"/>
              </w:rPr>
              <w:t>v.</w:t>
            </w:r>
          </w:p>
          <w:p w14:paraId="0D60D8BA" w14:textId="77777777" w:rsidR="006822E7" w:rsidRPr="009A517F" w:rsidRDefault="006822E7" w:rsidP="009A517F">
            <w:pPr>
              <w:ind w:right="86"/>
              <w:rPr>
                <w:b/>
                <w:bCs/>
                <w:sz w:val="22"/>
                <w:szCs w:val="22"/>
              </w:rPr>
            </w:pPr>
            <w:r w:rsidRPr="009A517F">
              <w:rPr>
                <w:sz w:val="22"/>
                <w:szCs w:val="22"/>
              </w:rPr>
              <w:t>Úvodná dávka: 0,5 mg V prípade potreby zvyšovanie pomalou titráciou.</w:t>
            </w:r>
            <w:r w:rsidRPr="009A517F">
              <w:rPr>
                <w:b/>
                <w:bCs/>
                <w:sz w:val="22"/>
                <w:szCs w:val="22"/>
              </w:rPr>
              <w:t xml:space="preserve"> </w:t>
            </w:r>
          </w:p>
          <w:p w14:paraId="57670F77" w14:textId="399C6161" w:rsidR="006822E7" w:rsidRPr="009A517F" w:rsidRDefault="006822E7" w:rsidP="009A517F">
            <w:pPr>
              <w:ind w:right="86"/>
              <w:rPr>
                <w:sz w:val="22"/>
                <w:szCs w:val="22"/>
              </w:rPr>
            </w:pPr>
            <w:r w:rsidRPr="009A517F">
              <w:rPr>
                <w:b/>
                <w:bCs/>
                <w:sz w:val="22"/>
                <w:szCs w:val="22"/>
              </w:rPr>
              <w:t>i.</w:t>
            </w:r>
            <w:r w:rsidR="0028332C" w:rsidRPr="009A517F">
              <w:rPr>
                <w:b/>
                <w:bCs/>
                <w:sz w:val="22"/>
                <w:szCs w:val="22"/>
              </w:rPr>
              <w:t xml:space="preserve"> </w:t>
            </w:r>
            <w:r w:rsidRPr="009A517F">
              <w:rPr>
                <w:b/>
                <w:bCs/>
                <w:sz w:val="22"/>
                <w:szCs w:val="22"/>
              </w:rPr>
              <w:t>m.</w:t>
            </w:r>
          </w:p>
          <w:p w14:paraId="27C93567" w14:textId="1A007B92" w:rsidR="006822E7" w:rsidRPr="009A517F" w:rsidRDefault="006822E7" w:rsidP="009A517F">
            <w:pPr>
              <w:rPr>
                <w:sz w:val="22"/>
                <w:szCs w:val="22"/>
              </w:rPr>
            </w:pPr>
            <w:r w:rsidRPr="009A517F">
              <w:rPr>
                <w:sz w:val="22"/>
                <w:szCs w:val="22"/>
              </w:rPr>
              <w:t>0,025</w:t>
            </w:r>
            <w:r w:rsidR="0028332C" w:rsidRPr="009A517F">
              <w:rPr>
                <w:sz w:val="22"/>
                <w:szCs w:val="22"/>
              </w:rPr>
              <w:t> – </w:t>
            </w:r>
            <w:r w:rsidRPr="009A517F">
              <w:rPr>
                <w:sz w:val="22"/>
                <w:szCs w:val="22"/>
              </w:rPr>
              <w:t xml:space="preserve">0,05 mg/kg </w:t>
            </w:r>
          </w:p>
        </w:tc>
        <w:tc>
          <w:tcPr>
            <w:tcW w:w="1509" w:type="pct"/>
            <w:tcBorders>
              <w:top w:val="single" w:sz="4" w:space="0" w:color="000000"/>
              <w:left w:val="single" w:sz="4" w:space="0" w:color="000000"/>
              <w:bottom w:val="single" w:sz="4" w:space="0" w:color="000000"/>
              <w:right w:val="single" w:sz="4" w:space="0" w:color="000000"/>
            </w:tcBorders>
            <w:shd w:val="clear" w:color="auto" w:fill="auto"/>
          </w:tcPr>
          <w:p w14:paraId="6D127CD8" w14:textId="77777777" w:rsidR="006822E7" w:rsidRPr="009A517F" w:rsidRDefault="006822E7" w:rsidP="009A517F">
            <w:pPr>
              <w:rPr>
                <w:b/>
                <w:bCs/>
                <w:sz w:val="22"/>
                <w:szCs w:val="22"/>
              </w:rPr>
            </w:pPr>
            <w:r w:rsidRPr="009A517F">
              <w:rPr>
                <w:b/>
                <w:bCs/>
                <w:sz w:val="22"/>
                <w:szCs w:val="22"/>
              </w:rPr>
              <w:t>Rektálne podanie u detí starších ako 6 mesiacov</w:t>
            </w:r>
          </w:p>
          <w:p w14:paraId="794C4ECB" w14:textId="27F3DF77" w:rsidR="006822E7" w:rsidRPr="009A517F" w:rsidRDefault="006822E7" w:rsidP="009A517F">
            <w:pPr>
              <w:rPr>
                <w:sz w:val="22"/>
                <w:szCs w:val="22"/>
              </w:rPr>
            </w:pPr>
            <w:r w:rsidRPr="009A517F">
              <w:rPr>
                <w:sz w:val="22"/>
                <w:szCs w:val="22"/>
              </w:rPr>
              <w:t>0,3</w:t>
            </w:r>
            <w:r w:rsidR="0028332C" w:rsidRPr="009A517F">
              <w:rPr>
                <w:sz w:val="22"/>
                <w:szCs w:val="22"/>
              </w:rPr>
              <w:t> – </w:t>
            </w:r>
            <w:r w:rsidRPr="009A517F">
              <w:rPr>
                <w:sz w:val="22"/>
                <w:szCs w:val="22"/>
              </w:rPr>
              <w:t>0,5 mg/kg</w:t>
            </w:r>
          </w:p>
          <w:p w14:paraId="7F77CA56" w14:textId="6EA5636E" w:rsidR="006822E7" w:rsidRPr="009A517F" w:rsidRDefault="006822E7" w:rsidP="009A517F">
            <w:pPr>
              <w:rPr>
                <w:b/>
                <w:bCs/>
                <w:sz w:val="22"/>
                <w:szCs w:val="22"/>
              </w:rPr>
            </w:pPr>
            <w:r w:rsidRPr="009A517F">
              <w:rPr>
                <w:b/>
                <w:bCs/>
                <w:sz w:val="22"/>
                <w:szCs w:val="22"/>
              </w:rPr>
              <w:t>i.</w:t>
            </w:r>
            <w:r w:rsidR="0028332C" w:rsidRPr="009A517F">
              <w:rPr>
                <w:b/>
                <w:bCs/>
                <w:sz w:val="22"/>
                <w:szCs w:val="22"/>
              </w:rPr>
              <w:t xml:space="preserve"> </w:t>
            </w:r>
            <w:r w:rsidRPr="009A517F">
              <w:rPr>
                <w:b/>
                <w:bCs/>
                <w:sz w:val="22"/>
                <w:szCs w:val="22"/>
              </w:rPr>
              <w:t>m. u detí vo veku 1</w:t>
            </w:r>
            <w:r w:rsidR="0028332C" w:rsidRPr="009A517F">
              <w:rPr>
                <w:b/>
                <w:bCs/>
                <w:sz w:val="22"/>
                <w:szCs w:val="22"/>
              </w:rPr>
              <w:t> – </w:t>
            </w:r>
            <w:r w:rsidRPr="009A517F">
              <w:rPr>
                <w:b/>
                <w:bCs/>
                <w:sz w:val="22"/>
                <w:szCs w:val="22"/>
              </w:rPr>
              <w:t>15 rokov</w:t>
            </w:r>
          </w:p>
          <w:p w14:paraId="319A4A8A" w14:textId="5F4ADFC9" w:rsidR="006822E7" w:rsidRPr="009A517F" w:rsidRDefault="006822E7" w:rsidP="009A517F">
            <w:pPr>
              <w:rPr>
                <w:sz w:val="22"/>
                <w:szCs w:val="22"/>
              </w:rPr>
            </w:pPr>
            <w:r w:rsidRPr="009A517F">
              <w:rPr>
                <w:sz w:val="22"/>
                <w:szCs w:val="22"/>
              </w:rPr>
              <w:t>0,08</w:t>
            </w:r>
            <w:r w:rsidR="0028332C" w:rsidRPr="009A517F">
              <w:rPr>
                <w:sz w:val="22"/>
                <w:szCs w:val="22"/>
              </w:rPr>
              <w:t> – </w:t>
            </w:r>
            <w:r w:rsidRPr="009A517F">
              <w:rPr>
                <w:sz w:val="22"/>
                <w:szCs w:val="22"/>
              </w:rPr>
              <w:t>0,2 mg/kg</w:t>
            </w:r>
          </w:p>
        </w:tc>
      </w:tr>
      <w:tr w:rsidR="006822E7" w:rsidRPr="009A517F" w14:paraId="758E6669" w14:textId="77777777" w:rsidTr="006822E7">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F3DD2" w14:textId="180D1A17" w:rsidR="006822E7" w:rsidRPr="009A517F" w:rsidRDefault="0028332C" w:rsidP="009A517F">
            <w:pPr>
              <w:rPr>
                <w:sz w:val="22"/>
                <w:szCs w:val="22"/>
              </w:rPr>
            </w:pPr>
            <w:r w:rsidRPr="009A517F">
              <w:rPr>
                <w:sz w:val="22"/>
                <w:szCs w:val="22"/>
                <w:shd w:val="clear" w:color="auto" w:fill="FFFFFF"/>
              </w:rPr>
              <w:t>Navodenie</w:t>
            </w:r>
            <w:r w:rsidR="006822E7" w:rsidRPr="009A517F">
              <w:rPr>
                <w:sz w:val="22"/>
                <w:szCs w:val="22"/>
                <w:shd w:val="clear" w:color="auto" w:fill="FFFFFF"/>
              </w:rPr>
              <w:t xml:space="preserve"> anestézie</w:t>
            </w:r>
          </w:p>
        </w:tc>
        <w:tc>
          <w:tcPr>
            <w:tcW w:w="1355" w:type="pct"/>
            <w:tcBorders>
              <w:top w:val="single" w:sz="4" w:space="0" w:color="000000"/>
              <w:left w:val="single" w:sz="4" w:space="0" w:color="000000"/>
              <w:bottom w:val="single" w:sz="4" w:space="0" w:color="000000"/>
              <w:right w:val="single" w:sz="4" w:space="0" w:color="000000"/>
            </w:tcBorders>
            <w:shd w:val="clear" w:color="auto" w:fill="auto"/>
          </w:tcPr>
          <w:p w14:paraId="37F35E82" w14:textId="49AE9CB4" w:rsidR="006822E7" w:rsidRPr="009A517F" w:rsidRDefault="006822E7" w:rsidP="009A517F">
            <w:pPr>
              <w:rPr>
                <w:b/>
                <w:sz w:val="22"/>
                <w:szCs w:val="22"/>
              </w:rPr>
            </w:pPr>
            <w:r w:rsidRPr="009A517F">
              <w:rPr>
                <w:b/>
                <w:sz w:val="22"/>
                <w:szCs w:val="22"/>
              </w:rPr>
              <w:t>i.</w:t>
            </w:r>
            <w:r w:rsidR="0028332C" w:rsidRPr="009A517F">
              <w:rPr>
                <w:b/>
                <w:sz w:val="22"/>
                <w:szCs w:val="22"/>
              </w:rPr>
              <w:t xml:space="preserve"> </w:t>
            </w:r>
            <w:r w:rsidRPr="009A517F">
              <w:rPr>
                <w:b/>
                <w:sz w:val="22"/>
                <w:szCs w:val="22"/>
              </w:rPr>
              <w:t>v.</w:t>
            </w:r>
          </w:p>
          <w:p w14:paraId="0E7D6411" w14:textId="13217D34" w:rsidR="006822E7" w:rsidRPr="009A517F" w:rsidRDefault="006822E7" w:rsidP="009A517F">
            <w:pPr>
              <w:rPr>
                <w:sz w:val="22"/>
                <w:szCs w:val="22"/>
              </w:rPr>
            </w:pPr>
            <w:r w:rsidRPr="009A517F">
              <w:rPr>
                <w:sz w:val="22"/>
                <w:szCs w:val="22"/>
              </w:rPr>
              <w:t>0,15</w:t>
            </w:r>
            <w:r w:rsidR="0028332C" w:rsidRPr="009A517F">
              <w:rPr>
                <w:sz w:val="22"/>
                <w:szCs w:val="22"/>
              </w:rPr>
              <w:t> – </w:t>
            </w:r>
            <w:r w:rsidRPr="009A517F">
              <w:rPr>
                <w:sz w:val="22"/>
                <w:szCs w:val="22"/>
              </w:rPr>
              <w:t>0,2 mg/kg (0,3</w:t>
            </w:r>
            <w:r w:rsidR="0028332C" w:rsidRPr="009A517F">
              <w:rPr>
                <w:sz w:val="22"/>
                <w:szCs w:val="22"/>
              </w:rPr>
              <w:t> – </w:t>
            </w:r>
            <w:r w:rsidRPr="009A517F">
              <w:rPr>
                <w:sz w:val="22"/>
                <w:szCs w:val="22"/>
              </w:rPr>
              <w:t xml:space="preserve">0,35 mg/kg bez premedikácie) </w:t>
            </w:r>
          </w:p>
        </w:tc>
        <w:tc>
          <w:tcPr>
            <w:tcW w:w="1491" w:type="pct"/>
            <w:tcBorders>
              <w:top w:val="single" w:sz="4" w:space="0" w:color="000000"/>
              <w:left w:val="single" w:sz="4" w:space="0" w:color="000000"/>
              <w:bottom w:val="single" w:sz="4" w:space="0" w:color="000000"/>
              <w:right w:val="single" w:sz="4" w:space="0" w:color="000000"/>
            </w:tcBorders>
            <w:shd w:val="clear" w:color="auto" w:fill="auto"/>
          </w:tcPr>
          <w:p w14:paraId="7B74AB8D" w14:textId="06CCF6A8" w:rsidR="006822E7" w:rsidRPr="009A517F" w:rsidRDefault="006822E7" w:rsidP="009A517F">
            <w:pPr>
              <w:rPr>
                <w:b/>
                <w:sz w:val="22"/>
                <w:szCs w:val="22"/>
              </w:rPr>
            </w:pPr>
            <w:r w:rsidRPr="009A517F">
              <w:rPr>
                <w:b/>
                <w:sz w:val="22"/>
                <w:szCs w:val="22"/>
              </w:rPr>
              <w:t>i.</w:t>
            </w:r>
            <w:r w:rsidR="0028332C" w:rsidRPr="009A517F">
              <w:rPr>
                <w:b/>
                <w:sz w:val="22"/>
                <w:szCs w:val="22"/>
              </w:rPr>
              <w:t xml:space="preserve"> </w:t>
            </w:r>
            <w:r w:rsidRPr="009A517F">
              <w:rPr>
                <w:b/>
                <w:sz w:val="22"/>
                <w:szCs w:val="22"/>
              </w:rPr>
              <w:t>v.</w:t>
            </w:r>
          </w:p>
          <w:p w14:paraId="45E63616" w14:textId="7A3D51BE" w:rsidR="006822E7" w:rsidRPr="009A517F" w:rsidRDefault="006822E7" w:rsidP="009A517F">
            <w:pPr>
              <w:rPr>
                <w:sz w:val="22"/>
                <w:szCs w:val="22"/>
              </w:rPr>
            </w:pPr>
            <w:r w:rsidRPr="009A517F">
              <w:rPr>
                <w:sz w:val="22"/>
                <w:szCs w:val="22"/>
              </w:rPr>
              <w:t>0,05</w:t>
            </w:r>
            <w:r w:rsidR="0028332C" w:rsidRPr="009A517F">
              <w:rPr>
                <w:sz w:val="22"/>
                <w:szCs w:val="22"/>
              </w:rPr>
              <w:t> – </w:t>
            </w:r>
            <w:r w:rsidRPr="009A517F">
              <w:rPr>
                <w:sz w:val="22"/>
                <w:szCs w:val="22"/>
              </w:rPr>
              <w:t>0,15 mg/kg (0,15</w:t>
            </w:r>
            <w:r w:rsidR="0028332C" w:rsidRPr="009A517F">
              <w:rPr>
                <w:sz w:val="22"/>
                <w:szCs w:val="22"/>
              </w:rPr>
              <w:t> – </w:t>
            </w:r>
            <w:r w:rsidRPr="009A517F">
              <w:rPr>
                <w:sz w:val="22"/>
                <w:szCs w:val="22"/>
              </w:rPr>
              <w:t>0,3</w:t>
            </w:r>
            <w:r w:rsidR="0028332C" w:rsidRPr="009A517F">
              <w:rPr>
                <w:sz w:val="22"/>
                <w:szCs w:val="22"/>
              </w:rPr>
              <w:t> </w:t>
            </w:r>
            <w:r w:rsidRPr="009A517F">
              <w:rPr>
                <w:sz w:val="22"/>
                <w:szCs w:val="22"/>
              </w:rPr>
              <w:t xml:space="preserve">mg/kg bez premedikácie) </w:t>
            </w:r>
          </w:p>
        </w:tc>
        <w:tc>
          <w:tcPr>
            <w:tcW w:w="1509" w:type="pct"/>
            <w:tcBorders>
              <w:top w:val="single" w:sz="4" w:space="0" w:color="000000"/>
              <w:left w:val="single" w:sz="4" w:space="0" w:color="000000"/>
              <w:bottom w:val="single" w:sz="4" w:space="0" w:color="000000"/>
              <w:right w:val="single" w:sz="4" w:space="0" w:color="000000"/>
            </w:tcBorders>
            <w:shd w:val="clear" w:color="auto" w:fill="auto"/>
          </w:tcPr>
          <w:p w14:paraId="2BB5B931" w14:textId="77777777" w:rsidR="006822E7" w:rsidRPr="009A517F" w:rsidRDefault="006822E7" w:rsidP="009A517F">
            <w:pPr>
              <w:rPr>
                <w:sz w:val="22"/>
                <w:szCs w:val="22"/>
              </w:rPr>
            </w:pPr>
            <w:r w:rsidRPr="009A517F">
              <w:rPr>
                <w:sz w:val="22"/>
                <w:szCs w:val="22"/>
              </w:rPr>
              <w:t xml:space="preserve"> </w:t>
            </w:r>
          </w:p>
        </w:tc>
      </w:tr>
      <w:tr w:rsidR="006822E7" w:rsidRPr="009A517F" w14:paraId="7423485D" w14:textId="77777777" w:rsidTr="006822E7">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BD3A3" w14:textId="77777777" w:rsidR="006822E7" w:rsidRPr="009A517F" w:rsidRDefault="006822E7" w:rsidP="009A517F">
            <w:pPr>
              <w:rPr>
                <w:sz w:val="22"/>
                <w:szCs w:val="22"/>
              </w:rPr>
            </w:pPr>
            <w:r w:rsidRPr="009A517F">
              <w:rPr>
                <w:sz w:val="22"/>
                <w:szCs w:val="22"/>
                <w:shd w:val="clear" w:color="auto" w:fill="FFFFFF"/>
              </w:rPr>
              <w:t>Sedatívna zložka pri kombinovanej anestézii</w:t>
            </w:r>
          </w:p>
        </w:tc>
        <w:tc>
          <w:tcPr>
            <w:tcW w:w="1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2FA0B" w14:textId="1D75E0D5" w:rsidR="006822E7" w:rsidRPr="009A517F" w:rsidRDefault="006822E7" w:rsidP="009A517F">
            <w:pPr>
              <w:rPr>
                <w:b/>
                <w:bCs/>
                <w:sz w:val="22"/>
                <w:szCs w:val="22"/>
              </w:rPr>
            </w:pPr>
            <w:r w:rsidRPr="009A517F">
              <w:rPr>
                <w:b/>
                <w:bCs/>
                <w:sz w:val="22"/>
                <w:szCs w:val="22"/>
              </w:rPr>
              <w:t>i.</w:t>
            </w:r>
            <w:r w:rsidR="0028332C" w:rsidRPr="009A517F">
              <w:rPr>
                <w:b/>
                <w:bCs/>
                <w:sz w:val="22"/>
                <w:szCs w:val="22"/>
              </w:rPr>
              <w:t xml:space="preserve"> </w:t>
            </w:r>
            <w:r w:rsidRPr="009A517F">
              <w:rPr>
                <w:b/>
                <w:bCs/>
                <w:sz w:val="22"/>
                <w:szCs w:val="22"/>
              </w:rPr>
              <w:t>v.</w:t>
            </w:r>
          </w:p>
          <w:p w14:paraId="216F4C25" w14:textId="240D25CE" w:rsidR="006822E7" w:rsidRPr="009A517F" w:rsidRDefault="006822E7" w:rsidP="009A517F">
            <w:pPr>
              <w:rPr>
                <w:sz w:val="22"/>
                <w:szCs w:val="22"/>
              </w:rPr>
            </w:pPr>
            <w:r w:rsidRPr="009A517F">
              <w:rPr>
                <w:sz w:val="22"/>
                <w:szCs w:val="22"/>
              </w:rPr>
              <w:t>intermitentné dávky 0,03</w:t>
            </w:r>
            <w:r w:rsidR="0028332C" w:rsidRPr="009A517F">
              <w:rPr>
                <w:sz w:val="22"/>
                <w:szCs w:val="22"/>
              </w:rPr>
              <w:t> – </w:t>
            </w:r>
            <w:r w:rsidRPr="009A517F">
              <w:rPr>
                <w:sz w:val="22"/>
                <w:szCs w:val="22"/>
              </w:rPr>
              <w:t>0,1 mg/kg alebo kontinuálna infúzia 0,03</w:t>
            </w:r>
            <w:r w:rsidR="0028332C" w:rsidRPr="009A517F">
              <w:rPr>
                <w:sz w:val="22"/>
                <w:szCs w:val="22"/>
              </w:rPr>
              <w:t> – </w:t>
            </w:r>
            <w:r w:rsidRPr="009A517F">
              <w:rPr>
                <w:sz w:val="22"/>
                <w:szCs w:val="22"/>
              </w:rPr>
              <w:t>0,1 mg/kg/h</w:t>
            </w:r>
          </w:p>
        </w:tc>
        <w:tc>
          <w:tcPr>
            <w:tcW w:w="1491" w:type="pct"/>
            <w:tcBorders>
              <w:top w:val="single" w:sz="4" w:space="0" w:color="000000"/>
              <w:left w:val="single" w:sz="4" w:space="0" w:color="000000"/>
              <w:bottom w:val="single" w:sz="4" w:space="0" w:color="000000"/>
              <w:right w:val="single" w:sz="4" w:space="0" w:color="000000"/>
            </w:tcBorders>
            <w:shd w:val="clear" w:color="auto" w:fill="auto"/>
          </w:tcPr>
          <w:p w14:paraId="45C8DA3E" w14:textId="277027CE" w:rsidR="006822E7" w:rsidRPr="009A517F" w:rsidRDefault="006822E7" w:rsidP="009A517F">
            <w:pPr>
              <w:rPr>
                <w:b/>
                <w:bCs/>
                <w:sz w:val="22"/>
                <w:szCs w:val="22"/>
              </w:rPr>
            </w:pPr>
            <w:r w:rsidRPr="009A517F">
              <w:rPr>
                <w:b/>
                <w:bCs/>
                <w:sz w:val="22"/>
                <w:szCs w:val="22"/>
              </w:rPr>
              <w:t>i.</w:t>
            </w:r>
            <w:r w:rsidR="0028332C" w:rsidRPr="009A517F">
              <w:rPr>
                <w:b/>
                <w:bCs/>
                <w:sz w:val="22"/>
                <w:szCs w:val="22"/>
              </w:rPr>
              <w:t xml:space="preserve"> </w:t>
            </w:r>
            <w:r w:rsidRPr="009A517F">
              <w:rPr>
                <w:b/>
                <w:bCs/>
                <w:sz w:val="22"/>
                <w:szCs w:val="22"/>
              </w:rPr>
              <w:t>v.</w:t>
            </w:r>
          </w:p>
          <w:p w14:paraId="45695C35" w14:textId="77777777" w:rsidR="006822E7" w:rsidRPr="009A517F" w:rsidRDefault="006822E7" w:rsidP="009A517F">
            <w:pPr>
              <w:rPr>
                <w:sz w:val="22"/>
                <w:szCs w:val="22"/>
              </w:rPr>
            </w:pPr>
            <w:r w:rsidRPr="009A517F">
              <w:rPr>
                <w:sz w:val="22"/>
                <w:szCs w:val="22"/>
              </w:rPr>
              <w:t>dávky nižšie ako je odporúčané pre dospelých vo veku do 60 rokov</w:t>
            </w:r>
          </w:p>
        </w:tc>
        <w:tc>
          <w:tcPr>
            <w:tcW w:w="1509" w:type="pct"/>
            <w:tcBorders>
              <w:top w:val="single" w:sz="4" w:space="0" w:color="000000"/>
              <w:left w:val="single" w:sz="4" w:space="0" w:color="000000"/>
              <w:bottom w:val="single" w:sz="4" w:space="0" w:color="000000"/>
              <w:right w:val="single" w:sz="4" w:space="0" w:color="000000"/>
            </w:tcBorders>
            <w:shd w:val="clear" w:color="auto" w:fill="auto"/>
          </w:tcPr>
          <w:p w14:paraId="7603355E" w14:textId="77777777" w:rsidR="006822E7" w:rsidRPr="009A517F" w:rsidRDefault="006822E7" w:rsidP="009A517F">
            <w:pPr>
              <w:rPr>
                <w:sz w:val="22"/>
                <w:szCs w:val="22"/>
              </w:rPr>
            </w:pPr>
            <w:r w:rsidRPr="009A517F">
              <w:rPr>
                <w:sz w:val="22"/>
                <w:szCs w:val="22"/>
              </w:rPr>
              <w:t xml:space="preserve"> </w:t>
            </w:r>
          </w:p>
        </w:tc>
      </w:tr>
      <w:tr w:rsidR="006822E7" w:rsidRPr="009A517F" w14:paraId="271CEE4D" w14:textId="77777777" w:rsidTr="006822E7">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C0350" w14:textId="77777777" w:rsidR="006822E7" w:rsidRPr="009A517F" w:rsidRDefault="006822E7" w:rsidP="009A517F">
            <w:pPr>
              <w:rPr>
                <w:sz w:val="22"/>
                <w:szCs w:val="22"/>
              </w:rPr>
            </w:pPr>
            <w:r w:rsidRPr="009A517F">
              <w:rPr>
                <w:sz w:val="22"/>
                <w:szCs w:val="22"/>
              </w:rPr>
              <w:t xml:space="preserve">Sedácia na jednotke intenzívnej </w:t>
            </w:r>
            <w:r w:rsidRPr="009A517F">
              <w:rPr>
                <w:sz w:val="22"/>
                <w:szCs w:val="22"/>
              </w:rPr>
              <w:lastRenderedPageBreak/>
              <w:t>starostlivosti (JIS)</w:t>
            </w:r>
          </w:p>
        </w:tc>
        <w:tc>
          <w:tcPr>
            <w:tcW w:w="2846" w:type="pct"/>
            <w:gridSpan w:val="2"/>
            <w:tcBorders>
              <w:top w:val="single" w:sz="4" w:space="0" w:color="000000"/>
              <w:left w:val="single" w:sz="4" w:space="0" w:color="000000"/>
              <w:bottom w:val="single" w:sz="4" w:space="0" w:color="000000"/>
              <w:right w:val="single" w:sz="4" w:space="0" w:color="000000"/>
            </w:tcBorders>
            <w:shd w:val="clear" w:color="auto" w:fill="auto"/>
          </w:tcPr>
          <w:p w14:paraId="6437BA59" w14:textId="26D916C0" w:rsidR="006822E7" w:rsidRPr="009A517F" w:rsidRDefault="006822E7" w:rsidP="009A517F">
            <w:pPr>
              <w:rPr>
                <w:b/>
                <w:bCs/>
                <w:sz w:val="22"/>
                <w:szCs w:val="22"/>
              </w:rPr>
            </w:pPr>
            <w:r w:rsidRPr="009A517F">
              <w:rPr>
                <w:b/>
                <w:bCs/>
                <w:sz w:val="22"/>
                <w:szCs w:val="22"/>
              </w:rPr>
              <w:lastRenderedPageBreak/>
              <w:t>i.</w:t>
            </w:r>
            <w:r w:rsidR="0028332C" w:rsidRPr="009A517F">
              <w:rPr>
                <w:b/>
                <w:bCs/>
                <w:sz w:val="22"/>
                <w:szCs w:val="22"/>
              </w:rPr>
              <w:t xml:space="preserve"> </w:t>
            </w:r>
            <w:r w:rsidRPr="009A517F">
              <w:rPr>
                <w:b/>
                <w:bCs/>
                <w:sz w:val="22"/>
                <w:szCs w:val="22"/>
              </w:rPr>
              <w:t>v.</w:t>
            </w:r>
          </w:p>
          <w:p w14:paraId="48F4E191" w14:textId="4B946CEF" w:rsidR="006822E7" w:rsidRPr="009A517F" w:rsidRDefault="006822E7" w:rsidP="009A517F">
            <w:pPr>
              <w:ind w:right="318"/>
              <w:rPr>
                <w:sz w:val="22"/>
                <w:szCs w:val="22"/>
              </w:rPr>
            </w:pPr>
            <w:r w:rsidRPr="009A517F">
              <w:rPr>
                <w:sz w:val="22"/>
                <w:szCs w:val="22"/>
              </w:rPr>
              <w:t>Nasycovacia dávka: 0,03</w:t>
            </w:r>
            <w:r w:rsidR="0028332C" w:rsidRPr="009A517F">
              <w:rPr>
                <w:sz w:val="22"/>
                <w:szCs w:val="22"/>
              </w:rPr>
              <w:t> – </w:t>
            </w:r>
            <w:r w:rsidRPr="009A517F">
              <w:rPr>
                <w:sz w:val="22"/>
                <w:szCs w:val="22"/>
              </w:rPr>
              <w:t>0,3 mg/kg v čiastkových dávkach po 1</w:t>
            </w:r>
            <w:r w:rsidR="0028332C" w:rsidRPr="009A517F">
              <w:rPr>
                <w:sz w:val="22"/>
                <w:szCs w:val="22"/>
              </w:rPr>
              <w:t> – </w:t>
            </w:r>
            <w:r w:rsidRPr="009A517F">
              <w:rPr>
                <w:sz w:val="22"/>
                <w:szCs w:val="22"/>
              </w:rPr>
              <w:t xml:space="preserve">2,5 mg </w:t>
            </w:r>
          </w:p>
          <w:p w14:paraId="757E4D77" w14:textId="6033E647" w:rsidR="006822E7" w:rsidRPr="009A517F" w:rsidRDefault="006822E7" w:rsidP="009A517F">
            <w:pPr>
              <w:ind w:right="318"/>
              <w:rPr>
                <w:sz w:val="22"/>
                <w:szCs w:val="22"/>
              </w:rPr>
            </w:pPr>
            <w:r w:rsidRPr="009A517F">
              <w:rPr>
                <w:sz w:val="22"/>
                <w:szCs w:val="22"/>
              </w:rPr>
              <w:t>Udržiavacia dávka: 0,03</w:t>
            </w:r>
            <w:r w:rsidR="0028332C" w:rsidRPr="009A517F">
              <w:rPr>
                <w:sz w:val="22"/>
                <w:szCs w:val="22"/>
              </w:rPr>
              <w:t> – </w:t>
            </w:r>
            <w:r w:rsidRPr="009A517F">
              <w:rPr>
                <w:sz w:val="22"/>
                <w:szCs w:val="22"/>
              </w:rPr>
              <w:t>0,2 mg/kg/h</w:t>
            </w:r>
          </w:p>
        </w:tc>
        <w:tc>
          <w:tcPr>
            <w:tcW w:w="1509" w:type="pct"/>
            <w:tcBorders>
              <w:top w:val="single" w:sz="4" w:space="0" w:color="000000"/>
              <w:left w:val="single" w:sz="4" w:space="0" w:color="000000"/>
              <w:bottom w:val="single" w:sz="4" w:space="0" w:color="000000"/>
              <w:right w:val="single" w:sz="4" w:space="0" w:color="000000"/>
            </w:tcBorders>
            <w:shd w:val="clear" w:color="auto" w:fill="auto"/>
          </w:tcPr>
          <w:p w14:paraId="096ECD9D" w14:textId="52D92A0C" w:rsidR="006822E7" w:rsidRPr="009A517F" w:rsidRDefault="006822E7" w:rsidP="009A517F">
            <w:pPr>
              <w:pStyle w:val="Normlnywebov"/>
              <w:shd w:val="clear" w:color="auto" w:fill="FFFFFF"/>
              <w:spacing w:before="0" w:beforeAutospacing="0" w:after="0" w:afterAutospacing="0"/>
              <w:rPr>
                <w:color w:val="000000"/>
                <w:sz w:val="22"/>
                <w:szCs w:val="22"/>
                <w:lang w:val="sk-SK"/>
              </w:rPr>
            </w:pPr>
            <w:r w:rsidRPr="009A517F">
              <w:rPr>
                <w:b/>
                <w:bCs/>
                <w:color w:val="000000"/>
                <w:sz w:val="22"/>
                <w:szCs w:val="22"/>
                <w:lang w:val="sk-SK"/>
              </w:rPr>
              <w:t>i.</w:t>
            </w:r>
            <w:r w:rsidR="0028332C" w:rsidRPr="009A517F">
              <w:rPr>
                <w:b/>
                <w:bCs/>
                <w:color w:val="000000"/>
                <w:sz w:val="22"/>
                <w:szCs w:val="22"/>
                <w:lang w:val="sk-SK"/>
              </w:rPr>
              <w:t xml:space="preserve"> </w:t>
            </w:r>
            <w:r w:rsidRPr="009A517F">
              <w:rPr>
                <w:b/>
                <w:bCs/>
                <w:color w:val="000000"/>
                <w:sz w:val="22"/>
                <w:szCs w:val="22"/>
                <w:lang w:val="sk-SK"/>
              </w:rPr>
              <w:t>v. u novorodencov s gestačným vekom &lt;</w:t>
            </w:r>
            <w:r w:rsidR="0028332C" w:rsidRPr="009A517F">
              <w:rPr>
                <w:b/>
                <w:bCs/>
                <w:color w:val="000000"/>
                <w:sz w:val="22"/>
                <w:szCs w:val="22"/>
                <w:lang w:val="sk-SK"/>
              </w:rPr>
              <w:t> </w:t>
            </w:r>
            <w:r w:rsidRPr="009A517F">
              <w:rPr>
                <w:b/>
                <w:bCs/>
                <w:color w:val="000000"/>
                <w:sz w:val="22"/>
                <w:szCs w:val="22"/>
                <w:lang w:val="sk-SK"/>
              </w:rPr>
              <w:t>32 týždňov</w:t>
            </w:r>
          </w:p>
          <w:p w14:paraId="7AD2AB6A" w14:textId="57F2AAC4" w:rsidR="006822E7" w:rsidRDefault="006822E7" w:rsidP="009A517F">
            <w:pPr>
              <w:pStyle w:val="Normlnywebov"/>
              <w:shd w:val="clear" w:color="auto" w:fill="FFFFFF"/>
              <w:spacing w:before="0" w:beforeAutospacing="0" w:after="0" w:afterAutospacing="0"/>
              <w:rPr>
                <w:color w:val="000000"/>
                <w:sz w:val="22"/>
                <w:szCs w:val="22"/>
                <w:lang w:val="sk-SK"/>
              </w:rPr>
            </w:pPr>
            <w:r w:rsidRPr="009A517F">
              <w:rPr>
                <w:color w:val="000000"/>
                <w:sz w:val="22"/>
                <w:szCs w:val="22"/>
                <w:lang w:val="sk-SK"/>
              </w:rPr>
              <w:t>0,03</w:t>
            </w:r>
            <w:r w:rsidR="0028332C" w:rsidRPr="009A517F">
              <w:rPr>
                <w:color w:val="000000"/>
                <w:sz w:val="22"/>
                <w:szCs w:val="22"/>
                <w:lang w:val="sk-SK"/>
              </w:rPr>
              <w:t> </w:t>
            </w:r>
            <w:r w:rsidRPr="009A517F">
              <w:rPr>
                <w:color w:val="000000"/>
                <w:sz w:val="22"/>
                <w:szCs w:val="22"/>
                <w:lang w:val="sk-SK"/>
              </w:rPr>
              <w:t>mg/kg/h</w:t>
            </w:r>
          </w:p>
          <w:p w14:paraId="1F81D165" w14:textId="77777777" w:rsidR="00E1235F" w:rsidRPr="009A517F" w:rsidRDefault="00E1235F" w:rsidP="009A517F">
            <w:pPr>
              <w:pStyle w:val="Normlnywebov"/>
              <w:shd w:val="clear" w:color="auto" w:fill="FFFFFF"/>
              <w:spacing w:before="0" w:beforeAutospacing="0" w:after="0" w:afterAutospacing="0"/>
              <w:rPr>
                <w:color w:val="000000"/>
                <w:sz w:val="22"/>
                <w:szCs w:val="22"/>
                <w:lang w:val="sk-SK"/>
              </w:rPr>
            </w:pPr>
          </w:p>
          <w:p w14:paraId="7F07083A" w14:textId="23BA5992" w:rsidR="006822E7" w:rsidRPr="009A517F" w:rsidRDefault="006822E7" w:rsidP="009A517F">
            <w:pPr>
              <w:pStyle w:val="Normlnywebov"/>
              <w:shd w:val="clear" w:color="auto" w:fill="FFFFFF"/>
              <w:spacing w:before="0" w:beforeAutospacing="0" w:after="0" w:afterAutospacing="0"/>
              <w:rPr>
                <w:color w:val="000000"/>
                <w:sz w:val="22"/>
                <w:szCs w:val="22"/>
                <w:lang w:val="sk-SK"/>
              </w:rPr>
            </w:pPr>
            <w:r w:rsidRPr="009A517F">
              <w:rPr>
                <w:b/>
                <w:bCs/>
                <w:color w:val="000000"/>
                <w:sz w:val="22"/>
                <w:szCs w:val="22"/>
                <w:lang w:val="sk-SK"/>
              </w:rPr>
              <w:t>i.</w:t>
            </w:r>
            <w:r w:rsidR="0028332C" w:rsidRPr="009A517F">
              <w:rPr>
                <w:b/>
                <w:bCs/>
                <w:color w:val="000000"/>
                <w:sz w:val="22"/>
                <w:szCs w:val="22"/>
                <w:lang w:val="sk-SK"/>
              </w:rPr>
              <w:t xml:space="preserve"> </w:t>
            </w:r>
            <w:r w:rsidRPr="009A517F">
              <w:rPr>
                <w:b/>
                <w:bCs/>
                <w:color w:val="000000"/>
                <w:sz w:val="22"/>
                <w:szCs w:val="22"/>
                <w:lang w:val="sk-SK"/>
              </w:rPr>
              <w:t>v. u novorodencov s gestačným vekom &gt;</w:t>
            </w:r>
            <w:r w:rsidR="0028332C" w:rsidRPr="009A517F">
              <w:rPr>
                <w:b/>
                <w:bCs/>
                <w:color w:val="000000"/>
                <w:sz w:val="22"/>
                <w:szCs w:val="22"/>
                <w:lang w:val="sk-SK"/>
              </w:rPr>
              <w:t> </w:t>
            </w:r>
            <w:r w:rsidRPr="009A517F">
              <w:rPr>
                <w:b/>
                <w:bCs/>
                <w:color w:val="000000"/>
                <w:sz w:val="22"/>
                <w:szCs w:val="22"/>
                <w:lang w:val="sk-SK"/>
              </w:rPr>
              <w:t>32 týždňov a</w:t>
            </w:r>
            <w:r w:rsidR="0028332C" w:rsidRPr="009A517F">
              <w:rPr>
                <w:b/>
                <w:bCs/>
                <w:color w:val="000000"/>
                <w:sz w:val="22"/>
                <w:szCs w:val="22"/>
                <w:lang w:val="sk-SK"/>
              </w:rPr>
              <w:t xml:space="preserve"> u </w:t>
            </w:r>
            <w:r w:rsidRPr="009A517F">
              <w:rPr>
                <w:b/>
                <w:bCs/>
                <w:color w:val="000000"/>
                <w:sz w:val="22"/>
                <w:szCs w:val="22"/>
                <w:lang w:val="sk-SK"/>
              </w:rPr>
              <w:t>detí vo veku do 6 mesiacov</w:t>
            </w:r>
          </w:p>
          <w:p w14:paraId="4BD389B0" w14:textId="77777777" w:rsidR="006822E7" w:rsidRDefault="006822E7" w:rsidP="009A517F">
            <w:pPr>
              <w:pStyle w:val="Normlnywebov"/>
              <w:shd w:val="clear" w:color="auto" w:fill="FFFFFF"/>
              <w:spacing w:before="0" w:beforeAutospacing="0" w:after="0" w:afterAutospacing="0"/>
              <w:rPr>
                <w:color w:val="000000"/>
                <w:sz w:val="22"/>
                <w:szCs w:val="22"/>
                <w:lang w:val="sk-SK"/>
              </w:rPr>
            </w:pPr>
            <w:r w:rsidRPr="009A517F">
              <w:rPr>
                <w:color w:val="000000"/>
                <w:sz w:val="22"/>
                <w:szCs w:val="22"/>
                <w:lang w:val="sk-SK"/>
              </w:rPr>
              <w:t>0,06 mg/kg/h</w:t>
            </w:r>
          </w:p>
          <w:p w14:paraId="524AD60C" w14:textId="77777777" w:rsidR="00E1235F" w:rsidRPr="009A517F" w:rsidRDefault="00E1235F" w:rsidP="009A517F">
            <w:pPr>
              <w:pStyle w:val="Normlnywebov"/>
              <w:shd w:val="clear" w:color="auto" w:fill="FFFFFF"/>
              <w:spacing w:before="0" w:beforeAutospacing="0" w:after="0" w:afterAutospacing="0"/>
              <w:rPr>
                <w:color w:val="000000"/>
                <w:sz w:val="22"/>
                <w:szCs w:val="22"/>
                <w:lang w:val="sk-SK"/>
              </w:rPr>
            </w:pPr>
          </w:p>
          <w:p w14:paraId="0D55FF14" w14:textId="65E94EDF" w:rsidR="006822E7" w:rsidRPr="009A517F" w:rsidRDefault="006822E7" w:rsidP="009A517F">
            <w:pPr>
              <w:pStyle w:val="Normlnywebov"/>
              <w:shd w:val="clear" w:color="auto" w:fill="FFFFFF"/>
              <w:spacing w:before="0" w:beforeAutospacing="0" w:after="0" w:afterAutospacing="0"/>
              <w:rPr>
                <w:color w:val="000000"/>
                <w:sz w:val="22"/>
                <w:szCs w:val="22"/>
                <w:lang w:val="sk-SK"/>
              </w:rPr>
            </w:pPr>
            <w:r w:rsidRPr="009A517F">
              <w:rPr>
                <w:b/>
                <w:bCs/>
                <w:color w:val="000000"/>
                <w:sz w:val="22"/>
                <w:szCs w:val="22"/>
                <w:lang w:val="sk-SK"/>
              </w:rPr>
              <w:t>i.</w:t>
            </w:r>
            <w:r w:rsidR="0028332C" w:rsidRPr="009A517F">
              <w:rPr>
                <w:b/>
                <w:bCs/>
                <w:color w:val="000000"/>
                <w:sz w:val="22"/>
                <w:szCs w:val="22"/>
                <w:lang w:val="sk-SK"/>
              </w:rPr>
              <w:t xml:space="preserve"> </w:t>
            </w:r>
            <w:r w:rsidRPr="009A517F">
              <w:rPr>
                <w:b/>
                <w:bCs/>
                <w:color w:val="000000"/>
                <w:sz w:val="22"/>
                <w:szCs w:val="22"/>
                <w:lang w:val="sk-SK"/>
              </w:rPr>
              <w:t>v. u detí vo veku &gt;</w:t>
            </w:r>
            <w:r w:rsidR="00EF1961" w:rsidRPr="009A517F">
              <w:rPr>
                <w:b/>
                <w:bCs/>
                <w:color w:val="000000"/>
                <w:sz w:val="22"/>
                <w:szCs w:val="22"/>
                <w:lang w:val="sk-SK"/>
              </w:rPr>
              <w:t> </w:t>
            </w:r>
            <w:r w:rsidRPr="009A517F">
              <w:rPr>
                <w:b/>
                <w:bCs/>
                <w:color w:val="000000"/>
                <w:sz w:val="22"/>
                <w:szCs w:val="22"/>
                <w:lang w:val="sk-SK"/>
              </w:rPr>
              <w:t>6 mesiacov</w:t>
            </w:r>
          </w:p>
          <w:p w14:paraId="37276973" w14:textId="5DD3AE58" w:rsidR="006822E7" w:rsidRPr="009A517F" w:rsidRDefault="006822E7" w:rsidP="009A517F">
            <w:pPr>
              <w:pStyle w:val="Normlnywebov"/>
              <w:shd w:val="clear" w:color="auto" w:fill="FFFFFF"/>
              <w:spacing w:before="0" w:beforeAutospacing="0" w:after="0" w:afterAutospacing="0"/>
              <w:rPr>
                <w:color w:val="000000"/>
                <w:sz w:val="22"/>
                <w:szCs w:val="22"/>
                <w:lang w:val="sk-SK"/>
              </w:rPr>
            </w:pPr>
            <w:r w:rsidRPr="009A517F">
              <w:rPr>
                <w:color w:val="000000"/>
                <w:sz w:val="22"/>
                <w:szCs w:val="22"/>
                <w:lang w:val="sk-SK"/>
              </w:rPr>
              <w:t>Nasycovacia dávka: 0,05</w:t>
            </w:r>
            <w:r w:rsidR="00EF1961" w:rsidRPr="009A517F">
              <w:rPr>
                <w:color w:val="000000"/>
                <w:sz w:val="22"/>
                <w:szCs w:val="22"/>
                <w:lang w:val="sk-SK"/>
              </w:rPr>
              <w:t> – </w:t>
            </w:r>
            <w:r w:rsidRPr="009A517F">
              <w:rPr>
                <w:color w:val="000000"/>
                <w:sz w:val="22"/>
                <w:szCs w:val="22"/>
                <w:lang w:val="sk-SK"/>
              </w:rPr>
              <w:t>0,2 mg/kg</w:t>
            </w:r>
          </w:p>
          <w:p w14:paraId="7E0529AE" w14:textId="60A0DC34" w:rsidR="006822E7" w:rsidRPr="009A517F" w:rsidRDefault="006822E7" w:rsidP="009A517F">
            <w:pPr>
              <w:pStyle w:val="Normlnywebov"/>
              <w:shd w:val="clear" w:color="auto" w:fill="FFFFFF"/>
              <w:spacing w:before="0" w:beforeAutospacing="0" w:after="0" w:afterAutospacing="0"/>
              <w:rPr>
                <w:color w:val="000000"/>
                <w:sz w:val="22"/>
                <w:szCs w:val="22"/>
                <w:lang w:val="sk-SK"/>
              </w:rPr>
            </w:pPr>
            <w:r w:rsidRPr="009A517F">
              <w:rPr>
                <w:color w:val="000000"/>
                <w:sz w:val="22"/>
                <w:szCs w:val="22"/>
                <w:lang w:val="sk-SK"/>
              </w:rPr>
              <w:t>Udržiavacia dávka: 0,06</w:t>
            </w:r>
            <w:r w:rsidR="00EF1961" w:rsidRPr="009A517F">
              <w:rPr>
                <w:color w:val="000000"/>
                <w:sz w:val="22"/>
                <w:szCs w:val="22"/>
                <w:lang w:val="sk-SK"/>
              </w:rPr>
              <w:t> – </w:t>
            </w:r>
            <w:r w:rsidRPr="009A517F">
              <w:rPr>
                <w:color w:val="000000"/>
                <w:sz w:val="22"/>
                <w:szCs w:val="22"/>
                <w:lang w:val="sk-SK"/>
              </w:rPr>
              <w:t>0,12 mg/kg/h</w:t>
            </w:r>
          </w:p>
        </w:tc>
      </w:tr>
    </w:tbl>
    <w:p w14:paraId="663D3D73" w14:textId="0B96F7FD" w:rsidR="00625CF2" w:rsidRPr="009A517F" w:rsidRDefault="00625CF2" w:rsidP="00625CF2">
      <w:pPr>
        <w:pStyle w:val="Normlnywebov"/>
        <w:spacing w:before="0" w:beforeAutospacing="0" w:after="0" w:afterAutospacing="0"/>
        <w:rPr>
          <w:sz w:val="22"/>
          <w:szCs w:val="22"/>
          <w:lang w:val="sk-SK"/>
        </w:rPr>
      </w:pPr>
    </w:p>
    <w:p w14:paraId="39B450BE" w14:textId="558A6CD4" w:rsidR="00EF1961" w:rsidRPr="009A517F" w:rsidRDefault="00EF1961" w:rsidP="00625CF2">
      <w:pPr>
        <w:pStyle w:val="Normlnywebov"/>
        <w:spacing w:before="0" w:beforeAutospacing="0" w:after="0" w:afterAutospacing="0"/>
        <w:rPr>
          <w:sz w:val="22"/>
          <w:szCs w:val="22"/>
          <w:lang w:val="sk-SK"/>
        </w:rPr>
      </w:pPr>
    </w:p>
    <w:p w14:paraId="08F158DB" w14:textId="77777777" w:rsidR="00EF1961" w:rsidRPr="009A517F" w:rsidRDefault="00EF1961" w:rsidP="00EF1961">
      <w:pPr>
        <w:rPr>
          <w:sz w:val="22"/>
          <w:szCs w:val="22"/>
        </w:rPr>
      </w:pPr>
      <w:r w:rsidRPr="009A517F">
        <w:rPr>
          <w:sz w:val="22"/>
          <w:szCs w:val="22"/>
        </w:rPr>
        <w:t>DÁVKOVANIE PRI SEDÁCII PRI VEDOMÍ</w:t>
      </w:r>
    </w:p>
    <w:p w14:paraId="26DCBF6E" w14:textId="77777777" w:rsidR="00EF1961" w:rsidRPr="009A517F" w:rsidRDefault="00EF1961" w:rsidP="00EF1961">
      <w:pPr>
        <w:rPr>
          <w:sz w:val="22"/>
          <w:szCs w:val="22"/>
        </w:rPr>
      </w:pPr>
    </w:p>
    <w:p w14:paraId="4F66445A" w14:textId="77777777" w:rsidR="00931A03" w:rsidRPr="009A517F" w:rsidRDefault="00EF1961" w:rsidP="00EF1961">
      <w:pPr>
        <w:rPr>
          <w:sz w:val="22"/>
          <w:szCs w:val="22"/>
        </w:rPr>
      </w:pPr>
      <w:r w:rsidRPr="009A517F">
        <w:rPr>
          <w:sz w:val="22"/>
          <w:szCs w:val="22"/>
        </w:rPr>
        <w:t xml:space="preserve">Na dosiahnutie sedácie pri vedomí u diagnostických a chirurgických výkonov sa midazolam podáva intravenózne. Príslušná dávka sa stanovuje individuálne. Liek nesmie byť podávaný rýchlo alebo bolusovou injekciou, ale veľkosť dávky sa musí titrovať. </w:t>
      </w:r>
    </w:p>
    <w:p w14:paraId="2DEA7CE3" w14:textId="33514D2B" w:rsidR="00EF1961" w:rsidRPr="009A517F" w:rsidRDefault="00EF1961" w:rsidP="00EF1961">
      <w:pPr>
        <w:rPr>
          <w:sz w:val="22"/>
          <w:szCs w:val="22"/>
        </w:rPr>
      </w:pPr>
      <w:r w:rsidRPr="009A517F">
        <w:rPr>
          <w:sz w:val="22"/>
          <w:szCs w:val="22"/>
        </w:rPr>
        <w:t>Nástup sedácie sa môže individuálne meniť v závislosti od fyzického stavu pacienta a použitého spôsobu dávkovania (napr. rýchlosť podania, veľkosť dávky). Ak je to potrebné, môžu sa podľa individuálnej potreby podať ďalšie dávky. Nástup účinku sa prejaví asi 2 minúty po podaní injekcie. Maximálny účinok sa dosiahne približne do 5</w:t>
      </w:r>
      <w:r w:rsidR="00931A03" w:rsidRPr="009A517F">
        <w:rPr>
          <w:sz w:val="22"/>
          <w:szCs w:val="22"/>
        </w:rPr>
        <w:t> – </w:t>
      </w:r>
      <w:r w:rsidRPr="009A517F">
        <w:rPr>
          <w:sz w:val="22"/>
          <w:szCs w:val="22"/>
        </w:rPr>
        <w:t>10 minút.</w:t>
      </w:r>
    </w:p>
    <w:p w14:paraId="17C5D434" w14:textId="77777777" w:rsidR="00EF1961" w:rsidRPr="009A517F" w:rsidRDefault="00EF1961" w:rsidP="00EF1961">
      <w:pPr>
        <w:rPr>
          <w:sz w:val="22"/>
          <w:szCs w:val="22"/>
        </w:rPr>
      </w:pPr>
    </w:p>
    <w:p w14:paraId="1B6A8A29" w14:textId="77777777" w:rsidR="00EF1961" w:rsidRPr="009A517F" w:rsidRDefault="00EF1961" w:rsidP="00EF1961">
      <w:pPr>
        <w:rPr>
          <w:b/>
          <w:sz w:val="22"/>
          <w:szCs w:val="22"/>
        </w:rPr>
      </w:pPr>
      <w:r w:rsidRPr="009A517F">
        <w:rPr>
          <w:b/>
          <w:sz w:val="22"/>
          <w:szCs w:val="22"/>
        </w:rPr>
        <w:t>Dospelí</w:t>
      </w:r>
    </w:p>
    <w:p w14:paraId="7282C3A6" w14:textId="77777777" w:rsidR="00931A03" w:rsidRPr="009A517F" w:rsidRDefault="00EF1961" w:rsidP="00EF1961">
      <w:pPr>
        <w:rPr>
          <w:sz w:val="22"/>
          <w:szCs w:val="22"/>
        </w:rPr>
      </w:pPr>
      <w:r w:rsidRPr="009A517F">
        <w:rPr>
          <w:sz w:val="22"/>
          <w:szCs w:val="22"/>
        </w:rPr>
        <w:t>Midazolam sa má podávať pomaly ako intravenózna injekcia rýchlosťou približne 1 mg za 30 sekúnd.</w:t>
      </w:r>
    </w:p>
    <w:p w14:paraId="6143145E" w14:textId="520C5AA7" w:rsidR="00EF1961" w:rsidRPr="009A517F" w:rsidRDefault="00EF1961" w:rsidP="00931A03">
      <w:pPr>
        <w:pStyle w:val="Odsekzoznamu"/>
        <w:numPr>
          <w:ilvl w:val="0"/>
          <w:numId w:val="16"/>
        </w:numPr>
        <w:rPr>
          <w:sz w:val="22"/>
          <w:szCs w:val="22"/>
        </w:rPr>
      </w:pPr>
      <w:r w:rsidRPr="009A517F">
        <w:rPr>
          <w:i/>
          <w:sz w:val="22"/>
          <w:szCs w:val="22"/>
          <w:u w:val="single"/>
        </w:rPr>
        <w:t>U dospelých do 60 rokov</w:t>
      </w:r>
      <w:r w:rsidRPr="009A517F">
        <w:rPr>
          <w:sz w:val="22"/>
          <w:szCs w:val="22"/>
        </w:rPr>
        <w:t xml:space="preserve"> sa úvodná dávka 2</w:t>
      </w:r>
      <w:r w:rsidR="00BC2A68" w:rsidRPr="009A517F">
        <w:rPr>
          <w:sz w:val="22"/>
          <w:szCs w:val="22"/>
        </w:rPr>
        <w:t> – </w:t>
      </w:r>
      <w:r w:rsidRPr="009A517F">
        <w:rPr>
          <w:sz w:val="22"/>
          <w:szCs w:val="22"/>
        </w:rPr>
        <w:t>2,5 mg podáva 5 až 10 minút pred začiatkom výkonu. Ak je to potrebné, môžu sa po úvodnej dávke podať ďalšie 1 mg dávky midazolamu. Priemerná celková dávka je 3,5</w:t>
      </w:r>
      <w:r w:rsidR="00BC2A68" w:rsidRPr="009A517F">
        <w:rPr>
          <w:sz w:val="22"/>
          <w:szCs w:val="22"/>
        </w:rPr>
        <w:t> – </w:t>
      </w:r>
      <w:r w:rsidRPr="009A517F">
        <w:rPr>
          <w:sz w:val="22"/>
          <w:szCs w:val="22"/>
        </w:rPr>
        <w:t>7,5 mg. Podanie celkovej dávky vyššej ako 5 mg zvyčajne nie je potrebné.</w:t>
      </w:r>
    </w:p>
    <w:p w14:paraId="6571534E" w14:textId="4E2962AD" w:rsidR="00EF1961" w:rsidRPr="009A517F" w:rsidRDefault="00EF1961" w:rsidP="00931A03">
      <w:pPr>
        <w:pStyle w:val="Odsekzoznamu"/>
        <w:numPr>
          <w:ilvl w:val="0"/>
          <w:numId w:val="17"/>
        </w:numPr>
        <w:rPr>
          <w:sz w:val="22"/>
          <w:szCs w:val="22"/>
        </w:rPr>
      </w:pPr>
      <w:r w:rsidRPr="009A517F">
        <w:rPr>
          <w:i/>
          <w:sz w:val="22"/>
          <w:szCs w:val="22"/>
          <w:u w:val="single"/>
        </w:rPr>
        <w:t>U dospelých nad 60 rokov</w:t>
      </w:r>
      <w:r w:rsidRPr="009A517F">
        <w:rPr>
          <w:sz w:val="22"/>
          <w:szCs w:val="22"/>
        </w:rPr>
        <w:t>, oslabených alebo chronicky chorých pacientov je úvodná dávka 0,5</w:t>
      </w:r>
      <w:r w:rsidR="00BC2A68" w:rsidRPr="009A517F">
        <w:rPr>
          <w:sz w:val="22"/>
          <w:szCs w:val="22"/>
        </w:rPr>
        <w:t> – </w:t>
      </w:r>
      <w:r w:rsidRPr="009A517F">
        <w:rPr>
          <w:sz w:val="22"/>
          <w:szCs w:val="22"/>
        </w:rPr>
        <w:t>1 mg podaná 5 až 10 minút pred začiatkom výkonu. Ak je to potrebné, môžu sa podať ďalšie dávky 0,5</w:t>
      </w:r>
      <w:r w:rsidR="00BC2A68" w:rsidRPr="009A517F">
        <w:rPr>
          <w:sz w:val="22"/>
          <w:szCs w:val="22"/>
        </w:rPr>
        <w:t> – </w:t>
      </w:r>
      <w:r w:rsidRPr="009A517F">
        <w:rPr>
          <w:sz w:val="22"/>
          <w:szCs w:val="22"/>
        </w:rPr>
        <w:t xml:space="preserve">1 mg midazolamu. Keďže sa maximálny účinok u týchto pacientov môže dostaviť neskôr, musia byť ďalšie dávky midazolamu titrované veľmi pomaly a opatrne. Podanie celkovej dávky vyššej ako 3,5 mg zvyčajne nie je potrebné. </w:t>
      </w:r>
    </w:p>
    <w:p w14:paraId="4795CC86" w14:textId="77777777" w:rsidR="00EF1961" w:rsidRPr="009A517F" w:rsidRDefault="00EF1961" w:rsidP="00EF1961">
      <w:pPr>
        <w:rPr>
          <w:sz w:val="22"/>
          <w:szCs w:val="22"/>
        </w:rPr>
      </w:pPr>
    </w:p>
    <w:p w14:paraId="58D40DD0" w14:textId="77777777" w:rsidR="00EF1961" w:rsidRPr="009A517F" w:rsidRDefault="00EF1961" w:rsidP="00EF1961">
      <w:pPr>
        <w:rPr>
          <w:b/>
          <w:sz w:val="22"/>
          <w:szCs w:val="22"/>
        </w:rPr>
      </w:pPr>
      <w:r w:rsidRPr="009A517F">
        <w:rPr>
          <w:b/>
          <w:sz w:val="22"/>
          <w:szCs w:val="22"/>
        </w:rPr>
        <w:t>Pediatrická populácia</w:t>
      </w:r>
    </w:p>
    <w:p w14:paraId="5A22DC4C" w14:textId="75BE3631" w:rsidR="00EF1961" w:rsidRPr="009A517F" w:rsidRDefault="00EF1961" w:rsidP="00EF1961">
      <w:pPr>
        <w:rPr>
          <w:sz w:val="22"/>
          <w:szCs w:val="22"/>
        </w:rPr>
      </w:pPr>
      <w:r w:rsidRPr="009A517F">
        <w:rPr>
          <w:b/>
          <w:sz w:val="22"/>
          <w:szCs w:val="22"/>
        </w:rPr>
        <w:t>Intravenózne podanie:</w:t>
      </w:r>
      <w:r w:rsidRPr="009A517F">
        <w:rPr>
          <w:i/>
          <w:sz w:val="22"/>
          <w:szCs w:val="22"/>
        </w:rPr>
        <w:t xml:space="preserve"> </w:t>
      </w:r>
      <w:r w:rsidRPr="009A517F">
        <w:rPr>
          <w:sz w:val="22"/>
          <w:szCs w:val="22"/>
        </w:rPr>
        <w:t xml:space="preserve">Dávky midazolamu sa titrujú pomaly až do dosiahnutia potrebného klinického účinku. Úvodná dávka </w:t>
      </w:r>
      <w:r w:rsidR="00BC2A68" w:rsidRPr="009A517F">
        <w:rPr>
          <w:sz w:val="22"/>
          <w:szCs w:val="22"/>
        </w:rPr>
        <w:t xml:space="preserve">midazolamu </w:t>
      </w:r>
      <w:r w:rsidRPr="009A517F">
        <w:rPr>
          <w:sz w:val="22"/>
          <w:szCs w:val="22"/>
        </w:rPr>
        <w:t>sa má podávať 2</w:t>
      </w:r>
      <w:r w:rsidR="00BC2A68" w:rsidRPr="009A517F">
        <w:rPr>
          <w:sz w:val="22"/>
          <w:szCs w:val="22"/>
        </w:rPr>
        <w:t> – </w:t>
      </w:r>
      <w:r w:rsidRPr="009A517F">
        <w:rPr>
          <w:sz w:val="22"/>
          <w:szCs w:val="22"/>
        </w:rPr>
        <w:t>3 minúty. Pred začiatkom zákroku alebo podaním ďalšej dávky je potrebné počkať ďalších 2</w:t>
      </w:r>
      <w:r w:rsidR="00BC2A68" w:rsidRPr="009A517F">
        <w:rPr>
          <w:sz w:val="22"/>
          <w:szCs w:val="22"/>
        </w:rPr>
        <w:t> – </w:t>
      </w:r>
      <w:r w:rsidRPr="009A517F">
        <w:rPr>
          <w:sz w:val="22"/>
          <w:szCs w:val="22"/>
        </w:rPr>
        <w:t xml:space="preserve">5 minút, kým sa úplne zhodnotí sedatívny účinok. Ak je potrebné zvýšiť sedatívny účinok, pokračuje sa podaním ďalších malých dávok, až kým sa dosiahne potrebná úroveň sedácie. Dojčatá a deti do 5 rokov môžu vyžadovať podstatne vyššie dávky (mg/kg) ako staršie deti alebo adolescenti. </w:t>
      </w:r>
    </w:p>
    <w:p w14:paraId="066A337E" w14:textId="77777777" w:rsidR="00EF1961" w:rsidRPr="009A517F" w:rsidRDefault="00EF1961" w:rsidP="00EF1961">
      <w:pPr>
        <w:rPr>
          <w:sz w:val="22"/>
          <w:szCs w:val="22"/>
        </w:rPr>
      </w:pPr>
    </w:p>
    <w:p w14:paraId="3346211F" w14:textId="77777777" w:rsidR="00EF1961" w:rsidRPr="009A517F" w:rsidRDefault="00EF1961" w:rsidP="00EF1961">
      <w:pPr>
        <w:numPr>
          <w:ilvl w:val="0"/>
          <w:numId w:val="14"/>
        </w:numPr>
        <w:autoSpaceDE/>
        <w:autoSpaceDN/>
        <w:ind w:left="567" w:hanging="357"/>
        <w:rPr>
          <w:sz w:val="22"/>
          <w:szCs w:val="22"/>
        </w:rPr>
      </w:pPr>
      <w:r w:rsidRPr="009A517F">
        <w:rPr>
          <w:i/>
          <w:sz w:val="22"/>
          <w:szCs w:val="22"/>
          <w:u w:val="single"/>
        </w:rPr>
        <w:t>Deti vo veku do 6 mesiacov:</w:t>
      </w:r>
      <w:r w:rsidRPr="009A517F">
        <w:rPr>
          <w:sz w:val="22"/>
          <w:szCs w:val="22"/>
        </w:rPr>
        <w:t xml:space="preserve"> deti mladšie ako 6 mesiacov sú obzvlášť náchylné k rozvoju obštrukcie dýchacích ciest a hypoventilácii. Z tohto dôvodu sa sedácia pri vedomí u detí vo veku do 6 mesiacov neodporúča. </w:t>
      </w:r>
    </w:p>
    <w:p w14:paraId="24716C85" w14:textId="6B3B3047" w:rsidR="00EF1961" w:rsidRPr="009A517F" w:rsidRDefault="00EF1961" w:rsidP="00EF1961">
      <w:pPr>
        <w:numPr>
          <w:ilvl w:val="0"/>
          <w:numId w:val="14"/>
        </w:numPr>
        <w:autoSpaceDE/>
        <w:autoSpaceDN/>
        <w:ind w:left="567" w:hanging="357"/>
        <w:rPr>
          <w:sz w:val="22"/>
          <w:szCs w:val="22"/>
        </w:rPr>
      </w:pPr>
      <w:r w:rsidRPr="009A517F">
        <w:rPr>
          <w:i/>
          <w:sz w:val="22"/>
          <w:szCs w:val="22"/>
          <w:u w:val="single"/>
        </w:rPr>
        <w:t>Pacienti vo veku od 6 mesiacov do 5 rokov:</w:t>
      </w:r>
      <w:r w:rsidRPr="009A517F">
        <w:rPr>
          <w:sz w:val="22"/>
          <w:szCs w:val="22"/>
        </w:rPr>
        <w:t xml:space="preserve"> úvodná dávka je 0,05</w:t>
      </w:r>
      <w:r w:rsidR="00BC2A68" w:rsidRPr="009A517F">
        <w:rPr>
          <w:sz w:val="22"/>
          <w:szCs w:val="22"/>
        </w:rPr>
        <w:t> – </w:t>
      </w:r>
      <w:r w:rsidRPr="009A517F">
        <w:rPr>
          <w:sz w:val="22"/>
          <w:szCs w:val="22"/>
        </w:rPr>
        <w:t xml:space="preserve">0,1 mg/kg. Na dosiahnutie potrebného účinku môže byť nevyhnutné podať dávku až do 0,6 mg/kg, ale celková dávka nemá prekročiť 6 mg. Vyššie dávky môžu spôsobiť predĺženú sedáciu a riziko hypoventilácie. </w:t>
      </w:r>
    </w:p>
    <w:p w14:paraId="2E5CDE05" w14:textId="10230AE5" w:rsidR="00EF1961" w:rsidRPr="009A517F" w:rsidRDefault="00EF1961" w:rsidP="00EF1961">
      <w:pPr>
        <w:numPr>
          <w:ilvl w:val="0"/>
          <w:numId w:val="14"/>
        </w:numPr>
        <w:autoSpaceDE/>
        <w:autoSpaceDN/>
        <w:ind w:left="567" w:hanging="357"/>
        <w:rPr>
          <w:sz w:val="22"/>
          <w:szCs w:val="22"/>
        </w:rPr>
      </w:pPr>
      <w:r w:rsidRPr="009A517F">
        <w:rPr>
          <w:i/>
          <w:sz w:val="22"/>
          <w:szCs w:val="22"/>
          <w:u w:val="single"/>
        </w:rPr>
        <w:t>Deti vo veku 6</w:t>
      </w:r>
      <w:r w:rsidR="00BF56D1" w:rsidRPr="009A517F">
        <w:rPr>
          <w:i/>
          <w:sz w:val="22"/>
          <w:szCs w:val="22"/>
          <w:u w:val="single"/>
        </w:rPr>
        <w:t> – </w:t>
      </w:r>
      <w:r w:rsidRPr="009A517F">
        <w:rPr>
          <w:i/>
          <w:sz w:val="22"/>
          <w:szCs w:val="22"/>
          <w:u w:val="single"/>
        </w:rPr>
        <w:t>12 rokov:</w:t>
      </w:r>
      <w:r w:rsidRPr="009A517F">
        <w:rPr>
          <w:sz w:val="22"/>
          <w:szCs w:val="22"/>
        </w:rPr>
        <w:t xml:space="preserve"> úvodná dávka je 0,025</w:t>
      </w:r>
      <w:r w:rsidR="00BF56D1" w:rsidRPr="009A517F">
        <w:rPr>
          <w:sz w:val="22"/>
          <w:szCs w:val="22"/>
        </w:rPr>
        <w:t> – </w:t>
      </w:r>
      <w:r w:rsidRPr="009A517F">
        <w:rPr>
          <w:sz w:val="22"/>
          <w:szCs w:val="22"/>
        </w:rPr>
        <w:t>0,05 mg/kg. Môže byť potrebné podať celkovú dávku 0,4 mg/kg (10 mg ako maximálnu dávku). Vyššie dávky môžu spôsobiť predĺženú sedáciu a riziko hypoventilácie.</w:t>
      </w:r>
    </w:p>
    <w:p w14:paraId="3BBE2608" w14:textId="733A6864" w:rsidR="00EF1961" w:rsidRPr="009A517F" w:rsidRDefault="00EF1961" w:rsidP="00EF1961">
      <w:pPr>
        <w:numPr>
          <w:ilvl w:val="0"/>
          <w:numId w:val="14"/>
        </w:numPr>
        <w:autoSpaceDE/>
        <w:autoSpaceDN/>
        <w:ind w:left="567" w:hanging="357"/>
        <w:rPr>
          <w:sz w:val="22"/>
          <w:szCs w:val="22"/>
        </w:rPr>
      </w:pPr>
      <w:r w:rsidRPr="009A517F">
        <w:rPr>
          <w:i/>
          <w:sz w:val="22"/>
          <w:szCs w:val="22"/>
          <w:u w:val="single"/>
        </w:rPr>
        <w:t>Deti vo veku 12</w:t>
      </w:r>
      <w:r w:rsidR="00BF56D1" w:rsidRPr="009A517F">
        <w:rPr>
          <w:i/>
          <w:sz w:val="22"/>
          <w:szCs w:val="22"/>
          <w:u w:val="single"/>
        </w:rPr>
        <w:t> – </w:t>
      </w:r>
      <w:r w:rsidRPr="009A517F">
        <w:rPr>
          <w:i/>
          <w:sz w:val="22"/>
          <w:szCs w:val="22"/>
          <w:u w:val="single"/>
        </w:rPr>
        <w:t>16 rokov:</w:t>
      </w:r>
      <w:r w:rsidRPr="009A517F">
        <w:rPr>
          <w:sz w:val="22"/>
          <w:szCs w:val="22"/>
        </w:rPr>
        <w:t xml:space="preserve"> použije sa dávkovanie odporúčané pre dospelých. </w:t>
      </w:r>
    </w:p>
    <w:p w14:paraId="3A7DD8C2" w14:textId="06A41AA3" w:rsidR="00EF1961" w:rsidRPr="009A517F" w:rsidRDefault="00EF1961" w:rsidP="00625CF2">
      <w:pPr>
        <w:pStyle w:val="Normlnywebov"/>
        <w:spacing w:before="0" w:beforeAutospacing="0" w:after="0" w:afterAutospacing="0"/>
        <w:rPr>
          <w:sz w:val="22"/>
          <w:szCs w:val="22"/>
          <w:lang w:val="sk-SK"/>
        </w:rPr>
      </w:pPr>
    </w:p>
    <w:p w14:paraId="64A37DA8" w14:textId="77777777" w:rsidR="00811096" w:rsidRPr="00965B07" w:rsidRDefault="00BF56D1" w:rsidP="00BF56D1">
      <w:pPr>
        <w:rPr>
          <w:b/>
          <w:sz w:val="22"/>
          <w:szCs w:val="22"/>
        </w:rPr>
      </w:pPr>
      <w:r w:rsidRPr="00965B07">
        <w:rPr>
          <w:b/>
          <w:sz w:val="22"/>
          <w:szCs w:val="22"/>
        </w:rPr>
        <w:t xml:space="preserve">Rektálne podanie: </w:t>
      </w:r>
    </w:p>
    <w:p w14:paraId="1A2371AF" w14:textId="2C60AAD5" w:rsidR="00811096" w:rsidRPr="009A517F" w:rsidRDefault="00481B7A" w:rsidP="00BF56D1">
      <w:pPr>
        <w:rPr>
          <w:sz w:val="22"/>
          <w:szCs w:val="22"/>
        </w:rPr>
      </w:pPr>
      <w:r w:rsidRPr="009A517F">
        <w:rPr>
          <w:sz w:val="22"/>
          <w:szCs w:val="22"/>
        </w:rPr>
        <w:t>Liek sa môže používať rektálne, ak je to žiaduce.</w:t>
      </w:r>
    </w:p>
    <w:p w14:paraId="13867BD5" w14:textId="77777777" w:rsidR="00481B7A" w:rsidRPr="009A517F" w:rsidRDefault="00481B7A" w:rsidP="00BF56D1">
      <w:pPr>
        <w:rPr>
          <w:sz w:val="22"/>
          <w:szCs w:val="22"/>
        </w:rPr>
      </w:pPr>
    </w:p>
    <w:p w14:paraId="3C467ACE" w14:textId="2D9C851C" w:rsidR="00BF56D1" w:rsidRPr="009A517F" w:rsidRDefault="00BF56D1" w:rsidP="00BF56D1">
      <w:pPr>
        <w:rPr>
          <w:sz w:val="22"/>
          <w:szCs w:val="22"/>
        </w:rPr>
      </w:pPr>
      <w:r w:rsidRPr="009A517F">
        <w:rPr>
          <w:sz w:val="22"/>
          <w:szCs w:val="22"/>
        </w:rPr>
        <w:t>Celková dávka midazolamu je zvyčajne 0,3</w:t>
      </w:r>
      <w:r w:rsidR="00481B7A" w:rsidRPr="009A517F">
        <w:rPr>
          <w:sz w:val="22"/>
          <w:szCs w:val="22"/>
        </w:rPr>
        <w:t> – </w:t>
      </w:r>
      <w:r w:rsidRPr="009A517F">
        <w:rPr>
          <w:sz w:val="22"/>
          <w:szCs w:val="22"/>
        </w:rPr>
        <w:t xml:space="preserve">0,5 mg/kg. Roztok z ampulky sa podáva rektálne pomocou plastového aplikátora pripojeného k injekčnej striekačke. Ak je objem, ktorý sa má podať, príliš malý, môže sa doplniť vodou do celkového objemu 10 ml. Celková dávka sa má podať naraz. Je potrebné vyhnúť sa opakovanému rektálnemu podaniu. </w:t>
      </w:r>
    </w:p>
    <w:p w14:paraId="0E58ED94" w14:textId="77777777" w:rsidR="00481B7A" w:rsidRPr="009A517F" w:rsidRDefault="00481B7A" w:rsidP="00BF56D1">
      <w:pPr>
        <w:rPr>
          <w:sz w:val="22"/>
          <w:szCs w:val="22"/>
        </w:rPr>
      </w:pPr>
    </w:p>
    <w:p w14:paraId="76E1FBD6" w14:textId="0514F9CD" w:rsidR="00BF56D1" w:rsidRPr="009A517F" w:rsidRDefault="00BF56D1" w:rsidP="00BF56D1">
      <w:pPr>
        <w:rPr>
          <w:sz w:val="22"/>
          <w:szCs w:val="22"/>
        </w:rPr>
      </w:pPr>
      <w:r w:rsidRPr="009A517F">
        <w:rPr>
          <w:sz w:val="22"/>
          <w:szCs w:val="22"/>
        </w:rPr>
        <w:t xml:space="preserve">Rektálne podanie sa neodporúča u detí do 6 mesiacov, pretože dostupné údaje </w:t>
      </w:r>
      <w:r w:rsidR="00481B7A" w:rsidRPr="009A517F">
        <w:rPr>
          <w:sz w:val="22"/>
          <w:szCs w:val="22"/>
        </w:rPr>
        <w:t>u</w:t>
      </w:r>
      <w:r w:rsidRPr="009A517F">
        <w:rPr>
          <w:sz w:val="22"/>
          <w:szCs w:val="22"/>
        </w:rPr>
        <w:t> tejto populáci</w:t>
      </w:r>
      <w:r w:rsidR="00481B7A" w:rsidRPr="009A517F">
        <w:rPr>
          <w:sz w:val="22"/>
          <w:szCs w:val="22"/>
        </w:rPr>
        <w:t>e</w:t>
      </w:r>
      <w:r w:rsidRPr="009A517F">
        <w:rPr>
          <w:sz w:val="22"/>
          <w:szCs w:val="22"/>
        </w:rPr>
        <w:t xml:space="preserve"> sú obmedzené. </w:t>
      </w:r>
    </w:p>
    <w:p w14:paraId="56873A20" w14:textId="77777777" w:rsidR="00BF56D1" w:rsidRPr="009A517F" w:rsidRDefault="00BF56D1" w:rsidP="00BF56D1">
      <w:pPr>
        <w:rPr>
          <w:sz w:val="22"/>
          <w:szCs w:val="22"/>
        </w:rPr>
      </w:pPr>
    </w:p>
    <w:p w14:paraId="1C7F90D5" w14:textId="541CE570" w:rsidR="00BF56D1" w:rsidRPr="009A517F" w:rsidRDefault="00BF56D1" w:rsidP="00BF56D1">
      <w:pPr>
        <w:rPr>
          <w:sz w:val="22"/>
          <w:szCs w:val="22"/>
        </w:rPr>
      </w:pPr>
      <w:r w:rsidRPr="00965B07">
        <w:rPr>
          <w:b/>
          <w:sz w:val="22"/>
          <w:szCs w:val="22"/>
        </w:rPr>
        <w:t>Intramuskulárne podanie</w:t>
      </w:r>
      <w:r w:rsidRPr="009A517F">
        <w:rPr>
          <w:sz w:val="22"/>
          <w:szCs w:val="22"/>
        </w:rPr>
        <w:t>:</w:t>
      </w:r>
      <w:r w:rsidRPr="009A517F">
        <w:rPr>
          <w:i/>
          <w:sz w:val="22"/>
          <w:szCs w:val="22"/>
        </w:rPr>
        <w:t xml:space="preserve"> </w:t>
      </w:r>
      <w:r w:rsidRPr="009A517F">
        <w:rPr>
          <w:sz w:val="22"/>
          <w:szCs w:val="22"/>
        </w:rPr>
        <w:t xml:space="preserve">Dávky sú v rozsahu od 0,05 do 0,15 mg/kg. Zvyčajne nie je potrebná celková dávka vyššia ako 10,0 mg. Intramuskulárne podanie sa má použiť iba vo výnimočných prípadoch. Pretože je intramuskulárna injekcia bolestivá, </w:t>
      </w:r>
      <w:r w:rsidR="00481B7A" w:rsidRPr="009A517F">
        <w:rPr>
          <w:sz w:val="22"/>
          <w:szCs w:val="22"/>
        </w:rPr>
        <w:t>uprednostňuje sa</w:t>
      </w:r>
      <w:r w:rsidRPr="009A517F">
        <w:rPr>
          <w:sz w:val="22"/>
          <w:szCs w:val="22"/>
        </w:rPr>
        <w:t xml:space="preserve"> rektálne podávanie. </w:t>
      </w:r>
    </w:p>
    <w:p w14:paraId="739AEE33" w14:textId="77777777" w:rsidR="00481B7A" w:rsidRPr="009A517F" w:rsidRDefault="00481B7A" w:rsidP="00BF56D1">
      <w:pPr>
        <w:rPr>
          <w:sz w:val="22"/>
          <w:szCs w:val="22"/>
        </w:rPr>
      </w:pPr>
    </w:p>
    <w:p w14:paraId="64E40DDF" w14:textId="77777777" w:rsidR="00BF56D1" w:rsidRPr="009A517F" w:rsidRDefault="00BF56D1" w:rsidP="00BF56D1">
      <w:pPr>
        <w:rPr>
          <w:sz w:val="22"/>
          <w:szCs w:val="22"/>
        </w:rPr>
      </w:pPr>
      <w:r w:rsidRPr="009A517F">
        <w:rPr>
          <w:sz w:val="22"/>
          <w:szCs w:val="22"/>
        </w:rPr>
        <w:t xml:space="preserve">U detí s telesnou hmotnosťou nižšou ako 15 kg sa neodporúča podávať roztoky midazolamu s koncentráciou vyššou ako 1 mg/ml. Vyššie koncentrácie sa majú zriediť na 1 mg/ml. </w:t>
      </w:r>
    </w:p>
    <w:p w14:paraId="609E844D" w14:textId="77777777" w:rsidR="00BF56D1" w:rsidRPr="009A517F" w:rsidRDefault="00BF56D1" w:rsidP="00625CF2">
      <w:pPr>
        <w:pStyle w:val="Normlnywebov"/>
        <w:spacing w:before="0" w:beforeAutospacing="0" w:after="0" w:afterAutospacing="0"/>
        <w:rPr>
          <w:sz w:val="22"/>
          <w:szCs w:val="22"/>
          <w:lang w:val="sk-SK"/>
        </w:rPr>
      </w:pPr>
    </w:p>
    <w:p w14:paraId="2D6FB748" w14:textId="7BC9ACFD" w:rsidR="00481B7A" w:rsidRPr="009A517F" w:rsidRDefault="00481B7A" w:rsidP="00481B7A">
      <w:pPr>
        <w:rPr>
          <w:sz w:val="22"/>
          <w:szCs w:val="22"/>
        </w:rPr>
      </w:pPr>
      <w:r w:rsidRPr="009A517F">
        <w:rPr>
          <w:sz w:val="22"/>
          <w:szCs w:val="22"/>
        </w:rPr>
        <w:t>DÁVKOVANIE PRI ANESTÉZII</w:t>
      </w:r>
    </w:p>
    <w:p w14:paraId="02FE64B1" w14:textId="77777777" w:rsidR="00481B7A" w:rsidRPr="009A517F" w:rsidRDefault="00481B7A" w:rsidP="00481B7A">
      <w:pPr>
        <w:rPr>
          <w:sz w:val="22"/>
          <w:szCs w:val="22"/>
        </w:rPr>
      </w:pPr>
    </w:p>
    <w:p w14:paraId="31D722AB" w14:textId="74699AA9" w:rsidR="00481B7A" w:rsidRPr="009A517F" w:rsidRDefault="00481B7A" w:rsidP="00481B7A">
      <w:pPr>
        <w:rPr>
          <w:sz w:val="22"/>
          <w:szCs w:val="22"/>
        </w:rPr>
      </w:pPr>
      <w:r w:rsidRPr="009A517F">
        <w:rPr>
          <w:sz w:val="22"/>
          <w:szCs w:val="22"/>
        </w:rPr>
        <w:t>PREMEDIKÁCIA</w:t>
      </w:r>
    </w:p>
    <w:p w14:paraId="125F46BA" w14:textId="77777777" w:rsidR="00481B7A" w:rsidRPr="009A517F" w:rsidRDefault="00481B7A" w:rsidP="00481B7A">
      <w:pPr>
        <w:rPr>
          <w:sz w:val="22"/>
          <w:szCs w:val="22"/>
        </w:rPr>
      </w:pPr>
    </w:p>
    <w:p w14:paraId="2559C7F9" w14:textId="00988908" w:rsidR="00481B7A" w:rsidRPr="009A517F" w:rsidRDefault="00481B7A" w:rsidP="00481B7A">
      <w:pPr>
        <w:rPr>
          <w:sz w:val="22"/>
          <w:szCs w:val="22"/>
        </w:rPr>
      </w:pPr>
      <w:r w:rsidRPr="009A517F">
        <w:rPr>
          <w:sz w:val="22"/>
          <w:szCs w:val="22"/>
        </w:rPr>
        <w:t>Podanie midazolamu krátko pred zákrokom vedie k sedácii (</w:t>
      </w:r>
      <w:r w:rsidR="00547A6B">
        <w:rPr>
          <w:sz w:val="22"/>
          <w:szCs w:val="22"/>
        </w:rPr>
        <w:t xml:space="preserve">navodenie </w:t>
      </w:r>
      <w:commentRangeStart w:id="1"/>
      <w:r w:rsidR="0035165D">
        <w:rPr>
          <w:sz w:val="22"/>
          <w:szCs w:val="22"/>
        </w:rPr>
        <w:t>spánku</w:t>
      </w:r>
      <w:r w:rsidR="0035165D" w:rsidRPr="009A517F">
        <w:rPr>
          <w:sz w:val="22"/>
          <w:szCs w:val="22"/>
        </w:rPr>
        <w:t xml:space="preserve"> </w:t>
      </w:r>
      <w:r w:rsidRPr="009A517F">
        <w:rPr>
          <w:sz w:val="22"/>
          <w:szCs w:val="22"/>
        </w:rPr>
        <w:t xml:space="preserve">alebo </w:t>
      </w:r>
      <w:r w:rsidR="0035165D">
        <w:rPr>
          <w:sz w:val="22"/>
          <w:szCs w:val="22"/>
        </w:rPr>
        <w:t>ospalosti</w:t>
      </w:r>
      <w:r w:rsidRPr="009A517F">
        <w:rPr>
          <w:sz w:val="22"/>
          <w:szCs w:val="22"/>
        </w:rPr>
        <w:t xml:space="preserve"> a </w:t>
      </w:r>
      <w:commentRangeEnd w:id="1"/>
      <w:r w:rsidR="0035165D">
        <w:rPr>
          <w:sz w:val="22"/>
          <w:szCs w:val="22"/>
        </w:rPr>
        <w:t>útlm vnímania</w:t>
      </w:r>
      <w:r w:rsidRPr="009A517F">
        <w:rPr>
          <w:sz w:val="22"/>
          <w:szCs w:val="22"/>
        </w:rPr>
        <w:t xml:space="preserve">) a eliminácii spomienok na obdobie pred zákrokom. </w:t>
      </w:r>
    </w:p>
    <w:p w14:paraId="00596ABC" w14:textId="1E9D6B4E" w:rsidR="00481B7A" w:rsidRPr="009A517F" w:rsidRDefault="00481B7A" w:rsidP="00481B7A">
      <w:pPr>
        <w:rPr>
          <w:sz w:val="22"/>
          <w:szCs w:val="22"/>
        </w:rPr>
      </w:pPr>
      <w:r w:rsidRPr="009A517F">
        <w:rPr>
          <w:sz w:val="22"/>
          <w:szCs w:val="22"/>
        </w:rPr>
        <w:t>Midazolam sa môže tiež podávať v kombinácii s anticholinergikami. V takom prípade sa midazolam podáva intravenózne alebo intramuskulárne (hlboko do svalu, 20</w:t>
      </w:r>
      <w:r w:rsidR="00FD4516" w:rsidRPr="009A517F">
        <w:rPr>
          <w:sz w:val="22"/>
          <w:szCs w:val="22"/>
        </w:rPr>
        <w:t> – </w:t>
      </w:r>
      <w:r w:rsidRPr="009A517F">
        <w:rPr>
          <w:sz w:val="22"/>
          <w:szCs w:val="22"/>
        </w:rPr>
        <w:t xml:space="preserve">60 minút pred </w:t>
      </w:r>
      <w:r w:rsidR="00724881" w:rsidRPr="009A517F">
        <w:rPr>
          <w:sz w:val="22"/>
          <w:szCs w:val="22"/>
        </w:rPr>
        <w:t>navodením</w:t>
      </w:r>
      <w:r w:rsidRPr="009A517F">
        <w:rPr>
          <w:sz w:val="22"/>
          <w:szCs w:val="22"/>
        </w:rPr>
        <w:t xml:space="preserve"> anestézie), u detí sa preferuje rektálne podanie (pozri ďalej). Pacient má byť po premedikácii starostlivo a neustále sledovaný, pretože citlivosť na liek je individuálna a je možný výskyt symptómov predávkovania. </w:t>
      </w:r>
    </w:p>
    <w:p w14:paraId="01606885" w14:textId="77777777" w:rsidR="00481B7A" w:rsidRPr="009A517F" w:rsidRDefault="00481B7A" w:rsidP="00481B7A">
      <w:pPr>
        <w:rPr>
          <w:sz w:val="22"/>
          <w:szCs w:val="22"/>
        </w:rPr>
      </w:pPr>
    </w:p>
    <w:p w14:paraId="6A966EF6" w14:textId="182A4FDA" w:rsidR="00481B7A" w:rsidRPr="009A517F" w:rsidRDefault="00481B7A" w:rsidP="00481B7A">
      <w:pPr>
        <w:rPr>
          <w:b/>
          <w:sz w:val="22"/>
          <w:szCs w:val="22"/>
        </w:rPr>
      </w:pPr>
      <w:r w:rsidRPr="009A517F">
        <w:rPr>
          <w:b/>
          <w:sz w:val="22"/>
          <w:szCs w:val="22"/>
        </w:rPr>
        <w:t>Dospelí</w:t>
      </w:r>
    </w:p>
    <w:p w14:paraId="2A4620BC" w14:textId="77777777" w:rsidR="00724881" w:rsidRPr="009A517F" w:rsidRDefault="00724881" w:rsidP="00481B7A">
      <w:pPr>
        <w:rPr>
          <w:b/>
          <w:sz w:val="22"/>
          <w:szCs w:val="22"/>
        </w:rPr>
      </w:pPr>
    </w:p>
    <w:p w14:paraId="282BC7DF" w14:textId="19AF7DA1" w:rsidR="00481B7A" w:rsidRPr="009A517F" w:rsidRDefault="00481B7A" w:rsidP="00481B7A">
      <w:pPr>
        <w:rPr>
          <w:sz w:val="22"/>
          <w:szCs w:val="22"/>
        </w:rPr>
      </w:pPr>
      <w:r w:rsidRPr="009A517F">
        <w:rPr>
          <w:sz w:val="22"/>
          <w:szCs w:val="22"/>
        </w:rPr>
        <w:t>Odporúčaná dávka používaná na predoperačnú sedáciu a elimináciu spomienok na predoperačné obdobie je u pacientov patriacich do triedy I a II ASA hodnotenia fyzického stavu a u pacientov vo veku do 60 rokov 1</w:t>
      </w:r>
      <w:r w:rsidR="00724881" w:rsidRPr="009A517F">
        <w:rPr>
          <w:sz w:val="22"/>
          <w:szCs w:val="22"/>
        </w:rPr>
        <w:t> – </w:t>
      </w:r>
      <w:r w:rsidRPr="009A517F">
        <w:rPr>
          <w:sz w:val="22"/>
          <w:szCs w:val="22"/>
        </w:rPr>
        <w:t>2 mg intravenózne, s opakovaním podľa potreby, alebo 0,07</w:t>
      </w:r>
      <w:r w:rsidR="00724881" w:rsidRPr="009A517F">
        <w:rPr>
          <w:sz w:val="22"/>
          <w:szCs w:val="22"/>
        </w:rPr>
        <w:t> – </w:t>
      </w:r>
      <w:r w:rsidRPr="009A517F">
        <w:rPr>
          <w:sz w:val="22"/>
          <w:szCs w:val="22"/>
        </w:rPr>
        <w:t>0,1 mg/kg intramuskulárne. U pacientov starších ako 60 rokov, oslabených alebo chronicky chorých pacientov musí byť dávka znížená a upravená na základe konkrétneho prípadu. Odporúčaná intravenózna úvodná dávka je 0,5 mg, ktorá sa má podľa potreby pomaly zvyšovať. Odporúčaná intramuskulárna úvodná dávka je 0,025</w:t>
      </w:r>
      <w:r w:rsidR="00724881" w:rsidRPr="009A517F">
        <w:rPr>
          <w:sz w:val="22"/>
          <w:szCs w:val="22"/>
        </w:rPr>
        <w:t> – </w:t>
      </w:r>
      <w:r w:rsidRPr="009A517F">
        <w:rPr>
          <w:sz w:val="22"/>
          <w:szCs w:val="22"/>
        </w:rPr>
        <w:t>0,05 mg/kg. Pri súčasnom podávaní narkotík sa má dávka midazolamu znížiť. Zvyčajná dávka je 2</w:t>
      </w:r>
      <w:r w:rsidR="00724881" w:rsidRPr="009A517F">
        <w:rPr>
          <w:sz w:val="22"/>
          <w:szCs w:val="22"/>
        </w:rPr>
        <w:t> – </w:t>
      </w:r>
      <w:r w:rsidRPr="009A517F">
        <w:rPr>
          <w:sz w:val="22"/>
          <w:szCs w:val="22"/>
        </w:rPr>
        <w:t xml:space="preserve">3 mg. </w:t>
      </w:r>
    </w:p>
    <w:p w14:paraId="329F6F68" w14:textId="77777777" w:rsidR="00481B7A" w:rsidRPr="009A517F" w:rsidRDefault="00481B7A" w:rsidP="00481B7A">
      <w:pPr>
        <w:rPr>
          <w:sz w:val="22"/>
          <w:szCs w:val="22"/>
        </w:rPr>
      </w:pPr>
    </w:p>
    <w:p w14:paraId="2981C7DE" w14:textId="77777777" w:rsidR="00481B7A" w:rsidRPr="009A517F" w:rsidRDefault="00481B7A" w:rsidP="00481B7A">
      <w:pPr>
        <w:rPr>
          <w:b/>
          <w:sz w:val="22"/>
          <w:szCs w:val="22"/>
        </w:rPr>
      </w:pPr>
      <w:r w:rsidRPr="009A517F">
        <w:rPr>
          <w:b/>
          <w:sz w:val="22"/>
          <w:szCs w:val="22"/>
        </w:rPr>
        <w:t>Pediatrická populácia</w:t>
      </w:r>
    </w:p>
    <w:p w14:paraId="72DD5661" w14:textId="276C4323" w:rsidR="00481B7A" w:rsidRPr="009A517F" w:rsidRDefault="00481B7A" w:rsidP="00481B7A">
      <w:pPr>
        <w:rPr>
          <w:i/>
          <w:sz w:val="22"/>
          <w:szCs w:val="22"/>
          <w:u w:val="single"/>
        </w:rPr>
      </w:pPr>
      <w:r w:rsidRPr="009A517F">
        <w:rPr>
          <w:i/>
          <w:sz w:val="22"/>
          <w:szCs w:val="22"/>
          <w:u w:val="single"/>
        </w:rPr>
        <w:t>Novorodenci a deti vo veku do 6 mesiacov</w:t>
      </w:r>
    </w:p>
    <w:p w14:paraId="3047B310" w14:textId="77777777" w:rsidR="00481B7A" w:rsidRPr="009A517F" w:rsidRDefault="00481B7A" w:rsidP="00481B7A">
      <w:pPr>
        <w:rPr>
          <w:sz w:val="22"/>
          <w:szCs w:val="22"/>
        </w:rPr>
      </w:pPr>
      <w:r w:rsidRPr="009A517F">
        <w:rPr>
          <w:sz w:val="22"/>
          <w:szCs w:val="22"/>
        </w:rPr>
        <w:t xml:space="preserve">Použitie u detí mladších ako 6 mesiacov sa neodporúča, pretože dostupné údaje sú obmedzené. </w:t>
      </w:r>
    </w:p>
    <w:p w14:paraId="49AD2EF9" w14:textId="77777777" w:rsidR="00481B7A" w:rsidRPr="009A517F" w:rsidRDefault="00481B7A" w:rsidP="00481B7A">
      <w:pPr>
        <w:rPr>
          <w:sz w:val="22"/>
          <w:szCs w:val="22"/>
        </w:rPr>
      </w:pPr>
    </w:p>
    <w:p w14:paraId="13EFEF36" w14:textId="7F585F4A" w:rsidR="00481B7A" w:rsidRPr="009A517F" w:rsidRDefault="00481B7A" w:rsidP="00481B7A">
      <w:pPr>
        <w:rPr>
          <w:i/>
          <w:sz w:val="22"/>
          <w:szCs w:val="22"/>
          <w:u w:val="single"/>
        </w:rPr>
      </w:pPr>
      <w:r w:rsidRPr="009A517F">
        <w:rPr>
          <w:i/>
          <w:sz w:val="22"/>
          <w:szCs w:val="22"/>
          <w:u w:val="single"/>
        </w:rPr>
        <w:t>Deti vo veku od 6 mesiacov</w:t>
      </w:r>
    </w:p>
    <w:p w14:paraId="360852C6" w14:textId="77777777" w:rsidR="00D15223" w:rsidRPr="009A517F" w:rsidRDefault="00481B7A" w:rsidP="00D15223">
      <w:pPr>
        <w:rPr>
          <w:sz w:val="22"/>
          <w:szCs w:val="22"/>
        </w:rPr>
      </w:pPr>
      <w:r w:rsidRPr="009A517F">
        <w:rPr>
          <w:sz w:val="22"/>
          <w:szCs w:val="22"/>
        </w:rPr>
        <w:t>Rektálne podanie:</w:t>
      </w:r>
      <w:r w:rsidR="00D15223" w:rsidRPr="009A517F">
        <w:rPr>
          <w:sz w:val="22"/>
          <w:szCs w:val="22"/>
        </w:rPr>
        <w:t xml:space="preserve"> </w:t>
      </w:r>
    </w:p>
    <w:p w14:paraId="64B16E66" w14:textId="2871EFC6" w:rsidR="00D15223" w:rsidRPr="009A517F" w:rsidRDefault="00D15223" w:rsidP="00D15223">
      <w:pPr>
        <w:rPr>
          <w:sz w:val="22"/>
          <w:szCs w:val="22"/>
        </w:rPr>
      </w:pPr>
      <w:r w:rsidRPr="009A517F">
        <w:rPr>
          <w:sz w:val="22"/>
          <w:szCs w:val="22"/>
        </w:rPr>
        <w:t>Liek sa môže podávať rektálne, ak je to žiaduce.</w:t>
      </w:r>
    </w:p>
    <w:p w14:paraId="05E5264F" w14:textId="77777777" w:rsidR="00D15223" w:rsidRPr="009A517F" w:rsidRDefault="00D15223" w:rsidP="00D15223">
      <w:pPr>
        <w:rPr>
          <w:sz w:val="22"/>
          <w:szCs w:val="22"/>
        </w:rPr>
      </w:pPr>
    </w:p>
    <w:p w14:paraId="76B89B8B" w14:textId="67ED1365" w:rsidR="00481B7A" w:rsidRPr="009A517F" w:rsidRDefault="00481B7A" w:rsidP="00481B7A">
      <w:pPr>
        <w:rPr>
          <w:sz w:val="22"/>
          <w:szCs w:val="22"/>
        </w:rPr>
      </w:pPr>
      <w:r w:rsidRPr="009A517F">
        <w:rPr>
          <w:sz w:val="22"/>
          <w:szCs w:val="22"/>
        </w:rPr>
        <w:t>Celková dávka midazolamu (zvyčajne v rozsahu 0,3 až 0,5 mg/kg) sa má podať 15</w:t>
      </w:r>
      <w:r w:rsidR="00D15223" w:rsidRPr="009A517F">
        <w:rPr>
          <w:sz w:val="22"/>
          <w:szCs w:val="22"/>
        </w:rPr>
        <w:t> – </w:t>
      </w:r>
      <w:r w:rsidRPr="009A517F">
        <w:rPr>
          <w:sz w:val="22"/>
          <w:szCs w:val="22"/>
        </w:rPr>
        <w:t xml:space="preserve">30 minút pred </w:t>
      </w:r>
      <w:r w:rsidR="00D15223" w:rsidRPr="009A517F">
        <w:rPr>
          <w:sz w:val="22"/>
          <w:szCs w:val="22"/>
        </w:rPr>
        <w:t>navodením</w:t>
      </w:r>
      <w:r w:rsidRPr="009A517F">
        <w:rPr>
          <w:sz w:val="22"/>
          <w:szCs w:val="22"/>
        </w:rPr>
        <w:t xml:space="preserve"> anestézie. Roztok z ampulky sa podáva rektálne pomocou plastového aplikátora pripojeného k injekčnej striekačke. Ak je objem, ktorý sa má podať, príliš malý, môže sa doplniť vodou do celkového objemu 10 ml. </w:t>
      </w:r>
    </w:p>
    <w:p w14:paraId="233414CA" w14:textId="77777777" w:rsidR="00481B7A" w:rsidRPr="009A517F" w:rsidRDefault="00481B7A" w:rsidP="00481B7A">
      <w:pPr>
        <w:rPr>
          <w:sz w:val="22"/>
          <w:szCs w:val="22"/>
        </w:rPr>
      </w:pPr>
    </w:p>
    <w:p w14:paraId="200E5570" w14:textId="77777777" w:rsidR="00481B7A" w:rsidRPr="009A517F" w:rsidRDefault="00481B7A" w:rsidP="00481B7A">
      <w:pPr>
        <w:rPr>
          <w:sz w:val="22"/>
          <w:szCs w:val="22"/>
        </w:rPr>
      </w:pPr>
      <w:r w:rsidRPr="009A517F">
        <w:rPr>
          <w:sz w:val="22"/>
          <w:szCs w:val="22"/>
        </w:rPr>
        <w:t>Intramuskulárne podanie:</w:t>
      </w:r>
      <w:r w:rsidRPr="009A517F">
        <w:rPr>
          <w:i/>
          <w:sz w:val="22"/>
          <w:szCs w:val="22"/>
        </w:rPr>
        <w:t xml:space="preserve"> </w:t>
      </w:r>
      <w:r w:rsidRPr="009A517F">
        <w:rPr>
          <w:sz w:val="22"/>
          <w:szCs w:val="22"/>
        </w:rPr>
        <w:t>Keďže je intramuskulárne podanie bolestivé, tento spôsob podania sa má používať len vo výnimočných prípadoch. Má sa uprednostniť rektálne podanie. Osvedčený a bezpečný rozsah dávok pre intramuskulárne podanie je 0,08 až 0,2 mg/kg. U detí vo veku od 1 do 15 rokov sú potrebné úmerne vyššie dávky vztiahnuté na telesnú hmotnosť ako u dospelých.</w:t>
      </w:r>
    </w:p>
    <w:p w14:paraId="60F06B2C" w14:textId="77777777" w:rsidR="00481B7A" w:rsidRPr="009A517F" w:rsidRDefault="00481B7A" w:rsidP="00481B7A">
      <w:pPr>
        <w:rPr>
          <w:sz w:val="22"/>
          <w:szCs w:val="22"/>
        </w:rPr>
      </w:pPr>
    </w:p>
    <w:p w14:paraId="024C6DC0" w14:textId="77777777" w:rsidR="00481B7A" w:rsidRPr="009A517F" w:rsidRDefault="00481B7A" w:rsidP="00481B7A">
      <w:pPr>
        <w:rPr>
          <w:sz w:val="22"/>
          <w:szCs w:val="22"/>
        </w:rPr>
      </w:pPr>
      <w:r w:rsidRPr="009A517F">
        <w:rPr>
          <w:sz w:val="22"/>
          <w:szCs w:val="22"/>
        </w:rPr>
        <w:t xml:space="preserve">U detí s hmotnosťou menej ako 15 kg sa neodporúča podávať roztoky midazolamu s koncentráciou vyššou ako 1 mg/ml. Vyššie koncentrácie sa majú zriediť na 1 mg/ml. </w:t>
      </w:r>
    </w:p>
    <w:p w14:paraId="280E13BC" w14:textId="29A8FE85" w:rsidR="006822E7" w:rsidRPr="009A517F" w:rsidRDefault="006822E7" w:rsidP="00625CF2">
      <w:pPr>
        <w:pStyle w:val="Normlnywebov"/>
        <w:spacing w:before="0" w:beforeAutospacing="0" w:after="0" w:afterAutospacing="0"/>
        <w:rPr>
          <w:sz w:val="22"/>
          <w:szCs w:val="22"/>
          <w:lang w:val="sk-SK"/>
        </w:rPr>
      </w:pPr>
    </w:p>
    <w:p w14:paraId="4C124689" w14:textId="3E4A6959" w:rsidR="004F5603" w:rsidRPr="009A517F" w:rsidRDefault="004F5603" w:rsidP="004F5603">
      <w:pPr>
        <w:rPr>
          <w:sz w:val="22"/>
          <w:szCs w:val="22"/>
        </w:rPr>
      </w:pPr>
      <w:r w:rsidRPr="009A517F">
        <w:rPr>
          <w:sz w:val="22"/>
          <w:szCs w:val="22"/>
        </w:rPr>
        <w:t>NAVODENIE ANESTÉZIE</w:t>
      </w:r>
    </w:p>
    <w:p w14:paraId="47B84E5A" w14:textId="77777777" w:rsidR="004F5603" w:rsidRPr="009A517F" w:rsidRDefault="004F5603" w:rsidP="004F5603">
      <w:pPr>
        <w:rPr>
          <w:sz w:val="22"/>
          <w:szCs w:val="22"/>
        </w:rPr>
      </w:pPr>
    </w:p>
    <w:p w14:paraId="7428C99D" w14:textId="04A2B66E" w:rsidR="004F5603" w:rsidRPr="009A517F" w:rsidRDefault="004F5603" w:rsidP="004F5603">
      <w:pPr>
        <w:rPr>
          <w:b/>
          <w:sz w:val="22"/>
          <w:szCs w:val="22"/>
        </w:rPr>
      </w:pPr>
      <w:r w:rsidRPr="009A517F">
        <w:rPr>
          <w:b/>
          <w:sz w:val="22"/>
          <w:szCs w:val="22"/>
        </w:rPr>
        <w:t>Dospelí</w:t>
      </w:r>
    </w:p>
    <w:p w14:paraId="713D445E" w14:textId="77777777" w:rsidR="004F5603" w:rsidRPr="009A517F" w:rsidRDefault="004F5603" w:rsidP="004F5603">
      <w:pPr>
        <w:rPr>
          <w:sz w:val="22"/>
          <w:szCs w:val="22"/>
        </w:rPr>
      </w:pPr>
    </w:p>
    <w:p w14:paraId="5BCB6FB0" w14:textId="03C31F35" w:rsidR="004F5603" w:rsidRPr="009A517F" w:rsidRDefault="004F5603" w:rsidP="004F5603">
      <w:pPr>
        <w:rPr>
          <w:sz w:val="22"/>
          <w:szCs w:val="22"/>
        </w:rPr>
      </w:pPr>
      <w:r w:rsidRPr="009A517F">
        <w:rPr>
          <w:sz w:val="22"/>
          <w:szCs w:val="22"/>
        </w:rPr>
        <w:t>Ak je na navodenie anestézie midazolam podaný pred inými anestetikami, je individuálna odpoveď pacienta rôzna. Dávka sa má titrovať až do dosiahnutia potrebného účinku v závislosti od veku a klinického stavu pacienta. Ak sa midazolam používa pred podaním iných intravenóznych alebo inhalačných liekov na indukciu anestézie alebo v kombinácii s nimi, mus</w:t>
      </w:r>
      <w:r w:rsidR="00B74656" w:rsidRPr="009A517F">
        <w:rPr>
          <w:sz w:val="22"/>
          <w:szCs w:val="22"/>
        </w:rPr>
        <w:t>ia</w:t>
      </w:r>
      <w:r w:rsidRPr="009A517F">
        <w:rPr>
          <w:sz w:val="22"/>
          <w:szCs w:val="22"/>
        </w:rPr>
        <w:t xml:space="preserve"> byť úvodné dávky všetkých týchto liekov výrazne znížené, v niektorých prípadoch dokonca až na 25 % zvyčajnej úvodnej dávky. </w:t>
      </w:r>
    </w:p>
    <w:p w14:paraId="2688A342" w14:textId="2DF5587A" w:rsidR="004F5603" w:rsidRPr="009A517F" w:rsidRDefault="004F5603" w:rsidP="004F5603">
      <w:pPr>
        <w:rPr>
          <w:sz w:val="22"/>
          <w:szCs w:val="22"/>
        </w:rPr>
      </w:pPr>
      <w:r w:rsidRPr="009A517F">
        <w:rPr>
          <w:sz w:val="22"/>
          <w:szCs w:val="22"/>
        </w:rPr>
        <w:t>Požadovaná úroveň anestézie sa dosiahne postupnou titráciou dávky. Pre intravenóznu indukciu anestézie je midazolam podávaný pomaly v zvyšujúcich sa čiastkových dávkach. Každá čiastková dávka maximálne 5 mg sa má podávať počas 20</w:t>
      </w:r>
      <w:r w:rsidR="0022260F" w:rsidRPr="009A517F">
        <w:rPr>
          <w:sz w:val="22"/>
          <w:szCs w:val="22"/>
        </w:rPr>
        <w:t> – </w:t>
      </w:r>
      <w:r w:rsidRPr="009A517F">
        <w:rPr>
          <w:sz w:val="22"/>
          <w:szCs w:val="22"/>
        </w:rPr>
        <w:t>30 sekúnd v dvojminútových intervaloch medzi dávkami.</w:t>
      </w:r>
    </w:p>
    <w:p w14:paraId="62EBD92A" w14:textId="77777777" w:rsidR="004F5603" w:rsidRPr="009A517F" w:rsidRDefault="004F5603" w:rsidP="004F5603">
      <w:pPr>
        <w:rPr>
          <w:sz w:val="22"/>
          <w:szCs w:val="22"/>
        </w:rPr>
      </w:pPr>
    </w:p>
    <w:p w14:paraId="0CF71753" w14:textId="24EE8536" w:rsidR="004F5603" w:rsidRPr="009A517F" w:rsidRDefault="004F5603" w:rsidP="004F5603">
      <w:pPr>
        <w:numPr>
          <w:ilvl w:val="0"/>
          <w:numId w:val="18"/>
        </w:numPr>
        <w:autoSpaceDE/>
        <w:autoSpaceDN/>
        <w:ind w:left="567" w:hanging="357"/>
        <w:rPr>
          <w:sz w:val="22"/>
          <w:szCs w:val="22"/>
        </w:rPr>
      </w:pPr>
      <w:r w:rsidRPr="009A517F">
        <w:rPr>
          <w:i/>
          <w:sz w:val="22"/>
          <w:szCs w:val="22"/>
        </w:rPr>
        <w:t xml:space="preserve">U dospelých vo veku do 60 rokov s premedikáciou </w:t>
      </w:r>
      <w:r w:rsidRPr="009A517F">
        <w:rPr>
          <w:sz w:val="22"/>
          <w:szCs w:val="22"/>
        </w:rPr>
        <w:t xml:space="preserve">je zvyčajne </w:t>
      </w:r>
      <w:r w:rsidR="000076E3" w:rsidRPr="009A517F">
        <w:rPr>
          <w:sz w:val="22"/>
          <w:szCs w:val="22"/>
        </w:rPr>
        <w:t>po</w:t>
      </w:r>
      <w:r w:rsidRPr="009A517F">
        <w:rPr>
          <w:sz w:val="22"/>
          <w:szCs w:val="22"/>
        </w:rPr>
        <w:t>stačujúca dávka 0,15</w:t>
      </w:r>
      <w:r w:rsidR="000076E3" w:rsidRPr="009A517F">
        <w:rPr>
          <w:sz w:val="22"/>
          <w:szCs w:val="22"/>
        </w:rPr>
        <w:t> – </w:t>
      </w:r>
      <w:r w:rsidRPr="009A517F">
        <w:rPr>
          <w:sz w:val="22"/>
          <w:szCs w:val="22"/>
        </w:rPr>
        <w:t xml:space="preserve">0,2 mg/kg podávaná intravenózne. </w:t>
      </w:r>
    </w:p>
    <w:p w14:paraId="7E467050" w14:textId="3C1F7E2B" w:rsidR="004F5603" w:rsidRPr="009A517F" w:rsidRDefault="004F5603" w:rsidP="004F5603">
      <w:pPr>
        <w:numPr>
          <w:ilvl w:val="0"/>
          <w:numId w:val="18"/>
        </w:numPr>
        <w:autoSpaceDE/>
        <w:autoSpaceDN/>
        <w:ind w:left="567" w:hanging="357"/>
        <w:rPr>
          <w:sz w:val="22"/>
          <w:szCs w:val="22"/>
        </w:rPr>
      </w:pPr>
      <w:r w:rsidRPr="009A517F">
        <w:rPr>
          <w:i/>
          <w:sz w:val="22"/>
          <w:szCs w:val="22"/>
        </w:rPr>
        <w:t xml:space="preserve">U dospelých vo veku do 60 rokov bez premedikácie </w:t>
      </w:r>
      <w:r w:rsidRPr="009A517F">
        <w:rPr>
          <w:sz w:val="22"/>
          <w:szCs w:val="22"/>
        </w:rPr>
        <w:t>môže byť použitá dávka vyššia (0,3 až 0,35 mg/kg i.</w:t>
      </w:r>
      <w:r w:rsidR="000076E3" w:rsidRPr="009A517F">
        <w:rPr>
          <w:sz w:val="22"/>
          <w:szCs w:val="22"/>
        </w:rPr>
        <w:t xml:space="preserve"> </w:t>
      </w:r>
      <w:r w:rsidRPr="009A517F">
        <w:rPr>
          <w:sz w:val="22"/>
          <w:szCs w:val="22"/>
        </w:rPr>
        <w:t xml:space="preserve">v.). Ak sa vyžaduje </w:t>
      </w:r>
      <w:r w:rsidR="00255598" w:rsidRPr="009A517F">
        <w:rPr>
          <w:sz w:val="22"/>
          <w:szCs w:val="22"/>
        </w:rPr>
        <w:t>ukončiť navodenie anestézie</w:t>
      </w:r>
      <w:r w:rsidRPr="009A517F">
        <w:rPr>
          <w:sz w:val="22"/>
          <w:szCs w:val="22"/>
        </w:rPr>
        <w:t xml:space="preserve">, ďalšie dávky môžu predstavovať približne 25 % </w:t>
      </w:r>
      <w:r w:rsidR="00255598" w:rsidRPr="009A517F">
        <w:rPr>
          <w:sz w:val="22"/>
          <w:szCs w:val="22"/>
        </w:rPr>
        <w:t>úvodnej</w:t>
      </w:r>
      <w:r w:rsidRPr="009A517F">
        <w:rPr>
          <w:sz w:val="22"/>
          <w:szCs w:val="22"/>
        </w:rPr>
        <w:t xml:space="preserve"> dávky pacienta. </w:t>
      </w:r>
      <w:r w:rsidR="00255598" w:rsidRPr="009A517F">
        <w:rPr>
          <w:sz w:val="22"/>
          <w:szCs w:val="22"/>
        </w:rPr>
        <w:t xml:space="preserve">Navodenie anestézie </w:t>
      </w:r>
      <w:r w:rsidRPr="009A517F">
        <w:rPr>
          <w:sz w:val="22"/>
          <w:szCs w:val="22"/>
        </w:rPr>
        <w:t>môže byť tiež vykonan</w:t>
      </w:r>
      <w:r w:rsidR="00255598" w:rsidRPr="009A517F">
        <w:rPr>
          <w:sz w:val="22"/>
          <w:szCs w:val="22"/>
        </w:rPr>
        <w:t>é</w:t>
      </w:r>
      <w:r w:rsidRPr="009A517F">
        <w:rPr>
          <w:sz w:val="22"/>
          <w:szCs w:val="22"/>
        </w:rPr>
        <w:t xml:space="preserve"> s inhalačnými anestetikami. V prípadoch rezistencie sa na </w:t>
      </w:r>
      <w:r w:rsidR="00255598" w:rsidRPr="009A517F">
        <w:rPr>
          <w:sz w:val="22"/>
          <w:szCs w:val="22"/>
        </w:rPr>
        <w:t xml:space="preserve">navodenie </w:t>
      </w:r>
      <w:r w:rsidRPr="009A517F">
        <w:rPr>
          <w:sz w:val="22"/>
          <w:szCs w:val="22"/>
        </w:rPr>
        <w:t xml:space="preserve">môže použiť celková dávka až do 0,6 mg/kg, ale takéto vyššie dávky môžu predĺžiť zotavovanie z anestézie. </w:t>
      </w:r>
    </w:p>
    <w:p w14:paraId="6F4FB0DC" w14:textId="337B8997" w:rsidR="004F5603" w:rsidRPr="009A517F" w:rsidRDefault="004F5603" w:rsidP="004F5603">
      <w:pPr>
        <w:numPr>
          <w:ilvl w:val="0"/>
          <w:numId w:val="18"/>
        </w:numPr>
        <w:autoSpaceDE/>
        <w:autoSpaceDN/>
        <w:ind w:left="567" w:hanging="357"/>
        <w:rPr>
          <w:sz w:val="22"/>
          <w:szCs w:val="22"/>
        </w:rPr>
      </w:pPr>
      <w:r w:rsidRPr="009A517F">
        <w:rPr>
          <w:i/>
          <w:sz w:val="22"/>
          <w:szCs w:val="22"/>
        </w:rPr>
        <w:t xml:space="preserve">U dospelých vo veku nad 60 rokov, oslabených alebo chronicky chorých pacientov s premedikáciou </w:t>
      </w:r>
      <w:r w:rsidRPr="009A517F">
        <w:rPr>
          <w:sz w:val="22"/>
          <w:szCs w:val="22"/>
        </w:rPr>
        <w:t>má byť dávka výrazne znížená, napr. na 0,05</w:t>
      </w:r>
      <w:r w:rsidR="00725BBA" w:rsidRPr="009A517F">
        <w:rPr>
          <w:sz w:val="22"/>
          <w:szCs w:val="22"/>
        </w:rPr>
        <w:t> – </w:t>
      </w:r>
      <w:r w:rsidRPr="009A517F">
        <w:rPr>
          <w:sz w:val="22"/>
          <w:szCs w:val="22"/>
        </w:rPr>
        <w:t xml:space="preserve">0,15 mg/kg, podávaná intravenózne počas 20 až 30 sekúnd, pričom sa čaká 2 minúty na nástup účinku lieku. </w:t>
      </w:r>
    </w:p>
    <w:p w14:paraId="5F40D53E" w14:textId="4E7E30F2" w:rsidR="004F5603" w:rsidRPr="009A517F" w:rsidRDefault="004F5603" w:rsidP="004F5603">
      <w:pPr>
        <w:numPr>
          <w:ilvl w:val="0"/>
          <w:numId w:val="18"/>
        </w:numPr>
        <w:autoSpaceDE/>
        <w:autoSpaceDN/>
        <w:ind w:left="567" w:hanging="357"/>
        <w:rPr>
          <w:sz w:val="22"/>
          <w:szCs w:val="22"/>
        </w:rPr>
      </w:pPr>
      <w:r w:rsidRPr="009A517F">
        <w:rPr>
          <w:i/>
          <w:sz w:val="22"/>
          <w:szCs w:val="22"/>
        </w:rPr>
        <w:t xml:space="preserve">U dospelých vo veku nad 60 rokov bez premedikácie </w:t>
      </w:r>
      <w:r w:rsidRPr="009A517F">
        <w:rPr>
          <w:sz w:val="22"/>
          <w:szCs w:val="22"/>
        </w:rPr>
        <w:t>sú zvyčajne potrebné vyššie dávky midazolamu</w:t>
      </w:r>
      <w:r w:rsidR="00725BBA" w:rsidRPr="009A517F">
        <w:rPr>
          <w:sz w:val="22"/>
          <w:szCs w:val="22"/>
        </w:rPr>
        <w:t xml:space="preserve"> na navodenie anestézie</w:t>
      </w:r>
      <w:r w:rsidRPr="009A517F">
        <w:rPr>
          <w:sz w:val="22"/>
          <w:szCs w:val="22"/>
        </w:rPr>
        <w:t xml:space="preserve">: odporúčaná úvodná dávka je 0,15 až 0,3 mg/kg. </w:t>
      </w:r>
      <w:r w:rsidR="00725BBA" w:rsidRPr="009A517F">
        <w:rPr>
          <w:sz w:val="22"/>
          <w:szCs w:val="22"/>
        </w:rPr>
        <w:t xml:space="preserve">U pacientov s ťažkým systémovým ochorením alebo u inak </w:t>
      </w:r>
      <w:r w:rsidRPr="009A517F">
        <w:rPr>
          <w:sz w:val="22"/>
          <w:szCs w:val="22"/>
        </w:rPr>
        <w:t xml:space="preserve">oslabených pacientov bez premedikácie sa na </w:t>
      </w:r>
      <w:r w:rsidR="00725BBA" w:rsidRPr="009A517F">
        <w:rPr>
          <w:sz w:val="22"/>
          <w:szCs w:val="22"/>
        </w:rPr>
        <w:t>navodenie anestézie</w:t>
      </w:r>
      <w:r w:rsidRPr="009A517F">
        <w:rPr>
          <w:sz w:val="22"/>
          <w:szCs w:val="22"/>
        </w:rPr>
        <w:t xml:space="preserve"> zvyčajne podáva menej midazolamu. Úvodná dávka 0,15 až 0,25 mg/kg je všeobecne </w:t>
      </w:r>
      <w:r w:rsidR="00725BBA" w:rsidRPr="009A517F">
        <w:rPr>
          <w:sz w:val="22"/>
          <w:szCs w:val="22"/>
        </w:rPr>
        <w:t>po</w:t>
      </w:r>
      <w:r w:rsidRPr="009A517F">
        <w:rPr>
          <w:sz w:val="22"/>
          <w:szCs w:val="22"/>
        </w:rPr>
        <w:t xml:space="preserve">stačujúca.  </w:t>
      </w:r>
    </w:p>
    <w:p w14:paraId="5338FB6C" w14:textId="518B53EC" w:rsidR="004F5603" w:rsidRPr="009A517F" w:rsidRDefault="004F5603" w:rsidP="00625CF2">
      <w:pPr>
        <w:pStyle w:val="Normlnywebov"/>
        <w:spacing w:before="0" w:beforeAutospacing="0" w:after="0" w:afterAutospacing="0"/>
        <w:rPr>
          <w:sz w:val="22"/>
          <w:szCs w:val="22"/>
          <w:lang w:val="sk-SK"/>
        </w:rPr>
      </w:pPr>
    </w:p>
    <w:p w14:paraId="735C607E" w14:textId="204EA4D8" w:rsidR="00A575A4" w:rsidRPr="009A517F" w:rsidRDefault="00A575A4" w:rsidP="00A575A4">
      <w:pPr>
        <w:rPr>
          <w:sz w:val="22"/>
          <w:szCs w:val="22"/>
        </w:rPr>
      </w:pPr>
      <w:r w:rsidRPr="009A517F">
        <w:rPr>
          <w:sz w:val="22"/>
          <w:szCs w:val="22"/>
        </w:rPr>
        <w:t>SEDATÍVNA ZLOŽKA PRI KOMBINOVANEJ ANESTÉZII</w:t>
      </w:r>
    </w:p>
    <w:p w14:paraId="0416B5C2" w14:textId="77777777" w:rsidR="00A575A4" w:rsidRPr="009A517F" w:rsidRDefault="00A575A4" w:rsidP="00A575A4">
      <w:pPr>
        <w:rPr>
          <w:sz w:val="22"/>
          <w:szCs w:val="22"/>
        </w:rPr>
      </w:pPr>
    </w:p>
    <w:p w14:paraId="39EEC87F" w14:textId="77777777" w:rsidR="00A575A4" w:rsidRPr="009A517F" w:rsidRDefault="00A575A4" w:rsidP="00A575A4">
      <w:pPr>
        <w:rPr>
          <w:b/>
          <w:sz w:val="22"/>
          <w:szCs w:val="22"/>
        </w:rPr>
      </w:pPr>
      <w:r w:rsidRPr="009A517F">
        <w:rPr>
          <w:b/>
          <w:sz w:val="22"/>
          <w:szCs w:val="22"/>
        </w:rPr>
        <w:t xml:space="preserve">Dospelí </w:t>
      </w:r>
    </w:p>
    <w:p w14:paraId="31B7C8D0" w14:textId="77777777" w:rsidR="00A575A4" w:rsidRPr="009A517F" w:rsidRDefault="00A575A4" w:rsidP="00A575A4">
      <w:pPr>
        <w:rPr>
          <w:sz w:val="22"/>
          <w:szCs w:val="22"/>
        </w:rPr>
      </w:pPr>
    </w:p>
    <w:p w14:paraId="188E7A65" w14:textId="7167AA20" w:rsidR="00A575A4" w:rsidRPr="009A517F" w:rsidRDefault="00A575A4" w:rsidP="00A575A4">
      <w:pPr>
        <w:rPr>
          <w:sz w:val="22"/>
          <w:szCs w:val="22"/>
        </w:rPr>
      </w:pPr>
      <w:r w:rsidRPr="009A517F">
        <w:rPr>
          <w:sz w:val="22"/>
          <w:szCs w:val="22"/>
        </w:rPr>
        <w:t xml:space="preserve">Midazolam sa môže podávať ako sedatívna zložka pri kombinovanej anestézii formou ďalších intermitentných malých i. v. dávok (v rozsahu 0,03 až 0,1 mg/kg) alebo formou kontinuálnej i. v. infúzie (v rozsahu 0,03 až 0,1 mg/kg/h), zvyčajne v kombinácii s analgetikami. Dávka a intervaly medzi dávkami sa menia v závislosti od individuálnej reakcie pacienta. </w:t>
      </w:r>
    </w:p>
    <w:p w14:paraId="7944BE54" w14:textId="77777777" w:rsidR="0095630E" w:rsidRPr="009A517F" w:rsidRDefault="0095630E" w:rsidP="00A575A4">
      <w:pPr>
        <w:rPr>
          <w:sz w:val="22"/>
          <w:szCs w:val="22"/>
        </w:rPr>
      </w:pPr>
    </w:p>
    <w:p w14:paraId="2CFA2865" w14:textId="68C218F8" w:rsidR="00A575A4" w:rsidRPr="009A517F" w:rsidRDefault="00A575A4" w:rsidP="00A575A4">
      <w:pPr>
        <w:rPr>
          <w:sz w:val="22"/>
          <w:szCs w:val="22"/>
        </w:rPr>
      </w:pPr>
      <w:r w:rsidRPr="009A517F">
        <w:rPr>
          <w:sz w:val="22"/>
          <w:szCs w:val="22"/>
        </w:rPr>
        <w:t xml:space="preserve">U dospelých vo veku viac ako 60 rokov, u oslabených alebo chronicky chorých pacientov sú vyžadované nižšie udržiavacie dávky. </w:t>
      </w:r>
    </w:p>
    <w:p w14:paraId="13EC6AE8" w14:textId="77777777" w:rsidR="00A575A4" w:rsidRPr="009A517F" w:rsidRDefault="00A575A4" w:rsidP="00A575A4">
      <w:pPr>
        <w:rPr>
          <w:sz w:val="22"/>
          <w:szCs w:val="22"/>
        </w:rPr>
      </w:pPr>
    </w:p>
    <w:p w14:paraId="6FCE134E" w14:textId="5D468D5B" w:rsidR="00A575A4" w:rsidRPr="009A517F" w:rsidRDefault="00A575A4" w:rsidP="00A575A4">
      <w:pPr>
        <w:rPr>
          <w:sz w:val="22"/>
          <w:szCs w:val="22"/>
        </w:rPr>
      </w:pPr>
      <w:r w:rsidRPr="009A517F">
        <w:rPr>
          <w:sz w:val="22"/>
          <w:szCs w:val="22"/>
        </w:rPr>
        <w:t>SEDÁCIA NA JEDNOTKE INTENZÍVNEJ STAROSTLIVOSTI</w:t>
      </w:r>
    </w:p>
    <w:p w14:paraId="76A9CB2D" w14:textId="77777777" w:rsidR="0095630E" w:rsidRPr="009A517F" w:rsidRDefault="0095630E" w:rsidP="00A575A4">
      <w:pPr>
        <w:rPr>
          <w:sz w:val="22"/>
          <w:szCs w:val="22"/>
        </w:rPr>
      </w:pPr>
    </w:p>
    <w:p w14:paraId="4FC78D0C" w14:textId="1EFAB9EA" w:rsidR="00A575A4" w:rsidRPr="009A517F" w:rsidRDefault="00A575A4" w:rsidP="00A575A4">
      <w:pPr>
        <w:rPr>
          <w:sz w:val="22"/>
          <w:szCs w:val="22"/>
        </w:rPr>
      </w:pPr>
      <w:r w:rsidRPr="009A517F">
        <w:rPr>
          <w:sz w:val="22"/>
          <w:szCs w:val="22"/>
        </w:rPr>
        <w:t>Požadovaná úroveň sedácie sa dosiahne postupnou titráciou midazolamu, po ktorej nasleduje buď kontinuálna infúzia</w:t>
      </w:r>
      <w:r w:rsidR="0095630E" w:rsidRPr="009A517F">
        <w:rPr>
          <w:sz w:val="22"/>
          <w:szCs w:val="22"/>
        </w:rPr>
        <w:t>,</w:t>
      </w:r>
      <w:r w:rsidRPr="009A517F">
        <w:rPr>
          <w:sz w:val="22"/>
          <w:szCs w:val="22"/>
        </w:rPr>
        <w:t xml:space="preserve"> alebo intermitentný bolus v závislosti </w:t>
      </w:r>
      <w:r w:rsidR="0095630E" w:rsidRPr="009A517F">
        <w:rPr>
          <w:sz w:val="22"/>
          <w:szCs w:val="22"/>
        </w:rPr>
        <w:t>od</w:t>
      </w:r>
      <w:r w:rsidRPr="009A517F">
        <w:rPr>
          <w:sz w:val="22"/>
          <w:szCs w:val="22"/>
        </w:rPr>
        <w:t xml:space="preserve"> klinickej potreb</w:t>
      </w:r>
      <w:r w:rsidR="0095630E" w:rsidRPr="009A517F">
        <w:rPr>
          <w:sz w:val="22"/>
          <w:szCs w:val="22"/>
        </w:rPr>
        <w:t>y</w:t>
      </w:r>
      <w:r w:rsidRPr="009A517F">
        <w:rPr>
          <w:sz w:val="22"/>
          <w:szCs w:val="22"/>
        </w:rPr>
        <w:t>, stav</w:t>
      </w:r>
      <w:r w:rsidR="0095630E" w:rsidRPr="009A517F">
        <w:rPr>
          <w:sz w:val="22"/>
          <w:szCs w:val="22"/>
        </w:rPr>
        <w:t>u</w:t>
      </w:r>
      <w:r w:rsidRPr="009A517F">
        <w:rPr>
          <w:sz w:val="22"/>
          <w:szCs w:val="22"/>
        </w:rPr>
        <w:t xml:space="preserve"> a veku pacienta a sprievodnej liečb</w:t>
      </w:r>
      <w:r w:rsidR="0095630E" w:rsidRPr="009A517F">
        <w:rPr>
          <w:sz w:val="22"/>
          <w:szCs w:val="22"/>
        </w:rPr>
        <w:t>y</w:t>
      </w:r>
      <w:r w:rsidRPr="009A517F">
        <w:rPr>
          <w:sz w:val="22"/>
          <w:szCs w:val="22"/>
        </w:rPr>
        <w:t xml:space="preserve"> (pozri časť 4.5).</w:t>
      </w:r>
    </w:p>
    <w:p w14:paraId="357AECFC" w14:textId="77777777" w:rsidR="00A575A4" w:rsidRPr="009A517F" w:rsidRDefault="00A575A4" w:rsidP="00A575A4">
      <w:pPr>
        <w:rPr>
          <w:sz w:val="22"/>
          <w:szCs w:val="22"/>
        </w:rPr>
      </w:pPr>
    </w:p>
    <w:p w14:paraId="47E26167" w14:textId="13BB1536" w:rsidR="00A575A4" w:rsidRPr="009A517F" w:rsidRDefault="00A575A4" w:rsidP="00A575A4">
      <w:pPr>
        <w:rPr>
          <w:b/>
          <w:sz w:val="22"/>
          <w:szCs w:val="22"/>
        </w:rPr>
      </w:pPr>
      <w:r w:rsidRPr="009A517F">
        <w:rPr>
          <w:b/>
          <w:sz w:val="22"/>
          <w:szCs w:val="22"/>
        </w:rPr>
        <w:t xml:space="preserve">Dospelí </w:t>
      </w:r>
    </w:p>
    <w:p w14:paraId="0B296BDF" w14:textId="77777777" w:rsidR="0095630E" w:rsidRPr="009A517F" w:rsidRDefault="0095630E" w:rsidP="00A575A4">
      <w:pPr>
        <w:rPr>
          <w:b/>
          <w:sz w:val="22"/>
          <w:szCs w:val="22"/>
        </w:rPr>
      </w:pPr>
    </w:p>
    <w:p w14:paraId="70FFB597" w14:textId="77777777" w:rsidR="000F41B7" w:rsidRPr="009A517F" w:rsidRDefault="00A575A4" w:rsidP="00A575A4">
      <w:pPr>
        <w:rPr>
          <w:sz w:val="22"/>
          <w:szCs w:val="22"/>
        </w:rPr>
      </w:pPr>
      <w:r w:rsidRPr="009A517F">
        <w:rPr>
          <w:sz w:val="22"/>
          <w:szCs w:val="22"/>
          <w:u w:val="single"/>
        </w:rPr>
        <w:t>Intravenózna nasycovacia dávka:</w:t>
      </w:r>
      <w:r w:rsidRPr="009A517F">
        <w:rPr>
          <w:sz w:val="22"/>
          <w:szCs w:val="22"/>
        </w:rPr>
        <w:t xml:space="preserve"> 0,03 až 0,3 mg/kg podávaných pomaly v čiastkových dávkach. Jednotlivé dávky 1</w:t>
      </w:r>
      <w:r w:rsidR="000F41B7" w:rsidRPr="009A517F">
        <w:rPr>
          <w:sz w:val="22"/>
          <w:szCs w:val="22"/>
        </w:rPr>
        <w:t> – </w:t>
      </w:r>
      <w:r w:rsidRPr="009A517F">
        <w:rPr>
          <w:sz w:val="22"/>
          <w:szCs w:val="22"/>
        </w:rPr>
        <w:t>2,5 mg sa majú aplikovať počas 20</w:t>
      </w:r>
      <w:r w:rsidR="000F41B7" w:rsidRPr="009A517F">
        <w:rPr>
          <w:sz w:val="22"/>
          <w:szCs w:val="22"/>
        </w:rPr>
        <w:t> – </w:t>
      </w:r>
      <w:r w:rsidRPr="009A517F">
        <w:rPr>
          <w:sz w:val="22"/>
          <w:szCs w:val="22"/>
        </w:rPr>
        <w:t xml:space="preserve">30 sekúnd v dvojminútových intervaloch medzi dávkami. U pacientov s hypovolémiou, vazokonstrikciou alebo hypotermiou sa má nasycovacia dávka znížiť alebo vynechať. </w:t>
      </w:r>
    </w:p>
    <w:p w14:paraId="52BF8ECC" w14:textId="307E1BDD" w:rsidR="00A575A4" w:rsidRPr="009A517F" w:rsidRDefault="00A575A4" w:rsidP="00A575A4">
      <w:pPr>
        <w:rPr>
          <w:sz w:val="22"/>
          <w:szCs w:val="22"/>
        </w:rPr>
      </w:pPr>
      <w:r w:rsidRPr="009A517F">
        <w:rPr>
          <w:sz w:val="22"/>
          <w:szCs w:val="22"/>
        </w:rPr>
        <w:t xml:space="preserve">Ak sa midazolam podáva spolu so silnými analgetikami, majú </w:t>
      </w:r>
      <w:r w:rsidR="000F41B7" w:rsidRPr="009A517F">
        <w:rPr>
          <w:sz w:val="22"/>
          <w:szCs w:val="22"/>
        </w:rPr>
        <w:t xml:space="preserve">sa </w:t>
      </w:r>
      <w:r w:rsidRPr="009A517F">
        <w:rPr>
          <w:sz w:val="22"/>
          <w:szCs w:val="22"/>
        </w:rPr>
        <w:t>podať ako prvé. To umožní bezpečné titrovanie sedatívneho účinku midazolamu, takže nie je ovplyvnený sedáciou analgetikom.</w:t>
      </w:r>
    </w:p>
    <w:p w14:paraId="44ECD83B" w14:textId="76CDB86B" w:rsidR="00A575A4" w:rsidRPr="009A517F" w:rsidRDefault="00A575A4" w:rsidP="00A575A4">
      <w:pPr>
        <w:rPr>
          <w:sz w:val="22"/>
          <w:szCs w:val="22"/>
        </w:rPr>
      </w:pPr>
      <w:r w:rsidRPr="009A517F">
        <w:rPr>
          <w:sz w:val="22"/>
          <w:szCs w:val="22"/>
          <w:u w:val="single"/>
        </w:rPr>
        <w:t>Udržiavacia intravenózna dávka:</w:t>
      </w:r>
      <w:r w:rsidRPr="009A517F">
        <w:rPr>
          <w:sz w:val="22"/>
          <w:szCs w:val="22"/>
        </w:rPr>
        <w:t xml:space="preserve"> </w:t>
      </w:r>
      <w:r w:rsidR="000F41B7" w:rsidRPr="009947F7">
        <w:rPr>
          <w:sz w:val="22"/>
          <w:szCs w:val="22"/>
        </w:rPr>
        <w:t xml:space="preserve">dávky </w:t>
      </w:r>
      <w:r w:rsidR="003202CA" w:rsidRPr="009947F7">
        <w:rPr>
          <w:sz w:val="22"/>
          <w:szCs w:val="22"/>
        </w:rPr>
        <w:t xml:space="preserve">môžu </w:t>
      </w:r>
      <w:r w:rsidRPr="009947F7">
        <w:rPr>
          <w:sz w:val="22"/>
          <w:szCs w:val="22"/>
        </w:rPr>
        <w:t>byť v rozsahu 0,03 až 0,2 mg/kg/h</w:t>
      </w:r>
      <w:r w:rsidRPr="009A517F">
        <w:rPr>
          <w:sz w:val="22"/>
          <w:szCs w:val="22"/>
        </w:rPr>
        <w:t xml:space="preserve">. U pacientov s hypovolémiou, vazokonstrikciou alebo hypotermiou sa má udržiavacia dávka znížiť. Úroveň sedácie sa má pravidelne hodnotiť. Dlhodobá sedácia môže viesť k tolerancii, čo môže vyžadovať zvýšenie dávky. </w:t>
      </w:r>
    </w:p>
    <w:p w14:paraId="4D302201" w14:textId="77777777" w:rsidR="00A575A4" w:rsidRPr="009A517F" w:rsidRDefault="00A575A4" w:rsidP="00A575A4">
      <w:pPr>
        <w:rPr>
          <w:sz w:val="22"/>
          <w:szCs w:val="22"/>
        </w:rPr>
      </w:pPr>
    </w:p>
    <w:p w14:paraId="5FA98370" w14:textId="7C4CA851" w:rsidR="00A575A4" w:rsidRPr="009A517F" w:rsidRDefault="00A575A4" w:rsidP="00A575A4">
      <w:pPr>
        <w:rPr>
          <w:b/>
          <w:sz w:val="22"/>
          <w:szCs w:val="22"/>
        </w:rPr>
      </w:pPr>
      <w:r w:rsidRPr="009A517F">
        <w:rPr>
          <w:b/>
          <w:sz w:val="22"/>
          <w:szCs w:val="22"/>
        </w:rPr>
        <w:t>Novorodenci a deti vo veku do 6 mesiacov</w:t>
      </w:r>
    </w:p>
    <w:p w14:paraId="23E2372B" w14:textId="77777777" w:rsidR="000F41B7" w:rsidRPr="009A517F" w:rsidRDefault="000F41B7" w:rsidP="00A575A4">
      <w:pPr>
        <w:rPr>
          <w:b/>
          <w:sz w:val="22"/>
          <w:szCs w:val="22"/>
        </w:rPr>
      </w:pPr>
    </w:p>
    <w:p w14:paraId="0524564E" w14:textId="7B285A5D" w:rsidR="00A575A4" w:rsidRPr="009A517F" w:rsidRDefault="00A575A4" w:rsidP="00A575A4">
      <w:pPr>
        <w:rPr>
          <w:sz w:val="22"/>
          <w:szCs w:val="22"/>
        </w:rPr>
      </w:pPr>
      <w:r w:rsidRPr="009A517F">
        <w:rPr>
          <w:sz w:val="22"/>
          <w:szCs w:val="22"/>
        </w:rPr>
        <w:t xml:space="preserve">Midazolam sa podáva vo forme intravenóznej kontinuálnej infúzie. Úvodná dávka u novorodencov s gestačným vekom nižším ako 32 týždňov je 0,03 mg/kg/h (0,5 µg/kg/min) a u novorodencov s gestačným vekom vyšším ako 32 týždňov a u detí vo veku do 6 mesiacov je 0,06 mg/kg/h (1 µg/kg/min). </w:t>
      </w:r>
    </w:p>
    <w:p w14:paraId="5E0F900D" w14:textId="77777777" w:rsidR="00A575A4" w:rsidRPr="009A517F" w:rsidRDefault="00A575A4" w:rsidP="00A575A4">
      <w:pPr>
        <w:rPr>
          <w:sz w:val="22"/>
          <w:szCs w:val="22"/>
        </w:rPr>
      </w:pPr>
      <w:r w:rsidRPr="009A517F">
        <w:rPr>
          <w:sz w:val="22"/>
          <w:szCs w:val="22"/>
        </w:rPr>
        <w:t>Intravenózne nasycovacie dávky sa neodporúčajú u predčasne narodených detí, novorodencov a detí vo veku do 6 mesiacov; namiesto toho má byť rýchlosť infúzie počas prvých hodín podávania vyššia, aby sa dosiahli terapeutické koncentrácie. Najmä počas prvých 24 hodín aplikácie má byť rýchlosť infúzie často a pozorne hodnotená, aby bola podaná čo najnižšia možná účinná dávka a aby sa tak znížila možnosť kumulácie lieku.</w:t>
      </w:r>
    </w:p>
    <w:p w14:paraId="161638E3" w14:textId="77777777" w:rsidR="00A575A4" w:rsidRPr="009A517F" w:rsidRDefault="00A575A4" w:rsidP="00A575A4">
      <w:pPr>
        <w:rPr>
          <w:sz w:val="22"/>
          <w:szCs w:val="22"/>
        </w:rPr>
      </w:pPr>
      <w:r w:rsidRPr="009A517F">
        <w:rPr>
          <w:sz w:val="22"/>
          <w:szCs w:val="22"/>
        </w:rPr>
        <w:t xml:space="preserve">Je potrebné starostlivé monitorovanie dychovej frekvencie a saturácie kyslíkom. </w:t>
      </w:r>
    </w:p>
    <w:p w14:paraId="6D912119" w14:textId="77777777" w:rsidR="00A575A4" w:rsidRPr="009A517F" w:rsidRDefault="00A575A4" w:rsidP="00A575A4">
      <w:pPr>
        <w:rPr>
          <w:sz w:val="22"/>
          <w:szCs w:val="22"/>
        </w:rPr>
      </w:pPr>
    </w:p>
    <w:p w14:paraId="73AFA49B" w14:textId="051C3E52" w:rsidR="00A575A4" w:rsidRPr="009A517F" w:rsidRDefault="00A575A4" w:rsidP="00A575A4">
      <w:pPr>
        <w:rPr>
          <w:b/>
          <w:sz w:val="22"/>
          <w:szCs w:val="22"/>
        </w:rPr>
      </w:pPr>
      <w:r w:rsidRPr="009A517F">
        <w:rPr>
          <w:b/>
          <w:sz w:val="22"/>
          <w:szCs w:val="22"/>
        </w:rPr>
        <w:t>Deti vo veku od 6 mesiacov</w:t>
      </w:r>
    </w:p>
    <w:p w14:paraId="278F86DD" w14:textId="77777777" w:rsidR="000F41B7" w:rsidRPr="009A517F" w:rsidRDefault="000F41B7" w:rsidP="00A575A4">
      <w:pPr>
        <w:rPr>
          <w:b/>
          <w:sz w:val="22"/>
          <w:szCs w:val="22"/>
        </w:rPr>
      </w:pPr>
    </w:p>
    <w:p w14:paraId="316071B0" w14:textId="053E8E1A" w:rsidR="00A575A4" w:rsidRPr="009A517F" w:rsidRDefault="00A575A4" w:rsidP="00A575A4">
      <w:pPr>
        <w:rPr>
          <w:sz w:val="22"/>
          <w:szCs w:val="22"/>
        </w:rPr>
      </w:pPr>
      <w:r w:rsidRPr="009A517F">
        <w:rPr>
          <w:sz w:val="22"/>
          <w:szCs w:val="22"/>
        </w:rPr>
        <w:t>U zaintubovaných a ventilovaných detí sa na dosiahnutie požadovaného klinické</w:t>
      </w:r>
      <w:r w:rsidR="00E252F6" w:rsidRPr="009A517F">
        <w:rPr>
          <w:sz w:val="22"/>
          <w:szCs w:val="22"/>
        </w:rPr>
        <w:t>ho</w:t>
      </w:r>
      <w:r w:rsidRPr="009A517F">
        <w:rPr>
          <w:sz w:val="22"/>
          <w:szCs w:val="22"/>
        </w:rPr>
        <w:t xml:space="preserve"> účinku podáva nasycovacia i.</w:t>
      </w:r>
      <w:r w:rsidR="00E252F6" w:rsidRPr="009A517F">
        <w:rPr>
          <w:sz w:val="22"/>
          <w:szCs w:val="22"/>
        </w:rPr>
        <w:t xml:space="preserve"> </w:t>
      </w:r>
      <w:r w:rsidRPr="009A517F">
        <w:rPr>
          <w:sz w:val="22"/>
          <w:szCs w:val="22"/>
        </w:rPr>
        <w:t>v. dávka 0,05</w:t>
      </w:r>
      <w:r w:rsidR="00E252F6" w:rsidRPr="009A517F">
        <w:rPr>
          <w:sz w:val="22"/>
          <w:szCs w:val="22"/>
        </w:rPr>
        <w:t> – </w:t>
      </w:r>
      <w:r w:rsidRPr="009A517F">
        <w:rPr>
          <w:sz w:val="22"/>
          <w:szCs w:val="22"/>
        </w:rPr>
        <w:t xml:space="preserve">0,2 mg/kg pomaly minimálne </w:t>
      </w:r>
      <w:r w:rsidR="00E252F6" w:rsidRPr="009A517F">
        <w:rPr>
          <w:sz w:val="22"/>
          <w:szCs w:val="22"/>
        </w:rPr>
        <w:t xml:space="preserve">počas </w:t>
      </w:r>
      <w:r w:rsidRPr="009A517F">
        <w:rPr>
          <w:sz w:val="22"/>
          <w:szCs w:val="22"/>
        </w:rPr>
        <w:t>2</w:t>
      </w:r>
      <w:r w:rsidR="00E252F6" w:rsidRPr="009A517F">
        <w:rPr>
          <w:sz w:val="22"/>
          <w:szCs w:val="22"/>
        </w:rPr>
        <w:t> – </w:t>
      </w:r>
      <w:r w:rsidRPr="009A517F">
        <w:rPr>
          <w:sz w:val="22"/>
          <w:szCs w:val="22"/>
        </w:rPr>
        <w:t>3 minút.</w:t>
      </w:r>
      <w:r w:rsidR="00E252F6" w:rsidRPr="009A517F">
        <w:rPr>
          <w:sz w:val="22"/>
          <w:szCs w:val="22"/>
        </w:rPr>
        <w:t xml:space="preserve"> </w:t>
      </w:r>
      <w:r w:rsidRPr="009A517F">
        <w:rPr>
          <w:sz w:val="22"/>
          <w:szCs w:val="22"/>
        </w:rPr>
        <w:t>Midazolam sa nemá podávať formou rýchlej intravenóznej injekcie. Po nasycovacej dávke je midazolam podávaný formou kontinuálnej infúzie s rýchlosťou 0,06 až 0,12 mg/kg/h (1</w:t>
      </w:r>
      <w:r w:rsidR="00E252F6" w:rsidRPr="009A517F">
        <w:rPr>
          <w:sz w:val="22"/>
          <w:szCs w:val="22"/>
        </w:rPr>
        <w:t xml:space="preserve"> až </w:t>
      </w:r>
      <w:r w:rsidRPr="009A517F">
        <w:rPr>
          <w:sz w:val="22"/>
          <w:szCs w:val="22"/>
        </w:rPr>
        <w:t xml:space="preserve">2 µg/kg/min). Podľa potreby sa môže rýchlosť infúzie zvýšiť alebo znížiť (zvyčajne 25 % úvodnej alebo následnej rýchlosti infúzie) alebo sa na udržanie alebo zvýšenie potrebného účinku môžu intravenózne podať doplnkové dávky. </w:t>
      </w:r>
    </w:p>
    <w:p w14:paraId="5BF63AB6" w14:textId="77777777" w:rsidR="00A575A4" w:rsidRPr="009A517F" w:rsidRDefault="00A575A4" w:rsidP="00A575A4">
      <w:pPr>
        <w:rPr>
          <w:sz w:val="22"/>
          <w:szCs w:val="22"/>
        </w:rPr>
      </w:pPr>
      <w:r w:rsidRPr="009A517F">
        <w:rPr>
          <w:sz w:val="22"/>
          <w:szCs w:val="22"/>
        </w:rPr>
        <w:t>Ak je infúzia midazolamu aplikovaná u pacientov s hemodynamickou poruchou, má sa zvyčajná nasycovacia dávka titrovať pomocou malých dávok, pričom je potrebné starostlivo sledovať hemodynamické alterácie (napr. hypotenzia) u pacienta. Takíto pacienti sú viac citliví na tlmivý účinok midazolamu na dýchanie a vyžadujú pozorné monitorovanie dychovej frekvencie a saturácie kyslíkom.</w:t>
      </w:r>
    </w:p>
    <w:p w14:paraId="103746CA" w14:textId="77777777" w:rsidR="00A575A4" w:rsidRPr="009A517F" w:rsidRDefault="00A575A4" w:rsidP="00A575A4">
      <w:pPr>
        <w:rPr>
          <w:sz w:val="22"/>
          <w:szCs w:val="22"/>
        </w:rPr>
      </w:pPr>
    </w:p>
    <w:p w14:paraId="33A371B9" w14:textId="4D28C9C5" w:rsidR="00A575A4" w:rsidRPr="009A517F" w:rsidRDefault="00A575A4" w:rsidP="00A575A4">
      <w:pPr>
        <w:rPr>
          <w:sz w:val="22"/>
          <w:szCs w:val="22"/>
        </w:rPr>
      </w:pPr>
      <w:r w:rsidRPr="009A517F">
        <w:rPr>
          <w:sz w:val="22"/>
          <w:szCs w:val="22"/>
        </w:rPr>
        <w:t xml:space="preserve">U predčasne narodených </w:t>
      </w:r>
      <w:r w:rsidR="003202CA" w:rsidRPr="009A517F">
        <w:rPr>
          <w:sz w:val="22"/>
          <w:szCs w:val="22"/>
        </w:rPr>
        <w:t>det</w:t>
      </w:r>
      <w:r w:rsidR="003202CA">
        <w:rPr>
          <w:sz w:val="22"/>
          <w:szCs w:val="22"/>
        </w:rPr>
        <w:t>í</w:t>
      </w:r>
      <w:r w:rsidRPr="009A517F">
        <w:rPr>
          <w:sz w:val="22"/>
          <w:szCs w:val="22"/>
        </w:rPr>
        <w:t xml:space="preserve">, novorodencov a detí s telesnou hmotnosťou menej ako </w:t>
      </w:r>
      <w:smartTag w:uri="urn:schemas-microsoft-com:office:smarttags" w:element="metricconverter">
        <w:smartTagPr>
          <w:attr w:name="ProductID" w:val="15 kg"/>
        </w:smartTagPr>
        <w:r w:rsidRPr="009A517F">
          <w:rPr>
            <w:sz w:val="22"/>
            <w:szCs w:val="22"/>
          </w:rPr>
          <w:t>15 kg</w:t>
        </w:r>
      </w:smartTag>
      <w:r w:rsidRPr="009A517F">
        <w:rPr>
          <w:sz w:val="22"/>
          <w:szCs w:val="22"/>
        </w:rPr>
        <w:t xml:space="preserve"> sa neodporúča podávať roztoky midazolamu s koncentráciou vyššou ako 1 mg/ml. Vyššie koncentrácie sa majú zriediť na 1 mg/ml.</w:t>
      </w:r>
    </w:p>
    <w:p w14:paraId="68FC2DA3" w14:textId="77777777" w:rsidR="00481B7A" w:rsidRPr="009A517F" w:rsidRDefault="00481B7A" w:rsidP="00625CF2">
      <w:pPr>
        <w:pStyle w:val="Normlnywebov"/>
        <w:spacing w:before="0" w:beforeAutospacing="0" w:after="0" w:afterAutospacing="0"/>
        <w:rPr>
          <w:sz w:val="22"/>
          <w:szCs w:val="22"/>
          <w:lang w:val="sk-SK"/>
        </w:rPr>
      </w:pPr>
    </w:p>
    <w:p w14:paraId="566B45CF" w14:textId="4FDFBB22" w:rsidR="00625CF2" w:rsidRPr="009A517F" w:rsidRDefault="00625CF2" w:rsidP="00625CF2">
      <w:pPr>
        <w:pStyle w:val="Normlnywebov"/>
        <w:spacing w:before="0" w:beforeAutospacing="0" w:after="0" w:afterAutospacing="0"/>
        <w:rPr>
          <w:b/>
          <w:sz w:val="22"/>
          <w:szCs w:val="22"/>
          <w:lang w:val="sk-SK"/>
        </w:rPr>
      </w:pPr>
      <w:r w:rsidRPr="009A517F">
        <w:rPr>
          <w:b/>
          <w:sz w:val="22"/>
          <w:szCs w:val="22"/>
          <w:lang w:val="sk-SK"/>
        </w:rPr>
        <w:t>Osobitné skupiny pacientov</w:t>
      </w:r>
    </w:p>
    <w:p w14:paraId="6C61F8A7" w14:textId="03B4FA7F" w:rsidR="00625CF2" w:rsidRPr="009A517F" w:rsidRDefault="00625CF2" w:rsidP="00625CF2">
      <w:pPr>
        <w:pStyle w:val="Normlnywebov"/>
        <w:spacing w:before="0" w:beforeAutospacing="0" w:after="0" w:afterAutospacing="0"/>
        <w:rPr>
          <w:sz w:val="22"/>
          <w:szCs w:val="22"/>
          <w:lang w:val="sk-SK"/>
        </w:rPr>
      </w:pPr>
    </w:p>
    <w:p w14:paraId="348DEEF0" w14:textId="649BE4A4" w:rsidR="001841E7" w:rsidRPr="009A517F" w:rsidRDefault="001841E7" w:rsidP="001841E7">
      <w:pPr>
        <w:rPr>
          <w:i/>
          <w:sz w:val="22"/>
          <w:szCs w:val="22"/>
          <w:u w:val="single"/>
        </w:rPr>
      </w:pPr>
      <w:r w:rsidRPr="009A517F">
        <w:rPr>
          <w:i/>
          <w:sz w:val="22"/>
          <w:szCs w:val="22"/>
          <w:u w:val="single"/>
        </w:rPr>
        <w:t>Porucha funkcie obličiek</w:t>
      </w:r>
    </w:p>
    <w:p w14:paraId="4B9F4790" w14:textId="77777777" w:rsidR="001841E7" w:rsidRPr="009A517F" w:rsidRDefault="001841E7" w:rsidP="001841E7">
      <w:pPr>
        <w:rPr>
          <w:sz w:val="22"/>
          <w:szCs w:val="22"/>
          <w:u w:val="single"/>
        </w:rPr>
      </w:pPr>
    </w:p>
    <w:p w14:paraId="44142ADB" w14:textId="62419EF8" w:rsidR="001841E7" w:rsidRPr="009A517F" w:rsidRDefault="001841E7" w:rsidP="001841E7">
      <w:pPr>
        <w:rPr>
          <w:sz w:val="22"/>
          <w:szCs w:val="22"/>
        </w:rPr>
      </w:pPr>
      <w:r w:rsidRPr="009A517F">
        <w:rPr>
          <w:sz w:val="22"/>
          <w:szCs w:val="22"/>
        </w:rPr>
        <w:t>U pacientov s poruchou funkcie obličiek (klírens kreatinínu &lt;</w:t>
      </w:r>
      <w:r w:rsidR="000059DE" w:rsidRPr="009A517F">
        <w:rPr>
          <w:sz w:val="22"/>
          <w:szCs w:val="22"/>
        </w:rPr>
        <w:t> </w:t>
      </w:r>
      <w:r w:rsidRPr="009A517F">
        <w:rPr>
          <w:sz w:val="22"/>
          <w:szCs w:val="22"/>
        </w:rPr>
        <w:t>10 ml/min) je farmakokinetika neviazaného midazolamu po jednorazovej intravenóznej dávke podobná ako v prípade zdravých dobrovoľníkov. Po predĺženej infúzii u pacientov na jednotke intenzívnej starostlivosti (JIS) je však priemern</w:t>
      </w:r>
      <w:r w:rsidR="000059DE" w:rsidRPr="009A517F">
        <w:rPr>
          <w:sz w:val="22"/>
          <w:szCs w:val="22"/>
        </w:rPr>
        <w:t>ý</w:t>
      </w:r>
      <w:r w:rsidRPr="009A517F">
        <w:rPr>
          <w:sz w:val="22"/>
          <w:szCs w:val="22"/>
        </w:rPr>
        <w:t xml:space="preserve"> </w:t>
      </w:r>
      <w:r w:rsidR="000059DE" w:rsidRPr="009A517F">
        <w:rPr>
          <w:sz w:val="22"/>
          <w:szCs w:val="22"/>
        </w:rPr>
        <w:t>čas</w:t>
      </w:r>
      <w:r w:rsidRPr="009A517F">
        <w:rPr>
          <w:sz w:val="22"/>
          <w:szCs w:val="22"/>
        </w:rPr>
        <w:t xml:space="preserve"> trvania sedatívneho účinku u populácie s renálnym zlyhaním výrazne dlhšia, pravdepodobne najmä v dôsledku kumulácie α-hydroxymidazolamglukuronidu.</w:t>
      </w:r>
    </w:p>
    <w:p w14:paraId="54BCD9D7" w14:textId="77777777" w:rsidR="001841E7" w:rsidRPr="009A517F" w:rsidRDefault="001841E7" w:rsidP="001841E7">
      <w:pPr>
        <w:rPr>
          <w:sz w:val="22"/>
          <w:szCs w:val="22"/>
        </w:rPr>
      </w:pPr>
      <w:r w:rsidRPr="009A517F">
        <w:rPr>
          <w:sz w:val="22"/>
          <w:szCs w:val="22"/>
        </w:rPr>
        <w:t>Špecifické údaje o pacientoch so závažnou poruchou funkcie obličiek (klírens kreatinínu menej ako 30 ml/min), ktorým bol podávaný midazolam na indukciu anestézie, nie sú k dispozícii.</w:t>
      </w:r>
    </w:p>
    <w:p w14:paraId="6BFDF57A" w14:textId="77777777" w:rsidR="001841E7" w:rsidRPr="009A517F" w:rsidRDefault="001841E7" w:rsidP="001841E7">
      <w:pPr>
        <w:rPr>
          <w:sz w:val="22"/>
          <w:szCs w:val="22"/>
        </w:rPr>
      </w:pPr>
    </w:p>
    <w:p w14:paraId="08BF4A80" w14:textId="38892CF0" w:rsidR="001841E7" w:rsidRPr="009A517F" w:rsidRDefault="001841E7" w:rsidP="001841E7">
      <w:pPr>
        <w:rPr>
          <w:i/>
          <w:sz w:val="22"/>
          <w:szCs w:val="22"/>
          <w:u w:val="single"/>
        </w:rPr>
      </w:pPr>
      <w:r w:rsidRPr="009A517F">
        <w:rPr>
          <w:i/>
          <w:sz w:val="22"/>
          <w:szCs w:val="22"/>
          <w:u w:val="single"/>
        </w:rPr>
        <w:t>Porucha funkcie pečene</w:t>
      </w:r>
    </w:p>
    <w:p w14:paraId="018DD3ED" w14:textId="77777777" w:rsidR="001841E7" w:rsidRPr="009A517F" w:rsidRDefault="001841E7" w:rsidP="001841E7">
      <w:pPr>
        <w:rPr>
          <w:i/>
          <w:sz w:val="22"/>
          <w:szCs w:val="22"/>
          <w:u w:val="single"/>
        </w:rPr>
      </w:pPr>
    </w:p>
    <w:p w14:paraId="2D99C9AC" w14:textId="77777777" w:rsidR="001841E7" w:rsidRPr="009A517F" w:rsidRDefault="001841E7" w:rsidP="001841E7">
      <w:pPr>
        <w:rPr>
          <w:sz w:val="22"/>
          <w:szCs w:val="22"/>
        </w:rPr>
      </w:pPr>
      <w:r w:rsidRPr="009A517F">
        <w:rPr>
          <w:sz w:val="22"/>
          <w:szCs w:val="22"/>
        </w:rPr>
        <w:t>Porucha funkcie pečene znižuje klírens intravenózne podávaného midazolamu s následným zvýšením terminálneho polčasu. Klinický účinok preto môže byť silnejší a dlhší. Požadovaná dávka midazolamu môže byť znížená a majú sa primerane monitorovať životné funkcie (pozri časť 4.4).</w:t>
      </w:r>
    </w:p>
    <w:p w14:paraId="12B34D9B" w14:textId="77777777" w:rsidR="001841E7" w:rsidRPr="009A517F" w:rsidRDefault="001841E7" w:rsidP="00625CF2">
      <w:pPr>
        <w:pStyle w:val="Normlnywebov"/>
        <w:spacing w:before="0" w:beforeAutospacing="0" w:after="0" w:afterAutospacing="0"/>
        <w:rPr>
          <w:sz w:val="22"/>
          <w:szCs w:val="22"/>
          <w:lang w:val="sk-SK"/>
        </w:rPr>
      </w:pPr>
    </w:p>
    <w:p w14:paraId="058D1270" w14:textId="2B4BB425" w:rsidR="00625CF2" w:rsidRPr="009A517F" w:rsidRDefault="00625CF2" w:rsidP="00625CF2">
      <w:pPr>
        <w:pStyle w:val="Normlnywebov"/>
        <w:spacing w:before="0" w:beforeAutospacing="0" w:after="0" w:afterAutospacing="0"/>
        <w:rPr>
          <w:sz w:val="22"/>
          <w:szCs w:val="22"/>
          <w:u w:val="single"/>
          <w:lang w:val="sk-SK"/>
        </w:rPr>
      </w:pPr>
      <w:r w:rsidRPr="009A517F">
        <w:rPr>
          <w:i/>
          <w:sz w:val="22"/>
          <w:szCs w:val="22"/>
          <w:u w:val="single"/>
          <w:lang w:val="sk-SK"/>
        </w:rPr>
        <w:t>Pediatrická populácia</w:t>
      </w:r>
    </w:p>
    <w:p w14:paraId="685B1117" w14:textId="5231887E" w:rsidR="00140736" w:rsidRPr="009A517F" w:rsidRDefault="00140736" w:rsidP="00625CF2">
      <w:pPr>
        <w:pStyle w:val="Normlnywebov"/>
        <w:spacing w:before="0" w:beforeAutospacing="0" w:after="0" w:afterAutospacing="0"/>
        <w:rPr>
          <w:sz w:val="22"/>
          <w:szCs w:val="22"/>
          <w:lang w:val="sk-SK"/>
        </w:rPr>
      </w:pPr>
      <w:r w:rsidRPr="009A517F">
        <w:rPr>
          <w:sz w:val="22"/>
          <w:szCs w:val="22"/>
          <w:lang w:val="sk-SK"/>
        </w:rPr>
        <w:t>Pozri vyššie a časť 4.4.</w:t>
      </w:r>
    </w:p>
    <w:p w14:paraId="34D204EC" w14:textId="77777777" w:rsidR="00625CF2" w:rsidRPr="009A517F" w:rsidRDefault="00625CF2" w:rsidP="00625CF2">
      <w:pPr>
        <w:pStyle w:val="Normlnywebov"/>
        <w:spacing w:before="0" w:beforeAutospacing="0" w:after="0" w:afterAutospacing="0"/>
        <w:rPr>
          <w:sz w:val="22"/>
          <w:szCs w:val="22"/>
          <w:lang w:val="sk-SK"/>
        </w:rPr>
      </w:pPr>
    </w:p>
    <w:p w14:paraId="7813A068" w14:textId="77777777" w:rsidR="00625CF2" w:rsidRPr="009A517F" w:rsidRDefault="00625CF2" w:rsidP="00625CF2">
      <w:pPr>
        <w:keepNext/>
        <w:numPr>
          <w:ilvl w:val="1"/>
          <w:numId w:val="10"/>
        </w:numPr>
        <w:autoSpaceDE/>
        <w:autoSpaceDN/>
        <w:ind w:left="573" w:hanging="573"/>
        <w:rPr>
          <w:b/>
          <w:sz w:val="22"/>
          <w:szCs w:val="22"/>
        </w:rPr>
      </w:pPr>
      <w:r w:rsidRPr="009A517F">
        <w:rPr>
          <w:b/>
          <w:sz w:val="22"/>
          <w:szCs w:val="22"/>
        </w:rPr>
        <w:t>Kontraindikácie</w:t>
      </w:r>
    </w:p>
    <w:p w14:paraId="23FDAB59" w14:textId="5051491D" w:rsidR="00625CF2" w:rsidRPr="009A517F" w:rsidRDefault="00625CF2" w:rsidP="00625CF2">
      <w:pPr>
        <w:keepNext/>
        <w:rPr>
          <w:sz w:val="22"/>
          <w:szCs w:val="22"/>
        </w:rPr>
      </w:pPr>
    </w:p>
    <w:p w14:paraId="3F701561" w14:textId="77777777" w:rsidR="00F42338" w:rsidRPr="00965B07" w:rsidRDefault="00F42338" w:rsidP="00F42338">
      <w:pPr>
        <w:pStyle w:val="Zkladntext"/>
        <w:spacing w:after="0"/>
        <w:rPr>
          <w:sz w:val="22"/>
          <w:szCs w:val="22"/>
          <w:lang w:val="sk-SK"/>
        </w:rPr>
      </w:pPr>
      <w:r w:rsidRPr="00965B07">
        <w:rPr>
          <w:sz w:val="22"/>
          <w:szCs w:val="22"/>
          <w:lang w:val="sk-SK"/>
        </w:rPr>
        <w:t>Precitlivenosť na midazolam, benzodiazepíny alebo na ktorúkoľvek z pomocných látok uvedených v časti 6.1.</w:t>
      </w:r>
    </w:p>
    <w:p w14:paraId="49F0F76A" w14:textId="77777777" w:rsidR="00F42338" w:rsidRPr="009A517F" w:rsidRDefault="00F42338" w:rsidP="00F42338">
      <w:pPr>
        <w:pStyle w:val="B"/>
        <w:spacing w:line="240" w:lineRule="auto"/>
        <w:ind w:left="0"/>
        <w:jc w:val="left"/>
        <w:rPr>
          <w:rFonts w:ascii="Times New Roman" w:hAnsi="Times New Roman" w:cs="Times New Roman"/>
          <w:sz w:val="22"/>
          <w:szCs w:val="22"/>
          <w:lang w:val="sk-SK"/>
        </w:rPr>
      </w:pPr>
      <w:r w:rsidRPr="009A517F">
        <w:rPr>
          <w:rFonts w:ascii="Times New Roman" w:hAnsi="Times New Roman" w:cs="Times New Roman"/>
          <w:sz w:val="22"/>
          <w:szCs w:val="22"/>
          <w:lang w:val="sk-SK"/>
        </w:rPr>
        <w:t>Použitie tohto lieku na sedáciu pri vedomí u pacientov so závažným respiračným zlyhaním alebo s akútnou respiračnou depresiou.</w:t>
      </w:r>
    </w:p>
    <w:p w14:paraId="4A431F50" w14:textId="77777777" w:rsidR="00625CF2" w:rsidRPr="009A517F" w:rsidRDefault="00625CF2" w:rsidP="00625CF2">
      <w:pPr>
        <w:pStyle w:val="Normlnywebov"/>
        <w:spacing w:before="0" w:beforeAutospacing="0" w:after="0" w:afterAutospacing="0"/>
        <w:rPr>
          <w:sz w:val="22"/>
          <w:szCs w:val="22"/>
          <w:lang w:val="sk-SK"/>
        </w:rPr>
      </w:pPr>
    </w:p>
    <w:p w14:paraId="0C1519D5" w14:textId="77777777" w:rsidR="00625CF2" w:rsidRPr="009A517F" w:rsidRDefault="00625CF2" w:rsidP="00625CF2">
      <w:pPr>
        <w:ind w:left="567" w:hanging="567"/>
        <w:rPr>
          <w:b/>
          <w:sz w:val="22"/>
          <w:szCs w:val="22"/>
        </w:rPr>
      </w:pPr>
      <w:r w:rsidRPr="009A517F">
        <w:rPr>
          <w:b/>
          <w:sz w:val="22"/>
          <w:szCs w:val="22"/>
        </w:rPr>
        <w:t>4.4</w:t>
      </w:r>
      <w:r w:rsidRPr="009A517F">
        <w:rPr>
          <w:b/>
          <w:sz w:val="22"/>
          <w:szCs w:val="22"/>
        </w:rPr>
        <w:tab/>
        <w:t>Osobitné upozornenia a opatrenia pri používaní</w:t>
      </w:r>
    </w:p>
    <w:p w14:paraId="208CA4B9" w14:textId="77777777" w:rsidR="00625CF2" w:rsidRPr="009A517F" w:rsidRDefault="00625CF2" w:rsidP="00625CF2">
      <w:pPr>
        <w:pStyle w:val="Normlnywebov"/>
        <w:spacing w:before="0" w:beforeAutospacing="0" w:after="0" w:afterAutospacing="0"/>
        <w:rPr>
          <w:sz w:val="22"/>
          <w:szCs w:val="22"/>
          <w:u w:val="single"/>
          <w:lang w:val="sk-SK"/>
        </w:rPr>
      </w:pPr>
    </w:p>
    <w:p w14:paraId="1EB02274" w14:textId="77777777" w:rsidR="00F42338" w:rsidRPr="009A517F" w:rsidRDefault="00F42338" w:rsidP="00F42338">
      <w:pPr>
        <w:rPr>
          <w:sz w:val="22"/>
          <w:szCs w:val="22"/>
        </w:rPr>
      </w:pPr>
      <w:r w:rsidRPr="009A517F">
        <w:rPr>
          <w:sz w:val="22"/>
          <w:szCs w:val="22"/>
        </w:rPr>
        <w:t xml:space="preserve">Midazolam má byť podávaný iba skúsenými lekármi v zariadeniach, ktoré sú plne vybavené na monitorovanie a podporu respiračných a kardiovaskulárnych funkcií, alebo </w:t>
      </w:r>
      <w:bookmarkStart w:id="2" w:name="_Hlk515816599"/>
      <w:r w:rsidRPr="009A517F">
        <w:rPr>
          <w:sz w:val="22"/>
          <w:szCs w:val="22"/>
        </w:rPr>
        <w:t>osobami, ktoré sú špeciálne vyškolené na rozpoznávanie a zvládanie nežiaducich reakcií</w:t>
      </w:r>
      <w:bookmarkEnd w:id="2"/>
      <w:r w:rsidRPr="009A517F">
        <w:rPr>
          <w:sz w:val="22"/>
          <w:szCs w:val="22"/>
        </w:rPr>
        <w:t>, vrátane resuscitácie. Boli hlásené závažné kardiorespiračné nežiaduce reakcie, ktoré zahŕňali aj respiračnú depresiu, apnoe, zástavu dýchania a/alebo srdca. Takéto život ohrozujúce prípady sú pravdepodobnejšie pri príliš rýchlom podaní injekcie alebo pri podaní vysokých dávok (pozri časť 4.8).</w:t>
      </w:r>
    </w:p>
    <w:p w14:paraId="66268EA2" w14:textId="77777777" w:rsidR="00F42338" w:rsidRPr="009A517F" w:rsidRDefault="00F42338" w:rsidP="00F42338">
      <w:pPr>
        <w:rPr>
          <w:sz w:val="22"/>
          <w:szCs w:val="22"/>
        </w:rPr>
      </w:pPr>
      <w:r w:rsidRPr="009A517F">
        <w:rPr>
          <w:sz w:val="22"/>
          <w:szCs w:val="22"/>
        </w:rPr>
        <w:t>Špeciálna opatrnosť je potrebná pri sedácii pri vedomí u pacientov s poruchou respiračnej funkcie.</w:t>
      </w:r>
    </w:p>
    <w:p w14:paraId="1D2B14AA" w14:textId="77777777" w:rsidR="00F42338" w:rsidRPr="009A517F" w:rsidRDefault="00F42338" w:rsidP="00F42338">
      <w:pPr>
        <w:rPr>
          <w:sz w:val="22"/>
          <w:szCs w:val="22"/>
        </w:rPr>
      </w:pPr>
      <w:r w:rsidRPr="009A517F">
        <w:rPr>
          <w:sz w:val="22"/>
          <w:szCs w:val="22"/>
        </w:rPr>
        <w:t>Pediatrickí pacienti vo veku do 6 mesiacov sú obzvlášť náchylní na obštrukciu dýchacích ciest a hypoventiláciu. Preto je na dosiahnutie klinického účinku nevyhnutná titrácia pomocou malých postupných dávok do dosiahnutia klinického účinku a dôsledné monitorovanie dychovej frekvencie a saturácie kyslíkom.</w:t>
      </w:r>
    </w:p>
    <w:p w14:paraId="18C48DB6" w14:textId="77777777" w:rsidR="00F42338" w:rsidRPr="009A517F" w:rsidRDefault="00F42338" w:rsidP="00F42338">
      <w:pPr>
        <w:rPr>
          <w:sz w:val="22"/>
          <w:szCs w:val="22"/>
        </w:rPr>
      </w:pPr>
      <w:r w:rsidRPr="009A517F">
        <w:rPr>
          <w:sz w:val="22"/>
          <w:szCs w:val="22"/>
        </w:rPr>
        <w:t>Ak sa midazolam používa na premedikáciu, je po podaní lieku potrebné primerané sledovanie pacienta, pretože individuálna citlivosť sa líši a môžu sa vyskytnúť symptómy predávkovania.</w:t>
      </w:r>
    </w:p>
    <w:p w14:paraId="477D2B53" w14:textId="77777777" w:rsidR="00F42338" w:rsidRPr="009A517F" w:rsidRDefault="00F42338" w:rsidP="00F42338">
      <w:pPr>
        <w:rPr>
          <w:sz w:val="22"/>
          <w:szCs w:val="22"/>
        </w:rPr>
      </w:pPr>
    </w:p>
    <w:p w14:paraId="27F3EF70" w14:textId="77777777" w:rsidR="00F42338" w:rsidRPr="009A517F" w:rsidRDefault="00F42338" w:rsidP="00F42338">
      <w:pPr>
        <w:rPr>
          <w:sz w:val="22"/>
          <w:szCs w:val="22"/>
        </w:rPr>
      </w:pPr>
      <w:r w:rsidRPr="009A517F">
        <w:rPr>
          <w:sz w:val="22"/>
          <w:szCs w:val="22"/>
        </w:rPr>
        <w:t>Zvláštna pozornosť sa má venovať pri podávaní midazolamu vysokorizikovým pacientom:</w:t>
      </w:r>
    </w:p>
    <w:p w14:paraId="54355ED3" w14:textId="77777777" w:rsidR="00F42338" w:rsidRPr="009A517F" w:rsidRDefault="00F42338" w:rsidP="00F42338">
      <w:pPr>
        <w:numPr>
          <w:ilvl w:val="1"/>
          <w:numId w:val="19"/>
        </w:numPr>
        <w:autoSpaceDE/>
        <w:autoSpaceDN/>
        <w:ind w:left="567" w:hanging="357"/>
        <w:rPr>
          <w:sz w:val="22"/>
          <w:szCs w:val="22"/>
        </w:rPr>
      </w:pPr>
      <w:r w:rsidRPr="009A517F">
        <w:rPr>
          <w:sz w:val="22"/>
          <w:szCs w:val="22"/>
        </w:rPr>
        <w:t>dospelí pacienti vo veku nad 60 rokov,</w:t>
      </w:r>
    </w:p>
    <w:p w14:paraId="1E8394E7" w14:textId="77777777" w:rsidR="00F42338" w:rsidRPr="009A517F" w:rsidRDefault="00F42338" w:rsidP="00F42338">
      <w:pPr>
        <w:numPr>
          <w:ilvl w:val="1"/>
          <w:numId w:val="19"/>
        </w:numPr>
        <w:autoSpaceDE/>
        <w:autoSpaceDN/>
        <w:ind w:left="567" w:hanging="357"/>
        <w:rPr>
          <w:sz w:val="22"/>
          <w:szCs w:val="22"/>
        </w:rPr>
      </w:pPr>
      <w:r w:rsidRPr="009A517F">
        <w:rPr>
          <w:sz w:val="22"/>
          <w:szCs w:val="22"/>
        </w:rPr>
        <w:t xml:space="preserve">chronicky chorí alebo oslabení pacienti, napr.: </w:t>
      </w:r>
    </w:p>
    <w:p w14:paraId="38F42A00" w14:textId="77777777" w:rsidR="00F42338" w:rsidRPr="009A517F" w:rsidRDefault="00F42338" w:rsidP="00F42338">
      <w:pPr>
        <w:numPr>
          <w:ilvl w:val="1"/>
          <w:numId w:val="13"/>
        </w:numPr>
        <w:autoSpaceDE/>
        <w:autoSpaceDN/>
        <w:ind w:left="993"/>
        <w:rPr>
          <w:sz w:val="22"/>
          <w:szCs w:val="22"/>
          <w:lang w:eastAsia="en-US"/>
        </w:rPr>
      </w:pPr>
      <w:r w:rsidRPr="009A517F">
        <w:rPr>
          <w:sz w:val="22"/>
          <w:szCs w:val="22"/>
          <w:lang w:eastAsia="en-US"/>
        </w:rPr>
        <w:t>pacienti s chronickou respiračnou nedostatočnosťou,</w:t>
      </w:r>
    </w:p>
    <w:p w14:paraId="09FC11CD" w14:textId="2FA3A216" w:rsidR="00F42338" w:rsidRPr="009A517F" w:rsidRDefault="00F42338" w:rsidP="00F42338">
      <w:pPr>
        <w:numPr>
          <w:ilvl w:val="1"/>
          <w:numId w:val="13"/>
        </w:numPr>
        <w:autoSpaceDE/>
        <w:autoSpaceDN/>
        <w:ind w:left="993"/>
        <w:rPr>
          <w:sz w:val="22"/>
          <w:szCs w:val="22"/>
          <w:lang w:eastAsia="en-US"/>
        </w:rPr>
      </w:pPr>
      <w:r w:rsidRPr="009A517F">
        <w:rPr>
          <w:sz w:val="22"/>
          <w:szCs w:val="22"/>
          <w:lang w:eastAsia="en-US"/>
        </w:rPr>
        <w:t xml:space="preserve">pacienti s chronickým renálnym zlyhaním, s poruchou funkcie pečene </w:t>
      </w:r>
      <w:r w:rsidR="004329B0" w:rsidRPr="009A517F">
        <w:rPr>
          <w:sz w:val="22"/>
          <w:szCs w:val="22"/>
          <w:lang w:eastAsia="en-US"/>
        </w:rPr>
        <w:t xml:space="preserve">(benzodiazepíny môžu vyvolať alebo zhoršiť encefalopatiu u pacientov so závažnou poruchou funkcie pečene) </w:t>
      </w:r>
      <w:r w:rsidRPr="009A517F">
        <w:rPr>
          <w:sz w:val="22"/>
          <w:szCs w:val="22"/>
          <w:lang w:eastAsia="en-US"/>
        </w:rPr>
        <w:t>alebo s poruchou funkcie srdca,</w:t>
      </w:r>
    </w:p>
    <w:p w14:paraId="2643AA1C" w14:textId="77777777" w:rsidR="00F42338" w:rsidRPr="009A517F" w:rsidRDefault="00F42338" w:rsidP="00F42338">
      <w:pPr>
        <w:numPr>
          <w:ilvl w:val="1"/>
          <w:numId w:val="13"/>
        </w:numPr>
        <w:autoSpaceDE/>
        <w:autoSpaceDN/>
        <w:ind w:left="993"/>
        <w:rPr>
          <w:sz w:val="22"/>
          <w:szCs w:val="22"/>
          <w:lang w:eastAsia="en-US"/>
        </w:rPr>
      </w:pPr>
      <w:r w:rsidRPr="009A517F">
        <w:rPr>
          <w:sz w:val="22"/>
          <w:szCs w:val="22"/>
          <w:lang w:eastAsia="en-US"/>
        </w:rPr>
        <w:t>pediatrickí pacienti, najmä s kardiovaskulárnou nestabilitou.</w:t>
      </w:r>
    </w:p>
    <w:p w14:paraId="0CE1B656" w14:textId="77777777" w:rsidR="00F42338" w:rsidRPr="009A517F" w:rsidRDefault="00F42338" w:rsidP="00F42338">
      <w:pPr>
        <w:rPr>
          <w:sz w:val="22"/>
          <w:szCs w:val="22"/>
        </w:rPr>
      </w:pPr>
    </w:p>
    <w:p w14:paraId="4A1CC3A1" w14:textId="153F4420" w:rsidR="00F42338" w:rsidRPr="009A517F" w:rsidRDefault="00F42338" w:rsidP="00F42338">
      <w:pPr>
        <w:rPr>
          <w:sz w:val="22"/>
          <w:szCs w:val="22"/>
        </w:rPr>
      </w:pPr>
      <w:r w:rsidRPr="009A517F">
        <w:rPr>
          <w:sz w:val="22"/>
          <w:szCs w:val="22"/>
        </w:rPr>
        <w:t xml:space="preserve">Vysokorizikoví pacienti vyžadujú podanie nižšej dávky (pozri časť 4.2) a majú byť nepretržite sledovaní kvôli rozpoznaniu včasných signálov alterácie vitálnych funkcií. </w:t>
      </w:r>
    </w:p>
    <w:p w14:paraId="4C89CEC8" w14:textId="77777777" w:rsidR="00F42338" w:rsidRPr="009A517F" w:rsidRDefault="00F42338" w:rsidP="00F42338">
      <w:pPr>
        <w:rPr>
          <w:sz w:val="22"/>
          <w:szCs w:val="22"/>
        </w:rPr>
      </w:pPr>
      <w:r w:rsidRPr="009A517F">
        <w:rPr>
          <w:sz w:val="22"/>
          <w:szCs w:val="22"/>
        </w:rPr>
        <w:t>Tak ako pri všetkých liekoch, ktoré spôsobujú útlm CNS a/alebo svalovú relaxáciu, má sa mimoriadna pozornosť venovať podávaniu midazolamu pacientom s myasténiou gravis.</w:t>
      </w:r>
    </w:p>
    <w:p w14:paraId="5DCE9995" w14:textId="77777777" w:rsidR="00F42338" w:rsidRPr="009A517F" w:rsidRDefault="00F42338" w:rsidP="00F42338">
      <w:pPr>
        <w:rPr>
          <w:iCs/>
          <w:sz w:val="22"/>
          <w:szCs w:val="22"/>
        </w:rPr>
      </w:pPr>
    </w:p>
    <w:p w14:paraId="59E6DB8B" w14:textId="61545BFB" w:rsidR="00F42338" w:rsidRPr="009A517F" w:rsidRDefault="00F42338" w:rsidP="00F42338">
      <w:pPr>
        <w:outlineLvl w:val="0"/>
        <w:rPr>
          <w:i/>
          <w:sz w:val="22"/>
          <w:szCs w:val="22"/>
          <w:u w:val="single"/>
        </w:rPr>
      </w:pPr>
      <w:r w:rsidRPr="009A517F">
        <w:rPr>
          <w:i/>
          <w:sz w:val="22"/>
          <w:szCs w:val="22"/>
          <w:u w:val="single"/>
        </w:rPr>
        <w:t>Tolerancia</w:t>
      </w:r>
    </w:p>
    <w:p w14:paraId="7C598B0A" w14:textId="77777777" w:rsidR="004329B0" w:rsidRPr="009A517F" w:rsidRDefault="004329B0" w:rsidP="00F42338">
      <w:pPr>
        <w:outlineLvl w:val="0"/>
        <w:rPr>
          <w:i/>
          <w:sz w:val="22"/>
          <w:szCs w:val="22"/>
          <w:u w:val="single"/>
        </w:rPr>
      </w:pPr>
    </w:p>
    <w:p w14:paraId="08814B5A" w14:textId="77777777" w:rsidR="00F42338" w:rsidRPr="009A517F" w:rsidRDefault="00F42338" w:rsidP="00F42338">
      <w:pPr>
        <w:rPr>
          <w:sz w:val="22"/>
          <w:szCs w:val="22"/>
        </w:rPr>
      </w:pPr>
      <w:r w:rsidRPr="009A517F">
        <w:rPr>
          <w:sz w:val="22"/>
          <w:szCs w:val="22"/>
        </w:rPr>
        <w:t>Pri použití midazolamu na dlhodobú sedáciu na jednotke intenzívnej starostlivosti (JIS) bola hlásená určitá strata účinnosti.</w:t>
      </w:r>
    </w:p>
    <w:p w14:paraId="633465BA" w14:textId="77777777" w:rsidR="00F42338" w:rsidRPr="009A517F" w:rsidRDefault="00F42338" w:rsidP="00F42338">
      <w:pPr>
        <w:rPr>
          <w:sz w:val="22"/>
          <w:szCs w:val="22"/>
        </w:rPr>
      </w:pPr>
    </w:p>
    <w:p w14:paraId="6C2F8CF3" w14:textId="18B79F60" w:rsidR="00F42338" w:rsidRPr="009A517F" w:rsidRDefault="00F42338" w:rsidP="00F42338">
      <w:pPr>
        <w:outlineLvl w:val="0"/>
        <w:rPr>
          <w:i/>
          <w:sz w:val="22"/>
          <w:szCs w:val="22"/>
          <w:u w:val="single"/>
        </w:rPr>
      </w:pPr>
      <w:r w:rsidRPr="009A517F">
        <w:rPr>
          <w:i/>
          <w:sz w:val="22"/>
          <w:szCs w:val="22"/>
          <w:u w:val="single"/>
        </w:rPr>
        <w:t>Závislosť</w:t>
      </w:r>
    </w:p>
    <w:p w14:paraId="5769F021" w14:textId="77777777" w:rsidR="00617CFC" w:rsidRPr="009A517F" w:rsidRDefault="00617CFC" w:rsidP="00F42338">
      <w:pPr>
        <w:outlineLvl w:val="0"/>
        <w:rPr>
          <w:i/>
          <w:sz w:val="22"/>
          <w:szCs w:val="22"/>
          <w:u w:val="single"/>
        </w:rPr>
      </w:pPr>
    </w:p>
    <w:p w14:paraId="773F3432" w14:textId="77777777" w:rsidR="00F42338" w:rsidRPr="009A517F" w:rsidRDefault="00F42338" w:rsidP="00F42338">
      <w:pPr>
        <w:rPr>
          <w:sz w:val="22"/>
          <w:szCs w:val="22"/>
        </w:rPr>
      </w:pPr>
      <w:r w:rsidRPr="009A517F">
        <w:rPr>
          <w:sz w:val="22"/>
          <w:szCs w:val="22"/>
        </w:rPr>
        <w:t>Ak sa midazolam používa na dlhodobú sedáciu na jednotke intenzívnej starostlivosti, je potrebné vziať do úvahy možnosť rozvoja fyzickej závislosti. Riziko rozvoja závislosti sa zvyšuje s vyššími dávkami a dĺžkou liečby; je tiež vyššie u pacientov s anamnézou nadmerného užívania alkoholu a/alebo drog (pozri časť 4.8).</w:t>
      </w:r>
    </w:p>
    <w:p w14:paraId="4EC24DFC" w14:textId="77777777" w:rsidR="00F42338" w:rsidRPr="009A517F" w:rsidRDefault="00F42338" w:rsidP="00F42338">
      <w:pPr>
        <w:rPr>
          <w:sz w:val="22"/>
          <w:szCs w:val="22"/>
        </w:rPr>
      </w:pPr>
    </w:p>
    <w:p w14:paraId="0F36A513" w14:textId="162DFC0E" w:rsidR="00F42338" w:rsidRPr="009A517F" w:rsidRDefault="00F42338" w:rsidP="00F42338">
      <w:pPr>
        <w:outlineLvl w:val="0"/>
        <w:rPr>
          <w:i/>
          <w:sz w:val="22"/>
          <w:szCs w:val="22"/>
          <w:u w:val="single"/>
        </w:rPr>
      </w:pPr>
      <w:r w:rsidRPr="009A517F">
        <w:rPr>
          <w:i/>
          <w:sz w:val="22"/>
          <w:szCs w:val="22"/>
          <w:u w:val="single"/>
        </w:rPr>
        <w:t>Abstinenčné symptómy</w:t>
      </w:r>
    </w:p>
    <w:p w14:paraId="7D2B654C" w14:textId="77777777" w:rsidR="00617CFC" w:rsidRPr="009A517F" w:rsidRDefault="00617CFC" w:rsidP="00F42338">
      <w:pPr>
        <w:outlineLvl w:val="0"/>
        <w:rPr>
          <w:i/>
          <w:sz w:val="22"/>
          <w:szCs w:val="22"/>
          <w:u w:val="single"/>
        </w:rPr>
      </w:pPr>
    </w:p>
    <w:p w14:paraId="3E678C4A" w14:textId="77777777" w:rsidR="00F42338" w:rsidRPr="009A517F" w:rsidRDefault="00F42338" w:rsidP="00F42338">
      <w:pPr>
        <w:rPr>
          <w:sz w:val="22"/>
          <w:szCs w:val="22"/>
        </w:rPr>
      </w:pPr>
      <w:r w:rsidRPr="009A517F">
        <w:rPr>
          <w:sz w:val="22"/>
          <w:szCs w:val="22"/>
        </w:rPr>
        <w:t>Počas dlhodobej liečby midazolamom na jednotke intenzívnej starostlivosti môže vzniknúť fyzická závislosť. Preto náhle ukončenie liečby vedie k výskytu abstinenčných príznakov. Môžu sa vyskytnúť nasledujúce symptómy: bolesť hlavy, bolesť svalov, úzkosť, napätie, nepokoj, zmätenosť, podráždenosť, „rebound“ insomnia, zmeny nálady, halucinácie a kŕče. Keďže riziko abstinenčných príznakov z vysadenia je väčšie po náhlom ukončení liečby, odporúča sa znižovať dávky postupne.</w:t>
      </w:r>
    </w:p>
    <w:p w14:paraId="257DCA2D" w14:textId="77777777" w:rsidR="00F42338" w:rsidRPr="009A517F" w:rsidRDefault="00F42338" w:rsidP="00F42338">
      <w:pPr>
        <w:rPr>
          <w:sz w:val="22"/>
          <w:szCs w:val="22"/>
        </w:rPr>
      </w:pPr>
    </w:p>
    <w:p w14:paraId="65C1EB46" w14:textId="04DA0801" w:rsidR="00F42338" w:rsidRPr="009A517F" w:rsidRDefault="00F42338" w:rsidP="00F42338">
      <w:pPr>
        <w:outlineLvl w:val="0"/>
        <w:rPr>
          <w:i/>
          <w:sz w:val="22"/>
          <w:szCs w:val="22"/>
          <w:u w:val="single"/>
        </w:rPr>
      </w:pPr>
      <w:r w:rsidRPr="009A517F">
        <w:rPr>
          <w:i/>
          <w:sz w:val="22"/>
          <w:szCs w:val="22"/>
          <w:u w:val="single"/>
        </w:rPr>
        <w:t>Amnézia</w:t>
      </w:r>
    </w:p>
    <w:p w14:paraId="3B71B75A" w14:textId="77777777" w:rsidR="00617CFC" w:rsidRPr="009A517F" w:rsidRDefault="00617CFC" w:rsidP="00F42338">
      <w:pPr>
        <w:outlineLvl w:val="0"/>
        <w:rPr>
          <w:i/>
          <w:sz w:val="22"/>
          <w:szCs w:val="22"/>
          <w:u w:val="single"/>
        </w:rPr>
      </w:pPr>
    </w:p>
    <w:p w14:paraId="5B6BCED8" w14:textId="77777777" w:rsidR="00F42338" w:rsidRPr="009A517F" w:rsidRDefault="00F42338" w:rsidP="00F42338">
      <w:pPr>
        <w:outlineLvl w:val="0"/>
        <w:rPr>
          <w:sz w:val="22"/>
          <w:szCs w:val="22"/>
        </w:rPr>
      </w:pPr>
      <w:r w:rsidRPr="009A517F">
        <w:rPr>
          <w:sz w:val="22"/>
          <w:szCs w:val="22"/>
        </w:rPr>
        <w:t>Midazolam spôsobuje anterográdnu amnéziu (tento účinok je v niektorých prípadoch veľmi žiaduci, napríklad pred chirurgickými a diagnostickými výkonmi a počas nich), dĺžka ktorej je priamo úmerná podanej dávke. Predĺžená amnézia môže predstavovať problémy pre ambulantných pacientov, ktorí sú po zákroku prepustení. Pacienti majú byť po parenterálnom podaní midazolamu prepustení z nemocnice alebo poslaní do ordinácie iba v sprievode ďalšej osoby.</w:t>
      </w:r>
    </w:p>
    <w:p w14:paraId="51EB1C52" w14:textId="77777777" w:rsidR="00F42338" w:rsidRPr="009A517F" w:rsidRDefault="00F42338" w:rsidP="00F42338">
      <w:pPr>
        <w:outlineLvl w:val="0"/>
        <w:rPr>
          <w:sz w:val="22"/>
          <w:szCs w:val="22"/>
        </w:rPr>
      </w:pPr>
    </w:p>
    <w:p w14:paraId="43AA4630" w14:textId="1493B8E3" w:rsidR="00F42338" w:rsidRPr="009A517F" w:rsidRDefault="00F42338" w:rsidP="00F42338">
      <w:pPr>
        <w:outlineLvl w:val="0"/>
        <w:rPr>
          <w:i/>
          <w:sz w:val="22"/>
          <w:szCs w:val="22"/>
          <w:u w:val="single"/>
        </w:rPr>
      </w:pPr>
      <w:r w:rsidRPr="009A517F">
        <w:rPr>
          <w:i/>
          <w:sz w:val="22"/>
          <w:szCs w:val="22"/>
          <w:u w:val="single"/>
        </w:rPr>
        <w:t>Paradoxné reakcie</w:t>
      </w:r>
    </w:p>
    <w:p w14:paraId="022890FE" w14:textId="77777777" w:rsidR="00617CFC" w:rsidRPr="009A517F" w:rsidRDefault="00617CFC" w:rsidP="00F42338">
      <w:pPr>
        <w:outlineLvl w:val="0"/>
        <w:rPr>
          <w:i/>
          <w:sz w:val="22"/>
          <w:szCs w:val="22"/>
          <w:u w:val="single"/>
        </w:rPr>
      </w:pPr>
    </w:p>
    <w:p w14:paraId="76537574" w14:textId="18935231" w:rsidR="00F42338" w:rsidRPr="009A517F" w:rsidRDefault="00F42338" w:rsidP="00F42338">
      <w:pPr>
        <w:rPr>
          <w:sz w:val="22"/>
          <w:szCs w:val="22"/>
        </w:rPr>
      </w:pPr>
      <w:r w:rsidRPr="009A517F">
        <w:rPr>
          <w:sz w:val="22"/>
          <w:szCs w:val="22"/>
        </w:rPr>
        <w:t xml:space="preserve">Pri podávaní midazolamu boli hlásené paradoxné reakcie ako agitácia, mimovoľné pohyby (vrátane tonických/klonických kŕčov a svalového tremoru), hyperaktivita, nepriateľstvo, záchvaty hnevu, agresivita, záchvaty rozčúlenia a útočnosť. Tieto reakcie sa môžu vyskytnúť pri vysokých dávkach a/alebo po príliš rýchlom podaní lieku. Vyšší výskyt takýchto reakcií bol hlásený u detí a starších pacientov. </w:t>
      </w:r>
      <w:r w:rsidR="00617CFC" w:rsidRPr="009A517F">
        <w:rPr>
          <w:sz w:val="22"/>
          <w:szCs w:val="22"/>
        </w:rPr>
        <w:t>V prípade takýchto udalostí sa má zvážiť ukončenie liečby.</w:t>
      </w:r>
    </w:p>
    <w:p w14:paraId="7ACDD10F" w14:textId="77777777" w:rsidR="00F42338" w:rsidRPr="009A517F" w:rsidRDefault="00F42338" w:rsidP="00F42338">
      <w:pPr>
        <w:outlineLvl w:val="0"/>
        <w:rPr>
          <w:sz w:val="22"/>
          <w:szCs w:val="22"/>
        </w:rPr>
      </w:pPr>
    </w:p>
    <w:p w14:paraId="44DA1845" w14:textId="66C4DAE5" w:rsidR="00F42338" w:rsidRPr="009A517F" w:rsidRDefault="00F42338" w:rsidP="00F42338">
      <w:pPr>
        <w:outlineLvl w:val="0"/>
        <w:rPr>
          <w:i/>
          <w:sz w:val="22"/>
          <w:szCs w:val="22"/>
          <w:u w:val="single"/>
        </w:rPr>
      </w:pPr>
      <w:r w:rsidRPr="009A517F">
        <w:rPr>
          <w:i/>
          <w:sz w:val="22"/>
          <w:szCs w:val="22"/>
          <w:u w:val="single"/>
        </w:rPr>
        <w:t>Zmenená eliminácia midazolamu</w:t>
      </w:r>
    </w:p>
    <w:p w14:paraId="290E6CC4" w14:textId="77777777" w:rsidR="00617CFC" w:rsidRPr="009A517F" w:rsidRDefault="00617CFC" w:rsidP="00F42338">
      <w:pPr>
        <w:outlineLvl w:val="0"/>
        <w:rPr>
          <w:i/>
          <w:sz w:val="22"/>
          <w:szCs w:val="22"/>
          <w:u w:val="single"/>
        </w:rPr>
      </w:pPr>
    </w:p>
    <w:p w14:paraId="7DE1F797" w14:textId="77777777" w:rsidR="00F42338" w:rsidRPr="009A517F" w:rsidRDefault="00F42338" w:rsidP="00F42338">
      <w:pPr>
        <w:rPr>
          <w:sz w:val="22"/>
          <w:szCs w:val="22"/>
        </w:rPr>
      </w:pPr>
      <w:r w:rsidRPr="009A517F">
        <w:rPr>
          <w:sz w:val="22"/>
          <w:szCs w:val="22"/>
        </w:rPr>
        <w:t>Zmenená eliminácia midazolamu môže byť spôsobená liekmi, ktoré inhibujú alebo indukujú izoenzým CYP3A4, a dávku midazolamu môže byť potrebné primerane upraviť (pozri časť 4.5).</w:t>
      </w:r>
    </w:p>
    <w:p w14:paraId="3028C5C0" w14:textId="5C5100FC" w:rsidR="00F42338" w:rsidRPr="009A517F" w:rsidRDefault="00617CFC" w:rsidP="00F42338">
      <w:pPr>
        <w:rPr>
          <w:sz w:val="22"/>
          <w:szCs w:val="22"/>
        </w:rPr>
      </w:pPr>
      <w:r w:rsidRPr="009A517F">
        <w:rPr>
          <w:sz w:val="22"/>
          <w:szCs w:val="22"/>
        </w:rPr>
        <w:t xml:space="preserve">Čas </w:t>
      </w:r>
      <w:r w:rsidR="00F42338" w:rsidRPr="009A517F">
        <w:rPr>
          <w:sz w:val="22"/>
          <w:szCs w:val="22"/>
        </w:rPr>
        <w:t>eliminácie midazolamu môže byť predĺžen</w:t>
      </w:r>
      <w:r w:rsidRPr="009A517F">
        <w:rPr>
          <w:sz w:val="22"/>
          <w:szCs w:val="22"/>
        </w:rPr>
        <w:t>ý</w:t>
      </w:r>
      <w:r w:rsidR="00F42338" w:rsidRPr="009A517F">
        <w:rPr>
          <w:sz w:val="22"/>
          <w:szCs w:val="22"/>
        </w:rPr>
        <w:t xml:space="preserve"> tiež u pacientov s dysfu</w:t>
      </w:r>
      <w:r w:rsidRPr="009A517F">
        <w:rPr>
          <w:sz w:val="22"/>
          <w:szCs w:val="22"/>
        </w:rPr>
        <w:t>n</w:t>
      </w:r>
      <w:r w:rsidR="00F42338" w:rsidRPr="009A517F">
        <w:rPr>
          <w:sz w:val="22"/>
          <w:szCs w:val="22"/>
        </w:rPr>
        <w:t>kciou pečene, so slabou výkonnosťou srdca a u novorodencov (pozri časť 5.2).</w:t>
      </w:r>
    </w:p>
    <w:p w14:paraId="27372F9E" w14:textId="2A9FAD33" w:rsidR="00F42338" w:rsidRPr="009A517F" w:rsidRDefault="00F42338" w:rsidP="00F42338">
      <w:pPr>
        <w:rPr>
          <w:sz w:val="22"/>
          <w:szCs w:val="22"/>
        </w:rPr>
      </w:pPr>
    </w:p>
    <w:p w14:paraId="4AC43559" w14:textId="6513FF3A" w:rsidR="00617CFC" w:rsidRPr="009A517F" w:rsidRDefault="00617CFC" w:rsidP="00F42338">
      <w:pPr>
        <w:rPr>
          <w:i/>
          <w:sz w:val="22"/>
          <w:szCs w:val="22"/>
          <w:u w:val="single"/>
        </w:rPr>
      </w:pPr>
      <w:r w:rsidRPr="009A517F">
        <w:rPr>
          <w:i/>
          <w:sz w:val="22"/>
          <w:szCs w:val="22"/>
          <w:u w:val="single"/>
        </w:rPr>
        <w:t>Spánkové apnoe</w:t>
      </w:r>
    </w:p>
    <w:p w14:paraId="4B33492F" w14:textId="098B663F" w:rsidR="00617CFC" w:rsidRPr="009A517F" w:rsidRDefault="00617CFC" w:rsidP="00F42338">
      <w:pPr>
        <w:rPr>
          <w:sz w:val="22"/>
          <w:szCs w:val="22"/>
        </w:rPr>
      </w:pPr>
    </w:p>
    <w:p w14:paraId="43DE2E04" w14:textId="4987868D" w:rsidR="00617CFC" w:rsidRPr="009A517F" w:rsidRDefault="00617CFC" w:rsidP="00F42338">
      <w:pPr>
        <w:rPr>
          <w:sz w:val="22"/>
          <w:szCs w:val="22"/>
        </w:rPr>
      </w:pPr>
      <w:r w:rsidRPr="009A517F">
        <w:rPr>
          <w:sz w:val="22"/>
          <w:szCs w:val="22"/>
        </w:rPr>
        <w:t xml:space="preserve">Ampulky midazolamu sa majú používať s mimoriadnou opatrnosťou u pacientov so syndrómom spánkového apnoe a títo pacienti majú byť pravidelne </w:t>
      </w:r>
      <w:r w:rsidR="00512D0A" w:rsidRPr="009A517F">
        <w:rPr>
          <w:sz w:val="22"/>
          <w:szCs w:val="22"/>
        </w:rPr>
        <w:t>sledovaní.</w:t>
      </w:r>
    </w:p>
    <w:p w14:paraId="72BFC151" w14:textId="77777777" w:rsidR="00617CFC" w:rsidRPr="009A517F" w:rsidRDefault="00617CFC" w:rsidP="00F42338">
      <w:pPr>
        <w:rPr>
          <w:sz w:val="22"/>
          <w:szCs w:val="22"/>
        </w:rPr>
      </w:pPr>
    </w:p>
    <w:p w14:paraId="0B2A8436" w14:textId="2DEE2C67" w:rsidR="00F42338" w:rsidRDefault="00F42338" w:rsidP="00F42338">
      <w:pPr>
        <w:outlineLvl w:val="0"/>
        <w:rPr>
          <w:i/>
          <w:sz w:val="22"/>
          <w:szCs w:val="22"/>
          <w:u w:val="single"/>
        </w:rPr>
      </w:pPr>
      <w:r w:rsidRPr="00ED6610">
        <w:rPr>
          <w:i/>
          <w:sz w:val="22"/>
          <w:szCs w:val="22"/>
          <w:u w:val="single"/>
        </w:rPr>
        <w:t>Predčasne narodené deti a</w:t>
      </w:r>
      <w:r w:rsidR="005657DE">
        <w:rPr>
          <w:i/>
          <w:sz w:val="22"/>
          <w:szCs w:val="22"/>
          <w:u w:val="single"/>
        </w:rPr>
        <w:t> </w:t>
      </w:r>
      <w:r w:rsidRPr="00ED6610">
        <w:rPr>
          <w:i/>
          <w:sz w:val="22"/>
          <w:szCs w:val="22"/>
          <w:u w:val="single"/>
        </w:rPr>
        <w:t>novorodenci</w:t>
      </w:r>
    </w:p>
    <w:p w14:paraId="5C1B96D3" w14:textId="77777777" w:rsidR="005657DE" w:rsidRPr="00ED6610" w:rsidRDefault="005657DE" w:rsidP="00F42338">
      <w:pPr>
        <w:outlineLvl w:val="0"/>
        <w:rPr>
          <w:i/>
          <w:sz w:val="22"/>
          <w:szCs w:val="22"/>
          <w:u w:val="single"/>
        </w:rPr>
      </w:pPr>
    </w:p>
    <w:p w14:paraId="791ECDDA" w14:textId="77777777" w:rsidR="00F42338" w:rsidRPr="009A517F" w:rsidRDefault="00F42338" w:rsidP="00F42338">
      <w:pPr>
        <w:rPr>
          <w:sz w:val="22"/>
          <w:szCs w:val="22"/>
        </w:rPr>
      </w:pPr>
      <w:r w:rsidRPr="009A517F">
        <w:rPr>
          <w:sz w:val="22"/>
          <w:szCs w:val="22"/>
        </w:rPr>
        <w:t>Pre zvýšené riziko apnoe je pri sedácii predčasne narodených a nezaintubovaných novorodencov vyžadovaná mimoriadna pozornosť. Je potrebné pozorne monitorovať dychovú frekvenciu a saturáciu kyslíkom.</w:t>
      </w:r>
    </w:p>
    <w:p w14:paraId="2DCC13EA" w14:textId="77777777" w:rsidR="00F42338" w:rsidRPr="009A517F" w:rsidRDefault="00F42338" w:rsidP="00F42338">
      <w:pPr>
        <w:rPr>
          <w:sz w:val="22"/>
          <w:szCs w:val="22"/>
        </w:rPr>
      </w:pPr>
    </w:p>
    <w:p w14:paraId="0924CB42" w14:textId="5883E069" w:rsidR="00F42338" w:rsidRPr="009A517F" w:rsidRDefault="00F42338" w:rsidP="00F42338">
      <w:pPr>
        <w:rPr>
          <w:sz w:val="22"/>
          <w:szCs w:val="22"/>
        </w:rPr>
      </w:pPr>
      <w:r w:rsidRPr="009A517F">
        <w:rPr>
          <w:sz w:val="22"/>
          <w:szCs w:val="22"/>
        </w:rPr>
        <w:t>Novorodencom sa nemá podávať rýchla injekcia.</w:t>
      </w:r>
    </w:p>
    <w:p w14:paraId="5645044B" w14:textId="77777777" w:rsidR="0057650C" w:rsidRPr="009A517F" w:rsidRDefault="0057650C" w:rsidP="00F42338">
      <w:pPr>
        <w:rPr>
          <w:sz w:val="22"/>
          <w:szCs w:val="22"/>
        </w:rPr>
      </w:pPr>
    </w:p>
    <w:p w14:paraId="63964EE2" w14:textId="6619E1BD" w:rsidR="00F42338" w:rsidRPr="009A517F" w:rsidRDefault="00F42338" w:rsidP="00F42338">
      <w:pPr>
        <w:rPr>
          <w:sz w:val="22"/>
          <w:szCs w:val="22"/>
        </w:rPr>
      </w:pPr>
      <w:r w:rsidRPr="009A517F">
        <w:rPr>
          <w:sz w:val="22"/>
          <w:szCs w:val="22"/>
        </w:rPr>
        <w:t>Novorodenci majú nezrelé orgány a/alebo nedostatočnú funkciu orgánov</w:t>
      </w:r>
      <w:r w:rsidR="00DC50B1" w:rsidRPr="009A517F">
        <w:rPr>
          <w:sz w:val="22"/>
          <w:szCs w:val="22"/>
        </w:rPr>
        <w:t>,</w:t>
      </w:r>
      <w:r w:rsidRPr="009A517F">
        <w:rPr>
          <w:sz w:val="22"/>
          <w:szCs w:val="22"/>
        </w:rPr>
        <w:t xml:space="preserve"> a sú preto citlivejší na hlboké a/alebo dlhodobé účinky midazolamu na respiračný systém.</w:t>
      </w:r>
    </w:p>
    <w:p w14:paraId="185D1EE1" w14:textId="77777777" w:rsidR="00F42338" w:rsidRPr="009A517F" w:rsidRDefault="00F42338" w:rsidP="00F42338">
      <w:pPr>
        <w:rPr>
          <w:sz w:val="22"/>
          <w:szCs w:val="22"/>
        </w:rPr>
      </w:pPr>
      <w:r w:rsidRPr="009A517F">
        <w:rPr>
          <w:sz w:val="22"/>
          <w:szCs w:val="22"/>
        </w:rPr>
        <w:t>U detí s kardiovaskulárnou nestabilitou boli hlásené nežiaduce hemodynamické reakcie; u tejto populácie je potrebné vyhnúť sa rýchlemu intravenóznemu podaniu lieku.</w:t>
      </w:r>
    </w:p>
    <w:p w14:paraId="47764AFF" w14:textId="77777777" w:rsidR="00F42338" w:rsidRPr="009A517F" w:rsidRDefault="00F42338" w:rsidP="00F42338">
      <w:pPr>
        <w:rPr>
          <w:sz w:val="22"/>
          <w:szCs w:val="22"/>
        </w:rPr>
      </w:pPr>
    </w:p>
    <w:p w14:paraId="2027E763" w14:textId="77777777" w:rsidR="00F42338" w:rsidRPr="009A517F" w:rsidRDefault="00F42338" w:rsidP="00F42338">
      <w:pPr>
        <w:outlineLvl w:val="0"/>
        <w:rPr>
          <w:i/>
          <w:sz w:val="22"/>
          <w:szCs w:val="22"/>
        </w:rPr>
      </w:pPr>
      <w:r w:rsidRPr="009A517F">
        <w:rPr>
          <w:i/>
          <w:sz w:val="22"/>
          <w:szCs w:val="22"/>
        </w:rPr>
        <w:t>Pediatrickí pacienti vo veku do 6 mesiacov</w:t>
      </w:r>
    </w:p>
    <w:p w14:paraId="35E49722" w14:textId="442EA50B" w:rsidR="00F42338" w:rsidRPr="009A517F" w:rsidRDefault="00F42338" w:rsidP="00F42338">
      <w:pPr>
        <w:outlineLvl w:val="0"/>
        <w:rPr>
          <w:sz w:val="22"/>
          <w:szCs w:val="22"/>
        </w:rPr>
      </w:pPr>
      <w:r w:rsidRPr="009A517F">
        <w:rPr>
          <w:sz w:val="22"/>
          <w:szCs w:val="22"/>
        </w:rPr>
        <w:t xml:space="preserve">U týchto pacientov je midazolam indikovaný iba </w:t>
      </w:r>
      <w:r w:rsidR="00DC50B1" w:rsidRPr="009A517F">
        <w:rPr>
          <w:sz w:val="22"/>
          <w:szCs w:val="22"/>
        </w:rPr>
        <w:t>na</w:t>
      </w:r>
      <w:r w:rsidRPr="009A517F">
        <w:rPr>
          <w:sz w:val="22"/>
          <w:szCs w:val="22"/>
        </w:rPr>
        <w:t xml:space="preserve"> sedáciu na jednotke intenzívnej starostlivosti.</w:t>
      </w:r>
    </w:p>
    <w:p w14:paraId="1D86C8D9" w14:textId="4C7E6F09" w:rsidR="00F42338" w:rsidRPr="009A517F" w:rsidRDefault="00F42338" w:rsidP="00F42338">
      <w:pPr>
        <w:rPr>
          <w:sz w:val="22"/>
          <w:szCs w:val="22"/>
        </w:rPr>
      </w:pPr>
      <w:r w:rsidRPr="009A517F">
        <w:rPr>
          <w:sz w:val="22"/>
          <w:szCs w:val="22"/>
        </w:rPr>
        <w:t>Deti mladšie ako 6 mesiacov sú obzvlášť náchylné na rozvoj obštrukcie dýchacích ciest a hypoventilácie.  Preto je na dosiahnutie klinického účinku nevyhnutná titrácia pomocou postupných malých dávok a pozorné monitorovanie dychovej frekvencie a saturácie kyslíkom (pozri vyššie uvedenú časť „Predčasne narodené deti a novorodenci“)</w:t>
      </w:r>
      <w:r w:rsidR="00DC50B1" w:rsidRPr="009A517F">
        <w:rPr>
          <w:sz w:val="22"/>
          <w:szCs w:val="22"/>
        </w:rPr>
        <w:t>.</w:t>
      </w:r>
    </w:p>
    <w:p w14:paraId="56D3E9F9" w14:textId="77777777" w:rsidR="00F42338" w:rsidRPr="009A517F" w:rsidRDefault="00F42338" w:rsidP="00F42338">
      <w:pPr>
        <w:rPr>
          <w:iCs/>
          <w:sz w:val="22"/>
          <w:szCs w:val="22"/>
        </w:rPr>
      </w:pPr>
    </w:p>
    <w:p w14:paraId="692D1D85" w14:textId="02D25402" w:rsidR="00F65005" w:rsidRPr="009A517F" w:rsidRDefault="00F42338" w:rsidP="00F42338">
      <w:pPr>
        <w:outlineLvl w:val="0"/>
        <w:rPr>
          <w:i/>
          <w:sz w:val="22"/>
          <w:szCs w:val="22"/>
        </w:rPr>
      </w:pPr>
      <w:r w:rsidRPr="009A517F">
        <w:rPr>
          <w:i/>
          <w:sz w:val="22"/>
          <w:szCs w:val="22"/>
        </w:rPr>
        <w:t>Súbežné užívanie alkoholu / liekov tlmiacich CNS</w:t>
      </w:r>
    </w:p>
    <w:p w14:paraId="663659CB" w14:textId="29769685" w:rsidR="00F42338" w:rsidRPr="009A517F" w:rsidRDefault="00F42338" w:rsidP="00F42338">
      <w:pPr>
        <w:rPr>
          <w:sz w:val="22"/>
          <w:szCs w:val="22"/>
        </w:rPr>
      </w:pPr>
      <w:r w:rsidRPr="009A517F">
        <w:rPr>
          <w:sz w:val="22"/>
          <w:szCs w:val="22"/>
        </w:rPr>
        <w:t>Je potrebné vyhnúť sa súbežnému užívaniu midazolamu s alkoholom a/alebo liekmi tlmiacimi CNS. Takéto súbežné užívanie potenciálne zvyšuje klinické účinky midazolamu, čo spôsobuje závažnú sedáciu alebo klinicky významnú respiračnú tieseň (pozri časť 4.5).</w:t>
      </w:r>
    </w:p>
    <w:p w14:paraId="45793585" w14:textId="56071AEA" w:rsidR="00DC50B1" w:rsidRPr="009A517F" w:rsidRDefault="00DC50B1" w:rsidP="00F42338">
      <w:pPr>
        <w:rPr>
          <w:sz w:val="22"/>
          <w:szCs w:val="22"/>
        </w:rPr>
      </w:pPr>
    </w:p>
    <w:p w14:paraId="69A0568D" w14:textId="715DAFCB" w:rsidR="00DC50B1" w:rsidRPr="009A517F" w:rsidRDefault="00DC50B1" w:rsidP="00F42338">
      <w:pPr>
        <w:rPr>
          <w:i/>
          <w:sz w:val="22"/>
          <w:szCs w:val="22"/>
        </w:rPr>
      </w:pPr>
      <w:r w:rsidRPr="009A517F">
        <w:rPr>
          <w:i/>
          <w:sz w:val="22"/>
          <w:szCs w:val="22"/>
        </w:rPr>
        <w:t>Riziko pri súčasnom používaní opioidov</w:t>
      </w:r>
    </w:p>
    <w:p w14:paraId="112F0A0B" w14:textId="04119FBF" w:rsidR="004C1E3F" w:rsidRPr="009A517F" w:rsidRDefault="00DC50B1" w:rsidP="00F42338">
      <w:pPr>
        <w:rPr>
          <w:iCs/>
          <w:sz w:val="22"/>
          <w:szCs w:val="22"/>
        </w:rPr>
      </w:pPr>
      <w:r w:rsidRPr="009A517F">
        <w:rPr>
          <w:sz w:val="22"/>
          <w:szCs w:val="22"/>
        </w:rPr>
        <w:t xml:space="preserve">Súčasné použitie Midazolamu Baxter </w:t>
      </w:r>
      <w:r w:rsidR="005657DE">
        <w:rPr>
          <w:sz w:val="22"/>
          <w:szCs w:val="22"/>
        </w:rPr>
        <w:t>5</w:t>
      </w:r>
      <w:r w:rsidRPr="009A517F">
        <w:rPr>
          <w:sz w:val="22"/>
          <w:szCs w:val="22"/>
        </w:rPr>
        <w:t xml:space="preserve"> mg/ml </w:t>
      </w:r>
      <w:r w:rsidRPr="009A517F">
        <w:rPr>
          <w:iCs/>
          <w:sz w:val="22"/>
          <w:szCs w:val="22"/>
        </w:rPr>
        <w:t xml:space="preserve">injekčného/infúzneho roztoku a opioidov môže spôsobiť sedáciu, respiračnú tieseň, kómu a smrť. </w:t>
      </w:r>
      <w:r w:rsidR="004C1E3F" w:rsidRPr="009A517F">
        <w:rPr>
          <w:iCs/>
          <w:sz w:val="22"/>
          <w:szCs w:val="22"/>
        </w:rPr>
        <w:t xml:space="preserve">Pre tieto riziká súčasné predpisovanie liekov so sedatívnym účinkom, ako sú benzodiazepíny alebo podobné lieky ako Midazolam </w:t>
      </w:r>
      <w:r w:rsidR="004C1E3F" w:rsidRPr="009A517F">
        <w:rPr>
          <w:sz w:val="22"/>
          <w:szCs w:val="22"/>
        </w:rPr>
        <w:t xml:space="preserve">Baxter </w:t>
      </w:r>
      <w:r w:rsidR="005657DE">
        <w:rPr>
          <w:sz w:val="22"/>
          <w:szCs w:val="22"/>
        </w:rPr>
        <w:t>5</w:t>
      </w:r>
      <w:r w:rsidR="004C1E3F" w:rsidRPr="009A517F">
        <w:rPr>
          <w:sz w:val="22"/>
          <w:szCs w:val="22"/>
        </w:rPr>
        <w:t xml:space="preserve"> mg/ml </w:t>
      </w:r>
      <w:r w:rsidR="004C1E3F" w:rsidRPr="009A517F">
        <w:rPr>
          <w:iCs/>
          <w:sz w:val="22"/>
          <w:szCs w:val="22"/>
        </w:rPr>
        <w:t xml:space="preserve">injekčný/infúzny roztok, spolu s opioidmi má byť vyhradené pre pacientov, u ktorých nie je iná možnosť liečby. Ak dôjde k rozhodnutiu o predpísaní Midazolamu </w:t>
      </w:r>
      <w:r w:rsidR="004C1E3F" w:rsidRPr="009A517F">
        <w:rPr>
          <w:sz w:val="22"/>
          <w:szCs w:val="22"/>
        </w:rPr>
        <w:t xml:space="preserve">Baxter </w:t>
      </w:r>
      <w:r w:rsidR="005657DE">
        <w:rPr>
          <w:sz w:val="22"/>
          <w:szCs w:val="22"/>
        </w:rPr>
        <w:t>5</w:t>
      </w:r>
      <w:r w:rsidR="004C1E3F" w:rsidRPr="009A517F">
        <w:rPr>
          <w:sz w:val="22"/>
          <w:szCs w:val="22"/>
        </w:rPr>
        <w:t xml:space="preserve"> mg/ml </w:t>
      </w:r>
      <w:r w:rsidR="004C1E3F" w:rsidRPr="009A517F">
        <w:rPr>
          <w:iCs/>
          <w:sz w:val="22"/>
          <w:szCs w:val="22"/>
        </w:rPr>
        <w:t>injekčného/infúzneho roztoku spolu s opioidmi, má sa použiť najnižšia účinná dávka a trvanie liečby má byť čo najkratšie (pozri tiež všeobecné odporúčania pre dávkovanie v časti 4.2).</w:t>
      </w:r>
    </w:p>
    <w:p w14:paraId="425CFA48" w14:textId="77777777" w:rsidR="004C1E3F" w:rsidRPr="009A517F" w:rsidRDefault="004C1E3F" w:rsidP="00F42338">
      <w:pPr>
        <w:rPr>
          <w:iCs/>
          <w:sz w:val="22"/>
          <w:szCs w:val="22"/>
        </w:rPr>
      </w:pPr>
    </w:p>
    <w:p w14:paraId="322E0372" w14:textId="397F9BFE" w:rsidR="00DC50B1" w:rsidRPr="009A517F" w:rsidRDefault="004C1E3F" w:rsidP="00F42338">
      <w:pPr>
        <w:rPr>
          <w:sz w:val="22"/>
          <w:szCs w:val="22"/>
        </w:rPr>
      </w:pPr>
      <w:r w:rsidRPr="009A517F">
        <w:rPr>
          <w:sz w:val="22"/>
          <w:szCs w:val="22"/>
        </w:rPr>
        <w:t>Pacienti majú byť dôsledne sledovaní pre možný výskyt prejavov a príznakov respiračnej tiesne a sedácie. Vzhľadom na to sa dôrazne odporúča</w:t>
      </w:r>
      <w:r w:rsidR="00E345B5" w:rsidRPr="009A517F">
        <w:rPr>
          <w:sz w:val="22"/>
          <w:szCs w:val="22"/>
        </w:rPr>
        <w:t xml:space="preserve"> informovať pacientov a ich opatrovateľov (ak sú zaangažovaní), aby si boli vedomí týchto príznakov (pozri časť 4.5). </w:t>
      </w:r>
    </w:p>
    <w:p w14:paraId="4E1FBF4D" w14:textId="77777777" w:rsidR="00F42338" w:rsidRPr="009A517F" w:rsidRDefault="00F42338" w:rsidP="00F42338">
      <w:pPr>
        <w:rPr>
          <w:sz w:val="22"/>
          <w:szCs w:val="22"/>
        </w:rPr>
      </w:pPr>
    </w:p>
    <w:p w14:paraId="32FABECC" w14:textId="77777777" w:rsidR="00F42338" w:rsidRPr="009A517F" w:rsidRDefault="00F42338" w:rsidP="00F42338">
      <w:pPr>
        <w:outlineLvl w:val="0"/>
        <w:rPr>
          <w:i/>
          <w:sz w:val="22"/>
          <w:szCs w:val="22"/>
        </w:rPr>
      </w:pPr>
      <w:r w:rsidRPr="009A517F">
        <w:rPr>
          <w:i/>
          <w:sz w:val="22"/>
          <w:szCs w:val="22"/>
        </w:rPr>
        <w:t>Anamnéza nadmerného užívania alkoholu alebo drog</w:t>
      </w:r>
    </w:p>
    <w:p w14:paraId="58765912" w14:textId="77777777" w:rsidR="00F42338" w:rsidRPr="009A517F" w:rsidRDefault="00F42338" w:rsidP="00F42338">
      <w:pPr>
        <w:rPr>
          <w:sz w:val="22"/>
          <w:szCs w:val="22"/>
        </w:rPr>
      </w:pPr>
      <w:r w:rsidRPr="009A517F">
        <w:rPr>
          <w:sz w:val="22"/>
          <w:szCs w:val="22"/>
        </w:rPr>
        <w:t>Midazolam, ako aj iné benzodiazepíny, sa nemá podávať u pacientov s anamnézou nadmerného užívania alkoholu alebo drog.</w:t>
      </w:r>
    </w:p>
    <w:p w14:paraId="4F43F3E2" w14:textId="77777777" w:rsidR="00F42338" w:rsidRPr="009A517F" w:rsidRDefault="00F42338" w:rsidP="00F42338">
      <w:pPr>
        <w:rPr>
          <w:sz w:val="22"/>
          <w:szCs w:val="22"/>
        </w:rPr>
      </w:pPr>
    </w:p>
    <w:p w14:paraId="7CF017F7" w14:textId="77777777" w:rsidR="00F42338" w:rsidRPr="009A517F" w:rsidRDefault="00F42338" w:rsidP="00F42338">
      <w:pPr>
        <w:outlineLvl w:val="0"/>
        <w:rPr>
          <w:i/>
          <w:sz w:val="22"/>
          <w:szCs w:val="22"/>
        </w:rPr>
      </w:pPr>
      <w:r w:rsidRPr="009A517F">
        <w:rPr>
          <w:i/>
          <w:sz w:val="22"/>
          <w:szCs w:val="22"/>
        </w:rPr>
        <w:t>Podmienky prepustenia</w:t>
      </w:r>
    </w:p>
    <w:p w14:paraId="21D44A08" w14:textId="06798877" w:rsidR="00F42338" w:rsidRPr="009A517F" w:rsidRDefault="00F42338" w:rsidP="00F42338">
      <w:pPr>
        <w:rPr>
          <w:sz w:val="22"/>
          <w:szCs w:val="22"/>
        </w:rPr>
      </w:pPr>
      <w:r w:rsidRPr="009A517F">
        <w:rPr>
          <w:sz w:val="22"/>
          <w:szCs w:val="22"/>
        </w:rPr>
        <w:t xml:space="preserve">Po podaní midazolamu môžu byť pacienti prepustení z nemocnice alebo </w:t>
      </w:r>
      <w:r w:rsidR="00A11CC7">
        <w:rPr>
          <w:sz w:val="22"/>
          <w:szCs w:val="22"/>
        </w:rPr>
        <w:t>z</w:t>
      </w:r>
      <w:r w:rsidRPr="009A517F">
        <w:rPr>
          <w:sz w:val="22"/>
          <w:szCs w:val="22"/>
        </w:rPr>
        <w:t xml:space="preserve"> ordinácie iba po odporúčaní ošetrujúcim lekárom a v sprievode ďalšej osoby. Pacient ne</w:t>
      </w:r>
      <w:r w:rsidR="00E345B5" w:rsidRPr="009A517F">
        <w:rPr>
          <w:sz w:val="22"/>
          <w:szCs w:val="22"/>
        </w:rPr>
        <w:t>má</w:t>
      </w:r>
      <w:r w:rsidRPr="009A517F">
        <w:rPr>
          <w:sz w:val="22"/>
          <w:szCs w:val="22"/>
        </w:rPr>
        <w:t xml:space="preserve"> byť po prepustení ponechaný bez dozoru.</w:t>
      </w:r>
    </w:p>
    <w:p w14:paraId="6828CC93" w14:textId="77777777" w:rsidR="00F42338" w:rsidRPr="009A517F" w:rsidRDefault="00F42338" w:rsidP="00F42338">
      <w:pPr>
        <w:rPr>
          <w:sz w:val="22"/>
          <w:szCs w:val="22"/>
        </w:rPr>
      </w:pPr>
    </w:p>
    <w:p w14:paraId="003D2209" w14:textId="1CFACB04" w:rsidR="00F42338" w:rsidRPr="009A517F" w:rsidRDefault="00F42338" w:rsidP="00F42338">
      <w:pPr>
        <w:pStyle w:val="Normlnywebov"/>
        <w:spacing w:before="0" w:beforeAutospacing="0" w:after="0" w:afterAutospacing="0"/>
        <w:rPr>
          <w:sz w:val="22"/>
          <w:szCs w:val="22"/>
          <w:lang w:val="sk-SK"/>
        </w:rPr>
      </w:pPr>
      <w:r w:rsidRPr="009A517F">
        <w:rPr>
          <w:sz w:val="22"/>
          <w:szCs w:val="22"/>
          <w:lang w:val="sk-SK"/>
        </w:rPr>
        <w:t>Tento liek obsahuje menej ako 1 mmol sodíka (23 mg) v jednej ampulke, t.</w:t>
      </w:r>
      <w:r w:rsidR="00E345B5" w:rsidRPr="009A517F">
        <w:rPr>
          <w:sz w:val="22"/>
          <w:szCs w:val="22"/>
          <w:lang w:val="sk-SK"/>
        </w:rPr>
        <w:t xml:space="preserve"> </w:t>
      </w:r>
      <w:r w:rsidRPr="009A517F">
        <w:rPr>
          <w:sz w:val="22"/>
          <w:szCs w:val="22"/>
          <w:lang w:val="sk-SK"/>
        </w:rPr>
        <w:t>j. v podstate zanedbateľné množstvo sodíka.</w:t>
      </w:r>
    </w:p>
    <w:p w14:paraId="047C066A" w14:textId="77777777" w:rsidR="00625CF2" w:rsidRPr="009A517F" w:rsidRDefault="00625CF2" w:rsidP="00625CF2">
      <w:pPr>
        <w:pStyle w:val="Normlnywebov"/>
        <w:spacing w:before="0" w:beforeAutospacing="0" w:after="0" w:afterAutospacing="0"/>
        <w:rPr>
          <w:sz w:val="22"/>
          <w:szCs w:val="22"/>
          <w:lang w:val="sk-SK"/>
        </w:rPr>
      </w:pPr>
    </w:p>
    <w:p w14:paraId="48CEC630" w14:textId="77777777" w:rsidR="00625CF2" w:rsidRPr="009A517F" w:rsidRDefault="00625CF2" w:rsidP="00625CF2">
      <w:pPr>
        <w:numPr>
          <w:ilvl w:val="1"/>
          <w:numId w:val="11"/>
        </w:numPr>
        <w:autoSpaceDE/>
        <w:autoSpaceDN/>
        <w:rPr>
          <w:b/>
          <w:sz w:val="22"/>
          <w:szCs w:val="22"/>
        </w:rPr>
      </w:pPr>
      <w:r w:rsidRPr="009A517F">
        <w:rPr>
          <w:b/>
          <w:sz w:val="22"/>
          <w:szCs w:val="22"/>
        </w:rPr>
        <w:t>Liekové a iné interakcie</w:t>
      </w:r>
    </w:p>
    <w:p w14:paraId="3F960A6F" w14:textId="77777777" w:rsidR="00625CF2" w:rsidRPr="009A517F" w:rsidRDefault="00625CF2" w:rsidP="00625CF2">
      <w:pPr>
        <w:rPr>
          <w:sz w:val="22"/>
          <w:szCs w:val="22"/>
        </w:rPr>
      </w:pPr>
    </w:p>
    <w:p w14:paraId="3B11B4D9" w14:textId="77777777" w:rsidR="00E345B5" w:rsidRPr="009A517F" w:rsidRDefault="00E345B5" w:rsidP="00E345B5">
      <w:pPr>
        <w:outlineLvl w:val="0"/>
        <w:rPr>
          <w:b/>
          <w:sz w:val="22"/>
          <w:szCs w:val="22"/>
          <w:u w:val="single"/>
        </w:rPr>
      </w:pPr>
      <w:r w:rsidRPr="009A517F">
        <w:rPr>
          <w:b/>
          <w:sz w:val="22"/>
          <w:szCs w:val="22"/>
          <w:u w:val="single"/>
        </w:rPr>
        <w:t>Farmakokinetické interakcie</w:t>
      </w:r>
    </w:p>
    <w:p w14:paraId="44ACFA78" w14:textId="77777777" w:rsidR="00E345B5" w:rsidRPr="009A517F" w:rsidRDefault="00E345B5" w:rsidP="00E345B5">
      <w:pPr>
        <w:outlineLvl w:val="0"/>
        <w:rPr>
          <w:sz w:val="22"/>
          <w:szCs w:val="22"/>
        </w:rPr>
      </w:pPr>
    </w:p>
    <w:p w14:paraId="45D75A3A" w14:textId="77F2FDCA" w:rsidR="00E345B5" w:rsidRPr="009A517F" w:rsidRDefault="00E345B5" w:rsidP="00E345B5">
      <w:pPr>
        <w:outlineLvl w:val="0"/>
        <w:rPr>
          <w:sz w:val="22"/>
          <w:szCs w:val="22"/>
        </w:rPr>
      </w:pPr>
      <w:r w:rsidRPr="009A517F">
        <w:rPr>
          <w:sz w:val="22"/>
          <w:szCs w:val="22"/>
        </w:rPr>
        <w:t>Midazolam je metabolizovaný izoenzýmom CYP3A4. Inhibítory a induktory izoenzýmu CYP3A môžu zvyšovať, resp. znižovať plazmatické koncentrácie a následne účinky midazolamu, čo vyžaduje primerane upraviť požadované dávkovanie.</w:t>
      </w:r>
    </w:p>
    <w:p w14:paraId="71AD2D8C" w14:textId="77777777" w:rsidR="00E345B5" w:rsidRPr="009A517F" w:rsidRDefault="00E345B5" w:rsidP="00E345B5">
      <w:pPr>
        <w:rPr>
          <w:sz w:val="22"/>
          <w:szCs w:val="22"/>
        </w:rPr>
      </w:pPr>
    </w:p>
    <w:p w14:paraId="1BB942D5" w14:textId="77777777" w:rsidR="00E345B5" w:rsidRPr="009A517F" w:rsidRDefault="00E345B5" w:rsidP="00E345B5">
      <w:pPr>
        <w:pStyle w:val="Normlnywebov"/>
        <w:spacing w:before="0" w:beforeAutospacing="0" w:after="0" w:afterAutospacing="0"/>
        <w:rPr>
          <w:sz w:val="22"/>
          <w:szCs w:val="22"/>
          <w:lang w:val="sk-SK"/>
        </w:rPr>
      </w:pPr>
      <w:r w:rsidRPr="009A517F">
        <w:rPr>
          <w:sz w:val="22"/>
          <w:szCs w:val="22"/>
          <w:lang w:val="sk-SK"/>
        </w:rPr>
        <w:t>Farmakokinetické interakcie s inhibítormi alebo induktormi CYP3A4 sa týkajú skôr perorálne podávaného midazolamu než intravenózne podávaného midazolamu, a to najmä preto, že izoenzým CYP3A4 sa vyskytuje aj v hornom gastrointestinálnom trakte. Z toho dôvodu, pri perorálnom podaní sa zmení systémový klírens aj dostupnosť, kým pri parenterálnom podaní sa prejaví iba zmena v systémovom klírense. Po jednorazovom intravenóznom podaní  midazolamu budú dôsledky na maximálny klinický účinok v dôsledku inhibície izoenzýmu CYP3A4 menšie, ale trvanie účinku sa môže predĺžiť. Po predĺženom podávaní midazolamu sa inhibíciou izoenzýmu CYP3A4 zvyšuje rozsah aj trvanie účinku.</w:t>
      </w:r>
    </w:p>
    <w:p w14:paraId="2D45994E" w14:textId="77777777" w:rsidR="00E345B5" w:rsidRPr="009A517F" w:rsidRDefault="00E345B5" w:rsidP="00E345B5">
      <w:pPr>
        <w:pStyle w:val="Normlnywebov"/>
        <w:spacing w:before="0" w:beforeAutospacing="0" w:after="0" w:afterAutospacing="0"/>
        <w:rPr>
          <w:sz w:val="22"/>
          <w:szCs w:val="22"/>
          <w:lang w:val="sk-SK"/>
        </w:rPr>
      </w:pPr>
    </w:p>
    <w:p w14:paraId="62171A74" w14:textId="77777777" w:rsidR="00E345B5" w:rsidRPr="009A517F" w:rsidRDefault="00E345B5" w:rsidP="00E345B5">
      <w:pPr>
        <w:pStyle w:val="Normlnywebov"/>
        <w:spacing w:before="0" w:beforeAutospacing="0" w:after="0" w:afterAutospacing="0"/>
        <w:rPr>
          <w:sz w:val="22"/>
          <w:szCs w:val="22"/>
          <w:lang w:val="sk-SK"/>
        </w:rPr>
      </w:pPr>
      <w:r w:rsidRPr="009A517F">
        <w:rPr>
          <w:sz w:val="22"/>
          <w:szCs w:val="22"/>
          <w:lang w:val="sk-SK"/>
        </w:rPr>
        <w:t>Štúdie o účinkoch modulácie CYP3A4 na farmakokinetiku midazolamu po jeho rektálnom a intramuskulárnom podaní nie sú k dispozícii. Očakáva sa, že pri rektálnom podaní sa tieto interakcie budú prejavovať menej než pri perorálnom podaní, pretože sa obchádza gastrointestinálny trakt, kým po intramuskulárnom podaní sa účinky modulácie CYP3A4 nebudú významne líšiť od účinkov pozorovaných pri intravenóznom podaní.</w:t>
      </w:r>
    </w:p>
    <w:p w14:paraId="2B5EBB2B" w14:textId="77777777" w:rsidR="00E345B5" w:rsidRPr="009A517F" w:rsidRDefault="00E345B5" w:rsidP="00E345B5">
      <w:pPr>
        <w:pStyle w:val="Normlnywebov"/>
        <w:spacing w:before="0" w:beforeAutospacing="0" w:after="0" w:afterAutospacing="0"/>
        <w:rPr>
          <w:sz w:val="22"/>
          <w:szCs w:val="22"/>
          <w:lang w:val="sk-SK"/>
        </w:rPr>
      </w:pPr>
    </w:p>
    <w:p w14:paraId="6C3F3117" w14:textId="77777777" w:rsidR="00E345B5" w:rsidRPr="009A517F" w:rsidRDefault="00E345B5" w:rsidP="00E345B5">
      <w:pPr>
        <w:pStyle w:val="Normlnywebov"/>
        <w:spacing w:before="0" w:beforeAutospacing="0" w:after="0" w:afterAutospacing="0"/>
        <w:rPr>
          <w:sz w:val="22"/>
          <w:szCs w:val="22"/>
          <w:lang w:val="sk-SK"/>
        </w:rPr>
      </w:pPr>
      <w:r w:rsidRPr="009A517F">
        <w:rPr>
          <w:sz w:val="22"/>
          <w:szCs w:val="22"/>
          <w:lang w:val="sk-SK"/>
        </w:rPr>
        <w:t>Preto sa počas podávania midazolamu odporúča starostlivo monitorovať klinický účinok a vitálne funkcie, ak vezmeme do úvahy, že pri súbežnom podávaní midazolamu a inhibítoru izoenzýmu CYP3A4 môže byť klinický účinok midazolamu silnejší a dlhšie trvajúci, aj keď sa podáva iba raz. Najmä podávanie vysokých dávok alebo dlho trvajúcich infúzií midazolamu pacientom užívajúcim silné inhibítory izoenzýmu CYP3A4 (napr. počas intenzívnej starostlivosti) môže viesť k dlhotrvajúcim hypnotickým účinkom, spomaleniu zotavovania z anestézie a respiračnej depresii, preto je potrebná úprava dávkovania.</w:t>
      </w:r>
    </w:p>
    <w:p w14:paraId="4F4B42B4" w14:textId="77777777" w:rsidR="00E345B5" w:rsidRPr="009A517F" w:rsidRDefault="00E345B5" w:rsidP="00E345B5">
      <w:pPr>
        <w:pStyle w:val="Normlnywebov"/>
        <w:spacing w:before="0" w:beforeAutospacing="0" w:after="0" w:afterAutospacing="0"/>
        <w:rPr>
          <w:sz w:val="22"/>
          <w:szCs w:val="22"/>
          <w:lang w:val="sk-SK"/>
        </w:rPr>
      </w:pPr>
    </w:p>
    <w:p w14:paraId="0F01BA48" w14:textId="77777777" w:rsidR="00BB0ED4" w:rsidRPr="009A517F" w:rsidRDefault="00E345B5" w:rsidP="00E345B5">
      <w:pPr>
        <w:pStyle w:val="Normlnywebov"/>
        <w:spacing w:before="0" w:beforeAutospacing="0" w:after="0" w:afterAutospacing="0"/>
        <w:outlineLvl w:val="0"/>
        <w:rPr>
          <w:sz w:val="22"/>
          <w:szCs w:val="22"/>
          <w:lang w:val="sk-SK"/>
        </w:rPr>
      </w:pPr>
      <w:r w:rsidRPr="009A517F">
        <w:rPr>
          <w:sz w:val="22"/>
          <w:szCs w:val="22"/>
          <w:lang w:val="sk-SK"/>
        </w:rPr>
        <w:t xml:space="preserve">Vzhľadom na indukciu CYP3A4 sa </w:t>
      </w:r>
      <w:r w:rsidR="00BB0ED4" w:rsidRPr="009A517F">
        <w:rPr>
          <w:sz w:val="22"/>
          <w:szCs w:val="22"/>
          <w:lang w:val="sk-SK"/>
        </w:rPr>
        <w:t>má</w:t>
      </w:r>
      <w:r w:rsidRPr="009A517F">
        <w:rPr>
          <w:sz w:val="22"/>
          <w:szCs w:val="22"/>
          <w:lang w:val="sk-SK"/>
        </w:rPr>
        <w:t xml:space="preserve"> vziať do úvahy, že indukčný proces vyžaduje niekoľko dní na dosiahnutie maximálneho účinku a niekoľko dní, kým účinok vymizne. Na rozdiel od niekoľkodňovej liečby induktorom vedie krátkodobá liečba k menej zjavným interakciám s midazolamom. Relevantnú indukciu však v prípade silných induktorov nie je možné vylúčiť ani po krátkodobej liečbe. </w:t>
      </w:r>
    </w:p>
    <w:p w14:paraId="43924F67" w14:textId="77777777" w:rsidR="00BB0ED4" w:rsidRPr="009A517F" w:rsidRDefault="00BB0ED4" w:rsidP="00E345B5">
      <w:pPr>
        <w:pStyle w:val="Normlnywebov"/>
        <w:spacing w:before="0" w:beforeAutospacing="0" w:after="0" w:afterAutospacing="0"/>
        <w:outlineLvl w:val="0"/>
        <w:rPr>
          <w:sz w:val="22"/>
          <w:szCs w:val="22"/>
          <w:lang w:val="sk-SK"/>
        </w:rPr>
      </w:pPr>
    </w:p>
    <w:p w14:paraId="154ADD44" w14:textId="50540D62" w:rsidR="00E345B5" w:rsidRPr="009A517F" w:rsidRDefault="00E345B5" w:rsidP="00E345B5">
      <w:pPr>
        <w:pStyle w:val="Normlnywebov"/>
        <w:spacing w:before="0" w:beforeAutospacing="0" w:after="0" w:afterAutospacing="0"/>
        <w:outlineLvl w:val="0"/>
        <w:rPr>
          <w:sz w:val="22"/>
          <w:szCs w:val="22"/>
          <w:lang w:val="sk-SK"/>
        </w:rPr>
      </w:pPr>
      <w:r w:rsidRPr="009A517F">
        <w:rPr>
          <w:sz w:val="22"/>
          <w:szCs w:val="22"/>
          <w:lang w:val="sk-SK"/>
        </w:rPr>
        <w:t>Nie je známe, že by midazolam menil farmakokinetiku iných liekov. </w:t>
      </w:r>
    </w:p>
    <w:p w14:paraId="1E386EE8" w14:textId="56531A28" w:rsidR="00625CF2" w:rsidRPr="009A517F" w:rsidRDefault="00625CF2" w:rsidP="00625CF2">
      <w:pPr>
        <w:pStyle w:val="Normlnywebov"/>
        <w:spacing w:before="0" w:beforeAutospacing="0" w:after="0" w:afterAutospacing="0"/>
        <w:rPr>
          <w:sz w:val="22"/>
          <w:szCs w:val="22"/>
          <w:lang w:val="sk-SK"/>
        </w:rPr>
      </w:pPr>
    </w:p>
    <w:p w14:paraId="468B9821" w14:textId="47D5BC64" w:rsidR="00BB0ED4" w:rsidRPr="009A517F" w:rsidRDefault="00BB0ED4" w:rsidP="00BB0ED4">
      <w:pPr>
        <w:outlineLvl w:val="0"/>
        <w:rPr>
          <w:b/>
          <w:sz w:val="22"/>
          <w:szCs w:val="22"/>
          <w:u w:val="single"/>
        </w:rPr>
      </w:pPr>
      <w:r w:rsidRPr="00117E7A">
        <w:rPr>
          <w:b/>
          <w:sz w:val="22"/>
          <w:szCs w:val="22"/>
          <w:u w:val="single"/>
        </w:rPr>
        <w:t>Lieky, ktoré inhibujú CYP3A</w:t>
      </w:r>
    </w:p>
    <w:p w14:paraId="6DA923AA" w14:textId="77777777" w:rsidR="00BB0ED4" w:rsidRPr="009A517F" w:rsidRDefault="00BB0ED4" w:rsidP="00BB0ED4">
      <w:pPr>
        <w:outlineLvl w:val="0"/>
        <w:rPr>
          <w:b/>
          <w:sz w:val="22"/>
          <w:szCs w:val="22"/>
          <w:u w:val="single"/>
        </w:rPr>
      </w:pPr>
    </w:p>
    <w:p w14:paraId="74580420" w14:textId="0CCA1AB6" w:rsidR="00BB0ED4" w:rsidRPr="009A517F" w:rsidRDefault="00BB0ED4" w:rsidP="00BB0ED4">
      <w:pPr>
        <w:outlineLvl w:val="0"/>
        <w:rPr>
          <w:b/>
          <w:sz w:val="22"/>
          <w:szCs w:val="22"/>
        </w:rPr>
      </w:pPr>
      <w:r w:rsidRPr="009A517F">
        <w:rPr>
          <w:b/>
          <w:sz w:val="22"/>
          <w:szCs w:val="22"/>
        </w:rPr>
        <w:t>Azolové antimykotiká</w:t>
      </w:r>
    </w:p>
    <w:p w14:paraId="6FA32D2B" w14:textId="0D9EDDAF" w:rsidR="00BB0ED4" w:rsidRPr="009A517F" w:rsidRDefault="00BB0ED4" w:rsidP="00705518">
      <w:pPr>
        <w:numPr>
          <w:ilvl w:val="0"/>
          <w:numId w:val="20"/>
        </w:numPr>
        <w:tabs>
          <w:tab w:val="clear" w:pos="720"/>
        </w:tabs>
        <w:autoSpaceDE/>
        <w:autoSpaceDN/>
        <w:ind w:left="567" w:hanging="357"/>
        <w:rPr>
          <w:sz w:val="22"/>
          <w:szCs w:val="22"/>
        </w:rPr>
      </w:pPr>
      <w:r w:rsidRPr="009A517F">
        <w:rPr>
          <w:sz w:val="22"/>
          <w:szCs w:val="22"/>
        </w:rPr>
        <w:t>Ketokonazol zvyšuje plazmatické koncentrácie intravenózne podaného midazolamu päťnásobne a predlžuje jeho polčas eliminácie približne trojnásobne. Pri súbežnom parenterálnom podaní midazolamu s ketokonazolom, silným inhibítorom CYP3A, sa takáto liečba musí vykonávať na jednotke intenzívnej starostlivosti alebo v podobných zariadeniach, kde je zabezpečené dôkladné klinické monitorovanie a primeraná lekárska starostlivosť v prípade respiračnej depresie a/alebo predĺženej sedácie. Má sa zvážiť aj postupné dávkovanie alebo úprava dávkovania, najmä ak sa podáva viac ako jedna intravenózna dávka midazolamu. To isté odporúčanie je možné vztiahnuť aj na ostatné azolové antimykotiká (pozri ďalej), keďže sú hlásené zvýšené sedatívne účinky intravenózne podávaného midazolamu, aj keď v menšej miere.</w:t>
      </w:r>
    </w:p>
    <w:p w14:paraId="6208BA0A" w14:textId="77777777" w:rsidR="00BB0ED4" w:rsidRPr="009A517F" w:rsidRDefault="00BB0ED4" w:rsidP="00705518">
      <w:pPr>
        <w:numPr>
          <w:ilvl w:val="0"/>
          <w:numId w:val="20"/>
        </w:numPr>
        <w:tabs>
          <w:tab w:val="clear" w:pos="720"/>
        </w:tabs>
        <w:adjustRightInd w:val="0"/>
        <w:ind w:left="567" w:hanging="357"/>
        <w:rPr>
          <w:sz w:val="22"/>
          <w:szCs w:val="22"/>
        </w:rPr>
      </w:pPr>
      <w:r w:rsidRPr="009A517F">
        <w:rPr>
          <w:sz w:val="22"/>
          <w:szCs w:val="22"/>
        </w:rPr>
        <w:t>Vorikonazol zvyšuje plazmatické koncentrácie intravenózne podávaného midazolamu trojnásobne a polčas eliminácie predlžuje tiež približne trojnásobne.</w:t>
      </w:r>
    </w:p>
    <w:p w14:paraId="03D5EF5F" w14:textId="3F12DA4F" w:rsidR="00BB0ED4" w:rsidRPr="009A517F" w:rsidRDefault="00BB0ED4" w:rsidP="00705518">
      <w:pPr>
        <w:numPr>
          <w:ilvl w:val="0"/>
          <w:numId w:val="20"/>
        </w:numPr>
        <w:tabs>
          <w:tab w:val="clear" w:pos="720"/>
        </w:tabs>
        <w:autoSpaceDE/>
        <w:autoSpaceDN/>
        <w:ind w:left="567" w:hanging="357"/>
        <w:rPr>
          <w:sz w:val="22"/>
          <w:szCs w:val="22"/>
        </w:rPr>
      </w:pPr>
      <w:r w:rsidRPr="009A517F">
        <w:rPr>
          <w:sz w:val="22"/>
          <w:szCs w:val="22"/>
        </w:rPr>
        <w:t>Flukonazol aj itrakonazol zvyšujú plazmatické koncentrácie intravenózne podávaného midazolamu dvoj</w:t>
      </w:r>
      <w:r w:rsidR="00705518" w:rsidRPr="009A517F">
        <w:rPr>
          <w:sz w:val="22"/>
          <w:szCs w:val="22"/>
        </w:rPr>
        <w:t>-</w:t>
      </w:r>
      <w:r w:rsidRPr="009A517F">
        <w:rPr>
          <w:sz w:val="22"/>
          <w:szCs w:val="22"/>
        </w:rPr>
        <w:t xml:space="preserve"> až trojnásobne, s čím súvisí predĺženie terminálneho polčasu 2,4-násobne v prípade itrakonazolu, resp. 1,5-násobne, ak ide o flukonazol.</w:t>
      </w:r>
    </w:p>
    <w:p w14:paraId="414CCBE7" w14:textId="77777777" w:rsidR="00BB0ED4" w:rsidRPr="009A517F" w:rsidRDefault="00BB0ED4" w:rsidP="00705518">
      <w:pPr>
        <w:numPr>
          <w:ilvl w:val="0"/>
          <w:numId w:val="20"/>
        </w:numPr>
        <w:tabs>
          <w:tab w:val="clear" w:pos="720"/>
        </w:tabs>
        <w:autoSpaceDE/>
        <w:autoSpaceDN/>
        <w:ind w:left="567" w:hanging="357"/>
        <w:rPr>
          <w:sz w:val="22"/>
          <w:szCs w:val="22"/>
        </w:rPr>
      </w:pPr>
      <w:r w:rsidRPr="009A517F">
        <w:rPr>
          <w:sz w:val="22"/>
          <w:szCs w:val="22"/>
        </w:rPr>
        <w:t>Posakonazol zvyšuje plazmatické koncentrácie intravenózne podávaného midazolamu približne dvojnásobne.</w:t>
      </w:r>
    </w:p>
    <w:p w14:paraId="758CA781" w14:textId="77777777" w:rsidR="00BB0ED4" w:rsidRPr="009A517F" w:rsidRDefault="00BB0ED4" w:rsidP="00705518">
      <w:pPr>
        <w:pStyle w:val="Odsekzoznamu"/>
        <w:numPr>
          <w:ilvl w:val="0"/>
          <w:numId w:val="25"/>
        </w:numPr>
        <w:adjustRightInd w:val="0"/>
        <w:ind w:left="567" w:hanging="357"/>
        <w:rPr>
          <w:sz w:val="22"/>
          <w:szCs w:val="22"/>
        </w:rPr>
      </w:pPr>
      <w:r w:rsidRPr="009A517F">
        <w:rPr>
          <w:sz w:val="22"/>
          <w:szCs w:val="22"/>
        </w:rPr>
        <w:t xml:space="preserve">Má sa vziať do úvahy, že v prípade perorálneho podávania midazolamu bude jeho expozícia omnoho vyššia než je uvedené vyššie, a to najmä pri súčasnom podaní s ketokonazolom, itrakonazolom alebo vorikonazolom. </w:t>
      </w:r>
    </w:p>
    <w:p w14:paraId="3002FAAC" w14:textId="77777777" w:rsidR="00BB0ED4" w:rsidRPr="009A517F" w:rsidRDefault="00BB0ED4" w:rsidP="00BB0ED4">
      <w:pPr>
        <w:adjustRightInd w:val="0"/>
        <w:rPr>
          <w:sz w:val="22"/>
          <w:szCs w:val="22"/>
        </w:rPr>
      </w:pPr>
    </w:p>
    <w:p w14:paraId="7D57673B" w14:textId="77777777" w:rsidR="00BB0ED4" w:rsidRPr="009A517F" w:rsidRDefault="00BB0ED4" w:rsidP="00BB0ED4">
      <w:pPr>
        <w:outlineLvl w:val="0"/>
        <w:rPr>
          <w:b/>
          <w:sz w:val="22"/>
          <w:szCs w:val="22"/>
        </w:rPr>
      </w:pPr>
      <w:r w:rsidRPr="009A517F">
        <w:rPr>
          <w:b/>
          <w:sz w:val="22"/>
          <w:szCs w:val="22"/>
        </w:rPr>
        <w:t>Ampulky midazolamu nie sú indikované na perorálne podávanie.</w:t>
      </w:r>
    </w:p>
    <w:p w14:paraId="1D203EF8" w14:textId="77777777" w:rsidR="00BB0ED4" w:rsidRPr="009A517F" w:rsidRDefault="00BB0ED4" w:rsidP="00BB0ED4">
      <w:pPr>
        <w:outlineLvl w:val="0"/>
        <w:rPr>
          <w:sz w:val="22"/>
          <w:szCs w:val="22"/>
        </w:rPr>
      </w:pPr>
    </w:p>
    <w:p w14:paraId="791C5F5F" w14:textId="77777777" w:rsidR="00BB0ED4" w:rsidRPr="009A517F" w:rsidRDefault="00BB0ED4" w:rsidP="00BB0ED4">
      <w:pPr>
        <w:outlineLvl w:val="0"/>
        <w:rPr>
          <w:i/>
          <w:sz w:val="22"/>
          <w:szCs w:val="22"/>
        </w:rPr>
      </w:pPr>
      <w:r w:rsidRPr="009A517F">
        <w:rPr>
          <w:i/>
          <w:sz w:val="22"/>
          <w:szCs w:val="22"/>
        </w:rPr>
        <w:t>Makrolidové antibiotiká</w:t>
      </w:r>
    </w:p>
    <w:p w14:paraId="5083B0F4" w14:textId="2A057324" w:rsidR="00BB0ED4" w:rsidRPr="009A517F" w:rsidRDefault="00BB0ED4" w:rsidP="00BB0ED4">
      <w:pPr>
        <w:numPr>
          <w:ilvl w:val="0"/>
          <w:numId w:val="21"/>
        </w:numPr>
        <w:tabs>
          <w:tab w:val="clear" w:pos="720"/>
        </w:tabs>
        <w:autoSpaceDE/>
        <w:autoSpaceDN/>
        <w:ind w:left="567" w:hanging="357"/>
        <w:rPr>
          <w:sz w:val="22"/>
          <w:szCs w:val="22"/>
        </w:rPr>
      </w:pPr>
      <w:r w:rsidRPr="009A517F">
        <w:rPr>
          <w:sz w:val="22"/>
          <w:szCs w:val="22"/>
        </w:rPr>
        <w:t>Erytromycín zvyšuje plazmatické koncentrácie intravenózne podaného midazolamu približne 1,6- až dvojnásobne, čo vedie k predĺženiu polčasu eliminácie midazolamu na 1,5</w:t>
      </w:r>
      <w:r w:rsidR="00705518" w:rsidRPr="009A517F">
        <w:rPr>
          <w:sz w:val="22"/>
          <w:szCs w:val="22"/>
        </w:rPr>
        <w:t>-</w:t>
      </w:r>
      <w:r w:rsidRPr="009A517F">
        <w:rPr>
          <w:sz w:val="22"/>
          <w:szCs w:val="22"/>
        </w:rPr>
        <w:t xml:space="preserve"> až 1,8-násobok.</w:t>
      </w:r>
    </w:p>
    <w:p w14:paraId="67285AC7" w14:textId="77777777" w:rsidR="00BB0ED4" w:rsidRPr="009A517F" w:rsidRDefault="00BB0ED4" w:rsidP="00BB0ED4">
      <w:pPr>
        <w:numPr>
          <w:ilvl w:val="0"/>
          <w:numId w:val="21"/>
        </w:numPr>
        <w:tabs>
          <w:tab w:val="clear" w:pos="720"/>
        </w:tabs>
        <w:autoSpaceDE/>
        <w:autoSpaceDN/>
        <w:ind w:left="567" w:hanging="357"/>
        <w:rPr>
          <w:sz w:val="22"/>
          <w:szCs w:val="22"/>
        </w:rPr>
      </w:pPr>
      <w:r w:rsidRPr="009A517F">
        <w:rPr>
          <w:sz w:val="22"/>
          <w:szCs w:val="22"/>
        </w:rPr>
        <w:t>Klaritromycín zvyšuje plazmatické koncentrácie midazolamu až 2,5-násobne a predlžuje polčas eliminácie 1,5- až dvojnásobne.</w:t>
      </w:r>
    </w:p>
    <w:p w14:paraId="122F71D7" w14:textId="77777777" w:rsidR="00BB0ED4" w:rsidRPr="009A517F" w:rsidRDefault="00BB0ED4" w:rsidP="00BB0ED4">
      <w:pPr>
        <w:ind w:left="297"/>
        <w:outlineLvl w:val="0"/>
        <w:rPr>
          <w:sz w:val="22"/>
          <w:szCs w:val="22"/>
        </w:rPr>
      </w:pPr>
    </w:p>
    <w:p w14:paraId="412F0E03" w14:textId="77777777" w:rsidR="00BB0ED4" w:rsidRPr="009A517F" w:rsidRDefault="00BB0ED4" w:rsidP="00BB0ED4">
      <w:pPr>
        <w:outlineLvl w:val="0"/>
        <w:rPr>
          <w:i/>
          <w:sz w:val="22"/>
          <w:szCs w:val="22"/>
        </w:rPr>
      </w:pPr>
      <w:r w:rsidRPr="009A517F">
        <w:rPr>
          <w:i/>
          <w:sz w:val="22"/>
          <w:szCs w:val="22"/>
        </w:rPr>
        <w:t>Ďalšie informácie o perorálne podávanom midazolame</w:t>
      </w:r>
    </w:p>
    <w:p w14:paraId="453958D0" w14:textId="77777777" w:rsidR="00BB0ED4" w:rsidRPr="009A517F" w:rsidRDefault="00BB0ED4" w:rsidP="00BB0ED4">
      <w:pPr>
        <w:numPr>
          <w:ilvl w:val="0"/>
          <w:numId w:val="21"/>
        </w:numPr>
        <w:tabs>
          <w:tab w:val="clear" w:pos="720"/>
        </w:tabs>
        <w:autoSpaceDE/>
        <w:autoSpaceDN/>
        <w:ind w:left="567" w:hanging="357"/>
        <w:rPr>
          <w:sz w:val="22"/>
          <w:szCs w:val="22"/>
        </w:rPr>
      </w:pPr>
      <w:r w:rsidRPr="009A517F">
        <w:rPr>
          <w:sz w:val="22"/>
          <w:szCs w:val="22"/>
        </w:rPr>
        <w:t>Roxitromycín: Aj keď nie sú k dispozícii údaje o vplyve roxitromycínu na intravenózne podávaný midazolam, mierny účinok na terminálny polčas perorálne podaných tabliet midazolamu (predĺženie o približne 30 %) naznačuje, že účinky roxitromycínu na intravenózne podávaný midazolam môžu byť nepatrné.</w:t>
      </w:r>
    </w:p>
    <w:p w14:paraId="44110798" w14:textId="77777777" w:rsidR="00BB0ED4" w:rsidRPr="009A517F" w:rsidRDefault="00BB0ED4" w:rsidP="00BB0ED4">
      <w:pPr>
        <w:outlineLvl w:val="0"/>
        <w:rPr>
          <w:sz w:val="22"/>
          <w:szCs w:val="22"/>
        </w:rPr>
      </w:pPr>
    </w:p>
    <w:p w14:paraId="5C5D1880" w14:textId="77777777" w:rsidR="00BB0ED4" w:rsidRPr="009A517F" w:rsidRDefault="00BB0ED4" w:rsidP="00BB0ED4">
      <w:pPr>
        <w:outlineLvl w:val="0"/>
        <w:rPr>
          <w:i/>
          <w:sz w:val="22"/>
          <w:szCs w:val="22"/>
        </w:rPr>
      </w:pPr>
      <w:r w:rsidRPr="009A517F">
        <w:rPr>
          <w:i/>
          <w:sz w:val="22"/>
          <w:szCs w:val="22"/>
        </w:rPr>
        <w:t>Inhibítory HIV proteáz</w:t>
      </w:r>
    </w:p>
    <w:p w14:paraId="7A81CEDF" w14:textId="5B23745C" w:rsidR="00BB0ED4" w:rsidRPr="009A517F" w:rsidRDefault="00BB0ED4" w:rsidP="00BB0ED4">
      <w:pPr>
        <w:numPr>
          <w:ilvl w:val="0"/>
          <w:numId w:val="21"/>
        </w:numPr>
        <w:tabs>
          <w:tab w:val="clear" w:pos="720"/>
        </w:tabs>
        <w:autoSpaceDE/>
        <w:autoSpaceDN/>
        <w:ind w:left="567" w:hanging="357"/>
        <w:rPr>
          <w:sz w:val="22"/>
          <w:szCs w:val="22"/>
        </w:rPr>
      </w:pPr>
      <w:r w:rsidRPr="009A517F">
        <w:rPr>
          <w:sz w:val="22"/>
          <w:szCs w:val="22"/>
        </w:rPr>
        <w:t>Sa</w:t>
      </w:r>
      <w:r w:rsidR="00BE612A">
        <w:rPr>
          <w:sz w:val="22"/>
          <w:szCs w:val="22"/>
        </w:rPr>
        <w:t>kv</w:t>
      </w:r>
      <w:r w:rsidRPr="009A517F">
        <w:rPr>
          <w:sz w:val="22"/>
          <w:szCs w:val="22"/>
        </w:rPr>
        <w:t>inavir a ďalšie inhibítory HIV proteáz: Súbežné podávanie inhibítorov proteáz môže spôsobiť výrazné zvýšenie koncentrácie midazolamu. Súbežné podanie ritonavirom potenciovaného lopinaviru zvyšuje plazmatické koncentrácie intravenózne podaného midazolamu 5,4-násobne, čo viedlo aj k podobnému predĺženiu terminálneho polčasu. Pri súbežnom parenterálnom podaní midazolamu s inhibítormi HIV proteáz je potrebné dodržať rovnaký liečebný postup, ktorý je opísaný vyššie pre azolové antimykotiká, ketokonazol.</w:t>
      </w:r>
    </w:p>
    <w:p w14:paraId="60EA4230" w14:textId="77777777" w:rsidR="00BB0ED4" w:rsidRPr="009A517F" w:rsidRDefault="00BB0ED4" w:rsidP="00BB0ED4">
      <w:pPr>
        <w:pStyle w:val="Normlnywebov"/>
        <w:spacing w:before="0" w:beforeAutospacing="0" w:after="0" w:afterAutospacing="0"/>
        <w:outlineLvl w:val="0"/>
        <w:rPr>
          <w:sz w:val="22"/>
          <w:szCs w:val="22"/>
          <w:lang w:val="sk-SK"/>
        </w:rPr>
      </w:pPr>
    </w:p>
    <w:p w14:paraId="15FA0AF9" w14:textId="77777777" w:rsidR="00BB0ED4" w:rsidRPr="009A517F" w:rsidRDefault="00BB0ED4" w:rsidP="00BB0ED4">
      <w:pPr>
        <w:pStyle w:val="Normlnywebov"/>
        <w:spacing w:before="0" w:beforeAutospacing="0" w:after="0" w:afterAutospacing="0"/>
        <w:outlineLvl w:val="0"/>
        <w:rPr>
          <w:i/>
          <w:sz w:val="22"/>
          <w:szCs w:val="22"/>
          <w:lang w:val="sk-SK"/>
        </w:rPr>
      </w:pPr>
      <w:r w:rsidRPr="009A517F">
        <w:rPr>
          <w:i/>
          <w:sz w:val="22"/>
          <w:szCs w:val="22"/>
          <w:lang w:val="sk-SK"/>
        </w:rPr>
        <w:t>Ďalšie informácie o perorálne podávanom midazolame</w:t>
      </w:r>
    </w:p>
    <w:p w14:paraId="3483BCA3" w14:textId="77777777" w:rsidR="00BB0ED4" w:rsidRPr="009A517F" w:rsidRDefault="00BB0ED4" w:rsidP="00705518">
      <w:pPr>
        <w:pStyle w:val="Normlnywebov"/>
        <w:spacing w:before="0" w:beforeAutospacing="0" w:after="0" w:afterAutospacing="0"/>
        <w:rPr>
          <w:sz w:val="22"/>
          <w:szCs w:val="22"/>
          <w:lang w:val="sk-SK"/>
        </w:rPr>
      </w:pPr>
      <w:r w:rsidRPr="009A517F">
        <w:rPr>
          <w:sz w:val="22"/>
          <w:szCs w:val="22"/>
          <w:lang w:val="sk-SK"/>
        </w:rPr>
        <w:t>Na základe údajov získaných pre iné inhibítory CYP3A4 sa predpokladá, že plazmatické koncentrácie midazolamu budú výrazne vyššie, ak je midazolam podávaný perorálne. Inhibítory proteáz sa preto nemajú podávať súbežne s perorálne podávaným midazolamom.</w:t>
      </w:r>
    </w:p>
    <w:p w14:paraId="3CE88C50" w14:textId="77777777" w:rsidR="00BB0ED4" w:rsidRPr="009A517F" w:rsidRDefault="00BB0ED4" w:rsidP="00BB0ED4">
      <w:pPr>
        <w:pStyle w:val="Normlnywebov"/>
        <w:spacing w:before="0" w:beforeAutospacing="0" w:after="0" w:afterAutospacing="0"/>
        <w:rPr>
          <w:sz w:val="22"/>
          <w:szCs w:val="22"/>
          <w:lang w:val="sk-SK"/>
        </w:rPr>
      </w:pPr>
    </w:p>
    <w:p w14:paraId="405B9D66" w14:textId="77777777" w:rsidR="00BB0ED4" w:rsidRPr="009A517F" w:rsidRDefault="00BB0ED4" w:rsidP="00BB0ED4">
      <w:pPr>
        <w:pStyle w:val="Normlnywebov"/>
        <w:spacing w:before="0" w:beforeAutospacing="0" w:after="0" w:afterAutospacing="0"/>
        <w:outlineLvl w:val="0"/>
        <w:rPr>
          <w:i/>
          <w:sz w:val="22"/>
          <w:szCs w:val="22"/>
          <w:lang w:val="sk-SK"/>
        </w:rPr>
      </w:pPr>
      <w:r w:rsidRPr="009A517F">
        <w:rPr>
          <w:i/>
          <w:sz w:val="22"/>
          <w:szCs w:val="22"/>
          <w:lang w:val="sk-SK"/>
        </w:rPr>
        <w:t>Blokátory kalciového kanála</w:t>
      </w:r>
    </w:p>
    <w:p w14:paraId="15B21EB6" w14:textId="4E5B2A1C" w:rsidR="00BB0ED4" w:rsidRPr="009A517F" w:rsidRDefault="00BB0ED4" w:rsidP="00BB0ED4">
      <w:pPr>
        <w:numPr>
          <w:ilvl w:val="0"/>
          <w:numId w:val="22"/>
        </w:numPr>
        <w:tabs>
          <w:tab w:val="clear" w:pos="720"/>
        </w:tabs>
        <w:autoSpaceDE/>
        <w:autoSpaceDN/>
        <w:ind w:left="567" w:hanging="357"/>
        <w:rPr>
          <w:sz w:val="22"/>
          <w:szCs w:val="22"/>
        </w:rPr>
      </w:pPr>
      <w:r w:rsidRPr="009A517F">
        <w:rPr>
          <w:sz w:val="22"/>
          <w:szCs w:val="22"/>
        </w:rPr>
        <w:t xml:space="preserve">Diltiazem: </w:t>
      </w:r>
      <w:r w:rsidR="00705518" w:rsidRPr="009A517F">
        <w:rPr>
          <w:sz w:val="22"/>
          <w:szCs w:val="22"/>
        </w:rPr>
        <w:t>J</w:t>
      </w:r>
      <w:r w:rsidRPr="009A517F">
        <w:rPr>
          <w:sz w:val="22"/>
          <w:szCs w:val="22"/>
        </w:rPr>
        <w:t>ednorazov</w:t>
      </w:r>
      <w:r w:rsidR="00705518" w:rsidRPr="009A517F">
        <w:rPr>
          <w:sz w:val="22"/>
          <w:szCs w:val="22"/>
        </w:rPr>
        <w:t>á</w:t>
      </w:r>
      <w:r w:rsidRPr="009A517F">
        <w:rPr>
          <w:sz w:val="22"/>
          <w:szCs w:val="22"/>
        </w:rPr>
        <w:t xml:space="preserve"> dávk</w:t>
      </w:r>
      <w:r w:rsidR="00705518" w:rsidRPr="009A517F">
        <w:rPr>
          <w:sz w:val="22"/>
          <w:szCs w:val="22"/>
        </w:rPr>
        <w:t>a</w:t>
      </w:r>
      <w:r w:rsidRPr="009A517F">
        <w:rPr>
          <w:sz w:val="22"/>
          <w:szCs w:val="22"/>
        </w:rPr>
        <w:t xml:space="preserve"> diltiazemu </w:t>
      </w:r>
      <w:r w:rsidR="00705518" w:rsidRPr="009A517F">
        <w:rPr>
          <w:sz w:val="22"/>
          <w:szCs w:val="22"/>
        </w:rPr>
        <w:t xml:space="preserve">podaná pacientom podstupujúcim </w:t>
      </w:r>
      <w:r w:rsidR="00604CF4" w:rsidRPr="009A517F">
        <w:rPr>
          <w:sz w:val="22"/>
          <w:szCs w:val="22"/>
        </w:rPr>
        <w:t xml:space="preserve">chirurgický výkon </w:t>
      </w:r>
      <w:r w:rsidR="00705518" w:rsidRPr="009A517F">
        <w:rPr>
          <w:sz w:val="22"/>
          <w:szCs w:val="22"/>
        </w:rPr>
        <w:t>aortokoronárn</w:t>
      </w:r>
      <w:r w:rsidR="00604CF4" w:rsidRPr="009A517F">
        <w:rPr>
          <w:sz w:val="22"/>
          <w:szCs w:val="22"/>
        </w:rPr>
        <w:t>e</w:t>
      </w:r>
      <w:r w:rsidR="00117E7A">
        <w:rPr>
          <w:sz w:val="22"/>
          <w:szCs w:val="22"/>
        </w:rPr>
        <w:t>ho</w:t>
      </w:r>
      <w:r w:rsidR="00705518" w:rsidRPr="009A517F">
        <w:rPr>
          <w:sz w:val="22"/>
          <w:szCs w:val="22"/>
        </w:rPr>
        <w:t xml:space="preserve"> </w:t>
      </w:r>
      <w:r w:rsidR="00604CF4" w:rsidRPr="009A517F">
        <w:rPr>
          <w:sz w:val="22"/>
          <w:szCs w:val="22"/>
        </w:rPr>
        <w:t xml:space="preserve">premostenia </w:t>
      </w:r>
      <w:r w:rsidRPr="009A517F">
        <w:rPr>
          <w:sz w:val="22"/>
          <w:szCs w:val="22"/>
        </w:rPr>
        <w:t>zvyšuje plazmatickú koncentráciu intravenózne podaného midazolamu približne o 25 % a predlžuje terminálny polčas asi o 43 %.</w:t>
      </w:r>
      <w:r w:rsidR="00705518" w:rsidRPr="009A517F">
        <w:rPr>
          <w:sz w:val="22"/>
          <w:szCs w:val="22"/>
        </w:rPr>
        <w:t xml:space="preserve"> Je to menej ako </w:t>
      </w:r>
      <w:r w:rsidR="00604CF4" w:rsidRPr="009A517F">
        <w:rPr>
          <w:sz w:val="22"/>
          <w:szCs w:val="22"/>
        </w:rPr>
        <w:t>4-násobný nárast v porovnaní s perorálne podávaným midazolamom.</w:t>
      </w:r>
    </w:p>
    <w:p w14:paraId="6D50D89F" w14:textId="77777777" w:rsidR="00BB0ED4" w:rsidRPr="009A517F" w:rsidRDefault="00BB0ED4" w:rsidP="00BB0ED4">
      <w:pPr>
        <w:outlineLvl w:val="0"/>
        <w:rPr>
          <w:sz w:val="22"/>
          <w:szCs w:val="22"/>
        </w:rPr>
      </w:pPr>
    </w:p>
    <w:p w14:paraId="519347EB" w14:textId="77777777" w:rsidR="00BB0ED4" w:rsidRPr="009A517F" w:rsidRDefault="00BB0ED4" w:rsidP="00BB0ED4">
      <w:pPr>
        <w:outlineLvl w:val="0"/>
        <w:rPr>
          <w:i/>
          <w:sz w:val="22"/>
          <w:szCs w:val="22"/>
        </w:rPr>
      </w:pPr>
      <w:r w:rsidRPr="009A517F">
        <w:rPr>
          <w:i/>
          <w:sz w:val="22"/>
          <w:szCs w:val="22"/>
        </w:rPr>
        <w:t>Ďalšie informácie o perorálne podávanom midazolame</w:t>
      </w:r>
    </w:p>
    <w:p w14:paraId="1A3ADB77" w14:textId="771558FC" w:rsidR="00BB0ED4" w:rsidRPr="009A517F" w:rsidRDefault="00BB0ED4" w:rsidP="00BB0ED4">
      <w:pPr>
        <w:numPr>
          <w:ilvl w:val="0"/>
          <w:numId w:val="22"/>
        </w:numPr>
        <w:tabs>
          <w:tab w:val="clear" w:pos="720"/>
        </w:tabs>
        <w:autoSpaceDE/>
        <w:autoSpaceDN/>
        <w:ind w:left="567" w:hanging="357"/>
        <w:rPr>
          <w:sz w:val="22"/>
          <w:szCs w:val="22"/>
        </w:rPr>
      </w:pPr>
      <w:r w:rsidRPr="009A517F">
        <w:rPr>
          <w:sz w:val="22"/>
          <w:szCs w:val="22"/>
        </w:rPr>
        <w:t>Verapamil zvyšuje plazmatické koncentrácie perorálne podávaného midazolamu trikrát, diltiazem štyrikrát. Terminálny polčas midazolamu sa predlžuje o 41 % pre verapamil.</w:t>
      </w:r>
    </w:p>
    <w:p w14:paraId="5F021695" w14:textId="77777777" w:rsidR="00BB0ED4" w:rsidRPr="009A517F" w:rsidRDefault="00BB0ED4" w:rsidP="00BB0ED4">
      <w:pPr>
        <w:pStyle w:val="Normlnywebov"/>
        <w:spacing w:before="0" w:beforeAutospacing="0" w:after="0" w:afterAutospacing="0"/>
        <w:rPr>
          <w:sz w:val="22"/>
          <w:szCs w:val="22"/>
          <w:lang w:val="sk-SK"/>
        </w:rPr>
      </w:pPr>
    </w:p>
    <w:p w14:paraId="6E292E5D" w14:textId="77777777" w:rsidR="00BB0ED4" w:rsidRPr="009A517F" w:rsidRDefault="00BB0ED4" w:rsidP="00BB0ED4">
      <w:pPr>
        <w:outlineLvl w:val="0"/>
        <w:rPr>
          <w:i/>
          <w:sz w:val="22"/>
          <w:szCs w:val="22"/>
        </w:rPr>
      </w:pPr>
      <w:r w:rsidRPr="009A517F">
        <w:rPr>
          <w:i/>
          <w:sz w:val="22"/>
          <w:szCs w:val="22"/>
        </w:rPr>
        <w:t>Iné lieky/rastlinné lieky</w:t>
      </w:r>
    </w:p>
    <w:p w14:paraId="3CE496A1" w14:textId="0903BB61" w:rsidR="00BB0ED4" w:rsidRPr="009A517F" w:rsidRDefault="00BB0ED4" w:rsidP="00BB0ED4">
      <w:pPr>
        <w:numPr>
          <w:ilvl w:val="0"/>
          <w:numId w:val="22"/>
        </w:numPr>
        <w:tabs>
          <w:tab w:val="clear" w:pos="720"/>
        </w:tabs>
        <w:autoSpaceDE/>
        <w:autoSpaceDN/>
        <w:ind w:left="567" w:hanging="357"/>
        <w:rPr>
          <w:sz w:val="22"/>
          <w:szCs w:val="22"/>
        </w:rPr>
      </w:pPr>
      <w:r w:rsidRPr="009A517F">
        <w:rPr>
          <w:sz w:val="22"/>
          <w:szCs w:val="22"/>
        </w:rPr>
        <w:t>Súbežné podávanie atorvastatínu zvyšuje plazmatické koncentrácie intravenózne podávaného midazolamu 1,4-násobne v porovnaní s kontrolnou skupinou.</w:t>
      </w:r>
    </w:p>
    <w:p w14:paraId="6F382737" w14:textId="7CB04C88" w:rsidR="00604CF4" w:rsidRPr="009A517F" w:rsidRDefault="00CF31E5" w:rsidP="00BB0ED4">
      <w:pPr>
        <w:numPr>
          <w:ilvl w:val="0"/>
          <w:numId w:val="22"/>
        </w:numPr>
        <w:tabs>
          <w:tab w:val="clear" w:pos="720"/>
        </w:tabs>
        <w:autoSpaceDE/>
        <w:autoSpaceDN/>
        <w:ind w:left="567" w:hanging="357"/>
        <w:rPr>
          <w:sz w:val="22"/>
          <w:szCs w:val="22"/>
        </w:rPr>
      </w:pPr>
      <w:r w:rsidRPr="009A517F">
        <w:rPr>
          <w:sz w:val="22"/>
          <w:szCs w:val="22"/>
        </w:rPr>
        <w:t>Intravenózny fentanyl je slabý inhibítor eliminácie midazolamu: 1,5-</w:t>
      </w:r>
      <w:r w:rsidR="00957368" w:rsidRPr="009A517F">
        <w:rPr>
          <w:sz w:val="22"/>
          <w:szCs w:val="22"/>
        </w:rPr>
        <w:t>násobne sa zvýšila</w:t>
      </w:r>
      <w:r w:rsidRPr="009A517F">
        <w:rPr>
          <w:sz w:val="22"/>
          <w:szCs w:val="22"/>
        </w:rPr>
        <w:t xml:space="preserve"> </w:t>
      </w:r>
      <w:r w:rsidR="00957368" w:rsidRPr="009A517F">
        <w:rPr>
          <w:sz w:val="22"/>
          <w:szCs w:val="22"/>
        </w:rPr>
        <w:t>AUC a polčas intravenózneho midazolamu.</w:t>
      </w:r>
    </w:p>
    <w:p w14:paraId="2873673F" w14:textId="77777777" w:rsidR="00BB0ED4" w:rsidRPr="009A517F" w:rsidRDefault="00BB0ED4" w:rsidP="00BB0ED4">
      <w:pPr>
        <w:outlineLvl w:val="0"/>
        <w:rPr>
          <w:sz w:val="22"/>
          <w:szCs w:val="22"/>
        </w:rPr>
      </w:pPr>
    </w:p>
    <w:p w14:paraId="6E4C9DAC" w14:textId="77777777" w:rsidR="00BB0ED4" w:rsidRPr="009A517F" w:rsidRDefault="00BB0ED4" w:rsidP="00BB0ED4">
      <w:pPr>
        <w:outlineLvl w:val="0"/>
        <w:rPr>
          <w:i/>
          <w:sz w:val="22"/>
          <w:szCs w:val="22"/>
        </w:rPr>
      </w:pPr>
      <w:r w:rsidRPr="009A517F">
        <w:rPr>
          <w:i/>
          <w:sz w:val="22"/>
          <w:szCs w:val="22"/>
        </w:rPr>
        <w:t>Ďalšie informácie o perorálne podávanom midazolame</w:t>
      </w:r>
    </w:p>
    <w:p w14:paraId="0C49BBC2" w14:textId="77777777" w:rsidR="00BB0ED4" w:rsidRPr="009A517F" w:rsidRDefault="00BB0ED4" w:rsidP="00BB0ED4">
      <w:pPr>
        <w:numPr>
          <w:ilvl w:val="0"/>
          <w:numId w:val="22"/>
        </w:numPr>
        <w:tabs>
          <w:tab w:val="clear" w:pos="720"/>
        </w:tabs>
        <w:autoSpaceDE/>
        <w:autoSpaceDN/>
        <w:ind w:left="567" w:hanging="357"/>
        <w:rPr>
          <w:sz w:val="22"/>
          <w:szCs w:val="22"/>
        </w:rPr>
      </w:pPr>
      <w:r w:rsidRPr="009A517F">
        <w:rPr>
          <w:sz w:val="22"/>
          <w:szCs w:val="22"/>
        </w:rPr>
        <w:t>Nefazodón zvyšuje plazmatické koncentrácie perorálne podaného midazolamu 4,6-krát a predlžuje terminálny polčas 1,6-krát.</w:t>
      </w:r>
    </w:p>
    <w:p w14:paraId="03B4C717" w14:textId="1BCEB051" w:rsidR="00BB0ED4" w:rsidRPr="009A517F" w:rsidRDefault="00BB0ED4" w:rsidP="00BB0ED4">
      <w:pPr>
        <w:numPr>
          <w:ilvl w:val="0"/>
          <w:numId w:val="22"/>
        </w:numPr>
        <w:tabs>
          <w:tab w:val="clear" w:pos="720"/>
        </w:tabs>
        <w:autoSpaceDE/>
        <w:autoSpaceDN/>
        <w:ind w:left="567" w:hanging="357"/>
        <w:outlineLvl w:val="0"/>
        <w:rPr>
          <w:sz w:val="22"/>
          <w:szCs w:val="22"/>
        </w:rPr>
      </w:pPr>
      <w:r w:rsidRPr="009A517F">
        <w:rPr>
          <w:sz w:val="22"/>
          <w:szCs w:val="22"/>
        </w:rPr>
        <w:t xml:space="preserve">Aprepitant zvyšuje plazmatickú koncentráciu </w:t>
      </w:r>
      <w:r w:rsidR="00344D52" w:rsidRPr="009A517F">
        <w:rPr>
          <w:sz w:val="22"/>
          <w:szCs w:val="22"/>
        </w:rPr>
        <w:t xml:space="preserve">perorálne podaného </w:t>
      </w:r>
      <w:r w:rsidRPr="009A517F">
        <w:rPr>
          <w:sz w:val="22"/>
          <w:szCs w:val="22"/>
        </w:rPr>
        <w:t>midazolamu v závislosti od dávky (3,3-krát pri dennej dávke 80 mg) a predlžuje terminálny polčas dvojnásobne.</w:t>
      </w:r>
    </w:p>
    <w:p w14:paraId="49466704" w14:textId="77777777" w:rsidR="00BB0ED4" w:rsidRPr="009A517F" w:rsidRDefault="00BB0ED4" w:rsidP="00BB0ED4">
      <w:pPr>
        <w:pStyle w:val="Normlnywebov"/>
        <w:spacing w:before="0" w:beforeAutospacing="0" w:after="0" w:afterAutospacing="0"/>
        <w:rPr>
          <w:sz w:val="22"/>
          <w:szCs w:val="22"/>
          <w:lang w:val="sk-SK"/>
        </w:rPr>
      </w:pPr>
    </w:p>
    <w:p w14:paraId="2CEADDFE" w14:textId="6475AC72" w:rsidR="00BB0ED4" w:rsidRDefault="00BB0ED4" w:rsidP="00BB0ED4">
      <w:pPr>
        <w:outlineLvl w:val="0"/>
        <w:rPr>
          <w:i/>
          <w:sz w:val="22"/>
          <w:szCs w:val="22"/>
        </w:rPr>
      </w:pPr>
      <w:r w:rsidRPr="009A517F">
        <w:rPr>
          <w:i/>
          <w:sz w:val="22"/>
          <w:szCs w:val="22"/>
        </w:rPr>
        <w:t>Lieky indukujúce CYP3A</w:t>
      </w:r>
    </w:p>
    <w:p w14:paraId="4953356F" w14:textId="799301E1" w:rsidR="00BB0ED4" w:rsidRPr="009A517F" w:rsidRDefault="00BB0ED4" w:rsidP="00BB0ED4">
      <w:pPr>
        <w:numPr>
          <w:ilvl w:val="0"/>
          <w:numId w:val="23"/>
        </w:numPr>
        <w:tabs>
          <w:tab w:val="clear" w:pos="720"/>
        </w:tabs>
        <w:autoSpaceDE/>
        <w:autoSpaceDN/>
        <w:ind w:left="567" w:hanging="357"/>
        <w:rPr>
          <w:sz w:val="22"/>
          <w:szCs w:val="22"/>
        </w:rPr>
      </w:pPr>
      <w:r w:rsidRPr="009A517F">
        <w:rPr>
          <w:sz w:val="22"/>
          <w:szCs w:val="22"/>
        </w:rPr>
        <w:t>Rifampicín znižuje plazmatické koncentrácie intravenózne podaného midazolamu o 60 % po 7 dňoch podávania rifampicínu v dávke 600 mg/deň. Terminálny polčas sa skracuje asi o 50 až 60 %.</w:t>
      </w:r>
    </w:p>
    <w:p w14:paraId="7BC7A329" w14:textId="5694E989" w:rsidR="00344D52" w:rsidRPr="009A517F" w:rsidRDefault="00344D52" w:rsidP="00BB0ED4">
      <w:pPr>
        <w:numPr>
          <w:ilvl w:val="0"/>
          <w:numId w:val="23"/>
        </w:numPr>
        <w:tabs>
          <w:tab w:val="clear" w:pos="720"/>
        </w:tabs>
        <w:autoSpaceDE/>
        <w:autoSpaceDN/>
        <w:ind w:left="567" w:hanging="357"/>
        <w:rPr>
          <w:sz w:val="22"/>
          <w:szCs w:val="22"/>
        </w:rPr>
      </w:pPr>
      <w:r w:rsidRPr="009A517F">
        <w:rPr>
          <w:sz w:val="22"/>
          <w:szCs w:val="22"/>
        </w:rPr>
        <w:t xml:space="preserve">Tikagrelor je slabý induktor CYP3A, ale má len malý účinok na expozíciu intravenózne podanému midazolamu (-12 %) a 4-hydroxy-midazolamu (-23 %). </w:t>
      </w:r>
    </w:p>
    <w:p w14:paraId="1835CD33" w14:textId="77777777" w:rsidR="00BB0ED4" w:rsidRPr="009A517F" w:rsidRDefault="00BB0ED4" w:rsidP="00BB0ED4">
      <w:pPr>
        <w:outlineLvl w:val="0"/>
        <w:rPr>
          <w:sz w:val="22"/>
          <w:szCs w:val="22"/>
        </w:rPr>
      </w:pPr>
    </w:p>
    <w:p w14:paraId="630DEA41" w14:textId="77777777" w:rsidR="00BB0ED4" w:rsidRPr="009A517F" w:rsidRDefault="00BB0ED4" w:rsidP="00BB0ED4">
      <w:pPr>
        <w:outlineLvl w:val="0"/>
        <w:rPr>
          <w:i/>
          <w:sz w:val="22"/>
          <w:szCs w:val="22"/>
        </w:rPr>
      </w:pPr>
      <w:r w:rsidRPr="009A517F">
        <w:rPr>
          <w:i/>
          <w:sz w:val="22"/>
          <w:szCs w:val="22"/>
        </w:rPr>
        <w:t>Ďalšie informácie o perorálne podávanom midazolame</w:t>
      </w:r>
    </w:p>
    <w:p w14:paraId="27E09974" w14:textId="77777777" w:rsidR="00BB0ED4" w:rsidRPr="009A517F" w:rsidRDefault="00BB0ED4" w:rsidP="00BB0ED4">
      <w:pPr>
        <w:numPr>
          <w:ilvl w:val="0"/>
          <w:numId w:val="23"/>
        </w:numPr>
        <w:tabs>
          <w:tab w:val="clear" w:pos="720"/>
        </w:tabs>
        <w:autoSpaceDE/>
        <w:autoSpaceDN/>
        <w:ind w:left="567" w:hanging="357"/>
        <w:rPr>
          <w:sz w:val="22"/>
          <w:szCs w:val="22"/>
        </w:rPr>
      </w:pPr>
      <w:r w:rsidRPr="009A517F">
        <w:rPr>
          <w:sz w:val="22"/>
          <w:szCs w:val="22"/>
        </w:rPr>
        <w:t xml:space="preserve">U zdravých jedincov znižoval rifampicín plazmatické koncentrácie perorálne podávaného midazolamu o 96 % a spôsobuje takmer úplné vymiznutie jeho psychomotorických účinkov. </w:t>
      </w:r>
    </w:p>
    <w:p w14:paraId="6E6BC8CF" w14:textId="54D0D604" w:rsidR="00BB0ED4" w:rsidRPr="009A517F" w:rsidRDefault="00BB0ED4" w:rsidP="00BB0ED4">
      <w:pPr>
        <w:numPr>
          <w:ilvl w:val="0"/>
          <w:numId w:val="23"/>
        </w:numPr>
        <w:tabs>
          <w:tab w:val="clear" w:pos="720"/>
        </w:tabs>
        <w:autoSpaceDE/>
        <w:autoSpaceDN/>
        <w:ind w:left="567" w:hanging="357"/>
        <w:rPr>
          <w:sz w:val="22"/>
          <w:szCs w:val="22"/>
        </w:rPr>
      </w:pPr>
      <w:r w:rsidRPr="009A517F">
        <w:rPr>
          <w:sz w:val="22"/>
          <w:szCs w:val="22"/>
        </w:rPr>
        <w:t>Karbamazepín / fenytoín: Opakované dávky karbamazepínu alebo fenytoínu vedú k zníženiu plazmatickej koncentrácie perorálne podávaného midazolamu až o 90 % a k skráteniu terminálnemu polčasu o 60 %.</w:t>
      </w:r>
    </w:p>
    <w:p w14:paraId="6FA76953" w14:textId="77777777" w:rsidR="00EF22E8" w:rsidRPr="009A517F" w:rsidRDefault="00EF22E8" w:rsidP="00BB0ED4">
      <w:pPr>
        <w:numPr>
          <w:ilvl w:val="0"/>
          <w:numId w:val="23"/>
        </w:numPr>
        <w:tabs>
          <w:tab w:val="clear" w:pos="720"/>
        </w:tabs>
        <w:autoSpaceDE/>
        <w:autoSpaceDN/>
        <w:ind w:left="567" w:hanging="357"/>
        <w:rPr>
          <w:sz w:val="22"/>
          <w:szCs w:val="22"/>
        </w:rPr>
      </w:pPr>
      <w:r w:rsidRPr="009A517F">
        <w:rPr>
          <w:sz w:val="22"/>
          <w:szCs w:val="22"/>
        </w:rPr>
        <w:t>Veľmi vysoká indukcia CYP3A4 pozorovaná po podaní mitotanu alebo enzalutamidu mala za následok významný a trvajúci pokles koncentrácií midazolamu u onkologických pacientov. AUC perorálne podaného midazolamu sa znížila na 5 % normálnej hodnoty u mitotanu a o 14 % normálnej hodnoty u enzalutamidu.</w:t>
      </w:r>
    </w:p>
    <w:p w14:paraId="5976BB8E" w14:textId="60528869" w:rsidR="00B926B5" w:rsidRPr="009A517F" w:rsidRDefault="00EF22E8" w:rsidP="00BB0ED4">
      <w:pPr>
        <w:numPr>
          <w:ilvl w:val="0"/>
          <w:numId w:val="23"/>
        </w:numPr>
        <w:tabs>
          <w:tab w:val="clear" w:pos="720"/>
        </w:tabs>
        <w:autoSpaceDE/>
        <w:autoSpaceDN/>
        <w:ind w:left="567" w:hanging="357"/>
        <w:rPr>
          <w:sz w:val="22"/>
          <w:szCs w:val="22"/>
        </w:rPr>
      </w:pPr>
      <w:r w:rsidRPr="009A517F">
        <w:rPr>
          <w:sz w:val="22"/>
          <w:szCs w:val="22"/>
        </w:rPr>
        <w:t>Klobazam a efavirenz sú slabé induktory metabolizmu midazolamu a znižujú AUC materskej zlúčeniny približne o 30 %. To vedie k 4-5-násobnému nárastu po</w:t>
      </w:r>
      <w:r w:rsidR="00B926B5" w:rsidRPr="009A517F">
        <w:rPr>
          <w:sz w:val="22"/>
          <w:szCs w:val="22"/>
        </w:rPr>
        <w:t>meru</w:t>
      </w:r>
      <w:r w:rsidRPr="009A517F">
        <w:rPr>
          <w:sz w:val="22"/>
          <w:szCs w:val="22"/>
        </w:rPr>
        <w:t xml:space="preserve"> aktívneho metabolitu (α</w:t>
      </w:r>
      <w:r w:rsidR="00B926B5" w:rsidRPr="009A517F">
        <w:rPr>
          <w:sz w:val="22"/>
          <w:szCs w:val="22"/>
        </w:rPr>
        <w:t xml:space="preserve">-hydroxymidazolam) </w:t>
      </w:r>
      <w:r w:rsidR="00713472" w:rsidRPr="009A517F">
        <w:rPr>
          <w:sz w:val="22"/>
          <w:szCs w:val="22"/>
        </w:rPr>
        <w:t>k</w:t>
      </w:r>
      <w:r w:rsidR="00B926B5" w:rsidRPr="009A517F">
        <w:rPr>
          <w:sz w:val="22"/>
          <w:szCs w:val="22"/>
        </w:rPr>
        <w:t xml:space="preserve"> materskej molekule, ale klinický význam tohto nárastu nie je známy.</w:t>
      </w:r>
    </w:p>
    <w:p w14:paraId="6AAF2AFF" w14:textId="30CB951C" w:rsidR="00EF22E8" w:rsidRPr="009A517F" w:rsidRDefault="00713472" w:rsidP="00BB0ED4">
      <w:pPr>
        <w:numPr>
          <w:ilvl w:val="0"/>
          <w:numId w:val="23"/>
        </w:numPr>
        <w:tabs>
          <w:tab w:val="clear" w:pos="720"/>
        </w:tabs>
        <w:autoSpaceDE/>
        <w:autoSpaceDN/>
        <w:ind w:left="567" w:hanging="357"/>
        <w:rPr>
          <w:sz w:val="22"/>
          <w:szCs w:val="22"/>
        </w:rPr>
      </w:pPr>
      <w:r w:rsidRPr="009A517F">
        <w:rPr>
          <w:sz w:val="22"/>
          <w:szCs w:val="22"/>
        </w:rPr>
        <w:t>Vemurafenib moduluje izoenzýmy CYP a mierne inhibuje CYP3A4: opakované podávanie viedlo v priemere k 3</w:t>
      </w:r>
      <w:r w:rsidR="00E3481B">
        <w:rPr>
          <w:sz w:val="22"/>
          <w:szCs w:val="22"/>
        </w:rPr>
        <w:t>2</w:t>
      </w:r>
      <w:r w:rsidRPr="009A517F">
        <w:rPr>
          <w:sz w:val="22"/>
          <w:szCs w:val="22"/>
        </w:rPr>
        <w:t> %-nému poklesu expozície perorálne podanému midazolamu (u niektorých jednotlivcov až do 80 %).</w:t>
      </w:r>
    </w:p>
    <w:p w14:paraId="000EDAF2" w14:textId="77777777" w:rsidR="00BB0ED4" w:rsidRPr="009A517F" w:rsidRDefault="00BB0ED4" w:rsidP="00BB0ED4">
      <w:pPr>
        <w:outlineLvl w:val="0"/>
        <w:rPr>
          <w:sz w:val="22"/>
          <w:szCs w:val="22"/>
        </w:rPr>
      </w:pPr>
    </w:p>
    <w:p w14:paraId="54F22245" w14:textId="77777777" w:rsidR="00BB0ED4" w:rsidRPr="009A517F" w:rsidRDefault="00BB0ED4" w:rsidP="00BB0ED4">
      <w:pPr>
        <w:outlineLvl w:val="0"/>
        <w:rPr>
          <w:i/>
          <w:sz w:val="22"/>
          <w:szCs w:val="22"/>
        </w:rPr>
      </w:pPr>
      <w:r w:rsidRPr="009A517F">
        <w:rPr>
          <w:i/>
          <w:sz w:val="22"/>
          <w:szCs w:val="22"/>
        </w:rPr>
        <w:t>Rastlinné lieky a jedlo</w:t>
      </w:r>
    </w:p>
    <w:p w14:paraId="68199F49" w14:textId="205E096A" w:rsidR="00BB0ED4" w:rsidRPr="009A517F" w:rsidRDefault="00BB0ED4" w:rsidP="00BB0ED4">
      <w:pPr>
        <w:numPr>
          <w:ilvl w:val="0"/>
          <w:numId w:val="24"/>
        </w:numPr>
        <w:tabs>
          <w:tab w:val="clear" w:pos="720"/>
        </w:tabs>
        <w:autoSpaceDE/>
        <w:autoSpaceDN/>
        <w:ind w:left="567" w:hanging="357"/>
        <w:rPr>
          <w:sz w:val="22"/>
          <w:szCs w:val="22"/>
        </w:rPr>
      </w:pPr>
      <w:r w:rsidRPr="009A517F">
        <w:rPr>
          <w:sz w:val="22"/>
          <w:szCs w:val="22"/>
        </w:rPr>
        <w:t xml:space="preserve">Ľubovník bodkovaný znižuje plazmatické koncentrácie midazolamu o približne </w:t>
      </w:r>
      <w:r w:rsidR="00713472" w:rsidRPr="009A517F">
        <w:rPr>
          <w:sz w:val="22"/>
          <w:szCs w:val="22"/>
        </w:rPr>
        <w:t>3</w:t>
      </w:r>
      <w:r w:rsidRPr="009A517F">
        <w:rPr>
          <w:sz w:val="22"/>
          <w:szCs w:val="22"/>
        </w:rPr>
        <w:t>0</w:t>
      </w:r>
      <w:r w:rsidR="00713472" w:rsidRPr="009A517F">
        <w:rPr>
          <w:sz w:val="22"/>
          <w:szCs w:val="22"/>
        </w:rPr>
        <w:t> – </w:t>
      </w:r>
      <w:r w:rsidRPr="009A517F">
        <w:rPr>
          <w:sz w:val="22"/>
          <w:szCs w:val="22"/>
        </w:rPr>
        <w:t>40</w:t>
      </w:r>
      <w:r w:rsidR="00713472" w:rsidRPr="009A517F">
        <w:rPr>
          <w:sz w:val="22"/>
          <w:szCs w:val="22"/>
        </w:rPr>
        <w:t> </w:t>
      </w:r>
      <w:r w:rsidRPr="009A517F">
        <w:rPr>
          <w:sz w:val="22"/>
          <w:szCs w:val="22"/>
        </w:rPr>
        <w:t>%, čo vedie k skráteniu terminálneho polčasu asi o</w:t>
      </w:r>
      <w:r w:rsidR="00713472" w:rsidRPr="009A517F">
        <w:rPr>
          <w:sz w:val="22"/>
          <w:szCs w:val="22"/>
        </w:rPr>
        <w:t> </w:t>
      </w:r>
      <w:r w:rsidRPr="009A517F">
        <w:rPr>
          <w:sz w:val="22"/>
          <w:szCs w:val="22"/>
        </w:rPr>
        <w:t>15</w:t>
      </w:r>
      <w:r w:rsidR="00713472" w:rsidRPr="009A517F">
        <w:rPr>
          <w:sz w:val="22"/>
          <w:szCs w:val="22"/>
        </w:rPr>
        <w:t> – </w:t>
      </w:r>
      <w:r w:rsidRPr="009A517F">
        <w:rPr>
          <w:sz w:val="22"/>
          <w:szCs w:val="22"/>
        </w:rPr>
        <w:t>17 %. Indukčný účinok na izoenzým CYP3A4 sa môže líšiť v závislosti od konkrétneho extraktu z ľubovníka bodkovaného.</w:t>
      </w:r>
    </w:p>
    <w:p w14:paraId="529BDE48" w14:textId="40AB4187" w:rsidR="00713472" w:rsidRPr="009A517F" w:rsidRDefault="00713472" w:rsidP="00713472">
      <w:pPr>
        <w:autoSpaceDE/>
        <w:autoSpaceDN/>
        <w:rPr>
          <w:sz w:val="22"/>
          <w:szCs w:val="22"/>
        </w:rPr>
      </w:pPr>
    </w:p>
    <w:p w14:paraId="11524030" w14:textId="77777777" w:rsidR="00713472" w:rsidRPr="009A517F" w:rsidRDefault="00713472" w:rsidP="00713472">
      <w:pPr>
        <w:outlineLvl w:val="0"/>
        <w:rPr>
          <w:i/>
          <w:sz w:val="22"/>
          <w:szCs w:val="22"/>
        </w:rPr>
      </w:pPr>
      <w:r w:rsidRPr="009A517F">
        <w:rPr>
          <w:i/>
          <w:sz w:val="22"/>
          <w:szCs w:val="22"/>
        </w:rPr>
        <w:t>Ďalšie informácie o perorálne podávanom midazolame</w:t>
      </w:r>
    </w:p>
    <w:p w14:paraId="04FDBBED" w14:textId="1B18883C" w:rsidR="00713472" w:rsidRPr="009A517F" w:rsidRDefault="00713472" w:rsidP="00D2293C">
      <w:pPr>
        <w:pStyle w:val="Odsekzoznamu"/>
        <w:numPr>
          <w:ilvl w:val="0"/>
          <w:numId w:val="26"/>
        </w:numPr>
        <w:autoSpaceDE/>
        <w:autoSpaceDN/>
        <w:ind w:left="567" w:hanging="283"/>
        <w:rPr>
          <w:sz w:val="22"/>
          <w:szCs w:val="22"/>
        </w:rPr>
      </w:pPr>
      <w:r w:rsidRPr="009A517F">
        <w:rPr>
          <w:sz w:val="22"/>
          <w:szCs w:val="22"/>
        </w:rPr>
        <w:t>Quercetin (prítomný aj v gingko biloba) a</w:t>
      </w:r>
      <w:r w:rsidR="00D2293C" w:rsidRPr="009A517F">
        <w:rPr>
          <w:sz w:val="22"/>
          <w:szCs w:val="22"/>
        </w:rPr>
        <w:t> ženšen pravý majú slabý účinok na indukciu enzýmov a vedú k 20 – 30 % zníženiu expozície midazolamu po perorálnom podaní.</w:t>
      </w:r>
    </w:p>
    <w:p w14:paraId="172F36DF" w14:textId="0657DD19" w:rsidR="00D2293C" w:rsidRPr="009A517F" w:rsidRDefault="00D2293C" w:rsidP="00D2293C">
      <w:pPr>
        <w:autoSpaceDE/>
        <w:autoSpaceDN/>
        <w:rPr>
          <w:sz w:val="22"/>
          <w:szCs w:val="22"/>
        </w:rPr>
      </w:pPr>
    </w:p>
    <w:p w14:paraId="73C9AAC5" w14:textId="0BA4C158" w:rsidR="00D2293C" w:rsidRPr="009A517F" w:rsidRDefault="00D2293C" w:rsidP="00D2293C">
      <w:pPr>
        <w:autoSpaceDE/>
        <w:autoSpaceDN/>
        <w:rPr>
          <w:sz w:val="22"/>
          <w:szCs w:val="22"/>
        </w:rPr>
      </w:pPr>
      <w:r w:rsidRPr="009A517F">
        <w:rPr>
          <w:sz w:val="22"/>
          <w:szCs w:val="22"/>
        </w:rPr>
        <w:t xml:space="preserve">Akútne vytlačenie z bielkovín </w:t>
      </w:r>
    </w:p>
    <w:p w14:paraId="56F9C6AB" w14:textId="04D86E5C" w:rsidR="00D2293C" w:rsidRPr="009A517F" w:rsidRDefault="00D2293C" w:rsidP="00D2293C">
      <w:pPr>
        <w:pStyle w:val="Odsekzoznamu"/>
        <w:numPr>
          <w:ilvl w:val="0"/>
          <w:numId w:val="27"/>
        </w:numPr>
        <w:autoSpaceDE/>
        <w:autoSpaceDN/>
        <w:rPr>
          <w:sz w:val="22"/>
          <w:szCs w:val="22"/>
        </w:rPr>
      </w:pPr>
      <w:r w:rsidRPr="009A517F">
        <w:rPr>
          <w:sz w:val="22"/>
          <w:szCs w:val="22"/>
        </w:rPr>
        <w:t>Kyselina valproová: Nedá sa vylúčiť nárast koncentrácie voľného midazolamu v dôsledku jeho vytlačenia z väzobných miest na plazmatických bielkovinách kyselinou valproovou, hoci klinický význam tejto interakcie nie je známy.</w:t>
      </w:r>
    </w:p>
    <w:p w14:paraId="40A4A917" w14:textId="75A6C726" w:rsidR="00713472" w:rsidRPr="009A517F" w:rsidRDefault="00713472" w:rsidP="00713472">
      <w:pPr>
        <w:autoSpaceDE/>
        <w:autoSpaceDN/>
        <w:rPr>
          <w:sz w:val="22"/>
          <w:szCs w:val="22"/>
        </w:rPr>
      </w:pPr>
    </w:p>
    <w:p w14:paraId="2F01BFFE" w14:textId="51AD274D" w:rsidR="00E222ED" w:rsidRPr="009A517F" w:rsidRDefault="00E222ED" w:rsidP="00E222ED">
      <w:pPr>
        <w:outlineLvl w:val="0"/>
        <w:rPr>
          <w:b/>
          <w:sz w:val="22"/>
          <w:szCs w:val="22"/>
          <w:u w:val="single"/>
        </w:rPr>
      </w:pPr>
      <w:r w:rsidRPr="009A517F">
        <w:rPr>
          <w:b/>
          <w:sz w:val="22"/>
          <w:szCs w:val="22"/>
          <w:u w:val="single"/>
        </w:rPr>
        <w:t>Farmakodynamické interakcie</w:t>
      </w:r>
    </w:p>
    <w:p w14:paraId="7AC99999" w14:textId="77777777" w:rsidR="00E222ED" w:rsidRPr="009A517F" w:rsidRDefault="00E222ED" w:rsidP="00E222ED">
      <w:pPr>
        <w:outlineLvl w:val="0"/>
        <w:rPr>
          <w:b/>
          <w:sz w:val="22"/>
          <w:szCs w:val="22"/>
          <w:u w:val="single"/>
        </w:rPr>
      </w:pPr>
    </w:p>
    <w:p w14:paraId="712F3FD9" w14:textId="77777777" w:rsidR="00E222ED" w:rsidRPr="009A517F" w:rsidRDefault="00E222ED" w:rsidP="00E222ED">
      <w:pPr>
        <w:rPr>
          <w:sz w:val="22"/>
          <w:szCs w:val="22"/>
        </w:rPr>
      </w:pPr>
      <w:r w:rsidRPr="009A517F">
        <w:rPr>
          <w:sz w:val="22"/>
          <w:szCs w:val="22"/>
        </w:rPr>
        <w:t xml:space="preserve">Súbežné podávanie midazolamu s inými sedatívami / hypnotikami a látkami tlmiacimi CNS (vrátane alkoholu) s veľkou pravdepodobnosťou vedie k prehĺbenej sedácii a respiračnej tiesni. </w:t>
      </w:r>
    </w:p>
    <w:p w14:paraId="3CB15A19" w14:textId="7A0945EA" w:rsidR="00E222ED" w:rsidRPr="009A517F" w:rsidRDefault="00E222ED" w:rsidP="00E222ED">
      <w:pPr>
        <w:outlineLvl w:val="0"/>
        <w:rPr>
          <w:sz w:val="22"/>
          <w:szCs w:val="22"/>
        </w:rPr>
      </w:pPr>
      <w:r w:rsidRPr="009A517F">
        <w:rPr>
          <w:sz w:val="22"/>
          <w:szCs w:val="22"/>
        </w:rPr>
        <w:t>Ako príklady takýchto látok je možné uviesť opiáty (používané ako analgetiká, antitusiká alebo substitučné lieky), antipsychotiká, iné benzodiazepíny používané ako anxiolytiká alebo hypnotiká, barbituráty, propofol, ketamín, etomidát, sedatívne antidepresíva, H1-antihistaminiká a centrálne pôsobiace antihypertenzíva.</w:t>
      </w:r>
    </w:p>
    <w:p w14:paraId="7ADA4B11" w14:textId="77777777" w:rsidR="00E222ED" w:rsidRPr="009A517F" w:rsidRDefault="00E222ED" w:rsidP="00E222ED">
      <w:pPr>
        <w:rPr>
          <w:sz w:val="22"/>
          <w:szCs w:val="22"/>
        </w:rPr>
      </w:pPr>
    </w:p>
    <w:p w14:paraId="237ED126" w14:textId="77777777" w:rsidR="00E222ED" w:rsidRPr="009A517F" w:rsidRDefault="00E222ED" w:rsidP="00E222ED">
      <w:pPr>
        <w:rPr>
          <w:sz w:val="22"/>
          <w:szCs w:val="22"/>
        </w:rPr>
      </w:pPr>
      <w:r w:rsidRPr="009A517F">
        <w:rPr>
          <w:sz w:val="22"/>
          <w:szCs w:val="22"/>
        </w:rPr>
        <w:t>Alkohol môže významne zosilniť sedatívny účinok midazolamu. Pri podávaní midazolamu je potrebné striktne sa vyhýbať požívaniu alkoholu (pozri časť 4.4).</w:t>
      </w:r>
    </w:p>
    <w:p w14:paraId="532A6FF4" w14:textId="77777777" w:rsidR="00E222ED" w:rsidRPr="009A517F" w:rsidRDefault="00E222ED" w:rsidP="00E222ED">
      <w:pPr>
        <w:outlineLvl w:val="0"/>
        <w:rPr>
          <w:sz w:val="22"/>
          <w:szCs w:val="22"/>
        </w:rPr>
      </w:pPr>
      <w:r w:rsidRPr="009A517F">
        <w:rPr>
          <w:sz w:val="22"/>
          <w:szCs w:val="22"/>
        </w:rPr>
        <w:t>Midazolam znižuje minimálnu alveolárnu koncentráciu inhalačných anestetík.</w:t>
      </w:r>
    </w:p>
    <w:p w14:paraId="1A32EED9" w14:textId="77777777" w:rsidR="00E222ED" w:rsidRPr="009A517F" w:rsidRDefault="00E222ED" w:rsidP="00713472">
      <w:pPr>
        <w:autoSpaceDE/>
        <w:autoSpaceDN/>
        <w:rPr>
          <w:sz w:val="22"/>
          <w:szCs w:val="22"/>
        </w:rPr>
      </w:pPr>
    </w:p>
    <w:p w14:paraId="4D1F584E" w14:textId="188FD0A2" w:rsidR="00BB0ED4" w:rsidRPr="009A517F" w:rsidRDefault="00E222ED" w:rsidP="00625CF2">
      <w:pPr>
        <w:pStyle w:val="Normlnywebov"/>
        <w:spacing w:before="0" w:beforeAutospacing="0" w:after="0" w:afterAutospacing="0"/>
        <w:rPr>
          <w:sz w:val="22"/>
          <w:szCs w:val="22"/>
          <w:lang w:val="sk-SK"/>
        </w:rPr>
      </w:pPr>
      <w:r w:rsidRPr="009A517F">
        <w:rPr>
          <w:sz w:val="22"/>
          <w:szCs w:val="22"/>
          <w:lang w:val="sk-SK"/>
        </w:rPr>
        <w:t>Opioidy:</w:t>
      </w:r>
    </w:p>
    <w:p w14:paraId="6043A287" w14:textId="30D17B56" w:rsidR="00E222ED" w:rsidRPr="009A517F" w:rsidRDefault="00E222ED" w:rsidP="00625CF2">
      <w:pPr>
        <w:pStyle w:val="Normlnywebov"/>
        <w:spacing w:before="0" w:beforeAutospacing="0" w:after="0" w:afterAutospacing="0"/>
        <w:rPr>
          <w:sz w:val="22"/>
          <w:szCs w:val="22"/>
          <w:lang w:val="sk-SK"/>
        </w:rPr>
      </w:pPr>
      <w:r w:rsidRPr="009A517F">
        <w:rPr>
          <w:sz w:val="22"/>
          <w:szCs w:val="22"/>
          <w:lang w:val="sk-SK"/>
        </w:rPr>
        <w:t xml:space="preserve">Súbežné podávanie sedatív, ako sú benzodiazepíny alebo podobné lieky ako midazolam, s opioidmi zvyšuje riziko sedácie, respiračnej tiesne, kómy a smrti v dôsledku </w:t>
      </w:r>
      <w:r w:rsidR="00981B5D">
        <w:rPr>
          <w:sz w:val="22"/>
          <w:szCs w:val="22"/>
          <w:lang w:val="sk-SK"/>
        </w:rPr>
        <w:t>aditívneho</w:t>
      </w:r>
      <w:r w:rsidR="00981B5D" w:rsidRPr="009A517F">
        <w:rPr>
          <w:sz w:val="22"/>
          <w:szCs w:val="22"/>
          <w:lang w:val="sk-SK"/>
        </w:rPr>
        <w:t xml:space="preserve"> </w:t>
      </w:r>
      <w:r w:rsidRPr="009A517F">
        <w:rPr>
          <w:sz w:val="22"/>
          <w:szCs w:val="22"/>
          <w:lang w:val="sk-SK"/>
        </w:rPr>
        <w:t>tlmiaceho účinku na CNS. Dávkovanie a trvanie súbežnej liečby má byť obmedzené (pozri časť 4.4).</w:t>
      </w:r>
    </w:p>
    <w:p w14:paraId="4AA5700F" w14:textId="77777777" w:rsidR="00E222ED" w:rsidRPr="009A517F" w:rsidRDefault="00E222ED" w:rsidP="00625CF2">
      <w:pPr>
        <w:pStyle w:val="Normlnywebov"/>
        <w:spacing w:before="0" w:beforeAutospacing="0" w:after="0" w:afterAutospacing="0"/>
        <w:rPr>
          <w:sz w:val="22"/>
          <w:szCs w:val="22"/>
          <w:lang w:val="sk-SK"/>
        </w:rPr>
      </w:pPr>
    </w:p>
    <w:p w14:paraId="76038BBA" w14:textId="77777777" w:rsidR="00625CF2" w:rsidRPr="009A517F" w:rsidRDefault="00625CF2" w:rsidP="00625CF2">
      <w:pPr>
        <w:ind w:left="567" w:hanging="567"/>
        <w:rPr>
          <w:sz w:val="22"/>
          <w:szCs w:val="22"/>
        </w:rPr>
      </w:pPr>
      <w:r w:rsidRPr="009A517F">
        <w:rPr>
          <w:b/>
          <w:sz w:val="22"/>
          <w:szCs w:val="22"/>
        </w:rPr>
        <w:t>4.6</w:t>
      </w:r>
      <w:r w:rsidRPr="009A517F">
        <w:rPr>
          <w:b/>
          <w:sz w:val="22"/>
          <w:szCs w:val="22"/>
        </w:rPr>
        <w:tab/>
        <w:t>Fertilita, gravidita a laktácia</w:t>
      </w:r>
    </w:p>
    <w:p w14:paraId="0114496C" w14:textId="77777777" w:rsidR="00625CF2" w:rsidRPr="009A517F" w:rsidRDefault="00625CF2" w:rsidP="00625CF2">
      <w:pPr>
        <w:rPr>
          <w:b/>
          <w:i/>
          <w:sz w:val="22"/>
          <w:szCs w:val="22"/>
        </w:rPr>
      </w:pPr>
    </w:p>
    <w:p w14:paraId="32BF08BE" w14:textId="52D73415" w:rsidR="00E222ED" w:rsidRPr="009A517F" w:rsidRDefault="00E222ED" w:rsidP="00E222ED">
      <w:pPr>
        <w:rPr>
          <w:b/>
          <w:sz w:val="22"/>
          <w:szCs w:val="22"/>
          <w:lang w:eastAsia="pl-PL"/>
        </w:rPr>
      </w:pPr>
      <w:r w:rsidRPr="009A517F">
        <w:rPr>
          <w:b/>
          <w:sz w:val="22"/>
          <w:szCs w:val="22"/>
          <w:lang w:eastAsia="pl-PL"/>
        </w:rPr>
        <w:t>Gravidita</w:t>
      </w:r>
    </w:p>
    <w:p w14:paraId="24F5E412" w14:textId="77777777" w:rsidR="00E222ED" w:rsidRPr="009A517F" w:rsidRDefault="00E222ED" w:rsidP="00E222ED">
      <w:pPr>
        <w:rPr>
          <w:b/>
          <w:sz w:val="22"/>
          <w:szCs w:val="22"/>
          <w:lang w:eastAsia="pl-PL"/>
        </w:rPr>
      </w:pPr>
    </w:p>
    <w:p w14:paraId="65BF2522" w14:textId="77777777" w:rsidR="00E222ED" w:rsidRPr="009A517F" w:rsidRDefault="00E222ED" w:rsidP="00E222ED">
      <w:pPr>
        <w:rPr>
          <w:sz w:val="22"/>
          <w:szCs w:val="22"/>
          <w:lang w:eastAsia="pl-PL"/>
        </w:rPr>
      </w:pPr>
      <w:r w:rsidRPr="009A517F">
        <w:rPr>
          <w:sz w:val="22"/>
          <w:szCs w:val="22"/>
          <w:lang w:eastAsia="pl-PL"/>
        </w:rPr>
        <w:t xml:space="preserve">Nie sú k dispozícii dostatočné údaje, na základe ktorých by bolo možné stanoviť bezpečnosť midazolamu počas gravidity. </w:t>
      </w:r>
    </w:p>
    <w:p w14:paraId="71006775" w14:textId="77777777" w:rsidR="00E222ED" w:rsidRPr="009A517F" w:rsidRDefault="00E222ED" w:rsidP="00E222ED">
      <w:pPr>
        <w:rPr>
          <w:sz w:val="22"/>
          <w:szCs w:val="22"/>
          <w:lang w:eastAsia="pl-PL"/>
        </w:rPr>
      </w:pPr>
      <w:r w:rsidRPr="009A517F">
        <w:rPr>
          <w:sz w:val="22"/>
          <w:szCs w:val="22"/>
          <w:lang w:eastAsia="pl-PL"/>
        </w:rPr>
        <w:t>Štúdie na zvieratách nepreukázali teratogénny účinok, ale pri podaní iných benzodiazepínov bola pozorovaná fetotoxicita. Nie sú dostupné žiadne údaje o použití lieku počas prvých dvoch trimestrov gravidity.</w:t>
      </w:r>
    </w:p>
    <w:p w14:paraId="378DF91A" w14:textId="77777777" w:rsidR="00E222ED" w:rsidRPr="009A517F" w:rsidRDefault="00E222ED" w:rsidP="00E222ED">
      <w:pPr>
        <w:rPr>
          <w:sz w:val="22"/>
          <w:szCs w:val="22"/>
          <w:lang w:eastAsia="pl-PL"/>
        </w:rPr>
      </w:pPr>
      <w:r w:rsidRPr="009A517F">
        <w:rPr>
          <w:sz w:val="22"/>
          <w:szCs w:val="22"/>
          <w:lang w:eastAsia="pl-PL"/>
        </w:rPr>
        <w:t>Bolo hlásené, že podávanie vysokých dávok midazolamu v poslednom trimestri gravidity, počas pôrodu alebo na indukciu anestézie pri cisárskom reze spôsobuje nežiaduce účinky u matky alebo plodu (riziko inhalácie u matky, nepravidelnosti srdcového rytmu u plodu, hypotónia, slabá sacia schopnosť, hypotermia a respiračná tieseň u novorodenca).</w:t>
      </w:r>
    </w:p>
    <w:p w14:paraId="5C9A2F30" w14:textId="77777777" w:rsidR="00E222ED" w:rsidRPr="009A517F" w:rsidRDefault="00E222ED" w:rsidP="00E222ED">
      <w:pPr>
        <w:rPr>
          <w:sz w:val="22"/>
          <w:szCs w:val="22"/>
          <w:lang w:eastAsia="pl-PL"/>
        </w:rPr>
      </w:pPr>
      <w:r w:rsidRPr="009A517F">
        <w:rPr>
          <w:sz w:val="22"/>
          <w:szCs w:val="22"/>
          <w:lang w:eastAsia="pl-PL"/>
        </w:rPr>
        <w:t>Okrem toho sa u detí, ktoré sa narodili matkám dlhodobo užívajúcim benzodiazepíny počas posledného štádia gravidity, môže vyvinúť fyzická závislosť a po narodení môže hroziť určité riziko abstinenčných symptómov.</w:t>
      </w:r>
    </w:p>
    <w:p w14:paraId="22112EFD" w14:textId="77777777" w:rsidR="00E222ED" w:rsidRPr="009A517F" w:rsidRDefault="00E222ED" w:rsidP="00E222ED">
      <w:pPr>
        <w:rPr>
          <w:sz w:val="22"/>
          <w:szCs w:val="22"/>
          <w:lang w:eastAsia="pl-PL"/>
        </w:rPr>
      </w:pPr>
      <w:r w:rsidRPr="009A517F">
        <w:rPr>
          <w:sz w:val="22"/>
          <w:szCs w:val="22"/>
          <w:lang w:eastAsia="pl-PL"/>
        </w:rPr>
        <w:t>Preto sa midazolam má užívať počas gravidity iba v nevyhnutných prípadoch. Je lepšie vyhnúť sa použitiu pri cisárskom reze.</w:t>
      </w:r>
    </w:p>
    <w:p w14:paraId="08445EA1" w14:textId="77777777" w:rsidR="00E222ED" w:rsidRPr="009A517F" w:rsidRDefault="00E222ED" w:rsidP="00E222ED">
      <w:pPr>
        <w:rPr>
          <w:sz w:val="22"/>
          <w:szCs w:val="22"/>
          <w:lang w:eastAsia="pl-PL"/>
        </w:rPr>
      </w:pPr>
      <w:r w:rsidRPr="009A517F">
        <w:rPr>
          <w:sz w:val="22"/>
          <w:szCs w:val="22"/>
          <w:lang w:eastAsia="pl-PL"/>
        </w:rPr>
        <w:t>Pri podávaní midazolamu pri akejkoľvek operácii tesne pred termínom pôrodu sa má brať do úvahy riziko pre novorodencov.</w:t>
      </w:r>
    </w:p>
    <w:p w14:paraId="41EEFB3D" w14:textId="77777777" w:rsidR="00E222ED" w:rsidRPr="009A517F" w:rsidRDefault="00E222ED" w:rsidP="00E222ED">
      <w:pPr>
        <w:rPr>
          <w:sz w:val="22"/>
          <w:szCs w:val="22"/>
          <w:lang w:eastAsia="pl-PL"/>
        </w:rPr>
      </w:pPr>
    </w:p>
    <w:p w14:paraId="08292835" w14:textId="083B433C" w:rsidR="00E222ED" w:rsidRPr="009A517F" w:rsidRDefault="00E222ED" w:rsidP="00E222ED">
      <w:pPr>
        <w:rPr>
          <w:b/>
          <w:sz w:val="22"/>
          <w:szCs w:val="22"/>
          <w:lang w:eastAsia="pl-PL"/>
        </w:rPr>
      </w:pPr>
      <w:r w:rsidRPr="009A517F">
        <w:rPr>
          <w:b/>
          <w:sz w:val="22"/>
          <w:szCs w:val="22"/>
          <w:lang w:eastAsia="pl-PL"/>
        </w:rPr>
        <w:t>Dojčenie</w:t>
      </w:r>
    </w:p>
    <w:p w14:paraId="648F0D37" w14:textId="77777777" w:rsidR="00E222ED" w:rsidRPr="009A517F" w:rsidRDefault="00E222ED" w:rsidP="00E222ED">
      <w:pPr>
        <w:rPr>
          <w:b/>
          <w:sz w:val="22"/>
          <w:szCs w:val="22"/>
          <w:lang w:eastAsia="pl-PL"/>
        </w:rPr>
      </w:pPr>
    </w:p>
    <w:p w14:paraId="2DF832F3" w14:textId="77777777" w:rsidR="00E222ED" w:rsidRPr="009A517F" w:rsidRDefault="00E222ED" w:rsidP="00E222ED">
      <w:pPr>
        <w:rPr>
          <w:sz w:val="22"/>
          <w:szCs w:val="22"/>
          <w:lang w:eastAsia="pl-PL"/>
        </w:rPr>
      </w:pPr>
      <w:r w:rsidRPr="009A517F">
        <w:rPr>
          <w:sz w:val="22"/>
          <w:szCs w:val="22"/>
          <w:lang w:eastAsia="pl-PL"/>
        </w:rPr>
        <w:t>Midazolam v malom množstve prechádza do materského mlieka. Dojčiace matky majú byť informované, aby prerušili dojčenie na 24 hodín po podaní midazolamu.</w:t>
      </w:r>
    </w:p>
    <w:p w14:paraId="326232FE" w14:textId="77777777" w:rsidR="00625CF2" w:rsidRPr="009A517F" w:rsidRDefault="00625CF2" w:rsidP="00625CF2">
      <w:pPr>
        <w:rPr>
          <w:sz w:val="22"/>
          <w:szCs w:val="22"/>
        </w:rPr>
      </w:pPr>
    </w:p>
    <w:p w14:paraId="7C4B020D" w14:textId="77777777" w:rsidR="00625CF2" w:rsidRPr="009A517F" w:rsidRDefault="00625CF2" w:rsidP="00625CF2">
      <w:pPr>
        <w:ind w:left="567" w:hanging="567"/>
        <w:rPr>
          <w:sz w:val="22"/>
          <w:szCs w:val="22"/>
        </w:rPr>
      </w:pPr>
      <w:r w:rsidRPr="009A517F">
        <w:rPr>
          <w:b/>
          <w:sz w:val="22"/>
          <w:szCs w:val="22"/>
        </w:rPr>
        <w:t>4.7</w:t>
      </w:r>
      <w:r w:rsidRPr="009A517F">
        <w:rPr>
          <w:b/>
          <w:sz w:val="22"/>
          <w:szCs w:val="22"/>
        </w:rPr>
        <w:tab/>
        <w:t>Ovplyvnenie schopnosti viesť vozidlá a obsluhovať stroje</w:t>
      </w:r>
    </w:p>
    <w:p w14:paraId="649AAD5F" w14:textId="65EA58FA" w:rsidR="00625CF2" w:rsidRPr="009A517F" w:rsidRDefault="00625CF2" w:rsidP="00625CF2">
      <w:pPr>
        <w:pStyle w:val="Normlnywebov"/>
        <w:spacing w:before="0" w:beforeAutospacing="0" w:after="0" w:afterAutospacing="0"/>
        <w:rPr>
          <w:color w:val="000000"/>
          <w:sz w:val="22"/>
          <w:szCs w:val="22"/>
          <w:lang w:val="sk-SK"/>
        </w:rPr>
      </w:pPr>
    </w:p>
    <w:p w14:paraId="5C695A39" w14:textId="6F7553E0" w:rsidR="007639C2" w:rsidRPr="009A517F" w:rsidRDefault="007639C2" w:rsidP="007639C2">
      <w:pPr>
        <w:rPr>
          <w:sz w:val="22"/>
          <w:szCs w:val="22"/>
          <w:lang w:eastAsia="pl-PL"/>
        </w:rPr>
      </w:pPr>
      <w:r w:rsidRPr="009A517F">
        <w:rPr>
          <w:sz w:val="22"/>
          <w:szCs w:val="22"/>
          <w:lang w:eastAsia="pl-PL"/>
        </w:rPr>
        <w:t>Schopnosť viesť vozidlá alebo obsluhovať stroje môže byť nežiaduco ovplyvnená sedatívnym účinkom, amnéziou, narušenou pozornosťou a narušenou svalovou funkciou. Pred užitím midazolamu je nutné upozorniť pacienta, aby neriadil motorové vozidlá alebo neobsluhoval stroje, až kým sa celkom nezotaví. O možnosti opätovného vykonávania týchto činností má rozhodnúť lekár. Odporúča sa, aby</w:t>
      </w:r>
      <w:r w:rsidR="00981B5D">
        <w:rPr>
          <w:sz w:val="22"/>
          <w:szCs w:val="22"/>
          <w:lang w:eastAsia="pl-PL"/>
        </w:rPr>
        <w:t xml:space="preserve"> bol</w:t>
      </w:r>
      <w:r w:rsidRPr="009A517F">
        <w:rPr>
          <w:sz w:val="22"/>
          <w:szCs w:val="22"/>
          <w:lang w:eastAsia="pl-PL"/>
        </w:rPr>
        <w:t xml:space="preserve"> pacient pri návrate domov po prepustení sprevádzaný ďalšou osobou.</w:t>
      </w:r>
    </w:p>
    <w:p w14:paraId="28BC5999" w14:textId="11711BA0" w:rsidR="007639C2" w:rsidRPr="009A517F" w:rsidRDefault="007639C2" w:rsidP="007639C2">
      <w:pPr>
        <w:rPr>
          <w:sz w:val="22"/>
          <w:szCs w:val="22"/>
          <w:lang w:eastAsia="pl-PL"/>
        </w:rPr>
      </w:pPr>
      <w:r w:rsidRPr="009A517F">
        <w:rPr>
          <w:sz w:val="22"/>
          <w:szCs w:val="22"/>
          <w:lang w:eastAsia="pl-PL"/>
        </w:rPr>
        <w:t>V prípade nedostatku spánku alebo pri konzumácii alkoholu môže byť pravdepodobnosť narušenej pozornosti vyššia.</w:t>
      </w:r>
    </w:p>
    <w:p w14:paraId="406DA72C" w14:textId="77777777" w:rsidR="00625CF2" w:rsidRPr="009A517F" w:rsidRDefault="00625CF2" w:rsidP="00625CF2">
      <w:pPr>
        <w:rPr>
          <w:sz w:val="22"/>
          <w:szCs w:val="22"/>
        </w:rPr>
      </w:pPr>
    </w:p>
    <w:p w14:paraId="49B30F56" w14:textId="77777777" w:rsidR="00625CF2" w:rsidRPr="009A517F" w:rsidRDefault="00625CF2" w:rsidP="00625CF2">
      <w:pPr>
        <w:rPr>
          <w:b/>
          <w:sz w:val="22"/>
          <w:szCs w:val="22"/>
        </w:rPr>
      </w:pPr>
      <w:r w:rsidRPr="009A517F">
        <w:rPr>
          <w:b/>
          <w:sz w:val="22"/>
          <w:szCs w:val="22"/>
        </w:rPr>
        <w:t xml:space="preserve">4.8 </w:t>
      </w:r>
      <w:r w:rsidRPr="009A517F">
        <w:rPr>
          <w:b/>
          <w:sz w:val="22"/>
          <w:szCs w:val="22"/>
        </w:rPr>
        <w:tab/>
        <w:t>Nežiaduce účinky</w:t>
      </w:r>
    </w:p>
    <w:p w14:paraId="65593FDA" w14:textId="625B1F38" w:rsidR="00625CF2" w:rsidRPr="009A517F" w:rsidRDefault="00625CF2" w:rsidP="00625CF2">
      <w:pPr>
        <w:pStyle w:val="Normlnywebov"/>
        <w:spacing w:before="0" w:beforeAutospacing="0" w:after="0" w:afterAutospacing="0"/>
        <w:rPr>
          <w:b/>
          <w:sz w:val="22"/>
          <w:szCs w:val="22"/>
          <w:lang w:val="sk-SK"/>
        </w:rPr>
      </w:pPr>
    </w:p>
    <w:p w14:paraId="515BCABB" w14:textId="497D3D6D" w:rsidR="009A517F" w:rsidRDefault="009A517F" w:rsidP="009A517F">
      <w:pPr>
        <w:rPr>
          <w:sz w:val="22"/>
          <w:szCs w:val="22"/>
        </w:rPr>
      </w:pPr>
      <w:r w:rsidRPr="009A517F">
        <w:rPr>
          <w:iCs/>
          <w:sz w:val="22"/>
          <w:szCs w:val="22"/>
        </w:rPr>
        <w:t>Pri injekčnom podaní midazolamu sa hlásili nasledujúce nežiaduce účinky:</w:t>
      </w:r>
    </w:p>
    <w:p w14:paraId="305CE018" w14:textId="77777777" w:rsidR="009A517F" w:rsidRDefault="009A517F" w:rsidP="009A517F">
      <w:pPr>
        <w:rPr>
          <w:sz w:val="22"/>
          <w:szCs w:val="22"/>
        </w:rPr>
      </w:pPr>
    </w:p>
    <w:p w14:paraId="399E978C" w14:textId="5FEA08B5" w:rsidR="009A517F" w:rsidRPr="009A517F" w:rsidRDefault="009A517F" w:rsidP="009A517F">
      <w:pPr>
        <w:rPr>
          <w:sz w:val="22"/>
          <w:szCs w:val="22"/>
        </w:rPr>
      </w:pPr>
      <w:r w:rsidRPr="009A517F">
        <w:rPr>
          <w:sz w:val="22"/>
          <w:szCs w:val="22"/>
        </w:rPr>
        <w:t>Kategórie frekvencií sú nasledovné:</w:t>
      </w:r>
    </w:p>
    <w:p w14:paraId="1428B5EC" w14:textId="760DD879" w:rsidR="009A517F" w:rsidRPr="009A517F" w:rsidRDefault="009A517F" w:rsidP="009A517F">
      <w:pPr>
        <w:rPr>
          <w:sz w:val="22"/>
          <w:szCs w:val="22"/>
        </w:rPr>
      </w:pPr>
      <w:r w:rsidRPr="009A517F">
        <w:rPr>
          <w:sz w:val="22"/>
          <w:szCs w:val="22"/>
        </w:rPr>
        <w:t xml:space="preserve">veľmi časté: </w:t>
      </w:r>
      <w:r w:rsidRPr="009A517F">
        <w:rPr>
          <w:sz w:val="22"/>
          <w:szCs w:val="22"/>
        </w:rPr>
        <w:sym w:font="Symbol" w:char="F0B3"/>
      </w:r>
      <w:r>
        <w:rPr>
          <w:sz w:val="22"/>
          <w:szCs w:val="22"/>
        </w:rPr>
        <w:t> </w:t>
      </w:r>
      <w:r w:rsidRPr="009A517F">
        <w:rPr>
          <w:sz w:val="22"/>
          <w:szCs w:val="22"/>
        </w:rPr>
        <w:t>1/10;</w:t>
      </w:r>
    </w:p>
    <w:p w14:paraId="78D7CCF6" w14:textId="268E1F97" w:rsidR="009A517F" w:rsidRPr="009A517F" w:rsidRDefault="009A517F" w:rsidP="009A517F">
      <w:pPr>
        <w:rPr>
          <w:sz w:val="22"/>
          <w:szCs w:val="22"/>
        </w:rPr>
      </w:pPr>
      <w:r w:rsidRPr="009A517F">
        <w:rPr>
          <w:sz w:val="22"/>
          <w:szCs w:val="22"/>
        </w:rPr>
        <w:t xml:space="preserve">časté: </w:t>
      </w:r>
      <w:r w:rsidRPr="009A517F">
        <w:rPr>
          <w:sz w:val="22"/>
          <w:szCs w:val="22"/>
        </w:rPr>
        <w:sym w:font="Symbol" w:char="F0B3"/>
      </w:r>
      <w:r>
        <w:rPr>
          <w:sz w:val="22"/>
          <w:szCs w:val="22"/>
        </w:rPr>
        <w:t> </w:t>
      </w:r>
      <w:r w:rsidRPr="009A517F">
        <w:rPr>
          <w:sz w:val="22"/>
          <w:szCs w:val="22"/>
        </w:rPr>
        <w:t>1/100 až &lt;</w:t>
      </w:r>
      <w:r>
        <w:rPr>
          <w:sz w:val="22"/>
          <w:szCs w:val="22"/>
        </w:rPr>
        <w:t> </w:t>
      </w:r>
      <w:r w:rsidRPr="009A517F">
        <w:rPr>
          <w:sz w:val="22"/>
          <w:szCs w:val="22"/>
        </w:rPr>
        <w:t>1/10;</w:t>
      </w:r>
    </w:p>
    <w:p w14:paraId="09DEFC58" w14:textId="0C9D9E7D" w:rsidR="009A517F" w:rsidRPr="009A517F" w:rsidRDefault="009A517F" w:rsidP="009A517F">
      <w:pPr>
        <w:rPr>
          <w:sz w:val="22"/>
          <w:szCs w:val="22"/>
        </w:rPr>
      </w:pPr>
      <w:r w:rsidRPr="009A517F">
        <w:rPr>
          <w:sz w:val="22"/>
          <w:szCs w:val="22"/>
        </w:rPr>
        <w:t xml:space="preserve">menej časté: </w:t>
      </w:r>
      <w:r w:rsidRPr="009A517F">
        <w:rPr>
          <w:sz w:val="22"/>
          <w:szCs w:val="22"/>
        </w:rPr>
        <w:sym w:font="Symbol" w:char="F0B3"/>
      </w:r>
      <w:r>
        <w:rPr>
          <w:sz w:val="22"/>
          <w:szCs w:val="22"/>
        </w:rPr>
        <w:t> </w:t>
      </w:r>
      <w:r w:rsidRPr="009A517F">
        <w:rPr>
          <w:sz w:val="22"/>
          <w:szCs w:val="22"/>
        </w:rPr>
        <w:t>1/1 000 až &lt;</w:t>
      </w:r>
      <w:r>
        <w:rPr>
          <w:sz w:val="22"/>
          <w:szCs w:val="22"/>
        </w:rPr>
        <w:t> </w:t>
      </w:r>
      <w:r w:rsidRPr="009A517F">
        <w:rPr>
          <w:sz w:val="22"/>
          <w:szCs w:val="22"/>
        </w:rPr>
        <w:t>1/100;</w:t>
      </w:r>
    </w:p>
    <w:p w14:paraId="4A8382ED" w14:textId="4893EBC8" w:rsidR="009A517F" w:rsidRPr="009A517F" w:rsidRDefault="009A517F" w:rsidP="009A517F">
      <w:pPr>
        <w:rPr>
          <w:sz w:val="22"/>
          <w:szCs w:val="22"/>
        </w:rPr>
      </w:pPr>
      <w:r w:rsidRPr="009A517F">
        <w:rPr>
          <w:sz w:val="22"/>
          <w:szCs w:val="22"/>
        </w:rPr>
        <w:t xml:space="preserve">zriedkavé: </w:t>
      </w:r>
      <w:r w:rsidRPr="009A517F">
        <w:rPr>
          <w:sz w:val="22"/>
          <w:szCs w:val="22"/>
        </w:rPr>
        <w:sym w:font="Symbol" w:char="F0B3"/>
      </w:r>
      <w:r>
        <w:rPr>
          <w:sz w:val="22"/>
          <w:szCs w:val="22"/>
        </w:rPr>
        <w:t> </w:t>
      </w:r>
      <w:r w:rsidRPr="009A517F">
        <w:rPr>
          <w:sz w:val="22"/>
          <w:szCs w:val="22"/>
        </w:rPr>
        <w:t>1/10 000 až &lt;</w:t>
      </w:r>
      <w:r>
        <w:rPr>
          <w:sz w:val="22"/>
          <w:szCs w:val="22"/>
        </w:rPr>
        <w:t> </w:t>
      </w:r>
      <w:r w:rsidRPr="009A517F">
        <w:rPr>
          <w:sz w:val="22"/>
          <w:szCs w:val="22"/>
        </w:rPr>
        <w:t>1/1 000;</w:t>
      </w:r>
    </w:p>
    <w:p w14:paraId="32429876" w14:textId="6DC933F7" w:rsidR="009A517F" w:rsidRPr="009A517F" w:rsidRDefault="009A517F" w:rsidP="009A517F">
      <w:pPr>
        <w:rPr>
          <w:sz w:val="22"/>
          <w:szCs w:val="22"/>
        </w:rPr>
      </w:pPr>
      <w:r w:rsidRPr="009A517F">
        <w:rPr>
          <w:sz w:val="22"/>
          <w:szCs w:val="22"/>
        </w:rPr>
        <w:t>veľmi zriedkavé: &lt;</w:t>
      </w:r>
      <w:r>
        <w:rPr>
          <w:sz w:val="22"/>
          <w:szCs w:val="22"/>
        </w:rPr>
        <w:t> </w:t>
      </w:r>
      <w:r w:rsidRPr="009A517F">
        <w:rPr>
          <w:sz w:val="22"/>
          <w:szCs w:val="22"/>
        </w:rPr>
        <w:t>1/10 000;</w:t>
      </w:r>
    </w:p>
    <w:p w14:paraId="3FDFC2F4" w14:textId="259F2919" w:rsidR="009A517F" w:rsidRPr="009A517F" w:rsidRDefault="009A517F" w:rsidP="009A517F">
      <w:pPr>
        <w:rPr>
          <w:sz w:val="22"/>
          <w:szCs w:val="22"/>
        </w:rPr>
      </w:pPr>
      <w:r w:rsidRPr="009A517F">
        <w:rPr>
          <w:sz w:val="22"/>
          <w:szCs w:val="22"/>
        </w:rPr>
        <w:t xml:space="preserve">neznáme: </w:t>
      </w:r>
      <w:r w:rsidR="00981B5D">
        <w:rPr>
          <w:sz w:val="22"/>
          <w:szCs w:val="22"/>
        </w:rPr>
        <w:t xml:space="preserve">nedá sa odhadnúť </w:t>
      </w:r>
      <w:r w:rsidRPr="009A517F">
        <w:rPr>
          <w:sz w:val="22"/>
          <w:szCs w:val="22"/>
        </w:rPr>
        <w:t>z dostupných údajov</w:t>
      </w:r>
    </w:p>
    <w:p w14:paraId="0646ED8D" w14:textId="77777777" w:rsidR="009A517F" w:rsidRPr="009A517F" w:rsidRDefault="009A517F" w:rsidP="009A517F">
      <w:pPr>
        <w:rPr>
          <w:iCs/>
          <w:sz w:val="22"/>
          <w:szCs w:val="22"/>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733"/>
      </w:tblGrid>
      <w:tr w:rsidR="009A517F" w:rsidRPr="009A517F" w14:paraId="3D081FC4" w14:textId="77777777" w:rsidTr="009A517F">
        <w:trPr>
          <w:trHeight w:val="266"/>
        </w:trPr>
        <w:tc>
          <w:tcPr>
            <w:tcW w:w="8676" w:type="dxa"/>
            <w:gridSpan w:val="2"/>
          </w:tcPr>
          <w:p w14:paraId="7C82B289" w14:textId="77777777" w:rsidR="009A517F" w:rsidRPr="009947F7" w:rsidRDefault="009A517F" w:rsidP="009A517F">
            <w:pPr>
              <w:rPr>
                <w:iCs/>
                <w:sz w:val="22"/>
                <w:szCs w:val="22"/>
              </w:rPr>
            </w:pPr>
            <w:r w:rsidRPr="009947F7">
              <w:rPr>
                <w:bCs/>
                <w:i/>
                <w:sz w:val="22"/>
                <w:szCs w:val="22"/>
              </w:rPr>
              <w:t>Poruchy imunitného systému</w:t>
            </w:r>
          </w:p>
        </w:tc>
      </w:tr>
      <w:tr w:rsidR="009A517F" w:rsidRPr="009A517F" w14:paraId="292B9C58" w14:textId="77777777" w:rsidTr="009A517F">
        <w:trPr>
          <w:trHeight w:val="266"/>
        </w:trPr>
        <w:tc>
          <w:tcPr>
            <w:tcW w:w="2943" w:type="dxa"/>
          </w:tcPr>
          <w:p w14:paraId="7BB76E8D" w14:textId="77777777" w:rsidR="009A517F" w:rsidRPr="009A517F" w:rsidRDefault="009A517F" w:rsidP="009A517F">
            <w:pPr>
              <w:rPr>
                <w:iCs/>
                <w:sz w:val="22"/>
                <w:szCs w:val="22"/>
              </w:rPr>
            </w:pPr>
            <w:r w:rsidRPr="009A517F">
              <w:rPr>
                <w:iCs/>
                <w:sz w:val="22"/>
                <w:szCs w:val="22"/>
              </w:rPr>
              <w:t>frekvencia neznáma</w:t>
            </w:r>
          </w:p>
        </w:tc>
        <w:tc>
          <w:tcPr>
            <w:tcW w:w="5733" w:type="dxa"/>
          </w:tcPr>
          <w:p w14:paraId="47191AF2" w14:textId="77777777" w:rsidR="009A517F" w:rsidRPr="009A517F" w:rsidRDefault="009A517F" w:rsidP="009A517F">
            <w:pPr>
              <w:rPr>
                <w:iCs/>
                <w:sz w:val="22"/>
                <w:szCs w:val="22"/>
              </w:rPr>
            </w:pPr>
            <w:r w:rsidRPr="009A517F">
              <w:rPr>
                <w:iCs/>
                <w:sz w:val="22"/>
                <w:szCs w:val="22"/>
              </w:rPr>
              <w:t>Precitlivenosť, angioedém, anafylaktický šok</w:t>
            </w:r>
          </w:p>
        </w:tc>
      </w:tr>
      <w:tr w:rsidR="009A517F" w:rsidRPr="009A517F" w14:paraId="365E660B" w14:textId="77777777" w:rsidTr="009A517F">
        <w:trPr>
          <w:trHeight w:val="266"/>
        </w:trPr>
        <w:tc>
          <w:tcPr>
            <w:tcW w:w="8676" w:type="dxa"/>
            <w:gridSpan w:val="2"/>
          </w:tcPr>
          <w:p w14:paraId="09199B10" w14:textId="77777777" w:rsidR="009A517F" w:rsidRPr="009947F7" w:rsidRDefault="009A517F" w:rsidP="009A517F">
            <w:pPr>
              <w:rPr>
                <w:iCs/>
                <w:sz w:val="22"/>
                <w:szCs w:val="22"/>
              </w:rPr>
            </w:pPr>
            <w:r w:rsidRPr="009947F7">
              <w:rPr>
                <w:i/>
                <w:iCs/>
                <w:sz w:val="22"/>
                <w:szCs w:val="22"/>
              </w:rPr>
              <w:t>Psychické poruchy</w:t>
            </w:r>
          </w:p>
        </w:tc>
      </w:tr>
      <w:tr w:rsidR="009A517F" w:rsidRPr="009A517F" w14:paraId="69CAD2D6" w14:textId="77777777" w:rsidTr="009A517F">
        <w:trPr>
          <w:trHeight w:val="266"/>
        </w:trPr>
        <w:tc>
          <w:tcPr>
            <w:tcW w:w="2943" w:type="dxa"/>
          </w:tcPr>
          <w:p w14:paraId="5E7D746F" w14:textId="77777777" w:rsidR="009A517F" w:rsidRPr="009A517F" w:rsidRDefault="009A517F" w:rsidP="009A517F">
            <w:pPr>
              <w:rPr>
                <w:iCs/>
                <w:sz w:val="22"/>
                <w:szCs w:val="22"/>
              </w:rPr>
            </w:pPr>
            <w:r w:rsidRPr="009A517F">
              <w:rPr>
                <w:iCs/>
                <w:sz w:val="22"/>
                <w:szCs w:val="22"/>
              </w:rPr>
              <w:t>frekvencia neznáma</w:t>
            </w:r>
          </w:p>
        </w:tc>
        <w:tc>
          <w:tcPr>
            <w:tcW w:w="5733" w:type="dxa"/>
          </w:tcPr>
          <w:p w14:paraId="0DE8A842" w14:textId="77777777" w:rsidR="009A517F" w:rsidRPr="009A517F" w:rsidRDefault="009A517F" w:rsidP="009A517F">
            <w:pPr>
              <w:rPr>
                <w:iCs/>
                <w:sz w:val="22"/>
                <w:szCs w:val="22"/>
              </w:rPr>
            </w:pPr>
            <w:r w:rsidRPr="009A517F">
              <w:rPr>
                <w:iCs/>
                <w:sz w:val="22"/>
                <w:szCs w:val="22"/>
              </w:rPr>
              <w:t>Zmätenosť, euforická nálada, halucinácie</w:t>
            </w:r>
          </w:p>
          <w:p w14:paraId="318BAEF7" w14:textId="77777777" w:rsidR="009A517F" w:rsidRPr="009A517F" w:rsidRDefault="009A517F" w:rsidP="009A517F">
            <w:pPr>
              <w:rPr>
                <w:iCs/>
                <w:sz w:val="22"/>
                <w:szCs w:val="22"/>
              </w:rPr>
            </w:pPr>
            <w:r w:rsidRPr="009A517F">
              <w:rPr>
                <w:iCs/>
                <w:sz w:val="22"/>
                <w:szCs w:val="22"/>
              </w:rPr>
              <w:t>Nepokoj*, nepriateľské správanie*, zúrivosť*, agresivita*, vzrušenie*</w:t>
            </w:r>
          </w:p>
          <w:p w14:paraId="56C3FC0A" w14:textId="77777777" w:rsidR="009A517F" w:rsidRPr="009A517F" w:rsidRDefault="009A517F" w:rsidP="009A517F">
            <w:pPr>
              <w:rPr>
                <w:iCs/>
                <w:sz w:val="22"/>
                <w:szCs w:val="22"/>
              </w:rPr>
            </w:pPr>
            <w:r w:rsidRPr="009A517F">
              <w:rPr>
                <w:iCs/>
                <w:sz w:val="22"/>
                <w:szCs w:val="22"/>
              </w:rPr>
              <w:t>Fyzická závislosť od lieku a abstinenčný syndróm</w:t>
            </w:r>
          </w:p>
          <w:p w14:paraId="37A90252" w14:textId="77777777" w:rsidR="009A517F" w:rsidRPr="009A517F" w:rsidRDefault="009A517F" w:rsidP="009A517F">
            <w:pPr>
              <w:rPr>
                <w:iCs/>
                <w:sz w:val="22"/>
                <w:szCs w:val="22"/>
              </w:rPr>
            </w:pPr>
            <w:r w:rsidRPr="009A517F">
              <w:rPr>
                <w:iCs/>
                <w:sz w:val="22"/>
                <w:szCs w:val="22"/>
              </w:rPr>
              <w:t xml:space="preserve">Abúzus </w:t>
            </w:r>
          </w:p>
        </w:tc>
      </w:tr>
      <w:tr w:rsidR="009A517F" w:rsidRPr="009A517F" w14:paraId="243FDD08" w14:textId="77777777" w:rsidTr="009A517F">
        <w:trPr>
          <w:trHeight w:val="266"/>
        </w:trPr>
        <w:tc>
          <w:tcPr>
            <w:tcW w:w="8676" w:type="dxa"/>
            <w:gridSpan w:val="2"/>
          </w:tcPr>
          <w:p w14:paraId="25074DC9" w14:textId="77777777" w:rsidR="009A517F" w:rsidRPr="009947F7" w:rsidRDefault="009A517F" w:rsidP="009A517F">
            <w:pPr>
              <w:rPr>
                <w:iCs/>
                <w:sz w:val="22"/>
                <w:szCs w:val="22"/>
              </w:rPr>
            </w:pPr>
            <w:r w:rsidRPr="009947F7">
              <w:rPr>
                <w:bCs/>
                <w:i/>
                <w:sz w:val="22"/>
                <w:szCs w:val="22"/>
              </w:rPr>
              <w:t>Poruchy nervového systému</w:t>
            </w:r>
          </w:p>
        </w:tc>
      </w:tr>
      <w:tr w:rsidR="009A517F" w:rsidRPr="009A517F" w14:paraId="7B7EEAFD" w14:textId="77777777" w:rsidTr="009A517F">
        <w:trPr>
          <w:trHeight w:val="266"/>
        </w:trPr>
        <w:tc>
          <w:tcPr>
            <w:tcW w:w="2943" w:type="dxa"/>
          </w:tcPr>
          <w:p w14:paraId="410F3A8C" w14:textId="77777777" w:rsidR="009A517F" w:rsidRPr="009A517F" w:rsidRDefault="009A517F" w:rsidP="009A517F">
            <w:pPr>
              <w:rPr>
                <w:iCs/>
                <w:sz w:val="22"/>
                <w:szCs w:val="22"/>
              </w:rPr>
            </w:pPr>
            <w:r w:rsidRPr="009A517F">
              <w:rPr>
                <w:iCs/>
                <w:sz w:val="22"/>
                <w:szCs w:val="22"/>
              </w:rPr>
              <w:t>frekvencia neznáma</w:t>
            </w:r>
          </w:p>
        </w:tc>
        <w:tc>
          <w:tcPr>
            <w:tcW w:w="5733" w:type="dxa"/>
          </w:tcPr>
          <w:p w14:paraId="0045E102" w14:textId="77777777" w:rsidR="009A517F" w:rsidRPr="009A517F" w:rsidRDefault="009A517F" w:rsidP="009A517F">
            <w:pPr>
              <w:rPr>
                <w:iCs/>
                <w:sz w:val="22"/>
                <w:szCs w:val="22"/>
              </w:rPr>
            </w:pPr>
            <w:r w:rsidRPr="009A517F">
              <w:rPr>
                <w:iCs/>
                <w:sz w:val="22"/>
                <w:szCs w:val="22"/>
              </w:rPr>
              <w:t>Mimovoľné pohyby (vrátane tonických/klonických pohybov a svalového tremoru)*, hyperaktivita*</w:t>
            </w:r>
          </w:p>
          <w:p w14:paraId="13D5BC88" w14:textId="77777777" w:rsidR="009A517F" w:rsidRPr="009A517F" w:rsidRDefault="009A517F" w:rsidP="009A517F">
            <w:pPr>
              <w:rPr>
                <w:iCs/>
                <w:sz w:val="22"/>
                <w:szCs w:val="22"/>
              </w:rPr>
            </w:pPr>
            <w:r w:rsidRPr="009A517F">
              <w:rPr>
                <w:iCs/>
                <w:sz w:val="22"/>
                <w:szCs w:val="22"/>
              </w:rPr>
              <w:t>Sedácia (dlhotrvajúca a pooperačná), znížená pozornosť, ospalosť, bolesť hlavy, závraty, ataxia, anterográdna amnézia**, ktorej trvanie priamo súvisí s podanou dávkou</w:t>
            </w:r>
          </w:p>
          <w:p w14:paraId="09AE66BB" w14:textId="77777777" w:rsidR="009A517F" w:rsidRPr="009A517F" w:rsidRDefault="009A517F" w:rsidP="009A517F">
            <w:pPr>
              <w:rPr>
                <w:iCs/>
                <w:sz w:val="22"/>
                <w:szCs w:val="22"/>
              </w:rPr>
            </w:pPr>
            <w:r w:rsidRPr="009A517F">
              <w:rPr>
                <w:iCs/>
                <w:sz w:val="22"/>
                <w:szCs w:val="22"/>
              </w:rPr>
              <w:t>U predčasne narodených detí a novorodencov boli hlásené kŕče</w:t>
            </w:r>
          </w:p>
          <w:p w14:paraId="02A7D40F" w14:textId="77777777" w:rsidR="009A517F" w:rsidRPr="009A517F" w:rsidRDefault="009A517F" w:rsidP="009A517F">
            <w:pPr>
              <w:rPr>
                <w:iCs/>
                <w:sz w:val="22"/>
                <w:szCs w:val="22"/>
              </w:rPr>
            </w:pPr>
            <w:r w:rsidRPr="009A517F">
              <w:rPr>
                <w:iCs/>
                <w:sz w:val="22"/>
                <w:szCs w:val="22"/>
              </w:rPr>
              <w:t>Kŕče po vysadení lieku</w:t>
            </w:r>
          </w:p>
        </w:tc>
      </w:tr>
      <w:tr w:rsidR="009A517F" w:rsidRPr="009A517F" w14:paraId="4B571DE4" w14:textId="77777777" w:rsidTr="009A517F">
        <w:trPr>
          <w:trHeight w:val="266"/>
        </w:trPr>
        <w:tc>
          <w:tcPr>
            <w:tcW w:w="8676" w:type="dxa"/>
            <w:gridSpan w:val="2"/>
          </w:tcPr>
          <w:p w14:paraId="4F09F05E" w14:textId="77777777" w:rsidR="009A517F" w:rsidRPr="009947F7" w:rsidRDefault="009A517F" w:rsidP="009A517F">
            <w:pPr>
              <w:rPr>
                <w:iCs/>
                <w:sz w:val="22"/>
                <w:szCs w:val="22"/>
              </w:rPr>
            </w:pPr>
            <w:r w:rsidRPr="009947F7">
              <w:rPr>
                <w:bCs/>
                <w:i/>
                <w:sz w:val="22"/>
                <w:szCs w:val="22"/>
              </w:rPr>
              <w:t>Poruchy srdca a srdcovej činnosti</w:t>
            </w:r>
          </w:p>
        </w:tc>
      </w:tr>
      <w:tr w:rsidR="009A517F" w:rsidRPr="009A517F" w14:paraId="3D0CBDDD" w14:textId="77777777" w:rsidTr="009A517F">
        <w:trPr>
          <w:trHeight w:val="266"/>
        </w:trPr>
        <w:tc>
          <w:tcPr>
            <w:tcW w:w="2943" w:type="dxa"/>
          </w:tcPr>
          <w:p w14:paraId="68228233" w14:textId="77777777" w:rsidR="009A517F" w:rsidRPr="009A517F" w:rsidRDefault="009A517F" w:rsidP="009A517F">
            <w:pPr>
              <w:rPr>
                <w:iCs/>
                <w:sz w:val="22"/>
                <w:szCs w:val="22"/>
              </w:rPr>
            </w:pPr>
            <w:r w:rsidRPr="009A517F">
              <w:rPr>
                <w:iCs/>
                <w:sz w:val="22"/>
                <w:szCs w:val="22"/>
              </w:rPr>
              <w:t>frekvencia neznáma</w:t>
            </w:r>
          </w:p>
        </w:tc>
        <w:tc>
          <w:tcPr>
            <w:tcW w:w="5733" w:type="dxa"/>
          </w:tcPr>
          <w:p w14:paraId="0EE9DE95" w14:textId="77777777" w:rsidR="009A517F" w:rsidRPr="009A517F" w:rsidRDefault="009A517F" w:rsidP="009A517F">
            <w:pPr>
              <w:rPr>
                <w:iCs/>
                <w:sz w:val="22"/>
                <w:szCs w:val="22"/>
              </w:rPr>
            </w:pPr>
            <w:r w:rsidRPr="009A517F">
              <w:rPr>
                <w:iCs/>
                <w:sz w:val="22"/>
                <w:szCs w:val="22"/>
              </w:rPr>
              <w:t>Zástava srdca, bradykardia</w:t>
            </w:r>
          </w:p>
        </w:tc>
      </w:tr>
      <w:tr w:rsidR="009A517F" w:rsidRPr="009A517F" w14:paraId="28490CD9" w14:textId="77777777" w:rsidTr="009A517F">
        <w:trPr>
          <w:trHeight w:val="266"/>
        </w:trPr>
        <w:tc>
          <w:tcPr>
            <w:tcW w:w="8676" w:type="dxa"/>
            <w:gridSpan w:val="2"/>
          </w:tcPr>
          <w:p w14:paraId="2CDCA8EB" w14:textId="77777777" w:rsidR="009A517F" w:rsidRPr="009947F7" w:rsidRDefault="009A517F" w:rsidP="009A517F">
            <w:pPr>
              <w:rPr>
                <w:iCs/>
                <w:sz w:val="22"/>
                <w:szCs w:val="22"/>
              </w:rPr>
            </w:pPr>
            <w:r w:rsidRPr="009947F7">
              <w:rPr>
                <w:i/>
                <w:iCs/>
                <w:sz w:val="22"/>
                <w:szCs w:val="22"/>
              </w:rPr>
              <w:t>Poruchy ciev</w:t>
            </w:r>
          </w:p>
        </w:tc>
      </w:tr>
      <w:tr w:rsidR="009A517F" w:rsidRPr="009A517F" w14:paraId="6A9F3832" w14:textId="77777777" w:rsidTr="009A517F">
        <w:trPr>
          <w:trHeight w:val="266"/>
        </w:trPr>
        <w:tc>
          <w:tcPr>
            <w:tcW w:w="2943" w:type="dxa"/>
          </w:tcPr>
          <w:p w14:paraId="157EB3A1" w14:textId="77777777" w:rsidR="009A517F" w:rsidRPr="009A517F" w:rsidRDefault="009A517F" w:rsidP="009A517F">
            <w:pPr>
              <w:rPr>
                <w:iCs/>
                <w:sz w:val="22"/>
                <w:szCs w:val="22"/>
              </w:rPr>
            </w:pPr>
            <w:r w:rsidRPr="009A517F">
              <w:rPr>
                <w:iCs/>
                <w:sz w:val="22"/>
                <w:szCs w:val="22"/>
              </w:rPr>
              <w:t>frekvencia neznáma</w:t>
            </w:r>
          </w:p>
        </w:tc>
        <w:tc>
          <w:tcPr>
            <w:tcW w:w="5733" w:type="dxa"/>
          </w:tcPr>
          <w:p w14:paraId="38BDF650" w14:textId="77777777" w:rsidR="009A517F" w:rsidRPr="009A517F" w:rsidRDefault="009A517F" w:rsidP="009A517F">
            <w:pPr>
              <w:rPr>
                <w:iCs/>
                <w:sz w:val="22"/>
                <w:szCs w:val="22"/>
              </w:rPr>
            </w:pPr>
            <w:r w:rsidRPr="009A517F">
              <w:rPr>
                <w:iCs/>
                <w:sz w:val="22"/>
                <w:szCs w:val="22"/>
              </w:rPr>
              <w:t>Hypotenzia, vazodilatácia, tromboflebitída, trombóza</w:t>
            </w:r>
          </w:p>
        </w:tc>
      </w:tr>
      <w:tr w:rsidR="009A517F" w:rsidRPr="009A517F" w14:paraId="0656D470" w14:textId="77777777" w:rsidTr="009A517F">
        <w:trPr>
          <w:trHeight w:val="266"/>
        </w:trPr>
        <w:tc>
          <w:tcPr>
            <w:tcW w:w="8676" w:type="dxa"/>
            <w:gridSpan w:val="2"/>
          </w:tcPr>
          <w:p w14:paraId="793BCDE5" w14:textId="65F8717B" w:rsidR="009A517F" w:rsidRPr="009947F7" w:rsidRDefault="009A517F" w:rsidP="009A517F">
            <w:pPr>
              <w:rPr>
                <w:iCs/>
                <w:sz w:val="22"/>
                <w:szCs w:val="22"/>
              </w:rPr>
            </w:pPr>
            <w:r w:rsidRPr="009947F7">
              <w:rPr>
                <w:bCs/>
                <w:i/>
                <w:sz w:val="22"/>
                <w:szCs w:val="22"/>
              </w:rPr>
              <w:t>Poruchy dýchacej sústavy, hrudníka a mediastína</w:t>
            </w:r>
          </w:p>
        </w:tc>
      </w:tr>
      <w:tr w:rsidR="009A517F" w:rsidRPr="009A517F" w14:paraId="79757CA2" w14:textId="77777777" w:rsidTr="009A517F">
        <w:trPr>
          <w:trHeight w:val="266"/>
        </w:trPr>
        <w:tc>
          <w:tcPr>
            <w:tcW w:w="2943" w:type="dxa"/>
          </w:tcPr>
          <w:p w14:paraId="4C20851C" w14:textId="77777777" w:rsidR="009A517F" w:rsidRPr="009A517F" w:rsidRDefault="009A517F" w:rsidP="009A517F">
            <w:pPr>
              <w:rPr>
                <w:iCs/>
                <w:sz w:val="22"/>
                <w:szCs w:val="22"/>
              </w:rPr>
            </w:pPr>
            <w:r w:rsidRPr="009A517F">
              <w:rPr>
                <w:iCs/>
                <w:sz w:val="22"/>
                <w:szCs w:val="22"/>
              </w:rPr>
              <w:t>frekvencia neznáma</w:t>
            </w:r>
          </w:p>
        </w:tc>
        <w:tc>
          <w:tcPr>
            <w:tcW w:w="5733" w:type="dxa"/>
          </w:tcPr>
          <w:p w14:paraId="169F5466" w14:textId="77777777" w:rsidR="009A517F" w:rsidRPr="009A517F" w:rsidRDefault="009A517F" w:rsidP="009A517F">
            <w:pPr>
              <w:rPr>
                <w:iCs/>
                <w:sz w:val="22"/>
                <w:szCs w:val="22"/>
              </w:rPr>
            </w:pPr>
            <w:r w:rsidRPr="009A517F">
              <w:rPr>
                <w:iCs/>
                <w:sz w:val="22"/>
                <w:szCs w:val="22"/>
              </w:rPr>
              <w:t>Respiračná tieseň, apnoe, zastavenie dýchania, dyspnoe, laryngospazmus, čkanie</w:t>
            </w:r>
          </w:p>
        </w:tc>
      </w:tr>
      <w:tr w:rsidR="009A517F" w:rsidRPr="009A517F" w14:paraId="1A255D7E" w14:textId="77777777" w:rsidTr="009A517F">
        <w:trPr>
          <w:trHeight w:val="266"/>
        </w:trPr>
        <w:tc>
          <w:tcPr>
            <w:tcW w:w="8676" w:type="dxa"/>
            <w:gridSpan w:val="2"/>
          </w:tcPr>
          <w:p w14:paraId="2B3B39CE" w14:textId="77777777" w:rsidR="009A517F" w:rsidRPr="009947F7" w:rsidRDefault="009A517F" w:rsidP="009A517F">
            <w:pPr>
              <w:rPr>
                <w:iCs/>
                <w:sz w:val="22"/>
                <w:szCs w:val="22"/>
              </w:rPr>
            </w:pPr>
            <w:r w:rsidRPr="009947F7">
              <w:rPr>
                <w:bCs/>
                <w:i/>
                <w:sz w:val="22"/>
                <w:szCs w:val="22"/>
              </w:rPr>
              <w:t>Poruchy gastrointestinálneho traktu</w:t>
            </w:r>
          </w:p>
        </w:tc>
      </w:tr>
      <w:tr w:rsidR="009A517F" w:rsidRPr="009A517F" w14:paraId="4FCADC2E" w14:textId="77777777" w:rsidTr="009A517F">
        <w:trPr>
          <w:trHeight w:val="266"/>
        </w:trPr>
        <w:tc>
          <w:tcPr>
            <w:tcW w:w="2943" w:type="dxa"/>
          </w:tcPr>
          <w:p w14:paraId="26807375" w14:textId="77777777" w:rsidR="009A517F" w:rsidRPr="009A517F" w:rsidRDefault="009A517F" w:rsidP="009A517F">
            <w:pPr>
              <w:rPr>
                <w:iCs/>
                <w:sz w:val="22"/>
                <w:szCs w:val="22"/>
              </w:rPr>
            </w:pPr>
            <w:r w:rsidRPr="009A517F">
              <w:rPr>
                <w:iCs/>
                <w:sz w:val="22"/>
                <w:szCs w:val="22"/>
              </w:rPr>
              <w:t>frekvencia neznáma</w:t>
            </w:r>
          </w:p>
        </w:tc>
        <w:tc>
          <w:tcPr>
            <w:tcW w:w="5733" w:type="dxa"/>
          </w:tcPr>
          <w:p w14:paraId="28DA0A53" w14:textId="77777777" w:rsidR="009A517F" w:rsidRPr="009A517F" w:rsidRDefault="009A517F" w:rsidP="009A517F">
            <w:pPr>
              <w:rPr>
                <w:iCs/>
                <w:sz w:val="22"/>
                <w:szCs w:val="22"/>
              </w:rPr>
            </w:pPr>
            <w:r w:rsidRPr="009A517F">
              <w:rPr>
                <w:iCs/>
                <w:sz w:val="22"/>
                <w:szCs w:val="22"/>
              </w:rPr>
              <w:t>Nauzea, vracanie, zápcha, sucho v ústach</w:t>
            </w:r>
          </w:p>
        </w:tc>
      </w:tr>
      <w:tr w:rsidR="009A517F" w:rsidRPr="009A517F" w14:paraId="70DB165F" w14:textId="77777777" w:rsidTr="009A517F">
        <w:trPr>
          <w:trHeight w:val="266"/>
        </w:trPr>
        <w:tc>
          <w:tcPr>
            <w:tcW w:w="8676" w:type="dxa"/>
            <w:gridSpan w:val="2"/>
          </w:tcPr>
          <w:p w14:paraId="346DBC3C" w14:textId="77777777" w:rsidR="009A517F" w:rsidRPr="009947F7" w:rsidRDefault="009A517F" w:rsidP="009A517F">
            <w:pPr>
              <w:rPr>
                <w:iCs/>
                <w:sz w:val="22"/>
                <w:szCs w:val="22"/>
              </w:rPr>
            </w:pPr>
            <w:r w:rsidRPr="009947F7">
              <w:rPr>
                <w:bCs/>
                <w:i/>
                <w:sz w:val="22"/>
                <w:szCs w:val="22"/>
              </w:rPr>
              <w:t>Poruchy kože a podkožného tkaniva</w:t>
            </w:r>
          </w:p>
        </w:tc>
      </w:tr>
      <w:tr w:rsidR="009A517F" w:rsidRPr="009A517F" w14:paraId="79E4B1C3" w14:textId="77777777" w:rsidTr="009A517F">
        <w:trPr>
          <w:trHeight w:val="266"/>
        </w:trPr>
        <w:tc>
          <w:tcPr>
            <w:tcW w:w="2943" w:type="dxa"/>
          </w:tcPr>
          <w:p w14:paraId="1FF62CC8" w14:textId="77777777" w:rsidR="009A517F" w:rsidRPr="009A517F" w:rsidRDefault="009A517F" w:rsidP="009A517F">
            <w:pPr>
              <w:rPr>
                <w:iCs/>
                <w:sz w:val="22"/>
                <w:szCs w:val="22"/>
              </w:rPr>
            </w:pPr>
            <w:r w:rsidRPr="009A517F">
              <w:rPr>
                <w:iCs/>
                <w:sz w:val="22"/>
                <w:szCs w:val="22"/>
              </w:rPr>
              <w:t>frekvencia neznáma</w:t>
            </w:r>
          </w:p>
        </w:tc>
        <w:tc>
          <w:tcPr>
            <w:tcW w:w="5733" w:type="dxa"/>
          </w:tcPr>
          <w:p w14:paraId="4220A848" w14:textId="77777777" w:rsidR="009A517F" w:rsidRPr="009A517F" w:rsidRDefault="009A517F" w:rsidP="009A517F">
            <w:pPr>
              <w:rPr>
                <w:iCs/>
                <w:sz w:val="22"/>
                <w:szCs w:val="22"/>
              </w:rPr>
            </w:pPr>
            <w:r w:rsidRPr="009A517F">
              <w:rPr>
                <w:iCs/>
                <w:sz w:val="22"/>
                <w:szCs w:val="22"/>
              </w:rPr>
              <w:t>Vyrážka, urtikária, pruritus</w:t>
            </w:r>
          </w:p>
        </w:tc>
      </w:tr>
      <w:tr w:rsidR="009A517F" w:rsidRPr="009A517F" w14:paraId="56C9B4BE" w14:textId="77777777" w:rsidTr="009A517F">
        <w:trPr>
          <w:trHeight w:val="266"/>
        </w:trPr>
        <w:tc>
          <w:tcPr>
            <w:tcW w:w="8676" w:type="dxa"/>
            <w:gridSpan w:val="2"/>
          </w:tcPr>
          <w:p w14:paraId="55847D59" w14:textId="77777777" w:rsidR="009A517F" w:rsidRPr="009947F7" w:rsidRDefault="009A517F" w:rsidP="009A517F">
            <w:pPr>
              <w:rPr>
                <w:iCs/>
                <w:sz w:val="22"/>
                <w:szCs w:val="22"/>
              </w:rPr>
            </w:pPr>
            <w:r w:rsidRPr="009947F7">
              <w:rPr>
                <w:bCs/>
                <w:i/>
                <w:sz w:val="22"/>
                <w:szCs w:val="22"/>
              </w:rPr>
              <w:t>Celkové poruchy a reakcie v mieste podania</w:t>
            </w:r>
          </w:p>
        </w:tc>
      </w:tr>
      <w:tr w:rsidR="009A517F" w:rsidRPr="009A517F" w14:paraId="14BEE415" w14:textId="77777777" w:rsidTr="009A517F">
        <w:trPr>
          <w:trHeight w:val="266"/>
        </w:trPr>
        <w:tc>
          <w:tcPr>
            <w:tcW w:w="2943" w:type="dxa"/>
          </w:tcPr>
          <w:p w14:paraId="1327CF11" w14:textId="77777777" w:rsidR="009A517F" w:rsidRPr="009A517F" w:rsidRDefault="009A517F" w:rsidP="009A517F">
            <w:pPr>
              <w:rPr>
                <w:iCs/>
                <w:sz w:val="22"/>
                <w:szCs w:val="22"/>
              </w:rPr>
            </w:pPr>
            <w:r w:rsidRPr="009A517F">
              <w:rPr>
                <w:iCs/>
                <w:sz w:val="22"/>
                <w:szCs w:val="22"/>
              </w:rPr>
              <w:t>frekvencia neznáma</w:t>
            </w:r>
          </w:p>
        </w:tc>
        <w:tc>
          <w:tcPr>
            <w:tcW w:w="5733" w:type="dxa"/>
          </w:tcPr>
          <w:p w14:paraId="793F842E" w14:textId="77777777" w:rsidR="009A517F" w:rsidRPr="009A517F" w:rsidRDefault="009A517F" w:rsidP="009A517F">
            <w:pPr>
              <w:rPr>
                <w:iCs/>
                <w:sz w:val="22"/>
                <w:szCs w:val="22"/>
              </w:rPr>
            </w:pPr>
            <w:r w:rsidRPr="009A517F">
              <w:rPr>
                <w:iCs/>
                <w:sz w:val="22"/>
                <w:szCs w:val="22"/>
              </w:rPr>
              <w:t>Únava, erytém v mieste podania injekcie, bolesť v mieste podania injekcie</w:t>
            </w:r>
          </w:p>
        </w:tc>
      </w:tr>
      <w:tr w:rsidR="009A517F" w:rsidRPr="009A517F" w14:paraId="1D634050" w14:textId="77777777" w:rsidTr="009A517F">
        <w:trPr>
          <w:trHeight w:val="279"/>
        </w:trPr>
        <w:tc>
          <w:tcPr>
            <w:tcW w:w="8676" w:type="dxa"/>
            <w:gridSpan w:val="2"/>
          </w:tcPr>
          <w:p w14:paraId="7A40A768" w14:textId="77777777" w:rsidR="009A517F" w:rsidRPr="009947F7" w:rsidRDefault="009A517F" w:rsidP="009A517F">
            <w:pPr>
              <w:rPr>
                <w:iCs/>
                <w:sz w:val="22"/>
                <w:szCs w:val="22"/>
              </w:rPr>
            </w:pPr>
            <w:r w:rsidRPr="009947F7">
              <w:rPr>
                <w:bCs/>
                <w:i/>
                <w:sz w:val="22"/>
                <w:szCs w:val="22"/>
              </w:rPr>
              <w:t>Úrazy, otravy a komplikácie liečebného postupu</w:t>
            </w:r>
          </w:p>
        </w:tc>
      </w:tr>
      <w:tr w:rsidR="009A517F" w:rsidRPr="009A517F" w14:paraId="1274627B" w14:textId="77777777" w:rsidTr="009A517F">
        <w:trPr>
          <w:trHeight w:val="266"/>
        </w:trPr>
        <w:tc>
          <w:tcPr>
            <w:tcW w:w="2943" w:type="dxa"/>
          </w:tcPr>
          <w:p w14:paraId="03A6F689" w14:textId="77777777" w:rsidR="009A517F" w:rsidRPr="009A517F" w:rsidRDefault="009A517F" w:rsidP="009A517F">
            <w:pPr>
              <w:rPr>
                <w:iCs/>
                <w:sz w:val="22"/>
                <w:szCs w:val="22"/>
              </w:rPr>
            </w:pPr>
            <w:r w:rsidRPr="009A517F">
              <w:rPr>
                <w:iCs/>
                <w:sz w:val="22"/>
                <w:szCs w:val="22"/>
              </w:rPr>
              <w:t>frekvencia neznáma</w:t>
            </w:r>
          </w:p>
        </w:tc>
        <w:tc>
          <w:tcPr>
            <w:tcW w:w="5733" w:type="dxa"/>
          </w:tcPr>
          <w:p w14:paraId="374CA576" w14:textId="77777777" w:rsidR="009A517F" w:rsidRPr="009A517F" w:rsidRDefault="009A517F" w:rsidP="009A517F">
            <w:pPr>
              <w:rPr>
                <w:iCs/>
                <w:sz w:val="22"/>
                <w:szCs w:val="22"/>
              </w:rPr>
            </w:pPr>
            <w:r w:rsidRPr="009A517F">
              <w:rPr>
                <w:iCs/>
                <w:sz w:val="22"/>
                <w:szCs w:val="22"/>
              </w:rPr>
              <w:t>Pády, zlomeniny***</w:t>
            </w:r>
          </w:p>
        </w:tc>
      </w:tr>
      <w:tr w:rsidR="009A517F" w:rsidRPr="009A517F" w14:paraId="1EE982E2" w14:textId="77777777" w:rsidTr="009A517F">
        <w:trPr>
          <w:trHeight w:val="266"/>
        </w:trPr>
        <w:tc>
          <w:tcPr>
            <w:tcW w:w="8676" w:type="dxa"/>
            <w:gridSpan w:val="2"/>
          </w:tcPr>
          <w:p w14:paraId="15F2CE85" w14:textId="77777777" w:rsidR="009A517F" w:rsidRPr="009947F7" w:rsidRDefault="009A517F" w:rsidP="009A517F">
            <w:pPr>
              <w:rPr>
                <w:iCs/>
                <w:sz w:val="22"/>
                <w:szCs w:val="22"/>
              </w:rPr>
            </w:pPr>
            <w:r w:rsidRPr="009947F7">
              <w:rPr>
                <w:bCs/>
                <w:i/>
                <w:sz w:val="22"/>
                <w:szCs w:val="22"/>
              </w:rPr>
              <w:t>Sociálne podmienky</w:t>
            </w:r>
          </w:p>
        </w:tc>
      </w:tr>
      <w:tr w:rsidR="009A517F" w:rsidRPr="009A517F" w14:paraId="7EC288A5" w14:textId="77777777" w:rsidTr="009A517F">
        <w:trPr>
          <w:trHeight w:val="266"/>
        </w:trPr>
        <w:tc>
          <w:tcPr>
            <w:tcW w:w="2943" w:type="dxa"/>
          </w:tcPr>
          <w:p w14:paraId="7F4EE546" w14:textId="77777777" w:rsidR="009A517F" w:rsidRPr="009A517F" w:rsidRDefault="009A517F" w:rsidP="009A517F">
            <w:pPr>
              <w:rPr>
                <w:iCs/>
                <w:sz w:val="22"/>
                <w:szCs w:val="22"/>
              </w:rPr>
            </w:pPr>
            <w:r w:rsidRPr="009A517F">
              <w:rPr>
                <w:iCs/>
                <w:sz w:val="22"/>
                <w:szCs w:val="22"/>
              </w:rPr>
              <w:t>frekvencia neznáma</w:t>
            </w:r>
          </w:p>
        </w:tc>
        <w:tc>
          <w:tcPr>
            <w:tcW w:w="5733" w:type="dxa"/>
          </w:tcPr>
          <w:p w14:paraId="10BEB215" w14:textId="77777777" w:rsidR="009A517F" w:rsidRPr="009A517F" w:rsidRDefault="009A517F" w:rsidP="009A517F">
            <w:pPr>
              <w:rPr>
                <w:iCs/>
                <w:sz w:val="22"/>
                <w:szCs w:val="22"/>
              </w:rPr>
            </w:pPr>
            <w:r w:rsidRPr="009A517F">
              <w:rPr>
                <w:iCs/>
                <w:sz w:val="22"/>
                <w:szCs w:val="22"/>
              </w:rPr>
              <w:t>Napadnutie*</w:t>
            </w:r>
          </w:p>
        </w:tc>
      </w:tr>
    </w:tbl>
    <w:p w14:paraId="08012AEA" w14:textId="77777777" w:rsidR="009A517F" w:rsidRPr="009A517F" w:rsidRDefault="009A517F" w:rsidP="009A517F">
      <w:pPr>
        <w:rPr>
          <w:iCs/>
          <w:sz w:val="22"/>
          <w:szCs w:val="22"/>
        </w:rPr>
      </w:pPr>
    </w:p>
    <w:p w14:paraId="2FD807FC" w14:textId="77777777" w:rsidR="009A517F" w:rsidRPr="009A517F" w:rsidRDefault="009A517F" w:rsidP="009A517F">
      <w:pPr>
        <w:pStyle w:val="Zarkazkladnhotextu"/>
        <w:spacing w:after="0"/>
        <w:ind w:left="0" w:firstLine="0"/>
        <w:rPr>
          <w:szCs w:val="22"/>
        </w:rPr>
      </w:pPr>
      <w:r w:rsidRPr="009A517F">
        <w:rPr>
          <w:szCs w:val="22"/>
        </w:rPr>
        <w:t>* Tieto paradoxné liekové reakcie boli hlásené najmä u detí a starších pacientov (pozri časť 4.4).</w:t>
      </w:r>
    </w:p>
    <w:p w14:paraId="0DB71223" w14:textId="77777777" w:rsidR="009A517F" w:rsidRPr="009A517F" w:rsidRDefault="009A517F" w:rsidP="009A517F">
      <w:pPr>
        <w:pStyle w:val="Zarkazkladnhotextu"/>
        <w:spacing w:after="0"/>
        <w:ind w:left="0" w:firstLine="0"/>
        <w:rPr>
          <w:szCs w:val="22"/>
        </w:rPr>
      </w:pPr>
      <w:r w:rsidRPr="009A517F">
        <w:rPr>
          <w:szCs w:val="22"/>
        </w:rPr>
        <w:t>** Anterográdna amnézia môže pretrvávať až do konca zákroku a v niekoľkých prípadoch bola hlásená dlhodobá amnézia (pozri časť 4.4).</w:t>
      </w:r>
    </w:p>
    <w:p w14:paraId="433F760C" w14:textId="77777777" w:rsidR="009A517F" w:rsidRPr="009A517F" w:rsidRDefault="009A517F" w:rsidP="009A517F">
      <w:pPr>
        <w:pStyle w:val="Zarkazkladnhotextu"/>
        <w:spacing w:after="0"/>
        <w:ind w:left="0" w:firstLine="0"/>
        <w:rPr>
          <w:szCs w:val="22"/>
        </w:rPr>
      </w:pPr>
      <w:r w:rsidRPr="009A517F">
        <w:rPr>
          <w:color w:val="000000"/>
          <w:szCs w:val="22"/>
        </w:rPr>
        <w:t xml:space="preserve">*** </w:t>
      </w:r>
      <w:r w:rsidRPr="009A517F">
        <w:rPr>
          <w:szCs w:val="22"/>
        </w:rPr>
        <w:t>Riziko pádov a zlomenín je vyššie u pacientov, ktorí súbežne užívajú sedatíva (vrátane alkoholických nápojov), a u starších pacientov.</w:t>
      </w:r>
    </w:p>
    <w:p w14:paraId="74A08013" w14:textId="77777777" w:rsidR="009A517F" w:rsidRPr="009A517F" w:rsidRDefault="009A517F" w:rsidP="009A517F">
      <w:pPr>
        <w:rPr>
          <w:iCs/>
          <w:sz w:val="22"/>
          <w:szCs w:val="22"/>
        </w:rPr>
      </w:pPr>
    </w:p>
    <w:p w14:paraId="4C5E5150" w14:textId="77777777" w:rsidR="009A517F" w:rsidRPr="009A517F" w:rsidRDefault="009A517F" w:rsidP="009A517F">
      <w:pPr>
        <w:rPr>
          <w:sz w:val="22"/>
          <w:szCs w:val="22"/>
        </w:rPr>
      </w:pPr>
      <w:r w:rsidRPr="009A517F">
        <w:rPr>
          <w:sz w:val="22"/>
          <w:szCs w:val="22"/>
        </w:rPr>
        <w:t xml:space="preserve">Závislosť: Midazolam, a to aj v terapeutických dávkach, môže viesť k rozvinutiu fyzickej závislosti. Po dlhodobom intravenóznom podaní midazolamu môže byť ukončenie liečby (najmä náhle ukončenie) sprevádzané abstinenčnými príznakmi, vrátane kŕčov z vysadenia lieku (pozri časť 4.4). Boli hlásené prípady zneužívania lieku. </w:t>
      </w:r>
    </w:p>
    <w:p w14:paraId="59624001" w14:textId="77777777" w:rsidR="009A517F" w:rsidRPr="009A517F" w:rsidRDefault="009A517F" w:rsidP="009A517F">
      <w:pPr>
        <w:rPr>
          <w:sz w:val="22"/>
          <w:szCs w:val="22"/>
        </w:rPr>
      </w:pPr>
      <w:r w:rsidRPr="009A517F">
        <w:rPr>
          <w:sz w:val="22"/>
          <w:szCs w:val="22"/>
        </w:rPr>
        <w:t>Vyskytli sa závažné nežiaduce kardiorespiračné reakcie. Život ohrozujúce udalosti majú väčšiu pravdepodobnosť výskytu u dospelých vo veku nad 60 rokov a u pacientov s už existujúcou respiračnou nedostatočnosťou alebo s narušenou funkciou srdca, najmä ak sa injekcia podá príliš rýchlo alebo ak sa podá vysoká dávka (pozri časť 4.4).</w:t>
      </w:r>
    </w:p>
    <w:p w14:paraId="293E4D51" w14:textId="77777777" w:rsidR="009A517F" w:rsidRPr="009A517F" w:rsidRDefault="009A517F" w:rsidP="009A517F">
      <w:pPr>
        <w:rPr>
          <w:sz w:val="22"/>
          <w:szCs w:val="22"/>
        </w:rPr>
      </w:pPr>
    </w:p>
    <w:p w14:paraId="12412969" w14:textId="77777777" w:rsidR="00B86C56" w:rsidRDefault="00B86C56" w:rsidP="009A517F">
      <w:pPr>
        <w:suppressLineNumbers/>
        <w:adjustRightInd w:val="0"/>
        <w:rPr>
          <w:sz w:val="22"/>
          <w:szCs w:val="22"/>
          <w:u w:val="single"/>
        </w:rPr>
      </w:pPr>
    </w:p>
    <w:p w14:paraId="5628E5EE" w14:textId="60009AD8" w:rsidR="009A517F" w:rsidRPr="009A517F" w:rsidRDefault="009A517F" w:rsidP="009A517F">
      <w:pPr>
        <w:suppressLineNumbers/>
        <w:adjustRightInd w:val="0"/>
        <w:rPr>
          <w:sz w:val="22"/>
          <w:szCs w:val="22"/>
          <w:u w:val="single"/>
        </w:rPr>
      </w:pPr>
      <w:r w:rsidRPr="009A517F">
        <w:rPr>
          <w:sz w:val="22"/>
          <w:szCs w:val="22"/>
          <w:u w:val="single"/>
        </w:rPr>
        <w:t>Hlásenie podozrení na nežiaduce reakcie</w:t>
      </w:r>
    </w:p>
    <w:p w14:paraId="7A09BC91" w14:textId="77777777" w:rsidR="009A517F" w:rsidRPr="009A517F" w:rsidRDefault="009A517F" w:rsidP="009A517F">
      <w:pPr>
        <w:suppressLineNumbers/>
        <w:adjustRightInd w:val="0"/>
        <w:rPr>
          <w:sz w:val="22"/>
          <w:szCs w:val="22"/>
        </w:rPr>
      </w:pPr>
      <w:r w:rsidRPr="009A517F">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9A517F">
        <w:rPr>
          <w:sz w:val="22"/>
          <w:szCs w:val="22"/>
          <w:highlight w:val="lightGray"/>
        </w:rPr>
        <w:t>národné centrum hlásenia uvedené v </w:t>
      </w:r>
      <w:hyperlink r:id="rId7" w:history="1">
        <w:r w:rsidRPr="009A517F">
          <w:rPr>
            <w:rStyle w:val="Hypertextovprepojenie"/>
            <w:sz w:val="22"/>
            <w:szCs w:val="22"/>
            <w:highlight w:val="lightGray"/>
          </w:rPr>
          <w:t>Prílohe V</w:t>
        </w:r>
      </w:hyperlink>
      <w:r w:rsidRPr="009A517F">
        <w:rPr>
          <w:sz w:val="22"/>
          <w:szCs w:val="22"/>
        </w:rPr>
        <w:t>.</w:t>
      </w:r>
    </w:p>
    <w:p w14:paraId="0B011689" w14:textId="77777777" w:rsidR="00625CF2" w:rsidRPr="009A517F" w:rsidRDefault="00625CF2" w:rsidP="00625CF2">
      <w:pPr>
        <w:ind w:left="567" w:hanging="567"/>
        <w:rPr>
          <w:b/>
          <w:sz w:val="22"/>
          <w:szCs w:val="22"/>
        </w:rPr>
      </w:pPr>
    </w:p>
    <w:p w14:paraId="43CA4289" w14:textId="77777777" w:rsidR="00625CF2" w:rsidRPr="009A517F" w:rsidRDefault="00625CF2" w:rsidP="00625CF2">
      <w:pPr>
        <w:ind w:left="567" w:hanging="567"/>
        <w:rPr>
          <w:sz w:val="22"/>
          <w:szCs w:val="22"/>
        </w:rPr>
      </w:pPr>
      <w:r w:rsidRPr="009A517F">
        <w:rPr>
          <w:b/>
          <w:sz w:val="22"/>
          <w:szCs w:val="22"/>
        </w:rPr>
        <w:t>4.9</w:t>
      </w:r>
      <w:r w:rsidRPr="009A517F">
        <w:rPr>
          <w:b/>
          <w:sz w:val="22"/>
          <w:szCs w:val="22"/>
        </w:rPr>
        <w:tab/>
        <w:t>Predávkovanie</w:t>
      </w:r>
    </w:p>
    <w:p w14:paraId="41676786" w14:textId="77777777" w:rsidR="00625CF2" w:rsidRPr="009A517F" w:rsidRDefault="00625CF2" w:rsidP="00625CF2">
      <w:pPr>
        <w:pStyle w:val="Normlnywebov"/>
        <w:spacing w:before="0" w:beforeAutospacing="0" w:after="0" w:afterAutospacing="0"/>
        <w:rPr>
          <w:sz w:val="22"/>
          <w:szCs w:val="22"/>
          <w:lang w:val="sk-SK"/>
        </w:rPr>
      </w:pPr>
    </w:p>
    <w:p w14:paraId="4A914066" w14:textId="2ACFD094" w:rsidR="00852710" w:rsidRDefault="00852710" w:rsidP="00852710">
      <w:pPr>
        <w:outlineLvl w:val="0"/>
        <w:rPr>
          <w:b/>
          <w:sz w:val="22"/>
          <w:szCs w:val="22"/>
          <w:u w:val="single"/>
        </w:rPr>
      </w:pPr>
      <w:r w:rsidRPr="00144474">
        <w:rPr>
          <w:b/>
          <w:sz w:val="22"/>
          <w:szCs w:val="22"/>
          <w:u w:val="single"/>
        </w:rPr>
        <w:t>Symptómy</w:t>
      </w:r>
    </w:p>
    <w:p w14:paraId="049F1AB7" w14:textId="77777777" w:rsidR="00852710" w:rsidRDefault="00852710" w:rsidP="00852710">
      <w:pPr>
        <w:rPr>
          <w:sz w:val="22"/>
          <w:szCs w:val="22"/>
        </w:rPr>
      </w:pPr>
      <w:r w:rsidRPr="00144474">
        <w:rPr>
          <w:sz w:val="22"/>
          <w:szCs w:val="22"/>
        </w:rPr>
        <w:t xml:space="preserve">Podobne ako ostatné benzodiazepíny, aj midazolam bežne spôsobuje ospalosť, ataxiu, dysartriu a nystagmus. Ak sa midazolam používa samostatne, predávkovanie midazolamom je len zriedkavo život ohrozujúce, ale môže viesť k areflexii, apnoe, hypotenzii, kardiorespiračnému útlmu a v zriedkavých prípadoch aj ku kóme. Kóma zvyčajne trvá niekoľko hodín, ale môže byť predĺžená a cyklická, a to najmä u starších pacientov. Utlmujúci účinok benzodiazepínov na dýchacie funkcie je závažnejší u pacientov s respiračným ochorením. </w:t>
      </w:r>
    </w:p>
    <w:p w14:paraId="69FADB7E" w14:textId="77777777" w:rsidR="00852710" w:rsidRDefault="00852710" w:rsidP="00852710">
      <w:pPr>
        <w:rPr>
          <w:sz w:val="22"/>
          <w:szCs w:val="22"/>
        </w:rPr>
      </w:pPr>
    </w:p>
    <w:p w14:paraId="41606A03" w14:textId="1A7151F8" w:rsidR="00852710" w:rsidRDefault="00852710" w:rsidP="00852710">
      <w:pPr>
        <w:rPr>
          <w:sz w:val="22"/>
          <w:szCs w:val="22"/>
        </w:rPr>
      </w:pPr>
      <w:r w:rsidRPr="00144474">
        <w:rPr>
          <w:sz w:val="22"/>
          <w:szCs w:val="22"/>
        </w:rPr>
        <w:t>Benzodiazepíny zvyšujú účinky ostatných depresív centrálneho nervového systému vrátane alkoholu.</w:t>
      </w:r>
    </w:p>
    <w:p w14:paraId="086246C0" w14:textId="3D40FB4F" w:rsidR="00852710" w:rsidRDefault="00852710" w:rsidP="00852710">
      <w:pPr>
        <w:rPr>
          <w:sz w:val="22"/>
          <w:szCs w:val="22"/>
        </w:rPr>
      </w:pPr>
    </w:p>
    <w:p w14:paraId="707CC61C" w14:textId="77777777" w:rsidR="00852710" w:rsidRPr="00144474" w:rsidRDefault="00852710" w:rsidP="00852710">
      <w:pPr>
        <w:outlineLvl w:val="0"/>
        <w:rPr>
          <w:b/>
          <w:sz w:val="22"/>
          <w:szCs w:val="22"/>
          <w:u w:val="single"/>
        </w:rPr>
      </w:pPr>
      <w:r w:rsidRPr="00144474">
        <w:rPr>
          <w:b/>
          <w:sz w:val="22"/>
          <w:szCs w:val="22"/>
          <w:u w:val="single"/>
        </w:rPr>
        <w:t>Liečba</w:t>
      </w:r>
    </w:p>
    <w:p w14:paraId="7DC90612" w14:textId="6C427956" w:rsidR="00852710" w:rsidRDefault="00852710" w:rsidP="00852710">
      <w:pPr>
        <w:rPr>
          <w:sz w:val="22"/>
          <w:szCs w:val="22"/>
        </w:rPr>
      </w:pPr>
      <w:r w:rsidRPr="00144474">
        <w:rPr>
          <w:sz w:val="22"/>
          <w:szCs w:val="22"/>
        </w:rPr>
        <w:t>V závislosti od klinického stavu pacienta sú indikované monitorovanie vitálnych funkcií pacienta a podporné opatrenia. Pacienti môžu predovšetkým vyžadovať symptomatickú liečbu účinkov na kardiorespiračný alebo centrálny nervový systém.</w:t>
      </w:r>
    </w:p>
    <w:p w14:paraId="4D35BBAC" w14:textId="77777777" w:rsidR="00852710" w:rsidRPr="00144474" w:rsidRDefault="00852710" w:rsidP="00852710">
      <w:pPr>
        <w:rPr>
          <w:sz w:val="22"/>
          <w:szCs w:val="22"/>
        </w:rPr>
      </w:pPr>
    </w:p>
    <w:p w14:paraId="23FAED7B" w14:textId="216D90D3" w:rsidR="00852710" w:rsidRDefault="00852710" w:rsidP="00852710">
      <w:pPr>
        <w:outlineLvl w:val="0"/>
        <w:rPr>
          <w:sz w:val="22"/>
          <w:szCs w:val="22"/>
        </w:rPr>
      </w:pPr>
      <w:r w:rsidRPr="00144474">
        <w:rPr>
          <w:sz w:val="22"/>
          <w:szCs w:val="22"/>
        </w:rPr>
        <w:t>V prípade perorálneho požitia sa ďalšej absorpcii predchádza použitím vhodných metód, ako napríklad podanie aktívneho živočíšneho uhlia počas 1 – 2 hodín. Pri podaní aktívneho živočíšneho uhlia je nevyhnutné zabezpečiť dýchacie cesty ospalých pacientov. V prípade zmiešanej ingescie je možné zvážiť výplach žalúdka, nie je to však rutinné opatrenie.</w:t>
      </w:r>
    </w:p>
    <w:p w14:paraId="0359B23E" w14:textId="77777777" w:rsidR="00852710" w:rsidRPr="00144474" w:rsidRDefault="00852710" w:rsidP="00852710">
      <w:pPr>
        <w:outlineLvl w:val="0"/>
        <w:rPr>
          <w:sz w:val="22"/>
          <w:szCs w:val="22"/>
        </w:rPr>
      </w:pPr>
    </w:p>
    <w:p w14:paraId="6C7554C8" w14:textId="77777777" w:rsidR="00852710" w:rsidRPr="00144474" w:rsidRDefault="00852710" w:rsidP="00852710">
      <w:pPr>
        <w:outlineLvl w:val="0"/>
        <w:rPr>
          <w:b/>
          <w:bCs/>
          <w:sz w:val="22"/>
          <w:szCs w:val="22"/>
        </w:rPr>
      </w:pPr>
      <w:r w:rsidRPr="00144474">
        <w:rPr>
          <w:sz w:val="22"/>
          <w:szCs w:val="22"/>
        </w:rPr>
        <w:t>Ak ide o závažnú depresiu CNS, je treba zvážiť použitie flumazenilu ako antagonistu benzodiazepínov. Flumazenil sa má podávať iba za dôsledne monitorovaných podmienok. Ide o liek s krátkym polčasom (asi jedna hodina), a preto je pacienta, ktorému je flumazenil podaný, potreba monitorovať aj po odznení jeho účinku. Flumazenil je potrebné používať so zvýšenou opatrnosťou, ak pacient užíva lieky, ktoré znižujú prah záchvatov (napr. tricyklické antidepresíva). Ďalšie informácie o správnom užívaní flumazenilu nájdete v písomných informáciách tohto lieku.</w:t>
      </w:r>
    </w:p>
    <w:p w14:paraId="1AF7A0BB" w14:textId="77777777" w:rsidR="00625CF2" w:rsidRPr="009A517F" w:rsidRDefault="00625CF2" w:rsidP="00625CF2">
      <w:pPr>
        <w:pStyle w:val="Normlnywebov"/>
        <w:spacing w:before="0" w:beforeAutospacing="0" w:after="0" w:afterAutospacing="0"/>
        <w:rPr>
          <w:sz w:val="22"/>
          <w:szCs w:val="22"/>
          <w:lang w:val="sk-SK"/>
        </w:rPr>
      </w:pPr>
    </w:p>
    <w:p w14:paraId="28DDE28D" w14:textId="77777777" w:rsidR="00625CF2" w:rsidRPr="009A517F" w:rsidRDefault="00625CF2" w:rsidP="00625CF2">
      <w:pPr>
        <w:pStyle w:val="Normlnywebov"/>
        <w:spacing w:before="0" w:beforeAutospacing="0" w:after="0" w:afterAutospacing="0"/>
        <w:rPr>
          <w:sz w:val="22"/>
          <w:szCs w:val="22"/>
          <w:lang w:val="sk-SK"/>
        </w:rPr>
      </w:pPr>
    </w:p>
    <w:p w14:paraId="63491309" w14:textId="77777777" w:rsidR="00625CF2" w:rsidRPr="009A517F" w:rsidRDefault="00625CF2" w:rsidP="00625CF2">
      <w:pPr>
        <w:keepNext/>
        <w:ind w:left="567" w:hanging="567"/>
        <w:rPr>
          <w:sz w:val="22"/>
          <w:szCs w:val="22"/>
        </w:rPr>
      </w:pPr>
      <w:r w:rsidRPr="009A517F">
        <w:rPr>
          <w:b/>
          <w:sz w:val="22"/>
          <w:szCs w:val="22"/>
        </w:rPr>
        <w:t>5.</w:t>
      </w:r>
      <w:r w:rsidRPr="009A517F">
        <w:rPr>
          <w:b/>
          <w:sz w:val="22"/>
          <w:szCs w:val="22"/>
        </w:rPr>
        <w:tab/>
        <w:t>FARMAKOLOGICKÉ VLASTNOSTI</w:t>
      </w:r>
    </w:p>
    <w:p w14:paraId="056C3BFB" w14:textId="77777777" w:rsidR="00625CF2" w:rsidRPr="009A517F" w:rsidRDefault="00625CF2" w:rsidP="00625CF2">
      <w:pPr>
        <w:rPr>
          <w:b/>
          <w:sz w:val="22"/>
          <w:szCs w:val="22"/>
        </w:rPr>
      </w:pPr>
    </w:p>
    <w:p w14:paraId="675F9034" w14:textId="77777777" w:rsidR="00852710" w:rsidRPr="00144474" w:rsidRDefault="00852710" w:rsidP="00852710">
      <w:pPr>
        <w:ind w:left="567" w:hanging="567"/>
        <w:rPr>
          <w:sz w:val="22"/>
          <w:szCs w:val="22"/>
        </w:rPr>
      </w:pPr>
      <w:r w:rsidRPr="00144474">
        <w:rPr>
          <w:b/>
          <w:sz w:val="22"/>
          <w:szCs w:val="22"/>
        </w:rPr>
        <w:t>5.1</w:t>
      </w:r>
      <w:r w:rsidRPr="00144474">
        <w:rPr>
          <w:b/>
          <w:sz w:val="22"/>
          <w:szCs w:val="22"/>
        </w:rPr>
        <w:tab/>
        <w:t>Farmakodynamické vlastnosti</w:t>
      </w:r>
    </w:p>
    <w:p w14:paraId="582BF939" w14:textId="77777777" w:rsidR="00852710" w:rsidRPr="00144474" w:rsidRDefault="00852710" w:rsidP="00852710">
      <w:pPr>
        <w:rPr>
          <w:sz w:val="22"/>
          <w:szCs w:val="22"/>
        </w:rPr>
      </w:pPr>
    </w:p>
    <w:p w14:paraId="6DC24503" w14:textId="77777777" w:rsidR="00852710" w:rsidRDefault="00852710" w:rsidP="00852710">
      <w:pPr>
        <w:outlineLvl w:val="0"/>
        <w:rPr>
          <w:sz w:val="22"/>
          <w:szCs w:val="22"/>
        </w:rPr>
      </w:pPr>
      <w:r w:rsidRPr="00144474">
        <w:rPr>
          <w:sz w:val="22"/>
          <w:szCs w:val="22"/>
        </w:rPr>
        <w:t xml:space="preserve">Farmakoterapeutická skupina: </w:t>
      </w:r>
    </w:p>
    <w:p w14:paraId="2A04F3D9" w14:textId="1FA8C93A" w:rsidR="00852710" w:rsidRPr="00144474" w:rsidRDefault="00852710" w:rsidP="00852710">
      <w:pPr>
        <w:outlineLvl w:val="0"/>
        <w:rPr>
          <w:sz w:val="22"/>
          <w:szCs w:val="22"/>
        </w:rPr>
      </w:pPr>
      <w:r w:rsidRPr="00144474">
        <w:rPr>
          <w:sz w:val="22"/>
          <w:szCs w:val="22"/>
        </w:rPr>
        <w:t>hypnotiká a</w:t>
      </w:r>
      <w:r>
        <w:rPr>
          <w:sz w:val="22"/>
          <w:szCs w:val="22"/>
        </w:rPr>
        <w:t> </w:t>
      </w:r>
      <w:r w:rsidRPr="00144474">
        <w:rPr>
          <w:sz w:val="22"/>
          <w:szCs w:val="22"/>
        </w:rPr>
        <w:t>sedatíva</w:t>
      </w:r>
      <w:r>
        <w:rPr>
          <w:sz w:val="22"/>
          <w:szCs w:val="22"/>
        </w:rPr>
        <w:t>:</w:t>
      </w:r>
      <w:r w:rsidRPr="00144474">
        <w:rPr>
          <w:sz w:val="22"/>
          <w:szCs w:val="22"/>
        </w:rPr>
        <w:t xml:space="preserve"> deriváty benzodiazepínov, ATC kód: N05CD08</w:t>
      </w:r>
    </w:p>
    <w:p w14:paraId="1B0B9424" w14:textId="77777777" w:rsidR="00852710" w:rsidRPr="00144474" w:rsidRDefault="00852710" w:rsidP="00852710">
      <w:pPr>
        <w:outlineLvl w:val="0"/>
        <w:rPr>
          <w:sz w:val="22"/>
          <w:szCs w:val="22"/>
        </w:rPr>
      </w:pPr>
    </w:p>
    <w:p w14:paraId="263EE76C" w14:textId="293C826D" w:rsidR="00852710" w:rsidRDefault="00852710" w:rsidP="00852710">
      <w:pPr>
        <w:outlineLvl w:val="0"/>
        <w:rPr>
          <w:sz w:val="22"/>
          <w:szCs w:val="22"/>
        </w:rPr>
      </w:pPr>
      <w:r w:rsidRPr="00144474">
        <w:rPr>
          <w:sz w:val="22"/>
          <w:szCs w:val="22"/>
        </w:rPr>
        <w:t>Midazolam má uspávací a sedatívny účinok charakterizovaný rýchlym nástupom a krátkym trvaním. Má tiež anxiolytický, antikonvulzívny a svalovo-relaxačný účinok. Midazolam spôsobuje narušenie psychomotorickej funkcie po jednorazovej a/alebo opakovanej dávke, ale vedie len k minimálnym hemodynamickým zmenám.</w:t>
      </w:r>
    </w:p>
    <w:p w14:paraId="11644699" w14:textId="77777777" w:rsidR="00852710" w:rsidRPr="00144474" w:rsidRDefault="00852710" w:rsidP="00852710">
      <w:pPr>
        <w:outlineLvl w:val="0"/>
        <w:rPr>
          <w:sz w:val="22"/>
          <w:szCs w:val="22"/>
        </w:rPr>
      </w:pPr>
    </w:p>
    <w:p w14:paraId="5640D281" w14:textId="77777777" w:rsidR="00852710" w:rsidRPr="00144474" w:rsidRDefault="00852710" w:rsidP="00852710">
      <w:pPr>
        <w:outlineLvl w:val="0"/>
        <w:rPr>
          <w:sz w:val="22"/>
          <w:szCs w:val="22"/>
        </w:rPr>
      </w:pPr>
      <w:r w:rsidRPr="00144474">
        <w:rPr>
          <w:sz w:val="22"/>
          <w:szCs w:val="22"/>
        </w:rPr>
        <w:t xml:space="preserve">Hlavná aktivita benzodiazepínov je sprostredkovaná nárastom GABAergnej neurotransmisie na inhibičných synapsách. Za prítomnosti benzodiazepínov je afinita GABA receptora k neurotransmiteru zvýšená účinkom kladnej alosterickej modulácie, čo vedie k zvýšenej aktivite uvoľnených GABA na postsynaptický transmembránový tok iónov chlóru. </w:t>
      </w:r>
    </w:p>
    <w:p w14:paraId="0FD88884" w14:textId="77777777" w:rsidR="00852710" w:rsidRPr="00144474" w:rsidRDefault="00852710" w:rsidP="00852710">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Midazolam je derivát zo skupiny imidazobenzodiazepínov. Voľná báza je lipofilná látka so slabou rozpustnosťou vo vode.</w:t>
      </w:r>
    </w:p>
    <w:p w14:paraId="00F9E7C7" w14:textId="77777777" w:rsidR="00852710" w:rsidRPr="00144474" w:rsidRDefault="00852710" w:rsidP="00852710">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Bázický dusík v  pozícii 2 imidazobenzodiazepínového kruhu umožňuje midazolamu vytvárať soli s kyselinami rozpustné vo vode. Tie tvoria stabilný a dobre tolerovaný injekčný alebo infúzny roztok.</w:t>
      </w:r>
    </w:p>
    <w:p w14:paraId="0E3D7D23" w14:textId="4D204A32" w:rsidR="00852710" w:rsidRDefault="00852710" w:rsidP="00852710">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V kombinácii s rýchlou metabolickou transformáciou to vysvetľuje rýchly nástup a krátke trvanie účinkov. Vďaka nízkej toxicite má midazolam široké spektrum terapeutického použitia.</w:t>
      </w:r>
    </w:p>
    <w:p w14:paraId="6ACB4C5C" w14:textId="77777777" w:rsidR="00341593" w:rsidRPr="00144474" w:rsidRDefault="00341593" w:rsidP="00852710">
      <w:pPr>
        <w:pStyle w:val="B"/>
        <w:spacing w:line="240" w:lineRule="auto"/>
        <w:ind w:left="0"/>
        <w:jc w:val="left"/>
        <w:rPr>
          <w:rFonts w:ascii="Times New Roman" w:hAnsi="Times New Roman" w:cs="Times New Roman"/>
          <w:sz w:val="22"/>
          <w:szCs w:val="22"/>
          <w:lang w:val="sk-SK"/>
        </w:rPr>
      </w:pPr>
    </w:p>
    <w:p w14:paraId="67F651E6" w14:textId="77777777" w:rsidR="00852710" w:rsidRPr="00144474" w:rsidRDefault="00852710" w:rsidP="00852710">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Po intramuskulárnom alebo intravenóznom podaní sa pozoruje krátkodobá anterográdna amnézia (pacient si nepamätá udalosti, ktoré sa stali počas maximálneho účinku zlúčeniny).</w:t>
      </w:r>
    </w:p>
    <w:p w14:paraId="2232AF71" w14:textId="77777777" w:rsidR="00625CF2" w:rsidRPr="009A517F" w:rsidRDefault="00625CF2" w:rsidP="00625CF2">
      <w:pPr>
        <w:rPr>
          <w:sz w:val="22"/>
          <w:szCs w:val="22"/>
        </w:rPr>
      </w:pPr>
    </w:p>
    <w:p w14:paraId="07BC49FA" w14:textId="77777777" w:rsidR="00341593" w:rsidRPr="00144474" w:rsidRDefault="00341593" w:rsidP="00341593">
      <w:pPr>
        <w:keepNext/>
        <w:ind w:left="567" w:hanging="567"/>
        <w:rPr>
          <w:sz w:val="22"/>
          <w:szCs w:val="22"/>
        </w:rPr>
      </w:pPr>
      <w:r w:rsidRPr="00144474">
        <w:rPr>
          <w:b/>
          <w:sz w:val="22"/>
          <w:szCs w:val="22"/>
        </w:rPr>
        <w:t>5.2</w:t>
      </w:r>
      <w:r w:rsidRPr="00144474">
        <w:rPr>
          <w:b/>
          <w:sz w:val="22"/>
          <w:szCs w:val="22"/>
        </w:rPr>
        <w:tab/>
        <w:t xml:space="preserve">Farmakokinetické vlastnosti </w:t>
      </w:r>
    </w:p>
    <w:p w14:paraId="5D6EB092" w14:textId="77777777" w:rsidR="00341593" w:rsidRPr="00144474" w:rsidRDefault="00341593" w:rsidP="00341593">
      <w:pPr>
        <w:pStyle w:val="Normlnywebov"/>
        <w:spacing w:before="0" w:beforeAutospacing="0" w:after="0" w:afterAutospacing="0"/>
        <w:rPr>
          <w:sz w:val="22"/>
          <w:szCs w:val="22"/>
          <w:lang w:val="sk-SK"/>
        </w:rPr>
      </w:pPr>
    </w:p>
    <w:p w14:paraId="7A78A614" w14:textId="77777777" w:rsidR="00341593" w:rsidRDefault="00341593" w:rsidP="00341593">
      <w:pPr>
        <w:numPr>
          <w:ilvl w:val="12"/>
          <w:numId w:val="0"/>
        </w:numPr>
        <w:suppressLineNumbers/>
        <w:ind w:right="-2"/>
        <w:rPr>
          <w:b/>
          <w:sz w:val="22"/>
          <w:szCs w:val="22"/>
          <w:u w:val="single"/>
        </w:rPr>
      </w:pPr>
      <w:r w:rsidRPr="00D33D05">
        <w:rPr>
          <w:b/>
          <w:sz w:val="22"/>
          <w:szCs w:val="22"/>
          <w:u w:val="single"/>
        </w:rPr>
        <w:t>Absorpcia po intramuskulárnom podaní</w:t>
      </w:r>
    </w:p>
    <w:p w14:paraId="018853B1"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Midazolam je zo svalového tkaniva rýchlo a úplne metabolizovaný. Maximálne plazmatické koncentrácie sa dosiahnu v priebehu 30 minút. Absolútna biologická dostupnosť po intramuskulárnej injekcii je vyše 90 %.</w:t>
      </w:r>
    </w:p>
    <w:p w14:paraId="65FF5BAE" w14:textId="77777777" w:rsidR="00341593" w:rsidRPr="00144474" w:rsidRDefault="00341593" w:rsidP="00341593">
      <w:pPr>
        <w:numPr>
          <w:ilvl w:val="12"/>
          <w:numId w:val="0"/>
        </w:numPr>
        <w:suppressLineNumbers/>
        <w:ind w:right="-2"/>
        <w:rPr>
          <w:sz w:val="22"/>
          <w:szCs w:val="22"/>
        </w:rPr>
      </w:pPr>
    </w:p>
    <w:p w14:paraId="106D0CC3" w14:textId="77777777" w:rsidR="00341593" w:rsidRPr="00D33D05" w:rsidRDefault="00341593" w:rsidP="00341593">
      <w:pPr>
        <w:numPr>
          <w:ilvl w:val="12"/>
          <w:numId w:val="0"/>
        </w:numPr>
        <w:suppressLineNumbers/>
        <w:ind w:right="-2"/>
        <w:rPr>
          <w:b/>
          <w:sz w:val="22"/>
          <w:szCs w:val="22"/>
          <w:u w:val="single"/>
        </w:rPr>
      </w:pPr>
      <w:r w:rsidRPr="00D33D05">
        <w:rPr>
          <w:b/>
          <w:sz w:val="22"/>
          <w:szCs w:val="22"/>
          <w:u w:val="single"/>
        </w:rPr>
        <w:t>Absorpcia po rektálnom podaní</w:t>
      </w:r>
    </w:p>
    <w:p w14:paraId="428F5F05"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Midazolam sa po rektálnom podaní absorbuje rýchlo. Maximálna plazmatická koncentrácia sa dosiahne približne v priebehu 30 minút. Absolútna biologická dostupnosť je asi 50 %.</w:t>
      </w:r>
    </w:p>
    <w:p w14:paraId="113D15EA" w14:textId="77777777" w:rsidR="00341593" w:rsidRPr="00144474" w:rsidRDefault="00341593" w:rsidP="00341593">
      <w:pPr>
        <w:numPr>
          <w:ilvl w:val="12"/>
          <w:numId w:val="0"/>
        </w:numPr>
        <w:suppressLineNumbers/>
        <w:ind w:right="-2"/>
        <w:rPr>
          <w:sz w:val="22"/>
          <w:szCs w:val="22"/>
        </w:rPr>
      </w:pPr>
    </w:p>
    <w:p w14:paraId="6F7E7657" w14:textId="77777777" w:rsidR="00341593" w:rsidRPr="00D33D05" w:rsidRDefault="00341593" w:rsidP="00341593">
      <w:pPr>
        <w:numPr>
          <w:ilvl w:val="12"/>
          <w:numId w:val="0"/>
        </w:numPr>
        <w:suppressLineNumbers/>
        <w:ind w:right="-2"/>
        <w:rPr>
          <w:b/>
          <w:sz w:val="22"/>
          <w:szCs w:val="22"/>
          <w:u w:val="single"/>
        </w:rPr>
      </w:pPr>
      <w:r w:rsidRPr="00D33D05">
        <w:rPr>
          <w:b/>
          <w:sz w:val="22"/>
          <w:szCs w:val="22"/>
          <w:u w:val="single"/>
        </w:rPr>
        <w:t>Distribúcia</w:t>
      </w:r>
    </w:p>
    <w:p w14:paraId="618EDA9E"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Po intravenóznom podaní midazolamu naznačuje krivka plazmatickej koncentrácie v závislosti od času jednu alebo dve rôzne fázy distribúcie. Distribučný objem v rovnovážnom stave je 0,7</w:t>
      </w:r>
      <w:r>
        <w:rPr>
          <w:rFonts w:ascii="Times New Roman" w:hAnsi="Times New Roman" w:cs="Times New Roman"/>
          <w:sz w:val="22"/>
          <w:szCs w:val="22"/>
          <w:lang w:val="sk-SK"/>
        </w:rPr>
        <w:t> – </w:t>
      </w:r>
      <w:r w:rsidRPr="00144474">
        <w:rPr>
          <w:rFonts w:ascii="Times New Roman" w:hAnsi="Times New Roman" w:cs="Times New Roman"/>
          <w:sz w:val="22"/>
          <w:szCs w:val="22"/>
          <w:lang w:val="sk-SK"/>
        </w:rPr>
        <w:t xml:space="preserve">1,2 l/kg. </w:t>
      </w:r>
    </w:p>
    <w:p w14:paraId="4065D8B5"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96</w:t>
      </w:r>
      <w:r>
        <w:rPr>
          <w:rFonts w:ascii="Times New Roman" w:hAnsi="Times New Roman" w:cs="Times New Roman"/>
          <w:sz w:val="22"/>
          <w:szCs w:val="22"/>
          <w:lang w:val="sk-SK"/>
        </w:rPr>
        <w:t> – </w:t>
      </w:r>
      <w:r w:rsidRPr="00144474">
        <w:rPr>
          <w:rFonts w:ascii="Times New Roman" w:hAnsi="Times New Roman" w:cs="Times New Roman"/>
          <w:sz w:val="22"/>
          <w:szCs w:val="22"/>
          <w:lang w:val="sk-SK"/>
        </w:rPr>
        <w:t>98 % midazolamu sa viaže na plazmatické proteíny, najmä albumín. Midazolam pomaly a v malom množstve prechádza do cerebrospinálnej tekutiny. Dokázalo sa, že u ľudí midazolam pomaly prechádza cez placentu do krvného obehu plodu. Malé množstvo midazolamu sa zistilo v materskom mlieku.</w:t>
      </w:r>
      <w:r>
        <w:rPr>
          <w:rFonts w:ascii="Times New Roman" w:hAnsi="Times New Roman" w:cs="Times New Roman"/>
          <w:sz w:val="22"/>
          <w:szCs w:val="22"/>
          <w:lang w:val="sk-SK"/>
        </w:rPr>
        <w:t xml:space="preserve"> Midazolam nie je substrátom pre nosiče liečiv.</w:t>
      </w:r>
    </w:p>
    <w:p w14:paraId="1E377484" w14:textId="77777777" w:rsidR="00341593" w:rsidRPr="00144474" w:rsidRDefault="00341593" w:rsidP="00341593">
      <w:pPr>
        <w:numPr>
          <w:ilvl w:val="12"/>
          <w:numId w:val="0"/>
        </w:numPr>
        <w:suppressLineNumbers/>
        <w:ind w:right="-2"/>
        <w:rPr>
          <w:sz w:val="22"/>
          <w:szCs w:val="22"/>
        </w:rPr>
      </w:pPr>
    </w:p>
    <w:p w14:paraId="507DC0D9" w14:textId="77777777" w:rsidR="00341593" w:rsidRPr="00D33D05" w:rsidRDefault="00341593" w:rsidP="00341593">
      <w:pPr>
        <w:numPr>
          <w:ilvl w:val="12"/>
          <w:numId w:val="0"/>
        </w:numPr>
        <w:suppressLineNumbers/>
        <w:ind w:right="-2"/>
        <w:rPr>
          <w:b/>
          <w:sz w:val="22"/>
          <w:szCs w:val="22"/>
          <w:u w:val="single"/>
        </w:rPr>
      </w:pPr>
      <w:r w:rsidRPr="00D33D05">
        <w:rPr>
          <w:b/>
          <w:sz w:val="22"/>
          <w:szCs w:val="22"/>
          <w:u w:val="single"/>
        </w:rPr>
        <w:t>Biotransformácia</w:t>
      </w:r>
    </w:p>
    <w:p w14:paraId="035C16F5"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Midazolam sa takmer úplne eliminuje biotransformáciou. Odhaduje sa, že približne 30</w:t>
      </w:r>
      <w:r>
        <w:rPr>
          <w:rFonts w:ascii="Times New Roman" w:hAnsi="Times New Roman" w:cs="Times New Roman"/>
          <w:sz w:val="22"/>
          <w:szCs w:val="22"/>
          <w:lang w:val="sk-SK"/>
        </w:rPr>
        <w:t> – </w:t>
      </w:r>
      <w:r w:rsidRPr="00144474">
        <w:rPr>
          <w:rFonts w:ascii="Times New Roman" w:hAnsi="Times New Roman" w:cs="Times New Roman"/>
          <w:sz w:val="22"/>
          <w:szCs w:val="22"/>
          <w:lang w:val="sk-SK"/>
        </w:rPr>
        <w:t>60 % dávky sa eliminuje prostredníctvom pečene. Midazolam je hydroxylovaný pomocou izoenzýmu cytochrómu P4503A4. Hlavný metabolit v plazme a moči je alfahydroxymidazolam. Plazmatické koncentrácie alfahydroxymidazolamu predstavujú 12 % koncentrácie pôvodnej zlúčeniny. Alfahydroxymidazolam je farmakologicky účinný, ale k účinkom intravenózneho midazolamu prispieva len minimálne (asi 10 %).</w:t>
      </w:r>
    </w:p>
    <w:p w14:paraId="7EE96B79" w14:textId="77777777" w:rsidR="00341593" w:rsidRPr="00144474" w:rsidRDefault="00341593" w:rsidP="00341593">
      <w:pPr>
        <w:numPr>
          <w:ilvl w:val="12"/>
          <w:numId w:val="0"/>
        </w:numPr>
        <w:suppressLineNumbers/>
        <w:ind w:right="-2"/>
        <w:rPr>
          <w:sz w:val="22"/>
          <w:szCs w:val="22"/>
        </w:rPr>
      </w:pPr>
    </w:p>
    <w:p w14:paraId="5BCD032E" w14:textId="77777777" w:rsidR="00341593" w:rsidRPr="00D33D05" w:rsidRDefault="00341593" w:rsidP="00341593">
      <w:pPr>
        <w:numPr>
          <w:ilvl w:val="12"/>
          <w:numId w:val="0"/>
        </w:numPr>
        <w:suppressLineNumbers/>
        <w:ind w:right="-2"/>
        <w:rPr>
          <w:b/>
          <w:sz w:val="22"/>
          <w:szCs w:val="22"/>
          <w:u w:val="single"/>
        </w:rPr>
      </w:pPr>
      <w:r w:rsidRPr="00D33D05">
        <w:rPr>
          <w:b/>
          <w:sz w:val="22"/>
          <w:szCs w:val="22"/>
          <w:u w:val="single"/>
        </w:rPr>
        <w:t>Eliminácia</w:t>
      </w:r>
    </w:p>
    <w:p w14:paraId="67D20CAB" w14:textId="77777777" w:rsidR="00481AD9" w:rsidRDefault="00341593" w:rsidP="00341593">
      <w:pPr>
        <w:numPr>
          <w:ilvl w:val="12"/>
          <w:numId w:val="0"/>
        </w:numPr>
        <w:suppressLineNumbers/>
        <w:ind w:right="-2"/>
        <w:rPr>
          <w:sz w:val="22"/>
          <w:szCs w:val="22"/>
        </w:rPr>
      </w:pPr>
      <w:r w:rsidRPr="00144474">
        <w:rPr>
          <w:sz w:val="22"/>
          <w:szCs w:val="22"/>
        </w:rPr>
        <w:t>U zdravých dobrovoľníkov je polčas eliminácie midazolamu 1,5</w:t>
      </w:r>
      <w:r>
        <w:rPr>
          <w:sz w:val="22"/>
          <w:szCs w:val="22"/>
        </w:rPr>
        <w:t> – </w:t>
      </w:r>
      <w:r w:rsidRPr="00144474">
        <w:rPr>
          <w:sz w:val="22"/>
          <w:szCs w:val="22"/>
        </w:rPr>
        <w:t xml:space="preserve">2,5 hodiny. </w:t>
      </w:r>
      <w:r>
        <w:rPr>
          <w:sz w:val="22"/>
          <w:szCs w:val="22"/>
        </w:rPr>
        <w:t xml:space="preserve">Polčas eliminácie metabolitu je menej ako 1 hodina, preto po podaní midazolamu klesá koncentrácia materskej zlúčeniny a hlavného metabolitu súbežne. </w:t>
      </w:r>
      <w:r w:rsidRPr="00144474">
        <w:rPr>
          <w:sz w:val="22"/>
          <w:szCs w:val="22"/>
        </w:rPr>
        <w:t>Plazmatický klírens je v rozsahu 300</w:t>
      </w:r>
      <w:r>
        <w:rPr>
          <w:sz w:val="22"/>
          <w:szCs w:val="22"/>
        </w:rPr>
        <w:t> – </w:t>
      </w:r>
      <w:r w:rsidRPr="00144474">
        <w:rPr>
          <w:sz w:val="22"/>
          <w:szCs w:val="22"/>
        </w:rPr>
        <w:t>500 ml/min. Midazolam sa vylučuje najmä obličkami (60</w:t>
      </w:r>
      <w:r>
        <w:rPr>
          <w:sz w:val="22"/>
          <w:szCs w:val="22"/>
        </w:rPr>
        <w:t> – </w:t>
      </w:r>
      <w:r w:rsidRPr="00144474">
        <w:rPr>
          <w:sz w:val="22"/>
          <w:szCs w:val="22"/>
        </w:rPr>
        <w:t xml:space="preserve">80 % dávky podanej injekciou), pričom sa mení na alfahydroxymidazolam konjugovaný s glukuronidom. Menej ako 1 % dávky sa vylúči do moču v nezmenenej forme. Polčas eliminácie alfahydroxymidazolamu je kratší ako 1 hodina. </w:t>
      </w:r>
    </w:p>
    <w:p w14:paraId="62FFF039" w14:textId="73A54FC0" w:rsidR="00341593" w:rsidRPr="00144474" w:rsidRDefault="00341593" w:rsidP="00341593">
      <w:pPr>
        <w:numPr>
          <w:ilvl w:val="12"/>
          <w:numId w:val="0"/>
        </w:numPr>
        <w:suppressLineNumbers/>
        <w:ind w:right="-2"/>
        <w:rPr>
          <w:sz w:val="22"/>
          <w:szCs w:val="22"/>
        </w:rPr>
      </w:pPr>
      <w:r w:rsidRPr="00144474">
        <w:rPr>
          <w:sz w:val="22"/>
          <w:szCs w:val="22"/>
        </w:rPr>
        <w:t>Kinetika eliminácie midazolamu</w:t>
      </w:r>
      <w:r w:rsidR="00955733">
        <w:rPr>
          <w:sz w:val="22"/>
          <w:szCs w:val="22"/>
        </w:rPr>
        <w:t xml:space="preserve"> </w:t>
      </w:r>
      <w:r w:rsidR="00955733" w:rsidRPr="00144474">
        <w:rPr>
          <w:sz w:val="22"/>
          <w:szCs w:val="22"/>
        </w:rPr>
        <w:t>podaného</w:t>
      </w:r>
      <w:r w:rsidR="00955733">
        <w:rPr>
          <w:sz w:val="22"/>
          <w:szCs w:val="22"/>
        </w:rPr>
        <w:t xml:space="preserve"> i.</w:t>
      </w:r>
      <w:r w:rsidR="00E30F2B">
        <w:rPr>
          <w:sz w:val="22"/>
          <w:szCs w:val="22"/>
        </w:rPr>
        <w:t xml:space="preserve"> </w:t>
      </w:r>
      <w:r w:rsidR="00955733">
        <w:rPr>
          <w:sz w:val="22"/>
          <w:szCs w:val="22"/>
        </w:rPr>
        <w:t>v. infúziou</w:t>
      </w:r>
      <w:r w:rsidRPr="00144474">
        <w:rPr>
          <w:sz w:val="22"/>
          <w:szCs w:val="22"/>
        </w:rPr>
        <w:t xml:space="preserve"> sa neodlišuje od kinetiky po podaní bolusovej injekcie.</w:t>
      </w:r>
      <w:r>
        <w:rPr>
          <w:sz w:val="22"/>
          <w:szCs w:val="22"/>
        </w:rPr>
        <w:t xml:space="preserve"> Opakované podávanie midazolamu neindukuje enzýmy metabolizmu liečiv.</w:t>
      </w:r>
    </w:p>
    <w:p w14:paraId="0FAFA5DC" w14:textId="77777777" w:rsidR="00341593" w:rsidRPr="00144474" w:rsidRDefault="00341593" w:rsidP="00341593">
      <w:pPr>
        <w:numPr>
          <w:ilvl w:val="12"/>
          <w:numId w:val="0"/>
        </w:numPr>
        <w:suppressLineNumbers/>
        <w:ind w:right="-2"/>
        <w:rPr>
          <w:sz w:val="22"/>
          <w:szCs w:val="22"/>
        </w:rPr>
      </w:pPr>
    </w:p>
    <w:p w14:paraId="607A92A8" w14:textId="33B1429E" w:rsidR="00341593" w:rsidRPr="00815C49" w:rsidRDefault="00341593" w:rsidP="00341593">
      <w:pPr>
        <w:pStyle w:val="B"/>
        <w:spacing w:line="240" w:lineRule="auto"/>
        <w:ind w:left="0"/>
        <w:jc w:val="left"/>
        <w:rPr>
          <w:rFonts w:ascii="Times New Roman" w:hAnsi="Times New Roman" w:cs="Times New Roman"/>
          <w:b/>
          <w:iCs/>
          <w:sz w:val="22"/>
          <w:szCs w:val="22"/>
          <w:u w:val="single"/>
          <w:lang w:val="sk-SK"/>
        </w:rPr>
      </w:pPr>
      <w:r w:rsidRPr="00815C49">
        <w:rPr>
          <w:rFonts w:ascii="Times New Roman" w:hAnsi="Times New Roman" w:cs="Times New Roman"/>
          <w:b/>
          <w:iCs/>
          <w:sz w:val="22"/>
          <w:szCs w:val="22"/>
          <w:u w:val="single"/>
          <w:lang w:val="sk-SK"/>
        </w:rPr>
        <w:t>Farmakokinetika u osobitných skupín pacientov</w:t>
      </w:r>
    </w:p>
    <w:p w14:paraId="237E9AC7" w14:textId="77777777" w:rsidR="00955733" w:rsidRDefault="00955733" w:rsidP="00341593">
      <w:pPr>
        <w:pStyle w:val="B"/>
        <w:spacing w:line="240" w:lineRule="auto"/>
        <w:ind w:left="0"/>
        <w:jc w:val="left"/>
        <w:rPr>
          <w:rFonts w:ascii="Times New Roman" w:hAnsi="Times New Roman" w:cs="Times New Roman"/>
          <w:i/>
          <w:iCs/>
          <w:sz w:val="22"/>
          <w:szCs w:val="22"/>
          <w:lang w:val="sk-SK"/>
        </w:rPr>
      </w:pPr>
    </w:p>
    <w:p w14:paraId="5959178A" w14:textId="163AD882" w:rsidR="00341593" w:rsidRPr="00144474" w:rsidRDefault="00341593" w:rsidP="00341593">
      <w:pPr>
        <w:pStyle w:val="B"/>
        <w:spacing w:line="240" w:lineRule="auto"/>
        <w:ind w:left="0"/>
        <w:jc w:val="left"/>
        <w:rPr>
          <w:rFonts w:ascii="Times New Roman" w:hAnsi="Times New Roman" w:cs="Times New Roman"/>
          <w:i/>
          <w:iCs/>
          <w:strike/>
          <w:sz w:val="22"/>
          <w:szCs w:val="22"/>
          <w:lang w:val="sk-SK"/>
        </w:rPr>
      </w:pPr>
      <w:r w:rsidRPr="00144474">
        <w:rPr>
          <w:rFonts w:ascii="Times New Roman" w:hAnsi="Times New Roman" w:cs="Times New Roman"/>
          <w:i/>
          <w:iCs/>
          <w:sz w:val="22"/>
          <w:szCs w:val="22"/>
          <w:lang w:val="sk-SK"/>
        </w:rPr>
        <w:t>Starší pacienti</w:t>
      </w:r>
    </w:p>
    <w:p w14:paraId="49E8E12C" w14:textId="77777777" w:rsidR="00341593" w:rsidRPr="00144474" w:rsidRDefault="00341593" w:rsidP="00341593">
      <w:pPr>
        <w:rPr>
          <w:sz w:val="22"/>
          <w:szCs w:val="22"/>
        </w:rPr>
      </w:pPr>
      <w:r w:rsidRPr="00144474">
        <w:rPr>
          <w:sz w:val="22"/>
          <w:szCs w:val="22"/>
        </w:rPr>
        <w:t>Polčas eliminácie sa u dospelých vo veku nad 60 rokov môže predĺžiť až štvornásobne.</w:t>
      </w:r>
    </w:p>
    <w:p w14:paraId="06133F3D" w14:textId="77777777" w:rsidR="00341593" w:rsidRPr="00144474" w:rsidRDefault="00341593" w:rsidP="00341593">
      <w:pPr>
        <w:numPr>
          <w:ilvl w:val="12"/>
          <w:numId w:val="0"/>
        </w:numPr>
        <w:suppressLineNumbers/>
        <w:ind w:right="-2"/>
        <w:rPr>
          <w:sz w:val="22"/>
          <w:szCs w:val="22"/>
        </w:rPr>
      </w:pPr>
    </w:p>
    <w:p w14:paraId="2B6DAA01" w14:textId="77777777" w:rsidR="00341593" w:rsidRPr="00144474" w:rsidRDefault="00341593" w:rsidP="00341593">
      <w:pPr>
        <w:pStyle w:val="B"/>
        <w:spacing w:line="240" w:lineRule="auto"/>
        <w:ind w:left="0"/>
        <w:jc w:val="left"/>
        <w:rPr>
          <w:rFonts w:ascii="Times New Roman" w:hAnsi="Times New Roman" w:cs="Times New Roman"/>
          <w:i/>
          <w:iCs/>
          <w:sz w:val="22"/>
          <w:szCs w:val="22"/>
          <w:lang w:val="sk-SK"/>
        </w:rPr>
      </w:pPr>
      <w:bookmarkStart w:id="3" w:name="OLE_LINK9"/>
      <w:r w:rsidRPr="00144474">
        <w:rPr>
          <w:rFonts w:ascii="Times New Roman" w:hAnsi="Times New Roman" w:cs="Times New Roman"/>
          <w:i/>
          <w:iCs/>
          <w:sz w:val="22"/>
          <w:szCs w:val="22"/>
          <w:lang w:val="sk-SK"/>
        </w:rPr>
        <w:t>Pediatrická populácia</w:t>
      </w:r>
    </w:p>
    <w:bookmarkEnd w:id="3"/>
    <w:p w14:paraId="291FAD99"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Zatiaľ čo je miera absorpcie rektálne podávaného midazolamu u detí podobná ako u dospelých, biologická dostupnosť u detí je nižšia (5</w:t>
      </w:r>
      <w:r>
        <w:rPr>
          <w:rFonts w:ascii="Times New Roman" w:hAnsi="Times New Roman" w:cs="Times New Roman"/>
          <w:sz w:val="22"/>
          <w:szCs w:val="22"/>
          <w:lang w:val="sk-SK"/>
        </w:rPr>
        <w:t> – </w:t>
      </w:r>
      <w:r w:rsidRPr="00144474">
        <w:rPr>
          <w:rFonts w:ascii="Times New Roman" w:hAnsi="Times New Roman" w:cs="Times New Roman"/>
          <w:sz w:val="22"/>
          <w:szCs w:val="22"/>
          <w:lang w:val="sk-SK"/>
        </w:rPr>
        <w:t>18 %). V porovnan</w:t>
      </w:r>
      <w:r>
        <w:rPr>
          <w:rFonts w:ascii="Times New Roman" w:hAnsi="Times New Roman" w:cs="Times New Roman"/>
          <w:sz w:val="22"/>
          <w:szCs w:val="22"/>
          <w:lang w:val="sk-SK"/>
        </w:rPr>
        <w:t>í</w:t>
      </w:r>
      <w:r w:rsidRPr="00144474">
        <w:rPr>
          <w:rFonts w:ascii="Times New Roman" w:hAnsi="Times New Roman" w:cs="Times New Roman"/>
          <w:sz w:val="22"/>
          <w:szCs w:val="22"/>
          <w:lang w:val="sk-SK"/>
        </w:rPr>
        <w:t xml:space="preserve"> s dospelými je polčas eliminácie po intravenóznom a rektálnom podaní u detí od 3 do 10 rokov kratší (1</w:t>
      </w:r>
      <w:r>
        <w:rPr>
          <w:rFonts w:ascii="Times New Roman" w:hAnsi="Times New Roman" w:cs="Times New Roman"/>
          <w:sz w:val="22"/>
          <w:szCs w:val="22"/>
          <w:lang w:val="sk-SK"/>
        </w:rPr>
        <w:t> – </w:t>
      </w:r>
      <w:r w:rsidRPr="00144474">
        <w:rPr>
          <w:rFonts w:ascii="Times New Roman" w:hAnsi="Times New Roman" w:cs="Times New Roman"/>
          <w:sz w:val="22"/>
          <w:szCs w:val="22"/>
          <w:lang w:val="sk-SK"/>
        </w:rPr>
        <w:t>1,5 hodiny). Tento rozdiel je v zhode so zvýšeným metabolickým klírensom u detí.</w:t>
      </w:r>
    </w:p>
    <w:p w14:paraId="3F539A21" w14:textId="77777777" w:rsidR="00341593" w:rsidRPr="00144474" w:rsidRDefault="00341593" w:rsidP="00341593">
      <w:pPr>
        <w:numPr>
          <w:ilvl w:val="12"/>
          <w:numId w:val="0"/>
        </w:numPr>
        <w:suppressLineNumbers/>
        <w:ind w:right="-2"/>
        <w:rPr>
          <w:sz w:val="22"/>
          <w:szCs w:val="22"/>
        </w:rPr>
      </w:pPr>
    </w:p>
    <w:p w14:paraId="054CABC6" w14:textId="77777777" w:rsidR="00341593" w:rsidRPr="00144474" w:rsidRDefault="00341593" w:rsidP="00341593">
      <w:pPr>
        <w:pStyle w:val="B"/>
        <w:spacing w:line="240" w:lineRule="auto"/>
        <w:ind w:left="0"/>
        <w:jc w:val="left"/>
        <w:rPr>
          <w:rFonts w:ascii="Times New Roman" w:hAnsi="Times New Roman" w:cs="Times New Roman"/>
          <w:i/>
          <w:iCs/>
          <w:strike/>
          <w:sz w:val="22"/>
          <w:szCs w:val="22"/>
          <w:lang w:val="sk-SK"/>
        </w:rPr>
      </w:pPr>
      <w:r w:rsidRPr="00144474">
        <w:rPr>
          <w:rFonts w:ascii="Times New Roman" w:hAnsi="Times New Roman" w:cs="Times New Roman"/>
          <w:i/>
          <w:iCs/>
          <w:sz w:val="22"/>
          <w:szCs w:val="22"/>
          <w:lang w:val="sk-SK"/>
        </w:rPr>
        <w:t>Novorodenci</w:t>
      </w:r>
    </w:p>
    <w:p w14:paraId="69667EDA"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U novorodencov je polčas eliminácie v priemere 6</w:t>
      </w:r>
      <w:r>
        <w:rPr>
          <w:rFonts w:ascii="Times New Roman" w:hAnsi="Times New Roman" w:cs="Times New Roman"/>
          <w:sz w:val="22"/>
          <w:szCs w:val="22"/>
          <w:lang w:val="sk-SK"/>
        </w:rPr>
        <w:t> – </w:t>
      </w:r>
      <w:r w:rsidRPr="00144474">
        <w:rPr>
          <w:rFonts w:ascii="Times New Roman" w:hAnsi="Times New Roman" w:cs="Times New Roman"/>
          <w:sz w:val="22"/>
          <w:szCs w:val="22"/>
          <w:lang w:val="sk-SK"/>
        </w:rPr>
        <w:t>12 hodín, pravdepodobne v dôsledku nezrelosti pečene, a klírens je znížený (pozri časť 4.4).</w:t>
      </w:r>
      <w:r>
        <w:rPr>
          <w:rFonts w:ascii="Times New Roman" w:hAnsi="Times New Roman" w:cs="Times New Roman"/>
          <w:sz w:val="22"/>
          <w:szCs w:val="22"/>
          <w:lang w:val="sk-SK"/>
        </w:rPr>
        <w:t xml:space="preserve"> U novorodencov s pečeňovou a obličkovou nedostatočnosťou spojenou s asfyxiou sa prejavuje riziko nezvyčajne vysokých koncentrácií midazolamu v sére v dôsledku výrazne zníženého a premenlivého klírensu.</w:t>
      </w:r>
    </w:p>
    <w:p w14:paraId="1C1D6CAE"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eastAsia="en-US"/>
        </w:rPr>
      </w:pPr>
    </w:p>
    <w:p w14:paraId="2FDF0FE0" w14:textId="6A90C293" w:rsidR="00341593" w:rsidRPr="00144474" w:rsidRDefault="00341593" w:rsidP="00341593">
      <w:pPr>
        <w:pStyle w:val="B"/>
        <w:spacing w:line="240" w:lineRule="auto"/>
        <w:ind w:left="0"/>
        <w:jc w:val="left"/>
        <w:rPr>
          <w:rFonts w:ascii="Times New Roman" w:hAnsi="Times New Roman" w:cs="Times New Roman"/>
          <w:i/>
          <w:iCs/>
          <w:sz w:val="22"/>
          <w:szCs w:val="22"/>
          <w:lang w:val="sk-SK"/>
        </w:rPr>
      </w:pPr>
      <w:r w:rsidRPr="00144474">
        <w:rPr>
          <w:rFonts w:ascii="Times New Roman" w:hAnsi="Times New Roman" w:cs="Times New Roman"/>
          <w:i/>
          <w:iCs/>
          <w:sz w:val="22"/>
          <w:szCs w:val="22"/>
          <w:lang w:val="sk-SK"/>
        </w:rPr>
        <w:t>Obézni pacienti</w:t>
      </w:r>
    </w:p>
    <w:p w14:paraId="1B70D4DA"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Priemerný polčas u obéznych pacientov je vyšší v porovnaní s pacientmi s normálnou hmotnosťou (5,9 hodín v porovnaní s 2,3 hodinami). To je spôsobené 50</w:t>
      </w:r>
      <w:r>
        <w:rPr>
          <w:rFonts w:ascii="Times New Roman" w:hAnsi="Times New Roman" w:cs="Times New Roman"/>
          <w:sz w:val="22"/>
          <w:szCs w:val="22"/>
          <w:lang w:val="sk-SK"/>
        </w:rPr>
        <w:t> </w:t>
      </w:r>
      <w:r w:rsidRPr="00144474">
        <w:rPr>
          <w:rFonts w:ascii="Times New Roman" w:hAnsi="Times New Roman" w:cs="Times New Roman"/>
          <w:sz w:val="22"/>
          <w:szCs w:val="22"/>
          <w:lang w:val="sk-SK"/>
        </w:rPr>
        <w:t>% zvýšením distribučného objemu, ktorý je upravený na celkovú telesnú hmotnosť. Klírens u obéznych pacientov v porovnaní s pacientmi s normálnou hmotnosťou nie je výrazne odlišný.</w:t>
      </w:r>
    </w:p>
    <w:p w14:paraId="52A265D1" w14:textId="77777777" w:rsidR="00341593" w:rsidRPr="00144474" w:rsidRDefault="00341593" w:rsidP="00341593">
      <w:pPr>
        <w:numPr>
          <w:ilvl w:val="12"/>
          <w:numId w:val="0"/>
        </w:numPr>
        <w:suppressLineNumbers/>
        <w:ind w:right="-2"/>
        <w:rPr>
          <w:sz w:val="22"/>
          <w:szCs w:val="22"/>
        </w:rPr>
      </w:pPr>
    </w:p>
    <w:p w14:paraId="3B28ECBA"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i/>
          <w:iCs/>
          <w:sz w:val="22"/>
          <w:szCs w:val="22"/>
          <w:lang w:val="sk-SK"/>
        </w:rPr>
        <w:t>Pacienti s poruchou funkcie pečene</w:t>
      </w:r>
    </w:p>
    <w:p w14:paraId="2C0E6155"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Polčas eliminácie u pacientov s cirhózou pečene môže byť dlhší a klírens kratší v porovnaní s hodnotami u zdravých dobrovoľníkov (pozri časť 4.4).</w:t>
      </w:r>
    </w:p>
    <w:p w14:paraId="3EB8B17A" w14:textId="77777777" w:rsidR="00341593" w:rsidRPr="00144474" w:rsidRDefault="00341593" w:rsidP="00341593">
      <w:pPr>
        <w:pStyle w:val="B"/>
        <w:spacing w:line="240" w:lineRule="auto"/>
        <w:ind w:left="0"/>
        <w:jc w:val="left"/>
        <w:rPr>
          <w:rFonts w:ascii="Times New Roman" w:hAnsi="Times New Roman" w:cs="Times New Roman"/>
          <w:i/>
          <w:iCs/>
          <w:sz w:val="22"/>
          <w:szCs w:val="22"/>
          <w:u w:val="single"/>
          <w:lang w:val="sk-SK" w:eastAsia="en-US"/>
        </w:rPr>
      </w:pPr>
    </w:p>
    <w:p w14:paraId="4E7D669E"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i/>
          <w:iCs/>
          <w:sz w:val="22"/>
          <w:szCs w:val="22"/>
          <w:lang w:val="sk-SK"/>
        </w:rPr>
        <w:t>Pacienti s poruchou funkcie obličiek</w:t>
      </w:r>
    </w:p>
    <w:p w14:paraId="3BD6984F"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Pr>
          <w:rFonts w:ascii="Times New Roman" w:hAnsi="Times New Roman" w:cs="Times New Roman"/>
          <w:sz w:val="22"/>
          <w:szCs w:val="22"/>
          <w:lang w:val="sk-SK"/>
        </w:rPr>
        <w:t>Farmakokinetika voľného midazolamu nie je ovplyvnená u pacientov so závažnou poruchou funkcie obličiek. Hlavný farmakologicky neaktívny metabolit midazolamu 1´-</w:t>
      </w:r>
      <w:r w:rsidRPr="00F51764">
        <w:rPr>
          <w:rFonts w:ascii="Times New Roman" w:hAnsi="Times New Roman" w:cs="Times New Roman"/>
          <w:sz w:val="22"/>
          <w:szCs w:val="22"/>
          <w:lang w:val="sk-SK"/>
        </w:rPr>
        <w:t>hydroxymidazolam konjugovaný s</w:t>
      </w:r>
      <w:r>
        <w:rPr>
          <w:rFonts w:ascii="Times New Roman" w:hAnsi="Times New Roman" w:cs="Times New Roman"/>
          <w:sz w:val="22"/>
          <w:szCs w:val="22"/>
          <w:lang w:val="sk-SK"/>
        </w:rPr>
        <w:t> </w:t>
      </w:r>
      <w:r w:rsidRPr="00F51764">
        <w:rPr>
          <w:rFonts w:ascii="Times New Roman" w:hAnsi="Times New Roman" w:cs="Times New Roman"/>
          <w:sz w:val="22"/>
          <w:szCs w:val="22"/>
          <w:lang w:val="sk-SK"/>
        </w:rPr>
        <w:t>glukuronidom</w:t>
      </w:r>
      <w:r>
        <w:rPr>
          <w:rFonts w:ascii="Times New Roman" w:hAnsi="Times New Roman" w:cs="Times New Roman"/>
          <w:sz w:val="22"/>
          <w:szCs w:val="22"/>
          <w:lang w:val="sk-SK"/>
        </w:rPr>
        <w:t>,</w:t>
      </w:r>
      <w:r w:rsidRPr="00144474">
        <w:rPr>
          <w:rFonts w:ascii="Times New Roman" w:hAnsi="Times New Roman" w:cs="Times New Roman"/>
          <w:sz w:val="22"/>
          <w:szCs w:val="22"/>
          <w:lang w:val="sk-SK"/>
        </w:rPr>
        <w:t xml:space="preserve"> </w:t>
      </w:r>
      <w:r>
        <w:rPr>
          <w:rFonts w:ascii="Times New Roman" w:hAnsi="Times New Roman" w:cs="Times New Roman"/>
          <w:sz w:val="22"/>
          <w:szCs w:val="22"/>
          <w:lang w:val="sk-SK"/>
        </w:rPr>
        <w:t>vylučovaný obličkami, sa akumuluje u pacientov so závažnou poruchou funkcie obličiek. Táto akumulácia spôsobuje predĺženie sedácie. Midazolam sa má podávať s opatrnosťou a má byť titrovaný, kým sa nedosiahne požadovaný účinok.</w:t>
      </w:r>
    </w:p>
    <w:p w14:paraId="329DF188" w14:textId="77777777" w:rsidR="00341593" w:rsidRPr="00144474" w:rsidRDefault="00341593" w:rsidP="00341593">
      <w:pPr>
        <w:numPr>
          <w:ilvl w:val="12"/>
          <w:numId w:val="0"/>
        </w:numPr>
        <w:suppressLineNumbers/>
        <w:ind w:right="-2"/>
        <w:rPr>
          <w:sz w:val="22"/>
          <w:szCs w:val="22"/>
        </w:rPr>
      </w:pPr>
    </w:p>
    <w:p w14:paraId="7047B848" w14:textId="77777777" w:rsidR="00341593" w:rsidRPr="00144474" w:rsidRDefault="00341593" w:rsidP="00341593">
      <w:pPr>
        <w:pStyle w:val="B"/>
        <w:spacing w:line="240" w:lineRule="auto"/>
        <w:ind w:left="0"/>
        <w:jc w:val="left"/>
        <w:rPr>
          <w:rFonts w:ascii="Times New Roman" w:hAnsi="Times New Roman" w:cs="Times New Roman"/>
          <w:i/>
          <w:iCs/>
          <w:sz w:val="22"/>
          <w:szCs w:val="22"/>
          <w:lang w:val="sk-SK"/>
        </w:rPr>
      </w:pPr>
      <w:r w:rsidRPr="00144474">
        <w:rPr>
          <w:rFonts w:ascii="Times New Roman" w:hAnsi="Times New Roman" w:cs="Times New Roman"/>
          <w:i/>
          <w:iCs/>
          <w:sz w:val="22"/>
          <w:szCs w:val="22"/>
          <w:lang w:val="sk-SK"/>
        </w:rPr>
        <w:t>Kriticky chorí pacienti</w:t>
      </w:r>
    </w:p>
    <w:p w14:paraId="0A75A61C"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Polčas eliminácie midazolamu je u kriticky chorých pacientov predĺžený až šesťnásobne.</w:t>
      </w:r>
    </w:p>
    <w:p w14:paraId="5E722EB3" w14:textId="77777777" w:rsidR="00341593" w:rsidRPr="00144474" w:rsidRDefault="00341593" w:rsidP="00341593">
      <w:pPr>
        <w:pStyle w:val="B"/>
        <w:spacing w:line="240" w:lineRule="auto"/>
        <w:ind w:left="0"/>
        <w:jc w:val="left"/>
        <w:rPr>
          <w:rFonts w:ascii="Times New Roman" w:hAnsi="Times New Roman" w:cs="Times New Roman"/>
          <w:i/>
          <w:iCs/>
          <w:sz w:val="22"/>
          <w:szCs w:val="22"/>
          <w:u w:val="single"/>
          <w:lang w:val="sk-SK" w:eastAsia="en-US"/>
        </w:rPr>
      </w:pPr>
    </w:p>
    <w:p w14:paraId="5D768183"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i/>
          <w:iCs/>
          <w:sz w:val="22"/>
          <w:szCs w:val="22"/>
          <w:lang w:val="sk-SK"/>
        </w:rPr>
        <w:t>Pacienti s nedostatočnosťou srdca</w:t>
      </w:r>
    </w:p>
    <w:p w14:paraId="26535B6E" w14:textId="77777777" w:rsidR="00341593" w:rsidRPr="00144474" w:rsidRDefault="00341593" w:rsidP="00341593">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Polčas eliminácie u pacientov s kongestívnym zlyhaním srdca je dlhší v porovnaní so zdravými jedincami (pozri časť 4.4).</w:t>
      </w:r>
    </w:p>
    <w:p w14:paraId="0D8139CD" w14:textId="143D4A5A" w:rsidR="00625CF2" w:rsidRPr="009A517F" w:rsidRDefault="00625CF2" w:rsidP="00625CF2">
      <w:pPr>
        <w:rPr>
          <w:sz w:val="22"/>
          <w:szCs w:val="22"/>
        </w:rPr>
      </w:pPr>
    </w:p>
    <w:p w14:paraId="4DA21E26" w14:textId="77777777" w:rsidR="009176B8" w:rsidRPr="00144474" w:rsidRDefault="009176B8" w:rsidP="009176B8">
      <w:pPr>
        <w:numPr>
          <w:ilvl w:val="1"/>
          <w:numId w:val="3"/>
        </w:numPr>
        <w:autoSpaceDE/>
        <w:autoSpaceDN/>
        <w:rPr>
          <w:sz w:val="22"/>
          <w:szCs w:val="22"/>
        </w:rPr>
      </w:pPr>
      <w:r w:rsidRPr="00144474">
        <w:rPr>
          <w:b/>
          <w:sz w:val="22"/>
          <w:szCs w:val="22"/>
        </w:rPr>
        <w:t>Predklinické údaje o bezpečnosti</w:t>
      </w:r>
    </w:p>
    <w:p w14:paraId="5F6B7863" w14:textId="77777777" w:rsidR="009176B8" w:rsidRPr="00144474" w:rsidRDefault="009176B8" w:rsidP="009176B8">
      <w:pPr>
        <w:pStyle w:val="Bezriadkovania1"/>
        <w:rPr>
          <w:sz w:val="22"/>
          <w:szCs w:val="22"/>
          <w:lang w:val="sk-SK"/>
        </w:rPr>
      </w:pPr>
    </w:p>
    <w:p w14:paraId="38F64CFA" w14:textId="77777777" w:rsidR="009176B8" w:rsidRPr="00202CA2" w:rsidRDefault="009176B8" w:rsidP="009176B8">
      <w:pPr>
        <w:rPr>
          <w:sz w:val="22"/>
          <w:szCs w:val="22"/>
          <w:lang w:eastAsia="en-GB"/>
        </w:rPr>
      </w:pPr>
      <w:r w:rsidRPr="00202CA2">
        <w:rPr>
          <w:sz w:val="22"/>
          <w:szCs w:val="22"/>
          <w:lang w:eastAsia="en-GB"/>
        </w:rPr>
        <w:t xml:space="preserve">Pre lekárov predpisujúcich liek nie sú dostupné žiadne ďalšie významné predklinické údaje okrem tých už zahrnutých do iných častí tohto </w:t>
      </w:r>
      <w:r>
        <w:rPr>
          <w:sz w:val="22"/>
          <w:szCs w:val="22"/>
          <w:lang w:eastAsia="en-GB"/>
        </w:rPr>
        <w:t>s</w:t>
      </w:r>
      <w:r w:rsidRPr="00202CA2">
        <w:rPr>
          <w:sz w:val="22"/>
          <w:szCs w:val="22"/>
          <w:lang w:eastAsia="en-GB"/>
        </w:rPr>
        <w:t>úhrnu charakteristických vlastností lieku.</w:t>
      </w:r>
    </w:p>
    <w:p w14:paraId="5BF3D295" w14:textId="77777777" w:rsidR="009176B8" w:rsidRPr="00202CA2" w:rsidRDefault="009176B8" w:rsidP="009176B8">
      <w:pPr>
        <w:pStyle w:val="Bezriadkovania1"/>
        <w:rPr>
          <w:sz w:val="22"/>
          <w:szCs w:val="22"/>
          <w:lang w:val="sk-SK"/>
        </w:rPr>
      </w:pPr>
    </w:p>
    <w:p w14:paraId="436169AC" w14:textId="77777777" w:rsidR="00625CF2" w:rsidRPr="009A517F" w:rsidRDefault="00625CF2" w:rsidP="00625CF2">
      <w:pPr>
        <w:pStyle w:val="Normlnywebov"/>
        <w:spacing w:before="0" w:beforeAutospacing="0" w:after="0" w:afterAutospacing="0"/>
        <w:rPr>
          <w:sz w:val="22"/>
          <w:szCs w:val="22"/>
          <w:lang w:val="sk-SK"/>
        </w:rPr>
      </w:pPr>
    </w:p>
    <w:p w14:paraId="08EF0C11" w14:textId="77777777" w:rsidR="009176B8" w:rsidRPr="00144474" w:rsidRDefault="009176B8" w:rsidP="009176B8">
      <w:pPr>
        <w:keepNext/>
        <w:ind w:left="567" w:hanging="567"/>
        <w:rPr>
          <w:b/>
          <w:sz w:val="22"/>
          <w:szCs w:val="22"/>
        </w:rPr>
      </w:pPr>
      <w:r w:rsidRPr="00144474">
        <w:rPr>
          <w:b/>
          <w:sz w:val="22"/>
          <w:szCs w:val="22"/>
        </w:rPr>
        <w:t>6.</w:t>
      </w:r>
      <w:r w:rsidRPr="00144474">
        <w:rPr>
          <w:b/>
          <w:sz w:val="22"/>
          <w:szCs w:val="22"/>
        </w:rPr>
        <w:tab/>
        <w:t>FARMACEUTICKÉ INFORMÁCIE</w:t>
      </w:r>
    </w:p>
    <w:p w14:paraId="55AE8CBD" w14:textId="77777777" w:rsidR="009176B8" w:rsidRPr="00144474" w:rsidRDefault="009176B8" w:rsidP="009176B8">
      <w:pPr>
        <w:keepNext/>
        <w:rPr>
          <w:b/>
          <w:sz w:val="22"/>
          <w:szCs w:val="22"/>
        </w:rPr>
      </w:pPr>
    </w:p>
    <w:p w14:paraId="245A2114" w14:textId="77777777" w:rsidR="009176B8" w:rsidRPr="00144474" w:rsidRDefault="009176B8" w:rsidP="009176B8">
      <w:pPr>
        <w:keepNext/>
        <w:ind w:left="567" w:hanging="567"/>
        <w:rPr>
          <w:b/>
          <w:sz w:val="22"/>
          <w:szCs w:val="22"/>
        </w:rPr>
      </w:pPr>
      <w:r w:rsidRPr="00144474">
        <w:rPr>
          <w:b/>
          <w:sz w:val="22"/>
          <w:szCs w:val="22"/>
        </w:rPr>
        <w:t>6.1</w:t>
      </w:r>
      <w:r w:rsidRPr="00144474">
        <w:rPr>
          <w:b/>
          <w:sz w:val="22"/>
          <w:szCs w:val="22"/>
        </w:rPr>
        <w:tab/>
        <w:t>Zoznam pomocných látok</w:t>
      </w:r>
    </w:p>
    <w:p w14:paraId="30B3BDC1" w14:textId="77777777" w:rsidR="009176B8" w:rsidRPr="00144474" w:rsidRDefault="009176B8" w:rsidP="009176B8">
      <w:pPr>
        <w:keepNext/>
        <w:rPr>
          <w:sz w:val="22"/>
          <w:szCs w:val="22"/>
        </w:rPr>
      </w:pPr>
    </w:p>
    <w:p w14:paraId="7A836582" w14:textId="77777777" w:rsidR="009176B8" w:rsidRPr="00202CA2" w:rsidRDefault="009176B8" w:rsidP="009176B8">
      <w:pPr>
        <w:rPr>
          <w:sz w:val="22"/>
          <w:szCs w:val="22"/>
          <w:lang w:eastAsia="en-GB"/>
        </w:rPr>
      </w:pPr>
      <w:r w:rsidRPr="00202CA2">
        <w:rPr>
          <w:sz w:val="22"/>
          <w:szCs w:val="22"/>
          <w:lang w:eastAsia="en-GB"/>
        </w:rPr>
        <w:t>chlorid sodný</w:t>
      </w:r>
    </w:p>
    <w:p w14:paraId="1DDA289C" w14:textId="77777777" w:rsidR="009176B8" w:rsidRPr="00202CA2" w:rsidRDefault="009176B8" w:rsidP="009176B8">
      <w:pPr>
        <w:rPr>
          <w:sz w:val="22"/>
          <w:szCs w:val="22"/>
          <w:lang w:eastAsia="en-GB"/>
        </w:rPr>
      </w:pPr>
      <w:r w:rsidRPr="00202CA2">
        <w:rPr>
          <w:sz w:val="22"/>
          <w:szCs w:val="22"/>
          <w:lang w:eastAsia="en-GB"/>
        </w:rPr>
        <w:t>hydroxid sodný (na úpravu pH)</w:t>
      </w:r>
      <w:r>
        <w:rPr>
          <w:sz w:val="22"/>
          <w:szCs w:val="22"/>
          <w:lang w:eastAsia="en-GB"/>
        </w:rPr>
        <w:t xml:space="preserve"> (E524)</w:t>
      </w:r>
    </w:p>
    <w:p w14:paraId="5554B03A" w14:textId="77777777" w:rsidR="009176B8" w:rsidRPr="00202CA2" w:rsidRDefault="009176B8" w:rsidP="009176B8">
      <w:pPr>
        <w:rPr>
          <w:sz w:val="22"/>
          <w:szCs w:val="22"/>
          <w:lang w:eastAsia="en-GB"/>
        </w:rPr>
      </w:pPr>
      <w:r w:rsidRPr="00202CA2">
        <w:rPr>
          <w:sz w:val="22"/>
          <w:szCs w:val="22"/>
          <w:lang w:eastAsia="en-GB"/>
        </w:rPr>
        <w:t>kyselina chlorovodíková</w:t>
      </w:r>
      <w:r>
        <w:rPr>
          <w:sz w:val="22"/>
          <w:szCs w:val="22"/>
          <w:lang w:eastAsia="en-GB"/>
        </w:rPr>
        <w:t xml:space="preserve"> (na úpravu pH) (E507)</w:t>
      </w:r>
    </w:p>
    <w:p w14:paraId="2CF98CD2" w14:textId="27F16E64" w:rsidR="009176B8" w:rsidRPr="00202CA2" w:rsidRDefault="009176B8" w:rsidP="009176B8">
      <w:pPr>
        <w:rPr>
          <w:sz w:val="22"/>
          <w:szCs w:val="22"/>
          <w:lang w:eastAsia="en-GB"/>
        </w:rPr>
      </w:pPr>
      <w:r w:rsidRPr="00202CA2">
        <w:rPr>
          <w:sz w:val="22"/>
          <w:szCs w:val="22"/>
          <w:lang w:eastAsia="en-GB"/>
        </w:rPr>
        <w:t>voda na injekci</w:t>
      </w:r>
      <w:r w:rsidR="0009698F">
        <w:rPr>
          <w:sz w:val="22"/>
          <w:szCs w:val="22"/>
          <w:lang w:eastAsia="en-GB"/>
        </w:rPr>
        <w:t>e</w:t>
      </w:r>
    </w:p>
    <w:p w14:paraId="7C9C0F67" w14:textId="77777777" w:rsidR="009176B8" w:rsidRPr="00144474" w:rsidRDefault="009176B8" w:rsidP="009176B8">
      <w:pPr>
        <w:keepNext/>
        <w:rPr>
          <w:sz w:val="22"/>
          <w:szCs w:val="22"/>
        </w:rPr>
      </w:pPr>
    </w:p>
    <w:p w14:paraId="0A07EEB0" w14:textId="77777777" w:rsidR="009176B8" w:rsidRPr="00144474" w:rsidRDefault="009176B8" w:rsidP="009176B8">
      <w:pPr>
        <w:numPr>
          <w:ilvl w:val="1"/>
          <w:numId w:val="4"/>
        </w:numPr>
        <w:autoSpaceDE/>
        <w:autoSpaceDN/>
        <w:rPr>
          <w:sz w:val="22"/>
          <w:szCs w:val="22"/>
        </w:rPr>
      </w:pPr>
      <w:r w:rsidRPr="00144474">
        <w:rPr>
          <w:b/>
          <w:sz w:val="22"/>
          <w:szCs w:val="22"/>
        </w:rPr>
        <w:t>Inkompatibility</w:t>
      </w:r>
      <w:r w:rsidRPr="00144474">
        <w:rPr>
          <w:sz w:val="22"/>
          <w:szCs w:val="22"/>
        </w:rPr>
        <w:t xml:space="preserve"> </w:t>
      </w:r>
    </w:p>
    <w:p w14:paraId="6D5C8A9C" w14:textId="77777777" w:rsidR="009176B8" w:rsidRPr="00144474" w:rsidRDefault="009176B8" w:rsidP="009176B8">
      <w:pPr>
        <w:rPr>
          <w:sz w:val="22"/>
          <w:szCs w:val="22"/>
        </w:rPr>
      </w:pPr>
    </w:p>
    <w:p w14:paraId="123E771D" w14:textId="77777777" w:rsidR="009176B8" w:rsidRPr="009105F7" w:rsidRDefault="009176B8" w:rsidP="009176B8">
      <w:pPr>
        <w:pStyle w:val="B"/>
        <w:spacing w:line="240" w:lineRule="auto"/>
        <w:ind w:left="0"/>
        <w:jc w:val="left"/>
        <w:rPr>
          <w:rFonts w:ascii="Times New Roman" w:hAnsi="Times New Roman" w:cs="Times New Roman"/>
          <w:sz w:val="22"/>
          <w:szCs w:val="22"/>
          <w:lang w:val="sk-SK"/>
        </w:rPr>
      </w:pPr>
      <w:bookmarkStart w:id="4" w:name="_Hlk515831386"/>
      <w:r>
        <w:rPr>
          <w:rFonts w:ascii="Times New Roman" w:hAnsi="Times New Roman" w:cs="Times New Roman"/>
          <w:sz w:val="22"/>
          <w:szCs w:val="22"/>
          <w:lang w:val="sk-SK"/>
        </w:rPr>
        <w:t xml:space="preserve">Ampulky </w:t>
      </w:r>
      <w:r w:rsidRPr="009105F7">
        <w:rPr>
          <w:rFonts w:ascii="Times New Roman" w:hAnsi="Times New Roman" w:cs="Times New Roman"/>
          <w:sz w:val="22"/>
          <w:szCs w:val="22"/>
          <w:lang w:val="sk-SK"/>
        </w:rPr>
        <w:t>Midazolam</w:t>
      </w:r>
      <w:r>
        <w:rPr>
          <w:rFonts w:ascii="Times New Roman" w:hAnsi="Times New Roman" w:cs="Times New Roman"/>
          <w:sz w:val="22"/>
          <w:szCs w:val="22"/>
          <w:lang w:val="sk-SK"/>
        </w:rPr>
        <w:t xml:space="preserve">u sa nesmú riediť so </w:t>
      </w:r>
      <w:r w:rsidRPr="00B86586">
        <w:rPr>
          <w:rFonts w:ascii="Times New Roman" w:hAnsi="Times New Roman" w:cs="Times New Roman"/>
          <w:sz w:val="22"/>
          <w:szCs w:val="22"/>
          <w:lang w:val="sk-SK"/>
        </w:rPr>
        <w:t>6</w:t>
      </w:r>
      <w:r>
        <w:rPr>
          <w:rFonts w:ascii="Times New Roman" w:hAnsi="Times New Roman" w:cs="Times New Roman"/>
          <w:sz w:val="22"/>
          <w:szCs w:val="22"/>
          <w:lang w:val="sk-SK"/>
        </w:rPr>
        <w:t> </w:t>
      </w:r>
      <w:r w:rsidRPr="00B86586">
        <w:rPr>
          <w:rFonts w:ascii="Times New Roman" w:hAnsi="Times New Roman" w:cs="Times New Roman"/>
          <w:sz w:val="22"/>
          <w:szCs w:val="22"/>
          <w:lang w:val="sk-SK"/>
        </w:rPr>
        <w:t>% roztok</w:t>
      </w:r>
      <w:r>
        <w:rPr>
          <w:rFonts w:ascii="Times New Roman" w:hAnsi="Times New Roman" w:cs="Times New Roman"/>
          <w:sz w:val="22"/>
          <w:szCs w:val="22"/>
          <w:lang w:val="sk-SK"/>
        </w:rPr>
        <w:t>om</w:t>
      </w:r>
      <w:r w:rsidRPr="00B86586">
        <w:rPr>
          <w:rFonts w:ascii="Times New Roman" w:hAnsi="Times New Roman" w:cs="Times New Roman"/>
          <w:sz w:val="22"/>
          <w:szCs w:val="22"/>
          <w:lang w:val="sk-SK"/>
        </w:rPr>
        <w:t xml:space="preserve"> dextránu v</w:t>
      </w:r>
      <w:r>
        <w:rPr>
          <w:rFonts w:ascii="Times New Roman" w:hAnsi="Times New Roman" w:cs="Times New Roman"/>
          <w:sz w:val="22"/>
          <w:szCs w:val="22"/>
          <w:lang w:val="sk-SK"/>
        </w:rPr>
        <w:t> </w:t>
      </w:r>
      <w:r w:rsidRPr="00B86586">
        <w:rPr>
          <w:rFonts w:ascii="Times New Roman" w:hAnsi="Times New Roman" w:cs="Times New Roman"/>
          <w:sz w:val="22"/>
          <w:szCs w:val="22"/>
          <w:lang w:val="sk-SK"/>
        </w:rPr>
        <w:t>glukóze</w:t>
      </w:r>
      <w:r>
        <w:rPr>
          <w:rFonts w:ascii="Times New Roman" w:hAnsi="Times New Roman" w:cs="Times New Roman"/>
          <w:sz w:val="22"/>
          <w:szCs w:val="22"/>
          <w:lang w:val="sk-SK"/>
        </w:rPr>
        <w:t>.</w:t>
      </w:r>
      <w:r w:rsidRPr="009105F7">
        <w:rPr>
          <w:rFonts w:ascii="Times New Roman" w:hAnsi="Times New Roman" w:cs="Times New Roman"/>
          <w:sz w:val="22"/>
          <w:szCs w:val="22"/>
          <w:lang w:val="sk-SK"/>
        </w:rPr>
        <w:t xml:space="preserve"> </w:t>
      </w:r>
    </w:p>
    <w:p w14:paraId="016C5181" w14:textId="77777777" w:rsidR="009176B8" w:rsidRPr="009105F7" w:rsidRDefault="009176B8" w:rsidP="009176B8">
      <w:pPr>
        <w:pStyle w:val="B"/>
        <w:spacing w:line="240" w:lineRule="auto"/>
        <w:ind w:left="0"/>
        <w:jc w:val="left"/>
        <w:rPr>
          <w:rFonts w:ascii="Times New Roman" w:hAnsi="Times New Roman" w:cs="Times New Roman"/>
          <w:sz w:val="22"/>
          <w:szCs w:val="22"/>
          <w:lang w:val="sk-SK"/>
        </w:rPr>
      </w:pPr>
      <w:r w:rsidRPr="009105F7">
        <w:rPr>
          <w:rFonts w:ascii="Times New Roman" w:hAnsi="Times New Roman" w:cs="Times New Roman"/>
          <w:sz w:val="22"/>
          <w:szCs w:val="22"/>
          <w:lang w:val="sk-SK"/>
        </w:rPr>
        <w:t>Midazolam sa nesmie miešať s alkalickými roztokmi. V roztokoch obsahujúcich hydrogenuhličitan</w:t>
      </w:r>
      <w:r>
        <w:rPr>
          <w:rFonts w:ascii="Times New Roman" w:hAnsi="Times New Roman" w:cs="Times New Roman"/>
          <w:sz w:val="22"/>
          <w:szCs w:val="22"/>
          <w:lang w:val="sk-SK"/>
        </w:rPr>
        <w:t xml:space="preserve"> sodný</w:t>
      </w:r>
      <w:r w:rsidRPr="009105F7">
        <w:rPr>
          <w:rFonts w:ascii="Times New Roman" w:hAnsi="Times New Roman" w:cs="Times New Roman"/>
          <w:sz w:val="22"/>
          <w:szCs w:val="22"/>
          <w:lang w:val="sk-SK"/>
        </w:rPr>
        <w:t xml:space="preserve"> dochádza k zrážaniu midazolamu.</w:t>
      </w:r>
    </w:p>
    <w:p w14:paraId="337F7DA8" w14:textId="77777777" w:rsidR="009176B8" w:rsidRPr="00B86586" w:rsidRDefault="009176B8" w:rsidP="009176B8">
      <w:pPr>
        <w:rPr>
          <w:sz w:val="22"/>
          <w:szCs w:val="22"/>
          <w:lang w:eastAsia="en-GB"/>
        </w:rPr>
      </w:pPr>
      <w:r w:rsidRPr="00B86586">
        <w:rPr>
          <w:sz w:val="22"/>
          <w:szCs w:val="22"/>
          <w:lang w:eastAsia="en-GB"/>
        </w:rPr>
        <w:t>Tento liek sa nesmie miešať s inými liekmi okrem tých, ktoré sú uvedené v časti 6.6.</w:t>
      </w:r>
    </w:p>
    <w:bookmarkEnd w:id="4"/>
    <w:p w14:paraId="3D046DEC" w14:textId="77777777" w:rsidR="009176B8" w:rsidRPr="00144474" w:rsidRDefault="009176B8" w:rsidP="009176B8">
      <w:pPr>
        <w:rPr>
          <w:sz w:val="22"/>
          <w:szCs w:val="22"/>
        </w:rPr>
      </w:pPr>
    </w:p>
    <w:p w14:paraId="6DF9DE8C" w14:textId="77777777" w:rsidR="009176B8" w:rsidRPr="00144474" w:rsidRDefault="009176B8" w:rsidP="009176B8">
      <w:pPr>
        <w:ind w:left="567" w:hanging="567"/>
        <w:rPr>
          <w:sz w:val="22"/>
          <w:szCs w:val="22"/>
        </w:rPr>
      </w:pPr>
      <w:r w:rsidRPr="00144474">
        <w:rPr>
          <w:b/>
          <w:sz w:val="22"/>
          <w:szCs w:val="22"/>
        </w:rPr>
        <w:t>6.3</w:t>
      </w:r>
      <w:r w:rsidRPr="00144474">
        <w:rPr>
          <w:b/>
          <w:sz w:val="22"/>
          <w:szCs w:val="22"/>
        </w:rPr>
        <w:tab/>
        <w:t>Čas použiteľnosti</w:t>
      </w:r>
    </w:p>
    <w:p w14:paraId="25DB80EB" w14:textId="77777777" w:rsidR="009176B8" w:rsidRDefault="009176B8" w:rsidP="009176B8">
      <w:pPr>
        <w:rPr>
          <w:sz w:val="22"/>
          <w:szCs w:val="22"/>
        </w:rPr>
      </w:pPr>
    </w:p>
    <w:p w14:paraId="70ED8C1D" w14:textId="77777777" w:rsidR="009176B8" w:rsidRPr="00187358" w:rsidRDefault="009176B8" w:rsidP="009176B8">
      <w:pPr>
        <w:ind w:left="540" w:hanging="540"/>
        <w:rPr>
          <w:sz w:val="22"/>
          <w:szCs w:val="22"/>
          <w:lang w:eastAsia="en-GB"/>
        </w:rPr>
      </w:pPr>
      <w:r>
        <w:rPr>
          <w:sz w:val="22"/>
          <w:szCs w:val="22"/>
          <w:lang w:eastAsia="en-GB"/>
        </w:rPr>
        <w:t>3</w:t>
      </w:r>
      <w:r w:rsidRPr="00187358">
        <w:rPr>
          <w:sz w:val="22"/>
          <w:szCs w:val="22"/>
          <w:lang w:eastAsia="en-GB"/>
        </w:rPr>
        <w:t> roky</w:t>
      </w:r>
    </w:p>
    <w:p w14:paraId="64251F15" w14:textId="77777777" w:rsidR="009176B8" w:rsidRPr="00187358" w:rsidRDefault="009176B8" w:rsidP="009176B8">
      <w:pPr>
        <w:ind w:left="540" w:hanging="540"/>
        <w:rPr>
          <w:sz w:val="22"/>
          <w:szCs w:val="22"/>
          <w:lang w:eastAsia="en-GB"/>
        </w:rPr>
      </w:pPr>
    </w:p>
    <w:p w14:paraId="7F264DDA" w14:textId="77777777" w:rsidR="009176B8" w:rsidRDefault="009176B8" w:rsidP="009176B8">
      <w:pPr>
        <w:adjustRightInd w:val="0"/>
        <w:rPr>
          <w:sz w:val="22"/>
          <w:szCs w:val="22"/>
          <w:lang w:eastAsia="en-GB"/>
        </w:rPr>
      </w:pPr>
      <w:r w:rsidRPr="00187358">
        <w:rPr>
          <w:sz w:val="22"/>
          <w:szCs w:val="22"/>
          <w:lang w:eastAsia="en-GB"/>
        </w:rPr>
        <w:t xml:space="preserve">Chemická a fyzikálna stabilita po zriedení bola preukázaná počas 24 hodín pri </w:t>
      </w:r>
      <w:r>
        <w:rPr>
          <w:sz w:val="22"/>
          <w:szCs w:val="22"/>
          <w:lang w:eastAsia="en-GB"/>
        </w:rPr>
        <w:t xml:space="preserve">izbovej </w:t>
      </w:r>
      <w:r w:rsidRPr="00187358">
        <w:rPr>
          <w:sz w:val="22"/>
          <w:szCs w:val="22"/>
          <w:lang w:eastAsia="en-GB"/>
        </w:rPr>
        <w:t>teplote a</w:t>
      </w:r>
      <w:r>
        <w:rPr>
          <w:sz w:val="22"/>
          <w:szCs w:val="22"/>
          <w:lang w:eastAsia="en-GB"/>
        </w:rPr>
        <w:t> </w:t>
      </w:r>
      <w:r w:rsidRPr="00187358">
        <w:rPr>
          <w:sz w:val="22"/>
          <w:szCs w:val="22"/>
          <w:lang w:eastAsia="en-GB"/>
        </w:rPr>
        <w:t>3</w:t>
      </w:r>
      <w:r>
        <w:rPr>
          <w:sz w:val="22"/>
          <w:szCs w:val="22"/>
          <w:lang w:eastAsia="en-GB"/>
        </w:rPr>
        <w:t> </w:t>
      </w:r>
      <w:r w:rsidRPr="00187358">
        <w:rPr>
          <w:sz w:val="22"/>
          <w:szCs w:val="22"/>
          <w:lang w:eastAsia="en-GB"/>
        </w:rPr>
        <w:t xml:space="preserve">dni pri teplote </w:t>
      </w:r>
      <w:r>
        <w:rPr>
          <w:sz w:val="22"/>
          <w:szCs w:val="22"/>
          <w:lang w:eastAsia="en-GB"/>
        </w:rPr>
        <w:t>5 </w:t>
      </w:r>
      <w:r w:rsidRPr="00187358">
        <w:rPr>
          <w:sz w:val="22"/>
          <w:szCs w:val="22"/>
          <w:lang w:eastAsia="en-GB"/>
        </w:rPr>
        <w:t>°C</w:t>
      </w:r>
      <w:r>
        <w:rPr>
          <w:sz w:val="22"/>
          <w:szCs w:val="22"/>
          <w:lang w:eastAsia="en-GB"/>
        </w:rPr>
        <w:t>.</w:t>
      </w:r>
    </w:p>
    <w:p w14:paraId="7B85B39B" w14:textId="4171AE09" w:rsidR="009176B8" w:rsidRPr="00187358" w:rsidRDefault="009176B8" w:rsidP="009176B8">
      <w:pPr>
        <w:adjustRightInd w:val="0"/>
        <w:rPr>
          <w:sz w:val="22"/>
          <w:szCs w:val="22"/>
          <w:lang w:eastAsia="en-GB"/>
        </w:rPr>
      </w:pPr>
      <w:r w:rsidRPr="00187358">
        <w:rPr>
          <w:sz w:val="22"/>
          <w:szCs w:val="22"/>
          <w:lang w:eastAsia="en-GB"/>
        </w:rPr>
        <w:t xml:space="preserve">Z mikrobiologického hľadiska sa </w:t>
      </w:r>
      <w:r w:rsidR="001C0C53" w:rsidRPr="00187358">
        <w:rPr>
          <w:sz w:val="22"/>
          <w:szCs w:val="22"/>
          <w:lang w:eastAsia="en-GB"/>
        </w:rPr>
        <w:t xml:space="preserve">má </w:t>
      </w:r>
      <w:r w:rsidRPr="00187358">
        <w:rPr>
          <w:sz w:val="22"/>
          <w:szCs w:val="22"/>
          <w:lang w:eastAsia="en-GB"/>
        </w:rPr>
        <w:t xml:space="preserve">zriedený roztok </w:t>
      </w:r>
      <w:r w:rsidR="001C0C53" w:rsidRPr="00187358">
        <w:rPr>
          <w:sz w:val="22"/>
          <w:szCs w:val="22"/>
          <w:lang w:eastAsia="en-GB"/>
        </w:rPr>
        <w:t>použiť</w:t>
      </w:r>
      <w:r w:rsidR="001C0C53" w:rsidRPr="00187358" w:rsidDel="001C0C53">
        <w:rPr>
          <w:sz w:val="22"/>
          <w:szCs w:val="22"/>
          <w:lang w:eastAsia="en-GB"/>
        </w:rPr>
        <w:t xml:space="preserve"> </w:t>
      </w:r>
      <w:r w:rsidRPr="00187358">
        <w:rPr>
          <w:sz w:val="22"/>
          <w:szCs w:val="22"/>
          <w:lang w:eastAsia="en-GB"/>
        </w:rPr>
        <w:t>okamžite. Ak sa nepoužije okamžite, za čas a podmienky uchovávania pred použitím zodpovedá používateľ. Za normálnych okolností to nem</w:t>
      </w:r>
      <w:r w:rsidR="00077996">
        <w:rPr>
          <w:sz w:val="22"/>
          <w:szCs w:val="22"/>
          <w:lang w:eastAsia="en-GB"/>
        </w:rPr>
        <w:t>á</w:t>
      </w:r>
      <w:r w:rsidRPr="00187358">
        <w:rPr>
          <w:sz w:val="22"/>
          <w:szCs w:val="22"/>
          <w:lang w:eastAsia="en-GB"/>
        </w:rPr>
        <w:t xml:space="preserve"> byť dlhšie ako 24 hodín pri teplote 2</w:t>
      </w:r>
      <w:r>
        <w:rPr>
          <w:sz w:val="22"/>
          <w:szCs w:val="22"/>
          <w:lang w:eastAsia="en-GB"/>
        </w:rPr>
        <w:t> – </w:t>
      </w:r>
      <w:r w:rsidRPr="00187358">
        <w:rPr>
          <w:sz w:val="22"/>
          <w:szCs w:val="22"/>
          <w:lang w:eastAsia="en-GB"/>
        </w:rPr>
        <w:t>8</w:t>
      </w:r>
      <w:r>
        <w:rPr>
          <w:sz w:val="22"/>
          <w:szCs w:val="22"/>
          <w:lang w:eastAsia="en-GB"/>
        </w:rPr>
        <w:t> </w:t>
      </w:r>
      <w:r w:rsidRPr="00187358">
        <w:rPr>
          <w:sz w:val="22"/>
          <w:szCs w:val="22"/>
          <w:lang w:eastAsia="en-GB"/>
        </w:rPr>
        <w:t>°C, ak riedenie nebolo vykonané v kontrolovaných a overených aseptických podmienkach</w:t>
      </w:r>
      <w:r>
        <w:rPr>
          <w:sz w:val="22"/>
          <w:szCs w:val="22"/>
          <w:lang w:eastAsia="en-GB"/>
        </w:rPr>
        <w:t xml:space="preserve"> (riedenie pozri v časti 6.6).</w:t>
      </w:r>
    </w:p>
    <w:p w14:paraId="5348349F" w14:textId="77777777" w:rsidR="009176B8" w:rsidRPr="00144474" w:rsidRDefault="009176B8" w:rsidP="009176B8">
      <w:pPr>
        <w:rPr>
          <w:sz w:val="22"/>
          <w:szCs w:val="22"/>
        </w:rPr>
      </w:pPr>
    </w:p>
    <w:p w14:paraId="1417A695" w14:textId="77777777" w:rsidR="009176B8" w:rsidRPr="00144474" w:rsidRDefault="009176B8" w:rsidP="009176B8">
      <w:pPr>
        <w:ind w:left="567" w:hanging="567"/>
        <w:rPr>
          <w:b/>
          <w:sz w:val="22"/>
          <w:szCs w:val="22"/>
        </w:rPr>
      </w:pPr>
      <w:r w:rsidRPr="00144474">
        <w:rPr>
          <w:b/>
          <w:sz w:val="22"/>
          <w:szCs w:val="22"/>
        </w:rPr>
        <w:t>6.4</w:t>
      </w:r>
      <w:r w:rsidRPr="00144474">
        <w:rPr>
          <w:b/>
          <w:sz w:val="22"/>
          <w:szCs w:val="22"/>
        </w:rPr>
        <w:tab/>
        <w:t>Špeciálne upozornenia na uchovávanie</w:t>
      </w:r>
    </w:p>
    <w:p w14:paraId="6A5E6E67" w14:textId="77777777" w:rsidR="009176B8" w:rsidRPr="00144474" w:rsidRDefault="009176B8" w:rsidP="009176B8">
      <w:pPr>
        <w:rPr>
          <w:sz w:val="22"/>
          <w:szCs w:val="22"/>
        </w:rPr>
      </w:pPr>
    </w:p>
    <w:p w14:paraId="43BE622C" w14:textId="77777777" w:rsidR="009176B8" w:rsidRPr="0084793A" w:rsidRDefault="009176B8" w:rsidP="009176B8">
      <w:pPr>
        <w:rPr>
          <w:sz w:val="22"/>
          <w:szCs w:val="22"/>
          <w:lang w:eastAsia="en-GB"/>
        </w:rPr>
      </w:pPr>
      <w:r w:rsidRPr="0084793A">
        <w:rPr>
          <w:sz w:val="22"/>
          <w:szCs w:val="22"/>
          <w:lang w:eastAsia="en-GB"/>
        </w:rPr>
        <w:t>Ampulky uchovávajte v</w:t>
      </w:r>
      <w:r>
        <w:rPr>
          <w:sz w:val="22"/>
          <w:szCs w:val="22"/>
          <w:lang w:eastAsia="en-GB"/>
        </w:rPr>
        <w:t xml:space="preserve"> pôvodnom</w:t>
      </w:r>
      <w:r w:rsidRPr="0084793A">
        <w:rPr>
          <w:sz w:val="22"/>
          <w:szCs w:val="22"/>
          <w:lang w:eastAsia="en-GB"/>
        </w:rPr>
        <w:t xml:space="preserve"> vonkajšom obale na ochranu pred svetlom. </w:t>
      </w:r>
    </w:p>
    <w:p w14:paraId="79C91C61" w14:textId="77777777" w:rsidR="009176B8" w:rsidRPr="0084793A" w:rsidRDefault="009176B8" w:rsidP="009176B8">
      <w:pPr>
        <w:rPr>
          <w:sz w:val="22"/>
          <w:szCs w:val="22"/>
          <w:lang w:eastAsia="en-GB"/>
        </w:rPr>
      </w:pPr>
    </w:p>
    <w:p w14:paraId="3352B2BF" w14:textId="77777777" w:rsidR="009176B8" w:rsidRPr="0084793A" w:rsidRDefault="009176B8" w:rsidP="009176B8">
      <w:pPr>
        <w:rPr>
          <w:sz w:val="22"/>
          <w:szCs w:val="22"/>
          <w:lang w:eastAsia="en-GB"/>
        </w:rPr>
      </w:pPr>
      <w:r w:rsidRPr="0084793A">
        <w:rPr>
          <w:sz w:val="22"/>
          <w:szCs w:val="22"/>
          <w:lang w:eastAsia="en-GB"/>
        </w:rPr>
        <w:t>Podmienky na uchovávanie po zriedení lieku, pozri časť 6.3.</w:t>
      </w:r>
    </w:p>
    <w:p w14:paraId="06A00675" w14:textId="77777777" w:rsidR="009176B8" w:rsidRPr="00144474" w:rsidRDefault="009176B8" w:rsidP="009176B8">
      <w:pPr>
        <w:rPr>
          <w:sz w:val="22"/>
          <w:szCs w:val="22"/>
        </w:rPr>
      </w:pPr>
    </w:p>
    <w:p w14:paraId="44246B67" w14:textId="77777777" w:rsidR="009176B8" w:rsidRPr="00144474" w:rsidRDefault="009176B8" w:rsidP="009176B8">
      <w:pPr>
        <w:rPr>
          <w:b/>
          <w:sz w:val="22"/>
          <w:szCs w:val="22"/>
        </w:rPr>
      </w:pPr>
      <w:r w:rsidRPr="00144474">
        <w:rPr>
          <w:b/>
          <w:sz w:val="22"/>
          <w:szCs w:val="22"/>
        </w:rPr>
        <w:t>6.5</w:t>
      </w:r>
      <w:r w:rsidRPr="00144474">
        <w:rPr>
          <w:b/>
          <w:sz w:val="22"/>
          <w:szCs w:val="22"/>
        </w:rPr>
        <w:tab/>
        <w:t>Druh obalu a obsah balenia</w:t>
      </w:r>
    </w:p>
    <w:p w14:paraId="44393166" w14:textId="77777777" w:rsidR="009176B8" w:rsidRPr="00144474" w:rsidRDefault="009176B8" w:rsidP="009176B8">
      <w:pPr>
        <w:rPr>
          <w:sz w:val="22"/>
          <w:szCs w:val="22"/>
        </w:rPr>
      </w:pPr>
    </w:p>
    <w:p w14:paraId="6128EDDE" w14:textId="79CFACCF" w:rsidR="009176B8" w:rsidRDefault="009176B8" w:rsidP="009176B8">
      <w:pPr>
        <w:rPr>
          <w:sz w:val="22"/>
          <w:szCs w:val="22"/>
          <w:lang w:eastAsia="en-GB"/>
        </w:rPr>
      </w:pPr>
      <w:r>
        <w:rPr>
          <w:sz w:val="22"/>
          <w:szCs w:val="22"/>
          <w:lang w:eastAsia="en-GB"/>
        </w:rPr>
        <w:t xml:space="preserve">Jedna </w:t>
      </w:r>
      <w:r w:rsidR="009C5CF9">
        <w:rPr>
          <w:sz w:val="22"/>
          <w:szCs w:val="22"/>
          <w:lang w:eastAsia="en-GB"/>
        </w:rPr>
        <w:t>1</w:t>
      </w:r>
      <w:r>
        <w:rPr>
          <w:sz w:val="22"/>
          <w:szCs w:val="22"/>
          <w:lang w:eastAsia="en-GB"/>
        </w:rPr>
        <w:t xml:space="preserve"> ml ampulka obsahuje 5 mg midazolamu (vo forme chloridu). Každá </w:t>
      </w:r>
      <w:r w:rsidR="009C5CF9">
        <w:rPr>
          <w:sz w:val="22"/>
          <w:szCs w:val="22"/>
          <w:lang w:eastAsia="en-GB"/>
        </w:rPr>
        <w:t>1</w:t>
      </w:r>
      <w:r>
        <w:rPr>
          <w:sz w:val="22"/>
          <w:szCs w:val="22"/>
          <w:lang w:eastAsia="en-GB"/>
        </w:rPr>
        <w:t xml:space="preserve"> ml ampulka z bezfarebného skla (typu I) s farebným </w:t>
      </w:r>
      <w:r w:rsidRPr="0084793A">
        <w:rPr>
          <w:sz w:val="22"/>
          <w:szCs w:val="22"/>
          <w:lang w:eastAsia="en-GB"/>
        </w:rPr>
        <w:t xml:space="preserve">bodom označujúcim miesto zlomu </w:t>
      </w:r>
      <w:r>
        <w:rPr>
          <w:sz w:val="22"/>
          <w:szCs w:val="22"/>
          <w:lang w:eastAsia="en-GB"/>
        </w:rPr>
        <w:t xml:space="preserve">je v balení v škatuľke </w:t>
      </w:r>
      <w:r w:rsidR="009C5CF9">
        <w:rPr>
          <w:sz w:val="22"/>
          <w:szCs w:val="22"/>
          <w:lang w:eastAsia="en-GB"/>
        </w:rPr>
        <w:t>1</w:t>
      </w:r>
      <w:r>
        <w:rPr>
          <w:sz w:val="22"/>
          <w:szCs w:val="22"/>
          <w:lang w:eastAsia="en-GB"/>
        </w:rPr>
        <w:t xml:space="preserve"> ml x 5, </w:t>
      </w:r>
      <w:r w:rsidR="009C5CF9">
        <w:rPr>
          <w:sz w:val="22"/>
          <w:szCs w:val="22"/>
          <w:lang w:eastAsia="en-GB"/>
        </w:rPr>
        <w:t>1</w:t>
      </w:r>
      <w:r>
        <w:rPr>
          <w:sz w:val="22"/>
          <w:szCs w:val="22"/>
          <w:lang w:eastAsia="en-GB"/>
        </w:rPr>
        <w:t> ml x 10 a </w:t>
      </w:r>
      <w:r w:rsidR="009C5CF9">
        <w:rPr>
          <w:sz w:val="22"/>
          <w:szCs w:val="22"/>
          <w:lang w:eastAsia="en-GB"/>
        </w:rPr>
        <w:t>1</w:t>
      </w:r>
      <w:r>
        <w:rPr>
          <w:sz w:val="22"/>
          <w:szCs w:val="22"/>
          <w:lang w:eastAsia="en-GB"/>
        </w:rPr>
        <w:t xml:space="preserve"> ml x 25 ampuliek. </w:t>
      </w:r>
      <w:r w:rsidR="009C5CF9" w:rsidRPr="0084793A">
        <w:rPr>
          <w:sz w:val="22"/>
          <w:szCs w:val="22"/>
          <w:lang w:eastAsia="en-GB"/>
        </w:rPr>
        <w:t>Na trh nemusia byť uvedené všetky veľkosti balenia.</w:t>
      </w:r>
    </w:p>
    <w:p w14:paraId="2F258B4B" w14:textId="37144639" w:rsidR="009C5CF9" w:rsidRDefault="009C5CF9" w:rsidP="009176B8">
      <w:pPr>
        <w:rPr>
          <w:sz w:val="22"/>
          <w:szCs w:val="22"/>
          <w:lang w:eastAsia="en-GB"/>
        </w:rPr>
      </w:pPr>
      <w:r>
        <w:rPr>
          <w:sz w:val="22"/>
          <w:szCs w:val="22"/>
          <w:lang w:eastAsia="en-GB"/>
        </w:rPr>
        <w:t xml:space="preserve">Jedna 3 ml ampulka obsahuje 15 mg midazolamu (vo forme chloridu). Každá 3 ml ampulka z bezfarebného skla (typu I) s farebným </w:t>
      </w:r>
      <w:r w:rsidRPr="0084793A">
        <w:rPr>
          <w:sz w:val="22"/>
          <w:szCs w:val="22"/>
          <w:lang w:eastAsia="en-GB"/>
        </w:rPr>
        <w:t xml:space="preserve">bodom označujúcim miesto zlomu </w:t>
      </w:r>
      <w:r>
        <w:rPr>
          <w:sz w:val="22"/>
          <w:szCs w:val="22"/>
          <w:lang w:eastAsia="en-GB"/>
        </w:rPr>
        <w:t xml:space="preserve">je v balení v škatuľke 3 ml x 5, 3 ml x 10 a 3 ml x 25 ampuliek. </w:t>
      </w:r>
      <w:r w:rsidRPr="0084793A">
        <w:rPr>
          <w:sz w:val="22"/>
          <w:szCs w:val="22"/>
          <w:lang w:eastAsia="en-GB"/>
        </w:rPr>
        <w:t>Na trh nemusia byť uvedené všetky veľkosti balenia.</w:t>
      </w:r>
    </w:p>
    <w:p w14:paraId="047C9C41" w14:textId="63DBB247" w:rsidR="009C5CF9" w:rsidRDefault="009C5CF9" w:rsidP="009176B8">
      <w:pPr>
        <w:rPr>
          <w:sz w:val="22"/>
          <w:szCs w:val="22"/>
          <w:lang w:eastAsia="en-GB"/>
        </w:rPr>
      </w:pPr>
      <w:r>
        <w:rPr>
          <w:sz w:val="22"/>
          <w:szCs w:val="22"/>
          <w:lang w:eastAsia="en-GB"/>
        </w:rPr>
        <w:t xml:space="preserve">Jedna 10 ml ampulka obsahuje 50 mg midazolamu (vo forme chloridu). Každá 10 ml ampulka z bezfarebného skla (typu I) s farebným </w:t>
      </w:r>
      <w:r w:rsidRPr="0084793A">
        <w:rPr>
          <w:sz w:val="22"/>
          <w:szCs w:val="22"/>
          <w:lang w:eastAsia="en-GB"/>
        </w:rPr>
        <w:t xml:space="preserve">bodom označujúcim miesto zlomu </w:t>
      </w:r>
      <w:r>
        <w:rPr>
          <w:sz w:val="22"/>
          <w:szCs w:val="22"/>
          <w:lang w:eastAsia="en-GB"/>
        </w:rPr>
        <w:t xml:space="preserve">je v balení v škatuľke 10 ml x 5 a 10 ml x 10 ampuliek. </w:t>
      </w:r>
      <w:r w:rsidRPr="0084793A">
        <w:rPr>
          <w:sz w:val="22"/>
          <w:szCs w:val="22"/>
          <w:lang w:eastAsia="en-GB"/>
        </w:rPr>
        <w:t>Na trh nemusia byť uvedené všetky veľkosti balenia.</w:t>
      </w:r>
    </w:p>
    <w:p w14:paraId="54175DBF" w14:textId="77777777" w:rsidR="009176B8" w:rsidRPr="00144474" w:rsidRDefault="009176B8" w:rsidP="009176B8">
      <w:pPr>
        <w:rPr>
          <w:sz w:val="22"/>
          <w:szCs w:val="22"/>
        </w:rPr>
      </w:pPr>
    </w:p>
    <w:p w14:paraId="1F745470" w14:textId="588F5852" w:rsidR="009176B8" w:rsidRPr="00144474" w:rsidRDefault="009176B8" w:rsidP="009176B8">
      <w:pPr>
        <w:tabs>
          <w:tab w:val="left" w:pos="567"/>
        </w:tabs>
        <w:rPr>
          <w:sz w:val="22"/>
          <w:szCs w:val="22"/>
        </w:rPr>
      </w:pPr>
      <w:r w:rsidRPr="00144474">
        <w:rPr>
          <w:b/>
          <w:sz w:val="22"/>
          <w:szCs w:val="22"/>
        </w:rPr>
        <w:t>6.6</w:t>
      </w:r>
      <w:r w:rsidRPr="00144474">
        <w:rPr>
          <w:b/>
          <w:sz w:val="22"/>
          <w:szCs w:val="22"/>
        </w:rPr>
        <w:tab/>
      </w:r>
      <w:r w:rsidRPr="00144474">
        <w:rPr>
          <w:b/>
          <w:bCs/>
          <w:sz w:val="22"/>
          <w:szCs w:val="22"/>
        </w:rPr>
        <w:t>Špeciálne opatrenia na likvidáciu</w:t>
      </w:r>
      <w:r w:rsidR="00A444CD">
        <w:rPr>
          <w:b/>
          <w:bCs/>
          <w:sz w:val="22"/>
          <w:szCs w:val="22"/>
        </w:rPr>
        <w:t xml:space="preserve"> </w:t>
      </w:r>
      <w:bookmarkStart w:id="5" w:name="_Hlk5109813"/>
      <w:r w:rsidR="00A444CD">
        <w:rPr>
          <w:b/>
          <w:bCs/>
          <w:sz w:val="22"/>
          <w:szCs w:val="22"/>
        </w:rPr>
        <w:t>a iné zaobchádzanie s liekom</w:t>
      </w:r>
      <w:bookmarkEnd w:id="5"/>
    </w:p>
    <w:p w14:paraId="4CD7FD51" w14:textId="77777777" w:rsidR="009176B8" w:rsidRPr="00144474" w:rsidRDefault="009176B8" w:rsidP="009176B8">
      <w:pPr>
        <w:rPr>
          <w:sz w:val="22"/>
          <w:szCs w:val="22"/>
        </w:rPr>
      </w:pPr>
    </w:p>
    <w:p w14:paraId="151DE1D9" w14:textId="77777777" w:rsidR="009176B8" w:rsidRPr="00A2121C" w:rsidRDefault="009176B8" w:rsidP="009176B8">
      <w:pPr>
        <w:rPr>
          <w:sz w:val="22"/>
          <w:szCs w:val="22"/>
          <w:lang w:eastAsia="en-GB"/>
        </w:rPr>
      </w:pPr>
      <w:bookmarkStart w:id="6" w:name="_Hlk515831333"/>
      <w:r w:rsidRPr="00A2121C">
        <w:rPr>
          <w:sz w:val="22"/>
          <w:szCs w:val="22"/>
          <w:lang w:eastAsia="en-GB"/>
        </w:rPr>
        <w:t>Midazolam je kompatibilný s nasledujúcimi infúznymi roztokmi:</w:t>
      </w:r>
    </w:p>
    <w:p w14:paraId="366DF802" w14:textId="77777777" w:rsidR="009176B8" w:rsidRPr="009105F7" w:rsidRDefault="009176B8" w:rsidP="009176B8">
      <w:pPr>
        <w:rPr>
          <w:sz w:val="22"/>
          <w:szCs w:val="22"/>
          <w:lang w:eastAsia="en-GB"/>
        </w:rPr>
      </w:pPr>
      <w:r w:rsidRPr="009105F7">
        <w:rPr>
          <w:sz w:val="22"/>
          <w:szCs w:val="22"/>
          <w:lang w:eastAsia="en-GB"/>
        </w:rPr>
        <w:t>0,9 % roztok chloridu sodného</w:t>
      </w:r>
    </w:p>
    <w:p w14:paraId="33D024B7" w14:textId="77777777" w:rsidR="009176B8" w:rsidRPr="009105F7" w:rsidRDefault="009176B8" w:rsidP="009176B8">
      <w:pPr>
        <w:rPr>
          <w:sz w:val="22"/>
          <w:szCs w:val="22"/>
          <w:lang w:eastAsia="en-GB"/>
        </w:rPr>
      </w:pPr>
      <w:r w:rsidRPr="009105F7">
        <w:rPr>
          <w:sz w:val="22"/>
          <w:szCs w:val="22"/>
          <w:lang w:eastAsia="en-GB"/>
        </w:rPr>
        <w:t>5</w:t>
      </w:r>
      <w:r>
        <w:rPr>
          <w:sz w:val="22"/>
          <w:szCs w:val="22"/>
          <w:lang w:eastAsia="en-GB"/>
        </w:rPr>
        <w:t> </w:t>
      </w:r>
      <w:r w:rsidRPr="009105F7">
        <w:rPr>
          <w:sz w:val="22"/>
          <w:szCs w:val="22"/>
          <w:lang w:eastAsia="en-GB"/>
        </w:rPr>
        <w:t>% roztok glukózy</w:t>
      </w:r>
    </w:p>
    <w:p w14:paraId="531D5EF7" w14:textId="77777777" w:rsidR="009176B8" w:rsidRPr="009105F7" w:rsidRDefault="009176B8" w:rsidP="009176B8">
      <w:pPr>
        <w:rPr>
          <w:sz w:val="22"/>
          <w:szCs w:val="22"/>
          <w:lang w:eastAsia="en-GB"/>
        </w:rPr>
      </w:pPr>
      <w:r w:rsidRPr="009105F7">
        <w:rPr>
          <w:sz w:val="22"/>
          <w:szCs w:val="22"/>
          <w:lang w:eastAsia="en-GB"/>
        </w:rPr>
        <w:t>10</w:t>
      </w:r>
      <w:r>
        <w:rPr>
          <w:sz w:val="22"/>
          <w:szCs w:val="22"/>
          <w:lang w:eastAsia="en-GB"/>
        </w:rPr>
        <w:t> </w:t>
      </w:r>
      <w:r w:rsidRPr="009105F7">
        <w:rPr>
          <w:sz w:val="22"/>
          <w:szCs w:val="22"/>
          <w:lang w:eastAsia="en-GB"/>
        </w:rPr>
        <w:t xml:space="preserve">% roztok glukózy </w:t>
      </w:r>
    </w:p>
    <w:p w14:paraId="28D10572" w14:textId="34E6B994" w:rsidR="009176B8" w:rsidRDefault="009176B8" w:rsidP="009176B8">
      <w:pPr>
        <w:rPr>
          <w:sz w:val="22"/>
          <w:szCs w:val="22"/>
          <w:lang w:eastAsia="en-GB"/>
        </w:rPr>
      </w:pPr>
      <w:r w:rsidRPr="00A2121C">
        <w:rPr>
          <w:sz w:val="22"/>
          <w:szCs w:val="22"/>
          <w:lang w:eastAsia="en-GB"/>
        </w:rPr>
        <w:t>Ringerov roztok</w:t>
      </w:r>
    </w:p>
    <w:p w14:paraId="126A290D" w14:textId="0AD79C1D" w:rsidR="00A444CD" w:rsidRPr="00A2121C" w:rsidRDefault="00A444CD" w:rsidP="009176B8">
      <w:pPr>
        <w:rPr>
          <w:sz w:val="22"/>
          <w:szCs w:val="22"/>
          <w:lang w:eastAsia="en-GB"/>
        </w:rPr>
      </w:pPr>
      <w:r>
        <w:rPr>
          <w:sz w:val="22"/>
          <w:szCs w:val="22"/>
          <w:lang w:eastAsia="en-GB"/>
        </w:rPr>
        <w:t xml:space="preserve">5 </w:t>
      </w:r>
      <w:r w:rsidRPr="009105F7">
        <w:rPr>
          <w:sz w:val="22"/>
          <w:szCs w:val="22"/>
          <w:lang w:eastAsia="en-GB"/>
        </w:rPr>
        <w:t>%</w:t>
      </w:r>
      <w:r>
        <w:rPr>
          <w:sz w:val="22"/>
          <w:szCs w:val="22"/>
          <w:lang w:eastAsia="en-GB"/>
        </w:rPr>
        <w:t xml:space="preserve"> roztok fruktózy</w:t>
      </w:r>
    </w:p>
    <w:p w14:paraId="75CAA67A" w14:textId="77777777" w:rsidR="009176B8" w:rsidRPr="00A2121C" w:rsidRDefault="009176B8" w:rsidP="009176B8">
      <w:pPr>
        <w:rPr>
          <w:sz w:val="22"/>
          <w:szCs w:val="22"/>
          <w:lang w:eastAsia="en-GB"/>
        </w:rPr>
      </w:pPr>
      <w:r w:rsidRPr="00A2121C">
        <w:rPr>
          <w:sz w:val="22"/>
          <w:szCs w:val="22"/>
          <w:lang w:eastAsia="en-GB"/>
        </w:rPr>
        <w:t>Hartmannov roztok</w:t>
      </w:r>
    </w:p>
    <w:bookmarkEnd w:id="6"/>
    <w:p w14:paraId="7A617BC5" w14:textId="77777777" w:rsidR="009176B8" w:rsidRDefault="009176B8" w:rsidP="009176B8">
      <w:pPr>
        <w:rPr>
          <w:sz w:val="22"/>
          <w:szCs w:val="22"/>
          <w:lang w:eastAsia="en-GB"/>
        </w:rPr>
      </w:pPr>
    </w:p>
    <w:p w14:paraId="08D632AD" w14:textId="77777777" w:rsidR="009176B8" w:rsidRDefault="009176B8" w:rsidP="009176B8">
      <w:pPr>
        <w:rPr>
          <w:sz w:val="22"/>
          <w:szCs w:val="22"/>
          <w:lang w:eastAsia="en-GB"/>
        </w:rPr>
      </w:pPr>
      <w:r w:rsidRPr="00187358">
        <w:rPr>
          <w:sz w:val="22"/>
          <w:szCs w:val="22"/>
          <w:lang w:eastAsia="en-GB"/>
        </w:rPr>
        <w:t xml:space="preserve">Chemická a fyzikálna stabilita po zriedení bola preukázaná počas 24 hodín pri </w:t>
      </w:r>
      <w:r>
        <w:rPr>
          <w:sz w:val="22"/>
          <w:szCs w:val="22"/>
          <w:lang w:eastAsia="en-GB"/>
        </w:rPr>
        <w:t xml:space="preserve">izbovej </w:t>
      </w:r>
      <w:r w:rsidRPr="00187358">
        <w:rPr>
          <w:sz w:val="22"/>
          <w:szCs w:val="22"/>
          <w:lang w:eastAsia="en-GB"/>
        </w:rPr>
        <w:t>teplote a</w:t>
      </w:r>
      <w:r>
        <w:rPr>
          <w:sz w:val="22"/>
          <w:szCs w:val="22"/>
          <w:lang w:eastAsia="en-GB"/>
        </w:rPr>
        <w:t> </w:t>
      </w:r>
      <w:r w:rsidRPr="00187358">
        <w:rPr>
          <w:sz w:val="22"/>
          <w:szCs w:val="22"/>
          <w:lang w:eastAsia="en-GB"/>
        </w:rPr>
        <w:t>3</w:t>
      </w:r>
      <w:r>
        <w:rPr>
          <w:sz w:val="22"/>
          <w:szCs w:val="22"/>
          <w:lang w:eastAsia="en-GB"/>
        </w:rPr>
        <w:t> </w:t>
      </w:r>
      <w:r w:rsidRPr="00187358">
        <w:rPr>
          <w:sz w:val="22"/>
          <w:szCs w:val="22"/>
          <w:lang w:eastAsia="en-GB"/>
        </w:rPr>
        <w:t xml:space="preserve">dni pri teplote </w:t>
      </w:r>
      <w:r>
        <w:rPr>
          <w:sz w:val="22"/>
          <w:szCs w:val="22"/>
          <w:lang w:eastAsia="en-GB"/>
        </w:rPr>
        <w:t>5 </w:t>
      </w:r>
      <w:r w:rsidRPr="00187358">
        <w:rPr>
          <w:sz w:val="22"/>
          <w:szCs w:val="22"/>
          <w:lang w:eastAsia="en-GB"/>
        </w:rPr>
        <w:t>°C</w:t>
      </w:r>
      <w:r>
        <w:rPr>
          <w:sz w:val="22"/>
          <w:szCs w:val="22"/>
          <w:lang w:eastAsia="en-GB"/>
        </w:rPr>
        <w:t>.</w:t>
      </w:r>
    </w:p>
    <w:p w14:paraId="1C62BEF0" w14:textId="77777777" w:rsidR="009176B8" w:rsidRDefault="009176B8" w:rsidP="009176B8">
      <w:pPr>
        <w:rPr>
          <w:sz w:val="22"/>
          <w:szCs w:val="22"/>
          <w:lang w:eastAsia="en-GB"/>
        </w:rPr>
      </w:pPr>
    </w:p>
    <w:p w14:paraId="1343B77C" w14:textId="77777777" w:rsidR="009176B8" w:rsidRDefault="009176B8" w:rsidP="009176B8">
      <w:pPr>
        <w:rPr>
          <w:sz w:val="22"/>
          <w:szCs w:val="22"/>
          <w:lang w:eastAsia="en-GB"/>
        </w:rPr>
      </w:pPr>
      <w:r w:rsidRPr="00187358">
        <w:rPr>
          <w:sz w:val="22"/>
          <w:szCs w:val="22"/>
          <w:lang w:eastAsia="en-GB"/>
        </w:rPr>
        <w:t>Z mikrobiologického hľadiska sa zriedený roztok má okamžite použiť. Ak sa nepoužije okamžite, za čas a podmienky uchovávania pred použitím zodpovedá používateľ. Za normálnych okolností by to nemalo byť dlhšie ako 24 hodín pri teplote 2</w:t>
      </w:r>
      <w:r>
        <w:rPr>
          <w:sz w:val="22"/>
          <w:szCs w:val="22"/>
          <w:lang w:eastAsia="en-GB"/>
        </w:rPr>
        <w:t> – </w:t>
      </w:r>
      <w:r w:rsidRPr="00187358">
        <w:rPr>
          <w:sz w:val="22"/>
          <w:szCs w:val="22"/>
          <w:lang w:eastAsia="en-GB"/>
        </w:rPr>
        <w:t>8</w:t>
      </w:r>
      <w:r>
        <w:rPr>
          <w:sz w:val="22"/>
          <w:szCs w:val="22"/>
          <w:lang w:eastAsia="en-GB"/>
        </w:rPr>
        <w:t> </w:t>
      </w:r>
      <w:r w:rsidRPr="00187358">
        <w:rPr>
          <w:sz w:val="22"/>
          <w:szCs w:val="22"/>
          <w:lang w:eastAsia="en-GB"/>
        </w:rPr>
        <w:t>°C, ak riedenie nebolo vykonané v kontrolovaných a overených aseptických podmienkach</w:t>
      </w:r>
      <w:r>
        <w:rPr>
          <w:sz w:val="22"/>
          <w:szCs w:val="22"/>
          <w:lang w:eastAsia="en-GB"/>
        </w:rPr>
        <w:t>.</w:t>
      </w:r>
    </w:p>
    <w:p w14:paraId="27E2CFAA" w14:textId="77777777" w:rsidR="009176B8" w:rsidRDefault="009176B8" w:rsidP="009176B8">
      <w:pPr>
        <w:rPr>
          <w:sz w:val="22"/>
          <w:szCs w:val="22"/>
          <w:lang w:eastAsia="en-GB"/>
        </w:rPr>
      </w:pPr>
    </w:p>
    <w:p w14:paraId="43456867" w14:textId="77777777" w:rsidR="009176B8" w:rsidRDefault="009176B8" w:rsidP="009176B8">
      <w:pPr>
        <w:rPr>
          <w:sz w:val="22"/>
          <w:szCs w:val="22"/>
          <w:lang w:eastAsia="en-GB"/>
        </w:rPr>
      </w:pPr>
      <w:r>
        <w:rPr>
          <w:sz w:val="22"/>
          <w:szCs w:val="22"/>
          <w:lang w:eastAsia="en-GB"/>
        </w:rPr>
        <w:t>Aby sa predišlo inkompatibilitám s inými roztokmi, Midazolam sa nesmie miešať s inými infúznymi roztokmi ako tými uvedenými vyššie (pozri časť 6.2 Inkompatibility).</w:t>
      </w:r>
    </w:p>
    <w:p w14:paraId="58C3015F" w14:textId="77777777" w:rsidR="009176B8" w:rsidRPr="00A2121C" w:rsidRDefault="009176B8" w:rsidP="009176B8">
      <w:pPr>
        <w:rPr>
          <w:sz w:val="22"/>
          <w:szCs w:val="22"/>
          <w:lang w:eastAsia="en-GB"/>
        </w:rPr>
      </w:pPr>
    </w:p>
    <w:p w14:paraId="4C187E11" w14:textId="77777777" w:rsidR="009176B8" w:rsidRPr="00A2121C" w:rsidRDefault="009176B8" w:rsidP="009176B8">
      <w:pPr>
        <w:rPr>
          <w:sz w:val="22"/>
          <w:szCs w:val="22"/>
          <w:lang w:eastAsia="en-GB"/>
        </w:rPr>
      </w:pPr>
      <w:bookmarkStart w:id="7" w:name="_Hlk515831515"/>
      <w:r>
        <w:rPr>
          <w:sz w:val="22"/>
          <w:szCs w:val="22"/>
          <w:lang w:eastAsia="en-GB"/>
        </w:rPr>
        <w:t>Injekčný r</w:t>
      </w:r>
      <w:r w:rsidRPr="00A2121C">
        <w:rPr>
          <w:sz w:val="22"/>
          <w:szCs w:val="22"/>
          <w:lang w:eastAsia="en-GB"/>
        </w:rPr>
        <w:t xml:space="preserve">oztok sa </w:t>
      </w:r>
      <w:r>
        <w:rPr>
          <w:sz w:val="22"/>
          <w:szCs w:val="22"/>
          <w:lang w:eastAsia="en-GB"/>
        </w:rPr>
        <w:t xml:space="preserve">má </w:t>
      </w:r>
      <w:r w:rsidRPr="00A2121C">
        <w:rPr>
          <w:sz w:val="22"/>
          <w:szCs w:val="22"/>
          <w:lang w:eastAsia="en-GB"/>
        </w:rPr>
        <w:t xml:space="preserve">pred podaním vizuálne skontrolovať. Používať sa môže len roztok neobsahujúci </w:t>
      </w:r>
      <w:bookmarkEnd w:id="7"/>
      <w:r w:rsidRPr="00A2121C">
        <w:rPr>
          <w:sz w:val="22"/>
          <w:szCs w:val="22"/>
          <w:lang w:eastAsia="en-GB"/>
        </w:rPr>
        <w:t>viditeľné čiastočky.</w:t>
      </w:r>
    </w:p>
    <w:p w14:paraId="62A922DF" w14:textId="77777777" w:rsidR="009176B8" w:rsidRDefault="009176B8" w:rsidP="009176B8">
      <w:pPr>
        <w:rPr>
          <w:sz w:val="22"/>
          <w:szCs w:val="22"/>
        </w:rPr>
      </w:pPr>
    </w:p>
    <w:p w14:paraId="0DABB6E8" w14:textId="77777777" w:rsidR="009176B8" w:rsidRPr="00144474" w:rsidRDefault="009176B8" w:rsidP="009176B8">
      <w:pPr>
        <w:rPr>
          <w:sz w:val="22"/>
          <w:szCs w:val="22"/>
        </w:rPr>
      </w:pPr>
    </w:p>
    <w:p w14:paraId="0F94995B" w14:textId="77777777" w:rsidR="009176B8" w:rsidRPr="00144474" w:rsidRDefault="009176B8" w:rsidP="009176B8">
      <w:pPr>
        <w:keepNext/>
        <w:ind w:left="567" w:hanging="567"/>
        <w:rPr>
          <w:sz w:val="22"/>
          <w:szCs w:val="22"/>
        </w:rPr>
      </w:pPr>
      <w:r w:rsidRPr="00144474">
        <w:rPr>
          <w:b/>
          <w:sz w:val="22"/>
          <w:szCs w:val="22"/>
        </w:rPr>
        <w:t>7.</w:t>
      </w:r>
      <w:r w:rsidRPr="00144474">
        <w:rPr>
          <w:b/>
          <w:sz w:val="22"/>
          <w:szCs w:val="22"/>
        </w:rPr>
        <w:tab/>
      </w:r>
      <w:bookmarkStart w:id="8" w:name="OLE_LINK1"/>
      <w:bookmarkStart w:id="9" w:name="OLE_LINK2"/>
      <w:r w:rsidRPr="00144474">
        <w:rPr>
          <w:b/>
          <w:sz w:val="22"/>
          <w:szCs w:val="22"/>
        </w:rPr>
        <w:t>DRŽITEĽ ROZHODNUTIA O REGISTRÁCII</w:t>
      </w:r>
      <w:bookmarkEnd w:id="8"/>
      <w:bookmarkEnd w:id="9"/>
    </w:p>
    <w:p w14:paraId="52CBFEF1" w14:textId="77777777" w:rsidR="009176B8" w:rsidRPr="00144474" w:rsidRDefault="009176B8" w:rsidP="009176B8">
      <w:pPr>
        <w:keepNext/>
        <w:rPr>
          <w:sz w:val="22"/>
          <w:szCs w:val="22"/>
        </w:rPr>
      </w:pPr>
    </w:p>
    <w:p w14:paraId="770036F1" w14:textId="77777777" w:rsidR="009176B8" w:rsidRDefault="009176B8" w:rsidP="009176B8">
      <w:pPr>
        <w:numPr>
          <w:ilvl w:val="12"/>
          <w:numId w:val="0"/>
        </w:numPr>
        <w:ind w:right="-2"/>
        <w:rPr>
          <w:sz w:val="22"/>
          <w:szCs w:val="22"/>
          <w:lang w:eastAsia="en-GB"/>
        </w:rPr>
      </w:pPr>
      <w:r w:rsidRPr="00623FC9">
        <w:rPr>
          <w:sz w:val="22"/>
          <w:szCs w:val="22"/>
          <w:lang w:eastAsia="en-GB"/>
        </w:rPr>
        <w:t xml:space="preserve">Baxter Deutschland GmbH </w:t>
      </w:r>
    </w:p>
    <w:p w14:paraId="5E48C21F" w14:textId="33B60FEA" w:rsidR="009176B8" w:rsidRDefault="00103EC4" w:rsidP="009176B8">
      <w:pPr>
        <w:numPr>
          <w:ilvl w:val="12"/>
          <w:numId w:val="0"/>
        </w:numPr>
        <w:ind w:right="-2"/>
        <w:rPr>
          <w:sz w:val="22"/>
          <w:szCs w:val="22"/>
          <w:lang w:eastAsia="en-GB"/>
        </w:rPr>
      </w:pPr>
      <w:r w:rsidRPr="00C44B02">
        <w:rPr>
          <w:sz w:val="22"/>
          <w:szCs w:val="22"/>
          <w:lang w:eastAsia="en-GB"/>
        </w:rPr>
        <w:t xml:space="preserve">Edisonstrasse </w:t>
      </w:r>
      <w:r w:rsidR="009176B8" w:rsidRPr="00623FC9">
        <w:rPr>
          <w:sz w:val="22"/>
          <w:szCs w:val="22"/>
          <w:lang w:eastAsia="en-GB"/>
        </w:rPr>
        <w:t xml:space="preserve">4 </w:t>
      </w:r>
    </w:p>
    <w:p w14:paraId="284C01CB" w14:textId="4C505FC3" w:rsidR="009176B8" w:rsidRDefault="009176B8" w:rsidP="009176B8">
      <w:pPr>
        <w:numPr>
          <w:ilvl w:val="12"/>
          <w:numId w:val="0"/>
        </w:numPr>
        <w:ind w:right="-2"/>
        <w:rPr>
          <w:sz w:val="22"/>
          <w:szCs w:val="22"/>
          <w:lang w:eastAsia="en-GB"/>
        </w:rPr>
      </w:pPr>
      <w:r w:rsidRPr="00623FC9">
        <w:rPr>
          <w:sz w:val="22"/>
          <w:szCs w:val="22"/>
          <w:lang w:eastAsia="en-GB"/>
        </w:rPr>
        <w:t xml:space="preserve">85716 </w:t>
      </w:r>
      <w:r w:rsidR="00103EC4" w:rsidRPr="00C44B02">
        <w:rPr>
          <w:sz w:val="22"/>
          <w:szCs w:val="22"/>
          <w:lang w:eastAsia="en-GB"/>
        </w:rPr>
        <w:t>Unterschleissheim</w:t>
      </w:r>
    </w:p>
    <w:p w14:paraId="06ED9D1F" w14:textId="77777777" w:rsidR="009176B8" w:rsidRDefault="009176B8" w:rsidP="009176B8">
      <w:pPr>
        <w:numPr>
          <w:ilvl w:val="12"/>
          <w:numId w:val="0"/>
        </w:numPr>
        <w:ind w:right="-2"/>
        <w:rPr>
          <w:sz w:val="22"/>
          <w:szCs w:val="22"/>
          <w:lang w:eastAsia="en-GB"/>
        </w:rPr>
      </w:pPr>
      <w:r w:rsidRPr="00623FC9">
        <w:rPr>
          <w:sz w:val="22"/>
          <w:szCs w:val="22"/>
          <w:lang w:eastAsia="en-GB"/>
        </w:rPr>
        <w:t>Nemecko</w:t>
      </w:r>
    </w:p>
    <w:p w14:paraId="64B14F9A" w14:textId="77777777" w:rsidR="009176B8" w:rsidRPr="00144474" w:rsidRDefault="009176B8" w:rsidP="009176B8">
      <w:pPr>
        <w:numPr>
          <w:ilvl w:val="12"/>
          <w:numId w:val="0"/>
        </w:numPr>
        <w:ind w:right="-2"/>
        <w:rPr>
          <w:sz w:val="22"/>
          <w:szCs w:val="22"/>
          <w:lang w:eastAsia="en-GB"/>
        </w:rPr>
      </w:pPr>
    </w:p>
    <w:p w14:paraId="0147C0A2" w14:textId="77777777" w:rsidR="009176B8" w:rsidRPr="00144474" w:rsidRDefault="009176B8" w:rsidP="009176B8">
      <w:pPr>
        <w:numPr>
          <w:ilvl w:val="12"/>
          <w:numId w:val="0"/>
        </w:numPr>
        <w:ind w:right="-2"/>
        <w:rPr>
          <w:sz w:val="22"/>
          <w:szCs w:val="22"/>
        </w:rPr>
      </w:pPr>
    </w:p>
    <w:p w14:paraId="38B5B9BB" w14:textId="77777777" w:rsidR="009176B8" w:rsidRPr="00144474" w:rsidRDefault="009176B8" w:rsidP="009176B8">
      <w:pPr>
        <w:ind w:left="567" w:hanging="567"/>
        <w:rPr>
          <w:b/>
          <w:sz w:val="22"/>
          <w:szCs w:val="22"/>
        </w:rPr>
      </w:pPr>
      <w:r w:rsidRPr="00144474">
        <w:rPr>
          <w:b/>
          <w:sz w:val="22"/>
          <w:szCs w:val="22"/>
        </w:rPr>
        <w:t>8.</w:t>
      </w:r>
      <w:r w:rsidRPr="00144474">
        <w:rPr>
          <w:b/>
          <w:sz w:val="22"/>
          <w:szCs w:val="22"/>
        </w:rPr>
        <w:tab/>
        <w:t xml:space="preserve">REGISTRAČNÉ ČÍSLO </w:t>
      </w:r>
    </w:p>
    <w:p w14:paraId="2EA2FB3A" w14:textId="77777777" w:rsidR="009176B8" w:rsidRDefault="009176B8" w:rsidP="009176B8">
      <w:pPr>
        <w:rPr>
          <w:sz w:val="22"/>
          <w:szCs w:val="22"/>
        </w:rPr>
      </w:pPr>
    </w:p>
    <w:p w14:paraId="4FD49819" w14:textId="71077E1C" w:rsidR="00DB1442" w:rsidRDefault="00DB1442" w:rsidP="009176B8">
      <w:pPr>
        <w:rPr>
          <w:sz w:val="22"/>
          <w:szCs w:val="22"/>
        </w:rPr>
      </w:pPr>
      <w:r>
        <w:rPr>
          <w:sz w:val="22"/>
          <w:szCs w:val="22"/>
        </w:rPr>
        <w:t>57/0234/19-S</w:t>
      </w:r>
    </w:p>
    <w:p w14:paraId="29DBD1AC" w14:textId="77777777" w:rsidR="00DB1442" w:rsidRPr="00144474" w:rsidRDefault="00DB1442" w:rsidP="009176B8">
      <w:pPr>
        <w:rPr>
          <w:sz w:val="22"/>
          <w:szCs w:val="22"/>
        </w:rPr>
      </w:pPr>
    </w:p>
    <w:p w14:paraId="3D8C992B" w14:textId="77777777" w:rsidR="009176B8" w:rsidRPr="00144474" w:rsidRDefault="009176B8" w:rsidP="009176B8">
      <w:pPr>
        <w:rPr>
          <w:sz w:val="22"/>
          <w:szCs w:val="22"/>
        </w:rPr>
      </w:pPr>
    </w:p>
    <w:p w14:paraId="55DCC9D5" w14:textId="77777777" w:rsidR="009176B8" w:rsidRPr="00144474" w:rsidRDefault="009176B8" w:rsidP="009176B8">
      <w:pPr>
        <w:ind w:left="567" w:hanging="567"/>
        <w:rPr>
          <w:sz w:val="22"/>
          <w:szCs w:val="22"/>
        </w:rPr>
      </w:pPr>
      <w:r w:rsidRPr="00144474">
        <w:rPr>
          <w:b/>
          <w:sz w:val="22"/>
          <w:szCs w:val="22"/>
        </w:rPr>
        <w:t>9.</w:t>
      </w:r>
      <w:r w:rsidRPr="00144474">
        <w:rPr>
          <w:b/>
          <w:sz w:val="22"/>
          <w:szCs w:val="22"/>
        </w:rPr>
        <w:tab/>
        <w:t>DÁTUM PRVEJ REGISTRÁCIE</w:t>
      </w:r>
      <w:r>
        <w:rPr>
          <w:b/>
          <w:sz w:val="22"/>
          <w:szCs w:val="22"/>
        </w:rPr>
        <w:t xml:space="preserve"> </w:t>
      </w:r>
      <w:r w:rsidRPr="00144474">
        <w:rPr>
          <w:b/>
          <w:sz w:val="22"/>
          <w:szCs w:val="22"/>
        </w:rPr>
        <w:t>/ PREDĹŽENIA REGISTRÁCIE</w:t>
      </w:r>
    </w:p>
    <w:p w14:paraId="1237C799" w14:textId="77777777" w:rsidR="009176B8" w:rsidRPr="00144474" w:rsidRDefault="009176B8" w:rsidP="009176B8">
      <w:pPr>
        <w:pStyle w:val="Style10"/>
        <w:widowControl/>
        <w:spacing w:line="240" w:lineRule="auto"/>
        <w:ind w:right="3401"/>
        <w:rPr>
          <w:rFonts w:ascii="Times New Roman" w:hAnsi="Times New Roman" w:cs="Times New Roman"/>
          <w:sz w:val="22"/>
          <w:szCs w:val="22"/>
        </w:rPr>
      </w:pPr>
    </w:p>
    <w:p w14:paraId="00F0FC8C" w14:textId="77777777" w:rsidR="009176B8" w:rsidRPr="00144474" w:rsidRDefault="009176B8" w:rsidP="009176B8">
      <w:pPr>
        <w:pStyle w:val="Style10"/>
        <w:widowControl/>
        <w:spacing w:line="240" w:lineRule="auto"/>
        <w:ind w:right="3401"/>
        <w:rPr>
          <w:rStyle w:val="FontStyle24"/>
          <w:rFonts w:ascii="Times New Roman" w:hAnsi="Times New Roman" w:cs="Times New Roman"/>
          <w:b w:val="0"/>
          <w:sz w:val="22"/>
          <w:szCs w:val="22"/>
        </w:rPr>
      </w:pPr>
      <w:r w:rsidRPr="00144474">
        <w:rPr>
          <w:rFonts w:ascii="Times New Roman" w:hAnsi="Times New Roman" w:cs="Times New Roman"/>
          <w:sz w:val="22"/>
          <w:szCs w:val="22"/>
        </w:rPr>
        <w:t xml:space="preserve">Dátum prvej registrácie: </w:t>
      </w:r>
    </w:p>
    <w:p w14:paraId="1FF8F79A" w14:textId="77777777" w:rsidR="009176B8" w:rsidRPr="00144474" w:rsidRDefault="009176B8" w:rsidP="009176B8">
      <w:pPr>
        <w:rPr>
          <w:sz w:val="22"/>
          <w:szCs w:val="22"/>
        </w:rPr>
      </w:pPr>
    </w:p>
    <w:p w14:paraId="2D3F87F8" w14:textId="77777777" w:rsidR="009176B8" w:rsidRPr="00144474" w:rsidRDefault="009176B8" w:rsidP="009176B8">
      <w:pPr>
        <w:rPr>
          <w:sz w:val="22"/>
          <w:szCs w:val="22"/>
        </w:rPr>
      </w:pPr>
    </w:p>
    <w:p w14:paraId="794FF155" w14:textId="77777777" w:rsidR="009176B8" w:rsidRPr="00144474" w:rsidRDefault="009176B8" w:rsidP="009176B8">
      <w:pPr>
        <w:ind w:left="567" w:hanging="567"/>
        <w:rPr>
          <w:b/>
          <w:sz w:val="22"/>
          <w:szCs w:val="22"/>
        </w:rPr>
      </w:pPr>
      <w:r w:rsidRPr="00144474">
        <w:rPr>
          <w:b/>
          <w:sz w:val="22"/>
          <w:szCs w:val="22"/>
        </w:rPr>
        <w:t>10.</w:t>
      </w:r>
      <w:r w:rsidRPr="00144474">
        <w:rPr>
          <w:b/>
          <w:sz w:val="22"/>
          <w:szCs w:val="22"/>
        </w:rPr>
        <w:tab/>
        <w:t>DÁTUM REVÍZIE TEXTU</w:t>
      </w:r>
    </w:p>
    <w:p w14:paraId="35C8D681" w14:textId="77777777" w:rsidR="00625CF2" w:rsidRDefault="00625CF2" w:rsidP="00625CF2">
      <w:pPr>
        <w:rPr>
          <w:sz w:val="22"/>
          <w:szCs w:val="22"/>
        </w:rPr>
      </w:pPr>
    </w:p>
    <w:p w14:paraId="357DEA39" w14:textId="3A8F6D5D" w:rsidR="00DA16CB" w:rsidRPr="009A517F" w:rsidRDefault="00DA16CB" w:rsidP="00625CF2">
      <w:pPr>
        <w:rPr>
          <w:sz w:val="22"/>
          <w:szCs w:val="22"/>
        </w:rPr>
      </w:pPr>
      <w:r>
        <w:rPr>
          <w:sz w:val="22"/>
          <w:szCs w:val="22"/>
        </w:rPr>
        <w:t>07/2019</w:t>
      </w:r>
    </w:p>
    <w:sectPr w:rsidR="00DA16CB" w:rsidRPr="009A517F" w:rsidSect="00965B07">
      <w:headerReference w:type="default" r:id="rId8"/>
      <w:footerReference w:type="even" r:id="rId9"/>
      <w:footerReference w:type="default" r:id="rId10"/>
      <w:headerReference w:type="first" r:id="rId11"/>
      <w:pgSz w:w="12240" w:h="15840"/>
      <w:pgMar w:top="1134" w:right="1418" w:bottom="1134" w:left="1418" w:header="737" w:footer="737"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07A0E3" w16cid:durableId="20D038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F8AD2" w14:textId="77777777" w:rsidR="00853136" w:rsidRDefault="00853136" w:rsidP="00625CF2">
      <w:r>
        <w:separator/>
      </w:r>
    </w:p>
  </w:endnote>
  <w:endnote w:type="continuationSeparator" w:id="0">
    <w:p w14:paraId="632E20BB" w14:textId="77777777" w:rsidR="00853136" w:rsidRDefault="00853136" w:rsidP="0062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vantGarde Bd B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4CED9" w14:textId="77777777" w:rsidR="00853136" w:rsidRDefault="0085313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3103F17" w14:textId="77777777" w:rsidR="00853136" w:rsidRDefault="0085313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033674"/>
      <w:docPartObj>
        <w:docPartGallery w:val="Page Numbers (Bottom of Page)"/>
        <w:docPartUnique/>
      </w:docPartObj>
    </w:sdtPr>
    <w:sdtEndPr>
      <w:rPr>
        <w:sz w:val="18"/>
        <w:szCs w:val="18"/>
      </w:rPr>
    </w:sdtEndPr>
    <w:sdtContent>
      <w:p w14:paraId="0A9B22B1" w14:textId="03A5B808" w:rsidR="00853136" w:rsidRPr="00965B07" w:rsidRDefault="00853136">
        <w:pPr>
          <w:pStyle w:val="Pta"/>
          <w:jc w:val="center"/>
          <w:rPr>
            <w:sz w:val="18"/>
            <w:szCs w:val="18"/>
          </w:rPr>
        </w:pPr>
        <w:r w:rsidRPr="00965B07">
          <w:rPr>
            <w:sz w:val="18"/>
            <w:szCs w:val="18"/>
          </w:rPr>
          <w:fldChar w:fldCharType="begin"/>
        </w:r>
        <w:r w:rsidRPr="00965B07">
          <w:rPr>
            <w:sz w:val="18"/>
            <w:szCs w:val="18"/>
          </w:rPr>
          <w:instrText>PAGE   \* MERGEFORMAT</w:instrText>
        </w:r>
        <w:r w:rsidRPr="00965B07">
          <w:rPr>
            <w:sz w:val="18"/>
            <w:szCs w:val="18"/>
          </w:rPr>
          <w:fldChar w:fldCharType="separate"/>
        </w:r>
        <w:r w:rsidR="00965B07" w:rsidRPr="00965B07">
          <w:rPr>
            <w:noProof/>
            <w:sz w:val="18"/>
            <w:szCs w:val="18"/>
            <w:lang w:val="sk-SK"/>
          </w:rPr>
          <w:t>18</w:t>
        </w:r>
        <w:r w:rsidRPr="00965B07">
          <w:rPr>
            <w:sz w:val="18"/>
            <w:szCs w:val="18"/>
          </w:rPr>
          <w:fldChar w:fldCharType="end"/>
        </w:r>
      </w:p>
    </w:sdtContent>
  </w:sdt>
  <w:p w14:paraId="4F6502ED" w14:textId="77777777" w:rsidR="00853136" w:rsidRDefault="00853136" w:rsidP="009A517F">
    <w:pPr>
      <w:pStyle w:val="Pta"/>
      <w:ind w:right="360"/>
      <w:rPr>
        <w: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B9522" w14:textId="77777777" w:rsidR="00853136" w:rsidRDefault="00853136" w:rsidP="00625CF2">
      <w:r>
        <w:separator/>
      </w:r>
    </w:p>
  </w:footnote>
  <w:footnote w:type="continuationSeparator" w:id="0">
    <w:p w14:paraId="1A4519FE" w14:textId="77777777" w:rsidR="00853136" w:rsidRDefault="00853136" w:rsidP="00625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F307B" w14:textId="6514CBFA" w:rsidR="00853136" w:rsidRDefault="00853136" w:rsidP="009A517F">
    <w:r>
      <w:rPr>
        <w:sz w:val="18"/>
        <w:szCs w:val="18"/>
      </w:rPr>
      <w:t>Schválený text k rozhodnutiu o registrácii</w:t>
    </w:r>
    <w:r w:rsidRPr="00897FDA">
      <w:rPr>
        <w:sz w:val="18"/>
        <w:szCs w:val="18"/>
      </w:rPr>
      <w:t>, ev.</w:t>
    </w:r>
    <w:r>
      <w:rPr>
        <w:sz w:val="18"/>
        <w:szCs w:val="18"/>
      </w:rPr>
      <w:t xml:space="preserve"> </w:t>
    </w:r>
    <w:r w:rsidRPr="00897FDA">
      <w:rPr>
        <w:sz w:val="18"/>
        <w:szCs w:val="18"/>
      </w:rPr>
      <w:t>č.:</w:t>
    </w:r>
    <w:r>
      <w:rPr>
        <w:sz w:val="18"/>
        <w:szCs w:val="18"/>
      </w:rPr>
      <w:t xml:space="preserve"> 2017/06851-REG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B0AFA" w14:textId="77777777" w:rsidR="00853136" w:rsidRPr="004F702D" w:rsidRDefault="00853136" w:rsidP="009A517F">
    <w:pPr>
      <w:pStyle w:val="Hlavika"/>
      <w:rPr>
        <w:sz w:val="18"/>
        <w:szCs w:val="18"/>
        <w:lang w:val="sk-SK"/>
      </w:rPr>
    </w:pPr>
    <w:r w:rsidRPr="002B487E">
      <w:rPr>
        <w:sz w:val="18"/>
        <w:szCs w:val="18"/>
        <w:lang w:val="sk-SK"/>
      </w:rPr>
      <w:t xml:space="preserve">Príloha č. </w:t>
    </w:r>
    <w:r>
      <w:rPr>
        <w:sz w:val="18"/>
        <w:szCs w:val="18"/>
        <w:lang w:val="sk-SK"/>
      </w:rPr>
      <w:t>2</w:t>
    </w:r>
    <w:r w:rsidRPr="002B487E">
      <w:rPr>
        <w:sz w:val="18"/>
        <w:szCs w:val="18"/>
        <w:lang w:val="sk-SK"/>
      </w:rPr>
      <w:t xml:space="preserve"> k notifikácii o zmene, ev.č.</w:t>
    </w:r>
    <w:r>
      <w:rPr>
        <w:sz w:val="18"/>
        <w:szCs w:val="18"/>
        <w:lang w:val="sk-SK"/>
      </w:rPr>
      <w:t>:</w:t>
    </w:r>
    <w:r w:rsidRPr="002B487E">
      <w:rPr>
        <w:sz w:val="18"/>
        <w:szCs w:val="18"/>
        <w:lang w:val="sk-SK"/>
      </w:rPr>
      <w:t>2</w:t>
    </w:r>
    <w:r>
      <w:rPr>
        <w:sz w:val="18"/>
        <w:szCs w:val="18"/>
        <w:lang w:val="sk-SK"/>
      </w:rPr>
      <w:t>014/01750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6903"/>
    <w:multiLevelType w:val="hybridMultilevel"/>
    <w:tmpl w:val="CABE66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605AC5"/>
    <w:multiLevelType w:val="hybridMultilevel"/>
    <w:tmpl w:val="23746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750F5"/>
    <w:multiLevelType w:val="hybridMultilevel"/>
    <w:tmpl w:val="32B4A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D704AB"/>
    <w:multiLevelType w:val="hybridMultilevel"/>
    <w:tmpl w:val="67F0C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D1A83"/>
    <w:multiLevelType w:val="hybridMultilevel"/>
    <w:tmpl w:val="7B34D5E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391EBA"/>
    <w:multiLevelType w:val="hybridMultilevel"/>
    <w:tmpl w:val="2B606BD4"/>
    <w:lvl w:ilvl="0" w:tplc="79DA1ED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E00946"/>
    <w:multiLevelType w:val="hybridMultilevel"/>
    <w:tmpl w:val="FF82A5D8"/>
    <w:lvl w:ilvl="0" w:tplc="993E5B52">
      <w:start w:val="1"/>
      <w:numFmt w:val="bullet"/>
      <w:lvlText w:val="–"/>
      <w:lvlJc w:val="left"/>
      <w:pPr>
        <w:tabs>
          <w:tab w:val="num" w:pos="0"/>
        </w:tabs>
        <w:ind w:left="360" w:hanging="360"/>
      </w:pPr>
      <w:rPr>
        <w:rFonts w:asci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A81D31"/>
    <w:multiLevelType w:val="hybridMultilevel"/>
    <w:tmpl w:val="6144F858"/>
    <w:lvl w:ilvl="0" w:tplc="24BCB54A">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3EE71F0"/>
    <w:multiLevelType w:val="hybridMultilevel"/>
    <w:tmpl w:val="F26A8224"/>
    <w:lvl w:ilvl="0" w:tplc="04090001">
      <w:start w:val="1"/>
      <w:numFmt w:val="bullet"/>
      <w:lvlText w:val=""/>
      <w:lvlJc w:val="left"/>
      <w:pPr>
        <w:tabs>
          <w:tab w:val="num" w:pos="720"/>
        </w:tabs>
        <w:ind w:left="720" w:hanging="360"/>
      </w:pPr>
      <w:rPr>
        <w:rFonts w:ascii="Symbol" w:hAnsi="Symbol" w:hint="default"/>
      </w:rPr>
    </w:lvl>
    <w:lvl w:ilvl="1" w:tplc="FF5CF084">
      <w:numFmt w:val="bullet"/>
      <w:lvlText w:val="–"/>
      <w:lvlJc w:val="left"/>
      <w:pPr>
        <w:ind w:left="1530" w:hanging="45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E3AC5"/>
    <w:multiLevelType w:val="hybridMultilevel"/>
    <w:tmpl w:val="CD2A7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369D2"/>
    <w:multiLevelType w:val="hybridMultilevel"/>
    <w:tmpl w:val="8F90171C"/>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F1670D9"/>
    <w:multiLevelType w:val="multilevel"/>
    <w:tmpl w:val="0FD22F2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FA55C9C"/>
    <w:multiLevelType w:val="multilevel"/>
    <w:tmpl w:val="44FAB65C"/>
    <w:lvl w:ilvl="0">
      <w:start w:val="5"/>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6D2396A"/>
    <w:multiLevelType w:val="multilevel"/>
    <w:tmpl w:val="D032BA80"/>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82038B4"/>
    <w:multiLevelType w:val="hybridMultilevel"/>
    <w:tmpl w:val="31EEF0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AE15369"/>
    <w:multiLevelType w:val="multilevel"/>
    <w:tmpl w:val="2F949DEA"/>
    <w:lvl w:ilvl="0">
      <w:start w:val="6"/>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4D1C6FEA"/>
    <w:multiLevelType w:val="hybridMultilevel"/>
    <w:tmpl w:val="5EBA634C"/>
    <w:lvl w:ilvl="0" w:tplc="993E5B52">
      <w:start w:val="1"/>
      <w:numFmt w:val="bullet"/>
      <w:lvlText w:val="–"/>
      <w:lvlJc w:val="left"/>
      <w:pPr>
        <w:tabs>
          <w:tab w:val="num" w:pos="0"/>
        </w:tabs>
        <w:ind w:left="360" w:hanging="360"/>
      </w:pPr>
      <w:rPr>
        <w:rFonts w:asci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4934D6"/>
    <w:multiLevelType w:val="hybridMultilevel"/>
    <w:tmpl w:val="9516E930"/>
    <w:lvl w:ilvl="0" w:tplc="04050001">
      <w:start w:val="1"/>
      <w:numFmt w:val="bullet"/>
      <w:lvlText w:val=""/>
      <w:lvlJc w:val="left"/>
      <w:pPr>
        <w:ind w:left="720" w:hanging="360"/>
      </w:pPr>
      <w:rPr>
        <w:rFonts w:ascii="Symbol" w:hAnsi="Symbol" w:hint="default"/>
      </w:rPr>
    </w:lvl>
    <w:lvl w:ilvl="1" w:tplc="09068670">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AF245C"/>
    <w:multiLevelType w:val="hybridMultilevel"/>
    <w:tmpl w:val="40A6AF76"/>
    <w:lvl w:ilvl="0" w:tplc="993E5B52">
      <w:start w:val="1"/>
      <w:numFmt w:val="bullet"/>
      <w:lvlText w:val="–"/>
      <w:lvlJc w:val="left"/>
      <w:pPr>
        <w:tabs>
          <w:tab w:val="num" w:pos="0"/>
        </w:tabs>
        <w:ind w:left="360" w:hanging="360"/>
      </w:pPr>
      <w:rPr>
        <w:rFonts w:asci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BE19E6"/>
    <w:multiLevelType w:val="hybridMultilevel"/>
    <w:tmpl w:val="5F967B12"/>
    <w:lvl w:ilvl="0" w:tplc="433CAE4C">
      <w:start w:val="1"/>
      <w:numFmt w:val="bullet"/>
      <w:lvlText w:val=""/>
      <w:lvlJc w:val="left"/>
      <w:pPr>
        <w:tabs>
          <w:tab w:val="num" w:pos="757"/>
        </w:tabs>
        <w:ind w:left="757" w:hanging="39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8B2B65"/>
    <w:multiLevelType w:val="hybridMultilevel"/>
    <w:tmpl w:val="E2EC120C"/>
    <w:lvl w:ilvl="0" w:tplc="993E5B52">
      <w:start w:val="1"/>
      <w:numFmt w:val="bullet"/>
      <w:lvlText w:val="–"/>
      <w:lvlJc w:val="left"/>
      <w:pPr>
        <w:tabs>
          <w:tab w:val="num" w:pos="0"/>
        </w:tabs>
        <w:ind w:left="360" w:hanging="360"/>
      </w:pPr>
      <w:rPr>
        <w:rFonts w:asci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F47992"/>
    <w:multiLevelType w:val="hybridMultilevel"/>
    <w:tmpl w:val="2C7C02A0"/>
    <w:lvl w:ilvl="0" w:tplc="993E5B52">
      <w:start w:val="1"/>
      <w:numFmt w:val="bullet"/>
      <w:lvlText w:val="–"/>
      <w:lvlJc w:val="left"/>
      <w:pPr>
        <w:tabs>
          <w:tab w:val="num" w:pos="0"/>
        </w:tabs>
        <w:ind w:left="360" w:hanging="360"/>
      </w:pPr>
      <w:rPr>
        <w:rFonts w:asci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1B3E43"/>
    <w:multiLevelType w:val="hybridMultilevel"/>
    <w:tmpl w:val="81CE51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D924D61"/>
    <w:multiLevelType w:val="hybridMultilevel"/>
    <w:tmpl w:val="DFE25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36B1F31"/>
    <w:multiLevelType w:val="hybridMultilevel"/>
    <w:tmpl w:val="AFDC2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0F7D03"/>
    <w:multiLevelType w:val="hybridMultilevel"/>
    <w:tmpl w:val="529EE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64580D"/>
    <w:multiLevelType w:val="hybridMultilevel"/>
    <w:tmpl w:val="544A29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2"/>
  </w:num>
  <w:num w:numId="4">
    <w:abstractNumId w:val="15"/>
  </w:num>
  <w:num w:numId="5">
    <w:abstractNumId w:val="18"/>
  </w:num>
  <w:num w:numId="6">
    <w:abstractNumId w:val="20"/>
  </w:num>
  <w:num w:numId="7">
    <w:abstractNumId w:val="16"/>
  </w:num>
  <w:num w:numId="8">
    <w:abstractNumId w:val="6"/>
  </w:num>
  <w:num w:numId="9">
    <w:abstractNumId w:val="21"/>
  </w:num>
  <w:num w:numId="10">
    <w:abstractNumId w:val="11"/>
  </w:num>
  <w:num w:numId="11">
    <w:abstractNumId w:val="13"/>
  </w:num>
  <w:num w:numId="12">
    <w:abstractNumId w:val="10"/>
  </w:num>
  <w:num w:numId="13">
    <w:abstractNumId w:val="17"/>
  </w:num>
  <w:num w:numId="14">
    <w:abstractNumId w:val="23"/>
  </w:num>
  <w:num w:numId="15">
    <w:abstractNumId w:val="5"/>
  </w:num>
  <w:num w:numId="16">
    <w:abstractNumId w:val="14"/>
  </w:num>
  <w:num w:numId="17">
    <w:abstractNumId w:val="26"/>
  </w:num>
  <w:num w:numId="18">
    <w:abstractNumId w:val="24"/>
  </w:num>
  <w:num w:numId="19">
    <w:abstractNumId w:val="4"/>
  </w:num>
  <w:num w:numId="20">
    <w:abstractNumId w:val="3"/>
  </w:num>
  <w:num w:numId="21">
    <w:abstractNumId w:val="1"/>
  </w:num>
  <w:num w:numId="22">
    <w:abstractNumId w:val="9"/>
  </w:num>
  <w:num w:numId="23">
    <w:abstractNumId w:val="8"/>
  </w:num>
  <w:num w:numId="24">
    <w:abstractNumId w:val="25"/>
  </w:num>
  <w:num w:numId="25">
    <w:abstractNumId w:val="2"/>
  </w:num>
  <w:num w:numId="26">
    <w:abstractNumId w:val="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57"/>
    <w:rsid w:val="000059DE"/>
    <w:rsid w:val="000076E3"/>
    <w:rsid w:val="00023716"/>
    <w:rsid w:val="00077996"/>
    <w:rsid w:val="00077DC3"/>
    <w:rsid w:val="0009698F"/>
    <w:rsid w:val="000D3453"/>
    <w:rsid w:val="000F41B7"/>
    <w:rsid w:val="00103EC4"/>
    <w:rsid w:val="00114C80"/>
    <w:rsid w:val="00117E7A"/>
    <w:rsid w:val="00140736"/>
    <w:rsid w:val="001841E7"/>
    <w:rsid w:val="001C0C53"/>
    <w:rsid w:val="0022260F"/>
    <w:rsid w:val="00255598"/>
    <w:rsid w:val="0028332C"/>
    <w:rsid w:val="002D58DA"/>
    <w:rsid w:val="003202CA"/>
    <w:rsid w:val="00341593"/>
    <w:rsid w:val="00341FFD"/>
    <w:rsid w:val="00344D52"/>
    <w:rsid w:val="0035165D"/>
    <w:rsid w:val="00373D9A"/>
    <w:rsid w:val="003B67AE"/>
    <w:rsid w:val="003D6353"/>
    <w:rsid w:val="0042168E"/>
    <w:rsid w:val="004329B0"/>
    <w:rsid w:val="004651BC"/>
    <w:rsid w:val="00481AD9"/>
    <w:rsid w:val="00481B7A"/>
    <w:rsid w:val="004B271C"/>
    <w:rsid w:val="004B54E1"/>
    <w:rsid w:val="004C1E3F"/>
    <w:rsid w:val="004F5603"/>
    <w:rsid w:val="00512D0A"/>
    <w:rsid w:val="00547A6B"/>
    <w:rsid w:val="005657DE"/>
    <w:rsid w:val="0057650C"/>
    <w:rsid w:val="00604CF4"/>
    <w:rsid w:val="00617CFC"/>
    <w:rsid w:val="00625CF2"/>
    <w:rsid w:val="00660257"/>
    <w:rsid w:val="00665602"/>
    <w:rsid w:val="006822E7"/>
    <w:rsid w:val="006B22E1"/>
    <w:rsid w:val="006D7310"/>
    <w:rsid w:val="00705518"/>
    <w:rsid w:val="00713472"/>
    <w:rsid w:val="007148AB"/>
    <w:rsid w:val="00724881"/>
    <w:rsid w:val="00725BBA"/>
    <w:rsid w:val="007639C2"/>
    <w:rsid w:val="00811096"/>
    <w:rsid w:val="00845284"/>
    <w:rsid w:val="00852710"/>
    <w:rsid w:val="00853136"/>
    <w:rsid w:val="00856317"/>
    <w:rsid w:val="00863933"/>
    <w:rsid w:val="00901886"/>
    <w:rsid w:val="009176B8"/>
    <w:rsid w:val="00931A03"/>
    <w:rsid w:val="00955733"/>
    <w:rsid w:val="0095630E"/>
    <w:rsid w:val="00957368"/>
    <w:rsid w:val="00962A7A"/>
    <w:rsid w:val="00965B07"/>
    <w:rsid w:val="00972C6F"/>
    <w:rsid w:val="00981B5D"/>
    <w:rsid w:val="009947F7"/>
    <w:rsid w:val="009A517F"/>
    <w:rsid w:val="009C5CF9"/>
    <w:rsid w:val="00A11CC7"/>
    <w:rsid w:val="00A31C5F"/>
    <w:rsid w:val="00A444CD"/>
    <w:rsid w:val="00A574D4"/>
    <w:rsid w:val="00A575A4"/>
    <w:rsid w:val="00B05B8E"/>
    <w:rsid w:val="00B51791"/>
    <w:rsid w:val="00B74656"/>
    <w:rsid w:val="00B86C56"/>
    <w:rsid w:val="00B926B5"/>
    <w:rsid w:val="00BB0ED4"/>
    <w:rsid w:val="00BC2A68"/>
    <w:rsid w:val="00BD4CDC"/>
    <w:rsid w:val="00BE51B2"/>
    <w:rsid w:val="00BE612A"/>
    <w:rsid w:val="00BF56D1"/>
    <w:rsid w:val="00CC308D"/>
    <w:rsid w:val="00CF31E5"/>
    <w:rsid w:val="00D15223"/>
    <w:rsid w:val="00D2293C"/>
    <w:rsid w:val="00D77802"/>
    <w:rsid w:val="00DA16CB"/>
    <w:rsid w:val="00DB1442"/>
    <w:rsid w:val="00DC50B1"/>
    <w:rsid w:val="00E02E8E"/>
    <w:rsid w:val="00E1235F"/>
    <w:rsid w:val="00E222ED"/>
    <w:rsid w:val="00E252F6"/>
    <w:rsid w:val="00E30F2B"/>
    <w:rsid w:val="00E345B5"/>
    <w:rsid w:val="00E3481B"/>
    <w:rsid w:val="00EB5072"/>
    <w:rsid w:val="00ED4097"/>
    <w:rsid w:val="00ED6610"/>
    <w:rsid w:val="00EF1961"/>
    <w:rsid w:val="00EF22E8"/>
    <w:rsid w:val="00F42338"/>
    <w:rsid w:val="00F65005"/>
    <w:rsid w:val="00F670DC"/>
    <w:rsid w:val="00FC48AB"/>
    <w:rsid w:val="00FD4516"/>
    <w:rsid w:val="00FF2E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8AD551"/>
  <w15:chartTrackingRefBased/>
  <w15:docId w15:val="{2C53ABFF-2C0C-406B-A15A-CAEE63DA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5CF2"/>
    <w:pPr>
      <w:autoSpaceDE w:val="0"/>
      <w:autoSpaceDN w:val="0"/>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625CF2"/>
    <w:pPr>
      <w:keepNext/>
      <w:autoSpaceDE/>
      <w:autoSpaceDN/>
      <w:spacing w:before="240" w:after="60"/>
      <w:outlineLvl w:val="0"/>
    </w:pPr>
    <w:rPr>
      <w:rFonts w:ascii="Arial" w:hAnsi="Arial" w:cs="Arial"/>
      <w:b/>
      <w:bCs/>
      <w:kern w:val="32"/>
      <w:sz w:val="32"/>
      <w:szCs w:val="32"/>
      <w:lang w:val="en-GB" w:eastAsia="en-GB"/>
    </w:rPr>
  </w:style>
  <w:style w:type="paragraph" w:styleId="Nadpis2">
    <w:name w:val="heading 2"/>
    <w:basedOn w:val="Normlny"/>
    <w:next w:val="Normlny"/>
    <w:link w:val="Nadpis2Char"/>
    <w:qFormat/>
    <w:rsid w:val="00625CF2"/>
    <w:pPr>
      <w:keepNext/>
      <w:autoSpaceDE/>
      <w:autoSpaceDN/>
      <w:spacing w:before="240" w:after="60"/>
      <w:outlineLvl w:val="1"/>
    </w:pPr>
    <w:rPr>
      <w:rFonts w:ascii="Arial" w:hAnsi="Arial" w:cs="Arial"/>
      <w:b/>
      <w:bCs/>
      <w:i/>
      <w:iCs/>
      <w:sz w:val="28"/>
      <w:szCs w:val="28"/>
      <w:lang w:val="en-GB" w:eastAsia="en-GB"/>
    </w:rPr>
  </w:style>
  <w:style w:type="paragraph" w:styleId="Nadpis3">
    <w:name w:val="heading 3"/>
    <w:basedOn w:val="Normlny"/>
    <w:next w:val="Normlny"/>
    <w:link w:val="Nadpis3Char"/>
    <w:qFormat/>
    <w:rsid w:val="00625CF2"/>
    <w:pPr>
      <w:keepNext/>
      <w:autoSpaceDE/>
      <w:autoSpaceDN/>
      <w:spacing w:before="240" w:after="60"/>
      <w:outlineLvl w:val="2"/>
    </w:pPr>
    <w:rPr>
      <w:rFonts w:ascii="Arial" w:hAnsi="Arial" w:cs="Arial"/>
      <w:b/>
      <w:bCs/>
      <w:sz w:val="26"/>
      <w:szCs w:val="26"/>
      <w:lang w:val="en-GB" w:eastAsia="en-GB"/>
    </w:rPr>
  </w:style>
  <w:style w:type="paragraph" w:styleId="Nadpis4">
    <w:name w:val="heading 4"/>
    <w:basedOn w:val="Normlny"/>
    <w:next w:val="Normlny"/>
    <w:link w:val="Nadpis4Char"/>
    <w:qFormat/>
    <w:rsid w:val="00625CF2"/>
    <w:pPr>
      <w:keepNext/>
      <w:autoSpaceDE/>
      <w:autoSpaceDN/>
      <w:jc w:val="center"/>
      <w:outlineLvl w:val="3"/>
    </w:pPr>
    <w:rPr>
      <w:b/>
      <w:caps/>
      <w:sz w:val="24"/>
      <w:szCs w:val="22"/>
      <w:lang w:val="en-GB" w:eastAsia="en-GB"/>
    </w:rPr>
  </w:style>
  <w:style w:type="paragraph" w:styleId="Nadpis5">
    <w:name w:val="heading 5"/>
    <w:basedOn w:val="Normlny"/>
    <w:next w:val="Normlny"/>
    <w:link w:val="Nadpis5Char"/>
    <w:qFormat/>
    <w:rsid w:val="00625CF2"/>
    <w:pPr>
      <w:keepNext/>
      <w:numPr>
        <w:ilvl w:val="12"/>
      </w:numPr>
      <w:autoSpaceDE/>
      <w:autoSpaceDN/>
      <w:ind w:right="-2"/>
      <w:outlineLvl w:val="4"/>
    </w:pPr>
    <w:rPr>
      <w:b/>
      <w:bCs/>
      <w:color w:val="221E1F"/>
      <w:sz w:val="24"/>
      <w:szCs w:val="24"/>
      <w:lang w:eastAsia="el-GR"/>
    </w:rPr>
  </w:style>
  <w:style w:type="paragraph" w:styleId="Nadpis6">
    <w:name w:val="heading 6"/>
    <w:basedOn w:val="Normlny"/>
    <w:next w:val="Normlny"/>
    <w:link w:val="Nadpis6Char"/>
    <w:qFormat/>
    <w:rsid w:val="00625CF2"/>
    <w:pPr>
      <w:autoSpaceDE/>
      <w:autoSpaceDN/>
      <w:spacing w:before="240" w:after="60"/>
      <w:outlineLvl w:val="5"/>
    </w:pPr>
    <w:rPr>
      <w:rFonts w:ascii="Calibri" w:hAnsi="Calibri"/>
      <w:b/>
      <w:bCs/>
      <w:sz w:val="22"/>
      <w:szCs w:val="22"/>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25CF2"/>
    <w:rPr>
      <w:rFonts w:ascii="Arial" w:eastAsia="Times New Roman" w:hAnsi="Arial" w:cs="Arial"/>
      <w:b/>
      <w:bCs/>
      <w:kern w:val="32"/>
      <w:sz w:val="32"/>
      <w:szCs w:val="32"/>
      <w:lang w:val="en-GB" w:eastAsia="en-GB"/>
    </w:rPr>
  </w:style>
  <w:style w:type="character" w:customStyle="1" w:styleId="Nadpis2Char">
    <w:name w:val="Nadpis 2 Char"/>
    <w:basedOn w:val="Predvolenpsmoodseku"/>
    <w:link w:val="Nadpis2"/>
    <w:rsid w:val="00625CF2"/>
    <w:rPr>
      <w:rFonts w:ascii="Arial" w:eastAsia="Times New Roman" w:hAnsi="Arial" w:cs="Arial"/>
      <w:b/>
      <w:bCs/>
      <w:i/>
      <w:iCs/>
      <w:sz w:val="28"/>
      <w:szCs w:val="28"/>
      <w:lang w:val="en-GB" w:eastAsia="en-GB"/>
    </w:rPr>
  </w:style>
  <w:style w:type="character" w:customStyle="1" w:styleId="Nadpis3Char">
    <w:name w:val="Nadpis 3 Char"/>
    <w:basedOn w:val="Predvolenpsmoodseku"/>
    <w:link w:val="Nadpis3"/>
    <w:rsid w:val="00625CF2"/>
    <w:rPr>
      <w:rFonts w:ascii="Arial" w:eastAsia="Times New Roman" w:hAnsi="Arial" w:cs="Arial"/>
      <w:b/>
      <w:bCs/>
      <w:sz w:val="26"/>
      <w:szCs w:val="26"/>
      <w:lang w:val="en-GB" w:eastAsia="en-GB"/>
    </w:rPr>
  </w:style>
  <w:style w:type="character" w:customStyle="1" w:styleId="Nadpis4Char">
    <w:name w:val="Nadpis 4 Char"/>
    <w:basedOn w:val="Predvolenpsmoodseku"/>
    <w:link w:val="Nadpis4"/>
    <w:rsid w:val="00625CF2"/>
    <w:rPr>
      <w:rFonts w:ascii="Times New Roman" w:eastAsia="Times New Roman" w:hAnsi="Times New Roman" w:cs="Times New Roman"/>
      <w:b/>
      <w:caps/>
      <w:sz w:val="24"/>
      <w:lang w:val="en-GB" w:eastAsia="en-GB"/>
    </w:rPr>
  </w:style>
  <w:style w:type="character" w:customStyle="1" w:styleId="Nadpis5Char">
    <w:name w:val="Nadpis 5 Char"/>
    <w:basedOn w:val="Predvolenpsmoodseku"/>
    <w:link w:val="Nadpis5"/>
    <w:rsid w:val="00625CF2"/>
    <w:rPr>
      <w:rFonts w:ascii="Times New Roman" w:eastAsia="Times New Roman" w:hAnsi="Times New Roman" w:cs="Times New Roman"/>
      <w:b/>
      <w:bCs/>
      <w:color w:val="221E1F"/>
      <w:sz w:val="24"/>
      <w:szCs w:val="24"/>
      <w:lang w:eastAsia="el-GR"/>
    </w:rPr>
  </w:style>
  <w:style w:type="character" w:customStyle="1" w:styleId="Nadpis6Char">
    <w:name w:val="Nadpis 6 Char"/>
    <w:basedOn w:val="Predvolenpsmoodseku"/>
    <w:link w:val="Nadpis6"/>
    <w:rsid w:val="00625CF2"/>
    <w:rPr>
      <w:rFonts w:ascii="Calibri" w:eastAsia="Times New Roman" w:hAnsi="Calibri" w:cs="Times New Roman"/>
      <w:b/>
      <w:bCs/>
      <w:lang w:val="en-GB" w:eastAsia="en-GB"/>
    </w:rPr>
  </w:style>
  <w:style w:type="character" w:styleId="PouitHypertextovPrepojenie">
    <w:name w:val="FollowedHyperlink"/>
    <w:rsid w:val="00625CF2"/>
    <w:rPr>
      <w:color w:val="800080"/>
      <w:u w:val="single"/>
    </w:rPr>
  </w:style>
  <w:style w:type="paragraph" w:styleId="Zkladntext">
    <w:name w:val="Body Text"/>
    <w:basedOn w:val="Normlny"/>
    <w:link w:val="ZkladntextChar"/>
    <w:rsid w:val="00625CF2"/>
    <w:pPr>
      <w:autoSpaceDE/>
      <w:autoSpaceDN/>
      <w:spacing w:after="120"/>
    </w:pPr>
    <w:rPr>
      <w:sz w:val="24"/>
      <w:szCs w:val="24"/>
      <w:lang w:val="en-GB" w:eastAsia="en-GB"/>
    </w:rPr>
  </w:style>
  <w:style w:type="character" w:customStyle="1" w:styleId="ZkladntextChar">
    <w:name w:val="Základný text Char"/>
    <w:basedOn w:val="Predvolenpsmoodseku"/>
    <w:link w:val="Zkladntext"/>
    <w:rsid w:val="00625CF2"/>
    <w:rPr>
      <w:rFonts w:ascii="Times New Roman" w:eastAsia="Times New Roman" w:hAnsi="Times New Roman" w:cs="Times New Roman"/>
      <w:sz w:val="24"/>
      <w:szCs w:val="24"/>
      <w:lang w:val="en-GB" w:eastAsia="en-GB"/>
    </w:rPr>
  </w:style>
  <w:style w:type="paragraph" w:styleId="Hlavika">
    <w:name w:val="header"/>
    <w:basedOn w:val="Normlny"/>
    <w:link w:val="HlavikaChar"/>
    <w:rsid w:val="00625CF2"/>
    <w:pPr>
      <w:tabs>
        <w:tab w:val="center" w:pos="4153"/>
        <w:tab w:val="right" w:pos="8306"/>
      </w:tabs>
      <w:autoSpaceDE/>
      <w:autoSpaceDN/>
    </w:pPr>
    <w:rPr>
      <w:sz w:val="24"/>
      <w:szCs w:val="24"/>
      <w:lang w:val="en-GB" w:eastAsia="en-GB"/>
    </w:rPr>
  </w:style>
  <w:style w:type="character" w:customStyle="1" w:styleId="HlavikaChar">
    <w:name w:val="Hlavička Char"/>
    <w:basedOn w:val="Predvolenpsmoodseku"/>
    <w:link w:val="Hlavika"/>
    <w:rsid w:val="00625CF2"/>
    <w:rPr>
      <w:rFonts w:ascii="Times New Roman" w:eastAsia="Times New Roman" w:hAnsi="Times New Roman" w:cs="Times New Roman"/>
      <w:sz w:val="24"/>
      <w:szCs w:val="24"/>
      <w:lang w:val="en-GB" w:eastAsia="en-GB"/>
    </w:rPr>
  </w:style>
  <w:style w:type="paragraph" w:styleId="Normlnywebov">
    <w:name w:val="Normal (Web)"/>
    <w:basedOn w:val="Normlny"/>
    <w:rsid w:val="00625CF2"/>
    <w:pPr>
      <w:autoSpaceDE/>
      <w:autoSpaceDN/>
      <w:spacing w:before="100" w:beforeAutospacing="1" w:after="100" w:afterAutospacing="1"/>
    </w:pPr>
    <w:rPr>
      <w:sz w:val="24"/>
      <w:szCs w:val="24"/>
      <w:lang w:val="pl-PL" w:eastAsia="pl-PL"/>
    </w:rPr>
  </w:style>
  <w:style w:type="paragraph" w:customStyle="1" w:styleId="EMEAEnBodyText">
    <w:name w:val="EMEA En Body Text"/>
    <w:basedOn w:val="Normlny"/>
    <w:rsid w:val="00625CF2"/>
    <w:pPr>
      <w:autoSpaceDE/>
      <w:autoSpaceDN/>
      <w:spacing w:before="120" w:after="120"/>
      <w:jc w:val="both"/>
    </w:pPr>
    <w:rPr>
      <w:sz w:val="22"/>
      <w:lang w:val="en-US" w:eastAsia="en-US"/>
    </w:rPr>
  </w:style>
  <w:style w:type="paragraph" w:customStyle="1" w:styleId="Textbubliny1">
    <w:name w:val="Text bubliny1"/>
    <w:basedOn w:val="Normlny"/>
    <w:semiHidden/>
    <w:rsid w:val="00625CF2"/>
    <w:pPr>
      <w:autoSpaceDE/>
      <w:autoSpaceDN/>
    </w:pPr>
    <w:rPr>
      <w:rFonts w:ascii="Tahoma" w:hAnsi="Tahoma" w:cs="Tahoma"/>
      <w:sz w:val="16"/>
      <w:szCs w:val="16"/>
      <w:lang w:val="en-GB" w:eastAsia="en-GB"/>
    </w:rPr>
  </w:style>
  <w:style w:type="character" w:styleId="Odkaznakomentr">
    <w:name w:val="annotation reference"/>
    <w:semiHidden/>
    <w:rsid w:val="00625CF2"/>
    <w:rPr>
      <w:sz w:val="16"/>
      <w:szCs w:val="16"/>
    </w:rPr>
  </w:style>
  <w:style w:type="paragraph" w:styleId="Textkomentra">
    <w:name w:val="annotation text"/>
    <w:basedOn w:val="Normlny"/>
    <w:link w:val="TextkomentraChar"/>
    <w:semiHidden/>
    <w:rsid w:val="00625CF2"/>
    <w:pPr>
      <w:autoSpaceDE/>
      <w:autoSpaceDN/>
    </w:pPr>
    <w:rPr>
      <w:lang w:val="en-GB" w:eastAsia="en-GB"/>
    </w:rPr>
  </w:style>
  <w:style w:type="character" w:customStyle="1" w:styleId="TextkomentraChar">
    <w:name w:val="Text komentára Char"/>
    <w:basedOn w:val="Predvolenpsmoodseku"/>
    <w:link w:val="Textkomentra"/>
    <w:semiHidden/>
    <w:rsid w:val="00625CF2"/>
    <w:rPr>
      <w:rFonts w:ascii="Times New Roman" w:eastAsia="Times New Roman" w:hAnsi="Times New Roman" w:cs="Times New Roman"/>
      <w:sz w:val="20"/>
      <w:szCs w:val="20"/>
      <w:lang w:val="en-GB" w:eastAsia="en-GB"/>
    </w:rPr>
  </w:style>
  <w:style w:type="paragraph" w:customStyle="1" w:styleId="CommentSubject1">
    <w:name w:val="Comment Subject1"/>
    <w:basedOn w:val="Textkomentra"/>
    <w:next w:val="Textkomentra"/>
    <w:semiHidden/>
    <w:rsid w:val="00625CF2"/>
    <w:rPr>
      <w:b/>
      <w:bCs/>
    </w:rPr>
  </w:style>
  <w:style w:type="paragraph" w:styleId="Pta">
    <w:name w:val="footer"/>
    <w:basedOn w:val="Normlny"/>
    <w:link w:val="PtaChar"/>
    <w:uiPriority w:val="99"/>
    <w:rsid w:val="00625CF2"/>
    <w:pPr>
      <w:tabs>
        <w:tab w:val="center" w:pos="4153"/>
        <w:tab w:val="right" w:pos="8306"/>
      </w:tabs>
      <w:autoSpaceDE/>
      <w:autoSpaceDN/>
    </w:pPr>
    <w:rPr>
      <w:sz w:val="24"/>
      <w:szCs w:val="24"/>
      <w:lang w:val="en-GB" w:eastAsia="en-GB"/>
    </w:rPr>
  </w:style>
  <w:style w:type="character" w:customStyle="1" w:styleId="PtaChar">
    <w:name w:val="Päta Char"/>
    <w:basedOn w:val="Predvolenpsmoodseku"/>
    <w:link w:val="Pta"/>
    <w:uiPriority w:val="99"/>
    <w:rsid w:val="00625CF2"/>
    <w:rPr>
      <w:rFonts w:ascii="Times New Roman" w:eastAsia="Times New Roman" w:hAnsi="Times New Roman" w:cs="Times New Roman"/>
      <w:sz w:val="24"/>
      <w:szCs w:val="24"/>
      <w:lang w:val="en-GB" w:eastAsia="en-GB"/>
    </w:rPr>
  </w:style>
  <w:style w:type="character" w:styleId="slostrany">
    <w:name w:val="page number"/>
    <w:basedOn w:val="Predvolenpsmoodseku"/>
    <w:rsid w:val="00625CF2"/>
  </w:style>
  <w:style w:type="paragraph" w:styleId="Nzov">
    <w:name w:val="Title"/>
    <w:basedOn w:val="Normlny"/>
    <w:link w:val="NzovChar"/>
    <w:qFormat/>
    <w:rsid w:val="00625CF2"/>
    <w:pPr>
      <w:autoSpaceDE/>
      <w:autoSpaceDN/>
      <w:jc w:val="center"/>
    </w:pPr>
    <w:rPr>
      <w:b/>
      <w:bCs/>
      <w:sz w:val="32"/>
      <w:szCs w:val="24"/>
      <w:lang w:val="en-US" w:eastAsia="el-GR"/>
    </w:rPr>
  </w:style>
  <w:style w:type="character" w:customStyle="1" w:styleId="NzovChar">
    <w:name w:val="Názov Char"/>
    <w:basedOn w:val="Predvolenpsmoodseku"/>
    <w:link w:val="Nzov"/>
    <w:rsid w:val="00625CF2"/>
    <w:rPr>
      <w:rFonts w:ascii="Times New Roman" w:eastAsia="Times New Roman" w:hAnsi="Times New Roman" w:cs="Times New Roman"/>
      <w:b/>
      <w:bCs/>
      <w:sz w:val="32"/>
      <w:szCs w:val="24"/>
      <w:lang w:val="en-US" w:eastAsia="el-GR"/>
    </w:rPr>
  </w:style>
  <w:style w:type="paragraph" w:styleId="Obsah1">
    <w:name w:val="toc 1"/>
    <w:basedOn w:val="Normlny"/>
    <w:next w:val="Normlny"/>
    <w:autoRedefine/>
    <w:semiHidden/>
    <w:rsid w:val="00625CF2"/>
    <w:pPr>
      <w:autoSpaceDE/>
      <w:autoSpaceDN/>
    </w:pPr>
    <w:rPr>
      <w:sz w:val="24"/>
      <w:szCs w:val="24"/>
      <w:lang w:val="en-GB" w:eastAsia="en-GB"/>
    </w:rPr>
  </w:style>
  <w:style w:type="character" w:styleId="Hypertextovprepojenie">
    <w:name w:val="Hyperlink"/>
    <w:rsid w:val="00625CF2"/>
    <w:rPr>
      <w:color w:val="0000FF"/>
      <w:u w:val="single"/>
    </w:rPr>
  </w:style>
  <w:style w:type="paragraph" w:customStyle="1" w:styleId="Style3">
    <w:name w:val="Style3"/>
    <w:basedOn w:val="Nadpis3"/>
    <w:rsid w:val="00625CF2"/>
    <w:rPr>
      <w:rFonts w:ascii="Times New Roman" w:hAnsi="Times New Roman"/>
      <w:sz w:val="24"/>
      <w:u w:val="single"/>
    </w:rPr>
  </w:style>
  <w:style w:type="paragraph" w:customStyle="1" w:styleId="Default">
    <w:name w:val="Default"/>
    <w:rsid w:val="00625CF2"/>
    <w:pPr>
      <w:widowControl w:val="0"/>
      <w:autoSpaceDE w:val="0"/>
      <w:autoSpaceDN w:val="0"/>
      <w:adjustRightInd w:val="0"/>
      <w:spacing w:after="0" w:line="240" w:lineRule="auto"/>
    </w:pPr>
    <w:rPr>
      <w:rFonts w:ascii="Courier" w:eastAsia="Times New Roman" w:hAnsi="Courier" w:cs="Courier"/>
      <w:color w:val="000000"/>
      <w:sz w:val="24"/>
      <w:szCs w:val="24"/>
      <w:lang w:val="el-GR" w:eastAsia="el-GR"/>
    </w:rPr>
  </w:style>
  <w:style w:type="paragraph" w:customStyle="1" w:styleId="CM1">
    <w:name w:val="CM1"/>
    <w:basedOn w:val="Default"/>
    <w:next w:val="Default"/>
    <w:rsid w:val="00625CF2"/>
    <w:rPr>
      <w:color w:val="auto"/>
    </w:rPr>
  </w:style>
  <w:style w:type="paragraph" w:customStyle="1" w:styleId="CM6">
    <w:name w:val="CM6"/>
    <w:basedOn w:val="Default"/>
    <w:next w:val="Default"/>
    <w:rsid w:val="00625CF2"/>
    <w:pPr>
      <w:spacing w:after="180"/>
    </w:pPr>
    <w:rPr>
      <w:color w:val="auto"/>
    </w:rPr>
  </w:style>
  <w:style w:type="paragraph" w:customStyle="1" w:styleId="CM2">
    <w:name w:val="CM2"/>
    <w:basedOn w:val="Default"/>
    <w:next w:val="Default"/>
    <w:rsid w:val="00625CF2"/>
    <w:pPr>
      <w:spacing w:line="191" w:lineRule="atLeast"/>
    </w:pPr>
    <w:rPr>
      <w:color w:val="auto"/>
    </w:rPr>
  </w:style>
  <w:style w:type="paragraph" w:customStyle="1" w:styleId="Normln">
    <w:name w:val="Norm‡ln’"/>
    <w:rsid w:val="00625CF2"/>
    <w:pPr>
      <w:spacing w:after="0" w:line="240" w:lineRule="auto"/>
    </w:pPr>
    <w:rPr>
      <w:rFonts w:ascii="Times New Roman" w:eastAsia="Times New Roman" w:hAnsi="Times New Roman" w:cs="Times New Roman"/>
      <w:sz w:val="20"/>
      <w:szCs w:val="20"/>
      <w:lang w:val="cs-CZ" w:eastAsia="cs-CZ"/>
    </w:rPr>
  </w:style>
  <w:style w:type="paragraph" w:styleId="Obyajntext">
    <w:name w:val="Plain Text"/>
    <w:basedOn w:val="Normlny"/>
    <w:link w:val="ObyajntextChar"/>
    <w:rsid w:val="00625CF2"/>
    <w:pPr>
      <w:autoSpaceDE/>
      <w:autoSpaceDN/>
    </w:pPr>
    <w:rPr>
      <w:rFonts w:ascii="Courier New" w:hAnsi="Courier New" w:cs="Courier New"/>
      <w:lang w:val="en-GB" w:eastAsia="hu-HU"/>
    </w:rPr>
  </w:style>
  <w:style w:type="character" w:customStyle="1" w:styleId="ObyajntextChar">
    <w:name w:val="Obyčajný text Char"/>
    <w:basedOn w:val="Predvolenpsmoodseku"/>
    <w:link w:val="Obyajntext"/>
    <w:rsid w:val="00625CF2"/>
    <w:rPr>
      <w:rFonts w:ascii="Courier New" w:eastAsia="Times New Roman" w:hAnsi="Courier New" w:cs="Courier New"/>
      <w:sz w:val="20"/>
      <w:szCs w:val="20"/>
      <w:lang w:val="en-GB" w:eastAsia="hu-HU"/>
    </w:rPr>
  </w:style>
  <w:style w:type="character" w:customStyle="1" w:styleId="emailstyle17">
    <w:name w:val="emailstyle17"/>
    <w:semiHidden/>
    <w:rsid w:val="00625CF2"/>
    <w:rPr>
      <w:color w:val="000000"/>
    </w:rPr>
  </w:style>
  <w:style w:type="paragraph" w:styleId="Textbubliny">
    <w:name w:val="Balloon Text"/>
    <w:basedOn w:val="Normlny"/>
    <w:link w:val="TextbublinyChar"/>
    <w:semiHidden/>
    <w:rsid w:val="00625CF2"/>
    <w:pPr>
      <w:autoSpaceDE/>
      <w:autoSpaceDN/>
    </w:pPr>
    <w:rPr>
      <w:rFonts w:ascii="Tahoma" w:hAnsi="Tahoma" w:cs="Tahoma"/>
      <w:sz w:val="16"/>
      <w:szCs w:val="16"/>
      <w:lang w:val="en-GB" w:eastAsia="en-GB"/>
    </w:rPr>
  </w:style>
  <w:style w:type="character" w:customStyle="1" w:styleId="TextbublinyChar">
    <w:name w:val="Text bubliny Char"/>
    <w:basedOn w:val="Predvolenpsmoodseku"/>
    <w:link w:val="Textbubliny"/>
    <w:semiHidden/>
    <w:rsid w:val="00625CF2"/>
    <w:rPr>
      <w:rFonts w:ascii="Tahoma" w:eastAsia="Times New Roman" w:hAnsi="Tahoma" w:cs="Tahoma"/>
      <w:sz w:val="16"/>
      <w:szCs w:val="16"/>
      <w:lang w:val="en-GB" w:eastAsia="en-GB"/>
    </w:rPr>
  </w:style>
  <w:style w:type="paragraph" w:customStyle="1" w:styleId="Fett1">
    <w:name w:val="Fett1"/>
    <w:basedOn w:val="Normlny"/>
    <w:next w:val="Normlny"/>
    <w:rsid w:val="00625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pPr>
    <w:rPr>
      <w:rFonts w:ascii="AvantGarde Bd BT" w:hAnsi="AvantGarde Bd BT" w:cs="AvantGarde Bd BT"/>
      <w:color w:val="000000"/>
      <w:sz w:val="12"/>
      <w:szCs w:val="12"/>
      <w:lang w:val="de-DE" w:eastAsia="de-DE"/>
    </w:rPr>
  </w:style>
  <w:style w:type="paragraph" w:styleId="Zkladntext2">
    <w:name w:val="Body Text 2"/>
    <w:basedOn w:val="Normlny"/>
    <w:link w:val="Zkladntext2Char"/>
    <w:rsid w:val="00625CF2"/>
    <w:pPr>
      <w:autoSpaceDE/>
      <w:autoSpaceDN/>
      <w:spacing w:after="120" w:line="480" w:lineRule="auto"/>
    </w:pPr>
    <w:rPr>
      <w:sz w:val="24"/>
      <w:szCs w:val="24"/>
      <w:lang w:val="en-GB" w:eastAsia="en-GB"/>
    </w:rPr>
  </w:style>
  <w:style w:type="character" w:customStyle="1" w:styleId="Zkladntext2Char">
    <w:name w:val="Základný text 2 Char"/>
    <w:basedOn w:val="Predvolenpsmoodseku"/>
    <w:link w:val="Zkladntext2"/>
    <w:rsid w:val="00625CF2"/>
    <w:rPr>
      <w:rFonts w:ascii="Times New Roman" w:eastAsia="Times New Roman" w:hAnsi="Times New Roman" w:cs="Times New Roman"/>
      <w:sz w:val="24"/>
      <w:szCs w:val="24"/>
      <w:lang w:val="en-GB" w:eastAsia="en-GB"/>
    </w:rPr>
  </w:style>
  <w:style w:type="paragraph" w:customStyle="1" w:styleId="Bezriadkovania1">
    <w:name w:val="Bez riadkovania1"/>
    <w:uiPriority w:val="1"/>
    <w:qFormat/>
    <w:rsid w:val="00625CF2"/>
    <w:pPr>
      <w:spacing w:after="0" w:line="240" w:lineRule="auto"/>
    </w:pPr>
    <w:rPr>
      <w:rFonts w:ascii="Times New Roman" w:eastAsia="Times New Roman" w:hAnsi="Times New Roman" w:cs="Times New Roman"/>
      <w:sz w:val="24"/>
      <w:szCs w:val="24"/>
      <w:lang w:val="en-GB" w:eastAsia="en-GB"/>
    </w:rPr>
  </w:style>
  <w:style w:type="character" w:customStyle="1" w:styleId="hps">
    <w:name w:val="hps"/>
    <w:basedOn w:val="Predvolenpsmoodseku"/>
    <w:rsid w:val="00625CF2"/>
  </w:style>
  <w:style w:type="paragraph" w:styleId="Normlnysozarkami">
    <w:name w:val="Normal Indent"/>
    <w:basedOn w:val="Normlny"/>
    <w:rsid w:val="00625CF2"/>
    <w:pPr>
      <w:autoSpaceDE/>
      <w:autoSpaceDN/>
      <w:spacing w:after="120"/>
      <w:ind w:left="720"/>
    </w:pPr>
    <w:rPr>
      <w:sz w:val="22"/>
      <w:lang w:val="en-IE" w:eastAsia="en-GB"/>
    </w:rPr>
  </w:style>
  <w:style w:type="paragraph" w:customStyle="1" w:styleId="Style10">
    <w:name w:val="Style10"/>
    <w:basedOn w:val="Normlny"/>
    <w:rsid w:val="00625CF2"/>
    <w:pPr>
      <w:widowControl w:val="0"/>
      <w:adjustRightInd w:val="0"/>
      <w:spacing w:line="229" w:lineRule="exact"/>
    </w:pPr>
    <w:rPr>
      <w:rFonts w:ascii="Arial" w:hAnsi="Arial" w:cs="Arial"/>
      <w:sz w:val="24"/>
      <w:szCs w:val="24"/>
    </w:rPr>
  </w:style>
  <w:style w:type="character" w:customStyle="1" w:styleId="FontStyle24">
    <w:name w:val="Font Style24"/>
    <w:rsid w:val="00625CF2"/>
    <w:rPr>
      <w:rFonts w:ascii="Arial" w:hAnsi="Arial" w:cs="Arial"/>
      <w:b/>
      <w:bCs/>
      <w:sz w:val="18"/>
      <w:szCs w:val="18"/>
    </w:rPr>
  </w:style>
  <w:style w:type="paragraph" w:styleId="Odsekzoznamu">
    <w:name w:val="List Paragraph"/>
    <w:basedOn w:val="Normlny"/>
    <w:uiPriority w:val="34"/>
    <w:qFormat/>
    <w:rsid w:val="00023716"/>
    <w:pPr>
      <w:ind w:left="720"/>
      <w:contextualSpacing/>
    </w:pPr>
  </w:style>
  <w:style w:type="paragraph" w:customStyle="1" w:styleId="B">
    <w:name w:val="_ B"/>
    <w:basedOn w:val="Normlny"/>
    <w:rsid w:val="00F42338"/>
    <w:pPr>
      <w:autoSpaceDE/>
      <w:autoSpaceDN/>
      <w:spacing w:line="288" w:lineRule="auto"/>
      <w:ind w:left="170"/>
      <w:jc w:val="both"/>
    </w:pPr>
    <w:rPr>
      <w:rFonts w:ascii="Arial" w:hAnsi="Arial" w:cs="Arial"/>
      <w:sz w:val="14"/>
      <w:szCs w:val="14"/>
      <w:lang w:val="en-GB" w:eastAsia="en-GB"/>
    </w:rPr>
  </w:style>
  <w:style w:type="paragraph" w:styleId="Zarkazkladnhotextu">
    <w:name w:val="Body Text Indent"/>
    <w:basedOn w:val="Normlny"/>
    <w:link w:val="ZarkazkladnhotextuChar"/>
    <w:rsid w:val="009A517F"/>
    <w:pPr>
      <w:autoSpaceDE/>
      <w:autoSpaceDN/>
      <w:spacing w:after="120"/>
      <w:ind w:left="283" w:hanging="567"/>
    </w:pPr>
    <w:rPr>
      <w:sz w:val="22"/>
      <w:szCs w:val="24"/>
    </w:rPr>
  </w:style>
  <w:style w:type="character" w:customStyle="1" w:styleId="ZarkazkladnhotextuChar">
    <w:name w:val="Zarážka základného textu Char"/>
    <w:basedOn w:val="Predvolenpsmoodseku"/>
    <w:link w:val="Zarkazkladnhotextu"/>
    <w:rsid w:val="009A517F"/>
    <w:rPr>
      <w:rFonts w:ascii="Times New Roman" w:eastAsia="Times New Roman" w:hAnsi="Times New Roman" w:cs="Times New Roman"/>
      <w:szCs w:val="24"/>
      <w:lang w:eastAsia="sk-SK"/>
    </w:rPr>
  </w:style>
  <w:style w:type="paragraph" w:styleId="Predmetkomentra">
    <w:name w:val="annotation subject"/>
    <w:basedOn w:val="Textkomentra"/>
    <w:next w:val="Textkomentra"/>
    <w:link w:val="PredmetkomentraChar"/>
    <w:uiPriority w:val="99"/>
    <w:semiHidden/>
    <w:unhideWhenUsed/>
    <w:rsid w:val="004651BC"/>
    <w:pPr>
      <w:autoSpaceDE w:val="0"/>
      <w:autoSpaceDN w:val="0"/>
    </w:pPr>
    <w:rPr>
      <w:b/>
      <w:bCs/>
      <w:lang w:val="sk-SK" w:eastAsia="sk-SK"/>
    </w:rPr>
  </w:style>
  <w:style w:type="character" w:customStyle="1" w:styleId="PredmetkomentraChar">
    <w:name w:val="Predmet komentára Char"/>
    <w:basedOn w:val="TextkomentraChar"/>
    <w:link w:val="Predmetkomentra"/>
    <w:uiPriority w:val="99"/>
    <w:semiHidden/>
    <w:rsid w:val="004651BC"/>
    <w:rPr>
      <w:rFonts w:ascii="Times New Roman" w:eastAsia="Times New Roman" w:hAnsi="Times New Roman" w:cs="Times New Roman"/>
      <w:b/>
      <w:bCs/>
      <w:sz w:val="20"/>
      <w:szCs w:val="20"/>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653</TotalTime>
  <Pages>19</Pages>
  <Words>7538</Words>
  <Characters>42969</Characters>
  <Application>Microsoft Office Word</Application>
  <DocSecurity>0</DocSecurity>
  <Lines>358</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Kapustova</dc:creator>
  <cp:keywords/>
  <dc:description/>
  <cp:lastModifiedBy>Kristína Ráczová</cp:lastModifiedBy>
  <cp:revision>26</cp:revision>
  <dcterms:created xsi:type="dcterms:W3CDTF">2019-04-01T13:17:00Z</dcterms:created>
  <dcterms:modified xsi:type="dcterms:W3CDTF">2019-07-15T12:19:00Z</dcterms:modified>
</cp:coreProperties>
</file>