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B7BE6" w14:textId="77777777" w:rsidR="00E85B56" w:rsidRPr="00756B9D" w:rsidRDefault="0044604D" w:rsidP="00346B2E">
      <w:pPr>
        <w:spacing w:after="0" w:line="240" w:lineRule="auto"/>
        <w:jc w:val="center"/>
        <w:rPr>
          <w:rFonts w:ascii="Times New Roman" w:hAnsi="Times New Roman"/>
          <w:b/>
        </w:rPr>
      </w:pPr>
      <w:bookmarkStart w:id="0" w:name="_GoBack"/>
      <w:bookmarkEnd w:id="0"/>
      <w:r w:rsidRPr="00756B9D">
        <w:rPr>
          <w:rFonts w:ascii="Times New Roman" w:hAnsi="Times New Roman"/>
          <w:b/>
          <w:bCs/>
          <w:lang w:val="sk"/>
        </w:rPr>
        <w:t>SÚHRN CHARAKTERISTICKÝCH VLASTNOSTÍ LIEKU</w:t>
      </w:r>
    </w:p>
    <w:p w14:paraId="106D09D7" w14:textId="77777777" w:rsidR="00E85B56" w:rsidRPr="009E5803" w:rsidRDefault="00E85B56" w:rsidP="00346B2E">
      <w:pPr>
        <w:spacing w:after="0" w:line="240" w:lineRule="auto"/>
        <w:jc w:val="center"/>
        <w:rPr>
          <w:rFonts w:ascii="Times New Roman" w:hAnsi="Times New Roman"/>
        </w:rPr>
      </w:pPr>
    </w:p>
    <w:p w14:paraId="522E18CF" w14:textId="77777777" w:rsidR="009E5803" w:rsidRPr="009E5803" w:rsidRDefault="009E5803" w:rsidP="00346B2E">
      <w:pPr>
        <w:spacing w:after="0" w:line="240" w:lineRule="auto"/>
        <w:jc w:val="center"/>
        <w:rPr>
          <w:rFonts w:ascii="Times New Roman" w:hAnsi="Times New Roman"/>
        </w:rPr>
      </w:pPr>
    </w:p>
    <w:p w14:paraId="421F2412" w14:textId="5E0F4795" w:rsidR="00003978" w:rsidRPr="00756B9D" w:rsidRDefault="00003978" w:rsidP="00756B9D">
      <w:pPr>
        <w:pStyle w:val="Odsekzoznamu"/>
        <w:numPr>
          <w:ilvl w:val="0"/>
          <w:numId w:val="2"/>
        </w:numPr>
        <w:spacing w:after="0" w:line="240" w:lineRule="auto"/>
        <w:ind w:left="567" w:hanging="567"/>
        <w:rPr>
          <w:rFonts w:ascii="Times New Roman" w:hAnsi="Times New Roman"/>
        </w:rPr>
      </w:pPr>
      <w:r w:rsidRPr="00756B9D">
        <w:rPr>
          <w:rFonts w:ascii="Times New Roman" w:hAnsi="Times New Roman"/>
          <w:b/>
          <w:bCs/>
          <w:lang w:val="sk"/>
        </w:rPr>
        <w:t xml:space="preserve">NÁZOV LIEKU </w:t>
      </w:r>
    </w:p>
    <w:p w14:paraId="4D7AA80C" w14:textId="77777777" w:rsidR="009E5803" w:rsidRDefault="009E5803" w:rsidP="00831137">
      <w:pPr>
        <w:pStyle w:val="Default"/>
        <w:jc w:val="both"/>
        <w:rPr>
          <w:color w:val="auto"/>
          <w:sz w:val="22"/>
          <w:szCs w:val="22"/>
          <w:lang w:val="sk"/>
        </w:rPr>
      </w:pPr>
    </w:p>
    <w:p w14:paraId="3FB78B66" w14:textId="44AD11FB" w:rsidR="00003978" w:rsidRPr="00756B9D" w:rsidRDefault="001A3B94" w:rsidP="00831137">
      <w:pPr>
        <w:pStyle w:val="Default"/>
        <w:jc w:val="both"/>
        <w:rPr>
          <w:color w:val="auto"/>
          <w:sz w:val="22"/>
          <w:szCs w:val="22"/>
        </w:rPr>
      </w:pPr>
      <w:r>
        <w:rPr>
          <w:color w:val="auto"/>
          <w:sz w:val="22"/>
          <w:szCs w:val="22"/>
          <w:lang w:val="sk"/>
        </w:rPr>
        <w:t>Dulxetenon</w:t>
      </w:r>
      <w:r w:rsidR="002127A1" w:rsidRPr="00756B9D">
        <w:rPr>
          <w:color w:val="auto"/>
          <w:sz w:val="22"/>
          <w:szCs w:val="22"/>
          <w:lang w:val="sk"/>
        </w:rPr>
        <w:t xml:space="preserve"> </w:t>
      </w:r>
      <w:r w:rsidR="009E5803">
        <w:rPr>
          <w:color w:val="auto"/>
          <w:sz w:val="22"/>
          <w:szCs w:val="22"/>
          <w:lang w:val="sk"/>
        </w:rPr>
        <w:t>30 </w:t>
      </w:r>
      <w:r w:rsidR="00CC0069" w:rsidRPr="00756B9D">
        <w:rPr>
          <w:color w:val="auto"/>
          <w:sz w:val="22"/>
          <w:szCs w:val="22"/>
          <w:lang w:val="sk"/>
        </w:rPr>
        <w:t xml:space="preserve">mg </w:t>
      </w:r>
      <w:r w:rsidR="009E5803">
        <w:rPr>
          <w:color w:val="auto"/>
          <w:sz w:val="22"/>
          <w:szCs w:val="22"/>
          <w:lang w:val="sk"/>
        </w:rPr>
        <w:t>tvrdé gastrorezistentné kapsuly</w:t>
      </w:r>
    </w:p>
    <w:p w14:paraId="7F6B9F1E" w14:textId="3E97B4E2" w:rsidR="00D34BD7" w:rsidRPr="00756B9D" w:rsidRDefault="001A3B94">
      <w:pPr>
        <w:pStyle w:val="Default"/>
        <w:jc w:val="both"/>
        <w:rPr>
          <w:color w:val="auto"/>
          <w:sz w:val="22"/>
          <w:szCs w:val="22"/>
        </w:rPr>
      </w:pPr>
      <w:r>
        <w:rPr>
          <w:sz w:val="22"/>
          <w:szCs w:val="22"/>
          <w:lang w:val="sk"/>
        </w:rPr>
        <w:t>Dulxetenon</w:t>
      </w:r>
      <w:r w:rsidR="002127A1" w:rsidRPr="00756B9D">
        <w:rPr>
          <w:sz w:val="22"/>
          <w:szCs w:val="22"/>
          <w:lang w:val="sk"/>
        </w:rPr>
        <w:t xml:space="preserve"> </w:t>
      </w:r>
      <w:r w:rsidR="009E5803">
        <w:rPr>
          <w:sz w:val="22"/>
          <w:szCs w:val="22"/>
          <w:lang w:val="sk"/>
        </w:rPr>
        <w:t>60 </w:t>
      </w:r>
      <w:r w:rsidR="00CC0069" w:rsidRPr="00756B9D">
        <w:rPr>
          <w:sz w:val="22"/>
          <w:szCs w:val="22"/>
          <w:lang w:val="sk"/>
        </w:rPr>
        <w:t>mg tvrdé gastrorezistentné kapsuly</w:t>
      </w:r>
    </w:p>
    <w:p w14:paraId="5EC444A6" w14:textId="0BE76A27" w:rsidR="00003978" w:rsidRPr="00756B9D" w:rsidRDefault="00003978">
      <w:pPr>
        <w:pStyle w:val="Default"/>
        <w:jc w:val="both"/>
        <w:rPr>
          <w:color w:val="auto"/>
          <w:sz w:val="22"/>
          <w:szCs w:val="22"/>
        </w:rPr>
      </w:pPr>
    </w:p>
    <w:p w14:paraId="2A8A6CCC" w14:textId="77777777" w:rsidR="00A2708C" w:rsidRPr="00756B9D" w:rsidRDefault="00A2708C">
      <w:pPr>
        <w:pStyle w:val="Default"/>
        <w:jc w:val="both"/>
        <w:rPr>
          <w:color w:val="auto"/>
          <w:sz w:val="22"/>
          <w:szCs w:val="22"/>
        </w:rPr>
      </w:pPr>
    </w:p>
    <w:p w14:paraId="1B7C9572" w14:textId="0B3A1778" w:rsidR="00003978" w:rsidRPr="00756B9D" w:rsidRDefault="00003978" w:rsidP="00756B9D">
      <w:pPr>
        <w:pStyle w:val="Default"/>
        <w:numPr>
          <w:ilvl w:val="0"/>
          <w:numId w:val="2"/>
        </w:numPr>
        <w:ind w:left="567" w:hanging="567"/>
        <w:jc w:val="both"/>
        <w:rPr>
          <w:color w:val="auto"/>
          <w:sz w:val="22"/>
          <w:szCs w:val="22"/>
        </w:rPr>
      </w:pPr>
      <w:r w:rsidRPr="00756B9D">
        <w:rPr>
          <w:b/>
          <w:bCs/>
          <w:color w:val="auto"/>
          <w:sz w:val="22"/>
          <w:szCs w:val="22"/>
          <w:lang w:val="sk"/>
        </w:rPr>
        <w:t>KVALITATÍVNE A KVANTITATÍVNE ZLOŽENIE</w:t>
      </w:r>
      <w:r w:rsidRPr="00756B9D">
        <w:rPr>
          <w:color w:val="auto"/>
          <w:sz w:val="22"/>
          <w:szCs w:val="22"/>
          <w:lang w:val="sk"/>
        </w:rPr>
        <w:t xml:space="preserve"> </w:t>
      </w:r>
    </w:p>
    <w:p w14:paraId="157DE6E5" w14:textId="77777777" w:rsidR="00003978" w:rsidRPr="00756B9D" w:rsidRDefault="00003978">
      <w:pPr>
        <w:pStyle w:val="Default"/>
        <w:jc w:val="both"/>
        <w:rPr>
          <w:color w:val="auto"/>
          <w:sz w:val="22"/>
          <w:szCs w:val="22"/>
        </w:rPr>
      </w:pPr>
    </w:p>
    <w:p w14:paraId="1A0FA6AD" w14:textId="5D030EC0" w:rsidR="00A2708C" w:rsidRPr="00756B9D" w:rsidRDefault="001A3B94">
      <w:pPr>
        <w:pStyle w:val="Default"/>
        <w:jc w:val="both"/>
        <w:rPr>
          <w:color w:val="auto"/>
          <w:sz w:val="22"/>
          <w:szCs w:val="22"/>
          <w:u w:val="single"/>
        </w:rPr>
      </w:pPr>
      <w:r>
        <w:rPr>
          <w:color w:val="auto"/>
          <w:sz w:val="22"/>
          <w:szCs w:val="22"/>
          <w:u w:val="single"/>
          <w:lang w:val="sk"/>
        </w:rPr>
        <w:t>Dulxetenon</w:t>
      </w:r>
      <w:r w:rsidR="00AF0C32" w:rsidRPr="00756B9D">
        <w:rPr>
          <w:color w:val="auto"/>
          <w:sz w:val="22"/>
          <w:szCs w:val="22"/>
          <w:u w:val="single"/>
          <w:lang w:val="sk"/>
        </w:rPr>
        <w:t xml:space="preserve"> </w:t>
      </w:r>
      <w:r w:rsidR="009E5803">
        <w:rPr>
          <w:color w:val="auto"/>
          <w:sz w:val="22"/>
          <w:szCs w:val="22"/>
          <w:u w:val="single"/>
          <w:lang w:val="sk"/>
        </w:rPr>
        <w:t>30 </w:t>
      </w:r>
      <w:r w:rsidR="00A2708C" w:rsidRPr="00756B9D">
        <w:rPr>
          <w:color w:val="auto"/>
          <w:sz w:val="22"/>
          <w:szCs w:val="22"/>
          <w:u w:val="single"/>
          <w:lang w:val="sk"/>
        </w:rPr>
        <w:t>mg tvrdé gastrorezistentné kapsuly</w:t>
      </w:r>
    </w:p>
    <w:p w14:paraId="6579F943" w14:textId="77777777" w:rsidR="00A2708C" w:rsidRPr="00756B9D" w:rsidRDefault="00A2708C">
      <w:pPr>
        <w:pStyle w:val="Default"/>
        <w:jc w:val="both"/>
        <w:rPr>
          <w:color w:val="auto"/>
          <w:sz w:val="22"/>
          <w:szCs w:val="22"/>
          <w:u w:val="single"/>
        </w:rPr>
      </w:pPr>
    </w:p>
    <w:p w14:paraId="135C64F2" w14:textId="753CB7E0" w:rsidR="004A5CB7" w:rsidRPr="00756B9D" w:rsidRDefault="009E5803">
      <w:pPr>
        <w:pStyle w:val="Default"/>
        <w:jc w:val="both"/>
        <w:rPr>
          <w:color w:val="auto"/>
          <w:sz w:val="22"/>
          <w:szCs w:val="22"/>
        </w:rPr>
      </w:pPr>
      <w:r>
        <w:rPr>
          <w:color w:val="auto"/>
          <w:sz w:val="22"/>
          <w:szCs w:val="22"/>
          <w:lang w:val="sk"/>
        </w:rPr>
        <w:t>Jedna kapsula obsahuje 30 </w:t>
      </w:r>
      <w:r w:rsidR="00D34BD7" w:rsidRPr="00756B9D">
        <w:rPr>
          <w:color w:val="auto"/>
          <w:sz w:val="22"/>
          <w:szCs w:val="22"/>
          <w:lang w:val="sk"/>
        </w:rPr>
        <w:t>mg duloxetínu (vo forme hydrochloridu).</w:t>
      </w:r>
    </w:p>
    <w:p w14:paraId="5A995714" w14:textId="7CE948CA" w:rsidR="004A5CB7" w:rsidRPr="00756B9D" w:rsidRDefault="004A5CB7">
      <w:pPr>
        <w:pStyle w:val="Default"/>
        <w:jc w:val="both"/>
        <w:rPr>
          <w:color w:val="auto"/>
          <w:sz w:val="22"/>
          <w:szCs w:val="22"/>
        </w:rPr>
      </w:pPr>
      <w:r w:rsidRPr="00756B9D">
        <w:rPr>
          <w:color w:val="auto"/>
          <w:sz w:val="22"/>
          <w:szCs w:val="22"/>
          <w:lang w:val="sk"/>
        </w:rPr>
        <w:t>Pomocná látka (pomocné látky) so známym účinkom: každá to</w:t>
      </w:r>
      <w:r w:rsidR="009E5803">
        <w:rPr>
          <w:color w:val="auto"/>
          <w:sz w:val="22"/>
          <w:szCs w:val="22"/>
          <w:lang w:val="sk"/>
        </w:rPr>
        <w:t>bolka obsahuje približne 47,9</w:t>
      </w:r>
      <w:r w:rsidR="009E5803">
        <w:rPr>
          <w:color w:val="auto"/>
          <w:sz w:val="22"/>
          <w:szCs w:val="22"/>
          <w:lang w:val="sk"/>
        </w:rPr>
        <w:noBreakHyphen/>
        <w:t>51,4 </w:t>
      </w:r>
      <w:r w:rsidRPr="00756B9D">
        <w:rPr>
          <w:color w:val="auto"/>
          <w:sz w:val="22"/>
          <w:szCs w:val="22"/>
          <w:lang w:val="sk"/>
        </w:rPr>
        <w:t>mg sacharózy.</w:t>
      </w:r>
    </w:p>
    <w:p w14:paraId="47AE78D3" w14:textId="77777777" w:rsidR="00D34BD7" w:rsidRPr="00756B9D" w:rsidRDefault="00D34BD7">
      <w:pPr>
        <w:pStyle w:val="Default"/>
        <w:jc w:val="both"/>
        <w:rPr>
          <w:color w:val="auto"/>
          <w:sz w:val="22"/>
          <w:szCs w:val="22"/>
        </w:rPr>
      </w:pPr>
    </w:p>
    <w:p w14:paraId="0B5E1956" w14:textId="5959D4FC" w:rsidR="00A2708C" w:rsidRPr="00756B9D" w:rsidRDefault="001A3B94">
      <w:pPr>
        <w:pStyle w:val="Default"/>
        <w:jc w:val="both"/>
        <w:rPr>
          <w:color w:val="auto"/>
          <w:sz w:val="22"/>
          <w:szCs w:val="22"/>
          <w:u w:val="single"/>
        </w:rPr>
      </w:pPr>
      <w:r>
        <w:rPr>
          <w:color w:val="auto"/>
          <w:sz w:val="22"/>
          <w:szCs w:val="22"/>
          <w:u w:val="single"/>
          <w:lang w:val="sk"/>
        </w:rPr>
        <w:t>Dulxetenon</w:t>
      </w:r>
      <w:r w:rsidR="00AF0C32" w:rsidRPr="00756B9D">
        <w:rPr>
          <w:color w:val="auto"/>
          <w:sz w:val="22"/>
          <w:szCs w:val="22"/>
          <w:u w:val="single"/>
          <w:lang w:val="sk"/>
        </w:rPr>
        <w:t xml:space="preserve"> </w:t>
      </w:r>
      <w:r w:rsidR="009E5803">
        <w:rPr>
          <w:color w:val="auto"/>
          <w:sz w:val="22"/>
          <w:szCs w:val="22"/>
          <w:u w:val="single"/>
          <w:lang w:val="sk"/>
        </w:rPr>
        <w:t>60 </w:t>
      </w:r>
      <w:r w:rsidR="00A2708C" w:rsidRPr="00756B9D">
        <w:rPr>
          <w:color w:val="auto"/>
          <w:sz w:val="22"/>
          <w:szCs w:val="22"/>
          <w:u w:val="single"/>
          <w:lang w:val="sk"/>
        </w:rPr>
        <w:t>mg tvrdé gastrorezistentné kapsuly</w:t>
      </w:r>
    </w:p>
    <w:p w14:paraId="33FEB430" w14:textId="77777777" w:rsidR="00A2708C" w:rsidRPr="00756B9D" w:rsidRDefault="00A2708C">
      <w:pPr>
        <w:pStyle w:val="Default"/>
        <w:jc w:val="both"/>
        <w:rPr>
          <w:color w:val="auto"/>
          <w:sz w:val="22"/>
          <w:szCs w:val="22"/>
        </w:rPr>
      </w:pPr>
    </w:p>
    <w:p w14:paraId="4D5354E7" w14:textId="0DF201E6" w:rsidR="00D34BD7" w:rsidRPr="00756B9D" w:rsidRDefault="00D34BD7">
      <w:pPr>
        <w:pStyle w:val="Default"/>
        <w:jc w:val="both"/>
        <w:rPr>
          <w:sz w:val="22"/>
          <w:szCs w:val="22"/>
        </w:rPr>
      </w:pPr>
      <w:r w:rsidRPr="00756B9D">
        <w:rPr>
          <w:sz w:val="22"/>
          <w:szCs w:val="22"/>
          <w:lang w:val="sk"/>
        </w:rPr>
        <w:t>Jedna ka</w:t>
      </w:r>
      <w:r w:rsidR="009E5803">
        <w:rPr>
          <w:sz w:val="22"/>
          <w:szCs w:val="22"/>
          <w:lang w:val="sk"/>
        </w:rPr>
        <w:t>psula obsahuje 60 </w:t>
      </w:r>
      <w:r w:rsidRPr="00756B9D">
        <w:rPr>
          <w:sz w:val="22"/>
          <w:szCs w:val="22"/>
          <w:lang w:val="sk"/>
        </w:rPr>
        <w:t xml:space="preserve">mg duloxetínu (vo forme hydrochloridu). </w:t>
      </w:r>
    </w:p>
    <w:p w14:paraId="10ECF5FE" w14:textId="707F0ED6" w:rsidR="00D34BD7" w:rsidRPr="00756B9D" w:rsidRDefault="00D34BD7">
      <w:pPr>
        <w:pStyle w:val="Default"/>
        <w:jc w:val="both"/>
        <w:rPr>
          <w:sz w:val="22"/>
          <w:szCs w:val="22"/>
        </w:rPr>
      </w:pPr>
      <w:r w:rsidRPr="00756B9D">
        <w:rPr>
          <w:sz w:val="22"/>
          <w:szCs w:val="22"/>
          <w:lang w:val="sk"/>
        </w:rPr>
        <w:t>Po</w:t>
      </w:r>
      <w:r w:rsidR="009E5803">
        <w:rPr>
          <w:sz w:val="22"/>
          <w:szCs w:val="22"/>
          <w:lang w:val="sk"/>
        </w:rPr>
        <w:t xml:space="preserve">mocná látka so známym účinkom: </w:t>
      </w:r>
      <w:r w:rsidRPr="00756B9D">
        <w:rPr>
          <w:sz w:val="22"/>
          <w:szCs w:val="22"/>
          <w:lang w:val="sk"/>
        </w:rPr>
        <w:t>každá ka</w:t>
      </w:r>
      <w:r w:rsidR="009E5803">
        <w:rPr>
          <w:sz w:val="22"/>
          <w:szCs w:val="22"/>
          <w:lang w:val="sk"/>
        </w:rPr>
        <w:t>psula obsahuje približne 95,9</w:t>
      </w:r>
      <w:r w:rsidR="009E5803">
        <w:rPr>
          <w:sz w:val="22"/>
          <w:szCs w:val="22"/>
          <w:lang w:val="sk"/>
        </w:rPr>
        <w:noBreakHyphen/>
      </w:r>
      <w:r w:rsidRPr="00756B9D">
        <w:rPr>
          <w:sz w:val="22"/>
          <w:szCs w:val="22"/>
          <w:lang w:val="sk"/>
        </w:rPr>
        <w:t>102,9 mg sacharózy.</w:t>
      </w:r>
    </w:p>
    <w:p w14:paraId="6DA5BD1B" w14:textId="77777777" w:rsidR="00D34BD7" w:rsidRPr="00756B9D" w:rsidRDefault="00D34BD7">
      <w:pPr>
        <w:pStyle w:val="Default"/>
        <w:jc w:val="both"/>
        <w:rPr>
          <w:color w:val="auto"/>
          <w:sz w:val="22"/>
          <w:szCs w:val="22"/>
        </w:rPr>
      </w:pPr>
    </w:p>
    <w:p w14:paraId="0A54989E" w14:textId="59CE3840" w:rsidR="00003978" w:rsidRPr="00756B9D" w:rsidRDefault="00003978">
      <w:pPr>
        <w:pStyle w:val="Default"/>
        <w:jc w:val="both"/>
        <w:rPr>
          <w:color w:val="auto"/>
          <w:sz w:val="22"/>
          <w:szCs w:val="22"/>
        </w:rPr>
      </w:pPr>
      <w:r w:rsidRPr="00756B9D">
        <w:rPr>
          <w:color w:val="auto"/>
          <w:sz w:val="22"/>
          <w:szCs w:val="22"/>
          <w:lang w:val="sk"/>
        </w:rPr>
        <w:t>Úplný zoznam p</w:t>
      </w:r>
      <w:r w:rsidR="009E5803">
        <w:rPr>
          <w:color w:val="auto"/>
          <w:sz w:val="22"/>
          <w:szCs w:val="22"/>
          <w:lang w:val="sk"/>
        </w:rPr>
        <w:t>omocných látok, pozri časť 6.1.</w:t>
      </w:r>
    </w:p>
    <w:p w14:paraId="6A6F96C6" w14:textId="47E009E6" w:rsidR="00003978" w:rsidRPr="00756B9D" w:rsidRDefault="00003978">
      <w:pPr>
        <w:pStyle w:val="Default"/>
        <w:jc w:val="both"/>
        <w:rPr>
          <w:color w:val="auto"/>
          <w:sz w:val="22"/>
          <w:szCs w:val="22"/>
        </w:rPr>
      </w:pPr>
    </w:p>
    <w:p w14:paraId="55F81EAB" w14:textId="78E88B14" w:rsidR="00003978" w:rsidRPr="00756B9D" w:rsidRDefault="00003978">
      <w:pPr>
        <w:pStyle w:val="Default"/>
        <w:jc w:val="both"/>
        <w:rPr>
          <w:color w:val="auto"/>
          <w:sz w:val="22"/>
          <w:szCs w:val="22"/>
        </w:rPr>
      </w:pPr>
    </w:p>
    <w:p w14:paraId="2ABD5FD0" w14:textId="097BA499" w:rsidR="00003978" w:rsidRPr="00756B9D" w:rsidRDefault="00003978" w:rsidP="00756B9D">
      <w:pPr>
        <w:pStyle w:val="Default"/>
        <w:numPr>
          <w:ilvl w:val="0"/>
          <w:numId w:val="2"/>
        </w:numPr>
        <w:ind w:left="567" w:hanging="567"/>
        <w:jc w:val="both"/>
        <w:rPr>
          <w:color w:val="auto"/>
          <w:sz w:val="22"/>
          <w:szCs w:val="22"/>
        </w:rPr>
      </w:pPr>
      <w:r w:rsidRPr="00756B9D">
        <w:rPr>
          <w:b/>
          <w:bCs/>
          <w:color w:val="auto"/>
          <w:sz w:val="22"/>
          <w:szCs w:val="22"/>
          <w:lang w:val="sk"/>
        </w:rPr>
        <w:t xml:space="preserve">LIEKOVÁ FORMA </w:t>
      </w:r>
      <w:r w:rsidR="00B41BD4">
        <w:rPr>
          <w:b/>
          <w:bCs/>
          <w:color w:val="auto"/>
          <w:sz w:val="22"/>
          <w:szCs w:val="22"/>
          <w:lang w:val="sk"/>
        </w:rPr>
        <w:t xml:space="preserve"> </w:t>
      </w:r>
    </w:p>
    <w:p w14:paraId="3E11724C" w14:textId="0C2C65E5" w:rsidR="00003978" w:rsidRPr="00756B9D" w:rsidRDefault="00003978">
      <w:pPr>
        <w:pStyle w:val="Default"/>
        <w:jc w:val="both"/>
        <w:rPr>
          <w:color w:val="auto"/>
          <w:sz w:val="22"/>
          <w:szCs w:val="22"/>
        </w:rPr>
      </w:pPr>
    </w:p>
    <w:p w14:paraId="3E5AAF3E" w14:textId="54FF5DD5" w:rsidR="00003978" w:rsidRPr="00756B9D" w:rsidRDefault="00003978">
      <w:pPr>
        <w:pStyle w:val="Default"/>
        <w:jc w:val="both"/>
        <w:rPr>
          <w:color w:val="auto"/>
          <w:sz w:val="22"/>
          <w:szCs w:val="22"/>
        </w:rPr>
      </w:pPr>
      <w:r w:rsidRPr="00756B9D">
        <w:rPr>
          <w:color w:val="auto"/>
          <w:sz w:val="22"/>
          <w:szCs w:val="22"/>
          <w:lang w:val="sk"/>
        </w:rPr>
        <w:t>T</w:t>
      </w:r>
      <w:r w:rsidR="009E5803">
        <w:rPr>
          <w:color w:val="auto"/>
          <w:sz w:val="22"/>
          <w:szCs w:val="22"/>
          <w:lang w:val="sk"/>
        </w:rPr>
        <w:t>vrdá gastrorezistentná kapsula.</w:t>
      </w:r>
    </w:p>
    <w:p w14:paraId="3801AB00" w14:textId="77777777" w:rsidR="00CA34E6" w:rsidRPr="00756B9D" w:rsidRDefault="00CA34E6">
      <w:pPr>
        <w:pStyle w:val="Default"/>
        <w:jc w:val="both"/>
        <w:rPr>
          <w:color w:val="auto"/>
          <w:sz w:val="22"/>
          <w:szCs w:val="22"/>
        </w:rPr>
      </w:pPr>
    </w:p>
    <w:p w14:paraId="3309F1CC" w14:textId="664C9D56" w:rsidR="00A2708C" w:rsidRPr="00756B9D" w:rsidRDefault="001A3B94">
      <w:pPr>
        <w:pStyle w:val="Default"/>
        <w:jc w:val="both"/>
        <w:rPr>
          <w:color w:val="auto"/>
          <w:sz w:val="22"/>
          <w:szCs w:val="22"/>
          <w:u w:val="single"/>
        </w:rPr>
      </w:pPr>
      <w:r>
        <w:rPr>
          <w:color w:val="auto"/>
          <w:sz w:val="22"/>
          <w:szCs w:val="22"/>
          <w:u w:val="single"/>
          <w:lang w:val="sk"/>
        </w:rPr>
        <w:t>Dulxetenon</w:t>
      </w:r>
      <w:r w:rsidR="00AF0C32" w:rsidRPr="00756B9D">
        <w:rPr>
          <w:color w:val="auto"/>
          <w:sz w:val="22"/>
          <w:szCs w:val="22"/>
          <w:u w:val="single"/>
          <w:lang w:val="sk"/>
        </w:rPr>
        <w:t xml:space="preserve"> </w:t>
      </w:r>
      <w:r w:rsidR="009E5803">
        <w:rPr>
          <w:color w:val="auto"/>
          <w:sz w:val="22"/>
          <w:szCs w:val="22"/>
          <w:u w:val="single"/>
          <w:lang w:val="sk"/>
        </w:rPr>
        <w:t>30 </w:t>
      </w:r>
      <w:r w:rsidR="00A2708C" w:rsidRPr="00756B9D">
        <w:rPr>
          <w:color w:val="auto"/>
          <w:sz w:val="22"/>
          <w:szCs w:val="22"/>
          <w:u w:val="single"/>
          <w:lang w:val="sk"/>
        </w:rPr>
        <w:t>mg tvrdé gastrorezistentné kapsuly</w:t>
      </w:r>
    </w:p>
    <w:p w14:paraId="1F8DEDF0" w14:textId="77777777" w:rsidR="00A2708C" w:rsidRPr="00756B9D" w:rsidRDefault="00A2708C">
      <w:pPr>
        <w:pStyle w:val="Default"/>
        <w:jc w:val="both"/>
        <w:rPr>
          <w:color w:val="auto"/>
          <w:sz w:val="22"/>
          <w:szCs w:val="22"/>
        </w:rPr>
      </w:pPr>
    </w:p>
    <w:p w14:paraId="22EDC6F6" w14:textId="3F6203AB" w:rsidR="00234FDC" w:rsidRPr="00756B9D" w:rsidRDefault="009E5803">
      <w:pPr>
        <w:pStyle w:val="Default"/>
        <w:jc w:val="both"/>
        <w:rPr>
          <w:color w:val="auto"/>
          <w:sz w:val="22"/>
          <w:szCs w:val="22"/>
        </w:rPr>
      </w:pPr>
      <w:r>
        <w:rPr>
          <w:color w:val="auto"/>
          <w:sz w:val="22"/>
          <w:szCs w:val="22"/>
          <w:lang w:val="sk"/>
        </w:rPr>
        <w:t>30 </w:t>
      </w:r>
      <w:r w:rsidR="00D34BD7" w:rsidRPr="00756B9D">
        <w:rPr>
          <w:color w:val="auto"/>
          <w:sz w:val="22"/>
          <w:szCs w:val="22"/>
          <w:lang w:val="sk"/>
        </w:rPr>
        <w:t>mg nepriehľadný, biely obal a nepriehľadné modré viečko</w:t>
      </w:r>
    </w:p>
    <w:p w14:paraId="16F69CBE" w14:textId="77777777" w:rsidR="00D34BD7" w:rsidRPr="00756B9D" w:rsidRDefault="00D34BD7">
      <w:pPr>
        <w:pStyle w:val="Default"/>
        <w:jc w:val="both"/>
        <w:rPr>
          <w:color w:val="auto"/>
          <w:sz w:val="22"/>
          <w:szCs w:val="22"/>
        </w:rPr>
      </w:pPr>
    </w:p>
    <w:p w14:paraId="0DE7E28B" w14:textId="243CEB9F" w:rsidR="00A2708C" w:rsidRPr="00756B9D" w:rsidRDefault="001A3B94">
      <w:pPr>
        <w:pStyle w:val="Default"/>
        <w:jc w:val="both"/>
        <w:rPr>
          <w:color w:val="auto"/>
          <w:sz w:val="22"/>
          <w:szCs w:val="22"/>
          <w:u w:val="single"/>
        </w:rPr>
      </w:pPr>
      <w:r>
        <w:rPr>
          <w:color w:val="auto"/>
          <w:sz w:val="22"/>
          <w:szCs w:val="22"/>
          <w:u w:val="single"/>
          <w:lang w:val="sk"/>
        </w:rPr>
        <w:t>Dulxetenon</w:t>
      </w:r>
      <w:r w:rsidR="00AF0C32" w:rsidRPr="00756B9D">
        <w:rPr>
          <w:color w:val="auto"/>
          <w:sz w:val="22"/>
          <w:szCs w:val="22"/>
          <w:u w:val="single"/>
          <w:lang w:val="sk"/>
        </w:rPr>
        <w:t xml:space="preserve"> </w:t>
      </w:r>
      <w:r w:rsidR="009E5803">
        <w:rPr>
          <w:color w:val="auto"/>
          <w:sz w:val="22"/>
          <w:szCs w:val="22"/>
          <w:u w:val="single"/>
          <w:lang w:val="sk"/>
        </w:rPr>
        <w:t>60 </w:t>
      </w:r>
      <w:r w:rsidR="00A2708C" w:rsidRPr="00756B9D">
        <w:rPr>
          <w:color w:val="auto"/>
          <w:sz w:val="22"/>
          <w:szCs w:val="22"/>
          <w:u w:val="single"/>
          <w:lang w:val="sk"/>
        </w:rPr>
        <w:t>mg tvrdé gastrorezistentné kapsuly</w:t>
      </w:r>
    </w:p>
    <w:p w14:paraId="13EAA6D8" w14:textId="77777777" w:rsidR="00A2708C" w:rsidRPr="00756B9D" w:rsidRDefault="00A2708C">
      <w:pPr>
        <w:pStyle w:val="Default"/>
        <w:jc w:val="both"/>
        <w:rPr>
          <w:color w:val="auto"/>
          <w:sz w:val="22"/>
          <w:szCs w:val="22"/>
        </w:rPr>
      </w:pPr>
    </w:p>
    <w:p w14:paraId="2C0F76B9" w14:textId="74A72019" w:rsidR="00D34BD7" w:rsidRPr="00756B9D" w:rsidRDefault="009E5803">
      <w:pPr>
        <w:pStyle w:val="Default"/>
        <w:jc w:val="both"/>
        <w:rPr>
          <w:sz w:val="22"/>
          <w:szCs w:val="22"/>
        </w:rPr>
      </w:pPr>
      <w:r>
        <w:rPr>
          <w:color w:val="auto"/>
          <w:sz w:val="22"/>
          <w:szCs w:val="22"/>
          <w:lang w:val="sk"/>
        </w:rPr>
        <w:t>60 </w:t>
      </w:r>
      <w:r w:rsidR="00D34BD7" w:rsidRPr="00756B9D">
        <w:rPr>
          <w:color w:val="auto"/>
          <w:sz w:val="22"/>
          <w:szCs w:val="22"/>
          <w:lang w:val="sk"/>
        </w:rPr>
        <w:t xml:space="preserve">mg </w:t>
      </w:r>
      <w:r w:rsidR="00D34BD7" w:rsidRPr="00756B9D">
        <w:rPr>
          <w:sz w:val="22"/>
          <w:szCs w:val="22"/>
          <w:lang w:val="sk"/>
        </w:rPr>
        <w:t>nepriehľadný, zelený obal a nepriehľadné modré viečko</w:t>
      </w:r>
    </w:p>
    <w:p w14:paraId="684A7145" w14:textId="77777777" w:rsidR="00003978" w:rsidRPr="00756B9D" w:rsidRDefault="00003978">
      <w:pPr>
        <w:pStyle w:val="Default"/>
        <w:jc w:val="both"/>
        <w:rPr>
          <w:color w:val="auto"/>
          <w:sz w:val="22"/>
          <w:szCs w:val="22"/>
        </w:rPr>
      </w:pPr>
    </w:p>
    <w:p w14:paraId="0AE84AA6" w14:textId="1E4DBDC3" w:rsidR="00003978" w:rsidRPr="00756B9D" w:rsidRDefault="00003978">
      <w:pPr>
        <w:pStyle w:val="Default"/>
        <w:jc w:val="both"/>
        <w:rPr>
          <w:color w:val="auto"/>
          <w:sz w:val="22"/>
          <w:szCs w:val="22"/>
        </w:rPr>
      </w:pPr>
    </w:p>
    <w:p w14:paraId="0C8468F9" w14:textId="5E227917" w:rsidR="00003978" w:rsidRPr="00756B9D" w:rsidRDefault="00003978" w:rsidP="00756B9D">
      <w:pPr>
        <w:pStyle w:val="Default"/>
        <w:numPr>
          <w:ilvl w:val="0"/>
          <w:numId w:val="2"/>
        </w:numPr>
        <w:ind w:left="567" w:hanging="567"/>
        <w:jc w:val="both"/>
        <w:rPr>
          <w:color w:val="auto"/>
          <w:sz w:val="22"/>
          <w:szCs w:val="22"/>
        </w:rPr>
      </w:pPr>
      <w:r w:rsidRPr="00756B9D">
        <w:rPr>
          <w:b/>
          <w:bCs/>
          <w:color w:val="auto"/>
          <w:sz w:val="22"/>
          <w:szCs w:val="22"/>
          <w:lang w:val="sk"/>
        </w:rPr>
        <w:t xml:space="preserve">KLINICKÉ ÚDAJE </w:t>
      </w:r>
    </w:p>
    <w:p w14:paraId="4EBBC171" w14:textId="2775A4D4" w:rsidR="00003978" w:rsidRPr="00756B9D" w:rsidRDefault="00003978">
      <w:pPr>
        <w:pStyle w:val="Default"/>
        <w:jc w:val="both"/>
        <w:rPr>
          <w:color w:val="auto"/>
          <w:sz w:val="22"/>
          <w:szCs w:val="22"/>
        </w:rPr>
      </w:pPr>
    </w:p>
    <w:p w14:paraId="13F8F39B" w14:textId="6B8C5AF8" w:rsidR="00003978" w:rsidRPr="00756B9D" w:rsidRDefault="00003978" w:rsidP="00756B9D">
      <w:pPr>
        <w:pStyle w:val="Default"/>
        <w:numPr>
          <w:ilvl w:val="1"/>
          <w:numId w:val="2"/>
        </w:numPr>
        <w:ind w:left="567" w:hanging="567"/>
        <w:jc w:val="both"/>
        <w:rPr>
          <w:color w:val="auto"/>
          <w:sz w:val="22"/>
          <w:szCs w:val="22"/>
        </w:rPr>
      </w:pPr>
      <w:r w:rsidRPr="00756B9D">
        <w:rPr>
          <w:b/>
          <w:bCs/>
          <w:color w:val="auto"/>
          <w:sz w:val="22"/>
          <w:szCs w:val="22"/>
          <w:lang w:val="sk"/>
        </w:rPr>
        <w:t xml:space="preserve">Terapeutické indikácie </w:t>
      </w:r>
    </w:p>
    <w:p w14:paraId="50A635D5" w14:textId="67411B53" w:rsidR="00003978" w:rsidRPr="00756B9D" w:rsidRDefault="00003978">
      <w:pPr>
        <w:pStyle w:val="Default"/>
        <w:jc w:val="both"/>
        <w:rPr>
          <w:color w:val="auto"/>
          <w:sz w:val="22"/>
          <w:szCs w:val="22"/>
        </w:rPr>
      </w:pPr>
    </w:p>
    <w:p w14:paraId="136C12E2" w14:textId="77777777" w:rsidR="00C60153" w:rsidRPr="00756B9D" w:rsidRDefault="00C60153">
      <w:pPr>
        <w:pStyle w:val="Default"/>
        <w:jc w:val="both"/>
        <w:rPr>
          <w:sz w:val="22"/>
          <w:szCs w:val="22"/>
        </w:rPr>
      </w:pPr>
      <w:r w:rsidRPr="00756B9D">
        <w:rPr>
          <w:sz w:val="22"/>
          <w:szCs w:val="22"/>
          <w:lang w:val="sk"/>
        </w:rPr>
        <w:t xml:space="preserve">Liečba veľkej depresívnej poruchy. </w:t>
      </w:r>
    </w:p>
    <w:p w14:paraId="341D2E29" w14:textId="77777777" w:rsidR="00C60153" w:rsidRPr="00756B9D" w:rsidRDefault="00C60153">
      <w:pPr>
        <w:pStyle w:val="Default"/>
        <w:jc w:val="both"/>
        <w:rPr>
          <w:sz w:val="22"/>
          <w:szCs w:val="22"/>
        </w:rPr>
      </w:pPr>
      <w:r w:rsidRPr="00756B9D">
        <w:rPr>
          <w:sz w:val="22"/>
          <w:szCs w:val="22"/>
          <w:lang w:val="sk"/>
        </w:rPr>
        <w:t xml:space="preserve">Liečba diabetickej periférnej neuropatickej bolesti. </w:t>
      </w:r>
    </w:p>
    <w:p w14:paraId="5E80AE5D" w14:textId="77777777" w:rsidR="00C60153" w:rsidRPr="00756B9D" w:rsidRDefault="00C60153">
      <w:pPr>
        <w:pStyle w:val="Default"/>
        <w:jc w:val="both"/>
        <w:rPr>
          <w:sz w:val="22"/>
          <w:szCs w:val="22"/>
        </w:rPr>
      </w:pPr>
      <w:r w:rsidRPr="00756B9D">
        <w:rPr>
          <w:sz w:val="22"/>
          <w:szCs w:val="22"/>
          <w:lang w:val="sk"/>
        </w:rPr>
        <w:t xml:space="preserve">Liečba generalizovanej úzkostnej poruchy. </w:t>
      </w:r>
    </w:p>
    <w:p w14:paraId="09AE0CF7" w14:textId="77777777" w:rsidR="00C60153" w:rsidRPr="00756B9D" w:rsidRDefault="00C60153">
      <w:pPr>
        <w:pStyle w:val="Default"/>
        <w:jc w:val="both"/>
        <w:rPr>
          <w:sz w:val="22"/>
          <w:szCs w:val="22"/>
        </w:rPr>
      </w:pPr>
    </w:p>
    <w:p w14:paraId="753417C6" w14:textId="39C57799" w:rsidR="00C60153" w:rsidRPr="00756B9D" w:rsidRDefault="001A3B94">
      <w:pPr>
        <w:pStyle w:val="Default"/>
        <w:jc w:val="both"/>
        <w:rPr>
          <w:sz w:val="22"/>
          <w:szCs w:val="22"/>
        </w:rPr>
      </w:pPr>
      <w:r>
        <w:rPr>
          <w:color w:val="auto"/>
          <w:sz w:val="22"/>
          <w:szCs w:val="22"/>
          <w:lang w:val="sk"/>
        </w:rPr>
        <w:t>Dulxetenon</w:t>
      </w:r>
      <w:r w:rsidR="00AA7647" w:rsidRPr="009E5803">
        <w:rPr>
          <w:sz w:val="22"/>
          <w:szCs w:val="22"/>
          <w:lang w:val="sk"/>
        </w:rPr>
        <w:t xml:space="preserve"> </w:t>
      </w:r>
      <w:r w:rsidR="00A2708C" w:rsidRPr="009E5803">
        <w:rPr>
          <w:sz w:val="22"/>
          <w:szCs w:val="22"/>
          <w:lang w:val="sk"/>
        </w:rPr>
        <w:t>je indikovaný</w:t>
      </w:r>
      <w:r w:rsidR="00A2708C" w:rsidRPr="00756B9D">
        <w:rPr>
          <w:sz w:val="22"/>
          <w:szCs w:val="22"/>
          <w:lang w:val="sk"/>
        </w:rPr>
        <w:t xml:space="preserve"> u dospelých. </w:t>
      </w:r>
    </w:p>
    <w:p w14:paraId="6A810209" w14:textId="77777777" w:rsidR="00C60153" w:rsidRPr="00756B9D" w:rsidRDefault="00C60153">
      <w:pPr>
        <w:pStyle w:val="Default"/>
        <w:jc w:val="both"/>
        <w:rPr>
          <w:color w:val="auto"/>
          <w:sz w:val="22"/>
          <w:szCs w:val="22"/>
        </w:rPr>
      </w:pPr>
      <w:r w:rsidRPr="00756B9D">
        <w:rPr>
          <w:color w:val="auto"/>
          <w:sz w:val="22"/>
          <w:szCs w:val="22"/>
          <w:lang w:val="sk"/>
        </w:rPr>
        <w:t xml:space="preserve">Ďalšie informácie nájdete v časti 5.1. </w:t>
      </w:r>
    </w:p>
    <w:p w14:paraId="7237FDE4" w14:textId="47C235D7" w:rsidR="00003978" w:rsidRPr="00756B9D" w:rsidRDefault="00003978">
      <w:pPr>
        <w:pStyle w:val="Default"/>
        <w:jc w:val="both"/>
        <w:rPr>
          <w:color w:val="auto"/>
          <w:sz w:val="22"/>
          <w:szCs w:val="22"/>
        </w:rPr>
      </w:pPr>
    </w:p>
    <w:p w14:paraId="6913FFDF" w14:textId="028AC05A" w:rsidR="00003978" w:rsidRPr="00756B9D" w:rsidRDefault="00003978" w:rsidP="00756B9D">
      <w:pPr>
        <w:pStyle w:val="Default"/>
        <w:numPr>
          <w:ilvl w:val="1"/>
          <w:numId w:val="2"/>
        </w:numPr>
        <w:ind w:left="567" w:hanging="567"/>
        <w:jc w:val="both"/>
        <w:rPr>
          <w:color w:val="auto"/>
          <w:sz w:val="22"/>
          <w:szCs w:val="22"/>
        </w:rPr>
      </w:pPr>
      <w:r w:rsidRPr="00756B9D">
        <w:rPr>
          <w:b/>
          <w:bCs/>
          <w:color w:val="auto"/>
          <w:sz w:val="22"/>
          <w:szCs w:val="22"/>
          <w:lang w:val="sk"/>
        </w:rPr>
        <w:t xml:space="preserve">Dávkovanie a spôsob podávania </w:t>
      </w:r>
    </w:p>
    <w:p w14:paraId="3F4C0B84" w14:textId="00984829" w:rsidR="00003978" w:rsidRPr="00756B9D" w:rsidRDefault="00003978">
      <w:pPr>
        <w:pStyle w:val="Default"/>
        <w:jc w:val="both"/>
        <w:rPr>
          <w:color w:val="auto"/>
          <w:sz w:val="22"/>
          <w:szCs w:val="22"/>
        </w:rPr>
      </w:pPr>
    </w:p>
    <w:p w14:paraId="6362AA4E" w14:textId="77777777" w:rsidR="00C60153" w:rsidRPr="00756B9D" w:rsidRDefault="00C60153">
      <w:pPr>
        <w:pStyle w:val="Default"/>
        <w:jc w:val="both"/>
        <w:rPr>
          <w:sz w:val="22"/>
          <w:szCs w:val="22"/>
          <w:u w:val="single"/>
        </w:rPr>
      </w:pPr>
      <w:r w:rsidRPr="00756B9D">
        <w:rPr>
          <w:sz w:val="22"/>
          <w:szCs w:val="22"/>
          <w:u w:val="single"/>
          <w:lang w:val="sk"/>
        </w:rPr>
        <w:t xml:space="preserve">Dávkovanie </w:t>
      </w:r>
    </w:p>
    <w:p w14:paraId="5B2C6CFE" w14:textId="77777777" w:rsidR="008C73A8" w:rsidRPr="00756B9D" w:rsidRDefault="008C73A8">
      <w:pPr>
        <w:pStyle w:val="Default"/>
        <w:jc w:val="both"/>
        <w:rPr>
          <w:sz w:val="22"/>
          <w:szCs w:val="22"/>
          <w:u w:val="single"/>
        </w:rPr>
      </w:pPr>
    </w:p>
    <w:p w14:paraId="525E3360" w14:textId="77777777" w:rsidR="00C60153" w:rsidRPr="00756B9D" w:rsidRDefault="00C60153">
      <w:pPr>
        <w:pStyle w:val="Default"/>
        <w:jc w:val="both"/>
        <w:rPr>
          <w:i/>
          <w:iCs/>
          <w:sz w:val="22"/>
          <w:szCs w:val="22"/>
        </w:rPr>
      </w:pPr>
      <w:r w:rsidRPr="00756B9D">
        <w:rPr>
          <w:i/>
          <w:iCs/>
          <w:sz w:val="22"/>
          <w:szCs w:val="22"/>
          <w:lang w:val="sk"/>
        </w:rPr>
        <w:t xml:space="preserve">Veľká depresívna porucha: </w:t>
      </w:r>
    </w:p>
    <w:p w14:paraId="02E5C152" w14:textId="77777777" w:rsidR="008C73A8" w:rsidRPr="00756B9D" w:rsidRDefault="008C73A8">
      <w:pPr>
        <w:pStyle w:val="Default"/>
        <w:jc w:val="both"/>
        <w:rPr>
          <w:sz w:val="22"/>
          <w:szCs w:val="22"/>
        </w:rPr>
      </w:pPr>
    </w:p>
    <w:p w14:paraId="4336194A" w14:textId="77777777" w:rsidR="00C60153" w:rsidRPr="00756B9D" w:rsidRDefault="00C60153">
      <w:pPr>
        <w:pStyle w:val="Default"/>
        <w:jc w:val="both"/>
        <w:rPr>
          <w:sz w:val="22"/>
          <w:szCs w:val="22"/>
        </w:rPr>
      </w:pPr>
      <w:r w:rsidRPr="00756B9D">
        <w:rPr>
          <w:sz w:val="22"/>
          <w:szCs w:val="22"/>
          <w:lang w:val="sk"/>
        </w:rPr>
        <w:t xml:space="preserve">Počiatočná a odporúčaná udržiavacia dávka je 60 mg jedenkrát denne s jedlom alebo bez jedla. V klinických štúdiách boli z hľadiska bezpečnosti hodnotené podané dávky vyššie ako 60 mg jedenkrát denne až po maximálnu dávku 120 mg denne. Klinický dôkaz o tom, že by pacienti nereagujúci na počiatočnú odporúčanú dávku mohli profitovať zo vzostupnej titrácie dávky však neexistuje. </w:t>
      </w:r>
    </w:p>
    <w:p w14:paraId="0D751610" w14:textId="77777777" w:rsidR="00C60153" w:rsidRPr="00756B9D" w:rsidRDefault="00C60153">
      <w:pPr>
        <w:pStyle w:val="Default"/>
        <w:jc w:val="both"/>
        <w:rPr>
          <w:sz w:val="22"/>
          <w:szCs w:val="22"/>
        </w:rPr>
      </w:pPr>
    </w:p>
    <w:p w14:paraId="5FDC16B0" w14:textId="77777777" w:rsidR="00C60153" w:rsidRPr="00756B9D" w:rsidRDefault="00C60153">
      <w:pPr>
        <w:pStyle w:val="Default"/>
        <w:jc w:val="both"/>
        <w:rPr>
          <w:sz w:val="22"/>
          <w:szCs w:val="22"/>
        </w:rPr>
      </w:pPr>
      <w:r w:rsidRPr="00756B9D">
        <w:rPr>
          <w:sz w:val="22"/>
          <w:szCs w:val="22"/>
          <w:lang w:val="sk"/>
        </w:rPr>
        <w:t xml:space="preserve">Odpoveď na liečbu sa spravidla objaví po 2-4 týždňoch liečby. </w:t>
      </w:r>
    </w:p>
    <w:p w14:paraId="195F4498" w14:textId="77777777" w:rsidR="00C60153" w:rsidRPr="00756B9D" w:rsidRDefault="00C60153">
      <w:pPr>
        <w:pStyle w:val="Default"/>
        <w:jc w:val="both"/>
        <w:rPr>
          <w:sz w:val="22"/>
          <w:szCs w:val="22"/>
        </w:rPr>
      </w:pPr>
    </w:p>
    <w:p w14:paraId="76D728D9" w14:textId="77777777" w:rsidR="00C60153" w:rsidRPr="00756B9D" w:rsidRDefault="00C60153">
      <w:pPr>
        <w:pStyle w:val="Default"/>
        <w:jc w:val="both"/>
        <w:rPr>
          <w:sz w:val="22"/>
          <w:szCs w:val="22"/>
        </w:rPr>
      </w:pPr>
      <w:r w:rsidRPr="00756B9D">
        <w:rPr>
          <w:sz w:val="22"/>
          <w:szCs w:val="22"/>
          <w:lang w:val="sk"/>
        </w:rPr>
        <w:t xml:space="preserve">Po konsolidácii antidepresívnej odpovede na liečbu sa odporúča v liečbe pokračovať ešte niekoľko mesiacov, aby sa zabránilo relapsu. U pacientov odpovedajúcich na liečbu duloxetínom a s históriou opakujúcich sa depresívnych epizód treba zvážiť ďalšiu dlhodobú liečbu s dávkou 60 až 120 mg/deň. </w:t>
      </w:r>
    </w:p>
    <w:p w14:paraId="3746FE6D" w14:textId="77777777" w:rsidR="00C60153" w:rsidRPr="00756B9D" w:rsidRDefault="00C60153">
      <w:pPr>
        <w:pStyle w:val="Default"/>
        <w:rPr>
          <w:i/>
          <w:iCs/>
          <w:sz w:val="22"/>
          <w:szCs w:val="22"/>
        </w:rPr>
      </w:pPr>
    </w:p>
    <w:p w14:paraId="399B5D29" w14:textId="77777777" w:rsidR="00C60153" w:rsidRPr="00756B9D" w:rsidRDefault="00C60153">
      <w:pPr>
        <w:pStyle w:val="Default"/>
        <w:jc w:val="both"/>
        <w:rPr>
          <w:i/>
          <w:iCs/>
          <w:sz w:val="22"/>
          <w:szCs w:val="22"/>
        </w:rPr>
      </w:pPr>
      <w:r w:rsidRPr="00756B9D">
        <w:rPr>
          <w:i/>
          <w:iCs/>
          <w:sz w:val="22"/>
          <w:szCs w:val="22"/>
          <w:lang w:val="sk"/>
        </w:rPr>
        <w:t>Generalizovaná úzkostná porucha:</w:t>
      </w:r>
    </w:p>
    <w:p w14:paraId="1851C543" w14:textId="77777777" w:rsidR="008C73A8" w:rsidRPr="00756B9D" w:rsidRDefault="008C73A8">
      <w:pPr>
        <w:pStyle w:val="Default"/>
        <w:jc w:val="both"/>
        <w:rPr>
          <w:sz w:val="22"/>
          <w:szCs w:val="22"/>
        </w:rPr>
      </w:pPr>
    </w:p>
    <w:p w14:paraId="14096D3D" w14:textId="77777777" w:rsidR="00C60153" w:rsidRPr="00756B9D" w:rsidRDefault="00C60153">
      <w:pPr>
        <w:pStyle w:val="Default"/>
        <w:jc w:val="both"/>
        <w:rPr>
          <w:sz w:val="22"/>
          <w:szCs w:val="22"/>
        </w:rPr>
      </w:pPr>
      <w:r w:rsidRPr="00756B9D">
        <w:rPr>
          <w:sz w:val="22"/>
          <w:szCs w:val="22"/>
          <w:lang w:val="sk"/>
        </w:rPr>
        <w:t xml:space="preserve">Odporúčaná počiatočná dávka u pacientov s generalizovanou úzkostnou poruchou je 30 mg jedenkrát denne s jedlom alebo bez jedla. U pacientov bez dostatočnej odpovede sa má dávka zvýšiť na 60 mg, čo je zvyčajná udržiavacia dávka u väčšiny pacientov. </w:t>
      </w:r>
    </w:p>
    <w:p w14:paraId="48B08517" w14:textId="77777777" w:rsidR="00C60153" w:rsidRPr="00756B9D" w:rsidRDefault="00C60153">
      <w:pPr>
        <w:pStyle w:val="Default"/>
        <w:jc w:val="both"/>
        <w:rPr>
          <w:sz w:val="22"/>
          <w:szCs w:val="22"/>
        </w:rPr>
      </w:pPr>
    </w:p>
    <w:p w14:paraId="36EEAB95" w14:textId="77777777" w:rsidR="00C60153" w:rsidRPr="00756B9D" w:rsidRDefault="00C60153">
      <w:pPr>
        <w:pStyle w:val="Default"/>
        <w:jc w:val="both"/>
        <w:rPr>
          <w:sz w:val="22"/>
          <w:szCs w:val="22"/>
        </w:rPr>
      </w:pPr>
      <w:r w:rsidRPr="00756B9D">
        <w:rPr>
          <w:sz w:val="22"/>
          <w:szCs w:val="22"/>
          <w:lang w:val="sk"/>
        </w:rPr>
        <w:t xml:space="preserve">U pacientov, ktorí trpia tiež veľkou depresívnou poruchou, počiatočná a udržiavacia dávka je 60 mg jedenkrát denne (prosím pozri tiež vyššie odporúčanie dávkovania). </w:t>
      </w:r>
    </w:p>
    <w:p w14:paraId="7D394000" w14:textId="77777777" w:rsidR="00C60153" w:rsidRPr="00756B9D" w:rsidRDefault="00C60153">
      <w:pPr>
        <w:pStyle w:val="Default"/>
        <w:jc w:val="both"/>
        <w:rPr>
          <w:color w:val="auto"/>
          <w:sz w:val="22"/>
          <w:szCs w:val="22"/>
        </w:rPr>
      </w:pPr>
    </w:p>
    <w:p w14:paraId="18594E24" w14:textId="1175893B" w:rsidR="00C60153" w:rsidRPr="00756B9D" w:rsidRDefault="00C60153">
      <w:pPr>
        <w:pStyle w:val="Default"/>
        <w:jc w:val="both"/>
        <w:rPr>
          <w:sz w:val="22"/>
          <w:szCs w:val="22"/>
        </w:rPr>
      </w:pPr>
      <w:r w:rsidRPr="00756B9D">
        <w:rPr>
          <w:color w:val="auto"/>
          <w:sz w:val="22"/>
          <w:szCs w:val="22"/>
          <w:lang w:val="sk"/>
        </w:rPr>
        <w:t>Preukázalo sa, že dávky až do 120 mg denne sú účinné a v klinických štúdiách boli hodnotené aj</w:t>
      </w:r>
      <w:r w:rsidR="002A461F" w:rsidRPr="00756B9D">
        <w:rPr>
          <w:color w:val="auto"/>
          <w:sz w:val="22"/>
          <w:szCs w:val="22"/>
          <w:lang w:val="sk"/>
        </w:rPr>
        <w:t xml:space="preserve"> </w:t>
      </w:r>
      <w:r w:rsidRPr="00756B9D">
        <w:rPr>
          <w:color w:val="auto"/>
          <w:sz w:val="22"/>
          <w:szCs w:val="22"/>
          <w:lang w:val="sk"/>
        </w:rPr>
        <w:t xml:space="preserve">z hľadiska bezpečnosti. U pacientov s nedostatočnou odpoveďou na 60 mg sa môže zvážiť zvýšenie dávky až na 90 mg alebo </w:t>
      </w:r>
      <w:r w:rsidRPr="00756B9D">
        <w:rPr>
          <w:sz w:val="22"/>
          <w:szCs w:val="22"/>
          <w:lang w:val="sk"/>
        </w:rPr>
        <w:t xml:space="preserve">120 mg. Dávka sa má zvyšovať podľa klinickej odpovede a znášanlivosti. </w:t>
      </w:r>
    </w:p>
    <w:p w14:paraId="35178495" w14:textId="77777777" w:rsidR="00C60153" w:rsidRPr="00756B9D" w:rsidRDefault="00C60153">
      <w:pPr>
        <w:autoSpaceDE w:val="0"/>
        <w:autoSpaceDN w:val="0"/>
        <w:adjustRightInd w:val="0"/>
        <w:spacing w:after="0" w:line="240" w:lineRule="auto"/>
        <w:jc w:val="both"/>
        <w:rPr>
          <w:rFonts w:ascii="Times New Roman" w:hAnsi="Times New Roman"/>
          <w:color w:val="000000"/>
        </w:rPr>
      </w:pPr>
    </w:p>
    <w:p w14:paraId="6246293C" w14:textId="4390A599"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Po konsolidácii odpovede na liečbu sa odporúča v liečbe pokračovať ešte niekoľko mesi</w:t>
      </w:r>
      <w:r w:rsidR="009E5803">
        <w:rPr>
          <w:rFonts w:ascii="Times New Roman" w:hAnsi="Times New Roman"/>
          <w:color w:val="000000"/>
          <w:lang w:val="sk"/>
        </w:rPr>
        <w:t>acov, aby sa zabránilo relapsu.</w:t>
      </w:r>
    </w:p>
    <w:p w14:paraId="38A8CC39" w14:textId="77777777" w:rsidR="00C60153" w:rsidRPr="00756B9D" w:rsidRDefault="00C60153">
      <w:pPr>
        <w:autoSpaceDE w:val="0"/>
        <w:autoSpaceDN w:val="0"/>
        <w:adjustRightInd w:val="0"/>
        <w:spacing w:after="0" w:line="240" w:lineRule="auto"/>
        <w:jc w:val="both"/>
        <w:rPr>
          <w:rFonts w:ascii="Times New Roman" w:hAnsi="Times New Roman"/>
          <w:i/>
          <w:iCs/>
          <w:color w:val="000000"/>
        </w:rPr>
      </w:pPr>
    </w:p>
    <w:p w14:paraId="3EAF6FFD" w14:textId="77777777" w:rsidR="00C60153" w:rsidRPr="00756B9D" w:rsidRDefault="00C60153">
      <w:pPr>
        <w:autoSpaceDE w:val="0"/>
        <w:autoSpaceDN w:val="0"/>
        <w:adjustRightInd w:val="0"/>
        <w:spacing w:after="0" w:line="240" w:lineRule="auto"/>
        <w:jc w:val="both"/>
        <w:rPr>
          <w:rFonts w:ascii="Times New Roman" w:hAnsi="Times New Roman"/>
          <w:i/>
          <w:iCs/>
          <w:color w:val="000000"/>
        </w:rPr>
      </w:pPr>
      <w:r w:rsidRPr="00756B9D">
        <w:rPr>
          <w:rFonts w:ascii="Times New Roman" w:hAnsi="Times New Roman"/>
          <w:i/>
          <w:iCs/>
          <w:color w:val="000000"/>
          <w:lang w:val="sk"/>
        </w:rPr>
        <w:t>Diabetická periférna neuropatická bolesť:</w:t>
      </w:r>
    </w:p>
    <w:p w14:paraId="6B68091C" w14:textId="77777777" w:rsidR="008C73A8" w:rsidRPr="00756B9D" w:rsidRDefault="008C73A8">
      <w:pPr>
        <w:autoSpaceDE w:val="0"/>
        <w:autoSpaceDN w:val="0"/>
        <w:adjustRightInd w:val="0"/>
        <w:spacing w:after="0" w:line="240" w:lineRule="auto"/>
        <w:jc w:val="both"/>
        <w:rPr>
          <w:rFonts w:ascii="Times New Roman" w:hAnsi="Times New Roman"/>
          <w:color w:val="000000"/>
        </w:rPr>
      </w:pPr>
    </w:p>
    <w:p w14:paraId="11326CF6" w14:textId="77777777"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 xml:space="preserve">Počiatočná a odporúčaná udržiavacia dávka je 60 mg jedenkrát denne s jedlom alebo bez jedla. V klinických štúdiách boli z hľadiska bezpečnosti hodnotené dávky vyššie ako 60 mg jedenkrát denne až po maximálnu dávku 120 mg denne podané v rovnomerne rozdelených dávkach. Plazmatická koncentrácia duloxetínu preukazuje veľkú interindividuálnu variabilitu (pozri časť 5.2). V dôsledku toho môže niektorým pacientom, ktorí nedostatočne reagujú na dávku 60 mg, vyššia dávka prospieť. </w:t>
      </w:r>
    </w:p>
    <w:p w14:paraId="568AE186" w14:textId="77777777" w:rsidR="00C60153" w:rsidRPr="00756B9D" w:rsidRDefault="00C60153">
      <w:pPr>
        <w:autoSpaceDE w:val="0"/>
        <w:autoSpaceDN w:val="0"/>
        <w:adjustRightInd w:val="0"/>
        <w:spacing w:after="0" w:line="240" w:lineRule="auto"/>
        <w:jc w:val="both"/>
        <w:rPr>
          <w:rFonts w:ascii="Times New Roman" w:hAnsi="Times New Roman"/>
          <w:color w:val="000000"/>
        </w:rPr>
      </w:pPr>
    </w:p>
    <w:p w14:paraId="28FAA873" w14:textId="77777777"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 xml:space="preserve">Odpoveď na liečbu sa má vyhodnocovať po dvoch mesiacoch liečby. U pacientov s nedostatočnou počiatočnou odpoveďou je dodatočná odpoveď po uplynutí tejto doby nepravdepodobná. </w:t>
      </w:r>
    </w:p>
    <w:p w14:paraId="331D044B" w14:textId="77777777" w:rsidR="00C60153" w:rsidRPr="00756B9D" w:rsidRDefault="00C60153">
      <w:pPr>
        <w:autoSpaceDE w:val="0"/>
        <w:autoSpaceDN w:val="0"/>
        <w:adjustRightInd w:val="0"/>
        <w:spacing w:after="0" w:line="240" w:lineRule="auto"/>
        <w:jc w:val="both"/>
        <w:rPr>
          <w:rFonts w:ascii="Times New Roman" w:hAnsi="Times New Roman"/>
          <w:color w:val="000000"/>
        </w:rPr>
      </w:pPr>
    </w:p>
    <w:p w14:paraId="7B3A73C7" w14:textId="77777777"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 xml:space="preserve">Prínos liečby je potrebné pravidelne prehodnocovať (minimálne každé tri mesiace) (pozri časť 5.1). </w:t>
      </w:r>
    </w:p>
    <w:p w14:paraId="0C78A4E3" w14:textId="77777777" w:rsidR="00C60153" w:rsidRPr="00756B9D" w:rsidRDefault="00C60153">
      <w:pPr>
        <w:autoSpaceDE w:val="0"/>
        <w:autoSpaceDN w:val="0"/>
        <w:adjustRightInd w:val="0"/>
        <w:spacing w:after="0" w:line="240" w:lineRule="auto"/>
        <w:jc w:val="both"/>
        <w:rPr>
          <w:rFonts w:ascii="Times New Roman" w:hAnsi="Times New Roman"/>
          <w:i/>
          <w:iCs/>
          <w:color w:val="000000"/>
        </w:rPr>
      </w:pPr>
    </w:p>
    <w:p w14:paraId="0B5A5B3B" w14:textId="77777777" w:rsidR="00C60153" w:rsidRPr="00756B9D" w:rsidRDefault="00C60153">
      <w:pPr>
        <w:autoSpaceDE w:val="0"/>
        <w:autoSpaceDN w:val="0"/>
        <w:adjustRightInd w:val="0"/>
        <w:spacing w:after="0" w:line="240" w:lineRule="auto"/>
        <w:jc w:val="both"/>
        <w:rPr>
          <w:rFonts w:ascii="Times New Roman" w:hAnsi="Times New Roman"/>
          <w:i/>
          <w:iCs/>
          <w:color w:val="000000"/>
        </w:rPr>
      </w:pPr>
      <w:r w:rsidRPr="00756B9D">
        <w:rPr>
          <w:rFonts w:ascii="Times New Roman" w:hAnsi="Times New Roman"/>
          <w:i/>
          <w:iCs/>
          <w:color w:val="000000"/>
          <w:lang w:val="sk"/>
        </w:rPr>
        <w:t xml:space="preserve">Osobitné skupiny </w:t>
      </w:r>
    </w:p>
    <w:p w14:paraId="246A93D8" w14:textId="77777777" w:rsidR="008C73A8" w:rsidRPr="00756B9D" w:rsidRDefault="008C73A8">
      <w:pPr>
        <w:autoSpaceDE w:val="0"/>
        <w:autoSpaceDN w:val="0"/>
        <w:adjustRightInd w:val="0"/>
        <w:spacing w:after="0" w:line="240" w:lineRule="auto"/>
        <w:jc w:val="both"/>
        <w:rPr>
          <w:rFonts w:ascii="Times New Roman" w:hAnsi="Times New Roman"/>
          <w:color w:val="000000"/>
        </w:rPr>
      </w:pPr>
    </w:p>
    <w:p w14:paraId="27B67BCB" w14:textId="77777777"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i/>
          <w:iCs/>
          <w:color w:val="000000"/>
          <w:lang w:val="sk"/>
        </w:rPr>
        <w:t xml:space="preserve">Starší pacienti </w:t>
      </w:r>
    </w:p>
    <w:p w14:paraId="1EB7E8AD" w14:textId="347CD8BE"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 xml:space="preserve">Vyšší vek sám o sebe nie je dôvodom pre úpravu dávky. K liečbe starších pacientov je však potrebné pristupovať opatrne, najmä pri dávke </w:t>
      </w:r>
      <w:r w:rsidR="00806143" w:rsidRPr="00756B9D">
        <w:rPr>
          <w:rFonts w:ascii="Times New Roman" w:hAnsi="Times New Roman"/>
          <w:color w:val="000000"/>
          <w:lang w:val="sk"/>
        </w:rPr>
        <w:t>d</w:t>
      </w:r>
      <w:r w:rsidRPr="00756B9D">
        <w:rPr>
          <w:rFonts w:ascii="Times New Roman" w:hAnsi="Times New Roman"/>
          <w:color w:val="000000"/>
          <w:lang w:val="sk"/>
        </w:rPr>
        <w:t>uloxet</w:t>
      </w:r>
      <w:r w:rsidR="00806143" w:rsidRPr="00756B9D">
        <w:rPr>
          <w:rFonts w:ascii="Times New Roman" w:hAnsi="Times New Roman"/>
          <w:color w:val="000000"/>
          <w:lang w:val="sk"/>
        </w:rPr>
        <w:t>í</w:t>
      </w:r>
      <w:r w:rsidRPr="00756B9D">
        <w:rPr>
          <w:rFonts w:ascii="Times New Roman" w:hAnsi="Times New Roman"/>
          <w:color w:val="000000"/>
          <w:lang w:val="sk"/>
        </w:rPr>
        <w:t>n</w:t>
      </w:r>
      <w:r w:rsidR="00806143" w:rsidRPr="00756B9D">
        <w:rPr>
          <w:rFonts w:ascii="Times New Roman" w:hAnsi="Times New Roman"/>
          <w:color w:val="000000"/>
          <w:lang w:val="sk"/>
        </w:rPr>
        <w:t>u</w:t>
      </w:r>
      <w:r w:rsidRPr="00756B9D">
        <w:rPr>
          <w:rFonts w:ascii="Times New Roman" w:hAnsi="Times New Roman"/>
          <w:color w:val="000000"/>
          <w:lang w:val="sk"/>
        </w:rPr>
        <w:t xml:space="preserve"> 120 mg denne pri liečbe veľkej depresívnej poruchy alebo generalizovanej úzkostnej poruchy, kde sú údaje obmedzené (pozri časti 4.4 a 5.2). </w:t>
      </w:r>
    </w:p>
    <w:p w14:paraId="1065E4BB" w14:textId="77777777" w:rsidR="00C60153" w:rsidRPr="00756B9D" w:rsidRDefault="00C60153">
      <w:pPr>
        <w:autoSpaceDE w:val="0"/>
        <w:autoSpaceDN w:val="0"/>
        <w:adjustRightInd w:val="0"/>
        <w:spacing w:after="0" w:line="240" w:lineRule="auto"/>
        <w:jc w:val="both"/>
        <w:rPr>
          <w:rFonts w:ascii="Times New Roman" w:hAnsi="Times New Roman"/>
          <w:i/>
          <w:iCs/>
          <w:color w:val="000000"/>
        </w:rPr>
      </w:pPr>
    </w:p>
    <w:p w14:paraId="30049008" w14:textId="77777777"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i/>
          <w:iCs/>
          <w:color w:val="000000"/>
          <w:lang w:val="sk"/>
        </w:rPr>
        <w:t xml:space="preserve">Porucha funkcie pečene </w:t>
      </w:r>
    </w:p>
    <w:p w14:paraId="3A16624A" w14:textId="24E2F192" w:rsidR="00C60153" w:rsidRPr="00756B9D" w:rsidRDefault="001433FD">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Duloxet</w:t>
      </w:r>
      <w:r w:rsidR="002A461F" w:rsidRPr="00756B9D">
        <w:rPr>
          <w:rFonts w:ascii="Times New Roman" w:hAnsi="Times New Roman"/>
          <w:color w:val="000000"/>
          <w:lang w:val="sk"/>
        </w:rPr>
        <w:t>í</w:t>
      </w:r>
      <w:r w:rsidRPr="00756B9D">
        <w:rPr>
          <w:rFonts w:ascii="Times New Roman" w:hAnsi="Times New Roman"/>
          <w:color w:val="000000"/>
          <w:lang w:val="sk"/>
        </w:rPr>
        <w:t xml:space="preserve">n sa nesmie používať u pacientov, ktorí trpia ochorením pečene poškodzujúcim jej funkciu (pozri časti 4.3 a 5.2). </w:t>
      </w:r>
    </w:p>
    <w:p w14:paraId="07C5937E" w14:textId="77777777" w:rsidR="00C60153" w:rsidRPr="00756B9D" w:rsidRDefault="00C60153">
      <w:pPr>
        <w:autoSpaceDE w:val="0"/>
        <w:autoSpaceDN w:val="0"/>
        <w:adjustRightInd w:val="0"/>
        <w:spacing w:after="0" w:line="240" w:lineRule="auto"/>
        <w:jc w:val="both"/>
        <w:rPr>
          <w:rFonts w:ascii="Times New Roman" w:hAnsi="Times New Roman"/>
          <w:i/>
          <w:iCs/>
          <w:color w:val="000000"/>
        </w:rPr>
      </w:pPr>
    </w:p>
    <w:p w14:paraId="41B7FDBF" w14:textId="77777777"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i/>
          <w:iCs/>
          <w:color w:val="000000"/>
          <w:lang w:val="sk"/>
        </w:rPr>
        <w:t xml:space="preserve">Porucha funkcie obličiek </w:t>
      </w:r>
    </w:p>
    <w:p w14:paraId="4A8E7256" w14:textId="6D98CA86"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U pacientov s miernym alebo stredne závažným poškodením obličiek (klírens kreatinínu 30 až</w:t>
      </w:r>
      <w:r w:rsidR="002A461F" w:rsidRPr="00756B9D">
        <w:rPr>
          <w:rFonts w:ascii="Times New Roman" w:hAnsi="Times New Roman"/>
          <w:color w:val="000000"/>
          <w:lang w:val="sk"/>
        </w:rPr>
        <w:t xml:space="preserve"> </w:t>
      </w:r>
      <w:r w:rsidRPr="00756B9D">
        <w:rPr>
          <w:rFonts w:ascii="Times New Roman" w:hAnsi="Times New Roman"/>
          <w:color w:val="000000"/>
          <w:lang w:val="sk"/>
        </w:rPr>
        <w:t>80 ml/min) nie je nutné upravovať dávku. Duloxet</w:t>
      </w:r>
      <w:r w:rsidR="00806143" w:rsidRPr="00756B9D">
        <w:rPr>
          <w:rFonts w:ascii="Times New Roman" w:hAnsi="Times New Roman"/>
          <w:color w:val="000000"/>
          <w:lang w:val="sk"/>
        </w:rPr>
        <w:t>í</w:t>
      </w:r>
      <w:r w:rsidRPr="00756B9D">
        <w:rPr>
          <w:rFonts w:ascii="Times New Roman" w:hAnsi="Times New Roman"/>
          <w:color w:val="000000"/>
          <w:lang w:val="sk"/>
        </w:rPr>
        <w:t xml:space="preserve">n nesmú užívať pacienti so závažným poškodením obličiek (klírens kreatinínu &lt;30 ml/min, pozri časť 4.3). </w:t>
      </w:r>
    </w:p>
    <w:p w14:paraId="55C520F0" w14:textId="77777777" w:rsidR="00C60153" w:rsidRPr="00756B9D" w:rsidRDefault="00C60153">
      <w:pPr>
        <w:autoSpaceDE w:val="0"/>
        <w:autoSpaceDN w:val="0"/>
        <w:adjustRightInd w:val="0"/>
        <w:spacing w:after="0" w:line="240" w:lineRule="auto"/>
        <w:jc w:val="both"/>
        <w:rPr>
          <w:rFonts w:ascii="Times New Roman" w:hAnsi="Times New Roman"/>
          <w:i/>
          <w:iCs/>
          <w:color w:val="000000"/>
        </w:rPr>
      </w:pPr>
    </w:p>
    <w:p w14:paraId="068D6CE9" w14:textId="77777777"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i/>
          <w:iCs/>
          <w:color w:val="000000"/>
          <w:lang w:val="sk"/>
        </w:rPr>
        <w:t xml:space="preserve">Pediatrická populácia </w:t>
      </w:r>
    </w:p>
    <w:p w14:paraId="7A97D253" w14:textId="77777777"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 xml:space="preserve">Duloxetín sa nemá používať u detí a dospievajcich vo veku do 18 rokov na liečbu veľkej veľkej depresívnej poruchy z dôvodu obáv o bezpečnosť a účinnosť (pozri časti 4.4, 4.8 a 5.1). </w:t>
      </w:r>
    </w:p>
    <w:p w14:paraId="2D6CB663" w14:textId="77777777" w:rsidR="00C60153" w:rsidRPr="00756B9D" w:rsidRDefault="00C60153">
      <w:pPr>
        <w:autoSpaceDE w:val="0"/>
        <w:autoSpaceDN w:val="0"/>
        <w:adjustRightInd w:val="0"/>
        <w:spacing w:after="0" w:line="240" w:lineRule="auto"/>
        <w:jc w:val="both"/>
        <w:rPr>
          <w:rFonts w:ascii="Times New Roman" w:hAnsi="Times New Roman"/>
          <w:color w:val="000000"/>
        </w:rPr>
      </w:pPr>
    </w:p>
    <w:p w14:paraId="3E9DADBC" w14:textId="77777777"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 xml:space="preserve">Bezpečnosť a účinnosť duloxetínu na liečbu generalizovanej úzkostnej poruchy u pediatrických pacientov vo veku 7-17 rokov neboli stanovené. Aktuálne dostupné údaje sú uvedené v častiach 4.8, 5.1 a 5.2. </w:t>
      </w:r>
    </w:p>
    <w:p w14:paraId="421EE0DC" w14:textId="77777777" w:rsidR="00C60153" w:rsidRPr="00756B9D" w:rsidRDefault="00C60153">
      <w:pPr>
        <w:autoSpaceDE w:val="0"/>
        <w:autoSpaceDN w:val="0"/>
        <w:adjustRightInd w:val="0"/>
        <w:spacing w:after="0" w:line="240" w:lineRule="auto"/>
        <w:jc w:val="both"/>
        <w:rPr>
          <w:rFonts w:ascii="Times New Roman" w:hAnsi="Times New Roman"/>
          <w:color w:val="000000"/>
        </w:rPr>
      </w:pPr>
    </w:p>
    <w:p w14:paraId="35A5306A" w14:textId="77777777"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 xml:space="preserve">Bezpečnosť a účinnosť duloxetínu na liečbu diabetickej periférnej neuropatickej bolesti sa neskúmali. K dispozícii nie sú žiadne údaje. </w:t>
      </w:r>
    </w:p>
    <w:p w14:paraId="1D3F19D8" w14:textId="77777777" w:rsidR="00C60153" w:rsidRPr="00756B9D" w:rsidRDefault="00C60153">
      <w:pPr>
        <w:autoSpaceDE w:val="0"/>
        <w:autoSpaceDN w:val="0"/>
        <w:adjustRightInd w:val="0"/>
        <w:spacing w:after="0" w:line="240" w:lineRule="auto"/>
        <w:jc w:val="both"/>
        <w:rPr>
          <w:rFonts w:ascii="Times New Roman" w:hAnsi="Times New Roman"/>
          <w:i/>
          <w:iCs/>
          <w:color w:val="000000"/>
        </w:rPr>
      </w:pPr>
    </w:p>
    <w:p w14:paraId="18CF23F3" w14:textId="77777777"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i/>
          <w:iCs/>
          <w:color w:val="000000"/>
          <w:lang w:val="sk"/>
        </w:rPr>
        <w:t xml:space="preserve">Ukončenie liečby </w:t>
      </w:r>
    </w:p>
    <w:p w14:paraId="5DA2E8C2" w14:textId="77777777"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Je potrebné vyhnúť sa náhlemu vysadeniu. Pri ukončovaní liečby duloxetínom sa má dávka znižovať postupne aspoň počas jedného až dvoch týždňov, aby sa znížilo riziko symptómov z vysadenia (pozri časti 4.4 a 4.8). Ak sa po znížení dávky alebo po vysadení liečby objavia neznesiteľné príznaky</w:t>
      </w:r>
      <w:r w:rsidR="008D3FC6" w:rsidRPr="00756B9D">
        <w:rPr>
          <w:rFonts w:ascii="Times New Roman" w:hAnsi="Times New Roman"/>
          <w:color w:val="000000"/>
          <w:lang w:val="sk"/>
        </w:rPr>
        <w:t xml:space="preserve"> </w:t>
      </w:r>
      <w:r w:rsidRPr="00756B9D">
        <w:rPr>
          <w:rFonts w:ascii="Times New Roman" w:hAnsi="Times New Roman"/>
          <w:color w:val="000000"/>
          <w:lang w:val="sk"/>
        </w:rPr>
        <w:t xml:space="preserve">z vysadenia, je potrebné zvážiť podávanie predtým predpísanej dávky. Neskôr môže lekár pokračovať v znižovaní dávky, ale oveľa postupnejšie. </w:t>
      </w:r>
    </w:p>
    <w:p w14:paraId="4DC83F41" w14:textId="77777777" w:rsidR="00C60153" w:rsidRPr="00756B9D" w:rsidRDefault="00C60153">
      <w:pPr>
        <w:autoSpaceDE w:val="0"/>
        <w:autoSpaceDN w:val="0"/>
        <w:adjustRightInd w:val="0"/>
        <w:spacing w:after="0" w:line="240" w:lineRule="auto"/>
        <w:rPr>
          <w:rFonts w:ascii="Times New Roman" w:hAnsi="Times New Roman"/>
          <w:color w:val="000000"/>
        </w:rPr>
      </w:pPr>
    </w:p>
    <w:p w14:paraId="162F8638" w14:textId="77777777" w:rsidR="00C60153" w:rsidRPr="00756B9D" w:rsidRDefault="00C60153">
      <w:pPr>
        <w:autoSpaceDE w:val="0"/>
        <w:autoSpaceDN w:val="0"/>
        <w:adjustRightInd w:val="0"/>
        <w:spacing w:after="0" w:line="240" w:lineRule="auto"/>
        <w:jc w:val="both"/>
        <w:rPr>
          <w:rFonts w:ascii="Times New Roman" w:hAnsi="Times New Roman"/>
          <w:color w:val="000000"/>
          <w:u w:val="single"/>
        </w:rPr>
      </w:pPr>
      <w:r w:rsidRPr="00756B9D">
        <w:rPr>
          <w:rFonts w:ascii="Times New Roman" w:hAnsi="Times New Roman"/>
          <w:color w:val="000000"/>
          <w:u w:val="single"/>
          <w:lang w:val="sk"/>
        </w:rPr>
        <w:t xml:space="preserve">Spôsob podávania </w:t>
      </w:r>
    </w:p>
    <w:p w14:paraId="383CD182" w14:textId="77777777" w:rsidR="008466EA" w:rsidRPr="00756B9D" w:rsidRDefault="008466EA">
      <w:pPr>
        <w:pStyle w:val="Default"/>
        <w:jc w:val="both"/>
        <w:rPr>
          <w:sz w:val="22"/>
          <w:szCs w:val="22"/>
        </w:rPr>
      </w:pPr>
    </w:p>
    <w:p w14:paraId="103E46CA" w14:textId="77777777" w:rsidR="00C60153" w:rsidRPr="00756B9D" w:rsidRDefault="00C60153">
      <w:pPr>
        <w:pStyle w:val="Default"/>
        <w:jc w:val="both"/>
        <w:rPr>
          <w:color w:val="auto"/>
          <w:sz w:val="22"/>
          <w:szCs w:val="22"/>
        </w:rPr>
      </w:pPr>
      <w:r w:rsidRPr="00756B9D">
        <w:rPr>
          <w:sz w:val="22"/>
          <w:szCs w:val="22"/>
          <w:lang w:val="sk"/>
        </w:rPr>
        <w:t>Na perorálne použitie.</w:t>
      </w:r>
    </w:p>
    <w:p w14:paraId="402E6FB3" w14:textId="77777777" w:rsidR="00C60153" w:rsidRPr="00756B9D" w:rsidRDefault="00C60153">
      <w:pPr>
        <w:pStyle w:val="Default"/>
        <w:jc w:val="both"/>
        <w:rPr>
          <w:b/>
          <w:bCs/>
          <w:color w:val="auto"/>
          <w:sz w:val="22"/>
          <w:szCs w:val="22"/>
        </w:rPr>
      </w:pPr>
    </w:p>
    <w:p w14:paraId="50800855" w14:textId="2001F1AC" w:rsidR="00003978" w:rsidRPr="00756B9D" w:rsidRDefault="00003978" w:rsidP="00756B9D">
      <w:pPr>
        <w:pStyle w:val="Default"/>
        <w:numPr>
          <w:ilvl w:val="1"/>
          <w:numId w:val="2"/>
        </w:numPr>
        <w:ind w:left="567" w:hanging="567"/>
        <w:jc w:val="both"/>
        <w:rPr>
          <w:color w:val="auto"/>
          <w:sz w:val="22"/>
          <w:szCs w:val="22"/>
        </w:rPr>
      </w:pPr>
      <w:r w:rsidRPr="00756B9D">
        <w:rPr>
          <w:b/>
          <w:bCs/>
          <w:color w:val="auto"/>
          <w:sz w:val="22"/>
          <w:szCs w:val="22"/>
          <w:lang w:val="sk"/>
        </w:rPr>
        <w:t xml:space="preserve">Kontraindikácie </w:t>
      </w:r>
    </w:p>
    <w:p w14:paraId="5ACC8AB5" w14:textId="199E5E3C" w:rsidR="00003978" w:rsidRPr="00756B9D" w:rsidRDefault="00003978">
      <w:pPr>
        <w:pStyle w:val="Default"/>
        <w:jc w:val="both"/>
        <w:rPr>
          <w:color w:val="auto"/>
          <w:sz w:val="22"/>
          <w:szCs w:val="22"/>
        </w:rPr>
      </w:pPr>
    </w:p>
    <w:p w14:paraId="73F215D2" w14:textId="7D4B8CCC" w:rsidR="00C60153" w:rsidRPr="00756B9D" w:rsidRDefault="00C60153">
      <w:pPr>
        <w:pStyle w:val="Default"/>
        <w:jc w:val="both"/>
        <w:rPr>
          <w:sz w:val="22"/>
          <w:szCs w:val="22"/>
        </w:rPr>
      </w:pPr>
      <w:r w:rsidRPr="00756B9D">
        <w:rPr>
          <w:sz w:val="22"/>
          <w:szCs w:val="22"/>
          <w:lang w:val="sk"/>
        </w:rPr>
        <w:t>Precitlivenosť na liečivo alebo na ktorúkoľvek z po</w:t>
      </w:r>
      <w:r w:rsidR="009E5803">
        <w:rPr>
          <w:sz w:val="22"/>
          <w:szCs w:val="22"/>
          <w:lang w:val="sk"/>
        </w:rPr>
        <w:t>mocných látok uvedených v časti </w:t>
      </w:r>
      <w:r w:rsidRPr="00756B9D">
        <w:rPr>
          <w:sz w:val="22"/>
          <w:szCs w:val="22"/>
          <w:lang w:val="sk"/>
        </w:rPr>
        <w:t>6.1</w:t>
      </w:r>
      <w:r w:rsidR="009E5803">
        <w:rPr>
          <w:sz w:val="22"/>
          <w:szCs w:val="22"/>
          <w:lang w:val="sk"/>
        </w:rPr>
        <w:t>.</w:t>
      </w:r>
    </w:p>
    <w:p w14:paraId="293C11DA" w14:textId="77777777" w:rsidR="00C60153" w:rsidRPr="00756B9D" w:rsidRDefault="00C60153">
      <w:pPr>
        <w:pStyle w:val="Default"/>
        <w:jc w:val="both"/>
        <w:rPr>
          <w:sz w:val="22"/>
          <w:szCs w:val="22"/>
        </w:rPr>
      </w:pPr>
    </w:p>
    <w:p w14:paraId="008595B7" w14:textId="07E4704B" w:rsidR="00C60153" w:rsidRPr="00756B9D" w:rsidRDefault="00C60153">
      <w:pPr>
        <w:pStyle w:val="Default"/>
        <w:jc w:val="both"/>
        <w:rPr>
          <w:sz w:val="22"/>
          <w:szCs w:val="22"/>
        </w:rPr>
      </w:pPr>
      <w:r w:rsidRPr="00756B9D">
        <w:rPr>
          <w:sz w:val="22"/>
          <w:szCs w:val="22"/>
          <w:lang w:val="sk"/>
        </w:rPr>
        <w:t xml:space="preserve">Kontraindikované je súčasné podávanie </w:t>
      </w:r>
      <w:r w:rsidR="00315726" w:rsidRPr="00756B9D">
        <w:rPr>
          <w:sz w:val="22"/>
          <w:szCs w:val="22"/>
          <w:lang w:val="sk"/>
        </w:rPr>
        <w:t>d</w:t>
      </w:r>
      <w:r w:rsidRPr="00756B9D">
        <w:rPr>
          <w:sz w:val="22"/>
          <w:szCs w:val="22"/>
          <w:lang w:val="sk"/>
        </w:rPr>
        <w:t>uloxet</w:t>
      </w:r>
      <w:r w:rsidR="00315726" w:rsidRPr="00756B9D">
        <w:rPr>
          <w:sz w:val="22"/>
          <w:szCs w:val="22"/>
          <w:lang w:val="sk"/>
        </w:rPr>
        <w:t>í</w:t>
      </w:r>
      <w:r w:rsidRPr="00756B9D">
        <w:rPr>
          <w:sz w:val="22"/>
          <w:szCs w:val="22"/>
          <w:lang w:val="sk"/>
        </w:rPr>
        <w:t>n</w:t>
      </w:r>
      <w:r w:rsidR="00315726" w:rsidRPr="00756B9D">
        <w:rPr>
          <w:sz w:val="22"/>
          <w:szCs w:val="22"/>
          <w:lang w:val="sk"/>
        </w:rPr>
        <w:t>u</w:t>
      </w:r>
      <w:r w:rsidRPr="00756B9D">
        <w:rPr>
          <w:sz w:val="22"/>
          <w:szCs w:val="22"/>
          <w:lang w:val="sk"/>
        </w:rPr>
        <w:t xml:space="preserve"> s neselektívnymi ireverzibilnými inhibítormi mono</w:t>
      </w:r>
      <w:r w:rsidR="009E5803">
        <w:rPr>
          <w:sz w:val="22"/>
          <w:szCs w:val="22"/>
          <w:lang w:val="sk"/>
        </w:rPr>
        <w:t>aminooxidázy (IMAO) (pozri časť 4.5).</w:t>
      </w:r>
    </w:p>
    <w:p w14:paraId="1FCD45D4" w14:textId="77777777" w:rsidR="00C60153" w:rsidRPr="00756B9D" w:rsidRDefault="00C60153">
      <w:pPr>
        <w:pStyle w:val="Default"/>
        <w:jc w:val="both"/>
        <w:rPr>
          <w:sz w:val="22"/>
          <w:szCs w:val="22"/>
        </w:rPr>
      </w:pPr>
    </w:p>
    <w:p w14:paraId="20FCA046" w14:textId="66F1889F" w:rsidR="00C60153" w:rsidRPr="00756B9D" w:rsidRDefault="00C60153">
      <w:pPr>
        <w:pStyle w:val="Default"/>
        <w:jc w:val="both"/>
        <w:rPr>
          <w:sz w:val="22"/>
          <w:szCs w:val="22"/>
        </w:rPr>
      </w:pPr>
      <w:r w:rsidRPr="00756B9D">
        <w:rPr>
          <w:sz w:val="22"/>
          <w:szCs w:val="22"/>
          <w:lang w:val="sk"/>
        </w:rPr>
        <w:t>Ochorenie pečene s následkom poruchy f</w:t>
      </w:r>
      <w:r w:rsidR="009E5803">
        <w:rPr>
          <w:sz w:val="22"/>
          <w:szCs w:val="22"/>
          <w:lang w:val="sk"/>
        </w:rPr>
        <w:t>unkcie pečene (pozri časť 5.2).</w:t>
      </w:r>
    </w:p>
    <w:p w14:paraId="169D5CA2" w14:textId="77777777" w:rsidR="00C60153" w:rsidRPr="00756B9D" w:rsidRDefault="00C60153">
      <w:pPr>
        <w:pStyle w:val="Default"/>
        <w:jc w:val="both"/>
        <w:rPr>
          <w:sz w:val="22"/>
          <w:szCs w:val="22"/>
        </w:rPr>
      </w:pPr>
    </w:p>
    <w:p w14:paraId="2DF781B7" w14:textId="0A2FD895" w:rsidR="00C60153" w:rsidRPr="00756B9D" w:rsidRDefault="008466EA">
      <w:pPr>
        <w:pStyle w:val="Default"/>
        <w:jc w:val="both"/>
        <w:rPr>
          <w:sz w:val="22"/>
          <w:szCs w:val="22"/>
        </w:rPr>
      </w:pPr>
      <w:r w:rsidRPr="00756B9D">
        <w:rPr>
          <w:sz w:val="22"/>
          <w:szCs w:val="22"/>
          <w:lang w:val="sk"/>
        </w:rPr>
        <w:t>Duloxet</w:t>
      </w:r>
      <w:r w:rsidR="00315726" w:rsidRPr="00756B9D">
        <w:rPr>
          <w:sz w:val="22"/>
          <w:szCs w:val="22"/>
          <w:lang w:val="sk"/>
        </w:rPr>
        <w:t>í</w:t>
      </w:r>
      <w:r w:rsidRPr="00756B9D">
        <w:rPr>
          <w:sz w:val="22"/>
          <w:szCs w:val="22"/>
          <w:lang w:val="sk"/>
        </w:rPr>
        <w:t>n sa nemá používať v kombinácii s fluvoxamínom, ciprofloxacínom či enoxacínom (t.j.</w:t>
      </w:r>
      <w:r w:rsidR="009E5803">
        <w:rPr>
          <w:sz w:val="22"/>
          <w:szCs w:val="22"/>
          <w:lang w:val="sk"/>
        </w:rPr>
        <w:t> </w:t>
      </w:r>
      <w:r w:rsidRPr="00756B9D">
        <w:rPr>
          <w:sz w:val="22"/>
          <w:szCs w:val="22"/>
          <w:lang w:val="sk"/>
        </w:rPr>
        <w:t xml:space="preserve">silnými inhibítormi CYP1A2), pretože táto kombinácia vedie k zvýšenej plazmatickej koncentrácii duloxetínu (pozri časť 4.5). </w:t>
      </w:r>
    </w:p>
    <w:p w14:paraId="0B3816EC" w14:textId="77777777" w:rsidR="00C60153" w:rsidRPr="00756B9D" w:rsidRDefault="00C60153">
      <w:pPr>
        <w:pStyle w:val="Default"/>
        <w:jc w:val="both"/>
        <w:rPr>
          <w:sz w:val="22"/>
          <w:szCs w:val="22"/>
        </w:rPr>
      </w:pPr>
    </w:p>
    <w:p w14:paraId="01D417DE" w14:textId="0EF7F1AB" w:rsidR="00C60153" w:rsidRPr="00756B9D" w:rsidRDefault="00C60153">
      <w:pPr>
        <w:pStyle w:val="Default"/>
        <w:jc w:val="both"/>
        <w:rPr>
          <w:sz w:val="22"/>
          <w:szCs w:val="22"/>
        </w:rPr>
      </w:pPr>
      <w:r w:rsidRPr="00756B9D">
        <w:rPr>
          <w:sz w:val="22"/>
          <w:szCs w:val="22"/>
          <w:lang w:val="sk"/>
        </w:rPr>
        <w:t>Závažné poškoden</w:t>
      </w:r>
      <w:r w:rsidR="009E5803">
        <w:rPr>
          <w:sz w:val="22"/>
          <w:szCs w:val="22"/>
          <w:lang w:val="sk"/>
        </w:rPr>
        <w:t>ie obličiek (klírens kreatinínu &lt;30 </w:t>
      </w:r>
      <w:r w:rsidRPr="00756B9D">
        <w:rPr>
          <w:sz w:val="22"/>
          <w:szCs w:val="22"/>
          <w:lang w:val="sk"/>
        </w:rPr>
        <w:t xml:space="preserve">ml/min) (pozri časť 4.4). </w:t>
      </w:r>
    </w:p>
    <w:p w14:paraId="40A45D5A" w14:textId="77777777" w:rsidR="00C60153" w:rsidRPr="00756B9D" w:rsidRDefault="00C60153">
      <w:pPr>
        <w:pStyle w:val="Default"/>
        <w:jc w:val="both"/>
        <w:rPr>
          <w:color w:val="auto"/>
          <w:sz w:val="22"/>
          <w:szCs w:val="22"/>
        </w:rPr>
      </w:pPr>
    </w:p>
    <w:p w14:paraId="7C9E22A5" w14:textId="28F51FBE" w:rsidR="00003978" w:rsidRPr="00756B9D" w:rsidRDefault="00C60153">
      <w:pPr>
        <w:pStyle w:val="Default"/>
        <w:jc w:val="both"/>
        <w:rPr>
          <w:color w:val="auto"/>
          <w:sz w:val="22"/>
          <w:szCs w:val="22"/>
        </w:rPr>
      </w:pPr>
      <w:r w:rsidRPr="00756B9D">
        <w:rPr>
          <w:color w:val="auto"/>
          <w:sz w:val="22"/>
          <w:szCs w:val="22"/>
          <w:lang w:val="sk"/>
        </w:rPr>
        <w:t xml:space="preserve">Začatie liečby </w:t>
      </w:r>
      <w:r w:rsidR="00315726" w:rsidRPr="00756B9D">
        <w:rPr>
          <w:color w:val="auto"/>
          <w:sz w:val="22"/>
          <w:szCs w:val="22"/>
          <w:lang w:val="sk"/>
        </w:rPr>
        <w:t>d</w:t>
      </w:r>
      <w:r w:rsidRPr="00756B9D">
        <w:rPr>
          <w:color w:val="auto"/>
          <w:sz w:val="22"/>
          <w:szCs w:val="22"/>
          <w:lang w:val="sk"/>
        </w:rPr>
        <w:t>uloxet</w:t>
      </w:r>
      <w:r w:rsidR="00315726" w:rsidRPr="00756B9D">
        <w:rPr>
          <w:color w:val="auto"/>
          <w:sz w:val="22"/>
          <w:szCs w:val="22"/>
          <w:lang w:val="sk"/>
        </w:rPr>
        <w:t>í</w:t>
      </w:r>
      <w:r w:rsidRPr="00756B9D">
        <w:rPr>
          <w:color w:val="auto"/>
          <w:sz w:val="22"/>
          <w:szCs w:val="22"/>
          <w:lang w:val="sk"/>
        </w:rPr>
        <w:t>n</w:t>
      </w:r>
      <w:r w:rsidR="00315726" w:rsidRPr="00756B9D">
        <w:rPr>
          <w:color w:val="auto"/>
          <w:sz w:val="22"/>
          <w:szCs w:val="22"/>
          <w:lang w:val="sk"/>
        </w:rPr>
        <w:t>om</w:t>
      </w:r>
      <w:r w:rsidRPr="00756B9D">
        <w:rPr>
          <w:color w:val="auto"/>
          <w:sz w:val="22"/>
          <w:szCs w:val="22"/>
          <w:lang w:val="sk"/>
        </w:rPr>
        <w:t xml:space="preserve"> je kontraindikované u pacientov s nekontrolovanou hypertenziou, pretože by mohlo vystaviť pacientov potenciálnemu riziku vzniku hypertenznej krízy (pozri časti 4.4 a 4.8). </w:t>
      </w:r>
    </w:p>
    <w:p w14:paraId="59A3FE0A" w14:textId="77777777" w:rsidR="00C60153" w:rsidRPr="00756B9D" w:rsidRDefault="00C60153">
      <w:pPr>
        <w:pStyle w:val="Default"/>
        <w:jc w:val="both"/>
        <w:rPr>
          <w:b/>
          <w:bCs/>
          <w:color w:val="auto"/>
          <w:sz w:val="22"/>
          <w:szCs w:val="22"/>
        </w:rPr>
      </w:pPr>
    </w:p>
    <w:p w14:paraId="0355A745" w14:textId="05A11713" w:rsidR="00003978" w:rsidRPr="00756B9D" w:rsidRDefault="00003978" w:rsidP="00756B9D">
      <w:pPr>
        <w:pStyle w:val="Default"/>
        <w:numPr>
          <w:ilvl w:val="1"/>
          <w:numId w:val="2"/>
        </w:numPr>
        <w:ind w:left="567" w:hanging="567"/>
        <w:jc w:val="both"/>
        <w:rPr>
          <w:color w:val="auto"/>
          <w:sz w:val="22"/>
          <w:szCs w:val="22"/>
        </w:rPr>
      </w:pPr>
      <w:r w:rsidRPr="00756B9D">
        <w:rPr>
          <w:b/>
          <w:bCs/>
          <w:color w:val="auto"/>
          <w:sz w:val="22"/>
          <w:szCs w:val="22"/>
          <w:lang w:val="sk"/>
        </w:rPr>
        <w:t xml:space="preserve">Osobitné upozornenia a opatrenia pri používaní </w:t>
      </w:r>
    </w:p>
    <w:p w14:paraId="07FEA92F" w14:textId="5ECF9290" w:rsidR="00003978" w:rsidRPr="00756B9D" w:rsidRDefault="00003978">
      <w:pPr>
        <w:pStyle w:val="Default"/>
        <w:jc w:val="both"/>
        <w:rPr>
          <w:b/>
          <w:bCs/>
          <w:color w:val="auto"/>
          <w:sz w:val="22"/>
          <w:szCs w:val="22"/>
        </w:rPr>
      </w:pPr>
    </w:p>
    <w:p w14:paraId="4FAD1C82" w14:textId="77777777" w:rsidR="00C60153" w:rsidRPr="00756B9D" w:rsidRDefault="00C60153">
      <w:pPr>
        <w:pStyle w:val="Default"/>
        <w:jc w:val="both"/>
        <w:rPr>
          <w:sz w:val="22"/>
          <w:szCs w:val="22"/>
        </w:rPr>
      </w:pPr>
      <w:r w:rsidRPr="00756B9D">
        <w:rPr>
          <w:i/>
          <w:iCs/>
          <w:sz w:val="22"/>
          <w:szCs w:val="22"/>
          <w:lang w:val="sk"/>
        </w:rPr>
        <w:t xml:space="preserve">Mánia a záchvaty </w:t>
      </w:r>
    </w:p>
    <w:p w14:paraId="3F2B760D" w14:textId="353E2D35" w:rsidR="00C60153" w:rsidRPr="00756B9D" w:rsidRDefault="001433FD">
      <w:pPr>
        <w:pStyle w:val="Default"/>
        <w:jc w:val="both"/>
        <w:rPr>
          <w:sz w:val="22"/>
          <w:szCs w:val="22"/>
        </w:rPr>
      </w:pPr>
      <w:r w:rsidRPr="00756B9D">
        <w:rPr>
          <w:sz w:val="22"/>
          <w:szCs w:val="22"/>
          <w:lang w:val="sk"/>
        </w:rPr>
        <w:t>Duloxet</w:t>
      </w:r>
      <w:r w:rsidR="00783FCC" w:rsidRPr="00756B9D">
        <w:rPr>
          <w:sz w:val="22"/>
          <w:szCs w:val="22"/>
          <w:lang w:val="sk"/>
        </w:rPr>
        <w:t>í</w:t>
      </w:r>
      <w:r w:rsidRPr="00756B9D">
        <w:rPr>
          <w:sz w:val="22"/>
          <w:szCs w:val="22"/>
          <w:lang w:val="sk"/>
        </w:rPr>
        <w:t xml:space="preserve">n sa má s opatrnosťou používať u pacientov, ktorí majú v anamnéze mániu alebo diagnózu bipolárnej poruchy a/alebo záchvaty. </w:t>
      </w:r>
    </w:p>
    <w:p w14:paraId="015CADDD" w14:textId="77777777" w:rsidR="00C60153" w:rsidRPr="00756B9D" w:rsidRDefault="00C60153">
      <w:pPr>
        <w:pStyle w:val="Default"/>
        <w:jc w:val="both"/>
        <w:rPr>
          <w:i/>
          <w:iCs/>
          <w:sz w:val="22"/>
          <w:szCs w:val="22"/>
        </w:rPr>
      </w:pPr>
    </w:p>
    <w:p w14:paraId="5B86A24B" w14:textId="77777777" w:rsidR="00C60153" w:rsidRPr="00756B9D" w:rsidRDefault="00C60153">
      <w:pPr>
        <w:pStyle w:val="Default"/>
        <w:jc w:val="both"/>
        <w:rPr>
          <w:sz w:val="22"/>
          <w:szCs w:val="22"/>
        </w:rPr>
      </w:pPr>
      <w:r w:rsidRPr="00756B9D">
        <w:rPr>
          <w:i/>
          <w:iCs/>
          <w:sz w:val="22"/>
          <w:szCs w:val="22"/>
          <w:lang w:val="sk"/>
        </w:rPr>
        <w:t xml:space="preserve">Mydriáza </w:t>
      </w:r>
    </w:p>
    <w:p w14:paraId="570CFB20" w14:textId="77777777" w:rsidR="00C60153" w:rsidRPr="00756B9D" w:rsidRDefault="00C60153">
      <w:pPr>
        <w:pStyle w:val="Default"/>
        <w:jc w:val="both"/>
        <w:rPr>
          <w:sz w:val="22"/>
          <w:szCs w:val="22"/>
        </w:rPr>
      </w:pPr>
      <w:r w:rsidRPr="00756B9D">
        <w:rPr>
          <w:sz w:val="22"/>
          <w:szCs w:val="22"/>
          <w:lang w:val="sk"/>
        </w:rPr>
        <w:t xml:space="preserve">Mydriáza sa udáva v spojitosti s duloxetínom, preto je potrebné postupovať opatrne pri predpisovaní Duloxetine pacientom so zvýšeným vnútroočným tlakom alebo pacientom, u ktorých je riziko vzniku akútneho glaukómu s úzkym uhlom. </w:t>
      </w:r>
    </w:p>
    <w:p w14:paraId="280AE4CD" w14:textId="77777777" w:rsidR="00C60153" w:rsidRPr="00756B9D" w:rsidRDefault="00C60153">
      <w:pPr>
        <w:pStyle w:val="Default"/>
        <w:jc w:val="both"/>
        <w:rPr>
          <w:i/>
          <w:iCs/>
          <w:sz w:val="22"/>
          <w:szCs w:val="22"/>
        </w:rPr>
      </w:pPr>
    </w:p>
    <w:p w14:paraId="44F84EB6" w14:textId="77777777" w:rsidR="00C60153" w:rsidRPr="00756B9D" w:rsidRDefault="00C60153">
      <w:pPr>
        <w:pStyle w:val="Default"/>
        <w:jc w:val="both"/>
        <w:rPr>
          <w:sz w:val="22"/>
          <w:szCs w:val="22"/>
        </w:rPr>
      </w:pPr>
      <w:r w:rsidRPr="00756B9D">
        <w:rPr>
          <w:i/>
          <w:iCs/>
          <w:sz w:val="22"/>
          <w:szCs w:val="22"/>
          <w:lang w:val="sk"/>
        </w:rPr>
        <w:t xml:space="preserve">Tlak krvi a srdcová frekvencia </w:t>
      </w:r>
    </w:p>
    <w:p w14:paraId="04F0657A" w14:textId="77777777" w:rsidR="00C60153" w:rsidRPr="00756B9D" w:rsidRDefault="00C60153">
      <w:pPr>
        <w:pStyle w:val="Default"/>
        <w:jc w:val="both"/>
        <w:rPr>
          <w:color w:val="auto"/>
          <w:sz w:val="22"/>
          <w:szCs w:val="22"/>
        </w:rPr>
      </w:pPr>
      <w:r w:rsidRPr="00756B9D">
        <w:rPr>
          <w:color w:val="auto"/>
          <w:sz w:val="22"/>
          <w:szCs w:val="22"/>
          <w:lang w:val="sk"/>
        </w:rPr>
        <w:t>U niektorých pacientov bolo užívanie duloxetínu spojené so zvýšeným krvným tlakom a klinicky významnou hypertenziou. Môže to súvisieť s noradrenergickým pôsobením duloxetínu. V súvislosti s duloxetínom boli zaznamenané prípady hypertenznej krízy, hlavne u pacientov s preexistujúcou hypertenziou. Preto sa u pacientov so známou hypertenziou a/alebo iným ochorením srdca odporúča monitorovanie krvného tlaku, najmä počas prvého mesiaca liečby. Pacientom, ktorých zdravotný stav by sa mohol zhoršiť zvýšením srdcovej frekvencie alebo zvýšením krvného tlaku, sa má duloxetín podávať opatrne. Opatrnosť je tiež potrebná, keď sa duloxetín podáva s liekmi, ktoré môžu narušiť jeho metabolizmus (pozri časť 4.5). U pacientov, u ktorých sa vyskytlo trvalé zvýšenie krvného tlaku počas užívania duloxetínu, je potrebné zvážiť buď zníženie dávky alebo postupné vysadenie duloxetínu (pozri časť 4.8). U pacientov s nekontrolovanou hypertenziou sa nemá začať liečba duloxetínom (pozri časť 4.3).</w:t>
      </w:r>
    </w:p>
    <w:p w14:paraId="1571A621" w14:textId="77777777" w:rsidR="00C60153" w:rsidRPr="00756B9D" w:rsidRDefault="00C60153">
      <w:pPr>
        <w:pStyle w:val="Default"/>
        <w:jc w:val="both"/>
        <w:rPr>
          <w:color w:val="auto"/>
          <w:sz w:val="22"/>
          <w:szCs w:val="22"/>
        </w:rPr>
      </w:pPr>
    </w:p>
    <w:p w14:paraId="43FF0B4B" w14:textId="77777777" w:rsidR="00C60153" w:rsidRPr="00756B9D" w:rsidRDefault="00C60153" w:rsidP="00346B2E">
      <w:pPr>
        <w:keepNext/>
        <w:autoSpaceDE w:val="0"/>
        <w:autoSpaceDN w:val="0"/>
        <w:adjustRightInd w:val="0"/>
        <w:spacing w:after="0" w:line="240" w:lineRule="auto"/>
        <w:jc w:val="both"/>
        <w:rPr>
          <w:rFonts w:ascii="Times New Roman" w:hAnsi="Times New Roman"/>
          <w:color w:val="000000"/>
        </w:rPr>
      </w:pPr>
      <w:r w:rsidRPr="00756B9D">
        <w:rPr>
          <w:rFonts w:ascii="Times New Roman" w:hAnsi="Times New Roman"/>
          <w:i/>
          <w:iCs/>
          <w:color w:val="000000"/>
          <w:lang w:val="sk"/>
        </w:rPr>
        <w:lastRenderedPageBreak/>
        <w:t xml:space="preserve">Porucha funkcie obličiek </w:t>
      </w:r>
    </w:p>
    <w:p w14:paraId="2A6104C7" w14:textId="77777777" w:rsidR="00C60153" w:rsidRPr="00756B9D" w:rsidRDefault="00C60153" w:rsidP="00346B2E">
      <w:pPr>
        <w:keepNext/>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 xml:space="preserve">U pacientov so závažným poškodením obličiek na hemodialýze (klírens kreatinínu &lt;30 ml/min) dochádza k zvýšenej plazmatickej koncentrácii duloxetínu. Informácie o pacientoch so závažným poškodením obličiek pozri v časti 4.3. Informácie o pacientoch s miernym alebo stredne závažným poškodením obličiek pozri v časti 4.2. </w:t>
      </w:r>
    </w:p>
    <w:p w14:paraId="67011989" w14:textId="77777777" w:rsidR="00C60153" w:rsidRPr="00756B9D" w:rsidRDefault="00C60153" w:rsidP="00831137">
      <w:pPr>
        <w:autoSpaceDE w:val="0"/>
        <w:autoSpaceDN w:val="0"/>
        <w:adjustRightInd w:val="0"/>
        <w:spacing w:after="0" w:line="240" w:lineRule="auto"/>
        <w:jc w:val="both"/>
        <w:rPr>
          <w:rFonts w:ascii="Times New Roman" w:hAnsi="Times New Roman"/>
          <w:i/>
          <w:iCs/>
          <w:color w:val="000000"/>
        </w:rPr>
      </w:pPr>
    </w:p>
    <w:p w14:paraId="303D9568" w14:textId="77777777"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i/>
          <w:iCs/>
          <w:color w:val="000000"/>
          <w:lang w:val="sk"/>
        </w:rPr>
        <w:t xml:space="preserve">Sérotonínový syndróm </w:t>
      </w:r>
    </w:p>
    <w:p w14:paraId="45997B31" w14:textId="4409AA1E" w:rsidR="00C60153" w:rsidRPr="00756B9D" w:rsidRDefault="00C60153">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 xml:space="preserve">Tak ako pri ostatných sérotonergických látkach, môže sa pri liečbe duloxetínom vyskytnúť sérotonínový syndróm. ktorý je potenciálne život ohrozujúcim stavom, najmä pri súčasnom podávaní iných sérotonínových látok (vrátane SSRI, SNRI, tricyklických antidepresív alebo triptánov), látok, ktoré upravujú metabolizmus sérotonínu ako napr. IMAO alebo antipsychotiká či ďalšie dopamínové antagonisty, ktoré môžu mať vplyv na sérotonergický neurotransmiterový </w:t>
      </w:r>
      <w:r w:rsidR="009E5803">
        <w:rPr>
          <w:rFonts w:ascii="Times New Roman" w:hAnsi="Times New Roman"/>
          <w:color w:val="000000"/>
          <w:lang w:val="sk"/>
        </w:rPr>
        <w:t>systém (pozri časti 4.3 a 4.5).</w:t>
      </w:r>
    </w:p>
    <w:p w14:paraId="2C17DA6C" w14:textId="77777777" w:rsidR="00C60153" w:rsidRPr="00756B9D" w:rsidRDefault="00C60153">
      <w:pPr>
        <w:pStyle w:val="Default"/>
        <w:jc w:val="both"/>
        <w:rPr>
          <w:sz w:val="22"/>
          <w:szCs w:val="22"/>
        </w:rPr>
      </w:pPr>
    </w:p>
    <w:p w14:paraId="2A232FFC" w14:textId="77777777" w:rsidR="002C4B91" w:rsidRPr="00756B9D" w:rsidRDefault="00C60153">
      <w:pPr>
        <w:pStyle w:val="Default"/>
        <w:jc w:val="both"/>
        <w:rPr>
          <w:sz w:val="22"/>
          <w:szCs w:val="22"/>
        </w:rPr>
      </w:pPr>
      <w:r w:rsidRPr="00756B9D">
        <w:rPr>
          <w:sz w:val="22"/>
          <w:szCs w:val="22"/>
          <w:lang w:val="sk"/>
        </w:rPr>
        <w:t xml:space="preserve">Symptómy sérotonínového syndrómu môžu zahŕňať zmeny psychického stavu (napr. agitáciu, halucinácie, kómu), autonómnu nestabilitu (napr. tachykardiu, labilný krvný tlak, hypertermiu), neuromuskulárne aberácie (napr. hyperreflexiu, nekoordináciu) a/alebo gastrointestinálne symptómy (napr. nauzea, vracanie, hnačka). </w:t>
      </w:r>
    </w:p>
    <w:p w14:paraId="22F4ACB7" w14:textId="77777777" w:rsidR="002C4B91" w:rsidRPr="00756B9D" w:rsidRDefault="002C4B91">
      <w:pPr>
        <w:pStyle w:val="Default"/>
        <w:jc w:val="both"/>
        <w:rPr>
          <w:sz w:val="22"/>
          <w:szCs w:val="22"/>
        </w:rPr>
      </w:pPr>
    </w:p>
    <w:p w14:paraId="1F92BDFA" w14:textId="77777777" w:rsidR="002C4B91" w:rsidRPr="00756B9D" w:rsidRDefault="002C4B91">
      <w:pPr>
        <w:pStyle w:val="Default"/>
        <w:jc w:val="both"/>
        <w:rPr>
          <w:sz w:val="22"/>
          <w:szCs w:val="22"/>
        </w:rPr>
      </w:pPr>
      <w:r w:rsidRPr="00756B9D">
        <w:rPr>
          <w:sz w:val="22"/>
          <w:szCs w:val="22"/>
          <w:lang w:val="sk"/>
        </w:rPr>
        <w:t xml:space="preserve">Ak je súčasné podávanie duloxetínu a iných sérotonergických látok, ktoré môžu ovplyvniť sérotonergické a/alebo dopaminergické neurotransmiterové systémy, klinicky opodstatnené, odporúča sa dôkladné sledovanie pacienta, najmä na začiatku liečby a pri zvyšovaní dávok. </w:t>
      </w:r>
    </w:p>
    <w:p w14:paraId="5B8EDCF6" w14:textId="77777777" w:rsidR="002C4B91" w:rsidRPr="00756B9D" w:rsidRDefault="002C4B91">
      <w:pPr>
        <w:pStyle w:val="Default"/>
        <w:jc w:val="both"/>
        <w:rPr>
          <w:i/>
          <w:iCs/>
          <w:sz w:val="22"/>
          <w:szCs w:val="22"/>
        </w:rPr>
      </w:pPr>
    </w:p>
    <w:p w14:paraId="12BFAB9A" w14:textId="77777777" w:rsidR="002C4B91" w:rsidRPr="00756B9D" w:rsidRDefault="002C4B91">
      <w:pPr>
        <w:pStyle w:val="Default"/>
        <w:jc w:val="both"/>
        <w:rPr>
          <w:sz w:val="22"/>
          <w:szCs w:val="22"/>
        </w:rPr>
      </w:pPr>
      <w:r w:rsidRPr="00756B9D">
        <w:rPr>
          <w:i/>
          <w:iCs/>
          <w:sz w:val="22"/>
          <w:szCs w:val="22"/>
          <w:lang w:val="sk"/>
        </w:rPr>
        <w:t xml:space="preserve">Ľubovník bodkovaný </w:t>
      </w:r>
    </w:p>
    <w:p w14:paraId="5E26EB71" w14:textId="681C3408" w:rsidR="002C4B91" w:rsidRPr="00756B9D" w:rsidRDefault="002C4B91">
      <w:pPr>
        <w:pStyle w:val="Default"/>
        <w:jc w:val="both"/>
        <w:rPr>
          <w:sz w:val="22"/>
          <w:szCs w:val="22"/>
        </w:rPr>
      </w:pPr>
      <w:r w:rsidRPr="00756B9D">
        <w:rPr>
          <w:sz w:val="22"/>
          <w:szCs w:val="22"/>
          <w:lang w:val="sk"/>
        </w:rPr>
        <w:t xml:space="preserve">Nežiaduce reakcie sa môžu častejšie vyskytovať v priebehu súčasného užívania </w:t>
      </w:r>
      <w:r w:rsidR="00DC0E22" w:rsidRPr="00756B9D">
        <w:rPr>
          <w:sz w:val="22"/>
          <w:szCs w:val="22"/>
          <w:lang w:val="sk"/>
        </w:rPr>
        <w:t>d</w:t>
      </w:r>
      <w:r w:rsidRPr="00756B9D">
        <w:rPr>
          <w:sz w:val="22"/>
          <w:szCs w:val="22"/>
          <w:lang w:val="sk"/>
        </w:rPr>
        <w:t>uloxet</w:t>
      </w:r>
      <w:r w:rsidR="00DC0E22" w:rsidRPr="00756B9D">
        <w:rPr>
          <w:sz w:val="22"/>
          <w:szCs w:val="22"/>
          <w:lang w:val="sk"/>
        </w:rPr>
        <w:t>í</w:t>
      </w:r>
      <w:r w:rsidRPr="00756B9D">
        <w:rPr>
          <w:sz w:val="22"/>
          <w:szCs w:val="22"/>
          <w:lang w:val="sk"/>
        </w:rPr>
        <w:t>n</w:t>
      </w:r>
      <w:r w:rsidR="00DC0E22" w:rsidRPr="00756B9D">
        <w:rPr>
          <w:sz w:val="22"/>
          <w:szCs w:val="22"/>
          <w:lang w:val="sk"/>
        </w:rPr>
        <w:t>u</w:t>
      </w:r>
      <w:r w:rsidRPr="00756B9D">
        <w:rPr>
          <w:sz w:val="22"/>
          <w:szCs w:val="22"/>
          <w:lang w:val="sk"/>
        </w:rPr>
        <w:t xml:space="preserve"> a </w:t>
      </w:r>
      <w:r w:rsidR="00783FCC" w:rsidRPr="00756B9D">
        <w:rPr>
          <w:sz w:val="22"/>
          <w:szCs w:val="22"/>
          <w:lang w:val="sk"/>
        </w:rPr>
        <w:t>rastlinných</w:t>
      </w:r>
      <w:r w:rsidRPr="00756B9D">
        <w:rPr>
          <w:sz w:val="22"/>
          <w:szCs w:val="22"/>
          <w:lang w:val="sk"/>
        </w:rPr>
        <w:t xml:space="preserve"> prípravkov obsahujúcich ľubovník bodkovaný (Hypericum perforatum). </w:t>
      </w:r>
    </w:p>
    <w:p w14:paraId="1623263F" w14:textId="77777777" w:rsidR="002C4B91" w:rsidRPr="00756B9D" w:rsidRDefault="002C4B91">
      <w:pPr>
        <w:pStyle w:val="Default"/>
        <w:jc w:val="both"/>
        <w:rPr>
          <w:i/>
          <w:iCs/>
          <w:sz w:val="22"/>
          <w:szCs w:val="22"/>
        </w:rPr>
      </w:pPr>
    </w:p>
    <w:p w14:paraId="68F1194B" w14:textId="1D04F2EC" w:rsidR="00EA238B" w:rsidRPr="00756B9D" w:rsidRDefault="002C4B91">
      <w:pPr>
        <w:pStyle w:val="Default"/>
        <w:jc w:val="both"/>
        <w:rPr>
          <w:sz w:val="22"/>
          <w:szCs w:val="22"/>
        </w:rPr>
      </w:pPr>
      <w:r w:rsidRPr="00756B9D">
        <w:rPr>
          <w:i/>
          <w:iCs/>
          <w:sz w:val="22"/>
          <w:szCs w:val="22"/>
          <w:lang w:val="sk"/>
        </w:rPr>
        <w:t xml:space="preserve">Samovražda </w:t>
      </w:r>
    </w:p>
    <w:p w14:paraId="04643E99" w14:textId="77777777" w:rsidR="00EA238B" w:rsidRPr="00756B9D" w:rsidRDefault="002C4B91">
      <w:pPr>
        <w:pStyle w:val="Default"/>
        <w:jc w:val="both"/>
        <w:rPr>
          <w:i/>
          <w:iCs/>
          <w:sz w:val="22"/>
          <w:szCs w:val="22"/>
        </w:rPr>
      </w:pPr>
      <w:r w:rsidRPr="00756B9D">
        <w:rPr>
          <w:i/>
          <w:iCs/>
          <w:sz w:val="22"/>
          <w:szCs w:val="22"/>
          <w:lang w:val="sk"/>
        </w:rPr>
        <w:t xml:space="preserve">Veľká depresívna porucha a generalizovaná úzkostná porucha </w:t>
      </w:r>
    </w:p>
    <w:p w14:paraId="14C219B9" w14:textId="77777777" w:rsidR="002C4B91" w:rsidRPr="00756B9D" w:rsidRDefault="002C4B91">
      <w:pPr>
        <w:pStyle w:val="Default"/>
        <w:jc w:val="both"/>
        <w:rPr>
          <w:sz w:val="22"/>
          <w:szCs w:val="22"/>
        </w:rPr>
      </w:pPr>
      <w:r w:rsidRPr="00756B9D">
        <w:rPr>
          <w:sz w:val="22"/>
          <w:szCs w:val="22"/>
          <w:lang w:val="sk"/>
        </w:rPr>
        <w:t>Depresiu sprevádza vyššie riziko suicidálnych myšlienok, sebapoškodzovania a samovraždy (udalosti spojené so samovraždou). Toto riziko pretrváva, až kým sa nedostaví signifikantná remisia. Keďže zlepšenie nemusí nastať v priebehu prvých niekoľkých alebo viacerých týždňov liečby, pacient má byť starostlivo sledovaný, až kým sa toto zlepšenie nedostaví. Je všeobecná klinická skúsenosť, že</w:t>
      </w:r>
      <w:r w:rsidR="00FB4725" w:rsidRPr="00756B9D">
        <w:rPr>
          <w:sz w:val="22"/>
          <w:szCs w:val="22"/>
          <w:lang w:val="sk"/>
        </w:rPr>
        <w:t xml:space="preserve"> </w:t>
      </w:r>
      <w:r w:rsidRPr="00756B9D">
        <w:rPr>
          <w:sz w:val="22"/>
          <w:szCs w:val="22"/>
          <w:lang w:val="sk"/>
        </w:rPr>
        <w:t xml:space="preserve">v skorých fázach zotavovania môže riziko samovraždy vzrásť. </w:t>
      </w:r>
    </w:p>
    <w:p w14:paraId="75619323" w14:textId="77777777" w:rsidR="002C4B91" w:rsidRPr="00756B9D" w:rsidRDefault="002C4B91">
      <w:pPr>
        <w:pStyle w:val="Default"/>
        <w:jc w:val="both"/>
        <w:rPr>
          <w:sz w:val="22"/>
          <w:szCs w:val="22"/>
        </w:rPr>
      </w:pPr>
    </w:p>
    <w:p w14:paraId="3B56AA1D" w14:textId="046D3D37" w:rsidR="002C4B91" w:rsidRPr="00756B9D" w:rsidRDefault="002C4B91">
      <w:pPr>
        <w:pStyle w:val="Default"/>
        <w:jc w:val="both"/>
        <w:rPr>
          <w:sz w:val="22"/>
          <w:szCs w:val="22"/>
        </w:rPr>
      </w:pPr>
      <w:r w:rsidRPr="00756B9D">
        <w:rPr>
          <w:sz w:val="22"/>
          <w:szCs w:val="22"/>
          <w:lang w:val="sk"/>
        </w:rPr>
        <w:t xml:space="preserve">Aj ostatné psychické poruchy, na liečbu ktorých sa </w:t>
      </w:r>
      <w:r w:rsidR="00DC0E22" w:rsidRPr="00756B9D">
        <w:rPr>
          <w:sz w:val="22"/>
          <w:szCs w:val="22"/>
          <w:lang w:val="sk"/>
        </w:rPr>
        <w:t>d</w:t>
      </w:r>
      <w:r w:rsidRPr="00756B9D">
        <w:rPr>
          <w:sz w:val="22"/>
          <w:szCs w:val="22"/>
          <w:lang w:val="sk"/>
        </w:rPr>
        <w:t>uloxet</w:t>
      </w:r>
      <w:r w:rsidR="00DC0E22" w:rsidRPr="00756B9D">
        <w:rPr>
          <w:sz w:val="22"/>
          <w:szCs w:val="22"/>
          <w:lang w:val="sk"/>
        </w:rPr>
        <w:t>í</w:t>
      </w:r>
      <w:r w:rsidRPr="00756B9D">
        <w:rPr>
          <w:sz w:val="22"/>
          <w:szCs w:val="22"/>
          <w:lang w:val="sk"/>
        </w:rPr>
        <w:t xml:space="preserve">n predpisuje, môžu byť spojené so zvýšeným rizikom udalostí spojených so samovraždou. Navyše tieto poruchy môžu byť komorbidné s veľkou depresívnou poruchou. Pri liečbe pacientov s ostatnými psychickými poruchami sa majú preto sledovať rovnaké opatrenia ako pri liečbe pacientov s veľkou depresívnou poruchou. </w:t>
      </w:r>
    </w:p>
    <w:p w14:paraId="06C8F2E1" w14:textId="77777777" w:rsidR="002C4B91" w:rsidRPr="00756B9D" w:rsidRDefault="002C4B91">
      <w:pPr>
        <w:pStyle w:val="Default"/>
        <w:jc w:val="both"/>
        <w:rPr>
          <w:sz w:val="22"/>
          <w:szCs w:val="22"/>
        </w:rPr>
      </w:pPr>
    </w:p>
    <w:p w14:paraId="661A5B22" w14:textId="77777777" w:rsidR="002C4B91" w:rsidRPr="00756B9D" w:rsidRDefault="002C4B91">
      <w:pPr>
        <w:pStyle w:val="Default"/>
        <w:jc w:val="both"/>
        <w:rPr>
          <w:sz w:val="22"/>
          <w:szCs w:val="22"/>
        </w:rPr>
      </w:pPr>
      <w:r w:rsidRPr="00756B9D">
        <w:rPr>
          <w:sz w:val="22"/>
          <w:szCs w:val="22"/>
          <w:lang w:val="sk"/>
        </w:rPr>
        <w:t xml:space="preserve">Pacienti s anamnézou udalostí spojených so samovraždou alebo tí, ktorí vykazovali významnú mieru suicidálnych myšlienok pred začatím liečby majú vyššie riziko výskytu suicidálnych myšlienok alebo suicidálneho správania a majú byť počas liečby starostlivo sledovaní. Metaanalýza placebom kontrolovaných klinických štúdií s antidepresívami u psychiatrických ochorení ukázala zvýšené riziko suicidálneho správania u antidepresív v porovnaní s placebom u pacientov mladších ako 25 rokov. </w:t>
      </w:r>
    </w:p>
    <w:p w14:paraId="1C270670" w14:textId="77777777" w:rsidR="002C4B91" w:rsidRPr="00756B9D" w:rsidRDefault="002C4B91">
      <w:pPr>
        <w:pStyle w:val="Default"/>
        <w:jc w:val="both"/>
        <w:rPr>
          <w:sz w:val="22"/>
          <w:szCs w:val="22"/>
        </w:rPr>
      </w:pPr>
    </w:p>
    <w:p w14:paraId="202EBD6C" w14:textId="77777777" w:rsidR="002C4B91" w:rsidRPr="00756B9D" w:rsidRDefault="002C4B91">
      <w:pPr>
        <w:pStyle w:val="Default"/>
        <w:jc w:val="both"/>
        <w:rPr>
          <w:sz w:val="22"/>
          <w:szCs w:val="22"/>
        </w:rPr>
      </w:pPr>
      <w:r w:rsidRPr="00756B9D">
        <w:rPr>
          <w:sz w:val="22"/>
          <w:szCs w:val="22"/>
          <w:lang w:val="sk"/>
        </w:rPr>
        <w:t xml:space="preserve">V priebehu liečby duloxetínom alebo krátko po ukončení tejto liečby boli zaznamenané prípady výskytu suicidálnych myšlienok a suicidálneho správania (pozri časť 4.8). </w:t>
      </w:r>
    </w:p>
    <w:p w14:paraId="3C259DB2" w14:textId="77777777" w:rsidR="002C4B91" w:rsidRPr="00756B9D" w:rsidRDefault="002C4B91">
      <w:pPr>
        <w:pStyle w:val="Default"/>
        <w:jc w:val="both"/>
        <w:rPr>
          <w:sz w:val="22"/>
          <w:szCs w:val="22"/>
        </w:rPr>
      </w:pPr>
    </w:p>
    <w:p w14:paraId="0A1F77C1" w14:textId="3022AE1E" w:rsidR="002C4B91" w:rsidRPr="00756B9D" w:rsidRDefault="002C4B91">
      <w:pPr>
        <w:pStyle w:val="Default"/>
        <w:jc w:val="both"/>
        <w:rPr>
          <w:sz w:val="22"/>
          <w:szCs w:val="22"/>
        </w:rPr>
      </w:pPr>
      <w:r w:rsidRPr="00756B9D">
        <w:rPr>
          <w:sz w:val="22"/>
          <w:szCs w:val="22"/>
          <w:lang w:val="sk"/>
        </w:rPr>
        <w:t>U pacientov a najmä u tých s vysokým rizikom, m</w:t>
      </w:r>
      <w:r w:rsidR="00FB4725" w:rsidRPr="00756B9D">
        <w:rPr>
          <w:sz w:val="22"/>
          <w:szCs w:val="22"/>
          <w:lang w:val="sk"/>
        </w:rPr>
        <w:t>á</w:t>
      </w:r>
      <w:r w:rsidRPr="00756B9D">
        <w:rPr>
          <w:sz w:val="22"/>
          <w:szCs w:val="22"/>
          <w:lang w:val="sk"/>
        </w:rPr>
        <w:t xml:space="preserve"> liekovú terapiu sprevádzať starostlivý dohľad, hlavne počas počiatočnej liečby a po zmenách dávky. Pacienti (a opatrovníci pacientov) majú byť upozornení na potrebu sledovať akékoľvek klinické zhoršenie, suicidálne správanie alebo myšlienky a nezvyčajné zmeny správania a na potrebu okamžitého vyhľadania lekárskej pomoci, ak sú tieto príznaky prítomné. </w:t>
      </w:r>
    </w:p>
    <w:p w14:paraId="7441E287" w14:textId="77777777" w:rsidR="002C4B91" w:rsidRPr="00756B9D" w:rsidRDefault="002C4B91">
      <w:pPr>
        <w:pStyle w:val="Default"/>
        <w:jc w:val="both"/>
        <w:rPr>
          <w:i/>
          <w:iCs/>
          <w:sz w:val="22"/>
          <w:szCs w:val="22"/>
        </w:rPr>
      </w:pPr>
    </w:p>
    <w:p w14:paraId="1E9C56D2" w14:textId="77777777" w:rsidR="00EA238B" w:rsidRPr="00756B9D" w:rsidRDefault="002C4B91" w:rsidP="009E5803">
      <w:pPr>
        <w:pStyle w:val="Default"/>
        <w:keepNext/>
        <w:jc w:val="both"/>
        <w:rPr>
          <w:i/>
          <w:iCs/>
          <w:sz w:val="22"/>
          <w:szCs w:val="22"/>
        </w:rPr>
      </w:pPr>
      <w:r w:rsidRPr="00756B9D">
        <w:rPr>
          <w:i/>
          <w:iCs/>
          <w:sz w:val="22"/>
          <w:szCs w:val="22"/>
          <w:lang w:val="sk"/>
        </w:rPr>
        <w:t>Diabetická periférna neuropatická bolesť:</w:t>
      </w:r>
    </w:p>
    <w:p w14:paraId="6EBB80D7" w14:textId="77777777" w:rsidR="002C4B91" w:rsidRPr="00756B9D" w:rsidRDefault="002C4B91" w:rsidP="009E5803">
      <w:pPr>
        <w:pStyle w:val="Default"/>
        <w:keepNext/>
        <w:jc w:val="both"/>
        <w:rPr>
          <w:sz w:val="22"/>
          <w:szCs w:val="22"/>
        </w:rPr>
      </w:pPr>
      <w:r w:rsidRPr="00756B9D">
        <w:rPr>
          <w:sz w:val="22"/>
          <w:szCs w:val="22"/>
          <w:lang w:val="sk"/>
        </w:rPr>
        <w:t xml:space="preserve">Rovnako ako u iných liekov s podobným farmakologickým účinkom (antidepresíva) boli v priebehu liečby duloxetínom alebo krátko po ukončení tejto liečby zaznamenané prípady výskytu suicidálnych predstáv a suicidálneho správania. Čo sa týka rizikových faktorov pre suicidalitu pri depresii, pozri </w:t>
      </w:r>
      <w:r w:rsidRPr="00756B9D">
        <w:rPr>
          <w:sz w:val="22"/>
          <w:szCs w:val="22"/>
          <w:lang w:val="sk"/>
        </w:rPr>
        <w:lastRenderedPageBreak/>
        <w:t xml:space="preserve">vyššie. Lekári majú povzbudiť svojich pacientov, aby kedykoľvek uviedli akékoľvek rušivé myšlienky alebo pocity, ktoré sa u nich vyskytnú. </w:t>
      </w:r>
    </w:p>
    <w:p w14:paraId="2A4AAE0B" w14:textId="77777777" w:rsidR="002C4B91" w:rsidRPr="00756B9D" w:rsidRDefault="002C4B91">
      <w:pPr>
        <w:pStyle w:val="Default"/>
        <w:jc w:val="both"/>
        <w:rPr>
          <w:i/>
          <w:iCs/>
          <w:sz w:val="22"/>
          <w:szCs w:val="22"/>
        </w:rPr>
      </w:pPr>
    </w:p>
    <w:p w14:paraId="0E03B23E" w14:textId="77777777" w:rsidR="002C4B91" w:rsidRPr="00756B9D" w:rsidRDefault="002C4B91">
      <w:pPr>
        <w:pStyle w:val="Default"/>
        <w:jc w:val="both"/>
        <w:rPr>
          <w:sz w:val="22"/>
          <w:szCs w:val="22"/>
        </w:rPr>
      </w:pPr>
      <w:r w:rsidRPr="00756B9D">
        <w:rPr>
          <w:i/>
          <w:iCs/>
          <w:sz w:val="22"/>
          <w:szCs w:val="22"/>
          <w:lang w:val="sk"/>
        </w:rPr>
        <w:t xml:space="preserve">Podávanie deťom a dospievajúcim mladším ako 18 rokov: </w:t>
      </w:r>
    </w:p>
    <w:p w14:paraId="3ED9AA9F" w14:textId="77777777" w:rsidR="002C4B91" w:rsidRPr="00756B9D" w:rsidRDefault="001433FD">
      <w:pPr>
        <w:pStyle w:val="Default"/>
        <w:jc w:val="both"/>
        <w:rPr>
          <w:sz w:val="22"/>
          <w:szCs w:val="22"/>
        </w:rPr>
      </w:pPr>
      <w:r w:rsidRPr="00756B9D">
        <w:rPr>
          <w:sz w:val="22"/>
          <w:szCs w:val="22"/>
          <w:lang w:val="sk"/>
        </w:rPr>
        <w:t xml:space="preserve">Duloxetine sa nemá užívať na liečbu detí a dospievajúcich mladších ako 18 rokov. V klinických štúdiách bolo u detí a dospievajúcich liečených antidepresívami častejšie pozorované suicidálne správanie (suicidálne pokusy a suicidálne myšlienky) a hostilita (prevažne agresia, protichodné správanie a zlosť) v porovnaní s tými, ktorým bolo podávané placebo. Ak sa rozhodnutie o liečbe založené na objektívnej potrebe predsa len urobí, musí byť pacient starostlivo sledovaný kvôli výskytu samovražedných symptómov (pozri časť 5.1). Navyše chýbajú údaje o bezpečnosti dlhodobého podávania u detí a dospievajúcich týkajúce sa rastu, dospievania a kognitívneho a behaviorálneho vývoja (pozri časť 4.8). </w:t>
      </w:r>
    </w:p>
    <w:p w14:paraId="3F737525" w14:textId="77777777" w:rsidR="002C4B91" w:rsidRPr="00756B9D" w:rsidRDefault="002C4B91">
      <w:pPr>
        <w:pStyle w:val="Default"/>
        <w:jc w:val="both"/>
        <w:rPr>
          <w:i/>
          <w:iCs/>
          <w:sz w:val="22"/>
          <w:szCs w:val="22"/>
        </w:rPr>
      </w:pPr>
    </w:p>
    <w:p w14:paraId="4B61EF0C" w14:textId="77777777" w:rsidR="002C4B91" w:rsidRPr="00756B9D" w:rsidRDefault="002C4B91">
      <w:pPr>
        <w:pStyle w:val="Default"/>
        <w:jc w:val="both"/>
        <w:rPr>
          <w:sz w:val="22"/>
          <w:szCs w:val="22"/>
        </w:rPr>
      </w:pPr>
      <w:r w:rsidRPr="00756B9D">
        <w:rPr>
          <w:i/>
          <w:iCs/>
          <w:sz w:val="22"/>
          <w:szCs w:val="22"/>
          <w:lang w:val="sk"/>
        </w:rPr>
        <w:t xml:space="preserve">Krvácanie </w:t>
      </w:r>
    </w:p>
    <w:p w14:paraId="071C7AB3" w14:textId="77777777" w:rsidR="002C4B91" w:rsidRPr="00756B9D" w:rsidRDefault="002C4B91">
      <w:pPr>
        <w:pStyle w:val="Default"/>
        <w:jc w:val="both"/>
        <w:rPr>
          <w:sz w:val="22"/>
          <w:szCs w:val="22"/>
        </w:rPr>
      </w:pPr>
      <w:r w:rsidRPr="00756B9D">
        <w:rPr>
          <w:sz w:val="22"/>
          <w:szCs w:val="22"/>
          <w:lang w:val="sk"/>
        </w:rPr>
        <w:t xml:space="preserve">V súvislosti s inhibítormi spätného vychytávania sérotonínu (SSRI) a selektívnymi inhibítormi spätného vychytávania sérotonínu/noradrenalínu (SNRI), vrátane duloxetínu, boli zaznamenané prípady abnormalít spojených s krvácaním, ako sú ekchymóza, purpura a gastrointestinálne krvácanie. U pacientov užívajúcich antikoagulanciá a/alebo lieky, o ktorých je známe, že ovplyvňujú funkciu krvných doštičiek (napr.: nesteroidné protizápalové lieky (NSAID) alebo kyselina acetylsalicylová (ASA)) a u pacientov náchylných na krvácanie sa odporúča postupovať s opatrnosťou. </w:t>
      </w:r>
    </w:p>
    <w:p w14:paraId="6A9BE89C" w14:textId="77777777" w:rsidR="002C4B91" w:rsidRPr="00756B9D" w:rsidRDefault="002C4B91">
      <w:pPr>
        <w:pStyle w:val="Default"/>
        <w:jc w:val="both"/>
        <w:rPr>
          <w:i/>
          <w:iCs/>
          <w:sz w:val="22"/>
          <w:szCs w:val="22"/>
        </w:rPr>
      </w:pPr>
    </w:p>
    <w:p w14:paraId="7A37A2BA" w14:textId="77777777" w:rsidR="002C4B91" w:rsidRPr="00756B9D" w:rsidRDefault="002C4B91">
      <w:pPr>
        <w:pStyle w:val="Default"/>
        <w:jc w:val="both"/>
        <w:rPr>
          <w:sz w:val="22"/>
          <w:szCs w:val="22"/>
        </w:rPr>
      </w:pPr>
      <w:r w:rsidRPr="00756B9D">
        <w:rPr>
          <w:i/>
          <w:iCs/>
          <w:sz w:val="22"/>
          <w:szCs w:val="22"/>
          <w:lang w:val="sk"/>
        </w:rPr>
        <w:t xml:space="preserve">Hyponatriémia </w:t>
      </w:r>
    </w:p>
    <w:p w14:paraId="436AB5A7" w14:textId="77777777" w:rsidR="002C4B91" w:rsidRPr="00756B9D" w:rsidRDefault="002C4B91">
      <w:pPr>
        <w:pStyle w:val="Default"/>
        <w:jc w:val="both"/>
        <w:rPr>
          <w:sz w:val="22"/>
          <w:szCs w:val="22"/>
        </w:rPr>
      </w:pPr>
      <w:r w:rsidRPr="00756B9D">
        <w:rPr>
          <w:sz w:val="22"/>
          <w:szCs w:val="22"/>
          <w:lang w:val="sk"/>
        </w:rPr>
        <w:t xml:space="preserve">Pri podávaní Duloxetine bola hlásená hyponatriémia, vrátane prípadov, kedy sérová koncentrácia sodíka bola nižšia ako 110 mmol/l. Hyponatriémia môže byť spôsobená syndrómom neadekvátnej sekrécie antidiuretického hormónu (syndrome of inappropriate anti-diuretic hormone, SIADH). Najviac prípadov hyponatriémie bolo hlásených u starších pacientov, najmä ak boli spojené s nedávnou anamnézou alebo s predispozičnými podmienkami k poruche rovnováhy tekutín. U pacientov so zvýšeným rizikom vzniku hyponatriémie ako sú starší pacienti, pacienti s cirhózou alebo dehydratovaní pacienti alebo pacienti liečení diuretikami je potrebná opatrnosť. </w:t>
      </w:r>
    </w:p>
    <w:p w14:paraId="6FC799B6" w14:textId="77777777" w:rsidR="002C4B91" w:rsidRPr="00756B9D" w:rsidRDefault="002C4B91">
      <w:pPr>
        <w:pStyle w:val="Default"/>
        <w:jc w:val="both"/>
        <w:rPr>
          <w:i/>
          <w:iCs/>
          <w:sz w:val="22"/>
          <w:szCs w:val="22"/>
        </w:rPr>
      </w:pPr>
    </w:p>
    <w:p w14:paraId="5760D759" w14:textId="77777777" w:rsidR="002C4B91" w:rsidRPr="00756B9D" w:rsidRDefault="002C4B91">
      <w:pPr>
        <w:pStyle w:val="Default"/>
        <w:jc w:val="both"/>
        <w:rPr>
          <w:sz w:val="22"/>
          <w:szCs w:val="22"/>
        </w:rPr>
      </w:pPr>
      <w:r w:rsidRPr="00756B9D">
        <w:rPr>
          <w:i/>
          <w:iCs/>
          <w:sz w:val="22"/>
          <w:szCs w:val="22"/>
          <w:lang w:val="sk"/>
        </w:rPr>
        <w:t xml:space="preserve">Ukončenie liečby </w:t>
      </w:r>
    </w:p>
    <w:p w14:paraId="39325177" w14:textId="4A20C3ED" w:rsidR="002C4B91" w:rsidRPr="00756B9D" w:rsidRDefault="002C4B91">
      <w:pPr>
        <w:pStyle w:val="Default"/>
        <w:jc w:val="both"/>
        <w:rPr>
          <w:sz w:val="22"/>
          <w:szCs w:val="22"/>
        </w:rPr>
      </w:pPr>
      <w:r w:rsidRPr="00756B9D">
        <w:rPr>
          <w:sz w:val="22"/>
          <w:szCs w:val="22"/>
          <w:lang w:val="sk"/>
        </w:rPr>
        <w:t xml:space="preserve">Pri prerušení liečby je výskyt príznakov z vysadenia častý, hlavne ak je vysadenie náhle (pozri časť 4.8). V klinických štúdiách sa nežiaduce účinky pri náhlom vysadení liečby vyskytovali približne u 45 % pacientov liečených </w:t>
      </w:r>
      <w:r w:rsidR="008943A1" w:rsidRPr="00756B9D">
        <w:rPr>
          <w:sz w:val="22"/>
          <w:szCs w:val="22"/>
          <w:lang w:val="sk"/>
        </w:rPr>
        <w:t>d</w:t>
      </w:r>
      <w:r w:rsidRPr="00756B9D">
        <w:rPr>
          <w:sz w:val="22"/>
          <w:szCs w:val="22"/>
          <w:lang w:val="sk"/>
        </w:rPr>
        <w:t>uloxet</w:t>
      </w:r>
      <w:r w:rsidR="008943A1" w:rsidRPr="00756B9D">
        <w:rPr>
          <w:sz w:val="22"/>
          <w:szCs w:val="22"/>
          <w:lang w:val="sk"/>
        </w:rPr>
        <w:t>í</w:t>
      </w:r>
      <w:r w:rsidRPr="00756B9D">
        <w:rPr>
          <w:sz w:val="22"/>
          <w:szCs w:val="22"/>
          <w:lang w:val="sk"/>
        </w:rPr>
        <w:t xml:space="preserve">nom a u 23% pacientov užívajúcich placebo. Riziko príznakov z vysadenia pozorovaných u SSRI a SRNI môže závisieť od niekoľkých faktorov, vrátane dĺžky liečby, dávky a rýchlosti znižovania dávky. Najčastejšie hlásené reakcie sú uvedené v časti 4.8. Zvyčajne sú symptómy slabé alebo mierne, avšak u niektorých pacientov môžu mať závažnejší charakter. Obyčajne sa objavia v priebehu prvých </w:t>
      </w:r>
      <w:r w:rsidR="00CB146D" w:rsidRPr="00756B9D">
        <w:rPr>
          <w:sz w:val="22"/>
          <w:szCs w:val="22"/>
          <w:lang w:val="sk"/>
        </w:rPr>
        <w:t>pár</w:t>
      </w:r>
      <w:r w:rsidRPr="00756B9D">
        <w:rPr>
          <w:sz w:val="22"/>
          <w:szCs w:val="22"/>
          <w:lang w:val="sk"/>
        </w:rPr>
        <w:t xml:space="preserve"> dní vysadzovania liečby, ale</w:t>
      </w:r>
      <w:r w:rsidR="00CB146D" w:rsidRPr="00756B9D">
        <w:rPr>
          <w:sz w:val="22"/>
          <w:szCs w:val="22"/>
          <w:lang w:val="sk"/>
        </w:rPr>
        <w:t xml:space="preserve"> veľmi zriedkavo</w:t>
      </w:r>
      <w:r w:rsidRPr="00756B9D">
        <w:rPr>
          <w:sz w:val="22"/>
          <w:szCs w:val="22"/>
          <w:lang w:val="sk"/>
        </w:rPr>
        <w:t xml:space="preserve"> boli hlásené takéto príznaky u pacientov, ktorí nedopatrením vynechali dávku. Zvyčajne tieto príznaky vymiznú bez liečby, obyčajne v priebehu 2 týždňov, hoci u niektorých osôb to môže trvať dlhšie (2 – 3 mesiace alebo viac). Preto sa pri vysadzovaní liečby odporúča postupné znižovanie dávky duloxetínu počas minimálne 2 týždňov, podľa potreby pacienta (pozri časť 4.2). </w:t>
      </w:r>
    </w:p>
    <w:p w14:paraId="5A6C1DCB" w14:textId="77777777" w:rsidR="002C4B91" w:rsidRPr="00756B9D" w:rsidRDefault="002C4B91">
      <w:pPr>
        <w:pStyle w:val="Default"/>
        <w:jc w:val="both"/>
        <w:rPr>
          <w:i/>
          <w:iCs/>
          <w:sz w:val="22"/>
          <w:szCs w:val="22"/>
        </w:rPr>
      </w:pPr>
    </w:p>
    <w:p w14:paraId="00BFCD3E" w14:textId="77777777" w:rsidR="002C4B91" w:rsidRPr="00756B9D" w:rsidRDefault="002C4B91">
      <w:pPr>
        <w:pStyle w:val="Default"/>
        <w:jc w:val="both"/>
        <w:rPr>
          <w:sz w:val="22"/>
          <w:szCs w:val="22"/>
        </w:rPr>
      </w:pPr>
      <w:r w:rsidRPr="00756B9D">
        <w:rPr>
          <w:i/>
          <w:iCs/>
          <w:sz w:val="22"/>
          <w:szCs w:val="22"/>
          <w:lang w:val="sk"/>
        </w:rPr>
        <w:t xml:space="preserve">Starší pacienti </w:t>
      </w:r>
    </w:p>
    <w:p w14:paraId="5931647E" w14:textId="0C519511" w:rsidR="002C4B91" w:rsidRPr="00756B9D" w:rsidRDefault="002C4B91">
      <w:pPr>
        <w:pStyle w:val="Default"/>
        <w:jc w:val="both"/>
        <w:rPr>
          <w:sz w:val="22"/>
          <w:szCs w:val="22"/>
        </w:rPr>
      </w:pPr>
      <w:r w:rsidRPr="00756B9D">
        <w:rPr>
          <w:sz w:val="22"/>
          <w:szCs w:val="22"/>
          <w:lang w:val="sk"/>
        </w:rPr>
        <w:t xml:space="preserve">Údaje o použití 120 mg </w:t>
      </w:r>
      <w:r w:rsidR="008943A1" w:rsidRPr="00756B9D">
        <w:rPr>
          <w:sz w:val="22"/>
          <w:szCs w:val="22"/>
          <w:lang w:val="sk"/>
        </w:rPr>
        <w:t>d</w:t>
      </w:r>
      <w:r w:rsidRPr="00756B9D">
        <w:rPr>
          <w:sz w:val="22"/>
          <w:szCs w:val="22"/>
          <w:lang w:val="sk"/>
        </w:rPr>
        <w:t>uloxet</w:t>
      </w:r>
      <w:r w:rsidR="008943A1" w:rsidRPr="00756B9D">
        <w:rPr>
          <w:sz w:val="22"/>
          <w:szCs w:val="22"/>
          <w:lang w:val="sk"/>
        </w:rPr>
        <w:t>í</w:t>
      </w:r>
      <w:r w:rsidRPr="00756B9D">
        <w:rPr>
          <w:sz w:val="22"/>
          <w:szCs w:val="22"/>
          <w:lang w:val="sk"/>
        </w:rPr>
        <w:t xml:space="preserve">nu u starších pacientov s veľkou depresívnou poruchou a generalizovanou úzkostnou poruchou sú obmedzené. Preto je pri liečbe starších pacientov s maximálnou dávkou potrebná zvýšená opatrnosť (pozri časti 4.2 a 5.2). </w:t>
      </w:r>
    </w:p>
    <w:p w14:paraId="56E90C9E" w14:textId="77777777" w:rsidR="002C4B91" w:rsidRPr="00756B9D" w:rsidRDefault="002C4B91">
      <w:pPr>
        <w:pStyle w:val="Default"/>
        <w:jc w:val="both"/>
        <w:rPr>
          <w:i/>
          <w:iCs/>
          <w:sz w:val="22"/>
          <w:szCs w:val="22"/>
        </w:rPr>
      </w:pPr>
    </w:p>
    <w:p w14:paraId="4595DC58" w14:textId="77777777" w:rsidR="002C4B91" w:rsidRPr="00756B9D" w:rsidRDefault="002C4B91">
      <w:pPr>
        <w:pStyle w:val="Default"/>
        <w:jc w:val="both"/>
        <w:rPr>
          <w:sz w:val="22"/>
          <w:szCs w:val="22"/>
        </w:rPr>
      </w:pPr>
      <w:r w:rsidRPr="00756B9D">
        <w:rPr>
          <w:i/>
          <w:iCs/>
          <w:sz w:val="22"/>
          <w:szCs w:val="22"/>
          <w:lang w:val="sk"/>
        </w:rPr>
        <w:t xml:space="preserve">Akatízia/psychomotorický nepokoj </w:t>
      </w:r>
    </w:p>
    <w:p w14:paraId="2132F8BB" w14:textId="77777777" w:rsidR="002C4B91" w:rsidRPr="00756B9D" w:rsidRDefault="002C4B91">
      <w:pPr>
        <w:pStyle w:val="Default"/>
        <w:jc w:val="both"/>
        <w:rPr>
          <w:sz w:val="22"/>
          <w:szCs w:val="22"/>
        </w:rPr>
      </w:pPr>
      <w:r w:rsidRPr="00756B9D">
        <w:rPr>
          <w:sz w:val="22"/>
          <w:szCs w:val="22"/>
          <w:lang w:val="sk"/>
        </w:rPr>
        <w:t xml:space="preserve">Užívanie duloxetínu je spájané so vznikom akatízie, ktorá sa prejavuje subjektívne nepríjemným alebo trýznivým nepokojom a potrebou pohybovať sa, často sprevádzané neschopnosťou pokojne sedieť alebo stáť. Najväčšia pravdepodobnosť jej výskytu je v priebehu prvých týždňov liečby. Na pacientov, u ktorých sa vyskytnú tieto príznaky, by mohlo mať zvýšenie dávky negatívny dopad. </w:t>
      </w:r>
    </w:p>
    <w:p w14:paraId="3B7CF2D4" w14:textId="77777777" w:rsidR="002C4B91" w:rsidRPr="00756B9D" w:rsidRDefault="002C4B91">
      <w:pPr>
        <w:pStyle w:val="Default"/>
        <w:jc w:val="both"/>
        <w:rPr>
          <w:i/>
          <w:iCs/>
          <w:sz w:val="22"/>
          <w:szCs w:val="22"/>
        </w:rPr>
      </w:pPr>
    </w:p>
    <w:p w14:paraId="437C8123" w14:textId="77777777" w:rsidR="002C4B91" w:rsidRPr="00756B9D" w:rsidRDefault="002C4B91">
      <w:pPr>
        <w:pStyle w:val="Default"/>
        <w:jc w:val="both"/>
        <w:rPr>
          <w:sz w:val="22"/>
          <w:szCs w:val="22"/>
        </w:rPr>
      </w:pPr>
      <w:r w:rsidRPr="00756B9D">
        <w:rPr>
          <w:i/>
          <w:iCs/>
          <w:sz w:val="22"/>
          <w:szCs w:val="22"/>
          <w:lang w:val="sk"/>
        </w:rPr>
        <w:t xml:space="preserve">Lieky obsahujúce duloxetín </w:t>
      </w:r>
    </w:p>
    <w:p w14:paraId="1A72F88E" w14:textId="77777777" w:rsidR="002C4B91" w:rsidRPr="00756B9D" w:rsidRDefault="002C4B91">
      <w:pPr>
        <w:pStyle w:val="Default"/>
        <w:jc w:val="both"/>
        <w:rPr>
          <w:sz w:val="22"/>
          <w:szCs w:val="22"/>
        </w:rPr>
      </w:pPr>
      <w:r w:rsidRPr="00756B9D">
        <w:rPr>
          <w:sz w:val="22"/>
          <w:szCs w:val="22"/>
          <w:lang w:val="sk"/>
        </w:rPr>
        <w:t xml:space="preserve">Duloxetín sa používa pod rôznymi obchodnými názvami vo viacerých indikáciách (liečba diabetickej neuropatickej bolesti, veľkej depresívnej poruchy, generalizovanej úzkostnej poruchy a stresovej inkontinencie moču). Je nutné vyvarovať sa používania viac ako jedného z týchto produktov súčasne. </w:t>
      </w:r>
    </w:p>
    <w:p w14:paraId="47B61516" w14:textId="77777777" w:rsidR="002C4B91" w:rsidRPr="00756B9D" w:rsidRDefault="002C4B91">
      <w:pPr>
        <w:pStyle w:val="Default"/>
        <w:jc w:val="both"/>
        <w:rPr>
          <w:i/>
          <w:iCs/>
          <w:sz w:val="22"/>
          <w:szCs w:val="22"/>
        </w:rPr>
      </w:pPr>
    </w:p>
    <w:p w14:paraId="2F53BAFE" w14:textId="77777777" w:rsidR="002C4B91" w:rsidRPr="00756B9D" w:rsidRDefault="002C4B91">
      <w:pPr>
        <w:pStyle w:val="Default"/>
        <w:jc w:val="both"/>
        <w:rPr>
          <w:sz w:val="22"/>
          <w:szCs w:val="22"/>
        </w:rPr>
      </w:pPr>
      <w:r w:rsidRPr="00756B9D">
        <w:rPr>
          <w:i/>
          <w:iCs/>
          <w:sz w:val="22"/>
          <w:szCs w:val="22"/>
          <w:lang w:val="sk"/>
        </w:rPr>
        <w:lastRenderedPageBreak/>
        <w:t xml:space="preserve">Hepatitída/zvýšené hepatálne enzýmy </w:t>
      </w:r>
    </w:p>
    <w:p w14:paraId="3A397F7C" w14:textId="77777777" w:rsidR="002C4B91" w:rsidRPr="00756B9D" w:rsidRDefault="002C4B91">
      <w:pPr>
        <w:pStyle w:val="Default"/>
        <w:jc w:val="both"/>
        <w:rPr>
          <w:sz w:val="22"/>
          <w:szCs w:val="22"/>
        </w:rPr>
      </w:pPr>
      <w:r w:rsidRPr="00756B9D">
        <w:rPr>
          <w:sz w:val="22"/>
          <w:szCs w:val="22"/>
          <w:lang w:val="sk"/>
        </w:rPr>
        <w:t xml:space="preserve">Pri podávaní duloxetínu boli hlásené prípady poškodenia pečene, vrátane závažných nárastov hladín hepatálnych enzýmov (&gt;10 násobok hornej hranice normy), hepatitídy a žltačky (pozri časť 4.8). Väčšina z nich sa objavila počas prvých mesiacov liečby. Charakter poškodenia pečene bol prevažne hepatocelulárny. Duloxetín sa má užívať s opatrnosťou u pacientov liečených inými liekmi, ktoré sú spájané s poškodením pečene. </w:t>
      </w:r>
    </w:p>
    <w:p w14:paraId="4ADC9063" w14:textId="77777777" w:rsidR="002C4B91" w:rsidRPr="00756B9D" w:rsidRDefault="002C4B91">
      <w:pPr>
        <w:pStyle w:val="Default"/>
        <w:jc w:val="both"/>
        <w:rPr>
          <w:i/>
          <w:iCs/>
          <w:sz w:val="22"/>
          <w:szCs w:val="22"/>
        </w:rPr>
      </w:pPr>
    </w:p>
    <w:p w14:paraId="0A9C05BA" w14:textId="77777777" w:rsidR="002C4B91" w:rsidRPr="00756B9D" w:rsidRDefault="002C4B91">
      <w:pPr>
        <w:pStyle w:val="Default"/>
        <w:jc w:val="both"/>
        <w:rPr>
          <w:sz w:val="22"/>
          <w:szCs w:val="22"/>
        </w:rPr>
      </w:pPr>
      <w:r w:rsidRPr="00756B9D">
        <w:rPr>
          <w:i/>
          <w:iCs/>
          <w:sz w:val="22"/>
          <w:szCs w:val="22"/>
          <w:lang w:val="sk"/>
        </w:rPr>
        <w:t xml:space="preserve">Sacharóza </w:t>
      </w:r>
    </w:p>
    <w:p w14:paraId="1E94694B" w14:textId="6789F4B5" w:rsidR="00003978" w:rsidRPr="00756B9D" w:rsidRDefault="0044604D">
      <w:pPr>
        <w:pStyle w:val="Default"/>
        <w:jc w:val="both"/>
        <w:rPr>
          <w:color w:val="auto"/>
          <w:sz w:val="22"/>
          <w:szCs w:val="22"/>
        </w:rPr>
      </w:pPr>
      <w:r w:rsidRPr="00756B9D">
        <w:rPr>
          <w:sz w:val="22"/>
          <w:szCs w:val="22"/>
          <w:lang w:val="sk"/>
        </w:rPr>
        <w:t xml:space="preserve">Tvrdé gastrorezistentné kapsuly </w:t>
      </w:r>
      <w:r w:rsidR="001A3B94">
        <w:rPr>
          <w:sz w:val="22"/>
          <w:szCs w:val="22"/>
          <w:lang w:val="sk"/>
        </w:rPr>
        <w:t>Dulxetenon</w:t>
      </w:r>
      <w:r w:rsidR="008943A1" w:rsidRPr="00756B9D">
        <w:rPr>
          <w:sz w:val="22"/>
          <w:szCs w:val="22"/>
          <w:lang w:val="sk"/>
        </w:rPr>
        <w:t xml:space="preserve"> </w:t>
      </w:r>
      <w:r w:rsidRPr="00756B9D">
        <w:rPr>
          <w:sz w:val="22"/>
          <w:szCs w:val="22"/>
          <w:lang w:val="sk"/>
        </w:rPr>
        <w:t>obsahujú sacharózu. Pacienti so zriedkav</w:t>
      </w:r>
      <w:r w:rsidR="00C20B97" w:rsidRPr="00756B9D">
        <w:rPr>
          <w:sz w:val="22"/>
          <w:szCs w:val="22"/>
          <w:lang w:val="sk"/>
        </w:rPr>
        <w:t>ými</w:t>
      </w:r>
      <w:r w:rsidRPr="00756B9D">
        <w:rPr>
          <w:sz w:val="22"/>
          <w:szCs w:val="22"/>
          <w:lang w:val="sk"/>
        </w:rPr>
        <w:t xml:space="preserve"> </w:t>
      </w:r>
      <w:r w:rsidR="00C20B97" w:rsidRPr="00756B9D">
        <w:rPr>
          <w:sz w:val="22"/>
          <w:szCs w:val="22"/>
          <w:lang w:val="sk"/>
        </w:rPr>
        <w:t>dedičnými problémami</w:t>
      </w:r>
      <w:r w:rsidRPr="00756B9D">
        <w:rPr>
          <w:sz w:val="22"/>
          <w:szCs w:val="22"/>
          <w:lang w:val="sk"/>
        </w:rPr>
        <w:t xml:space="preserve"> intoleranci</w:t>
      </w:r>
      <w:r w:rsidR="00C20B97" w:rsidRPr="00756B9D">
        <w:rPr>
          <w:sz w:val="22"/>
          <w:szCs w:val="22"/>
          <w:lang w:val="sk"/>
        </w:rPr>
        <w:t>e</w:t>
      </w:r>
      <w:r w:rsidRPr="00756B9D">
        <w:rPr>
          <w:sz w:val="22"/>
          <w:szCs w:val="22"/>
          <w:lang w:val="sk"/>
        </w:rPr>
        <w:t xml:space="preserve"> fruktózy,</w:t>
      </w:r>
      <w:r w:rsidR="00C20B97" w:rsidRPr="00756B9D">
        <w:rPr>
          <w:sz w:val="22"/>
          <w:szCs w:val="22"/>
          <w:lang w:val="sk"/>
        </w:rPr>
        <w:t xml:space="preserve"> </w:t>
      </w:r>
      <w:r w:rsidRPr="00756B9D">
        <w:rPr>
          <w:sz w:val="22"/>
          <w:szCs w:val="22"/>
          <w:lang w:val="sk"/>
        </w:rPr>
        <w:t>glukóz</w:t>
      </w:r>
      <w:r w:rsidR="00C20B97" w:rsidRPr="00756B9D">
        <w:rPr>
          <w:sz w:val="22"/>
          <w:szCs w:val="22"/>
          <w:lang w:val="sk"/>
        </w:rPr>
        <w:t>o</w:t>
      </w:r>
      <w:r w:rsidRPr="00756B9D">
        <w:rPr>
          <w:sz w:val="22"/>
          <w:szCs w:val="22"/>
          <w:lang w:val="sk"/>
        </w:rPr>
        <w:t>-galaktóz</w:t>
      </w:r>
      <w:r w:rsidR="00C20B97" w:rsidRPr="00756B9D">
        <w:rPr>
          <w:sz w:val="22"/>
          <w:szCs w:val="22"/>
          <w:lang w:val="sk"/>
        </w:rPr>
        <w:t>ovej malabsorpcie</w:t>
      </w:r>
      <w:r w:rsidRPr="00756B9D">
        <w:rPr>
          <w:sz w:val="22"/>
          <w:szCs w:val="22"/>
          <w:lang w:val="sk"/>
        </w:rPr>
        <w:t xml:space="preserve"> </w:t>
      </w:r>
      <w:r w:rsidR="00C20B97" w:rsidRPr="00756B9D">
        <w:rPr>
          <w:sz w:val="22"/>
          <w:szCs w:val="22"/>
          <w:lang w:val="sk"/>
        </w:rPr>
        <w:t>alebo</w:t>
      </w:r>
      <w:r w:rsidRPr="00756B9D">
        <w:rPr>
          <w:sz w:val="22"/>
          <w:szCs w:val="22"/>
          <w:lang w:val="sk"/>
        </w:rPr>
        <w:t xml:space="preserve"> </w:t>
      </w:r>
      <w:r w:rsidR="00C20B97" w:rsidRPr="00756B9D">
        <w:rPr>
          <w:sz w:val="22"/>
          <w:szCs w:val="22"/>
          <w:lang w:val="sk"/>
        </w:rPr>
        <w:t>deficitu</w:t>
      </w:r>
      <w:r w:rsidRPr="00756B9D">
        <w:rPr>
          <w:sz w:val="22"/>
          <w:szCs w:val="22"/>
          <w:lang w:val="sk"/>
        </w:rPr>
        <w:t xml:space="preserve"> sacharázy</w:t>
      </w:r>
      <w:r w:rsidR="00C20B97" w:rsidRPr="00756B9D">
        <w:rPr>
          <w:sz w:val="22"/>
          <w:szCs w:val="22"/>
          <w:lang w:val="sk"/>
        </w:rPr>
        <w:t xml:space="preserve"> a </w:t>
      </w:r>
      <w:r w:rsidRPr="00756B9D">
        <w:rPr>
          <w:sz w:val="22"/>
          <w:szCs w:val="22"/>
          <w:lang w:val="sk"/>
        </w:rPr>
        <w:t xml:space="preserve">izomaltázy </w:t>
      </w:r>
      <w:r w:rsidR="00C20B97" w:rsidRPr="00756B9D">
        <w:rPr>
          <w:sz w:val="22"/>
          <w:szCs w:val="22"/>
          <w:lang w:val="sk"/>
        </w:rPr>
        <w:t>nesmú</w:t>
      </w:r>
      <w:r w:rsidRPr="00756B9D">
        <w:rPr>
          <w:sz w:val="22"/>
          <w:szCs w:val="22"/>
          <w:lang w:val="sk"/>
        </w:rPr>
        <w:t xml:space="preserve"> </w:t>
      </w:r>
      <w:r w:rsidR="00C20B97" w:rsidRPr="00756B9D">
        <w:rPr>
          <w:sz w:val="22"/>
          <w:szCs w:val="22"/>
          <w:lang w:val="sk"/>
        </w:rPr>
        <w:t xml:space="preserve">užívať </w:t>
      </w:r>
      <w:r w:rsidRPr="00756B9D">
        <w:rPr>
          <w:sz w:val="22"/>
          <w:szCs w:val="22"/>
          <w:lang w:val="sk"/>
        </w:rPr>
        <w:t>tento liek.</w:t>
      </w:r>
      <w:r w:rsidRPr="00756B9D">
        <w:rPr>
          <w:color w:val="auto"/>
          <w:sz w:val="22"/>
          <w:szCs w:val="22"/>
          <w:lang w:val="sk"/>
        </w:rPr>
        <w:t xml:space="preserve"> </w:t>
      </w:r>
    </w:p>
    <w:p w14:paraId="3E9828FB" w14:textId="77777777" w:rsidR="002C4B91" w:rsidRPr="00756B9D" w:rsidRDefault="002C4B91">
      <w:pPr>
        <w:pStyle w:val="Default"/>
        <w:jc w:val="both"/>
        <w:rPr>
          <w:color w:val="auto"/>
          <w:sz w:val="22"/>
          <w:szCs w:val="22"/>
        </w:rPr>
      </w:pPr>
    </w:p>
    <w:p w14:paraId="6E68EAA4" w14:textId="0FFEF83D" w:rsidR="002C4B91" w:rsidRPr="00756B9D" w:rsidRDefault="002C4B91" w:rsidP="00756B9D">
      <w:pPr>
        <w:pStyle w:val="Default"/>
        <w:numPr>
          <w:ilvl w:val="1"/>
          <w:numId w:val="2"/>
        </w:numPr>
        <w:ind w:left="567" w:hanging="567"/>
        <w:jc w:val="both"/>
        <w:rPr>
          <w:sz w:val="22"/>
          <w:szCs w:val="22"/>
        </w:rPr>
      </w:pPr>
      <w:r w:rsidRPr="00756B9D">
        <w:rPr>
          <w:b/>
          <w:bCs/>
          <w:sz w:val="22"/>
          <w:szCs w:val="22"/>
          <w:lang w:val="sk"/>
        </w:rPr>
        <w:t xml:space="preserve">Liekové a iné interakcie </w:t>
      </w:r>
    </w:p>
    <w:p w14:paraId="49FE7E07" w14:textId="77777777" w:rsidR="002C4B91" w:rsidRPr="00756B9D" w:rsidRDefault="002C4B91">
      <w:pPr>
        <w:pStyle w:val="Default"/>
        <w:jc w:val="both"/>
        <w:rPr>
          <w:i/>
          <w:iCs/>
          <w:sz w:val="22"/>
          <w:szCs w:val="22"/>
        </w:rPr>
      </w:pPr>
    </w:p>
    <w:p w14:paraId="4335B479" w14:textId="50848536" w:rsidR="002C4B91" w:rsidRPr="00756B9D" w:rsidRDefault="002C4B91">
      <w:pPr>
        <w:pStyle w:val="Default"/>
        <w:jc w:val="both"/>
        <w:rPr>
          <w:sz w:val="22"/>
          <w:szCs w:val="22"/>
        </w:rPr>
      </w:pPr>
      <w:r w:rsidRPr="00756B9D">
        <w:rPr>
          <w:i/>
          <w:iCs/>
          <w:sz w:val="22"/>
          <w:szCs w:val="22"/>
          <w:lang w:val="sk"/>
        </w:rPr>
        <w:t>Inhibítory monoaminooxidázy (IMAO)</w:t>
      </w:r>
      <w:r w:rsidRPr="00756B9D">
        <w:rPr>
          <w:sz w:val="22"/>
          <w:szCs w:val="22"/>
          <w:lang w:val="sk"/>
        </w:rPr>
        <w:t>:</w:t>
      </w:r>
      <w:r w:rsidRPr="00756B9D">
        <w:rPr>
          <w:i/>
          <w:iCs/>
          <w:sz w:val="22"/>
          <w:szCs w:val="22"/>
          <w:lang w:val="sk"/>
        </w:rPr>
        <w:t xml:space="preserve"> </w:t>
      </w:r>
      <w:r w:rsidRPr="00756B9D">
        <w:rPr>
          <w:sz w:val="22"/>
          <w:szCs w:val="22"/>
          <w:lang w:val="sk"/>
        </w:rPr>
        <w:t xml:space="preserve">z dôvodu rizika vzniku sérotonínového syndrómu sa duloxetín nemá používať v kombinácii s neselektívnymi ireverzibilnými inhibítormi monoaminooxidázy (IMAO) alebo minimálne 14 dní od ukončenia liečby IMAO. Vychádzajúc z biologického polčasu duloxetínu, liečbu s IMAO je možné začať najskôr 5 dní po vysadení </w:t>
      </w:r>
      <w:r w:rsidR="0060652F" w:rsidRPr="00756B9D">
        <w:rPr>
          <w:sz w:val="22"/>
          <w:szCs w:val="22"/>
          <w:lang w:val="sk"/>
        </w:rPr>
        <w:t>d</w:t>
      </w:r>
      <w:r w:rsidRPr="00756B9D">
        <w:rPr>
          <w:sz w:val="22"/>
          <w:szCs w:val="22"/>
          <w:lang w:val="sk"/>
        </w:rPr>
        <w:t>uloxet</w:t>
      </w:r>
      <w:r w:rsidR="0060652F" w:rsidRPr="00756B9D">
        <w:rPr>
          <w:sz w:val="22"/>
          <w:szCs w:val="22"/>
          <w:lang w:val="sk"/>
        </w:rPr>
        <w:t>í</w:t>
      </w:r>
      <w:r w:rsidRPr="00756B9D">
        <w:rPr>
          <w:sz w:val="22"/>
          <w:szCs w:val="22"/>
          <w:lang w:val="sk"/>
        </w:rPr>
        <w:t xml:space="preserve">nu (pozri časť 4.3). </w:t>
      </w:r>
    </w:p>
    <w:p w14:paraId="7E596F4D" w14:textId="77777777" w:rsidR="002C4B91" w:rsidRPr="00756B9D" w:rsidRDefault="002C4B91">
      <w:pPr>
        <w:pStyle w:val="Default"/>
        <w:jc w:val="both"/>
        <w:rPr>
          <w:sz w:val="22"/>
          <w:szCs w:val="22"/>
        </w:rPr>
      </w:pPr>
    </w:p>
    <w:p w14:paraId="480FEC03" w14:textId="270CC49D" w:rsidR="002C4B91" w:rsidRPr="00756B9D" w:rsidRDefault="002C4B91">
      <w:pPr>
        <w:pStyle w:val="Default"/>
        <w:jc w:val="both"/>
        <w:rPr>
          <w:sz w:val="22"/>
          <w:szCs w:val="22"/>
        </w:rPr>
      </w:pPr>
      <w:r w:rsidRPr="00756B9D">
        <w:rPr>
          <w:sz w:val="22"/>
          <w:szCs w:val="22"/>
          <w:lang w:val="sk"/>
        </w:rPr>
        <w:t xml:space="preserve">Súčasné užívanie </w:t>
      </w:r>
      <w:r w:rsidR="0060652F" w:rsidRPr="00756B9D">
        <w:rPr>
          <w:sz w:val="22"/>
          <w:szCs w:val="22"/>
          <w:lang w:val="sk"/>
        </w:rPr>
        <w:t>d</w:t>
      </w:r>
      <w:r w:rsidRPr="00756B9D">
        <w:rPr>
          <w:sz w:val="22"/>
          <w:szCs w:val="22"/>
          <w:lang w:val="sk"/>
        </w:rPr>
        <w:t>uloxet</w:t>
      </w:r>
      <w:r w:rsidR="0060652F" w:rsidRPr="00756B9D">
        <w:rPr>
          <w:sz w:val="22"/>
          <w:szCs w:val="22"/>
          <w:lang w:val="sk"/>
        </w:rPr>
        <w:t>í</w:t>
      </w:r>
      <w:r w:rsidRPr="00756B9D">
        <w:rPr>
          <w:sz w:val="22"/>
          <w:szCs w:val="22"/>
          <w:lang w:val="sk"/>
        </w:rPr>
        <w:t xml:space="preserve">nu so selektívnymi reverzibilnými IMAO, ako je moklobemid, sa neodporúča (pozri časť 4.4). Antibiotikum linezolid je reverzibilným neselektívnym IMAO a nemá sa podávať pacientom užívajúcim </w:t>
      </w:r>
      <w:r w:rsidR="0060652F" w:rsidRPr="00756B9D">
        <w:rPr>
          <w:sz w:val="22"/>
          <w:szCs w:val="22"/>
          <w:lang w:val="sk"/>
        </w:rPr>
        <w:t>d</w:t>
      </w:r>
      <w:r w:rsidRPr="00756B9D">
        <w:rPr>
          <w:sz w:val="22"/>
          <w:szCs w:val="22"/>
          <w:lang w:val="sk"/>
        </w:rPr>
        <w:t>uloxet</w:t>
      </w:r>
      <w:r w:rsidR="0060652F" w:rsidRPr="00756B9D">
        <w:rPr>
          <w:sz w:val="22"/>
          <w:szCs w:val="22"/>
          <w:lang w:val="sk"/>
        </w:rPr>
        <w:t>í</w:t>
      </w:r>
      <w:r w:rsidRPr="00756B9D">
        <w:rPr>
          <w:sz w:val="22"/>
          <w:szCs w:val="22"/>
          <w:lang w:val="sk"/>
        </w:rPr>
        <w:t xml:space="preserve">n (pozri časť 4.4). </w:t>
      </w:r>
    </w:p>
    <w:p w14:paraId="25DDFF7D" w14:textId="77777777" w:rsidR="002C4B91" w:rsidRPr="00756B9D" w:rsidRDefault="002C4B91">
      <w:pPr>
        <w:pStyle w:val="Default"/>
        <w:jc w:val="both"/>
        <w:rPr>
          <w:i/>
          <w:iCs/>
          <w:sz w:val="22"/>
          <w:szCs w:val="22"/>
        </w:rPr>
      </w:pPr>
    </w:p>
    <w:p w14:paraId="509F346D" w14:textId="2B123895" w:rsidR="002C4B91" w:rsidRPr="00756B9D" w:rsidRDefault="002C4B91">
      <w:pPr>
        <w:pStyle w:val="Default"/>
        <w:jc w:val="both"/>
        <w:rPr>
          <w:sz w:val="22"/>
          <w:szCs w:val="22"/>
        </w:rPr>
      </w:pPr>
      <w:r w:rsidRPr="00756B9D">
        <w:rPr>
          <w:i/>
          <w:iCs/>
          <w:sz w:val="22"/>
          <w:szCs w:val="22"/>
          <w:lang w:val="sk"/>
        </w:rPr>
        <w:t>Inhibítory CYP1A2</w:t>
      </w:r>
      <w:r w:rsidRPr="00756B9D">
        <w:rPr>
          <w:sz w:val="22"/>
          <w:szCs w:val="22"/>
          <w:lang w:val="sk"/>
        </w:rPr>
        <w:t>:</w:t>
      </w:r>
      <w:r w:rsidRPr="00756B9D">
        <w:rPr>
          <w:i/>
          <w:iCs/>
          <w:sz w:val="22"/>
          <w:szCs w:val="22"/>
          <w:lang w:val="sk"/>
        </w:rPr>
        <w:t xml:space="preserve"> </w:t>
      </w:r>
      <w:r w:rsidRPr="00756B9D">
        <w:rPr>
          <w:sz w:val="22"/>
          <w:szCs w:val="22"/>
          <w:lang w:val="sk"/>
        </w:rPr>
        <w:t>keďže CYP1A2 sa zúčastňuje na metabolizme duloxetínu, súčasné užívanie duloxetínu spolu so silnými inhibítormi CYP1A2 pravdepodobne vedie k zvýšenej koncentrácii duloxetínu. Fluvoxamín (100 mg raz denne) ako silný inhibítor CYP1A2, znížil zdanlivý plazmatický klírens duloxetínu o približne 77 %, pričom 6-násobne vzrástla AUC</w:t>
      </w:r>
      <w:r w:rsidRPr="00756B9D">
        <w:rPr>
          <w:sz w:val="22"/>
          <w:szCs w:val="22"/>
          <w:vertAlign w:val="subscript"/>
          <w:lang w:val="sk"/>
        </w:rPr>
        <w:t>o-t</w:t>
      </w:r>
      <w:r w:rsidRPr="00756B9D">
        <w:rPr>
          <w:sz w:val="22"/>
          <w:szCs w:val="22"/>
          <w:lang w:val="sk"/>
        </w:rPr>
        <w:t>. Duloxet</w:t>
      </w:r>
      <w:r w:rsidR="0060652F" w:rsidRPr="00756B9D">
        <w:rPr>
          <w:sz w:val="22"/>
          <w:szCs w:val="22"/>
          <w:lang w:val="sk"/>
        </w:rPr>
        <w:t>í</w:t>
      </w:r>
      <w:r w:rsidRPr="00756B9D">
        <w:rPr>
          <w:sz w:val="22"/>
          <w:szCs w:val="22"/>
          <w:lang w:val="sk"/>
        </w:rPr>
        <w:t xml:space="preserve">n sa preto nemá podávať v kombinácii so silnými inhibítormi CYP1A2 typu fluvoxamínu (pozri časť 4.3). </w:t>
      </w:r>
    </w:p>
    <w:p w14:paraId="06AB2785" w14:textId="77777777" w:rsidR="002C4B91" w:rsidRPr="00756B9D" w:rsidRDefault="002C4B91">
      <w:pPr>
        <w:pStyle w:val="Default"/>
        <w:jc w:val="both"/>
        <w:rPr>
          <w:i/>
          <w:iCs/>
          <w:color w:val="auto"/>
          <w:sz w:val="22"/>
          <w:szCs w:val="22"/>
        </w:rPr>
      </w:pPr>
    </w:p>
    <w:p w14:paraId="6F17DEB3" w14:textId="374E2651" w:rsidR="002C4B91" w:rsidRPr="00756B9D" w:rsidRDefault="002C4B91">
      <w:pPr>
        <w:pStyle w:val="Default"/>
        <w:jc w:val="both"/>
        <w:rPr>
          <w:color w:val="auto"/>
          <w:sz w:val="22"/>
          <w:szCs w:val="22"/>
        </w:rPr>
      </w:pPr>
      <w:r w:rsidRPr="00756B9D">
        <w:rPr>
          <w:i/>
          <w:iCs/>
          <w:color w:val="auto"/>
          <w:sz w:val="22"/>
          <w:szCs w:val="22"/>
          <w:lang w:val="sk"/>
        </w:rPr>
        <w:t>Liečivá pre centrálny nervový systém</w:t>
      </w:r>
      <w:r w:rsidRPr="00756B9D">
        <w:rPr>
          <w:color w:val="auto"/>
          <w:sz w:val="22"/>
          <w:szCs w:val="22"/>
          <w:lang w:val="sk"/>
        </w:rPr>
        <w:t xml:space="preserve">: riziko užívania duloxetínu v kombinácii s inými liekmi s vplyvom na CNS nebolo systematicky hodnotené, okrem prípadov opísaných v tejto časti. V dôsledku toho sa pri užívaní </w:t>
      </w:r>
      <w:r w:rsidR="0060652F" w:rsidRPr="00756B9D">
        <w:rPr>
          <w:color w:val="auto"/>
          <w:sz w:val="22"/>
          <w:szCs w:val="22"/>
          <w:lang w:val="sk"/>
        </w:rPr>
        <w:t>d</w:t>
      </w:r>
      <w:r w:rsidRPr="00756B9D">
        <w:rPr>
          <w:color w:val="auto"/>
          <w:sz w:val="22"/>
          <w:szCs w:val="22"/>
          <w:lang w:val="sk"/>
        </w:rPr>
        <w:t>uloxet</w:t>
      </w:r>
      <w:r w:rsidR="0060652F" w:rsidRPr="00756B9D">
        <w:rPr>
          <w:color w:val="auto"/>
          <w:sz w:val="22"/>
          <w:szCs w:val="22"/>
          <w:lang w:val="sk"/>
        </w:rPr>
        <w:t>í</w:t>
      </w:r>
      <w:r w:rsidRPr="00756B9D">
        <w:rPr>
          <w:color w:val="auto"/>
          <w:sz w:val="22"/>
          <w:szCs w:val="22"/>
          <w:lang w:val="sk"/>
        </w:rPr>
        <w:t>nu v kombinácii s inými centrálne pôsobiacimi liekmi alebo látkami, vrátane alkoholu a liekov so sedatívnym účinkom (napr. benzodiazepíny, morfínomimetiká, antipsychotiká, fenobarbital, sedatívne antihistaminiká) odporúča postupovať s opatrnosťou.</w:t>
      </w:r>
    </w:p>
    <w:p w14:paraId="01C75A83" w14:textId="77777777" w:rsidR="002C4B91" w:rsidRPr="00756B9D" w:rsidRDefault="002C4B91">
      <w:pPr>
        <w:pStyle w:val="Default"/>
        <w:jc w:val="both"/>
        <w:rPr>
          <w:color w:val="auto"/>
          <w:sz w:val="22"/>
          <w:szCs w:val="22"/>
        </w:rPr>
      </w:pPr>
    </w:p>
    <w:p w14:paraId="57E81334" w14:textId="243980DB" w:rsidR="002C4B91" w:rsidRPr="00756B9D" w:rsidRDefault="002C4B91">
      <w:pPr>
        <w:pStyle w:val="Default"/>
        <w:jc w:val="both"/>
        <w:rPr>
          <w:sz w:val="22"/>
          <w:szCs w:val="22"/>
        </w:rPr>
      </w:pPr>
      <w:r w:rsidRPr="00756B9D">
        <w:rPr>
          <w:i/>
          <w:iCs/>
          <w:sz w:val="22"/>
          <w:szCs w:val="22"/>
          <w:lang w:val="sk"/>
        </w:rPr>
        <w:t>Sérotonínové látky</w:t>
      </w:r>
      <w:r w:rsidRPr="00756B9D">
        <w:rPr>
          <w:sz w:val="22"/>
          <w:szCs w:val="22"/>
          <w:lang w:val="sk"/>
        </w:rPr>
        <w:t>:</w:t>
      </w:r>
      <w:r w:rsidRPr="00756B9D">
        <w:rPr>
          <w:i/>
          <w:iCs/>
          <w:sz w:val="22"/>
          <w:szCs w:val="22"/>
          <w:lang w:val="sk"/>
        </w:rPr>
        <w:t xml:space="preserve"> </w:t>
      </w:r>
      <w:r w:rsidRPr="00756B9D">
        <w:rPr>
          <w:sz w:val="22"/>
          <w:szCs w:val="22"/>
          <w:lang w:val="sk"/>
        </w:rPr>
        <w:t xml:space="preserve">sérotonínový syndróm bol v zriedkavých prípadoch zaznamenaný u pacientov, ktorí užívali selektívne inhibítory spätného vychytávania sérotonínu (SSRI/SNRI) spolu s látkami, ktoré majú sérotonergické účinky. Opatrnosť sa odporúča v prípade, ak sa </w:t>
      </w:r>
      <w:r w:rsidR="0060652F" w:rsidRPr="00756B9D">
        <w:rPr>
          <w:sz w:val="22"/>
          <w:szCs w:val="22"/>
          <w:lang w:val="sk"/>
        </w:rPr>
        <w:t>d</w:t>
      </w:r>
      <w:r w:rsidRPr="00756B9D">
        <w:rPr>
          <w:sz w:val="22"/>
          <w:szCs w:val="22"/>
          <w:lang w:val="sk"/>
        </w:rPr>
        <w:t>uloxet</w:t>
      </w:r>
      <w:r w:rsidR="0060652F" w:rsidRPr="00756B9D">
        <w:rPr>
          <w:sz w:val="22"/>
          <w:szCs w:val="22"/>
          <w:lang w:val="sk"/>
        </w:rPr>
        <w:t>í</w:t>
      </w:r>
      <w:r w:rsidRPr="00756B9D">
        <w:rPr>
          <w:sz w:val="22"/>
          <w:szCs w:val="22"/>
          <w:lang w:val="sk"/>
        </w:rPr>
        <w:t xml:space="preserve">n užíva súčasne so sérotonergickými látkami akými sú SSRI, SNRI a tricyklické antidepresíva ako klomipramín alebo amitriptylín, IMAO, akými sú moklobemid alebo linezolid, s ľubovníkom bodkovaným (Hypericum perforatum) či triptánmi, tramadolom, petidínom a tryptofánom (pozri časť 4.4). </w:t>
      </w:r>
    </w:p>
    <w:p w14:paraId="7D3593E5" w14:textId="77777777" w:rsidR="002C4B91" w:rsidRPr="00756B9D" w:rsidRDefault="002C4B91">
      <w:pPr>
        <w:pStyle w:val="Default"/>
        <w:jc w:val="both"/>
        <w:rPr>
          <w:i/>
          <w:iCs/>
          <w:sz w:val="22"/>
          <w:szCs w:val="22"/>
        </w:rPr>
      </w:pPr>
    </w:p>
    <w:p w14:paraId="0B77BF84" w14:textId="77777777" w:rsidR="002C4B91" w:rsidRPr="00756B9D" w:rsidRDefault="002C4B91">
      <w:pPr>
        <w:pStyle w:val="Default"/>
        <w:jc w:val="both"/>
        <w:rPr>
          <w:sz w:val="22"/>
          <w:szCs w:val="22"/>
        </w:rPr>
      </w:pPr>
      <w:r w:rsidRPr="00756B9D">
        <w:rPr>
          <w:i/>
          <w:iCs/>
          <w:sz w:val="22"/>
          <w:szCs w:val="22"/>
          <w:lang w:val="sk"/>
        </w:rPr>
        <w:t xml:space="preserve">Účinok duloxetínu na iné lieky </w:t>
      </w:r>
    </w:p>
    <w:p w14:paraId="0BFAE03B" w14:textId="77777777" w:rsidR="002C4B91" w:rsidRPr="00756B9D" w:rsidRDefault="002C4B91">
      <w:pPr>
        <w:pStyle w:val="Default"/>
        <w:jc w:val="both"/>
        <w:rPr>
          <w:sz w:val="22"/>
          <w:szCs w:val="22"/>
        </w:rPr>
      </w:pPr>
      <w:r w:rsidRPr="00756B9D">
        <w:rPr>
          <w:i/>
          <w:iCs/>
          <w:sz w:val="22"/>
          <w:szCs w:val="22"/>
          <w:lang w:val="sk"/>
        </w:rPr>
        <w:t>Lieky metabolizované CYP1A2</w:t>
      </w:r>
      <w:r w:rsidRPr="00756B9D">
        <w:rPr>
          <w:sz w:val="22"/>
          <w:szCs w:val="22"/>
          <w:lang w:val="sk"/>
        </w:rPr>
        <w:t>:</w:t>
      </w:r>
      <w:r w:rsidRPr="00756B9D">
        <w:rPr>
          <w:i/>
          <w:iCs/>
          <w:sz w:val="22"/>
          <w:szCs w:val="22"/>
          <w:lang w:val="sk"/>
        </w:rPr>
        <w:t xml:space="preserve"> </w:t>
      </w:r>
      <w:r w:rsidRPr="00756B9D">
        <w:rPr>
          <w:sz w:val="22"/>
          <w:szCs w:val="22"/>
          <w:lang w:val="sk"/>
        </w:rPr>
        <w:t xml:space="preserve">súčasné podávanie duloxetínu (60 mg dvakrát denne) nemalo významný vplyv na farmakokinetiku teofylínu, ktorý je substrátom CYP1A2. </w:t>
      </w:r>
    </w:p>
    <w:p w14:paraId="3278F088" w14:textId="77777777" w:rsidR="002C4B91" w:rsidRPr="00756B9D" w:rsidRDefault="002C4B91">
      <w:pPr>
        <w:pStyle w:val="Default"/>
        <w:jc w:val="both"/>
        <w:rPr>
          <w:i/>
          <w:iCs/>
          <w:sz w:val="22"/>
          <w:szCs w:val="22"/>
        </w:rPr>
      </w:pPr>
    </w:p>
    <w:p w14:paraId="64B0549D" w14:textId="77777777" w:rsidR="002B113E" w:rsidRPr="00756B9D" w:rsidRDefault="002C4B91">
      <w:pPr>
        <w:pStyle w:val="Default"/>
        <w:jc w:val="both"/>
        <w:rPr>
          <w:sz w:val="22"/>
          <w:szCs w:val="22"/>
        </w:rPr>
      </w:pPr>
      <w:r w:rsidRPr="00756B9D">
        <w:rPr>
          <w:i/>
          <w:iCs/>
          <w:sz w:val="22"/>
          <w:szCs w:val="22"/>
          <w:lang w:val="sk"/>
        </w:rPr>
        <w:t>Lieky metabolizované CYP2D6</w:t>
      </w:r>
      <w:r w:rsidRPr="00756B9D">
        <w:rPr>
          <w:sz w:val="22"/>
          <w:szCs w:val="22"/>
          <w:lang w:val="sk"/>
        </w:rPr>
        <w:t>:</w:t>
      </w:r>
      <w:r w:rsidRPr="00756B9D">
        <w:rPr>
          <w:i/>
          <w:iCs/>
          <w:sz w:val="22"/>
          <w:szCs w:val="22"/>
          <w:lang w:val="sk"/>
        </w:rPr>
        <w:t xml:space="preserve"> </w:t>
      </w:r>
      <w:r w:rsidRPr="00756B9D">
        <w:rPr>
          <w:sz w:val="22"/>
          <w:szCs w:val="22"/>
          <w:lang w:val="sk"/>
        </w:rPr>
        <w:t>duloxetín je mierny inhibítor CYP2D6. Keď sa duloxetín v dávke 60 mg dvakrát denne podal súčasne s jednorazovou dávkou dezipramínu (substrát CYP2D6), AUC dezipramínu sa trojnásobne zvýšila. Súčasné podávanie duloxetínu (40 mg dvakrát denne) zvyšuje AUC tolterodínu (2 mg dvakrát denne) v rovnovážnom stave o 71%, nijako však neovplyvnilo farmakokinetiku jeho aktívneho 5-hydroxy metabolitu; úprava dávkovania sa neodporúča.</w:t>
      </w:r>
    </w:p>
    <w:p w14:paraId="5BAB089D" w14:textId="77777777" w:rsidR="008466EA" w:rsidRPr="00756B9D" w:rsidRDefault="008466EA">
      <w:pPr>
        <w:pStyle w:val="Default"/>
        <w:jc w:val="both"/>
        <w:rPr>
          <w:sz w:val="22"/>
          <w:szCs w:val="22"/>
        </w:rPr>
      </w:pPr>
    </w:p>
    <w:p w14:paraId="4B76595C" w14:textId="13EA9184" w:rsidR="002C4B91" w:rsidRPr="00756B9D" w:rsidRDefault="002C4B91">
      <w:pPr>
        <w:pStyle w:val="Default"/>
        <w:jc w:val="both"/>
        <w:rPr>
          <w:sz w:val="22"/>
          <w:szCs w:val="22"/>
        </w:rPr>
      </w:pPr>
      <w:r w:rsidRPr="00756B9D">
        <w:rPr>
          <w:sz w:val="22"/>
          <w:szCs w:val="22"/>
          <w:lang w:val="sk"/>
        </w:rPr>
        <w:t xml:space="preserve">Opatrnosť sa odporúča v prípade, </w:t>
      </w:r>
      <w:r w:rsidR="006E4399" w:rsidRPr="00756B9D">
        <w:rPr>
          <w:sz w:val="22"/>
          <w:szCs w:val="22"/>
          <w:lang w:val="sk"/>
        </w:rPr>
        <w:t>že sa d</w:t>
      </w:r>
      <w:r w:rsidRPr="00756B9D">
        <w:rPr>
          <w:sz w:val="22"/>
          <w:szCs w:val="22"/>
          <w:lang w:val="sk"/>
        </w:rPr>
        <w:t>uloxet</w:t>
      </w:r>
      <w:r w:rsidR="006E4399" w:rsidRPr="00756B9D">
        <w:rPr>
          <w:sz w:val="22"/>
          <w:szCs w:val="22"/>
          <w:lang w:val="sk"/>
        </w:rPr>
        <w:t>í</w:t>
      </w:r>
      <w:r w:rsidRPr="00756B9D">
        <w:rPr>
          <w:sz w:val="22"/>
          <w:szCs w:val="22"/>
          <w:lang w:val="sk"/>
        </w:rPr>
        <w:t xml:space="preserve">n podáva súbežne s liekmi, ktoré sú prevažne metabolizované prostredníctvom CYP2D6 (risperidón, tricyklické antidepresíva [TCA], ako sú nortriptylín, amitriptylín a imipramín), najmä ak majú úzky terapeutický index (ako je flekainid, propafenón a metoprolol). </w:t>
      </w:r>
    </w:p>
    <w:p w14:paraId="164EEE99" w14:textId="77777777" w:rsidR="002C4B91" w:rsidRPr="00756B9D" w:rsidRDefault="002C4B91">
      <w:pPr>
        <w:pStyle w:val="Default"/>
        <w:jc w:val="both"/>
        <w:rPr>
          <w:i/>
          <w:iCs/>
          <w:sz w:val="22"/>
          <w:szCs w:val="22"/>
        </w:rPr>
      </w:pPr>
    </w:p>
    <w:p w14:paraId="6D2424B1" w14:textId="77777777" w:rsidR="002C4B91" w:rsidRPr="00756B9D" w:rsidRDefault="002C4B91">
      <w:pPr>
        <w:pStyle w:val="Default"/>
        <w:jc w:val="both"/>
        <w:rPr>
          <w:sz w:val="22"/>
          <w:szCs w:val="22"/>
        </w:rPr>
      </w:pPr>
      <w:r w:rsidRPr="00756B9D">
        <w:rPr>
          <w:i/>
          <w:iCs/>
          <w:sz w:val="22"/>
          <w:szCs w:val="22"/>
          <w:lang w:val="sk"/>
        </w:rPr>
        <w:t>Perorálne kontraceptíva a iné steroidové látky</w:t>
      </w:r>
      <w:r w:rsidRPr="00756B9D">
        <w:rPr>
          <w:sz w:val="22"/>
          <w:szCs w:val="22"/>
          <w:lang w:val="sk"/>
        </w:rPr>
        <w:t>:</w:t>
      </w:r>
      <w:r w:rsidRPr="00756B9D">
        <w:rPr>
          <w:i/>
          <w:iCs/>
          <w:sz w:val="22"/>
          <w:szCs w:val="22"/>
          <w:lang w:val="sk"/>
        </w:rPr>
        <w:t xml:space="preserve"> </w:t>
      </w:r>
      <w:r w:rsidRPr="00756B9D">
        <w:rPr>
          <w:sz w:val="22"/>
          <w:szCs w:val="22"/>
          <w:lang w:val="sk"/>
        </w:rPr>
        <w:t xml:space="preserve">výsledky štúdií </w:t>
      </w:r>
      <w:r w:rsidRPr="00756B9D">
        <w:rPr>
          <w:i/>
          <w:iCs/>
          <w:sz w:val="22"/>
          <w:szCs w:val="22"/>
          <w:lang w:val="sk"/>
        </w:rPr>
        <w:t xml:space="preserve">in vitro </w:t>
      </w:r>
      <w:r w:rsidRPr="00756B9D">
        <w:rPr>
          <w:sz w:val="22"/>
          <w:szCs w:val="22"/>
          <w:lang w:val="sk"/>
        </w:rPr>
        <w:t xml:space="preserve">preukázali, že duloxetín neindukuje katalytickú aktivitu izoenzýmov CYP3A. Špecifické </w:t>
      </w:r>
      <w:r w:rsidRPr="00756B9D">
        <w:rPr>
          <w:i/>
          <w:iCs/>
          <w:sz w:val="22"/>
          <w:szCs w:val="22"/>
          <w:lang w:val="sk"/>
        </w:rPr>
        <w:t xml:space="preserve">in vivo </w:t>
      </w:r>
      <w:r w:rsidRPr="00756B9D">
        <w:rPr>
          <w:sz w:val="22"/>
          <w:szCs w:val="22"/>
          <w:lang w:val="sk"/>
        </w:rPr>
        <w:t xml:space="preserve">liekové interakčné štúdie </w:t>
      </w:r>
      <w:r w:rsidRPr="00756B9D">
        <w:rPr>
          <w:sz w:val="22"/>
          <w:szCs w:val="22"/>
          <w:lang w:val="sk"/>
        </w:rPr>
        <w:lastRenderedPageBreak/>
        <w:t xml:space="preserve">zrealizované neboli. </w:t>
      </w:r>
    </w:p>
    <w:p w14:paraId="1EA09496" w14:textId="77777777" w:rsidR="002C4B91" w:rsidRPr="00756B9D" w:rsidRDefault="002C4B91">
      <w:pPr>
        <w:pStyle w:val="Default"/>
        <w:jc w:val="both"/>
        <w:rPr>
          <w:i/>
          <w:iCs/>
          <w:sz w:val="22"/>
          <w:szCs w:val="22"/>
        </w:rPr>
      </w:pPr>
    </w:p>
    <w:p w14:paraId="117102C1" w14:textId="77777777" w:rsidR="002C4B91" w:rsidRPr="00756B9D" w:rsidRDefault="002C4B91">
      <w:pPr>
        <w:pStyle w:val="Default"/>
        <w:jc w:val="both"/>
        <w:rPr>
          <w:sz w:val="22"/>
          <w:szCs w:val="22"/>
        </w:rPr>
      </w:pPr>
      <w:r w:rsidRPr="00756B9D">
        <w:rPr>
          <w:i/>
          <w:iCs/>
          <w:sz w:val="22"/>
          <w:szCs w:val="22"/>
          <w:lang w:val="sk"/>
        </w:rPr>
        <w:t xml:space="preserve">Antikoagulanciá a antiagreganciá: </w:t>
      </w:r>
      <w:r w:rsidRPr="00756B9D">
        <w:rPr>
          <w:sz w:val="22"/>
          <w:szCs w:val="22"/>
          <w:lang w:val="sk"/>
        </w:rPr>
        <w:t xml:space="preserve">Opatrnosť je potrebná, keď sa duloxetín kombinuje s perorálnymi antikoagulanciami alebo antiagreganciami kvôli možnému zvýšeniu rizika krvácania, ktoré sa pripisuje farmakodynamickej interakcii. Okrem toho sa zaznamenali zvýšené hodnoty INR u pacientov liečených warfarínom, ktorým sa súčasne podával duloxetín. Avšak súčasné podávanie duloxetínu s warfarínom zdravým dobrovoľníkom v ustálenom stave v rámci farmakologického klinického skúšania nemalo za následok klinicky významné zmeny INR oproti počiatočným hodnotám ani zmeny farmakokinetiky R- alebo S- warfarínu. </w:t>
      </w:r>
    </w:p>
    <w:p w14:paraId="37836BCC" w14:textId="77777777" w:rsidR="002C4B91" w:rsidRPr="00756B9D" w:rsidRDefault="002C4B91">
      <w:pPr>
        <w:pStyle w:val="Default"/>
        <w:jc w:val="both"/>
        <w:rPr>
          <w:i/>
          <w:iCs/>
          <w:sz w:val="22"/>
          <w:szCs w:val="22"/>
        </w:rPr>
      </w:pPr>
    </w:p>
    <w:p w14:paraId="47CB481A" w14:textId="77777777" w:rsidR="002C4B91" w:rsidRPr="00756B9D" w:rsidRDefault="002C4B91">
      <w:pPr>
        <w:pStyle w:val="Default"/>
        <w:jc w:val="both"/>
        <w:rPr>
          <w:i/>
          <w:iCs/>
          <w:sz w:val="22"/>
          <w:szCs w:val="22"/>
        </w:rPr>
      </w:pPr>
      <w:r w:rsidRPr="00756B9D">
        <w:rPr>
          <w:i/>
          <w:iCs/>
          <w:sz w:val="22"/>
          <w:szCs w:val="22"/>
          <w:lang w:val="sk"/>
        </w:rPr>
        <w:t xml:space="preserve">Účinok iných liekov na duloxetín </w:t>
      </w:r>
    </w:p>
    <w:p w14:paraId="5C99E2DD" w14:textId="77777777" w:rsidR="002B113E" w:rsidRPr="00756B9D" w:rsidRDefault="002B113E">
      <w:pPr>
        <w:pStyle w:val="Default"/>
        <w:jc w:val="both"/>
        <w:rPr>
          <w:sz w:val="22"/>
          <w:szCs w:val="22"/>
        </w:rPr>
      </w:pPr>
    </w:p>
    <w:p w14:paraId="16A114D3" w14:textId="77777777" w:rsidR="002C4B91" w:rsidRPr="00756B9D" w:rsidRDefault="002C4B91">
      <w:pPr>
        <w:pStyle w:val="Default"/>
        <w:jc w:val="both"/>
        <w:rPr>
          <w:sz w:val="22"/>
          <w:szCs w:val="22"/>
        </w:rPr>
      </w:pPr>
      <w:r w:rsidRPr="00756B9D">
        <w:rPr>
          <w:i/>
          <w:iCs/>
          <w:color w:val="auto"/>
          <w:sz w:val="22"/>
          <w:szCs w:val="22"/>
          <w:lang w:val="sk"/>
        </w:rPr>
        <w:t xml:space="preserve">Antacidá a antagonisty H2: </w:t>
      </w:r>
      <w:r w:rsidRPr="00756B9D">
        <w:rPr>
          <w:color w:val="auto"/>
          <w:sz w:val="22"/>
          <w:szCs w:val="22"/>
          <w:lang w:val="sk"/>
        </w:rPr>
        <w:t xml:space="preserve">súčasné podávanie duloxetínu a antacíd obsahujúcich hliník a horčík </w:t>
      </w:r>
      <w:r w:rsidRPr="00756B9D">
        <w:rPr>
          <w:sz w:val="22"/>
          <w:szCs w:val="22"/>
          <w:lang w:val="sk"/>
        </w:rPr>
        <w:t xml:space="preserve">alebo duloxetínu s famotidínom nijako významne neovplyvnilo rýchlosť či rozsah absorpcie duloxetínu po podaní dávky 40 mg perorálne. </w:t>
      </w:r>
    </w:p>
    <w:p w14:paraId="3CA8A2A4" w14:textId="77777777" w:rsidR="002C4B91" w:rsidRPr="00756B9D" w:rsidRDefault="002C4B91">
      <w:pPr>
        <w:pStyle w:val="Default"/>
        <w:jc w:val="both"/>
        <w:rPr>
          <w:i/>
          <w:iCs/>
          <w:color w:val="auto"/>
          <w:sz w:val="22"/>
          <w:szCs w:val="22"/>
        </w:rPr>
      </w:pPr>
    </w:p>
    <w:p w14:paraId="2C744C10" w14:textId="77777777" w:rsidR="002C4B91" w:rsidRPr="00756B9D" w:rsidRDefault="002C4B91">
      <w:pPr>
        <w:pStyle w:val="Default"/>
        <w:jc w:val="both"/>
        <w:rPr>
          <w:color w:val="auto"/>
          <w:sz w:val="22"/>
          <w:szCs w:val="22"/>
        </w:rPr>
      </w:pPr>
      <w:r w:rsidRPr="00756B9D">
        <w:rPr>
          <w:i/>
          <w:iCs/>
          <w:color w:val="auto"/>
          <w:sz w:val="22"/>
          <w:szCs w:val="22"/>
          <w:lang w:val="sk"/>
        </w:rPr>
        <w:t xml:space="preserve">Induktory CYP1A2: </w:t>
      </w:r>
      <w:r w:rsidRPr="00756B9D">
        <w:rPr>
          <w:color w:val="auto"/>
          <w:sz w:val="22"/>
          <w:szCs w:val="22"/>
          <w:lang w:val="sk"/>
        </w:rPr>
        <w:t>populačné farmakokinetické analýzy preukázali, že fajčiari majú takmer o 50% nižšie plazmatické koncentrácie duloxetínu než nefajčiari.</w:t>
      </w:r>
    </w:p>
    <w:p w14:paraId="0496DD87" w14:textId="77777777" w:rsidR="002C4B91" w:rsidRPr="00756B9D" w:rsidRDefault="002C4B91">
      <w:pPr>
        <w:pStyle w:val="Default"/>
        <w:jc w:val="both"/>
        <w:rPr>
          <w:color w:val="auto"/>
          <w:sz w:val="22"/>
          <w:szCs w:val="22"/>
        </w:rPr>
      </w:pPr>
    </w:p>
    <w:p w14:paraId="2ABD441C" w14:textId="438608D0" w:rsidR="002C4B91" w:rsidRPr="00756B9D" w:rsidRDefault="002C4B91" w:rsidP="00756B9D">
      <w:pPr>
        <w:pStyle w:val="Default"/>
        <w:numPr>
          <w:ilvl w:val="1"/>
          <w:numId w:val="2"/>
        </w:numPr>
        <w:ind w:left="567" w:hanging="567"/>
        <w:jc w:val="both"/>
        <w:rPr>
          <w:sz w:val="22"/>
          <w:szCs w:val="22"/>
        </w:rPr>
      </w:pPr>
      <w:r w:rsidRPr="00756B9D">
        <w:rPr>
          <w:b/>
          <w:bCs/>
          <w:sz w:val="22"/>
          <w:szCs w:val="22"/>
          <w:lang w:val="sk"/>
        </w:rPr>
        <w:t xml:space="preserve">Fertilita, gravidita a laktácia </w:t>
      </w:r>
    </w:p>
    <w:p w14:paraId="39EAA543" w14:textId="77777777" w:rsidR="002C4B91" w:rsidRPr="00756B9D" w:rsidRDefault="002C4B91">
      <w:pPr>
        <w:pStyle w:val="Default"/>
        <w:jc w:val="both"/>
        <w:rPr>
          <w:i/>
          <w:iCs/>
          <w:sz w:val="22"/>
          <w:szCs w:val="22"/>
        </w:rPr>
      </w:pPr>
    </w:p>
    <w:p w14:paraId="79D2D2EE" w14:textId="77777777" w:rsidR="002C4B91" w:rsidRPr="00756B9D" w:rsidRDefault="002C4B91">
      <w:pPr>
        <w:pStyle w:val="Default"/>
        <w:jc w:val="both"/>
        <w:rPr>
          <w:i/>
          <w:iCs/>
          <w:sz w:val="22"/>
          <w:szCs w:val="22"/>
        </w:rPr>
      </w:pPr>
      <w:r w:rsidRPr="00756B9D">
        <w:rPr>
          <w:i/>
          <w:iCs/>
          <w:sz w:val="22"/>
          <w:szCs w:val="22"/>
          <w:lang w:val="sk"/>
        </w:rPr>
        <w:t xml:space="preserve">Fertilita </w:t>
      </w:r>
    </w:p>
    <w:p w14:paraId="27F2DB44" w14:textId="77777777" w:rsidR="008466EA" w:rsidRPr="00756B9D" w:rsidRDefault="008466EA">
      <w:pPr>
        <w:pStyle w:val="Default"/>
        <w:jc w:val="both"/>
        <w:rPr>
          <w:sz w:val="22"/>
          <w:szCs w:val="22"/>
        </w:rPr>
      </w:pPr>
    </w:p>
    <w:p w14:paraId="2AD27B46" w14:textId="77777777" w:rsidR="002C4B91" w:rsidRPr="00756B9D" w:rsidRDefault="008466EA">
      <w:pPr>
        <w:pStyle w:val="Default"/>
        <w:jc w:val="both"/>
        <w:rPr>
          <w:sz w:val="22"/>
          <w:szCs w:val="22"/>
        </w:rPr>
      </w:pPr>
      <w:r w:rsidRPr="00756B9D">
        <w:rPr>
          <w:sz w:val="22"/>
          <w:szCs w:val="22"/>
          <w:lang w:val="sk"/>
        </w:rPr>
        <w:t xml:space="preserve">V štúdiách so zvieratami duloxetín nemal vplyv na samčiu fertilitu a u samičiek bol vplyv evidentný iba pri dávkach spôsobujúcich materskú toxicitu. </w:t>
      </w:r>
    </w:p>
    <w:p w14:paraId="67CFEF6A" w14:textId="77777777" w:rsidR="002C4B91" w:rsidRPr="00756B9D" w:rsidRDefault="002C4B91">
      <w:pPr>
        <w:pStyle w:val="Default"/>
        <w:jc w:val="both"/>
        <w:rPr>
          <w:i/>
          <w:iCs/>
          <w:sz w:val="22"/>
          <w:szCs w:val="22"/>
        </w:rPr>
      </w:pPr>
    </w:p>
    <w:p w14:paraId="2F209E2F" w14:textId="77777777" w:rsidR="002C4B91" w:rsidRPr="00756B9D" w:rsidRDefault="002C4B91">
      <w:pPr>
        <w:pStyle w:val="Default"/>
        <w:jc w:val="both"/>
        <w:rPr>
          <w:i/>
          <w:iCs/>
          <w:sz w:val="22"/>
          <w:szCs w:val="22"/>
        </w:rPr>
      </w:pPr>
      <w:r w:rsidRPr="00756B9D">
        <w:rPr>
          <w:i/>
          <w:iCs/>
          <w:sz w:val="22"/>
          <w:szCs w:val="22"/>
          <w:lang w:val="sk"/>
        </w:rPr>
        <w:t xml:space="preserve">Gravidita </w:t>
      </w:r>
    </w:p>
    <w:p w14:paraId="11614167" w14:textId="77777777" w:rsidR="008466EA" w:rsidRPr="00756B9D" w:rsidRDefault="008466EA">
      <w:pPr>
        <w:pStyle w:val="Default"/>
        <w:jc w:val="both"/>
        <w:rPr>
          <w:sz w:val="22"/>
          <w:szCs w:val="22"/>
        </w:rPr>
      </w:pPr>
    </w:p>
    <w:p w14:paraId="5B16B51A" w14:textId="77777777" w:rsidR="002C4B91" w:rsidRPr="00756B9D" w:rsidRDefault="002C4B91">
      <w:pPr>
        <w:pStyle w:val="Default"/>
        <w:jc w:val="both"/>
        <w:rPr>
          <w:sz w:val="22"/>
          <w:szCs w:val="22"/>
        </w:rPr>
      </w:pPr>
      <w:r w:rsidRPr="00756B9D">
        <w:rPr>
          <w:sz w:val="22"/>
          <w:szCs w:val="22"/>
          <w:lang w:val="sk"/>
        </w:rPr>
        <w:t xml:space="preserve">Nie sú k dispozícii dostatočné údaje o použití duloxetínu u gravidných žien. Štúdie na zvieratách preukázali reprodukčnú toxicitu pri hladinách systémovej expozície (AUC) duloxetínu nižších než je maximálna klinická expozícia (pozri časť 5.3). </w:t>
      </w:r>
    </w:p>
    <w:p w14:paraId="112E987D" w14:textId="77777777" w:rsidR="002C4B91" w:rsidRPr="00756B9D" w:rsidRDefault="002C4B91">
      <w:pPr>
        <w:pStyle w:val="Default"/>
        <w:jc w:val="both"/>
        <w:rPr>
          <w:sz w:val="22"/>
          <w:szCs w:val="22"/>
        </w:rPr>
      </w:pPr>
    </w:p>
    <w:p w14:paraId="439CB86B" w14:textId="77777777" w:rsidR="002C4B91" w:rsidRPr="00756B9D" w:rsidRDefault="002C4B91">
      <w:pPr>
        <w:pStyle w:val="Default"/>
        <w:jc w:val="both"/>
        <w:rPr>
          <w:sz w:val="22"/>
          <w:szCs w:val="22"/>
        </w:rPr>
      </w:pPr>
      <w:r w:rsidRPr="00756B9D">
        <w:rPr>
          <w:sz w:val="22"/>
          <w:szCs w:val="22"/>
          <w:lang w:val="sk"/>
        </w:rPr>
        <w:t xml:space="preserve">Nie je známe potenciálne riziko u ľudí. </w:t>
      </w:r>
    </w:p>
    <w:p w14:paraId="6E5BC5DF" w14:textId="77777777" w:rsidR="002C4B91" w:rsidRPr="00756B9D" w:rsidRDefault="002C4B91">
      <w:pPr>
        <w:pStyle w:val="Default"/>
        <w:jc w:val="both"/>
        <w:rPr>
          <w:sz w:val="22"/>
          <w:szCs w:val="22"/>
        </w:rPr>
      </w:pPr>
    </w:p>
    <w:p w14:paraId="51C2F685" w14:textId="77777777" w:rsidR="008466EA" w:rsidRPr="00756B9D" w:rsidRDefault="002C4B91">
      <w:pPr>
        <w:pStyle w:val="Default"/>
        <w:jc w:val="both"/>
        <w:rPr>
          <w:sz w:val="22"/>
          <w:szCs w:val="22"/>
        </w:rPr>
      </w:pPr>
      <w:r w:rsidRPr="00756B9D">
        <w:rPr>
          <w:sz w:val="22"/>
          <w:szCs w:val="22"/>
          <w:lang w:val="sk"/>
        </w:rPr>
        <w:t xml:space="preserve">Epidemiologické údaje naznačujú, že používanie SSRI počas tehotenstva, zvlášť v pokročilom štádiu tehotenstva, môže zvýšiť riziko perzistentnej pľúcnej hypertenzie u novorodencov (PPHN). </w:t>
      </w:r>
    </w:p>
    <w:p w14:paraId="3F78258E" w14:textId="77777777" w:rsidR="002C4B91" w:rsidRPr="00756B9D" w:rsidRDefault="002C4B91">
      <w:pPr>
        <w:pStyle w:val="Default"/>
        <w:jc w:val="both"/>
        <w:rPr>
          <w:sz w:val="22"/>
          <w:szCs w:val="22"/>
        </w:rPr>
      </w:pPr>
      <w:r w:rsidRPr="00756B9D">
        <w:rPr>
          <w:sz w:val="22"/>
          <w:szCs w:val="22"/>
          <w:lang w:val="sk"/>
        </w:rPr>
        <w:t xml:space="preserve">Hoci žiadna štúdia nesledovala súvislosť medzi PPHN a liečbou SNRI, toto potenciálne riziko sa nedá vylúčiť pri duloxetíne, berúc do úvahy podobný mechanizmus účinku (inhibícia spätného vychytávania sérotonínu). </w:t>
      </w:r>
    </w:p>
    <w:p w14:paraId="7F459F3C" w14:textId="77777777" w:rsidR="002C4B91" w:rsidRPr="00756B9D" w:rsidRDefault="002C4B91">
      <w:pPr>
        <w:pStyle w:val="Default"/>
        <w:jc w:val="both"/>
        <w:rPr>
          <w:sz w:val="22"/>
          <w:szCs w:val="22"/>
        </w:rPr>
      </w:pPr>
    </w:p>
    <w:p w14:paraId="2CFABB28" w14:textId="77777777" w:rsidR="002C4B91" w:rsidRPr="00756B9D" w:rsidRDefault="002C4B91">
      <w:pPr>
        <w:pStyle w:val="Default"/>
        <w:jc w:val="both"/>
        <w:rPr>
          <w:sz w:val="22"/>
          <w:szCs w:val="22"/>
        </w:rPr>
      </w:pPr>
      <w:r w:rsidRPr="00756B9D">
        <w:rPr>
          <w:sz w:val="22"/>
          <w:szCs w:val="22"/>
          <w:lang w:val="sk"/>
        </w:rPr>
        <w:t xml:space="preserve">Ako aj u iných sérotonergických liekov, ak matka užívala krátko pred pôrodom duloxetín, u novorodenca sa môžu vyskytnúť príznaky z vysadenia. Symptómy z vysadenia pozorované pri duloxetíne môžu zahŕňať hypotóniu, tras, nepokoj, problémy s príjmom potravy, ťažkosti s dýchaním a kŕče. Väčšina prípadov sa vyskytla buď pri pôrode alebo niekoľko dní po pôrode. </w:t>
      </w:r>
    </w:p>
    <w:p w14:paraId="29EAB8D6" w14:textId="77777777" w:rsidR="002C4B91" w:rsidRPr="00756B9D" w:rsidRDefault="002C4B91">
      <w:pPr>
        <w:pStyle w:val="Default"/>
        <w:jc w:val="both"/>
        <w:rPr>
          <w:sz w:val="22"/>
          <w:szCs w:val="22"/>
        </w:rPr>
      </w:pPr>
    </w:p>
    <w:p w14:paraId="2CC1B246" w14:textId="4CBB4A7C" w:rsidR="002C4B91" w:rsidRPr="00756B9D" w:rsidRDefault="001433FD">
      <w:pPr>
        <w:pStyle w:val="Default"/>
        <w:jc w:val="both"/>
        <w:rPr>
          <w:sz w:val="22"/>
          <w:szCs w:val="22"/>
        </w:rPr>
      </w:pPr>
      <w:r w:rsidRPr="00756B9D">
        <w:rPr>
          <w:sz w:val="22"/>
          <w:szCs w:val="22"/>
          <w:lang w:val="sk"/>
        </w:rPr>
        <w:t>Duloxet</w:t>
      </w:r>
      <w:r w:rsidR="00315726" w:rsidRPr="00756B9D">
        <w:rPr>
          <w:sz w:val="22"/>
          <w:szCs w:val="22"/>
          <w:lang w:val="sk"/>
        </w:rPr>
        <w:t>í</w:t>
      </w:r>
      <w:r w:rsidRPr="00756B9D">
        <w:rPr>
          <w:sz w:val="22"/>
          <w:szCs w:val="22"/>
          <w:lang w:val="sk"/>
        </w:rPr>
        <w:t>n sa má užívať v priebehu gravidity len vtedy, ak je</w:t>
      </w:r>
      <w:r w:rsidR="00315726" w:rsidRPr="00756B9D">
        <w:rPr>
          <w:sz w:val="22"/>
          <w:szCs w:val="22"/>
          <w:lang w:val="sk"/>
        </w:rPr>
        <w:t>ho</w:t>
      </w:r>
      <w:r w:rsidRPr="00756B9D">
        <w:rPr>
          <w:sz w:val="22"/>
          <w:szCs w:val="22"/>
          <w:lang w:val="sk"/>
        </w:rPr>
        <w:t xml:space="preserve"> potenciálny prínos prevýši možné riziko pre plod. Ženy, ktoré otehotnejú alebo zamýšľajú otehotnieť v priebehu liečby, je potrebné informovať, aby na to upozornili svojho lekára. </w:t>
      </w:r>
    </w:p>
    <w:p w14:paraId="1DE0FAAD" w14:textId="77777777" w:rsidR="002C4B91" w:rsidRPr="00756B9D" w:rsidRDefault="002C4B91">
      <w:pPr>
        <w:pStyle w:val="Default"/>
        <w:jc w:val="both"/>
        <w:rPr>
          <w:i/>
          <w:iCs/>
          <w:sz w:val="22"/>
          <w:szCs w:val="22"/>
        </w:rPr>
      </w:pPr>
    </w:p>
    <w:p w14:paraId="5AFD911E" w14:textId="77777777" w:rsidR="002C4B91" w:rsidRPr="00756B9D" w:rsidRDefault="002C4B91">
      <w:pPr>
        <w:pStyle w:val="Default"/>
        <w:jc w:val="both"/>
        <w:rPr>
          <w:i/>
          <w:iCs/>
          <w:sz w:val="22"/>
          <w:szCs w:val="22"/>
        </w:rPr>
      </w:pPr>
      <w:r w:rsidRPr="00756B9D">
        <w:rPr>
          <w:i/>
          <w:iCs/>
          <w:sz w:val="22"/>
          <w:szCs w:val="22"/>
          <w:lang w:val="sk"/>
        </w:rPr>
        <w:t xml:space="preserve">Dojčenie </w:t>
      </w:r>
    </w:p>
    <w:p w14:paraId="4CB516AC" w14:textId="77777777" w:rsidR="008466EA" w:rsidRPr="00756B9D" w:rsidRDefault="008466EA">
      <w:pPr>
        <w:pStyle w:val="Default"/>
        <w:jc w:val="both"/>
        <w:rPr>
          <w:sz w:val="22"/>
          <w:szCs w:val="22"/>
        </w:rPr>
      </w:pPr>
    </w:p>
    <w:p w14:paraId="5A33981A" w14:textId="659DE73C" w:rsidR="002C4B91" w:rsidRPr="00756B9D" w:rsidRDefault="002C4B91">
      <w:pPr>
        <w:pStyle w:val="Default"/>
        <w:jc w:val="both"/>
        <w:rPr>
          <w:color w:val="auto"/>
          <w:sz w:val="22"/>
          <w:szCs w:val="22"/>
        </w:rPr>
      </w:pPr>
      <w:r w:rsidRPr="00756B9D">
        <w:rPr>
          <w:color w:val="auto"/>
          <w:sz w:val="22"/>
          <w:szCs w:val="22"/>
          <w:lang w:val="sk"/>
        </w:rPr>
        <w:t xml:space="preserve">Duloxetín je veľmi málo vylučovaný do materského mlieka vychádzajúc zo štúdie so 6 dojčiacimi ženami, ktoré nedojčili svoje deti. Odhadovaná denná dávka u dojčaťa v mg/kg je približne 0,14% dávky podanej matke (pozri časť 5.2). Keďže nie je známa bezpečnosť podávania duloxetínu u dojčiat, užívanie </w:t>
      </w:r>
      <w:r w:rsidR="007D4DC9" w:rsidRPr="00756B9D">
        <w:rPr>
          <w:color w:val="auto"/>
          <w:sz w:val="22"/>
          <w:szCs w:val="22"/>
          <w:lang w:val="sk"/>
        </w:rPr>
        <w:t>d</w:t>
      </w:r>
      <w:r w:rsidRPr="00756B9D">
        <w:rPr>
          <w:color w:val="auto"/>
          <w:sz w:val="22"/>
          <w:szCs w:val="22"/>
          <w:lang w:val="sk"/>
        </w:rPr>
        <w:t>uloxet</w:t>
      </w:r>
      <w:r w:rsidR="007D4DC9" w:rsidRPr="00756B9D">
        <w:rPr>
          <w:color w:val="auto"/>
          <w:sz w:val="22"/>
          <w:szCs w:val="22"/>
          <w:lang w:val="sk"/>
        </w:rPr>
        <w:t>í</w:t>
      </w:r>
      <w:r w:rsidRPr="00756B9D">
        <w:rPr>
          <w:color w:val="auto"/>
          <w:sz w:val="22"/>
          <w:szCs w:val="22"/>
          <w:lang w:val="sk"/>
        </w:rPr>
        <w:t>n</w:t>
      </w:r>
      <w:r w:rsidR="007D4DC9" w:rsidRPr="00756B9D">
        <w:rPr>
          <w:color w:val="auto"/>
          <w:sz w:val="22"/>
          <w:szCs w:val="22"/>
          <w:lang w:val="sk"/>
        </w:rPr>
        <w:t>u</w:t>
      </w:r>
      <w:r w:rsidRPr="00756B9D">
        <w:rPr>
          <w:color w:val="auto"/>
          <w:sz w:val="22"/>
          <w:szCs w:val="22"/>
          <w:lang w:val="sk"/>
        </w:rPr>
        <w:t xml:space="preserve"> sa počas dojčenia neodporúča.</w:t>
      </w:r>
    </w:p>
    <w:p w14:paraId="085F1290" w14:textId="77777777" w:rsidR="002C4B91" w:rsidRPr="00756B9D" w:rsidRDefault="002C4B91">
      <w:pPr>
        <w:pStyle w:val="Default"/>
        <w:jc w:val="both"/>
        <w:rPr>
          <w:color w:val="auto"/>
          <w:sz w:val="22"/>
          <w:szCs w:val="22"/>
        </w:rPr>
      </w:pPr>
    </w:p>
    <w:p w14:paraId="4257CE1E" w14:textId="080CE670" w:rsidR="002C4B91" w:rsidRPr="00756B9D" w:rsidRDefault="002C4B91" w:rsidP="00756B9D">
      <w:pPr>
        <w:pStyle w:val="Default"/>
        <w:numPr>
          <w:ilvl w:val="1"/>
          <w:numId w:val="2"/>
        </w:numPr>
        <w:ind w:left="567" w:hanging="567"/>
        <w:jc w:val="both"/>
        <w:rPr>
          <w:sz w:val="22"/>
          <w:szCs w:val="22"/>
        </w:rPr>
      </w:pPr>
      <w:r w:rsidRPr="00756B9D">
        <w:rPr>
          <w:b/>
          <w:bCs/>
          <w:sz w:val="22"/>
          <w:szCs w:val="22"/>
          <w:lang w:val="sk"/>
        </w:rPr>
        <w:t xml:space="preserve">Ovplyvnenie schopnosti viesť vozidlá a obsluhovať stroje </w:t>
      </w:r>
    </w:p>
    <w:p w14:paraId="3D8B2A64" w14:textId="77777777" w:rsidR="002C4B91" w:rsidRPr="00756B9D" w:rsidRDefault="002C4B91">
      <w:pPr>
        <w:pStyle w:val="Default"/>
        <w:jc w:val="both"/>
        <w:rPr>
          <w:sz w:val="22"/>
          <w:szCs w:val="22"/>
        </w:rPr>
      </w:pPr>
    </w:p>
    <w:p w14:paraId="1EE621D6" w14:textId="65A91734" w:rsidR="002C4B91" w:rsidRPr="00756B9D" w:rsidRDefault="002C4B91">
      <w:pPr>
        <w:pStyle w:val="Default"/>
        <w:jc w:val="both"/>
        <w:rPr>
          <w:sz w:val="22"/>
          <w:szCs w:val="22"/>
        </w:rPr>
      </w:pPr>
      <w:r w:rsidRPr="00756B9D">
        <w:rPr>
          <w:sz w:val="22"/>
          <w:szCs w:val="22"/>
          <w:lang w:val="sk"/>
        </w:rPr>
        <w:t>Neuskutočnili sa žiadne štúdie o účinkoch na schopnosť viesť vozidlá a obsluhovať stroje. Duloxet</w:t>
      </w:r>
      <w:r w:rsidR="00315726" w:rsidRPr="00756B9D">
        <w:rPr>
          <w:sz w:val="22"/>
          <w:szCs w:val="22"/>
          <w:lang w:val="sk"/>
        </w:rPr>
        <w:t>í</w:t>
      </w:r>
      <w:r w:rsidRPr="00756B9D">
        <w:rPr>
          <w:sz w:val="22"/>
          <w:szCs w:val="22"/>
          <w:lang w:val="sk"/>
        </w:rPr>
        <w:t xml:space="preserve">n </w:t>
      </w:r>
      <w:r w:rsidRPr="00756B9D">
        <w:rPr>
          <w:sz w:val="22"/>
          <w:szCs w:val="22"/>
          <w:lang w:val="sk"/>
        </w:rPr>
        <w:lastRenderedPageBreak/>
        <w:t>môže súvisieť s útlmom a závratom. Pacienti sa majú poučiť, že v prípade, ak sa u nich objaví útlm</w:t>
      </w:r>
      <w:r w:rsidR="007D4DC9" w:rsidRPr="00756B9D">
        <w:rPr>
          <w:sz w:val="22"/>
          <w:szCs w:val="22"/>
          <w:lang w:val="sk"/>
        </w:rPr>
        <w:t xml:space="preserve"> </w:t>
      </w:r>
      <w:r w:rsidRPr="00756B9D">
        <w:rPr>
          <w:sz w:val="22"/>
          <w:szCs w:val="22"/>
          <w:lang w:val="sk"/>
        </w:rPr>
        <w:t xml:space="preserve">alebo závrat, majú sa vyvarovať potenciálne nebezpečných úloh, akými sú vedenie vozidiel alebo obsluha strojov. </w:t>
      </w:r>
    </w:p>
    <w:p w14:paraId="7DACCA9B" w14:textId="77777777" w:rsidR="002C4B91" w:rsidRPr="00756B9D" w:rsidRDefault="002C4B91">
      <w:pPr>
        <w:pStyle w:val="Default"/>
        <w:jc w:val="both"/>
        <w:rPr>
          <w:b/>
          <w:bCs/>
          <w:sz w:val="22"/>
          <w:szCs w:val="22"/>
        </w:rPr>
      </w:pPr>
    </w:p>
    <w:p w14:paraId="68E5A187" w14:textId="71F1061D" w:rsidR="002C4B91" w:rsidRPr="00756B9D" w:rsidRDefault="002C4B91" w:rsidP="00756B9D">
      <w:pPr>
        <w:pStyle w:val="Default"/>
        <w:numPr>
          <w:ilvl w:val="1"/>
          <w:numId w:val="2"/>
        </w:numPr>
        <w:ind w:left="567" w:hanging="567"/>
        <w:jc w:val="both"/>
        <w:rPr>
          <w:sz w:val="22"/>
          <w:szCs w:val="22"/>
        </w:rPr>
      </w:pPr>
      <w:r w:rsidRPr="00756B9D">
        <w:rPr>
          <w:b/>
          <w:bCs/>
          <w:sz w:val="22"/>
          <w:szCs w:val="22"/>
          <w:lang w:val="sk"/>
        </w:rPr>
        <w:t xml:space="preserve">Nežiaduce účinky </w:t>
      </w:r>
    </w:p>
    <w:p w14:paraId="4C72B6BF" w14:textId="77777777" w:rsidR="002C4B91" w:rsidRPr="00756B9D" w:rsidRDefault="002C4B91">
      <w:pPr>
        <w:pStyle w:val="Default"/>
        <w:jc w:val="both"/>
        <w:rPr>
          <w:i/>
          <w:iCs/>
          <w:sz w:val="22"/>
          <w:szCs w:val="22"/>
        </w:rPr>
      </w:pPr>
    </w:p>
    <w:p w14:paraId="67D99D25" w14:textId="77777777" w:rsidR="002C4B91" w:rsidRPr="00756B9D" w:rsidRDefault="002C4B91">
      <w:pPr>
        <w:pStyle w:val="Default"/>
        <w:jc w:val="both"/>
        <w:rPr>
          <w:sz w:val="22"/>
          <w:szCs w:val="22"/>
        </w:rPr>
      </w:pPr>
      <w:r w:rsidRPr="00756B9D">
        <w:rPr>
          <w:i/>
          <w:iCs/>
          <w:sz w:val="22"/>
          <w:szCs w:val="22"/>
          <w:lang w:val="sk"/>
        </w:rPr>
        <w:t xml:space="preserve">a. Zhrnutie bezpečnostného profilu </w:t>
      </w:r>
    </w:p>
    <w:p w14:paraId="226E7387" w14:textId="64102475" w:rsidR="002C4B91" w:rsidRPr="00756B9D" w:rsidRDefault="002C4B91">
      <w:pPr>
        <w:pStyle w:val="Default"/>
        <w:jc w:val="both"/>
        <w:rPr>
          <w:color w:val="auto"/>
          <w:sz w:val="22"/>
          <w:szCs w:val="22"/>
        </w:rPr>
      </w:pPr>
      <w:r w:rsidRPr="00756B9D">
        <w:rPr>
          <w:color w:val="auto"/>
          <w:sz w:val="22"/>
          <w:szCs w:val="22"/>
          <w:lang w:val="sk"/>
        </w:rPr>
        <w:t xml:space="preserve">Najčastejšie uvádzané nežiaduce reakcie u pacientov liečených </w:t>
      </w:r>
      <w:r w:rsidR="007D4DC9" w:rsidRPr="00756B9D">
        <w:rPr>
          <w:color w:val="auto"/>
          <w:sz w:val="22"/>
          <w:szCs w:val="22"/>
          <w:lang w:val="sk"/>
        </w:rPr>
        <w:t>d</w:t>
      </w:r>
      <w:r w:rsidRPr="00756B9D">
        <w:rPr>
          <w:color w:val="auto"/>
          <w:sz w:val="22"/>
          <w:szCs w:val="22"/>
          <w:lang w:val="sk"/>
        </w:rPr>
        <w:t>uloxet</w:t>
      </w:r>
      <w:r w:rsidR="007D4DC9" w:rsidRPr="00756B9D">
        <w:rPr>
          <w:color w:val="auto"/>
          <w:sz w:val="22"/>
          <w:szCs w:val="22"/>
          <w:lang w:val="sk"/>
        </w:rPr>
        <w:t>í</w:t>
      </w:r>
      <w:r w:rsidRPr="00756B9D">
        <w:rPr>
          <w:color w:val="auto"/>
          <w:sz w:val="22"/>
          <w:szCs w:val="22"/>
          <w:lang w:val="sk"/>
        </w:rPr>
        <w:t>nom boli nauzea, bolesť hlavy, sucho v ústach, somnolencia a závrat. Väčšinou však boli tieto časté nežiaduce reakcie len mierne či stredne závažné, objavili sa krátko po začiatku terapie a väčšinou mali tendenciu odznieť aj keď liečba pokračovala.</w:t>
      </w:r>
    </w:p>
    <w:p w14:paraId="0252C8C8" w14:textId="77777777" w:rsidR="002C4B91" w:rsidRPr="00756B9D" w:rsidRDefault="002C4B91">
      <w:pPr>
        <w:pStyle w:val="Default"/>
        <w:jc w:val="both"/>
        <w:rPr>
          <w:color w:val="auto"/>
          <w:sz w:val="22"/>
          <w:szCs w:val="22"/>
        </w:rPr>
      </w:pPr>
    </w:p>
    <w:p w14:paraId="3CED3FC1" w14:textId="77777777" w:rsidR="002C4B91" w:rsidRPr="00756B9D" w:rsidRDefault="002C4B91">
      <w:pPr>
        <w:pStyle w:val="Default"/>
        <w:jc w:val="both"/>
        <w:rPr>
          <w:sz w:val="22"/>
          <w:szCs w:val="22"/>
        </w:rPr>
      </w:pPr>
      <w:r w:rsidRPr="00756B9D">
        <w:rPr>
          <w:i/>
          <w:iCs/>
          <w:sz w:val="22"/>
          <w:szCs w:val="22"/>
          <w:lang w:val="sk"/>
        </w:rPr>
        <w:t xml:space="preserve">b. Tabuľkové zhrnutie nežiaducich reakcií </w:t>
      </w:r>
    </w:p>
    <w:p w14:paraId="74B39133" w14:textId="77777777" w:rsidR="002C4B91" w:rsidRPr="00756B9D" w:rsidRDefault="002C4B91">
      <w:pPr>
        <w:pStyle w:val="Default"/>
        <w:jc w:val="both"/>
        <w:rPr>
          <w:sz w:val="22"/>
          <w:szCs w:val="22"/>
        </w:rPr>
      </w:pPr>
      <w:r w:rsidRPr="00756B9D">
        <w:rPr>
          <w:sz w:val="22"/>
          <w:szCs w:val="22"/>
          <w:lang w:val="sk"/>
        </w:rPr>
        <w:t xml:space="preserve">Tabuľka 1 uvádza výskyt nežiaducich reakcií zaznamenaný zo spontánnych hlásení a v placebom kontrolovaných klinických štúdiách. </w:t>
      </w:r>
    </w:p>
    <w:p w14:paraId="53BBD486" w14:textId="77777777" w:rsidR="0023054E" w:rsidRPr="00756B9D" w:rsidRDefault="0023054E">
      <w:pPr>
        <w:pStyle w:val="Default"/>
        <w:jc w:val="both"/>
        <w:rPr>
          <w:i/>
          <w:iCs/>
          <w:sz w:val="22"/>
          <w:szCs w:val="22"/>
        </w:rPr>
      </w:pPr>
    </w:p>
    <w:p w14:paraId="67D4E82D" w14:textId="77777777" w:rsidR="002C4B91" w:rsidRPr="00756B9D" w:rsidRDefault="002C4B91">
      <w:pPr>
        <w:pStyle w:val="Default"/>
        <w:jc w:val="both"/>
        <w:rPr>
          <w:sz w:val="22"/>
          <w:szCs w:val="22"/>
        </w:rPr>
      </w:pPr>
      <w:r w:rsidRPr="00756B9D">
        <w:rPr>
          <w:i/>
          <w:iCs/>
          <w:sz w:val="22"/>
          <w:szCs w:val="22"/>
          <w:lang w:val="sk"/>
        </w:rPr>
        <w:t xml:space="preserve">Tabuľka 1: Nežiaduce reakcie </w:t>
      </w:r>
    </w:p>
    <w:p w14:paraId="6DDBFBD5" w14:textId="77777777" w:rsidR="002C4B91" w:rsidRPr="00756B9D" w:rsidRDefault="002C4B91">
      <w:pPr>
        <w:pStyle w:val="Default"/>
        <w:jc w:val="both"/>
        <w:rPr>
          <w:sz w:val="22"/>
          <w:szCs w:val="22"/>
        </w:rPr>
      </w:pPr>
      <w:r w:rsidRPr="00756B9D">
        <w:rPr>
          <w:sz w:val="22"/>
          <w:szCs w:val="22"/>
          <w:lang w:val="sk"/>
        </w:rPr>
        <w:t xml:space="preserve">Frekvencia je definovaná nasledovne: Veľmi časté (≥1/10), časté (≥1/100 až &lt;1/10), menej časté (≥1/1 000 až &lt;1/100), zriedkavé (≥1/10 000 až &lt;1/1 000), veľmi zriedkavé (&lt;1/10 000). </w:t>
      </w:r>
    </w:p>
    <w:p w14:paraId="2B591364" w14:textId="77777777" w:rsidR="002C4B91" w:rsidRPr="00756B9D" w:rsidRDefault="002C4B91">
      <w:pPr>
        <w:pStyle w:val="Default"/>
        <w:jc w:val="both"/>
        <w:rPr>
          <w:color w:val="auto"/>
          <w:sz w:val="22"/>
          <w:szCs w:val="22"/>
        </w:rPr>
      </w:pPr>
      <w:r w:rsidRPr="00756B9D">
        <w:rPr>
          <w:color w:val="auto"/>
          <w:sz w:val="22"/>
          <w:szCs w:val="22"/>
          <w:lang w:val="sk"/>
        </w:rPr>
        <w:t>V rámci jednotlivých skupín frekvencií sú nežiaduce účinky usporiadané v poradí klesajúcej závažnosti.</w:t>
      </w:r>
    </w:p>
    <w:p w14:paraId="1349A44B" w14:textId="77777777" w:rsidR="000E6643" w:rsidRPr="00756B9D" w:rsidRDefault="000E6643">
      <w:pPr>
        <w:pStyle w:val="Default"/>
        <w:rPr>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807"/>
        <w:gridCol w:w="1867"/>
        <w:gridCol w:w="2073"/>
        <w:gridCol w:w="1853"/>
      </w:tblGrid>
      <w:tr w:rsidR="000E6643" w:rsidRPr="00756B9D" w14:paraId="642A1E09" w14:textId="77777777" w:rsidTr="00E85B56">
        <w:tc>
          <w:tcPr>
            <w:tcW w:w="2014" w:type="dxa"/>
          </w:tcPr>
          <w:p w14:paraId="0B30973C" w14:textId="77777777" w:rsidR="000E6643" w:rsidRPr="00756B9D" w:rsidRDefault="000E6643">
            <w:pPr>
              <w:pStyle w:val="Default"/>
              <w:rPr>
                <w:sz w:val="22"/>
                <w:szCs w:val="22"/>
              </w:rPr>
            </w:pPr>
            <w:r w:rsidRPr="00756B9D">
              <w:rPr>
                <w:b/>
                <w:bCs/>
                <w:sz w:val="22"/>
                <w:szCs w:val="22"/>
                <w:lang w:val="sk"/>
              </w:rPr>
              <w:t xml:space="preserve">Veľmi časté </w:t>
            </w:r>
          </w:p>
        </w:tc>
        <w:tc>
          <w:tcPr>
            <w:tcW w:w="2017" w:type="dxa"/>
          </w:tcPr>
          <w:p w14:paraId="62267EEF" w14:textId="77777777" w:rsidR="000E6643" w:rsidRPr="00756B9D" w:rsidRDefault="000E6643">
            <w:pPr>
              <w:pStyle w:val="Default"/>
              <w:rPr>
                <w:sz w:val="22"/>
                <w:szCs w:val="22"/>
              </w:rPr>
            </w:pPr>
            <w:r w:rsidRPr="00756B9D">
              <w:rPr>
                <w:b/>
                <w:bCs/>
                <w:sz w:val="22"/>
                <w:szCs w:val="22"/>
                <w:lang w:val="sk"/>
              </w:rPr>
              <w:t xml:space="preserve">Časté </w:t>
            </w:r>
          </w:p>
        </w:tc>
        <w:tc>
          <w:tcPr>
            <w:tcW w:w="1889" w:type="dxa"/>
          </w:tcPr>
          <w:p w14:paraId="79E0821E" w14:textId="77777777" w:rsidR="000E6643" w:rsidRPr="00756B9D" w:rsidRDefault="000E6643">
            <w:pPr>
              <w:pStyle w:val="Default"/>
              <w:rPr>
                <w:sz w:val="22"/>
                <w:szCs w:val="22"/>
              </w:rPr>
            </w:pPr>
            <w:r w:rsidRPr="00756B9D">
              <w:rPr>
                <w:b/>
                <w:bCs/>
                <w:sz w:val="22"/>
                <w:szCs w:val="22"/>
                <w:lang w:val="sk"/>
              </w:rPr>
              <w:t xml:space="preserve">Menej časté </w:t>
            </w:r>
          </w:p>
        </w:tc>
        <w:tc>
          <w:tcPr>
            <w:tcW w:w="2212" w:type="dxa"/>
          </w:tcPr>
          <w:p w14:paraId="34ECBD4C" w14:textId="77777777" w:rsidR="000E6643" w:rsidRPr="00756B9D" w:rsidRDefault="000E6643">
            <w:pPr>
              <w:pStyle w:val="Default"/>
              <w:rPr>
                <w:sz w:val="22"/>
                <w:szCs w:val="22"/>
              </w:rPr>
            </w:pPr>
            <w:r w:rsidRPr="00756B9D">
              <w:rPr>
                <w:b/>
                <w:bCs/>
                <w:sz w:val="22"/>
                <w:szCs w:val="22"/>
                <w:lang w:val="sk"/>
              </w:rPr>
              <w:t xml:space="preserve">Zriedkavé </w:t>
            </w:r>
          </w:p>
        </w:tc>
        <w:tc>
          <w:tcPr>
            <w:tcW w:w="2148" w:type="dxa"/>
          </w:tcPr>
          <w:p w14:paraId="7926E4F2" w14:textId="77777777" w:rsidR="000E6643" w:rsidRPr="00756B9D" w:rsidRDefault="000E6643">
            <w:pPr>
              <w:pStyle w:val="Default"/>
              <w:rPr>
                <w:sz w:val="22"/>
                <w:szCs w:val="22"/>
              </w:rPr>
            </w:pPr>
            <w:r w:rsidRPr="00756B9D">
              <w:rPr>
                <w:b/>
                <w:bCs/>
                <w:sz w:val="22"/>
                <w:szCs w:val="22"/>
                <w:lang w:val="sk"/>
              </w:rPr>
              <w:t xml:space="preserve">Veľmi zriedkavé </w:t>
            </w:r>
          </w:p>
        </w:tc>
      </w:tr>
      <w:tr w:rsidR="000E6643" w:rsidRPr="00756B9D" w14:paraId="57AAB7FC" w14:textId="77777777" w:rsidTr="001433FD">
        <w:tc>
          <w:tcPr>
            <w:tcW w:w="10280" w:type="dxa"/>
            <w:gridSpan w:val="5"/>
          </w:tcPr>
          <w:p w14:paraId="3ECF1E81" w14:textId="77777777" w:rsidR="008466EA" w:rsidRPr="00756B9D" w:rsidRDefault="000E6643" w:rsidP="00831137">
            <w:pPr>
              <w:pStyle w:val="Default"/>
              <w:rPr>
                <w:i/>
                <w:iCs/>
                <w:sz w:val="22"/>
                <w:szCs w:val="22"/>
              </w:rPr>
            </w:pPr>
            <w:r w:rsidRPr="00756B9D">
              <w:rPr>
                <w:i/>
                <w:iCs/>
                <w:sz w:val="22"/>
                <w:szCs w:val="22"/>
                <w:lang w:val="sk"/>
              </w:rPr>
              <w:t>Infekcie a nákazy</w:t>
            </w:r>
          </w:p>
          <w:p w14:paraId="2AD20F89" w14:textId="77777777" w:rsidR="000E6643" w:rsidRPr="00756B9D" w:rsidRDefault="000E6643">
            <w:pPr>
              <w:pStyle w:val="Default"/>
              <w:rPr>
                <w:sz w:val="22"/>
                <w:szCs w:val="22"/>
              </w:rPr>
            </w:pPr>
            <w:r w:rsidRPr="00756B9D">
              <w:rPr>
                <w:i/>
                <w:iCs/>
                <w:sz w:val="22"/>
                <w:szCs w:val="22"/>
                <w:lang w:val="sk"/>
              </w:rPr>
              <w:t xml:space="preserve"> </w:t>
            </w:r>
          </w:p>
        </w:tc>
      </w:tr>
      <w:tr w:rsidR="000E6643" w:rsidRPr="00756B9D" w14:paraId="2455D07B" w14:textId="77777777" w:rsidTr="00E85B56">
        <w:tc>
          <w:tcPr>
            <w:tcW w:w="2014" w:type="dxa"/>
          </w:tcPr>
          <w:p w14:paraId="4B6127BF" w14:textId="77777777" w:rsidR="000E6643" w:rsidRPr="00756B9D" w:rsidRDefault="000E6643" w:rsidP="00831137">
            <w:pPr>
              <w:pStyle w:val="Default"/>
              <w:rPr>
                <w:color w:val="auto"/>
                <w:sz w:val="22"/>
                <w:szCs w:val="22"/>
              </w:rPr>
            </w:pPr>
          </w:p>
        </w:tc>
        <w:tc>
          <w:tcPr>
            <w:tcW w:w="2017" w:type="dxa"/>
          </w:tcPr>
          <w:p w14:paraId="693EA51F" w14:textId="77777777" w:rsidR="000E6643" w:rsidRPr="00756B9D" w:rsidRDefault="000E6643">
            <w:pPr>
              <w:pStyle w:val="Default"/>
              <w:rPr>
                <w:color w:val="auto"/>
                <w:sz w:val="22"/>
                <w:szCs w:val="22"/>
              </w:rPr>
            </w:pPr>
          </w:p>
        </w:tc>
        <w:tc>
          <w:tcPr>
            <w:tcW w:w="1889" w:type="dxa"/>
          </w:tcPr>
          <w:p w14:paraId="23519531" w14:textId="77777777" w:rsidR="000E6643" w:rsidRPr="00756B9D" w:rsidRDefault="000E6643">
            <w:pPr>
              <w:pStyle w:val="Default"/>
              <w:rPr>
                <w:sz w:val="22"/>
                <w:szCs w:val="22"/>
              </w:rPr>
            </w:pPr>
            <w:r w:rsidRPr="00756B9D">
              <w:rPr>
                <w:sz w:val="22"/>
                <w:szCs w:val="22"/>
                <w:lang w:val="sk"/>
              </w:rPr>
              <w:t xml:space="preserve">Laryngitída </w:t>
            </w:r>
          </w:p>
        </w:tc>
        <w:tc>
          <w:tcPr>
            <w:tcW w:w="2212" w:type="dxa"/>
          </w:tcPr>
          <w:p w14:paraId="0BD5471B" w14:textId="77777777" w:rsidR="000E6643" w:rsidRPr="00756B9D" w:rsidRDefault="000E6643">
            <w:pPr>
              <w:pStyle w:val="Default"/>
              <w:rPr>
                <w:color w:val="auto"/>
                <w:sz w:val="22"/>
                <w:szCs w:val="22"/>
              </w:rPr>
            </w:pPr>
          </w:p>
        </w:tc>
        <w:tc>
          <w:tcPr>
            <w:tcW w:w="2148" w:type="dxa"/>
          </w:tcPr>
          <w:p w14:paraId="1015832B" w14:textId="77777777" w:rsidR="000E6643" w:rsidRPr="00756B9D" w:rsidRDefault="000E6643">
            <w:pPr>
              <w:pStyle w:val="Default"/>
              <w:rPr>
                <w:color w:val="auto"/>
                <w:sz w:val="22"/>
                <w:szCs w:val="22"/>
              </w:rPr>
            </w:pPr>
          </w:p>
        </w:tc>
      </w:tr>
      <w:tr w:rsidR="000E6643" w:rsidRPr="00756B9D" w14:paraId="3C7DA73E" w14:textId="77777777" w:rsidTr="001433FD">
        <w:tc>
          <w:tcPr>
            <w:tcW w:w="10280" w:type="dxa"/>
            <w:gridSpan w:val="5"/>
          </w:tcPr>
          <w:p w14:paraId="0B2BB995" w14:textId="77777777" w:rsidR="000E6643" w:rsidRPr="00756B9D" w:rsidRDefault="000E6643" w:rsidP="00831137">
            <w:pPr>
              <w:pStyle w:val="Default"/>
              <w:rPr>
                <w:i/>
                <w:iCs/>
                <w:sz w:val="22"/>
                <w:szCs w:val="22"/>
              </w:rPr>
            </w:pPr>
            <w:r w:rsidRPr="00756B9D">
              <w:rPr>
                <w:i/>
                <w:iCs/>
                <w:sz w:val="22"/>
                <w:szCs w:val="22"/>
                <w:lang w:val="sk"/>
              </w:rPr>
              <w:t xml:space="preserve">Poruchy imunitného systému </w:t>
            </w:r>
          </w:p>
          <w:p w14:paraId="277B33C4" w14:textId="77777777" w:rsidR="008466EA" w:rsidRPr="00756B9D" w:rsidRDefault="008466EA">
            <w:pPr>
              <w:pStyle w:val="Default"/>
              <w:rPr>
                <w:sz w:val="22"/>
                <w:szCs w:val="22"/>
              </w:rPr>
            </w:pPr>
          </w:p>
        </w:tc>
      </w:tr>
      <w:tr w:rsidR="000E6643" w:rsidRPr="00756B9D" w14:paraId="59BFBDE9" w14:textId="77777777" w:rsidTr="00E85B56">
        <w:tc>
          <w:tcPr>
            <w:tcW w:w="2014" w:type="dxa"/>
          </w:tcPr>
          <w:p w14:paraId="3B85C27A" w14:textId="77777777" w:rsidR="000E6643" w:rsidRPr="00756B9D" w:rsidRDefault="000E6643" w:rsidP="00831137">
            <w:pPr>
              <w:pStyle w:val="Default"/>
              <w:rPr>
                <w:color w:val="auto"/>
                <w:sz w:val="22"/>
                <w:szCs w:val="22"/>
              </w:rPr>
            </w:pPr>
          </w:p>
        </w:tc>
        <w:tc>
          <w:tcPr>
            <w:tcW w:w="2017" w:type="dxa"/>
          </w:tcPr>
          <w:p w14:paraId="15828AB4" w14:textId="77777777" w:rsidR="000E6643" w:rsidRPr="00756B9D" w:rsidRDefault="000E6643">
            <w:pPr>
              <w:pStyle w:val="Default"/>
              <w:rPr>
                <w:color w:val="auto"/>
                <w:sz w:val="22"/>
                <w:szCs w:val="22"/>
              </w:rPr>
            </w:pPr>
          </w:p>
        </w:tc>
        <w:tc>
          <w:tcPr>
            <w:tcW w:w="1889" w:type="dxa"/>
          </w:tcPr>
          <w:p w14:paraId="4C0FE0B3" w14:textId="77777777" w:rsidR="000E6643" w:rsidRPr="00756B9D" w:rsidRDefault="000E6643">
            <w:pPr>
              <w:pStyle w:val="Default"/>
              <w:rPr>
                <w:color w:val="auto"/>
                <w:sz w:val="22"/>
                <w:szCs w:val="22"/>
              </w:rPr>
            </w:pPr>
          </w:p>
        </w:tc>
        <w:tc>
          <w:tcPr>
            <w:tcW w:w="2212" w:type="dxa"/>
          </w:tcPr>
          <w:p w14:paraId="182C0D8B" w14:textId="77777777" w:rsidR="000E6643" w:rsidRPr="00756B9D" w:rsidRDefault="000E6643">
            <w:pPr>
              <w:pStyle w:val="Default"/>
              <w:rPr>
                <w:sz w:val="22"/>
                <w:szCs w:val="22"/>
              </w:rPr>
            </w:pPr>
            <w:r w:rsidRPr="00756B9D">
              <w:rPr>
                <w:sz w:val="22"/>
                <w:szCs w:val="22"/>
                <w:lang w:val="sk"/>
              </w:rPr>
              <w:t xml:space="preserve">Anafylaktická reakcia </w:t>
            </w:r>
          </w:p>
          <w:p w14:paraId="6D105127" w14:textId="77777777" w:rsidR="000E6643" w:rsidRPr="00756B9D" w:rsidRDefault="000E6643">
            <w:pPr>
              <w:pStyle w:val="Default"/>
              <w:rPr>
                <w:color w:val="auto"/>
                <w:sz w:val="22"/>
                <w:szCs w:val="22"/>
              </w:rPr>
            </w:pPr>
            <w:r w:rsidRPr="00756B9D">
              <w:rPr>
                <w:sz w:val="22"/>
                <w:szCs w:val="22"/>
                <w:lang w:val="sk"/>
              </w:rPr>
              <w:t xml:space="preserve">Hypersenzitivita </w:t>
            </w:r>
          </w:p>
        </w:tc>
        <w:tc>
          <w:tcPr>
            <w:tcW w:w="2148" w:type="dxa"/>
          </w:tcPr>
          <w:p w14:paraId="26064632" w14:textId="77777777" w:rsidR="000E6643" w:rsidRPr="00756B9D" w:rsidRDefault="000E6643">
            <w:pPr>
              <w:pStyle w:val="Default"/>
              <w:rPr>
                <w:color w:val="auto"/>
                <w:sz w:val="22"/>
                <w:szCs w:val="22"/>
              </w:rPr>
            </w:pPr>
          </w:p>
        </w:tc>
      </w:tr>
      <w:tr w:rsidR="000E6643" w:rsidRPr="00756B9D" w14:paraId="443E0BB9" w14:textId="77777777" w:rsidTr="001433FD">
        <w:tc>
          <w:tcPr>
            <w:tcW w:w="10280" w:type="dxa"/>
            <w:gridSpan w:val="5"/>
          </w:tcPr>
          <w:p w14:paraId="2BE57401" w14:textId="77777777" w:rsidR="008466EA" w:rsidRPr="00756B9D" w:rsidRDefault="000E6643" w:rsidP="00831137">
            <w:pPr>
              <w:pStyle w:val="Default"/>
              <w:rPr>
                <w:i/>
                <w:iCs/>
                <w:sz w:val="22"/>
                <w:szCs w:val="22"/>
              </w:rPr>
            </w:pPr>
            <w:r w:rsidRPr="00756B9D">
              <w:rPr>
                <w:i/>
                <w:iCs/>
                <w:sz w:val="22"/>
                <w:szCs w:val="22"/>
                <w:lang w:val="sk"/>
              </w:rPr>
              <w:t>Poruchy endokrinného systému</w:t>
            </w:r>
          </w:p>
          <w:p w14:paraId="1CA01478" w14:textId="77777777" w:rsidR="000E6643" w:rsidRPr="00756B9D" w:rsidRDefault="000E6643">
            <w:pPr>
              <w:pStyle w:val="Default"/>
              <w:rPr>
                <w:sz w:val="22"/>
                <w:szCs w:val="22"/>
              </w:rPr>
            </w:pPr>
            <w:r w:rsidRPr="00756B9D">
              <w:rPr>
                <w:i/>
                <w:iCs/>
                <w:sz w:val="22"/>
                <w:szCs w:val="22"/>
                <w:lang w:val="sk"/>
              </w:rPr>
              <w:t xml:space="preserve"> </w:t>
            </w:r>
          </w:p>
        </w:tc>
      </w:tr>
      <w:tr w:rsidR="000E6643" w:rsidRPr="00756B9D" w14:paraId="796357D1" w14:textId="77777777" w:rsidTr="00E85B56">
        <w:tc>
          <w:tcPr>
            <w:tcW w:w="2014" w:type="dxa"/>
          </w:tcPr>
          <w:p w14:paraId="1B5480AA" w14:textId="77777777" w:rsidR="000E6643" w:rsidRPr="00756B9D" w:rsidRDefault="000E6643" w:rsidP="00831137">
            <w:pPr>
              <w:pStyle w:val="Default"/>
              <w:rPr>
                <w:color w:val="auto"/>
                <w:sz w:val="22"/>
                <w:szCs w:val="22"/>
              </w:rPr>
            </w:pPr>
          </w:p>
        </w:tc>
        <w:tc>
          <w:tcPr>
            <w:tcW w:w="2017" w:type="dxa"/>
          </w:tcPr>
          <w:p w14:paraId="13D8C60A" w14:textId="77777777" w:rsidR="000E6643" w:rsidRPr="00756B9D" w:rsidRDefault="000E6643">
            <w:pPr>
              <w:pStyle w:val="Default"/>
              <w:rPr>
                <w:color w:val="auto"/>
                <w:sz w:val="22"/>
                <w:szCs w:val="22"/>
              </w:rPr>
            </w:pPr>
          </w:p>
        </w:tc>
        <w:tc>
          <w:tcPr>
            <w:tcW w:w="1889" w:type="dxa"/>
          </w:tcPr>
          <w:p w14:paraId="7E321DA9" w14:textId="77777777" w:rsidR="000E6643" w:rsidRPr="00756B9D" w:rsidRDefault="000E6643">
            <w:pPr>
              <w:pStyle w:val="Default"/>
              <w:rPr>
                <w:color w:val="auto"/>
                <w:sz w:val="22"/>
                <w:szCs w:val="22"/>
              </w:rPr>
            </w:pPr>
          </w:p>
        </w:tc>
        <w:tc>
          <w:tcPr>
            <w:tcW w:w="2212" w:type="dxa"/>
          </w:tcPr>
          <w:p w14:paraId="63A8C6CA" w14:textId="77777777" w:rsidR="000E6643" w:rsidRPr="00756B9D" w:rsidRDefault="000E6643">
            <w:pPr>
              <w:pStyle w:val="Default"/>
              <w:rPr>
                <w:sz w:val="22"/>
                <w:szCs w:val="22"/>
              </w:rPr>
            </w:pPr>
            <w:r w:rsidRPr="00756B9D">
              <w:rPr>
                <w:sz w:val="22"/>
                <w:szCs w:val="22"/>
                <w:lang w:val="sk"/>
              </w:rPr>
              <w:t xml:space="preserve">Hypotyreóza </w:t>
            </w:r>
          </w:p>
        </w:tc>
        <w:tc>
          <w:tcPr>
            <w:tcW w:w="2148" w:type="dxa"/>
          </w:tcPr>
          <w:p w14:paraId="5CDF30E3" w14:textId="77777777" w:rsidR="000E6643" w:rsidRPr="00756B9D" w:rsidRDefault="000E6643">
            <w:pPr>
              <w:pStyle w:val="Default"/>
              <w:rPr>
                <w:color w:val="auto"/>
                <w:sz w:val="22"/>
                <w:szCs w:val="22"/>
              </w:rPr>
            </w:pPr>
          </w:p>
        </w:tc>
      </w:tr>
      <w:tr w:rsidR="000E6643" w:rsidRPr="00756B9D" w14:paraId="1F735CD3" w14:textId="77777777" w:rsidTr="001433FD">
        <w:tc>
          <w:tcPr>
            <w:tcW w:w="10280" w:type="dxa"/>
            <w:gridSpan w:val="5"/>
          </w:tcPr>
          <w:p w14:paraId="732CE795" w14:textId="77777777" w:rsidR="008466EA" w:rsidRPr="00756B9D" w:rsidRDefault="000E6643" w:rsidP="00831137">
            <w:pPr>
              <w:pStyle w:val="Default"/>
              <w:rPr>
                <w:i/>
                <w:iCs/>
                <w:sz w:val="22"/>
                <w:szCs w:val="22"/>
              </w:rPr>
            </w:pPr>
            <w:r w:rsidRPr="00756B9D">
              <w:rPr>
                <w:i/>
                <w:iCs/>
                <w:sz w:val="22"/>
                <w:szCs w:val="22"/>
                <w:lang w:val="sk"/>
              </w:rPr>
              <w:t>Poruchy metabolizmu a výživy</w:t>
            </w:r>
          </w:p>
          <w:p w14:paraId="1CBD264F" w14:textId="77777777" w:rsidR="000E6643" w:rsidRPr="00756B9D" w:rsidRDefault="000E6643">
            <w:pPr>
              <w:pStyle w:val="Default"/>
              <w:rPr>
                <w:sz w:val="22"/>
                <w:szCs w:val="22"/>
              </w:rPr>
            </w:pPr>
            <w:r w:rsidRPr="00756B9D">
              <w:rPr>
                <w:i/>
                <w:iCs/>
                <w:sz w:val="22"/>
                <w:szCs w:val="22"/>
                <w:lang w:val="sk"/>
              </w:rPr>
              <w:t xml:space="preserve"> </w:t>
            </w:r>
          </w:p>
        </w:tc>
      </w:tr>
      <w:tr w:rsidR="000E6643" w:rsidRPr="00756B9D" w14:paraId="091FD858" w14:textId="77777777" w:rsidTr="00E85B56">
        <w:tc>
          <w:tcPr>
            <w:tcW w:w="2014" w:type="dxa"/>
          </w:tcPr>
          <w:p w14:paraId="27BCC001" w14:textId="77777777" w:rsidR="000E6643" w:rsidRPr="00756B9D" w:rsidRDefault="000E6643" w:rsidP="00831137">
            <w:pPr>
              <w:pStyle w:val="Default"/>
              <w:rPr>
                <w:color w:val="auto"/>
                <w:sz w:val="22"/>
                <w:szCs w:val="22"/>
              </w:rPr>
            </w:pPr>
          </w:p>
        </w:tc>
        <w:tc>
          <w:tcPr>
            <w:tcW w:w="2017" w:type="dxa"/>
          </w:tcPr>
          <w:p w14:paraId="0F1EA66E" w14:textId="77777777" w:rsidR="000E6643" w:rsidRPr="00756B9D" w:rsidRDefault="000E6643">
            <w:pPr>
              <w:pStyle w:val="Default"/>
              <w:rPr>
                <w:sz w:val="22"/>
                <w:szCs w:val="22"/>
              </w:rPr>
            </w:pPr>
            <w:r w:rsidRPr="00756B9D">
              <w:rPr>
                <w:sz w:val="22"/>
                <w:szCs w:val="22"/>
                <w:lang w:val="sk"/>
              </w:rPr>
              <w:t xml:space="preserve">Pokles chuti do jedla </w:t>
            </w:r>
          </w:p>
        </w:tc>
        <w:tc>
          <w:tcPr>
            <w:tcW w:w="1889" w:type="dxa"/>
          </w:tcPr>
          <w:p w14:paraId="25E3890D" w14:textId="77777777" w:rsidR="000E6643" w:rsidRPr="00756B9D" w:rsidRDefault="000E6643">
            <w:pPr>
              <w:pStyle w:val="Default"/>
              <w:rPr>
                <w:sz w:val="22"/>
                <w:szCs w:val="22"/>
              </w:rPr>
            </w:pPr>
            <w:r w:rsidRPr="00756B9D">
              <w:rPr>
                <w:sz w:val="22"/>
                <w:szCs w:val="22"/>
                <w:lang w:val="sk"/>
              </w:rPr>
              <w:t xml:space="preserve">Hyperglykémia (hlásená hlavne u pacientov s diabetom) </w:t>
            </w:r>
          </w:p>
        </w:tc>
        <w:tc>
          <w:tcPr>
            <w:tcW w:w="2212" w:type="dxa"/>
          </w:tcPr>
          <w:p w14:paraId="250D8F51" w14:textId="77777777" w:rsidR="000E6643" w:rsidRPr="00756B9D" w:rsidRDefault="000E6643">
            <w:pPr>
              <w:pStyle w:val="Default"/>
              <w:rPr>
                <w:sz w:val="22"/>
                <w:szCs w:val="22"/>
              </w:rPr>
            </w:pPr>
            <w:r w:rsidRPr="00756B9D">
              <w:rPr>
                <w:sz w:val="22"/>
                <w:szCs w:val="22"/>
                <w:lang w:val="sk"/>
              </w:rPr>
              <w:t xml:space="preserve">Dehydratácia </w:t>
            </w:r>
          </w:p>
          <w:p w14:paraId="143FD6DE" w14:textId="77777777" w:rsidR="000E6643" w:rsidRPr="00756B9D" w:rsidRDefault="000E6643">
            <w:pPr>
              <w:pStyle w:val="Default"/>
              <w:rPr>
                <w:sz w:val="22"/>
                <w:szCs w:val="22"/>
              </w:rPr>
            </w:pPr>
            <w:r w:rsidRPr="00756B9D">
              <w:rPr>
                <w:sz w:val="22"/>
                <w:szCs w:val="22"/>
                <w:lang w:val="sk"/>
              </w:rPr>
              <w:t xml:space="preserve">Hyponatriémia </w:t>
            </w:r>
          </w:p>
          <w:p w14:paraId="7022BE37" w14:textId="5A538FE4" w:rsidR="000E6643" w:rsidRPr="00756B9D" w:rsidRDefault="000E6643">
            <w:pPr>
              <w:pStyle w:val="Default"/>
              <w:rPr>
                <w:sz w:val="22"/>
                <w:szCs w:val="22"/>
              </w:rPr>
            </w:pPr>
            <w:r w:rsidRPr="00756B9D">
              <w:rPr>
                <w:sz w:val="22"/>
                <w:szCs w:val="22"/>
                <w:lang w:val="sk"/>
              </w:rPr>
              <w:t>SIADH</w:t>
            </w:r>
            <w:r w:rsidRPr="00756B9D">
              <w:rPr>
                <w:sz w:val="22"/>
                <w:szCs w:val="22"/>
                <w:vertAlign w:val="superscript"/>
                <w:lang w:val="sk"/>
              </w:rPr>
              <w:t xml:space="preserve"> </w:t>
            </w:r>
            <w:r w:rsidR="005F4A1E" w:rsidRPr="00756B9D">
              <w:rPr>
                <w:sz w:val="22"/>
                <w:szCs w:val="22"/>
                <w:vertAlign w:val="superscript"/>
                <w:lang w:val="sk"/>
              </w:rPr>
              <w:t>6</w:t>
            </w:r>
          </w:p>
        </w:tc>
        <w:tc>
          <w:tcPr>
            <w:tcW w:w="2148" w:type="dxa"/>
          </w:tcPr>
          <w:p w14:paraId="7FE82D53" w14:textId="77777777" w:rsidR="000E6643" w:rsidRPr="00756B9D" w:rsidRDefault="000E6643">
            <w:pPr>
              <w:pStyle w:val="Default"/>
              <w:rPr>
                <w:color w:val="auto"/>
                <w:sz w:val="22"/>
                <w:szCs w:val="22"/>
              </w:rPr>
            </w:pPr>
          </w:p>
        </w:tc>
      </w:tr>
      <w:tr w:rsidR="000E6643" w:rsidRPr="00756B9D" w14:paraId="150154D3" w14:textId="77777777" w:rsidTr="001433FD">
        <w:tc>
          <w:tcPr>
            <w:tcW w:w="10280" w:type="dxa"/>
            <w:gridSpan w:val="5"/>
          </w:tcPr>
          <w:p w14:paraId="25BB5FF1" w14:textId="77777777" w:rsidR="000E6643" w:rsidRPr="00756B9D" w:rsidRDefault="000E6643" w:rsidP="00831137">
            <w:pPr>
              <w:pStyle w:val="Default"/>
              <w:rPr>
                <w:i/>
                <w:iCs/>
                <w:sz w:val="22"/>
                <w:szCs w:val="22"/>
              </w:rPr>
            </w:pPr>
            <w:r w:rsidRPr="00756B9D">
              <w:rPr>
                <w:i/>
                <w:iCs/>
                <w:sz w:val="22"/>
                <w:szCs w:val="22"/>
                <w:lang w:val="sk"/>
              </w:rPr>
              <w:t>Psychické poruchy</w:t>
            </w:r>
          </w:p>
          <w:p w14:paraId="205C6E54" w14:textId="77777777" w:rsidR="008466EA" w:rsidRPr="00756B9D" w:rsidRDefault="008466EA">
            <w:pPr>
              <w:pStyle w:val="Default"/>
              <w:rPr>
                <w:sz w:val="22"/>
                <w:szCs w:val="22"/>
              </w:rPr>
            </w:pPr>
          </w:p>
        </w:tc>
      </w:tr>
      <w:tr w:rsidR="000E6643" w:rsidRPr="00756B9D" w14:paraId="07499A2C" w14:textId="77777777" w:rsidTr="00E85B56">
        <w:tc>
          <w:tcPr>
            <w:tcW w:w="2014" w:type="dxa"/>
          </w:tcPr>
          <w:p w14:paraId="6F1FE0FD" w14:textId="77777777" w:rsidR="000E6643" w:rsidRPr="00756B9D" w:rsidRDefault="000E6643" w:rsidP="00831137">
            <w:pPr>
              <w:pStyle w:val="Default"/>
              <w:rPr>
                <w:color w:val="auto"/>
                <w:sz w:val="22"/>
                <w:szCs w:val="22"/>
              </w:rPr>
            </w:pPr>
          </w:p>
        </w:tc>
        <w:tc>
          <w:tcPr>
            <w:tcW w:w="2017" w:type="dxa"/>
          </w:tcPr>
          <w:p w14:paraId="35074EE9" w14:textId="77777777" w:rsidR="002B113E" w:rsidRPr="00756B9D" w:rsidRDefault="000E6643">
            <w:pPr>
              <w:pStyle w:val="Default"/>
              <w:rPr>
                <w:sz w:val="22"/>
                <w:szCs w:val="22"/>
              </w:rPr>
            </w:pPr>
            <w:r w:rsidRPr="00756B9D">
              <w:rPr>
                <w:sz w:val="22"/>
                <w:szCs w:val="22"/>
                <w:lang w:val="sk"/>
              </w:rPr>
              <w:t xml:space="preserve">Nespavosť </w:t>
            </w:r>
          </w:p>
          <w:p w14:paraId="746B0401" w14:textId="77777777" w:rsidR="000E6643" w:rsidRPr="00756B9D" w:rsidRDefault="000E6643">
            <w:pPr>
              <w:pStyle w:val="Default"/>
              <w:rPr>
                <w:sz w:val="22"/>
                <w:szCs w:val="22"/>
              </w:rPr>
            </w:pPr>
            <w:r w:rsidRPr="00756B9D">
              <w:rPr>
                <w:sz w:val="22"/>
                <w:szCs w:val="22"/>
                <w:lang w:val="sk"/>
              </w:rPr>
              <w:t xml:space="preserve">Agitácia </w:t>
            </w:r>
          </w:p>
          <w:p w14:paraId="48857F84" w14:textId="77777777" w:rsidR="000E6643" w:rsidRPr="00756B9D" w:rsidRDefault="000E6643">
            <w:pPr>
              <w:pStyle w:val="Default"/>
              <w:rPr>
                <w:sz w:val="22"/>
                <w:szCs w:val="22"/>
              </w:rPr>
            </w:pPr>
            <w:r w:rsidRPr="00756B9D">
              <w:rPr>
                <w:sz w:val="22"/>
                <w:szCs w:val="22"/>
                <w:lang w:val="sk"/>
              </w:rPr>
              <w:t xml:space="preserve">Pokles libida </w:t>
            </w:r>
          </w:p>
          <w:p w14:paraId="4479CD2F" w14:textId="77777777" w:rsidR="000E6643" w:rsidRPr="00756B9D" w:rsidRDefault="000E6643">
            <w:pPr>
              <w:pStyle w:val="Default"/>
              <w:rPr>
                <w:sz w:val="22"/>
                <w:szCs w:val="22"/>
              </w:rPr>
            </w:pPr>
            <w:r w:rsidRPr="00756B9D">
              <w:rPr>
                <w:sz w:val="22"/>
                <w:szCs w:val="22"/>
                <w:lang w:val="sk"/>
              </w:rPr>
              <w:t xml:space="preserve">Úzkosť </w:t>
            </w:r>
          </w:p>
          <w:p w14:paraId="0FC162F0" w14:textId="77777777" w:rsidR="000E6643" w:rsidRPr="00756B9D" w:rsidRDefault="000E6643">
            <w:pPr>
              <w:pStyle w:val="Default"/>
              <w:rPr>
                <w:sz w:val="22"/>
                <w:szCs w:val="22"/>
              </w:rPr>
            </w:pPr>
            <w:r w:rsidRPr="00756B9D">
              <w:rPr>
                <w:sz w:val="22"/>
                <w:szCs w:val="22"/>
                <w:lang w:val="sk"/>
              </w:rPr>
              <w:t xml:space="preserve">Abnormálny orgazmus </w:t>
            </w:r>
          </w:p>
          <w:p w14:paraId="08FD4305" w14:textId="77777777" w:rsidR="000E6643" w:rsidRPr="00756B9D" w:rsidRDefault="000E6643">
            <w:pPr>
              <w:pStyle w:val="Default"/>
              <w:rPr>
                <w:sz w:val="22"/>
                <w:szCs w:val="22"/>
              </w:rPr>
            </w:pPr>
            <w:r w:rsidRPr="00756B9D">
              <w:rPr>
                <w:sz w:val="22"/>
                <w:szCs w:val="22"/>
                <w:lang w:val="sk"/>
              </w:rPr>
              <w:t xml:space="preserve">Abnormálne sny </w:t>
            </w:r>
          </w:p>
        </w:tc>
        <w:tc>
          <w:tcPr>
            <w:tcW w:w="1889" w:type="dxa"/>
          </w:tcPr>
          <w:p w14:paraId="7700C246" w14:textId="77777777" w:rsidR="000E6643" w:rsidRPr="00756B9D" w:rsidRDefault="000E6643">
            <w:pPr>
              <w:pStyle w:val="Default"/>
              <w:rPr>
                <w:sz w:val="22"/>
                <w:szCs w:val="22"/>
              </w:rPr>
            </w:pPr>
            <w:r w:rsidRPr="00756B9D">
              <w:rPr>
                <w:sz w:val="22"/>
                <w:szCs w:val="22"/>
                <w:lang w:val="sk"/>
              </w:rPr>
              <w:t>Suicidálne myšlienky</w:t>
            </w:r>
            <w:r w:rsidRPr="00756B9D">
              <w:rPr>
                <w:sz w:val="22"/>
                <w:szCs w:val="22"/>
                <w:vertAlign w:val="superscript"/>
                <w:lang w:val="sk"/>
              </w:rPr>
              <w:t xml:space="preserve">5,7 </w:t>
            </w:r>
          </w:p>
          <w:p w14:paraId="7329DEC1" w14:textId="77777777" w:rsidR="000E6643" w:rsidRPr="00756B9D" w:rsidRDefault="000E6643">
            <w:pPr>
              <w:pStyle w:val="Default"/>
              <w:rPr>
                <w:sz w:val="22"/>
                <w:szCs w:val="22"/>
              </w:rPr>
            </w:pPr>
            <w:r w:rsidRPr="00756B9D">
              <w:rPr>
                <w:sz w:val="22"/>
                <w:szCs w:val="22"/>
                <w:lang w:val="sk"/>
              </w:rPr>
              <w:t xml:space="preserve">Porucha spánku </w:t>
            </w:r>
          </w:p>
          <w:p w14:paraId="28537E89" w14:textId="77777777" w:rsidR="000E6643" w:rsidRPr="00756B9D" w:rsidRDefault="000E6643">
            <w:pPr>
              <w:pStyle w:val="Default"/>
              <w:rPr>
                <w:sz w:val="22"/>
                <w:szCs w:val="22"/>
              </w:rPr>
            </w:pPr>
            <w:r w:rsidRPr="00756B9D">
              <w:rPr>
                <w:sz w:val="22"/>
                <w:szCs w:val="22"/>
                <w:lang w:val="sk"/>
              </w:rPr>
              <w:t xml:space="preserve">Škrípanie zubami </w:t>
            </w:r>
          </w:p>
          <w:p w14:paraId="262A2151" w14:textId="77777777" w:rsidR="000E6643" w:rsidRPr="00756B9D" w:rsidRDefault="000E6643">
            <w:pPr>
              <w:pStyle w:val="Default"/>
              <w:rPr>
                <w:sz w:val="22"/>
                <w:szCs w:val="22"/>
              </w:rPr>
            </w:pPr>
            <w:r w:rsidRPr="00756B9D">
              <w:rPr>
                <w:sz w:val="22"/>
                <w:szCs w:val="22"/>
                <w:lang w:val="sk"/>
              </w:rPr>
              <w:t xml:space="preserve">Dezorientácia </w:t>
            </w:r>
          </w:p>
          <w:p w14:paraId="394CE835" w14:textId="77777777" w:rsidR="000E6643" w:rsidRPr="00756B9D" w:rsidRDefault="000E6643">
            <w:pPr>
              <w:pStyle w:val="Default"/>
              <w:rPr>
                <w:sz w:val="22"/>
                <w:szCs w:val="22"/>
              </w:rPr>
            </w:pPr>
            <w:r w:rsidRPr="00756B9D">
              <w:rPr>
                <w:sz w:val="22"/>
                <w:szCs w:val="22"/>
                <w:lang w:val="sk"/>
              </w:rPr>
              <w:t xml:space="preserve">Apatia </w:t>
            </w:r>
          </w:p>
        </w:tc>
        <w:tc>
          <w:tcPr>
            <w:tcW w:w="2212" w:type="dxa"/>
          </w:tcPr>
          <w:p w14:paraId="5675138B" w14:textId="77777777" w:rsidR="000E6643" w:rsidRPr="00756B9D" w:rsidRDefault="000E6643">
            <w:pPr>
              <w:pStyle w:val="Default"/>
              <w:rPr>
                <w:sz w:val="22"/>
                <w:szCs w:val="22"/>
              </w:rPr>
            </w:pPr>
            <w:r w:rsidRPr="00756B9D">
              <w:rPr>
                <w:sz w:val="22"/>
                <w:szCs w:val="22"/>
                <w:lang w:val="sk"/>
              </w:rPr>
              <w:t xml:space="preserve">Suicidálne </w:t>
            </w:r>
          </w:p>
          <w:p w14:paraId="647B909D" w14:textId="77777777" w:rsidR="000E6643" w:rsidRPr="00756B9D" w:rsidRDefault="0082334F">
            <w:pPr>
              <w:pStyle w:val="Default"/>
              <w:rPr>
                <w:sz w:val="22"/>
                <w:szCs w:val="22"/>
                <w:vertAlign w:val="superscript"/>
              </w:rPr>
            </w:pPr>
            <w:r w:rsidRPr="00756B9D">
              <w:rPr>
                <w:sz w:val="22"/>
                <w:szCs w:val="22"/>
                <w:lang w:val="sk"/>
              </w:rPr>
              <w:t>správanie</w:t>
            </w:r>
            <w:r w:rsidRPr="00756B9D">
              <w:rPr>
                <w:sz w:val="22"/>
                <w:szCs w:val="22"/>
                <w:vertAlign w:val="superscript"/>
                <w:lang w:val="sk"/>
              </w:rPr>
              <w:t xml:space="preserve">5,7 </w:t>
            </w:r>
          </w:p>
          <w:p w14:paraId="7367BE0F" w14:textId="77777777" w:rsidR="000E6643" w:rsidRPr="00756B9D" w:rsidRDefault="000E6643">
            <w:pPr>
              <w:pStyle w:val="Default"/>
              <w:rPr>
                <w:sz w:val="22"/>
                <w:szCs w:val="22"/>
              </w:rPr>
            </w:pPr>
            <w:r w:rsidRPr="00756B9D">
              <w:rPr>
                <w:sz w:val="22"/>
                <w:szCs w:val="22"/>
                <w:lang w:val="sk"/>
              </w:rPr>
              <w:t xml:space="preserve">Mánia </w:t>
            </w:r>
          </w:p>
          <w:p w14:paraId="6DF33C48" w14:textId="77777777" w:rsidR="000E6643" w:rsidRPr="00756B9D" w:rsidRDefault="000E6643">
            <w:pPr>
              <w:pStyle w:val="Default"/>
              <w:rPr>
                <w:sz w:val="22"/>
                <w:szCs w:val="22"/>
              </w:rPr>
            </w:pPr>
            <w:r w:rsidRPr="00756B9D">
              <w:rPr>
                <w:sz w:val="22"/>
                <w:szCs w:val="22"/>
                <w:lang w:val="sk"/>
              </w:rPr>
              <w:t xml:space="preserve">Halucinácie </w:t>
            </w:r>
          </w:p>
          <w:p w14:paraId="275C99A8" w14:textId="77777777" w:rsidR="000E6643" w:rsidRPr="00756B9D" w:rsidRDefault="000E6643">
            <w:pPr>
              <w:pStyle w:val="Default"/>
              <w:rPr>
                <w:sz w:val="22"/>
                <w:szCs w:val="22"/>
              </w:rPr>
            </w:pPr>
            <w:r w:rsidRPr="00756B9D">
              <w:rPr>
                <w:sz w:val="22"/>
                <w:szCs w:val="22"/>
                <w:lang w:val="sk"/>
              </w:rPr>
              <w:t>Agresia a hnev</w:t>
            </w:r>
            <w:r w:rsidRPr="00756B9D">
              <w:rPr>
                <w:sz w:val="22"/>
                <w:szCs w:val="22"/>
                <w:vertAlign w:val="superscript"/>
                <w:lang w:val="sk"/>
              </w:rPr>
              <w:t>4</w:t>
            </w:r>
            <w:r w:rsidRPr="00756B9D">
              <w:rPr>
                <w:sz w:val="22"/>
                <w:szCs w:val="22"/>
                <w:lang w:val="sk"/>
              </w:rPr>
              <w:t xml:space="preserve"> </w:t>
            </w:r>
          </w:p>
        </w:tc>
        <w:tc>
          <w:tcPr>
            <w:tcW w:w="2148" w:type="dxa"/>
          </w:tcPr>
          <w:p w14:paraId="267F937B" w14:textId="77777777" w:rsidR="000E6643" w:rsidRPr="00756B9D" w:rsidRDefault="000E6643">
            <w:pPr>
              <w:pStyle w:val="Default"/>
              <w:rPr>
                <w:color w:val="auto"/>
                <w:sz w:val="22"/>
                <w:szCs w:val="22"/>
              </w:rPr>
            </w:pPr>
          </w:p>
        </w:tc>
      </w:tr>
      <w:tr w:rsidR="0082334F" w:rsidRPr="00756B9D" w14:paraId="533B0F6E" w14:textId="77777777" w:rsidTr="001433FD">
        <w:tc>
          <w:tcPr>
            <w:tcW w:w="10280" w:type="dxa"/>
            <w:gridSpan w:val="5"/>
          </w:tcPr>
          <w:p w14:paraId="2DAC3E36" w14:textId="77777777" w:rsidR="008466EA" w:rsidRPr="00756B9D" w:rsidRDefault="0082334F" w:rsidP="00831137">
            <w:pPr>
              <w:pStyle w:val="Default"/>
              <w:rPr>
                <w:i/>
                <w:iCs/>
                <w:sz w:val="22"/>
                <w:szCs w:val="22"/>
              </w:rPr>
            </w:pPr>
            <w:r w:rsidRPr="00756B9D">
              <w:rPr>
                <w:i/>
                <w:iCs/>
                <w:sz w:val="22"/>
                <w:szCs w:val="22"/>
                <w:lang w:val="sk"/>
              </w:rPr>
              <w:t>Poruchy nervového systému</w:t>
            </w:r>
          </w:p>
          <w:p w14:paraId="43DB683F" w14:textId="77777777" w:rsidR="0082334F" w:rsidRPr="00756B9D" w:rsidRDefault="0082334F">
            <w:pPr>
              <w:pStyle w:val="Default"/>
              <w:rPr>
                <w:sz w:val="22"/>
                <w:szCs w:val="22"/>
              </w:rPr>
            </w:pPr>
            <w:r w:rsidRPr="00756B9D">
              <w:rPr>
                <w:i/>
                <w:iCs/>
                <w:sz w:val="22"/>
                <w:szCs w:val="22"/>
                <w:lang w:val="sk"/>
              </w:rPr>
              <w:t xml:space="preserve"> </w:t>
            </w:r>
          </w:p>
        </w:tc>
      </w:tr>
      <w:tr w:rsidR="0082334F" w:rsidRPr="00756B9D" w14:paraId="702C5A82" w14:textId="77777777" w:rsidTr="00E85B56">
        <w:tc>
          <w:tcPr>
            <w:tcW w:w="2014" w:type="dxa"/>
          </w:tcPr>
          <w:p w14:paraId="1BCBC0EF" w14:textId="77777777" w:rsidR="0082334F" w:rsidRPr="00756B9D" w:rsidRDefault="0082334F" w:rsidP="00831137">
            <w:pPr>
              <w:pStyle w:val="Default"/>
              <w:rPr>
                <w:sz w:val="22"/>
                <w:szCs w:val="22"/>
              </w:rPr>
            </w:pPr>
            <w:r w:rsidRPr="00756B9D">
              <w:rPr>
                <w:sz w:val="22"/>
                <w:szCs w:val="22"/>
                <w:lang w:val="sk"/>
              </w:rPr>
              <w:t xml:space="preserve">Bolesť hlavy </w:t>
            </w:r>
          </w:p>
          <w:p w14:paraId="72B55FB9" w14:textId="77777777" w:rsidR="0082334F" w:rsidRPr="00756B9D" w:rsidRDefault="0082334F">
            <w:pPr>
              <w:pStyle w:val="Default"/>
              <w:rPr>
                <w:sz w:val="22"/>
                <w:szCs w:val="22"/>
              </w:rPr>
            </w:pPr>
            <w:r w:rsidRPr="00756B9D">
              <w:rPr>
                <w:sz w:val="22"/>
                <w:szCs w:val="22"/>
                <w:lang w:val="sk"/>
              </w:rPr>
              <w:t xml:space="preserve">Spavosť </w:t>
            </w:r>
          </w:p>
        </w:tc>
        <w:tc>
          <w:tcPr>
            <w:tcW w:w="2017" w:type="dxa"/>
          </w:tcPr>
          <w:p w14:paraId="33262050" w14:textId="77777777" w:rsidR="0082334F" w:rsidRPr="00756B9D" w:rsidRDefault="0082334F">
            <w:pPr>
              <w:pStyle w:val="Default"/>
              <w:rPr>
                <w:sz w:val="22"/>
                <w:szCs w:val="22"/>
              </w:rPr>
            </w:pPr>
            <w:r w:rsidRPr="00756B9D">
              <w:rPr>
                <w:sz w:val="22"/>
                <w:szCs w:val="22"/>
                <w:lang w:val="sk"/>
              </w:rPr>
              <w:t xml:space="preserve">Závrat </w:t>
            </w:r>
          </w:p>
          <w:p w14:paraId="58B26A50" w14:textId="77777777" w:rsidR="0082334F" w:rsidRPr="00756B9D" w:rsidRDefault="0082334F">
            <w:pPr>
              <w:pStyle w:val="Default"/>
              <w:rPr>
                <w:sz w:val="22"/>
                <w:szCs w:val="22"/>
              </w:rPr>
            </w:pPr>
            <w:r w:rsidRPr="00756B9D">
              <w:rPr>
                <w:sz w:val="22"/>
                <w:szCs w:val="22"/>
                <w:lang w:val="sk"/>
              </w:rPr>
              <w:t xml:space="preserve">Letargia </w:t>
            </w:r>
          </w:p>
          <w:p w14:paraId="4FA56351" w14:textId="77777777" w:rsidR="0082334F" w:rsidRPr="00756B9D" w:rsidRDefault="0082334F">
            <w:pPr>
              <w:pStyle w:val="Default"/>
              <w:rPr>
                <w:sz w:val="22"/>
                <w:szCs w:val="22"/>
              </w:rPr>
            </w:pPr>
            <w:r w:rsidRPr="00756B9D">
              <w:rPr>
                <w:sz w:val="22"/>
                <w:szCs w:val="22"/>
                <w:lang w:val="sk"/>
              </w:rPr>
              <w:t xml:space="preserve">Tras </w:t>
            </w:r>
          </w:p>
          <w:p w14:paraId="16DFF59E" w14:textId="77777777" w:rsidR="0082334F" w:rsidRPr="00756B9D" w:rsidRDefault="0082334F">
            <w:pPr>
              <w:pStyle w:val="Default"/>
              <w:rPr>
                <w:sz w:val="22"/>
                <w:szCs w:val="22"/>
              </w:rPr>
            </w:pPr>
            <w:r w:rsidRPr="00756B9D">
              <w:rPr>
                <w:sz w:val="22"/>
                <w:szCs w:val="22"/>
                <w:lang w:val="sk"/>
              </w:rPr>
              <w:t xml:space="preserve">Parestézia </w:t>
            </w:r>
          </w:p>
        </w:tc>
        <w:tc>
          <w:tcPr>
            <w:tcW w:w="1889" w:type="dxa"/>
          </w:tcPr>
          <w:p w14:paraId="28DE640D" w14:textId="77777777" w:rsidR="0082334F" w:rsidRPr="00756B9D" w:rsidRDefault="0082334F">
            <w:pPr>
              <w:pStyle w:val="Default"/>
              <w:rPr>
                <w:sz w:val="22"/>
                <w:szCs w:val="22"/>
              </w:rPr>
            </w:pPr>
            <w:r w:rsidRPr="00756B9D">
              <w:rPr>
                <w:sz w:val="22"/>
                <w:szCs w:val="22"/>
                <w:lang w:val="sk"/>
              </w:rPr>
              <w:t xml:space="preserve">Myoklónia </w:t>
            </w:r>
          </w:p>
          <w:p w14:paraId="76B0FC4B" w14:textId="52C4138A" w:rsidR="0082334F" w:rsidRPr="00756B9D" w:rsidRDefault="0082334F">
            <w:pPr>
              <w:pStyle w:val="Default"/>
              <w:rPr>
                <w:sz w:val="22"/>
                <w:szCs w:val="22"/>
              </w:rPr>
            </w:pPr>
            <w:r w:rsidRPr="00756B9D">
              <w:rPr>
                <w:sz w:val="22"/>
                <w:szCs w:val="22"/>
                <w:lang w:val="sk"/>
              </w:rPr>
              <w:t>Akat</w:t>
            </w:r>
            <w:r w:rsidR="00AA7647" w:rsidRPr="00756B9D">
              <w:rPr>
                <w:sz w:val="22"/>
                <w:szCs w:val="22"/>
                <w:lang w:val="sk"/>
              </w:rPr>
              <w:t>ízia</w:t>
            </w:r>
            <w:r w:rsidRPr="00756B9D">
              <w:rPr>
                <w:sz w:val="22"/>
                <w:szCs w:val="22"/>
                <w:vertAlign w:val="superscript"/>
                <w:lang w:val="sk"/>
              </w:rPr>
              <w:t>7</w:t>
            </w:r>
          </w:p>
          <w:p w14:paraId="7ECBC493" w14:textId="77777777" w:rsidR="0082334F" w:rsidRPr="00756B9D" w:rsidRDefault="0082334F">
            <w:pPr>
              <w:pStyle w:val="Default"/>
              <w:rPr>
                <w:sz w:val="22"/>
                <w:szCs w:val="22"/>
              </w:rPr>
            </w:pPr>
            <w:r w:rsidRPr="00756B9D">
              <w:rPr>
                <w:sz w:val="22"/>
                <w:szCs w:val="22"/>
                <w:lang w:val="sk"/>
              </w:rPr>
              <w:t xml:space="preserve">Nervozita </w:t>
            </w:r>
          </w:p>
          <w:p w14:paraId="6A413B01" w14:textId="77777777" w:rsidR="0082334F" w:rsidRPr="00756B9D" w:rsidRDefault="0082334F">
            <w:pPr>
              <w:pStyle w:val="Default"/>
              <w:rPr>
                <w:sz w:val="22"/>
                <w:szCs w:val="22"/>
              </w:rPr>
            </w:pPr>
            <w:r w:rsidRPr="00756B9D">
              <w:rPr>
                <w:sz w:val="22"/>
                <w:szCs w:val="22"/>
                <w:lang w:val="sk"/>
              </w:rPr>
              <w:t xml:space="preserve">Porucha pozornosti </w:t>
            </w:r>
          </w:p>
          <w:p w14:paraId="63817C17" w14:textId="77777777" w:rsidR="0082334F" w:rsidRPr="00756B9D" w:rsidRDefault="0082334F">
            <w:pPr>
              <w:pStyle w:val="Default"/>
              <w:rPr>
                <w:sz w:val="22"/>
                <w:szCs w:val="22"/>
              </w:rPr>
            </w:pPr>
            <w:r w:rsidRPr="00756B9D">
              <w:rPr>
                <w:sz w:val="22"/>
                <w:szCs w:val="22"/>
                <w:lang w:val="sk"/>
              </w:rPr>
              <w:t xml:space="preserve">Porucha chuti </w:t>
            </w:r>
          </w:p>
          <w:p w14:paraId="79825951" w14:textId="77777777" w:rsidR="0082334F" w:rsidRPr="00756B9D" w:rsidRDefault="0082334F">
            <w:pPr>
              <w:pStyle w:val="Default"/>
              <w:rPr>
                <w:sz w:val="22"/>
                <w:szCs w:val="22"/>
              </w:rPr>
            </w:pPr>
            <w:r w:rsidRPr="00756B9D">
              <w:rPr>
                <w:sz w:val="22"/>
                <w:szCs w:val="22"/>
                <w:lang w:val="sk"/>
              </w:rPr>
              <w:t xml:space="preserve">Dyskinéza </w:t>
            </w:r>
          </w:p>
          <w:p w14:paraId="18A965E6" w14:textId="77777777" w:rsidR="0082334F" w:rsidRPr="00756B9D" w:rsidRDefault="0082334F">
            <w:pPr>
              <w:pStyle w:val="Default"/>
              <w:rPr>
                <w:sz w:val="22"/>
                <w:szCs w:val="22"/>
              </w:rPr>
            </w:pPr>
            <w:r w:rsidRPr="00756B9D">
              <w:rPr>
                <w:sz w:val="22"/>
                <w:szCs w:val="22"/>
                <w:lang w:val="sk"/>
              </w:rPr>
              <w:t xml:space="preserve">Syndróm </w:t>
            </w:r>
            <w:r w:rsidRPr="00756B9D">
              <w:rPr>
                <w:sz w:val="22"/>
                <w:szCs w:val="22"/>
                <w:lang w:val="sk"/>
              </w:rPr>
              <w:lastRenderedPageBreak/>
              <w:t xml:space="preserve">nepokojných nôh </w:t>
            </w:r>
          </w:p>
          <w:p w14:paraId="35B6EA91" w14:textId="472E7CAF" w:rsidR="005F4A1E" w:rsidRPr="00756B9D" w:rsidRDefault="005F4A1E">
            <w:pPr>
              <w:pStyle w:val="Default"/>
              <w:rPr>
                <w:sz w:val="22"/>
                <w:szCs w:val="22"/>
                <w:lang w:val="sk"/>
              </w:rPr>
            </w:pPr>
          </w:p>
          <w:p w14:paraId="4551977D" w14:textId="77777777" w:rsidR="0082334F" w:rsidRPr="00756B9D" w:rsidRDefault="005F4A1E">
            <w:pPr>
              <w:pStyle w:val="Default"/>
              <w:rPr>
                <w:sz w:val="22"/>
                <w:szCs w:val="22"/>
              </w:rPr>
            </w:pPr>
            <w:r w:rsidRPr="00756B9D">
              <w:rPr>
                <w:sz w:val="22"/>
                <w:szCs w:val="22"/>
                <w:lang w:val="sk"/>
              </w:rPr>
              <w:t>Znížená kvalita spánku</w:t>
            </w:r>
            <w:r w:rsidR="0082334F" w:rsidRPr="00756B9D">
              <w:rPr>
                <w:sz w:val="22"/>
                <w:szCs w:val="22"/>
                <w:lang w:val="sk"/>
              </w:rPr>
              <w:t xml:space="preserve"> </w:t>
            </w:r>
          </w:p>
        </w:tc>
        <w:tc>
          <w:tcPr>
            <w:tcW w:w="2212" w:type="dxa"/>
          </w:tcPr>
          <w:p w14:paraId="662D75F1" w14:textId="77777777" w:rsidR="005F4A1E" w:rsidRPr="00756B9D" w:rsidRDefault="005F4A1E">
            <w:pPr>
              <w:pStyle w:val="Default"/>
              <w:rPr>
                <w:sz w:val="22"/>
                <w:szCs w:val="22"/>
                <w:lang w:val="sk"/>
              </w:rPr>
            </w:pPr>
            <w:r w:rsidRPr="00756B9D">
              <w:rPr>
                <w:sz w:val="22"/>
                <w:szCs w:val="22"/>
                <w:lang w:val="sk"/>
              </w:rPr>
              <w:lastRenderedPageBreak/>
              <w:t>Sérotonínový</w:t>
            </w:r>
          </w:p>
          <w:p w14:paraId="79128F17" w14:textId="7E54355E" w:rsidR="0082334F" w:rsidRPr="00756B9D" w:rsidRDefault="005F4A1E">
            <w:pPr>
              <w:pStyle w:val="Default"/>
              <w:rPr>
                <w:sz w:val="22"/>
                <w:szCs w:val="22"/>
              </w:rPr>
            </w:pPr>
            <w:r w:rsidRPr="00756B9D">
              <w:rPr>
                <w:sz w:val="22"/>
                <w:szCs w:val="22"/>
                <w:lang w:val="sk"/>
              </w:rPr>
              <w:t>syndróm</w:t>
            </w:r>
            <w:r w:rsidRPr="00756B9D">
              <w:rPr>
                <w:sz w:val="22"/>
                <w:szCs w:val="22"/>
                <w:vertAlign w:val="superscript"/>
                <w:lang w:val="sk"/>
              </w:rPr>
              <w:t>6</w:t>
            </w:r>
            <w:r w:rsidR="0082334F" w:rsidRPr="00756B9D">
              <w:rPr>
                <w:sz w:val="22"/>
                <w:szCs w:val="22"/>
                <w:vertAlign w:val="superscript"/>
                <w:lang w:val="sk"/>
              </w:rPr>
              <w:t xml:space="preserve"> </w:t>
            </w:r>
          </w:p>
          <w:p w14:paraId="58085ED0" w14:textId="7F904391" w:rsidR="0082334F" w:rsidRPr="00756B9D" w:rsidRDefault="005F4A1E">
            <w:pPr>
              <w:pStyle w:val="Default"/>
              <w:rPr>
                <w:sz w:val="22"/>
                <w:szCs w:val="22"/>
              </w:rPr>
            </w:pPr>
            <w:r w:rsidRPr="00756B9D">
              <w:rPr>
                <w:sz w:val="22"/>
                <w:szCs w:val="22"/>
                <w:lang w:val="sk"/>
              </w:rPr>
              <w:t>Kŕč</w:t>
            </w:r>
            <w:r w:rsidR="0082334F" w:rsidRPr="00756B9D">
              <w:rPr>
                <w:sz w:val="22"/>
                <w:szCs w:val="22"/>
                <w:vertAlign w:val="superscript"/>
                <w:lang w:val="sk"/>
              </w:rPr>
              <w:t>1</w:t>
            </w:r>
          </w:p>
          <w:p w14:paraId="542A3C56" w14:textId="77777777" w:rsidR="0082334F" w:rsidRPr="00756B9D" w:rsidRDefault="0082334F">
            <w:pPr>
              <w:pStyle w:val="Default"/>
              <w:rPr>
                <w:sz w:val="22"/>
                <w:szCs w:val="22"/>
              </w:rPr>
            </w:pPr>
            <w:r w:rsidRPr="00756B9D">
              <w:rPr>
                <w:sz w:val="22"/>
                <w:szCs w:val="22"/>
                <w:lang w:val="sk"/>
              </w:rPr>
              <w:t>Psychomotorický nepokoj</w:t>
            </w:r>
            <w:r w:rsidRPr="00756B9D">
              <w:rPr>
                <w:sz w:val="22"/>
                <w:szCs w:val="22"/>
                <w:vertAlign w:val="superscript"/>
                <w:lang w:val="sk"/>
              </w:rPr>
              <w:t>6</w:t>
            </w:r>
            <w:r w:rsidRPr="00756B9D">
              <w:rPr>
                <w:sz w:val="22"/>
                <w:szCs w:val="22"/>
                <w:lang w:val="sk"/>
              </w:rPr>
              <w:t xml:space="preserve"> </w:t>
            </w:r>
          </w:p>
          <w:p w14:paraId="735982DC" w14:textId="77777777" w:rsidR="0082334F" w:rsidRPr="00756B9D" w:rsidRDefault="0082334F">
            <w:pPr>
              <w:pStyle w:val="Default"/>
              <w:rPr>
                <w:sz w:val="22"/>
                <w:szCs w:val="22"/>
              </w:rPr>
            </w:pPr>
            <w:r w:rsidRPr="00756B9D">
              <w:rPr>
                <w:sz w:val="22"/>
                <w:szCs w:val="22"/>
                <w:lang w:val="sk"/>
              </w:rPr>
              <w:t>Extrapyramídové symptómy</w:t>
            </w:r>
            <w:r w:rsidRPr="00756B9D">
              <w:rPr>
                <w:sz w:val="22"/>
                <w:szCs w:val="22"/>
                <w:vertAlign w:val="superscript"/>
                <w:lang w:val="sk"/>
              </w:rPr>
              <w:t xml:space="preserve">6 </w:t>
            </w:r>
          </w:p>
        </w:tc>
        <w:tc>
          <w:tcPr>
            <w:tcW w:w="2148" w:type="dxa"/>
          </w:tcPr>
          <w:p w14:paraId="4BFE2709" w14:textId="77777777" w:rsidR="0082334F" w:rsidRPr="00756B9D" w:rsidRDefault="0082334F">
            <w:pPr>
              <w:pStyle w:val="Default"/>
              <w:rPr>
                <w:color w:val="auto"/>
                <w:sz w:val="22"/>
                <w:szCs w:val="22"/>
              </w:rPr>
            </w:pPr>
          </w:p>
        </w:tc>
      </w:tr>
      <w:tr w:rsidR="0082334F" w:rsidRPr="00756B9D" w14:paraId="735BA83A" w14:textId="77777777" w:rsidTr="001433FD">
        <w:tc>
          <w:tcPr>
            <w:tcW w:w="10280" w:type="dxa"/>
            <w:gridSpan w:val="5"/>
          </w:tcPr>
          <w:p w14:paraId="7099300C" w14:textId="77777777" w:rsidR="008466EA" w:rsidRPr="00756B9D" w:rsidRDefault="0082334F" w:rsidP="00831137">
            <w:pPr>
              <w:pStyle w:val="Default"/>
              <w:rPr>
                <w:i/>
                <w:iCs/>
                <w:sz w:val="22"/>
                <w:szCs w:val="22"/>
              </w:rPr>
            </w:pPr>
            <w:r w:rsidRPr="00756B9D">
              <w:rPr>
                <w:i/>
                <w:iCs/>
                <w:sz w:val="22"/>
                <w:szCs w:val="22"/>
                <w:lang w:val="sk"/>
              </w:rPr>
              <w:t>Poruchy oka</w:t>
            </w:r>
          </w:p>
          <w:p w14:paraId="3FD54242" w14:textId="77777777" w:rsidR="0082334F" w:rsidRPr="00756B9D" w:rsidRDefault="0082334F">
            <w:pPr>
              <w:pStyle w:val="Default"/>
              <w:rPr>
                <w:sz w:val="22"/>
                <w:szCs w:val="22"/>
              </w:rPr>
            </w:pPr>
            <w:r w:rsidRPr="00756B9D">
              <w:rPr>
                <w:i/>
                <w:iCs/>
                <w:sz w:val="22"/>
                <w:szCs w:val="22"/>
                <w:lang w:val="sk"/>
              </w:rPr>
              <w:t xml:space="preserve"> </w:t>
            </w:r>
          </w:p>
        </w:tc>
      </w:tr>
      <w:tr w:rsidR="0082334F" w:rsidRPr="00756B9D" w14:paraId="13BFC65C" w14:textId="77777777" w:rsidTr="00E85B56">
        <w:tc>
          <w:tcPr>
            <w:tcW w:w="2014" w:type="dxa"/>
          </w:tcPr>
          <w:p w14:paraId="1E51B980" w14:textId="77777777" w:rsidR="0082334F" w:rsidRPr="00756B9D" w:rsidRDefault="0082334F" w:rsidP="00831137">
            <w:pPr>
              <w:pStyle w:val="Default"/>
              <w:rPr>
                <w:color w:val="auto"/>
                <w:sz w:val="22"/>
                <w:szCs w:val="22"/>
              </w:rPr>
            </w:pPr>
          </w:p>
        </w:tc>
        <w:tc>
          <w:tcPr>
            <w:tcW w:w="2017" w:type="dxa"/>
          </w:tcPr>
          <w:p w14:paraId="404623DD" w14:textId="77777777" w:rsidR="0082334F" w:rsidRPr="00756B9D" w:rsidRDefault="0082334F">
            <w:pPr>
              <w:pStyle w:val="Default"/>
              <w:rPr>
                <w:sz w:val="22"/>
                <w:szCs w:val="22"/>
              </w:rPr>
            </w:pPr>
            <w:r w:rsidRPr="00756B9D">
              <w:rPr>
                <w:sz w:val="22"/>
                <w:szCs w:val="22"/>
                <w:lang w:val="sk"/>
              </w:rPr>
              <w:t xml:space="preserve">Neostré videnie </w:t>
            </w:r>
          </w:p>
        </w:tc>
        <w:tc>
          <w:tcPr>
            <w:tcW w:w="1889" w:type="dxa"/>
          </w:tcPr>
          <w:p w14:paraId="5DDAB03F" w14:textId="77777777" w:rsidR="0082334F" w:rsidRPr="00756B9D" w:rsidRDefault="0082334F">
            <w:pPr>
              <w:pStyle w:val="Default"/>
              <w:rPr>
                <w:sz w:val="22"/>
                <w:szCs w:val="22"/>
              </w:rPr>
            </w:pPr>
            <w:r w:rsidRPr="00756B9D">
              <w:rPr>
                <w:sz w:val="22"/>
                <w:szCs w:val="22"/>
                <w:lang w:val="sk"/>
              </w:rPr>
              <w:t xml:space="preserve">Mydriáza </w:t>
            </w:r>
          </w:p>
          <w:p w14:paraId="29A84E5C" w14:textId="77777777" w:rsidR="0082334F" w:rsidRPr="00756B9D" w:rsidRDefault="0082334F">
            <w:pPr>
              <w:pStyle w:val="Default"/>
              <w:rPr>
                <w:sz w:val="22"/>
                <w:szCs w:val="22"/>
              </w:rPr>
            </w:pPr>
            <w:r w:rsidRPr="00756B9D">
              <w:rPr>
                <w:sz w:val="22"/>
                <w:szCs w:val="22"/>
                <w:lang w:val="sk"/>
              </w:rPr>
              <w:t xml:space="preserve">Zhoršenie zraku </w:t>
            </w:r>
          </w:p>
        </w:tc>
        <w:tc>
          <w:tcPr>
            <w:tcW w:w="2212" w:type="dxa"/>
          </w:tcPr>
          <w:p w14:paraId="38D2E15C" w14:textId="77777777" w:rsidR="0082334F" w:rsidRPr="00756B9D" w:rsidRDefault="0082334F">
            <w:pPr>
              <w:pStyle w:val="Default"/>
              <w:rPr>
                <w:sz w:val="22"/>
                <w:szCs w:val="22"/>
              </w:rPr>
            </w:pPr>
            <w:r w:rsidRPr="00756B9D">
              <w:rPr>
                <w:sz w:val="22"/>
                <w:szCs w:val="22"/>
                <w:lang w:val="sk"/>
              </w:rPr>
              <w:t xml:space="preserve">Glaukóm </w:t>
            </w:r>
          </w:p>
        </w:tc>
        <w:tc>
          <w:tcPr>
            <w:tcW w:w="2148" w:type="dxa"/>
          </w:tcPr>
          <w:p w14:paraId="0D1C5A45" w14:textId="77777777" w:rsidR="0082334F" w:rsidRPr="00756B9D" w:rsidRDefault="0082334F">
            <w:pPr>
              <w:pStyle w:val="Default"/>
              <w:rPr>
                <w:color w:val="auto"/>
                <w:sz w:val="22"/>
                <w:szCs w:val="22"/>
              </w:rPr>
            </w:pPr>
          </w:p>
        </w:tc>
      </w:tr>
      <w:tr w:rsidR="0082334F" w:rsidRPr="00756B9D" w14:paraId="1ED68CE1" w14:textId="77777777" w:rsidTr="001433FD">
        <w:tc>
          <w:tcPr>
            <w:tcW w:w="10280" w:type="dxa"/>
            <w:gridSpan w:val="5"/>
          </w:tcPr>
          <w:p w14:paraId="3F29813A" w14:textId="77777777" w:rsidR="008466EA" w:rsidRPr="00756B9D" w:rsidRDefault="0082334F" w:rsidP="00831137">
            <w:pPr>
              <w:pStyle w:val="Default"/>
              <w:rPr>
                <w:i/>
                <w:iCs/>
                <w:sz w:val="22"/>
                <w:szCs w:val="22"/>
              </w:rPr>
            </w:pPr>
            <w:r w:rsidRPr="00756B9D">
              <w:rPr>
                <w:i/>
                <w:iCs/>
                <w:sz w:val="22"/>
                <w:szCs w:val="22"/>
                <w:lang w:val="sk"/>
              </w:rPr>
              <w:t>Poruchy ucha a labyrintu</w:t>
            </w:r>
          </w:p>
          <w:p w14:paraId="364F64B0" w14:textId="77777777" w:rsidR="0082334F" w:rsidRPr="00756B9D" w:rsidRDefault="0082334F">
            <w:pPr>
              <w:pStyle w:val="Default"/>
              <w:rPr>
                <w:sz w:val="22"/>
                <w:szCs w:val="22"/>
              </w:rPr>
            </w:pPr>
            <w:r w:rsidRPr="00756B9D">
              <w:rPr>
                <w:i/>
                <w:iCs/>
                <w:sz w:val="22"/>
                <w:szCs w:val="22"/>
                <w:lang w:val="sk"/>
              </w:rPr>
              <w:t xml:space="preserve"> </w:t>
            </w:r>
          </w:p>
        </w:tc>
      </w:tr>
      <w:tr w:rsidR="0082334F" w:rsidRPr="00756B9D" w14:paraId="550E1CBA" w14:textId="77777777" w:rsidTr="00E85B56">
        <w:tc>
          <w:tcPr>
            <w:tcW w:w="2014" w:type="dxa"/>
          </w:tcPr>
          <w:p w14:paraId="27E75E85" w14:textId="77777777" w:rsidR="0082334F" w:rsidRPr="00756B9D" w:rsidRDefault="0082334F" w:rsidP="00831137">
            <w:pPr>
              <w:pStyle w:val="Default"/>
              <w:rPr>
                <w:color w:val="auto"/>
                <w:sz w:val="22"/>
                <w:szCs w:val="22"/>
              </w:rPr>
            </w:pPr>
          </w:p>
        </w:tc>
        <w:tc>
          <w:tcPr>
            <w:tcW w:w="2017" w:type="dxa"/>
          </w:tcPr>
          <w:p w14:paraId="7221D26E" w14:textId="5C7D0B95" w:rsidR="0082334F" w:rsidRPr="00756B9D" w:rsidRDefault="0082334F" w:rsidP="00831137">
            <w:pPr>
              <w:pStyle w:val="Default"/>
              <w:rPr>
                <w:sz w:val="22"/>
                <w:szCs w:val="22"/>
              </w:rPr>
            </w:pPr>
            <w:r w:rsidRPr="00756B9D">
              <w:rPr>
                <w:sz w:val="22"/>
                <w:szCs w:val="22"/>
                <w:lang w:val="sk"/>
              </w:rPr>
              <w:t>Tinitus</w:t>
            </w:r>
            <w:r w:rsidRPr="00756B9D">
              <w:rPr>
                <w:sz w:val="22"/>
                <w:szCs w:val="22"/>
                <w:vertAlign w:val="superscript"/>
                <w:lang w:val="sk"/>
              </w:rPr>
              <w:t xml:space="preserve">1 </w:t>
            </w:r>
          </w:p>
        </w:tc>
        <w:tc>
          <w:tcPr>
            <w:tcW w:w="1889" w:type="dxa"/>
          </w:tcPr>
          <w:p w14:paraId="1692B60E" w14:textId="77777777" w:rsidR="0082334F" w:rsidRPr="00756B9D" w:rsidRDefault="0082334F">
            <w:pPr>
              <w:pStyle w:val="Default"/>
              <w:rPr>
                <w:sz w:val="22"/>
                <w:szCs w:val="22"/>
              </w:rPr>
            </w:pPr>
            <w:r w:rsidRPr="00756B9D">
              <w:rPr>
                <w:sz w:val="22"/>
                <w:szCs w:val="22"/>
                <w:lang w:val="sk"/>
              </w:rPr>
              <w:t xml:space="preserve">Vertigo </w:t>
            </w:r>
          </w:p>
          <w:p w14:paraId="155F06BD" w14:textId="77777777" w:rsidR="0082334F" w:rsidRPr="00756B9D" w:rsidRDefault="0082334F">
            <w:pPr>
              <w:pStyle w:val="Default"/>
              <w:rPr>
                <w:sz w:val="22"/>
                <w:szCs w:val="22"/>
              </w:rPr>
            </w:pPr>
            <w:r w:rsidRPr="00756B9D">
              <w:rPr>
                <w:sz w:val="22"/>
                <w:szCs w:val="22"/>
                <w:lang w:val="sk"/>
              </w:rPr>
              <w:t xml:space="preserve">Bolesť ucha </w:t>
            </w:r>
          </w:p>
        </w:tc>
        <w:tc>
          <w:tcPr>
            <w:tcW w:w="2212" w:type="dxa"/>
          </w:tcPr>
          <w:p w14:paraId="7992375B" w14:textId="77777777" w:rsidR="0082334F" w:rsidRPr="00756B9D" w:rsidRDefault="0082334F">
            <w:pPr>
              <w:pStyle w:val="Default"/>
              <w:rPr>
                <w:color w:val="auto"/>
                <w:sz w:val="22"/>
                <w:szCs w:val="22"/>
              </w:rPr>
            </w:pPr>
          </w:p>
        </w:tc>
        <w:tc>
          <w:tcPr>
            <w:tcW w:w="2148" w:type="dxa"/>
          </w:tcPr>
          <w:p w14:paraId="79628ED3" w14:textId="77777777" w:rsidR="0082334F" w:rsidRPr="00756B9D" w:rsidRDefault="0082334F">
            <w:pPr>
              <w:pStyle w:val="Default"/>
              <w:rPr>
                <w:color w:val="auto"/>
                <w:sz w:val="22"/>
                <w:szCs w:val="22"/>
              </w:rPr>
            </w:pPr>
          </w:p>
        </w:tc>
      </w:tr>
      <w:tr w:rsidR="0082334F" w:rsidRPr="00756B9D" w14:paraId="3589E47A" w14:textId="77777777" w:rsidTr="001433FD">
        <w:tc>
          <w:tcPr>
            <w:tcW w:w="10280" w:type="dxa"/>
            <w:gridSpan w:val="5"/>
          </w:tcPr>
          <w:p w14:paraId="1970F0F3" w14:textId="77777777" w:rsidR="0082334F" w:rsidRPr="00756B9D" w:rsidRDefault="0082334F" w:rsidP="00831137">
            <w:pPr>
              <w:pStyle w:val="Default"/>
              <w:rPr>
                <w:i/>
                <w:iCs/>
                <w:sz w:val="22"/>
                <w:szCs w:val="22"/>
              </w:rPr>
            </w:pPr>
            <w:r w:rsidRPr="00756B9D">
              <w:rPr>
                <w:i/>
                <w:iCs/>
                <w:sz w:val="22"/>
                <w:szCs w:val="22"/>
                <w:lang w:val="sk"/>
              </w:rPr>
              <w:t xml:space="preserve">Poruchy srdca a srdcovej činnosti </w:t>
            </w:r>
          </w:p>
          <w:p w14:paraId="1CD86AE7" w14:textId="77777777" w:rsidR="008466EA" w:rsidRPr="00756B9D" w:rsidRDefault="008466EA">
            <w:pPr>
              <w:pStyle w:val="Default"/>
              <w:rPr>
                <w:sz w:val="22"/>
                <w:szCs w:val="22"/>
              </w:rPr>
            </w:pPr>
          </w:p>
        </w:tc>
      </w:tr>
      <w:tr w:rsidR="0082334F" w:rsidRPr="00756B9D" w14:paraId="5341A8CB" w14:textId="77777777" w:rsidTr="00E85B56">
        <w:tc>
          <w:tcPr>
            <w:tcW w:w="2014" w:type="dxa"/>
          </w:tcPr>
          <w:p w14:paraId="060EFDE1" w14:textId="77777777" w:rsidR="0082334F" w:rsidRPr="00756B9D" w:rsidRDefault="0082334F" w:rsidP="00831137">
            <w:pPr>
              <w:pStyle w:val="Default"/>
              <w:rPr>
                <w:color w:val="auto"/>
                <w:sz w:val="22"/>
                <w:szCs w:val="22"/>
              </w:rPr>
            </w:pPr>
          </w:p>
        </w:tc>
        <w:tc>
          <w:tcPr>
            <w:tcW w:w="2017" w:type="dxa"/>
          </w:tcPr>
          <w:p w14:paraId="082E6740" w14:textId="77777777" w:rsidR="0082334F" w:rsidRPr="00756B9D" w:rsidRDefault="0082334F" w:rsidP="00831137">
            <w:pPr>
              <w:pStyle w:val="Default"/>
              <w:rPr>
                <w:sz w:val="22"/>
                <w:szCs w:val="22"/>
              </w:rPr>
            </w:pPr>
            <w:r w:rsidRPr="00756B9D">
              <w:rPr>
                <w:sz w:val="22"/>
                <w:szCs w:val="22"/>
                <w:lang w:val="sk"/>
              </w:rPr>
              <w:t xml:space="preserve">Palpitácie </w:t>
            </w:r>
          </w:p>
        </w:tc>
        <w:tc>
          <w:tcPr>
            <w:tcW w:w="1889" w:type="dxa"/>
          </w:tcPr>
          <w:p w14:paraId="773BB2CD" w14:textId="77777777" w:rsidR="0082334F" w:rsidRPr="00756B9D" w:rsidRDefault="0082334F">
            <w:pPr>
              <w:pStyle w:val="Default"/>
              <w:rPr>
                <w:sz w:val="22"/>
                <w:szCs w:val="22"/>
              </w:rPr>
            </w:pPr>
            <w:r w:rsidRPr="00756B9D">
              <w:rPr>
                <w:sz w:val="22"/>
                <w:szCs w:val="22"/>
                <w:lang w:val="sk"/>
              </w:rPr>
              <w:t xml:space="preserve">Tachykardia </w:t>
            </w:r>
          </w:p>
          <w:p w14:paraId="48475749" w14:textId="77777777" w:rsidR="0082334F" w:rsidRPr="00756B9D" w:rsidRDefault="0082334F">
            <w:pPr>
              <w:pStyle w:val="Default"/>
              <w:rPr>
                <w:sz w:val="22"/>
                <w:szCs w:val="22"/>
              </w:rPr>
            </w:pPr>
            <w:r w:rsidRPr="00756B9D">
              <w:rPr>
                <w:sz w:val="22"/>
                <w:szCs w:val="22"/>
                <w:lang w:val="sk"/>
              </w:rPr>
              <w:t xml:space="preserve">Supraventriku- lárna arytmia, hlavne atriálna </w:t>
            </w:r>
          </w:p>
          <w:p w14:paraId="73EC6C40" w14:textId="77777777" w:rsidR="0082334F" w:rsidRPr="00756B9D" w:rsidRDefault="0082334F">
            <w:pPr>
              <w:pStyle w:val="Default"/>
              <w:rPr>
                <w:sz w:val="22"/>
                <w:szCs w:val="22"/>
              </w:rPr>
            </w:pPr>
            <w:r w:rsidRPr="00756B9D">
              <w:rPr>
                <w:sz w:val="22"/>
                <w:szCs w:val="22"/>
                <w:lang w:val="sk"/>
              </w:rPr>
              <w:t xml:space="preserve">fibrilácia </w:t>
            </w:r>
          </w:p>
        </w:tc>
        <w:tc>
          <w:tcPr>
            <w:tcW w:w="2212" w:type="dxa"/>
          </w:tcPr>
          <w:p w14:paraId="5001C032" w14:textId="77777777" w:rsidR="0082334F" w:rsidRPr="00756B9D" w:rsidRDefault="0082334F">
            <w:pPr>
              <w:pStyle w:val="Default"/>
              <w:rPr>
                <w:color w:val="auto"/>
                <w:sz w:val="22"/>
                <w:szCs w:val="22"/>
              </w:rPr>
            </w:pPr>
          </w:p>
        </w:tc>
        <w:tc>
          <w:tcPr>
            <w:tcW w:w="2148" w:type="dxa"/>
          </w:tcPr>
          <w:p w14:paraId="6E371C32" w14:textId="77777777" w:rsidR="0082334F" w:rsidRPr="00756B9D" w:rsidRDefault="0082334F">
            <w:pPr>
              <w:pStyle w:val="Default"/>
              <w:rPr>
                <w:color w:val="auto"/>
                <w:sz w:val="22"/>
                <w:szCs w:val="22"/>
              </w:rPr>
            </w:pPr>
          </w:p>
        </w:tc>
      </w:tr>
      <w:tr w:rsidR="00B403BA" w:rsidRPr="00756B9D" w14:paraId="2E533EF6" w14:textId="77777777" w:rsidTr="001433FD">
        <w:tc>
          <w:tcPr>
            <w:tcW w:w="10280" w:type="dxa"/>
            <w:gridSpan w:val="5"/>
          </w:tcPr>
          <w:p w14:paraId="18F54CB0" w14:textId="77777777" w:rsidR="00B403BA" w:rsidRPr="00756B9D" w:rsidRDefault="00B403BA" w:rsidP="00831137">
            <w:pPr>
              <w:pStyle w:val="Default"/>
              <w:rPr>
                <w:i/>
                <w:iCs/>
                <w:color w:val="auto"/>
                <w:sz w:val="22"/>
                <w:szCs w:val="22"/>
              </w:rPr>
            </w:pPr>
            <w:r w:rsidRPr="00756B9D">
              <w:rPr>
                <w:i/>
                <w:iCs/>
                <w:color w:val="auto"/>
                <w:sz w:val="22"/>
                <w:szCs w:val="22"/>
                <w:lang w:val="sk"/>
              </w:rPr>
              <w:t>Poruchy ciev</w:t>
            </w:r>
          </w:p>
          <w:p w14:paraId="158BC6B8" w14:textId="77777777" w:rsidR="008466EA" w:rsidRPr="00756B9D" w:rsidRDefault="008466EA">
            <w:pPr>
              <w:pStyle w:val="Default"/>
              <w:rPr>
                <w:color w:val="auto"/>
                <w:sz w:val="22"/>
                <w:szCs w:val="22"/>
              </w:rPr>
            </w:pPr>
          </w:p>
        </w:tc>
      </w:tr>
      <w:tr w:rsidR="00B403BA" w:rsidRPr="00756B9D" w14:paraId="688D7464" w14:textId="77777777" w:rsidTr="00E85B56">
        <w:tc>
          <w:tcPr>
            <w:tcW w:w="2014" w:type="dxa"/>
          </w:tcPr>
          <w:p w14:paraId="4AA32D19" w14:textId="77777777" w:rsidR="00B403BA" w:rsidRPr="00756B9D" w:rsidRDefault="00B403BA" w:rsidP="00831137">
            <w:pPr>
              <w:pStyle w:val="Default"/>
              <w:rPr>
                <w:color w:val="FF0000"/>
                <w:sz w:val="22"/>
                <w:szCs w:val="22"/>
              </w:rPr>
            </w:pPr>
          </w:p>
        </w:tc>
        <w:tc>
          <w:tcPr>
            <w:tcW w:w="2017" w:type="dxa"/>
          </w:tcPr>
          <w:p w14:paraId="7105E7BA" w14:textId="77777777" w:rsidR="00B403BA" w:rsidRPr="00756B9D" w:rsidRDefault="00B403BA" w:rsidP="00831137">
            <w:pPr>
              <w:pStyle w:val="Default"/>
              <w:rPr>
                <w:color w:val="auto"/>
                <w:sz w:val="22"/>
                <w:szCs w:val="22"/>
              </w:rPr>
            </w:pPr>
            <w:r w:rsidRPr="00756B9D">
              <w:rPr>
                <w:color w:val="auto"/>
                <w:sz w:val="22"/>
                <w:szCs w:val="22"/>
                <w:lang w:val="sk"/>
              </w:rPr>
              <w:t>Zvýšenie krvného tlaku</w:t>
            </w:r>
            <w:r w:rsidRPr="00756B9D">
              <w:rPr>
                <w:color w:val="auto"/>
                <w:sz w:val="22"/>
                <w:szCs w:val="22"/>
                <w:vertAlign w:val="superscript"/>
                <w:lang w:val="sk"/>
              </w:rPr>
              <w:t xml:space="preserve">3 </w:t>
            </w:r>
          </w:p>
          <w:p w14:paraId="0A97CE00" w14:textId="77777777" w:rsidR="00B403BA" w:rsidRPr="00756B9D" w:rsidRDefault="00B403BA">
            <w:pPr>
              <w:pStyle w:val="Default"/>
              <w:rPr>
                <w:color w:val="auto"/>
                <w:sz w:val="22"/>
                <w:szCs w:val="22"/>
              </w:rPr>
            </w:pPr>
            <w:r w:rsidRPr="00756B9D">
              <w:rPr>
                <w:color w:val="auto"/>
                <w:sz w:val="22"/>
                <w:szCs w:val="22"/>
                <w:lang w:val="sk"/>
              </w:rPr>
              <w:t xml:space="preserve">Sčervenanie </w:t>
            </w:r>
          </w:p>
        </w:tc>
        <w:tc>
          <w:tcPr>
            <w:tcW w:w="1889" w:type="dxa"/>
          </w:tcPr>
          <w:p w14:paraId="7CC67A30" w14:textId="5701D496" w:rsidR="00B403BA" w:rsidRPr="00756B9D" w:rsidRDefault="00B403BA">
            <w:pPr>
              <w:pStyle w:val="Default"/>
              <w:rPr>
                <w:color w:val="auto"/>
                <w:sz w:val="22"/>
                <w:szCs w:val="22"/>
              </w:rPr>
            </w:pPr>
            <w:r w:rsidRPr="00756B9D">
              <w:rPr>
                <w:color w:val="auto"/>
                <w:sz w:val="22"/>
                <w:szCs w:val="22"/>
                <w:lang w:val="sk"/>
              </w:rPr>
              <w:t>Syn</w:t>
            </w:r>
            <w:r w:rsidR="00AA7647" w:rsidRPr="00756B9D">
              <w:rPr>
                <w:color w:val="auto"/>
                <w:sz w:val="22"/>
                <w:szCs w:val="22"/>
                <w:lang w:val="sk"/>
              </w:rPr>
              <w:t>k</w:t>
            </w:r>
            <w:r w:rsidRPr="00756B9D">
              <w:rPr>
                <w:color w:val="auto"/>
                <w:sz w:val="22"/>
                <w:szCs w:val="22"/>
                <w:lang w:val="sk"/>
              </w:rPr>
              <w:t>op</w:t>
            </w:r>
            <w:r w:rsidR="00AA7647" w:rsidRPr="00756B9D">
              <w:rPr>
                <w:color w:val="auto"/>
                <w:sz w:val="22"/>
                <w:szCs w:val="22"/>
                <w:lang w:val="sk"/>
              </w:rPr>
              <w:t>a</w:t>
            </w:r>
            <w:r w:rsidRPr="00756B9D">
              <w:rPr>
                <w:color w:val="auto"/>
                <w:sz w:val="22"/>
                <w:szCs w:val="22"/>
                <w:vertAlign w:val="superscript"/>
                <w:lang w:val="sk"/>
              </w:rPr>
              <w:t xml:space="preserve">2 </w:t>
            </w:r>
          </w:p>
          <w:p w14:paraId="654A795F" w14:textId="7C4575D9" w:rsidR="00B403BA" w:rsidRPr="00756B9D" w:rsidRDefault="00B403BA">
            <w:pPr>
              <w:pStyle w:val="Default"/>
              <w:rPr>
                <w:color w:val="auto"/>
                <w:sz w:val="22"/>
                <w:szCs w:val="22"/>
                <w:vertAlign w:val="superscript"/>
              </w:rPr>
            </w:pPr>
            <w:r w:rsidRPr="00756B9D">
              <w:rPr>
                <w:color w:val="auto"/>
                <w:sz w:val="22"/>
                <w:szCs w:val="22"/>
                <w:lang w:val="sk"/>
              </w:rPr>
              <w:t>Hyperten</w:t>
            </w:r>
            <w:r w:rsidR="00AA7647" w:rsidRPr="00756B9D">
              <w:rPr>
                <w:color w:val="auto"/>
                <w:sz w:val="22"/>
                <w:szCs w:val="22"/>
                <w:lang w:val="sk"/>
              </w:rPr>
              <w:t>zia</w:t>
            </w:r>
            <w:r w:rsidRPr="00756B9D">
              <w:rPr>
                <w:color w:val="auto"/>
                <w:sz w:val="22"/>
                <w:szCs w:val="22"/>
                <w:vertAlign w:val="superscript"/>
                <w:lang w:val="sk"/>
              </w:rPr>
              <w:t xml:space="preserve">3,7 </w:t>
            </w:r>
          </w:p>
          <w:p w14:paraId="751F2E1D" w14:textId="77777777" w:rsidR="00B403BA" w:rsidRPr="00756B9D" w:rsidRDefault="00B403BA">
            <w:pPr>
              <w:pStyle w:val="Default"/>
              <w:rPr>
                <w:color w:val="auto"/>
                <w:sz w:val="22"/>
                <w:szCs w:val="22"/>
              </w:rPr>
            </w:pPr>
            <w:r w:rsidRPr="00756B9D">
              <w:rPr>
                <w:color w:val="auto"/>
                <w:sz w:val="22"/>
                <w:szCs w:val="22"/>
                <w:lang w:val="sk"/>
              </w:rPr>
              <w:t>Ortostatická hypotenzia</w:t>
            </w:r>
            <w:r w:rsidRPr="00756B9D">
              <w:rPr>
                <w:color w:val="auto"/>
                <w:sz w:val="22"/>
                <w:szCs w:val="22"/>
                <w:vertAlign w:val="superscript"/>
                <w:lang w:val="sk"/>
              </w:rPr>
              <w:t>2</w:t>
            </w:r>
            <w:r w:rsidRPr="00756B9D">
              <w:rPr>
                <w:color w:val="auto"/>
                <w:sz w:val="22"/>
                <w:szCs w:val="22"/>
                <w:lang w:val="sk"/>
              </w:rPr>
              <w:t xml:space="preserve"> </w:t>
            </w:r>
          </w:p>
          <w:p w14:paraId="4839115C" w14:textId="77777777" w:rsidR="00B403BA" w:rsidRPr="00756B9D" w:rsidRDefault="00B403BA">
            <w:pPr>
              <w:pStyle w:val="Default"/>
              <w:rPr>
                <w:color w:val="auto"/>
                <w:sz w:val="22"/>
                <w:szCs w:val="22"/>
              </w:rPr>
            </w:pPr>
            <w:r w:rsidRPr="00756B9D">
              <w:rPr>
                <w:color w:val="auto"/>
                <w:sz w:val="22"/>
                <w:szCs w:val="22"/>
                <w:lang w:val="sk"/>
              </w:rPr>
              <w:t xml:space="preserve">Chlad periférnej časti končatín </w:t>
            </w:r>
          </w:p>
        </w:tc>
        <w:tc>
          <w:tcPr>
            <w:tcW w:w="2212" w:type="dxa"/>
          </w:tcPr>
          <w:p w14:paraId="505BD5F4" w14:textId="77777777" w:rsidR="00B403BA" w:rsidRPr="00756B9D" w:rsidRDefault="00B403BA">
            <w:pPr>
              <w:pStyle w:val="Default"/>
              <w:rPr>
                <w:color w:val="auto"/>
                <w:sz w:val="22"/>
                <w:szCs w:val="22"/>
              </w:rPr>
            </w:pPr>
            <w:r w:rsidRPr="00756B9D">
              <w:rPr>
                <w:color w:val="auto"/>
                <w:sz w:val="22"/>
                <w:szCs w:val="22"/>
                <w:lang w:val="sk"/>
              </w:rPr>
              <w:t>Hypertenzná kríza</w:t>
            </w:r>
            <w:r w:rsidRPr="00756B9D">
              <w:rPr>
                <w:color w:val="auto"/>
                <w:sz w:val="22"/>
                <w:szCs w:val="22"/>
                <w:vertAlign w:val="superscript"/>
                <w:lang w:val="sk"/>
              </w:rPr>
              <w:t xml:space="preserve">3,6 </w:t>
            </w:r>
          </w:p>
          <w:p w14:paraId="6E2BE22E" w14:textId="77777777" w:rsidR="00B403BA" w:rsidRPr="00756B9D" w:rsidRDefault="00B403BA">
            <w:pPr>
              <w:pStyle w:val="Default"/>
              <w:rPr>
                <w:color w:val="auto"/>
                <w:sz w:val="22"/>
                <w:szCs w:val="22"/>
              </w:rPr>
            </w:pPr>
          </w:p>
        </w:tc>
        <w:tc>
          <w:tcPr>
            <w:tcW w:w="2148" w:type="dxa"/>
          </w:tcPr>
          <w:p w14:paraId="2490F82C" w14:textId="77777777" w:rsidR="00B403BA" w:rsidRPr="00756B9D" w:rsidRDefault="00B403BA">
            <w:pPr>
              <w:pStyle w:val="Default"/>
              <w:rPr>
                <w:color w:val="auto"/>
                <w:sz w:val="22"/>
                <w:szCs w:val="22"/>
              </w:rPr>
            </w:pPr>
          </w:p>
        </w:tc>
      </w:tr>
      <w:tr w:rsidR="0082334F" w:rsidRPr="00756B9D" w14:paraId="42452ABB" w14:textId="77777777" w:rsidTr="001433FD">
        <w:tc>
          <w:tcPr>
            <w:tcW w:w="10280" w:type="dxa"/>
            <w:gridSpan w:val="5"/>
          </w:tcPr>
          <w:p w14:paraId="15B71A50" w14:textId="77777777" w:rsidR="00D61A73" w:rsidRPr="00756B9D" w:rsidRDefault="00B403BA" w:rsidP="00831137">
            <w:pPr>
              <w:pStyle w:val="Default"/>
              <w:rPr>
                <w:i/>
                <w:iCs/>
                <w:color w:val="auto"/>
                <w:sz w:val="22"/>
                <w:szCs w:val="22"/>
              </w:rPr>
            </w:pPr>
            <w:r w:rsidRPr="00756B9D">
              <w:rPr>
                <w:i/>
                <w:iCs/>
                <w:color w:val="auto"/>
                <w:sz w:val="22"/>
                <w:szCs w:val="22"/>
                <w:lang w:val="sk"/>
              </w:rPr>
              <w:t>Poruchy dýchacej sústavy, hrudníka a mediastína</w:t>
            </w:r>
          </w:p>
          <w:p w14:paraId="2C793DD0" w14:textId="77777777" w:rsidR="0082334F" w:rsidRPr="00756B9D" w:rsidRDefault="00B403BA">
            <w:pPr>
              <w:pStyle w:val="Default"/>
              <w:rPr>
                <w:color w:val="auto"/>
                <w:sz w:val="22"/>
                <w:szCs w:val="22"/>
              </w:rPr>
            </w:pPr>
            <w:r w:rsidRPr="00756B9D">
              <w:rPr>
                <w:i/>
                <w:iCs/>
                <w:color w:val="auto"/>
                <w:sz w:val="22"/>
                <w:szCs w:val="22"/>
                <w:lang w:val="sk"/>
              </w:rPr>
              <w:t xml:space="preserve"> </w:t>
            </w:r>
          </w:p>
        </w:tc>
      </w:tr>
      <w:tr w:rsidR="0082334F" w:rsidRPr="00756B9D" w14:paraId="7AC0BB90" w14:textId="77777777" w:rsidTr="00E85B56">
        <w:tc>
          <w:tcPr>
            <w:tcW w:w="2014" w:type="dxa"/>
          </w:tcPr>
          <w:p w14:paraId="72851D6D" w14:textId="77777777" w:rsidR="0082334F" w:rsidRPr="00756B9D" w:rsidRDefault="0082334F" w:rsidP="00831137">
            <w:pPr>
              <w:pStyle w:val="Default"/>
              <w:rPr>
                <w:color w:val="auto"/>
                <w:sz w:val="22"/>
                <w:szCs w:val="22"/>
              </w:rPr>
            </w:pPr>
          </w:p>
        </w:tc>
        <w:tc>
          <w:tcPr>
            <w:tcW w:w="2017" w:type="dxa"/>
          </w:tcPr>
          <w:p w14:paraId="77C6C219" w14:textId="77777777" w:rsidR="0082334F" w:rsidRPr="00756B9D" w:rsidRDefault="0082334F" w:rsidP="00831137">
            <w:pPr>
              <w:pStyle w:val="Default"/>
              <w:rPr>
                <w:sz w:val="22"/>
                <w:szCs w:val="22"/>
              </w:rPr>
            </w:pPr>
            <w:r w:rsidRPr="00756B9D">
              <w:rPr>
                <w:sz w:val="22"/>
                <w:szCs w:val="22"/>
                <w:lang w:val="sk"/>
              </w:rPr>
              <w:t xml:space="preserve">Zívanie </w:t>
            </w:r>
          </w:p>
        </w:tc>
        <w:tc>
          <w:tcPr>
            <w:tcW w:w="1889" w:type="dxa"/>
          </w:tcPr>
          <w:p w14:paraId="1F1141AE" w14:textId="77777777" w:rsidR="0082334F" w:rsidRPr="00756B9D" w:rsidRDefault="0082334F">
            <w:pPr>
              <w:pStyle w:val="Default"/>
              <w:rPr>
                <w:sz w:val="22"/>
                <w:szCs w:val="22"/>
              </w:rPr>
            </w:pPr>
            <w:r w:rsidRPr="00756B9D">
              <w:rPr>
                <w:sz w:val="22"/>
                <w:szCs w:val="22"/>
                <w:lang w:val="sk"/>
              </w:rPr>
              <w:t xml:space="preserve">Zvieranie hrdla </w:t>
            </w:r>
          </w:p>
          <w:p w14:paraId="741168C7" w14:textId="77777777" w:rsidR="0082334F" w:rsidRPr="00756B9D" w:rsidRDefault="0082334F">
            <w:pPr>
              <w:pStyle w:val="Default"/>
              <w:rPr>
                <w:sz w:val="22"/>
                <w:szCs w:val="22"/>
              </w:rPr>
            </w:pPr>
            <w:r w:rsidRPr="00756B9D">
              <w:rPr>
                <w:sz w:val="22"/>
                <w:szCs w:val="22"/>
                <w:lang w:val="sk"/>
              </w:rPr>
              <w:t xml:space="preserve">Epistaxa </w:t>
            </w:r>
          </w:p>
        </w:tc>
        <w:tc>
          <w:tcPr>
            <w:tcW w:w="2212" w:type="dxa"/>
          </w:tcPr>
          <w:p w14:paraId="5AED9FD0" w14:textId="4E0CCD26" w:rsidR="0082334F" w:rsidRPr="00756B9D" w:rsidRDefault="00831137" w:rsidP="00346B2E">
            <w:pPr>
              <w:spacing w:after="0" w:line="240" w:lineRule="auto"/>
              <w:rPr>
                <w:rFonts w:ascii="Times New Roman" w:hAnsi="Times New Roman"/>
              </w:rPr>
            </w:pPr>
            <w:r w:rsidRPr="00756B9D">
              <w:rPr>
                <w:rFonts w:ascii="Times New Roman" w:hAnsi="Times New Roman"/>
              </w:rPr>
              <w:t>I</w:t>
            </w:r>
            <w:r w:rsidR="00B753C9" w:rsidRPr="00756B9D">
              <w:rPr>
                <w:rFonts w:ascii="Times New Roman" w:hAnsi="Times New Roman"/>
              </w:rPr>
              <w:t xml:space="preserve">ntersticiálna choroba pľúc </w:t>
            </w:r>
            <w:r w:rsidR="00B753C9" w:rsidRPr="00756B9D">
              <w:rPr>
                <w:rFonts w:ascii="Times New Roman" w:hAnsi="Times New Roman"/>
                <w:vertAlign w:val="superscript"/>
              </w:rPr>
              <w:t>x</w:t>
            </w:r>
            <w:r w:rsidRPr="00756B9D">
              <w:rPr>
                <w:rFonts w:ascii="Times New Roman" w:hAnsi="Times New Roman"/>
              </w:rPr>
              <w:t>E</w:t>
            </w:r>
            <w:r w:rsidR="00B753C9" w:rsidRPr="00756B9D">
              <w:rPr>
                <w:rFonts w:ascii="Times New Roman" w:hAnsi="Times New Roman"/>
              </w:rPr>
              <w:t xml:space="preserve">ozinofilná pneumónia </w:t>
            </w:r>
            <w:r w:rsidR="00B753C9" w:rsidRPr="00756B9D">
              <w:rPr>
                <w:rFonts w:ascii="Times New Roman" w:hAnsi="Times New Roman"/>
                <w:vertAlign w:val="superscript"/>
              </w:rPr>
              <w:t>y</w:t>
            </w:r>
          </w:p>
        </w:tc>
        <w:tc>
          <w:tcPr>
            <w:tcW w:w="2148" w:type="dxa"/>
          </w:tcPr>
          <w:p w14:paraId="6918E2C6" w14:textId="77777777" w:rsidR="0082334F" w:rsidRPr="00756B9D" w:rsidRDefault="0082334F">
            <w:pPr>
              <w:pStyle w:val="Default"/>
              <w:rPr>
                <w:color w:val="auto"/>
                <w:sz w:val="22"/>
                <w:szCs w:val="22"/>
              </w:rPr>
            </w:pPr>
          </w:p>
        </w:tc>
      </w:tr>
      <w:tr w:rsidR="0082334F" w:rsidRPr="00756B9D" w14:paraId="6BBC5D8B" w14:textId="77777777" w:rsidTr="00B403BA">
        <w:tc>
          <w:tcPr>
            <w:tcW w:w="10280" w:type="dxa"/>
            <w:gridSpan w:val="5"/>
          </w:tcPr>
          <w:p w14:paraId="4EE88A42" w14:textId="77777777" w:rsidR="00D61A73" w:rsidRPr="00756B9D" w:rsidRDefault="0082334F" w:rsidP="00831137">
            <w:pPr>
              <w:pStyle w:val="Default"/>
              <w:rPr>
                <w:i/>
                <w:iCs/>
                <w:sz w:val="22"/>
                <w:szCs w:val="22"/>
              </w:rPr>
            </w:pPr>
            <w:r w:rsidRPr="00756B9D">
              <w:rPr>
                <w:i/>
                <w:iCs/>
                <w:sz w:val="22"/>
                <w:szCs w:val="22"/>
                <w:lang w:val="sk"/>
              </w:rPr>
              <w:t>Poruchy gastrointestinálneho traktu</w:t>
            </w:r>
          </w:p>
          <w:p w14:paraId="4A0CE50F" w14:textId="77777777" w:rsidR="0082334F" w:rsidRPr="00756B9D" w:rsidRDefault="0082334F">
            <w:pPr>
              <w:pStyle w:val="Default"/>
              <w:rPr>
                <w:sz w:val="22"/>
                <w:szCs w:val="22"/>
              </w:rPr>
            </w:pPr>
            <w:r w:rsidRPr="00756B9D">
              <w:rPr>
                <w:i/>
                <w:iCs/>
                <w:sz w:val="22"/>
                <w:szCs w:val="22"/>
                <w:lang w:val="sk"/>
              </w:rPr>
              <w:t xml:space="preserve"> </w:t>
            </w:r>
          </w:p>
        </w:tc>
      </w:tr>
      <w:tr w:rsidR="0082334F" w:rsidRPr="00756B9D" w14:paraId="18A692A4" w14:textId="77777777" w:rsidTr="00E85B56">
        <w:tc>
          <w:tcPr>
            <w:tcW w:w="2014" w:type="dxa"/>
          </w:tcPr>
          <w:p w14:paraId="345D8952" w14:textId="77777777" w:rsidR="0082334F" w:rsidRPr="00756B9D" w:rsidRDefault="0082334F" w:rsidP="00831137">
            <w:pPr>
              <w:pStyle w:val="Default"/>
              <w:rPr>
                <w:sz w:val="22"/>
                <w:szCs w:val="22"/>
              </w:rPr>
            </w:pPr>
            <w:r w:rsidRPr="00756B9D">
              <w:rPr>
                <w:sz w:val="22"/>
                <w:szCs w:val="22"/>
                <w:lang w:val="sk"/>
              </w:rPr>
              <w:t xml:space="preserve">Nauzea </w:t>
            </w:r>
          </w:p>
          <w:p w14:paraId="0369D0F4" w14:textId="77777777" w:rsidR="0082334F" w:rsidRPr="00756B9D" w:rsidRDefault="0082334F">
            <w:pPr>
              <w:pStyle w:val="Default"/>
              <w:rPr>
                <w:sz w:val="22"/>
                <w:szCs w:val="22"/>
              </w:rPr>
            </w:pPr>
            <w:r w:rsidRPr="00756B9D">
              <w:rPr>
                <w:sz w:val="22"/>
                <w:szCs w:val="22"/>
                <w:lang w:val="sk"/>
              </w:rPr>
              <w:t xml:space="preserve">Suchosť v ústach </w:t>
            </w:r>
          </w:p>
        </w:tc>
        <w:tc>
          <w:tcPr>
            <w:tcW w:w="2017" w:type="dxa"/>
          </w:tcPr>
          <w:p w14:paraId="0D81E308" w14:textId="77777777" w:rsidR="00AA7647" w:rsidRPr="00756B9D" w:rsidRDefault="0082334F">
            <w:pPr>
              <w:pStyle w:val="Default"/>
              <w:rPr>
                <w:sz w:val="22"/>
                <w:szCs w:val="22"/>
                <w:lang w:val="sk"/>
              </w:rPr>
            </w:pPr>
            <w:r w:rsidRPr="00756B9D">
              <w:rPr>
                <w:sz w:val="22"/>
                <w:szCs w:val="22"/>
                <w:lang w:val="sk"/>
              </w:rPr>
              <w:t xml:space="preserve">Zápcha </w:t>
            </w:r>
          </w:p>
          <w:p w14:paraId="4AEF5AD6" w14:textId="77777777" w:rsidR="0082334F" w:rsidRPr="00756B9D" w:rsidRDefault="0082334F">
            <w:pPr>
              <w:pStyle w:val="Default"/>
              <w:rPr>
                <w:sz w:val="22"/>
                <w:szCs w:val="22"/>
              </w:rPr>
            </w:pPr>
            <w:r w:rsidRPr="00756B9D">
              <w:rPr>
                <w:sz w:val="22"/>
                <w:szCs w:val="22"/>
                <w:lang w:val="sk"/>
              </w:rPr>
              <w:t xml:space="preserve">Hnačka </w:t>
            </w:r>
          </w:p>
          <w:p w14:paraId="5B7C8EAB" w14:textId="77777777" w:rsidR="0082334F" w:rsidRPr="00756B9D" w:rsidRDefault="0082334F">
            <w:pPr>
              <w:pStyle w:val="Default"/>
              <w:rPr>
                <w:sz w:val="22"/>
                <w:szCs w:val="22"/>
              </w:rPr>
            </w:pPr>
            <w:r w:rsidRPr="00756B9D">
              <w:rPr>
                <w:sz w:val="22"/>
                <w:szCs w:val="22"/>
                <w:lang w:val="sk"/>
              </w:rPr>
              <w:t xml:space="preserve">Bolesť brucha </w:t>
            </w:r>
          </w:p>
          <w:p w14:paraId="547A2889" w14:textId="77777777" w:rsidR="0082334F" w:rsidRPr="00756B9D" w:rsidRDefault="0082334F">
            <w:pPr>
              <w:pStyle w:val="Default"/>
              <w:rPr>
                <w:sz w:val="22"/>
                <w:szCs w:val="22"/>
              </w:rPr>
            </w:pPr>
            <w:r w:rsidRPr="00756B9D">
              <w:rPr>
                <w:sz w:val="22"/>
                <w:szCs w:val="22"/>
                <w:lang w:val="sk"/>
              </w:rPr>
              <w:t xml:space="preserve">Vracanie </w:t>
            </w:r>
          </w:p>
          <w:p w14:paraId="6D71F79E" w14:textId="77777777" w:rsidR="0082334F" w:rsidRPr="00756B9D" w:rsidRDefault="0082334F">
            <w:pPr>
              <w:pStyle w:val="Default"/>
              <w:rPr>
                <w:sz w:val="22"/>
                <w:szCs w:val="22"/>
              </w:rPr>
            </w:pPr>
            <w:r w:rsidRPr="00756B9D">
              <w:rPr>
                <w:sz w:val="22"/>
                <w:szCs w:val="22"/>
                <w:lang w:val="sk"/>
              </w:rPr>
              <w:t xml:space="preserve">Dyspepsia </w:t>
            </w:r>
          </w:p>
          <w:p w14:paraId="48355F29" w14:textId="77777777" w:rsidR="0082334F" w:rsidRPr="00756B9D" w:rsidRDefault="0082334F">
            <w:pPr>
              <w:pStyle w:val="Default"/>
              <w:rPr>
                <w:sz w:val="22"/>
                <w:szCs w:val="22"/>
              </w:rPr>
            </w:pPr>
            <w:r w:rsidRPr="00756B9D">
              <w:rPr>
                <w:sz w:val="22"/>
                <w:szCs w:val="22"/>
                <w:lang w:val="sk"/>
              </w:rPr>
              <w:t xml:space="preserve">Plynatosť </w:t>
            </w:r>
          </w:p>
        </w:tc>
        <w:tc>
          <w:tcPr>
            <w:tcW w:w="1889" w:type="dxa"/>
          </w:tcPr>
          <w:p w14:paraId="42907DFD" w14:textId="77777777" w:rsidR="0082334F" w:rsidRPr="00756B9D" w:rsidRDefault="0082334F">
            <w:pPr>
              <w:pStyle w:val="Default"/>
              <w:rPr>
                <w:sz w:val="22"/>
                <w:szCs w:val="22"/>
              </w:rPr>
            </w:pPr>
            <w:r w:rsidRPr="00756B9D">
              <w:rPr>
                <w:sz w:val="22"/>
                <w:szCs w:val="22"/>
                <w:lang w:val="sk"/>
              </w:rPr>
              <w:t>Gastrointestinálne krvácanie</w:t>
            </w:r>
            <w:r w:rsidRPr="00756B9D">
              <w:rPr>
                <w:sz w:val="22"/>
                <w:szCs w:val="22"/>
                <w:vertAlign w:val="superscript"/>
                <w:lang w:val="sk"/>
              </w:rPr>
              <w:t xml:space="preserve">7 </w:t>
            </w:r>
          </w:p>
          <w:p w14:paraId="3C3E2170" w14:textId="77777777" w:rsidR="0082334F" w:rsidRPr="00756B9D" w:rsidRDefault="0082334F">
            <w:pPr>
              <w:pStyle w:val="Default"/>
              <w:rPr>
                <w:sz w:val="22"/>
                <w:szCs w:val="22"/>
              </w:rPr>
            </w:pPr>
            <w:r w:rsidRPr="00756B9D">
              <w:rPr>
                <w:sz w:val="22"/>
                <w:szCs w:val="22"/>
                <w:lang w:val="sk"/>
              </w:rPr>
              <w:t xml:space="preserve">Gastroenteritída </w:t>
            </w:r>
          </w:p>
          <w:p w14:paraId="369586F3" w14:textId="77777777" w:rsidR="0082334F" w:rsidRPr="00756B9D" w:rsidRDefault="0082334F">
            <w:pPr>
              <w:pStyle w:val="Default"/>
              <w:rPr>
                <w:sz w:val="22"/>
                <w:szCs w:val="22"/>
              </w:rPr>
            </w:pPr>
            <w:r w:rsidRPr="00756B9D">
              <w:rPr>
                <w:sz w:val="22"/>
                <w:szCs w:val="22"/>
                <w:lang w:val="sk"/>
              </w:rPr>
              <w:t xml:space="preserve">Grganie </w:t>
            </w:r>
          </w:p>
          <w:p w14:paraId="2166FA23" w14:textId="77777777" w:rsidR="0082334F" w:rsidRPr="00756B9D" w:rsidRDefault="0082334F">
            <w:pPr>
              <w:pStyle w:val="Default"/>
              <w:rPr>
                <w:sz w:val="22"/>
                <w:szCs w:val="22"/>
              </w:rPr>
            </w:pPr>
            <w:r w:rsidRPr="00756B9D">
              <w:rPr>
                <w:sz w:val="22"/>
                <w:szCs w:val="22"/>
                <w:lang w:val="sk"/>
              </w:rPr>
              <w:t xml:space="preserve">Gastritída </w:t>
            </w:r>
          </w:p>
          <w:p w14:paraId="0696CCBC" w14:textId="77777777" w:rsidR="0082334F" w:rsidRPr="00756B9D" w:rsidRDefault="0082334F">
            <w:pPr>
              <w:pStyle w:val="Default"/>
              <w:rPr>
                <w:sz w:val="22"/>
                <w:szCs w:val="22"/>
              </w:rPr>
            </w:pPr>
            <w:r w:rsidRPr="00756B9D">
              <w:rPr>
                <w:sz w:val="22"/>
                <w:szCs w:val="22"/>
                <w:lang w:val="sk"/>
              </w:rPr>
              <w:t xml:space="preserve">Dysfágia </w:t>
            </w:r>
          </w:p>
        </w:tc>
        <w:tc>
          <w:tcPr>
            <w:tcW w:w="2212" w:type="dxa"/>
          </w:tcPr>
          <w:p w14:paraId="62390EBA" w14:textId="77777777" w:rsidR="0082334F" w:rsidRPr="00756B9D" w:rsidRDefault="0082334F">
            <w:pPr>
              <w:pStyle w:val="Default"/>
              <w:rPr>
                <w:sz w:val="22"/>
                <w:szCs w:val="22"/>
              </w:rPr>
            </w:pPr>
            <w:r w:rsidRPr="00756B9D">
              <w:rPr>
                <w:sz w:val="22"/>
                <w:szCs w:val="22"/>
                <w:lang w:val="sk"/>
              </w:rPr>
              <w:t xml:space="preserve">Stomatitída </w:t>
            </w:r>
          </w:p>
          <w:p w14:paraId="41F6EBE2" w14:textId="77777777" w:rsidR="0082334F" w:rsidRPr="00756B9D" w:rsidRDefault="0082334F">
            <w:pPr>
              <w:pStyle w:val="Default"/>
              <w:rPr>
                <w:sz w:val="22"/>
                <w:szCs w:val="22"/>
              </w:rPr>
            </w:pPr>
            <w:r w:rsidRPr="00756B9D">
              <w:rPr>
                <w:sz w:val="22"/>
                <w:szCs w:val="22"/>
                <w:lang w:val="sk"/>
              </w:rPr>
              <w:t xml:space="preserve">Hematochézia </w:t>
            </w:r>
          </w:p>
          <w:p w14:paraId="38C40FAC" w14:textId="77777777" w:rsidR="0082334F" w:rsidRPr="00756B9D" w:rsidRDefault="0082334F">
            <w:pPr>
              <w:pStyle w:val="Default"/>
              <w:rPr>
                <w:sz w:val="22"/>
                <w:szCs w:val="22"/>
              </w:rPr>
            </w:pPr>
            <w:r w:rsidRPr="00756B9D">
              <w:rPr>
                <w:sz w:val="22"/>
                <w:szCs w:val="22"/>
                <w:lang w:val="sk"/>
              </w:rPr>
              <w:t xml:space="preserve">Zápach z úst </w:t>
            </w:r>
          </w:p>
          <w:p w14:paraId="549A19C4" w14:textId="77777777" w:rsidR="002B113E" w:rsidRPr="00756B9D" w:rsidRDefault="00D61A73">
            <w:pPr>
              <w:pStyle w:val="Default"/>
              <w:rPr>
                <w:sz w:val="22"/>
                <w:szCs w:val="22"/>
                <w:vertAlign w:val="superscript"/>
              </w:rPr>
            </w:pPr>
            <w:r w:rsidRPr="00756B9D">
              <w:rPr>
                <w:sz w:val="22"/>
                <w:szCs w:val="22"/>
                <w:lang w:val="sk"/>
              </w:rPr>
              <w:t>Mikroskopická kolitída</w:t>
            </w:r>
            <w:r w:rsidRPr="00756B9D">
              <w:rPr>
                <w:sz w:val="22"/>
                <w:szCs w:val="22"/>
                <w:vertAlign w:val="superscript"/>
                <w:lang w:val="sk"/>
              </w:rPr>
              <w:t>9</w:t>
            </w:r>
          </w:p>
        </w:tc>
        <w:tc>
          <w:tcPr>
            <w:tcW w:w="2148" w:type="dxa"/>
          </w:tcPr>
          <w:p w14:paraId="36DB5DB4" w14:textId="77777777" w:rsidR="0082334F" w:rsidRPr="00756B9D" w:rsidRDefault="0082334F">
            <w:pPr>
              <w:pStyle w:val="Default"/>
              <w:rPr>
                <w:color w:val="auto"/>
                <w:sz w:val="22"/>
                <w:szCs w:val="22"/>
              </w:rPr>
            </w:pPr>
          </w:p>
        </w:tc>
      </w:tr>
      <w:tr w:rsidR="0082334F" w:rsidRPr="00756B9D" w14:paraId="5DF546CC" w14:textId="77777777" w:rsidTr="00B403BA">
        <w:tc>
          <w:tcPr>
            <w:tcW w:w="10280" w:type="dxa"/>
            <w:gridSpan w:val="5"/>
          </w:tcPr>
          <w:p w14:paraId="495465A9" w14:textId="77777777" w:rsidR="0082334F" w:rsidRPr="00756B9D" w:rsidRDefault="0082334F" w:rsidP="00831137">
            <w:pPr>
              <w:pStyle w:val="Default"/>
              <w:rPr>
                <w:i/>
                <w:iCs/>
                <w:sz w:val="22"/>
                <w:szCs w:val="22"/>
              </w:rPr>
            </w:pPr>
            <w:r w:rsidRPr="00756B9D">
              <w:rPr>
                <w:i/>
                <w:iCs/>
                <w:sz w:val="22"/>
                <w:szCs w:val="22"/>
                <w:lang w:val="sk"/>
              </w:rPr>
              <w:t xml:space="preserve">Poruchy pečene a žlčových ciest </w:t>
            </w:r>
          </w:p>
          <w:p w14:paraId="45CCD431" w14:textId="77777777" w:rsidR="00D61A73" w:rsidRPr="00756B9D" w:rsidRDefault="00D61A73">
            <w:pPr>
              <w:pStyle w:val="Default"/>
              <w:rPr>
                <w:sz w:val="22"/>
                <w:szCs w:val="22"/>
              </w:rPr>
            </w:pPr>
          </w:p>
        </w:tc>
      </w:tr>
      <w:tr w:rsidR="0082334F" w:rsidRPr="00756B9D" w14:paraId="3A3F14E8" w14:textId="77777777" w:rsidTr="00E85B56">
        <w:tc>
          <w:tcPr>
            <w:tcW w:w="2014" w:type="dxa"/>
          </w:tcPr>
          <w:p w14:paraId="25A9E8A3" w14:textId="77777777" w:rsidR="0082334F" w:rsidRPr="00756B9D" w:rsidRDefault="0082334F" w:rsidP="00831137">
            <w:pPr>
              <w:pStyle w:val="Default"/>
              <w:rPr>
                <w:color w:val="auto"/>
                <w:sz w:val="22"/>
                <w:szCs w:val="22"/>
              </w:rPr>
            </w:pPr>
          </w:p>
        </w:tc>
        <w:tc>
          <w:tcPr>
            <w:tcW w:w="2017" w:type="dxa"/>
          </w:tcPr>
          <w:p w14:paraId="024E779B" w14:textId="77777777" w:rsidR="0082334F" w:rsidRPr="00756B9D" w:rsidRDefault="0082334F" w:rsidP="00831137">
            <w:pPr>
              <w:pStyle w:val="Default"/>
              <w:rPr>
                <w:color w:val="auto"/>
                <w:sz w:val="22"/>
                <w:szCs w:val="22"/>
              </w:rPr>
            </w:pPr>
          </w:p>
        </w:tc>
        <w:tc>
          <w:tcPr>
            <w:tcW w:w="1889" w:type="dxa"/>
          </w:tcPr>
          <w:p w14:paraId="174F263D" w14:textId="5C27167A" w:rsidR="0082334F" w:rsidRPr="00756B9D" w:rsidRDefault="005F4A1E">
            <w:pPr>
              <w:pStyle w:val="Default"/>
              <w:rPr>
                <w:sz w:val="22"/>
                <w:szCs w:val="22"/>
              </w:rPr>
            </w:pPr>
            <w:r w:rsidRPr="00756B9D">
              <w:rPr>
                <w:sz w:val="22"/>
                <w:szCs w:val="22"/>
                <w:lang w:val="sk"/>
              </w:rPr>
              <w:t>Hepatitída</w:t>
            </w:r>
            <w:r w:rsidR="0082334F" w:rsidRPr="00756B9D">
              <w:rPr>
                <w:sz w:val="22"/>
                <w:szCs w:val="22"/>
                <w:vertAlign w:val="superscript"/>
                <w:lang w:val="sk"/>
              </w:rPr>
              <w:t xml:space="preserve">3 </w:t>
            </w:r>
          </w:p>
          <w:p w14:paraId="527ABD17" w14:textId="77777777" w:rsidR="0082334F" w:rsidRPr="00756B9D" w:rsidRDefault="0082334F">
            <w:pPr>
              <w:pStyle w:val="Default"/>
              <w:rPr>
                <w:sz w:val="22"/>
                <w:szCs w:val="22"/>
              </w:rPr>
            </w:pPr>
            <w:r w:rsidRPr="00756B9D">
              <w:rPr>
                <w:sz w:val="22"/>
                <w:szCs w:val="22"/>
                <w:lang w:val="sk"/>
              </w:rPr>
              <w:t xml:space="preserve">Zvýšené hladiny pečeňových enzýmov (ALT, AST, alkalická fosfatáza) </w:t>
            </w:r>
          </w:p>
          <w:p w14:paraId="49B4FE69" w14:textId="77777777" w:rsidR="0082334F" w:rsidRPr="00756B9D" w:rsidRDefault="0082334F">
            <w:pPr>
              <w:pStyle w:val="Default"/>
              <w:rPr>
                <w:sz w:val="22"/>
                <w:szCs w:val="22"/>
              </w:rPr>
            </w:pPr>
            <w:r w:rsidRPr="00756B9D">
              <w:rPr>
                <w:sz w:val="22"/>
                <w:szCs w:val="22"/>
                <w:lang w:val="sk"/>
              </w:rPr>
              <w:t xml:space="preserve">Akútne poškodenie pečene </w:t>
            </w:r>
          </w:p>
        </w:tc>
        <w:tc>
          <w:tcPr>
            <w:tcW w:w="2212" w:type="dxa"/>
          </w:tcPr>
          <w:p w14:paraId="3F90E0EE" w14:textId="77777777" w:rsidR="0082334F" w:rsidRPr="00756B9D" w:rsidRDefault="0082334F">
            <w:pPr>
              <w:pStyle w:val="Default"/>
              <w:rPr>
                <w:sz w:val="22"/>
                <w:szCs w:val="22"/>
              </w:rPr>
            </w:pPr>
            <w:r w:rsidRPr="00756B9D">
              <w:rPr>
                <w:sz w:val="22"/>
                <w:szCs w:val="22"/>
                <w:lang w:val="sk"/>
              </w:rPr>
              <w:t>Zlyhanie pečene</w:t>
            </w:r>
            <w:r w:rsidRPr="00756B9D">
              <w:rPr>
                <w:sz w:val="22"/>
                <w:szCs w:val="22"/>
                <w:vertAlign w:val="superscript"/>
                <w:lang w:val="sk"/>
              </w:rPr>
              <w:t xml:space="preserve">6 </w:t>
            </w:r>
          </w:p>
          <w:p w14:paraId="3411DBAF" w14:textId="629620D5" w:rsidR="0082334F" w:rsidRPr="00756B9D" w:rsidRDefault="005F4A1E">
            <w:pPr>
              <w:pStyle w:val="Default"/>
              <w:rPr>
                <w:sz w:val="22"/>
                <w:szCs w:val="22"/>
              </w:rPr>
            </w:pPr>
            <w:r w:rsidRPr="00756B9D">
              <w:rPr>
                <w:sz w:val="22"/>
                <w:szCs w:val="22"/>
                <w:lang w:val="sk"/>
              </w:rPr>
              <w:t>Žltačka</w:t>
            </w:r>
            <w:r w:rsidR="0082334F" w:rsidRPr="00756B9D">
              <w:rPr>
                <w:sz w:val="22"/>
                <w:szCs w:val="22"/>
                <w:vertAlign w:val="superscript"/>
                <w:lang w:val="sk"/>
              </w:rPr>
              <w:t>6</w:t>
            </w:r>
            <w:r w:rsidR="0082334F" w:rsidRPr="00756B9D">
              <w:rPr>
                <w:sz w:val="22"/>
                <w:szCs w:val="22"/>
                <w:lang w:val="sk"/>
              </w:rPr>
              <w:t xml:space="preserve"> </w:t>
            </w:r>
          </w:p>
        </w:tc>
        <w:tc>
          <w:tcPr>
            <w:tcW w:w="2148" w:type="dxa"/>
          </w:tcPr>
          <w:p w14:paraId="2C259E85" w14:textId="77777777" w:rsidR="0082334F" w:rsidRPr="00756B9D" w:rsidRDefault="0082334F">
            <w:pPr>
              <w:pStyle w:val="Default"/>
              <w:rPr>
                <w:color w:val="auto"/>
                <w:sz w:val="22"/>
                <w:szCs w:val="22"/>
              </w:rPr>
            </w:pPr>
          </w:p>
        </w:tc>
      </w:tr>
      <w:tr w:rsidR="0082334F" w:rsidRPr="00756B9D" w14:paraId="68FACE0C" w14:textId="77777777" w:rsidTr="00B403BA">
        <w:tc>
          <w:tcPr>
            <w:tcW w:w="10280" w:type="dxa"/>
            <w:gridSpan w:val="5"/>
          </w:tcPr>
          <w:p w14:paraId="2111D1CA" w14:textId="77777777" w:rsidR="0082334F" w:rsidRPr="00756B9D" w:rsidRDefault="0082334F" w:rsidP="00831137">
            <w:pPr>
              <w:pStyle w:val="Default"/>
              <w:rPr>
                <w:i/>
                <w:iCs/>
                <w:sz w:val="22"/>
                <w:szCs w:val="22"/>
              </w:rPr>
            </w:pPr>
            <w:r w:rsidRPr="00756B9D">
              <w:rPr>
                <w:i/>
                <w:iCs/>
                <w:sz w:val="22"/>
                <w:szCs w:val="22"/>
                <w:lang w:val="sk"/>
              </w:rPr>
              <w:t xml:space="preserve">Poruchy kože a podkožného tkaniva </w:t>
            </w:r>
          </w:p>
          <w:p w14:paraId="43A9ED20" w14:textId="77777777" w:rsidR="00D61A73" w:rsidRPr="00756B9D" w:rsidRDefault="00D61A73">
            <w:pPr>
              <w:pStyle w:val="Default"/>
              <w:rPr>
                <w:sz w:val="22"/>
                <w:szCs w:val="22"/>
              </w:rPr>
            </w:pPr>
          </w:p>
        </w:tc>
      </w:tr>
      <w:tr w:rsidR="0082334F" w:rsidRPr="00756B9D" w14:paraId="2ED29EEE" w14:textId="77777777" w:rsidTr="00E85B56">
        <w:tc>
          <w:tcPr>
            <w:tcW w:w="2014" w:type="dxa"/>
          </w:tcPr>
          <w:p w14:paraId="78BF9200" w14:textId="77777777" w:rsidR="0082334F" w:rsidRPr="00756B9D" w:rsidRDefault="0082334F" w:rsidP="00831137">
            <w:pPr>
              <w:pStyle w:val="Default"/>
              <w:rPr>
                <w:color w:val="auto"/>
                <w:sz w:val="22"/>
                <w:szCs w:val="22"/>
              </w:rPr>
            </w:pPr>
          </w:p>
        </w:tc>
        <w:tc>
          <w:tcPr>
            <w:tcW w:w="2017" w:type="dxa"/>
          </w:tcPr>
          <w:p w14:paraId="6850FC90" w14:textId="77777777" w:rsidR="0082334F" w:rsidRPr="00756B9D" w:rsidRDefault="0082334F" w:rsidP="00831137">
            <w:pPr>
              <w:pStyle w:val="Default"/>
              <w:rPr>
                <w:sz w:val="22"/>
                <w:szCs w:val="22"/>
              </w:rPr>
            </w:pPr>
            <w:r w:rsidRPr="00756B9D">
              <w:rPr>
                <w:sz w:val="22"/>
                <w:szCs w:val="22"/>
                <w:lang w:val="sk"/>
              </w:rPr>
              <w:t xml:space="preserve">Zvýšené potenie </w:t>
            </w:r>
          </w:p>
          <w:p w14:paraId="05F6162E" w14:textId="77777777" w:rsidR="0082334F" w:rsidRPr="00756B9D" w:rsidRDefault="0082334F">
            <w:pPr>
              <w:pStyle w:val="Default"/>
              <w:rPr>
                <w:sz w:val="22"/>
                <w:szCs w:val="22"/>
              </w:rPr>
            </w:pPr>
            <w:r w:rsidRPr="00756B9D">
              <w:rPr>
                <w:sz w:val="22"/>
                <w:szCs w:val="22"/>
                <w:lang w:val="sk"/>
              </w:rPr>
              <w:t xml:space="preserve">Vyrážka </w:t>
            </w:r>
          </w:p>
        </w:tc>
        <w:tc>
          <w:tcPr>
            <w:tcW w:w="1889" w:type="dxa"/>
          </w:tcPr>
          <w:p w14:paraId="4CBD8B79" w14:textId="77777777" w:rsidR="0082334F" w:rsidRPr="00756B9D" w:rsidRDefault="0082334F">
            <w:pPr>
              <w:pStyle w:val="Default"/>
              <w:rPr>
                <w:sz w:val="22"/>
                <w:szCs w:val="22"/>
              </w:rPr>
            </w:pPr>
            <w:r w:rsidRPr="00756B9D">
              <w:rPr>
                <w:sz w:val="22"/>
                <w:szCs w:val="22"/>
                <w:lang w:val="sk"/>
              </w:rPr>
              <w:t xml:space="preserve">Nočné potenie </w:t>
            </w:r>
          </w:p>
          <w:p w14:paraId="1E9C739B" w14:textId="77777777" w:rsidR="0082334F" w:rsidRPr="00756B9D" w:rsidRDefault="0082334F">
            <w:pPr>
              <w:pStyle w:val="Default"/>
              <w:rPr>
                <w:sz w:val="22"/>
                <w:szCs w:val="22"/>
              </w:rPr>
            </w:pPr>
            <w:r w:rsidRPr="00756B9D">
              <w:rPr>
                <w:sz w:val="22"/>
                <w:szCs w:val="22"/>
                <w:lang w:val="sk"/>
              </w:rPr>
              <w:t xml:space="preserve">Urtikária </w:t>
            </w:r>
          </w:p>
          <w:p w14:paraId="730BC232" w14:textId="77777777" w:rsidR="0082334F" w:rsidRPr="00756B9D" w:rsidRDefault="0082334F">
            <w:pPr>
              <w:pStyle w:val="Default"/>
              <w:rPr>
                <w:sz w:val="22"/>
                <w:szCs w:val="22"/>
              </w:rPr>
            </w:pPr>
            <w:r w:rsidRPr="00756B9D">
              <w:rPr>
                <w:sz w:val="22"/>
                <w:szCs w:val="22"/>
                <w:lang w:val="sk"/>
              </w:rPr>
              <w:t xml:space="preserve">Kontaktná dermatitída </w:t>
            </w:r>
          </w:p>
          <w:p w14:paraId="2525DD8B" w14:textId="77777777" w:rsidR="0082334F" w:rsidRPr="00756B9D" w:rsidRDefault="0082334F">
            <w:pPr>
              <w:pStyle w:val="Default"/>
              <w:rPr>
                <w:sz w:val="22"/>
                <w:szCs w:val="22"/>
              </w:rPr>
            </w:pPr>
            <w:r w:rsidRPr="00756B9D">
              <w:rPr>
                <w:sz w:val="22"/>
                <w:szCs w:val="22"/>
                <w:lang w:val="sk"/>
              </w:rPr>
              <w:lastRenderedPageBreak/>
              <w:t xml:space="preserve">Studený pot </w:t>
            </w:r>
          </w:p>
          <w:p w14:paraId="38B0EE32" w14:textId="77777777" w:rsidR="0082334F" w:rsidRPr="00756B9D" w:rsidRDefault="0082334F">
            <w:pPr>
              <w:pStyle w:val="Default"/>
              <w:rPr>
                <w:sz w:val="22"/>
                <w:szCs w:val="22"/>
              </w:rPr>
            </w:pPr>
            <w:r w:rsidRPr="00756B9D">
              <w:rPr>
                <w:sz w:val="22"/>
                <w:szCs w:val="22"/>
                <w:lang w:val="sk"/>
              </w:rPr>
              <w:t xml:space="preserve">Fotosenzitívne reakcie </w:t>
            </w:r>
          </w:p>
          <w:p w14:paraId="76AEBFB0" w14:textId="77777777" w:rsidR="0082334F" w:rsidRPr="00756B9D" w:rsidRDefault="0082334F">
            <w:pPr>
              <w:pStyle w:val="Default"/>
              <w:rPr>
                <w:sz w:val="22"/>
                <w:szCs w:val="22"/>
              </w:rPr>
            </w:pPr>
            <w:r w:rsidRPr="00756B9D">
              <w:rPr>
                <w:sz w:val="22"/>
                <w:szCs w:val="22"/>
                <w:lang w:val="sk"/>
              </w:rPr>
              <w:t xml:space="preserve">Zvýšený sklon k tvorbe modrín </w:t>
            </w:r>
          </w:p>
        </w:tc>
        <w:tc>
          <w:tcPr>
            <w:tcW w:w="2212" w:type="dxa"/>
          </w:tcPr>
          <w:p w14:paraId="28FCC6BD" w14:textId="77777777" w:rsidR="0082334F" w:rsidRPr="00756B9D" w:rsidRDefault="0082334F">
            <w:pPr>
              <w:pStyle w:val="Default"/>
              <w:rPr>
                <w:sz w:val="22"/>
                <w:szCs w:val="22"/>
              </w:rPr>
            </w:pPr>
            <w:r w:rsidRPr="00756B9D">
              <w:rPr>
                <w:sz w:val="22"/>
                <w:szCs w:val="22"/>
                <w:lang w:val="sk"/>
              </w:rPr>
              <w:lastRenderedPageBreak/>
              <w:t>Stevensov-Johnsonov syndróm</w:t>
            </w:r>
            <w:r w:rsidRPr="00756B9D">
              <w:rPr>
                <w:sz w:val="22"/>
                <w:szCs w:val="22"/>
                <w:vertAlign w:val="superscript"/>
                <w:lang w:val="sk"/>
              </w:rPr>
              <w:t>6</w:t>
            </w:r>
            <w:r w:rsidRPr="00756B9D">
              <w:rPr>
                <w:sz w:val="22"/>
                <w:szCs w:val="22"/>
                <w:lang w:val="sk"/>
              </w:rPr>
              <w:t xml:space="preserve"> </w:t>
            </w:r>
          </w:p>
          <w:p w14:paraId="0461079F" w14:textId="77777777" w:rsidR="0082334F" w:rsidRPr="00756B9D" w:rsidRDefault="0082334F">
            <w:pPr>
              <w:pStyle w:val="Default"/>
              <w:rPr>
                <w:sz w:val="22"/>
                <w:szCs w:val="22"/>
              </w:rPr>
            </w:pPr>
            <w:r w:rsidRPr="00756B9D">
              <w:rPr>
                <w:sz w:val="22"/>
                <w:szCs w:val="22"/>
                <w:lang w:val="sk"/>
              </w:rPr>
              <w:t>Angioneurotický edém</w:t>
            </w:r>
            <w:r w:rsidRPr="00756B9D">
              <w:rPr>
                <w:sz w:val="22"/>
                <w:szCs w:val="22"/>
                <w:vertAlign w:val="superscript"/>
                <w:lang w:val="sk"/>
              </w:rPr>
              <w:t>6</w:t>
            </w:r>
          </w:p>
        </w:tc>
        <w:tc>
          <w:tcPr>
            <w:tcW w:w="2148" w:type="dxa"/>
          </w:tcPr>
          <w:p w14:paraId="196E12C4" w14:textId="77777777" w:rsidR="0082334F" w:rsidRPr="00756B9D" w:rsidRDefault="0044604D">
            <w:pPr>
              <w:pStyle w:val="Default"/>
              <w:rPr>
                <w:color w:val="auto"/>
                <w:sz w:val="22"/>
                <w:szCs w:val="22"/>
              </w:rPr>
            </w:pPr>
            <w:r w:rsidRPr="00756B9D">
              <w:rPr>
                <w:color w:val="auto"/>
                <w:sz w:val="22"/>
                <w:szCs w:val="22"/>
                <w:lang w:val="sk"/>
              </w:rPr>
              <w:t xml:space="preserve">Kožná vaskulitída </w:t>
            </w:r>
          </w:p>
        </w:tc>
      </w:tr>
      <w:tr w:rsidR="0082334F" w:rsidRPr="00756B9D" w14:paraId="790DA114" w14:textId="77777777" w:rsidTr="00B403BA">
        <w:tc>
          <w:tcPr>
            <w:tcW w:w="10280" w:type="dxa"/>
            <w:gridSpan w:val="5"/>
          </w:tcPr>
          <w:p w14:paraId="6127CD00" w14:textId="77777777" w:rsidR="0082334F" w:rsidRPr="00756B9D" w:rsidRDefault="0082334F" w:rsidP="00831137">
            <w:pPr>
              <w:pStyle w:val="Default"/>
              <w:rPr>
                <w:i/>
                <w:iCs/>
                <w:sz w:val="22"/>
                <w:szCs w:val="22"/>
              </w:rPr>
            </w:pPr>
            <w:r w:rsidRPr="00756B9D">
              <w:rPr>
                <w:i/>
                <w:iCs/>
                <w:sz w:val="22"/>
                <w:szCs w:val="22"/>
                <w:lang w:val="sk"/>
              </w:rPr>
              <w:t xml:space="preserve">Poruchy kostrovej a svalovej sústavy a spojivového tkaniva </w:t>
            </w:r>
          </w:p>
          <w:p w14:paraId="4EF07036" w14:textId="77777777" w:rsidR="00D61A73" w:rsidRPr="00756B9D" w:rsidRDefault="00D61A73">
            <w:pPr>
              <w:pStyle w:val="Default"/>
              <w:rPr>
                <w:sz w:val="22"/>
                <w:szCs w:val="22"/>
              </w:rPr>
            </w:pPr>
          </w:p>
        </w:tc>
      </w:tr>
      <w:tr w:rsidR="0082334F" w:rsidRPr="00756B9D" w14:paraId="5DCC2A0A" w14:textId="77777777" w:rsidTr="00E85B56">
        <w:tc>
          <w:tcPr>
            <w:tcW w:w="2014" w:type="dxa"/>
          </w:tcPr>
          <w:p w14:paraId="1AE977D3" w14:textId="77777777" w:rsidR="0082334F" w:rsidRPr="00756B9D" w:rsidRDefault="0082334F" w:rsidP="00831137">
            <w:pPr>
              <w:pStyle w:val="Default"/>
              <w:rPr>
                <w:color w:val="auto"/>
                <w:sz w:val="22"/>
                <w:szCs w:val="22"/>
              </w:rPr>
            </w:pPr>
          </w:p>
        </w:tc>
        <w:tc>
          <w:tcPr>
            <w:tcW w:w="2017" w:type="dxa"/>
          </w:tcPr>
          <w:p w14:paraId="09A6A15D" w14:textId="77777777" w:rsidR="0082334F" w:rsidRPr="00756B9D" w:rsidRDefault="0082334F" w:rsidP="00831137">
            <w:pPr>
              <w:pStyle w:val="Default"/>
              <w:rPr>
                <w:sz w:val="22"/>
                <w:szCs w:val="22"/>
              </w:rPr>
            </w:pPr>
            <w:r w:rsidRPr="00756B9D">
              <w:rPr>
                <w:sz w:val="22"/>
                <w:szCs w:val="22"/>
                <w:lang w:val="sk"/>
              </w:rPr>
              <w:t xml:space="preserve">Bolesť svalov a kostí </w:t>
            </w:r>
          </w:p>
          <w:p w14:paraId="588919BE" w14:textId="77777777" w:rsidR="0082334F" w:rsidRPr="00756B9D" w:rsidRDefault="0082334F">
            <w:pPr>
              <w:pStyle w:val="Default"/>
              <w:rPr>
                <w:sz w:val="22"/>
                <w:szCs w:val="22"/>
              </w:rPr>
            </w:pPr>
            <w:r w:rsidRPr="00756B9D">
              <w:rPr>
                <w:sz w:val="22"/>
                <w:szCs w:val="22"/>
                <w:lang w:val="sk"/>
              </w:rPr>
              <w:t xml:space="preserve">Svalový kŕč </w:t>
            </w:r>
          </w:p>
        </w:tc>
        <w:tc>
          <w:tcPr>
            <w:tcW w:w="1889" w:type="dxa"/>
          </w:tcPr>
          <w:p w14:paraId="1EAD6744" w14:textId="77777777" w:rsidR="0082334F" w:rsidRPr="00756B9D" w:rsidRDefault="0082334F">
            <w:pPr>
              <w:pStyle w:val="Default"/>
              <w:rPr>
                <w:sz w:val="22"/>
                <w:szCs w:val="22"/>
              </w:rPr>
            </w:pPr>
            <w:r w:rsidRPr="00756B9D">
              <w:rPr>
                <w:sz w:val="22"/>
                <w:szCs w:val="22"/>
                <w:lang w:val="sk"/>
              </w:rPr>
              <w:t xml:space="preserve">Napätie svalov </w:t>
            </w:r>
          </w:p>
          <w:p w14:paraId="7D5F5BFD" w14:textId="77777777" w:rsidR="0082334F" w:rsidRPr="00756B9D" w:rsidRDefault="0082334F">
            <w:pPr>
              <w:pStyle w:val="Default"/>
              <w:rPr>
                <w:sz w:val="22"/>
                <w:szCs w:val="22"/>
              </w:rPr>
            </w:pPr>
            <w:r w:rsidRPr="00756B9D">
              <w:rPr>
                <w:sz w:val="22"/>
                <w:szCs w:val="22"/>
                <w:lang w:val="sk"/>
              </w:rPr>
              <w:t xml:space="preserve">Zášklby svalov </w:t>
            </w:r>
          </w:p>
        </w:tc>
        <w:tc>
          <w:tcPr>
            <w:tcW w:w="2212" w:type="dxa"/>
          </w:tcPr>
          <w:p w14:paraId="4E58F344" w14:textId="77777777" w:rsidR="0082334F" w:rsidRPr="00756B9D" w:rsidRDefault="0082334F">
            <w:pPr>
              <w:pStyle w:val="Default"/>
              <w:rPr>
                <w:sz w:val="22"/>
                <w:szCs w:val="22"/>
              </w:rPr>
            </w:pPr>
            <w:r w:rsidRPr="00756B9D">
              <w:rPr>
                <w:sz w:val="22"/>
                <w:szCs w:val="22"/>
                <w:lang w:val="sk"/>
              </w:rPr>
              <w:t xml:space="preserve">Trizmus </w:t>
            </w:r>
          </w:p>
        </w:tc>
        <w:tc>
          <w:tcPr>
            <w:tcW w:w="2148" w:type="dxa"/>
          </w:tcPr>
          <w:p w14:paraId="4579695F" w14:textId="77777777" w:rsidR="0082334F" w:rsidRPr="00756B9D" w:rsidRDefault="0082334F">
            <w:pPr>
              <w:pStyle w:val="Default"/>
              <w:rPr>
                <w:color w:val="auto"/>
                <w:sz w:val="22"/>
                <w:szCs w:val="22"/>
              </w:rPr>
            </w:pPr>
          </w:p>
        </w:tc>
      </w:tr>
      <w:tr w:rsidR="0082334F" w:rsidRPr="00756B9D" w14:paraId="62DA55AB" w14:textId="77777777" w:rsidTr="00B403BA">
        <w:tc>
          <w:tcPr>
            <w:tcW w:w="10280" w:type="dxa"/>
            <w:gridSpan w:val="5"/>
          </w:tcPr>
          <w:p w14:paraId="7C75BB3D" w14:textId="77777777" w:rsidR="00AC79E2" w:rsidRPr="00756B9D" w:rsidRDefault="0082334F" w:rsidP="00831137">
            <w:pPr>
              <w:pStyle w:val="Default"/>
              <w:rPr>
                <w:i/>
                <w:iCs/>
                <w:sz w:val="22"/>
                <w:szCs w:val="22"/>
              </w:rPr>
            </w:pPr>
            <w:r w:rsidRPr="00756B9D">
              <w:rPr>
                <w:i/>
                <w:iCs/>
                <w:sz w:val="22"/>
                <w:szCs w:val="22"/>
                <w:lang w:val="sk"/>
              </w:rPr>
              <w:t>Poruchy obličiek a močových ciest</w:t>
            </w:r>
          </w:p>
          <w:p w14:paraId="4B9D0BCB" w14:textId="77777777" w:rsidR="0082334F" w:rsidRPr="00756B9D" w:rsidRDefault="0082334F">
            <w:pPr>
              <w:pStyle w:val="Default"/>
              <w:rPr>
                <w:sz w:val="22"/>
                <w:szCs w:val="22"/>
              </w:rPr>
            </w:pPr>
            <w:r w:rsidRPr="00756B9D">
              <w:rPr>
                <w:i/>
                <w:iCs/>
                <w:sz w:val="22"/>
                <w:szCs w:val="22"/>
                <w:lang w:val="sk"/>
              </w:rPr>
              <w:t xml:space="preserve"> </w:t>
            </w:r>
          </w:p>
        </w:tc>
      </w:tr>
      <w:tr w:rsidR="0082334F" w:rsidRPr="00756B9D" w14:paraId="6C442CC6" w14:textId="77777777" w:rsidTr="00E85B56">
        <w:tc>
          <w:tcPr>
            <w:tcW w:w="2014" w:type="dxa"/>
          </w:tcPr>
          <w:p w14:paraId="6D1562AD" w14:textId="77777777" w:rsidR="0082334F" w:rsidRPr="00756B9D" w:rsidRDefault="0082334F" w:rsidP="00831137">
            <w:pPr>
              <w:pStyle w:val="Default"/>
              <w:rPr>
                <w:color w:val="auto"/>
                <w:sz w:val="22"/>
                <w:szCs w:val="22"/>
              </w:rPr>
            </w:pPr>
          </w:p>
        </w:tc>
        <w:tc>
          <w:tcPr>
            <w:tcW w:w="2017" w:type="dxa"/>
          </w:tcPr>
          <w:p w14:paraId="687773B7" w14:textId="77777777" w:rsidR="0082334F" w:rsidRPr="00756B9D" w:rsidRDefault="0082334F" w:rsidP="00831137">
            <w:pPr>
              <w:pStyle w:val="Default"/>
              <w:rPr>
                <w:sz w:val="22"/>
                <w:szCs w:val="22"/>
              </w:rPr>
            </w:pPr>
            <w:r w:rsidRPr="00756B9D">
              <w:rPr>
                <w:sz w:val="22"/>
                <w:szCs w:val="22"/>
                <w:lang w:val="sk"/>
              </w:rPr>
              <w:t xml:space="preserve">Dyzúria </w:t>
            </w:r>
          </w:p>
          <w:p w14:paraId="499F30D6" w14:textId="77777777" w:rsidR="0082334F" w:rsidRPr="00756B9D" w:rsidRDefault="0082334F">
            <w:pPr>
              <w:pStyle w:val="Default"/>
              <w:rPr>
                <w:sz w:val="22"/>
                <w:szCs w:val="22"/>
              </w:rPr>
            </w:pPr>
            <w:r w:rsidRPr="00756B9D">
              <w:rPr>
                <w:sz w:val="22"/>
                <w:szCs w:val="22"/>
                <w:lang w:val="sk"/>
              </w:rPr>
              <w:t xml:space="preserve">Polakizúria </w:t>
            </w:r>
          </w:p>
        </w:tc>
        <w:tc>
          <w:tcPr>
            <w:tcW w:w="1889" w:type="dxa"/>
          </w:tcPr>
          <w:p w14:paraId="7B215728" w14:textId="77777777" w:rsidR="0082334F" w:rsidRPr="00756B9D" w:rsidRDefault="0082334F">
            <w:pPr>
              <w:pStyle w:val="Default"/>
              <w:rPr>
                <w:sz w:val="22"/>
                <w:szCs w:val="22"/>
              </w:rPr>
            </w:pPr>
            <w:r w:rsidRPr="00756B9D">
              <w:rPr>
                <w:sz w:val="22"/>
                <w:szCs w:val="22"/>
                <w:lang w:val="sk"/>
              </w:rPr>
              <w:t xml:space="preserve">Zadržiavanie moču </w:t>
            </w:r>
          </w:p>
          <w:p w14:paraId="49199C6E" w14:textId="77777777" w:rsidR="0082334F" w:rsidRPr="00756B9D" w:rsidRDefault="0082334F">
            <w:pPr>
              <w:pStyle w:val="Default"/>
              <w:rPr>
                <w:sz w:val="22"/>
                <w:szCs w:val="22"/>
              </w:rPr>
            </w:pPr>
            <w:r w:rsidRPr="00756B9D">
              <w:rPr>
                <w:sz w:val="22"/>
                <w:szCs w:val="22"/>
                <w:lang w:val="sk"/>
              </w:rPr>
              <w:t xml:space="preserve">Močenie s oneskoreným štartom </w:t>
            </w:r>
          </w:p>
          <w:p w14:paraId="76930E63" w14:textId="77777777" w:rsidR="0082334F" w:rsidRPr="00756B9D" w:rsidRDefault="0082334F">
            <w:pPr>
              <w:pStyle w:val="Default"/>
              <w:rPr>
                <w:sz w:val="22"/>
                <w:szCs w:val="22"/>
              </w:rPr>
            </w:pPr>
            <w:r w:rsidRPr="00756B9D">
              <w:rPr>
                <w:sz w:val="22"/>
                <w:szCs w:val="22"/>
                <w:lang w:val="sk"/>
              </w:rPr>
              <w:t xml:space="preserve">Noktúria </w:t>
            </w:r>
          </w:p>
          <w:p w14:paraId="029BD16C" w14:textId="77777777" w:rsidR="0082334F" w:rsidRPr="00756B9D" w:rsidRDefault="0082334F">
            <w:pPr>
              <w:pStyle w:val="Default"/>
              <w:rPr>
                <w:sz w:val="22"/>
                <w:szCs w:val="22"/>
              </w:rPr>
            </w:pPr>
            <w:r w:rsidRPr="00756B9D">
              <w:rPr>
                <w:sz w:val="22"/>
                <w:szCs w:val="22"/>
                <w:lang w:val="sk"/>
              </w:rPr>
              <w:t xml:space="preserve">Polyúria </w:t>
            </w:r>
          </w:p>
          <w:p w14:paraId="2EBDCD9D" w14:textId="77777777" w:rsidR="0082334F" w:rsidRPr="00756B9D" w:rsidRDefault="0082334F">
            <w:pPr>
              <w:pStyle w:val="Default"/>
              <w:rPr>
                <w:sz w:val="22"/>
                <w:szCs w:val="22"/>
              </w:rPr>
            </w:pPr>
            <w:r w:rsidRPr="00756B9D">
              <w:rPr>
                <w:sz w:val="22"/>
                <w:szCs w:val="22"/>
                <w:lang w:val="sk"/>
              </w:rPr>
              <w:t xml:space="preserve">Slabý prúd moču </w:t>
            </w:r>
          </w:p>
        </w:tc>
        <w:tc>
          <w:tcPr>
            <w:tcW w:w="2212" w:type="dxa"/>
          </w:tcPr>
          <w:p w14:paraId="4285CE6A" w14:textId="77777777" w:rsidR="0082334F" w:rsidRPr="00756B9D" w:rsidRDefault="0082334F">
            <w:pPr>
              <w:pStyle w:val="Default"/>
              <w:rPr>
                <w:sz w:val="22"/>
                <w:szCs w:val="22"/>
              </w:rPr>
            </w:pPr>
            <w:r w:rsidRPr="00756B9D">
              <w:rPr>
                <w:sz w:val="22"/>
                <w:szCs w:val="22"/>
                <w:lang w:val="sk"/>
              </w:rPr>
              <w:t xml:space="preserve">Abnormálny zápach moču </w:t>
            </w:r>
          </w:p>
        </w:tc>
        <w:tc>
          <w:tcPr>
            <w:tcW w:w="2148" w:type="dxa"/>
          </w:tcPr>
          <w:p w14:paraId="224C82D7" w14:textId="77777777" w:rsidR="0082334F" w:rsidRPr="00756B9D" w:rsidRDefault="0082334F">
            <w:pPr>
              <w:pStyle w:val="Default"/>
              <w:rPr>
                <w:color w:val="auto"/>
                <w:sz w:val="22"/>
                <w:szCs w:val="22"/>
              </w:rPr>
            </w:pPr>
          </w:p>
        </w:tc>
      </w:tr>
      <w:tr w:rsidR="0082334F" w:rsidRPr="00756B9D" w14:paraId="635132B7" w14:textId="77777777" w:rsidTr="00B403BA">
        <w:tc>
          <w:tcPr>
            <w:tcW w:w="10280" w:type="dxa"/>
            <w:gridSpan w:val="5"/>
          </w:tcPr>
          <w:p w14:paraId="0E768A64" w14:textId="77777777" w:rsidR="00AC79E2" w:rsidRPr="00756B9D" w:rsidRDefault="0082334F" w:rsidP="00831137">
            <w:pPr>
              <w:pStyle w:val="Default"/>
              <w:rPr>
                <w:i/>
                <w:iCs/>
                <w:sz w:val="22"/>
                <w:szCs w:val="22"/>
              </w:rPr>
            </w:pPr>
            <w:r w:rsidRPr="00756B9D">
              <w:rPr>
                <w:i/>
                <w:iCs/>
                <w:sz w:val="22"/>
                <w:szCs w:val="22"/>
                <w:lang w:val="sk"/>
              </w:rPr>
              <w:t>Poruchy reprodukčného systému a prsníkov</w:t>
            </w:r>
          </w:p>
          <w:p w14:paraId="74A7C583" w14:textId="77777777" w:rsidR="0082334F" w:rsidRPr="00756B9D" w:rsidRDefault="0082334F">
            <w:pPr>
              <w:pStyle w:val="Default"/>
              <w:rPr>
                <w:sz w:val="22"/>
                <w:szCs w:val="22"/>
              </w:rPr>
            </w:pPr>
            <w:r w:rsidRPr="00756B9D">
              <w:rPr>
                <w:i/>
                <w:iCs/>
                <w:sz w:val="22"/>
                <w:szCs w:val="22"/>
                <w:lang w:val="sk"/>
              </w:rPr>
              <w:t xml:space="preserve"> </w:t>
            </w:r>
          </w:p>
        </w:tc>
      </w:tr>
      <w:tr w:rsidR="0082334F" w:rsidRPr="00756B9D" w14:paraId="4CE7C38E" w14:textId="77777777" w:rsidTr="00E85B56">
        <w:tc>
          <w:tcPr>
            <w:tcW w:w="2014" w:type="dxa"/>
          </w:tcPr>
          <w:p w14:paraId="3D1387B3" w14:textId="77777777" w:rsidR="0082334F" w:rsidRPr="00756B9D" w:rsidRDefault="0082334F" w:rsidP="00831137">
            <w:pPr>
              <w:pStyle w:val="Default"/>
              <w:rPr>
                <w:color w:val="auto"/>
                <w:sz w:val="22"/>
                <w:szCs w:val="22"/>
              </w:rPr>
            </w:pPr>
          </w:p>
        </w:tc>
        <w:tc>
          <w:tcPr>
            <w:tcW w:w="2017" w:type="dxa"/>
          </w:tcPr>
          <w:p w14:paraId="3149A31D" w14:textId="77777777" w:rsidR="0082334F" w:rsidRPr="00756B9D" w:rsidRDefault="0082334F" w:rsidP="00831137">
            <w:pPr>
              <w:pStyle w:val="Default"/>
              <w:rPr>
                <w:sz w:val="22"/>
                <w:szCs w:val="22"/>
              </w:rPr>
            </w:pPr>
            <w:r w:rsidRPr="00756B9D">
              <w:rPr>
                <w:sz w:val="22"/>
                <w:szCs w:val="22"/>
                <w:lang w:val="sk"/>
              </w:rPr>
              <w:t xml:space="preserve">Erektilná dysfunkcia </w:t>
            </w:r>
          </w:p>
          <w:p w14:paraId="71035524" w14:textId="77777777" w:rsidR="0082334F" w:rsidRPr="00756B9D" w:rsidRDefault="0082334F">
            <w:pPr>
              <w:pStyle w:val="Default"/>
              <w:rPr>
                <w:sz w:val="22"/>
                <w:szCs w:val="22"/>
              </w:rPr>
            </w:pPr>
            <w:r w:rsidRPr="00756B9D">
              <w:rPr>
                <w:sz w:val="22"/>
                <w:szCs w:val="22"/>
                <w:lang w:val="sk"/>
              </w:rPr>
              <w:t xml:space="preserve">Porucha ejakulácie </w:t>
            </w:r>
          </w:p>
          <w:p w14:paraId="27E63C77" w14:textId="77777777" w:rsidR="0082334F" w:rsidRPr="00756B9D" w:rsidRDefault="0082334F">
            <w:pPr>
              <w:pStyle w:val="Default"/>
              <w:rPr>
                <w:sz w:val="22"/>
                <w:szCs w:val="22"/>
              </w:rPr>
            </w:pPr>
            <w:r w:rsidRPr="00756B9D">
              <w:rPr>
                <w:sz w:val="22"/>
                <w:szCs w:val="22"/>
                <w:lang w:val="sk"/>
              </w:rPr>
              <w:t xml:space="preserve">Oneskorená ejakulácia </w:t>
            </w:r>
          </w:p>
        </w:tc>
        <w:tc>
          <w:tcPr>
            <w:tcW w:w="1889" w:type="dxa"/>
          </w:tcPr>
          <w:p w14:paraId="46AA7AC5" w14:textId="77777777" w:rsidR="0082334F" w:rsidRPr="00756B9D" w:rsidRDefault="0082334F">
            <w:pPr>
              <w:pStyle w:val="Default"/>
              <w:rPr>
                <w:sz w:val="22"/>
                <w:szCs w:val="22"/>
              </w:rPr>
            </w:pPr>
            <w:r w:rsidRPr="00756B9D">
              <w:rPr>
                <w:sz w:val="22"/>
                <w:szCs w:val="22"/>
                <w:lang w:val="sk"/>
              </w:rPr>
              <w:t xml:space="preserve">Gynekologické krvácanie </w:t>
            </w:r>
          </w:p>
          <w:p w14:paraId="1534B3BB" w14:textId="77777777" w:rsidR="0082334F" w:rsidRPr="00756B9D" w:rsidRDefault="0082334F">
            <w:pPr>
              <w:pStyle w:val="Default"/>
              <w:rPr>
                <w:sz w:val="22"/>
                <w:szCs w:val="22"/>
              </w:rPr>
            </w:pPr>
            <w:r w:rsidRPr="00756B9D">
              <w:rPr>
                <w:sz w:val="22"/>
                <w:szCs w:val="22"/>
                <w:lang w:val="sk"/>
              </w:rPr>
              <w:t xml:space="preserve">Poruchy menštruácie </w:t>
            </w:r>
          </w:p>
          <w:p w14:paraId="21DFD072" w14:textId="77777777" w:rsidR="0082334F" w:rsidRPr="00756B9D" w:rsidRDefault="0082334F">
            <w:pPr>
              <w:pStyle w:val="Default"/>
              <w:rPr>
                <w:sz w:val="22"/>
                <w:szCs w:val="22"/>
              </w:rPr>
            </w:pPr>
            <w:r w:rsidRPr="00756B9D">
              <w:rPr>
                <w:sz w:val="22"/>
                <w:szCs w:val="22"/>
                <w:lang w:val="sk"/>
              </w:rPr>
              <w:t xml:space="preserve">Sexuálna dysfunkcia </w:t>
            </w:r>
          </w:p>
          <w:p w14:paraId="224C7225" w14:textId="77777777" w:rsidR="0082334F" w:rsidRPr="00756B9D" w:rsidRDefault="0082334F">
            <w:pPr>
              <w:pStyle w:val="Default"/>
              <w:rPr>
                <w:sz w:val="22"/>
                <w:szCs w:val="22"/>
              </w:rPr>
            </w:pPr>
            <w:r w:rsidRPr="00756B9D">
              <w:rPr>
                <w:sz w:val="22"/>
                <w:szCs w:val="22"/>
                <w:lang w:val="sk"/>
              </w:rPr>
              <w:t xml:space="preserve">Testikulárna bolesť </w:t>
            </w:r>
          </w:p>
        </w:tc>
        <w:tc>
          <w:tcPr>
            <w:tcW w:w="2212" w:type="dxa"/>
          </w:tcPr>
          <w:p w14:paraId="69C3A8EA" w14:textId="77777777" w:rsidR="0082334F" w:rsidRPr="00756B9D" w:rsidRDefault="0082334F">
            <w:pPr>
              <w:pStyle w:val="Default"/>
              <w:rPr>
                <w:sz w:val="22"/>
                <w:szCs w:val="22"/>
              </w:rPr>
            </w:pPr>
            <w:r w:rsidRPr="00756B9D">
              <w:rPr>
                <w:sz w:val="22"/>
                <w:szCs w:val="22"/>
                <w:lang w:val="sk"/>
              </w:rPr>
              <w:t xml:space="preserve">Menopauzálne symptómy </w:t>
            </w:r>
          </w:p>
          <w:p w14:paraId="1234110C" w14:textId="77777777" w:rsidR="0082334F" w:rsidRPr="00756B9D" w:rsidRDefault="0082334F">
            <w:pPr>
              <w:pStyle w:val="Default"/>
              <w:rPr>
                <w:sz w:val="22"/>
                <w:szCs w:val="22"/>
              </w:rPr>
            </w:pPr>
            <w:r w:rsidRPr="00756B9D">
              <w:rPr>
                <w:sz w:val="22"/>
                <w:szCs w:val="22"/>
                <w:lang w:val="sk"/>
              </w:rPr>
              <w:t xml:space="preserve">Galaktorea </w:t>
            </w:r>
          </w:p>
          <w:p w14:paraId="727EAC62" w14:textId="77777777" w:rsidR="0082334F" w:rsidRPr="00756B9D" w:rsidRDefault="0082334F">
            <w:pPr>
              <w:pStyle w:val="Default"/>
              <w:rPr>
                <w:sz w:val="22"/>
                <w:szCs w:val="22"/>
              </w:rPr>
            </w:pPr>
            <w:r w:rsidRPr="00756B9D">
              <w:rPr>
                <w:sz w:val="22"/>
                <w:szCs w:val="22"/>
                <w:lang w:val="sk"/>
              </w:rPr>
              <w:t xml:space="preserve">Hyperpro-laktinémia </w:t>
            </w:r>
          </w:p>
        </w:tc>
        <w:tc>
          <w:tcPr>
            <w:tcW w:w="2148" w:type="dxa"/>
          </w:tcPr>
          <w:p w14:paraId="00A82032" w14:textId="77777777" w:rsidR="0082334F" w:rsidRPr="00756B9D" w:rsidRDefault="0082334F">
            <w:pPr>
              <w:pStyle w:val="Default"/>
              <w:rPr>
                <w:color w:val="auto"/>
                <w:sz w:val="22"/>
                <w:szCs w:val="22"/>
              </w:rPr>
            </w:pPr>
          </w:p>
        </w:tc>
      </w:tr>
      <w:tr w:rsidR="0082334F" w:rsidRPr="00756B9D" w14:paraId="02555A0D" w14:textId="77777777" w:rsidTr="00B403BA">
        <w:tc>
          <w:tcPr>
            <w:tcW w:w="10280" w:type="dxa"/>
            <w:gridSpan w:val="5"/>
          </w:tcPr>
          <w:p w14:paraId="7245EA90" w14:textId="77777777" w:rsidR="00AC79E2" w:rsidRPr="00756B9D" w:rsidRDefault="0082334F" w:rsidP="00831137">
            <w:pPr>
              <w:pStyle w:val="Default"/>
              <w:rPr>
                <w:i/>
                <w:iCs/>
                <w:sz w:val="22"/>
                <w:szCs w:val="22"/>
              </w:rPr>
            </w:pPr>
            <w:r w:rsidRPr="00756B9D">
              <w:rPr>
                <w:i/>
                <w:iCs/>
                <w:sz w:val="22"/>
                <w:szCs w:val="22"/>
                <w:lang w:val="sk"/>
              </w:rPr>
              <w:t>Celkové poruchy a reakcie v mieste podania</w:t>
            </w:r>
          </w:p>
          <w:p w14:paraId="7F4482A8" w14:textId="77777777" w:rsidR="0082334F" w:rsidRPr="00756B9D" w:rsidRDefault="0082334F">
            <w:pPr>
              <w:pStyle w:val="Default"/>
              <w:rPr>
                <w:sz w:val="22"/>
                <w:szCs w:val="22"/>
              </w:rPr>
            </w:pPr>
            <w:r w:rsidRPr="00756B9D">
              <w:rPr>
                <w:i/>
                <w:iCs/>
                <w:sz w:val="22"/>
                <w:szCs w:val="22"/>
                <w:lang w:val="sk"/>
              </w:rPr>
              <w:t xml:space="preserve"> </w:t>
            </w:r>
          </w:p>
        </w:tc>
      </w:tr>
      <w:tr w:rsidR="00486E90" w:rsidRPr="00756B9D" w14:paraId="49C0054C" w14:textId="77777777" w:rsidTr="00E85B56">
        <w:tc>
          <w:tcPr>
            <w:tcW w:w="2014" w:type="dxa"/>
          </w:tcPr>
          <w:p w14:paraId="1F6C514F" w14:textId="77777777" w:rsidR="00486E90" w:rsidRPr="00756B9D" w:rsidRDefault="00486E90" w:rsidP="00831137">
            <w:pPr>
              <w:pStyle w:val="Default"/>
              <w:rPr>
                <w:color w:val="auto"/>
                <w:sz w:val="22"/>
                <w:szCs w:val="22"/>
              </w:rPr>
            </w:pPr>
          </w:p>
        </w:tc>
        <w:tc>
          <w:tcPr>
            <w:tcW w:w="2017" w:type="dxa"/>
          </w:tcPr>
          <w:p w14:paraId="1977FA1A" w14:textId="34767567" w:rsidR="00486E90" w:rsidRPr="00756B9D" w:rsidRDefault="005F4A1E" w:rsidP="00831137">
            <w:pPr>
              <w:pStyle w:val="Default"/>
              <w:rPr>
                <w:sz w:val="22"/>
                <w:szCs w:val="22"/>
              </w:rPr>
            </w:pPr>
            <w:r w:rsidRPr="00756B9D">
              <w:rPr>
                <w:sz w:val="22"/>
                <w:szCs w:val="22"/>
                <w:lang w:val="sk"/>
              </w:rPr>
              <w:t>Pády</w:t>
            </w:r>
            <w:r w:rsidR="00486E90" w:rsidRPr="00756B9D">
              <w:rPr>
                <w:sz w:val="22"/>
                <w:szCs w:val="22"/>
                <w:vertAlign w:val="superscript"/>
                <w:lang w:val="sk"/>
              </w:rPr>
              <w:t xml:space="preserve">8 </w:t>
            </w:r>
          </w:p>
          <w:p w14:paraId="2AC27CFB" w14:textId="77777777" w:rsidR="00486E90" w:rsidRPr="00756B9D" w:rsidRDefault="00486E90">
            <w:pPr>
              <w:pStyle w:val="Default"/>
              <w:rPr>
                <w:sz w:val="22"/>
                <w:szCs w:val="22"/>
              </w:rPr>
            </w:pPr>
            <w:r w:rsidRPr="00756B9D">
              <w:rPr>
                <w:sz w:val="22"/>
                <w:szCs w:val="22"/>
                <w:lang w:val="sk"/>
              </w:rPr>
              <w:t xml:space="preserve">Únava </w:t>
            </w:r>
          </w:p>
          <w:p w14:paraId="0241723E" w14:textId="77777777" w:rsidR="00486E90" w:rsidRPr="00756B9D" w:rsidRDefault="00486E90">
            <w:pPr>
              <w:pStyle w:val="Default"/>
              <w:rPr>
                <w:sz w:val="22"/>
                <w:szCs w:val="22"/>
              </w:rPr>
            </w:pPr>
          </w:p>
        </w:tc>
        <w:tc>
          <w:tcPr>
            <w:tcW w:w="1889" w:type="dxa"/>
          </w:tcPr>
          <w:p w14:paraId="23C86BD3" w14:textId="77777777" w:rsidR="00486E90" w:rsidRPr="00756B9D" w:rsidRDefault="00486E90">
            <w:pPr>
              <w:pStyle w:val="Default"/>
              <w:rPr>
                <w:sz w:val="22"/>
                <w:szCs w:val="22"/>
              </w:rPr>
            </w:pPr>
            <w:r w:rsidRPr="00756B9D">
              <w:rPr>
                <w:sz w:val="22"/>
                <w:szCs w:val="22"/>
                <w:lang w:val="sk"/>
              </w:rPr>
              <w:t>Bolesť v hrudi</w:t>
            </w:r>
            <w:r w:rsidRPr="00756B9D">
              <w:rPr>
                <w:sz w:val="22"/>
                <w:szCs w:val="22"/>
                <w:vertAlign w:val="superscript"/>
                <w:lang w:val="sk"/>
              </w:rPr>
              <w:t>7</w:t>
            </w:r>
          </w:p>
          <w:p w14:paraId="5ADD3314" w14:textId="77777777" w:rsidR="00486E90" w:rsidRPr="00756B9D" w:rsidRDefault="00486E90">
            <w:pPr>
              <w:pStyle w:val="Default"/>
              <w:rPr>
                <w:sz w:val="22"/>
                <w:szCs w:val="22"/>
              </w:rPr>
            </w:pPr>
            <w:r w:rsidRPr="00756B9D">
              <w:rPr>
                <w:sz w:val="22"/>
                <w:szCs w:val="22"/>
                <w:lang w:val="sk"/>
              </w:rPr>
              <w:t xml:space="preserve">Neobvyklé pocity </w:t>
            </w:r>
          </w:p>
          <w:p w14:paraId="72FD644C" w14:textId="77777777" w:rsidR="00486E90" w:rsidRPr="00756B9D" w:rsidRDefault="00486E90">
            <w:pPr>
              <w:pStyle w:val="Default"/>
              <w:rPr>
                <w:sz w:val="22"/>
                <w:szCs w:val="22"/>
              </w:rPr>
            </w:pPr>
            <w:r w:rsidRPr="00756B9D">
              <w:rPr>
                <w:sz w:val="22"/>
                <w:szCs w:val="22"/>
                <w:lang w:val="sk"/>
              </w:rPr>
              <w:t xml:space="preserve">Pocit chladu </w:t>
            </w:r>
          </w:p>
          <w:p w14:paraId="7DFDB63C" w14:textId="77777777" w:rsidR="00486E90" w:rsidRPr="00756B9D" w:rsidRDefault="00486E90">
            <w:pPr>
              <w:pStyle w:val="Default"/>
              <w:rPr>
                <w:sz w:val="22"/>
                <w:szCs w:val="22"/>
              </w:rPr>
            </w:pPr>
            <w:r w:rsidRPr="00756B9D">
              <w:rPr>
                <w:sz w:val="22"/>
                <w:szCs w:val="22"/>
                <w:lang w:val="sk"/>
              </w:rPr>
              <w:t xml:space="preserve">Smäd </w:t>
            </w:r>
          </w:p>
          <w:p w14:paraId="09451B1B" w14:textId="77777777" w:rsidR="00486E90" w:rsidRPr="00756B9D" w:rsidRDefault="00486E90">
            <w:pPr>
              <w:pStyle w:val="Default"/>
              <w:rPr>
                <w:sz w:val="22"/>
                <w:szCs w:val="22"/>
              </w:rPr>
            </w:pPr>
            <w:r w:rsidRPr="00756B9D">
              <w:rPr>
                <w:sz w:val="22"/>
                <w:szCs w:val="22"/>
                <w:lang w:val="sk"/>
              </w:rPr>
              <w:t xml:space="preserve">Zimnica </w:t>
            </w:r>
          </w:p>
          <w:p w14:paraId="3B2D7F4D" w14:textId="77777777" w:rsidR="00486E90" w:rsidRPr="00756B9D" w:rsidRDefault="00486E90">
            <w:pPr>
              <w:pStyle w:val="Default"/>
              <w:rPr>
                <w:sz w:val="22"/>
                <w:szCs w:val="22"/>
              </w:rPr>
            </w:pPr>
            <w:r w:rsidRPr="00756B9D">
              <w:rPr>
                <w:sz w:val="22"/>
                <w:szCs w:val="22"/>
                <w:lang w:val="sk"/>
              </w:rPr>
              <w:t xml:space="preserve">Malátnosť </w:t>
            </w:r>
          </w:p>
          <w:p w14:paraId="5B79720E" w14:textId="77777777" w:rsidR="00486E90" w:rsidRPr="00756B9D" w:rsidRDefault="00486E90">
            <w:pPr>
              <w:pStyle w:val="Default"/>
              <w:rPr>
                <w:sz w:val="22"/>
                <w:szCs w:val="22"/>
              </w:rPr>
            </w:pPr>
            <w:r w:rsidRPr="00756B9D">
              <w:rPr>
                <w:sz w:val="22"/>
                <w:szCs w:val="22"/>
                <w:lang w:val="sk"/>
              </w:rPr>
              <w:t xml:space="preserve">Pocit tepla </w:t>
            </w:r>
          </w:p>
          <w:p w14:paraId="5D196F0E" w14:textId="77777777" w:rsidR="00486E90" w:rsidRPr="00756B9D" w:rsidRDefault="00486E90">
            <w:pPr>
              <w:pStyle w:val="Default"/>
              <w:rPr>
                <w:sz w:val="22"/>
                <w:szCs w:val="22"/>
              </w:rPr>
            </w:pPr>
            <w:r w:rsidRPr="00756B9D">
              <w:rPr>
                <w:sz w:val="22"/>
                <w:szCs w:val="22"/>
                <w:lang w:val="sk"/>
              </w:rPr>
              <w:t xml:space="preserve">Porucha chôdze </w:t>
            </w:r>
          </w:p>
        </w:tc>
        <w:tc>
          <w:tcPr>
            <w:tcW w:w="2212" w:type="dxa"/>
          </w:tcPr>
          <w:p w14:paraId="33C66279" w14:textId="77777777" w:rsidR="00486E90" w:rsidRPr="00756B9D" w:rsidRDefault="00486E90">
            <w:pPr>
              <w:pStyle w:val="Default"/>
              <w:rPr>
                <w:color w:val="auto"/>
                <w:sz w:val="22"/>
                <w:szCs w:val="22"/>
              </w:rPr>
            </w:pPr>
          </w:p>
        </w:tc>
        <w:tc>
          <w:tcPr>
            <w:tcW w:w="2148" w:type="dxa"/>
          </w:tcPr>
          <w:p w14:paraId="5CBC957F" w14:textId="77777777" w:rsidR="00486E90" w:rsidRPr="00756B9D" w:rsidRDefault="00486E90">
            <w:pPr>
              <w:pStyle w:val="Default"/>
              <w:rPr>
                <w:color w:val="auto"/>
                <w:sz w:val="22"/>
                <w:szCs w:val="22"/>
              </w:rPr>
            </w:pPr>
          </w:p>
        </w:tc>
      </w:tr>
      <w:tr w:rsidR="00486E90" w:rsidRPr="00756B9D" w14:paraId="74D647C5" w14:textId="77777777" w:rsidTr="00B403BA">
        <w:tc>
          <w:tcPr>
            <w:tcW w:w="10280" w:type="dxa"/>
            <w:gridSpan w:val="5"/>
          </w:tcPr>
          <w:p w14:paraId="66981E7B" w14:textId="77777777" w:rsidR="00486E90" w:rsidRPr="00756B9D" w:rsidRDefault="00486E90" w:rsidP="00831137">
            <w:pPr>
              <w:pStyle w:val="Default"/>
              <w:rPr>
                <w:sz w:val="22"/>
                <w:szCs w:val="22"/>
              </w:rPr>
            </w:pPr>
            <w:r w:rsidRPr="00756B9D">
              <w:rPr>
                <w:i/>
                <w:iCs/>
                <w:sz w:val="22"/>
                <w:szCs w:val="22"/>
                <w:lang w:val="sk"/>
              </w:rPr>
              <w:t xml:space="preserve">Laboratórne a funkčné vyšetrenia </w:t>
            </w:r>
          </w:p>
        </w:tc>
      </w:tr>
      <w:tr w:rsidR="00486E90" w:rsidRPr="00756B9D" w14:paraId="13F458B9" w14:textId="77777777" w:rsidTr="00E85B56">
        <w:tc>
          <w:tcPr>
            <w:tcW w:w="2014" w:type="dxa"/>
          </w:tcPr>
          <w:p w14:paraId="5B8C50C4" w14:textId="77777777" w:rsidR="00486E90" w:rsidRPr="00756B9D" w:rsidRDefault="00486E90" w:rsidP="00831137">
            <w:pPr>
              <w:pStyle w:val="Default"/>
              <w:rPr>
                <w:color w:val="auto"/>
                <w:sz w:val="22"/>
                <w:szCs w:val="22"/>
              </w:rPr>
            </w:pPr>
          </w:p>
        </w:tc>
        <w:tc>
          <w:tcPr>
            <w:tcW w:w="2017" w:type="dxa"/>
          </w:tcPr>
          <w:p w14:paraId="31036750" w14:textId="77777777" w:rsidR="00486E90" w:rsidRPr="00756B9D" w:rsidRDefault="00486E90" w:rsidP="00831137">
            <w:pPr>
              <w:pStyle w:val="Default"/>
              <w:rPr>
                <w:sz w:val="22"/>
                <w:szCs w:val="22"/>
              </w:rPr>
            </w:pPr>
            <w:r w:rsidRPr="00756B9D">
              <w:rPr>
                <w:sz w:val="22"/>
                <w:szCs w:val="22"/>
                <w:lang w:val="sk"/>
              </w:rPr>
              <w:t xml:space="preserve">Pokles hmotnosti </w:t>
            </w:r>
          </w:p>
        </w:tc>
        <w:tc>
          <w:tcPr>
            <w:tcW w:w="1889" w:type="dxa"/>
          </w:tcPr>
          <w:p w14:paraId="6A9F486B" w14:textId="77777777" w:rsidR="00486E90" w:rsidRPr="00756B9D" w:rsidRDefault="00486E90">
            <w:pPr>
              <w:pStyle w:val="Default"/>
              <w:rPr>
                <w:sz w:val="22"/>
                <w:szCs w:val="22"/>
              </w:rPr>
            </w:pPr>
            <w:r w:rsidRPr="00756B9D">
              <w:rPr>
                <w:sz w:val="22"/>
                <w:szCs w:val="22"/>
                <w:lang w:val="sk"/>
              </w:rPr>
              <w:t xml:space="preserve">Nárast hmotnosti </w:t>
            </w:r>
          </w:p>
          <w:p w14:paraId="7BAA2156" w14:textId="77777777" w:rsidR="00486E90" w:rsidRPr="00756B9D" w:rsidRDefault="00486E90">
            <w:pPr>
              <w:pStyle w:val="Default"/>
              <w:rPr>
                <w:sz w:val="22"/>
                <w:szCs w:val="22"/>
              </w:rPr>
            </w:pPr>
            <w:r w:rsidRPr="00756B9D">
              <w:rPr>
                <w:sz w:val="22"/>
                <w:szCs w:val="22"/>
                <w:lang w:val="sk"/>
              </w:rPr>
              <w:t xml:space="preserve">Zvýšená hladina kreatinínfosfoki- názy v krvi </w:t>
            </w:r>
          </w:p>
          <w:p w14:paraId="48CDD2BB" w14:textId="77777777" w:rsidR="00486E90" w:rsidRPr="00756B9D" w:rsidRDefault="00486E90">
            <w:pPr>
              <w:pStyle w:val="Default"/>
              <w:rPr>
                <w:sz w:val="22"/>
                <w:szCs w:val="22"/>
              </w:rPr>
            </w:pPr>
            <w:r w:rsidRPr="00756B9D">
              <w:rPr>
                <w:sz w:val="22"/>
                <w:szCs w:val="22"/>
                <w:lang w:val="sk"/>
              </w:rPr>
              <w:t xml:space="preserve">Zvýšená hladina draslíka v krvi </w:t>
            </w:r>
          </w:p>
        </w:tc>
        <w:tc>
          <w:tcPr>
            <w:tcW w:w="2212" w:type="dxa"/>
          </w:tcPr>
          <w:p w14:paraId="1B1A3EC1" w14:textId="77777777" w:rsidR="00486E90" w:rsidRPr="00756B9D" w:rsidRDefault="00486E90">
            <w:pPr>
              <w:pStyle w:val="Default"/>
              <w:rPr>
                <w:sz w:val="22"/>
                <w:szCs w:val="22"/>
              </w:rPr>
            </w:pPr>
            <w:r w:rsidRPr="00756B9D">
              <w:rPr>
                <w:sz w:val="22"/>
                <w:szCs w:val="22"/>
                <w:lang w:val="sk"/>
              </w:rPr>
              <w:t xml:space="preserve">Zvýšená hladina cholesterolu v krvi </w:t>
            </w:r>
          </w:p>
        </w:tc>
        <w:tc>
          <w:tcPr>
            <w:tcW w:w="2148" w:type="dxa"/>
          </w:tcPr>
          <w:p w14:paraId="58E63E64" w14:textId="77777777" w:rsidR="00486E90" w:rsidRPr="00756B9D" w:rsidRDefault="00486E90">
            <w:pPr>
              <w:pStyle w:val="Default"/>
              <w:rPr>
                <w:color w:val="auto"/>
                <w:sz w:val="22"/>
                <w:szCs w:val="22"/>
              </w:rPr>
            </w:pPr>
          </w:p>
        </w:tc>
      </w:tr>
    </w:tbl>
    <w:p w14:paraId="1FFC753F" w14:textId="77777777" w:rsidR="00486E90" w:rsidRPr="00756B9D" w:rsidRDefault="00486E90" w:rsidP="00831137">
      <w:pPr>
        <w:pStyle w:val="Default"/>
        <w:jc w:val="both"/>
        <w:rPr>
          <w:sz w:val="22"/>
          <w:szCs w:val="22"/>
        </w:rPr>
      </w:pPr>
      <w:r w:rsidRPr="00756B9D">
        <w:rPr>
          <w:sz w:val="22"/>
          <w:szCs w:val="22"/>
          <w:vertAlign w:val="superscript"/>
          <w:lang w:val="sk"/>
        </w:rPr>
        <w:t xml:space="preserve">1 </w:t>
      </w:r>
      <w:r w:rsidRPr="00756B9D">
        <w:rPr>
          <w:sz w:val="22"/>
          <w:szCs w:val="22"/>
          <w:lang w:val="sk"/>
        </w:rPr>
        <w:t xml:space="preserve">Boli hlásené tiež prípady kŕčov a tinitu po skončení liečby. </w:t>
      </w:r>
    </w:p>
    <w:p w14:paraId="332AA2AB" w14:textId="77777777" w:rsidR="00486E90" w:rsidRPr="00756B9D" w:rsidRDefault="00486E90">
      <w:pPr>
        <w:pStyle w:val="Default"/>
        <w:jc w:val="both"/>
        <w:rPr>
          <w:sz w:val="22"/>
          <w:szCs w:val="22"/>
        </w:rPr>
      </w:pPr>
      <w:r w:rsidRPr="00756B9D">
        <w:rPr>
          <w:sz w:val="22"/>
          <w:szCs w:val="22"/>
          <w:vertAlign w:val="superscript"/>
          <w:lang w:val="sk"/>
        </w:rPr>
        <w:t xml:space="preserve">2 </w:t>
      </w:r>
      <w:r w:rsidRPr="00756B9D">
        <w:rPr>
          <w:sz w:val="22"/>
          <w:szCs w:val="22"/>
          <w:lang w:val="sk"/>
        </w:rPr>
        <w:t xml:space="preserve">Hlavne na začiatku liečby boli hlásené prípady ortostatickej hypotenzie a synkopy. </w:t>
      </w:r>
    </w:p>
    <w:p w14:paraId="05AF371E" w14:textId="77777777" w:rsidR="00486E90" w:rsidRPr="00756B9D" w:rsidRDefault="00486E90">
      <w:pPr>
        <w:pStyle w:val="Default"/>
        <w:jc w:val="both"/>
        <w:rPr>
          <w:sz w:val="22"/>
          <w:szCs w:val="22"/>
        </w:rPr>
      </w:pPr>
      <w:r w:rsidRPr="00756B9D">
        <w:rPr>
          <w:sz w:val="22"/>
          <w:szCs w:val="22"/>
          <w:vertAlign w:val="superscript"/>
          <w:lang w:val="sk"/>
        </w:rPr>
        <w:t xml:space="preserve">3 </w:t>
      </w:r>
      <w:r w:rsidRPr="00756B9D">
        <w:rPr>
          <w:sz w:val="22"/>
          <w:szCs w:val="22"/>
          <w:lang w:val="sk"/>
        </w:rPr>
        <w:t xml:space="preserve">Pozri časť 4.4. </w:t>
      </w:r>
    </w:p>
    <w:p w14:paraId="2DE227D5" w14:textId="77777777" w:rsidR="00486E90" w:rsidRPr="00756B9D" w:rsidRDefault="00486E90">
      <w:pPr>
        <w:pStyle w:val="Default"/>
        <w:jc w:val="both"/>
        <w:rPr>
          <w:sz w:val="22"/>
          <w:szCs w:val="22"/>
        </w:rPr>
      </w:pPr>
      <w:r w:rsidRPr="00756B9D">
        <w:rPr>
          <w:sz w:val="22"/>
          <w:szCs w:val="22"/>
          <w:vertAlign w:val="superscript"/>
          <w:lang w:val="sk"/>
        </w:rPr>
        <w:t xml:space="preserve">4 </w:t>
      </w:r>
      <w:r w:rsidRPr="00756B9D">
        <w:rPr>
          <w:sz w:val="22"/>
          <w:szCs w:val="22"/>
          <w:lang w:val="sk"/>
        </w:rPr>
        <w:t xml:space="preserve">Boli hlásené prípady agresie a hnevu hlavne na začiatku liečby alebo po skončení liečby. </w:t>
      </w:r>
    </w:p>
    <w:p w14:paraId="581ED71E" w14:textId="77777777" w:rsidR="00486E90" w:rsidRPr="00756B9D" w:rsidRDefault="00486E90">
      <w:pPr>
        <w:pStyle w:val="Default"/>
        <w:jc w:val="both"/>
        <w:rPr>
          <w:sz w:val="22"/>
          <w:szCs w:val="22"/>
        </w:rPr>
      </w:pPr>
      <w:r w:rsidRPr="00756B9D">
        <w:rPr>
          <w:sz w:val="22"/>
          <w:szCs w:val="22"/>
          <w:vertAlign w:val="superscript"/>
          <w:lang w:val="sk"/>
        </w:rPr>
        <w:t xml:space="preserve">5 </w:t>
      </w:r>
      <w:r w:rsidRPr="00756B9D">
        <w:rPr>
          <w:sz w:val="22"/>
          <w:szCs w:val="22"/>
          <w:lang w:val="sk"/>
        </w:rPr>
        <w:t xml:space="preserve">Boli hlásené prípady samovražedných myšlienok a samovražedného správania počas liečby duloxetínom alebo v krátkom čase po skončení liečby (pozri časť 4.4). </w:t>
      </w:r>
    </w:p>
    <w:p w14:paraId="322F7157" w14:textId="77777777" w:rsidR="00486E90" w:rsidRPr="00756B9D" w:rsidRDefault="00486E90">
      <w:pPr>
        <w:pStyle w:val="Default"/>
        <w:jc w:val="both"/>
        <w:rPr>
          <w:sz w:val="22"/>
          <w:szCs w:val="22"/>
        </w:rPr>
      </w:pPr>
      <w:r w:rsidRPr="00756B9D">
        <w:rPr>
          <w:sz w:val="22"/>
          <w:szCs w:val="22"/>
          <w:vertAlign w:val="superscript"/>
          <w:lang w:val="sk"/>
        </w:rPr>
        <w:t>6</w:t>
      </w:r>
      <w:r w:rsidRPr="00756B9D">
        <w:rPr>
          <w:sz w:val="22"/>
          <w:szCs w:val="22"/>
          <w:lang w:val="sk"/>
        </w:rPr>
        <w:t xml:space="preserve"> Odhadovaná frekvencia na základe post-marketingového sledovania nežiaducich reakcií: nepozorované v placebom kontrolovaných klinických skúšaniach. </w:t>
      </w:r>
    </w:p>
    <w:p w14:paraId="611BEF78" w14:textId="77777777" w:rsidR="00486E90" w:rsidRPr="00756B9D" w:rsidRDefault="00486E90">
      <w:pPr>
        <w:pStyle w:val="Default"/>
        <w:jc w:val="both"/>
        <w:rPr>
          <w:sz w:val="22"/>
          <w:szCs w:val="22"/>
        </w:rPr>
      </w:pPr>
      <w:r w:rsidRPr="00756B9D">
        <w:rPr>
          <w:sz w:val="22"/>
          <w:szCs w:val="22"/>
          <w:vertAlign w:val="superscript"/>
          <w:lang w:val="sk"/>
        </w:rPr>
        <w:t xml:space="preserve">7 </w:t>
      </w:r>
      <w:r w:rsidRPr="00756B9D">
        <w:rPr>
          <w:sz w:val="22"/>
          <w:szCs w:val="22"/>
          <w:lang w:val="sk"/>
        </w:rPr>
        <w:t xml:space="preserve">Nie je štatisticky významný rozdiel oproti placebu. </w:t>
      </w:r>
    </w:p>
    <w:p w14:paraId="07BEB8C5" w14:textId="3F82CB15" w:rsidR="000E6643" w:rsidRPr="00756B9D" w:rsidRDefault="00486E90">
      <w:pPr>
        <w:pStyle w:val="Default"/>
        <w:jc w:val="both"/>
        <w:rPr>
          <w:color w:val="auto"/>
          <w:sz w:val="22"/>
          <w:szCs w:val="22"/>
        </w:rPr>
      </w:pPr>
      <w:r w:rsidRPr="00756B9D">
        <w:rPr>
          <w:color w:val="auto"/>
          <w:sz w:val="22"/>
          <w:szCs w:val="22"/>
          <w:vertAlign w:val="superscript"/>
          <w:lang w:val="sk"/>
        </w:rPr>
        <w:t xml:space="preserve">8 </w:t>
      </w:r>
      <w:r w:rsidRPr="00756B9D">
        <w:rPr>
          <w:color w:val="auto"/>
          <w:sz w:val="22"/>
          <w:szCs w:val="22"/>
          <w:lang w:val="sk"/>
        </w:rPr>
        <w:t>Pády boli častejšie u starších pacientov (</w:t>
      </w:r>
      <w:r w:rsidR="007D4DC9" w:rsidRPr="00756B9D">
        <w:rPr>
          <w:color w:val="auto"/>
          <w:sz w:val="22"/>
          <w:szCs w:val="22"/>
          <w:lang w:val="sk"/>
        </w:rPr>
        <w:t>≥</w:t>
      </w:r>
      <w:r w:rsidR="007D4DC9" w:rsidRPr="00756B9D" w:rsidDel="007D4DC9">
        <w:rPr>
          <w:color w:val="auto"/>
          <w:sz w:val="22"/>
          <w:szCs w:val="22"/>
          <w:lang w:val="sk"/>
        </w:rPr>
        <w:t xml:space="preserve"> </w:t>
      </w:r>
      <w:r w:rsidRPr="00756B9D">
        <w:rPr>
          <w:color w:val="auto"/>
          <w:sz w:val="22"/>
          <w:szCs w:val="22"/>
          <w:lang w:val="sk"/>
        </w:rPr>
        <w:t>65 rokov).</w:t>
      </w:r>
    </w:p>
    <w:p w14:paraId="3AC31FCE" w14:textId="77777777" w:rsidR="00EF127F" w:rsidRPr="00756B9D" w:rsidRDefault="00EF127F">
      <w:pPr>
        <w:pStyle w:val="Default"/>
        <w:jc w:val="both"/>
        <w:rPr>
          <w:color w:val="auto"/>
          <w:sz w:val="22"/>
          <w:szCs w:val="22"/>
        </w:rPr>
      </w:pPr>
      <w:r w:rsidRPr="00756B9D">
        <w:rPr>
          <w:color w:val="auto"/>
          <w:sz w:val="22"/>
          <w:szCs w:val="22"/>
          <w:vertAlign w:val="superscript"/>
          <w:lang w:val="sk"/>
        </w:rPr>
        <w:t xml:space="preserve">9 </w:t>
      </w:r>
      <w:r w:rsidRPr="00756B9D">
        <w:rPr>
          <w:color w:val="auto"/>
          <w:sz w:val="22"/>
          <w:szCs w:val="22"/>
          <w:lang w:val="sk"/>
        </w:rPr>
        <w:t>Odhadovaná frekvencia na základe údajov zo všetkých klinických skúšaní.</w:t>
      </w:r>
    </w:p>
    <w:p w14:paraId="27881D1B" w14:textId="77777777" w:rsidR="00B753C9" w:rsidRPr="00756B9D" w:rsidRDefault="00B753C9" w:rsidP="00346B2E">
      <w:pPr>
        <w:spacing w:after="0" w:line="240" w:lineRule="auto"/>
        <w:rPr>
          <w:rFonts w:ascii="Times New Roman" w:hAnsi="Times New Roman"/>
        </w:rPr>
      </w:pPr>
      <w:r w:rsidRPr="00756B9D">
        <w:rPr>
          <w:rFonts w:ascii="Times New Roman" w:hAnsi="Times New Roman"/>
          <w:vertAlign w:val="superscript"/>
        </w:rPr>
        <w:lastRenderedPageBreak/>
        <w:t>X</w:t>
      </w:r>
      <w:r w:rsidRPr="00756B9D">
        <w:rPr>
          <w:rFonts w:ascii="Times New Roman" w:hAnsi="Times New Roman"/>
        </w:rPr>
        <w:t xml:space="preserve"> Odhadovaná frekvencia na základe klinických skúšaní kontrolovaných placebom.</w:t>
      </w:r>
      <w:r w:rsidRPr="00756B9D">
        <w:rPr>
          <w:rFonts w:ascii="Times New Roman" w:hAnsi="Times New Roman"/>
        </w:rPr>
        <w:br/>
      </w:r>
      <w:r w:rsidRPr="00756B9D">
        <w:rPr>
          <w:rFonts w:ascii="Times New Roman" w:hAnsi="Times New Roman"/>
          <w:vertAlign w:val="superscript"/>
        </w:rPr>
        <w:t>Y</w:t>
      </w:r>
      <w:r w:rsidRPr="00756B9D">
        <w:rPr>
          <w:rFonts w:ascii="Times New Roman" w:hAnsi="Times New Roman"/>
        </w:rPr>
        <w:t xml:space="preserve"> Odhadovaná frekvencia nežiaducich reakcií zo sledovaní po uvedení lieku na trh; ktoré neboli pozorované v klinických skúšaniach kontrolovaných placebom.</w:t>
      </w:r>
    </w:p>
    <w:p w14:paraId="6AA7EB30" w14:textId="77777777" w:rsidR="00486E90" w:rsidRPr="00756B9D" w:rsidRDefault="00486E90" w:rsidP="00831137">
      <w:pPr>
        <w:pStyle w:val="Default"/>
        <w:jc w:val="both"/>
        <w:rPr>
          <w:color w:val="auto"/>
          <w:sz w:val="22"/>
          <w:szCs w:val="22"/>
        </w:rPr>
      </w:pPr>
    </w:p>
    <w:p w14:paraId="46F689F9" w14:textId="77777777" w:rsidR="00486E90" w:rsidRPr="00756B9D" w:rsidRDefault="00486E90">
      <w:pPr>
        <w:pStyle w:val="Default"/>
        <w:jc w:val="both"/>
        <w:rPr>
          <w:i/>
          <w:iCs/>
          <w:sz w:val="22"/>
          <w:szCs w:val="22"/>
        </w:rPr>
      </w:pPr>
      <w:r w:rsidRPr="00756B9D">
        <w:rPr>
          <w:i/>
          <w:iCs/>
          <w:sz w:val="22"/>
          <w:szCs w:val="22"/>
          <w:lang w:val="sk"/>
        </w:rPr>
        <w:t xml:space="preserve">c. Opis vybraných nežiaducich reakcií </w:t>
      </w:r>
    </w:p>
    <w:p w14:paraId="7B17E0C2" w14:textId="77777777" w:rsidR="00AC79E2" w:rsidRPr="00756B9D" w:rsidRDefault="00AC79E2">
      <w:pPr>
        <w:pStyle w:val="Default"/>
        <w:jc w:val="both"/>
        <w:rPr>
          <w:sz w:val="22"/>
          <w:szCs w:val="22"/>
        </w:rPr>
      </w:pPr>
    </w:p>
    <w:p w14:paraId="5E16615E" w14:textId="17B5B63B" w:rsidR="00486E90" w:rsidRPr="00756B9D" w:rsidRDefault="00486E90">
      <w:pPr>
        <w:pStyle w:val="Default"/>
        <w:jc w:val="both"/>
        <w:rPr>
          <w:sz w:val="22"/>
          <w:szCs w:val="22"/>
        </w:rPr>
      </w:pPr>
      <w:r w:rsidRPr="00756B9D">
        <w:rPr>
          <w:sz w:val="22"/>
          <w:szCs w:val="22"/>
          <w:lang w:val="sk"/>
        </w:rPr>
        <w:t>Vysadenie duloxetínu (hlavne náhle) vedie často k vzniku príznakov z vysadenia. Najčastejšie sú hlásené tieto príznaky: závrat, senzorické poruchy (vrátane parestézie alebo vnemov ako pri elektrickom šoku, najmä v hlave), poruchy spánku (vrátane insomnie a intenzívnych snov), únava, ospalosť, agitovanosť alebo úzkosť, nauzea a/alebo vracanie, tras, bolesť hlavy, myalgia, podráždenosť, hnačka</w:t>
      </w:r>
      <w:r w:rsidR="00AB3E0F" w:rsidRPr="00756B9D">
        <w:rPr>
          <w:sz w:val="22"/>
          <w:szCs w:val="22"/>
          <w:lang w:val="sk"/>
        </w:rPr>
        <w:t>,</w:t>
      </w:r>
      <w:r w:rsidRPr="00756B9D">
        <w:rPr>
          <w:sz w:val="22"/>
          <w:szCs w:val="22"/>
          <w:lang w:val="sk"/>
        </w:rPr>
        <w:t xml:space="preserve"> zvýšené potenie</w:t>
      </w:r>
      <w:r w:rsidR="00AB3E0F" w:rsidRPr="00756B9D">
        <w:rPr>
          <w:rFonts w:eastAsia="Calibri"/>
          <w:sz w:val="22"/>
          <w:szCs w:val="22"/>
          <w:lang w:val="sk-SK" w:eastAsia="en-US"/>
        </w:rPr>
        <w:t xml:space="preserve"> </w:t>
      </w:r>
      <w:r w:rsidR="00AB3E0F" w:rsidRPr="00756B9D">
        <w:rPr>
          <w:sz w:val="22"/>
          <w:szCs w:val="22"/>
          <w:lang w:val="sk-SK"/>
        </w:rPr>
        <w:t>a vertigo</w:t>
      </w:r>
      <w:r w:rsidRPr="00756B9D">
        <w:rPr>
          <w:sz w:val="22"/>
          <w:szCs w:val="22"/>
          <w:lang w:val="sk"/>
        </w:rPr>
        <w:t xml:space="preserve">. </w:t>
      </w:r>
    </w:p>
    <w:p w14:paraId="1BA24CC2" w14:textId="77777777" w:rsidR="00486E90" w:rsidRPr="00756B9D" w:rsidRDefault="00486E90">
      <w:pPr>
        <w:pStyle w:val="Default"/>
        <w:jc w:val="both"/>
        <w:rPr>
          <w:sz w:val="22"/>
          <w:szCs w:val="22"/>
        </w:rPr>
      </w:pPr>
    </w:p>
    <w:p w14:paraId="3C6780C0" w14:textId="16CCF058" w:rsidR="00486E90" w:rsidRPr="00756B9D" w:rsidRDefault="00486E90">
      <w:pPr>
        <w:pStyle w:val="Default"/>
        <w:jc w:val="both"/>
        <w:rPr>
          <w:sz w:val="22"/>
          <w:szCs w:val="22"/>
        </w:rPr>
      </w:pPr>
      <w:r w:rsidRPr="00756B9D">
        <w:rPr>
          <w:sz w:val="22"/>
          <w:szCs w:val="22"/>
          <w:lang w:val="sk"/>
        </w:rPr>
        <w:t xml:space="preserve">Zvyčajne sú tieto reakcie, v prípade SSRI a SNRI, slabé až mierne a samé odznejú, avšak u niektorých pacientov môžu byť vážne a/alebo dlhšieho trvania. Preto sa odporúča, ak nie je liečba duloxetínom ďalej potrebná, postupné vysadenie liečby znižovaním dávky (pozri časti 4.2 a 4.4). </w:t>
      </w:r>
    </w:p>
    <w:p w14:paraId="69C30A28" w14:textId="77777777" w:rsidR="00486E90" w:rsidRPr="00756B9D" w:rsidRDefault="00486E90">
      <w:pPr>
        <w:pStyle w:val="Default"/>
        <w:jc w:val="both"/>
        <w:rPr>
          <w:color w:val="auto"/>
          <w:sz w:val="22"/>
          <w:szCs w:val="22"/>
        </w:rPr>
      </w:pPr>
    </w:p>
    <w:p w14:paraId="7A699A83" w14:textId="77777777" w:rsidR="00486E90" w:rsidRPr="00756B9D" w:rsidRDefault="00486E90">
      <w:pPr>
        <w:pStyle w:val="Default"/>
        <w:jc w:val="both"/>
        <w:rPr>
          <w:color w:val="auto"/>
          <w:sz w:val="22"/>
          <w:szCs w:val="22"/>
        </w:rPr>
      </w:pPr>
      <w:r w:rsidRPr="00756B9D">
        <w:rPr>
          <w:color w:val="auto"/>
          <w:sz w:val="22"/>
          <w:szCs w:val="22"/>
          <w:lang w:val="sk"/>
        </w:rPr>
        <w:t>V 12-týždňovej akútnej fáze troch klinických štúdií s duloxetínom u pacientov trpiacich diabetickou neuropatickou bolesťou došlo u pacientov liečených duloxetínom k miernemu, avšak štatisticky významnému zvýšeniu hladiny glukózy v krvi nalačno. Hodnoty HbA</w:t>
      </w:r>
      <w:r w:rsidRPr="00756B9D">
        <w:rPr>
          <w:color w:val="auto"/>
          <w:sz w:val="22"/>
          <w:szCs w:val="22"/>
          <w:vertAlign w:val="subscript"/>
          <w:lang w:val="sk"/>
        </w:rPr>
        <w:t>1c</w:t>
      </w:r>
      <w:r w:rsidRPr="00756B9D">
        <w:rPr>
          <w:color w:val="auto"/>
          <w:sz w:val="22"/>
          <w:szCs w:val="22"/>
          <w:lang w:val="sk"/>
        </w:rPr>
        <w:t xml:space="preserve"> boli stabilné aj u pacientov liečených duloxetínom aj u pacientov s placebom. V následnej fáze týchto štúdií, ktorá trvala až 52 týždňov, sa objavilo v oboch skupinách pacientov zvýšenie hodnoty HbA</w:t>
      </w:r>
      <w:r w:rsidRPr="00756B9D">
        <w:rPr>
          <w:color w:val="auto"/>
          <w:sz w:val="22"/>
          <w:szCs w:val="22"/>
          <w:vertAlign w:val="subscript"/>
          <w:lang w:val="sk"/>
        </w:rPr>
        <w:t>1c</w:t>
      </w:r>
      <w:r w:rsidRPr="00756B9D">
        <w:rPr>
          <w:color w:val="auto"/>
          <w:sz w:val="22"/>
          <w:szCs w:val="22"/>
          <w:lang w:val="sk"/>
        </w:rPr>
        <w:t>, pričom priemerné zvýšenie bolo o 0,3% vyššie v skupine pacientov liečených duloxetínom. Zaznamenalo sa tiež mierne zvýšenie glukózy v krvi nalačno a celkového cholesterolu u pacientov liečených duloxetínom, pričom tieto laboratórne testy v kontrolnej skupine ukázali mierny pokles.</w:t>
      </w:r>
    </w:p>
    <w:p w14:paraId="405988B4" w14:textId="77777777" w:rsidR="00486E90" w:rsidRPr="00756B9D" w:rsidRDefault="00486E90">
      <w:pPr>
        <w:pStyle w:val="Default"/>
        <w:jc w:val="both"/>
        <w:rPr>
          <w:color w:val="auto"/>
          <w:sz w:val="22"/>
          <w:szCs w:val="22"/>
        </w:rPr>
      </w:pPr>
    </w:p>
    <w:p w14:paraId="45DE37A2" w14:textId="77777777" w:rsidR="00486E90" w:rsidRPr="00756B9D" w:rsidRDefault="00486E90">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 xml:space="preserve">QT interval korigovaný podľa srdcovej frekvencie sa u pacientov liečených duloxetínom nelíšil od toho zisteného u placebom liečených pacientov. V rámci porovnania pacientov liečených duloxetínom a pacientov liečených placebom pri meraniach QT, PR, QRS, a QTcB žiadne klinicky významné rozdiely zistené neboli. </w:t>
      </w:r>
    </w:p>
    <w:p w14:paraId="79091E4F" w14:textId="77777777" w:rsidR="00486E90" w:rsidRPr="00756B9D" w:rsidRDefault="00486E90">
      <w:pPr>
        <w:autoSpaceDE w:val="0"/>
        <w:autoSpaceDN w:val="0"/>
        <w:adjustRightInd w:val="0"/>
        <w:spacing w:after="0" w:line="240" w:lineRule="auto"/>
        <w:jc w:val="both"/>
        <w:rPr>
          <w:rFonts w:ascii="Times New Roman" w:hAnsi="Times New Roman"/>
          <w:i/>
          <w:iCs/>
          <w:color w:val="000000"/>
        </w:rPr>
      </w:pPr>
    </w:p>
    <w:p w14:paraId="6DDCC272" w14:textId="77777777" w:rsidR="00486E90" w:rsidRPr="00756B9D" w:rsidRDefault="00486E90">
      <w:pPr>
        <w:autoSpaceDE w:val="0"/>
        <w:autoSpaceDN w:val="0"/>
        <w:adjustRightInd w:val="0"/>
        <w:spacing w:after="0" w:line="240" w:lineRule="auto"/>
        <w:jc w:val="both"/>
        <w:rPr>
          <w:rFonts w:ascii="Times New Roman" w:hAnsi="Times New Roman"/>
          <w:i/>
          <w:iCs/>
          <w:color w:val="000000"/>
        </w:rPr>
      </w:pPr>
      <w:r w:rsidRPr="00756B9D">
        <w:rPr>
          <w:rFonts w:ascii="Times New Roman" w:hAnsi="Times New Roman"/>
          <w:i/>
          <w:iCs/>
          <w:color w:val="000000"/>
          <w:lang w:val="sk"/>
        </w:rPr>
        <w:t xml:space="preserve">d. Pediatrická populácia </w:t>
      </w:r>
    </w:p>
    <w:p w14:paraId="491C7218" w14:textId="77777777" w:rsidR="00AC79E2" w:rsidRPr="00756B9D" w:rsidRDefault="00AC79E2">
      <w:pPr>
        <w:autoSpaceDE w:val="0"/>
        <w:autoSpaceDN w:val="0"/>
        <w:adjustRightInd w:val="0"/>
        <w:spacing w:after="0" w:line="240" w:lineRule="auto"/>
        <w:jc w:val="both"/>
        <w:rPr>
          <w:rFonts w:ascii="Times New Roman" w:hAnsi="Times New Roman"/>
          <w:color w:val="000000"/>
        </w:rPr>
      </w:pPr>
    </w:p>
    <w:p w14:paraId="6351E519" w14:textId="1509F498" w:rsidR="00486E90" w:rsidRPr="00756B9D" w:rsidRDefault="00486E90">
      <w:pPr>
        <w:pStyle w:val="Default"/>
        <w:jc w:val="both"/>
        <w:rPr>
          <w:sz w:val="22"/>
          <w:szCs w:val="22"/>
        </w:rPr>
      </w:pPr>
      <w:r w:rsidRPr="00756B9D">
        <w:rPr>
          <w:sz w:val="22"/>
          <w:szCs w:val="22"/>
          <w:lang w:val="sk"/>
        </w:rPr>
        <w:t>V klinických štúdiách bolo duloxetínom liečených celkovo 509 pediatrických pacie</w:t>
      </w:r>
      <w:r w:rsidR="007D4DC9" w:rsidRPr="00756B9D">
        <w:rPr>
          <w:sz w:val="22"/>
          <w:szCs w:val="22"/>
          <w:lang w:val="sk"/>
        </w:rPr>
        <w:t>n</w:t>
      </w:r>
      <w:r w:rsidRPr="00756B9D">
        <w:rPr>
          <w:sz w:val="22"/>
          <w:szCs w:val="22"/>
          <w:lang w:val="sk"/>
        </w:rPr>
        <w:t xml:space="preserve">tov s veľkou depresívnou poruchou vo veku 7 až 17 rokov a 241 pediatrických pacientov s generalizovanou úzkostnou poruchou vo veku 7 až 17 rokov. Vo všeobecnosti bol profil nežiaducich reakcií duloxetínu u detí a dospievajúcich podobný tomu u dospelých. </w:t>
      </w:r>
    </w:p>
    <w:p w14:paraId="57CEDCE0" w14:textId="77777777" w:rsidR="00486E90" w:rsidRPr="00756B9D" w:rsidRDefault="00486E90">
      <w:pPr>
        <w:pStyle w:val="Default"/>
        <w:jc w:val="both"/>
        <w:rPr>
          <w:sz w:val="22"/>
          <w:szCs w:val="22"/>
        </w:rPr>
      </w:pPr>
    </w:p>
    <w:p w14:paraId="35FC73B0" w14:textId="77777777" w:rsidR="00486E90" w:rsidRPr="00756B9D" w:rsidRDefault="00486E90">
      <w:pPr>
        <w:pStyle w:val="Default"/>
        <w:jc w:val="both"/>
        <w:rPr>
          <w:sz w:val="22"/>
          <w:szCs w:val="22"/>
        </w:rPr>
      </w:pPr>
      <w:r w:rsidRPr="00756B9D">
        <w:rPr>
          <w:sz w:val="22"/>
          <w:szCs w:val="22"/>
          <w:lang w:val="sk"/>
        </w:rPr>
        <w:t>Celkom 467 pediatrických pacientov pôvodne randomizovaných na duloxetín v klinických štúdiách zakúsilo zníženie hmotnosti v priemere o 0,1 kg počas 10 týždňov v porovnaní s nárastom v priemere o 0,9 kg u 353 pacientov užívajúcich placebo. Následne počas 4- až 6-mesačnej predĺženej fázy mali pacienti v priemere tendenciu k návratu k svojmu pôvodnému percentilu hmotnosti očakávanému na základe populačných údajov o veku a pohlaví rovesníkov.</w:t>
      </w:r>
    </w:p>
    <w:p w14:paraId="30EEF982" w14:textId="77777777" w:rsidR="00486E90" w:rsidRPr="00756B9D" w:rsidRDefault="00486E90">
      <w:pPr>
        <w:pStyle w:val="Default"/>
        <w:jc w:val="both"/>
        <w:rPr>
          <w:sz w:val="22"/>
          <w:szCs w:val="22"/>
        </w:rPr>
      </w:pPr>
      <w:r w:rsidRPr="00756B9D">
        <w:rPr>
          <w:sz w:val="22"/>
          <w:szCs w:val="22"/>
          <w:lang w:val="sk"/>
        </w:rPr>
        <w:t xml:space="preserve">V klinických štúdiách v trvaní najviac 9 mesiacov bol u pediatrických pacientov liečených duloxetínom v percentilovom grafe telesnej výšky pozorovaný celkový priemerný pokles o 1 % (pokles o 2 % u detí (7-11 rokov) a nárast o 0,3 % u dospievajúcich (12-17 rokov)) (pozri časť 4.4). </w:t>
      </w:r>
    </w:p>
    <w:p w14:paraId="5AE6D082" w14:textId="77777777" w:rsidR="00486E90" w:rsidRPr="00756B9D" w:rsidRDefault="00486E90">
      <w:pPr>
        <w:pStyle w:val="Default"/>
        <w:jc w:val="both"/>
        <w:rPr>
          <w:i/>
          <w:iCs/>
          <w:sz w:val="22"/>
          <w:szCs w:val="22"/>
        </w:rPr>
      </w:pPr>
    </w:p>
    <w:p w14:paraId="63D9F4B9" w14:textId="77777777" w:rsidR="00486E90" w:rsidRPr="00756B9D" w:rsidRDefault="00486E90">
      <w:pPr>
        <w:pStyle w:val="Default"/>
        <w:jc w:val="both"/>
        <w:rPr>
          <w:sz w:val="22"/>
          <w:szCs w:val="22"/>
          <w:u w:val="single"/>
        </w:rPr>
      </w:pPr>
      <w:r w:rsidRPr="00756B9D">
        <w:rPr>
          <w:i/>
          <w:iCs/>
          <w:sz w:val="22"/>
          <w:szCs w:val="22"/>
          <w:u w:val="single"/>
          <w:lang w:val="sk"/>
        </w:rPr>
        <w:t xml:space="preserve">Hlásenie podozrení na nežiaduce reakcie </w:t>
      </w:r>
    </w:p>
    <w:p w14:paraId="3B8E53D2" w14:textId="58C470D8" w:rsidR="00486E90" w:rsidRPr="00756B9D" w:rsidRDefault="00486E90">
      <w:pPr>
        <w:pStyle w:val="Default"/>
        <w:jc w:val="both"/>
        <w:rPr>
          <w:color w:val="auto"/>
          <w:sz w:val="22"/>
          <w:szCs w:val="22"/>
        </w:rPr>
      </w:pPr>
      <w:r w:rsidRPr="00756B9D">
        <w:rPr>
          <w:color w:val="auto"/>
          <w:sz w:val="22"/>
          <w:szCs w:val="22"/>
          <w:lang w:val="sk"/>
        </w:rPr>
        <w:t>Hlásenie podozrení na nežiaduce reakcie po registrácii lieku je dôležité. Umožňuje priebežné monitorovanie pomeru prínosu a rizika lieku. Od zdravotníckych pracovníkov sa vyžaduje, aby hlásili akékoľvek podozrenia na nežiaduce reakcie</w:t>
      </w:r>
      <w:r w:rsidR="007D4DC9" w:rsidRPr="00756B9D">
        <w:rPr>
          <w:color w:val="auto"/>
          <w:sz w:val="22"/>
          <w:szCs w:val="22"/>
          <w:lang w:val="sk"/>
        </w:rPr>
        <w:t xml:space="preserve"> na</w:t>
      </w:r>
      <w:r w:rsidRPr="00756B9D">
        <w:rPr>
          <w:color w:val="auto"/>
          <w:sz w:val="22"/>
          <w:szCs w:val="22"/>
          <w:highlight w:val="lightGray"/>
          <w:lang w:val="sk"/>
        </w:rPr>
        <w:t xml:space="preserve"> národné </w:t>
      </w:r>
      <w:r w:rsidR="007D4DC9" w:rsidRPr="00756B9D">
        <w:rPr>
          <w:color w:val="auto"/>
          <w:sz w:val="22"/>
          <w:szCs w:val="22"/>
          <w:highlight w:val="lightGray"/>
          <w:lang w:val="sk"/>
        </w:rPr>
        <w:t>centrum</w:t>
      </w:r>
      <w:r w:rsidRPr="00756B9D">
        <w:rPr>
          <w:color w:val="auto"/>
          <w:sz w:val="22"/>
          <w:szCs w:val="22"/>
          <w:highlight w:val="lightGray"/>
          <w:lang w:val="sk"/>
        </w:rPr>
        <w:t xml:space="preserve"> hlásenia uvedené v </w:t>
      </w:r>
      <w:hyperlink r:id="rId7" w:history="1">
        <w:r w:rsidR="00864CC8" w:rsidRPr="00756B9D">
          <w:rPr>
            <w:rStyle w:val="Hypertextovprepojenie"/>
            <w:noProof/>
            <w:sz w:val="22"/>
            <w:szCs w:val="22"/>
            <w:highlight w:val="lightGray"/>
          </w:rPr>
          <w:t>Prílohe V</w:t>
        </w:r>
      </w:hyperlink>
      <w:r w:rsidRPr="00756B9D">
        <w:rPr>
          <w:color w:val="auto"/>
          <w:sz w:val="22"/>
          <w:szCs w:val="22"/>
          <w:highlight w:val="lightGray"/>
          <w:lang w:val="sk"/>
        </w:rPr>
        <w:t>.</w:t>
      </w:r>
    </w:p>
    <w:p w14:paraId="5E32675E" w14:textId="77777777" w:rsidR="00486E90" w:rsidRPr="00756B9D" w:rsidRDefault="00486E90">
      <w:pPr>
        <w:pStyle w:val="Default"/>
        <w:jc w:val="both"/>
        <w:rPr>
          <w:color w:val="auto"/>
          <w:sz w:val="22"/>
          <w:szCs w:val="22"/>
        </w:rPr>
      </w:pPr>
    </w:p>
    <w:p w14:paraId="4EB4774F" w14:textId="468485EA" w:rsidR="00486E90" w:rsidRPr="00756B9D" w:rsidRDefault="00486E90" w:rsidP="009E5803">
      <w:pPr>
        <w:pStyle w:val="Default"/>
        <w:keepNext/>
        <w:numPr>
          <w:ilvl w:val="1"/>
          <w:numId w:val="2"/>
        </w:numPr>
        <w:ind w:left="567" w:hanging="567"/>
        <w:jc w:val="both"/>
        <w:rPr>
          <w:sz w:val="22"/>
          <w:szCs w:val="22"/>
        </w:rPr>
      </w:pPr>
      <w:r w:rsidRPr="00756B9D">
        <w:rPr>
          <w:b/>
          <w:bCs/>
          <w:sz w:val="22"/>
          <w:szCs w:val="22"/>
          <w:lang w:val="sk"/>
        </w:rPr>
        <w:t xml:space="preserve">Predávkovanie </w:t>
      </w:r>
    </w:p>
    <w:p w14:paraId="7C51FCB2" w14:textId="77777777" w:rsidR="00486E90" w:rsidRPr="00756B9D" w:rsidRDefault="00486E90" w:rsidP="009E5803">
      <w:pPr>
        <w:pStyle w:val="Default"/>
        <w:keepNext/>
        <w:jc w:val="both"/>
        <w:rPr>
          <w:sz w:val="22"/>
          <w:szCs w:val="22"/>
        </w:rPr>
      </w:pPr>
    </w:p>
    <w:p w14:paraId="70582130" w14:textId="0329F19A" w:rsidR="00486E90" w:rsidRPr="00756B9D" w:rsidRDefault="00486E90" w:rsidP="009E5803">
      <w:pPr>
        <w:pStyle w:val="Default"/>
        <w:keepNext/>
        <w:jc w:val="both"/>
        <w:rPr>
          <w:sz w:val="22"/>
          <w:szCs w:val="22"/>
        </w:rPr>
      </w:pPr>
      <w:r w:rsidRPr="00756B9D">
        <w:rPr>
          <w:sz w:val="22"/>
          <w:szCs w:val="22"/>
          <w:lang w:val="sk"/>
        </w:rPr>
        <w:t xml:space="preserve">Zaznamenali sa prípady predávkovania duloxetínom samotným alebo v kombinácii s inými liekmi, v dávke 5 400 mg. Vyskytlo sa i niekoľko prípadov úmrtia, najmä pri predávkovaní kombináciou liekov, ale aj pri predávkovaní samotným duloxetínom v dávke približne 1000 mg. </w:t>
      </w:r>
      <w:r w:rsidR="00820144" w:rsidRPr="00756B9D">
        <w:rPr>
          <w:sz w:val="22"/>
          <w:szCs w:val="22"/>
          <w:lang w:val="sk"/>
        </w:rPr>
        <w:t xml:space="preserve">Prejavy </w:t>
      </w:r>
      <w:r w:rsidRPr="00756B9D">
        <w:rPr>
          <w:sz w:val="22"/>
          <w:szCs w:val="22"/>
          <w:lang w:val="sk"/>
        </w:rPr>
        <w:t xml:space="preserve">a symptómy predávkovania (samotným duloxetínom alebo v kombinácii s inými liekmi) zahŕňajú somnolenciu, kómu, sérotonínový syndróm, záchvaty, vracanie a tachykardiu. </w:t>
      </w:r>
    </w:p>
    <w:p w14:paraId="7FFE1742" w14:textId="77777777" w:rsidR="00486E90" w:rsidRPr="00756B9D" w:rsidRDefault="00486E90">
      <w:pPr>
        <w:pStyle w:val="Default"/>
        <w:jc w:val="both"/>
        <w:rPr>
          <w:color w:val="auto"/>
          <w:sz w:val="22"/>
          <w:szCs w:val="22"/>
        </w:rPr>
      </w:pPr>
    </w:p>
    <w:p w14:paraId="51CF43AC" w14:textId="77777777" w:rsidR="00486E90" w:rsidRPr="00756B9D" w:rsidRDefault="00486E90">
      <w:pPr>
        <w:pStyle w:val="Default"/>
        <w:jc w:val="both"/>
        <w:rPr>
          <w:color w:val="auto"/>
          <w:sz w:val="22"/>
          <w:szCs w:val="22"/>
        </w:rPr>
      </w:pPr>
      <w:r w:rsidRPr="00756B9D">
        <w:rPr>
          <w:color w:val="auto"/>
          <w:sz w:val="22"/>
          <w:szCs w:val="22"/>
          <w:lang w:val="sk"/>
        </w:rPr>
        <w:lastRenderedPageBreak/>
        <w:t>Nie je známe žiadne špecifické antidotum duloxetínu, ale ak sa vyskytne sérotonínový syndróm, má sa zvážiť špecifická liečba (ako je cyproheptadín a/alebo kontrola teploty). Je potrebné zabezpečiť priechodnosť dýchacích ciest. Zároveň sa odporúča monitorovať funkciu srdca ako aj všetky vitálne funkcie, spolu s náležitými symptomatickými a podpornými opatreniami. Výplach žalúdka sa môže indikovať, ak je prevedený ihneď po požití alebo u symptomatických pacientov. Aktívne uhlie môže byť prospešné na obmedzenie absorpcie. Duloxetín má rozsiahly objem distribúcie a je málo pravdepodobné, že by forsírovaná diuréza, hemoperfúzia či výmenná perfúzia mohli byť v tomto prípade prospešné.</w:t>
      </w:r>
    </w:p>
    <w:p w14:paraId="176411B3" w14:textId="77777777" w:rsidR="00486E90" w:rsidRPr="00756B9D" w:rsidRDefault="00486E90">
      <w:pPr>
        <w:pStyle w:val="Default"/>
        <w:jc w:val="both"/>
        <w:rPr>
          <w:color w:val="auto"/>
          <w:sz w:val="22"/>
          <w:szCs w:val="22"/>
        </w:rPr>
      </w:pPr>
    </w:p>
    <w:p w14:paraId="7507CF4C" w14:textId="77777777" w:rsidR="00C051FD" w:rsidRPr="00756B9D" w:rsidRDefault="00C051FD">
      <w:pPr>
        <w:pStyle w:val="Default"/>
        <w:jc w:val="both"/>
        <w:rPr>
          <w:color w:val="auto"/>
          <w:sz w:val="22"/>
          <w:szCs w:val="22"/>
        </w:rPr>
      </w:pPr>
    </w:p>
    <w:p w14:paraId="47A89D8E" w14:textId="651233C1" w:rsidR="00486E90" w:rsidRPr="00756B9D" w:rsidRDefault="00486E90" w:rsidP="00756B9D">
      <w:pPr>
        <w:pStyle w:val="Default"/>
        <w:numPr>
          <w:ilvl w:val="0"/>
          <w:numId w:val="2"/>
        </w:numPr>
        <w:ind w:left="567" w:hanging="567"/>
        <w:jc w:val="both"/>
        <w:rPr>
          <w:sz w:val="22"/>
          <w:szCs w:val="22"/>
        </w:rPr>
      </w:pPr>
      <w:r w:rsidRPr="00756B9D">
        <w:rPr>
          <w:b/>
          <w:bCs/>
          <w:sz w:val="22"/>
          <w:szCs w:val="22"/>
          <w:lang w:val="sk"/>
        </w:rPr>
        <w:t xml:space="preserve">FARMAKOLOGICKÉ VLASTNOSTI </w:t>
      </w:r>
    </w:p>
    <w:p w14:paraId="2AB12FAC" w14:textId="77777777" w:rsidR="00486E90" w:rsidRPr="00756B9D" w:rsidRDefault="00486E90">
      <w:pPr>
        <w:pStyle w:val="Default"/>
        <w:jc w:val="both"/>
        <w:rPr>
          <w:b/>
          <w:bCs/>
          <w:sz w:val="22"/>
          <w:szCs w:val="22"/>
        </w:rPr>
      </w:pPr>
    </w:p>
    <w:p w14:paraId="6A7EA037" w14:textId="0658537A" w:rsidR="00486E90" w:rsidRPr="00756B9D" w:rsidRDefault="00486E90" w:rsidP="00756B9D">
      <w:pPr>
        <w:pStyle w:val="Default"/>
        <w:numPr>
          <w:ilvl w:val="1"/>
          <w:numId w:val="2"/>
        </w:numPr>
        <w:ind w:left="567" w:hanging="567"/>
        <w:jc w:val="both"/>
        <w:rPr>
          <w:sz w:val="22"/>
          <w:szCs w:val="22"/>
        </w:rPr>
      </w:pPr>
      <w:r w:rsidRPr="00756B9D">
        <w:rPr>
          <w:b/>
          <w:bCs/>
          <w:sz w:val="22"/>
          <w:szCs w:val="22"/>
          <w:lang w:val="sk"/>
        </w:rPr>
        <w:t xml:space="preserve">Farmakodynamické vlastnosti </w:t>
      </w:r>
    </w:p>
    <w:p w14:paraId="16D549CE" w14:textId="77777777" w:rsidR="00486E90" w:rsidRPr="00756B9D" w:rsidRDefault="00486E90">
      <w:pPr>
        <w:pStyle w:val="Default"/>
        <w:jc w:val="both"/>
        <w:rPr>
          <w:sz w:val="22"/>
          <w:szCs w:val="22"/>
        </w:rPr>
      </w:pPr>
    </w:p>
    <w:p w14:paraId="0F7D25ED" w14:textId="7B266055" w:rsidR="00486E90" w:rsidRPr="00756B9D" w:rsidRDefault="00486E90">
      <w:pPr>
        <w:pStyle w:val="Default"/>
        <w:jc w:val="both"/>
        <w:rPr>
          <w:sz w:val="22"/>
          <w:szCs w:val="22"/>
        </w:rPr>
      </w:pPr>
      <w:r w:rsidRPr="00756B9D">
        <w:rPr>
          <w:sz w:val="22"/>
          <w:szCs w:val="22"/>
          <w:lang w:val="sk"/>
        </w:rPr>
        <w:t xml:space="preserve">Farmakoterapeutická skupina: </w:t>
      </w:r>
      <w:r w:rsidR="00F46D29" w:rsidRPr="00756B9D">
        <w:rPr>
          <w:sz w:val="22"/>
          <w:szCs w:val="22"/>
        </w:rPr>
        <w:t xml:space="preserve">Psychoanaleptiká, </w:t>
      </w:r>
      <w:r w:rsidR="00F46D29" w:rsidRPr="00756B9D">
        <w:rPr>
          <w:sz w:val="22"/>
          <w:szCs w:val="22"/>
          <w:lang w:val="sk"/>
        </w:rPr>
        <w:t>i</w:t>
      </w:r>
      <w:r w:rsidRPr="00756B9D">
        <w:rPr>
          <w:sz w:val="22"/>
          <w:szCs w:val="22"/>
          <w:lang w:val="sk"/>
        </w:rPr>
        <w:t xml:space="preserve">né antidepresíva. ATC kód: N06AX21. </w:t>
      </w:r>
    </w:p>
    <w:p w14:paraId="4F24B084" w14:textId="77777777" w:rsidR="00486E90" w:rsidRPr="00756B9D" w:rsidRDefault="00486E90">
      <w:pPr>
        <w:pStyle w:val="Default"/>
        <w:jc w:val="both"/>
        <w:rPr>
          <w:i/>
          <w:iCs/>
          <w:sz w:val="22"/>
          <w:szCs w:val="22"/>
        </w:rPr>
      </w:pPr>
    </w:p>
    <w:p w14:paraId="4D94935D" w14:textId="77777777" w:rsidR="00486E90" w:rsidRPr="00756B9D" w:rsidRDefault="00486E90">
      <w:pPr>
        <w:pStyle w:val="Default"/>
        <w:jc w:val="both"/>
        <w:rPr>
          <w:sz w:val="22"/>
          <w:szCs w:val="22"/>
        </w:rPr>
      </w:pPr>
      <w:r w:rsidRPr="00756B9D">
        <w:rPr>
          <w:i/>
          <w:iCs/>
          <w:sz w:val="22"/>
          <w:szCs w:val="22"/>
          <w:lang w:val="sk"/>
        </w:rPr>
        <w:t xml:space="preserve">Mechanizmus účinku </w:t>
      </w:r>
    </w:p>
    <w:p w14:paraId="57E647B3" w14:textId="77777777" w:rsidR="00486E90" w:rsidRPr="00756B9D" w:rsidRDefault="00486E90">
      <w:pPr>
        <w:pStyle w:val="Default"/>
        <w:jc w:val="both"/>
        <w:rPr>
          <w:sz w:val="22"/>
          <w:szCs w:val="22"/>
        </w:rPr>
      </w:pPr>
      <w:r w:rsidRPr="00756B9D">
        <w:rPr>
          <w:sz w:val="22"/>
          <w:szCs w:val="22"/>
          <w:lang w:val="sk"/>
        </w:rPr>
        <w:t xml:space="preserve">Duloxetín je kombinovaný inhibítor spätného vychytávania sérotonínu (5-HT) a noradrenalínu (NA). Slabo inhibuje spätné vychytávanie dopamínu, bez významnej afinity k histamínovým, dopaminergickým, cholinergickým a adrenergickým receptorom. V závislosti od dávky zvyšuje duloxetín extracelulárne hladiny sérotonínu a noradrenalínu v rozličných častiach mozgu zvierat. </w:t>
      </w:r>
    </w:p>
    <w:p w14:paraId="385993F7" w14:textId="77777777" w:rsidR="00486E90" w:rsidRPr="00756B9D" w:rsidRDefault="00486E90">
      <w:pPr>
        <w:pStyle w:val="Default"/>
        <w:jc w:val="both"/>
        <w:rPr>
          <w:i/>
          <w:iCs/>
          <w:sz w:val="22"/>
          <w:szCs w:val="22"/>
        </w:rPr>
      </w:pPr>
    </w:p>
    <w:p w14:paraId="5F8E40D2" w14:textId="77777777" w:rsidR="00486E90" w:rsidRPr="00756B9D" w:rsidRDefault="00486E90">
      <w:pPr>
        <w:pStyle w:val="Default"/>
        <w:jc w:val="both"/>
        <w:rPr>
          <w:sz w:val="22"/>
          <w:szCs w:val="22"/>
        </w:rPr>
      </w:pPr>
      <w:r w:rsidRPr="00756B9D">
        <w:rPr>
          <w:i/>
          <w:iCs/>
          <w:sz w:val="22"/>
          <w:szCs w:val="22"/>
          <w:lang w:val="sk"/>
        </w:rPr>
        <w:t xml:space="preserve">Farmakodynamické účinky </w:t>
      </w:r>
    </w:p>
    <w:p w14:paraId="272C7A15" w14:textId="77777777" w:rsidR="003B5781" w:rsidRPr="00756B9D" w:rsidRDefault="00486E90">
      <w:pPr>
        <w:pStyle w:val="Default"/>
        <w:rPr>
          <w:sz w:val="22"/>
          <w:szCs w:val="22"/>
          <w:lang w:val="sk-SK" w:eastAsia="sk-SK"/>
        </w:rPr>
      </w:pPr>
      <w:r w:rsidRPr="00756B9D">
        <w:rPr>
          <w:sz w:val="22"/>
          <w:szCs w:val="22"/>
          <w:lang w:val="sk"/>
        </w:rPr>
        <w:t>V predklinických modeloch neuropatickej a zápalovej bolesti duloxetín normalizoval prah bolesti</w:t>
      </w:r>
      <w:r w:rsidR="00ED768D" w:rsidRPr="00756B9D">
        <w:rPr>
          <w:sz w:val="22"/>
          <w:szCs w:val="22"/>
          <w:lang w:val="sk"/>
        </w:rPr>
        <w:t xml:space="preserve"> </w:t>
      </w:r>
      <w:r w:rsidRPr="00756B9D">
        <w:rPr>
          <w:sz w:val="22"/>
          <w:szCs w:val="22"/>
          <w:lang w:val="sk"/>
        </w:rPr>
        <w:t xml:space="preserve">a v rámci modelu perzistujúcej bolesti zmierňoval bolestivé reagovanie. </w:t>
      </w:r>
      <w:r w:rsidR="003B5781" w:rsidRPr="00756B9D">
        <w:rPr>
          <w:sz w:val="22"/>
          <w:szCs w:val="22"/>
        </w:rPr>
        <w:t xml:space="preserve">Predpokladá sa, že inhibičný účinok duloxetínu na bolesť je dôsledkom potenciácie zostupných bolesť inhibujúcich dráh v centrálnom nervovom systéme. </w:t>
      </w:r>
    </w:p>
    <w:p w14:paraId="5E557EF9" w14:textId="77777777" w:rsidR="00486E90" w:rsidRPr="00756B9D" w:rsidRDefault="00486E90">
      <w:pPr>
        <w:pStyle w:val="Default"/>
        <w:jc w:val="both"/>
        <w:rPr>
          <w:i/>
          <w:iCs/>
          <w:sz w:val="22"/>
          <w:szCs w:val="22"/>
        </w:rPr>
      </w:pPr>
    </w:p>
    <w:p w14:paraId="10F4F864" w14:textId="3B281C01" w:rsidR="00486E90" w:rsidRPr="00756B9D" w:rsidRDefault="00486E90">
      <w:pPr>
        <w:pStyle w:val="Default"/>
        <w:jc w:val="both"/>
        <w:rPr>
          <w:i/>
          <w:iCs/>
          <w:sz w:val="22"/>
          <w:szCs w:val="22"/>
        </w:rPr>
      </w:pPr>
      <w:r w:rsidRPr="00756B9D">
        <w:rPr>
          <w:i/>
          <w:iCs/>
          <w:sz w:val="22"/>
          <w:szCs w:val="22"/>
          <w:lang w:val="sk"/>
        </w:rPr>
        <w:t>K</w:t>
      </w:r>
      <w:r w:rsidR="009E5803">
        <w:rPr>
          <w:i/>
          <w:iCs/>
          <w:sz w:val="22"/>
          <w:szCs w:val="22"/>
          <w:lang w:val="sk"/>
        </w:rPr>
        <w:t>linická účinnosť a bezpečnosť</w:t>
      </w:r>
    </w:p>
    <w:p w14:paraId="20E9D751" w14:textId="77777777" w:rsidR="00AC79E2" w:rsidRPr="00756B9D" w:rsidRDefault="00AC79E2">
      <w:pPr>
        <w:pStyle w:val="Default"/>
        <w:jc w:val="both"/>
        <w:rPr>
          <w:sz w:val="22"/>
          <w:szCs w:val="22"/>
        </w:rPr>
      </w:pPr>
    </w:p>
    <w:p w14:paraId="45F600BD" w14:textId="0ABC76FA" w:rsidR="00DD1248" w:rsidRPr="00756B9D" w:rsidRDefault="00486E90">
      <w:pPr>
        <w:pStyle w:val="Default"/>
        <w:jc w:val="both"/>
        <w:rPr>
          <w:i/>
          <w:iCs/>
          <w:color w:val="auto"/>
          <w:sz w:val="22"/>
          <w:szCs w:val="22"/>
        </w:rPr>
      </w:pPr>
      <w:r w:rsidRPr="00756B9D">
        <w:rPr>
          <w:i/>
          <w:iCs/>
          <w:color w:val="auto"/>
          <w:sz w:val="22"/>
          <w:szCs w:val="22"/>
          <w:lang w:val="sk"/>
        </w:rPr>
        <w:t>Veľká depresívna porucha:</w:t>
      </w:r>
    </w:p>
    <w:p w14:paraId="098722FD" w14:textId="77777777" w:rsidR="00AC79E2" w:rsidRPr="00756B9D" w:rsidRDefault="00AC79E2">
      <w:pPr>
        <w:pStyle w:val="Default"/>
        <w:jc w:val="both"/>
        <w:rPr>
          <w:i/>
          <w:iCs/>
          <w:color w:val="auto"/>
          <w:sz w:val="22"/>
          <w:szCs w:val="22"/>
        </w:rPr>
      </w:pPr>
    </w:p>
    <w:p w14:paraId="2055EC99" w14:textId="25EA4B0C" w:rsidR="00486E90" w:rsidRPr="00756B9D" w:rsidRDefault="001433FD">
      <w:pPr>
        <w:pStyle w:val="Default"/>
        <w:jc w:val="both"/>
        <w:rPr>
          <w:sz w:val="22"/>
          <w:szCs w:val="22"/>
        </w:rPr>
      </w:pPr>
      <w:r w:rsidRPr="00756B9D">
        <w:rPr>
          <w:color w:val="auto"/>
          <w:sz w:val="22"/>
          <w:szCs w:val="22"/>
          <w:lang w:val="sk"/>
        </w:rPr>
        <w:t>Duloxet</w:t>
      </w:r>
      <w:r w:rsidR="00052E37" w:rsidRPr="00756B9D">
        <w:rPr>
          <w:color w:val="auto"/>
          <w:sz w:val="22"/>
          <w:szCs w:val="22"/>
          <w:lang w:val="sk"/>
        </w:rPr>
        <w:t>í</w:t>
      </w:r>
      <w:r w:rsidRPr="00756B9D">
        <w:rPr>
          <w:color w:val="auto"/>
          <w:sz w:val="22"/>
          <w:szCs w:val="22"/>
          <w:lang w:val="sk"/>
        </w:rPr>
        <w:t xml:space="preserve">n bol skúmaný v klinickom programe, do ktorého bolo zaradených 3.158 pacientov (1.285 pacientskych rokov expozície), ktorí spĺňali kritériá DSM-IV pre veľkú depresívnu poruchu. Účinnosť </w:t>
      </w:r>
      <w:r w:rsidR="00052E37" w:rsidRPr="00756B9D">
        <w:rPr>
          <w:sz w:val="22"/>
          <w:szCs w:val="22"/>
          <w:lang w:val="sk"/>
        </w:rPr>
        <w:t>d</w:t>
      </w:r>
      <w:r w:rsidRPr="00756B9D">
        <w:rPr>
          <w:sz w:val="22"/>
          <w:szCs w:val="22"/>
          <w:lang w:val="sk"/>
        </w:rPr>
        <w:t>uloxet</w:t>
      </w:r>
      <w:r w:rsidR="00052E37" w:rsidRPr="00756B9D">
        <w:rPr>
          <w:sz w:val="22"/>
          <w:szCs w:val="22"/>
          <w:lang w:val="sk"/>
        </w:rPr>
        <w:t>í</w:t>
      </w:r>
      <w:r w:rsidRPr="00756B9D">
        <w:rPr>
          <w:sz w:val="22"/>
          <w:szCs w:val="22"/>
          <w:lang w:val="sk"/>
        </w:rPr>
        <w:t xml:space="preserve">nu pri odporúčanej dávke 60 mg jedenkrát denne bola preukázaná v troch z troch randomizovaných, dvojito zaslepených, placebom kontrolovaných akútnych (krátkodobých) štúdií s pevne stanovenou dávkou u dospelých ambulantných pacientov s veľkou depresívnou poruchou. Celkovo sa účinnosť </w:t>
      </w:r>
      <w:r w:rsidR="00052E37" w:rsidRPr="00756B9D">
        <w:rPr>
          <w:sz w:val="22"/>
          <w:szCs w:val="22"/>
          <w:lang w:val="sk"/>
        </w:rPr>
        <w:t>d</w:t>
      </w:r>
      <w:r w:rsidRPr="00756B9D">
        <w:rPr>
          <w:sz w:val="22"/>
          <w:szCs w:val="22"/>
          <w:lang w:val="sk"/>
        </w:rPr>
        <w:t>uloxet</w:t>
      </w:r>
      <w:r w:rsidR="00052E37" w:rsidRPr="00756B9D">
        <w:rPr>
          <w:sz w:val="22"/>
          <w:szCs w:val="22"/>
          <w:lang w:val="sk"/>
        </w:rPr>
        <w:t>í</w:t>
      </w:r>
      <w:r w:rsidRPr="00756B9D">
        <w:rPr>
          <w:sz w:val="22"/>
          <w:szCs w:val="22"/>
          <w:lang w:val="sk"/>
        </w:rPr>
        <w:t xml:space="preserve">nu preukázala pri denných dávkach v rozmedzí od 60 do 120 mg v celkovo piatich zo siedmich randomizovaných, dvojito zaslepených, placebom kontrolovaných akútnych (krátkodobých) štúdií s pevne stanovenou dávkou u dospelých ambulantných pacientov s veľkou depresívnou poruchou. </w:t>
      </w:r>
    </w:p>
    <w:p w14:paraId="1B627543" w14:textId="77777777" w:rsidR="00486E90" w:rsidRPr="00756B9D" w:rsidRDefault="00486E90">
      <w:pPr>
        <w:pStyle w:val="Default"/>
        <w:jc w:val="both"/>
        <w:rPr>
          <w:color w:val="auto"/>
          <w:sz w:val="22"/>
          <w:szCs w:val="22"/>
        </w:rPr>
      </w:pPr>
    </w:p>
    <w:p w14:paraId="2B39505A" w14:textId="5CDCBFC0" w:rsidR="00486E90" w:rsidRPr="00756B9D" w:rsidRDefault="001433FD">
      <w:pPr>
        <w:pStyle w:val="Default"/>
        <w:jc w:val="both"/>
        <w:rPr>
          <w:color w:val="auto"/>
          <w:sz w:val="22"/>
          <w:szCs w:val="22"/>
        </w:rPr>
      </w:pPr>
      <w:r w:rsidRPr="00756B9D">
        <w:rPr>
          <w:color w:val="auto"/>
          <w:sz w:val="22"/>
          <w:szCs w:val="22"/>
          <w:lang w:val="sk"/>
        </w:rPr>
        <w:t>Duloxet</w:t>
      </w:r>
      <w:r w:rsidR="00052E37" w:rsidRPr="00756B9D">
        <w:rPr>
          <w:color w:val="auto"/>
          <w:sz w:val="22"/>
          <w:szCs w:val="22"/>
          <w:lang w:val="sk"/>
        </w:rPr>
        <w:t>í</w:t>
      </w:r>
      <w:r w:rsidRPr="00756B9D">
        <w:rPr>
          <w:color w:val="auto"/>
          <w:sz w:val="22"/>
          <w:szCs w:val="22"/>
          <w:lang w:val="sk"/>
        </w:rPr>
        <w:t xml:space="preserve">n preukázal štatistickú prevahu nad placebom pri meraní zlepšenia celkového skóre 17- bodovej Hamiltonovej škály na posudzovanie depresie (HAM-D) (vrátane emočných aj somatických symptómov depresie). Miera odpovede na liečbu a remisie bola taktiež štatisticky významne vyššia pri </w:t>
      </w:r>
      <w:r w:rsidR="00052E37" w:rsidRPr="00756B9D">
        <w:rPr>
          <w:color w:val="auto"/>
          <w:sz w:val="22"/>
          <w:szCs w:val="22"/>
          <w:lang w:val="sk"/>
        </w:rPr>
        <w:t>d</w:t>
      </w:r>
      <w:r w:rsidRPr="00756B9D">
        <w:rPr>
          <w:color w:val="auto"/>
          <w:sz w:val="22"/>
          <w:szCs w:val="22"/>
          <w:lang w:val="sk"/>
        </w:rPr>
        <w:t>uloxet</w:t>
      </w:r>
      <w:r w:rsidR="00052E37" w:rsidRPr="00756B9D">
        <w:rPr>
          <w:color w:val="auto"/>
          <w:sz w:val="22"/>
          <w:szCs w:val="22"/>
          <w:lang w:val="sk"/>
        </w:rPr>
        <w:t>í</w:t>
      </w:r>
      <w:r w:rsidRPr="00756B9D">
        <w:rPr>
          <w:color w:val="auto"/>
          <w:sz w:val="22"/>
          <w:szCs w:val="22"/>
          <w:lang w:val="sk"/>
        </w:rPr>
        <w:t>ne ako pri placebe. Iba malá časť pacientov zahrnutých do pilotných klinických štúdií mala depresiu (vstupné skóre HAM-D&gt;25).</w:t>
      </w:r>
    </w:p>
    <w:p w14:paraId="50CC4B56" w14:textId="77777777" w:rsidR="00486E90" w:rsidRPr="00756B9D" w:rsidRDefault="00486E90">
      <w:pPr>
        <w:pStyle w:val="Default"/>
        <w:jc w:val="both"/>
        <w:rPr>
          <w:color w:val="auto"/>
          <w:sz w:val="22"/>
          <w:szCs w:val="22"/>
        </w:rPr>
      </w:pPr>
    </w:p>
    <w:p w14:paraId="4872F663" w14:textId="3D6D9831" w:rsidR="00486E90" w:rsidRPr="00756B9D" w:rsidRDefault="00486E90">
      <w:pPr>
        <w:pStyle w:val="Default"/>
        <w:jc w:val="both"/>
        <w:rPr>
          <w:sz w:val="22"/>
          <w:szCs w:val="22"/>
        </w:rPr>
      </w:pPr>
      <w:r w:rsidRPr="00756B9D">
        <w:rPr>
          <w:sz w:val="22"/>
          <w:szCs w:val="22"/>
          <w:lang w:val="sk"/>
        </w:rPr>
        <w:t xml:space="preserve">V štúdii zameranej na prevenciu relapsu boli pacienti reagujúci na 12-týždňovú otvorenú akútnu liečbu </w:t>
      </w:r>
      <w:r w:rsidR="00052E37" w:rsidRPr="00756B9D">
        <w:rPr>
          <w:sz w:val="22"/>
          <w:szCs w:val="22"/>
          <w:lang w:val="sk"/>
        </w:rPr>
        <w:t>d</w:t>
      </w:r>
      <w:r w:rsidRPr="00756B9D">
        <w:rPr>
          <w:sz w:val="22"/>
          <w:szCs w:val="22"/>
          <w:lang w:val="sk"/>
        </w:rPr>
        <w:t>uloxet</w:t>
      </w:r>
      <w:r w:rsidR="00052E37" w:rsidRPr="00756B9D">
        <w:rPr>
          <w:sz w:val="22"/>
          <w:szCs w:val="22"/>
          <w:lang w:val="sk"/>
        </w:rPr>
        <w:t>í</w:t>
      </w:r>
      <w:r w:rsidRPr="00756B9D">
        <w:rPr>
          <w:sz w:val="22"/>
          <w:szCs w:val="22"/>
          <w:lang w:val="sk"/>
        </w:rPr>
        <w:t xml:space="preserve">nom v dávke 60 mg jedenkrát denne randomizovaní k užívaniu </w:t>
      </w:r>
      <w:r w:rsidR="00052E37" w:rsidRPr="00756B9D">
        <w:rPr>
          <w:sz w:val="22"/>
          <w:szCs w:val="22"/>
          <w:lang w:val="sk"/>
        </w:rPr>
        <w:t>d</w:t>
      </w:r>
      <w:r w:rsidRPr="00756B9D">
        <w:rPr>
          <w:sz w:val="22"/>
          <w:szCs w:val="22"/>
          <w:lang w:val="sk"/>
        </w:rPr>
        <w:t>uloxet</w:t>
      </w:r>
      <w:r w:rsidR="00052E37" w:rsidRPr="00756B9D">
        <w:rPr>
          <w:sz w:val="22"/>
          <w:szCs w:val="22"/>
          <w:lang w:val="sk"/>
        </w:rPr>
        <w:t>í</w:t>
      </w:r>
      <w:r w:rsidRPr="00756B9D">
        <w:rPr>
          <w:sz w:val="22"/>
          <w:szCs w:val="22"/>
          <w:lang w:val="sk"/>
        </w:rPr>
        <w:t>nu 60 mg jedenkrát denne alebo užívaniu placeba po ďalších 6-mesiacov. Duloxet</w:t>
      </w:r>
      <w:r w:rsidR="00052E37" w:rsidRPr="00756B9D">
        <w:rPr>
          <w:sz w:val="22"/>
          <w:szCs w:val="22"/>
          <w:lang w:val="sk"/>
        </w:rPr>
        <w:t>í</w:t>
      </w:r>
      <w:r w:rsidRPr="00756B9D">
        <w:rPr>
          <w:sz w:val="22"/>
          <w:szCs w:val="22"/>
          <w:lang w:val="sk"/>
        </w:rPr>
        <w:t xml:space="preserve">n v dávke 60 mg jedenkrát denne preukázal štatisticky signifikantnú prevahu nad placebom (p=0,004) v hodnotení hlavného cieľa štúdie, prevencie relapsu depresie, hodnoteného časom do relapsu. Incidencia relapsu počas nasledovného 6-mesačného dvojito zaslepeného obdobia bola 17% a 29% v prípade duloxetínu, resp. placeba. </w:t>
      </w:r>
    </w:p>
    <w:p w14:paraId="7D630D20" w14:textId="77777777" w:rsidR="00486E90" w:rsidRPr="00756B9D" w:rsidRDefault="00486E90">
      <w:pPr>
        <w:pStyle w:val="Default"/>
        <w:jc w:val="both"/>
        <w:rPr>
          <w:sz w:val="22"/>
          <w:szCs w:val="22"/>
        </w:rPr>
      </w:pPr>
    </w:p>
    <w:p w14:paraId="5BFB8AAC" w14:textId="7DDD208C" w:rsidR="00486E90" w:rsidRPr="00756B9D" w:rsidRDefault="00486E90">
      <w:pPr>
        <w:pStyle w:val="Default"/>
        <w:jc w:val="both"/>
        <w:rPr>
          <w:sz w:val="22"/>
          <w:szCs w:val="22"/>
        </w:rPr>
      </w:pPr>
      <w:r w:rsidRPr="00756B9D">
        <w:rPr>
          <w:sz w:val="22"/>
          <w:szCs w:val="22"/>
          <w:lang w:val="sk"/>
        </w:rPr>
        <w:t xml:space="preserve">Počas 52 týždennej placebom kontrolovanej dvojito zaslepenej štúdie mali pacienti s rekurentnou veľkou depresívnou poruchou liečení duloxetínom v porovnaní s pacientmi </w:t>
      </w:r>
      <w:r w:rsidR="00052E37" w:rsidRPr="00756B9D">
        <w:rPr>
          <w:sz w:val="22"/>
          <w:szCs w:val="22"/>
          <w:lang w:val="sk"/>
        </w:rPr>
        <w:t>užívajúcimi</w:t>
      </w:r>
      <w:r w:rsidRPr="00756B9D">
        <w:rPr>
          <w:sz w:val="22"/>
          <w:szCs w:val="22"/>
          <w:lang w:val="sk"/>
        </w:rPr>
        <w:t xml:space="preserve"> placebo podstatne dlhšie (p&lt;0,001) obdobie bez príznakov. Všetci pacienti odpovedali na duloxetín počas </w:t>
      </w:r>
      <w:r w:rsidRPr="00756B9D">
        <w:rPr>
          <w:sz w:val="22"/>
          <w:szCs w:val="22"/>
          <w:lang w:val="sk"/>
        </w:rPr>
        <w:lastRenderedPageBreak/>
        <w:t xml:space="preserve">predošlej otvorenej (open-label) liečby s dávkou 60 až 120 mg/deň počas 28 až 34 týždňov. V priebehu 52 týždennej placebom kontrolovanej dvojito zaslepenej liečby sa vrátili príznaky depresie 14,4 % pacientov liečených duloxetínom a 33,1 % pacientov liečených placebom (p&lt;0,001). </w:t>
      </w:r>
    </w:p>
    <w:p w14:paraId="5C03C0AC" w14:textId="77777777" w:rsidR="00486E90" w:rsidRPr="00756B9D" w:rsidRDefault="00486E90">
      <w:pPr>
        <w:pStyle w:val="Default"/>
        <w:jc w:val="both"/>
        <w:rPr>
          <w:color w:val="auto"/>
          <w:sz w:val="22"/>
          <w:szCs w:val="22"/>
        </w:rPr>
      </w:pPr>
    </w:p>
    <w:p w14:paraId="17037EAC" w14:textId="5E23CBF7" w:rsidR="00486E90" w:rsidRPr="00756B9D" w:rsidRDefault="00486E90">
      <w:pPr>
        <w:pStyle w:val="Default"/>
        <w:jc w:val="both"/>
        <w:rPr>
          <w:color w:val="auto"/>
          <w:sz w:val="22"/>
          <w:szCs w:val="22"/>
        </w:rPr>
      </w:pPr>
      <w:r w:rsidRPr="00756B9D">
        <w:rPr>
          <w:color w:val="auto"/>
          <w:sz w:val="22"/>
          <w:szCs w:val="22"/>
          <w:lang w:val="sk"/>
        </w:rPr>
        <w:t xml:space="preserve">Účinok </w:t>
      </w:r>
      <w:r w:rsidR="00052E37" w:rsidRPr="00756B9D">
        <w:rPr>
          <w:color w:val="auto"/>
          <w:sz w:val="22"/>
          <w:szCs w:val="22"/>
          <w:lang w:val="sk"/>
        </w:rPr>
        <w:t>d</w:t>
      </w:r>
      <w:r w:rsidRPr="00756B9D">
        <w:rPr>
          <w:color w:val="auto"/>
          <w:sz w:val="22"/>
          <w:szCs w:val="22"/>
          <w:lang w:val="sk"/>
        </w:rPr>
        <w:t>uloxet</w:t>
      </w:r>
      <w:r w:rsidR="00052E37" w:rsidRPr="00756B9D">
        <w:rPr>
          <w:color w:val="auto"/>
          <w:sz w:val="22"/>
          <w:szCs w:val="22"/>
          <w:lang w:val="sk"/>
        </w:rPr>
        <w:t>í</w:t>
      </w:r>
      <w:r w:rsidRPr="00756B9D">
        <w:rPr>
          <w:color w:val="auto"/>
          <w:sz w:val="22"/>
          <w:szCs w:val="22"/>
          <w:lang w:val="sk"/>
        </w:rPr>
        <w:t xml:space="preserve">nu 60 mg raz denne u starších depresívnych pacientov (≥65 rokov) bol konkrétne hodnotený v štúdii, ktorá preukázala štatisticky významný rozdiel v redukcii HAMD17 skóre u pacientov liečených duloxetínom v porovnaní s placebom. Tolerabilita </w:t>
      </w:r>
      <w:r w:rsidR="00052E37" w:rsidRPr="00756B9D">
        <w:rPr>
          <w:color w:val="auto"/>
          <w:sz w:val="22"/>
          <w:szCs w:val="22"/>
          <w:lang w:val="sk"/>
        </w:rPr>
        <w:t>d</w:t>
      </w:r>
      <w:r w:rsidRPr="00756B9D">
        <w:rPr>
          <w:color w:val="auto"/>
          <w:sz w:val="22"/>
          <w:szCs w:val="22"/>
          <w:lang w:val="sk"/>
        </w:rPr>
        <w:t>uloxet</w:t>
      </w:r>
      <w:r w:rsidR="00052E37" w:rsidRPr="00756B9D">
        <w:rPr>
          <w:color w:val="auto"/>
          <w:sz w:val="22"/>
          <w:szCs w:val="22"/>
          <w:lang w:val="sk"/>
        </w:rPr>
        <w:t>í</w:t>
      </w:r>
      <w:r w:rsidRPr="00756B9D">
        <w:rPr>
          <w:color w:val="auto"/>
          <w:sz w:val="22"/>
          <w:szCs w:val="22"/>
          <w:lang w:val="sk"/>
        </w:rPr>
        <w:t>nu 60 mg raz denne u starších pacientov bola porovnateľná s tou pozorovanou u mladších pacientov. Avšak, údaje</w:t>
      </w:r>
      <w:r w:rsidR="00052E37" w:rsidRPr="00756B9D">
        <w:rPr>
          <w:color w:val="auto"/>
          <w:sz w:val="22"/>
          <w:szCs w:val="22"/>
          <w:lang w:val="sk"/>
        </w:rPr>
        <w:t xml:space="preserve"> </w:t>
      </w:r>
      <w:r w:rsidRPr="00756B9D">
        <w:rPr>
          <w:color w:val="auto"/>
          <w:sz w:val="22"/>
          <w:szCs w:val="22"/>
          <w:lang w:val="sk"/>
        </w:rPr>
        <w:t>o starších pacientoch vystavených maximálnej dávke (120 mg denne) sú obmedzené a preto sa pri liečbe tejto populácie odporúča opatrnosť.</w:t>
      </w:r>
    </w:p>
    <w:p w14:paraId="7C1F4D72" w14:textId="77777777" w:rsidR="00486E90" w:rsidRPr="00756B9D" w:rsidRDefault="00486E90">
      <w:pPr>
        <w:pStyle w:val="Default"/>
        <w:jc w:val="both"/>
        <w:rPr>
          <w:color w:val="auto"/>
          <w:sz w:val="22"/>
          <w:szCs w:val="22"/>
        </w:rPr>
      </w:pPr>
    </w:p>
    <w:p w14:paraId="57EAFAC2" w14:textId="77777777" w:rsidR="00AC79E2" w:rsidRPr="00756B9D" w:rsidRDefault="00486E90">
      <w:pPr>
        <w:pStyle w:val="Default"/>
        <w:jc w:val="both"/>
        <w:rPr>
          <w:i/>
          <w:iCs/>
          <w:sz w:val="22"/>
          <w:szCs w:val="22"/>
        </w:rPr>
      </w:pPr>
      <w:r w:rsidRPr="00756B9D">
        <w:rPr>
          <w:i/>
          <w:iCs/>
          <w:sz w:val="22"/>
          <w:szCs w:val="22"/>
          <w:lang w:val="sk"/>
        </w:rPr>
        <w:t>Generalizovaná úzkostná porucha:</w:t>
      </w:r>
    </w:p>
    <w:p w14:paraId="6CA2D77D" w14:textId="77777777" w:rsidR="00AC79E2" w:rsidRPr="00756B9D" w:rsidRDefault="00AC79E2">
      <w:pPr>
        <w:pStyle w:val="Default"/>
        <w:jc w:val="both"/>
        <w:rPr>
          <w:i/>
          <w:iCs/>
          <w:sz w:val="22"/>
          <w:szCs w:val="22"/>
        </w:rPr>
      </w:pPr>
    </w:p>
    <w:p w14:paraId="3E31CFA5" w14:textId="4D61E026" w:rsidR="00486E90" w:rsidRPr="00756B9D" w:rsidRDefault="00486E90">
      <w:pPr>
        <w:pStyle w:val="Default"/>
        <w:jc w:val="both"/>
        <w:rPr>
          <w:sz w:val="22"/>
          <w:szCs w:val="22"/>
        </w:rPr>
      </w:pPr>
      <w:r w:rsidRPr="00756B9D">
        <w:rPr>
          <w:sz w:val="22"/>
          <w:szCs w:val="22"/>
          <w:lang w:val="sk"/>
        </w:rPr>
        <w:t>Duloxet</w:t>
      </w:r>
      <w:r w:rsidR="00052E37" w:rsidRPr="00756B9D">
        <w:rPr>
          <w:sz w:val="22"/>
          <w:szCs w:val="22"/>
          <w:lang w:val="sk"/>
        </w:rPr>
        <w:t>í</w:t>
      </w:r>
      <w:r w:rsidRPr="00756B9D">
        <w:rPr>
          <w:sz w:val="22"/>
          <w:szCs w:val="22"/>
          <w:lang w:val="sk"/>
        </w:rPr>
        <w:t xml:space="preserve">n preukázal štatisticky významnú prevahu nad placebom v piatich z piatich štúdií vrátane štyroch randomizovaných, dvojito zaslepených, placebom kontrolovaných akútnych štúdií a štúdie na prevenciu relapsu u dospelých pacientov s generalizovanou úzkostnou poruchou. </w:t>
      </w:r>
    </w:p>
    <w:p w14:paraId="17F7C2E3" w14:textId="77777777" w:rsidR="00486E90" w:rsidRPr="00756B9D" w:rsidRDefault="00486E90">
      <w:pPr>
        <w:pStyle w:val="Default"/>
        <w:jc w:val="both"/>
        <w:rPr>
          <w:sz w:val="22"/>
          <w:szCs w:val="22"/>
        </w:rPr>
      </w:pPr>
    </w:p>
    <w:p w14:paraId="16FC3F0E" w14:textId="5891A48B" w:rsidR="00486E90" w:rsidRPr="00756B9D" w:rsidRDefault="001433FD">
      <w:pPr>
        <w:pStyle w:val="Default"/>
        <w:jc w:val="both"/>
        <w:rPr>
          <w:sz w:val="22"/>
          <w:szCs w:val="22"/>
        </w:rPr>
      </w:pPr>
      <w:r w:rsidRPr="00756B9D">
        <w:rPr>
          <w:sz w:val="22"/>
          <w:szCs w:val="22"/>
          <w:lang w:val="sk"/>
        </w:rPr>
        <w:t>Duloxet</w:t>
      </w:r>
      <w:r w:rsidR="00052E37" w:rsidRPr="00756B9D">
        <w:rPr>
          <w:sz w:val="22"/>
          <w:szCs w:val="22"/>
          <w:lang w:val="sk"/>
        </w:rPr>
        <w:t>í</w:t>
      </w:r>
      <w:r w:rsidRPr="00756B9D">
        <w:rPr>
          <w:sz w:val="22"/>
          <w:szCs w:val="22"/>
          <w:lang w:val="sk"/>
        </w:rPr>
        <w:t xml:space="preserve">n preukázal štatisticky významnú prevahu nad placebom meranú zlepšením celkového skóre na Hamiltonovej škále na posudzovanie úzkosti (Hamilton Anxiety Scale, HAM-A) a celkového skóre funkčného poškodenia na Sheehanovej škále (Sheehan Disability Scale, SDS). Miera odpovede na liečbu a remisie bola taktiež vyššia pri </w:t>
      </w:r>
      <w:r w:rsidR="00052E37" w:rsidRPr="00756B9D">
        <w:rPr>
          <w:sz w:val="22"/>
          <w:szCs w:val="22"/>
          <w:lang w:val="sk"/>
        </w:rPr>
        <w:t>d</w:t>
      </w:r>
      <w:r w:rsidRPr="00756B9D">
        <w:rPr>
          <w:sz w:val="22"/>
          <w:szCs w:val="22"/>
          <w:lang w:val="sk"/>
        </w:rPr>
        <w:t>uloxet</w:t>
      </w:r>
      <w:r w:rsidR="00052E37" w:rsidRPr="00756B9D">
        <w:rPr>
          <w:sz w:val="22"/>
          <w:szCs w:val="22"/>
          <w:lang w:val="sk"/>
        </w:rPr>
        <w:t>í</w:t>
      </w:r>
      <w:r w:rsidRPr="00756B9D">
        <w:rPr>
          <w:sz w:val="22"/>
          <w:szCs w:val="22"/>
          <w:lang w:val="sk"/>
        </w:rPr>
        <w:t>ne ako pri placebe. Duloxet</w:t>
      </w:r>
      <w:r w:rsidR="00052E37" w:rsidRPr="00756B9D">
        <w:rPr>
          <w:sz w:val="22"/>
          <w:szCs w:val="22"/>
          <w:lang w:val="sk"/>
        </w:rPr>
        <w:t>í</w:t>
      </w:r>
      <w:r w:rsidRPr="00756B9D">
        <w:rPr>
          <w:sz w:val="22"/>
          <w:szCs w:val="22"/>
          <w:lang w:val="sk"/>
        </w:rPr>
        <w:t xml:space="preserve">n preukázal porovnateľnú účinnosť s venlafaxínom, čo sa týka zlepšení celkového skóre HAM-A. </w:t>
      </w:r>
    </w:p>
    <w:p w14:paraId="660BC597" w14:textId="77777777" w:rsidR="00486E90" w:rsidRPr="00756B9D" w:rsidRDefault="00486E90">
      <w:pPr>
        <w:pStyle w:val="Default"/>
        <w:jc w:val="both"/>
        <w:rPr>
          <w:sz w:val="22"/>
          <w:szCs w:val="22"/>
        </w:rPr>
      </w:pPr>
    </w:p>
    <w:p w14:paraId="6CA812F6" w14:textId="644C9B41" w:rsidR="00486E90" w:rsidRPr="00756B9D" w:rsidRDefault="00486E90">
      <w:pPr>
        <w:pStyle w:val="Default"/>
        <w:jc w:val="both"/>
        <w:rPr>
          <w:color w:val="auto"/>
          <w:sz w:val="22"/>
          <w:szCs w:val="22"/>
        </w:rPr>
      </w:pPr>
      <w:r w:rsidRPr="00756B9D">
        <w:rPr>
          <w:color w:val="auto"/>
          <w:sz w:val="22"/>
          <w:szCs w:val="22"/>
          <w:lang w:val="sk"/>
        </w:rPr>
        <w:t>V štúdii zameranej na prevenciu relapsu boli pacienti s odpoveďou na 6-mesačnú otvorenú akútnu liečbu duloxetínom randomizovaní k užívaniu duloxetínu alebo placeba počas ďalších 6 mesiacov. Duloxet</w:t>
      </w:r>
      <w:r w:rsidR="00052E37" w:rsidRPr="00756B9D">
        <w:rPr>
          <w:color w:val="auto"/>
          <w:sz w:val="22"/>
          <w:szCs w:val="22"/>
          <w:lang w:val="sk"/>
        </w:rPr>
        <w:t>í</w:t>
      </w:r>
      <w:r w:rsidRPr="00756B9D">
        <w:rPr>
          <w:color w:val="auto"/>
          <w:sz w:val="22"/>
          <w:szCs w:val="22"/>
          <w:lang w:val="sk"/>
        </w:rPr>
        <w:t>n v dávke 60 mg až 120 mg jedenkrát denne preukázal štatisticky významnú prevahu nad placebom (p&lt;0,001) v prevencii relapsu, ktorá bola hodnotená časom do relapsu. Incidencia relapsu počas nasledujúceho 6-mesačného dvojito zaslepeného obdobia bola 14% pre duloxetín a 42% pre placebo.</w:t>
      </w:r>
    </w:p>
    <w:p w14:paraId="06EC50CC" w14:textId="77777777" w:rsidR="00486E90" w:rsidRPr="00756B9D" w:rsidRDefault="00486E90">
      <w:pPr>
        <w:pStyle w:val="Default"/>
        <w:jc w:val="both"/>
        <w:rPr>
          <w:color w:val="auto"/>
          <w:sz w:val="22"/>
          <w:szCs w:val="22"/>
        </w:rPr>
      </w:pPr>
    </w:p>
    <w:p w14:paraId="32E4451A" w14:textId="14517A20" w:rsidR="00486E90" w:rsidRPr="00756B9D" w:rsidRDefault="00486E90">
      <w:pPr>
        <w:pStyle w:val="Default"/>
        <w:jc w:val="both"/>
        <w:rPr>
          <w:color w:val="auto"/>
          <w:sz w:val="22"/>
          <w:szCs w:val="22"/>
        </w:rPr>
      </w:pPr>
      <w:r w:rsidRPr="00756B9D">
        <w:rPr>
          <w:color w:val="auto"/>
          <w:sz w:val="22"/>
          <w:szCs w:val="22"/>
          <w:lang w:val="sk"/>
        </w:rPr>
        <w:t>Účinnosť duloxetínu 30-120 mg (flexibilné dávkovanie) raz denne u starších pacientov (&gt; 65 rokov) s generalizovan</w:t>
      </w:r>
      <w:r w:rsidR="00052E37" w:rsidRPr="00756B9D">
        <w:rPr>
          <w:color w:val="auto"/>
          <w:sz w:val="22"/>
          <w:szCs w:val="22"/>
          <w:lang w:val="sk"/>
        </w:rPr>
        <w:t>ou</w:t>
      </w:r>
      <w:r w:rsidRPr="00756B9D">
        <w:rPr>
          <w:color w:val="auto"/>
          <w:sz w:val="22"/>
          <w:szCs w:val="22"/>
          <w:lang w:val="sk"/>
        </w:rPr>
        <w:t xml:space="preserve"> úzkostn</w:t>
      </w:r>
      <w:r w:rsidR="00052E37" w:rsidRPr="00756B9D">
        <w:rPr>
          <w:color w:val="auto"/>
          <w:sz w:val="22"/>
          <w:szCs w:val="22"/>
          <w:lang w:val="sk"/>
        </w:rPr>
        <w:t>ou</w:t>
      </w:r>
      <w:r w:rsidRPr="00756B9D">
        <w:rPr>
          <w:color w:val="auto"/>
          <w:sz w:val="22"/>
          <w:szCs w:val="22"/>
          <w:lang w:val="sk"/>
        </w:rPr>
        <w:t xml:space="preserve"> poruch</w:t>
      </w:r>
      <w:r w:rsidR="00052E37" w:rsidRPr="00756B9D">
        <w:rPr>
          <w:color w:val="auto"/>
          <w:sz w:val="22"/>
          <w:szCs w:val="22"/>
          <w:lang w:val="sk"/>
        </w:rPr>
        <w:t>ou</w:t>
      </w:r>
      <w:r w:rsidRPr="00756B9D">
        <w:rPr>
          <w:color w:val="auto"/>
          <w:sz w:val="22"/>
          <w:szCs w:val="22"/>
          <w:lang w:val="sk"/>
        </w:rPr>
        <w:t xml:space="preserve"> sa hodnotila v štúdii, ktorá preukázala štatisticky významné zlepšenie v HAM-A celkového skóre u pacientov liečených duloxetínom v porovnaní s placebom liečených pacientov. Účinnosť a bezpečnosť duloxetínu 30-120 mg raz denne u starších pacientov s generalizovanou úzkostnou poruchou boli podobné ako v štúdiách s mladšími dospelými pacientmi. Avšak údaje o starších pacientoch vystavených maximálnej dávke (120 mg denne) sú obmedzené, a preto sa odporúča </w:t>
      </w:r>
      <w:r w:rsidR="00052E37" w:rsidRPr="00756B9D">
        <w:rPr>
          <w:color w:val="auto"/>
          <w:sz w:val="22"/>
          <w:szCs w:val="22"/>
          <w:lang w:val="sk"/>
        </w:rPr>
        <w:t>k</w:t>
      </w:r>
      <w:r w:rsidRPr="00756B9D">
        <w:rPr>
          <w:color w:val="auto"/>
          <w:sz w:val="22"/>
          <w:szCs w:val="22"/>
          <w:lang w:val="sk"/>
        </w:rPr>
        <w:t xml:space="preserve"> liečb</w:t>
      </w:r>
      <w:r w:rsidR="00052E37" w:rsidRPr="00756B9D">
        <w:rPr>
          <w:color w:val="auto"/>
          <w:sz w:val="22"/>
          <w:szCs w:val="22"/>
          <w:lang w:val="sk"/>
        </w:rPr>
        <w:t>e</w:t>
      </w:r>
      <w:r w:rsidRPr="00756B9D">
        <w:rPr>
          <w:color w:val="auto"/>
          <w:sz w:val="22"/>
          <w:szCs w:val="22"/>
          <w:lang w:val="sk"/>
        </w:rPr>
        <w:t xml:space="preserve"> starších pacientov touto dávkou pristupovať s opatrnosťou.</w:t>
      </w:r>
    </w:p>
    <w:p w14:paraId="7A3BC99D" w14:textId="77777777" w:rsidR="00486E90" w:rsidRPr="00756B9D" w:rsidRDefault="00486E90">
      <w:pPr>
        <w:pStyle w:val="Default"/>
        <w:jc w:val="both"/>
        <w:rPr>
          <w:color w:val="auto"/>
          <w:sz w:val="22"/>
          <w:szCs w:val="22"/>
        </w:rPr>
      </w:pPr>
    </w:p>
    <w:p w14:paraId="62B27DB3" w14:textId="77777777" w:rsidR="00DD1248" w:rsidRPr="00756B9D" w:rsidRDefault="00486E90">
      <w:pPr>
        <w:pStyle w:val="Default"/>
        <w:jc w:val="both"/>
        <w:rPr>
          <w:i/>
          <w:iCs/>
          <w:sz w:val="22"/>
          <w:szCs w:val="22"/>
        </w:rPr>
      </w:pPr>
      <w:r w:rsidRPr="00756B9D">
        <w:rPr>
          <w:i/>
          <w:iCs/>
          <w:sz w:val="22"/>
          <w:szCs w:val="22"/>
          <w:lang w:val="sk"/>
        </w:rPr>
        <w:t>Diabetická periférna neuropatická bolesť:</w:t>
      </w:r>
    </w:p>
    <w:p w14:paraId="748D2AFE" w14:textId="77777777" w:rsidR="00AC79E2" w:rsidRPr="00756B9D" w:rsidRDefault="00AC79E2">
      <w:pPr>
        <w:pStyle w:val="Default"/>
        <w:jc w:val="both"/>
        <w:rPr>
          <w:i/>
          <w:iCs/>
          <w:sz w:val="22"/>
          <w:szCs w:val="22"/>
        </w:rPr>
      </w:pPr>
    </w:p>
    <w:p w14:paraId="66B752D9" w14:textId="0E2F30EF" w:rsidR="00486E90" w:rsidRPr="00756B9D" w:rsidRDefault="00486E90">
      <w:pPr>
        <w:pStyle w:val="Default"/>
        <w:jc w:val="both"/>
        <w:rPr>
          <w:sz w:val="22"/>
          <w:szCs w:val="22"/>
        </w:rPr>
      </w:pPr>
      <w:r w:rsidRPr="00756B9D">
        <w:rPr>
          <w:sz w:val="22"/>
          <w:szCs w:val="22"/>
          <w:lang w:val="sk"/>
        </w:rPr>
        <w:t xml:space="preserve">Účinnosť </w:t>
      </w:r>
      <w:r w:rsidR="00132B2C" w:rsidRPr="00756B9D">
        <w:rPr>
          <w:sz w:val="22"/>
          <w:szCs w:val="22"/>
          <w:lang w:val="sk"/>
        </w:rPr>
        <w:t>d</w:t>
      </w:r>
      <w:r w:rsidRPr="00756B9D">
        <w:rPr>
          <w:sz w:val="22"/>
          <w:szCs w:val="22"/>
          <w:lang w:val="sk"/>
        </w:rPr>
        <w:t>uloxet</w:t>
      </w:r>
      <w:r w:rsidR="00132B2C" w:rsidRPr="00756B9D">
        <w:rPr>
          <w:sz w:val="22"/>
          <w:szCs w:val="22"/>
          <w:lang w:val="sk"/>
        </w:rPr>
        <w:t>í</w:t>
      </w:r>
      <w:r w:rsidRPr="00756B9D">
        <w:rPr>
          <w:sz w:val="22"/>
          <w:szCs w:val="22"/>
          <w:lang w:val="sk"/>
        </w:rPr>
        <w:t xml:space="preserve">nu v liečbe diabetickej neuropatickej bolesti bola preukázaná v dvoch randomizovaných, 12 týždňov trvajúcich, dvojito zaslepených, placebom kontrolovaných štúdiách s pevne stanovenou dávkou u dospelých (22 až 88 rokov), ktorí minimálne 6 mesiacov trpia diabetickou neuropatickou bolesťou. Pacienti, ktorí spĺňali diagnostické kritériá pre veľkú depresívnu poruchu boli z týchto výskumných štúdií vylúčení. Primárnym parametrom bola týždenná stredná hodnota 24-hodinovej priemernej bolesti, ktorú pacienti hodnotili na 11 bodovej Likertovej škále pričom si záznamy zapisovali do denníka. </w:t>
      </w:r>
    </w:p>
    <w:p w14:paraId="21F24359" w14:textId="77777777" w:rsidR="00486E90" w:rsidRPr="00756B9D" w:rsidRDefault="00486E90">
      <w:pPr>
        <w:pStyle w:val="Default"/>
        <w:jc w:val="both"/>
        <w:rPr>
          <w:sz w:val="22"/>
          <w:szCs w:val="22"/>
        </w:rPr>
      </w:pPr>
    </w:p>
    <w:p w14:paraId="660E721D" w14:textId="378315D9" w:rsidR="00486E90" w:rsidRPr="00756B9D" w:rsidRDefault="00486E90">
      <w:pPr>
        <w:pStyle w:val="Default"/>
        <w:jc w:val="both"/>
        <w:rPr>
          <w:sz w:val="22"/>
          <w:szCs w:val="22"/>
        </w:rPr>
      </w:pPr>
      <w:r w:rsidRPr="00756B9D">
        <w:rPr>
          <w:sz w:val="22"/>
          <w:szCs w:val="22"/>
          <w:lang w:val="sk"/>
        </w:rPr>
        <w:t xml:space="preserve">V oboch štúdiách </w:t>
      </w:r>
      <w:r w:rsidR="00132B2C" w:rsidRPr="00756B9D">
        <w:rPr>
          <w:sz w:val="22"/>
          <w:szCs w:val="22"/>
          <w:lang w:val="sk"/>
        </w:rPr>
        <w:t>d</w:t>
      </w:r>
      <w:r w:rsidRPr="00756B9D">
        <w:rPr>
          <w:sz w:val="22"/>
          <w:szCs w:val="22"/>
          <w:lang w:val="sk"/>
        </w:rPr>
        <w:t>uloxet</w:t>
      </w:r>
      <w:r w:rsidR="00132B2C" w:rsidRPr="00756B9D">
        <w:rPr>
          <w:sz w:val="22"/>
          <w:szCs w:val="22"/>
          <w:lang w:val="sk"/>
        </w:rPr>
        <w:t>í</w:t>
      </w:r>
      <w:r w:rsidRPr="00756B9D">
        <w:rPr>
          <w:sz w:val="22"/>
          <w:szCs w:val="22"/>
          <w:lang w:val="sk"/>
        </w:rPr>
        <w:t>n v dávke 60 mg raz denne a 60 mg dvakrát denne viedol, v porovnaní s placebom, k signifikantnému zmierneniu bolesti. U niektorých pacientov bol tento efekt zjavný už v priebehu prvého týždňa liečby. Rozdiel priemerného zlepšenia pri porovnaní oboch uvedených aktívnych ramien liečby nebol významný. Redukciu bolesti o minimálne 30% uviedlo približne 65% pacientov liečených duloxetínom v porovnaní so 40% pacientov liečených placebom. Počty zodpovedajúce aspoň 50% redukcii bolesti boli 50% a 26%. Hodnoty klinickej odpovede (zmiernenie bolesti o 50% a viac) boli analyzované s ohľadom na to, či pacient v priebehu liečby trpel spavosťou alebo nie. Z pacientov, ktorí netrpeli spavosťou bola klinická odpoveď zaznamenaná u 47% pacientov užívajúcich duloxetín a u 27% pacientov užívajúcich placebo. Podiel klinickej odpovede u pacientov, ktorí zaznamenali problémy so spavosťou bol 60% pri duloxetíne a 30% pri placebe. U pacientov, ktorí v priebehu 60 dní nezaznamenali zmiernenie bolesti ani o 30% bolo takéto zlepšenie v priebehu</w:t>
      </w:r>
      <w:r w:rsidR="009E5803">
        <w:rPr>
          <w:sz w:val="22"/>
          <w:szCs w:val="22"/>
          <w:lang w:val="sk"/>
        </w:rPr>
        <w:t xml:space="preserve"> </w:t>
      </w:r>
      <w:r w:rsidR="009E5803">
        <w:rPr>
          <w:sz w:val="22"/>
          <w:szCs w:val="22"/>
          <w:lang w:val="sk"/>
        </w:rPr>
        <w:lastRenderedPageBreak/>
        <w:t>ďalšej liečby nepravdepodobné.</w:t>
      </w:r>
    </w:p>
    <w:p w14:paraId="533CB8FF" w14:textId="77777777" w:rsidR="00486E90" w:rsidRPr="00756B9D" w:rsidRDefault="00486E90">
      <w:pPr>
        <w:pStyle w:val="Default"/>
        <w:jc w:val="both"/>
        <w:rPr>
          <w:color w:val="auto"/>
          <w:sz w:val="22"/>
          <w:szCs w:val="22"/>
        </w:rPr>
      </w:pPr>
    </w:p>
    <w:p w14:paraId="5B91EF25" w14:textId="7DC953A3" w:rsidR="00486E90" w:rsidRPr="00756B9D" w:rsidRDefault="00486E90">
      <w:pPr>
        <w:pStyle w:val="Default"/>
        <w:jc w:val="both"/>
        <w:rPr>
          <w:color w:val="auto"/>
          <w:sz w:val="22"/>
          <w:szCs w:val="22"/>
        </w:rPr>
      </w:pPr>
      <w:r w:rsidRPr="00756B9D">
        <w:rPr>
          <w:color w:val="auto"/>
          <w:sz w:val="22"/>
          <w:szCs w:val="22"/>
          <w:lang w:val="sk"/>
        </w:rPr>
        <w:t xml:space="preserve">V dlhodobej otvorenej nekontrolovanej štúdii pretrvávalo zmenšenie bolesti u pacientov odpovedajúcich na 8-týždennú liečbu </w:t>
      </w:r>
      <w:r w:rsidR="00132B2C" w:rsidRPr="00756B9D">
        <w:rPr>
          <w:color w:val="auto"/>
          <w:sz w:val="22"/>
          <w:szCs w:val="22"/>
          <w:lang w:val="sk"/>
        </w:rPr>
        <w:t>d</w:t>
      </w:r>
      <w:r w:rsidRPr="00756B9D">
        <w:rPr>
          <w:color w:val="auto"/>
          <w:sz w:val="22"/>
          <w:szCs w:val="22"/>
          <w:lang w:val="sk"/>
        </w:rPr>
        <w:t>uloxet</w:t>
      </w:r>
      <w:r w:rsidR="00132B2C" w:rsidRPr="00756B9D">
        <w:rPr>
          <w:color w:val="auto"/>
          <w:sz w:val="22"/>
          <w:szCs w:val="22"/>
          <w:lang w:val="sk"/>
        </w:rPr>
        <w:t>í</w:t>
      </w:r>
      <w:r w:rsidRPr="00756B9D">
        <w:rPr>
          <w:color w:val="auto"/>
          <w:sz w:val="22"/>
          <w:szCs w:val="22"/>
          <w:lang w:val="sk"/>
        </w:rPr>
        <w:t>nom 60 mg raz denne počas nasledujúcich 6 mesiacov, podľa merania zmeny skóre položky „24-hodinová priemerná bolesť“ na škále Brief Pain Inventory (BPI).</w:t>
      </w:r>
    </w:p>
    <w:p w14:paraId="0890367C" w14:textId="77777777" w:rsidR="00486E90" w:rsidRPr="00756B9D" w:rsidRDefault="00486E90">
      <w:pPr>
        <w:pStyle w:val="Default"/>
        <w:jc w:val="both"/>
        <w:rPr>
          <w:color w:val="auto"/>
          <w:sz w:val="22"/>
          <w:szCs w:val="22"/>
        </w:rPr>
      </w:pPr>
    </w:p>
    <w:p w14:paraId="1F86F6EF" w14:textId="77777777" w:rsidR="00486E90" w:rsidRPr="00756B9D" w:rsidRDefault="00486E90">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i/>
          <w:iCs/>
          <w:color w:val="000000"/>
          <w:lang w:val="sk"/>
        </w:rPr>
        <w:t xml:space="preserve">Pediatrická populácia </w:t>
      </w:r>
    </w:p>
    <w:p w14:paraId="17BBF808" w14:textId="1B8E94F8" w:rsidR="00486E90" w:rsidRPr="00756B9D" w:rsidRDefault="00486E90">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Neboli vykonané štúdie s duloxetínom u pac</w:t>
      </w:r>
      <w:r w:rsidR="009E5803">
        <w:rPr>
          <w:rFonts w:ascii="Times New Roman" w:hAnsi="Times New Roman"/>
          <w:color w:val="000000"/>
          <w:lang w:val="sk"/>
        </w:rPr>
        <w:t>ientov mladších ako 7 rokov.</w:t>
      </w:r>
    </w:p>
    <w:p w14:paraId="21271024" w14:textId="77777777" w:rsidR="00486E90" w:rsidRPr="00756B9D" w:rsidRDefault="00486E90">
      <w:pPr>
        <w:autoSpaceDE w:val="0"/>
        <w:autoSpaceDN w:val="0"/>
        <w:adjustRightInd w:val="0"/>
        <w:spacing w:after="0" w:line="240" w:lineRule="auto"/>
        <w:jc w:val="both"/>
        <w:rPr>
          <w:rFonts w:ascii="Times New Roman" w:hAnsi="Times New Roman"/>
          <w:color w:val="000000"/>
        </w:rPr>
      </w:pPr>
    </w:p>
    <w:p w14:paraId="72A3089F" w14:textId="44EE1815" w:rsidR="00486E90" w:rsidRPr="00756B9D" w:rsidRDefault="00486E90">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Boli vykonané dve randomizované dvojito zaslepené paralelné klinické štúdie s 800 pediatrickými pacientmi s</w:t>
      </w:r>
      <w:r w:rsidR="00132B2C" w:rsidRPr="00756B9D">
        <w:rPr>
          <w:rFonts w:ascii="Times New Roman" w:hAnsi="Times New Roman"/>
          <w:color w:val="000000"/>
          <w:lang w:val="sk"/>
        </w:rPr>
        <w:t> </w:t>
      </w:r>
      <w:r w:rsidRPr="00756B9D">
        <w:rPr>
          <w:rFonts w:ascii="Times New Roman" w:hAnsi="Times New Roman"/>
          <w:color w:val="000000"/>
          <w:lang w:val="sk"/>
        </w:rPr>
        <w:t>veľkou</w:t>
      </w:r>
      <w:r w:rsidR="00132B2C" w:rsidRPr="00756B9D">
        <w:rPr>
          <w:rFonts w:ascii="Times New Roman" w:hAnsi="Times New Roman"/>
          <w:color w:val="000000"/>
          <w:lang w:val="sk"/>
        </w:rPr>
        <w:t xml:space="preserve"> </w:t>
      </w:r>
      <w:r w:rsidRPr="00756B9D">
        <w:rPr>
          <w:rFonts w:ascii="Times New Roman" w:hAnsi="Times New Roman"/>
          <w:color w:val="000000"/>
          <w:lang w:val="sk"/>
        </w:rPr>
        <w:t>depresívnou poruchou vo veku 7-17 rokov (pozri časť 4.2). Tieto dve štúdie zahŕňali 10-týždňovú placebom a aktívnou látkou (fluoxetínom) kontrolovanú fázu, po ktorej nasledovala 6-mesačná fáza aktívne kontrolovanej pokračovacej liečby. Ani duloxetín (30 – 120 mg) ani aktívne kontrolované rameno (fluoxetín 20 - 40 mg) sa štatisticky neodlíšili od placeba v zmene celkového skóre CDRS-R (Children´s Depression Rating Scale-Revised) od začiatku až do konca. Ukončenie skúšania z dôvodu nežiaducich účinkov, najmä kvôli nauzei, bol vyšší u pacientov užívajúcich duloxetín ako u tých, čo užívali fluoxetín. Počas 10-týždňovej liečebnej časti akútnej liečby bolo hlásené suicidálne správanie (duloxetín 0/333 [0 %], fluoxetín 2/225 [0.9 %], placebo 1/220 [0,5 %]). Počas celého 36-týždňového trvania štúdie, 6 z 333 pacientov pôvodne randomizovaných na duloxetín a 3 z 225 pôvodne randomizovaných na fluoxetín zaznamenali suicidálne správanie (incidencia upravená podľa expozície 0,039 udalostí na pacientský rok u duloxetínu a 0,026 u fluoxetínu). Navyše jeden pacient, ktorý prešiel z placeba na duloxetín zakúsil suicidálne správanie v</w:t>
      </w:r>
      <w:r w:rsidR="009E5803">
        <w:rPr>
          <w:rFonts w:ascii="Times New Roman" w:hAnsi="Times New Roman"/>
          <w:color w:val="000000"/>
          <w:lang w:val="sk"/>
        </w:rPr>
        <w:t xml:space="preserve"> čase, keď užíval duloxetín.</w:t>
      </w:r>
    </w:p>
    <w:p w14:paraId="738EA9E7" w14:textId="77777777" w:rsidR="00486E90" w:rsidRPr="00756B9D" w:rsidRDefault="00486E90">
      <w:pPr>
        <w:autoSpaceDE w:val="0"/>
        <w:autoSpaceDN w:val="0"/>
        <w:adjustRightInd w:val="0"/>
        <w:spacing w:after="0" w:line="240" w:lineRule="auto"/>
        <w:jc w:val="both"/>
        <w:rPr>
          <w:rFonts w:ascii="Times New Roman" w:hAnsi="Times New Roman"/>
          <w:color w:val="000000"/>
        </w:rPr>
      </w:pPr>
    </w:p>
    <w:p w14:paraId="431903B8" w14:textId="2E1F4AF1" w:rsidR="00486E90" w:rsidRPr="00756B9D" w:rsidRDefault="00486E90">
      <w:pPr>
        <w:autoSpaceDE w:val="0"/>
        <w:autoSpaceDN w:val="0"/>
        <w:adjustRightInd w:val="0"/>
        <w:spacing w:after="0" w:line="240" w:lineRule="auto"/>
        <w:jc w:val="both"/>
        <w:rPr>
          <w:rFonts w:ascii="Times New Roman" w:hAnsi="Times New Roman"/>
          <w:color w:val="000000"/>
        </w:rPr>
      </w:pPr>
      <w:r w:rsidRPr="00756B9D">
        <w:rPr>
          <w:rFonts w:ascii="Times New Roman" w:hAnsi="Times New Roman"/>
          <w:color w:val="000000"/>
          <w:lang w:val="sk"/>
        </w:rPr>
        <w:t>Randomizovaného, dvojito zaslepeného, placebom kontrolovaného klinického skúšania sa zúčastnilo 272 pacientov vo veku 7-17 rokov s generalizovanou úzkostnou poruchou (GAD). Klinické skúšanie zahŕňalo 10-týždňovú placebom kontrolovanú akútnu fázu, po ktorej nasledovala 18-týždňová predĺžená fáza. V tomto klinickom skúšaní bol použitý flexibilný dávkovací režim, aby bolo umožnené pomalé zvyšovanie dávky z 30 mg jedenkrát denne na vyššie dávky (najviac 120 mg jedenkrát denne). Liečba duloxetínom ukázala po 10 týždňoch liečby štatisticky výrazne vyššie zlepšenie príznakov GAD, pri meraní pomocou skóre závažnosti PARS pre GAD (priemerný rozdiel medzi duloxetínom a placebom bol 2,7 bodov [95 % CI 1,3-4,0]) po 10 týždňoch liečby. Pretrvanie účinku nebolo hodnotené. Počas 10-týždňovej fázy akútnej liečby sa neukázal žiaden štatisticky významný rozdiel v prerušení liečby z dôvodu nežiaducich reakcií medzi skupinami s duloxetínom a placebom. U dvoch pacientov, ktorí prešli po akútnej liečbe z placeba na duloxetín, sa počas užívania duloxetínu v predĺženej fáze vyskytlo samovražedné správanie. Závery vzhľadom na celkový pomer prínosu a rizika neboli pre túto vekovú skupinu stanoven</w:t>
      </w:r>
      <w:r w:rsidR="009E5803">
        <w:rPr>
          <w:rFonts w:ascii="Times New Roman" w:hAnsi="Times New Roman"/>
          <w:color w:val="000000"/>
          <w:lang w:val="sk"/>
        </w:rPr>
        <w:t>é (pozri tiež časti 4.2 a 4.8).</w:t>
      </w:r>
    </w:p>
    <w:p w14:paraId="31B08CFA" w14:textId="77777777" w:rsidR="00486E90" w:rsidRPr="00756B9D" w:rsidRDefault="00486E90">
      <w:pPr>
        <w:pStyle w:val="Default"/>
        <w:jc w:val="both"/>
        <w:rPr>
          <w:sz w:val="22"/>
          <w:szCs w:val="22"/>
        </w:rPr>
      </w:pPr>
    </w:p>
    <w:p w14:paraId="5D1D1235" w14:textId="11D3D774" w:rsidR="00486E90" w:rsidRPr="00756B9D" w:rsidRDefault="00486E90">
      <w:pPr>
        <w:pStyle w:val="Default"/>
        <w:jc w:val="both"/>
        <w:rPr>
          <w:sz w:val="22"/>
          <w:szCs w:val="22"/>
        </w:rPr>
      </w:pPr>
      <w:r w:rsidRPr="00756B9D">
        <w:rPr>
          <w:sz w:val="22"/>
          <w:szCs w:val="22"/>
          <w:lang w:val="sk"/>
        </w:rPr>
        <w:t xml:space="preserve">Európska lieková agentúra udelila výnimku z povinnosti predložiť výsledky štúdií pre </w:t>
      </w:r>
      <w:r w:rsidR="00132B2C" w:rsidRPr="00756B9D">
        <w:rPr>
          <w:sz w:val="22"/>
          <w:szCs w:val="22"/>
          <w:lang w:val="sk"/>
        </w:rPr>
        <w:t>d</w:t>
      </w:r>
      <w:r w:rsidRPr="00756B9D">
        <w:rPr>
          <w:sz w:val="22"/>
          <w:szCs w:val="22"/>
          <w:lang w:val="sk"/>
        </w:rPr>
        <w:t>uloxet</w:t>
      </w:r>
      <w:r w:rsidR="00132B2C" w:rsidRPr="00756B9D">
        <w:rPr>
          <w:sz w:val="22"/>
          <w:szCs w:val="22"/>
          <w:lang w:val="sk"/>
        </w:rPr>
        <w:t>í</w:t>
      </w:r>
      <w:r w:rsidRPr="00756B9D">
        <w:rPr>
          <w:sz w:val="22"/>
          <w:szCs w:val="22"/>
          <w:lang w:val="sk"/>
        </w:rPr>
        <w:t>n ohľadom na všetky vekové podskupiny detí a dospievajúcich v liečbe veľkej depresívnej poruchy, diabetickej neuropatickej bolesti a generalizovanej úzkostnej poruchy. Pozri časť 4.2 pre informáciu o pediatrickom použití.</w:t>
      </w:r>
    </w:p>
    <w:p w14:paraId="3F506EB8" w14:textId="77777777" w:rsidR="00486E90" w:rsidRPr="00756B9D" w:rsidRDefault="00486E90">
      <w:pPr>
        <w:pStyle w:val="Default"/>
        <w:jc w:val="both"/>
        <w:rPr>
          <w:b/>
          <w:bCs/>
          <w:sz w:val="22"/>
          <w:szCs w:val="22"/>
        </w:rPr>
      </w:pPr>
    </w:p>
    <w:p w14:paraId="0BB45F2A" w14:textId="05871311" w:rsidR="00486E90" w:rsidRPr="00756B9D" w:rsidRDefault="00486E90" w:rsidP="00756B9D">
      <w:pPr>
        <w:pStyle w:val="Default"/>
        <w:numPr>
          <w:ilvl w:val="1"/>
          <w:numId w:val="2"/>
        </w:numPr>
        <w:ind w:left="567" w:hanging="567"/>
        <w:jc w:val="both"/>
        <w:rPr>
          <w:sz w:val="22"/>
          <w:szCs w:val="22"/>
        </w:rPr>
      </w:pPr>
      <w:r w:rsidRPr="00756B9D">
        <w:rPr>
          <w:b/>
          <w:bCs/>
          <w:sz w:val="22"/>
          <w:szCs w:val="22"/>
          <w:lang w:val="sk"/>
        </w:rPr>
        <w:t xml:space="preserve">Farmakokinetické vlastnosti </w:t>
      </w:r>
    </w:p>
    <w:p w14:paraId="21B38B54" w14:textId="77777777" w:rsidR="00486E90" w:rsidRPr="00756B9D" w:rsidRDefault="00486E90">
      <w:pPr>
        <w:pStyle w:val="Default"/>
        <w:jc w:val="both"/>
        <w:rPr>
          <w:sz w:val="22"/>
          <w:szCs w:val="22"/>
        </w:rPr>
      </w:pPr>
    </w:p>
    <w:p w14:paraId="7FF4CA69" w14:textId="0F0ECADE" w:rsidR="00486E90" w:rsidRPr="00756B9D" w:rsidRDefault="00AC79E2">
      <w:pPr>
        <w:pStyle w:val="Default"/>
        <w:jc w:val="both"/>
        <w:rPr>
          <w:sz w:val="22"/>
          <w:szCs w:val="22"/>
        </w:rPr>
      </w:pPr>
      <w:r w:rsidRPr="00756B9D">
        <w:rPr>
          <w:sz w:val="22"/>
          <w:szCs w:val="22"/>
          <w:lang w:val="sk"/>
        </w:rPr>
        <w:t xml:space="preserve">Duloxetín sa podáva ako samostatný enantiomér. Duloxetín sa extenzívne metabolizuje prostredníctvom oxidatívnych enzýmov (CYP1A2 a polymorfný CYP2D6) s následnou konjugáciou. Farmakokinetika duloxetínu preukazuje veľkú interindividuálnu variabilitu (všeobecne 50–60%), čiastočne v súvislosti s pohlavím, vekom, fajčiarskymi návykmi </w:t>
      </w:r>
      <w:r w:rsidR="009E5803">
        <w:rPr>
          <w:sz w:val="22"/>
          <w:szCs w:val="22"/>
          <w:lang w:val="sk"/>
        </w:rPr>
        <w:t>a statusom metabolizéra CYP2D6.</w:t>
      </w:r>
    </w:p>
    <w:p w14:paraId="6D06277C" w14:textId="77777777" w:rsidR="00486E90" w:rsidRPr="00756B9D" w:rsidRDefault="00486E90">
      <w:pPr>
        <w:pStyle w:val="Default"/>
        <w:jc w:val="both"/>
        <w:rPr>
          <w:i/>
          <w:iCs/>
          <w:sz w:val="22"/>
          <w:szCs w:val="22"/>
        </w:rPr>
      </w:pPr>
    </w:p>
    <w:p w14:paraId="2025BE4E" w14:textId="41B7EAC5" w:rsidR="00486E90" w:rsidRPr="00756B9D" w:rsidRDefault="00486E90">
      <w:pPr>
        <w:pStyle w:val="Default"/>
        <w:jc w:val="both"/>
        <w:rPr>
          <w:sz w:val="22"/>
          <w:szCs w:val="22"/>
        </w:rPr>
      </w:pPr>
      <w:r w:rsidRPr="00756B9D">
        <w:rPr>
          <w:i/>
          <w:iCs/>
          <w:sz w:val="22"/>
          <w:szCs w:val="22"/>
          <w:lang w:val="sk"/>
        </w:rPr>
        <w:t xml:space="preserve">Absorpcia: </w:t>
      </w:r>
      <w:r w:rsidRPr="00756B9D">
        <w:rPr>
          <w:sz w:val="22"/>
          <w:szCs w:val="22"/>
          <w:lang w:val="sk"/>
        </w:rPr>
        <w:t>Duloxetín sa po perorálnom podaní dobre vstrebáva, pričom k C</w:t>
      </w:r>
      <w:r w:rsidRPr="00756B9D">
        <w:rPr>
          <w:sz w:val="22"/>
          <w:szCs w:val="22"/>
          <w:vertAlign w:val="subscript"/>
          <w:lang w:val="sk"/>
        </w:rPr>
        <w:t>max</w:t>
      </w:r>
      <w:r w:rsidRPr="00756B9D">
        <w:rPr>
          <w:sz w:val="22"/>
          <w:szCs w:val="22"/>
          <w:lang w:val="sk"/>
        </w:rPr>
        <w:t xml:space="preserve"> dochádza 6 hodín po podaní dávky. Absolútna perorálna biologická dostupnosť duloxetínu je 32% až 80% (priemer 50%). Potrava predlžuje čas potrebný na dosiahnutie najvyššej koncentrácie zo 6 na 10 hodín a okrajovo zmenšuje rozsah absorpcie (približne 11%). Tieto zmeny nem</w:t>
      </w:r>
      <w:r w:rsidR="009E5803">
        <w:rPr>
          <w:sz w:val="22"/>
          <w:szCs w:val="22"/>
          <w:lang w:val="sk"/>
        </w:rPr>
        <w:t>ajú žiadnu klinickú významnosť.</w:t>
      </w:r>
    </w:p>
    <w:p w14:paraId="63026C5C" w14:textId="77777777" w:rsidR="00486E90" w:rsidRPr="00756B9D" w:rsidRDefault="00486E90">
      <w:pPr>
        <w:pStyle w:val="Default"/>
        <w:jc w:val="both"/>
        <w:rPr>
          <w:i/>
          <w:iCs/>
          <w:sz w:val="22"/>
          <w:szCs w:val="22"/>
        </w:rPr>
      </w:pPr>
    </w:p>
    <w:p w14:paraId="6F03DDD6" w14:textId="3C13F553" w:rsidR="00486E90" w:rsidRPr="00756B9D" w:rsidRDefault="00486E90">
      <w:pPr>
        <w:pStyle w:val="Default"/>
        <w:jc w:val="both"/>
        <w:rPr>
          <w:sz w:val="22"/>
          <w:szCs w:val="22"/>
        </w:rPr>
      </w:pPr>
      <w:r w:rsidRPr="00756B9D">
        <w:rPr>
          <w:i/>
          <w:iCs/>
          <w:sz w:val="22"/>
          <w:szCs w:val="22"/>
          <w:lang w:val="sk"/>
        </w:rPr>
        <w:t xml:space="preserve">Distribúcia: </w:t>
      </w:r>
      <w:r w:rsidRPr="00756B9D">
        <w:rPr>
          <w:sz w:val="22"/>
          <w:szCs w:val="22"/>
          <w:lang w:val="sk"/>
        </w:rPr>
        <w:t>Duloxetín sa priemerne v 96% viaže na proteíny v ľudskej plazme. Duloxetín sa viaže tak na albumín ako aj na alfa-l-kyslý glykoproteín. Väzba na proteíny nie je ovplyvnená po</w:t>
      </w:r>
      <w:r w:rsidR="00A8357C" w:rsidRPr="00756B9D">
        <w:rPr>
          <w:sz w:val="22"/>
          <w:szCs w:val="22"/>
          <w:lang w:val="sk"/>
        </w:rPr>
        <w:t>ruchou</w:t>
      </w:r>
      <w:r w:rsidRPr="00756B9D">
        <w:rPr>
          <w:sz w:val="22"/>
          <w:szCs w:val="22"/>
          <w:lang w:val="sk"/>
        </w:rPr>
        <w:t xml:space="preserve"> funkcie obličiek či</w:t>
      </w:r>
      <w:r w:rsidR="009E5803">
        <w:rPr>
          <w:sz w:val="22"/>
          <w:szCs w:val="22"/>
          <w:lang w:val="sk"/>
        </w:rPr>
        <w:t xml:space="preserve"> pečene.</w:t>
      </w:r>
    </w:p>
    <w:p w14:paraId="02624179" w14:textId="77777777" w:rsidR="00486E90" w:rsidRPr="00756B9D" w:rsidRDefault="00486E90">
      <w:pPr>
        <w:pStyle w:val="Default"/>
        <w:jc w:val="both"/>
        <w:rPr>
          <w:i/>
          <w:iCs/>
          <w:sz w:val="22"/>
          <w:szCs w:val="22"/>
        </w:rPr>
      </w:pPr>
    </w:p>
    <w:p w14:paraId="0E7673A3" w14:textId="636F0A5A" w:rsidR="00486E90" w:rsidRPr="00756B9D" w:rsidRDefault="00486E90">
      <w:pPr>
        <w:pStyle w:val="Default"/>
        <w:jc w:val="both"/>
        <w:rPr>
          <w:sz w:val="22"/>
          <w:szCs w:val="22"/>
        </w:rPr>
      </w:pPr>
      <w:r w:rsidRPr="00756B9D">
        <w:rPr>
          <w:i/>
          <w:iCs/>
          <w:sz w:val="22"/>
          <w:szCs w:val="22"/>
          <w:lang w:val="sk"/>
        </w:rPr>
        <w:t xml:space="preserve">Biotransformácia: </w:t>
      </w:r>
      <w:r w:rsidRPr="00756B9D">
        <w:rPr>
          <w:sz w:val="22"/>
          <w:szCs w:val="22"/>
          <w:lang w:val="sk"/>
        </w:rPr>
        <w:t xml:space="preserve">Duloxetín sa extenzívne metabolizuje a jeho metabolity sa vylučujú predovšetkým močom. Obidva cytochrómy P450–2D6 ako aj 1A2 katalyzujú tvorbu dvoch hlavných metabolitov, glukuronidového konjugátu 4-hydroxyduloxetínu a sulfátového konjugátu 5-hydroxy 6- metoxyduloxetínu. Vychádzajúc zo štúdií </w:t>
      </w:r>
      <w:r w:rsidRPr="00756B9D">
        <w:rPr>
          <w:i/>
          <w:iCs/>
          <w:sz w:val="22"/>
          <w:szCs w:val="22"/>
          <w:lang w:val="sk"/>
        </w:rPr>
        <w:t>in vitro</w:t>
      </w:r>
      <w:r w:rsidRPr="00756B9D">
        <w:rPr>
          <w:sz w:val="22"/>
          <w:szCs w:val="22"/>
          <w:lang w:val="sk"/>
        </w:rPr>
        <w:t>, cirkulujúce metabolity duloxetínu sú považované za farmakologicky neaktívne. Farmakokinetika duloxetínu u pacientov, ktorí sú slabými metabolizérmi CYP2D6, nebola špecificky sledovaná. Obmedzené údaje naznačujú, že plazmatické hladiny duloxetín</w:t>
      </w:r>
      <w:r w:rsidR="009E5803">
        <w:rPr>
          <w:sz w:val="22"/>
          <w:szCs w:val="22"/>
          <w:lang w:val="sk"/>
        </w:rPr>
        <w:t>u sú u týchto pacientov vyššie.</w:t>
      </w:r>
    </w:p>
    <w:p w14:paraId="713EDBED" w14:textId="77777777" w:rsidR="00486E90" w:rsidRPr="00756B9D" w:rsidRDefault="00486E90">
      <w:pPr>
        <w:pStyle w:val="Default"/>
        <w:jc w:val="both"/>
        <w:rPr>
          <w:i/>
          <w:iCs/>
          <w:sz w:val="22"/>
          <w:szCs w:val="22"/>
        </w:rPr>
      </w:pPr>
    </w:p>
    <w:p w14:paraId="13880E48" w14:textId="64291656" w:rsidR="00486E90" w:rsidRPr="00756B9D" w:rsidRDefault="00486E90">
      <w:pPr>
        <w:pStyle w:val="Default"/>
        <w:jc w:val="both"/>
        <w:rPr>
          <w:sz w:val="22"/>
          <w:szCs w:val="22"/>
        </w:rPr>
      </w:pPr>
      <w:r w:rsidRPr="00756B9D">
        <w:rPr>
          <w:i/>
          <w:iCs/>
          <w:sz w:val="22"/>
          <w:szCs w:val="22"/>
          <w:lang w:val="sk"/>
        </w:rPr>
        <w:t xml:space="preserve">Eliminácia: </w:t>
      </w:r>
      <w:r w:rsidRPr="00756B9D">
        <w:rPr>
          <w:sz w:val="22"/>
          <w:szCs w:val="22"/>
          <w:lang w:val="sk"/>
        </w:rPr>
        <w:t>Polčas eliminácie duloxetínu sa pohybuje v rozmedzí od 8 do 17 hodín (priemerne 12 hodín). Plazmatický klírens po intravenóznej aplikácii dávky sa pohybuje v rozpätí 22 l/h až 46 l/h (priemerne 36 l/h). Zdanlivý plazmatický klírens duloxetínu po perorálnom podaní sa pohybuje od 3</w:t>
      </w:r>
      <w:r w:rsidR="009E5803">
        <w:rPr>
          <w:sz w:val="22"/>
          <w:szCs w:val="22"/>
          <w:lang w:val="sk"/>
        </w:rPr>
        <w:t>3 to 261 l/h (priemer 101 l/h).</w:t>
      </w:r>
    </w:p>
    <w:p w14:paraId="6598AB4F" w14:textId="77777777" w:rsidR="00486E90" w:rsidRPr="00756B9D" w:rsidRDefault="00486E90">
      <w:pPr>
        <w:pStyle w:val="Default"/>
        <w:jc w:val="both"/>
        <w:rPr>
          <w:i/>
          <w:iCs/>
          <w:sz w:val="22"/>
          <w:szCs w:val="22"/>
        </w:rPr>
      </w:pPr>
    </w:p>
    <w:p w14:paraId="2CF0D6A8" w14:textId="77777777" w:rsidR="00486E90" w:rsidRPr="00756B9D" w:rsidRDefault="00486E90">
      <w:pPr>
        <w:pStyle w:val="Default"/>
        <w:jc w:val="both"/>
        <w:rPr>
          <w:sz w:val="22"/>
          <w:szCs w:val="22"/>
        </w:rPr>
      </w:pPr>
      <w:r w:rsidRPr="00756B9D">
        <w:rPr>
          <w:i/>
          <w:iCs/>
          <w:sz w:val="22"/>
          <w:szCs w:val="22"/>
          <w:lang w:val="sk"/>
        </w:rPr>
        <w:t xml:space="preserve">Osobitné skupiny </w:t>
      </w:r>
    </w:p>
    <w:p w14:paraId="2E67C685" w14:textId="4E418656" w:rsidR="00486E90" w:rsidRPr="00756B9D" w:rsidRDefault="00486E90">
      <w:pPr>
        <w:pStyle w:val="Default"/>
        <w:jc w:val="both"/>
        <w:rPr>
          <w:sz w:val="22"/>
          <w:szCs w:val="22"/>
        </w:rPr>
      </w:pPr>
      <w:r w:rsidRPr="00756B9D">
        <w:rPr>
          <w:i/>
          <w:iCs/>
          <w:sz w:val="22"/>
          <w:szCs w:val="22"/>
          <w:lang w:val="sk"/>
        </w:rPr>
        <w:t xml:space="preserve">Pohlavie: </w:t>
      </w:r>
      <w:r w:rsidRPr="00756B9D">
        <w:rPr>
          <w:sz w:val="22"/>
          <w:szCs w:val="22"/>
          <w:lang w:val="sk"/>
        </w:rPr>
        <w:t xml:space="preserve">medzi mužmi a ženami boli zistené farmakokinetické rozdiely (zdanlivý plazmatický klírens je u žien asi o 50% nižší). Vychádzajúc z prekrývania sa rozmedzia klírensu, farmakokinetické rozdiely na základe pohlavia </w:t>
      </w:r>
      <w:r w:rsidR="00A8357C" w:rsidRPr="00756B9D">
        <w:rPr>
          <w:sz w:val="22"/>
          <w:szCs w:val="22"/>
          <w:lang w:val="sk"/>
        </w:rPr>
        <w:t>neodvôvodňujú</w:t>
      </w:r>
      <w:r w:rsidRPr="00756B9D">
        <w:rPr>
          <w:sz w:val="22"/>
          <w:szCs w:val="22"/>
          <w:lang w:val="sk"/>
        </w:rPr>
        <w:t xml:space="preserve"> k odporúčaniu užív</w:t>
      </w:r>
      <w:r w:rsidR="009E5803">
        <w:rPr>
          <w:sz w:val="22"/>
          <w:szCs w:val="22"/>
          <w:lang w:val="sk"/>
        </w:rPr>
        <w:t>ania nižších dávok u pacientok.</w:t>
      </w:r>
    </w:p>
    <w:p w14:paraId="5E37ADD6" w14:textId="77777777" w:rsidR="00486E90" w:rsidRPr="00756B9D" w:rsidRDefault="00486E90">
      <w:pPr>
        <w:pStyle w:val="Default"/>
        <w:jc w:val="both"/>
        <w:rPr>
          <w:i/>
          <w:iCs/>
          <w:sz w:val="22"/>
          <w:szCs w:val="22"/>
        </w:rPr>
      </w:pPr>
    </w:p>
    <w:p w14:paraId="1914DC90" w14:textId="77777777" w:rsidR="00486E90" w:rsidRPr="00756B9D" w:rsidRDefault="00486E90">
      <w:pPr>
        <w:pStyle w:val="Default"/>
        <w:jc w:val="both"/>
        <w:rPr>
          <w:sz w:val="22"/>
          <w:szCs w:val="22"/>
        </w:rPr>
      </w:pPr>
      <w:r w:rsidRPr="00756B9D">
        <w:rPr>
          <w:i/>
          <w:iCs/>
          <w:sz w:val="22"/>
          <w:szCs w:val="22"/>
          <w:lang w:val="sk"/>
        </w:rPr>
        <w:t xml:space="preserve">Vek: </w:t>
      </w:r>
      <w:r w:rsidRPr="00756B9D">
        <w:rPr>
          <w:sz w:val="22"/>
          <w:szCs w:val="22"/>
          <w:lang w:val="sk"/>
        </w:rPr>
        <w:t>Vek: farmakokinetické rozdiely boli zistené medzi mladšími a staršími ženami (≥65 rokov) (u starších pacientok sa zvyšuje AUC asi o 25% a polčas vylučovania je asi o 25% dlhší), magnitúda týchto zmien však nie je dostatočná na to, aby oprávňovala úpravu dávkovania. Všeobecne sa odporúča opatrnosť pri liečbe starších (pozri časti 4.2 a 4.4).</w:t>
      </w:r>
    </w:p>
    <w:p w14:paraId="505E306A" w14:textId="77777777" w:rsidR="00486E90" w:rsidRPr="00756B9D" w:rsidRDefault="00486E90">
      <w:pPr>
        <w:pStyle w:val="Default"/>
        <w:jc w:val="both"/>
        <w:rPr>
          <w:sz w:val="22"/>
          <w:szCs w:val="22"/>
        </w:rPr>
      </w:pPr>
    </w:p>
    <w:p w14:paraId="487443E0" w14:textId="784F08D3" w:rsidR="00486E90" w:rsidRPr="00756B9D" w:rsidRDefault="00486E90">
      <w:pPr>
        <w:pStyle w:val="Default"/>
        <w:jc w:val="both"/>
        <w:rPr>
          <w:sz w:val="22"/>
          <w:szCs w:val="22"/>
        </w:rPr>
      </w:pPr>
      <w:r w:rsidRPr="00756B9D">
        <w:rPr>
          <w:i/>
          <w:iCs/>
          <w:sz w:val="22"/>
          <w:szCs w:val="22"/>
          <w:lang w:val="sk"/>
        </w:rPr>
        <w:t xml:space="preserve">Porucha funkcie obličiek: </w:t>
      </w:r>
      <w:r w:rsidRPr="00756B9D">
        <w:rPr>
          <w:sz w:val="22"/>
          <w:szCs w:val="22"/>
          <w:lang w:val="sk"/>
        </w:rPr>
        <w:t>Pacienti s obličkovým ochorením v konečnej fáze (End Stage Renal Disease - ESRD) podrobujúci sa dialýze mali oproti zdravým jedincom dvakrát vyššie hodnoty C</w:t>
      </w:r>
      <w:r w:rsidRPr="00756B9D">
        <w:rPr>
          <w:sz w:val="22"/>
          <w:szCs w:val="22"/>
          <w:vertAlign w:val="subscript"/>
          <w:lang w:val="sk"/>
        </w:rPr>
        <w:t>max</w:t>
      </w:r>
      <w:r w:rsidRPr="00756B9D">
        <w:rPr>
          <w:sz w:val="22"/>
          <w:szCs w:val="22"/>
          <w:lang w:val="sk"/>
        </w:rPr>
        <w:t xml:space="preserve"> a AUC duloxetínu. Farmakokinetické údaje o duloxetíne u pacientov s miern</w:t>
      </w:r>
      <w:r w:rsidR="00A8357C" w:rsidRPr="00756B9D">
        <w:rPr>
          <w:sz w:val="22"/>
          <w:szCs w:val="22"/>
          <w:lang w:val="sk"/>
        </w:rPr>
        <w:t>ou</w:t>
      </w:r>
      <w:r w:rsidRPr="00756B9D">
        <w:rPr>
          <w:sz w:val="22"/>
          <w:szCs w:val="22"/>
          <w:lang w:val="sk"/>
        </w:rPr>
        <w:t xml:space="preserve"> alebo stredne závažn</w:t>
      </w:r>
      <w:r w:rsidR="00A8357C" w:rsidRPr="00756B9D">
        <w:rPr>
          <w:sz w:val="22"/>
          <w:szCs w:val="22"/>
          <w:lang w:val="sk"/>
        </w:rPr>
        <w:t>ou</w:t>
      </w:r>
      <w:r w:rsidRPr="00756B9D">
        <w:rPr>
          <w:sz w:val="22"/>
          <w:szCs w:val="22"/>
          <w:lang w:val="sk"/>
        </w:rPr>
        <w:t xml:space="preserve"> po</w:t>
      </w:r>
      <w:r w:rsidR="00A8357C" w:rsidRPr="00756B9D">
        <w:rPr>
          <w:sz w:val="22"/>
          <w:szCs w:val="22"/>
          <w:lang w:val="sk"/>
        </w:rPr>
        <w:t>ruchou</w:t>
      </w:r>
      <w:r w:rsidRPr="00756B9D">
        <w:rPr>
          <w:sz w:val="22"/>
          <w:szCs w:val="22"/>
          <w:lang w:val="sk"/>
        </w:rPr>
        <w:t xml:space="preserve"> funkcie obličiek sú obmedzené. </w:t>
      </w:r>
    </w:p>
    <w:p w14:paraId="2F5CBB66" w14:textId="77777777" w:rsidR="00486E90" w:rsidRPr="00756B9D" w:rsidRDefault="00486E90">
      <w:pPr>
        <w:pStyle w:val="Default"/>
        <w:jc w:val="both"/>
        <w:rPr>
          <w:i/>
          <w:iCs/>
          <w:sz w:val="22"/>
          <w:szCs w:val="22"/>
        </w:rPr>
      </w:pPr>
    </w:p>
    <w:p w14:paraId="138DF56D" w14:textId="25E745D5" w:rsidR="00486E90" w:rsidRPr="00756B9D" w:rsidRDefault="00486E90">
      <w:pPr>
        <w:pStyle w:val="Default"/>
        <w:jc w:val="both"/>
        <w:rPr>
          <w:sz w:val="22"/>
          <w:szCs w:val="22"/>
        </w:rPr>
      </w:pPr>
      <w:r w:rsidRPr="00756B9D">
        <w:rPr>
          <w:i/>
          <w:iCs/>
          <w:sz w:val="22"/>
          <w:szCs w:val="22"/>
          <w:lang w:val="sk"/>
        </w:rPr>
        <w:t>Porucha funkcie pečene</w:t>
      </w:r>
      <w:r w:rsidRPr="00756B9D">
        <w:rPr>
          <w:sz w:val="22"/>
          <w:szCs w:val="22"/>
          <w:lang w:val="sk"/>
        </w:rPr>
        <w:t>:</w:t>
      </w:r>
      <w:r w:rsidRPr="00756B9D">
        <w:rPr>
          <w:i/>
          <w:iCs/>
          <w:sz w:val="22"/>
          <w:szCs w:val="22"/>
          <w:lang w:val="sk"/>
        </w:rPr>
        <w:t xml:space="preserve"> </w:t>
      </w:r>
      <w:r w:rsidRPr="00756B9D">
        <w:rPr>
          <w:sz w:val="22"/>
          <w:szCs w:val="22"/>
          <w:lang w:val="sk"/>
        </w:rPr>
        <w:t>stredne závažné poškodenie pečene (Child Pugh trieda B) malo vplyv na farmakokinetiku duloxetínu. V porovnaní so zdravými jedincami, u pacientov so stredne závažným poškodením pečene bol zdanlivý plazmatický klírens duloxetínu o 79% nižší, zdanlivý terminálny polčas 2,3 krát dlhší a AUC 3,7 krát vyššie. Farmakokinetika duloxetínu a jeho metabolitov</w:t>
      </w:r>
      <w:r w:rsidR="00A8357C" w:rsidRPr="00756B9D">
        <w:rPr>
          <w:sz w:val="22"/>
          <w:szCs w:val="22"/>
          <w:lang w:val="sk"/>
        </w:rPr>
        <w:t xml:space="preserve"> </w:t>
      </w:r>
      <w:r w:rsidRPr="00756B9D">
        <w:rPr>
          <w:sz w:val="22"/>
          <w:szCs w:val="22"/>
          <w:lang w:val="sk"/>
        </w:rPr>
        <w:t xml:space="preserve">u pacientov s miernou alebo závažnou nedostatočnosťou pečene nebola sledovaná. </w:t>
      </w:r>
    </w:p>
    <w:p w14:paraId="480D0102" w14:textId="77777777" w:rsidR="00486E90" w:rsidRPr="00756B9D" w:rsidRDefault="00486E90">
      <w:pPr>
        <w:pStyle w:val="Default"/>
        <w:jc w:val="both"/>
        <w:rPr>
          <w:i/>
          <w:iCs/>
          <w:sz w:val="22"/>
          <w:szCs w:val="22"/>
        </w:rPr>
      </w:pPr>
    </w:p>
    <w:p w14:paraId="35EC7C39" w14:textId="771BDE82" w:rsidR="00486E90" w:rsidRPr="00756B9D" w:rsidRDefault="00486E90">
      <w:pPr>
        <w:pStyle w:val="Default"/>
        <w:jc w:val="both"/>
        <w:rPr>
          <w:sz w:val="22"/>
          <w:szCs w:val="22"/>
        </w:rPr>
      </w:pPr>
      <w:r w:rsidRPr="00756B9D">
        <w:rPr>
          <w:i/>
          <w:iCs/>
          <w:sz w:val="22"/>
          <w:szCs w:val="22"/>
          <w:lang w:val="sk"/>
        </w:rPr>
        <w:t xml:space="preserve">Dojčiace matky: </w:t>
      </w:r>
      <w:r w:rsidRPr="00756B9D">
        <w:rPr>
          <w:sz w:val="22"/>
          <w:szCs w:val="22"/>
          <w:lang w:val="sk"/>
        </w:rPr>
        <w:t>Dispozícia duloxetínu bola skúmaná u 6 dojčiacich žien, ktoré boli minimálne 12 týždňov po pôrode. Duloxetín je detekovateľný v materskom mlieku a rovnovážne koncentrácie</w:t>
      </w:r>
      <w:r w:rsidR="00A8357C" w:rsidRPr="00756B9D">
        <w:rPr>
          <w:sz w:val="22"/>
          <w:szCs w:val="22"/>
          <w:lang w:val="sk"/>
        </w:rPr>
        <w:t xml:space="preserve"> </w:t>
      </w:r>
      <w:r w:rsidRPr="00756B9D">
        <w:rPr>
          <w:sz w:val="22"/>
          <w:szCs w:val="22"/>
          <w:lang w:val="sk"/>
        </w:rPr>
        <w:t>v materskom mlieku tvoria asi jednu štvrtinu plazmatickej koncentrácie. Množstvo duloxetínu</w:t>
      </w:r>
      <w:r w:rsidR="00A8357C" w:rsidRPr="00756B9D">
        <w:rPr>
          <w:sz w:val="22"/>
          <w:szCs w:val="22"/>
          <w:lang w:val="sk"/>
        </w:rPr>
        <w:t xml:space="preserve"> </w:t>
      </w:r>
      <w:r w:rsidRPr="00756B9D">
        <w:rPr>
          <w:sz w:val="22"/>
          <w:szCs w:val="22"/>
          <w:lang w:val="sk"/>
        </w:rPr>
        <w:t xml:space="preserve">v materskom mlieku je približne 7 µg/deň pri dávkovaní 40 mg 2x denne. Laktácia neovplyvňovala farmakokinetiku duloxetínu. </w:t>
      </w:r>
    </w:p>
    <w:p w14:paraId="4C667005" w14:textId="77777777" w:rsidR="00486E90" w:rsidRPr="00756B9D" w:rsidRDefault="00486E90">
      <w:pPr>
        <w:pStyle w:val="Default"/>
        <w:jc w:val="both"/>
        <w:rPr>
          <w:i/>
          <w:iCs/>
          <w:sz w:val="22"/>
          <w:szCs w:val="22"/>
        </w:rPr>
      </w:pPr>
    </w:p>
    <w:p w14:paraId="10E45D71" w14:textId="03341F1C" w:rsidR="00486E90" w:rsidRPr="00756B9D" w:rsidRDefault="00486E90">
      <w:pPr>
        <w:pStyle w:val="Default"/>
        <w:jc w:val="both"/>
        <w:rPr>
          <w:sz w:val="22"/>
          <w:szCs w:val="22"/>
        </w:rPr>
      </w:pPr>
      <w:r w:rsidRPr="00756B9D">
        <w:rPr>
          <w:i/>
          <w:iCs/>
          <w:sz w:val="22"/>
          <w:szCs w:val="22"/>
          <w:lang w:val="sk"/>
        </w:rPr>
        <w:t xml:space="preserve">Pediatrická populácia: </w:t>
      </w:r>
      <w:r w:rsidRPr="00756B9D">
        <w:rPr>
          <w:sz w:val="22"/>
          <w:szCs w:val="22"/>
          <w:lang w:val="sk"/>
        </w:rPr>
        <w:t>Farmakokinetika duloxetínu u pediatrických pacientov vo veku 7 až 17 rokov s veľkou depresívnou poruchou po perorálnom podaní dávok 20 až 120 mg raz denne bola charakterizovaná pomocou analýz modelovania populácie založených na údajoch z 3 štúdií. Model naznačujúci ustálenú plazmatickú koncentráciu duloxetínu u pediatrických pacientov sa pohyboval</w:t>
      </w:r>
      <w:r w:rsidR="00A8357C" w:rsidRPr="00756B9D">
        <w:rPr>
          <w:sz w:val="22"/>
          <w:szCs w:val="22"/>
          <w:lang w:val="sk"/>
        </w:rPr>
        <w:t xml:space="preserve"> </w:t>
      </w:r>
      <w:r w:rsidRPr="00756B9D">
        <w:rPr>
          <w:sz w:val="22"/>
          <w:szCs w:val="22"/>
          <w:lang w:val="sk"/>
        </w:rPr>
        <w:t>v rozmedzí koncentrácie pozorovanom u dospelých pacientov.</w:t>
      </w:r>
    </w:p>
    <w:p w14:paraId="23E16190" w14:textId="77777777" w:rsidR="00486E90" w:rsidRPr="00756B9D" w:rsidRDefault="00486E90">
      <w:pPr>
        <w:pStyle w:val="Default"/>
        <w:jc w:val="both"/>
        <w:rPr>
          <w:sz w:val="22"/>
          <w:szCs w:val="22"/>
        </w:rPr>
      </w:pPr>
    </w:p>
    <w:p w14:paraId="18689CEB" w14:textId="29F318F1" w:rsidR="00486E90" w:rsidRPr="00756B9D" w:rsidRDefault="00486E90" w:rsidP="00756B9D">
      <w:pPr>
        <w:pStyle w:val="Default"/>
        <w:numPr>
          <w:ilvl w:val="1"/>
          <w:numId w:val="2"/>
        </w:numPr>
        <w:ind w:left="567" w:hanging="567"/>
        <w:jc w:val="both"/>
        <w:rPr>
          <w:sz w:val="22"/>
          <w:szCs w:val="22"/>
        </w:rPr>
      </w:pPr>
      <w:r w:rsidRPr="00756B9D">
        <w:rPr>
          <w:b/>
          <w:bCs/>
          <w:sz w:val="22"/>
          <w:szCs w:val="22"/>
          <w:lang w:val="sk"/>
        </w:rPr>
        <w:t xml:space="preserve">Predklinické údaje o bezpečnosti </w:t>
      </w:r>
    </w:p>
    <w:p w14:paraId="0058A16A" w14:textId="77777777" w:rsidR="00486E90" w:rsidRPr="00756B9D" w:rsidRDefault="00486E90">
      <w:pPr>
        <w:pStyle w:val="Default"/>
        <w:jc w:val="both"/>
        <w:rPr>
          <w:sz w:val="22"/>
          <w:szCs w:val="22"/>
        </w:rPr>
      </w:pPr>
    </w:p>
    <w:p w14:paraId="63352244" w14:textId="77777777" w:rsidR="0027543C" w:rsidRPr="00756B9D" w:rsidRDefault="00486E90">
      <w:pPr>
        <w:pStyle w:val="Default"/>
        <w:jc w:val="both"/>
        <w:rPr>
          <w:sz w:val="22"/>
          <w:szCs w:val="22"/>
        </w:rPr>
      </w:pPr>
      <w:r w:rsidRPr="00756B9D">
        <w:rPr>
          <w:sz w:val="22"/>
          <w:szCs w:val="22"/>
          <w:lang w:val="sk"/>
        </w:rPr>
        <w:t>V štandardnej sérii testov duloxetín nebol genotoxický a u potkanov nebol karcinogénny.</w:t>
      </w:r>
    </w:p>
    <w:p w14:paraId="087084D7" w14:textId="098ED1AA" w:rsidR="00486E90" w:rsidRPr="00756B9D" w:rsidRDefault="00486E90">
      <w:pPr>
        <w:pStyle w:val="Default"/>
        <w:jc w:val="both"/>
        <w:rPr>
          <w:sz w:val="22"/>
          <w:szCs w:val="22"/>
        </w:rPr>
      </w:pPr>
      <w:r w:rsidRPr="00756B9D">
        <w:rPr>
          <w:sz w:val="22"/>
          <w:szCs w:val="22"/>
          <w:lang w:val="sk"/>
        </w:rPr>
        <w:t>V štúdii karcinogenity na potkanoch boli v pečeni spozorované multijadrové bunky bez prítomnosti iných histopatologických zmien. Mechanizmus, ktorý to spôsobuje, ani klinická závažnosť, nie sú známe. U samičiek myší, ktoré dostávali duloxetín počas 2 rokov, bola iba pri vysokej dávke</w:t>
      </w:r>
      <w:r w:rsidR="0090550D" w:rsidRPr="00756B9D">
        <w:rPr>
          <w:sz w:val="22"/>
          <w:szCs w:val="22"/>
          <w:lang w:val="sk"/>
        </w:rPr>
        <w:t xml:space="preserve"> (144 mg/kg/deň)</w:t>
      </w:r>
      <w:r w:rsidRPr="00756B9D">
        <w:rPr>
          <w:sz w:val="22"/>
          <w:szCs w:val="22"/>
          <w:lang w:val="sk"/>
        </w:rPr>
        <w:t xml:space="preserve"> zvýšená incidencia hepatocelulárnych adenómov a karcinómov, tieto však boli považované za sekundárne následky indukcie mikrozomálnych hepatálnych enzýmov. Nie je známe, či sú tieto údaje získané pozorovaním myší, relevantné pre ľudí. Samičky potkanov, ktoré dostávali duloxetín (45 mg/kg/deň) pred a počas párenia a na počiatku gravidity, mali pokles príjmu materskej potravy a telesnej hmotnosti, poruchy estrálneho cyklu, pokles indexu živonarodeného a žijúceho potomstva a retardáciu rastu potomstva pri úrovniach systémovej expozície, ktoré podľa odhadu </w:t>
      </w:r>
      <w:r w:rsidRPr="00756B9D">
        <w:rPr>
          <w:sz w:val="22"/>
          <w:szCs w:val="22"/>
          <w:lang w:val="sk"/>
        </w:rPr>
        <w:lastRenderedPageBreak/>
        <w:t xml:space="preserve">dosahovali väčšinou úroveň maximálnej klinickej expozície (AUC). V štúdii embryotoxicity u králikov bola pri úrovniach systémovej expozície pod maximálnou klinickou expozíciou (AUC) pozorovaná vyššia incidencia kardiovaskulárnych a skeletálnych malformácií. V inej štúdii, ktorá skúmala vyššiu dávku inej soli duloxetínu, žiadne malformácie pozorované neboli. V rámci štúdií prenatálnej/postnatálnej toxicity na potkanoch duloxetín indukoval nežiaduce účinky v správaní mláďat pri expozíciách nižších ako je maximálna klinická expozícia (AUC). </w:t>
      </w:r>
    </w:p>
    <w:p w14:paraId="5FA4F0D0" w14:textId="77777777" w:rsidR="00486E90" w:rsidRPr="00756B9D" w:rsidRDefault="00486E90">
      <w:pPr>
        <w:pStyle w:val="Default"/>
        <w:jc w:val="both"/>
        <w:rPr>
          <w:sz w:val="22"/>
          <w:szCs w:val="22"/>
        </w:rPr>
      </w:pPr>
    </w:p>
    <w:p w14:paraId="55B74B0E" w14:textId="7938C027" w:rsidR="00486E90" w:rsidRPr="00756B9D" w:rsidRDefault="00486E90">
      <w:pPr>
        <w:pStyle w:val="Default"/>
        <w:jc w:val="both"/>
        <w:rPr>
          <w:sz w:val="22"/>
          <w:szCs w:val="22"/>
        </w:rPr>
      </w:pPr>
      <w:r w:rsidRPr="00756B9D">
        <w:rPr>
          <w:sz w:val="22"/>
          <w:szCs w:val="22"/>
          <w:lang w:val="sk"/>
        </w:rPr>
        <w:t>Štúdie s mláďatami potkanov ukázali prechodné účinky v neurobehaviorálnej oblasti, taktiež signifikantné zníženie telesnej hmotnosti a príjmu potravy, indukciu hepatálnych enzýmov</w:t>
      </w:r>
      <w:r w:rsidR="0090550D" w:rsidRPr="00756B9D">
        <w:rPr>
          <w:sz w:val="22"/>
          <w:szCs w:val="22"/>
          <w:lang w:val="sk"/>
        </w:rPr>
        <w:t xml:space="preserve"> </w:t>
      </w:r>
      <w:r w:rsidRPr="00756B9D">
        <w:rPr>
          <w:sz w:val="22"/>
          <w:szCs w:val="22"/>
          <w:lang w:val="sk"/>
        </w:rPr>
        <w:t>a hepatocelulárnu vakuolizáciu pri dávkach 45</w:t>
      </w:r>
      <w:r w:rsidR="0090550D" w:rsidRPr="00756B9D">
        <w:rPr>
          <w:sz w:val="22"/>
          <w:szCs w:val="22"/>
          <w:lang w:val="sk"/>
        </w:rPr>
        <w:t xml:space="preserve"> </w:t>
      </w:r>
      <w:r w:rsidRPr="00756B9D">
        <w:rPr>
          <w:sz w:val="22"/>
          <w:szCs w:val="22"/>
          <w:lang w:val="sk"/>
        </w:rPr>
        <w:t>mg/kg/deň. Všeobecný profil toxicity duloxetínu u mláďat potkanov bol podobný s tým u dospelých potkanov. Výška dávky, ktorá nevyvoláva nežiaduce účinky, bola stanovená na 20 mg/kg/deň.</w:t>
      </w:r>
    </w:p>
    <w:p w14:paraId="73C73CB6" w14:textId="77777777" w:rsidR="00030952" w:rsidRPr="00756B9D" w:rsidRDefault="00030952">
      <w:pPr>
        <w:pStyle w:val="Default"/>
        <w:jc w:val="both"/>
        <w:rPr>
          <w:sz w:val="22"/>
          <w:szCs w:val="22"/>
        </w:rPr>
      </w:pPr>
    </w:p>
    <w:p w14:paraId="3D711026" w14:textId="77777777" w:rsidR="00C051FD" w:rsidRPr="00756B9D" w:rsidRDefault="00C051FD">
      <w:pPr>
        <w:pStyle w:val="Default"/>
        <w:jc w:val="both"/>
        <w:rPr>
          <w:sz w:val="22"/>
          <w:szCs w:val="22"/>
        </w:rPr>
      </w:pPr>
    </w:p>
    <w:p w14:paraId="3585495D" w14:textId="6CBE89FD" w:rsidR="00030952" w:rsidRPr="00756B9D" w:rsidRDefault="009E5803" w:rsidP="00756B9D">
      <w:pPr>
        <w:pStyle w:val="Default"/>
        <w:numPr>
          <w:ilvl w:val="0"/>
          <w:numId w:val="2"/>
        </w:numPr>
        <w:ind w:left="567" w:hanging="567"/>
        <w:jc w:val="both"/>
        <w:rPr>
          <w:color w:val="auto"/>
          <w:sz w:val="22"/>
          <w:szCs w:val="22"/>
        </w:rPr>
      </w:pPr>
      <w:r>
        <w:rPr>
          <w:b/>
          <w:bCs/>
          <w:color w:val="auto"/>
          <w:sz w:val="22"/>
          <w:szCs w:val="22"/>
          <w:lang w:val="sk"/>
        </w:rPr>
        <w:t>FARMACEUTICKÉ INFORMÁCIE</w:t>
      </w:r>
    </w:p>
    <w:p w14:paraId="555C3A2B" w14:textId="0B128150" w:rsidR="00030952" w:rsidRPr="00756B9D" w:rsidRDefault="00030952">
      <w:pPr>
        <w:pStyle w:val="Default"/>
        <w:jc w:val="both"/>
        <w:rPr>
          <w:color w:val="auto"/>
          <w:sz w:val="22"/>
          <w:szCs w:val="22"/>
        </w:rPr>
      </w:pPr>
    </w:p>
    <w:p w14:paraId="4E30651A" w14:textId="0E8A7F02" w:rsidR="00030952" w:rsidRPr="00756B9D" w:rsidRDefault="00030952" w:rsidP="00756B9D">
      <w:pPr>
        <w:pStyle w:val="Default"/>
        <w:numPr>
          <w:ilvl w:val="1"/>
          <w:numId w:val="2"/>
        </w:numPr>
        <w:ind w:left="567" w:hanging="567"/>
        <w:jc w:val="both"/>
        <w:rPr>
          <w:color w:val="auto"/>
          <w:sz w:val="22"/>
          <w:szCs w:val="22"/>
        </w:rPr>
      </w:pPr>
      <w:r w:rsidRPr="00756B9D">
        <w:rPr>
          <w:b/>
          <w:bCs/>
          <w:color w:val="auto"/>
          <w:sz w:val="22"/>
          <w:szCs w:val="22"/>
          <w:lang w:val="sk"/>
        </w:rPr>
        <w:t xml:space="preserve">Zoznam pomocných látok </w:t>
      </w:r>
    </w:p>
    <w:p w14:paraId="31A37C59" w14:textId="5FF79AE0" w:rsidR="00030952" w:rsidRPr="00756B9D" w:rsidRDefault="00030952">
      <w:pPr>
        <w:pStyle w:val="Default"/>
        <w:jc w:val="both"/>
        <w:rPr>
          <w:color w:val="auto"/>
          <w:sz w:val="22"/>
          <w:szCs w:val="22"/>
        </w:rPr>
      </w:pPr>
    </w:p>
    <w:p w14:paraId="67E63D5E" w14:textId="77777777" w:rsidR="00030952" w:rsidRPr="00756B9D" w:rsidRDefault="00030952">
      <w:pPr>
        <w:pStyle w:val="Default"/>
        <w:jc w:val="both"/>
        <w:rPr>
          <w:color w:val="auto"/>
          <w:sz w:val="22"/>
          <w:szCs w:val="22"/>
        </w:rPr>
      </w:pPr>
      <w:r w:rsidRPr="00756B9D">
        <w:rPr>
          <w:b/>
          <w:bCs/>
          <w:color w:val="auto"/>
          <w:sz w:val="22"/>
          <w:szCs w:val="22"/>
          <w:lang w:val="sk"/>
        </w:rPr>
        <w:t xml:space="preserve">Obsah kapsuly: </w:t>
      </w:r>
    </w:p>
    <w:p w14:paraId="06CD3397" w14:textId="7639AB01" w:rsidR="00030952" w:rsidRPr="00756B9D" w:rsidRDefault="00756B9D">
      <w:pPr>
        <w:pStyle w:val="Default"/>
        <w:jc w:val="both"/>
        <w:rPr>
          <w:color w:val="auto"/>
          <w:sz w:val="22"/>
          <w:szCs w:val="22"/>
        </w:rPr>
      </w:pPr>
      <w:r>
        <w:rPr>
          <w:color w:val="auto"/>
          <w:sz w:val="22"/>
          <w:szCs w:val="22"/>
          <w:lang w:val="sk"/>
        </w:rPr>
        <w:t>Hypromelóza</w:t>
      </w:r>
    </w:p>
    <w:p w14:paraId="0940E5AD" w14:textId="77777777" w:rsidR="00030952" w:rsidRPr="00756B9D" w:rsidRDefault="00030952">
      <w:pPr>
        <w:pStyle w:val="Default"/>
        <w:jc w:val="both"/>
        <w:rPr>
          <w:color w:val="auto"/>
          <w:sz w:val="22"/>
          <w:szCs w:val="22"/>
        </w:rPr>
      </w:pPr>
      <w:r w:rsidRPr="00756B9D">
        <w:rPr>
          <w:color w:val="auto"/>
          <w:sz w:val="22"/>
          <w:szCs w:val="22"/>
          <w:lang w:val="sk"/>
        </w:rPr>
        <w:t>Cukrové guľôčky (sacharóza a kukuričný škrob)</w:t>
      </w:r>
    </w:p>
    <w:p w14:paraId="19B7CBB5" w14:textId="5E9AB76B" w:rsidR="00030952" w:rsidRPr="00756B9D" w:rsidRDefault="00756B9D">
      <w:pPr>
        <w:pStyle w:val="Default"/>
        <w:jc w:val="both"/>
        <w:rPr>
          <w:color w:val="auto"/>
          <w:sz w:val="22"/>
          <w:szCs w:val="22"/>
        </w:rPr>
      </w:pPr>
      <w:r>
        <w:rPr>
          <w:color w:val="auto"/>
          <w:sz w:val="22"/>
          <w:szCs w:val="22"/>
          <w:lang w:val="sk"/>
        </w:rPr>
        <w:t>Mastenec</w:t>
      </w:r>
    </w:p>
    <w:p w14:paraId="3B0E9886" w14:textId="77777777" w:rsidR="00030952" w:rsidRPr="00756B9D" w:rsidRDefault="00030952">
      <w:pPr>
        <w:pStyle w:val="Default"/>
        <w:jc w:val="both"/>
        <w:rPr>
          <w:color w:val="auto"/>
          <w:sz w:val="22"/>
          <w:szCs w:val="22"/>
        </w:rPr>
      </w:pPr>
      <w:r w:rsidRPr="00756B9D">
        <w:rPr>
          <w:color w:val="auto"/>
          <w:sz w:val="22"/>
          <w:szCs w:val="22"/>
          <w:lang w:val="sk"/>
        </w:rPr>
        <w:t>Sacharóza</w:t>
      </w:r>
    </w:p>
    <w:p w14:paraId="39FE283E" w14:textId="49846CBE" w:rsidR="00030952" w:rsidRPr="00756B9D" w:rsidRDefault="00030952">
      <w:pPr>
        <w:pStyle w:val="Default"/>
        <w:jc w:val="both"/>
        <w:rPr>
          <w:color w:val="auto"/>
          <w:sz w:val="22"/>
          <w:szCs w:val="22"/>
        </w:rPr>
      </w:pPr>
      <w:r w:rsidRPr="00756B9D">
        <w:rPr>
          <w:color w:val="auto"/>
          <w:sz w:val="22"/>
          <w:szCs w:val="22"/>
          <w:lang w:val="sk"/>
        </w:rPr>
        <w:t>Hypromelóza</w:t>
      </w:r>
      <w:r w:rsidR="00EE6FA5" w:rsidRPr="00756B9D">
        <w:rPr>
          <w:color w:val="auto"/>
          <w:sz w:val="22"/>
          <w:szCs w:val="22"/>
          <w:lang w:val="sk"/>
        </w:rPr>
        <w:t>,</w:t>
      </w:r>
      <w:r w:rsidR="00756B9D">
        <w:rPr>
          <w:color w:val="auto"/>
          <w:sz w:val="22"/>
          <w:szCs w:val="22"/>
          <w:lang w:val="sk"/>
        </w:rPr>
        <w:t xml:space="preserve"> ftalát</w:t>
      </w:r>
    </w:p>
    <w:p w14:paraId="665AAB03" w14:textId="2E05AF75" w:rsidR="00030952" w:rsidRPr="00756B9D" w:rsidRDefault="00756B9D">
      <w:pPr>
        <w:pStyle w:val="Default"/>
        <w:jc w:val="both"/>
        <w:rPr>
          <w:color w:val="auto"/>
          <w:sz w:val="22"/>
          <w:szCs w:val="22"/>
        </w:rPr>
      </w:pPr>
      <w:r>
        <w:rPr>
          <w:color w:val="auto"/>
          <w:sz w:val="22"/>
          <w:szCs w:val="22"/>
          <w:lang w:val="sk"/>
        </w:rPr>
        <w:t>Trietylcitrát</w:t>
      </w:r>
    </w:p>
    <w:p w14:paraId="3F5F7FC9" w14:textId="4390C6B0" w:rsidR="00030952" w:rsidRPr="00756B9D" w:rsidRDefault="00030952">
      <w:pPr>
        <w:pStyle w:val="Default"/>
        <w:jc w:val="both"/>
        <w:rPr>
          <w:color w:val="auto"/>
          <w:sz w:val="22"/>
          <w:szCs w:val="22"/>
        </w:rPr>
      </w:pPr>
    </w:p>
    <w:p w14:paraId="4DB618DC" w14:textId="77777777" w:rsidR="00030952" w:rsidRPr="00756B9D" w:rsidRDefault="00030952">
      <w:pPr>
        <w:pStyle w:val="Default"/>
        <w:jc w:val="both"/>
        <w:rPr>
          <w:color w:val="auto"/>
          <w:sz w:val="22"/>
          <w:szCs w:val="22"/>
        </w:rPr>
      </w:pPr>
      <w:r w:rsidRPr="00756B9D">
        <w:rPr>
          <w:b/>
          <w:bCs/>
          <w:color w:val="auto"/>
          <w:sz w:val="22"/>
          <w:szCs w:val="22"/>
          <w:lang w:val="sk"/>
        </w:rPr>
        <w:t xml:space="preserve">Obal kapsuly: </w:t>
      </w:r>
    </w:p>
    <w:p w14:paraId="5DE49DC4" w14:textId="77777777" w:rsidR="00030952" w:rsidRPr="00756B9D" w:rsidRDefault="00030952">
      <w:pPr>
        <w:pStyle w:val="Default"/>
        <w:jc w:val="both"/>
        <w:rPr>
          <w:color w:val="auto"/>
          <w:sz w:val="22"/>
          <w:szCs w:val="22"/>
        </w:rPr>
      </w:pPr>
      <w:r w:rsidRPr="00756B9D">
        <w:rPr>
          <w:color w:val="auto"/>
          <w:sz w:val="22"/>
          <w:szCs w:val="22"/>
          <w:lang w:val="sk"/>
        </w:rPr>
        <w:t xml:space="preserve">Želatína </w:t>
      </w:r>
    </w:p>
    <w:p w14:paraId="26854CFC" w14:textId="1C4C26B5" w:rsidR="00030952" w:rsidRPr="00756B9D" w:rsidRDefault="00756B9D">
      <w:pPr>
        <w:pStyle w:val="Default"/>
        <w:jc w:val="both"/>
        <w:rPr>
          <w:color w:val="auto"/>
          <w:sz w:val="22"/>
          <w:szCs w:val="22"/>
        </w:rPr>
      </w:pPr>
      <w:r>
        <w:rPr>
          <w:color w:val="auto"/>
          <w:sz w:val="22"/>
          <w:szCs w:val="22"/>
          <w:lang w:val="sk"/>
        </w:rPr>
        <w:t>Oxid titaničitý (E 171)</w:t>
      </w:r>
    </w:p>
    <w:p w14:paraId="62E71EC9" w14:textId="27C23E55" w:rsidR="00030952" w:rsidRPr="00756B9D" w:rsidRDefault="00030952">
      <w:pPr>
        <w:pStyle w:val="Default"/>
        <w:jc w:val="both"/>
        <w:rPr>
          <w:color w:val="auto"/>
          <w:sz w:val="22"/>
          <w:szCs w:val="22"/>
        </w:rPr>
      </w:pPr>
      <w:r w:rsidRPr="00756B9D">
        <w:rPr>
          <w:color w:val="auto"/>
          <w:sz w:val="22"/>
          <w:szCs w:val="22"/>
          <w:lang w:val="sk"/>
        </w:rPr>
        <w:t xml:space="preserve">Žltý oxid železitý (E 172) </w:t>
      </w:r>
      <w:r w:rsidR="003D47FC" w:rsidRPr="00756B9D">
        <w:rPr>
          <w:color w:val="auto"/>
          <w:sz w:val="22"/>
          <w:szCs w:val="22"/>
          <w:lang w:val="sk"/>
        </w:rPr>
        <w:t>(len pre silu</w:t>
      </w:r>
      <w:r w:rsidR="003B5781" w:rsidRPr="00756B9D">
        <w:rPr>
          <w:color w:val="auto"/>
          <w:sz w:val="22"/>
          <w:szCs w:val="22"/>
          <w:lang w:val="sk"/>
        </w:rPr>
        <w:t xml:space="preserve"> </w:t>
      </w:r>
      <w:r w:rsidRPr="00756B9D">
        <w:rPr>
          <w:color w:val="auto"/>
          <w:sz w:val="22"/>
          <w:szCs w:val="22"/>
          <w:lang w:val="sk"/>
        </w:rPr>
        <w:t>60 mg</w:t>
      </w:r>
      <w:r w:rsidR="003D47FC" w:rsidRPr="00756B9D">
        <w:rPr>
          <w:color w:val="auto"/>
          <w:sz w:val="22"/>
          <w:szCs w:val="22"/>
          <w:lang w:val="sk"/>
        </w:rPr>
        <w:t>)</w:t>
      </w:r>
    </w:p>
    <w:p w14:paraId="5794EA8C" w14:textId="594E3132" w:rsidR="00030952" w:rsidRPr="00756B9D" w:rsidRDefault="00756B9D">
      <w:pPr>
        <w:pStyle w:val="Default"/>
        <w:jc w:val="both"/>
        <w:rPr>
          <w:color w:val="auto"/>
          <w:sz w:val="22"/>
          <w:szCs w:val="22"/>
        </w:rPr>
      </w:pPr>
      <w:r>
        <w:rPr>
          <w:color w:val="auto"/>
          <w:sz w:val="22"/>
          <w:szCs w:val="22"/>
          <w:lang w:val="sk"/>
        </w:rPr>
        <w:t>Indigotín</w:t>
      </w:r>
    </w:p>
    <w:p w14:paraId="06F6DB6C" w14:textId="77777777" w:rsidR="00030952" w:rsidRPr="00756B9D" w:rsidRDefault="00030952">
      <w:pPr>
        <w:pStyle w:val="Default"/>
        <w:jc w:val="both"/>
        <w:rPr>
          <w:color w:val="auto"/>
          <w:sz w:val="22"/>
          <w:szCs w:val="22"/>
        </w:rPr>
      </w:pPr>
    </w:p>
    <w:p w14:paraId="474C7A8D" w14:textId="72371FE7" w:rsidR="00030952" w:rsidRPr="00756B9D" w:rsidRDefault="00030952" w:rsidP="00756B9D">
      <w:pPr>
        <w:pStyle w:val="Default"/>
        <w:numPr>
          <w:ilvl w:val="1"/>
          <w:numId w:val="2"/>
        </w:numPr>
        <w:ind w:left="567" w:hanging="567"/>
        <w:jc w:val="both"/>
        <w:rPr>
          <w:color w:val="auto"/>
          <w:sz w:val="22"/>
          <w:szCs w:val="22"/>
        </w:rPr>
      </w:pPr>
      <w:r w:rsidRPr="00756B9D">
        <w:rPr>
          <w:b/>
          <w:bCs/>
          <w:color w:val="auto"/>
          <w:sz w:val="22"/>
          <w:szCs w:val="22"/>
          <w:lang w:val="sk"/>
        </w:rPr>
        <w:t xml:space="preserve">Inkompatibility </w:t>
      </w:r>
    </w:p>
    <w:p w14:paraId="5C065587" w14:textId="6B9D30C3" w:rsidR="00030952" w:rsidRPr="00756B9D" w:rsidRDefault="00030952">
      <w:pPr>
        <w:pStyle w:val="Default"/>
        <w:jc w:val="both"/>
        <w:rPr>
          <w:color w:val="auto"/>
          <w:sz w:val="22"/>
          <w:szCs w:val="22"/>
        </w:rPr>
      </w:pPr>
    </w:p>
    <w:p w14:paraId="7A0C01DE" w14:textId="2BB4463C" w:rsidR="00030952" w:rsidRPr="00756B9D" w:rsidRDefault="00756B9D">
      <w:pPr>
        <w:pStyle w:val="Default"/>
        <w:jc w:val="both"/>
        <w:rPr>
          <w:color w:val="auto"/>
          <w:sz w:val="22"/>
          <w:szCs w:val="22"/>
        </w:rPr>
      </w:pPr>
      <w:r>
        <w:rPr>
          <w:color w:val="auto"/>
          <w:sz w:val="22"/>
          <w:szCs w:val="22"/>
          <w:lang w:val="sk"/>
        </w:rPr>
        <w:t>Neaplikovateľné.</w:t>
      </w:r>
    </w:p>
    <w:p w14:paraId="39B09C15" w14:textId="08649364" w:rsidR="00030952" w:rsidRPr="00756B9D" w:rsidRDefault="00030952">
      <w:pPr>
        <w:pStyle w:val="Default"/>
        <w:jc w:val="both"/>
        <w:rPr>
          <w:color w:val="auto"/>
          <w:sz w:val="22"/>
          <w:szCs w:val="22"/>
        </w:rPr>
      </w:pPr>
    </w:p>
    <w:p w14:paraId="4760A3FA" w14:textId="52C4298D" w:rsidR="00030952" w:rsidRPr="00756B9D" w:rsidRDefault="00030952" w:rsidP="00756B9D">
      <w:pPr>
        <w:pStyle w:val="Default"/>
        <w:numPr>
          <w:ilvl w:val="1"/>
          <w:numId w:val="2"/>
        </w:numPr>
        <w:ind w:left="567" w:hanging="567"/>
        <w:jc w:val="both"/>
        <w:rPr>
          <w:color w:val="auto"/>
          <w:sz w:val="22"/>
          <w:szCs w:val="22"/>
        </w:rPr>
      </w:pPr>
      <w:r w:rsidRPr="00756B9D">
        <w:rPr>
          <w:b/>
          <w:bCs/>
          <w:color w:val="auto"/>
          <w:sz w:val="22"/>
          <w:szCs w:val="22"/>
          <w:lang w:val="sk"/>
        </w:rPr>
        <w:t>Čas použiteľ</w:t>
      </w:r>
      <w:r w:rsidR="00756B9D">
        <w:rPr>
          <w:b/>
          <w:bCs/>
          <w:color w:val="auto"/>
          <w:sz w:val="22"/>
          <w:szCs w:val="22"/>
          <w:lang w:val="sk"/>
        </w:rPr>
        <w:t>nosti</w:t>
      </w:r>
    </w:p>
    <w:p w14:paraId="617F7932" w14:textId="15772232" w:rsidR="00030952" w:rsidRPr="00756B9D" w:rsidRDefault="00030952">
      <w:pPr>
        <w:pStyle w:val="Default"/>
        <w:jc w:val="both"/>
        <w:rPr>
          <w:color w:val="auto"/>
          <w:sz w:val="22"/>
          <w:szCs w:val="22"/>
        </w:rPr>
      </w:pPr>
    </w:p>
    <w:p w14:paraId="72596906" w14:textId="65C7EF52" w:rsidR="00030952" w:rsidRPr="00756B9D" w:rsidRDefault="00756B9D">
      <w:pPr>
        <w:pStyle w:val="Default"/>
        <w:jc w:val="both"/>
        <w:rPr>
          <w:color w:val="auto"/>
          <w:sz w:val="22"/>
          <w:szCs w:val="22"/>
        </w:rPr>
      </w:pPr>
      <w:r>
        <w:rPr>
          <w:color w:val="auto"/>
          <w:sz w:val="22"/>
          <w:szCs w:val="22"/>
          <w:lang w:val="sk"/>
        </w:rPr>
        <w:t>36 mesiacov</w:t>
      </w:r>
    </w:p>
    <w:p w14:paraId="6B1F00AA" w14:textId="16679ADA" w:rsidR="00030952" w:rsidRPr="00756B9D" w:rsidRDefault="00030952">
      <w:pPr>
        <w:pStyle w:val="Default"/>
        <w:jc w:val="both"/>
        <w:rPr>
          <w:color w:val="auto"/>
          <w:sz w:val="22"/>
          <w:szCs w:val="22"/>
        </w:rPr>
      </w:pPr>
    </w:p>
    <w:p w14:paraId="1F6972C5" w14:textId="08364A03" w:rsidR="00030952" w:rsidRPr="00756B9D" w:rsidRDefault="00030952" w:rsidP="00756B9D">
      <w:pPr>
        <w:pStyle w:val="Default"/>
        <w:numPr>
          <w:ilvl w:val="1"/>
          <w:numId w:val="2"/>
        </w:numPr>
        <w:ind w:left="567" w:hanging="567"/>
        <w:jc w:val="both"/>
        <w:rPr>
          <w:color w:val="auto"/>
          <w:sz w:val="22"/>
          <w:szCs w:val="22"/>
        </w:rPr>
      </w:pPr>
      <w:r w:rsidRPr="00756B9D">
        <w:rPr>
          <w:b/>
          <w:bCs/>
          <w:color w:val="auto"/>
          <w:sz w:val="22"/>
          <w:szCs w:val="22"/>
          <w:lang w:val="sk"/>
        </w:rPr>
        <w:t>Špeci</w:t>
      </w:r>
      <w:r w:rsidR="00756B9D">
        <w:rPr>
          <w:b/>
          <w:bCs/>
          <w:color w:val="auto"/>
          <w:sz w:val="22"/>
          <w:szCs w:val="22"/>
          <w:lang w:val="sk"/>
        </w:rPr>
        <w:t>álne upozornenia na uchovávanie</w:t>
      </w:r>
    </w:p>
    <w:p w14:paraId="2B64B088" w14:textId="1FAC6A00" w:rsidR="00030952" w:rsidRPr="00756B9D" w:rsidRDefault="00030952">
      <w:pPr>
        <w:pStyle w:val="Default"/>
        <w:jc w:val="both"/>
        <w:rPr>
          <w:color w:val="auto"/>
          <w:sz w:val="22"/>
          <w:szCs w:val="22"/>
        </w:rPr>
      </w:pPr>
    </w:p>
    <w:p w14:paraId="50D51763" w14:textId="33528829" w:rsidR="00030952" w:rsidRPr="00756B9D" w:rsidRDefault="00030952">
      <w:pPr>
        <w:pStyle w:val="Default"/>
        <w:jc w:val="both"/>
        <w:rPr>
          <w:color w:val="auto"/>
          <w:sz w:val="22"/>
          <w:szCs w:val="22"/>
        </w:rPr>
      </w:pPr>
      <w:r w:rsidRPr="00756B9D">
        <w:rPr>
          <w:color w:val="auto"/>
          <w:sz w:val="22"/>
          <w:szCs w:val="22"/>
          <w:lang w:val="sk"/>
        </w:rPr>
        <w:t>Uchovávajte v pôvodnom obale. Uchovávajte pr</w:t>
      </w:r>
      <w:r w:rsidR="00FB0547">
        <w:rPr>
          <w:color w:val="auto"/>
          <w:sz w:val="22"/>
          <w:szCs w:val="22"/>
          <w:lang w:val="sk"/>
        </w:rPr>
        <w:t>i teplote neprevyšujúcej 30 </w:t>
      </w:r>
      <w:r w:rsidR="00756B9D">
        <w:rPr>
          <w:color w:val="auto"/>
          <w:sz w:val="22"/>
          <w:szCs w:val="22"/>
          <w:lang w:val="sk"/>
        </w:rPr>
        <w:t>°C.</w:t>
      </w:r>
    </w:p>
    <w:p w14:paraId="19EF23D5" w14:textId="346B3C72" w:rsidR="00030952" w:rsidRPr="00756B9D" w:rsidRDefault="00030952">
      <w:pPr>
        <w:pStyle w:val="Default"/>
        <w:jc w:val="both"/>
        <w:rPr>
          <w:color w:val="auto"/>
          <w:sz w:val="22"/>
          <w:szCs w:val="22"/>
        </w:rPr>
      </w:pPr>
    </w:p>
    <w:p w14:paraId="063E6751" w14:textId="07858270" w:rsidR="00030952" w:rsidRPr="00756B9D" w:rsidRDefault="00030952" w:rsidP="00FB0547">
      <w:pPr>
        <w:pStyle w:val="Default"/>
        <w:keepNext/>
        <w:numPr>
          <w:ilvl w:val="1"/>
          <w:numId w:val="2"/>
        </w:numPr>
        <w:ind w:left="567" w:hanging="567"/>
        <w:jc w:val="both"/>
        <w:rPr>
          <w:color w:val="auto"/>
          <w:sz w:val="22"/>
          <w:szCs w:val="22"/>
        </w:rPr>
      </w:pPr>
      <w:r w:rsidRPr="00756B9D">
        <w:rPr>
          <w:b/>
          <w:bCs/>
          <w:color w:val="auto"/>
          <w:sz w:val="22"/>
          <w:szCs w:val="22"/>
          <w:lang w:val="sk"/>
        </w:rPr>
        <w:t xml:space="preserve">Druh obalu a obsah balenia </w:t>
      </w:r>
    </w:p>
    <w:p w14:paraId="230E4619" w14:textId="10FAAEF8" w:rsidR="00030952" w:rsidRPr="00756B9D" w:rsidRDefault="00030952" w:rsidP="00FB0547">
      <w:pPr>
        <w:pStyle w:val="Default"/>
        <w:keepNext/>
        <w:jc w:val="both"/>
        <w:rPr>
          <w:color w:val="auto"/>
          <w:sz w:val="22"/>
          <w:szCs w:val="22"/>
        </w:rPr>
      </w:pPr>
    </w:p>
    <w:p w14:paraId="75A40558" w14:textId="38C37A9E" w:rsidR="00030952" w:rsidRPr="00756B9D" w:rsidRDefault="00030952" w:rsidP="00FB0547">
      <w:pPr>
        <w:keepNext/>
        <w:spacing w:after="0" w:line="240" w:lineRule="auto"/>
        <w:jc w:val="both"/>
        <w:rPr>
          <w:rFonts w:ascii="Times New Roman" w:hAnsi="Times New Roman"/>
        </w:rPr>
      </w:pPr>
      <w:r w:rsidRPr="00756B9D">
        <w:rPr>
          <w:rFonts w:ascii="Times New Roman" w:hAnsi="Times New Roman"/>
          <w:lang w:val="sk"/>
        </w:rPr>
        <w:t>Blistre z polyamidu/hlin</w:t>
      </w:r>
      <w:r w:rsidR="00756B9D">
        <w:rPr>
          <w:rFonts w:ascii="Times New Roman" w:hAnsi="Times New Roman"/>
          <w:lang w:val="sk"/>
        </w:rPr>
        <w:t>íka/polyvinylchloridu</w:t>
      </w:r>
      <w:r w:rsidR="00756B9D">
        <w:rPr>
          <w:rFonts w:ascii="Times New Roman" w:hAnsi="Times New Roman"/>
          <w:lang w:val="sk"/>
        </w:rPr>
        <w:noBreakHyphen/>
        <w:t>hliníka</w:t>
      </w:r>
    </w:p>
    <w:p w14:paraId="306E0020" w14:textId="77777777" w:rsidR="00030952" w:rsidRPr="00756B9D" w:rsidRDefault="00030952">
      <w:pPr>
        <w:spacing w:after="0" w:line="240" w:lineRule="auto"/>
        <w:jc w:val="both"/>
        <w:rPr>
          <w:rFonts w:ascii="Times New Roman" w:hAnsi="Times New Roman"/>
        </w:rPr>
      </w:pPr>
    </w:p>
    <w:p w14:paraId="0707888C" w14:textId="327DB293" w:rsidR="00030952" w:rsidRPr="00756B9D" w:rsidRDefault="001A3B94">
      <w:pPr>
        <w:spacing w:after="0" w:line="240" w:lineRule="auto"/>
        <w:jc w:val="both"/>
        <w:rPr>
          <w:rFonts w:ascii="Times New Roman" w:hAnsi="Times New Roman"/>
        </w:rPr>
      </w:pPr>
      <w:r>
        <w:rPr>
          <w:rFonts w:ascii="Times New Roman" w:hAnsi="Times New Roman"/>
          <w:lang w:val="sk"/>
        </w:rPr>
        <w:t>Dulxetenon</w:t>
      </w:r>
      <w:r w:rsidR="00AF0C32" w:rsidRPr="00756B9D">
        <w:rPr>
          <w:rFonts w:ascii="Times New Roman" w:hAnsi="Times New Roman"/>
          <w:lang w:val="sk"/>
        </w:rPr>
        <w:t xml:space="preserve"> </w:t>
      </w:r>
      <w:r w:rsidR="00CC0069" w:rsidRPr="00756B9D">
        <w:rPr>
          <w:rFonts w:ascii="Times New Roman" w:hAnsi="Times New Roman"/>
          <w:lang w:val="sk"/>
        </w:rPr>
        <w:t>30 mg je dostupný v balení po 7 a 28 kapsúl.</w:t>
      </w:r>
    </w:p>
    <w:p w14:paraId="470E09D2" w14:textId="1B387DAF" w:rsidR="00030952" w:rsidRPr="00756B9D" w:rsidRDefault="001A3B94">
      <w:pPr>
        <w:spacing w:after="0" w:line="240" w:lineRule="auto"/>
        <w:jc w:val="both"/>
        <w:rPr>
          <w:rFonts w:ascii="Times New Roman" w:hAnsi="Times New Roman"/>
        </w:rPr>
      </w:pPr>
      <w:r>
        <w:rPr>
          <w:rFonts w:ascii="Times New Roman" w:hAnsi="Times New Roman"/>
          <w:lang w:val="sk"/>
        </w:rPr>
        <w:t>Dulxetenon</w:t>
      </w:r>
      <w:r w:rsidR="00AF0C32" w:rsidRPr="00756B9D">
        <w:rPr>
          <w:rFonts w:ascii="Times New Roman" w:hAnsi="Times New Roman"/>
          <w:lang w:val="sk"/>
        </w:rPr>
        <w:t xml:space="preserve"> </w:t>
      </w:r>
      <w:r w:rsidR="00CC0069" w:rsidRPr="00756B9D">
        <w:rPr>
          <w:rFonts w:ascii="Times New Roman" w:hAnsi="Times New Roman"/>
          <w:lang w:val="sk"/>
        </w:rPr>
        <w:t xml:space="preserve">60 mg je </w:t>
      </w:r>
      <w:r w:rsidR="009E5803">
        <w:rPr>
          <w:rFonts w:ascii="Times New Roman" w:hAnsi="Times New Roman"/>
          <w:lang w:val="sk"/>
        </w:rPr>
        <w:t>dostupný v balení po 28 kapsúl.</w:t>
      </w:r>
    </w:p>
    <w:p w14:paraId="009BA884" w14:textId="77777777" w:rsidR="00030952" w:rsidRPr="00756B9D" w:rsidRDefault="00030952">
      <w:pPr>
        <w:spacing w:after="0" w:line="240" w:lineRule="auto"/>
        <w:jc w:val="both"/>
        <w:rPr>
          <w:rFonts w:ascii="Times New Roman" w:hAnsi="Times New Roman"/>
        </w:rPr>
      </w:pPr>
    </w:p>
    <w:p w14:paraId="6E9C80A7" w14:textId="4CEBDF95" w:rsidR="00030952" w:rsidRPr="00756B9D" w:rsidRDefault="00030952">
      <w:pPr>
        <w:pStyle w:val="Default"/>
        <w:jc w:val="both"/>
        <w:rPr>
          <w:color w:val="auto"/>
          <w:sz w:val="22"/>
          <w:szCs w:val="22"/>
        </w:rPr>
      </w:pPr>
      <w:r w:rsidRPr="00756B9D">
        <w:rPr>
          <w:color w:val="auto"/>
          <w:sz w:val="22"/>
          <w:szCs w:val="22"/>
          <w:lang w:val="sk"/>
        </w:rPr>
        <w:t>Na trh nemusia byť u</w:t>
      </w:r>
      <w:r w:rsidR="00756B9D">
        <w:rPr>
          <w:color w:val="auto"/>
          <w:sz w:val="22"/>
          <w:szCs w:val="22"/>
          <w:lang w:val="sk"/>
        </w:rPr>
        <w:t>vedené všetky veľkosti balenia.</w:t>
      </w:r>
    </w:p>
    <w:p w14:paraId="0500896C" w14:textId="27E9C7B3" w:rsidR="00030952" w:rsidRPr="00756B9D" w:rsidRDefault="00030952">
      <w:pPr>
        <w:pStyle w:val="Default"/>
        <w:jc w:val="both"/>
        <w:rPr>
          <w:color w:val="auto"/>
          <w:sz w:val="22"/>
          <w:szCs w:val="22"/>
        </w:rPr>
      </w:pPr>
    </w:p>
    <w:p w14:paraId="00A4B1E8" w14:textId="14EB9B57" w:rsidR="00030952" w:rsidRPr="00756B9D" w:rsidRDefault="00030952" w:rsidP="00756B9D">
      <w:pPr>
        <w:pStyle w:val="Default"/>
        <w:numPr>
          <w:ilvl w:val="1"/>
          <w:numId w:val="2"/>
        </w:numPr>
        <w:ind w:left="567" w:hanging="567"/>
        <w:jc w:val="both"/>
        <w:rPr>
          <w:color w:val="auto"/>
          <w:sz w:val="22"/>
          <w:szCs w:val="22"/>
        </w:rPr>
      </w:pPr>
      <w:r w:rsidRPr="00756B9D">
        <w:rPr>
          <w:b/>
          <w:bCs/>
          <w:color w:val="auto"/>
          <w:sz w:val="22"/>
          <w:szCs w:val="22"/>
          <w:lang w:val="sk"/>
        </w:rPr>
        <w:t>Špe</w:t>
      </w:r>
      <w:r w:rsidR="00756B9D">
        <w:rPr>
          <w:b/>
          <w:bCs/>
          <w:color w:val="auto"/>
          <w:sz w:val="22"/>
          <w:szCs w:val="22"/>
          <w:lang w:val="sk"/>
        </w:rPr>
        <w:t>ciálne opatrenia na likvidáciu</w:t>
      </w:r>
    </w:p>
    <w:p w14:paraId="4949B133" w14:textId="1C53B9D8" w:rsidR="00030952" w:rsidRPr="00756B9D" w:rsidRDefault="00030952">
      <w:pPr>
        <w:pStyle w:val="Default"/>
        <w:jc w:val="both"/>
        <w:rPr>
          <w:color w:val="auto"/>
          <w:sz w:val="22"/>
          <w:szCs w:val="22"/>
        </w:rPr>
      </w:pPr>
    </w:p>
    <w:p w14:paraId="2B1FD9E8" w14:textId="4B5EA239" w:rsidR="00030952" w:rsidRPr="00756B9D" w:rsidRDefault="00756B9D">
      <w:pPr>
        <w:pStyle w:val="Default"/>
        <w:jc w:val="both"/>
        <w:rPr>
          <w:color w:val="auto"/>
          <w:sz w:val="22"/>
          <w:szCs w:val="22"/>
        </w:rPr>
      </w:pPr>
      <w:r>
        <w:rPr>
          <w:color w:val="auto"/>
          <w:sz w:val="22"/>
          <w:szCs w:val="22"/>
          <w:lang w:val="sk"/>
        </w:rPr>
        <w:t>Žiadne zvláštne požiadavky.</w:t>
      </w:r>
    </w:p>
    <w:p w14:paraId="7FF75931" w14:textId="530D4AB1" w:rsidR="00030952" w:rsidRPr="00756B9D" w:rsidRDefault="00030952">
      <w:pPr>
        <w:pStyle w:val="Default"/>
        <w:jc w:val="both"/>
        <w:rPr>
          <w:color w:val="auto"/>
          <w:sz w:val="22"/>
          <w:szCs w:val="22"/>
        </w:rPr>
      </w:pPr>
    </w:p>
    <w:p w14:paraId="4F25AAAE" w14:textId="77777777" w:rsidR="001411E6" w:rsidRPr="00756B9D" w:rsidRDefault="001411E6">
      <w:pPr>
        <w:pStyle w:val="Default"/>
        <w:jc w:val="both"/>
        <w:rPr>
          <w:color w:val="auto"/>
          <w:sz w:val="22"/>
          <w:szCs w:val="22"/>
        </w:rPr>
      </w:pPr>
    </w:p>
    <w:p w14:paraId="7311B50B" w14:textId="05859B01" w:rsidR="00030952" w:rsidRPr="00756B9D" w:rsidRDefault="00030952" w:rsidP="00756B9D">
      <w:pPr>
        <w:pStyle w:val="Default"/>
        <w:numPr>
          <w:ilvl w:val="0"/>
          <w:numId w:val="2"/>
        </w:numPr>
        <w:ind w:left="567" w:hanging="567"/>
        <w:jc w:val="both"/>
        <w:rPr>
          <w:color w:val="auto"/>
          <w:sz w:val="22"/>
          <w:szCs w:val="22"/>
        </w:rPr>
      </w:pPr>
      <w:r w:rsidRPr="00756B9D">
        <w:rPr>
          <w:b/>
          <w:bCs/>
          <w:color w:val="auto"/>
          <w:sz w:val="22"/>
          <w:szCs w:val="22"/>
          <w:lang w:val="sk"/>
        </w:rPr>
        <w:t>DRŽITEĽ ROZHODNUTIA O</w:t>
      </w:r>
      <w:r w:rsidR="00756B9D">
        <w:rPr>
          <w:b/>
          <w:bCs/>
          <w:color w:val="auto"/>
          <w:sz w:val="22"/>
          <w:szCs w:val="22"/>
          <w:lang w:val="sk"/>
        </w:rPr>
        <w:t xml:space="preserve"> REGISTRÁCII</w:t>
      </w:r>
    </w:p>
    <w:p w14:paraId="095B4D0D" w14:textId="3FF73D1F" w:rsidR="00030952" w:rsidRPr="00756B9D" w:rsidRDefault="00030952">
      <w:pPr>
        <w:pStyle w:val="Default"/>
        <w:jc w:val="both"/>
        <w:rPr>
          <w:bCs/>
          <w:color w:val="auto"/>
          <w:sz w:val="22"/>
          <w:szCs w:val="22"/>
          <w:lang w:val="sk"/>
        </w:rPr>
      </w:pPr>
    </w:p>
    <w:p w14:paraId="1C7AD570" w14:textId="77777777" w:rsidR="00756B9D" w:rsidRPr="00756B9D" w:rsidRDefault="00756B9D" w:rsidP="00756B9D">
      <w:pPr>
        <w:pStyle w:val="Default"/>
        <w:jc w:val="both"/>
        <w:rPr>
          <w:bCs/>
          <w:color w:val="auto"/>
          <w:sz w:val="22"/>
          <w:szCs w:val="22"/>
          <w:lang w:val="pt"/>
        </w:rPr>
      </w:pPr>
      <w:r w:rsidRPr="00756B9D">
        <w:rPr>
          <w:bCs/>
          <w:color w:val="auto"/>
          <w:sz w:val="22"/>
          <w:szCs w:val="22"/>
          <w:lang w:val="pt"/>
        </w:rPr>
        <w:t>Neuraxpharm Bohemia s.r.o.</w:t>
      </w:r>
    </w:p>
    <w:p w14:paraId="2F5AFB23" w14:textId="77777777" w:rsidR="00756B9D" w:rsidRPr="00756B9D" w:rsidRDefault="00756B9D" w:rsidP="00756B9D">
      <w:pPr>
        <w:pStyle w:val="Default"/>
        <w:jc w:val="both"/>
        <w:rPr>
          <w:bCs/>
          <w:color w:val="auto"/>
          <w:sz w:val="22"/>
          <w:szCs w:val="22"/>
          <w:lang w:val="pt"/>
        </w:rPr>
      </w:pPr>
      <w:r w:rsidRPr="00756B9D">
        <w:rPr>
          <w:bCs/>
          <w:color w:val="auto"/>
          <w:sz w:val="22"/>
          <w:szCs w:val="22"/>
          <w:lang w:val="pt"/>
        </w:rPr>
        <w:t>náměstí Republiky 1078/1</w:t>
      </w:r>
    </w:p>
    <w:p w14:paraId="50613233" w14:textId="4584C2F0" w:rsidR="00756B9D" w:rsidRPr="00756B9D" w:rsidRDefault="008F0B29" w:rsidP="00756B9D">
      <w:pPr>
        <w:pStyle w:val="Default"/>
        <w:jc w:val="both"/>
        <w:rPr>
          <w:bCs/>
          <w:color w:val="auto"/>
          <w:sz w:val="22"/>
          <w:szCs w:val="22"/>
          <w:lang w:val="pt"/>
        </w:rPr>
      </w:pPr>
      <w:r>
        <w:rPr>
          <w:bCs/>
          <w:color w:val="auto"/>
          <w:sz w:val="22"/>
          <w:szCs w:val="22"/>
          <w:lang w:val="pt"/>
        </w:rPr>
        <w:t>110 00 Praha 1</w:t>
      </w:r>
      <w:r>
        <w:rPr>
          <w:bCs/>
          <w:color w:val="auto"/>
          <w:sz w:val="22"/>
          <w:szCs w:val="22"/>
          <w:lang w:val="pt"/>
        </w:rPr>
        <w:noBreakHyphen/>
      </w:r>
      <w:r w:rsidR="00756B9D" w:rsidRPr="00756B9D">
        <w:rPr>
          <w:bCs/>
          <w:color w:val="auto"/>
          <w:sz w:val="22"/>
          <w:szCs w:val="22"/>
          <w:lang w:val="pt"/>
        </w:rPr>
        <w:t>Nové Město</w:t>
      </w:r>
    </w:p>
    <w:p w14:paraId="3BCFA91E" w14:textId="77777777" w:rsidR="00756B9D" w:rsidRPr="00756B9D" w:rsidRDefault="00756B9D" w:rsidP="00756B9D">
      <w:pPr>
        <w:pStyle w:val="Default"/>
        <w:jc w:val="both"/>
        <w:rPr>
          <w:color w:val="auto"/>
          <w:sz w:val="22"/>
          <w:szCs w:val="22"/>
        </w:rPr>
      </w:pPr>
      <w:r w:rsidRPr="00756B9D">
        <w:rPr>
          <w:bCs/>
          <w:color w:val="auto"/>
          <w:sz w:val="22"/>
          <w:szCs w:val="22"/>
          <w:lang w:val="pt"/>
        </w:rPr>
        <w:t>Česká republika</w:t>
      </w:r>
    </w:p>
    <w:p w14:paraId="18466B9D" w14:textId="77777777" w:rsidR="00AF0C32" w:rsidRPr="00756B9D" w:rsidRDefault="00AF0C32" w:rsidP="00756B9D">
      <w:pPr>
        <w:tabs>
          <w:tab w:val="left" w:pos="4650"/>
        </w:tabs>
        <w:autoSpaceDE w:val="0"/>
        <w:autoSpaceDN w:val="0"/>
        <w:adjustRightInd w:val="0"/>
        <w:spacing w:after="0" w:line="240" w:lineRule="auto"/>
        <w:rPr>
          <w:rFonts w:ascii="Times New Roman" w:hAnsi="Times New Roman"/>
        </w:rPr>
      </w:pPr>
    </w:p>
    <w:p w14:paraId="2C329772" w14:textId="77777777" w:rsidR="00831137" w:rsidRPr="00756B9D" w:rsidRDefault="00831137" w:rsidP="00831137">
      <w:pPr>
        <w:pStyle w:val="Default"/>
        <w:jc w:val="both"/>
        <w:rPr>
          <w:color w:val="auto"/>
          <w:sz w:val="22"/>
          <w:szCs w:val="22"/>
        </w:rPr>
      </w:pPr>
    </w:p>
    <w:p w14:paraId="609B1C22" w14:textId="693DD187" w:rsidR="00030952" w:rsidRPr="00756B9D" w:rsidRDefault="00030952" w:rsidP="00756B9D">
      <w:pPr>
        <w:pStyle w:val="Default"/>
        <w:numPr>
          <w:ilvl w:val="0"/>
          <w:numId w:val="2"/>
        </w:numPr>
        <w:ind w:left="567" w:hanging="567"/>
        <w:jc w:val="both"/>
        <w:rPr>
          <w:color w:val="auto"/>
          <w:sz w:val="22"/>
          <w:szCs w:val="22"/>
        </w:rPr>
      </w:pPr>
      <w:r w:rsidRPr="00756B9D">
        <w:rPr>
          <w:b/>
          <w:bCs/>
          <w:color w:val="auto"/>
          <w:sz w:val="22"/>
          <w:szCs w:val="22"/>
          <w:lang w:val="sk"/>
        </w:rPr>
        <w:t>REGISTRAČNÉ ČÍSLO (ČÍSLA)</w:t>
      </w:r>
    </w:p>
    <w:p w14:paraId="2BE8CB4E" w14:textId="77777777" w:rsidR="00831137" w:rsidRPr="00756B9D" w:rsidRDefault="00831137">
      <w:pPr>
        <w:pStyle w:val="Default"/>
        <w:jc w:val="both"/>
        <w:rPr>
          <w:bCs/>
          <w:color w:val="auto"/>
          <w:sz w:val="22"/>
          <w:szCs w:val="22"/>
          <w:lang w:val="sk"/>
        </w:rPr>
      </w:pPr>
    </w:p>
    <w:p w14:paraId="7BEE386C" w14:textId="613A529A" w:rsidR="00C24791" w:rsidRPr="00756B9D" w:rsidRDefault="001A3B94">
      <w:pPr>
        <w:pStyle w:val="Default"/>
        <w:jc w:val="both"/>
        <w:rPr>
          <w:bCs/>
          <w:color w:val="auto"/>
          <w:sz w:val="22"/>
          <w:szCs w:val="22"/>
          <w:lang w:val="sk"/>
        </w:rPr>
      </w:pPr>
      <w:r>
        <w:rPr>
          <w:color w:val="auto"/>
          <w:sz w:val="22"/>
          <w:szCs w:val="22"/>
          <w:lang w:val="sk"/>
        </w:rPr>
        <w:t>Dulxetenon</w:t>
      </w:r>
      <w:r w:rsidR="00C24791" w:rsidRPr="00756B9D">
        <w:rPr>
          <w:color w:val="auto"/>
          <w:sz w:val="22"/>
          <w:szCs w:val="22"/>
          <w:lang w:val="sk"/>
        </w:rPr>
        <w:t xml:space="preserve"> 30 mg: </w:t>
      </w:r>
      <w:r w:rsidR="00C24791" w:rsidRPr="00756B9D">
        <w:rPr>
          <w:bCs/>
          <w:color w:val="auto"/>
          <w:sz w:val="22"/>
          <w:szCs w:val="22"/>
          <w:lang w:val="sk"/>
        </w:rPr>
        <w:t>30/0114/19-S</w:t>
      </w:r>
    </w:p>
    <w:p w14:paraId="565C4208" w14:textId="157FC859" w:rsidR="00C24791" w:rsidRPr="00756B9D" w:rsidRDefault="001A3B94">
      <w:pPr>
        <w:pStyle w:val="Default"/>
        <w:jc w:val="both"/>
        <w:rPr>
          <w:bCs/>
          <w:color w:val="auto"/>
          <w:sz w:val="22"/>
          <w:szCs w:val="22"/>
          <w:lang w:val="sk"/>
        </w:rPr>
      </w:pPr>
      <w:r>
        <w:rPr>
          <w:color w:val="auto"/>
          <w:sz w:val="22"/>
          <w:szCs w:val="22"/>
          <w:lang w:val="sk"/>
        </w:rPr>
        <w:t>Dulxetenon</w:t>
      </w:r>
      <w:r w:rsidR="00C24791" w:rsidRPr="00756B9D">
        <w:rPr>
          <w:color w:val="auto"/>
          <w:sz w:val="22"/>
          <w:szCs w:val="22"/>
          <w:lang w:val="sk"/>
        </w:rPr>
        <w:t xml:space="preserve"> 60 mg: </w:t>
      </w:r>
      <w:r w:rsidR="00C24791" w:rsidRPr="00756B9D">
        <w:rPr>
          <w:bCs/>
          <w:color w:val="auto"/>
          <w:sz w:val="22"/>
          <w:szCs w:val="22"/>
          <w:lang w:val="sk"/>
        </w:rPr>
        <w:t>30/0115/19-S</w:t>
      </w:r>
    </w:p>
    <w:p w14:paraId="561C71AA" w14:textId="77777777" w:rsidR="00C24791" w:rsidRPr="00756B9D" w:rsidRDefault="00C24791">
      <w:pPr>
        <w:pStyle w:val="Default"/>
        <w:jc w:val="both"/>
        <w:rPr>
          <w:bCs/>
          <w:color w:val="auto"/>
          <w:sz w:val="22"/>
          <w:szCs w:val="22"/>
          <w:lang w:val="sk"/>
        </w:rPr>
      </w:pPr>
    </w:p>
    <w:p w14:paraId="399323BC" w14:textId="1860A8B8" w:rsidR="00030952" w:rsidRPr="00756B9D" w:rsidRDefault="00030952">
      <w:pPr>
        <w:pStyle w:val="Default"/>
        <w:jc w:val="both"/>
        <w:rPr>
          <w:color w:val="auto"/>
          <w:sz w:val="22"/>
          <w:szCs w:val="22"/>
        </w:rPr>
      </w:pPr>
    </w:p>
    <w:p w14:paraId="5CCEC5E7" w14:textId="76D940F6" w:rsidR="00030952" w:rsidRPr="00756B9D" w:rsidRDefault="00030952" w:rsidP="00756B9D">
      <w:pPr>
        <w:pStyle w:val="Default"/>
        <w:numPr>
          <w:ilvl w:val="0"/>
          <w:numId w:val="2"/>
        </w:numPr>
        <w:ind w:left="567" w:hanging="567"/>
        <w:jc w:val="both"/>
        <w:rPr>
          <w:color w:val="auto"/>
          <w:sz w:val="22"/>
          <w:szCs w:val="22"/>
        </w:rPr>
      </w:pPr>
      <w:r w:rsidRPr="00756B9D">
        <w:rPr>
          <w:b/>
          <w:bCs/>
          <w:color w:val="auto"/>
          <w:sz w:val="22"/>
          <w:szCs w:val="22"/>
          <w:lang w:val="sk"/>
        </w:rPr>
        <w:t>DÁTUM PRVEJ REG</w:t>
      </w:r>
      <w:r w:rsidR="00756B9D">
        <w:rPr>
          <w:b/>
          <w:bCs/>
          <w:color w:val="auto"/>
          <w:sz w:val="22"/>
          <w:szCs w:val="22"/>
          <w:lang w:val="sk"/>
        </w:rPr>
        <w:t>ISTRÁCIE/PREDĹŽENIA REGISTRÁCIE</w:t>
      </w:r>
    </w:p>
    <w:p w14:paraId="1CCC2F7A" w14:textId="77777777" w:rsidR="00831137" w:rsidRPr="00756B9D" w:rsidRDefault="00831137">
      <w:pPr>
        <w:pStyle w:val="Default"/>
        <w:jc w:val="both"/>
        <w:rPr>
          <w:bCs/>
          <w:color w:val="auto"/>
          <w:sz w:val="22"/>
          <w:szCs w:val="22"/>
          <w:lang w:val="sk"/>
        </w:rPr>
      </w:pPr>
    </w:p>
    <w:p w14:paraId="60462160" w14:textId="677784EE" w:rsidR="00831137" w:rsidRPr="00756B9D" w:rsidRDefault="00831137">
      <w:pPr>
        <w:pStyle w:val="Default"/>
        <w:jc w:val="both"/>
        <w:rPr>
          <w:bCs/>
          <w:color w:val="auto"/>
          <w:sz w:val="22"/>
          <w:szCs w:val="22"/>
          <w:lang w:val="sk"/>
        </w:rPr>
      </w:pPr>
      <w:r w:rsidRPr="00756B9D">
        <w:rPr>
          <w:bCs/>
          <w:color w:val="auto"/>
          <w:sz w:val="22"/>
          <w:szCs w:val="22"/>
          <w:lang w:val="sk"/>
        </w:rPr>
        <w:t>Dátum prvej registrácie:</w:t>
      </w:r>
      <w:r w:rsidR="009E5803">
        <w:rPr>
          <w:bCs/>
          <w:color w:val="auto"/>
          <w:sz w:val="22"/>
          <w:szCs w:val="22"/>
          <w:lang w:val="sk"/>
        </w:rPr>
        <w:t xml:space="preserve"> 29. apríla 2019</w:t>
      </w:r>
    </w:p>
    <w:p w14:paraId="002D5BEF" w14:textId="77777777" w:rsidR="00831137" w:rsidRPr="00756B9D" w:rsidRDefault="00831137">
      <w:pPr>
        <w:pStyle w:val="Default"/>
        <w:jc w:val="both"/>
        <w:rPr>
          <w:bCs/>
          <w:color w:val="auto"/>
          <w:sz w:val="22"/>
          <w:szCs w:val="22"/>
          <w:lang w:val="sk"/>
        </w:rPr>
      </w:pPr>
    </w:p>
    <w:p w14:paraId="038B0A42" w14:textId="4F356C5D" w:rsidR="00CC0069" w:rsidRPr="00756B9D" w:rsidRDefault="00CC0069">
      <w:pPr>
        <w:pStyle w:val="Default"/>
        <w:jc w:val="both"/>
        <w:rPr>
          <w:color w:val="auto"/>
          <w:sz w:val="22"/>
          <w:szCs w:val="22"/>
        </w:rPr>
      </w:pPr>
    </w:p>
    <w:p w14:paraId="08154991" w14:textId="491F79A9" w:rsidR="00030952" w:rsidRPr="00756B9D" w:rsidRDefault="00030952" w:rsidP="00756B9D">
      <w:pPr>
        <w:pStyle w:val="Default"/>
        <w:numPr>
          <w:ilvl w:val="0"/>
          <w:numId w:val="2"/>
        </w:numPr>
        <w:ind w:left="567" w:hanging="567"/>
        <w:jc w:val="both"/>
        <w:rPr>
          <w:b/>
          <w:bCs/>
          <w:color w:val="auto"/>
          <w:sz w:val="22"/>
          <w:szCs w:val="22"/>
        </w:rPr>
      </w:pPr>
      <w:r w:rsidRPr="00756B9D">
        <w:rPr>
          <w:b/>
          <w:bCs/>
          <w:color w:val="auto"/>
          <w:sz w:val="22"/>
          <w:szCs w:val="22"/>
          <w:lang w:val="sk"/>
        </w:rPr>
        <w:t xml:space="preserve">DÁTUM REVÍZIE TEXTU </w:t>
      </w:r>
    </w:p>
    <w:p w14:paraId="5D14C0F0" w14:textId="77777777" w:rsidR="00831137" w:rsidRPr="00756B9D" w:rsidRDefault="00831137">
      <w:pPr>
        <w:pStyle w:val="Default"/>
        <w:jc w:val="both"/>
        <w:rPr>
          <w:sz w:val="22"/>
          <w:szCs w:val="22"/>
        </w:rPr>
      </w:pPr>
    </w:p>
    <w:p w14:paraId="04FCD1D0" w14:textId="7CF6FF13" w:rsidR="00C24791" w:rsidRPr="00756B9D" w:rsidRDefault="008F0B29">
      <w:pPr>
        <w:pStyle w:val="Default"/>
        <w:jc w:val="both"/>
        <w:rPr>
          <w:sz w:val="22"/>
          <w:szCs w:val="22"/>
        </w:rPr>
      </w:pPr>
      <w:r>
        <w:rPr>
          <w:sz w:val="22"/>
          <w:szCs w:val="22"/>
        </w:rPr>
        <w:t>07</w:t>
      </w:r>
      <w:r w:rsidR="00C24791" w:rsidRPr="00756B9D">
        <w:rPr>
          <w:sz w:val="22"/>
          <w:szCs w:val="22"/>
        </w:rPr>
        <w:t>/2019</w:t>
      </w:r>
    </w:p>
    <w:sectPr w:rsidR="00C24791" w:rsidRPr="00756B9D" w:rsidSect="008F0B29">
      <w:headerReference w:type="default" r:id="rId8"/>
      <w:footerReference w:type="default" r:id="rId9"/>
      <w:type w:val="continuous"/>
      <w:pgSz w:w="11906" w:h="17340"/>
      <w:pgMar w:top="1134" w:right="1418" w:bottom="1134" w:left="1418" w:header="737" w:footer="7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DEA09" w14:textId="77777777" w:rsidR="00F73FB6" w:rsidRDefault="00F73FB6" w:rsidP="00AA7647">
      <w:pPr>
        <w:spacing w:after="0" w:line="240" w:lineRule="auto"/>
      </w:pPr>
      <w:r>
        <w:separator/>
      </w:r>
    </w:p>
  </w:endnote>
  <w:endnote w:type="continuationSeparator" w:id="0">
    <w:p w14:paraId="632B79AA" w14:textId="77777777" w:rsidR="00F73FB6" w:rsidRDefault="00F73FB6" w:rsidP="00AA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038411"/>
      <w:docPartObj>
        <w:docPartGallery w:val="Page Numbers (Bottom of Page)"/>
        <w:docPartUnique/>
      </w:docPartObj>
    </w:sdtPr>
    <w:sdtEndPr>
      <w:rPr>
        <w:rFonts w:ascii="Times New Roman" w:hAnsi="Times New Roman"/>
        <w:sz w:val="18"/>
        <w:szCs w:val="18"/>
      </w:rPr>
    </w:sdtEndPr>
    <w:sdtContent>
      <w:p w14:paraId="72E3B750" w14:textId="3292B985" w:rsidR="00756B9D" w:rsidRPr="00756B9D" w:rsidRDefault="00756B9D" w:rsidP="00756B9D">
        <w:pPr>
          <w:pStyle w:val="Pta"/>
          <w:jc w:val="center"/>
          <w:rPr>
            <w:rFonts w:ascii="Times New Roman" w:hAnsi="Times New Roman"/>
            <w:sz w:val="18"/>
            <w:szCs w:val="18"/>
          </w:rPr>
        </w:pPr>
        <w:r w:rsidRPr="00756B9D">
          <w:rPr>
            <w:rFonts w:ascii="Times New Roman" w:hAnsi="Times New Roman"/>
            <w:sz w:val="18"/>
            <w:szCs w:val="18"/>
          </w:rPr>
          <w:fldChar w:fldCharType="begin"/>
        </w:r>
        <w:r w:rsidRPr="00756B9D">
          <w:rPr>
            <w:rFonts w:ascii="Times New Roman" w:hAnsi="Times New Roman"/>
            <w:sz w:val="18"/>
            <w:szCs w:val="18"/>
          </w:rPr>
          <w:instrText>PAGE   \* MERGEFORMAT</w:instrText>
        </w:r>
        <w:r w:rsidRPr="00756B9D">
          <w:rPr>
            <w:rFonts w:ascii="Times New Roman" w:hAnsi="Times New Roman"/>
            <w:sz w:val="18"/>
            <w:szCs w:val="18"/>
          </w:rPr>
          <w:fldChar w:fldCharType="separate"/>
        </w:r>
        <w:r w:rsidR="000001E7" w:rsidRPr="000001E7">
          <w:rPr>
            <w:rFonts w:ascii="Times New Roman" w:hAnsi="Times New Roman"/>
            <w:noProof/>
            <w:sz w:val="18"/>
            <w:szCs w:val="18"/>
            <w:lang w:val="sk-SK"/>
          </w:rPr>
          <w:t>2</w:t>
        </w:r>
        <w:r w:rsidRPr="00756B9D">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ED77F" w14:textId="77777777" w:rsidR="00F73FB6" w:rsidRDefault="00F73FB6" w:rsidP="00AA7647">
      <w:pPr>
        <w:spacing w:after="0" w:line="240" w:lineRule="auto"/>
      </w:pPr>
      <w:r>
        <w:separator/>
      </w:r>
    </w:p>
  </w:footnote>
  <w:footnote w:type="continuationSeparator" w:id="0">
    <w:p w14:paraId="6EFFA1BD" w14:textId="77777777" w:rsidR="00F73FB6" w:rsidRDefault="00F73FB6" w:rsidP="00AA7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C3950" w14:textId="741F14E7" w:rsidR="00756B9D" w:rsidRPr="00756B9D" w:rsidRDefault="00B41BD4" w:rsidP="00756B9D">
    <w:pPr>
      <w:pStyle w:val="Hlavika"/>
      <w:rPr>
        <w:sz w:val="18"/>
        <w:szCs w:val="18"/>
      </w:rPr>
    </w:pPr>
    <w:r>
      <w:rPr>
        <w:rFonts w:ascii="Times New Roman" w:hAnsi="Times New Roman"/>
        <w:sz w:val="18"/>
        <w:szCs w:val="18"/>
      </w:rPr>
      <w:t>Príloha č. 2 k notifikácii o zmene, ev.č. 2019/02262-ZIB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41E5"/>
    <w:multiLevelType w:val="multilevel"/>
    <w:tmpl w:val="F844EE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15:restartNumberingAfterBreak="0">
    <w:nsid w:val="124A5BC6"/>
    <w:multiLevelType w:val="multilevel"/>
    <w:tmpl w:val="F844EE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15:restartNumberingAfterBreak="0">
    <w:nsid w:val="4C6A324F"/>
    <w:multiLevelType w:val="multilevel"/>
    <w:tmpl w:val="F844EE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5CB01789"/>
    <w:multiLevelType w:val="hybridMultilevel"/>
    <w:tmpl w:val="15A239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53D2D5F"/>
    <w:multiLevelType w:val="multilevel"/>
    <w:tmpl w:val="F844EE88"/>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978"/>
    <w:rsid w:val="000001E7"/>
    <w:rsid w:val="00003978"/>
    <w:rsid w:val="00030952"/>
    <w:rsid w:val="00052E37"/>
    <w:rsid w:val="00055788"/>
    <w:rsid w:val="000728AC"/>
    <w:rsid w:val="000E2F8B"/>
    <w:rsid w:val="000E591A"/>
    <w:rsid w:val="000E6643"/>
    <w:rsid w:val="00116EDB"/>
    <w:rsid w:val="00132B2C"/>
    <w:rsid w:val="001411E6"/>
    <w:rsid w:val="001433FD"/>
    <w:rsid w:val="00162CFF"/>
    <w:rsid w:val="00185FBD"/>
    <w:rsid w:val="001948AF"/>
    <w:rsid w:val="001A0BDF"/>
    <w:rsid w:val="001A3B94"/>
    <w:rsid w:val="001C62A9"/>
    <w:rsid w:val="002127A1"/>
    <w:rsid w:val="0023054E"/>
    <w:rsid w:val="00234FDC"/>
    <w:rsid w:val="0027543C"/>
    <w:rsid w:val="00286095"/>
    <w:rsid w:val="002A461F"/>
    <w:rsid w:val="002B113E"/>
    <w:rsid w:val="002C4B91"/>
    <w:rsid w:val="00315148"/>
    <w:rsid w:val="00315726"/>
    <w:rsid w:val="003411D2"/>
    <w:rsid w:val="00346B2E"/>
    <w:rsid w:val="003B5781"/>
    <w:rsid w:val="003D47FC"/>
    <w:rsid w:val="003E12E8"/>
    <w:rsid w:val="003E2D48"/>
    <w:rsid w:val="003E701C"/>
    <w:rsid w:val="0044604D"/>
    <w:rsid w:val="00470927"/>
    <w:rsid w:val="00486E90"/>
    <w:rsid w:val="004A5CB7"/>
    <w:rsid w:val="004E5FC1"/>
    <w:rsid w:val="005231FD"/>
    <w:rsid w:val="00561075"/>
    <w:rsid w:val="00574768"/>
    <w:rsid w:val="00593E6E"/>
    <w:rsid w:val="00595100"/>
    <w:rsid w:val="005A5FC2"/>
    <w:rsid w:val="005F0373"/>
    <w:rsid w:val="005F4A1E"/>
    <w:rsid w:val="0060652F"/>
    <w:rsid w:val="006464CD"/>
    <w:rsid w:val="0065723C"/>
    <w:rsid w:val="00661217"/>
    <w:rsid w:val="00692DA0"/>
    <w:rsid w:val="006E4399"/>
    <w:rsid w:val="00701FBA"/>
    <w:rsid w:val="0070291A"/>
    <w:rsid w:val="0073423C"/>
    <w:rsid w:val="00740411"/>
    <w:rsid w:val="00756B9D"/>
    <w:rsid w:val="00783FCC"/>
    <w:rsid w:val="007C0AF0"/>
    <w:rsid w:val="007D4DC9"/>
    <w:rsid w:val="00806143"/>
    <w:rsid w:val="00820144"/>
    <w:rsid w:val="0082334F"/>
    <w:rsid w:val="00831137"/>
    <w:rsid w:val="008434B8"/>
    <w:rsid w:val="008466EA"/>
    <w:rsid w:val="00864CC8"/>
    <w:rsid w:val="008943A1"/>
    <w:rsid w:val="008C013E"/>
    <w:rsid w:val="008C73A8"/>
    <w:rsid w:val="008D3FC6"/>
    <w:rsid w:val="008F0B29"/>
    <w:rsid w:val="0090550D"/>
    <w:rsid w:val="00906F58"/>
    <w:rsid w:val="00925748"/>
    <w:rsid w:val="0094222F"/>
    <w:rsid w:val="009430B4"/>
    <w:rsid w:val="009849C0"/>
    <w:rsid w:val="0098742E"/>
    <w:rsid w:val="009E5803"/>
    <w:rsid w:val="009E5EAE"/>
    <w:rsid w:val="00A2708C"/>
    <w:rsid w:val="00A32735"/>
    <w:rsid w:val="00A7163A"/>
    <w:rsid w:val="00A8357C"/>
    <w:rsid w:val="00AA7647"/>
    <w:rsid w:val="00AB3E0F"/>
    <w:rsid w:val="00AB45DA"/>
    <w:rsid w:val="00AC79E2"/>
    <w:rsid w:val="00AE73EF"/>
    <w:rsid w:val="00AF0C32"/>
    <w:rsid w:val="00AF2CC2"/>
    <w:rsid w:val="00AF66C0"/>
    <w:rsid w:val="00B26CFD"/>
    <w:rsid w:val="00B371D5"/>
    <w:rsid w:val="00B403BA"/>
    <w:rsid w:val="00B41BD4"/>
    <w:rsid w:val="00B753C9"/>
    <w:rsid w:val="00BC2C01"/>
    <w:rsid w:val="00C051FD"/>
    <w:rsid w:val="00C065B4"/>
    <w:rsid w:val="00C20B97"/>
    <w:rsid w:val="00C22B2B"/>
    <w:rsid w:val="00C24791"/>
    <w:rsid w:val="00C60153"/>
    <w:rsid w:val="00C655CA"/>
    <w:rsid w:val="00C724F6"/>
    <w:rsid w:val="00CA34E6"/>
    <w:rsid w:val="00CB146D"/>
    <w:rsid w:val="00CC0069"/>
    <w:rsid w:val="00D25D5D"/>
    <w:rsid w:val="00D34BD7"/>
    <w:rsid w:val="00D61A73"/>
    <w:rsid w:val="00D64847"/>
    <w:rsid w:val="00DB5409"/>
    <w:rsid w:val="00DC0E22"/>
    <w:rsid w:val="00DD1248"/>
    <w:rsid w:val="00E41ADC"/>
    <w:rsid w:val="00E45E87"/>
    <w:rsid w:val="00E62019"/>
    <w:rsid w:val="00E85B56"/>
    <w:rsid w:val="00EA238B"/>
    <w:rsid w:val="00ED768D"/>
    <w:rsid w:val="00EE6FA5"/>
    <w:rsid w:val="00EF127F"/>
    <w:rsid w:val="00F46A64"/>
    <w:rsid w:val="00F46D29"/>
    <w:rsid w:val="00F641F0"/>
    <w:rsid w:val="00F70D90"/>
    <w:rsid w:val="00F73FB6"/>
    <w:rsid w:val="00FB0547"/>
    <w:rsid w:val="00FB472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7A6C58"/>
  <w15:docId w15:val="{C3FE3768-0906-4AEC-80CB-5E933A17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0AF0"/>
    <w:pPr>
      <w:spacing w:after="200" w:line="276" w:lineRule="auto"/>
    </w:pPr>
    <w:rPr>
      <w:sz w:val="22"/>
      <w:szCs w:val="22"/>
      <w:lang w:val="es-ES" w:eastAsia="es-E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C0AF0"/>
    <w:pPr>
      <w:widowControl w:val="0"/>
      <w:autoSpaceDE w:val="0"/>
      <w:autoSpaceDN w:val="0"/>
      <w:adjustRightInd w:val="0"/>
    </w:pPr>
    <w:rPr>
      <w:rFonts w:ascii="Times New Roman" w:hAnsi="Times New Roman"/>
      <w:color w:val="000000"/>
      <w:sz w:val="24"/>
      <w:szCs w:val="24"/>
      <w:lang w:val="es-ES" w:eastAsia="es-ES"/>
    </w:rPr>
  </w:style>
  <w:style w:type="table" w:styleId="Mriekatabuky">
    <w:name w:val="Table Grid"/>
    <w:basedOn w:val="Normlnatabuka"/>
    <w:uiPriority w:val="59"/>
    <w:rsid w:val="000E66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semiHidden/>
    <w:unhideWhenUsed/>
    <w:rsid w:val="00593E6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93E6E"/>
    <w:rPr>
      <w:rFonts w:ascii="Tahoma" w:hAnsi="Tahoma" w:cs="Tahoma"/>
      <w:sz w:val="16"/>
      <w:szCs w:val="16"/>
    </w:rPr>
  </w:style>
  <w:style w:type="character" w:customStyle="1" w:styleId="shorttext">
    <w:name w:val="short_text"/>
    <w:basedOn w:val="Predvolenpsmoodseku"/>
    <w:rsid w:val="00AF0C32"/>
  </w:style>
  <w:style w:type="paragraph" w:styleId="Hlavika">
    <w:name w:val="header"/>
    <w:basedOn w:val="Normlny"/>
    <w:link w:val="HlavikaChar"/>
    <w:uiPriority w:val="99"/>
    <w:unhideWhenUsed/>
    <w:rsid w:val="00AA764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A7647"/>
    <w:rPr>
      <w:sz w:val="22"/>
      <w:szCs w:val="22"/>
      <w:lang w:val="es-ES" w:eastAsia="es-ES"/>
    </w:rPr>
  </w:style>
  <w:style w:type="paragraph" w:styleId="Pta">
    <w:name w:val="footer"/>
    <w:basedOn w:val="Normlny"/>
    <w:link w:val="PtaChar"/>
    <w:uiPriority w:val="99"/>
    <w:unhideWhenUsed/>
    <w:rsid w:val="00AA7647"/>
    <w:pPr>
      <w:tabs>
        <w:tab w:val="center" w:pos="4536"/>
        <w:tab w:val="right" w:pos="9072"/>
      </w:tabs>
      <w:spacing w:after="0" w:line="240" w:lineRule="auto"/>
    </w:pPr>
  </w:style>
  <w:style w:type="character" w:customStyle="1" w:styleId="PtaChar">
    <w:name w:val="Päta Char"/>
    <w:basedOn w:val="Predvolenpsmoodseku"/>
    <w:link w:val="Pta"/>
    <w:uiPriority w:val="99"/>
    <w:rsid w:val="00AA7647"/>
    <w:rPr>
      <w:sz w:val="22"/>
      <w:szCs w:val="22"/>
      <w:lang w:val="es-ES" w:eastAsia="es-ES"/>
    </w:rPr>
  </w:style>
  <w:style w:type="character" w:styleId="Odkaznakomentr">
    <w:name w:val="annotation reference"/>
    <w:basedOn w:val="Predvolenpsmoodseku"/>
    <w:uiPriority w:val="99"/>
    <w:semiHidden/>
    <w:unhideWhenUsed/>
    <w:rsid w:val="00C20B97"/>
    <w:rPr>
      <w:sz w:val="16"/>
      <w:szCs w:val="16"/>
    </w:rPr>
  </w:style>
  <w:style w:type="paragraph" w:styleId="Textkomentra">
    <w:name w:val="annotation text"/>
    <w:basedOn w:val="Normlny"/>
    <w:link w:val="TextkomentraChar"/>
    <w:uiPriority w:val="99"/>
    <w:semiHidden/>
    <w:unhideWhenUsed/>
    <w:rsid w:val="00C20B97"/>
    <w:pPr>
      <w:spacing w:line="240" w:lineRule="auto"/>
    </w:pPr>
    <w:rPr>
      <w:sz w:val="20"/>
      <w:szCs w:val="20"/>
    </w:rPr>
  </w:style>
  <w:style w:type="character" w:customStyle="1" w:styleId="TextkomentraChar">
    <w:name w:val="Text komentára Char"/>
    <w:basedOn w:val="Predvolenpsmoodseku"/>
    <w:link w:val="Textkomentra"/>
    <w:uiPriority w:val="99"/>
    <w:semiHidden/>
    <w:rsid w:val="00C20B97"/>
    <w:rPr>
      <w:lang w:val="es-ES" w:eastAsia="es-ES"/>
    </w:rPr>
  </w:style>
  <w:style w:type="paragraph" w:styleId="Predmetkomentra">
    <w:name w:val="annotation subject"/>
    <w:basedOn w:val="Textkomentra"/>
    <w:next w:val="Textkomentra"/>
    <w:link w:val="PredmetkomentraChar"/>
    <w:uiPriority w:val="99"/>
    <w:semiHidden/>
    <w:unhideWhenUsed/>
    <w:rsid w:val="00C20B97"/>
    <w:rPr>
      <w:b/>
      <w:bCs/>
    </w:rPr>
  </w:style>
  <w:style w:type="character" w:customStyle="1" w:styleId="PredmetkomentraChar">
    <w:name w:val="Predmet komentára Char"/>
    <w:basedOn w:val="TextkomentraChar"/>
    <w:link w:val="Predmetkomentra"/>
    <w:uiPriority w:val="99"/>
    <w:semiHidden/>
    <w:rsid w:val="00C20B97"/>
    <w:rPr>
      <w:b/>
      <w:bCs/>
      <w:lang w:val="es-ES" w:eastAsia="es-ES"/>
    </w:rPr>
  </w:style>
  <w:style w:type="character" w:styleId="Hypertextovprepojenie">
    <w:name w:val="Hyperlink"/>
    <w:rsid w:val="00864CC8"/>
    <w:rPr>
      <w:color w:val="0000FF"/>
      <w:u w:val="single"/>
    </w:rPr>
  </w:style>
  <w:style w:type="paragraph" w:styleId="Odsekzoznamu">
    <w:name w:val="List Paragraph"/>
    <w:basedOn w:val="Normlny"/>
    <w:uiPriority w:val="34"/>
    <w:qFormat/>
    <w:rsid w:val="00756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04320">
      <w:bodyDiv w:val="1"/>
      <w:marLeft w:val="0"/>
      <w:marRight w:val="0"/>
      <w:marTop w:val="0"/>
      <w:marBottom w:val="0"/>
      <w:divBdr>
        <w:top w:val="none" w:sz="0" w:space="0" w:color="auto"/>
        <w:left w:val="none" w:sz="0" w:space="0" w:color="auto"/>
        <w:bottom w:val="none" w:sz="0" w:space="0" w:color="auto"/>
        <w:right w:val="none" w:sz="0" w:space="0" w:color="auto"/>
      </w:divBdr>
    </w:div>
    <w:div w:id="453601935">
      <w:bodyDiv w:val="1"/>
      <w:marLeft w:val="0"/>
      <w:marRight w:val="0"/>
      <w:marTop w:val="0"/>
      <w:marBottom w:val="0"/>
      <w:divBdr>
        <w:top w:val="none" w:sz="0" w:space="0" w:color="auto"/>
        <w:left w:val="none" w:sz="0" w:space="0" w:color="auto"/>
        <w:bottom w:val="none" w:sz="0" w:space="0" w:color="auto"/>
        <w:right w:val="none" w:sz="0" w:space="0" w:color="auto"/>
      </w:divBdr>
    </w:div>
    <w:div w:id="998312967">
      <w:bodyDiv w:val="1"/>
      <w:marLeft w:val="0"/>
      <w:marRight w:val="0"/>
      <w:marTop w:val="0"/>
      <w:marBottom w:val="0"/>
      <w:divBdr>
        <w:top w:val="none" w:sz="0" w:space="0" w:color="auto"/>
        <w:left w:val="none" w:sz="0" w:space="0" w:color="auto"/>
        <w:bottom w:val="none" w:sz="0" w:space="0" w:color="auto"/>
        <w:right w:val="none" w:sz="0" w:space="0" w:color="auto"/>
      </w:divBdr>
    </w:div>
    <w:div w:id="15222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7533</Words>
  <Characters>42940</Characters>
  <Application>Microsoft Office Word</Application>
  <DocSecurity>0</DocSecurity>
  <Lines>357</Lines>
  <Paragraphs>100</Paragraphs>
  <ScaleCrop>false</ScaleCrop>
  <HeadingPairs>
    <vt:vector size="6" baseType="variant">
      <vt:variant>
        <vt:lpstr>Názov</vt:lpstr>
      </vt:variant>
      <vt:variant>
        <vt:i4>1</vt:i4>
      </vt:variant>
      <vt:variant>
        <vt:lpstr>Título</vt:lpstr>
      </vt:variant>
      <vt:variant>
        <vt:i4>1</vt:i4>
      </vt:variant>
      <vt:variant>
        <vt:lpstr>Title</vt:lpstr>
      </vt:variant>
      <vt:variant>
        <vt:i4>1</vt:i4>
      </vt:variant>
    </vt:vector>
  </HeadingPairs>
  <TitlesOfParts>
    <vt:vector size="3" baseType="lpstr">
      <vt:lpstr>CYMBALTA, INN-duloxetine</vt:lpstr>
      <vt:lpstr>CYMBALTA, INN-duloxetine</vt:lpstr>
      <vt:lpstr>CYMBALTA, INN-duloxetine</vt:lpstr>
    </vt:vector>
  </TitlesOfParts>
  <Company>ASPHALION</Company>
  <LinksUpToDate>false</LinksUpToDate>
  <CharactersWithSpaces>50373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CYMBALTA, INN-duloxetine</dc:title>
  <dc:subject>EPAR</dc:subject>
  <dc:creator>CHMP</dc:creator>
  <cp:lastModifiedBy>Dočolomanská, Petra</cp:lastModifiedBy>
  <cp:revision>2</cp:revision>
  <dcterms:created xsi:type="dcterms:W3CDTF">2019-07-17T08:00:00Z</dcterms:created>
  <dcterms:modified xsi:type="dcterms:W3CDTF">2019-07-17T08:00:00Z</dcterms:modified>
</cp:coreProperties>
</file>