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20424" w14:textId="77777777" w:rsidR="002B4D0B" w:rsidRPr="00F85275" w:rsidRDefault="002B4D0B" w:rsidP="00301480">
      <w:pPr>
        <w:pStyle w:val="SPCaPILhlavika"/>
      </w:pPr>
      <w:r w:rsidRPr="00F85275">
        <w:t>SÚHRN CHARAKTERISTICKÝCH VLASTNOSTÍ LIEKU</w:t>
      </w:r>
    </w:p>
    <w:p w14:paraId="5D85B311" w14:textId="1E882DE4" w:rsidR="002B4D0B" w:rsidRPr="00F85275" w:rsidRDefault="002B4D0B" w:rsidP="002B4D0B">
      <w:pPr>
        <w:pStyle w:val="Styl1"/>
        <w:rPr>
          <w:lang w:val="sk-SK"/>
        </w:rPr>
      </w:pPr>
      <w:r w:rsidRPr="00F85275">
        <w:rPr>
          <w:lang w:val="sk-SK"/>
        </w:rPr>
        <w:t>NÁZOV LIEKU</w:t>
      </w:r>
    </w:p>
    <w:p w14:paraId="6D3372C8" w14:textId="125044C2" w:rsidR="002B4D0B" w:rsidRPr="00F85275" w:rsidRDefault="002B4D0B" w:rsidP="00301480">
      <w:pPr>
        <w:rPr>
          <w:szCs w:val="22"/>
          <w:lang w:val="sk-SK"/>
        </w:rPr>
      </w:pPr>
      <w:r w:rsidRPr="00F85275">
        <w:rPr>
          <w:szCs w:val="22"/>
          <w:lang w:val="sk-SK"/>
        </w:rPr>
        <w:t>MEDOPEXOL 0,18</w:t>
      </w:r>
      <w:r w:rsidR="00347034" w:rsidRPr="00F85275">
        <w:rPr>
          <w:szCs w:val="22"/>
          <w:lang w:val="sk-SK"/>
        </w:rPr>
        <w:t> mg</w:t>
      </w:r>
    </w:p>
    <w:p w14:paraId="69C75A2A" w14:textId="51D8DBE7" w:rsidR="002B4D0B" w:rsidRDefault="002B4D0B" w:rsidP="00301480">
      <w:pPr>
        <w:rPr>
          <w:szCs w:val="22"/>
          <w:lang w:val="sk-SK"/>
        </w:rPr>
      </w:pPr>
      <w:r w:rsidRPr="00F85275">
        <w:rPr>
          <w:szCs w:val="22"/>
          <w:lang w:val="sk-SK"/>
        </w:rPr>
        <w:t>MEDOPEXOL 0,7</w:t>
      </w:r>
      <w:r w:rsidR="00347034" w:rsidRPr="00F85275">
        <w:rPr>
          <w:szCs w:val="22"/>
          <w:lang w:val="sk-SK"/>
        </w:rPr>
        <w:t> mg</w:t>
      </w:r>
    </w:p>
    <w:p w14:paraId="4AF49934" w14:textId="77777777" w:rsidR="00C852F2" w:rsidRPr="00F85275" w:rsidRDefault="00C852F2" w:rsidP="00301480">
      <w:pPr>
        <w:rPr>
          <w:szCs w:val="22"/>
          <w:lang w:val="sk-SK"/>
        </w:rPr>
      </w:pPr>
    </w:p>
    <w:p w14:paraId="1FDAF2AC" w14:textId="77777777" w:rsidR="002B4D0B" w:rsidRPr="00F85275" w:rsidRDefault="002B4D0B" w:rsidP="002B4D0B">
      <w:pPr>
        <w:rPr>
          <w:szCs w:val="22"/>
          <w:lang w:val="sk-SK"/>
        </w:rPr>
      </w:pPr>
      <w:r w:rsidRPr="00F85275">
        <w:rPr>
          <w:szCs w:val="22"/>
          <w:lang w:val="sk-SK"/>
        </w:rPr>
        <w:t>tablety</w:t>
      </w:r>
    </w:p>
    <w:p w14:paraId="2D9C7C2A" w14:textId="2C95C6EA" w:rsidR="002B4D0B" w:rsidRPr="00F85275" w:rsidRDefault="002B4D0B" w:rsidP="002B4D0B">
      <w:pPr>
        <w:pStyle w:val="Styl1"/>
        <w:rPr>
          <w:lang w:val="sk-SK"/>
        </w:rPr>
      </w:pPr>
      <w:r w:rsidRPr="00F85275">
        <w:rPr>
          <w:lang w:val="sk-SK"/>
        </w:rPr>
        <w:t>KVALITATÍVNE</w:t>
      </w:r>
      <w:r w:rsidR="00347034" w:rsidRPr="00F85275">
        <w:rPr>
          <w:lang w:val="sk-SK"/>
        </w:rPr>
        <w:t xml:space="preserve"> a </w:t>
      </w:r>
      <w:r w:rsidRPr="00F85275">
        <w:rPr>
          <w:lang w:val="sk-SK"/>
        </w:rPr>
        <w:t>KVANTITATÍVNE ZLOŽENIE</w:t>
      </w:r>
    </w:p>
    <w:p w14:paraId="1FE49B31" w14:textId="06810CA4" w:rsidR="00BF3C25" w:rsidRPr="00F85275" w:rsidRDefault="002B4D0B" w:rsidP="00BF3C25">
      <w:pPr>
        <w:widowControl w:val="0"/>
        <w:tabs>
          <w:tab w:val="left" w:pos="0"/>
        </w:tabs>
        <w:rPr>
          <w:color w:val="000000"/>
          <w:lang w:val="sk-SK"/>
        </w:rPr>
      </w:pPr>
      <w:r w:rsidRPr="00F85275">
        <w:rPr>
          <w:lang w:val="sk-SK"/>
        </w:rPr>
        <w:t>MEDOPEXOL 0,18</w:t>
      </w:r>
      <w:r w:rsidR="00347034" w:rsidRPr="00F85275">
        <w:rPr>
          <w:lang w:val="sk-SK"/>
        </w:rPr>
        <w:t> mg</w:t>
      </w:r>
      <w:r w:rsidRPr="00F85275">
        <w:rPr>
          <w:lang w:val="sk-SK"/>
        </w:rPr>
        <w:t xml:space="preserve">: </w:t>
      </w:r>
      <w:r w:rsidR="00F85275" w:rsidRPr="00F85275">
        <w:rPr>
          <w:lang w:val="sk-SK"/>
        </w:rPr>
        <w:t xml:space="preserve">Jedna </w:t>
      </w:r>
      <w:r w:rsidRPr="00F85275">
        <w:rPr>
          <w:lang w:val="sk-SK"/>
        </w:rPr>
        <w:t xml:space="preserve">tableta obsahuje </w:t>
      </w:r>
      <w:r w:rsidR="00BF3C25" w:rsidRPr="00F85275">
        <w:rPr>
          <w:color w:val="000000"/>
          <w:lang w:val="sk-SK"/>
        </w:rPr>
        <w:t>0,25 mg monohydrátu pramipexoliumdichloridu</w:t>
      </w:r>
      <w:r w:rsidR="00BF3C25" w:rsidRPr="00F85275">
        <w:rPr>
          <w:lang w:val="sk-SK"/>
        </w:rPr>
        <w:t xml:space="preserve">, čo zodpovedá </w:t>
      </w:r>
      <w:r w:rsidRPr="00F85275">
        <w:rPr>
          <w:lang w:val="sk-SK"/>
        </w:rPr>
        <w:t>0,18</w:t>
      </w:r>
      <w:r w:rsidR="00347034" w:rsidRPr="00F85275">
        <w:rPr>
          <w:lang w:val="sk-SK"/>
        </w:rPr>
        <w:t> mg</w:t>
      </w:r>
      <w:r w:rsidRPr="00F85275">
        <w:rPr>
          <w:lang w:val="sk-SK"/>
        </w:rPr>
        <w:t xml:space="preserve"> bázy pramipexolu.</w:t>
      </w:r>
      <w:r w:rsidR="00BF3C25" w:rsidRPr="00F85275">
        <w:rPr>
          <w:color w:val="000000"/>
          <w:lang w:val="sk-SK"/>
        </w:rPr>
        <w:t xml:space="preserve"> </w:t>
      </w:r>
    </w:p>
    <w:p w14:paraId="67541C44" w14:textId="7161E13D" w:rsidR="002B4D0B" w:rsidRPr="00F85275" w:rsidRDefault="002B4D0B" w:rsidP="00A67EA0">
      <w:pPr>
        <w:pStyle w:val="Normlndobloku"/>
      </w:pPr>
    </w:p>
    <w:p w14:paraId="20CD41B5" w14:textId="1FCE95DE" w:rsidR="002B4D0B" w:rsidRPr="00F85275" w:rsidRDefault="002B4D0B" w:rsidP="00301480">
      <w:pPr>
        <w:spacing w:after="240"/>
        <w:rPr>
          <w:szCs w:val="22"/>
          <w:lang w:val="sk-SK"/>
        </w:rPr>
      </w:pPr>
      <w:r w:rsidRPr="00F85275">
        <w:rPr>
          <w:szCs w:val="22"/>
          <w:lang w:val="sk-SK"/>
        </w:rPr>
        <w:t>MEDOPEXOL 0,7</w:t>
      </w:r>
      <w:r w:rsidR="00347034" w:rsidRPr="00F85275">
        <w:rPr>
          <w:szCs w:val="22"/>
          <w:lang w:val="sk-SK"/>
        </w:rPr>
        <w:t> mg</w:t>
      </w:r>
      <w:r w:rsidRPr="00F85275">
        <w:rPr>
          <w:szCs w:val="22"/>
          <w:lang w:val="sk-SK"/>
        </w:rPr>
        <w:t xml:space="preserve">: </w:t>
      </w:r>
      <w:r w:rsidR="00F85275" w:rsidRPr="00F85275">
        <w:rPr>
          <w:lang w:val="sk-SK"/>
        </w:rPr>
        <w:t>Jedna</w:t>
      </w:r>
      <w:r w:rsidRPr="00F85275">
        <w:rPr>
          <w:szCs w:val="22"/>
          <w:lang w:val="sk-SK"/>
        </w:rPr>
        <w:t xml:space="preserve"> tableta obsahuje </w:t>
      </w:r>
      <w:r w:rsidR="00BF3C25" w:rsidRPr="00F85275">
        <w:rPr>
          <w:color w:val="000000"/>
          <w:lang w:val="sk-SK"/>
        </w:rPr>
        <w:t>1,0 mg monohydrátu pramipexoliumdichloridu</w:t>
      </w:r>
      <w:r w:rsidR="00BF3C25" w:rsidRPr="00F85275">
        <w:rPr>
          <w:lang w:val="sk-SK"/>
        </w:rPr>
        <w:t xml:space="preserve">, čo zodpovedá </w:t>
      </w:r>
      <w:r w:rsidRPr="00F85275">
        <w:rPr>
          <w:szCs w:val="22"/>
          <w:lang w:val="sk-SK"/>
        </w:rPr>
        <w:t>0,7</w:t>
      </w:r>
      <w:r w:rsidR="00347034" w:rsidRPr="00F85275">
        <w:rPr>
          <w:szCs w:val="22"/>
          <w:lang w:val="sk-SK"/>
        </w:rPr>
        <w:t> mg</w:t>
      </w:r>
      <w:r w:rsidRPr="00F85275">
        <w:rPr>
          <w:szCs w:val="22"/>
          <w:lang w:val="sk-SK"/>
        </w:rPr>
        <w:t xml:space="preserve"> bázy pramipexolu.</w:t>
      </w:r>
    </w:p>
    <w:p w14:paraId="7D5E90E5" w14:textId="77777777" w:rsidR="002B4D0B" w:rsidRPr="00F85275" w:rsidRDefault="002B4D0B" w:rsidP="00A67EA0">
      <w:pPr>
        <w:pStyle w:val="Styl3"/>
      </w:pPr>
      <w:r w:rsidRPr="00F85275">
        <w:t>Poznámka</w:t>
      </w:r>
    </w:p>
    <w:p w14:paraId="2FE9A0B8" w14:textId="11162828" w:rsidR="002B4D0B" w:rsidRPr="00F85275" w:rsidRDefault="002B4D0B" w:rsidP="00A67EA0">
      <w:pPr>
        <w:pStyle w:val="Normlndobloku"/>
      </w:pPr>
      <w:r w:rsidRPr="00F85275">
        <w:t>Dávky pramipexolu publikované</w:t>
      </w:r>
      <w:r w:rsidR="00347034" w:rsidRPr="00F85275">
        <w:t xml:space="preserve"> v </w:t>
      </w:r>
      <w:r w:rsidRPr="00F85275">
        <w:t>literatúre sa vzťahujú na formu soli. Preto sa dávkovanie udáva ako pramipexolová báza aj soľ pramipexolu (v</w:t>
      </w:r>
      <w:r w:rsidR="008E0B2D" w:rsidRPr="00F85275">
        <w:t> </w:t>
      </w:r>
      <w:r w:rsidRPr="00F85275">
        <w:t>zátvorkách).</w:t>
      </w:r>
    </w:p>
    <w:p w14:paraId="30C792AE" w14:textId="77777777" w:rsidR="002B4D0B" w:rsidRPr="00F85275" w:rsidRDefault="002B4D0B" w:rsidP="00A67EA0">
      <w:pPr>
        <w:pStyle w:val="Normlndobloku"/>
      </w:pPr>
      <w:r w:rsidRPr="00F85275">
        <w:t>Úplný zoznam pomocných látok, pozri časť 6.1.</w:t>
      </w:r>
    </w:p>
    <w:p w14:paraId="7352DCE6" w14:textId="01959795" w:rsidR="002B4D0B" w:rsidRPr="00F85275" w:rsidRDefault="002B4D0B" w:rsidP="002B4D0B">
      <w:pPr>
        <w:pStyle w:val="Styl1"/>
        <w:rPr>
          <w:lang w:val="sk-SK"/>
        </w:rPr>
      </w:pPr>
      <w:r w:rsidRPr="00F85275">
        <w:rPr>
          <w:lang w:val="sk-SK"/>
        </w:rPr>
        <w:t>LIEKOVÁ FORMA</w:t>
      </w:r>
    </w:p>
    <w:p w14:paraId="7982F936" w14:textId="198AB2AF" w:rsidR="002B4D0B" w:rsidRPr="00F85275" w:rsidRDefault="002B4D0B" w:rsidP="00A67EA0">
      <w:pPr>
        <w:pStyle w:val="Normlndobloku"/>
      </w:pPr>
      <w:r w:rsidRPr="00F85275">
        <w:t>Tableta</w:t>
      </w:r>
    </w:p>
    <w:p w14:paraId="309F9450" w14:textId="0FE6B63E" w:rsidR="002B4D0B" w:rsidRPr="00F85275" w:rsidRDefault="002B4D0B" w:rsidP="00A67EA0">
      <w:pPr>
        <w:pStyle w:val="Normlndobloku"/>
      </w:pPr>
      <w:r w:rsidRPr="00F85275">
        <w:t>MEDOPEXOL 0,18</w:t>
      </w:r>
      <w:r w:rsidR="00347034" w:rsidRPr="00F85275">
        <w:t> mg</w:t>
      </w:r>
      <w:r w:rsidRPr="00F85275">
        <w:t xml:space="preserve"> tablety: biele bikonvexné oválne tablety</w:t>
      </w:r>
      <w:r w:rsidR="00347034" w:rsidRPr="00F85275">
        <w:t xml:space="preserve"> s </w:t>
      </w:r>
      <w:r w:rsidRPr="00F85275">
        <w:t>deliacou ryhou na obidvoch stranách (rozmery cca 8</w:t>
      </w:r>
      <w:r w:rsidR="008E0B2D" w:rsidRPr="00F85275">
        <w:t> </w:t>
      </w:r>
      <w:r w:rsidRPr="00F85275">
        <w:t>mm x 4</w:t>
      </w:r>
      <w:r w:rsidR="008E0B2D" w:rsidRPr="00F85275">
        <w:t> </w:t>
      </w:r>
      <w:r w:rsidRPr="00F85275">
        <w:t>mm) Tableta sa môže rozdeliť na rovnaké dávky.</w:t>
      </w:r>
    </w:p>
    <w:p w14:paraId="7509991A" w14:textId="20EA224C" w:rsidR="002B4D0B" w:rsidRPr="00F85275" w:rsidRDefault="002B4D0B" w:rsidP="00A67EA0">
      <w:pPr>
        <w:pStyle w:val="Normlndobloku"/>
      </w:pPr>
      <w:r w:rsidRPr="00F85275">
        <w:t>MEDOPEXOL 0,7</w:t>
      </w:r>
      <w:r w:rsidR="00347034" w:rsidRPr="00F85275">
        <w:t> mg</w:t>
      </w:r>
      <w:r w:rsidRPr="00F85275">
        <w:t xml:space="preserve"> tablety: biele, okrúhle, ploché tablety</w:t>
      </w:r>
      <w:r w:rsidR="00347034" w:rsidRPr="00F85275">
        <w:t xml:space="preserve"> s </w:t>
      </w:r>
      <w:r w:rsidRPr="00F85275">
        <w:t>deliacou ryhou na jednej strane (priemer cca 9</w:t>
      </w:r>
      <w:r w:rsidR="008E0B2D" w:rsidRPr="00F85275">
        <w:t> </w:t>
      </w:r>
      <w:r w:rsidRPr="00F85275">
        <w:t>mm). Tableta sa môže rozdeliť na rovnaké dávky.</w:t>
      </w:r>
    </w:p>
    <w:p w14:paraId="0C4364B2" w14:textId="1FD1E053" w:rsidR="002B4D0B" w:rsidRPr="00F85275" w:rsidRDefault="002B4D0B" w:rsidP="002B4D0B">
      <w:pPr>
        <w:pStyle w:val="Styl1"/>
        <w:rPr>
          <w:lang w:val="sk-SK"/>
        </w:rPr>
      </w:pPr>
      <w:r w:rsidRPr="00F85275">
        <w:rPr>
          <w:lang w:val="sk-SK"/>
        </w:rPr>
        <w:t>KLINICKÉ ÚDAJE</w:t>
      </w:r>
    </w:p>
    <w:p w14:paraId="107ACA06" w14:textId="44A17AC0" w:rsidR="002B4D0B" w:rsidRPr="00F85275" w:rsidRDefault="002B4D0B" w:rsidP="002B4D0B">
      <w:pPr>
        <w:pStyle w:val="Styl2"/>
        <w:rPr>
          <w:lang w:val="sk-SK"/>
        </w:rPr>
      </w:pPr>
      <w:r w:rsidRPr="00F85275">
        <w:rPr>
          <w:lang w:val="sk-SK"/>
        </w:rPr>
        <w:t>Terapeutické indikácie</w:t>
      </w:r>
    </w:p>
    <w:p w14:paraId="51A4F4FC" w14:textId="176B47B1" w:rsidR="002B4D0B" w:rsidRPr="00F85275" w:rsidRDefault="002B4D0B" w:rsidP="00A67EA0">
      <w:pPr>
        <w:pStyle w:val="Normlndobloku"/>
      </w:pPr>
      <w:r w:rsidRPr="00F85275">
        <w:t>MEDOPEXOL je indikovaný dospelým na liečbu príznakov</w:t>
      </w:r>
      <w:r w:rsidR="00347034" w:rsidRPr="00F85275">
        <w:t xml:space="preserve"> a </w:t>
      </w:r>
      <w:r w:rsidRPr="00F85275">
        <w:t>symptómov idiopatickej Parkinsonovej choroby, samotný (bez levodopy) alebo</w:t>
      </w:r>
      <w:r w:rsidR="00347034" w:rsidRPr="00F85275">
        <w:t xml:space="preserve"> v </w:t>
      </w:r>
      <w:r w:rsidRPr="00F85275">
        <w:t>kombinácii</w:t>
      </w:r>
      <w:r w:rsidR="00347034" w:rsidRPr="00F85275">
        <w:t xml:space="preserve"> s </w:t>
      </w:r>
      <w:r w:rsidRPr="00F85275">
        <w:t>levodopou, t.j. počas priebehu choroby k</w:t>
      </w:r>
      <w:r w:rsidR="008E0B2D" w:rsidRPr="00F85275">
        <w:t> </w:t>
      </w:r>
      <w:r w:rsidRPr="00F85275">
        <w:t>neskorým štádiám, keď účinok levodopy slabne alebo sa stáva nepravidelný a objavujú sa výkyvy liečebného efektu (dosiahnutie hornej hranice dávky alebo striedanie stavov „on-off“).</w:t>
      </w:r>
    </w:p>
    <w:p w14:paraId="40575937" w14:textId="25A62374" w:rsidR="002B4D0B" w:rsidRPr="00F85275" w:rsidRDefault="002B4D0B" w:rsidP="002B4D0B">
      <w:pPr>
        <w:pStyle w:val="Styl2"/>
        <w:rPr>
          <w:lang w:val="sk-SK"/>
        </w:rPr>
      </w:pPr>
      <w:r w:rsidRPr="00F85275">
        <w:rPr>
          <w:lang w:val="sk-SK"/>
        </w:rPr>
        <w:t>Dávkovanie</w:t>
      </w:r>
      <w:r w:rsidR="00347034" w:rsidRPr="00F85275">
        <w:rPr>
          <w:lang w:val="sk-SK"/>
        </w:rPr>
        <w:t xml:space="preserve"> a </w:t>
      </w:r>
      <w:r w:rsidRPr="00F85275">
        <w:rPr>
          <w:lang w:val="sk-SK"/>
        </w:rPr>
        <w:t>spôsob podávania</w:t>
      </w:r>
    </w:p>
    <w:p w14:paraId="72065B82" w14:textId="48E1E30E" w:rsidR="002B4D0B" w:rsidRPr="00F85275" w:rsidRDefault="002B4D0B" w:rsidP="00A67EA0">
      <w:pPr>
        <w:pStyle w:val="Normlndobloku"/>
      </w:pPr>
      <w:r w:rsidRPr="00F85275">
        <w:t>Pre dávkovanie, ktoré nemožno dosiahnuť</w:t>
      </w:r>
      <w:r w:rsidR="00347034" w:rsidRPr="00F85275">
        <w:t xml:space="preserve"> s </w:t>
      </w:r>
      <w:r w:rsidRPr="00F85275">
        <w:t>liekom MEDOPEXOL, sú</w:t>
      </w:r>
      <w:r w:rsidR="00347034" w:rsidRPr="00F85275">
        <w:t xml:space="preserve"> k </w:t>
      </w:r>
      <w:r w:rsidRPr="00F85275">
        <w:t>dispozícii ďalšie sily iných liekov</w:t>
      </w:r>
      <w:r w:rsidR="00347034" w:rsidRPr="00F85275">
        <w:t xml:space="preserve"> s </w:t>
      </w:r>
      <w:r w:rsidRPr="00F85275">
        <w:t>obsahom pramipexolu.</w:t>
      </w:r>
    </w:p>
    <w:p w14:paraId="78F183D5" w14:textId="50CBBD49" w:rsidR="002B4D0B" w:rsidRPr="00F85275" w:rsidRDefault="002B4D0B" w:rsidP="002B4D0B">
      <w:pPr>
        <w:pStyle w:val="Styl5"/>
        <w:rPr>
          <w:lang w:val="sk-SK"/>
        </w:rPr>
      </w:pPr>
      <w:r w:rsidRPr="00F85275">
        <w:rPr>
          <w:lang w:val="sk-SK"/>
        </w:rPr>
        <w:t>Dávkovanie</w:t>
      </w:r>
    </w:p>
    <w:p w14:paraId="248DECCF" w14:textId="6361C771" w:rsidR="002B4D0B" w:rsidRPr="00F85275" w:rsidRDefault="002B4D0B" w:rsidP="00A67EA0">
      <w:pPr>
        <w:pStyle w:val="Normlndobloku"/>
      </w:pPr>
      <w:r w:rsidRPr="00F85275">
        <w:t>Denná dávka sa podáva rozdelená na tri rovnaké časti trikrát denne.</w:t>
      </w:r>
    </w:p>
    <w:p w14:paraId="73C297AA" w14:textId="77777777" w:rsidR="002B4D0B" w:rsidRPr="00F85275" w:rsidRDefault="002B4D0B" w:rsidP="00A67EA0">
      <w:pPr>
        <w:pStyle w:val="Styl3"/>
      </w:pPr>
      <w:r w:rsidRPr="00F85275">
        <w:t>Začiatok liečby</w:t>
      </w:r>
    </w:p>
    <w:p w14:paraId="0B414621" w14:textId="693B8918" w:rsidR="002B4D0B" w:rsidRPr="00F85275" w:rsidRDefault="002B4D0B" w:rsidP="00A67EA0">
      <w:pPr>
        <w:pStyle w:val="Normlndobloku"/>
      </w:pPr>
      <w:r w:rsidRPr="00F85275">
        <w:t xml:space="preserve">Dávka sa má zvyšovať postupne, každých 5 – 7 dní, s </w:t>
      </w:r>
      <w:r w:rsidR="00F41931" w:rsidRPr="00F85275">
        <w:t>úvodnou</w:t>
      </w:r>
      <w:r w:rsidRPr="00F85275">
        <w:t xml:space="preserve"> dávkou 0,264</w:t>
      </w:r>
      <w:r w:rsidR="00347034" w:rsidRPr="00F85275">
        <w:t> mg</w:t>
      </w:r>
      <w:r w:rsidRPr="00F85275">
        <w:t xml:space="preserve"> bázy (0,375</w:t>
      </w:r>
      <w:r w:rsidR="00347034" w:rsidRPr="00F85275">
        <w:t> mg</w:t>
      </w:r>
      <w:r w:rsidRPr="00F85275">
        <w:t xml:space="preserve"> soli) denne. Pokiaľ pacienti netrpia žiadnymi neúnosnými nežiaducimi účinkami, dávka má byť titrovaná tak, aby sa dosiahlo maximálneho terapeutického účinku.</w:t>
      </w:r>
    </w:p>
    <w:p w14:paraId="182F0F48" w14:textId="77777777" w:rsidR="002B4D0B" w:rsidRPr="00F85275" w:rsidRDefault="002B4D0B" w:rsidP="00A67EA0">
      <w:pPr>
        <w:pStyle w:val="Normlndobloku"/>
      </w:pPr>
    </w:p>
    <w:tbl>
      <w:tblPr>
        <w:tblpPr w:leftFromText="142" w:rightFromText="142" w:bottomFromText="284"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99"/>
        <w:gridCol w:w="1900"/>
        <w:gridCol w:w="1899"/>
        <w:gridCol w:w="1900"/>
        <w:gridCol w:w="1900"/>
      </w:tblGrid>
      <w:tr w:rsidR="002B4D0B" w:rsidRPr="00F85275" w14:paraId="2408E284" w14:textId="77777777" w:rsidTr="00301480">
        <w:tc>
          <w:tcPr>
            <w:tcW w:w="9498" w:type="dxa"/>
            <w:gridSpan w:val="5"/>
            <w:tcBorders>
              <w:top w:val="single" w:sz="4" w:space="0" w:color="auto"/>
              <w:left w:val="single" w:sz="4" w:space="0" w:color="auto"/>
              <w:bottom w:val="single" w:sz="4" w:space="0" w:color="auto"/>
              <w:right w:val="single" w:sz="4" w:space="0" w:color="auto"/>
            </w:tcBorders>
            <w:vAlign w:val="center"/>
          </w:tcPr>
          <w:p w14:paraId="575CF3FC" w14:textId="2C074366" w:rsidR="002B4D0B" w:rsidRPr="00F85275" w:rsidRDefault="002B4D0B" w:rsidP="00301480">
            <w:pPr>
              <w:pStyle w:val="Nadpisuvnittabulky"/>
              <w:rPr>
                <w:lang w:val="sk-SK"/>
              </w:rPr>
            </w:pPr>
            <w:r w:rsidRPr="00F85275">
              <w:rPr>
                <w:lang w:val="sk-SK"/>
              </w:rPr>
              <w:lastRenderedPageBreak/>
              <w:t>Vzostupná dávkovacia schéma lieku MEDOPEXOL</w:t>
            </w:r>
          </w:p>
        </w:tc>
      </w:tr>
      <w:tr w:rsidR="002B4D0B" w:rsidRPr="00F85275" w14:paraId="3666F956"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03E69EE0" w14:textId="77777777" w:rsidR="002B4D0B" w:rsidRPr="00F85275" w:rsidRDefault="002B4D0B" w:rsidP="00A67EA0">
            <w:pPr>
              <w:pStyle w:val="Tabulkynormlndoblokuzarovnndoleva"/>
            </w:pPr>
            <w:r w:rsidRPr="00F85275">
              <w:t>Týždeň</w:t>
            </w:r>
          </w:p>
        </w:tc>
        <w:tc>
          <w:tcPr>
            <w:tcW w:w="1900" w:type="dxa"/>
            <w:tcBorders>
              <w:top w:val="single" w:sz="4" w:space="0" w:color="auto"/>
              <w:left w:val="single" w:sz="4" w:space="0" w:color="auto"/>
              <w:bottom w:val="single" w:sz="4" w:space="0" w:color="auto"/>
              <w:right w:val="single" w:sz="4" w:space="0" w:color="auto"/>
            </w:tcBorders>
            <w:vAlign w:val="center"/>
          </w:tcPr>
          <w:p w14:paraId="41699E57" w14:textId="77777777" w:rsidR="002B4D0B" w:rsidRPr="00F85275" w:rsidRDefault="002B4D0B" w:rsidP="00A67EA0">
            <w:pPr>
              <w:pStyle w:val="Tabulkynormlndoblokuzarovnndoleva"/>
            </w:pPr>
            <w:r w:rsidRPr="00F85275">
              <w:t>Dávkovanie (mg pramipexolu bázy)</w:t>
            </w:r>
          </w:p>
        </w:tc>
        <w:tc>
          <w:tcPr>
            <w:tcW w:w="1899" w:type="dxa"/>
            <w:tcBorders>
              <w:top w:val="single" w:sz="4" w:space="0" w:color="auto"/>
              <w:left w:val="single" w:sz="4" w:space="0" w:color="auto"/>
              <w:bottom w:val="single" w:sz="4" w:space="0" w:color="auto"/>
              <w:right w:val="single" w:sz="4" w:space="0" w:color="auto"/>
            </w:tcBorders>
            <w:vAlign w:val="center"/>
          </w:tcPr>
          <w:p w14:paraId="0BEC3478" w14:textId="77777777" w:rsidR="002B4D0B" w:rsidRPr="00F85275" w:rsidRDefault="002B4D0B" w:rsidP="00A67EA0">
            <w:pPr>
              <w:pStyle w:val="Tabulkynormlndoblokuzarovnndoleva"/>
            </w:pPr>
            <w:r w:rsidRPr="00F85275">
              <w:t>Celková denná dávka</w:t>
            </w:r>
          </w:p>
          <w:p w14:paraId="7FA5904B" w14:textId="77777777" w:rsidR="002B4D0B" w:rsidRPr="00F85275" w:rsidRDefault="002B4D0B" w:rsidP="00A67EA0">
            <w:pPr>
              <w:pStyle w:val="Tabulkynormlndoblokuzarovnndoleva"/>
            </w:pPr>
            <w:r w:rsidRPr="00F85275">
              <w:t>(mg pramipexolu bázy)</w:t>
            </w:r>
          </w:p>
        </w:tc>
        <w:tc>
          <w:tcPr>
            <w:tcW w:w="1900" w:type="dxa"/>
            <w:tcBorders>
              <w:top w:val="single" w:sz="4" w:space="0" w:color="auto"/>
              <w:left w:val="single" w:sz="4" w:space="0" w:color="auto"/>
              <w:bottom w:val="single" w:sz="4" w:space="0" w:color="auto"/>
              <w:right w:val="single" w:sz="4" w:space="0" w:color="auto"/>
            </w:tcBorders>
            <w:vAlign w:val="center"/>
          </w:tcPr>
          <w:p w14:paraId="0D9D9000" w14:textId="77777777" w:rsidR="002B4D0B" w:rsidRPr="00F85275" w:rsidRDefault="002B4D0B" w:rsidP="00A67EA0">
            <w:pPr>
              <w:pStyle w:val="Tabulkynormlndoblokuzarovnndoleva"/>
            </w:pPr>
            <w:r w:rsidRPr="00F85275">
              <w:t>Dávkovanie</w:t>
            </w:r>
          </w:p>
          <w:p w14:paraId="70AA0220" w14:textId="77777777" w:rsidR="002B4D0B" w:rsidRPr="00F85275" w:rsidRDefault="002B4D0B" w:rsidP="00A67EA0">
            <w:pPr>
              <w:pStyle w:val="Tabulkynormlndoblokuzarovnndoleva"/>
            </w:pPr>
            <w:r w:rsidRPr="00F85275">
              <w:t>(mg soli pramipexolu)</w:t>
            </w:r>
          </w:p>
        </w:tc>
        <w:tc>
          <w:tcPr>
            <w:tcW w:w="1900" w:type="dxa"/>
            <w:tcBorders>
              <w:top w:val="single" w:sz="4" w:space="0" w:color="auto"/>
              <w:left w:val="single" w:sz="4" w:space="0" w:color="auto"/>
              <w:bottom w:val="single" w:sz="4" w:space="0" w:color="auto"/>
              <w:right w:val="single" w:sz="4" w:space="0" w:color="auto"/>
            </w:tcBorders>
            <w:vAlign w:val="center"/>
          </w:tcPr>
          <w:p w14:paraId="45207352" w14:textId="77777777" w:rsidR="002B4D0B" w:rsidRPr="00F85275" w:rsidRDefault="002B4D0B" w:rsidP="00A67EA0">
            <w:pPr>
              <w:pStyle w:val="Tabulkynormlndoblokuzarovnndoleva"/>
            </w:pPr>
            <w:r w:rsidRPr="00F85275">
              <w:t>Celková denná dávka</w:t>
            </w:r>
          </w:p>
          <w:p w14:paraId="08F4E7A2" w14:textId="77777777" w:rsidR="002B4D0B" w:rsidRPr="00F85275" w:rsidRDefault="002B4D0B" w:rsidP="00A67EA0">
            <w:pPr>
              <w:pStyle w:val="Tabulkynormlndoblokuzarovnndoleva"/>
            </w:pPr>
            <w:r w:rsidRPr="00F85275">
              <w:t>(mg soli pramipexolu )</w:t>
            </w:r>
          </w:p>
        </w:tc>
      </w:tr>
      <w:tr w:rsidR="002B4D0B" w:rsidRPr="00F85275" w14:paraId="097C16B1"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277816A9" w14:textId="77777777" w:rsidR="002B4D0B" w:rsidRPr="00F85275" w:rsidRDefault="002B4D0B" w:rsidP="00A67EA0">
            <w:pPr>
              <w:pStyle w:val="Tabulkynormlndoblokuzarovnndoleva"/>
            </w:pPr>
            <w:r w:rsidRPr="00F85275">
              <w:t>1</w:t>
            </w:r>
          </w:p>
        </w:tc>
        <w:tc>
          <w:tcPr>
            <w:tcW w:w="1900" w:type="dxa"/>
            <w:tcBorders>
              <w:top w:val="single" w:sz="4" w:space="0" w:color="auto"/>
              <w:left w:val="single" w:sz="4" w:space="0" w:color="auto"/>
              <w:bottom w:val="single" w:sz="4" w:space="0" w:color="auto"/>
              <w:right w:val="single" w:sz="4" w:space="0" w:color="auto"/>
            </w:tcBorders>
            <w:vAlign w:val="center"/>
          </w:tcPr>
          <w:p w14:paraId="450A10A2" w14:textId="77777777" w:rsidR="002B4D0B" w:rsidRPr="00F85275" w:rsidRDefault="002B4D0B" w:rsidP="00A67EA0">
            <w:pPr>
              <w:pStyle w:val="Tabulkynormlndoblokuzarovnndoleva"/>
            </w:pPr>
            <w:r w:rsidRPr="00F85275">
              <w:t>3 x 0,088</w:t>
            </w:r>
          </w:p>
        </w:tc>
        <w:tc>
          <w:tcPr>
            <w:tcW w:w="1899" w:type="dxa"/>
            <w:tcBorders>
              <w:top w:val="single" w:sz="4" w:space="0" w:color="auto"/>
              <w:left w:val="single" w:sz="4" w:space="0" w:color="auto"/>
              <w:bottom w:val="single" w:sz="4" w:space="0" w:color="auto"/>
              <w:right w:val="single" w:sz="4" w:space="0" w:color="auto"/>
            </w:tcBorders>
            <w:vAlign w:val="center"/>
          </w:tcPr>
          <w:p w14:paraId="2E2CFC61" w14:textId="77777777" w:rsidR="002B4D0B" w:rsidRPr="00F85275" w:rsidRDefault="002B4D0B" w:rsidP="00A67EA0">
            <w:pPr>
              <w:pStyle w:val="Tabulkynormlndoblokuzarovnndoleva"/>
            </w:pPr>
            <w:r w:rsidRPr="00F85275">
              <w:t>0,264</w:t>
            </w:r>
          </w:p>
        </w:tc>
        <w:tc>
          <w:tcPr>
            <w:tcW w:w="1900" w:type="dxa"/>
            <w:tcBorders>
              <w:top w:val="single" w:sz="4" w:space="0" w:color="auto"/>
              <w:left w:val="single" w:sz="4" w:space="0" w:color="auto"/>
              <w:bottom w:val="single" w:sz="4" w:space="0" w:color="auto"/>
              <w:right w:val="single" w:sz="4" w:space="0" w:color="auto"/>
            </w:tcBorders>
            <w:vAlign w:val="center"/>
          </w:tcPr>
          <w:p w14:paraId="0EDAF3CD" w14:textId="77777777" w:rsidR="002B4D0B" w:rsidRPr="00F85275" w:rsidRDefault="002B4D0B" w:rsidP="00A67EA0">
            <w:pPr>
              <w:pStyle w:val="Tabulkynormlndoblokuzarovnndoleva"/>
            </w:pPr>
            <w:r w:rsidRPr="00F85275">
              <w:t>3 x 0,125</w:t>
            </w:r>
          </w:p>
        </w:tc>
        <w:tc>
          <w:tcPr>
            <w:tcW w:w="1900" w:type="dxa"/>
            <w:tcBorders>
              <w:top w:val="single" w:sz="4" w:space="0" w:color="auto"/>
              <w:left w:val="single" w:sz="4" w:space="0" w:color="auto"/>
              <w:bottom w:val="single" w:sz="4" w:space="0" w:color="auto"/>
              <w:right w:val="single" w:sz="4" w:space="0" w:color="auto"/>
            </w:tcBorders>
            <w:vAlign w:val="center"/>
          </w:tcPr>
          <w:p w14:paraId="00C7BBCB" w14:textId="77777777" w:rsidR="002B4D0B" w:rsidRPr="00F85275" w:rsidRDefault="002B4D0B" w:rsidP="00A67EA0">
            <w:pPr>
              <w:pStyle w:val="Tabulkynormlndoblokuzarovnndoleva"/>
            </w:pPr>
            <w:r w:rsidRPr="00F85275">
              <w:t>0,375</w:t>
            </w:r>
          </w:p>
        </w:tc>
      </w:tr>
      <w:tr w:rsidR="002B4D0B" w:rsidRPr="00F85275" w14:paraId="435BD882"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787F43C3" w14:textId="77777777" w:rsidR="002B4D0B" w:rsidRPr="00F85275" w:rsidRDefault="002B4D0B" w:rsidP="00A67EA0">
            <w:pPr>
              <w:pStyle w:val="Tabulkynormlndoblokuzarovnndoleva"/>
            </w:pPr>
            <w:r w:rsidRPr="00F85275">
              <w:t>2</w:t>
            </w:r>
          </w:p>
        </w:tc>
        <w:tc>
          <w:tcPr>
            <w:tcW w:w="1900" w:type="dxa"/>
            <w:tcBorders>
              <w:top w:val="single" w:sz="4" w:space="0" w:color="auto"/>
              <w:left w:val="single" w:sz="4" w:space="0" w:color="auto"/>
              <w:bottom w:val="single" w:sz="4" w:space="0" w:color="auto"/>
              <w:right w:val="single" w:sz="4" w:space="0" w:color="auto"/>
            </w:tcBorders>
            <w:vAlign w:val="center"/>
          </w:tcPr>
          <w:p w14:paraId="455795C6" w14:textId="77777777" w:rsidR="002B4D0B" w:rsidRPr="00F85275" w:rsidRDefault="002B4D0B" w:rsidP="00A67EA0">
            <w:pPr>
              <w:pStyle w:val="Tabulkynormlndoblokuzarovnndoleva"/>
            </w:pPr>
            <w:r w:rsidRPr="00F85275">
              <w:t>3 x 0,18</w:t>
            </w:r>
          </w:p>
        </w:tc>
        <w:tc>
          <w:tcPr>
            <w:tcW w:w="1899" w:type="dxa"/>
            <w:tcBorders>
              <w:top w:val="single" w:sz="4" w:space="0" w:color="auto"/>
              <w:left w:val="single" w:sz="4" w:space="0" w:color="auto"/>
              <w:bottom w:val="single" w:sz="4" w:space="0" w:color="auto"/>
              <w:right w:val="single" w:sz="4" w:space="0" w:color="auto"/>
            </w:tcBorders>
            <w:vAlign w:val="center"/>
          </w:tcPr>
          <w:p w14:paraId="4C19ADD0" w14:textId="77777777" w:rsidR="002B4D0B" w:rsidRPr="00F85275" w:rsidRDefault="002B4D0B" w:rsidP="00A67EA0">
            <w:pPr>
              <w:pStyle w:val="Tabulkynormlndoblokuzarovnndoleva"/>
            </w:pPr>
            <w:r w:rsidRPr="00F85275">
              <w:t>0,54</w:t>
            </w:r>
          </w:p>
        </w:tc>
        <w:tc>
          <w:tcPr>
            <w:tcW w:w="1900" w:type="dxa"/>
            <w:tcBorders>
              <w:top w:val="single" w:sz="4" w:space="0" w:color="auto"/>
              <w:left w:val="single" w:sz="4" w:space="0" w:color="auto"/>
              <w:bottom w:val="single" w:sz="4" w:space="0" w:color="auto"/>
              <w:right w:val="single" w:sz="4" w:space="0" w:color="auto"/>
            </w:tcBorders>
            <w:vAlign w:val="center"/>
          </w:tcPr>
          <w:p w14:paraId="102DD916" w14:textId="77777777" w:rsidR="002B4D0B" w:rsidRPr="00F85275" w:rsidRDefault="002B4D0B" w:rsidP="00A67EA0">
            <w:pPr>
              <w:pStyle w:val="Tabulkynormlndoblokuzarovnndoleva"/>
            </w:pPr>
            <w:r w:rsidRPr="00F85275">
              <w:t>3 x 0,25</w:t>
            </w:r>
          </w:p>
        </w:tc>
        <w:tc>
          <w:tcPr>
            <w:tcW w:w="1900" w:type="dxa"/>
            <w:tcBorders>
              <w:top w:val="single" w:sz="4" w:space="0" w:color="auto"/>
              <w:left w:val="single" w:sz="4" w:space="0" w:color="auto"/>
              <w:bottom w:val="single" w:sz="4" w:space="0" w:color="auto"/>
              <w:right w:val="single" w:sz="4" w:space="0" w:color="auto"/>
            </w:tcBorders>
            <w:vAlign w:val="center"/>
          </w:tcPr>
          <w:p w14:paraId="49EDD046" w14:textId="77777777" w:rsidR="002B4D0B" w:rsidRPr="00F85275" w:rsidRDefault="002B4D0B" w:rsidP="00A67EA0">
            <w:pPr>
              <w:pStyle w:val="Tabulkynormlndoblokuzarovnndoleva"/>
            </w:pPr>
            <w:r w:rsidRPr="00F85275">
              <w:t>0,75</w:t>
            </w:r>
          </w:p>
        </w:tc>
      </w:tr>
      <w:tr w:rsidR="002B4D0B" w:rsidRPr="00F85275" w14:paraId="5795CF8F" w14:textId="77777777" w:rsidTr="00301480">
        <w:tc>
          <w:tcPr>
            <w:tcW w:w="1899" w:type="dxa"/>
            <w:tcBorders>
              <w:top w:val="single" w:sz="4" w:space="0" w:color="auto"/>
              <w:left w:val="single" w:sz="4" w:space="0" w:color="auto"/>
              <w:bottom w:val="single" w:sz="4" w:space="0" w:color="auto"/>
              <w:right w:val="single" w:sz="4" w:space="0" w:color="auto"/>
            </w:tcBorders>
            <w:vAlign w:val="center"/>
          </w:tcPr>
          <w:p w14:paraId="358DCD37" w14:textId="77777777" w:rsidR="002B4D0B" w:rsidRPr="00F85275" w:rsidRDefault="002B4D0B" w:rsidP="00A67EA0">
            <w:pPr>
              <w:pStyle w:val="Tabulkynormlndoblokuzarovnndoleva"/>
            </w:pPr>
            <w:r w:rsidRPr="00F85275">
              <w:t>3</w:t>
            </w:r>
          </w:p>
        </w:tc>
        <w:tc>
          <w:tcPr>
            <w:tcW w:w="1900" w:type="dxa"/>
            <w:tcBorders>
              <w:top w:val="single" w:sz="4" w:space="0" w:color="auto"/>
              <w:left w:val="single" w:sz="4" w:space="0" w:color="auto"/>
              <w:bottom w:val="single" w:sz="4" w:space="0" w:color="auto"/>
              <w:right w:val="single" w:sz="4" w:space="0" w:color="auto"/>
            </w:tcBorders>
            <w:vAlign w:val="center"/>
          </w:tcPr>
          <w:p w14:paraId="1C069697" w14:textId="77777777" w:rsidR="002B4D0B" w:rsidRPr="00F85275" w:rsidRDefault="002B4D0B" w:rsidP="00A67EA0">
            <w:pPr>
              <w:pStyle w:val="Tabulkynormlndoblokuzarovnndoleva"/>
            </w:pPr>
            <w:r w:rsidRPr="00F85275">
              <w:t>3 x 0,35</w:t>
            </w:r>
          </w:p>
        </w:tc>
        <w:tc>
          <w:tcPr>
            <w:tcW w:w="1899" w:type="dxa"/>
            <w:tcBorders>
              <w:top w:val="single" w:sz="4" w:space="0" w:color="auto"/>
              <w:left w:val="single" w:sz="4" w:space="0" w:color="auto"/>
              <w:bottom w:val="single" w:sz="4" w:space="0" w:color="auto"/>
              <w:right w:val="single" w:sz="4" w:space="0" w:color="auto"/>
            </w:tcBorders>
            <w:vAlign w:val="center"/>
          </w:tcPr>
          <w:p w14:paraId="43CBF001" w14:textId="77777777" w:rsidR="002B4D0B" w:rsidRPr="00F85275" w:rsidRDefault="002B4D0B" w:rsidP="00A67EA0">
            <w:pPr>
              <w:pStyle w:val="Tabulkynormlndoblokuzarovnndoleva"/>
            </w:pPr>
            <w:r w:rsidRPr="00F85275">
              <w:t>1,1</w:t>
            </w:r>
          </w:p>
        </w:tc>
        <w:tc>
          <w:tcPr>
            <w:tcW w:w="1900" w:type="dxa"/>
            <w:tcBorders>
              <w:top w:val="single" w:sz="4" w:space="0" w:color="auto"/>
              <w:left w:val="single" w:sz="4" w:space="0" w:color="auto"/>
              <w:bottom w:val="single" w:sz="4" w:space="0" w:color="auto"/>
              <w:right w:val="single" w:sz="4" w:space="0" w:color="auto"/>
            </w:tcBorders>
            <w:vAlign w:val="center"/>
          </w:tcPr>
          <w:p w14:paraId="01C32558" w14:textId="77777777" w:rsidR="002B4D0B" w:rsidRPr="00F85275" w:rsidRDefault="002B4D0B" w:rsidP="00A67EA0">
            <w:pPr>
              <w:pStyle w:val="Tabulkynormlndoblokuzarovnndoleva"/>
            </w:pPr>
            <w:r w:rsidRPr="00F85275">
              <w:t>3 x 0,5</w:t>
            </w:r>
          </w:p>
        </w:tc>
        <w:tc>
          <w:tcPr>
            <w:tcW w:w="1900" w:type="dxa"/>
            <w:tcBorders>
              <w:top w:val="single" w:sz="4" w:space="0" w:color="auto"/>
              <w:left w:val="single" w:sz="4" w:space="0" w:color="auto"/>
              <w:bottom w:val="single" w:sz="4" w:space="0" w:color="auto"/>
              <w:right w:val="single" w:sz="4" w:space="0" w:color="auto"/>
            </w:tcBorders>
            <w:vAlign w:val="center"/>
          </w:tcPr>
          <w:p w14:paraId="367C3F51" w14:textId="77777777" w:rsidR="002B4D0B" w:rsidRPr="00F85275" w:rsidRDefault="002B4D0B" w:rsidP="00A67EA0">
            <w:pPr>
              <w:pStyle w:val="Tabulkynormlndoblokuzarovnndoleva"/>
            </w:pPr>
            <w:r w:rsidRPr="00F85275">
              <w:t>1,50</w:t>
            </w:r>
          </w:p>
        </w:tc>
      </w:tr>
    </w:tbl>
    <w:p w14:paraId="78E5A075" w14:textId="2DB16630" w:rsidR="002B4D0B" w:rsidRPr="00F85275" w:rsidRDefault="002B4D0B" w:rsidP="00A67EA0">
      <w:pPr>
        <w:pStyle w:val="Normlndobloku"/>
      </w:pPr>
      <w:r w:rsidRPr="00F85275">
        <w:t>Ak je potrebné ďalšie zvyšovanie dennej dávky, má sa zvyšovať po 0,54</w:t>
      </w:r>
      <w:r w:rsidR="00347034" w:rsidRPr="00F85275">
        <w:t> mg</w:t>
      </w:r>
      <w:r w:rsidRPr="00F85275">
        <w:t xml:space="preserve"> bázy (0,75</w:t>
      </w:r>
      <w:r w:rsidR="00347034" w:rsidRPr="00F85275">
        <w:t> mg</w:t>
      </w:r>
      <w:r w:rsidRPr="00F85275">
        <w:t xml:space="preserve"> soli) v</w:t>
      </w:r>
      <w:r w:rsidR="008E0B2D" w:rsidRPr="00F85275">
        <w:t> </w:t>
      </w:r>
      <w:r w:rsidRPr="00F85275">
        <w:t>týždňových intervaloch až do maximálnej dennej dávky 3,3</w:t>
      </w:r>
      <w:r w:rsidR="00347034" w:rsidRPr="00F85275">
        <w:t> mg</w:t>
      </w:r>
      <w:r w:rsidRPr="00F85275">
        <w:t xml:space="preserve"> bázy (4,5</w:t>
      </w:r>
      <w:r w:rsidR="00347034" w:rsidRPr="00F85275">
        <w:t> mg</w:t>
      </w:r>
      <w:r w:rsidRPr="00F85275">
        <w:t xml:space="preserve"> soli).</w:t>
      </w:r>
    </w:p>
    <w:p w14:paraId="1C499AFF" w14:textId="09AA19E1" w:rsidR="002B4D0B" w:rsidRPr="00F85275" w:rsidRDefault="002B4D0B" w:rsidP="00A67EA0">
      <w:pPr>
        <w:pStyle w:val="Normlndobloku"/>
      </w:pPr>
      <w:r w:rsidRPr="00F85275">
        <w:t>Treba však poznamenať, že pri dávkach vyšších ako 1,5</w:t>
      </w:r>
      <w:r w:rsidR="00347034" w:rsidRPr="00F85275">
        <w:t> mg</w:t>
      </w:r>
      <w:r w:rsidRPr="00F85275">
        <w:t xml:space="preserve"> (soli) denne, sa zvyšuje výskyt somnolencie (pozri časť 4.8).</w:t>
      </w:r>
    </w:p>
    <w:p w14:paraId="4ECBF118" w14:textId="77777777" w:rsidR="002B4D0B" w:rsidRPr="00F85275" w:rsidRDefault="002B4D0B" w:rsidP="00A67EA0">
      <w:pPr>
        <w:pStyle w:val="Styl3"/>
      </w:pPr>
      <w:r w:rsidRPr="00F85275">
        <w:t>Udržiavacia liečba</w:t>
      </w:r>
    </w:p>
    <w:p w14:paraId="00ECF200" w14:textId="7A71F514" w:rsidR="002B4D0B" w:rsidRPr="00F85275" w:rsidRDefault="002B4D0B" w:rsidP="00A67EA0">
      <w:pPr>
        <w:pStyle w:val="Normlndobloku"/>
      </w:pPr>
      <w:r w:rsidRPr="00F85275">
        <w:t xml:space="preserve">Jednotlivá dávka </w:t>
      </w:r>
      <w:r w:rsidR="006E2835" w:rsidRPr="00F85275">
        <w:t xml:space="preserve">pramipexolu </w:t>
      </w:r>
      <w:r w:rsidRPr="00F85275">
        <w:t>má byť</w:t>
      </w:r>
      <w:r w:rsidR="00347034" w:rsidRPr="00F85275">
        <w:t xml:space="preserve"> v </w:t>
      </w:r>
      <w:r w:rsidRPr="00F85275">
        <w:t>rozmedzí 0,264</w:t>
      </w:r>
      <w:r w:rsidR="00347034" w:rsidRPr="00F85275">
        <w:t> mg</w:t>
      </w:r>
      <w:r w:rsidRPr="00F85275">
        <w:t xml:space="preserve"> bázy (0,375</w:t>
      </w:r>
      <w:r w:rsidR="00347034" w:rsidRPr="00F85275">
        <w:t> mg</w:t>
      </w:r>
      <w:r w:rsidRPr="00F85275">
        <w:t xml:space="preserve"> soli) do maximálne 3,3</w:t>
      </w:r>
      <w:r w:rsidR="00347034" w:rsidRPr="00F85275">
        <w:t> mg</w:t>
      </w:r>
      <w:r w:rsidRPr="00F85275">
        <w:t xml:space="preserve"> bázy (4,5</w:t>
      </w:r>
      <w:r w:rsidR="00347034" w:rsidRPr="00F85275">
        <w:t> mg</w:t>
      </w:r>
      <w:r w:rsidRPr="00F85275">
        <w:rPr>
          <w:rStyle w:val="NormlndoblokuChar"/>
        </w:rPr>
        <w:t xml:space="preserve"> soli) denne. Pri zvyšovaní dávky</w:t>
      </w:r>
      <w:r w:rsidR="00347034" w:rsidRPr="00F85275">
        <w:rPr>
          <w:rStyle w:val="NormlndoblokuChar"/>
        </w:rPr>
        <w:t xml:space="preserve"> v </w:t>
      </w:r>
      <w:r w:rsidR="00F41931" w:rsidRPr="00F85275">
        <w:rPr>
          <w:rStyle w:val="NormlndoblokuChar"/>
        </w:rPr>
        <w:t>pivotných</w:t>
      </w:r>
      <w:r w:rsidRPr="00F85275">
        <w:rPr>
          <w:rStyle w:val="NormlndoblokuChar"/>
        </w:rPr>
        <w:t xml:space="preserve"> štúdiách sa účinnosť pozorovala pri </w:t>
      </w:r>
      <w:r w:rsidR="00F41931" w:rsidRPr="00F85275">
        <w:rPr>
          <w:rStyle w:val="NormlndoblokuChar"/>
        </w:rPr>
        <w:t>úvodnej</w:t>
      </w:r>
      <w:r w:rsidRPr="00F85275">
        <w:rPr>
          <w:rStyle w:val="NormlndoblokuChar"/>
        </w:rPr>
        <w:t xml:space="preserve"> dennej dávke 1,1</w:t>
      </w:r>
      <w:r w:rsidR="00347034" w:rsidRPr="00F85275">
        <w:rPr>
          <w:rStyle w:val="NormlndoblokuChar"/>
        </w:rPr>
        <w:t> mg</w:t>
      </w:r>
      <w:r w:rsidRPr="00F85275">
        <w:rPr>
          <w:rStyle w:val="NormlndoblokuChar"/>
        </w:rPr>
        <w:t xml:space="preserve"> bázy (1,5</w:t>
      </w:r>
      <w:r w:rsidR="00347034" w:rsidRPr="00F85275">
        <w:rPr>
          <w:rStyle w:val="NormlndoblokuChar"/>
        </w:rPr>
        <w:t> mg</w:t>
      </w:r>
      <w:r w:rsidRPr="00F85275">
        <w:rPr>
          <w:rStyle w:val="NormlndoblokuChar"/>
        </w:rPr>
        <w:t xml:space="preserve"> soli). Ďalšia úprava dávkovania má byť </w:t>
      </w:r>
      <w:r w:rsidR="00F41931" w:rsidRPr="00F85275">
        <w:rPr>
          <w:rStyle w:val="NormlndoblokuChar"/>
        </w:rPr>
        <w:t>vykonaná podľa</w:t>
      </w:r>
      <w:r w:rsidRPr="00F85275">
        <w:rPr>
          <w:rStyle w:val="NormlndoblokuChar"/>
        </w:rPr>
        <w:t xml:space="preserve"> klinickej </w:t>
      </w:r>
      <w:r w:rsidR="00F41931" w:rsidRPr="00F85275">
        <w:rPr>
          <w:rStyle w:val="NormlndoblokuChar"/>
        </w:rPr>
        <w:t>odpovede</w:t>
      </w:r>
      <w:r w:rsidRPr="00F85275">
        <w:rPr>
          <w:rStyle w:val="NormlndoblokuChar"/>
        </w:rPr>
        <w:t xml:space="preserve"> a</w:t>
      </w:r>
      <w:r w:rsidR="00F41931" w:rsidRPr="00F85275">
        <w:t> </w:t>
      </w:r>
      <w:r w:rsidR="00F41931" w:rsidRPr="00F85275">
        <w:rPr>
          <w:rStyle w:val="NormlndoblokuChar"/>
        </w:rPr>
        <w:t xml:space="preserve">podľa </w:t>
      </w:r>
      <w:r w:rsidRPr="00F85275">
        <w:rPr>
          <w:rStyle w:val="NormlndoblokuChar"/>
        </w:rPr>
        <w:t>výskyt</w:t>
      </w:r>
      <w:r w:rsidR="00F41931" w:rsidRPr="00F85275">
        <w:rPr>
          <w:rStyle w:val="NormlndoblokuChar"/>
        </w:rPr>
        <w:t>u</w:t>
      </w:r>
      <w:r w:rsidRPr="00F85275">
        <w:rPr>
          <w:rStyle w:val="NormlndoblokuChar"/>
        </w:rPr>
        <w:t xml:space="preserve"> nežiaducich účinkov.</w:t>
      </w:r>
      <w:r w:rsidR="00347034" w:rsidRPr="00F85275">
        <w:rPr>
          <w:rStyle w:val="NormlndoblokuChar"/>
        </w:rPr>
        <w:t xml:space="preserve"> </w:t>
      </w:r>
      <w:r w:rsidR="00F41931" w:rsidRPr="00F85275">
        <w:rPr>
          <w:rStyle w:val="NormlndoblokuChar"/>
        </w:rPr>
        <w:t>V</w:t>
      </w:r>
      <w:r w:rsidR="00347034" w:rsidRPr="00F85275">
        <w:rPr>
          <w:rStyle w:val="NormlndoblokuChar"/>
        </w:rPr>
        <w:t> </w:t>
      </w:r>
      <w:r w:rsidRPr="00F85275">
        <w:rPr>
          <w:rStyle w:val="NormlndoblokuChar"/>
        </w:rPr>
        <w:t xml:space="preserve">klinických štúdiách približne 5 % pacientov bolo liečených dávkami menšími </w:t>
      </w:r>
      <w:r w:rsidR="00F41931" w:rsidRPr="00F85275">
        <w:rPr>
          <w:rStyle w:val="NormlndoblokuChar"/>
        </w:rPr>
        <w:t>ako</w:t>
      </w:r>
      <w:r w:rsidRPr="00F85275">
        <w:rPr>
          <w:rStyle w:val="NormlndoblokuChar"/>
        </w:rPr>
        <w:t xml:space="preserve"> 1,1</w:t>
      </w:r>
      <w:r w:rsidR="00347034" w:rsidRPr="00F85275">
        <w:rPr>
          <w:rStyle w:val="NormlndoblokuChar"/>
        </w:rPr>
        <w:t> mg</w:t>
      </w:r>
      <w:r w:rsidRPr="00F85275">
        <w:rPr>
          <w:rStyle w:val="NormlndoblokuChar"/>
        </w:rPr>
        <w:t xml:space="preserve"> bázy (1,5</w:t>
      </w:r>
      <w:r w:rsidR="00347034" w:rsidRPr="00F85275">
        <w:rPr>
          <w:rStyle w:val="NormlndoblokuChar"/>
        </w:rPr>
        <w:t> mg</w:t>
      </w:r>
      <w:r w:rsidRPr="00F85275">
        <w:rPr>
          <w:rStyle w:val="NormlndoblokuChar"/>
        </w:rPr>
        <w:t xml:space="preserve"> soli). Pri pokročilej Parkinsonovej chorobe môžu byť </w:t>
      </w:r>
      <w:r w:rsidR="007466D6" w:rsidRPr="00F85275">
        <w:rPr>
          <w:rStyle w:val="NormlndoblokuChar"/>
        </w:rPr>
        <w:t xml:space="preserve">denné </w:t>
      </w:r>
      <w:r w:rsidRPr="00F85275">
        <w:rPr>
          <w:rStyle w:val="NormlndoblokuChar"/>
        </w:rPr>
        <w:t>dávky pramipexolu vyššie ako 1,1</w:t>
      </w:r>
      <w:r w:rsidR="00347034" w:rsidRPr="00F85275">
        <w:rPr>
          <w:rStyle w:val="NormlndoblokuChar"/>
        </w:rPr>
        <w:t> mg</w:t>
      </w:r>
      <w:r w:rsidRPr="00F85275">
        <w:rPr>
          <w:rStyle w:val="NormlndoblokuChar"/>
        </w:rPr>
        <w:t xml:space="preserve"> bázy (1,5</w:t>
      </w:r>
      <w:r w:rsidR="00347034" w:rsidRPr="00F85275">
        <w:rPr>
          <w:rStyle w:val="NormlndoblokuChar"/>
        </w:rPr>
        <w:t> mg</w:t>
      </w:r>
      <w:r w:rsidRPr="00F85275">
        <w:rPr>
          <w:rStyle w:val="NormlndoblokuChar"/>
        </w:rPr>
        <w:t xml:space="preserve"> soli) užitočné pre pacientov, kde sa plánuje znižovanie dávok levodopy. Odporúča sa, aby sa dávka levodopy znižovala tak počas zvyšovania dávky, ako aj pri udržiavacej liečbe liekom MEDOPEXOL</w:t>
      </w:r>
      <w:r w:rsidR="00347034" w:rsidRPr="00F85275">
        <w:rPr>
          <w:rStyle w:val="NormlndoblokuChar"/>
        </w:rPr>
        <w:t xml:space="preserve"> v </w:t>
      </w:r>
      <w:r w:rsidRPr="00F85275">
        <w:rPr>
          <w:rStyle w:val="NormlndoblokuChar"/>
        </w:rPr>
        <w:t>závislosti od reakcie jednotlivých pacientov (pozri časť 4.5).</w:t>
      </w:r>
    </w:p>
    <w:p w14:paraId="1D0C9A08" w14:textId="77777777" w:rsidR="002B4D0B" w:rsidRPr="00F85275" w:rsidRDefault="002B4D0B" w:rsidP="00A67EA0">
      <w:pPr>
        <w:pStyle w:val="Styl3"/>
      </w:pPr>
      <w:r w:rsidRPr="00F85275">
        <w:t>Prerušenie liečby</w:t>
      </w:r>
    </w:p>
    <w:p w14:paraId="077DE8F2" w14:textId="2836E94D" w:rsidR="002B4D0B" w:rsidRPr="00F85275" w:rsidRDefault="002B4D0B" w:rsidP="00A67EA0">
      <w:pPr>
        <w:pStyle w:val="Normlndobloku"/>
      </w:pPr>
      <w:r w:rsidRPr="00F85275">
        <w:t>Náhle prerušenie dopamínergnej terapie môže viesť</w:t>
      </w:r>
      <w:r w:rsidR="00347034" w:rsidRPr="00F85275">
        <w:t xml:space="preserve"> k </w:t>
      </w:r>
      <w:r w:rsidRPr="00F85275">
        <w:t>rozvoju neuroleptického malígneho syndrómu. Postupne sa má znižovať dávka pramipexolu po 0,54</w:t>
      </w:r>
      <w:r w:rsidR="00347034" w:rsidRPr="00F85275">
        <w:t> mg</w:t>
      </w:r>
      <w:r w:rsidRPr="00F85275">
        <w:t xml:space="preserve"> bázy (0,75</w:t>
      </w:r>
      <w:r w:rsidR="00347034" w:rsidRPr="00F85275">
        <w:t> mg</w:t>
      </w:r>
      <w:r w:rsidRPr="00F85275">
        <w:t xml:space="preserve"> soli) denne do dosiahnutia dennej dávky zníženej na 0,54</w:t>
      </w:r>
      <w:r w:rsidR="00347034" w:rsidRPr="00F85275">
        <w:t> mg</w:t>
      </w:r>
      <w:r w:rsidRPr="00F85275">
        <w:t xml:space="preserve"> bázy (0,75</w:t>
      </w:r>
      <w:r w:rsidR="00347034" w:rsidRPr="00F85275">
        <w:t> mg</w:t>
      </w:r>
      <w:r w:rsidRPr="00F85275">
        <w:t xml:space="preserve"> soli). Potom sa dávka znižuje po 0,264</w:t>
      </w:r>
      <w:r w:rsidR="00347034" w:rsidRPr="00F85275">
        <w:t> mg</w:t>
      </w:r>
      <w:r w:rsidRPr="00F85275">
        <w:t xml:space="preserve"> bázy (0,375</w:t>
      </w:r>
      <w:r w:rsidR="00347034" w:rsidRPr="00F85275">
        <w:t> mg</w:t>
      </w:r>
      <w:r w:rsidRPr="00F85275">
        <w:t xml:space="preserve"> soli) denne (pozri časť 4.4).</w:t>
      </w:r>
    </w:p>
    <w:p w14:paraId="045E4833" w14:textId="6E5E6FB3" w:rsidR="002B4D0B" w:rsidRPr="00F85275" w:rsidRDefault="002B4D0B" w:rsidP="00A67EA0">
      <w:pPr>
        <w:pStyle w:val="Styl3"/>
      </w:pPr>
      <w:r w:rsidRPr="00F85275">
        <w:t>Pacienti</w:t>
      </w:r>
      <w:r w:rsidR="00347034" w:rsidRPr="00F85275">
        <w:t xml:space="preserve"> s </w:t>
      </w:r>
      <w:r w:rsidRPr="00F85275">
        <w:t>poruchou funkcie obličiek</w:t>
      </w:r>
    </w:p>
    <w:p w14:paraId="300471CE" w14:textId="37F015BF" w:rsidR="002B4D0B" w:rsidRPr="00F85275" w:rsidRDefault="002B4D0B" w:rsidP="00A67EA0">
      <w:pPr>
        <w:pStyle w:val="Normlndobloku"/>
      </w:pPr>
      <w:r w:rsidRPr="00F85275">
        <w:t>Vylučovanie pramipexolu závisí od funkcie obličiek. Pre začiatok liečby sa navrhuje nasled</w:t>
      </w:r>
      <w:r w:rsidR="007466D6" w:rsidRPr="00F85275">
        <w:t>ujúca</w:t>
      </w:r>
      <w:r w:rsidRPr="00F85275">
        <w:t xml:space="preserve"> schéma dávkovania:</w:t>
      </w:r>
    </w:p>
    <w:p w14:paraId="358EC08B" w14:textId="13AFDCF4" w:rsidR="002B4D0B" w:rsidRPr="00F85275" w:rsidRDefault="002B4D0B" w:rsidP="00A67EA0">
      <w:pPr>
        <w:pStyle w:val="Normlndoblokusodrkami"/>
      </w:pPr>
      <w:r w:rsidRPr="00F85275">
        <w:t>U pacientov</w:t>
      </w:r>
      <w:r w:rsidR="00347034" w:rsidRPr="00F85275">
        <w:t xml:space="preserve"> s </w:t>
      </w:r>
      <w:r w:rsidRPr="00F85275">
        <w:t>klírensom kreatinínu nad 50</w:t>
      </w:r>
      <w:r w:rsidR="00347034" w:rsidRPr="00F85275">
        <w:t> ml</w:t>
      </w:r>
      <w:r w:rsidRPr="00F85275">
        <w:t>/min sa nevyžaduje zníženie dennej dávky alebo frekvencie dávkovania.</w:t>
      </w:r>
    </w:p>
    <w:p w14:paraId="407D6861" w14:textId="489EE586" w:rsidR="002B4D0B" w:rsidRPr="00F85275" w:rsidRDefault="002B4D0B" w:rsidP="00A67EA0">
      <w:pPr>
        <w:pStyle w:val="Normlndoblokusodrkami"/>
      </w:pPr>
      <w:r w:rsidRPr="00F85275">
        <w:t>U pacientov s hodnotami klírensu kreatinínu medzi 20</w:t>
      </w:r>
      <w:r w:rsidR="00347034" w:rsidRPr="00F85275">
        <w:t xml:space="preserve"> a </w:t>
      </w:r>
      <w:r w:rsidRPr="00F85275">
        <w:t>50</w:t>
      </w:r>
      <w:r w:rsidR="00347034" w:rsidRPr="00F85275">
        <w:t> ml</w:t>
      </w:r>
      <w:r w:rsidRPr="00F85275">
        <w:t xml:space="preserve">/min sa má </w:t>
      </w:r>
      <w:r w:rsidR="007466D6" w:rsidRPr="00F85275">
        <w:t>úvodná</w:t>
      </w:r>
      <w:r w:rsidRPr="00F85275">
        <w:t xml:space="preserve"> denná dávka lieku MEDOPEXOL podávať rozdelená na dve dávky, </w:t>
      </w:r>
      <w:r w:rsidR="007466D6" w:rsidRPr="00F85275">
        <w:t xml:space="preserve">začínajúc dávkou </w:t>
      </w:r>
      <w:r w:rsidRPr="00F85275">
        <w:t>0,088</w:t>
      </w:r>
      <w:r w:rsidR="00347034" w:rsidRPr="00F85275">
        <w:t> mg</w:t>
      </w:r>
      <w:r w:rsidRPr="00F85275">
        <w:t xml:space="preserve"> bázy (0,125</w:t>
      </w:r>
      <w:r w:rsidR="00347034" w:rsidRPr="00F85275">
        <w:t> mg</w:t>
      </w:r>
      <w:r w:rsidRPr="00F85275">
        <w:t xml:space="preserve"> soli) dvakrát denne (0,176</w:t>
      </w:r>
      <w:r w:rsidR="00347034" w:rsidRPr="00F85275">
        <w:t> mg</w:t>
      </w:r>
      <w:r w:rsidRPr="00F85275">
        <w:t xml:space="preserve"> bázy/0,25</w:t>
      </w:r>
      <w:r w:rsidR="00347034" w:rsidRPr="00F85275">
        <w:t> mg</w:t>
      </w:r>
      <w:r w:rsidRPr="00F85275">
        <w:t xml:space="preserve"> soli denne). Maximálna denná dávka 1,57</w:t>
      </w:r>
      <w:r w:rsidR="00347034" w:rsidRPr="00F85275">
        <w:t> mg</w:t>
      </w:r>
      <w:r w:rsidRPr="00F85275">
        <w:t xml:space="preserve"> bázy pramipexolu (2,25</w:t>
      </w:r>
      <w:r w:rsidR="00347034" w:rsidRPr="00F85275">
        <w:t> mg</w:t>
      </w:r>
      <w:r w:rsidRPr="00F85275">
        <w:t xml:space="preserve"> soli) sa nemá prekročiť.</w:t>
      </w:r>
    </w:p>
    <w:p w14:paraId="261A2529" w14:textId="10FEF081" w:rsidR="002B4D0B" w:rsidRPr="00F85275" w:rsidRDefault="002B4D0B" w:rsidP="00A67EA0">
      <w:pPr>
        <w:pStyle w:val="Normlndoblokusodrkami"/>
      </w:pPr>
      <w:r w:rsidRPr="00F85275">
        <w:t>Pacientom</w:t>
      </w:r>
      <w:r w:rsidR="00347034" w:rsidRPr="00F85275">
        <w:t xml:space="preserve"> s </w:t>
      </w:r>
      <w:r w:rsidRPr="00F85275">
        <w:t>klírensom kreatinínu nižším ako 20</w:t>
      </w:r>
      <w:r w:rsidR="00347034" w:rsidRPr="00F85275">
        <w:t> ml</w:t>
      </w:r>
      <w:r w:rsidRPr="00F85275">
        <w:t>/min sa má denná dávka lieku MEDOPEXOL podávať jednorázovo</w:t>
      </w:r>
      <w:r w:rsidR="00347034" w:rsidRPr="00F85275">
        <w:t xml:space="preserve"> v </w:t>
      </w:r>
      <w:r w:rsidRPr="00F85275">
        <w:t>dávke začínajúcej od 0,088</w:t>
      </w:r>
      <w:r w:rsidR="00347034" w:rsidRPr="00F85275">
        <w:t> mg</w:t>
      </w:r>
      <w:r w:rsidRPr="00F85275">
        <w:t xml:space="preserve"> bázy (0,125</w:t>
      </w:r>
      <w:r w:rsidR="00347034" w:rsidRPr="00F85275">
        <w:t> mg</w:t>
      </w:r>
      <w:r w:rsidRPr="00F85275">
        <w:t xml:space="preserve"> soli) denne. Maximálna denná dávka 1,1</w:t>
      </w:r>
      <w:r w:rsidR="00347034" w:rsidRPr="00F85275">
        <w:t> mg</w:t>
      </w:r>
      <w:r w:rsidRPr="00F85275">
        <w:t xml:space="preserve"> bázy pramipexolu (1,5</w:t>
      </w:r>
      <w:r w:rsidR="00347034" w:rsidRPr="00F85275">
        <w:t> mg</w:t>
      </w:r>
      <w:r w:rsidRPr="00F85275">
        <w:t xml:space="preserve"> soli) sa nemá prekročiť.</w:t>
      </w:r>
    </w:p>
    <w:p w14:paraId="54105A27" w14:textId="315EB6BB" w:rsidR="002B4D0B" w:rsidRPr="00F85275" w:rsidRDefault="002B4D0B" w:rsidP="00A67EA0">
      <w:pPr>
        <w:pStyle w:val="Normlndobloku"/>
      </w:pPr>
      <w:r w:rsidRPr="00F85275">
        <w:t>Ak sa počas udržiavacej terapie zníži funkcia obličiek, denná dávka lieku MEDOPEXOL sa má znížiť percentuálne</w:t>
      </w:r>
      <w:r w:rsidR="00347034" w:rsidRPr="00F85275">
        <w:t xml:space="preserve"> v </w:t>
      </w:r>
      <w:r w:rsidRPr="00F85275">
        <w:t>rovnakom rozsahu, ako sa znížil klírens kreatinínu, t.j. ak sa klírens kreatinínu znížil o 30 %, potom sa má znížiť denná dávka lieku MEDOPEXOL o</w:t>
      </w:r>
      <w:r w:rsidR="008E0B2D" w:rsidRPr="00F85275">
        <w:t> </w:t>
      </w:r>
      <w:r w:rsidRPr="00F85275">
        <w:t>30</w:t>
      </w:r>
      <w:r w:rsidR="008E0B2D" w:rsidRPr="00F85275">
        <w:t> </w:t>
      </w:r>
      <w:r w:rsidRPr="00F85275">
        <w:t>%. Ak je klírens kreatinínu medzi 20 a 50</w:t>
      </w:r>
      <w:r w:rsidR="00347034" w:rsidRPr="00F85275">
        <w:t> ml</w:t>
      </w:r>
      <w:r w:rsidRPr="00F85275">
        <w:t>/min, denná dávka môže byť rozdelená na dve dávky,</w:t>
      </w:r>
      <w:r w:rsidR="00347034" w:rsidRPr="00F85275">
        <w:t xml:space="preserve"> a </w:t>
      </w:r>
      <w:r w:rsidRPr="00F85275">
        <w:t>ak je klírens kreatinínu nižší ako 20</w:t>
      </w:r>
      <w:r w:rsidR="00347034" w:rsidRPr="00F85275">
        <w:t> ml</w:t>
      </w:r>
      <w:r w:rsidRPr="00F85275">
        <w:t>/min, denná dávka sa podáva jednorazovo.</w:t>
      </w:r>
    </w:p>
    <w:p w14:paraId="125F7638" w14:textId="5717BED5" w:rsidR="002B4D0B" w:rsidRPr="00F85275" w:rsidRDefault="002B4D0B" w:rsidP="00A67EA0">
      <w:pPr>
        <w:pStyle w:val="Styl3"/>
      </w:pPr>
      <w:r w:rsidRPr="00F85275">
        <w:lastRenderedPageBreak/>
        <w:t>Pacienti s</w:t>
      </w:r>
      <w:r w:rsidR="008E0B2D" w:rsidRPr="00F85275">
        <w:t xml:space="preserve"> </w:t>
      </w:r>
      <w:r w:rsidRPr="00F85275">
        <w:t>poruchou funkcie pečene</w:t>
      </w:r>
    </w:p>
    <w:p w14:paraId="7346F2F8" w14:textId="4CB73B8A" w:rsidR="002B4D0B" w:rsidRPr="00F85275" w:rsidRDefault="002B4D0B" w:rsidP="00A67EA0">
      <w:pPr>
        <w:pStyle w:val="Normlndobloku"/>
      </w:pPr>
      <w:r w:rsidRPr="00F85275">
        <w:t>Úprava dávky u pacientov so zlyhaním pečene pravdepodobne nie je nevyhnutná, pretože približne 90 % absorbovaného liečiva sa vylučuje obličkami. Možný vplyv insuficiencie pečene na farmakokinetiku lieku MEDOPEXOL sa neskúmal.</w:t>
      </w:r>
    </w:p>
    <w:p w14:paraId="03E40FE1" w14:textId="2C73F04E" w:rsidR="002B4D0B" w:rsidRPr="00F85275" w:rsidRDefault="002B4D0B" w:rsidP="00A67EA0">
      <w:pPr>
        <w:pStyle w:val="Styl3"/>
      </w:pPr>
      <w:r w:rsidRPr="00F85275">
        <w:t>Pediatrická populácia</w:t>
      </w:r>
    </w:p>
    <w:p w14:paraId="5F41E0E9" w14:textId="6F59BE49" w:rsidR="002B4D0B" w:rsidRPr="00F85275" w:rsidRDefault="002B4D0B" w:rsidP="00A67EA0">
      <w:pPr>
        <w:pStyle w:val="Normlndobloku"/>
      </w:pPr>
      <w:r w:rsidRPr="00F85275">
        <w:t>Bezpečnosť</w:t>
      </w:r>
      <w:r w:rsidR="00347034" w:rsidRPr="00F85275">
        <w:t xml:space="preserve"> a </w:t>
      </w:r>
      <w:r w:rsidRPr="00F85275">
        <w:t>účinnosť lieku MEDOPEXOL sa</w:t>
      </w:r>
      <w:r w:rsidR="00347034" w:rsidRPr="00F85275">
        <w:t xml:space="preserve"> u </w:t>
      </w:r>
      <w:r w:rsidRPr="00F85275">
        <w:t>pediatrickej populácie do 18 rokov nesledovala. Nie je žiadne opodstatnenie pre používanie lieku MEDOPEXOL</w:t>
      </w:r>
      <w:r w:rsidR="00347034" w:rsidRPr="00F85275">
        <w:t xml:space="preserve"> u </w:t>
      </w:r>
      <w:r w:rsidRPr="00F85275">
        <w:t>pediatrickej populácie</w:t>
      </w:r>
      <w:r w:rsidR="00347034" w:rsidRPr="00F85275">
        <w:t xml:space="preserve"> s </w:t>
      </w:r>
      <w:r w:rsidRPr="00F85275">
        <w:t>Parkinsonovou chorobou.</w:t>
      </w:r>
    </w:p>
    <w:p w14:paraId="7D5E30FE" w14:textId="77777777" w:rsidR="002B4D0B" w:rsidRPr="00F85275" w:rsidRDefault="002B4D0B" w:rsidP="00A67EA0">
      <w:pPr>
        <w:pStyle w:val="Styl3"/>
      </w:pPr>
      <w:r w:rsidRPr="00F85275">
        <w:t>Tourettov syndróm</w:t>
      </w:r>
    </w:p>
    <w:p w14:paraId="218A8520" w14:textId="77777777" w:rsidR="002B4D0B" w:rsidRPr="00F85275" w:rsidRDefault="002B4D0B" w:rsidP="00A67EA0">
      <w:pPr>
        <w:pStyle w:val="Styl3"/>
      </w:pPr>
      <w:r w:rsidRPr="00F85275">
        <w:t>Pediatrická populácia</w:t>
      </w:r>
    </w:p>
    <w:p w14:paraId="5A21D20C" w14:textId="3440D7CA" w:rsidR="002B4D0B" w:rsidRPr="00F85275" w:rsidRDefault="002B4D0B" w:rsidP="00A67EA0">
      <w:pPr>
        <w:pStyle w:val="Normlndobloku"/>
      </w:pPr>
      <w:r w:rsidRPr="00F85275">
        <w:t>Užívanie lieku MEDOPEXOL</w:t>
      </w:r>
      <w:r w:rsidR="00347034" w:rsidRPr="00F85275">
        <w:t xml:space="preserve"> u </w:t>
      </w:r>
      <w:r w:rsidRPr="00F85275">
        <w:t>detí</w:t>
      </w:r>
      <w:r w:rsidR="00347034" w:rsidRPr="00F85275">
        <w:t xml:space="preserve"> a </w:t>
      </w:r>
      <w:r w:rsidRPr="00F85275">
        <w:t>dospievajúcich do 18 rokov sa neodporúča, keďže účinnosť</w:t>
      </w:r>
      <w:r w:rsidR="00347034" w:rsidRPr="00F85275">
        <w:t xml:space="preserve"> a </w:t>
      </w:r>
      <w:r w:rsidRPr="00F85275">
        <w:t>bezpečnosť sa</w:t>
      </w:r>
      <w:r w:rsidR="00347034" w:rsidRPr="00F85275">
        <w:t xml:space="preserve"> v </w:t>
      </w:r>
      <w:r w:rsidRPr="00F85275">
        <w:t>tejto populácii nestanovila. MEDOPEXOL sa nemá používať</w:t>
      </w:r>
      <w:r w:rsidR="00347034" w:rsidRPr="00F85275">
        <w:t xml:space="preserve"> u </w:t>
      </w:r>
      <w:r w:rsidRPr="00F85275">
        <w:t>detí alebo dospievajúcich</w:t>
      </w:r>
      <w:r w:rsidR="00347034" w:rsidRPr="00F85275">
        <w:t xml:space="preserve"> s </w:t>
      </w:r>
      <w:r w:rsidRPr="00F85275">
        <w:t>Tourettovým syndrómom kvôli negatívnemu pomeru prínos - riziko pre toto ochorenie (pozri časť 5.1).</w:t>
      </w:r>
    </w:p>
    <w:p w14:paraId="5E8403C1" w14:textId="77777777" w:rsidR="002B4D0B" w:rsidRPr="00F85275" w:rsidRDefault="002B4D0B" w:rsidP="002B4D0B">
      <w:pPr>
        <w:pStyle w:val="Styl5"/>
        <w:rPr>
          <w:lang w:val="sk-SK"/>
        </w:rPr>
      </w:pPr>
      <w:r w:rsidRPr="00F85275">
        <w:rPr>
          <w:lang w:val="sk-SK"/>
        </w:rPr>
        <w:t>Spôsob podávania</w:t>
      </w:r>
    </w:p>
    <w:p w14:paraId="0990E473" w14:textId="36A32E02" w:rsidR="002B4D0B" w:rsidRPr="00F85275" w:rsidRDefault="002B4D0B" w:rsidP="00A67EA0">
      <w:pPr>
        <w:pStyle w:val="Normlndobloku"/>
      </w:pPr>
      <w:r w:rsidRPr="00F85275">
        <w:t>Tablety sa užívajú perorálne, zapíjajú sa vodou, môžu sa užívať</w:t>
      </w:r>
      <w:r w:rsidR="00347034" w:rsidRPr="00F85275">
        <w:t xml:space="preserve"> s </w:t>
      </w:r>
      <w:r w:rsidRPr="00F85275">
        <w:t xml:space="preserve">jedlom alebo bez </w:t>
      </w:r>
      <w:r w:rsidR="007466D6" w:rsidRPr="00F85275">
        <w:t>jedla</w:t>
      </w:r>
      <w:r w:rsidRPr="00F85275">
        <w:t>.</w:t>
      </w:r>
    </w:p>
    <w:p w14:paraId="1698C162" w14:textId="6879BAB8" w:rsidR="002B4D0B" w:rsidRPr="00F85275" w:rsidRDefault="002B4D0B" w:rsidP="002B4D0B">
      <w:pPr>
        <w:pStyle w:val="Styl2"/>
        <w:rPr>
          <w:lang w:val="sk-SK"/>
        </w:rPr>
      </w:pPr>
      <w:r w:rsidRPr="00F85275">
        <w:rPr>
          <w:lang w:val="sk-SK"/>
        </w:rPr>
        <w:t>Kontraindikácie</w:t>
      </w:r>
    </w:p>
    <w:p w14:paraId="7D3F8984" w14:textId="2D28E376" w:rsidR="002B4D0B" w:rsidRPr="00F85275" w:rsidRDefault="002B4D0B" w:rsidP="00A67EA0">
      <w:pPr>
        <w:pStyle w:val="Normlndobloku"/>
      </w:pPr>
      <w:r w:rsidRPr="00F85275">
        <w:t>Precitlivenosť na liečivo alebo na ktorúkoľvek</w:t>
      </w:r>
      <w:r w:rsidR="00347034" w:rsidRPr="00F85275">
        <w:t xml:space="preserve"> z </w:t>
      </w:r>
      <w:r w:rsidRPr="00F85275">
        <w:t>pomocných látok uvedených</w:t>
      </w:r>
      <w:r w:rsidR="00347034" w:rsidRPr="00F85275">
        <w:t xml:space="preserve"> v </w:t>
      </w:r>
      <w:r w:rsidRPr="00F85275">
        <w:t>časti 6.1.</w:t>
      </w:r>
    </w:p>
    <w:p w14:paraId="098B80A5" w14:textId="14AAEC74" w:rsidR="002B4D0B" w:rsidRPr="00F85275" w:rsidRDefault="002B4D0B" w:rsidP="002B4D0B">
      <w:pPr>
        <w:pStyle w:val="Styl2"/>
        <w:rPr>
          <w:lang w:val="sk-SK"/>
        </w:rPr>
      </w:pPr>
      <w:r w:rsidRPr="00F85275">
        <w:rPr>
          <w:lang w:val="sk-SK"/>
        </w:rPr>
        <w:t>Osobitné upozornenia a opatrenia pri používaní</w:t>
      </w:r>
    </w:p>
    <w:p w14:paraId="47D2FECD" w14:textId="43DC1E06" w:rsidR="002B4D0B" w:rsidRPr="00F85275" w:rsidRDefault="002B4D0B" w:rsidP="00A67EA0">
      <w:pPr>
        <w:pStyle w:val="Normlndobloku"/>
      </w:pPr>
      <w:r w:rsidRPr="00F85275">
        <w:t>Pri predpisovaní lieku MEDOPEXOL pacientom</w:t>
      </w:r>
      <w:r w:rsidR="00347034" w:rsidRPr="00F85275">
        <w:t xml:space="preserve"> s </w:t>
      </w:r>
      <w:r w:rsidRPr="00F85275">
        <w:t>Parkinsonovou chorobou</w:t>
      </w:r>
      <w:r w:rsidR="00347034" w:rsidRPr="00F85275">
        <w:t xml:space="preserve"> a </w:t>
      </w:r>
      <w:r w:rsidRPr="00F85275">
        <w:t>poruchou funkcie obličiek sa odporúča znížené dávkovanie podľa časti 4.2.</w:t>
      </w:r>
    </w:p>
    <w:p w14:paraId="0485D58B" w14:textId="77777777" w:rsidR="002B4D0B" w:rsidRPr="00F85275" w:rsidRDefault="002B4D0B" w:rsidP="00A67EA0">
      <w:pPr>
        <w:pStyle w:val="Styl3"/>
      </w:pPr>
      <w:r w:rsidRPr="00F85275">
        <w:t>Halucinácie</w:t>
      </w:r>
    </w:p>
    <w:p w14:paraId="1D5DEB86" w14:textId="6F71958E" w:rsidR="002B4D0B" w:rsidRPr="00F85275" w:rsidRDefault="002B4D0B" w:rsidP="00A67EA0">
      <w:pPr>
        <w:pStyle w:val="Normlndobloku"/>
      </w:pPr>
      <w:r w:rsidRPr="00F85275">
        <w:t>Je známe, že ako vedľajší účinok liečby agonistami dopamínu</w:t>
      </w:r>
      <w:r w:rsidR="00347034" w:rsidRPr="00F85275">
        <w:t xml:space="preserve"> a </w:t>
      </w:r>
      <w:r w:rsidRPr="00F85275">
        <w:t>levodopy sa vyskytujú halucinácie. Pacienti majú byť informovaní, že sa môžu objaviť (prevažne vizuálne) halucinácie (pozri časť 4.8).</w:t>
      </w:r>
    </w:p>
    <w:p w14:paraId="372125BC" w14:textId="77777777" w:rsidR="002B4D0B" w:rsidRPr="00F85275" w:rsidRDefault="002B4D0B" w:rsidP="00A67EA0">
      <w:pPr>
        <w:pStyle w:val="Styl3"/>
      </w:pPr>
      <w:proofErr w:type="spellStart"/>
      <w:r w:rsidRPr="00F85275">
        <w:t>Dyskinéza</w:t>
      </w:r>
      <w:proofErr w:type="spellEnd"/>
    </w:p>
    <w:p w14:paraId="0DB15DAA" w14:textId="26D3507D" w:rsidR="002B4D0B" w:rsidRPr="00F85275" w:rsidRDefault="002B4D0B" w:rsidP="00A67EA0">
      <w:pPr>
        <w:pStyle w:val="Normlndobloku"/>
      </w:pPr>
      <w:r w:rsidRPr="00F85275">
        <w:t>Pri pokročilej Parkinsonovej chorobe sa pri kombinácii</w:t>
      </w:r>
      <w:r w:rsidR="00347034" w:rsidRPr="00F85275">
        <w:t xml:space="preserve"> s </w:t>
      </w:r>
      <w:r w:rsidRPr="00F85275">
        <w:t xml:space="preserve">levodopou môže počas </w:t>
      </w:r>
      <w:r w:rsidR="007466D6" w:rsidRPr="00F85275">
        <w:t>úvodnej</w:t>
      </w:r>
      <w:r w:rsidRPr="00F85275">
        <w:t xml:space="preserve"> titrácie dávky lieku MEDOPEXOL objaviť dyskinéza. Ak sa objaví, dávka levodopy sa má znížiť.</w:t>
      </w:r>
    </w:p>
    <w:p w14:paraId="5449CEB4" w14:textId="77777777" w:rsidR="00C852F2" w:rsidRPr="00F85275" w:rsidRDefault="00C852F2" w:rsidP="00C852F2">
      <w:pPr>
        <w:pStyle w:val="Styl3"/>
      </w:pPr>
      <w:proofErr w:type="spellStart"/>
      <w:r w:rsidRPr="00F85275">
        <w:t>Dystónia</w:t>
      </w:r>
      <w:proofErr w:type="spellEnd"/>
    </w:p>
    <w:p w14:paraId="2E8BADE0" w14:textId="77777777" w:rsidR="00C852F2" w:rsidRPr="00F85275" w:rsidRDefault="00C852F2" w:rsidP="00C852F2">
      <w:pPr>
        <w:pStyle w:val="Normlndobloku"/>
      </w:pPr>
      <w:r w:rsidRPr="00F85275">
        <w:t>U pacientov s Parkinsonovou chorobou je po začatí liečby alebo pri postupnom zvyšovaní dávky pramipexolu príležitostne hlásená axiálna dystónia vrátane antekolis, kamptokormie a pleurototonusu (Pisa syndróm). Aj keď príznakom Parkinsonovej choroby môže byť dystónia, príznaky u týchto pacientov sa zlepšili po znížení dávky pramipexolu alebo po jeho vysadení. Ak sa vyskytne dystónia, je potrebné preskúmať režim liečby dopamínergnými liekmi a zvážiť úpravu dávky pramipexolu.</w:t>
      </w:r>
    </w:p>
    <w:p w14:paraId="6862F75B" w14:textId="61A544BA" w:rsidR="002B4D0B" w:rsidRPr="00F85275" w:rsidRDefault="002B4D0B" w:rsidP="00A67EA0">
      <w:pPr>
        <w:pStyle w:val="Styl3"/>
      </w:pPr>
      <w:r w:rsidRPr="00F85275">
        <w:t>Náhle upadnutie do spánku</w:t>
      </w:r>
      <w:r w:rsidR="00347034" w:rsidRPr="00F85275">
        <w:t xml:space="preserve"> a </w:t>
      </w:r>
      <w:r w:rsidRPr="00F85275">
        <w:t>somnolencia</w:t>
      </w:r>
    </w:p>
    <w:p w14:paraId="37B84B88" w14:textId="5A495E1C" w:rsidR="002B4D0B" w:rsidRPr="00F85275" w:rsidRDefault="002B4D0B" w:rsidP="00A67EA0">
      <w:pPr>
        <w:pStyle w:val="Normlndobloku"/>
      </w:pPr>
      <w:r w:rsidRPr="00F85275">
        <w:t>Pramipexol bol spájaný so somnolenciou</w:t>
      </w:r>
      <w:r w:rsidR="00347034" w:rsidRPr="00F85275">
        <w:t xml:space="preserve"> a </w:t>
      </w:r>
      <w:r w:rsidRPr="00F85275">
        <w:t>epizódami náhleho spánku, najmä</w:t>
      </w:r>
      <w:r w:rsidR="00347034" w:rsidRPr="00F85275">
        <w:t xml:space="preserve"> u </w:t>
      </w:r>
      <w:r w:rsidRPr="00F85275">
        <w:t>pacientov</w:t>
      </w:r>
      <w:r w:rsidR="00347034" w:rsidRPr="00F85275">
        <w:t xml:space="preserve"> s </w:t>
      </w:r>
      <w:r w:rsidRPr="00F85275">
        <w:t>Parkinsonovou chorobou. Menej často bol zaznamenaný náhly spánok počas denných aktivít, niekedy bez toho, aby si to pacient uvedomil alebo pocítil varovné príznaky. Pacienti musia byť o tomto informovaní a má sa im odporučiť zvýšená opatrnosť pri vedení a obsluhe strojov počas liečby liekom MEDOPEXOL. Pacienti, ktorí pociťovali ospalosť a/alebo epizódy náhleho upadnutia do spánku</w:t>
      </w:r>
      <w:r w:rsidR="00381381" w:rsidRPr="00F85275">
        <w:t>,</w:t>
      </w:r>
      <w:r w:rsidRPr="00F85275">
        <w:t xml:space="preserve"> nesmú jazdiť autom ani obsluhovať stroje. Navyše je potrebné uvažovať o znížení dávky alebo ukončení terapie. Pretože sú možné aditívne účinky, pri podávaní iných sedatívnych liekov alebo alkoholu</w:t>
      </w:r>
      <w:r w:rsidR="00347034" w:rsidRPr="00F85275">
        <w:t xml:space="preserve"> v </w:t>
      </w:r>
      <w:r w:rsidRPr="00F85275">
        <w:t>kombinácii</w:t>
      </w:r>
      <w:r w:rsidR="00347034" w:rsidRPr="00F85275">
        <w:t xml:space="preserve"> s </w:t>
      </w:r>
      <w:r w:rsidRPr="00F85275">
        <w:t>pramipexolom je potrebná opatrnosť (pozri čas</w:t>
      </w:r>
      <w:r w:rsidR="00381381" w:rsidRPr="00F85275">
        <w:t>ť</w:t>
      </w:r>
      <w:r w:rsidRPr="00F85275">
        <w:t xml:space="preserve"> 4.5, 4.7</w:t>
      </w:r>
      <w:r w:rsidR="00347034" w:rsidRPr="00F85275">
        <w:t xml:space="preserve"> a </w:t>
      </w:r>
      <w:r w:rsidRPr="00F85275">
        <w:t>4.8).</w:t>
      </w:r>
    </w:p>
    <w:p w14:paraId="34366258" w14:textId="2A7452D4" w:rsidR="002B4D0B" w:rsidRPr="00F85275" w:rsidRDefault="002B4D0B" w:rsidP="00A67EA0">
      <w:pPr>
        <w:pStyle w:val="Styl3"/>
      </w:pPr>
      <w:r w:rsidRPr="00F85275">
        <w:t>Poruchy kontroly impulzov</w:t>
      </w:r>
    </w:p>
    <w:p w14:paraId="25679DD1" w14:textId="2A9A53DA" w:rsidR="002B4D0B" w:rsidRPr="00F85275" w:rsidRDefault="002B4D0B" w:rsidP="00A67EA0">
      <w:pPr>
        <w:pStyle w:val="Normlndobloku"/>
      </w:pPr>
      <w:r w:rsidRPr="00F85275">
        <w:t>Pacienti majú byť pravidelne monitorovaní</w:t>
      </w:r>
      <w:r w:rsidR="00347034" w:rsidRPr="00F85275">
        <w:t xml:space="preserve"> z </w:t>
      </w:r>
      <w:r w:rsidRPr="00F85275">
        <w:t>dôvodu vývoja porúch kontroly impulzov. Pacienti</w:t>
      </w:r>
      <w:r w:rsidR="00347034" w:rsidRPr="00F85275">
        <w:t xml:space="preserve"> a </w:t>
      </w:r>
      <w:r w:rsidRPr="00F85275">
        <w:t>opatrovatelia majú byť upovedomení, že</w:t>
      </w:r>
      <w:r w:rsidR="00347034" w:rsidRPr="00F85275">
        <w:t xml:space="preserve"> u </w:t>
      </w:r>
      <w:r w:rsidRPr="00F85275">
        <w:t xml:space="preserve">pacientov liečených dopamínovými agonistami vrátane </w:t>
      </w:r>
      <w:r w:rsidRPr="00F85275">
        <w:lastRenderedPageBreak/>
        <w:t>lieku MEDOPEXOL sa môžu vyskytnúť behaviorálne symptómy porúch kontroly impulzov zahŕňajúce patologické hráčstvo, zvýšené libido, hypersexualitu, chorobné míňanie alebo nakupovanie, nenásytné jedenie</w:t>
      </w:r>
      <w:r w:rsidR="00347034" w:rsidRPr="00F85275">
        <w:t xml:space="preserve"> a </w:t>
      </w:r>
      <w:r w:rsidRPr="00F85275">
        <w:t>chorobné jedenie. Ak sa vyvinú takéto symptómy, má sa zvážiť zníženie dávky/postupné vysadenie lieku.</w:t>
      </w:r>
    </w:p>
    <w:p w14:paraId="131E1838" w14:textId="77777777" w:rsidR="002B4D0B" w:rsidRPr="00F85275" w:rsidRDefault="002B4D0B" w:rsidP="00A67EA0">
      <w:pPr>
        <w:pStyle w:val="Styl3"/>
      </w:pPr>
      <w:r w:rsidRPr="00F85275">
        <w:t>Syndróm dopamínovej dysregulácie</w:t>
      </w:r>
    </w:p>
    <w:p w14:paraId="0493E627" w14:textId="2D795BB7" w:rsidR="002B4D0B" w:rsidRPr="00F85275" w:rsidRDefault="002B4D0B" w:rsidP="00A67EA0">
      <w:pPr>
        <w:pStyle w:val="Normlndobloku"/>
      </w:pPr>
      <w:r w:rsidRPr="00F85275">
        <w:t>Syndróm dopamínovej dysregulácie (DDS) je návyková porucha spôsobujúca nadmerné používanie lieku pozorovaná</w:t>
      </w:r>
      <w:r w:rsidR="00347034" w:rsidRPr="00F85275">
        <w:t xml:space="preserve"> u </w:t>
      </w:r>
      <w:r w:rsidRPr="00F85275">
        <w:t>niektorých pacientov liečených dopaminergnými liekmi vrátane pramipexolu. Pred začatím liečby je potrebné pacientov</w:t>
      </w:r>
      <w:r w:rsidR="00347034" w:rsidRPr="00F85275">
        <w:t xml:space="preserve"> a </w:t>
      </w:r>
      <w:r w:rsidRPr="00F85275">
        <w:t>ošetrujúcich varovať o možnom riziku rozvoja DDS.</w:t>
      </w:r>
    </w:p>
    <w:p w14:paraId="38F1166C" w14:textId="3008CA6C" w:rsidR="002B4D0B" w:rsidRPr="00F85275" w:rsidRDefault="002B4D0B" w:rsidP="00A67EA0">
      <w:pPr>
        <w:pStyle w:val="Styl3"/>
      </w:pPr>
      <w:r w:rsidRPr="00F85275">
        <w:t>Mánia</w:t>
      </w:r>
      <w:r w:rsidR="00347034" w:rsidRPr="00F85275">
        <w:t xml:space="preserve"> a </w:t>
      </w:r>
      <w:r w:rsidRPr="00F85275">
        <w:t>delírium</w:t>
      </w:r>
    </w:p>
    <w:p w14:paraId="13F6062D" w14:textId="1791E3F1" w:rsidR="002B4D0B" w:rsidRPr="00F85275" w:rsidRDefault="00381381" w:rsidP="00A67EA0">
      <w:pPr>
        <w:pStyle w:val="Normlndobloku"/>
      </w:pPr>
      <w:r w:rsidRPr="00F85275">
        <w:t>Pacienti majú byť pravidelne sledovaní pre príznaky</w:t>
      </w:r>
      <w:r w:rsidR="002B4D0B" w:rsidRPr="00F85275">
        <w:t xml:space="preserve"> máni</w:t>
      </w:r>
      <w:r w:rsidRPr="00F85275">
        <w:t>e</w:t>
      </w:r>
      <w:r w:rsidR="00347034" w:rsidRPr="00F85275">
        <w:t xml:space="preserve"> a </w:t>
      </w:r>
      <w:r w:rsidR="002B4D0B" w:rsidRPr="00F85275">
        <w:t>delíri</w:t>
      </w:r>
      <w:r w:rsidRPr="00F85275">
        <w:t>a</w:t>
      </w:r>
      <w:r w:rsidR="002B4D0B" w:rsidRPr="00F85275">
        <w:t>. Pacienti</w:t>
      </w:r>
      <w:r w:rsidR="00347034" w:rsidRPr="00F85275">
        <w:t xml:space="preserve"> a </w:t>
      </w:r>
      <w:r w:rsidR="002B4D0B" w:rsidRPr="00F85275">
        <w:t xml:space="preserve">ošetrovatelia </w:t>
      </w:r>
      <w:r w:rsidRPr="00F85275">
        <w:t xml:space="preserve">majú byť upozornení na možný výskyt mánie a delíria </w:t>
      </w:r>
      <w:r w:rsidR="00347034" w:rsidRPr="00F85275">
        <w:t>u </w:t>
      </w:r>
      <w:r w:rsidR="002B4D0B" w:rsidRPr="00F85275">
        <w:t>pacientov liečených pramipexolom</w:t>
      </w:r>
      <w:r w:rsidRPr="00F85275">
        <w:t>.</w:t>
      </w:r>
      <w:r w:rsidR="002B4D0B" w:rsidRPr="00F85275">
        <w:t xml:space="preserve"> Ak sa vyvinú tieto príznaky, má sa zvážiť zníženie dávky/postupné prerušenie liečby.</w:t>
      </w:r>
    </w:p>
    <w:p w14:paraId="6057B720" w14:textId="52E25596" w:rsidR="002B4D0B" w:rsidRPr="00F85275" w:rsidRDefault="002B4D0B" w:rsidP="00A67EA0">
      <w:pPr>
        <w:pStyle w:val="Styl3"/>
      </w:pPr>
      <w:r w:rsidRPr="00F85275">
        <w:t>Pacienti s psychotickými poruchami</w:t>
      </w:r>
    </w:p>
    <w:p w14:paraId="20192B1B" w14:textId="224768D2" w:rsidR="002B4D0B" w:rsidRPr="00F85275" w:rsidRDefault="002B4D0B" w:rsidP="00A67EA0">
      <w:pPr>
        <w:pStyle w:val="Normlndobloku"/>
      </w:pPr>
      <w:r w:rsidRPr="00F85275">
        <w:t>Pacienti</w:t>
      </w:r>
      <w:r w:rsidR="00347034" w:rsidRPr="00F85275">
        <w:t xml:space="preserve"> s </w:t>
      </w:r>
      <w:r w:rsidRPr="00F85275">
        <w:t>psychotickými poruchami majú byť liečení agonistami dopamínu len vtedy, ak očakávaný prínos prev</w:t>
      </w:r>
      <w:r w:rsidR="00381381" w:rsidRPr="00F85275">
        <w:t>yšuje</w:t>
      </w:r>
      <w:r w:rsidRPr="00F85275">
        <w:t xml:space="preserve"> riziko</w:t>
      </w:r>
      <w:r w:rsidR="00381381" w:rsidRPr="00F85275">
        <w:t>.</w:t>
      </w:r>
      <w:r w:rsidRPr="00F85275">
        <w:t xml:space="preserve"> Je nutné vyvarovať </w:t>
      </w:r>
      <w:r w:rsidR="00381381" w:rsidRPr="00F85275">
        <w:t xml:space="preserve">sa </w:t>
      </w:r>
      <w:r w:rsidRPr="00F85275">
        <w:t>sú</w:t>
      </w:r>
      <w:r w:rsidR="00381381" w:rsidRPr="00F85275">
        <w:t>bežného</w:t>
      </w:r>
      <w:r w:rsidRPr="00F85275">
        <w:t xml:space="preserve"> podávania pramipexolu</w:t>
      </w:r>
      <w:r w:rsidR="00347034" w:rsidRPr="00F85275">
        <w:t xml:space="preserve"> a </w:t>
      </w:r>
      <w:r w:rsidRPr="00F85275">
        <w:t>antipsychotických liekov (pozri časť 4.5).</w:t>
      </w:r>
    </w:p>
    <w:p w14:paraId="0097748B" w14:textId="77777777" w:rsidR="002B4D0B" w:rsidRPr="00F85275" w:rsidRDefault="002B4D0B" w:rsidP="00A67EA0">
      <w:pPr>
        <w:pStyle w:val="Styl3"/>
      </w:pPr>
      <w:r w:rsidRPr="00F85275">
        <w:t>Oftalmologické kontroly</w:t>
      </w:r>
    </w:p>
    <w:p w14:paraId="4D5EA1C8" w14:textId="0A9258E0" w:rsidR="002B4D0B" w:rsidRPr="00F85275" w:rsidRDefault="002B4D0B" w:rsidP="00A67EA0">
      <w:pPr>
        <w:pStyle w:val="Normlndobloku"/>
      </w:pPr>
      <w:r w:rsidRPr="00F85275">
        <w:t>Odporúča</w:t>
      </w:r>
      <w:r w:rsidR="00191766" w:rsidRPr="00F85275">
        <w:t>jú</w:t>
      </w:r>
      <w:r w:rsidRPr="00F85275">
        <w:t xml:space="preserve"> sa oftalmologické </w:t>
      </w:r>
      <w:r w:rsidR="00191766" w:rsidRPr="00F85275">
        <w:t>kontroly</w:t>
      </w:r>
      <w:r w:rsidR="00347034" w:rsidRPr="00F85275">
        <w:t xml:space="preserve"> v </w:t>
      </w:r>
      <w:r w:rsidRPr="00F85275">
        <w:t>pravidelných intervaloch alebo v prípade výskytu por</w:t>
      </w:r>
      <w:r w:rsidR="00191766" w:rsidRPr="00F85275">
        <w:t>úch</w:t>
      </w:r>
      <w:r w:rsidRPr="00F85275">
        <w:t xml:space="preserve"> zraku.</w:t>
      </w:r>
    </w:p>
    <w:p w14:paraId="427152B8" w14:textId="77777777" w:rsidR="002B4D0B" w:rsidRPr="00F85275" w:rsidRDefault="002B4D0B" w:rsidP="00A67EA0">
      <w:pPr>
        <w:pStyle w:val="Styl3"/>
      </w:pPr>
      <w:r w:rsidRPr="00F85275">
        <w:t>Závažné kardiovaskulárne ochorenia</w:t>
      </w:r>
    </w:p>
    <w:p w14:paraId="107F32B7" w14:textId="799DBA7C" w:rsidR="002B4D0B" w:rsidRPr="00F85275" w:rsidRDefault="002B4D0B" w:rsidP="00A67EA0">
      <w:pPr>
        <w:pStyle w:val="Normlndobloku"/>
      </w:pPr>
      <w:r w:rsidRPr="00F85275">
        <w:t>V prípade závažného kardiovaskulárneho ochorenia je potrebná opatrnosť. Odporúča sa sledovať krvný tlak, najmä na začiatku liečby, vzhľadom na všeobecné riziko posturálnej hypotenzie spojenej</w:t>
      </w:r>
      <w:r w:rsidR="00347034" w:rsidRPr="00F85275">
        <w:t xml:space="preserve"> s </w:t>
      </w:r>
      <w:r w:rsidRPr="00F85275">
        <w:t>dopaminergnou liečbou.</w:t>
      </w:r>
    </w:p>
    <w:p w14:paraId="7AC95019" w14:textId="77777777" w:rsidR="002B4D0B" w:rsidRPr="00F85275" w:rsidRDefault="002B4D0B" w:rsidP="00A67EA0">
      <w:pPr>
        <w:pStyle w:val="Styl3"/>
      </w:pPr>
      <w:r w:rsidRPr="00F85275">
        <w:t>Neuroleptický malígny syndróm</w:t>
      </w:r>
    </w:p>
    <w:p w14:paraId="1812C313" w14:textId="77777777" w:rsidR="002B4D0B" w:rsidRPr="00F85275" w:rsidRDefault="002B4D0B" w:rsidP="00A67EA0">
      <w:pPr>
        <w:pStyle w:val="Normlndobloku"/>
      </w:pPr>
      <w:r w:rsidRPr="00F85275">
        <w:t>Pri náhlom prerušení dopamínergnej terapie boli hlásené symptómy pripomínajúce neuroleptický malígny syndróm (pozri časť 4.2)</w:t>
      </w:r>
    </w:p>
    <w:p w14:paraId="22D26A46" w14:textId="77777777" w:rsidR="002B4D0B" w:rsidRPr="00F85275" w:rsidRDefault="002B4D0B" w:rsidP="00A67EA0">
      <w:pPr>
        <w:pStyle w:val="Styl3"/>
      </w:pPr>
      <w:r w:rsidRPr="00F85275">
        <w:t>Abstinenčný syndróm spôsobený vysadením dopamínového agonistu</w:t>
      </w:r>
    </w:p>
    <w:p w14:paraId="7D43C602" w14:textId="2B684A44" w:rsidR="002B4D0B" w:rsidRPr="00F85275" w:rsidRDefault="002B4D0B" w:rsidP="00A67EA0">
      <w:pPr>
        <w:pStyle w:val="Normlndobloku"/>
      </w:pPr>
      <w:r w:rsidRPr="00F85275">
        <w:t>Pri prerušení liečby</w:t>
      </w:r>
      <w:r w:rsidR="00347034" w:rsidRPr="00F85275">
        <w:t xml:space="preserve"> u </w:t>
      </w:r>
      <w:r w:rsidRPr="00F85275">
        <w:t>pacientov</w:t>
      </w:r>
      <w:r w:rsidR="00347034" w:rsidRPr="00F85275">
        <w:t xml:space="preserve"> s </w:t>
      </w:r>
      <w:r w:rsidRPr="00F85275">
        <w:t>Parkinsonovou chorobou sa majú dávky pramipexolu znižovať postupne (pozri časť 4.2). Pri znižovaní dávky alebo prerušení podávania dopamínových agonistov vrátane pramipexolu sa môžu vyskytnúť iné ako motorické nežiaduce účinky. Príznaky zahŕňajú apatiu, úzkosť, depresiu, únavu, potenie</w:t>
      </w:r>
      <w:r w:rsidR="00347034" w:rsidRPr="00F85275">
        <w:t xml:space="preserve"> a </w:t>
      </w:r>
      <w:r w:rsidRPr="00F85275">
        <w:t>bolesť</w:t>
      </w:r>
      <w:r w:rsidR="00347034" w:rsidRPr="00F85275">
        <w:t xml:space="preserve"> a </w:t>
      </w:r>
      <w:r w:rsidRPr="00F85275">
        <w:t>môžu byť závažné. Pacientov treba o tom informovať pred znížením dávky dopamínového agonistu</w:t>
      </w:r>
      <w:r w:rsidR="00347034" w:rsidRPr="00F85275">
        <w:t xml:space="preserve"> a </w:t>
      </w:r>
      <w:r w:rsidRPr="00F85275">
        <w:t>potom ich pravidelne sledovať.</w:t>
      </w:r>
      <w:r w:rsidR="00347034" w:rsidRPr="00F85275">
        <w:t xml:space="preserve"> </w:t>
      </w:r>
      <w:r w:rsidR="00191766" w:rsidRPr="00F85275">
        <w:t>V</w:t>
      </w:r>
      <w:r w:rsidR="00347034" w:rsidRPr="00F85275">
        <w:t> </w:t>
      </w:r>
      <w:r w:rsidRPr="00F85275">
        <w:t>prípade pretrvávajúcich príznakov môže byť potrebné dočasne zvýšiť dávku pramipexolu (pozri časť 4.8).</w:t>
      </w:r>
    </w:p>
    <w:p w14:paraId="4A83BDB5" w14:textId="5AF5D1B7" w:rsidR="002B4D0B" w:rsidRPr="00F85275" w:rsidRDefault="002B4D0B" w:rsidP="005D6511">
      <w:pPr>
        <w:pStyle w:val="Styl2"/>
        <w:rPr>
          <w:lang w:val="sk-SK"/>
        </w:rPr>
      </w:pPr>
      <w:r w:rsidRPr="00F85275">
        <w:rPr>
          <w:lang w:val="sk-SK"/>
        </w:rPr>
        <w:t>Liekové a iné interakcie</w:t>
      </w:r>
    </w:p>
    <w:p w14:paraId="3B11A717" w14:textId="77777777" w:rsidR="002B4D0B" w:rsidRPr="00F85275" w:rsidRDefault="002B4D0B" w:rsidP="00A67EA0">
      <w:pPr>
        <w:pStyle w:val="Styl3"/>
      </w:pPr>
      <w:r w:rsidRPr="00F85275">
        <w:t>Väzba na plazmatické bielkoviny</w:t>
      </w:r>
    </w:p>
    <w:p w14:paraId="2F43EB22" w14:textId="237B5078" w:rsidR="002B4D0B" w:rsidRPr="00F85275" w:rsidRDefault="002B4D0B" w:rsidP="00A67EA0">
      <w:pPr>
        <w:pStyle w:val="Normlndobloku"/>
      </w:pPr>
      <w:r w:rsidRPr="00F85275">
        <w:t>U ľudí je pozorovaná malá biotransformácia</w:t>
      </w:r>
      <w:r w:rsidR="00347034" w:rsidRPr="00F85275">
        <w:t xml:space="preserve"> a </w:t>
      </w:r>
      <w:r w:rsidRPr="00F85275">
        <w:t>veľmi nízka (&lt;20 %) väzba pramipexolu na plazmatické bielkoviny. Preto je interakcia</w:t>
      </w:r>
      <w:r w:rsidR="00347034" w:rsidRPr="00F85275">
        <w:t xml:space="preserve"> s </w:t>
      </w:r>
      <w:r w:rsidRPr="00F85275">
        <w:t>inými liekmi pôsobiacimi na väzbu na plazmatické bielkoviny alebo na vylučovanie biotransformáciou nepravdepodobná. Pretože anticholínergiká sa vylučujú prevažne biotransformáciou, možnosť interakcie je obmedzená, hoci sa interakcia</w:t>
      </w:r>
      <w:r w:rsidR="00347034" w:rsidRPr="00F85275">
        <w:t xml:space="preserve"> s </w:t>
      </w:r>
      <w:r w:rsidRPr="00F85275">
        <w:t>anticholínergikami neskúmala. Neexistujú farmakokinetické interakcie so selegilínom ani levodopou.</w:t>
      </w:r>
    </w:p>
    <w:p w14:paraId="5BA03FA8" w14:textId="77777777" w:rsidR="002B4D0B" w:rsidRPr="00F85275" w:rsidRDefault="002B4D0B" w:rsidP="00A67EA0">
      <w:pPr>
        <w:pStyle w:val="Styl3"/>
      </w:pPr>
      <w:r w:rsidRPr="00F85275">
        <w:t>Inhibítory/kompetítory aktívneho renálneho vylučovania</w:t>
      </w:r>
    </w:p>
    <w:p w14:paraId="2DB6F4BC" w14:textId="7F36752E" w:rsidR="002B4D0B" w:rsidRPr="00F85275" w:rsidRDefault="002B4D0B" w:rsidP="00A67EA0">
      <w:pPr>
        <w:pStyle w:val="Normlndobloku"/>
      </w:pPr>
      <w:r w:rsidRPr="00F85275">
        <w:t>Cimetidín znižuje renálny klírens pramipexolu približne o</w:t>
      </w:r>
      <w:r w:rsidR="004F401E" w:rsidRPr="00F85275">
        <w:t> </w:t>
      </w:r>
      <w:r w:rsidRPr="00F85275">
        <w:t>34</w:t>
      </w:r>
      <w:r w:rsidR="004F401E" w:rsidRPr="00F85275">
        <w:t> </w:t>
      </w:r>
      <w:r w:rsidRPr="00F85275">
        <w:t>%, pravdepodobne inhibíciou katiónového vylučovacieho transportného systému renálnych tubulov. Preto lieky, ktoré sú inhibítory tohto aktívneho renálneho vylučovania alebo sa vylučujú touto cestou, ako sú cimetidín, amantadín, mexiletín, zidovudín, cisplatina, chinín</w:t>
      </w:r>
      <w:r w:rsidR="00347034" w:rsidRPr="00F85275">
        <w:t xml:space="preserve"> a </w:t>
      </w:r>
      <w:r w:rsidRPr="00F85275">
        <w:t>prokainamid môžu vzájomne reagovať</w:t>
      </w:r>
      <w:r w:rsidR="00347034" w:rsidRPr="00F85275">
        <w:t xml:space="preserve"> s </w:t>
      </w:r>
      <w:r w:rsidRPr="00F85275">
        <w:t xml:space="preserve">pramipexolom, čo </w:t>
      </w:r>
      <w:r w:rsidRPr="00F85275">
        <w:lastRenderedPageBreak/>
        <w:t>má za následok zníženie klírensu pramipexolu. Ak sa tieto lieky podávajú sú</w:t>
      </w:r>
      <w:r w:rsidR="00191766" w:rsidRPr="00F85275">
        <w:t>bežne</w:t>
      </w:r>
      <w:r w:rsidRPr="00F85275">
        <w:t xml:space="preserve"> s liekom MEDOPEXOL, má sa zvážiť zníženie dávky pramipexolu.</w:t>
      </w:r>
    </w:p>
    <w:p w14:paraId="5ED7AEEE" w14:textId="64368014" w:rsidR="002B4D0B" w:rsidRPr="00F85275" w:rsidRDefault="002B4D0B" w:rsidP="00A67EA0">
      <w:pPr>
        <w:pStyle w:val="Styl3"/>
      </w:pPr>
      <w:r w:rsidRPr="00F85275">
        <w:t>Kombinácia</w:t>
      </w:r>
      <w:r w:rsidR="00347034" w:rsidRPr="00F85275">
        <w:t xml:space="preserve"> s </w:t>
      </w:r>
      <w:r w:rsidRPr="00F85275">
        <w:t>levodopou</w:t>
      </w:r>
    </w:p>
    <w:p w14:paraId="135ECA1D" w14:textId="6AC4D43D" w:rsidR="002B4D0B" w:rsidRPr="00F85275" w:rsidRDefault="002B4D0B" w:rsidP="00A67EA0">
      <w:pPr>
        <w:pStyle w:val="Normlndobloku"/>
      </w:pPr>
      <w:r w:rsidRPr="00F85275">
        <w:t>Ak sa MEDOPEXOL podáva</w:t>
      </w:r>
      <w:r w:rsidR="00347034" w:rsidRPr="00F85275">
        <w:t xml:space="preserve"> v </w:t>
      </w:r>
      <w:r w:rsidRPr="00F85275">
        <w:t>kombinácii</w:t>
      </w:r>
      <w:r w:rsidR="00347034" w:rsidRPr="00F85275">
        <w:t xml:space="preserve"> s </w:t>
      </w:r>
      <w:r w:rsidRPr="00F85275">
        <w:t xml:space="preserve">levodopou, odporúča sa pri zvyšovaní </w:t>
      </w:r>
      <w:r w:rsidR="00191766" w:rsidRPr="00F85275">
        <w:t xml:space="preserve">jeho </w:t>
      </w:r>
      <w:r w:rsidRPr="00F85275">
        <w:t>dávky  zníženie dávky levodopy</w:t>
      </w:r>
      <w:r w:rsidR="00347034" w:rsidRPr="00F85275">
        <w:t xml:space="preserve"> a </w:t>
      </w:r>
      <w:r w:rsidRPr="00F85275">
        <w:t>dávka ďalších antiparkinsoník sa má udržiavať konštantná.</w:t>
      </w:r>
    </w:p>
    <w:p w14:paraId="367C725C" w14:textId="3803883E" w:rsidR="002B4D0B" w:rsidRPr="00F85275" w:rsidRDefault="002B4D0B" w:rsidP="00A67EA0">
      <w:pPr>
        <w:pStyle w:val="Normlndobloku"/>
      </w:pPr>
      <w:r w:rsidRPr="00F85275">
        <w:t>Kvôli možným vedľajším účinkom sa vyžaduje opatrnosť</w:t>
      </w:r>
      <w:r w:rsidR="00347034" w:rsidRPr="00F85275">
        <w:t xml:space="preserve"> u </w:t>
      </w:r>
      <w:r w:rsidRPr="00F85275">
        <w:t>pacientov užívajúcich iné sedatívne lieky alebo alkohol v kombinácii s pramipexolom (pozri časti 4.4, 4.7</w:t>
      </w:r>
      <w:r w:rsidR="00347034" w:rsidRPr="00F85275">
        <w:t xml:space="preserve"> a </w:t>
      </w:r>
      <w:r w:rsidRPr="00F85275">
        <w:t>4.8).</w:t>
      </w:r>
    </w:p>
    <w:p w14:paraId="5F3BF342" w14:textId="77777777" w:rsidR="002B4D0B" w:rsidRPr="00F85275" w:rsidRDefault="002B4D0B" w:rsidP="00A67EA0">
      <w:pPr>
        <w:pStyle w:val="Styl3"/>
      </w:pPr>
      <w:r w:rsidRPr="00F85275">
        <w:t>Antipsychotiká</w:t>
      </w:r>
    </w:p>
    <w:p w14:paraId="19F021E4" w14:textId="7A8E8577" w:rsidR="002B4D0B" w:rsidRPr="00F85275" w:rsidRDefault="002B4D0B" w:rsidP="00A67EA0">
      <w:pPr>
        <w:pStyle w:val="Normlndobloku"/>
      </w:pPr>
      <w:r w:rsidRPr="00F85275">
        <w:t>Treba sa vyhýbať sú</w:t>
      </w:r>
      <w:r w:rsidR="00191766" w:rsidRPr="00F85275">
        <w:t>bežnému</w:t>
      </w:r>
      <w:r w:rsidRPr="00F85275">
        <w:t xml:space="preserve"> podávaniu antipsychotík</w:t>
      </w:r>
      <w:r w:rsidR="00347034" w:rsidRPr="00F85275">
        <w:t xml:space="preserve"> s </w:t>
      </w:r>
      <w:r w:rsidRPr="00F85275">
        <w:t>pramipexolom (pozri časť 4.4) napr. ak je možné očakávať antagonistický účinok.</w:t>
      </w:r>
    </w:p>
    <w:p w14:paraId="2C50E56C" w14:textId="48A3295B" w:rsidR="002B4D0B" w:rsidRPr="00F85275" w:rsidRDefault="002B4D0B" w:rsidP="005D6511">
      <w:pPr>
        <w:pStyle w:val="Styl2"/>
        <w:rPr>
          <w:lang w:val="sk-SK"/>
        </w:rPr>
      </w:pPr>
      <w:r w:rsidRPr="00F85275">
        <w:rPr>
          <w:lang w:val="sk-SK"/>
        </w:rPr>
        <w:t>Fertilita, gravidita a laktácia</w:t>
      </w:r>
    </w:p>
    <w:p w14:paraId="0D56D5CA" w14:textId="77777777" w:rsidR="00301480" w:rsidRPr="00F85275" w:rsidRDefault="002B4D0B" w:rsidP="00A67EA0">
      <w:pPr>
        <w:pStyle w:val="Styl3"/>
      </w:pPr>
      <w:r w:rsidRPr="00F85275">
        <w:t>Gravidita</w:t>
      </w:r>
    </w:p>
    <w:p w14:paraId="693C7EE3" w14:textId="5B841B08" w:rsidR="00301480" w:rsidRPr="00F85275" w:rsidRDefault="002B4D0B" w:rsidP="00A67EA0">
      <w:pPr>
        <w:pStyle w:val="Styl3"/>
      </w:pPr>
      <w:r w:rsidRPr="00F85275">
        <w:rPr>
          <w:rStyle w:val="NormlndoblokuChar"/>
          <w:u w:val="none"/>
        </w:rPr>
        <w:t>U ľudí sa nepozoroval vplyv na priebeh gravidity</w:t>
      </w:r>
      <w:r w:rsidR="00347034" w:rsidRPr="00F85275">
        <w:rPr>
          <w:rStyle w:val="NormlndoblokuChar"/>
          <w:u w:val="none"/>
        </w:rPr>
        <w:t xml:space="preserve"> a </w:t>
      </w:r>
      <w:r w:rsidRPr="00F85275">
        <w:rPr>
          <w:rStyle w:val="NormlndoblokuChar"/>
          <w:u w:val="none"/>
        </w:rPr>
        <w:t>laktácie. Pramipexol nebol teratogénny u potkanov</w:t>
      </w:r>
      <w:r w:rsidR="00347034" w:rsidRPr="00F85275">
        <w:rPr>
          <w:rStyle w:val="NormlndoblokuChar"/>
          <w:u w:val="none"/>
        </w:rPr>
        <w:t xml:space="preserve"> a </w:t>
      </w:r>
      <w:r w:rsidRPr="00F85275">
        <w:rPr>
          <w:rStyle w:val="NormlndoblokuChar"/>
          <w:u w:val="none"/>
        </w:rPr>
        <w:t>králikov, ale bol embryotoxický</w:t>
      </w:r>
      <w:r w:rsidR="00347034" w:rsidRPr="00F85275">
        <w:rPr>
          <w:rStyle w:val="NormlndoblokuChar"/>
          <w:u w:val="none"/>
        </w:rPr>
        <w:t xml:space="preserve"> u </w:t>
      </w:r>
      <w:r w:rsidRPr="00F85275">
        <w:rPr>
          <w:rStyle w:val="NormlndoblokuChar"/>
          <w:u w:val="none"/>
        </w:rPr>
        <w:t>potkanov pri dávkach toxických pre gravidnú samicu (pozri časť 5.3). MEDOPEXOL sa nemá používať počas gravidity, len ak je to výslovne nevyhnutné, t.j. ak možný prínos liečby preváži možné riziko pre plod</w:t>
      </w:r>
      <w:r w:rsidRPr="00F85275">
        <w:rPr>
          <w:szCs w:val="22"/>
        </w:rPr>
        <w:t>.</w:t>
      </w:r>
    </w:p>
    <w:p w14:paraId="585EB1BC" w14:textId="77777777" w:rsidR="00301480" w:rsidRPr="00F85275" w:rsidRDefault="002B4D0B" w:rsidP="00A67EA0">
      <w:pPr>
        <w:pStyle w:val="Normlndobloku"/>
        <w:rPr>
          <w:u w:val="single"/>
        </w:rPr>
      </w:pPr>
      <w:r w:rsidRPr="00F85275">
        <w:rPr>
          <w:u w:val="single"/>
        </w:rPr>
        <w:t>Dojčenie</w:t>
      </w:r>
    </w:p>
    <w:p w14:paraId="1A87D6A2" w14:textId="53583885" w:rsidR="00A67EA0" w:rsidRPr="00F85275" w:rsidRDefault="002B4D0B" w:rsidP="00A67EA0">
      <w:pPr>
        <w:pStyle w:val="Normlndobloku"/>
      </w:pPr>
      <w:r w:rsidRPr="00F85275">
        <w:t>Pretože liečba liekom MEDOPEXOL inhibuje vylučovanie prolaktínu</w:t>
      </w:r>
      <w:r w:rsidR="00347034" w:rsidRPr="00F85275">
        <w:t xml:space="preserve"> u </w:t>
      </w:r>
      <w:r w:rsidRPr="00F85275">
        <w:t>ľudí, možno očakávať aj inhibíciu laktácie. Vylučovanie lieku MEDOPEXOL do materského</w:t>
      </w:r>
      <w:r w:rsidR="00347034" w:rsidRPr="00F85275">
        <w:t> ml</w:t>
      </w:r>
      <w:r w:rsidRPr="00F85275">
        <w:t>ieka</w:t>
      </w:r>
      <w:r w:rsidR="00347034" w:rsidRPr="00F85275">
        <w:t xml:space="preserve"> u </w:t>
      </w:r>
      <w:r w:rsidRPr="00F85275">
        <w:t>žien sa neskúmalo.</w:t>
      </w:r>
      <w:r w:rsidR="00347034" w:rsidRPr="00F85275">
        <w:t xml:space="preserve"> </w:t>
      </w:r>
      <w:r w:rsidR="00191766" w:rsidRPr="00F85275">
        <w:t>U</w:t>
      </w:r>
      <w:r w:rsidR="00347034" w:rsidRPr="00F85275">
        <w:t> </w:t>
      </w:r>
      <w:r w:rsidRPr="00F85275">
        <w:t>potkanov bola koncentrácia rádioaktívne označeného liečiva vyššia</w:t>
      </w:r>
      <w:r w:rsidR="00347034" w:rsidRPr="00F85275">
        <w:t xml:space="preserve"> v </w:t>
      </w:r>
      <w:r w:rsidRPr="00F85275">
        <w:t>materskom</w:t>
      </w:r>
      <w:r w:rsidR="00347034" w:rsidRPr="00F85275">
        <w:t> ml</w:t>
      </w:r>
      <w:r w:rsidRPr="00F85275">
        <w:t>ieku ako</w:t>
      </w:r>
      <w:r w:rsidR="00347034" w:rsidRPr="00F85275">
        <w:t xml:space="preserve"> v </w:t>
      </w:r>
      <w:r w:rsidR="00F85275" w:rsidRPr="00F85275">
        <w:t>plazme. Pre</w:t>
      </w:r>
      <w:r w:rsidRPr="00F85275">
        <w:t xml:space="preserve"> chýbajúce údaje</w:t>
      </w:r>
      <w:r w:rsidR="00347034" w:rsidRPr="00F85275">
        <w:t xml:space="preserve"> u </w:t>
      </w:r>
      <w:r w:rsidRPr="00F85275">
        <w:t>ľudí sa MEDOPEXOL, nemá užívať počas dojčenia. Ak je však jeho užívanie nevyhnuté, dojčenie sa má prerušiť.</w:t>
      </w:r>
    </w:p>
    <w:p w14:paraId="2F35BF18" w14:textId="77777777" w:rsidR="00A67EA0" w:rsidRPr="00F85275" w:rsidRDefault="002B4D0B" w:rsidP="00A67EA0">
      <w:pPr>
        <w:pStyle w:val="Normlndobloku"/>
        <w:rPr>
          <w:u w:val="single"/>
        </w:rPr>
      </w:pPr>
      <w:r w:rsidRPr="00F85275">
        <w:rPr>
          <w:u w:val="single"/>
        </w:rPr>
        <w:t>Fertilita</w:t>
      </w:r>
    </w:p>
    <w:p w14:paraId="2A836D6D" w14:textId="3BF0C659" w:rsidR="002B4D0B" w:rsidRPr="00F85275" w:rsidRDefault="002B4D0B" w:rsidP="00A67EA0">
      <w:pPr>
        <w:pStyle w:val="Normlndobloku"/>
      </w:pPr>
      <w:r w:rsidRPr="00F85275">
        <w:t>Neboli vykonané žiadne štúdie o vplyve na fertilitu</w:t>
      </w:r>
      <w:r w:rsidR="00347034" w:rsidRPr="00F85275">
        <w:t xml:space="preserve"> u </w:t>
      </w:r>
      <w:r w:rsidRPr="00F85275">
        <w:t>ľudí.</w:t>
      </w:r>
      <w:r w:rsidR="00347034" w:rsidRPr="00F85275">
        <w:t xml:space="preserve"> </w:t>
      </w:r>
      <w:r w:rsidR="00DB03F3" w:rsidRPr="00F85275">
        <w:t>V</w:t>
      </w:r>
      <w:r w:rsidR="00347034" w:rsidRPr="00F85275">
        <w:t> </w:t>
      </w:r>
      <w:r w:rsidRPr="00F85275">
        <w:t>štúdiách na zvieratách, pramipexol ovplyvnil estrálne cykly</w:t>
      </w:r>
      <w:r w:rsidR="00347034" w:rsidRPr="00F85275">
        <w:t xml:space="preserve"> a </w:t>
      </w:r>
      <w:r w:rsidRPr="00F85275">
        <w:t>znížil fertilitu samičiek, tak ako sa očakávalo</w:t>
      </w:r>
      <w:r w:rsidR="00347034" w:rsidRPr="00F85275">
        <w:t xml:space="preserve"> u </w:t>
      </w:r>
      <w:r w:rsidRPr="00F85275">
        <w:t xml:space="preserve">dopamínového agonistu. </w:t>
      </w:r>
      <w:r w:rsidR="00DB03F3" w:rsidRPr="00F85275">
        <w:t>Avšak t</w:t>
      </w:r>
      <w:r w:rsidRPr="00F85275">
        <w:t>ieto štúdie nepreukázali priame alebo nepriame škodlivé účinky na samčiu fertilitu.</w:t>
      </w:r>
    </w:p>
    <w:p w14:paraId="0F09AF30" w14:textId="493A2025" w:rsidR="002B4D0B" w:rsidRPr="00F85275" w:rsidRDefault="002B4D0B" w:rsidP="005D6511">
      <w:pPr>
        <w:pStyle w:val="Styl2"/>
        <w:rPr>
          <w:lang w:val="sk-SK"/>
        </w:rPr>
      </w:pPr>
      <w:r w:rsidRPr="00F85275">
        <w:rPr>
          <w:lang w:val="sk-SK"/>
        </w:rPr>
        <w:t>Ovplyvnenie schopnosti viesť vozidlá</w:t>
      </w:r>
      <w:r w:rsidR="00347034" w:rsidRPr="00F85275">
        <w:rPr>
          <w:lang w:val="sk-SK"/>
        </w:rPr>
        <w:t xml:space="preserve"> a </w:t>
      </w:r>
      <w:r w:rsidRPr="00F85275">
        <w:rPr>
          <w:lang w:val="sk-SK"/>
        </w:rPr>
        <w:t>obsluhovať stroje</w:t>
      </w:r>
    </w:p>
    <w:p w14:paraId="01928DF2" w14:textId="24154AC9" w:rsidR="002B4D0B" w:rsidRPr="00F85275" w:rsidRDefault="002B4D0B" w:rsidP="00A67EA0">
      <w:pPr>
        <w:pStyle w:val="Normlndobloku"/>
      </w:pPr>
      <w:r w:rsidRPr="00F85275">
        <w:t>MEDOPEXOL môže mať veľký vplyv na schopnosť viesť vozidlá</w:t>
      </w:r>
      <w:r w:rsidR="00347034" w:rsidRPr="00F85275">
        <w:t xml:space="preserve"> a </w:t>
      </w:r>
      <w:r w:rsidRPr="00F85275">
        <w:t>obsluhovať stroje.</w:t>
      </w:r>
    </w:p>
    <w:p w14:paraId="6E5C37A8" w14:textId="77777777" w:rsidR="002B4D0B" w:rsidRPr="00F85275" w:rsidRDefault="002B4D0B" w:rsidP="00A67EA0">
      <w:pPr>
        <w:pStyle w:val="Normlndobloku"/>
      </w:pPr>
      <w:r w:rsidRPr="00F85275">
        <w:t>Môžu sa objaviť halucinácie alebo somnolencia.</w:t>
      </w:r>
    </w:p>
    <w:p w14:paraId="62D01174" w14:textId="5FE2C9B3" w:rsidR="002B4D0B" w:rsidRPr="00F85275" w:rsidRDefault="002B4D0B" w:rsidP="00A67EA0">
      <w:pPr>
        <w:pStyle w:val="Normlndobloku"/>
      </w:pPr>
      <w:r w:rsidRPr="00F85275">
        <w:t>Pacienti liečení liekom MEDOPEXOL,</w:t>
      </w:r>
      <w:r w:rsidR="00347034" w:rsidRPr="00F85275">
        <w:t xml:space="preserve"> u </w:t>
      </w:r>
      <w:r w:rsidRPr="00F85275">
        <w:t>ktorých sa vyskytla somnolencia a/alebo epizódy náhleho spánku, musia byť informovaní, že nemajú viesť vozidlo alebo sa zaoberať činnosťami, kde by im nedostatok pozornosti mohol priniesť riziko vážneho zranenia alebo smrti (napr. obsluhovanie strojov), kým nebudú vedieť zvládať rekurentné epizódy</w:t>
      </w:r>
      <w:r w:rsidR="00347034" w:rsidRPr="00F85275">
        <w:t xml:space="preserve"> a </w:t>
      </w:r>
      <w:r w:rsidRPr="00F85275">
        <w:t>somnolenciu (pozri aj časti 4.4, 4.5</w:t>
      </w:r>
      <w:r w:rsidR="00347034" w:rsidRPr="00F85275">
        <w:t xml:space="preserve"> a </w:t>
      </w:r>
      <w:r w:rsidRPr="00F85275">
        <w:t>4.8).</w:t>
      </w:r>
    </w:p>
    <w:p w14:paraId="633A8A65" w14:textId="5E276B14" w:rsidR="002B4D0B" w:rsidRPr="00F85275" w:rsidRDefault="002B4D0B" w:rsidP="005D6511">
      <w:pPr>
        <w:pStyle w:val="Styl2"/>
        <w:rPr>
          <w:lang w:val="sk-SK"/>
        </w:rPr>
      </w:pPr>
      <w:r w:rsidRPr="00F85275">
        <w:rPr>
          <w:lang w:val="sk-SK"/>
        </w:rPr>
        <w:t>Nežiaduce účinky</w:t>
      </w:r>
    </w:p>
    <w:p w14:paraId="57DC3D2D" w14:textId="399A23F5" w:rsidR="002B4D0B" w:rsidRPr="00F85275" w:rsidRDefault="002B4D0B" w:rsidP="00A67EA0">
      <w:pPr>
        <w:pStyle w:val="Normlndobloku"/>
      </w:pPr>
      <w:r w:rsidRPr="00F85275">
        <w:t>Z analýzy združených placebom kontrolovaných štúdií vyplýva, že pri porovnaní celkovo 1</w:t>
      </w:r>
      <w:r w:rsidR="004F401E" w:rsidRPr="00F85275">
        <w:t> </w:t>
      </w:r>
      <w:r w:rsidRPr="00F85275">
        <w:t>923 pacientov užívajúcich pramipexol</w:t>
      </w:r>
      <w:r w:rsidR="00347034" w:rsidRPr="00F85275">
        <w:t xml:space="preserve"> a </w:t>
      </w:r>
      <w:r w:rsidRPr="00F85275">
        <w:t>1 354 pacientov užívajúcich placebo boli nežiaduce účinky často hlásené</w:t>
      </w:r>
      <w:r w:rsidR="00347034" w:rsidRPr="00F85275">
        <w:t xml:space="preserve"> u </w:t>
      </w:r>
      <w:r w:rsidRPr="00F85275">
        <w:t>obidvoch skupín. 63</w:t>
      </w:r>
      <w:r w:rsidR="004F401E" w:rsidRPr="00F85275">
        <w:t> </w:t>
      </w:r>
      <w:r w:rsidRPr="00F85275">
        <w:t>% pacientov užívajúcich liek pramipexol</w:t>
      </w:r>
      <w:r w:rsidR="00347034" w:rsidRPr="00F85275">
        <w:t xml:space="preserve"> a</w:t>
      </w:r>
      <w:r w:rsidR="004F401E" w:rsidRPr="00F85275">
        <w:t> </w:t>
      </w:r>
      <w:r w:rsidRPr="00F85275">
        <w:t>52</w:t>
      </w:r>
      <w:r w:rsidR="004F401E" w:rsidRPr="00F85275">
        <w:t> </w:t>
      </w:r>
      <w:r w:rsidRPr="00F85275">
        <w:t>% pacientov užívajúcich placebo hlásili aspoň jeden nežiaduci účinok.</w:t>
      </w:r>
    </w:p>
    <w:p w14:paraId="3723C42F" w14:textId="467CC131" w:rsidR="002B4D0B" w:rsidRPr="00F85275" w:rsidRDefault="002B4D0B" w:rsidP="00A67EA0">
      <w:pPr>
        <w:pStyle w:val="Normlndobloku"/>
      </w:pPr>
      <w:r w:rsidRPr="00F85275">
        <w:t>Väčšina nežiaducich reakcií zvyčajne začína na začiatku liečby</w:t>
      </w:r>
      <w:r w:rsidR="00347034" w:rsidRPr="00F85275">
        <w:t xml:space="preserve"> a </w:t>
      </w:r>
      <w:r w:rsidRPr="00F85275">
        <w:t>väčšina</w:t>
      </w:r>
      <w:r w:rsidR="00347034" w:rsidRPr="00F85275">
        <w:t xml:space="preserve"> z </w:t>
      </w:r>
      <w:r w:rsidRPr="00F85275">
        <w:t>nich má tendenciu vymiznúť aj pri pokračovaní liečby.</w:t>
      </w:r>
    </w:p>
    <w:p w14:paraId="722A1AEF" w14:textId="33E886CB" w:rsidR="002B4D0B" w:rsidRPr="00F85275" w:rsidRDefault="002B4D0B" w:rsidP="00A67EA0">
      <w:pPr>
        <w:pStyle w:val="Normlndobloku"/>
      </w:pPr>
      <w:r w:rsidRPr="00F85275">
        <w:t>V</w:t>
      </w:r>
      <w:r w:rsidR="00DB03F3" w:rsidRPr="00F85275">
        <w:t> jednotlivých triedach orgánových systémov</w:t>
      </w:r>
      <w:r w:rsidRPr="00F85275">
        <w:t xml:space="preserve"> sú nežiaduce účinky </w:t>
      </w:r>
      <w:r w:rsidR="00DB03F3" w:rsidRPr="00F85275">
        <w:t>zoradené</w:t>
      </w:r>
      <w:r w:rsidRPr="00F85275">
        <w:t xml:space="preserve"> podľa názvu frekvencie (počet pacientov,</w:t>
      </w:r>
      <w:r w:rsidR="00347034" w:rsidRPr="00F85275">
        <w:t xml:space="preserve"> u </w:t>
      </w:r>
      <w:r w:rsidRPr="00F85275">
        <w:t>ktorého sa očakáva výskyt reakcie) použitím nasledujúcich kategórií:</w:t>
      </w:r>
    </w:p>
    <w:p w14:paraId="54583730" w14:textId="7A87FBF9" w:rsidR="002B4D0B" w:rsidRPr="00F85275" w:rsidRDefault="002B4D0B" w:rsidP="00A67EA0">
      <w:pPr>
        <w:pStyle w:val="Normlndobloku"/>
      </w:pPr>
      <w:r w:rsidRPr="00F85275">
        <w:t>veľmi časté (≥1/10)</w:t>
      </w:r>
    </w:p>
    <w:p w14:paraId="574A09B9" w14:textId="5320DF8D" w:rsidR="002B4D0B" w:rsidRPr="00F85275" w:rsidRDefault="002B4D0B" w:rsidP="00A67EA0">
      <w:pPr>
        <w:pStyle w:val="Normlndobloku"/>
      </w:pPr>
      <w:r w:rsidRPr="00F85275">
        <w:t>časté (≥1/100 až &lt;1/10)</w:t>
      </w:r>
    </w:p>
    <w:p w14:paraId="4E63DD84" w14:textId="6CFE9344" w:rsidR="002B4D0B" w:rsidRPr="00F85275" w:rsidRDefault="002B4D0B" w:rsidP="00A67EA0">
      <w:pPr>
        <w:pStyle w:val="Normlndobloku"/>
      </w:pPr>
      <w:r w:rsidRPr="00F85275">
        <w:t>menej časté (≥1/1 000 až &lt;1/100)</w:t>
      </w:r>
    </w:p>
    <w:p w14:paraId="6835EC97" w14:textId="144771EF" w:rsidR="002B4D0B" w:rsidRPr="00F85275" w:rsidRDefault="002B4D0B" w:rsidP="00A67EA0">
      <w:pPr>
        <w:pStyle w:val="Normlndobloku"/>
      </w:pPr>
      <w:r w:rsidRPr="00F85275">
        <w:lastRenderedPageBreak/>
        <w:t>zriedkavé (≥1/10 000 až &lt;1/1 000)</w:t>
      </w:r>
    </w:p>
    <w:p w14:paraId="77C23C50" w14:textId="2B086F4C" w:rsidR="002B4D0B" w:rsidRPr="00F85275" w:rsidRDefault="002B4D0B" w:rsidP="00A67EA0">
      <w:pPr>
        <w:pStyle w:val="Normlndobloku"/>
      </w:pPr>
      <w:r w:rsidRPr="00F85275">
        <w:t>veľmi zriedkavé (&lt;1/10 000).</w:t>
      </w:r>
    </w:p>
    <w:p w14:paraId="7190B2A2" w14:textId="7DA28DE6" w:rsidR="002B4D0B" w:rsidRPr="00F85275" w:rsidRDefault="002B4D0B" w:rsidP="00A67EA0">
      <w:pPr>
        <w:pStyle w:val="Normlndobloku"/>
      </w:pPr>
      <w:r w:rsidRPr="00F85275">
        <w:t>neznáme (z dostupných údajov nemožno určiť).</w:t>
      </w:r>
    </w:p>
    <w:p w14:paraId="1295C197" w14:textId="2CAC3730" w:rsidR="00A67EA0" w:rsidRPr="00F85275" w:rsidRDefault="002B4D0B" w:rsidP="0094652B">
      <w:pPr>
        <w:pStyle w:val="Normlndobloku"/>
      </w:pPr>
      <w:r w:rsidRPr="00F85275">
        <w:t>Najčastejšie hlásené (≥5</w:t>
      </w:r>
      <w:r w:rsidR="004F401E" w:rsidRPr="00F85275">
        <w:t> </w:t>
      </w:r>
      <w:r w:rsidRPr="00F85275">
        <w:t>%) nežiaduce účinky</w:t>
      </w:r>
      <w:r w:rsidR="00347034" w:rsidRPr="00F85275">
        <w:t xml:space="preserve"> u </w:t>
      </w:r>
      <w:r w:rsidRPr="00F85275">
        <w:t>pacientov</w:t>
      </w:r>
      <w:r w:rsidR="00347034" w:rsidRPr="00F85275">
        <w:t xml:space="preserve"> s </w:t>
      </w:r>
      <w:r w:rsidRPr="00F85275">
        <w:t>Parkinsonovou chorobou</w:t>
      </w:r>
      <w:r w:rsidR="00DB03F3" w:rsidRPr="00F85275">
        <w:t>, hlásené</w:t>
      </w:r>
      <w:r w:rsidRPr="00F85275">
        <w:t xml:space="preserve"> častejšie pri liečbe pramipexolom ako pri liečbe placebom, boli: nauzea, dyskinéza, hypotenzia, závrat, somnolencia, nespavosť, zápcha, halucinácie, bolesť hlavy</w:t>
      </w:r>
      <w:r w:rsidR="00347034" w:rsidRPr="00F85275">
        <w:t xml:space="preserve"> a </w:t>
      </w:r>
      <w:r w:rsidRPr="00F85275">
        <w:t>únava. Výskyt somnolencie sa zvyšuje pri dávkach vyšších ako 1,5</w:t>
      </w:r>
      <w:r w:rsidR="00347034" w:rsidRPr="00F85275">
        <w:t> mg</w:t>
      </w:r>
      <w:r w:rsidRPr="00F85275">
        <w:t xml:space="preserve"> soli pramipexolu denne (pozri časť 4.2). Častejším nežiaducim účinkom</w:t>
      </w:r>
      <w:r w:rsidR="00347034" w:rsidRPr="00F85275">
        <w:t xml:space="preserve"> v </w:t>
      </w:r>
      <w:r w:rsidRPr="00F85275">
        <w:t>kombinácii</w:t>
      </w:r>
      <w:r w:rsidR="00347034" w:rsidRPr="00F85275">
        <w:t xml:space="preserve"> s </w:t>
      </w:r>
      <w:r w:rsidRPr="00F85275">
        <w:t>levodopou bola dyskinéza. Na začiatku liečby sa môže objaviť hypotenzia</w:t>
      </w:r>
      <w:r w:rsidR="00DB03F3" w:rsidRPr="00F85275">
        <w:t>,</w:t>
      </w:r>
      <w:r w:rsidRPr="00F85275">
        <w:t xml:space="preserve"> hlavne ak je </w:t>
      </w:r>
      <w:proofErr w:type="spellStart"/>
      <w:r w:rsidRPr="00F85275">
        <w:t>pramipexol</w:t>
      </w:r>
      <w:proofErr w:type="spellEnd"/>
      <w:r w:rsidRPr="00F85275">
        <w:t xml:space="preserve"> </w:t>
      </w:r>
      <w:proofErr w:type="spellStart"/>
      <w:r w:rsidRPr="00F85275">
        <w:t>titrovaný</w:t>
      </w:r>
      <w:proofErr w:type="spellEnd"/>
      <w:r w:rsidRPr="00F85275">
        <w:t xml:space="preserve"> príliš rýchlo.</w:t>
      </w:r>
    </w:p>
    <w:p w14:paraId="488CF674" w14:textId="71242469" w:rsidR="002B4D0B" w:rsidRPr="00F85275" w:rsidRDefault="002B4D0B" w:rsidP="00A67EA0">
      <w:pPr>
        <w:pStyle w:val="Styl3"/>
      </w:pPr>
      <w:r w:rsidRPr="00F85275">
        <w:t>Tabuľka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5D6511" w:rsidRPr="00F85275" w14:paraId="5794E85E" w14:textId="77777777" w:rsidTr="00301480">
        <w:trPr>
          <w:tblHeader/>
        </w:trPr>
        <w:tc>
          <w:tcPr>
            <w:tcW w:w="4605" w:type="dxa"/>
          </w:tcPr>
          <w:p w14:paraId="2272CAF5" w14:textId="6F42FCBD" w:rsidR="005D6511" w:rsidRPr="00F85275" w:rsidRDefault="004D2F57" w:rsidP="00301480">
            <w:pPr>
              <w:pStyle w:val="Nadpisuvnittabulky"/>
              <w:rPr>
                <w:b w:val="0"/>
                <w:lang w:val="sk-SK"/>
              </w:rPr>
            </w:pPr>
            <w:r w:rsidRPr="00F85275">
              <w:rPr>
                <w:lang w:val="sk-SK"/>
              </w:rPr>
              <w:t>Trieda orgánových systémov</w:t>
            </w:r>
          </w:p>
        </w:tc>
        <w:tc>
          <w:tcPr>
            <w:tcW w:w="4606" w:type="dxa"/>
          </w:tcPr>
          <w:p w14:paraId="28E0EA9A" w14:textId="77777777" w:rsidR="005D6511" w:rsidRPr="00F85275" w:rsidRDefault="005D6511" w:rsidP="00301480">
            <w:pPr>
              <w:pStyle w:val="Nadpisuvnittabulky"/>
              <w:rPr>
                <w:b w:val="0"/>
                <w:lang w:val="sk-SK"/>
              </w:rPr>
            </w:pPr>
            <w:r w:rsidRPr="00F85275">
              <w:rPr>
                <w:lang w:val="sk-SK"/>
              </w:rPr>
              <w:t>Nežiaduci účinok</w:t>
            </w:r>
          </w:p>
        </w:tc>
      </w:tr>
      <w:tr w:rsidR="005D6511" w:rsidRPr="00F85275" w14:paraId="3D884384" w14:textId="77777777" w:rsidTr="00F03464">
        <w:tc>
          <w:tcPr>
            <w:tcW w:w="9211" w:type="dxa"/>
            <w:gridSpan w:val="2"/>
          </w:tcPr>
          <w:p w14:paraId="06A33080" w14:textId="6D78C08B" w:rsidR="005D6511" w:rsidRPr="00F85275" w:rsidRDefault="005D6511" w:rsidP="00F03464">
            <w:pPr>
              <w:pStyle w:val="Nadpisuvnittabulky"/>
              <w:rPr>
                <w:lang w:val="sk-SK"/>
              </w:rPr>
            </w:pPr>
            <w:r w:rsidRPr="00F85275">
              <w:rPr>
                <w:lang w:val="sk-SK"/>
              </w:rPr>
              <w:t>Infekcie</w:t>
            </w:r>
            <w:r w:rsidR="00347034" w:rsidRPr="00F85275">
              <w:rPr>
                <w:lang w:val="sk-SK"/>
              </w:rPr>
              <w:t xml:space="preserve"> a </w:t>
            </w:r>
            <w:r w:rsidRPr="00F85275">
              <w:rPr>
                <w:lang w:val="sk-SK"/>
              </w:rPr>
              <w:t>nákazy</w:t>
            </w:r>
          </w:p>
        </w:tc>
      </w:tr>
      <w:tr w:rsidR="005D6511" w:rsidRPr="00F85275" w14:paraId="5667AE59" w14:textId="77777777" w:rsidTr="00F03464">
        <w:tc>
          <w:tcPr>
            <w:tcW w:w="4605" w:type="dxa"/>
          </w:tcPr>
          <w:p w14:paraId="2F92EE74" w14:textId="77777777" w:rsidR="005D6511" w:rsidRPr="00F85275" w:rsidRDefault="005D6511" w:rsidP="00A67EA0">
            <w:pPr>
              <w:pStyle w:val="Tabulkynormlndoblokuzarovnndoleva"/>
            </w:pPr>
            <w:r w:rsidRPr="00F85275">
              <w:t>Menej časté</w:t>
            </w:r>
          </w:p>
        </w:tc>
        <w:tc>
          <w:tcPr>
            <w:tcW w:w="4606" w:type="dxa"/>
          </w:tcPr>
          <w:p w14:paraId="32D2A744" w14:textId="77777777" w:rsidR="005D6511" w:rsidRPr="00F85275" w:rsidRDefault="005D6511" w:rsidP="00A67EA0">
            <w:pPr>
              <w:pStyle w:val="Tabulkynormlndoblokuzarovnndoleva"/>
            </w:pPr>
            <w:r w:rsidRPr="00F85275">
              <w:t>pneumónia</w:t>
            </w:r>
          </w:p>
        </w:tc>
      </w:tr>
      <w:tr w:rsidR="005D6511" w:rsidRPr="00F85275" w14:paraId="0D970083" w14:textId="77777777" w:rsidTr="00F03464">
        <w:tc>
          <w:tcPr>
            <w:tcW w:w="9211" w:type="dxa"/>
            <w:gridSpan w:val="2"/>
          </w:tcPr>
          <w:p w14:paraId="62987395" w14:textId="77777777" w:rsidR="005D6511" w:rsidRPr="00F85275" w:rsidRDefault="005D6511" w:rsidP="00F03464">
            <w:pPr>
              <w:pStyle w:val="Nadpisuvnittabulky"/>
              <w:rPr>
                <w:lang w:val="sk-SK"/>
              </w:rPr>
            </w:pPr>
            <w:r w:rsidRPr="00F85275">
              <w:rPr>
                <w:lang w:val="sk-SK"/>
              </w:rPr>
              <w:t>Poruchy endokrinného systému</w:t>
            </w:r>
          </w:p>
        </w:tc>
      </w:tr>
      <w:tr w:rsidR="005D6511" w:rsidRPr="00F85275" w14:paraId="0DD203C0" w14:textId="77777777" w:rsidTr="00F03464">
        <w:tc>
          <w:tcPr>
            <w:tcW w:w="4605" w:type="dxa"/>
          </w:tcPr>
          <w:p w14:paraId="74FB4BD9" w14:textId="77777777" w:rsidR="005D6511" w:rsidRPr="00F85275" w:rsidRDefault="005D6511" w:rsidP="00A67EA0">
            <w:pPr>
              <w:pStyle w:val="Tabulkynormlndoblokuzarovnndoleva"/>
            </w:pPr>
            <w:r w:rsidRPr="00F85275">
              <w:t>Menej časté</w:t>
            </w:r>
          </w:p>
        </w:tc>
        <w:tc>
          <w:tcPr>
            <w:tcW w:w="4606" w:type="dxa"/>
          </w:tcPr>
          <w:p w14:paraId="6799AEC1" w14:textId="77777777" w:rsidR="005D6511" w:rsidRPr="00F85275" w:rsidRDefault="005D6511" w:rsidP="00A67EA0">
            <w:pPr>
              <w:pStyle w:val="Tabulkynormlndoblokuzarovnndoleva"/>
            </w:pPr>
            <w:r w:rsidRPr="00F85275">
              <w:t>neprimerané vylučovanie antidiuretického hormónu</w:t>
            </w:r>
            <w:r w:rsidRPr="00F85275">
              <w:rPr>
                <w:szCs w:val="22"/>
                <w:vertAlign w:val="superscript"/>
              </w:rPr>
              <w:t>1</w:t>
            </w:r>
          </w:p>
        </w:tc>
      </w:tr>
      <w:tr w:rsidR="005D6511" w:rsidRPr="00F85275" w14:paraId="425D8815" w14:textId="77777777" w:rsidTr="00301480">
        <w:tc>
          <w:tcPr>
            <w:tcW w:w="9211" w:type="dxa"/>
            <w:gridSpan w:val="2"/>
          </w:tcPr>
          <w:p w14:paraId="4CE683DD" w14:textId="77777777" w:rsidR="005D6511" w:rsidRPr="00F85275" w:rsidRDefault="005D6511" w:rsidP="00301480">
            <w:pPr>
              <w:pStyle w:val="Nadpisuvnittabulky"/>
              <w:rPr>
                <w:b w:val="0"/>
                <w:lang w:val="sk-SK"/>
              </w:rPr>
            </w:pPr>
            <w:r w:rsidRPr="00F85275">
              <w:rPr>
                <w:lang w:val="sk-SK"/>
              </w:rPr>
              <w:t>Psychické poruchy</w:t>
            </w:r>
          </w:p>
        </w:tc>
      </w:tr>
      <w:tr w:rsidR="005D6511" w:rsidRPr="00F85275" w14:paraId="7B2C9429" w14:textId="77777777" w:rsidTr="00301480">
        <w:tc>
          <w:tcPr>
            <w:tcW w:w="4605" w:type="dxa"/>
          </w:tcPr>
          <w:p w14:paraId="193A5C75" w14:textId="77777777" w:rsidR="005D6511" w:rsidRPr="00F85275" w:rsidRDefault="005D6511" w:rsidP="00A67EA0">
            <w:pPr>
              <w:pStyle w:val="Tabulkynormlndoblokuzarovnndoleva"/>
            </w:pPr>
            <w:r w:rsidRPr="00F85275">
              <w:t>Časté</w:t>
            </w:r>
          </w:p>
        </w:tc>
        <w:tc>
          <w:tcPr>
            <w:tcW w:w="4606" w:type="dxa"/>
          </w:tcPr>
          <w:p w14:paraId="6EF9AB46" w14:textId="66D3DC12" w:rsidR="005D6511" w:rsidRPr="00F85275" w:rsidRDefault="004D2F57" w:rsidP="00A67EA0">
            <w:pPr>
              <w:pStyle w:val="Tabulkynormlndoblokuzarovnndoleva"/>
            </w:pPr>
            <w:r w:rsidRPr="00F85275">
              <w:t xml:space="preserve">nezvyčajné </w:t>
            </w:r>
            <w:r w:rsidR="005D6511" w:rsidRPr="00F85275">
              <w:t xml:space="preserve">sny, príznaky poruchy </w:t>
            </w:r>
            <w:r w:rsidRPr="00F85275">
              <w:t>–kontroly impulzov</w:t>
            </w:r>
            <w:r w:rsidR="00347034" w:rsidRPr="00F85275">
              <w:t xml:space="preserve"> a </w:t>
            </w:r>
            <w:r w:rsidR="005D6511" w:rsidRPr="00F85275">
              <w:t xml:space="preserve">kompulzívne správanie, zmätenosť, halucinácie, nespavosť </w:t>
            </w:r>
          </w:p>
        </w:tc>
      </w:tr>
      <w:tr w:rsidR="005D6511" w:rsidRPr="00F85275" w14:paraId="31D12794" w14:textId="77777777" w:rsidTr="00301480">
        <w:trPr>
          <w:trHeight w:val="703"/>
        </w:trPr>
        <w:tc>
          <w:tcPr>
            <w:tcW w:w="4605" w:type="dxa"/>
          </w:tcPr>
          <w:p w14:paraId="783CF349" w14:textId="77777777" w:rsidR="005D6511" w:rsidRPr="00F85275" w:rsidRDefault="005D6511" w:rsidP="00A67EA0">
            <w:pPr>
              <w:pStyle w:val="Tabulkynormlndoblokuzarovnndoleva"/>
            </w:pPr>
            <w:r w:rsidRPr="00F85275">
              <w:t>Menej časté</w:t>
            </w:r>
          </w:p>
        </w:tc>
        <w:tc>
          <w:tcPr>
            <w:tcW w:w="4606" w:type="dxa"/>
          </w:tcPr>
          <w:p w14:paraId="554E243D" w14:textId="77777777" w:rsidR="005D6511" w:rsidRPr="00F85275" w:rsidRDefault="005D6511" w:rsidP="00A67EA0">
            <w:pPr>
              <w:pStyle w:val="Tabulkynormlndoblokuzarovnndoleva"/>
            </w:pPr>
            <w:r w:rsidRPr="00F85275">
              <w:t>nadmerné prejedanie sa</w:t>
            </w:r>
            <w:r w:rsidRPr="00F85275">
              <w:rPr>
                <w:szCs w:val="22"/>
                <w:vertAlign w:val="superscript"/>
              </w:rPr>
              <w:t>1</w:t>
            </w:r>
            <w:r w:rsidRPr="00F85275">
              <w:t>, patologické nakupovanie, preludy, hyperfágia</w:t>
            </w:r>
            <w:r w:rsidRPr="00F85275">
              <w:rPr>
                <w:szCs w:val="22"/>
                <w:vertAlign w:val="superscript"/>
              </w:rPr>
              <w:t>1</w:t>
            </w:r>
            <w:r w:rsidRPr="00F85275">
              <w:t>, hypersexualita, poruchy libida, paranoja, patologické hráčstvo, nepokoj, delírium</w:t>
            </w:r>
          </w:p>
        </w:tc>
      </w:tr>
      <w:tr w:rsidR="005D6511" w:rsidRPr="00F85275" w14:paraId="312CD000" w14:textId="77777777" w:rsidTr="00301480">
        <w:tc>
          <w:tcPr>
            <w:tcW w:w="4605" w:type="dxa"/>
          </w:tcPr>
          <w:p w14:paraId="3FE8366D" w14:textId="68AE8C75" w:rsidR="005D6511" w:rsidRPr="00F85275" w:rsidRDefault="005D6511" w:rsidP="00A67EA0">
            <w:pPr>
              <w:pStyle w:val="Tabulkynormlndoblokuzarovnndoleva"/>
            </w:pPr>
            <w:r w:rsidRPr="00F85275">
              <w:t xml:space="preserve">Zriedkavé </w:t>
            </w:r>
          </w:p>
        </w:tc>
        <w:tc>
          <w:tcPr>
            <w:tcW w:w="4606" w:type="dxa"/>
          </w:tcPr>
          <w:p w14:paraId="4A7CCF62" w14:textId="7CC688BA" w:rsidR="005D6511" w:rsidRPr="00F85275" w:rsidRDefault="005D6511" w:rsidP="00A67EA0">
            <w:pPr>
              <w:pStyle w:val="Tabulkynormlndoblokuzarovnndoleva"/>
            </w:pPr>
            <w:r w:rsidRPr="00F85275">
              <w:t>mánia</w:t>
            </w:r>
          </w:p>
        </w:tc>
      </w:tr>
      <w:tr w:rsidR="005D6511" w:rsidRPr="00F85275" w14:paraId="342CE410" w14:textId="77777777" w:rsidTr="00301480">
        <w:tc>
          <w:tcPr>
            <w:tcW w:w="9211" w:type="dxa"/>
            <w:gridSpan w:val="2"/>
          </w:tcPr>
          <w:p w14:paraId="1F344AF9" w14:textId="77777777" w:rsidR="005D6511" w:rsidRPr="00F85275" w:rsidRDefault="005D6511" w:rsidP="00301480">
            <w:pPr>
              <w:pStyle w:val="Nadpisuvnittabulky"/>
              <w:rPr>
                <w:b w:val="0"/>
                <w:lang w:val="sk-SK"/>
              </w:rPr>
            </w:pPr>
            <w:r w:rsidRPr="00F85275">
              <w:rPr>
                <w:lang w:val="sk-SK"/>
              </w:rPr>
              <w:t>Poruchy nervového systému</w:t>
            </w:r>
          </w:p>
        </w:tc>
      </w:tr>
      <w:tr w:rsidR="005D6511" w:rsidRPr="00F85275" w14:paraId="54399C33" w14:textId="77777777" w:rsidTr="00301480">
        <w:tc>
          <w:tcPr>
            <w:tcW w:w="4605" w:type="dxa"/>
          </w:tcPr>
          <w:p w14:paraId="3935F6BB" w14:textId="77777777" w:rsidR="005D6511" w:rsidRPr="00F85275" w:rsidRDefault="005D6511" w:rsidP="00A67EA0">
            <w:pPr>
              <w:pStyle w:val="Tabulkynormlndoblokuzarovnndoleva"/>
            </w:pPr>
            <w:r w:rsidRPr="00F85275">
              <w:t xml:space="preserve">Veľmi časté </w:t>
            </w:r>
          </w:p>
        </w:tc>
        <w:tc>
          <w:tcPr>
            <w:tcW w:w="4606" w:type="dxa"/>
          </w:tcPr>
          <w:p w14:paraId="66473142" w14:textId="77777777" w:rsidR="005D6511" w:rsidRPr="00F85275" w:rsidRDefault="005D6511" w:rsidP="00A67EA0">
            <w:pPr>
              <w:pStyle w:val="Tabulkynormlndoblokuzarovnndoleva"/>
            </w:pPr>
            <w:r w:rsidRPr="00F85275">
              <w:t>závraty, dyskinéza, somnolencia</w:t>
            </w:r>
          </w:p>
        </w:tc>
      </w:tr>
      <w:tr w:rsidR="005D6511" w:rsidRPr="00F85275" w14:paraId="232BE8BA" w14:textId="77777777" w:rsidTr="00301480">
        <w:tc>
          <w:tcPr>
            <w:tcW w:w="4605" w:type="dxa"/>
          </w:tcPr>
          <w:p w14:paraId="412A2798" w14:textId="77777777" w:rsidR="005D6511" w:rsidRPr="00F85275" w:rsidRDefault="005D6511" w:rsidP="00A67EA0">
            <w:pPr>
              <w:pStyle w:val="Tabulkynormlndoblokuzarovnndoleva"/>
            </w:pPr>
            <w:r w:rsidRPr="00F85275">
              <w:t>Časté</w:t>
            </w:r>
          </w:p>
        </w:tc>
        <w:tc>
          <w:tcPr>
            <w:tcW w:w="4606" w:type="dxa"/>
          </w:tcPr>
          <w:p w14:paraId="093DCE9C" w14:textId="677853D6" w:rsidR="005D6511" w:rsidRPr="00F85275" w:rsidRDefault="005D6511" w:rsidP="00A67EA0">
            <w:pPr>
              <w:pStyle w:val="Tabulkynormlndoblokuzarovnndoleva"/>
            </w:pPr>
            <w:r w:rsidRPr="00F85275">
              <w:t xml:space="preserve">bolesť hlavy </w:t>
            </w:r>
          </w:p>
        </w:tc>
      </w:tr>
      <w:tr w:rsidR="005D6511" w:rsidRPr="00F85275" w14:paraId="5B9E8A7D" w14:textId="77777777" w:rsidTr="00301480">
        <w:tc>
          <w:tcPr>
            <w:tcW w:w="4605" w:type="dxa"/>
          </w:tcPr>
          <w:p w14:paraId="668BE7EF" w14:textId="77777777" w:rsidR="005D6511" w:rsidRPr="00F85275" w:rsidRDefault="005D6511" w:rsidP="00A67EA0">
            <w:pPr>
              <w:pStyle w:val="Tabulkynormlndoblokuzarovnndoleva"/>
            </w:pPr>
            <w:r w:rsidRPr="00F85275">
              <w:t xml:space="preserve">Menej časté </w:t>
            </w:r>
          </w:p>
        </w:tc>
        <w:tc>
          <w:tcPr>
            <w:tcW w:w="4606" w:type="dxa"/>
          </w:tcPr>
          <w:p w14:paraId="204D96CA" w14:textId="77777777" w:rsidR="005D6511" w:rsidRPr="00F85275" w:rsidRDefault="005D6511" w:rsidP="00A67EA0">
            <w:pPr>
              <w:pStyle w:val="Tabulkynormlndoblokuzarovnndoleva"/>
            </w:pPr>
            <w:r w:rsidRPr="00F85275">
              <w:t>amnézia, hyperkinéza, epizódy náhleho spánku, synkopa</w:t>
            </w:r>
          </w:p>
        </w:tc>
      </w:tr>
      <w:tr w:rsidR="005D6511" w:rsidRPr="00F85275" w14:paraId="1934AAF7" w14:textId="77777777" w:rsidTr="00301480">
        <w:tc>
          <w:tcPr>
            <w:tcW w:w="9211" w:type="dxa"/>
            <w:gridSpan w:val="2"/>
          </w:tcPr>
          <w:p w14:paraId="6C33C5B5" w14:textId="77777777" w:rsidR="005D6511" w:rsidRPr="00F85275" w:rsidRDefault="005D6511" w:rsidP="00301480">
            <w:pPr>
              <w:pStyle w:val="Nadpisuvnittabulky"/>
              <w:rPr>
                <w:b w:val="0"/>
                <w:lang w:val="sk-SK"/>
              </w:rPr>
            </w:pPr>
            <w:r w:rsidRPr="00F85275">
              <w:rPr>
                <w:lang w:val="sk-SK"/>
              </w:rPr>
              <w:t>Poruchy oka</w:t>
            </w:r>
          </w:p>
        </w:tc>
      </w:tr>
      <w:tr w:rsidR="005D6511" w:rsidRPr="00F85275" w14:paraId="3AD0720E" w14:textId="77777777" w:rsidTr="00301480">
        <w:tc>
          <w:tcPr>
            <w:tcW w:w="4605" w:type="dxa"/>
          </w:tcPr>
          <w:p w14:paraId="148F831A" w14:textId="77777777" w:rsidR="005D6511" w:rsidRPr="00F85275" w:rsidRDefault="005D6511" w:rsidP="00A67EA0">
            <w:pPr>
              <w:pStyle w:val="Tabulkynormlndoblokuzarovnndoleva"/>
            </w:pPr>
            <w:r w:rsidRPr="00F85275">
              <w:t>Časté</w:t>
            </w:r>
          </w:p>
        </w:tc>
        <w:tc>
          <w:tcPr>
            <w:tcW w:w="4606" w:type="dxa"/>
          </w:tcPr>
          <w:p w14:paraId="60A526DA" w14:textId="154F03C2" w:rsidR="005D6511" w:rsidRPr="00F85275" w:rsidRDefault="005D6511" w:rsidP="00A67EA0">
            <w:pPr>
              <w:pStyle w:val="Tabulkynormlndoblokuzarovnndoleva"/>
            </w:pPr>
            <w:r w:rsidRPr="00F85275">
              <w:t xml:space="preserve">poruchy videnia </w:t>
            </w:r>
            <w:r w:rsidR="004D2F57" w:rsidRPr="00F85275">
              <w:t xml:space="preserve">vrátane </w:t>
            </w:r>
            <w:r w:rsidRPr="00F85275">
              <w:t>dvojité</w:t>
            </w:r>
            <w:r w:rsidR="004D2F57" w:rsidRPr="00F85275">
              <w:t>ho</w:t>
            </w:r>
            <w:r w:rsidRPr="00F85275">
              <w:t xml:space="preserve"> videni</w:t>
            </w:r>
            <w:r w:rsidR="004D2F57" w:rsidRPr="00F85275">
              <w:t>a</w:t>
            </w:r>
            <w:r w:rsidRPr="00F85275">
              <w:t>, rozmazané videnie</w:t>
            </w:r>
            <w:r w:rsidR="00347034" w:rsidRPr="00F85275">
              <w:t xml:space="preserve"> a </w:t>
            </w:r>
            <w:r w:rsidRPr="00F85275">
              <w:t>obmedzen</w:t>
            </w:r>
            <w:r w:rsidR="004D2F57" w:rsidRPr="00F85275">
              <w:t>á</w:t>
            </w:r>
            <w:r w:rsidRPr="00F85275">
              <w:t xml:space="preserve"> zrakov</w:t>
            </w:r>
            <w:r w:rsidR="004D2F57" w:rsidRPr="00F85275">
              <w:t>á</w:t>
            </w:r>
            <w:r w:rsidRPr="00F85275">
              <w:t xml:space="preserve"> ostrosť </w:t>
            </w:r>
          </w:p>
        </w:tc>
      </w:tr>
      <w:tr w:rsidR="005D6511" w:rsidRPr="00F85275" w14:paraId="4749A2AD" w14:textId="77777777" w:rsidTr="00F03464">
        <w:tc>
          <w:tcPr>
            <w:tcW w:w="9211" w:type="dxa"/>
            <w:gridSpan w:val="2"/>
          </w:tcPr>
          <w:p w14:paraId="69B45C66" w14:textId="5CD16741" w:rsidR="005D6511" w:rsidRPr="00F85275" w:rsidRDefault="005D6511" w:rsidP="00F03464">
            <w:pPr>
              <w:pStyle w:val="Nadpisuvnittabulky"/>
              <w:rPr>
                <w:lang w:val="sk-SK"/>
              </w:rPr>
            </w:pPr>
            <w:r w:rsidRPr="00F85275">
              <w:rPr>
                <w:lang w:val="sk-SK"/>
              </w:rPr>
              <w:t>Poruchy srdca</w:t>
            </w:r>
            <w:r w:rsidR="00347034" w:rsidRPr="00F85275">
              <w:rPr>
                <w:lang w:val="sk-SK"/>
              </w:rPr>
              <w:t xml:space="preserve"> a </w:t>
            </w:r>
            <w:r w:rsidRPr="00F85275">
              <w:rPr>
                <w:lang w:val="sk-SK"/>
              </w:rPr>
              <w:t>srdcovej činnosti</w:t>
            </w:r>
          </w:p>
        </w:tc>
      </w:tr>
      <w:tr w:rsidR="005D6511" w:rsidRPr="00F85275" w14:paraId="1BB1A3AE" w14:textId="77777777" w:rsidTr="00F03464">
        <w:tc>
          <w:tcPr>
            <w:tcW w:w="4605" w:type="dxa"/>
          </w:tcPr>
          <w:p w14:paraId="6EF296B8" w14:textId="77777777" w:rsidR="005D6511" w:rsidRPr="00F85275" w:rsidRDefault="005D6511" w:rsidP="00A67EA0">
            <w:pPr>
              <w:pStyle w:val="Tabulkynormlndoblokuzarovnndoleva"/>
            </w:pPr>
            <w:r w:rsidRPr="00F85275">
              <w:t>Menej časté</w:t>
            </w:r>
          </w:p>
        </w:tc>
        <w:tc>
          <w:tcPr>
            <w:tcW w:w="4606" w:type="dxa"/>
          </w:tcPr>
          <w:p w14:paraId="6B8D02CF" w14:textId="77777777" w:rsidR="005D6511" w:rsidRPr="00F85275" w:rsidRDefault="005D6511" w:rsidP="00A67EA0">
            <w:pPr>
              <w:pStyle w:val="Tabulkynormlndoblokuzarovnndoleva"/>
            </w:pPr>
            <w:r w:rsidRPr="00F85275">
              <w:t>srdcové zlyhanie</w:t>
            </w:r>
            <w:r w:rsidRPr="00F85275">
              <w:rPr>
                <w:szCs w:val="22"/>
                <w:vertAlign w:val="superscript"/>
              </w:rPr>
              <w:t>1</w:t>
            </w:r>
          </w:p>
        </w:tc>
      </w:tr>
      <w:tr w:rsidR="005D6511" w:rsidRPr="00F85275" w14:paraId="3DC9B412" w14:textId="77777777" w:rsidTr="00301480">
        <w:tc>
          <w:tcPr>
            <w:tcW w:w="9211" w:type="dxa"/>
            <w:gridSpan w:val="2"/>
          </w:tcPr>
          <w:p w14:paraId="08E11405" w14:textId="77777777" w:rsidR="005D6511" w:rsidRPr="00F85275" w:rsidRDefault="005D6511" w:rsidP="00301480">
            <w:pPr>
              <w:pStyle w:val="Nadpisuvnittabulky"/>
              <w:rPr>
                <w:b w:val="0"/>
                <w:lang w:val="sk-SK"/>
              </w:rPr>
            </w:pPr>
            <w:r w:rsidRPr="00F85275">
              <w:rPr>
                <w:lang w:val="sk-SK"/>
              </w:rPr>
              <w:t>Poruchy ciev</w:t>
            </w:r>
          </w:p>
        </w:tc>
      </w:tr>
      <w:tr w:rsidR="005D6511" w:rsidRPr="00F85275" w14:paraId="2B4FEF7F" w14:textId="77777777" w:rsidTr="00301480">
        <w:tc>
          <w:tcPr>
            <w:tcW w:w="4605" w:type="dxa"/>
          </w:tcPr>
          <w:p w14:paraId="7E0DEF7A" w14:textId="134FE340" w:rsidR="005D6511" w:rsidRPr="00F85275" w:rsidRDefault="005D6511" w:rsidP="00A67EA0">
            <w:pPr>
              <w:pStyle w:val="Tabulkynormlndoblokuzarovnndoleva"/>
            </w:pPr>
            <w:r w:rsidRPr="00F85275">
              <w:t xml:space="preserve">Časté </w:t>
            </w:r>
          </w:p>
        </w:tc>
        <w:tc>
          <w:tcPr>
            <w:tcW w:w="4606" w:type="dxa"/>
          </w:tcPr>
          <w:p w14:paraId="77A90C75" w14:textId="77777777" w:rsidR="005D6511" w:rsidRPr="00F85275" w:rsidRDefault="005D6511" w:rsidP="00A67EA0">
            <w:pPr>
              <w:pStyle w:val="Tabulkynormlndoblokuzarovnndoleva"/>
            </w:pPr>
            <w:r w:rsidRPr="00F85275">
              <w:t xml:space="preserve">hypotenzia </w:t>
            </w:r>
          </w:p>
        </w:tc>
      </w:tr>
      <w:tr w:rsidR="005D6511" w:rsidRPr="00F85275" w14:paraId="0712301E" w14:textId="77777777" w:rsidTr="00F03464">
        <w:tc>
          <w:tcPr>
            <w:tcW w:w="9211" w:type="dxa"/>
            <w:gridSpan w:val="2"/>
          </w:tcPr>
          <w:p w14:paraId="34A3B2E1" w14:textId="2364FD72" w:rsidR="005D6511" w:rsidRPr="00F85275" w:rsidRDefault="005D6511" w:rsidP="00F03464">
            <w:pPr>
              <w:pStyle w:val="Nadpisuvnittabulky"/>
              <w:rPr>
                <w:lang w:val="sk-SK"/>
              </w:rPr>
            </w:pPr>
            <w:r w:rsidRPr="00F85275">
              <w:rPr>
                <w:lang w:val="sk-SK"/>
              </w:rPr>
              <w:t>Poruchy dýchacej sústavy, hrudníka</w:t>
            </w:r>
            <w:r w:rsidR="00347034" w:rsidRPr="00F85275">
              <w:rPr>
                <w:lang w:val="sk-SK"/>
              </w:rPr>
              <w:t xml:space="preserve"> a </w:t>
            </w:r>
            <w:r w:rsidRPr="00F85275">
              <w:rPr>
                <w:lang w:val="sk-SK"/>
              </w:rPr>
              <w:t>mediastína</w:t>
            </w:r>
          </w:p>
        </w:tc>
      </w:tr>
      <w:tr w:rsidR="005D6511" w:rsidRPr="00F85275" w14:paraId="4A741678" w14:textId="77777777" w:rsidTr="00F03464">
        <w:tc>
          <w:tcPr>
            <w:tcW w:w="4605" w:type="dxa"/>
          </w:tcPr>
          <w:p w14:paraId="5FCCA239" w14:textId="77777777" w:rsidR="005D6511" w:rsidRPr="00F85275" w:rsidRDefault="005D6511" w:rsidP="00A67EA0">
            <w:pPr>
              <w:pStyle w:val="Tabulkynormlndoblokuzarovnndoleva"/>
            </w:pPr>
            <w:r w:rsidRPr="00F85275">
              <w:t>Menej časté</w:t>
            </w:r>
          </w:p>
        </w:tc>
        <w:tc>
          <w:tcPr>
            <w:tcW w:w="4606" w:type="dxa"/>
          </w:tcPr>
          <w:p w14:paraId="48784ECE" w14:textId="7ACDC372" w:rsidR="005D6511" w:rsidRPr="00F85275" w:rsidRDefault="005D6511" w:rsidP="00A67EA0">
            <w:pPr>
              <w:pStyle w:val="Tabulkynormlndoblokuzarovnndoleva"/>
            </w:pPr>
            <w:r w:rsidRPr="00F85275">
              <w:t>dyspnoe, štikút</w:t>
            </w:r>
            <w:r w:rsidR="004D2F57" w:rsidRPr="00F85275">
              <w:t>anie</w:t>
            </w:r>
          </w:p>
        </w:tc>
      </w:tr>
      <w:tr w:rsidR="005D6511" w:rsidRPr="00F85275" w14:paraId="1A77D056" w14:textId="77777777" w:rsidTr="00301480">
        <w:tc>
          <w:tcPr>
            <w:tcW w:w="9211" w:type="dxa"/>
            <w:gridSpan w:val="2"/>
          </w:tcPr>
          <w:p w14:paraId="628EC711" w14:textId="77777777" w:rsidR="005D6511" w:rsidRPr="00F85275" w:rsidRDefault="005D6511" w:rsidP="00301480">
            <w:pPr>
              <w:pStyle w:val="Nadpisuvnittabulky"/>
              <w:rPr>
                <w:b w:val="0"/>
                <w:lang w:val="sk-SK"/>
              </w:rPr>
            </w:pPr>
            <w:r w:rsidRPr="00F85275">
              <w:rPr>
                <w:lang w:val="sk-SK"/>
              </w:rPr>
              <w:lastRenderedPageBreak/>
              <w:t>Poruchy gastrointestinálneho traktu</w:t>
            </w:r>
          </w:p>
        </w:tc>
      </w:tr>
      <w:tr w:rsidR="005D6511" w:rsidRPr="00F85275" w14:paraId="55B5C56F" w14:textId="77777777" w:rsidTr="00301480">
        <w:tc>
          <w:tcPr>
            <w:tcW w:w="4605" w:type="dxa"/>
          </w:tcPr>
          <w:p w14:paraId="01804212" w14:textId="77777777" w:rsidR="005D6511" w:rsidRPr="00F85275" w:rsidRDefault="005D6511" w:rsidP="00A67EA0">
            <w:pPr>
              <w:pStyle w:val="Tabulkynormlndoblokuzarovnndoleva"/>
            </w:pPr>
            <w:r w:rsidRPr="00F85275">
              <w:t xml:space="preserve">Veľmi časté </w:t>
            </w:r>
          </w:p>
        </w:tc>
        <w:tc>
          <w:tcPr>
            <w:tcW w:w="4606" w:type="dxa"/>
          </w:tcPr>
          <w:p w14:paraId="30736350" w14:textId="77777777" w:rsidR="005D6511" w:rsidRPr="00F85275" w:rsidRDefault="005D6511" w:rsidP="00A67EA0">
            <w:pPr>
              <w:pStyle w:val="Tabulkynormlndoblokuzarovnndoleva"/>
            </w:pPr>
            <w:r w:rsidRPr="00F85275">
              <w:t>nauzea</w:t>
            </w:r>
          </w:p>
        </w:tc>
      </w:tr>
      <w:tr w:rsidR="005D6511" w:rsidRPr="00F85275" w14:paraId="3F86405A" w14:textId="77777777" w:rsidTr="00301480">
        <w:tc>
          <w:tcPr>
            <w:tcW w:w="4605" w:type="dxa"/>
          </w:tcPr>
          <w:p w14:paraId="396422B5" w14:textId="77777777" w:rsidR="005D6511" w:rsidRPr="00F85275" w:rsidRDefault="005D6511" w:rsidP="00A67EA0">
            <w:pPr>
              <w:pStyle w:val="Tabulkynormlndoblokuzarovnndoleva"/>
            </w:pPr>
            <w:r w:rsidRPr="00F85275">
              <w:t xml:space="preserve">Časté </w:t>
            </w:r>
          </w:p>
        </w:tc>
        <w:tc>
          <w:tcPr>
            <w:tcW w:w="4606" w:type="dxa"/>
          </w:tcPr>
          <w:p w14:paraId="519440C9" w14:textId="77777777" w:rsidR="005D6511" w:rsidRPr="00F85275" w:rsidRDefault="005D6511" w:rsidP="00A67EA0">
            <w:pPr>
              <w:pStyle w:val="Tabulkynormlndoblokuzarovnndoleva"/>
            </w:pPr>
            <w:r w:rsidRPr="00F85275">
              <w:t xml:space="preserve">zápcha, vracanie </w:t>
            </w:r>
          </w:p>
        </w:tc>
      </w:tr>
      <w:tr w:rsidR="005D6511" w:rsidRPr="00F85275" w14:paraId="19D6FAAD" w14:textId="77777777" w:rsidTr="00301480">
        <w:tc>
          <w:tcPr>
            <w:tcW w:w="9211" w:type="dxa"/>
            <w:gridSpan w:val="2"/>
          </w:tcPr>
          <w:p w14:paraId="1C5F94AA" w14:textId="42CFEB45" w:rsidR="005D6511" w:rsidRPr="00F85275" w:rsidRDefault="005D6511" w:rsidP="00301480">
            <w:pPr>
              <w:pStyle w:val="Nadpisuvnittabulky"/>
              <w:rPr>
                <w:b w:val="0"/>
                <w:lang w:val="sk-SK"/>
              </w:rPr>
            </w:pPr>
            <w:r w:rsidRPr="00F85275">
              <w:rPr>
                <w:lang w:val="sk-SK"/>
              </w:rPr>
              <w:t>Poruchy kože a podkožného tkaniva</w:t>
            </w:r>
          </w:p>
        </w:tc>
      </w:tr>
      <w:tr w:rsidR="005D6511" w:rsidRPr="00F85275" w14:paraId="07DA4B53" w14:textId="77777777" w:rsidTr="00301480">
        <w:tc>
          <w:tcPr>
            <w:tcW w:w="4605" w:type="dxa"/>
          </w:tcPr>
          <w:p w14:paraId="675B8C2C" w14:textId="77777777" w:rsidR="005D6511" w:rsidRPr="00F85275" w:rsidRDefault="005D6511" w:rsidP="00A67EA0">
            <w:pPr>
              <w:pStyle w:val="Tabulkynormlndoblokuzarovnndoleva"/>
            </w:pPr>
            <w:r w:rsidRPr="00F85275">
              <w:t xml:space="preserve">Menej časté </w:t>
            </w:r>
          </w:p>
        </w:tc>
        <w:tc>
          <w:tcPr>
            <w:tcW w:w="4606" w:type="dxa"/>
          </w:tcPr>
          <w:p w14:paraId="3E1D5F35" w14:textId="77777777" w:rsidR="005D6511" w:rsidRPr="00F85275" w:rsidRDefault="005D6511" w:rsidP="00A67EA0">
            <w:pPr>
              <w:pStyle w:val="Tabulkynormlndoblokuzarovnndoleva"/>
            </w:pPr>
            <w:r w:rsidRPr="00F85275">
              <w:t>precitlivenosť, svrbenie, vyrážka</w:t>
            </w:r>
          </w:p>
        </w:tc>
      </w:tr>
      <w:tr w:rsidR="005D6511" w:rsidRPr="00F85275" w14:paraId="779E47C3" w14:textId="77777777" w:rsidTr="00301480">
        <w:tc>
          <w:tcPr>
            <w:tcW w:w="9211" w:type="dxa"/>
            <w:gridSpan w:val="2"/>
          </w:tcPr>
          <w:p w14:paraId="5C88652D" w14:textId="2BB768C5" w:rsidR="005D6511" w:rsidRPr="00F85275" w:rsidRDefault="005D6511" w:rsidP="00301480">
            <w:pPr>
              <w:pStyle w:val="Nadpisuvnittabulky"/>
              <w:rPr>
                <w:b w:val="0"/>
                <w:lang w:val="sk-SK"/>
              </w:rPr>
            </w:pPr>
            <w:r w:rsidRPr="00F85275">
              <w:rPr>
                <w:lang w:val="sk-SK"/>
              </w:rPr>
              <w:t>Celkové poruchy a reakcie v mieste podania</w:t>
            </w:r>
          </w:p>
        </w:tc>
      </w:tr>
      <w:tr w:rsidR="005D6511" w:rsidRPr="00F85275" w14:paraId="295B158F" w14:textId="77777777" w:rsidTr="00301480">
        <w:tc>
          <w:tcPr>
            <w:tcW w:w="4605" w:type="dxa"/>
          </w:tcPr>
          <w:p w14:paraId="0E33EA92" w14:textId="77777777" w:rsidR="005D6511" w:rsidRPr="00F85275" w:rsidRDefault="005D6511" w:rsidP="00A67EA0">
            <w:pPr>
              <w:pStyle w:val="Tabulkynormlndoblokuzarovnndoleva"/>
            </w:pPr>
            <w:r w:rsidRPr="00F85275">
              <w:t xml:space="preserve">Časté </w:t>
            </w:r>
          </w:p>
        </w:tc>
        <w:tc>
          <w:tcPr>
            <w:tcW w:w="4606" w:type="dxa"/>
          </w:tcPr>
          <w:p w14:paraId="78BA97B6" w14:textId="77777777" w:rsidR="005D6511" w:rsidRPr="00F85275" w:rsidRDefault="005D6511" w:rsidP="00A67EA0">
            <w:pPr>
              <w:pStyle w:val="Tabulkynormlndoblokuzarovnndoleva"/>
            </w:pPr>
            <w:r w:rsidRPr="00F85275">
              <w:t xml:space="preserve">únava, periférny opuch </w:t>
            </w:r>
          </w:p>
        </w:tc>
      </w:tr>
      <w:tr w:rsidR="005D6511" w:rsidRPr="00F85275" w14:paraId="7C529625" w14:textId="77777777" w:rsidTr="00F03464">
        <w:tc>
          <w:tcPr>
            <w:tcW w:w="4605" w:type="dxa"/>
          </w:tcPr>
          <w:p w14:paraId="2656CCEB" w14:textId="77777777" w:rsidR="005D6511" w:rsidRPr="00F85275" w:rsidRDefault="005D6511" w:rsidP="00A67EA0">
            <w:pPr>
              <w:pStyle w:val="Tabulkynormlndoblokuzarovnndoleva"/>
            </w:pPr>
            <w:r w:rsidRPr="00F85275">
              <w:t>Neznáme</w:t>
            </w:r>
          </w:p>
        </w:tc>
        <w:tc>
          <w:tcPr>
            <w:tcW w:w="4606" w:type="dxa"/>
          </w:tcPr>
          <w:p w14:paraId="6B000F29" w14:textId="017013B4" w:rsidR="005D6511" w:rsidRPr="00F85275" w:rsidRDefault="005D6511" w:rsidP="00A67EA0">
            <w:pPr>
              <w:pStyle w:val="Tabulkynormlndoblokuzarovnndoleva"/>
            </w:pPr>
            <w:r w:rsidRPr="00F85275">
              <w:t>abstinenčný syndróm spôsobený vysadením dopamínového agonistu zahŕňajúci apatiu, úzkosť, depresiu, únavu, potenie</w:t>
            </w:r>
            <w:r w:rsidR="00347034" w:rsidRPr="00F85275">
              <w:t xml:space="preserve"> a </w:t>
            </w:r>
            <w:r w:rsidRPr="00F85275">
              <w:t>bolesť</w:t>
            </w:r>
          </w:p>
        </w:tc>
      </w:tr>
      <w:tr w:rsidR="005D6511" w:rsidRPr="00F85275" w14:paraId="317B8C4B" w14:textId="77777777" w:rsidTr="00301480">
        <w:tc>
          <w:tcPr>
            <w:tcW w:w="9211" w:type="dxa"/>
            <w:gridSpan w:val="2"/>
          </w:tcPr>
          <w:p w14:paraId="07570C32" w14:textId="363B10EE" w:rsidR="005D6511" w:rsidRPr="00F85275" w:rsidRDefault="005D6511" w:rsidP="00301480">
            <w:pPr>
              <w:pStyle w:val="Nadpisuvnittabulky"/>
              <w:rPr>
                <w:b w:val="0"/>
                <w:lang w:val="sk-SK"/>
              </w:rPr>
            </w:pPr>
            <w:r w:rsidRPr="00F85275">
              <w:rPr>
                <w:lang w:val="sk-SK"/>
              </w:rPr>
              <w:t>Laboratórne a funkčné vyšetrenia</w:t>
            </w:r>
          </w:p>
        </w:tc>
      </w:tr>
      <w:tr w:rsidR="005D6511" w:rsidRPr="00F85275" w14:paraId="070D7C3B" w14:textId="77777777" w:rsidTr="00301480">
        <w:tc>
          <w:tcPr>
            <w:tcW w:w="4605" w:type="dxa"/>
          </w:tcPr>
          <w:p w14:paraId="6BC1E093" w14:textId="77777777" w:rsidR="005D6511" w:rsidRPr="00F85275" w:rsidRDefault="005D6511" w:rsidP="00A67EA0">
            <w:pPr>
              <w:pStyle w:val="Tabulkynormlndoblokuzarovnndoleva"/>
            </w:pPr>
            <w:r w:rsidRPr="00F85275">
              <w:t xml:space="preserve">Časté </w:t>
            </w:r>
          </w:p>
        </w:tc>
        <w:tc>
          <w:tcPr>
            <w:tcW w:w="4606" w:type="dxa"/>
          </w:tcPr>
          <w:p w14:paraId="07D1649C" w14:textId="77777777" w:rsidR="005D6511" w:rsidRPr="00F85275" w:rsidRDefault="005D6511" w:rsidP="00A67EA0">
            <w:pPr>
              <w:pStyle w:val="Tabulkynormlndoblokuzarovnndoleva"/>
            </w:pPr>
            <w:r w:rsidRPr="00F85275">
              <w:t>zníženie telesnej hmotnosti vrátane zníženej chuti do jedla</w:t>
            </w:r>
          </w:p>
        </w:tc>
      </w:tr>
      <w:tr w:rsidR="005D6511" w:rsidRPr="00F85275" w14:paraId="0603EAB0" w14:textId="77777777" w:rsidTr="00301480">
        <w:tc>
          <w:tcPr>
            <w:tcW w:w="4605" w:type="dxa"/>
          </w:tcPr>
          <w:p w14:paraId="2B63A8D2" w14:textId="77777777" w:rsidR="005D6511" w:rsidRPr="00F85275" w:rsidRDefault="005D6511" w:rsidP="00A67EA0">
            <w:pPr>
              <w:pStyle w:val="Tabulkynormlndoblokuzarovnndoleva"/>
            </w:pPr>
            <w:r w:rsidRPr="00F85275">
              <w:t xml:space="preserve">Menej časté </w:t>
            </w:r>
          </w:p>
        </w:tc>
        <w:tc>
          <w:tcPr>
            <w:tcW w:w="4606" w:type="dxa"/>
          </w:tcPr>
          <w:p w14:paraId="29503B69" w14:textId="77777777" w:rsidR="005D6511" w:rsidRPr="00F85275" w:rsidRDefault="005D6511" w:rsidP="00A67EA0">
            <w:pPr>
              <w:pStyle w:val="Tabulkynormlndoblokuzarovnndoleva"/>
            </w:pPr>
            <w:r w:rsidRPr="00F85275">
              <w:t>zvýšenie telesnej hmotnosti</w:t>
            </w:r>
          </w:p>
        </w:tc>
      </w:tr>
    </w:tbl>
    <w:p w14:paraId="644BB539" w14:textId="4A722E55" w:rsidR="002B4D0B" w:rsidRPr="00F85275" w:rsidRDefault="002B4D0B" w:rsidP="005D6511">
      <w:pPr>
        <w:spacing w:after="240"/>
        <w:rPr>
          <w:rStyle w:val="NormlndoblokuChar"/>
        </w:rPr>
      </w:pPr>
      <w:r w:rsidRPr="00F85275">
        <w:rPr>
          <w:szCs w:val="22"/>
          <w:vertAlign w:val="superscript"/>
          <w:lang w:val="sk-SK"/>
        </w:rPr>
        <w:t>1</w:t>
      </w:r>
      <w:r w:rsidRPr="00F85275">
        <w:rPr>
          <w:rStyle w:val="NormlndoblokuChar"/>
        </w:rPr>
        <w:t>Tento nežiaduci účinok sa zistil na základe skúseností po uvedení lieku na trh.</w:t>
      </w:r>
      <w:r w:rsidR="00347034" w:rsidRPr="00F85275">
        <w:rPr>
          <w:rStyle w:val="NormlndoblokuChar"/>
        </w:rPr>
        <w:t xml:space="preserve"> </w:t>
      </w:r>
      <w:r w:rsidR="004D2F57" w:rsidRPr="00F85275">
        <w:rPr>
          <w:rStyle w:val="NormlndoblokuChar"/>
        </w:rPr>
        <w:t>S</w:t>
      </w:r>
      <w:r w:rsidR="00347034" w:rsidRPr="00F85275">
        <w:rPr>
          <w:rStyle w:val="NormlndoblokuChar"/>
        </w:rPr>
        <w:t> </w:t>
      </w:r>
      <w:r w:rsidRPr="00F85275">
        <w:rPr>
          <w:rStyle w:val="NormlndoblokuChar"/>
        </w:rPr>
        <w:t>95 % istotou nie je kategória frekvencie výskytu vyššia ako menej častá, ale môže to byť aj menej. Presné stanovenie frekvencie výskytu nie je možné, keďže nežiaduci účinok sa nevyskytol</w:t>
      </w:r>
      <w:r w:rsidR="00347034" w:rsidRPr="00F85275">
        <w:rPr>
          <w:rStyle w:val="NormlndoblokuChar"/>
        </w:rPr>
        <w:t xml:space="preserve"> v </w:t>
      </w:r>
      <w:r w:rsidRPr="00F85275">
        <w:rPr>
          <w:rStyle w:val="NormlndoblokuChar"/>
        </w:rPr>
        <w:t>databáze 2 762 pacientov klinickej štúdie, ktorí trpeli Parkinsonovou chorobou</w:t>
      </w:r>
      <w:r w:rsidR="00347034" w:rsidRPr="00F85275">
        <w:rPr>
          <w:rStyle w:val="NormlndoblokuChar"/>
        </w:rPr>
        <w:t xml:space="preserve"> a </w:t>
      </w:r>
      <w:r w:rsidRPr="00F85275">
        <w:rPr>
          <w:rStyle w:val="NormlndoblokuChar"/>
        </w:rPr>
        <w:t>boli liečení pramipexolom.</w:t>
      </w:r>
    </w:p>
    <w:p w14:paraId="47742DF0" w14:textId="77777777" w:rsidR="002B4D0B" w:rsidRPr="00F85275" w:rsidRDefault="002B4D0B" w:rsidP="00A67EA0">
      <w:pPr>
        <w:pStyle w:val="Styl3"/>
      </w:pPr>
      <w:r w:rsidRPr="00F85275">
        <w:t>Somnolencia</w:t>
      </w:r>
    </w:p>
    <w:p w14:paraId="4F132F0C" w14:textId="2C3FE1F2" w:rsidR="002B4D0B" w:rsidRPr="00F85275" w:rsidRDefault="002B4D0B" w:rsidP="00A67EA0">
      <w:pPr>
        <w:pStyle w:val="Normlndobloku"/>
      </w:pPr>
      <w:r w:rsidRPr="00F85275">
        <w:t>Pramipexol sa často spája so somnolenciou</w:t>
      </w:r>
      <w:r w:rsidR="00347034" w:rsidRPr="00F85275">
        <w:t xml:space="preserve"> a v </w:t>
      </w:r>
      <w:r w:rsidRPr="00F85275">
        <w:t>menej častých prípadoch sa spája</w:t>
      </w:r>
      <w:r w:rsidR="00347034" w:rsidRPr="00F85275">
        <w:t xml:space="preserve"> s </w:t>
      </w:r>
      <w:r w:rsidRPr="00F85275">
        <w:t>nadmernou somnolenciou počas dňa</w:t>
      </w:r>
      <w:r w:rsidR="00347034" w:rsidRPr="00F85275">
        <w:t xml:space="preserve"> a s </w:t>
      </w:r>
      <w:r w:rsidRPr="00F85275">
        <w:t xml:space="preserve">epizódami náhleho </w:t>
      </w:r>
      <w:r w:rsidR="004D2F57" w:rsidRPr="00F85275">
        <w:t>upadnutia do spánku</w:t>
      </w:r>
      <w:r w:rsidRPr="00F85275">
        <w:t xml:space="preserve"> (pozri tiež časť 4.4).</w:t>
      </w:r>
    </w:p>
    <w:p w14:paraId="2E00B78D" w14:textId="77777777" w:rsidR="002B4D0B" w:rsidRPr="00F85275" w:rsidRDefault="002B4D0B" w:rsidP="00A67EA0">
      <w:pPr>
        <w:pStyle w:val="Styl3"/>
      </w:pPr>
      <w:r w:rsidRPr="00F85275">
        <w:t>Poruchy libida</w:t>
      </w:r>
    </w:p>
    <w:p w14:paraId="6C8E6E0B" w14:textId="09C82FFE" w:rsidR="002B4D0B" w:rsidRPr="00F85275" w:rsidRDefault="002B4D0B" w:rsidP="00A67EA0">
      <w:pPr>
        <w:pStyle w:val="Normlndobloku"/>
      </w:pPr>
      <w:r w:rsidRPr="00F85275">
        <w:t>Pramipexol sa môže menej často spájať</w:t>
      </w:r>
      <w:r w:rsidR="00347034" w:rsidRPr="00F85275">
        <w:t xml:space="preserve"> s </w:t>
      </w:r>
      <w:r w:rsidRPr="00F85275">
        <w:t>poruchami libida (zvýšenie alebo zníženie).</w:t>
      </w:r>
    </w:p>
    <w:p w14:paraId="2F208353" w14:textId="22F41263" w:rsidR="002B4D0B" w:rsidRPr="00F85275" w:rsidRDefault="002B4D0B" w:rsidP="00A67EA0">
      <w:pPr>
        <w:pStyle w:val="Styl3"/>
      </w:pPr>
      <w:r w:rsidRPr="00F85275">
        <w:t>Poruchy kontroly impulzov</w:t>
      </w:r>
    </w:p>
    <w:p w14:paraId="0D5ACD37" w14:textId="4FB9277B" w:rsidR="002B4D0B" w:rsidRPr="00F85275" w:rsidRDefault="002B4D0B" w:rsidP="00A67EA0">
      <w:pPr>
        <w:pStyle w:val="Normlndobloku"/>
      </w:pPr>
      <w:r w:rsidRPr="00F85275">
        <w:t>U pacientov liečených dopamínovými agonistami vrátane lieku MEDOPEXOL sa môže vyskytnúť patologické hráčstvo, zvýšené libido, hypersexualita, chorobné míňanie alebo nakupovanie, nenásytné jedenie</w:t>
      </w:r>
      <w:r w:rsidR="00347034" w:rsidRPr="00F85275">
        <w:t xml:space="preserve"> a </w:t>
      </w:r>
      <w:r w:rsidRPr="00F85275">
        <w:t>chorobné jedenie (pozri časť 4.4).</w:t>
      </w:r>
    </w:p>
    <w:p w14:paraId="6F7F6416" w14:textId="4BBAF3B3" w:rsidR="002B4D0B" w:rsidRPr="00F85275" w:rsidRDefault="002B4D0B" w:rsidP="00A67EA0">
      <w:pPr>
        <w:pStyle w:val="Normlndobloku"/>
      </w:pPr>
      <w:r w:rsidRPr="00F85275">
        <w:t>V prierezovej, retrospektívnej štúdii typu case-control zahŕňajúcej 3 090 pacientov s Parkinsonovou chorobou, 13,6 % všetkých pacientov užívajúcich dopaminergnú</w:t>
      </w:r>
      <w:r w:rsidR="00347034" w:rsidRPr="00F85275">
        <w:t xml:space="preserve"> a </w:t>
      </w:r>
      <w:r w:rsidRPr="00F85275">
        <w:t>nedopaminergnú liečbu malo príznaky poruchy impulzívneho správania za posledných 6 mesiacov. Pozorovali sa prejavy vrátane patologického hráčstva, chorobného nakupovania, zvýšenej chuti do jedla a kompulzívneho sexuálneho správania (hypersexualita). Možné nezávislé rizikové faktory poruchy impulzívneho správania zahŕňali dopaminergnú liečbu</w:t>
      </w:r>
      <w:r w:rsidR="00347034" w:rsidRPr="00F85275">
        <w:t xml:space="preserve"> a </w:t>
      </w:r>
      <w:r w:rsidRPr="00F85275">
        <w:t>vyššie dávky dopaminergnej liečby, nižší vek (≤ 65 rokov), slobodný</w:t>
      </w:r>
      <w:r w:rsidR="00347034" w:rsidRPr="00F85275">
        <w:t xml:space="preserve"> a </w:t>
      </w:r>
      <w:r w:rsidRPr="00F85275">
        <w:t>pacientom uvedené hráčstvo</w:t>
      </w:r>
      <w:r w:rsidR="00347034" w:rsidRPr="00F85275">
        <w:t xml:space="preserve"> v </w:t>
      </w:r>
      <w:r w:rsidRPr="00F85275">
        <w:t>rodinnej anamnéze.</w:t>
      </w:r>
    </w:p>
    <w:p w14:paraId="052F872C" w14:textId="77777777" w:rsidR="002B4D0B" w:rsidRPr="00F85275" w:rsidRDefault="002B4D0B" w:rsidP="00A67EA0">
      <w:pPr>
        <w:pStyle w:val="Styl3"/>
      </w:pPr>
      <w:r w:rsidRPr="00F85275">
        <w:t>Abstinenčný syndróm spôsobený vysadením dopamínového agonistu</w:t>
      </w:r>
    </w:p>
    <w:p w14:paraId="0B615B1C" w14:textId="72401802" w:rsidR="002B4D0B" w:rsidRPr="00F85275" w:rsidRDefault="002B4D0B" w:rsidP="00A67EA0">
      <w:pPr>
        <w:pStyle w:val="Normlndobloku"/>
      </w:pPr>
      <w:r w:rsidRPr="00F85275">
        <w:t>Pri znižovaní dávky alebo prerušení podávania dopamínových agonistov vrátane pramipexolu sa môžu vyskytnúť iné ako motorické nežiaduce účinky. Príznaky zahŕňajú apatiu, úzkosť, depresiu, únavu, potenie</w:t>
      </w:r>
      <w:r w:rsidR="00347034" w:rsidRPr="00F85275">
        <w:t xml:space="preserve"> a </w:t>
      </w:r>
      <w:r w:rsidRPr="00F85275">
        <w:t>bolesť (pozri časť 4.4).</w:t>
      </w:r>
    </w:p>
    <w:p w14:paraId="30F0F686" w14:textId="77777777" w:rsidR="002B4D0B" w:rsidRPr="00F85275" w:rsidRDefault="002B4D0B" w:rsidP="00A67EA0">
      <w:pPr>
        <w:pStyle w:val="Styl3"/>
      </w:pPr>
      <w:r w:rsidRPr="00F85275">
        <w:t>Srdcové zlyhanie</w:t>
      </w:r>
    </w:p>
    <w:p w14:paraId="272E32BF" w14:textId="7FD8F064" w:rsidR="002B4D0B" w:rsidRPr="00F85275" w:rsidRDefault="002B4D0B" w:rsidP="00A67EA0">
      <w:pPr>
        <w:pStyle w:val="Normlndobloku"/>
      </w:pPr>
      <w:r w:rsidRPr="00F85275">
        <w:t>V klinických štúdiách</w:t>
      </w:r>
      <w:r w:rsidR="00347034" w:rsidRPr="00F85275">
        <w:t xml:space="preserve"> a </w:t>
      </w:r>
      <w:r w:rsidRPr="00F85275">
        <w:t>na základe skúseností po uvedení lieku na trh</w:t>
      </w:r>
      <w:r w:rsidR="00347034" w:rsidRPr="00F85275">
        <w:t xml:space="preserve"> u </w:t>
      </w:r>
      <w:r w:rsidRPr="00F85275">
        <w:t xml:space="preserve">pacientov liečených pramipexolom bolo hlásené srdcové zlyhanie. Vo farmakoepidemiologickej štúdii sa užívanie </w:t>
      </w:r>
      <w:r w:rsidRPr="00F85275">
        <w:lastRenderedPageBreak/>
        <w:t>pramipexolu spájalo so zvýšeným rizikom výskytu srdcového zlyhania</w:t>
      </w:r>
      <w:r w:rsidR="00347034" w:rsidRPr="00F85275">
        <w:t xml:space="preserve"> v </w:t>
      </w:r>
      <w:r w:rsidRPr="00F85275">
        <w:t>porovnaní</w:t>
      </w:r>
      <w:r w:rsidR="00347034" w:rsidRPr="00F85275">
        <w:t xml:space="preserve"> s </w:t>
      </w:r>
      <w:r w:rsidRPr="00F85275">
        <w:t>pacientmi, ktorí neužívali pramipexol (zistená miera rizika 1,86; 95 % Cl, 1,21</w:t>
      </w:r>
      <w:r w:rsidR="00D6482E" w:rsidRPr="00F85275">
        <w:t> </w:t>
      </w:r>
      <w:r w:rsidRPr="00F85275">
        <w:t>–</w:t>
      </w:r>
      <w:r w:rsidR="00D6482E" w:rsidRPr="00F85275">
        <w:t> </w:t>
      </w:r>
      <w:r w:rsidRPr="00F85275">
        <w:t>2,85).</w:t>
      </w:r>
    </w:p>
    <w:p w14:paraId="325D887A" w14:textId="77777777" w:rsidR="002B4D0B" w:rsidRPr="00F85275" w:rsidRDefault="002B4D0B" w:rsidP="00A67EA0">
      <w:pPr>
        <w:pStyle w:val="Styl3"/>
      </w:pPr>
      <w:r w:rsidRPr="00F85275">
        <w:t>Hlásenie podozrení na nežiaduce reakcie</w:t>
      </w:r>
    </w:p>
    <w:p w14:paraId="494987E9" w14:textId="5E23FD75" w:rsidR="002B4D0B" w:rsidRPr="00F85275" w:rsidRDefault="002B4D0B" w:rsidP="00A67EA0">
      <w:pPr>
        <w:pStyle w:val="Normlndobloku"/>
      </w:pPr>
      <w:r w:rsidRPr="00F85275">
        <w:t>Hlásenie podozrení na nežiaduce reakcie po registrácii lieku je dôležité. Umožňuje priebežné monitorovanie pomeru prínosu</w:t>
      </w:r>
      <w:r w:rsidR="00347034" w:rsidRPr="00F85275">
        <w:t xml:space="preserve"> a </w:t>
      </w:r>
      <w:r w:rsidRPr="00F85275">
        <w:t xml:space="preserve">rizika lieku. Od zdravotníckych pracovníkov sa vyžaduje, aby hlásili akékoľvek podozrenia na nežiaduce reakcie na </w:t>
      </w:r>
      <w:r w:rsidRPr="00F85275">
        <w:rPr>
          <w:highlight w:val="lightGray"/>
        </w:rPr>
        <w:t>národné centrum hlásenia uvedené</w:t>
      </w:r>
      <w:r w:rsidR="00347034" w:rsidRPr="00F85275">
        <w:rPr>
          <w:highlight w:val="lightGray"/>
        </w:rPr>
        <w:t xml:space="preserve"> v </w:t>
      </w:r>
      <w:hyperlink r:id="rId9" w:history="1">
        <w:r w:rsidR="004362B4" w:rsidRPr="00F85275">
          <w:rPr>
            <w:rStyle w:val="Hypertextovprepojenie"/>
            <w:noProof/>
            <w:szCs w:val="22"/>
            <w:highlight w:val="lightGray"/>
          </w:rPr>
          <w:t>Prílohe V</w:t>
        </w:r>
      </w:hyperlink>
      <w:r w:rsidRPr="00F85275">
        <w:rPr>
          <w:highlight w:val="lightGray"/>
        </w:rPr>
        <w:t>.</w:t>
      </w:r>
    </w:p>
    <w:p w14:paraId="24EFDC73" w14:textId="62ADFD35" w:rsidR="002B4D0B" w:rsidRPr="00F85275" w:rsidRDefault="002B4D0B" w:rsidP="005D6511">
      <w:pPr>
        <w:pStyle w:val="Styl2"/>
        <w:rPr>
          <w:lang w:val="sk-SK"/>
        </w:rPr>
      </w:pPr>
      <w:r w:rsidRPr="00F85275">
        <w:rPr>
          <w:lang w:val="sk-SK"/>
        </w:rPr>
        <w:t>Predávkovanie</w:t>
      </w:r>
    </w:p>
    <w:p w14:paraId="20E8E359" w14:textId="17DCFEC7" w:rsidR="002B4D0B" w:rsidRPr="00F85275" w:rsidRDefault="002B4D0B" w:rsidP="00A67EA0">
      <w:pPr>
        <w:pStyle w:val="Normlndobloku"/>
      </w:pPr>
      <w:r w:rsidRPr="00F85275">
        <w:t xml:space="preserve">Nie sú žiadne klinické skúsenosti s masívnym predávkovaním. Očakávané nežiaduce účinky </w:t>
      </w:r>
      <w:r w:rsidR="004362B4" w:rsidRPr="00F85275">
        <w:t>súvisia s</w:t>
      </w:r>
      <w:r w:rsidRPr="00F85275">
        <w:t xml:space="preserve"> farmakodynamick</w:t>
      </w:r>
      <w:r w:rsidR="004362B4" w:rsidRPr="00F85275">
        <w:t>ým</w:t>
      </w:r>
      <w:r w:rsidRPr="00F85275">
        <w:t xml:space="preserve"> profil</w:t>
      </w:r>
      <w:r w:rsidR="004362B4" w:rsidRPr="00F85275">
        <w:t>om</w:t>
      </w:r>
      <w:r w:rsidRPr="00F85275">
        <w:t xml:space="preserve"> agonistov dopamínu, v</w:t>
      </w:r>
      <w:r w:rsidR="004362B4" w:rsidRPr="00F85275">
        <w:t>rátane</w:t>
      </w:r>
      <w:r w:rsidRPr="00F85275">
        <w:t xml:space="preserve"> nauzey, vracania, hyperkin</w:t>
      </w:r>
      <w:r w:rsidR="004362B4" w:rsidRPr="00F85275">
        <w:t>é</w:t>
      </w:r>
      <w:r w:rsidRPr="00F85275">
        <w:t>z</w:t>
      </w:r>
      <w:r w:rsidR="00BA4F71" w:rsidRPr="00F85275">
        <w:t>i</w:t>
      </w:r>
      <w:r w:rsidRPr="00F85275">
        <w:t xml:space="preserve">e, halucinácie, agitácie a hypotenzie. Pre prípad predávkovania agonistami dopamínu nie je </w:t>
      </w:r>
      <w:r w:rsidR="004362B4" w:rsidRPr="00F85275">
        <w:t>známe</w:t>
      </w:r>
      <w:r w:rsidRPr="00F85275">
        <w:t xml:space="preserve"> žiadne  antidotum. Pokiaľ sú prítomné príznaky stimulácie centrálneho nervového systému, môže byť indikované podanie neuroleptika. Zvládnutie predávkovania môže vyžadovať všeobecné podporné opatrenia spolu s lavážou žalúdk</w:t>
      </w:r>
      <w:r w:rsidR="004362B4" w:rsidRPr="00F85275">
        <w:t>a</w:t>
      </w:r>
      <w:r w:rsidRPr="00F85275">
        <w:t>, podávaním tekutín vnútrožilne, podaním aktívneho uhlia a</w:t>
      </w:r>
      <w:r w:rsidR="00630A60" w:rsidRPr="00F85275">
        <w:t> </w:t>
      </w:r>
      <w:r w:rsidRPr="00F85275">
        <w:t>monitorovaním elektrokardiogramu.</w:t>
      </w:r>
    </w:p>
    <w:p w14:paraId="21669052" w14:textId="43999069" w:rsidR="002B4D0B" w:rsidRPr="00F85275" w:rsidRDefault="002B4D0B" w:rsidP="001B3A45">
      <w:pPr>
        <w:pStyle w:val="Styl1"/>
        <w:rPr>
          <w:lang w:val="sk-SK"/>
        </w:rPr>
      </w:pPr>
      <w:r w:rsidRPr="00F85275">
        <w:rPr>
          <w:lang w:val="sk-SK"/>
        </w:rPr>
        <w:t>FARMAKOLOGICKÉ VLASTNOSTI</w:t>
      </w:r>
    </w:p>
    <w:p w14:paraId="76BB5C19" w14:textId="53EC2700" w:rsidR="002B4D0B" w:rsidRPr="00F85275" w:rsidRDefault="002B4D0B" w:rsidP="001B3A45">
      <w:pPr>
        <w:pStyle w:val="Styl2"/>
        <w:rPr>
          <w:lang w:val="sk-SK"/>
        </w:rPr>
      </w:pPr>
      <w:r w:rsidRPr="00F85275">
        <w:rPr>
          <w:lang w:val="sk-SK"/>
        </w:rPr>
        <w:t>Farmakodynamické vlastnosti</w:t>
      </w:r>
    </w:p>
    <w:p w14:paraId="0CC921C6" w14:textId="1426D8BC" w:rsidR="002B4D0B" w:rsidRPr="00F85275" w:rsidRDefault="002B4D0B" w:rsidP="00A67EA0">
      <w:pPr>
        <w:pStyle w:val="Normlndobloku"/>
      </w:pPr>
      <w:r w:rsidRPr="00F85275">
        <w:t>Farmakoterapeutická skupina: Antiparkinsoniká, agonist</w:t>
      </w:r>
      <w:r w:rsidR="004362B4" w:rsidRPr="00F85275">
        <w:t>y</w:t>
      </w:r>
      <w:r w:rsidRPr="00F85275">
        <w:t xml:space="preserve"> dopamínu, ATC kód N04BC05</w:t>
      </w:r>
    </w:p>
    <w:p w14:paraId="1B21519E" w14:textId="77777777" w:rsidR="002B4D0B" w:rsidRPr="00F85275" w:rsidRDefault="002B4D0B" w:rsidP="00A67EA0">
      <w:pPr>
        <w:pStyle w:val="Styl3"/>
      </w:pPr>
      <w:r w:rsidRPr="00F85275">
        <w:t>Mechanizmus účinku</w:t>
      </w:r>
    </w:p>
    <w:p w14:paraId="6844E613" w14:textId="334B8AA3" w:rsidR="002B4D0B" w:rsidRPr="00F85275" w:rsidRDefault="002B4D0B" w:rsidP="00A67EA0">
      <w:pPr>
        <w:pStyle w:val="Normlndobloku"/>
      </w:pPr>
      <w:r w:rsidRPr="00F85275">
        <w:t>Pramipexol je dopamínový agonista, ktorý sa viaže</w:t>
      </w:r>
      <w:r w:rsidR="00347034" w:rsidRPr="00F85275">
        <w:t xml:space="preserve"> s </w:t>
      </w:r>
      <w:r w:rsidRPr="00F85275">
        <w:t>veľkou selektívnosťou</w:t>
      </w:r>
      <w:r w:rsidR="00347034" w:rsidRPr="00F85275">
        <w:t xml:space="preserve"> a </w:t>
      </w:r>
      <w:r w:rsidRPr="00F85275">
        <w:t>špecifickosťou na dopamínové receptory podtriedy D2 z ktorých má prednostnú afinitu</w:t>
      </w:r>
      <w:r w:rsidR="00347034" w:rsidRPr="00F85275">
        <w:t xml:space="preserve"> k </w:t>
      </w:r>
      <w:r w:rsidRPr="00F85275">
        <w:t>D3 receptorom. Má plnú vnútornú aktivitu.</w:t>
      </w:r>
    </w:p>
    <w:p w14:paraId="363B5247" w14:textId="2F6D056D" w:rsidR="002B4D0B" w:rsidRPr="00F85275" w:rsidRDefault="002B4D0B" w:rsidP="00A67EA0">
      <w:pPr>
        <w:pStyle w:val="Normlndobloku"/>
      </w:pPr>
      <w:r w:rsidRPr="00F85275">
        <w:t>Pramipexol zmierňuje parkinsonovský motorický deficit stimuláciou dopamínových receptorov</w:t>
      </w:r>
      <w:r w:rsidR="00347034" w:rsidRPr="00F85275">
        <w:t xml:space="preserve"> v </w:t>
      </w:r>
      <w:r w:rsidRPr="00F85275">
        <w:t>striate. Pokusy na zvieratách ukázali, že pramipexol inhibuje syntézu dopamínu, jeho vylučovanie</w:t>
      </w:r>
      <w:r w:rsidR="00347034" w:rsidRPr="00F85275">
        <w:t xml:space="preserve"> a </w:t>
      </w:r>
      <w:r w:rsidRPr="00F85275">
        <w:t>premenu.</w:t>
      </w:r>
    </w:p>
    <w:p w14:paraId="79457277" w14:textId="7DCE785D" w:rsidR="002B4D0B" w:rsidRPr="00F85275" w:rsidRDefault="002B4D0B" w:rsidP="00A67EA0">
      <w:pPr>
        <w:pStyle w:val="Styl3"/>
      </w:pPr>
      <w:r w:rsidRPr="00F85275">
        <w:t>Farmakodynamické účinky</w:t>
      </w:r>
    </w:p>
    <w:p w14:paraId="78453EC1" w14:textId="53F41B2F" w:rsidR="002B4D0B" w:rsidRPr="00F85275" w:rsidRDefault="002B4D0B" w:rsidP="00A67EA0">
      <w:pPr>
        <w:pStyle w:val="Normlndobloku"/>
      </w:pPr>
      <w:r w:rsidRPr="00F85275">
        <w:t>U zdravých dobrovoľníkov sa pozoroval od dávky závislý pokles prolaktínu.</w:t>
      </w:r>
      <w:r w:rsidR="00347034" w:rsidRPr="00F85275">
        <w:t xml:space="preserve"> v </w:t>
      </w:r>
      <w:r w:rsidRPr="00F85275">
        <w:t>klinickej štúdii so zdravými dobrovoľníkmi, kde bol pramipexol titrovaný rýchlejšie (každé 3 dni) ako bolo odporúčané až do 3,15</w:t>
      </w:r>
      <w:r w:rsidR="00347034" w:rsidRPr="00F85275">
        <w:t> mg</w:t>
      </w:r>
      <w:r w:rsidRPr="00F85275">
        <w:t xml:space="preserve"> bázy pramipexolu (4,5</w:t>
      </w:r>
      <w:r w:rsidR="00347034" w:rsidRPr="00F85275">
        <w:t> mg</w:t>
      </w:r>
      <w:r w:rsidRPr="00F85275">
        <w:t xml:space="preserve"> soli) denne, sa pozorovalo zvýšenie krvného tlaku</w:t>
      </w:r>
      <w:r w:rsidR="00347034" w:rsidRPr="00F85275">
        <w:t xml:space="preserve"> a </w:t>
      </w:r>
      <w:r w:rsidRPr="00F85275">
        <w:t>tepovej frekvencie. Takýto účinok sa nepozoroval</w:t>
      </w:r>
      <w:r w:rsidR="00347034" w:rsidRPr="00F85275">
        <w:t xml:space="preserve"> u </w:t>
      </w:r>
      <w:r w:rsidRPr="00F85275">
        <w:t>pacientov</w:t>
      </w:r>
      <w:r w:rsidR="00347034" w:rsidRPr="00F85275">
        <w:t xml:space="preserve"> v </w:t>
      </w:r>
      <w:r w:rsidRPr="00F85275">
        <w:t>štúdii.</w:t>
      </w:r>
    </w:p>
    <w:p w14:paraId="13857850" w14:textId="74EC7D32" w:rsidR="002B4D0B" w:rsidRPr="00F85275" w:rsidRDefault="002B4D0B" w:rsidP="00A67EA0">
      <w:pPr>
        <w:pStyle w:val="Styl3"/>
      </w:pPr>
      <w:r w:rsidRPr="00F85275">
        <w:t>Klinická účinnosť</w:t>
      </w:r>
      <w:r w:rsidR="00347034" w:rsidRPr="00F85275">
        <w:t xml:space="preserve"> a </w:t>
      </w:r>
      <w:r w:rsidRPr="00F85275">
        <w:t>bezpečnosť pri Parkinsonovej chorobe</w:t>
      </w:r>
    </w:p>
    <w:p w14:paraId="026554D5" w14:textId="2D5FB435" w:rsidR="002B4D0B" w:rsidRPr="00F85275" w:rsidRDefault="002B4D0B" w:rsidP="00A67EA0">
      <w:pPr>
        <w:pStyle w:val="Normlndobloku"/>
      </w:pPr>
      <w:r w:rsidRPr="00F85275">
        <w:t>U pacientov užívajúcich pramipexol sa zmiernili znaky</w:t>
      </w:r>
      <w:r w:rsidR="00347034" w:rsidRPr="00F85275">
        <w:t xml:space="preserve"> a </w:t>
      </w:r>
      <w:r w:rsidRPr="00F85275">
        <w:t>príznaky idiopatickej Parkinsonovej choroby. Kontrolované klinické štúdie zahrňovali približne 1 800 pacientov</w:t>
      </w:r>
      <w:r w:rsidR="00347034" w:rsidRPr="00F85275">
        <w:t xml:space="preserve"> s </w:t>
      </w:r>
      <w:r w:rsidRPr="00F85275">
        <w:t>pramipexolom</w:t>
      </w:r>
      <w:r w:rsidR="00347034" w:rsidRPr="00F85275">
        <w:t xml:space="preserve"> v </w:t>
      </w:r>
      <w:r w:rsidRPr="00F85275">
        <w:t>štádiu I–IV podľa Hoehna</w:t>
      </w:r>
      <w:r w:rsidR="00347034" w:rsidRPr="00F85275">
        <w:t xml:space="preserve"> a </w:t>
      </w:r>
      <w:r w:rsidRPr="00F85275">
        <w:t>Yahra. Okrem nich bolo približne 1 000 pacientov</w:t>
      </w:r>
      <w:r w:rsidR="00347034" w:rsidRPr="00F85275">
        <w:t xml:space="preserve"> v </w:t>
      </w:r>
      <w:r w:rsidRPr="00F85275">
        <w:t>pokročilejších štádiách, ktorí užívali súčasne levodopu</w:t>
      </w:r>
      <w:r w:rsidR="00347034" w:rsidRPr="00F85275">
        <w:t xml:space="preserve"> a </w:t>
      </w:r>
      <w:r w:rsidRPr="00F85275">
        <w:t>trpeli motorickými komplikáciami.</w:t>
      </w:r>
    </w:p>
    <w:p w14:paraId="04741299" w14:textId="6BBE902F" w:rsidR="002B4D0B" w:rsidRPr="00F85275" w:rsidRDefault="002B4D0B" w:rsidP="00A67EA0">
      <w:pPr>
        <w:pStyle w:val="Normlndobloku"/>
      </w:pPr>
      <w:r w:rsidRPr="00F85275">
        <w:t>Pri ranej</w:t>
      </w:r>
      <w:r w:rsidR="00347034" w:rsidRPr="00F85275">
        <w:t xml:space="preserve"> a </w:t>
      </w:r>
      <w:r w:rsidRPr="00F85275">
        <w:t>pokročilej Parkinsonovej chorobe bola účinnosť pramipexolu</w:t>
      </w:r>
      <w:r w:rsidR="00347034" w:rsidRPr="00F85275">
        <w:t xml:space="preserve"> v </w:t>
      </w:r>
      <w:r w:rsidRPr="00F85275">
        <w:t>kontrolovaných klinických štúdiách udržiavaná na rovnakej úrovni po dobu približne 6 mesiacov.</w:t>
      </w:r>
      <w:r w:rsidR="00347034" w:rsidRPr="00F85275">
        <w:t xml:space="preserve"> v </w:t>
      </w:r>
      <w:r w:rsidRPr="00F85275">
        <w:t>otvorených pokračovacích štúdiách trvajúcich viac ako 3 roky sa nezaznamenali znaky klesajúcej účinnosti. V kontrolovanej dvojročnej dvojito zaslepenej štúdii začiatok liečby pramipexolom</w:t>
      </w:r>
      <w:r w:rsidR="00347034" w:rsidRPr="00F85275">
        <w:t xml:space="preserve"> v </w:t>
      </w:r>
      <w:r w:rsidRPr="00F85275">
        <w:t>porovnaní so začatím liečby levodopou výrazne oddialil nástup motorických komplikácií</w:t>
      </w:r>
      <w:r w:rsidR="00347034" w:rsidRPr="00F85275">
        <w:t xml:space="preserve"> a </w:t>
      </w:r>
      <w:r w:rsidRPr="00F85275">
        <w:t>znížil ich výskyt. Toto oddialenie motorických komplikácií pri pramipexole má vyrovnať vyššie zlepšenie motorických funkcií</w:t>
      </w:r>
      <w:r w:rsidR="00347034" w:rsidRPr="00F85275">
        <w:t xml:space="preserve"> s </w:t>
      </w:r>
      <w:r w:rsidRPr="00F85275">
        <w:t>levodopou (merané ako stredná hodnota zmeny</w:t>
      </w:r>
      <w:r w:rsidR="00347034" w:rsidRPr="00F85275">
        <w:t xml:space="preserve"> v </w:t>
      </w:r>
      <w:r w:rsidRPr="00F85275">
        <w:t>UPDRS škále). Celkový výskyt halucinácií</w:t>
      </w:r>
      <w:r w:rsidR="00347034" w:rsidRPr="00F85275">
        <w:t xml:space="preserve"> a </w:t>
      </w:r>
      <w:r w:rsidRPr="00F85275">
        <w:t>somnolencie bol všeobecne vyšší vo fáze zvyšovania v skupine užívajúcej pramipexol. Avšak počas udržiavacej fázy sa výrazný rozdiel nezaznamenal. Tieto skutočnosti sa majú zvážiť, keď sa</w:t>
      </w:r>
      <w:r w:rsidR="00347034" w:rsidRPr="00F85275">
        <w:t xml:space="preserve"> u </w:t>
      </w:r>
      <w:r w:rsidRPr="00F85275">
        <w:t>pacientov</w:t>
      </w:r>
      <w:r w:rsidR="00347034" w:rsidRPr="00F85275">
        <w:t xml:space="preserve"> s </w:t>
      </w:r>
      <w:r w:rsidRPr="00F85275">
        <w:t>Parkinsonovou chorobou začína liečba pramipexolom.</w:t>
      </w:r>
    </w:p>
    <w:p w14:paraId="73FA394B" w14:textId="77777777" w:rsidR="002B4D0B" w:rsidRPr="00F85275" w:rsidRDefault="002B4D0B" w:rsidP="00A67EA0">
      <w:pPr>
        <w:pStyle w:val="Styl3"/>
      </w:pPr>
      <w:r w:rsidRPr="00F85275">
        <w:lastRenderedPageBreak/>
        <w:t>Pediatrická populácia</w:t>
      </w:r>
    </w:p>
    <w:p w14:paraId="6174EE8B" w14:textId="58950A08" w:rsidR="002B4D0B" w:rsidRPr="00F85275" w:rsidRDefault="002B4D0B" w:rsidP="00A67EA0">
      <w:pPr>
        <w:pStyle w:val="Normlndobloku"/>
      </w:pPr>
      <w:r w:rsidRPr="00F85275">
        <w:t>Európska lieková agentúra udelila výnimku</w:t>
      </w:r>
      <w:r w:rsidR="00347034" w:rsidRPr="00F85275">
        <w:t xml:space="preserve"> z </w:t>
      </w:r>
      <w:r w:rsidRPr="00F85275">
        <w:t>povinnosti predložiť výsledky štúdií pre MEDOPEXOL</w:t>
      </w:r>
      <w:r w:rsidR="00347034" w:rsidRPr="00F85275">
        <w:t xml:space="preserve"> s </w:t>
      </w:r>
      <w:r w:rsidRPr="00F85275">
        <w:t>ohľadom na všetky vekové podskupiny detí</w:t>
      </w:r>
      <w:r w:rsidR="00347034" w:rsidRPr="00F85275">
        <w:t xml:space="preserve"> a </w:t>
      </w:r>
      <w:r w:rsidRPr="00F85275">
        <w:t>dospievajúcich</w:t>
      </w:r>
      <w:r w:rsidR="00347034" w:rsidRPr="00F85275">
        <w:t xml:space="preserve"> s </w:t>
      </w:r>
      <w:r w:rsidRPr="00F85275">
        <w:t>Parkinsonovou chorobou (pozri časť 4.2 pre informáciu o pediatrickom použití).</w:t>
      </w:r>
    </w:p>
    <w:p w14:paraId="5DF0223C" w14:textId="2A76E1A2" w:rsidR="002B4D0B" w:rsidRPr="00F85275" w:rsidRDefault="002B4D0B" w:rsidP="00A67EA0">
      <w:pPr>
        <w:pStyle w:val="Styl3"/>
      </w:pPr>
      <w:r w:rsidRPr="00F85275">
        <w:t>Klinická účinnosť</w:t>
      </w:r>
      <w:r w:rsidR="00347034" w:rsidRPr="00F85275">
        <w:t xml:space="preserve"> a </w:t>
      </w:r>
      <w:r w:rsidRPr="00F85275">
        <w:t>bezpečnosť pri Tourettovom syndróme</w:t>
      </w:r>
    </w:p>
    <w:p w14:paraId="605E4C89" w14:textId="17417918" w:rsidR="002B4D0B" w:rsidRPr="00F85275" w:rsidRDefault="002B4D0B" w:rsidP="00A67EA0">
      <w:pPr>
        <w:pStyle w:val="Normlndobloku"/>
      </w:pPr>
      <w:r w:rsidRPr="00F85275">
        <w:t>Účinnosť pramipexolu (0,0625</w:t>
      </w:r>
      <w:r w:rsidR="00233B0C" w:rsidRPr="00F85275">
        <w:t> </w:t>
      </w:r>
      <w:r w:rsidRPr="00F85275">
        <w:t>–</w:t>
      </w:r>
      <w:r w:rsidR="00233B0C" w:rsidRPr="00F85275">
        <w:t> </w:t>
      </w:r>
      <w:r w:rsidRPr="00F85275">
        <w:t>0,5</w:t>
      </w:r>
      <w:r w:rsidR="00347034" w:rsidRPr="00F85275">
        <w:t> mg</w:t>
      </w:r>
      <w:r w:rsidRPr="00F85275">
        <w:t>/deň)</w:t>
      </w:r>
      <w:r w:rsidR="00347034" w:rsidRPr="00F85275">
        <w:t xml:space="preserve"> u </w:t>
      </w:r>
      <w:r w:rsidRPr="00F85275">
        <w:t>pediatrických pacientov</w:t>
      </w:r>
      <w:r w:rsidR="00347034" w:rsidRPr="00F85275">
        <w:t xml:space="preserve"> s </w:t>
      </w:r>
      <w:r w:rsidRPr="00F85275">
        <w:t>Tourettovým syndrómom vo veku 6</w:t>
      </w:r>
      <w:r w:rsidR="00233B0C" w:rsidRPr="00F85275">
        <w:t> </w:t>
      </w:r>
      <w:r w:rsidRPr="00F85275">
        <w:t>–</w:t>
      </w:r>
      <w:r w:rsidR="00233B0C" w:rsidRPr="00F85275">
        <w:t> </w:t>
      </w:r>
      <w:r w:rsidRPr="00F85275">
        <w:t>17 rokov sa hodnotila</w:t>
      </w:r>
      <w:r w:rsidR="00347034" w:rsidRPr="00F85275">
        <w:t xml:space="preserve"> v </w:t>
      </w:r>
      <w:r w:rsidRPr="00F85275">
        <w:t>6-týždňovej, dvojito zaslepenej, randomizovanej, placebom kontrolovanej štúdii</w:t>
      </w:r>
      <w:r w:rsidR="00347034" w:rsidRPr="00F85275">
        <w:t xml:space="preserve"> s </w:t>
      </w:r>
      <w:r w:rsidRPr="00F85275">
        <w:t>flexibilnou dávkou lieku. Celkovo sa randomizovalo 63 pacientov (43 užívalo pramipexol, 20 placebo). Primárny cieľový výsledok bola zmena základných hodnôt celkového skóre tikov (TTS) podľa Yaleovej celkovej škály závažnosti tikov (YGTSS). Nepozoroval sa žiaden rozdiel medzi skupinou užívajúcou pramipexol</w:t>
      </w:r>
      <w:r w:rsidR="00347034" w:rsidRPr="00F85275">
        <w:t xml:space="preserve"> a </w:t>
      </w:r>
      <w:r w:rsidRPr="00F85275">
        <w:t>skupinou užívajúcou placebo, či už</w:t>
      </w:r>
      <w:r w:rsidR="00347034" w:rsidRPr="00F85275">
        <w:t xml:space="preserve"> v </w:t>
      </w:r>
      <w:r w:rsidRPr="00F85275">
        <w:t>primárnom cieľovom výsledku alebo</w:t>
      </w:r>
      <w:r w:rsidR="00347034" w:rsidRPr="00F85275">
        <w:t xml:space="preserve"> v </w:t>
      </w:r>
      <w:r w:rsidRPr="00F85275">
        <w:t>ktoromkoľvek sekundárnom cieľovom výsledku účinnosti lieku vrátane celkového skóre YGTSS, celkového obrazu pacienta o</w:t>
      </w:r>
      <w:r w:rsidR="00D6482E" w:rsidRPr="00F85275">
        <w:t> </w:t>
      </w:r>
      <w:r w:rsidRPr="00F85275">
        <w:t>zlepšení stavu (PGI-I), celkového klinického obrazu o</w:t>
      </w:r>
      <w:r w:rsidR="00D6482E" w:rsidRPr="00F85275">
        <w:t> </w:t>
      </w:r>
      <w:r w:rsidRPr="00F85275">
        <w:t>zlepšení stavu (CGI-I) alebo celkového klinického obrazu o závažnosti choroby (CGI-S). Nežiaduce udalosti, ktoré sa vyskytli aspoň</w:t>
      </w:r>
      <w:r w:rsidR="00347034" w:rsidRPr="00F85275">
        <w:t xml:space="preserve"> u </w:t>
      </w:r>
      <w:r w:rsidRPr="00F85275">
        <w:t>5 % pacientov</w:t>
      </w:r>
      <w:r w:rsidR="00347034" w:rsidRPr="00F85275">
        <w:t xml:space="preserve"> v </w:t>
      </w:r>
      <w:r w:rsidRPr="00F85275">
        <w:t>skupine užívajúcej pramipexol</w:t>
      </w:r>
      <w:r w:rsidR="00347034" w:rsidRPr="00F85275">
        <w:t xml:space="preserve"> a </w:t>
      </w:r>
      <w:r w:rsidRPr="00F85275">
        <w:t>ktoré boli častejšie</w:t>
      </w:r>
      <w:r w:rsidR="00347034" w:rsidRPr="00F85275">
        <w:t xml:space="preserve"> u </w:t>
      </w:r>
      <w:r w:rsidRPr="00F85275">
        <w:t>pacientov užívajúcich pramipexol ako</w:t>
      </w:r>
      <w:r w:rsidR="00347034" w:rsidRPr="00F85275">
        <w:t xml:space="preserve"> u </w:t>
      </w:r>
      <w:r w:rsidRPr="00F85275">
        <w:t>pacientov užívajúcich placebo, boli: bolesti hlavy (27,9 %, placebo 25,0 %), ospanlivosť (7,0 %, placebo 5,0 %), nauzea (18,6 %, placebo 10,0 %), vracanie (11,6 %, placebo 0,0 %), bolesť</w:t>
      </w:r>
      <w:r w:rsidR="00347034" w:rsidRPr="00F85275">
        <w:t xml:space="preserve"> v </w:t>
      </w:r>
      <w:r w:rsidRPr="00F85275">
        <w:t>hornej časti brucha (7,0 %, placebo 5,0 %), ortostatická hypotenzia (9,3 %, placebo 5,0 %), myalgia (9,3 %;placebo 5,0 %), poruchy spánku (7,0 %, placebo 5,0 %), dyspnoe (7,0 %, placebo 0,0 %)</w:t>
      </w:r>
      <w:r w:rsidR="00347034" w:rsidRPr="00F85275">
        <w:t xml:space="preserve"> a </w:t>
      </w:r>
      <w:r w:rsidRPr="00F85275">
        <w:t>infekcie horných dýchacích ciest (7,0 %; placebo 5,0 %). Ostatné významné nežiaduce udalosti</w:t>
      </w:r>
      <w:r w:rsidR="00347034" w:rsidRPr="00F85275">
        <w:t xml:space="preserve"> u </w:t>
      </w:r>
      <w:r w:rsidRPr="00F85275">
        <w:t>pacientov užívajúcich pramipexol, vedúce</w:t>
      </w:r>
      <w:r w:rsidR="00347034" w:rsidRPr="00F85275">
        <w:t xml:space="preserve"> k </w:t>
      </w:r>
      <w:r w:rsidRPr="00F85275">
        <w:t>prerušeniu podávania sledovaného lieku, bol stav zmätenosti, poruchy reči</w:t>
      </w:r>
      <w:r w:rsidR="00347034" w:rsidRPr="00F85275">
        <w:t xml:space="preserve"> a </w:t>
      </w:r>
      <w:r w:rsidRPr="00F85275">
        <w:t>zhoršujúci sa stav (pozri časť 4.2).</w:t>
      </w:r>
    </w:p>
    <w:p w14:paraId="1CAAFD76" w14:textId="759141E5" w:rsidR="002B4D0B" w:rsidRPr="00F85275" w:rsidRDefault="002B4D0B" w:rsidP="001B3A45">
      <w:pPr>
        <w:pStyle w:val="Styl2"/>
        <w:rPr>
          <w:lang w:val="sk-SK"/>
        </w:rPr>
      </w:pPr>
      <w:r w:rsidRPr="00F85275">
        <w:rPr>
          <w:lang w:val="sk-SK"/>
        </w:rPr>
        <w:t>Farmakokinetické vlastnosti</w:t>
      </w:r>
    </w:p>
    <w:p w14:paraId="66CA5B9A" w14:textId="77777777" w:rsidR="002B4D0B" w:rsidRPr="00F85275" w:rsidRDefault="002B4D0B" w:rsidP="00A67EA0">
      <w:pPr>
        <w:pStyle w:val="Styl3"/>
      </w:pPr>
      <w:r w:rsidRPr="00F85275">
        <w:t>Absorpcia</w:t>
      </w:r>
    </w:p>
    <w:p w14:paraId="7C290493" w14:textId="08AE3CEF" w:rsidR="002B4D0B" w:rsidRPr="00F85275" w:rsidRDefault="002B4D0B" w:rsidP="00A67EA0">
      <w:pPr>
        <w:pStyle w:val="Normlndobloku"/>
      </w:pPr>
      <w:r w:rsidRPr="00F85275">
        <w:t>Pramipexol sa po perorálnom podaní absorbuje rýchlo</w:t>
      </w:r>
      <w:r w:rsidR="00347034" w:rsidRPr="00F85275">
        <w:t xml:space="preserve"> a </w:t>
      </w:r>
      <w:r w:rsidRPr="00F85275">
        <w:t>úplne. Absolútna biologická dostupnosť je vyššia ako 90 %</w:t>
      </w:r>
      <w:r w:rsidR="00347034" w:rsidRPr="00F85275">
        <w:t xml:space="preserve"> a </w:t>
      </w:r>
      <w:r w:rsidRPr="00F85275">
        <w:t>maximálne plazmatické koncentrácie sa objavujú po 1 až 3 hodinách. Súčasné podanie s jedlom neznižovalo množstvo absorbovaného pramipexolu, ale znižovalo rýchlosť absorpcie. Pramipexol preukazuje lineárnu kinetiku</w:t>
      </w:r>
      <w:r w:rsidR="00347034" w:rsidRPr="00F85275">
        <w:t xml:space="preserve"> a </w:t>
      </w:r>
      <w:r w:rsidRPr="00F85275">
        <w:t>malú variabilitu plazmatických hladín medzi jednotlivými pacientmi.</w:t>
      </w:r>
    </w:p>
    <w:p w14:paraId="4CA16F3E" w14:textId="77777777" w:rsidR="002B4D0B" w:rsidRPr="00F85275" w:rsidRDefault="002B4D0B" w:rsidP="00A67EA0">
      <w:pPr>
        <w:pStyle w:val="Styl3"/>
      </w:pPr>
      <w:r w:rsidRPr="00F85275">
        <w:t>Distribúcia</w:t>
      </w:r>
    </w:p>
    <w:p w14:paraId="68357078" w14:textId="7BFE9E53" w:rsidR="002B4D0B" w:rsidRPr="00F85275" w:rsidRDefault="002B4D0B" w:rsidP="00A67EA0">
      <w:pPr>
        <w:pStyle w:val="Normlndobloku"/>
      </w:pPr>
      <w:r w:rsidRPr="00F85275">
        <w:t>U ľudí je väzba pramipexolu na bielkoviny veľmi nízka (&lt;20 %)</w:t>
      </w:r>
      <w:r w:rsidR="00347034" w:rsidRPr="00F85275">
        <w:t xml:space="preserve"> a </w:t>
      </w:r>
      <w:r w:rsidRPr="00F85275">
        <w:t>distribučný objem je rozsiahly (400</w:t>
      </w:r>
      <w:r w:rsidR="00630A60" w:rsidRPr="00F85275">
        <w:t> </w:t>
      </w:r>
      <w:r w:rsidRPr="00F85275">
        <w:t>l). Vysoké koncentrácie</w:t>
      </w:r>
      <w:r w:rsidR="00347034" w:rsidRPr="00F85275">
        <w:t xml:space="preserve"> v </w:t>
      </w:r>
      <w:r w:rsidRPr="00F85275">
        <w:t>mozgovom tkanive sa pozorovali</w:t>
      </w:r>
      <w:r w:rsidR="00347034" w:rsidRPr="00F85275">
        <w:t xml:space="preserve"> u </w:t>
      </w:r>
      <w:r w:rsidRPr="00F85275">
        <w:t>potkanov (približne 8-násobok koncentrácie</w:t>
      </w:r>
      <w:r w:rsidR="00347034" w:rsidRPr="00F85275">
        <w:t xml:space="preserve"> v </w:t>
      </w:r>
      <w:r w:rsidRPr="00F85275">
        <w:t>plazme).</w:t>
      </w:r>
    </w:p>
    <w:p w14:paraId="6528885A" w14:textId="77777777" w:rsidR="002B4D0B" w:rsidRPr="00F85275" w:rsidRDefault="002B4D0B" w:rsidP="00A67EA0">
      <w:pPr>
        <w:pStyle w:val="Styl3"/>
      </w:pPr>
      <w:r w:rsidRPr="00F85275">
        <w:t>Biotransformácia</w:t>
      </w:r>
    </w:p>
    <w:p w14:paraId="5F03DFF3" w14:textId="066CE486" w:rsidR="002B4D0B" w:rsidRPr="00F85275" w:rsidRDefault="002B4D0B" w:rsidP="00301480">
      <w:pPr>
        <w:spacing w:after="240"/>
        <w:rPr>
          <w:szCs w:val="22"/>
          <w:lang w:val="sk-SK"/>
        </w:rPr>
      </w:pPr>
      <w:r w:rsidRPr="00F85275">
        <w:rPr>
          <w:szCs w:val="22"/>
          <w:lang w:val="sk-SK"/>
        </w:rPr>
        <w:t>Pramipexol sa</w:t>
      </w:r>
      <w:r w:rsidR="00347034" w:rsidRPr="00F85275">
        <w:rPr>
          <w:szCs w:val="22"/>
          <w:lang w:val="sk-SK"/>
        </w:rPr>
        <w:t xml:space="preserve"> u </w:t>
      </w:r>
      <w:r w:rsidRPr="00F85275">
        <w:rPr>
          <w:szCs w:val="22"/>
          <w:lang w:val="sk-SK"/>
        </w:rPr>
        <w:t>ľudí metabolizuje len</w:t>
      </w:r>
      <w:r w:rsidR="00347034" w:rsidRPr="00F85275">
        <w:rPr>
          <w:szCs w:val="22"/>
          <w:lang w:val="sk-SK"/>
        </w:rPr>
        <w:t xml:space="preserve"> v </w:t>
      </w:r>
      <w:r w:rsidRPr="00F85275">
        <w:rPr>
          <w:szCs w:val="22"/>
          <w:lang w:val="sk-SK"/>
        </w:rPr>
        <w:t>malom rozsahu.</w:t>
      </w:r>
    </w:p>
    <w:p w14:paraId="32B365C3" w14:textId="77777777" w:rsidR="002B4D0B" w:rsidRPr="00F85275" w:rsidRDefault="002B4D0B" w:rsidP="00A67EA0">
      <w:pPr>
        <w:pStyle w:val="Styl3"/>
      </w:pPr>
      <w:r w:rsidRPr="00F85275">
        <w:t>Eliminácia</w:t>
      </w:r>
    </w:p>
    <w:p w14:paraId="2753C6AE" w14:textId="6D3B6DA5" w:rsidR="002B4D0B" w:rsidRPr="00F85275" w:rsidRDefault="002B4D0B" w:rsidP="00301480">
      <w:pPr>
        <w:rPr>
          <w:szCs w:val="22"/>
          <w:lang w:val="sk-SK"/>
        </w:rPr>
      </w:pPr>
      <w:r w:rsidRPr="00F85275">
        <w:rPr>
          <w:rStyle w:val="NormlndoblokuChar"/>
        </w:rPr>
        <w:t>Hlavnou cestou vylučovania je renálna exkrécia nezmeneného pramipexolu. Približne 90</w:t>
      </w:r>
      <w:r w:rsidR="00630A60" w:rsidRPr="00F85275">
        <w:rPr>
          <w:rStyle w:val="NormlndoblokuChar"/>
        </w:rPr>
        <w:t> </w:t>
      </w:r>
      <w:r w:rsidRPr="00F85275">
        <w:rPr>
          <w:rStyle w:val="NormlndoblokuChar"/>
        </w:rPr>
        <w:t>% 14C označenej dávky sa vylúči obličkami</w:t>
      </w:r>
      <w:r w:rsidR="00347034" w:rsidRPr="00F85275">
        <w:rPr>
          <w:rStyle w:val="NormlndoblokuChar"/>
        </w:rPr>
        <w:t xml:space="preserve"> a </w:t>
      </w:r>
      <w:r w:rsidRPr="00F85275">
        <w:rPr>
          <w:rStyle w:val="NormlndoblokuChar"/>
        </w:rPr>
        <w:t>menej ako 2 % sa nachádzalo</w:t>
      </w:r>
      <w:r w:rsidR="00347034" w:rsidRPr="00F85275">
        <w:rPr>
          <w:rStyle w:val="NormlndoblokuChar"/>
        </w:rPr>
        <w:t xml:space="preserve"> v </w:t>
      </w:r>
      <w:r w:rsidRPr="00F85275">
        <w:rPr>
          <w:rStyle w:val="NormlndoblokuChar"/>
        </w:rPr>
        <w:t>stolici. Celkový klírens pramipexolu je približne 500</w:t>
      </w:r>
      <w:r w:rsidR="00347034" w:rsidRPr="00F85275">
        <w:rPr>
          <w:rStyle w:val="NormlndoblokuChar"/>
        </w:rPr>
        <w:t> ml</w:t>
      </w:r>
      <w:r w:rsidRPr="00F85275">
        <w:rPr>
          <w:rStyle w:val="NormlndoblokuChar"/>
        </w:rPr>
        <w:t>/min</w:t>
      </w:r>
      <w:r w:rsidR="00347034" w:rsidRPr="00F85275">
        <w:rPr>
          <w:rStyle w:val="NormlndoblokuChar"/>
        </w:rPr>
        <w:t xml:space="preserve"> a </w:t>
      </w:r>
      <w:r w:rsidRPr="00F85275">
        <w:rPr>
          <w:rStyle w:val="NormlndoblokuChar"/>
        </w:rPr>
        <w:t>renálny klírens je približne 400</w:t>
      </w:r>
      <w:r w:rsidR="00347034" w:rsidRPr="00F85275">
        <w:rPr>
          <w:rStyle w:val="NormlndoblokuChar"/>
        </w:rPr>
        <w:t> ml</w:t>
      </w:r>
      <w:r w:rsidRPr="00F85275">
        <w:rPr>
          <w:rStyle w:val="NormlndoblokuChar"/>
        </w:rPr>
        <w:t>/min. Eliminačný polčas (t½) kolíše od 8 hodín</w:t>
      </w:r>
      <w:r w:rsidR="00347034" w:rsidRPr="00F85275">
        <w:rPr>
          <w:rStyle w:val="NormlndoblokuChar"/>
        </w:rPr>
        <w:t xml:space="preserve"> u ml</w:t>
      </w:r>
      <w:r w:rsidRPr="00F85275">
        <w:rPr>
          <w:rStyle w:val="NormlndoblokuChar"/>
        </w:rPr>
        <w:t>adých do 12 hodín</w:t>
      </w:r>
      <w:r w:rsidR="00347034" w:rsidRPr="00F85275">
        <w:rPr>
          <w:rStyle w:val="NormlndoblokuChar"/>
        </w:rPr>
        <w:t xml:space="preserve"> u </w:t>
      </w:r>
      <w:r w:rsidRPr="00F85275">
        <w:rPr>
          <w:rStyle w:val="NormlndoblokuChar"/>
        </w:rPr>
        <w:t>starších pacientov</w:t>
      </w:r>
      <w:r w:rsidRPr="00F85275">
        <w:rPr>
          <w:szCs w:val="22"/>
          <w:lang w:val="sk-SK"/>
        </w:rPr>
        <w:t>.</w:t>
      </w:r>
    </w:p>
    <w:p w14:paraId="53F9B6B5" w14:textId="1BEA4CA1" w:rsidR="002B4D0B" w:rsidRPr="00F85275" w:rsidRDefault="002B4D0B" w:rsidP="00374002">
      <w:pPr>
        <w:pStyle w:val="Styl2"/>
        <w:rPr>
          <w:lang w:val="sk-SK"/>
        </w:rPr>
      </w:pPr>
      <w:r w:rsidRPr="00F85275">
        <w:rPr>
          <w:lang w:val="sk-SK"/>
        </w:rPr>
        <w:t>Predklinické údaje o bezpečnosti</w:t>
      </w:r>
    </w:p>
    <w:p w14:paraId="2DE3321E" w14:textId="068A6F5E" w:rsidR="002B4D0B" w:rsidRPr="00F85275" w:rsidRDefault="002B4D0B" w:rsidP="00A67EA0">
      <w:pPr>
        <w:pStyle w:val="Normlndobloku"/>
      </w:pPr>
      <w:r w:rsidRPr="00F85275">
        <w:t>Štúdie toxicity po opakovanom podaní ukázali, že pramipexol má vplyv prevažne na funkcie CNS a ženského reprodukčného systému, pravdepodobne</w:t>
      </w:r>
      <w:r w:rsidR="00347034" w:rsidRPr="00F85275">
        <w:t xml:space="preserve"> v </w:t>
      </w:r>
      <w:r w:rsidRPr="00F85275">
        <w:t>dôsledku svojho zvýšeného farmakodynamického účinku pramipexolu.</w:t>
      </w:r>
    </w:p>
    <w:p w14:paraId="0006861D" w14:textId="61F4CE41" w:rsidR="002B4D0B" w:rsidRPr="00F85275" w:rsidRDefault="002B4D0B" w:rsidP="00A67EA0">
      <w:pPr>
        <w:pStyle w:val="Normlndobloku"/>
      </w:pPr>
      <w:r w:rsidRPr="00F85275">
        <w:t>U miniprasiat bolo zaznamenané zníženie diastolického i systolického tlaku</w:t>
      </w:r>
      <w:r w:rsidR="00347034" w:rsidRPr="00F85275">
        <w:t xml:space="preserve"> a </w:t>
      </w:r>
      <w:r w:rsidRPr="00F85275">
        <w:t>pokles tepovej frekvencie. Sklon</w:t>
      </w:r>
      <w:r w:rsidR="00347034" w:rsidRPr="00F85275">
        <w:t xml:space="preserve"> k </w:t>
      </w:r>
      <w:r w:rsidRPr="00F85275">
        <w:t>hypotenznému účinku sa zaznamenal</w:t>
      </w:r>
      <w:r w:rsidR="00347034" w:rsidRPr="00F85275">
        <w:t xml:space="preserve"> u </w:t>
      </w:r>
      <w:r w:rsidRPr="00F85275">
        <w:t>opíc.</w:t>
      </w:r>
    </w:p>
    <w:p w14:paraId="1553B884" w14:textId="236EE96C" w:rsidR="002B4D0B" w:rsidRPr="00F85275" w:rsidRDefault="002B4D0B" w:rsidP="00A67EA0">
      <w:pPr>
        <w:pStyle w:val="Normlndobloku"/>
      </w:pPr>
      <w:r w:rsidRPr="00F85275">
        <w:t>Možné účinky pramipexolu na reprodukčné funkcie boli skúmané u potkanov a králikov. Pramipexol nebol teratogénny u potkanov a králikov, ale bol embryotoxický</w:t>
      </w:r>
      <w:r w:rsidR="00347034" w:rsidRPr="00F85275">
        <w:t xml:space="preserve"> u </w:t>
      </w:r>
      <w:r w:rsidRPr="00F85275">
        <w:t xml:space="preserve">potkanov pri dávkach toxických pre </w:t>
      </w:r>
      <w:r w:rsidRPr="00F85275">
        <w:lastRenderedPageBreak/>
        <w:t>matku.</w:t>
      </w:r>
      <w:r w:rsidR="00347034" w:rsidRPr="00F85275">
        <w:t xml:space="preserve"> </w:t>
      </w:r>
      <w:r w:rsidR="004362B4" w:rsidRPr="00F85275">
        <w:t>V</w:t>
      </w:r>
      <w:r w:rsidR="00347034" w:rsidRPr="00F85275">
        <w:t> </w:t>
      </w:r>
      <w:r w:rsidRPr="00F85275">
        <w:t>dôsledku výberu živočíšnych druhov</w:t>
      </w:r>
      <w:r w:rsidR="00347034" w:rsidRPr="00F85275">
        <w:t xml:space="preserve"> a </w:t>
      </w:r>
      <w:r w:rsidRPr="00F85275">
        <w:t>obmedzenia sledovaných parametrov neboli nežiaduce účinky pramipexolu na graviditu</w:t>
      </w:r>
      <w:r w:rsidR="00347034" w:rsidRPr="00F85275">
        <w:t xml:space="preserve"> a </w:t>
      </w:r>
      <w:r w:rsidRPr="00F85275">
        <w:t>mužskú fertilitu plne objasnené.</w:t>
      </w:r>
    </w:p>
    <w:p w14:paraId="47DA5959" w14:textId="6BCC85D1" w:rsidR="002B4D0B" w:rsidRPr="00F85275" w:rsidRDefault="002B4D0B" w:rsidP="00A67EA0">
      <w:pPr>
        <w:pStyle w:val="Normlndobloku"/>
      </w:pPr>
      <w:r w:rsidRPr="00F85275">
        <w:t>U potkanov sa pozorovalo oneskorenie pohlavného vývoja (t.j. oddelenie predkožky</w:t>
      </w:r>
      <w:r w:rsidR="00347034" w:rsidRPr="00F85275">
        <w:t xml:space="preserve"> a </w:t>
      </w:r>
      <w:r w:rsidRPr="00F85275">
        <w:t>vaginálneho vchodu). Relevantnosť týchto zistení pre ľudí nie je známa.</w:t>
      </w:r>
    </w:p>
    <w:p w14:paraId="1EA29813" w14:textId="1B751EFE" w:rsidR="002B4D0B" w:rsidRPr="00F85275" w:rsidRDefault="002B4D0B" w:rsidP="00A67EA0">
      <w:pPr>
        <w:pStyle w:val="Normlndobloku"/>
      </w:pPr>
      <w:r w:rsidRPr="00F85275">
        <w:t>Pramipexol nebol genotoxický.</w:t>
      </w:r>
      <w:r w:rsidR="00347034" w:rsidRPr="00F85275">
        <w:t xml:space="preserve"> v </w:t>
      </w:r>
      <w:r w:rsidRPr="00F85275">
        <w:t>štúdii karcinogenity sa</w:t>
      </w:r>
      <w:r w:rsidR="00347034" w:rsidRPr="00F85275">
        <w:t xml:space="preserve"> u </w:t>
      </w:r>
      <w:r w:rsidRPr="00F85275">
        <w:t>samcov potkanov rozvinula hyperplázia Leydigových buniek</w:t>
      </w:r>
      <w:r w:rsidR="00347034" w:rsidRPr="00F85275">
        <w:t xml:space="preserve"> a </w:t>
      </w:r>
      <w:r w:rsidRPr="00F85275">
        <w:t>adenómy, ktoré sa vysvetľujú inhibičným účinkom pramipexolu na prolaktín. Tento nález nie je klinicky relevantný pre človeka. Rovnaká štúdia tiež preukázala, že pri dávkach pramipexolu 2</w:t>
      </w:r>
      <w:r w:rsidR="00347034" w:rsidRPr="00F85275">
        <w:t> mg</w:t>
      </w:r>
      <w:r w:rsidRPr="00F85275">
        <w:t>/kg (vo forme soli)</w:t>
      </w:r>
      <w:r w:rsidR="00347034" w:rsidRPr="00F85275">
        <w:t xml:space="preserve"> a </w:t>
      </w:r>
      <w:r w:rsidRPr="00F85275">
        <w:t>vyšších sa</w:t>
      </w:r>
      <w:r w:rsidR="00347034" w:rsidRPr="00F85275">
        <w:t xml:space="preserve"> u </w:t>
      </w:r>
      <w:r w:rsidRPr="00F85275">
        <w:t>albínskych potkanov pozorovala degenerácia sietnice. Tento posledný nález sa však nepozoroval</w:t>
      </w:r>
      <w:r w:rsidR="00347034" w:rsidRPr="00F85275">
        <w:t xml:space="preserve"> u </w:t>
      </w:r>
      <w:r w:rsidRPr="00F85275">
        <w:t>pigmentovaných potkanov, ako ani pri dvojročnej štúdii karcinogenity</w:t>
      </w:r>
      <w:r w:rsidR="00347034" w:rsidRPr="00F85275">
        <w:t xml:space="preserve"> u </w:t>
      </w:r>
      <w:r w:rsidRPr="00F85275">
        <w:t>albínskych myší či iných sledovaných živočíšnych druhov.</w:t>
      </w:r>
    </w:p>
    <w:p w14:paraId="5EB0D203" w14:textId="627A838F" w:rsidR="002B4D0B" w:rsidRPr="00F85275" w:rsidRDefault="002B4D0B" w:rsidP="00374002">
      <w:pPr>
        <w:pStyle w:val="Styl1"/>
        <w:rPr>
          <w:lang w:val="sk-SK"/>
        </w:rPr>
      </w:pPr>
      <w:r w:rsidRPr="00F85275">
        <w:rPr>
          <w:lang w:val="sk-SK"/>
        </w:rPr>
        <w:t>FARMACEUTICKÉ INFORMÁCIE</w:t>
      </w:r>
    </w:p>
    <w:p w14:paraId="4075B760" w14:textId="552EB51B" w:rsidR="002B4D0B" w:rsidRPr="00F85275" w:rsidRDefault="002B4D0B" w:rsidP="00374002">
      <w:pPr>
        <w:pStyle w:val="Styl2"/>
        <w:rPr>
          <w:lang w:val="sk-SK"/>
        </w:rPr>
      </w:pPr>
      <w:r w:rsidRPr="00F85275">
        <w:rPr>
          <w:lang w:val="sk-SK"/>
        </w:rPr>
        <w:t>Zoznam pomocných látok</w:t>
      </w:r>
    </w:p>
    <w:p w14:paraId="7F08A222" w14:textId="70FDA621" w:rsidR="002B4D0B" w:rsidRPr="00F85275" w:rsidRDefault="004362B4" w:rsidP="00A67EA0">
      <w:pPr>
        <w:pStyle w:val="Normlndobloku"/>
      </w:pPr>
      <w:r w:rsidRPr="00F85275">
        <w:t>m</w:t>
      </w:r>
      <w:r w:rsidR="002B4D0B" w:rsidRPr="00F85275">
        <w:t>anitol (E 421)</w:t>
      </w:r>
    </w:p>
    <w:p w14:paraId="0940DE67" w14:textId="4DDB2E48" w:rsidR="002B4D0B" w:rsidRPr="00F85275" w:rsidRDefault="004362B4" w:rsidP="00A67EA0">
      <w:pPr>
        <w:pStyle w:val="Normlndobloku"/>
      </w:pPr>
      <w:r w:rsidRPr="00F85275">
        <w:t>k</w:t>
      </w:r>
      <w:r w:rsidR="002B4D0B" w:rsidRPr="00F85275">
        <w:t>ukuričný škrob</w:t>
      </w:r>
    </w:p>
    <w:p w14:paraId="6339BB9B" w14:textId="77777777" w:rsidR="00716AA0" w:rsidRDefault="004362B4" w:rsidP="00A67EA0">
      <w:pPr>
        <w:pStyle w:val="Normlndobloku"/>
      </w:pPr>
      <w:proofErr w:type="spellStart"/>
      <w:r w:rsidRPr="00F85275">
        <w:t>hydroxypropylcelulóza</w:t>
      </w:r>
      <w:proofErr w:type="spellEnd"/>
    </w:p>
    <w:p w14:paraId="6AE04F84" w14:textId="3B30447B" w:rsidR="002B4D0B" w:rsidRPr="00F85275" w:rsidRDefault="004362B4" w:rsidP="00A67EA0">
      <w:pPr>
        <w:pStyle w:val="Normlndobloku"/>
      </w:pPr>
      <w:r w:rsidRPr="00F85275">
        <w:t>b</w:t>
      </w:r>
      <w:r w:rsidR="002B4D0B" w:rsidRPr="00F85275">
        <w:t>ezvodý koloidný oxid kremičitý</w:t>
      </w:r>
    </w:p>
    <w:p w14:paraId="3A57759D" w14:textId="45BFE43F" w:rsidR="002B4D0B" w:rsidRPr="00F85275" w:rsidRDefault="004362B4" w:rsidP="00A67EA0">
      <w:pPr>
        <w:pStyle w:val="Normlndobloku"/>
      </w:pPr>
      <w:r w:rsidRPr="00F85275">
        <w:t>m</w:t>
      </w:r>
      <w:r w:rsidR="002B4D0B" w:rsidRPr="00F85275">
        <w:t>agnéziumstearát</w:t>
      </w:r>
    </w:p>
    <w:p w14:paraId="4847C8D9" w14:textId="4B163EAF" w:rsidR="002B4D0B" w:rsidRPr="00F85275" w:rsidRDefault="002B4D0B" w:rsidP="00374002">
      <w:pPr>
        <w:pStyle w:val="Styl2"/>
        <w:rPr>
          <w:lang w:val="sk-SK"/>
        </w:rPr>
      </w:pPr>
      <w:r w:rsidRPr="00F85275">
        <w:rPr>
          <w:lang w:val="sk-SK"/>
        </w:rPr>
        <w:t>Inkompatibility</w:t>
      </w:r>
    </w:p>
    <w:p w14:paraId="04F10B3F" w14:textId="77777777" w:rsidR="002B4D0B" w:rsidRPr="00F85275" w:rsidRDefault="002B4D0B" w:rsidP="00A67EA0">
      <w:pPr>
        <w:pStyle w:val="Normlndobloku"/>
      </w:pPr>
      <w:r w:rsidRPr="00F85275">
        <w:t>N</w:t>
      </w:r>
      <w:r w:rsidRPr="00F85275">
        <w:rPr>
          <w:rStyle w:val="NormlndoblokuChar"/>
        </w:rPr>
        <w:t>eaplikovateľné</w:t>
      </w:r>
    </w:p>
    <w:p w14:paraId="2E491E45" w14:textId="53CAA116" w:rsidR="002B4D0B" w:rsidRPr="00F85275" w:rsidRDefault="002B4D0B" w:rsidP="00374002">
      <w:pPr>
        <w:pStyle w:val="Styl2"/>
        <w:rPr>
          <w:lang w:val="sk-SK"/>
        </w:rPr>
      </w:pPr>
      <w:r w:rsidRPr="00F85275">
        <w:rPr>
          <w:lang w:val="sk-SK"/>
        </w:rPr>
        <w:t>Čas použiteľnosti</w:t>
      </w:r>
    </w:p>
    <w:p w14:paraId="461B0140" w14:textId="77777777" w:rsidR="002B4D0B" w:rsidRPr="00F85275" w:rsidRDefault="002B4D0B" w:rsidP="00A67EA0">
      <w:pPr>
        <w:pStyle w:val="Normlndobloku"/>
      </w:pPr>
      <w:r w:rsidRPr="00F85275">
        <w:t>3 roky</w:t>
      </w:r>
    </w:p>
    <w:p w14:paraId="150BD955" w14:textId="56ED151A" w:rsidR="002B4D0B" w:rsidRPr="00F85275" w:rsidRDefault="002B4D0B" w:rsidP="00374002">
      <w:pPr>
        <w:pStyle w:val="Styl2"/>
        <w:rPr>
          <w:lang w:val="sk-SK"/>
        </w:rPr>
      </w:pPr>
      <w:r w:rsidRPr="00F85275">
        <w:rPr>
          <w:lang w:val="sk-SK"/>
        </w:rPr>
        <w:t>Špeciálne upozornenia na uchovávanie</w:t>
      </w:r>
    </w:p>
    <w:p w14:paraId="029D46A2" w14:textId="6DA41C40" w:rsidR="002B4D0B" w:rsidRPr="00F85275" w:rsidRDefault="002B4D0B" w:rsidP="00A67EA0">
      <w:pPr>
        <w:pStyle w:val="Normlndobloku"/>
      </w:pPr>
      <w:r w:rsidRPr="00F85275">
        <w:t>Uchovávajte v pôvodnom obale na ochranu pred svetlom.</w:t>
      </w:r>
    </w:p>
    <w:p w14:paraId="66AB6388" w14:textId="6E125898" w:rsidR="002B4D0B" w:rsidRPr="00F85275" w:rsidRDefault="002B4D0B" w:rsidP="00A67EA0">
      <w:pPr>
        <w:pStyle w:val="Normlndobloku"/>
      </w:pPr>
      <w:r w:rsidRPr="00F85275">
        <w:t>Tento liek nevyžaduje žiadne zvláštne teplotné podmienky na uchovávanie.</w:t>
      </w:r>
    </w:p>
    <w:p w14:paraId="58163877" w14:textId="42DA16E1" w:rsidR="002B4D0B" w:rsidRPr="00F85275" w:rsidRDefault="002B4D0B" w:rsidP="00374002">
      <w:pPr>
        <w:pStyle w:val="Styl2"/>
        <w:rPr>
          <w:lang w:val="sk-SK"/>
        </w:rPr>
      </w:pPr>
      <w:r w:rsidRPr="00F85275">
        <w:rPr>
          <w:lang w:val="sk-SK"/>
        </w:rPr>
        <w:t>Druh obalu</w:t>
      </w:r>
      <w:r w:rsidR="00347034" w:rsidRPr="00F85275">
        <w:rPr>
          <w:lang w:val="sk-SK"/>
        </w:rPr>
        <w:t xml:space="preserve"> a </w:t>
      </w:r>
      <w:r w:rsidRPr="00F85275">
        <w:rPr>
          <w:lang w:val="sk-SK"/>
        </w:rPr>
        <w:t>obsah balenia</w:t>
      </w:r>
    </w:p>
    <w:p w14:paraId="678118D3" w14:textId="50DDAE69" w:rsidR="002B4D0B" w:rsidRPr="00F85275" w:rsidRDefault="002B4D0B" w:rsidP="00A67EA0">
      <w:pPr>
        <w:pStyle w:val="Normlndobloku"/>
      </w:pPr>
      <w:r w:rsidRPr="00F85275">
        <w:t>10 tabliet v OPA/alumínium/PVC/alumínium blistri</w:t>
      </w:r>
    </w:p>
    <w:p w14:paraId="5EA2508F" w14:textId="77777777" w:rsidR="002B4D0B" w:rsidRPr="00F85275" w:rsidRDefault="002B4D0B" w:rsidP="00A67EA0">
      <w:pPr>
        <w:pStyle w:val="Normlndobloku"/>
      </w:pPr>
      <w:r w:rsidRPr="00F85275">
        <w:t>Škatuľka obsahuje 3 alebo 10 blistrov (30 alebo 100 tabliet).</w:t>
      </w:r>
    </w:p>
    <w:p w14:paraId="13F96C19" w14:textId="2F66AF7E" w:rsidR="002B4D0B" w:rsidRPr="00F85275" w:rsidRDefault="002B4D0B" w:rsidP="00A67EA0">
      <w:pPr>
        <w:pStyle w:val="Normlndobloku"/>
      </w:pPr>
      <w:r w:rsidRPr="00F85275">
        <w:t>Na trh nemusia byť uvedené všetky veľkosti balenia.</w:t>
      </w:r>
    </w:p>
    <w:p w14:paraId="62B4AF01" w14:textId="5A76D874" w:rsidR="002B4D0B" w:rsidRPr="00F85275" w:rsidRDefault="002B4D0B" w:rsidP="00374002">
      <w:pPr>
        <w:pStyle w:val="Styl2"/>
        <w:rPr>
          <w:lang w:val="sk-SK"/>
        </w:rPr>
      </w:pPr>
      <w:r w:rsidRPr="00F85275">
        <w:rPr>
          <w:lang w:val="sk-SK"/>
        </w:rPr>
        <w:t>Špeciálne opatrenia na likvidáciu</w:t>
      </w:r>
    </w:p>
    <w:p w14:paraId="48AAB4D8" w14:textId="124DC60E" w:rsidR="002B4D0B" w:rsidRPr="00F85275" w:rsidRDefault="002B4D0B" w:rsidP="00A67EA0">
      <w:pPr>
        <w:pStyle w:val="Normlndobloku"/>
      </w:pPr>
      <w:r w:rsidRPr="00F85275">
        <w:t>Žiadne zvláštne požiadavky</w:t>
      </w:r>
      <w:r w:rsidR="00724223" w:rsidRPr="00F85275">
        <w:t>.</w:t>
      </w:r>
    </w:p>
    <w:p w14:paraId="121A341C" w14:textId="4CB3BD2F" w:rsidR="00724223" w:rsidRPr="00F85275" w:rsidRDefault="00724223" w:rsidP="00A67EA0">
      <w:pPr>
        <w:pStyle w:val="Normlndobloku"/>
      </w:pPr>
      <w:r w:rsidRPr="00F85275">
        <w:t>Všetok nepoužitý liek alebo odpad vzniknutý z lieku sa má zlikvidovať v súlade s národnými požiadavkami.</w:t>
      </w:r>
    </w:p>
    <w:p w14:paraId="57E8A97E" w14:textId="11673AAF" w:rsidR="002B4D0B" w:rsidRPr="00F85275" w:rsidRDefault="002B4D0B" w:rsidP="00374002">
      <w:pPr>
        <w:pStyle w:val="Styl1"/>
        <w:rPr>
          <w:lang w:val="sk-SK"/>
        </w:rPr>
      </w:pPr>
      <w:r w:rsidRPr="00F85275">
        <w:rPr>
          <w:lang w:val="sk-SK"/>
        </w:rPr>
        <w:t>DRŽITEĽ ROZHODNUTIA O REGISTRÁCII</w:t>
      </w:r>
    </w:p>
    <w:p w14:paraId="4555F545" w14:textId="77777777" w:rsidR="00A67EA0" w:rsidRPr="00F85275" w:rsidRDefault="002B4D0B" w:rsidP="00A67EA0">
      <w:pPr>
        <w:pStyle w:val="Normlndobloku"/>
      </w:pPr>
      <w:r w:rsidRPr="00F85275">
        <w:t xml:space="preserve">MEDOCHEMIE Ltd., </w:t>
      </w:r>
    </w:p>
    <w:p w14:paraId="16A7111C" w14:textId="77777777" w:rsidR="00A67EA0" w:rsidRPr="00F85275" w:rsidRDefault="002B4D0B" w:rsidP="00A67EA0">
      <w:pPr>
        <w:pStyle w:val="Normlndobloku"/>
      </w:pPr>
      <w:r w:rsidRPr="00F85275">
        <w:t xml:space="preserve">1-10 Constantinoupoleos Street, </w:t>
      </w:r>
    </w:p>
    <w:p w14:paraId="13BB3D9D" w14:textId="224818F2" w:rsidR="002B4D0B" w:rsidRPr="00F85275" w:rsidRDefault="002B4D0B" w:rsidP="00A67EA0">
      <w:pPr>
        <w:pStyle w:val="Normlndobloku"/>
      </w:pPr>
      <w:r w:rsidRPr="00F85275">
        <w:t>3011 Limassol, Cyprus</w:t>
      </w:r>
    </w:p>
    <w:p w14:paraId="113766A9" w14:textId="2D635412" w:rsidR="002B4D0B" w:rsidRPr="00F85275" w:rsidRDefault="002B4D0B" w:rsidP="00374002">
      <w:pPr>
        <w:pStyle w:val="Styl1"/>
        <w:rPr>
          <w:lang w:val="sk-SK"/>
        </w:rPr>
      </w:pPr>
      <w:r w:rsidRPr="00F85275">
        <w:rPr>
          <w:lang w:val="sk-SK"/>
        </w:rPr>
        <w:lastRenderedPageBreak/>
        <w:t>REGISTRAČNÉ ČÍSLA</w:t>
      </w:r>
    </w:p>
    <w:p w14:paraId="156A24D5" w14:textId="2C73688D" w:rsidR="002B4D0B" w:rsidRPr="00F85275" w:rsidRDefault="002B4D0B" w:rsidP="00A67EA0">
      <w:pPr>
        <w:pStyle w:val="Normlndobloku"/>
      </w:pPr>
      <w:r w:rsidRPr="00F85275">
        <w:t>MEDOPEXOL 0,18</w:t>
      </w:r>
      <w:r w:rsidR="00347034" w:rsidRPr="00F85275">
        <w:t> mg</w:t>
      </w:r>
      <w:r w:rsidRPr="00F85275">
        <w:t>: 27/0456/09-S</w:t>
      </w:r>
    </w:p>
    <w:p w14:paraId="2413C524" w14:textId="34810950" w:rsidR="002B4D0B" w:rsidRPr="00F85275" w:rsidRDefault="002B4D0B" w:rsidP="00A67EA0">
      <w:pPr>
        <w:pStyle w:val="Normlndobloku"/>
      </w:pPr>
      <w:r w:rsidRPr="00F85275">
        <w:t>MEDOPEXOL 0,7</w:t>
      </w:r>
      <w:r w:rsidR="00347034" w:rsidRPr="00F85275">
        <w:t> mg</w:t>
      </w:r>
      <w:r w:rsidRPr="00F85275">
        <w:t>: 27/0457/09-S</w:t>
      </w:r>
    </w:p>
    <w:p w14:paraId="257EADAD" w14:textId="6507AAE0" w:rsidR="002B4D0B" w:rsidRPr="00F85275" w:rsidRDefault="002B4D0B" w:rsidP="00374002">
      <w:pPr>
        <w:pStyle w:val="Styl1"/>
        <w:rPr>
          <w:lang w:val="sk-SK"/>
        </w:rPr>
      </w:pPr>
      <w:r w:rsidRPr="00F85275">
        <w:rPr>
          <w:lang w:val="sk-SK"/>
        </w:rPr>
        <w:t>DÁTUM PRVEJ REGISTRÁCIE/ PREDĹŽENIA REGISTRÁCIE</w:t>
      </w:r>
    </w:p>
    <w:p w14:paraId="07D99726" w14:textId="266D9376" w:rsidR="002B4D0B" w:rsidRPr="00F85275" w:rsidRDefault="002B4D0B" w:rsidP="00A67EA0">
      <w:pPr>
        <w:pStyle w:val="Normlndobloku"/>
      </w:pPr>
      <w:r w:rsidRPr="00F85275">
        <w:t>Dátum prvej registrácie: 27.august</w:t>
      </w:r>
      <w:r w:rsidR="00724223" w:rsidRPr="00F85275">
        <w:t>a</w:t>
      </w:r>
      <w:r w:rsidRPr="00F85275">
        <w:t xml:space="preserve"> 2009</w:t>
      </w:r>
    </w:p>
    <w:p w14:paraId="4188435A" w14:textId="1929F2D8" w:rsidR="002B4D0B" w:rsidRPr="00F85275" w:rsidRDefault="002B4D0B" w:rsidP="00A67EA0">
      <w:pPr>
        <w:pStyle w:val="Normlndobloku"/>
      </w:pPr>
      <w:r w:rsidRPr="00F85275">
        <w:t xml:space="preserve">Dátum </w:t>
      </w:r>
      <w:r w:rsidR="00716AA0">
        <w:t xml:space="preserve">posledného </w:t>
      </w:r>
      <w:r w:rsidRPr="00F85275">
        <w:t>predĺženia registrácie:</w:t>
      </w:r>
      <w:r w:rsidR="00716AA0">
        <w:t xml:space="preserve"> 14. februára 2018</w:t>
      </w:r>
    </w:p>
    <w:p w14:paraId="238CB687" w14:textId="248854DD" w:rsidR="002B4D0B" w:rsidRPr="00F85275" w:rsidRDefault="002B4D0B" w:rsidP="00374002">
      <w:pPr>
        <w:pStyle w:val="Styl1"/>
        <w:rPr>
          <w:lang w:val="sk-SK"/>
        </w:rPr>
      </w:pPr>
      <w:r w:rsidRPr="00F85275">
        <w:rPr>
          <w:lang w:val="sk-SK"/>
        </w:rPr>
        <w:t>DÁTUM REVÍZIE TEXTU</w:t>
      </w:r>
    </w:p>
    <w:p w14:paraId="03334EB0" w14:textId="69075E83" w:rsidR="005B65BD" w:rsidRPr="002812E0" w:rsidRDefault="00716AA0" w:rsidP="003A3C6B">
      <w:pPr>
        <w:rPr>
          <w:szCs w:val="22"/>
          <w:lang w:val="sk-SK"/>
        </w:rPr>
      </w:pPr>
      <w:r>
        <w:rPr>
          <w:lang w:val="sk-SK"/>
        </w:rPr>
        <w:t>0</w:t>
      </w:r>
      <w:r w:rsidR="00BC1066">
        <w:rPr>
          <w:lang w:val="sk-SK"/>
        </w:rPr>
        <w:t>7</w:t>
      </w:r>
      <w:bookmarkStart w:id="0" w:name="_GoBack"/>
      <w:bookmarkEnd w:id="0"/>
      <w:r>
        <w:rPr>
          <w:lang w:val="sk-SK"/>
        </w:rPr>
        <w:t>/2019</w:t>
      </w:r>
    </w:p>
    <w:sectPr w:rsidR="005B65BD" w:rsidRPr="002812E0" w:rsidSect="00F85275">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4E39F" w14:textId="77777777" w:rsidR="00612E7C" w:rsidRDefault="00612E7C">
      <w:r>
        <w:separator/>
      </w:r>
    </w:p>
    <w:p w14:paraId="662D0C9F" w14:textId="77777777" w:rsidR="00612E7C" w:rsidRDefault="00612E7C"/>
    <w:p w14:paraId="694A2300" w14:textId="77777777" w:rsidR="00612E7C" w:rsidRDefault="00612E7C"/>
    <w:p w14:paraId="5C2D9EC6" w14:textId="77777777" w:rsidR="00612E7C" w:rsidRDefault="00612E7C" w:rsidP="00F25C22"/>
    <w:p w14:paraId="5D3101B9" w14:textId="77777777" w:rsidR="00612E7C" w:rsidRDefault="00612E7C"/>
  </w:endnote>
  <w:endnote w:type="continuationSeparator" w:id="0">
    <w:p w14:paraId="16E04D84" w14:textId="77777777" w:rsidR="00612E7C" w:rsidRDefault="00612E7C">
      <w:r>
        <w:continuationSeparator/>
      </w:r>
    </w:p>
    <w:p w14:paraId="360A89DC" w14:textId="77777777" w:rsidR="00612E7C" w:rsidRDefault="00612E7C"/>
    <w:p w14:paraId="4D578CA5" w14:textId="77777777" w:rsidR="00612E7C" w:rsidRDefault="00612E7C"/>
    <w:p w14:paraId="32BB79F9" w14:textId="77777777" w:rsidR="00612E7C" w:rsidRDefault="00612E7C" w:rsidP="00F25C22"/>
    <w:p w14:paraId="5D430BBD" w14:textId="77777777" w:rsidR="00612E7C" w:rsidRDefault="00612E7C"/>
  </w:endnote>
  <w:endnote w:type="continuationNotice" w:id="1">
    <w:p w14:paraId="058D4616" w14:textId="77777777" w:rsidR="00612E7C" w:rsidRDefault="0061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DB89" w14:textId="77777777" w:rsidR="00301480" w:rsidRDefault="00301480">
    <w:pPr>
      <w:pStyle w:val="Pta"/>
    </w:pPr>
  </w:p>
  <w:p w14:paraId="7ACDD84C" w14:textId="77777777" w:rsidR="00301480" w:rsidRDefault="00301480" w:rsidP="003014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301126"/>
      <w:docPartObj>
        <w:docPartGallery w:val="Page Numbers (Bottom of Page)"/>
        <w:docPartUnique/>
      </w:docPartObj>
    </w:sdtPr>
    <w:sdtEndPr>
      <w:rPr>
        <w:rFonts w:ascii="Times New Roman" w:hAnsi="Times New Roman" w:cs="Times New Roman"/>
        <w:sz w:val="18"/>
        <w:szCs w:val="18"/>
      </w:rPr>
    </w:sdtEndPr>
    <w:sdtContent>
      <w:p w14:paraId="21F1D6FD" w14:textId="544D74AA" w:rsidR="00301480" w:rsidRPr="003444D3" w:rsidRDefault="00301480">
        <w:pPr>
          <w:pStyle w:val="Pta"/>
          <w:jc w:val="center"/>
          <w:rPr>
            <w:rFonts w:ascii="Times New Roman" w:hAnsi="Times New Roman" w:cs="Times New Roman"/>
            <w:sz w:val="18"/>
            <w:szCs w:val="18"/>
          </w:rPr>
        </w:pPr>
        <w:r w:rsidRPr="003444D3">
          <w:rPr>
            <w:rFonts w:ascii="Times New Roman" w:hAnsi="Times New Roman" w:cs="Times New Roman"/>
            <w:sz w:val="18"/>
            <w:szCs w:val="18"/>
          </w:rPr>
          <w:fldChar w:fldCharType="begin"/>
        </w:r>
        <w:r w:rsidRPr="003444D3">
          <w:rPr>
            <w:rFonts w:ascii="Times New Roman" w:hAnsi="Times New Roman" w:cs="Times New Roman"/>
            <w:sz w:val="18"/>
            <w:szCs w:val="18"/>
          </w:rPr>
          <w:instrText>PAGE   \* MERGEFORMAT</w:instrText>
        </w:r>
        <w:r w:rsidRPr="003444D3">
          <w:rPr>
            <w:rFonts w:ascii="Times New Roman" w:hAnsi="Times New Roman" w:cs="Times New Roman"/>
            <w:sz w:val="18"/>
            <w:szCs w:val="18"/>
          </w:rPr>
          <w:fldChar w:fldCharType="separate"/>
        </w:r>
        <w:r w:rsidR="00BC1066" w:rsidRPr="00BC1066">
          <w:rPr>
            <w:rFonts w:ascii="Times New Roman" w:hAnsi="Times New Roman" w:cs="Times New Roman"/>
            <w:noProof/>
            <w:sz w:val="18"/>
            <w:szCs w:val="18"/>
            <w:lang w:val="sk-SK"/>
          </w:rPr>
          <w:t>11</w:t>
        </w:r>
        <w:r w:rsidRPr="003444D3">
          <w:rPr>
            <w:rFonts w:ascii="Times New Roman" w:hAnsi="Times New Roman" w:cs="Times New Roman"/>
            <w:sz w:val="18"/>
            <w:szCs w:val="18"/>
          </w:rPr>
          <w:fldChar w:fldCharType="end"/>
        </w:r>
      </w:p>
    </w:sdtContent>
  </w:sdt>
  <w:p w14:paraId="3247C844" w14:textId="77777777" w:rsidR="00301480" w:rsidRDefault="00301480" w:rsidP="008E0B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80187"/>
      <w:docPartObj>
        <w:docPartGallery w:val="Page Numbers (Bottom of Page)"/>
        <w:docPartUnique/>
      </w:docPartObj>
    </w:sdtPr>
    <w:sdtEndPr>
      <w:rPr>
        <w:rFonts w:ascii="Times New Roman" w:hAnsi="Times New Roman" w:cs="Times New Roman"/>
        <w:sz w:val="18"/>
        <w:szCs w:val="18"/>
      </w:rPr>
    </w:sdtEndPr>
    <w:sdtContent>
      <w:p w14:paraId="0010CCCF" w14:textId="27C6ED79" w:rsidR="00301480" w:rsidRPr="003444D3" w:rsidRDefault="00301480">
        <w:pPr>
          <w:pStyle w:val="Pta"/>
          <w:jc w:val="center"/>
          <w:rPr>
            <w:rFonts w:ascii="Times New Roman" w:hAnsi="Times New Roman" w:cs="Times New Roman"/>
            <w:sz w:val="18"/>
            <w:szCs w:val="18"/>
          </w:rPr>
        </w:pPr>
        <w:r w:rsidRPr="003444D3">
          <w:rPr>
            <w:rFonts w:ascii="Times New Roman" w:hAnsi="Times New Roman" w:cs="Times New Roman"/>
            <w:sz w:val="18"/>
            <w:szCs w:val="18"/>
          </w:rPr>
          <w:fldChar w:fldCharType="begin"/>
        </w:r>
        <w:r w:rsidRPr="003444D3">
          <w:rPr>
            <w:rFonts w:ascii="Times New Roman" w:hAnsi="Times New Roman" w:cs="Times New Roman"/>
            <w:sz w:val="18"/>
            <w:szCs w:val="18"/>
          </w:rPr>
          <w:instrText>PAGE   \* MERGEFORMAT</w:instrText>
        </w:r>
        <w:r w:rsidRPr="003444D3">
          <w:rPr>
            <w:rFonts w:ascii="Times New Roman" w:hAnsi="Times New Roman" w:cs="Times New Roman"/>
            <w:sz w:val="18"/>
            <w:szCs w:val="18"/>
          </w:rPr>
          <w:fldChar w:fldCharType="separate"/>
        </w:r>
        <w:r w:rsidR="00A67EA0" w:rsidRPr="00A67EA0">
          <w:rPr>
            <w:rFonts w:ascii="Times New Roman" w:hAnsi="Times New Roman" w:cs="Times New Roman"/>
            <w:noProof/>
            <w:sz w:val="18"/>
            <w:szCs w:val="18"/>
            <w:lang w:val="sk-SK"/>
          </w:rPr>
          <w:t>1</w:t>
        </w:r>
        <w:r w:rsidRPr="003444D3">
          <w:rPr>
            <w:rFonts w:ascii="Times New Roman" w:hAnsi="Times New Roman" w:cs="Times New Roman"/>
            <w:sz w:val="18"/>
            <w:szCs w:val="18"/>
          </w:rPr>
          <w:fldChar w:fldCharType="end"/>
        </w:r>
      </w:p>
    </w:sdtContent>
  </w:sdt>
  <w:p w14:paraId="51F44CA7" w14:textId="3C64BF6F" w:rsidR="00301480" w:rsidRPr="00105474" w:rsidRDefault="00301480" w:rsidP="0062504E">
    <w:pPr>
      <w:pStyle w:val="Pta"/>
      <w:jc w:val="center"/>
      <w:rPr>
        <w:rFonts w:ascii="Times New Roman" w:hAnsi="Times New Roman" w:cs="Times New Roman"/>
        <w:sz w:val="22"/>
        <w:szCs w:val="22"/>
      </w:rPr>
    </w:pPr>
  </w:p>
  <w:p w14:paraId="057F89A5" w14:textId="77777777" w:rsidR="00301480" w:rsidRDefault="00301480" w:rsidP="00301480"/>
  <w:p w14:paraId="246C059F" w14:textId="77777777" w:rsidR="00301480" w:rsidRDefault="00301480"/>
  <w:p w14:paraId="34F996D8" w14:textId="77777777" w:rsidR="00301480" w:rsidRDefault="00301480" w:rsidP="008E0B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D87E8" w14:textId="77777777" w:rsidR="00612E7C" w:rsidRDefault="00612E7C">
      <w:r>
        <w:separator/>
      </w:r>
    </w:p>
    <w:p w14:paraId="6AD37F4F" w14:textId="77777777" w:rsidR="00612E7C" w:rsidRDefault="00612E7C"/>
    <w:p w14:paraId="4EC7E419" w14:textId="77777777" w:rsidR="00612E7C" w:rsidRDefault="00612E7C"/>
    <w:p w14:paraId="658675C3" w14:textId="77777777" w:rsidR="00612E7C" w:rsidRDefault="00612E7C" w:rsidP="00F25C22"/>
    <w:p w14:paraId="72609C25" w14:textId="77777777" w:rsidR="00612E7C" w:rsidRDefault="00612E7C"/>
  </w:footnote>
  <w:footnote w:type="continuationSeparator" w:id="0">
    <w:p w14:paraId="3296B436" w14:textId="77777777" w:rsidR="00612E7C" w:rsidRDefault="00612E7C">
      <w:r>
        <w:continuationSeparator/>
      </w:r>
    </w:p>
    <w:p w14:paraId="5A8C54DB" w14:textId="77777777" w:rsidR="00612E7C" w:rsidRDefault="00612E7C"/>
    <w:p w14:paraId="54A03C36" w14:textId="77777777" w:rsidR="00612E7C" w:rsidRDefault="00612E7C"/>
    <w:p w14:paraId="2232B79D" w14:textId="77777777" w:rsidR="00612E7C" w:rsidRDefault="00612E7C" w:rsidP="00F25C22"/>
    <w:p w14:paraId="0EBACD44" w14:textId="77777777" w:rsidR="00612E7C" w:rsidRDefault="00612E7C"/>
  </w:footnote>
  <w:footnote w:type="continuationNotice" w:id="1">
    <w:p w14:paraId="475CE712" w14:textId="77777777" w:rsidR="00612E7C" w:rsidRDefault="00612E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4FEBD" w14:textId="77777777" w:rsidR="00301480" w:rsidRDefault="00301480">
    <w:pPr>
      <w:pStyle w:val="Hlavika"/>
    </w:pPr>
  </w:p>
  <w:p w14:paraId="17430E3D" w14:textId="77777777" w:rsidR="00301480" w:rsidRDefault="00301480" w:rsidP="003014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A7F1D" w14:textId="1BA9E8EC" w:rsidR="00301480" w:rsidRPr="0094652B" w:rsidRDefault="00301480" w:rsidP="00C852F2">
    <w:pPr>
      <w:rPr>
        <w:sz w:val="18"/>
        <w:szCs w:val="18"/>
      </w:rPr>
    </w:pPr>
    <w:proofErr w:type="spellStart"/>
    <w:r w:rsidRPr="009E5703">
      <w:rPr>
        <w:sz w:val="18"/>
        <w:szCs w:val="18"/>
      </w:rPr>
      <w:t>Príloha</w:t>
    </w:r>
    <w:proofErr w:type="spellEnd"/>
    <w:r w:rsidRPr="009E5703">
      <w:rPr>
        <w:sz w:val="18"/>
        <w:szCs w:val="18"/>
      </w:rPr>
      <w:t xml:space="preserve"> č. 1 k notifikácii o zmene, ev. č.:</w:t>
    </w:r>
    <w:r w:rsidR="009E5703">
      <w:rPr>
        <w:sz w:val="18"/>
        <w:szCs w:val="18"/>
      </w:rPr>
      <w:t xml:space="preserve"> </w:t>
    </w:r>
    <w:r w:rsidR="00D42EB4" w:rsidRPr="009E5703">
      <w:rPr>
        <w:sz w:val="18"/>
        <w:szCs w:val="18"/>
      </w:rPr>
      <w:t>2017/06943</w:t>
    </w:r>
    <w:r w:rsidR="00C852F2" w:rsidRPr="0094652B">
      <w:rPr>
        <w:sz w:val="18"/>
        <w:szCs w:val="18"/>
      </w:rPr>
      <w:t>-ZIB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AC9D" w14:textId="724608A5" w:rsidR="00301480" w:rsidRPr="00301480" w:rsidRDefault="00301480" w:rsidP="00F03464">
    <w:pPr>
      <w:pStyle w:val="Hlavika"/>
      <w:rPr>
        <w:sz w:val="18"/>
        <w:lang w:val="en-GB"/>
      </w:rPr>
    </w:pPr>
    <w:r>
      <w:rPr>
        <w:sz w:val="18"/>
      </w:rPr>
      <w:t>Schválený text k rozhodnutiu o predĺžení</w:t>
    </w:r>
    <w:r w:rsidRPr="00347034">
      <w:rPr>
        <w:sz w:val="18"/>
      </w:rPr>
      <w:t>, ev.</w:t>
    </w:r>
    <w:r>
      <w:rPr>
        <w:sz w:val="18"/>
        <w:szCs w:val="18"/>
      </w:rPr>
      <w:t xml:space="preserve"> </w:t>
    </w:r>
    <w:r w:rsidRPr="00347034">
      <w:rPr>
        <w:sz w:val="18"/>
      </w:rPr>
      <w:t>č</w:t>
    </w:r>
    <w:r>
      <w:rPr>
        <w:sz w:val="18"/>
        <w:szCs w:val="18"/>
      </w:rPr>
      <w:t xml:space="preserve">.: 2013/05210-PRE, 2013/05211-PRE, </w:t>
    </w:r>
  </w:p>
  <w:p w14:paraId="169DAD86" w14:textId="564B3BC8" w:rsidR="00301480" w:rsidRDefault="00301480" w:rsidP="00F03464">
    <w:pPr>
      <w:pStyle w:val="Hlavika"/>
      <w:rPr>
        <w:sz w:val="18"/>
        <w:szCs w:val="18"/>
      </w:rPr>
    </w:pPr>
    <w:r>
      <w:rPr>
        <w:sz w:val="18"/>
        <w:szCs w:val="18"/>
      </w:rPr>
      <w:t>Príloha č. 1 k notifikácii o zmene, ev. č.: 2014/07276-ZIB</w:t>
    </w:r>
  </w:p>
  <w:p w14:paraId="3A16A0C8" w14:textId="76A8F2CA" w:rsidR="00301480" w:rsidRDefault="00301480" w:rsidP="00F03464">
    <w:pPr>
      <w:pStyle w:val="Hlavika"/>
      <w:rPr>
        <w:sz w:val="18"/>
        <w:szCs w:val="18"/>
      </w:rPr>
    </w:pPr>
    <w:r w:rsidRPr="002B5476">
      <w:rPr>
        <w:sz w:val="18"/>
        <w:szCs w:val="18"/>
      </w:rPr>
      <w:t>Príloha č. 1 k notifikácii o zmene, ev. č.:</w:t>
    </w:r>
    <w:r>
      <w:rPr>
        <w:sz w:val="18"/>
        <w:szCs w:val="18"/>
      </w:rPr>
      <w:t>2017/02900-ZIA</w:t>
    </w:r>
  </w:p>
  <w:p w14:paraId="5F3890F5" w14:textId="77777777" w:rsidR="00301480" w:rsidRDefault="00301480">
    <w:pPr>
      <w:pStyle w:val="Hlavika"/>
    </w:pPr>
  </w:p>
  <w:p w14:paraId="3C1BFE32" w14:textId="77777777" w:rsidR="00301480" w:rsidRDefault="00301480"/>
  <w:p w14:paraId="456CE3B8" w14:textId="77777777" w:rsidR="00301480" w:rsidRDefault="00301480" w:rsidP="008E0B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DB4871"/>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5">
    <w:nsid w:val="0C8D3E0A"/>
    <w:multiLevelType w:val="multilevel"/>
    <w:tmpl w:val="9F88B65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6B978CD"/>
    <w:multiLevelType w:val="singleLevel"/>
    <w:tmpl w:val="31304CA6"/>
    <w:lvl w:ilvl="0">
      <w:start w:val="1"/>
      <w:numFmt w:val="decimal"/>
      <w:lvlText w:val="%1."/>
      <w:lvlJc w:val="left"/>
      <w:pPr>
        <w:ind w:left="360" w:hanging="360"/>
      </w:pPr>
    </w:lvl>
  </w:abstractNum>
  <w:abstractNum w:abstractNumId="7">
    <w:nsid w:val="174C7DB5"/>
    <w:multiLevelType w:val="hybridMultilevel"/>
    <w:tmpl w:val="6BD8CB18"/>
    <w:lvl w:ilvl="0" w:tplc="F402AFA2">
      <w:start w:val="1"/>
      <w:numFmt w:val="bullet"/>
      <w:pStyle w:val="Normlndoblokusodrkami"/>
      <w:lvlText w:val=""/>
      <w:lvlJc w:val="left"/>
      <w:pPr>
        <w:ind w:left="785" w:hanging="360"/>
      </w:pPr>
      <w:rPr>
        <w:rFonts w:ascii="Symbol" w:hAnsi="Symbol" w:hint="default"/>
      </w:rPr>
    </w:lvl>
    <w:lvl w:ilvl="1" w:tplc="7A4A0342">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nsid w:val="17FB1D4D"/>
    <w:multiLevelType w:val="multilevel"/>
    <w:tmpl w:val="A03A7F2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EA37FC5"/>
    <w:multiLevelType w:val="singleLevel"/>
    <w:tmpl w:val="FFFFFFFF"/>
    <w:lvl w:ilvl="0">
      <w:start w:val="1"/>
      <w:numFmt w:val="bullet"/>
      <w:lvlText w:val="-"/>
      <w:lvlJc w:val="left"/>
      <w:pPr>
        <w:ind w:left="1800" w:hanging="360"/>
      </w:pPr>
    </w:lvl>
  </w:abstractNum>
  <w:abstractNum w:abstractNumId="1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960090"/>
    <w:multiLevelType w:val="hybridMultilevel"/>
    <w:tmpl w:val="8CBA6566"/>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4A810019"/>
    <w:multiLevelType w:val="singleLevel"/>
    <w:tmpl w:val="FFFFFFFF"/>
    <w:lvl w:ilvl="0">
      <w:start w:val="1"/>
      <w:numFmt w:val="bullet"/>
      <w:lvlText w:val="-"/>
      <w:lvlJc w:val="left"/>
      <w:pPr>
        <w:ind w:left="1800" w:hanging="360"/>
      </w:pPr>
    </w:lvl>
  </w:abstractNum>
  <w:abstractNum w:abstractNumId="25">
    <w:nsid w:val="560C4365"/>
    <w:multiLevelType w:val="singleLevel"/>
    <w:tmpl w:val="FFFFFFFF"/>
    <w:lvl w:ilvl="0">
      <w:start w:val="1"/>
      <w:numFmt w:val="bullet"/>
      <w:lvlText w:val="-"/>
      <w:lvlJc w:val="left"/>
      <w:pPr>
        <w:ind w:left="1800" w:hanging="360"/>
      </w:pPr>
    </w:lvl>
  </w:abstractNum>
  <w:abstractNum w:abstractNumId="2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5BC13FC9"/>
    <w:multiLevelType w:val="multilevel"/>
    <w:tmpl w:val="64AA5E16"/>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12225B2"/>
    <w:multiLevelType w:val="hybridMultilevel"/>
    <w:tmpl w:val="946A1BA6"/>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2">
    <w:nsid w:val="638649FD"/>
    <w:multiLevelType w:val="hybridMultilevel"/>
    <w:tmpl w:val="4A945CD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3">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58C02A1"/>
    <w:multiLevelType w:val="singleLevel"/>
    <w:tmpl w:val="E7D22186"/>
    <w:lvl w:ilvl="0">
      <w:start w:val="1"/>
      <w:numFmt w:val="upperRoman"/>
      <w:lvlText w:val="%1."/>
      <w:lvlJc w:val="left"/>
      <w:pPr>
        <w:tabs>
          <w:tab w:val="num" w:pos="720"/>
        </w:tabs>
        <w:ind w:left="360" w:hanging="360"/>
      </w:pPr>
    </w:lvl>
  </w:abstractNum>
  <w:abstractNum w:abstractNumId="3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nsid w:val="6AAD4AA7"/>
    <w:multiLevelType w:val="multilevel"/>
    <w:tmpl w:val="30C09CEE"/>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BEB7447"/>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39">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nsid w:val="71FB76EB"/>
    <w:multiLevelType w:val="hybridMultilevel"/>
    <w:tmpl w:val="CC6605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2">
    <w:nsid w:val="7EDD27E3"/>
    <w:multiLevelType w:val="multilevel"/>
    <w:tmpl w:val="B308ED1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6"/>
  </w:num>
  <w:num w:numId="2">
    <w:abstractNumId w:val="7"/>
  </w:num>
  <w:num w:numId="3">
    <w:abstractNumId w:val="13"/>
  </w:num>
  <w:num w:numId="4">
    <w:abstractNumId w:val="0"/>
    <w:lvlOverride w:ilvl="0">
      <w:lvl w:ilvl="0">
        <w:start w:val="1"/>
        <w:numFmt w:val="bullet"/>
        <w:lvlText w:val="-"/>
        <w:lvlJc w:val="left"/>
        <w:pPr>
          <w:ind w:left="360" w:hanging="360"/>
        </w:pPr>
      </w:lvl>
    </w:lvlOverride>
  </w:num>
  <w:num w:numId="5">
    <w:abstractNumId w:val="0"/>
    <w:lvlOverride w:ilvl="0">
      <w:lvl w:ilvl="0">
        <w:start w:val="1"/>
        <w:numFmt w:val="bullet"/>
        <w:lvlText w:val=""/>
        <w:lvlJc w:val="left"/>
        <w:pPr>
          <w:ind w:left="360" w:hanging="360"/>
        </w:pPr>
        <w:rPr>
          <w:rFonts w:ascii="Symbol" w:hAnsi="Symbol" w:cs="Times New Roman" w:hint="default"/>
        </w:rPr>
      </w:lvl>
    </w:lvlOverride>
  </w:num>
  <w:num w:numId="6">
    <w:abstractNumId w:val="39"/>
  </w:num>
  <w:num w:numId="7">
    <w:abstractNumId w:val="38"/>
  </w:num>
  <w:num w:numId="8">
    <w:abstractNumId w:val="15"/>
  </w:num>
  <w:num w:numId="9">
    <w:abstractNumId w:val="25"/>
  </w:num>
  <w:num w:numId="10">
    <w:abstractNumId w:val="24"/>
  </w:num>
  <w:num w:numId="11">
    <w:abstractNumId w:val="9"/>
  </w:num>
  <w:num w:numId="12">
    <w:abstractNumId w:val="35"/>
  </w:num>
  <w:num w:numId="13">
    <w:abstractNumId w:val="37"/>
  </w:num>
  <w:num w:numId="14">
    <w:abstractNumId w:val="20"/>
  </w:num>
  <w:num w:numId="15">
    <w:abstractNumId w:val="17"/>
  </w:num>
  <w:num w:numId="16">
    <w:abstractNumId w:val="2"/>
  </w:num>
  <w:num w:numId="17">
    <w:abstractNumId w:val="34"/>
  </w:num>
  <w:num w:numId="18">
    <w:abstractNumId w:val="22"/>
  </w:num>
  <w:num w:numId="19">
    <w:abstractNumId w:val="40"/>
  </w:num>
  <w:num w:numId="20">
    <w:abstractNumId w:val="10"/>
  </w:num>
  <w:num w:numId="21">
    <w:abstractNumId w:val="1"/>
  </w:num>
  <w:num w:numId="22">
    <w:abstractNumId w:val="21"/>
  </w:num>
  <w:num w:numId="23">
    <w:abstractNumId w:val="3"/>
  </w:num>
  <w:num w:numId="24">
    <w:abstractNumId w:val="6"/>
  </w:num>
  <w:num w:numId="25">
    <w:abstractNumId w:val="28"/>
  </w:num>
  <w:num w:numId="26">
    <w:abstractNumId w:val="33"/>
  </w:num>
  <w:num w:numId="27">
    <w:abstractNumId w:val="27"/>
  </w:num>
  <w:num w:numId="28">
    <w:abstractNumId w:val="16"/>
  </w:num>
  <w:num w:numId="29">
    <w:abstractNumId w:val="12"/>
  </w:num>
  <w:num w:numId="30">
    <w:abstractNumId w:val="23"/>
  </w:num>
  <w:num w:numId="31">
    <w:abstractNumId w:val="26"/>
  </w:num>
  <w:num w:numId="32">
    <w:abstractNumId w:val="18"/>
  </w:num>
  <w:num w:numId="33">
    <w:abstractNumId w:val="11"/>
  </w:num>
  <w:num w:numId="34">
    <w:abstractNumId w:val="31"/>
  </w:num>
  <w:num w:numId="35">
    <w:abstractNumId w:val="32"/>
  </w:num>
  <w:num w:numId="36">
    <w:abstractNumId w:val="30"/>
  </w:num>
  <w:num w:numId="37">
    <w:abstractNumId w:val="19"/>
  </w:num>
  <w:num w:numId="38">
    <w:abstractNumId w:val="4"/>
  </w:num>
  <w:num w:numId="39">
    <w:abstractNumId w:val="41"/>
  </w:num>
  <w:num w:numId="40">
    <w:abstractNumId w:val="5"/>
  </w:num>
  <w:num w:numId="41">
    <w:abstractNumId w:val="8"/>
  </w:num>
  <w:num w:numId="42">
    <w:abstractNumId w:val="42"/>
  </w:num>
  <w:num w:numId="43">
    <w:abstractNumId w:val="29"/>
  </w:num>
  <w:num w:numId="4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85"/>
    <w:rsid w:val="00000F31"/>
    <w:rsid w:val="00003944"/>
    <w:rsid w:val="00004C95"/>
    <w:rsid w:val="00005FA8"/>
    <w:rsid w:val="00010719"/>
    <w:rsid w:val="00012707"/>
    <w:rsid w:val="000237BA"/>
    <w:rsid w:val="00026E5B"/>
    <w:rsid w:val="0003326C"/>
    <w:rsid w:val="00036DBC"/>
    <w:rsid w:val="0004648C"/>
    <w:rsid w:val="00046D58"/>
    <w:rsid w:val="00052BAA"/>
    <w:rsid w:val="0005389D"/>
    <w:rsid w:val="00053E11"/>
    <w:rsid w:val="00071B20"/>
    <w:rsid w:val="0008230F"/>
    <w:rsid w:val="00083071"/>
    <w:rsid w:val="00085950"/>
    <w:rsid w:val="00090174"/>
    <w:rsid w:val="00092341"/>
    <w:rsid w:val="0009528E"/>
    <w:rsid w:val="000A2E19"/>
    <w:rsid w:val="000A4690"/>
    <w:rsid w:val="000B00D1"/>
    <w:rsid w:val="000B1A37"/>
    <w:rsid w:val="000C6015"/>
    <w:rsid w:val="000C6462"/>
    <w:rsid w:val="000D4B4D"/>
    <w:rsid w:val="000D7BCA"/>
    <w:rsid w:val="000E210A"/>
    <w:rsid w:val="000E7FC3"/>
    <w:rsid w:val="000F1572"/>
    <w:rsid w:val="000F3E49"/>
    <w:rsid w:val="000F653E"/>
    <w:rsid w:val="000F71FE"/>
    <w:rsid w:val="000F7A9C"/>
    <w:rsid w:val="00105474"/>
    <w:rsid w:val="00114B69"/>
    <w:rsid w:val="00121705"/>
    <w:rsid w:val="00125DB8"/>
    <w:rsid w:val="001335F0"/>
    <w:rsid w:val="00136681"/>
    <w:rsid w:val="00137E1E"/>
    <w:rsid w:val="001401EE"/>
    <w:rsid w:val="00143455"/>
    <w:rsid w:val="00151165"/>
    <w:rsid w:val="0015560F"/>
    <w:rsid w:val="00163F89"/>
    <w:rsid w:val="001641D8"/>
    <w:rsid w:val="001652F7"/>
    <w:rsid w:val="00165685"/>
    <w:rsid w:val="00180E57"/>
    <w:rsid w:val="00181BF1"/>
    <w:rsid w:val="00181CFB"/>
    <w:rsid w:val="0018383C"/>
    <w:rsid w:val="00183EA0"/>
    <w:rsid w:val="00184B61"/>
    <w:rsid w:val="0018605A"/>
    <w:rsid w:val="00190952"/>
    <w:rsid w:val="00191766"/>
    <w:rsid w:val="00193293"/>
    <w:rsid w:val="00194D14"/>
    <w:rsid w:val="00195186"/>
    <w:rsid w:val="001965B3"/>
    <w:rsid w:val="00197998"/>
    <w:rsid w:val="00197ED5"/>
    <w:rsid w:val="001A1705"/>
    <w:rsid w:val="001A17C7"/>
    <w:rsid w:val="001A1F59"/>
    <w:rsid w:val="001A2824"/>
    <w:rsid w:val="001A65B0"/>
    <w:rsid w:val="001B19BE"/>
    <w:rsid w:val="001B3A45"/>
    <w:rsid w:val="001B4397"/>
    <w:rsid w:val="001B54EC"/>
    <w:rsid w:val="001B57DB"/>
    <w:rsid w:val="001C1E87"/>
    <w:rsid w:val="001C4598"/>
    <w:rsid w:val="001C548B"/>
    <w:rsid w:val="001C58D6"/>
    <w:rsid w:val="001C76AE"/>
    <w:rsid w:val="001D0712"/>
    <w:rsid w:val="001D5CE8"/>
    <w:rsid w:val="001D71B1"/>
    <w:rsid w:val="001E04D7"/>
    <w:rsid w:val="001E2CB8"/>
    <w:rsid w:val="001E36E1"/>
    <w:rsid w:val="001E4C13"/>
    <w:rsid w:val="001E56DA"/>
    <w:rsid w:val="001E5C67"/>
    <w:rsid w:val="001E5F5C"/>
    <w:rsid w:val="001F48B8"/>
    <w:rsid w:val="001F67F1"/>
    <w:rsid w:val="001F6BDF"/>
    <w:rsid w:val="002013A0"/>
    <w:rsid w:val="002148F8"/>
    <w:rsid w:val="00214BE2"/>
    <w:rsid w:val="00221A0E"/>
    <w:rsid w:val="00221F96"/>
    <w:rsid w:val="002238FD"/>
    <w:rsid w:val="0022628E"/>
    <w:rsid w:val="00233B0C"/>
    <w:rsid w:val="002376D0"/>
    <w:rsid w:val="00242BF6"/>
    <w:rsid w:val="00246FD3"/>
    <w:rsid w:val="002474BC"/>
    <w:rsid w:val="00250AEA"/>
    <w:rsid w:val="00252538"/>
    <w:rsid w:val="00254F5F"/>
    <w:rsid w:val="00256BA6"/>
    <w:rsid w:val="00257824"/>
    <w:rsid w:val="0026196D"/>
    <w:rsid w:val="002737F2"/>
    <w:rsid w:val="00273DDD"/>
    <w:rsid w:val="00275F89"/>
    <w:rsid w:val="00276D25"/>
    <w:rsid w:val="0027793F"/>
    <w:rsid w:val="0028096D"/>
    <w:rsid w:val="002812E0"/>
    <w:rsid w:val="00281B9A"/>
    <w:rsid w:val="00281E43"/>
    <w:rsid w:val="0029055E"/>
    <w:rsid w:val="00292CBC"/>
    <w:rsid w:val="002952DD"/>
    <w:rsid w:val="002966B9"/>
    <w:rsid w:val="00297A8E"/>
    <w:rsid w:val="002A7306"/>
    <w:rsid w:val="002B11F2"/>
    <w:rsid w:val="002B4D0B"/>
    <w:rsid w:val="002B5476"/>
    <w:rsid w:val="002C72D5"/>
    <w:rsid w:val="002D115E"/>
    <w:rsid w:val="002D11FB"/>
    <w:rsid w:val="002D33D9"/>
    <w:rsid w:val="002D3740"/>
    <w:rsid w:val="002D5D72"/>
    <w:rsid w:val="002E0D00"/>
    <w:rsid w:val="002E1942"/>
    <w:rsid w:val="002E34A1"/>
    <w:rsid w:val="002E4DC9"/>
    <w:rsid w:val="002E5E43"/>
    <w:rsid w:val="002E73FA"/>
    <w:rsid w:val="002E7E7C"/>
    <w:rsid w:val="002F122A"/>
    <w:rsid w:val="002F2680"/>
    <w:rsid w:val="00301480"/>
    <w:rsid w:val="003021AE"/>
    <w:rsid w:val="003035A3"/>
    <w:rsid w:val="00307BFF"/>
    <w:rsid w:val="0031668D"/>
    <w:rsid w:val="00320A4C"/>
    <w:rsid w:val="00322E80"/>
    <w:rsid w:val="00324FB5"/>
    <w:rsid w:val="003307E7"/>
    <w:rsid w:val="00334603"/>
    <w:rsid w:val="00336A67"/>
    <w:rsid w:val="00336ECB"/>
    <w:rsid w:val="003444D3"/>
    <w:rsid w:val="00347034"/>
    <w:rsid w:val="00353EC1"/>
    <w:rsid w:val="00355116"/>
    <w:rsid w:val="00356372"/>
    <w:rsid w:val="00363B9F"/>
    <w:rsid w:val="00367DED"/>
    <w:rsid w:val="003718F5"/>
    <w:rsid w:val="00372675"/>
    <w:rsid w:val="0037373D"/>
    <w:rsid w:val="00374002"/>
    <w:rsid w:val="00374868"/>
    <w:rsid w:val="00376569"/>
    <w:rsid w:val="003806C2"/>
    <w:rsid w:val="00381381"/>
    <w:rsid w:val="00385943"/>
    <w:rsid w:val="0039110F"/>
    <w:rsid w:val="00391BE1"/>
    <w:rsid w:val="003A3C6B"/>
    <w:rsid w:val="003B4798"/>
    <w:rsid w:val="003B5212"/>
    <w:rsid w:val="003C0EBC"/>
    <w:rsid w:val="003C4EF3"/>
    <w:rsid w:val="003D7C14"/>
    <w:rsid w:val="003E2D2D"/>
    <w:rsid w:val="003E311E"/>
    <w:rsid w:val="003E393B"/>
    <w:rsid w:val="003E4A46"/>
    <w:rsid w:val="003E4F03"/>
    <w:rsid w:val="003F13F8"/>
    <w:rsid w:val="003F30E2"/>
    <w:rsid w:val="003F7DB7"/>
    <w:rsid w:val="0040240E"/>
    <w:rsid w:val="0041124A"/>
    <w:rsid w:val="0041190D"/>
    <w:rsid w:val="00411975"/>
    <w:rsid w:val="00415FFF"/>
    <w:rsid w:val="00417225"/>
    <w:rsid w:val="00422825"/>
    <w:rsid w:val="0042644F"/>
    <w:rsid w:val="004271A9"/>
    <w:rsid w:val="004362B4"/>
    <w:rsid w:val="00441434"/>
    <w:rsid w:val="00441BB5"/>
    <w:rsid w:val="00446672"/>
    <w:rsid w:val="00452E1C"/>
    <w:rsid w:val="00453326"/>
    <w:rsid w:val="00457789"/>
    <w:rsid w:val="00461504"/>
    <w:rsid w:val="00462416"/>
    <w:rsid w:val="004639DA"/>
    <w:rsid w:val="004668C1"/>
    <w:rsid w:val="00466A9A"/>
    <w:rsid w:val="004678D4"/>
    <w:rsid w:val="00471C1F"/>
    <w:rsid w:val="00473159"/>
    <w:rsid w:val="00474FA2"/>
    <w:rsid w:val="00475B5B"/>
    <w:rsid w:val="004772CA"/>
    <w:rsid w:val="00481774"/>
    <w:rsid w:val="0048265D"/>
    <w:rsid w:val="004918C5"/>
    <w:rsid w:val="0049419C"/>
    <w:rsid w:val="00497847"/>
    <w:rsid w:val="004A372C"/>
    <w:rsid w:val="004A5102"/>
    <w:rsid w:val="004A7588"/>
    <w:rsid w:val="004B31E6"/>
    <w:rsid w:val="004C0E26"/>
    <w:rsid w:val="004C744A"/>
    <w:rsid w:val="004D2570"/>
    <w:rsid w:val="004D2E7A"/>
    <w:rsid w:val="004D2F57"/>
    <w:rsid w:val="004E08DA"/>
    <w:rsid w:val="004E3577"/>
    <w:rsid w:val="004E3A8B"/>
    <w:rsid w:val="004F06A4"/>
    <w:rsid w:val="004F401E"/>
    <w:rsid w:val="00501263"/>
    <w:rsid w:val="00503D5E"/>
    <w:rsid w:val="0050582D"/>
    <w:rsid w:val="005066F5"/>
    <w:rsid w:val="00512C72"/>
    <w:rsid w:val="00514B37"/>
    <w:rsid w:val="00516479"/>
    <w:rsid w:val="00516C0A"/>
    <w:rsid w:val="00521AFA"/>
    <w:rsid w:val="00534DB4"/>
    <w:rsid w:val="00541817"/>
    <w:rsid w:val="00542C41"/>
    <w:rsid w:val="00542F1B"/>
    <w:rsid w:val="00543598"/>
    <w:rsid w:val="00544797"/>
    <w:rsid w:val="0054525B"/>
    <w:rsid w:val="00554609"/>
    <w:rsid w:val="005558AF"/>
    <w:rsid w:val="005565DD"/>
    <w:rsid w:val="00562C3C"/>
    <w:rsid w:val="00563365"/>
    <w:rsid w:val="005677E6"/>
    <w:rsid w:val="00572A47"/>
    <w:rsid w:val="005744E0"/>
    <w:rsid w:val="0058165A"/>
    <w:rsid w:val="00583828"/>
    <w:rsid w:val="005847D8"/>
    <w:rsid w:val="0058725D"/>
    <w:rsid w:val="00593B05"/>
    <w:rsid w:val="00596B75"/>
    <w:rsid w:val="005A0BA2"/>
    <w:rsid w:val="005A37CA"/>
    <w:rsid w:val="005A4E09"/>
    <w:rsid w:val="005B5E83"/>
    <w:rsid w:val="005B65BD"/>
    <w:rsid w:val="005B6B1A"/>
    <w:rsid w:val="005B7939"/>
    <w:rsid w:val="005C205B"/>
    <w:rsid w:val="005C2EBC"/>
    <w:rsid w:val="005C312E"/>
    <w:rsid w:val="005C318E"/>
    <w:rsid w:val="005C341D"/>
    <w:rsid w:val="005C5E32"/>
    <w:rsid w:val="005D0638"/>
    <w:rsid w:val="005D1CEB"/>
    <w:rsid w:val="005D3069"/>
    <w:rsid w:val="005D4FEE"/>
    <w:rsid w:val="005D57CD"/>
    <w:rsid w:val="005D6511"/>
    <w:rsid w:val="005E39C6"/>
    <w:rsid w:val="005E43B8"/>
    <w:rsid w:val="005E4761"/>
    <w:rsid w:val="005E4A8E"/>
    <w:rsid w:val="005E592B"/>
    <w:rsid w:val="005F3A61"/>
    <w:rsid w:val="005F7453"/>
    <w:rsid w:val="0060515B"/>
    <w:rsid w:val="00607696"/>
    <w:rsid w:val="00607A24"/>
    <w:rsid w:val="00612E7C"/>
    <w:rsid w:val="00614BCA"/>
    <w:rsid w:val="006150BB"/>
    <w:rsid w:val="006171D9"/>
    <w:rsid w:val="006201AC"/>
    <w:rsid w:val="00620944"/>
    <w:rsid w:val="006214B7"/>
    <w:rsid w:val="0062504E"/>
    <w:rsid w:val="006255FB"/>
    <w:rsid w:val="00630A60"/>
    <w:rsid w:val="00631F5C"/>
    <w:rsid w:val="006368E6"/>
    <w:rsid w:val="00640FDF"/>
    <w:rsid w:val="006446AE"/>
    <w:rsid w:val="0065116E"/>
    <w:rsid w:val="0065241B"/>
    <w:rsid w:val="00653D92"/>
    <w:rsid w:val="006602D4"/>
    <w:rsid w:val="00660A19"/>
    <w:rsid w:val="00661E8B"/>
    <w:rsid w:val="00663A4D"/>
    <w:rsid w:val="006652CA"/>
    <w:rsid w:val="00671E16"/>
    <w:rsid w:val="00673C53"/>
    <w:rsid w:val="006740B8"/>
    <w:rsid w:val="00680DEF"/>
    <w:rsid w:val="00681655"/>
    <w:rsid w:val="00690A4B"/>
    <w:rsid w:val="0069100C"/>
    <w:rsid w:val="006928C9"/>
    <w:rsid w:val="00693300"/>
    <w:rsid w:val="00695D2A"/>
    <w:rsid w:val="006979CF"/>
    <w:rsid w:val="006A085C"/>
    <w:rsid w:val="006B0920"/>
    <w:rsid w:val="006B0AB6"/>
    <w:rsid w:val="006B0EFF"/>
    <w:rsid w:val="006B2BCA"/>
    <w:rsid w:val="006E2835"/>
    <w:rsid w:val="006E3674"/>
    <w:rsid w:val="006E55E9"/>
    <w:rsid w:val="006F0094"/>
    <w:rsid w:val="006F0F54"/>
    <w:rsid w:val="006F26EF"/>
    <w:rsid w:val="00703734"/>
    <w:rsid w:val="00706558"/>
    <w:rsid w:val="00707172"/>
    <w:rsid w:val="007158B8"/>
    <w:rsid w:val="00716830"/>
    <w:rsid w:val="00716AA0"/>
    <w:rsid w:val="00716CDF"/>
    <w:rsid w:val="00722E92"/>
    <w:rsid w:val="00724223"/>
    <w:rsid w:val="00724821"/>
    <w:rsid w:val="00731819"/>
    <w:rsid w:val="0073217B"/>
    <w:rsid w:val="007327A5"/>
    <w:rsid w:val="0073281F"/>
    <w:rsid w:val="007360ED"/>
    <w:rsid w:val="00736D86"/>
    <w:rsid w:val="007371C0"/>
    <w:rsid w:val="00740BA5"/>
    <w:rsid w:val="00741CBF"/>
    <w:rsid w:val="007466D6"/>
    <w:rsid w:val="007502AC"/>
    <w:rsid w:val="007522F6"/>
    <w:rsid w:val="00754669"/>
    <w:rsid w:val="00755D84"/>
    <w:rsid w:val="0075654A"/>
    <w:rsid w:val="007565B8"/>
    <w:rsid w:val="0075713A"/>
    <w:rsid w:val="007602E8"/>
    <w:rsid w:val="0076662A"/>
    <w:rsid w:val="007675BD"/>
    <w:rsid w:val="00770294"/>
    <w:rsid w:val="00773E0A"/>
    <w:rsid w:val="0077636D"/>
    <w:rsid w:val="007779AB"/>
    <w:rsid w:val="0078147A"/>
    <w:rsid w:val="00790022"/>
    <w:rsid w:val="00791D34"/>
    <w:rsid w:val="007A015D"/>
    <w:rsid w:val="007A29B2"/>
    <w:rsid w:val="007A50F9"/>
    <w:rsid w:val="007B1061"/>
    <w:rsid w:val="007B291C"/>
    <w:rsid w:val="007B4277"/>
    <w:rsid w:val="007B6F76"/>
    <w:rsid w:val="007C4D7E"/>
    <w:rsid w:val="007C5F55"/>
    <w:rsid w:val="007D0BC2"/>
    <w:rsid w:val="007D1320"/>
    <w:rsid w:val="007D1DE0"/>
    <w:rsid w:val="007D4344"/>
    <w:rsid w:val="007D4B36"/>
    <w:rsid w:val="007E063C"/>
    <w:rsid w:val="007E446B"/>
    <w:rsid w:val="007E65E5"/>
    <w:rsid w:val="007E6C63"/>
    <w:rsid w:val="007E73F4"/>
    <w:rsid w:val="007E7F54"/>
    <w:rsid w:val="007F788D"/>
    <w:rsid w:val="008037D5"/>
    <w:rsid w:val="00803EDE"/>
    <w:rsid w:val="00804D21"/>
    <w:rsid w:val="00813001"/>
    <w:rsid w:val="0081312F"/>
    <w:rsid w:val="00821C35"/>
    <w:rsid w:val="008229C3"/>
    <w:rsid w:val="00822FA4"/>
    <w:rsid w:val="00833312"/>
    <w:rsid w:val="00834703"/>
    <w:rsid w:val="00844087"/>
    <w:rsid w:val="0084493E"/>
    <w:rsid w:val="008549DD"/>
    <w:rsid w:val="00856663"/>
    <w:rsid w:val="00857E67"/>
    <w:rsid w:val="008616E0"/>
    <w:rsid w:val="008671AE"/>
    <w:rsid w:val="00871AC8"/>
    <w:rsid w:val="00871FF4"/>
    <w:rsid w:val="00881379"/>
    <w:rsid w:val="00883077"/>
    <w:rsid w:val="00886415"/>
    <w:rsid w:val="00890D06"/>
    <w:rsid w:val="00890DC5"/>
    <w:rsid w:val="008951FE"/>
    <w:rsid w:val="008A0166"/>
    <w:rsid w:val="008A02ED"/>
    <w:rsid w:val="008A1A31"/>
    <w:rsid w:val="008B274F"/>
    <w:rsid w:val="008B3E12"/>
    <w:rsid w:val="008C478B"/>
    <w:rsid w:val="008C5989"/>
    <w:rsid w:val="008D0E3D"/>
    <w:rsid w:val="008D428A"/>
    <w:rsid w:val="008D4437"/>
    <w:rsid w:val="008D77CE"/>
    <w:rsid w:val="008E0B2D"/>
    <w:rsid w:val="008E1C36"/>
    <w:rsid w:val="008F10E9"/>
    <w:rsid w:val="008F3E09"/>
    <w:rsid w:val="008F4970"/>
    <w:rsid w:val="008F5900"/>
    <w:rsid w:val="008F7923"/>
    <w:rsid w:val="008F797A"/>
    <w:rsid w:val="008F7D81"/>
    <w:rsid w:val="00906E76"/>
    <w:rsid w:val="00910577"/>
    <w:rsid w:val="00910F0A"/>
    <w:rsid w:val="0091123F"/>
    <w:rsid w:val="0091728F"/>
    <w:rsid w:val="009278FB"/>
    <w:rsid w:val="00931808"/>
    <w:rsid w:val="00940224"/>
    <w:rsid w:val="00941B57"/>
    <w:rsid w:val="00943FC8"/>
    <w:rsid w:val="0094509E"/>
    <w:rsid w:val="0094652B"/>
    <w:rsid w:val="00947582"/>
    <w:rsid w:val="009512A2"/>
    <w:rsid w:val="00956021"/>
    <w:rsid w:val="00961193"/>
    <w:rsid w:val="009614C7"/>
    <w:rsid w:val="00963FBD"/>
    <w:rsid w:val="0096724C"/>
    <w:rsid w:val="00980C8E"/>
    <w:rsid w:val="00984E1F"/>
    <w:rsid w:val="00985DB5"/>
    <w:rsid w:val="009901AB"/>
    <w:rsid w:val="00990392"/>
    <w:rsid w:val="0099564E"/>
    <w:rsid w:val="009B23E9"/>
    <w:rsid w:val="009B29E6"/>
    <w:rsid w:val="009B31FC"/>
    <w:rsid w:val="009B5A1D"/>
    <w:rsid w:val="009C7B39"/>
    <w:rsid w:val="009C7F9F"/>
    <w:rsid w:val="009D0982"/>
    <w:rsid w:val="009E5703"/>
    <w:rsid w:val="009F1B30"/>
    <w:rsid w:val="009F4DFD"/>
    <w:rsid w:val="009F5714"/>
    <w:rsid w:val="009F5B70"/>
    <w:rsid w:val="00A01628"/>
    <w:rsid w:val="00A022A8"/>
    <w:rsid w:val="00A02791"/>
    <w:rsid w:val="00A0308B"/>
    <w:rsid w:val="00A05F01"/>
    <w:rsid w:val="00A064BB"/>
    <w:rsid w:val="00A06F69"/>
    <w:rsid w:val="00A11D7F"/>
    <w:rsid w:val="00A17056"/>
    <w:rsid w:val="00A2237A"/>
    <w:rsid w:val="00A22A04"/>
    <w:rsid w:val="00A2372B"/>
    <w:rsid w:val="00A24C6D"/>
    <w:rsid w:val="00A24EEE"/>
    <w:rsid w:val="00A343C3"/>
    <w:rsid w:val="00A358C5"/>
    <w:rsid w:val="00A40260"/>
    <w:rsid w:val="00A4293A"/>
    <w:rsid w:val="00A43065"/>
    <w:rsid w:val="00A56057"/>
    <w:rsid w:val="00A56688"/>
    <w:rsid w:val="00A61A4E"/>
    <w:rsid w:val="00A61C47"/>
    <w:rsid w:val="00A67EA0"/>
    <w:rsid w:val="00A7365F"/>
    <w:rsid w:val="00A75330"/>
    <w:rsid w:val="00A80C7C"/>
    <w:rsid w:val="00A861CE"/>
    <w:rsid w:val="00A9159B"/>
    <w:rsid w:val="00A97B88"/>
    <w:rsid w:val="00AA07FA"/>
    <w:rsid w:val="00AA0BA5"/>
    <w:rsid w:val="00AA5649"/>
    <w:rsid w:val="00AA614F"/>
    <w:rsid w:val="00AB14CA"/>
    <w:rsid w:val="00AB1BD2"/>
    <w:rsid w:val="00AB2323"/>
    <w:rsid w:val="00AB2A75"/>
    <w:rsid w:val="00AB2C88"/>
    <w:rsid w:val="00AB5326"/>
    <w:rsid w:val="00AB6BDA"/>
    <w:rsid w:val="00AB6C7E"/>
    <w:rsid w:val="00AC0AA0"/>
    <w:rsid w:val="00AC3B9F"/>
    <w:rsid w:val="00AC6BE5"/>
    <w:rsid w:val="00AC71C4"/>
    <w:rsid w:val="00AD1362"/>
    <w:rsid w:val="00AD40B2"/>
    <w:rsid w:val="00AD69B7"/>
    <w:rsid w:val="00AD7528"/>
    <w:rsid w:val="00AD7EC0"/>
    <w:rsid w:val="00AE3729"/>
    <w:rsid w:val="00AE5F6A"/>
    <w:rsid w:val="00AF1C7E"/>
    <w:rsid w:val="00AF7514"/>
    <w:rsid w:val="00B01CC0"/>
    <w:rsid w:val="00B052F8"/>
    <w:rsid w:val="00B10770"/>
    <w:rsid w:val="00B138EA"/>
    <w:rsid w:val="00B15762"/>
    <w:rsid w:val="00B17868"/>
    <w:rsid w:val="00B24578"/>
    <w:rsid w:val="00B25173"/>
    <w:rsid w:val="00B2599A"/>
    <w:rsid w:val="00B25D87"/>
    <w:rsid w:val="00B26794"/>
    <w:rsid w:val="00B27A26"/>
    <w:rsid w:val="00B32880"/>
    <w:rsid w:val="00B3341D"/>
    <w:rsid w:val="00B33F1B"/>
    <w:rsid w:val="00B40DBC"/>
    <w:rsid w:val="00B478B1"/>
    <w:rsid w:val="00B533FF"/>
    <w:rsid w:val="00B57C91"/>
    <w:rsid w:val="00B637E1"/>
    <w:rsid w:val="00B66F4F"/>
    <w:rsid w:val="00B70BB1"/>
    <w:rsid w:val="00B72C3F"/>
    <w:rsid w:val="00B82634"/>
    <w:rsid w:val="00B83B90"/>
    <w:rsid w:val="00B8588A"/>
    <w:rsid w:val="00B92B8E"/>
    <w:rsid w:val="00B963C1"/>
    <w:rsid w:val="00B97707"/>
    <w:rsid w:val="00BA3217"/>
    <w:rsid w:val="00BA4D9B"/>
    <w:rsid w:val="00BA4F71"/>
    <w:rsid w:val="00BB0D57"/>
    <w:rsid w:val="00BB3941"/>
    <w:rsid w:val="00BB5BBB"/>
    <w:rsid w:val="00BC1066"/>
    <w:rsid w:val="00BC537C"/>
    <w:rsid w:val="00BD10A6"/>
    <w:rsid w:val="00BD1E3A"/>
    <w:rsid w:val="00BD2814"/>
    <w:rsid w:val="00BD2E3D"/>
    <w:rsid w:val="00BD3116"/>
    <w:rsid w:val="00BD3CAD"/>
    <w:rsid w:val="00BD44AC"/>
    <w:rsid w:val="00BE12AA"/>
    <w:rsid w:val="00BE4334"/>
    <w:rsid w:val="00BE57E4"/>
    <w:rsid w:val="00BE7CCA"/>
    <w:rsid w:val="00BE7D60"/>
    <w:rsid w:val="00BF076A"/>
    <w:rsid w:val="00BF2480"/>
    <w:rsid w:val="00BF2A2E"/>
    <w:rsid w:val="00BF3C25"/>
    <w:rsid w:val="00BF56D2"/>
    <w:rsid w:val="00C00B5B"/>
    <w:rsid w:val="00C10945"/>
    <w:rsid w:val="00C13E02"/>
    <w:rsid w:val="00C2016A"/>
    <w:rsid w:val="00C22585"/>
    <w:rsid w:val="00C230C1"/>
    <w:rsid w:val="00C2407F"/>
    <w:rsid w:val="00C35F40"/>
    <w:rsid w:val="00C37C77"/>
    <w:rsid w:val="00C40826"/>
    <w:rsid w:val="00C421A7"/>
    <w:rsid w:val="00C433D4"/>
    <w:rsid w:val="00C471C8"/>
    <w:rsid w:val="00C52683"/>
    <w:rsid w:val="00C53405"/>
    <w:rsid w:val="00C53F7D"/>
    <w:rsid w:val="00C545B1"/>
    <w:rsid w:val="00C56AEF"/>
    <w:rsid w:val="00C571DF"/>
    <w:rsid w:val="00C60431"/>
    <w:rsid w:val="00C6081F"/>
    <w:rsid w:val="00C60C59"/>
    <w:rsid w:val="00C61634"/>
    <w:rsid w:val="00C640BD"/>
    <w:rsid w:val="00C641B7"/>
    <w:rsid w:val="00C75110"/>
    <w:rsid w:val="00C753F4"/>
    <w:rsid w:val="00C81805"/>
    <w:rsid w:val="00C81942"/>
    <w:rsid w:val="00C852F2"/>
    <w:rsid w:val="00C879E4"/>
    <w:rsid w:val="00C92A0C"/>
    <w:rsid w:val="00C93015"/>
    <w:rsid w:val="00C944D9"/>
    <w:rsid w:val="00C9589A"/>
    <w:rsid w:val="00CA2E34"/>
    <w:rsid w:val="00CA4CF1"/>
    <w:rsid w:val="00CA6C37"/>
    <w:rsid w:val="00CA76BC"/>
    <w:rsid w:val="00CB0611"/>
    <w:rsid w:val="00CB5390"/>
    <w:rsid w:val="00CC5397"/>
    <w:rsid w:val="00CC583D"/>
    <w:rsid w:val="00CC7F2D"/>
    <w:rsid w:val="00CD0B81"/>
    <w:rsid w:val="00CD0FF0"/>
    <w:rsid w:val="00CD679B"/>
    <w:rsid w:val="00CE3668"/>
    <w:rsid w:val="00CE5011"/>
    <w:rsid w:val="00D00B69"/>
    <w:rsid w:val="00D07B25"/>
    <w:rsid w:val="00D105DB"/>
    <w:rsid w:val="00D1080B"/>
    <w:rsid w:val="00D1100D"/>
    <w:rsid w:val="00D12BFF"/>
    <w:rsid w:val="00D1316D"/>
    <w:rsid w:val="00D1581E"/>
    <w:rsid w:val="00D1652B"/>
    <w:rsid w:val="00D21553"/>
    <w:rsid w:val="00D225BB"/>
    <w:rsid w:val="00D32BBF"/>
    <w:rsid w:val="00D3747A"/>
    <w:rsid w:val="00D4153A"/>
    <w:rsid w:val="00D42EB4"/>
    <w:rsid w:val="00D46DB0"/>
    <w:rsid w:val="00D50094"/>
    <w:rsid w:val="00D502BD"/>
    <w:rsid w:val="00D516CC"/>
    <w:rsid w:val="00D60245"/>
    <w:rsid w:val="00D6027E"/>
    <w:rsid w:val="00D63F1B"/>
    <w:rsid w:val="00D6482E"/>
    <w:rsid w:val="00D668EB"/>
    <w:rsid w:val="00D750B3"/>
    <w:rsid w:val="00D773E0"/>
    <w:rsid w:val="00D82436"/>
    <w:rsid w:val="00D8433B"/>
    <w:rsid w:val="00D84613"/>
    <w:rsid w:val="00D87884"/>
    <w:rsid w:val="00D91619"/>
    <w:rsid w:val="00D91BDB"/>
    <w:rsid w:val="00D962F3"/>
    <w:rsid w:val="00D96CD6"/>
    <w:rsid w:val="00D97D54"/>
    <w:rsid w:val="00DA63E5"/>
    <w:rsid w:val="00DA6D02"/>
    <w:rsid w:val="00DA6E12"/>
    <w:rsid w:val="00DA743D"/>
    <w:rsid w:val="00DB03F3"/>
    <w:rsid w:val="00DB204C"/>
    <w:rsid w:val="00DB2FA3"/>
    <w:rsid w:val="00DB32A6"/>
    <w:rsid w:val="00DB54B6"/>
    <w:rsid w:val="00DB61C4"/>
    <w:rsid w:val="00DC0569"/>
    <w:rsid w:val="00DC4EA3"/>
    <w:rsid w:val="00DC731B"/>
    <w:rsid w:val="00DD02D6"/>
    <w:rsid w:val="00DE177F"/>
    <w:rsid w:val="00DE36D3"/>
    <w:rsid w:val="00DE45C1"/>
    <w:rsid w:val="00DE4941"/>
    <w:rsid w:val="00DE7EEA"/>
    <w:rsid w:val="00DF2938"/>
    <w:rsid w:val="00E00531"/>
    <w:rsid w:val="00E06A61"/>
    <w:rsid w:val="00E074E2"/>
    <w:rsid w:val="00E10E1F"/>
    <w:rsid w:val="00E11ADD"/>
    <w:rsid w:val="00E15323"/>
    <w:rsid w:val="00E1674B"/>
    <w:rsid w:val="00E16A2C"/>
    <w:rsid w:val="00E17B0A"/>
    <w:rsid w:val="00E25065"/>
    <w:rsid w:val="00E26E58"/>
    <w:rsid w:val="00E271B5"/>
    <w:rsid w:val="00E3546B"/>
    <w:rsid w:val="00E510A6"/>
    <w:rsid w:val="00E52E29"/>
    <w:rsid w:val="00E52E5E"/>
    <w:rsid w:val="00E54A8E"/>
    <w:rsid w:val="00E56A9E"/>
    <w:rsid w:val="00E57BC9"/>
    <w:rsid w:val="00E6136C"/>
    <w:rsid w:val="00E80E3F"/>
    <w:rsid w:val="00E836B5"/>
    <w:rsid w:val="00E91465"/>
    <w:rsid w:val="00E96EFF"/>
    <w:rsid w:val="00EA154D"/>
    <w:rsid w:val="00EA2A9B"/>
    <w:rsid w:val="00EA3491"/>
    <w:rsid w:val="00EA5028"/>
    <w:rsid w:val="00EA63A7"/>
    <w:rsid w:val="00EB18DD"/>
    <w:rsid w:val="00EB28FA"/>
    <w:rsid w:val="00EB39BF"/>
    <w:rsid w:val="00EB6C1E"/>
    <w:rsid w:val="00EB7E90"/>
    <w:rsid w:val="00EC4156"/>
    <w:rsid w:val="00EC718F"/>
    <w:rsid w:val="00ED4247"/>
    <w:rsid w:val="00EE362B"/>
    <w:rsid w:val="00EE5E84"/>
    <w:rsid w:val="00EE62BA"/>
    <w:rsid w:val="00EE71A0"/>
    <w:rsid w:val="00EF49E4"/>
    <w:rsid w:val="00EF4FFC"/>
    <w:rsid w:val="00EF5440"/>
    <w:rsid w:val="00F03464"/>
    <w:rsid w:val="00F04D0B"/>
    <w:rsid w:val="00F22750"/>
    <w:rsid w:val="00F24EA3"/>
    <w:rsid w:val="00F24F5C"/>
    <w:rsid w:val="00F2545B"/>
    <w:rsid w:val="00F256CF"/>
    <w:rsid w:val="00F259C1"/>
    <w:rsid w:val="00F25C22"/>
    <w:rsid w:val="00F26D73"/>
    <w:rsid w:val="00F315F8"/>
    <w:rsid w:val="00F3483D"/>
    <w:rsid w:val="00F40308"/>
    <w:rsid w:val="00F41931"/>
    <w:rsid w:val="00F424A4"/>
    <w:rsid w:val="00F44047"/>
    <w:rsid w:val="00F476BB"/>
    <w:rsid w:val="00F504A4"/>
    <w:rsid w:val="00F5603B"/>
    <w:rsid w:val="00F61465"/>
    <w:rsid w:val="00F65432"/>
    <w:rsid w:val="00F72152"/>
    <w:rsid w:val="00F73F88"/>
    <w:rsid w:val="00F80108"/>
    <w:rsid w:val="00F8016A"/>
    <w:rsid w:val="00F80ACE"/>
    <w:rsid w:val="00F83CAA"/>
    <w:rsid w:val="00F85275"/>
    <w:rsid w:val="00F910DA"/>
    <w:rsid w:val="00F92652"/>
    <w:rsid w:val="00F94EAB"/>
    <w:rsid w:val="00FA2806"/>
    <w:rsid w:val="00FA6855"/>
    <w:rsid w:val="00FB19B0"/>
    <w:rsid w:val="00FB3E8A"/>
    <w:rsid w:val="00FC44EE"/>
    <w:rsid w:val="00FC55DF"/>
    <w:rsid w:val="00FD1413"/>
    <w:rsid w:val="00FD2AF1"/>
    <w:rsid w:val="00FD33FD"/>
    <w:rsid w:val="00FD5D10"/>
    <w:rsid w:val="00FE2A34"/>
    <w:rsid w:val="00FE3D3C"/>
    <w:rsid w:val="00FE408B"/>
    <w:rsid w:val="00FE53EC"/>
    <w:rsid w:val="00FE6A86"/>
    <w:rsid w:val="00FF1007"/>
    <w:rsid w:val="00FF2166"/>
    <w:rsid w:val="00FF2300"/>
    <w:rsid w:val="00FF3D07"/>
    <w:rsid w:val="00FF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4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8671AE"/>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y"/>
    <w:next w:val="Normlny"/>
    <w:link w:val="Nadpis1Char"/>
    <w:qFormat/>
    <w:rsid w:val="008671AE"/>
    <w:pPr>
      <w:tabs>
        <w:tab w:val="left" w:pos="567"/>
      </w:tabs>
      <w:spacing w:before="240" w:after="120" w:line="260" w:lineRule="exact"/>
      <w:ind w:left="357" w:hanging="357"/>
      <w:outlineLvl w:val="0"/>
    </w:pPr>
    <w:rPr>
      <w:b/>
      <w:bCs/>
      <w:caps/>
      <w:sz w:val="26"/>
      <w:szCs w:val="26"/>
      <w:lang w:eastAsia="en-US"/>
    </w:rPr>
  </w:style>
  <w:style w:type="paragraph" w:styleId="Nadpis2">
    <w:name w:val="heading 2"/>
    <w:basedOn w:val="Normlny"/>
    <w:next w:val="Normlny"/>
    <w:link w:val="Nadpis2Char"/>
    <w:qFormat/>
    <w:rsid w:val="008671AE"/>
    <w:pPr>
      <w:keepNext/>
      <w:tabs>
        <w:tab w:val="left" w:pos="567"/>
      </w:tabs>
      <w:spacing w:before="240" w:after="60" w:line="260" w:lineRule="exact"/>
      <w:outlineLvl w:val="1"/>
    </w:pPr>
    <w:rPr>
      <w:rFonts w:ascii="Helvetica" w:hAnsi="Helvetica" w:cs="Helvetica"/>
      <w:b/>
      <w:bCs/>
      <w:i/>
      <w:iCs/>
      <w:sz w:val="24"/>
      <w:szCs w:val="24"/>
      <w:lang w:val="sk-SK" w:eastAsia="en-US"/>
    </w:rPr>
  </w:style>
  <w:style w:type="paragraph" w:styleId="Nadpis3">
    <w:name w:val="heading 3"/>
    <w:basedOn w:val="Normlny"/>
    <w:next w:val="Normlny"/>
    <w:link w:val="Nadpis3Char"/>
    <w:qFormat/>
    <w:rsid w:val="008671AE"/>
    <w:pPr>
      <w:keepNext/>
      <w:keepLines/>
      <w:tabs>
        <w:tab w:val="left" w:pos="567"/>
      </w:tabs>
      <w:spacing w:before="120" w:after="80" w:line="260" w:lineRule="exact"/>
      <w:outlineLvl w:val="2"/>
    </w:pPr>
    <w:rPr>
      <w:b/>
      <w:bCs/>
      <w:kern w:val="28"/>
      <w:sz w:val="24"/>
      <w:szCs w:val="24"/>
      <w:lang w:eastAsia="en-US"/>
    </w:rPr>
  </w:style>
  <w:style w:type="paragraph" w:styleId="Nadpis4">
    <w:name w:val="heading 4"/>
    <w:basedOn w:val="Normlny"/>
    <w:next w:val="Normlny"/>
    <w:link w:val="Nadpis4Char"/>
    <w:qFormat/>
    <w:rsid w:val="008671AE"/>
    <w:pPr>
      <w:keepNext/>
      <w:tabs>
        <w:tab w:val="left" w:pos="567"/>
      </w:tabs>
      <w:spacing w:line="260" w:lineRule="exact"/>
      <w:jc w:val="both"/>
      <w:outlineLvl w:val="3"/>
    </w:pPr>
    <w:rPr>
      <w:b/>
      <w:bCs/>
      <w:noProof/>
      <w:szCs w:val="22"/>
      <w:lang w:val="sk-SK" w:eastAsia="en-US"/>
    </w:rPr>
  </w:style>
  <w:style w:type="paragraph" w:styleId="Nadpis5">
    <w:name w:val="heading 5"/>
    <w:basedOn w:val="Normlny"/>
    <w:next w:val="Normlny"/>
    <w:link w:val="Nadpis5Char"/>
    <w:qFormat/>
    <w:rsid w:val="008671AE"/>
    <w:pPr>
      <w:keepNext/>
      <w:tabs>
        <w:tab w:val="left" w:pos="567"/>
      </w:tabs>
      <w:spacing w:line="260" w:lineRule="exact"/>
      <w:jc w:val="both"/>
      <w:outlineLvl w:val="4"/>
    </w:pPr>
    <w:rPr>
      <w:noProof/>
      <w:szCs w:val="22"/>
      <w:lang w:val="sk-SK" w:eastAsia="en-US"/>
    </w:rPr>
  </w:style>
  <w:style w:type="paragraph" w:styleId="Nadpis6">
    <w:name w:val="heading 6"/>
    <w:basedOn w:val="Normlny"/>
    <w:next w:val="Normlny"/>
    <w:link w:val="Nadpis6Char"/>
    <w:qFormat/>
    <w:rsid w:val="008671AE"/>
    <w:pPr>
      <w:keepNext/>
      <w:tabs>
        <w:tab w:val="left" w:pos="-720"/>
        <w:tab w:val="left" w:pos="567"/>
        <w:tab w:val="left" w:pos="4536"/>
      </w:tabs>
      <w:suppressAutoHyphens/>
      <w:spacing w:line="260" w:lineRule="exact"/>
      <w:outlineLvl w:val="5"/>
    </w:pPr>
    <w:rPr>
      <w:i/>
      <w:iCs/>
      <w:szCs w:val="22"/>
      <w:lang w:val="sk-SK" w:eastAsia="en-US"/>
    </w:rPr>
  </w:style>
  <w:style w:type="paragraph" w:styleId="Nadpis7">
    <w:name w:val="heading 7"/>
    <w:basedOn w:val="Normlny"/>
    <w:next w:val="Normlny"/>
    <w:link w:val="Nadpis7Char"/>
    <w:qFormat/>
    <w:rsid w:val="008671AE"/>
    <w:pPr>
      <w:keepNext/>
      <w:tabs>
        <w:tab w:val="left" w:pos="-720"/>
        <w:tab w:val="left" w:pos="567"/>
        <w:tab w:val="left" w:pos="4536"/>
      </w:tabs>
      <w:suppressAutoHyphens/>
      <w:spacing w:line="260" w:lineRule="exact"/>
      <w:jc w:val="both"/>
      <w:outlineLvl w:val="6"/>
    </w:pPr>
    <w:rPr>
      <w:i/>
      <w:iCs/>
      <w:szCs w:val="22"/>
      <w:lang w:val="sk-SK" w:eastAsia="en-US"/>
    </w:rPr>
  </w:style>
  <w:style w:type="paragraph" w:styleId="Nadpis8">
    <w:name w:val="heading 8"/>
    <w:basedOn w:val="Normlny"/>
    <w:next w:val="Normlny"/>
    <w:link w:val="Nadpis8Char"/>
    <w:qFormat/>
    <w:rsid w:val="008671AE"/>
    <w:pPr>
      <w:keepNext/>
      <w:tabs>
        <w:tab w:val="left" w:pos="567"/>
      </w:tabs>
      <w:spacing w:line="260" w:lineRule="exact"/>
      <w:ind w:left="567" w:hanging="567"/>
      <w:jc w:val="both"/>
      <w:outlineLvl w:val="7"/>
    </w:pPr>
    <w:rPr>
      <w:b/>
      <w:bCs/>
      <w:i/>
      <w:iCs/>
      <w:szCs w:val="22"/>
      <w:lang w:val="sk-SK" w:eastAsia="en-US"/>
    </w:rPr>
  </w:style>
  <w:style w:type="paragraph" w:styleId="Nadpis9">
    <w:name w:val="heading 9"/>
    <w:basedOn w:val="Normlny"/>
    <w:next w:val="Normlny"/>
    <w:link w:val="Nadpis9Char"/>
    <w:qFormat/>
    <w:rsid w:val="008671AE"/>
    <w:pPr>
      <w:keepNext/>
      <w:tabs>
        <w:tab w:val="left" w:pos="567"/>
      </w:tabs>
      <w:spacing w:line="260" w:lineRule="exact"/>
      <w:jc w:val="both"/>
      <w:outlineLvl w:val="8"/>
    </w:pPr>
    <w:rPr>
      <w:b/>
      <w:bCs/>
      <w:i/>
      <w:iCs/>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165685"/>
  </w:style>
  <w:style w:type="paragraph" w:customStyle="1" w:styleId="Normlndobloku">
    <w:name w:val="Normální do bloku"/>
    <w:basedOn w:val="Normlny"/>
    <w:link w:val="NormlndoblokuChar"/>
    <w:autoRedefine/>
    <w:rsid w:val="00A67EA0"/>
    <w:pPr>
      <w:tabs>
        <w:tab w:val="left" w:pos="4140"/>
      </w:tabs>
      <w:suppressAutoHyphens/>
      <w:spacing w:after="120"/>
    </w:pPr>
    <w:rPr>
      <w:rFonts w:eastAsia="Calibri"/>
      <w:szCs w:val="24"/>
      <w:lang w:val="sk-SK" w:eastAsia="en-US"/>
    </w:rPr>
  </w:style>
  <w:style w:type="character" w:customStyle="1" w:styleId="NormlndoblokuChar">
    <w:name w:val="Normální do bloku Char"/>
    <w:link w:val="Normlndobloku"/>
    <w:rsid w:val="00A67EA0"/>
    <w:rPr>
      <w:rFonts w:ascii="Times New Roman" w:eastAsia="Calibri" w:hAnsi="Times New Roman" w:cs="Times New Roman"/>
      <w:szCs w:val="24"/>
      <w:lang w:val="sk-SK"/>
    </w:rPr>
  </w:style>
  <w:style w:type="paragraph" w:customStyle="1" w:styleId="Styl1">
    <w:name w:val="Styl1"/>
    <w:basedOn w:val="Normlny"/>
    <w:autoRedefine/>
    <w:rsid w:val="008671AE"/>
    <w:pPr>
      <w:keepNext/>
      <w:numPr>
        <w:numId w:val="1"/>
      </w:numPr>
      <w:spacing w:before="360" w:after="120"/>
    </w:pPr>
    <w:rPr>
      <w:b/>
      <w:bCs/>
      <w:caps/>
      <w:szCs w:val="24"/>
      <w:lang w:val="cs-CZ" w:eastAsia="en-US"/>
    </w:rPr>
  </w:style>
  <w:style w:type="paragraph" w:customStyle="1" w:styleId="Styl2">
    <w:name w:val="Styl2"/>
    <w:basedOn w:val="Normlny"/>
    <w:autoRedefine/>
    <w:rsid w:val="008671AE"/>
    <w:pPr>
      <w:keepNext/>
      <w:numPr>
        <w:ilvl w:val="1"/>
        <w:numId w:val="1"/>
      </w:numPr>
      <w:spacing w:before="240" w:after="120"/>
      <w:ind w:left="0" w:firstLine="0"/>
    </w:pPr>
    <w:rPr>
      <w:b/>
      <w:bCs/>
      <w:szCs w:val="22"/>
      <w:lang w:val="cs-CZ" w:eastAsia="en-US"/>
    </w:rPr>
  </w:style>
  <w:style w:type="paragraph" w:customStyle="1" w:styleId="Styl3">
    <w:name w:val="Styl3"/>
    <w:basedOn w:val="Normlndobloku"/>
    <w:link w:val="Styl3Char"/>
    <w:rsid w:val="008671AE"/>
    <w:pPr>
      <w:keepNext/>
      <w:tabs>
        <w:tab w:val="left" w:pos="6946"/>
      </w:tabs>
      <w:suppressAutoHyphens w:val="0"/>
    </w:pPr>
    <w:rPr>
      <w:u w:val="single"/>
    </w:rPr>
  </w:style>
  <w:style w:type="character" w:customStyle="1" w:styleId="Styl3Char">
    <w:name w:val="Styl3 Char"/>
    <w:link w:val="Styl3"/>
    <w:rsid w:val="00281E43"/>
    <w:rPr>
      <w:rFonts w:ascii="Times New Roman" w:eastAsia="Calibri" w:hAnsi="Times New Roman" w:cs="Times New Roman"/>
      <w:szCs w:val="24"/>
      <w:u w:val="single"/>
      <w:lang w:val="sk-SK"/>
    </w:rPr>
  </w:style>
  <w:style w:type="paragraph" w:styleId="Pta">
    <w:name w:val="footer"/>
    <w:basedOn w:val="Normlny"/>
    <w:link w:val="PtaChar"/>
    <w:uiPriority w:val="99"/>
    <w:rsid w:val="008671AE"/>
    <w:pPr>
      <w:tabs>
        <w:tab w:val="center" w:pos="4536"/>
        <w:tab w:val="center" w:pos="8930"/>
      </w:tabs>
    </w:pPr>
    <w:rPr>
      <w:rFonts w:ascii="Helvetica" w:hAnsi="Helvetica" w:cs="Helvetica"/>
      <w:sz w:val="16"/>
      <w:szCs w:val="16"/>
    </w:rPr>
  </w:style>
  <w:style w:type="character" w:customStyle="1" w:styleId="PtaChar">
    <w:name w:val="Päta Char"/>
    <w:basedOn w:val="Predvolenpsmoodseku"/>
    <w:link w:val="Pta"/>
    <w:uiPriority w:val="99"/>
    <w:rsid w:val="00165685"/>
    <w:rPr>
      <w:rFonts w:ascii="Helvetica" w:eastAsia="Times New Roman" w:hAnsi="Helvetica" w:cs="Helvetica"/>
      <w:sz w:val="16"/>
      <w:szCs w:val="16"/>
      <w:lang w:val="en-US" w:eastAsia="cs-CZ"/>
    </w:rPr>
  </w:style>
  <w:style w:type="paragraph" w:customStyle="1" w:styleId="Normlndoblokusodrkami">
    <w:name w:val="Normální do bloku s odrážkami"/>
    <w:basedOn w:val="Normlndobloku"/>
    <w:next w:val="Normlndobloku"/>
    <w:autoRedefine/>
    <w:qFormat/>
    <w:rsid w:val="008671AE"/>
    <w:pPr>
      <w:numPr>
        <w:numId w:val="2"/>
      </w:numPr>
      <w:tabs>
        <w:tab w:val="clear" w:pos="4140"/>
        <w:tab w:val="left" w:pos="360"/>
      </w:tabs>
    </w:pPr>
    <w:rPr>
      <w:noProof/>
    </w:rPr>
  </w:style>
  <w:style w:type="character" w:customStyle="1" w:styleId="Bacil">
    <w:name w:val="Bacil"/>
    <w:qFormat/>
    <w:rsid w:val="00165685"/>
    <w:rPr>
      <w:i/>
    </w:rPr>
  </w:style>
  <w:style w:type="paragraph" w:customStyle="1" w:styleId="SPCaPILhlavika">
    <w:name w:val="SPC a PIL hlavička"/>
    <w:basedOn w:val="Normlny"/>
    <w:autoRedefine/>
    <w:qFormat/>
    <w:rsid w:val="00F24F5C"/>
    <w:pPr>
      <w:spacing w:before="240" w:after="120"/>
      <w:jc w:val="center"/>
    </w:pPr>
    <w:rPr>
      <w:b/>
      <w:lang w:val="sk-SK" w:eastAsia="en-US"/>
    </w:rPr>
  </w:style>
  <w:style w:type="paragraph" w:customStyle="1" w:styleId="Nadpisuvnittabulky">
    <w:name w:val="Nadpis uvnitř tabulky"/>
    <w:basedOn w:val="Normlny"/>
    <w:autoRedefine/>
    <w:qFormat/>
    <w:rsid w:val="00165685"/>
    <w:pPr>
      <w:suppressAutoHyphens/>
      <w:spacing w:before="120" w:after="120"/>
    </w:pPr>
    <w:rPr>
      <w:rFonts w:ascii="TimesNewRoman" w:eastAsia="Calibri" w:hAnsi="TimesNewRoman" w:cs="TimesNewRoman"/>
      <w:b/>
      <w:lang w:val="cs-CZ" w:eastAsia="en-US"/>
    </w:rPr>
  </w:style>
  <w:style w:type="paragraph" w:customStyle="1" w:styleId="Tabulkynormlndoblokuzarovnndoleva">
    <w:name w:val="Tabulky = normální do bloku + zarovnání doleva"/>
    <w:basedOn w:val="Normlndobloku"/>
    <w:autoRedefine/>
    <w:rsid w:val="00165685"/>
    <w:pPr>
      <w:tabs>
        <w:tab w:val="clear" w:pos="4140"/>
      </w:tabs>
    </w:pPr>
    <w:rPr>
      <w:rFonts w:cs="TimesNewRoman"/>
      <w:szCs w:val="20"/>
    </w:rPr>
  </w:style>
  <w:style w:type="paragraph" w:styleId="Hlavika">
    <w:name w:val="header"/>
    <w:basedOn w:val="Normlny"/>
    <w:link w:val="HlavikaChar"/>
    <w:unhideWhenUsed/>
    <w:rsid w:val="008671AE"/>
    <w:pPr>
      <w:tabs>
        <w:tab w:val="center" w:pos="4536"/>
        <w:tab w:val="right" w:pos="9072"/>
      </w:tabs>
    </w:pPr>
  </w:style>
  <w:style w:type="character" w:customStyle="1" w:styleId="HlavikaChar">
    <w:name w:val="Hlavička Char"/>
    <w:basedOn w:val="Predvolenpsmoodseku"/>
    <w:link w:val="Hlavika"/>
    <w:rsid w:val="001B57DB"/>
    <w:rPr>
      <w:rFonts w:ascii="Times New Roman" w:eastAsia="Times New Roman" w:hAnsi="Times New Roman" w:cs="Times New Roman"/>
      <w:szCs w:val="20"/>
      <w:lang w:val="en-US" w:eastAsia="cs-CZ"/>
    </w:rPr>
  </w:style>
  <w:style w:type="paragraph" w:styleId="Textbubliny">
    <w:name w:val="Balloon Text"/>
    <w:basedOn w:val="Normlny"/>
    <w:link w:val="TextbublinyChar"/>
    <w:semiHidden/>
    <w:unhideWhenUsed/>
    <w:rsid w:val="008671AE"/>
    <w:rPr>
      <w:rFonts w:ascii="Segoe UI" w:hAnsi="Segoe UI" w:cs="Segoe UI"/>
      <w:sz w:val="18"/>
      <w:szCs w:val="18"/>
    </w:rPr>
  </w:style>
  <w:style w:type="character" w:customStyle="1" w:styleId="TextbublinyChar">
    <w:name w:val="Text bubliny Char"/>
    <w:basedOn w:val="Predvolenpsmoodseku"/>
    <w:link w:val="Textbubliny"/>
    <w:semiHidden/>
    <w:rsid w:val="001B57DB"/>
    <w:rPr>
      <w:rFonts w:ascii="Segoe UI" w:eastAsia="Times New Roman" w:hAnsi="Segoe UI" w:cs="Segoe UI"/>
      <w:sz w:val="18"/>
      <w:szCs w:val="18"/>
      <w:lang w:val="en-US" w:eastAsia="cs-CZ"/>
    </w:rPr>
  </w:style>
  <w:style w:type="paragraph" w:customStyle="1" w:styleId="Styl4">
    <w:name w:val="Styl4"/>
    <w:basedOn w:val="Styl3"/>
    <w:autoRedefine/>
    <w:qFormat/>
    <w:rsid w:val="008671AE"/>
    <w:pPr>
      <w:spacing w:after="60"/>
    </w:pPr>
    <w:rPr>
      <w:i/>
      <w:u w:val="none"/>
    </w:rPr>
  </w:style>
  <w:style w:type="paragraph" w:customStyle="1" w:styleId="Styl5">
    <w:name w:val="Styl5"/>
    <w:basedOn w:val="Nadpisuvnittabulky"/>
    <w:autoRedefine/>
    <w:qFormat/>
    <w:rsid w:val="00F80108"/>
    <w:pPr>
      <w:keepNext/>
    </w:pPr>
  </w:style>
  <w:style w:type="character" w:styleId="Hypertextovprepojenie">
    <w:name w:val="Hyperlink"/>
    <w:basedOn w:val="Predvolenpsmoodseku"/>
    <w:unhideWhenUsed/>
    <w:rsid w:val="008671AE"/>
    <w:rPr>
      <w:color w:val="0563C1" w:themeColor="hyperlink"/>
      <w:u w:val="single"/>
    </w:rPr>
  </w:style>
  <w:style w:type="character" w:customStyle="1" w:styleId="Zmienka1">
    <w:name w:val="Zmienka1"/>
    <w:basedOn w:val="Predvolenpsmoodseku"/>
    <w:uiPriority w:val="99"/>
    <w:semiHidden/>
    <w:unhideWhenUsed/>
    <w:rsid w:val="00BD10A6"/>
    <w:rPr>
      <w:color w:val="2B579A"/>
      <w:shd w:val="clear" w:color="auto" w:fill="E6E6E6"/>
    </w:rPr>
  </w:style>
  <w:style w:type="paragraph" w:styleId="Revzia">
    <w:name w:val="Revision"/>
    <w:hidden/>
    <w:uiPriority w:val="99"/>
    <w:semiHidden/>
    <w:rsid w:val="008F7923"/>
    <w:pPr>
      <w:spacing w:after="0" w:line="240" w:lineRule="auto"/>
    </w:pPr>
    <w:rPr>
      <w:rFonts w:ascii="Times New Roman" w:eastAsia="Times New Roman" w:hAnsi="Times New Roman" w:cs="Times New Roman"/>
      <w:szCs w:val="20"/>
      <w:lang w:val="en-US" w:eastAsia="cs-CZ"/>
    </w:rPr>
  </w:style>
  <w:style w:type="table" w:styleId="Mriekatabuky">
    <w:name w:val="Table Grid"/>
    <w:basedOn w:val="Normlnatabuka"/>
    <w:rsid w:val="00AE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unhideWhenUsed/>
    <w:rsid w:val="008671AE"/>
    <w:rPr>
      <w:sz w:val="16"/>
      <w:szCs w:val="16"/>
    </w:rPr>
  </w:style>
  <w:style w:type="paragraph" w:styleId="Textkomentra">
    <w:name w:val="annotation text"/>
    <w:basedOn w:val="Normlny"/>
    <w:link w:val="TextkomentraChar"/>
    <w:uiPriority w:val="99"/>
    <w:semiHidden/>
    <w:unhideWhenUsed/>
    <w:rsid w:val="008671AE"/>
    <w:rPr>
      <w:sz w:val="20"/>
    </w:rPr>
  </w:style>
  <w:style w:type="character" w:customStyle="1" w:styleId="TextkomentraChar">
    <w:name w:val="Text komentára Char"/>
    <w:basedOn w:val="Predvolenpsmoodseku"/>
    <w:link w:val="Textkomentra"/>
    <w:uiPriority w:val="99"/>
    <w:semiHidden/>
    <w:rsid w:val="00CD0FF0"/>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semiHidden/>
    <w:unhideWhenUsed/>
    <w:rsid w:val="008671AE"/>
    <w:rPr>
      <w:b/>
      <w:bCs/>
    </w:rPr>
  </w:style>
  <w:style w:type="character" w:customStyle="1" w:styleId="PredmetkomentraChar">
    <w:name w:val="Predmet komentára Char"/>
    <w:basedOn w:val="TextkomentraChar"/>
    <w:link w:val="Predmetkomentra"/>
    <w:semiHidden/>
    <w:rsid w:val="00CD0FF0"/>
    <w:rPr>
      <w:rFonts w:ascii="Times New Roman" w:eastAsia="Times New Roman" w:hAnsi="Times New Roman" w:cs="Times New Roman"/>
      <w:b/>
      <w:bCs/>
      <w:sz w:val="20"/>
      <w:szCs w:val="20"/>
      <w:lang w:val="en-US" w:eastAsia="cs-CZ"/>
    </w:rPr>
  </w:style>
  <w:style w:type="character" w:customStyle="1" w:styleId="Nadpis1Char">
    <w:name w:val="Nadpis 1 Char"/>
    <w:basedOn w:val="Predvolenpsmoodseku"/>
    <w:link w:val="Nadpis1"/>
    <w:rsid w:val="008671AE"/>
    <w:rPr>
      <w:rFonts w:ascii="Times New Roman" w:eastAsia="Times New Roman" w:hAnsi="Times New Roman" w:cs="Times New Roman"/>
      <w:b/>
      <w:bCs/>
      <w:caps/>
      <w:sz w:val="26"/>
      <w:szCs w:val="26"/>
      <w:lang w:val="en-US"/>
    </w:rPr>
  </w:style>
  <w:style w:type="character" w:customStyle="1" w:styleId="Nadpis2Char">
    <w:name w:val="Nadpis 2 Char"/>
    <w:basedOn w:val="Predvolenpsmoodseku"/>
    <w:link w:val="Nadpis2"/>
    <w:rsid w:val="008671AE"/>
    <w:rPr>
      <w:rFonts w:ascii="Helvetica" w:eastAsia="Times New Roman" w:hAnsi="Helvetica" w:cs="Helvetica"/>
      <w:b/>
      <w:bCs/>
      <w:i/>
      <w:iCs/>
      <w:sz w:val="24"/>
      <w:szCs w:val="24"/>
      <w:lang w:val="sk-SK"/>
    </w:rPr>
  </w:style>
  <w:style w:type="character" w:customStyle="1" w:styleId="Nadpis3Char">
    <w:name w:val="Nadpis 3 Char"/>
    <w:basedOn w:val="Predvolenpsmoodseku"/>
    <w:link w:val="Nadpis3"/>
    <w:rsid w:val="008671AE"/>
    <w:rPr>
      <w:rFonts w:ascii="Times New Roman" w:eastAsia="Times New Roman" w:hAnsi="Times New Roman" w:cs="Times New Roman"/>
      <w:b/>
      <w:bCs/>
      <w:kern w:val="28"/>
      <w:sz w:val="24"/>
      <w:szCs w:val="24"/>
      <w:lang w:val="en-US"/>
    </w:rPr>
  </w:style>
  <w:style w:type="character" w:customStyle="1" w:styleId="Nadpis4Char">
    <w:name w:val="Nadpis 4 Char"/>
    <w:basedOn w:val="Predvolenpsmoodseku"/>
    <w:link w:val="Nadpis4"/>
    <w:rsid w:val="008671AE"/>
    <w:rPr>
      <w:rFonts w:ascii="Times New Roman" w:eastAsia="Times New Roman" w:hAnsi="Times New Roman" w:cs="Times New Roman"/>
      <w:b/>
      <w:bCs/>
      <w:noProof/>
      <w:lang w:val="sk-SK"/>
    </w:rPr>
  </w:style>
  <w:style w:type="character" w:customStyle="1" w:styleId="Nadpis5Char">
    <w:name w:val="Nadpis 5 Char"/>
    <w:basedOn w:val="Predvolenpsmoodseku"/>
    <w:link w:val="Nadpis5"/>
    <w:rsid w:val="008671AE"/>
    <w:rPr>
      <w:rFonts w:ascii="Times New Roman" w:eastAsia="Times New Roman" w:hAnsi="Times New Roman" w:cs="Times New Roman"/>
      <w:noProof/>
      <w:lang w:val="sk-SK"/>
    </w:rPr>
  </w:style>
  <w:style w:type="character" w:customStyle="1" w:styleId="Nadpis6Char">
    <w:name w:val="Nadpis 6 Char"/>
    <w:basedOn w:val="Predvolenpsmoodseku"/>
    <w:link w:val="Nadpis6"/>
    <w:rsid w:val="008671AE"/>
    <w:rPr>
      <w:rFonts w:ascii="Times New Roman" w:eastAsia="Times New Roman" w:hAnsi="Times New Roman" w:cs="Times New Roman"/>
      <w:i/>
      <w:iCs/>
      <w:lang w:val="sk-SK"/>
    </w:rPr>
  </w:style>
  <w:style w:type="character" w:customStyle="1" w:styleId="Nadpis7Char">
    <w:name w:val="Nadpis 7 Char"/>
    <w:basedOn w:val="Predvolenpsmoodseku"/>
    <w:link w:val="Nadpis7"/>
    <w:rsid w:val="008671AE"/>
    <w:rPr>
      <w:rFonts w:ascii="Times New Roman" w:eastAsia="Times New Roman" w:hAnsi="Times New Roman" w:cs="Times New Roman"/>
      <w:i/>
      <w:iCs/>
      <w:lang w:val="sk-SK"/>
    </w:rPr>
  </w:style>
  <w:style w:type="character" w:customStyle="1" w:styleId="Nadpis8Char">
    <w:name w:val="Nadpis 8 Char"/>
    <w:basedOn w:val="Predvolenpsmoodseku"/>
    <w:link w:val="Nadpis8"/>
    <w:rsid w:val="008671AE"/>
    <w:rPr>
      <w:rFonts w:ascii="Times New Roman" w:eastAsia="Times New Roman" w:hAnsi="Times New Roman" w:cs="Times New Roman"/>
      <w:b/>
      <w:bCs/>
      <w:i/>
      <w:iCs/>
      <w:lang w:val="sk-SK"/>
    </w:rPr>
  </w:style>
  <w:style w:type="character" w:customStyle="1" w:styleId="Nadpis9Char">
    <w:name w:val="Nadpis 9 Char"/>
    <w:basedOn w:val="Predvolenpsmoodseku"/>
    <w:link w:val="Nadpis9"/>
    <w:rsid w:val="008671AE"/>
    <w:rPr>
      <w:rFonts w:ascii="Times New Roman" w:eastAsia="Times New Roman" w:hAnsi="Times New Roman" w:cs="Times New Roman"/>
      <w:b/>
      <w:bCs/>
      <w:i/>
      <w:iCs/>
      <w:lang w:val="sk-SK"/>
    </w:rPr>
  </w:style>
  <w:style w:type="paragraph" w:styleId="Zarkazkladnhotextu">
    <w:name w:val="Body Text Indent"/>
    <w:basedOn w:val="Normlny"/>
    <w:link w:val="ZarkazkladnhotextuChar"/>
    <w:rsid w:val="008671AE"/>
    <w:pPr>
      <w:ind w:left="567" w:hanging="567"/>
    </w:pPr>
    <w:rPr>
      <w:b/>
      <w:bCs/>
      <w:color w:val="808080"/>
      <w:szCs w:val="22"/>
      <w:lang w:val="sk-SK" w:eastAsia="en-US"/>
    </w:rPr>
  </w:style>
  <w:style w:type="character" w:customStyle="1" w:styleId="ZarkazkladnhotextuChar">
    <w:name w:val="Zarážka základného textu Char"/>
    <w:basedOn w:val="Predvolenpsmoodseku"/>
    <w:link w:val="Zarkazkladnhotextu"/>
    <w:rsid w:val="008671AE"/>
    <w:rPr>
      <w:rFonts w:ascii="Times New Roman" w:eastAsia="Times New Roman" w:hAnsi="Times New Roman" w:cs="Times New Roman"/>
      <w:b/>
      <w:bCs/>
      <w:color w:val="808080"/>
      <w:lang w:val="sk-SK"/>
    </w:rPr>
  </w:style>
  <w:style w:type="paragraph" w:styleId="Zkladntext3">
    <w:name w:val="Body Text 3"/>
    <w:basedOn w:val="Normlny"/>
    <w:link w:val="Zkladntext3Char"/>
    <w:rsid w:val="008671AE"/>
    <w:pPr>
      <w:tabs>
        <w:tab w:val="left" w:pos="567"/>
      </w:tabs>
      <w:spacing w:line="260" w:lineRule="exact"/>
      <w:jc w:val="both"/>
    </w:pPr>
    <w:rPr>
      <w:b/>
      <w:bCs/>
      <w:i/>
      <w:iCs/>
      <w:szCs w:val="22"/>
      <w:lang w:val="sk-SK" w:eastAsia="en-US"/>
    </w:rPr>
  </w:style>
  <w:style w:type="character" w:customStyle="1" w:styleId="Zkladntext3Char">
    <w:name w:val="Základný text 3 Char"/>
    <w:basedOn w:val="Predvolenpsmoodseku"/>
    <w:link w:val="Zkladntext3"/>
    <w:rsid w:val="008671AE"/>
    <w:rPr>
      <w:rFonts w:ascii="Times New Roman" w:eastAsia="Times New Roman" w:hAnsi="Times New Roman" w:cs="Times New Roman"/>
      <w:b/>
      <w:bCs/>
      <w:i/>
      <w:iCs/>
      <w:lang w:val="sk-SK"/>
    </w:rPr>
  </w:style>
  <w:style w:type="paragraph" w:styleId="Zarkazkladnhotextu2">
    <w:name w:val="Body Text Indent 2"/>
    <w:basedOn w:val="Normlny"/>
    <w:link w:val="Zarkazkladnhotextu2Char"/>
    <w:rsid w:val="008671AE"/>
    <w:pPr>
      <w:tabs>
        <w:tab w:val="left" w:pos="567"/>
      </w:tabs>
      <w:spacing w:line="260" w:lineRule="exact"/>
      <w:ind w:left="567" w:hanging="567"/>
      <w:jc w:val="both"/>
    </w:pPr>
    <w:rPr>
      <w:b/>
      <w:bCs/>
      <w:szCs w:val="22"/>
      <w:lang w:val="sk-SK" w:eastAsia="en-US"/>
    </w:rPr>
  </w:style>
  <w:style w:type="character" w:customStyle="1" w:styleId="Zarkazkladnhotextu2Char">
    <w:name w:val="Zarážka základného textu 2 Char"/>
    <w:basedOn w:val="Predvolenpsmoodseku"/>
    <w:link w:val="Zarkazkladnhotextu2"/>
    <w:rsid w:val="008671AE"/>
    <w:rPr>
      <w:rFonts w:ascii="Times New Roman" w:eastAsia="Times New Roman" w:hAnsi="Times New Roman" w:cs="Times New Roman"/>
      <w:b/>
      <w:bCs/>
      <w:lang w:val="sk-SK"/>
    </w:rPr>
  </w:style>
  <w:style w:type="paragraph" w:styleId="Zkladntext">
    <w:name w:val="Body Text"/>
    <w:basedOn w:val="Normlny"/>
    <w:link w:val="ZkladntextChar"/>
    <w:rsid w:val="008671AE"/>
    <w:pPr>
      <w:tabs>
        <w:tab w:val="left" w:pos="567"/>
      </w:tabs>
      <w:spacing w:line="260" w:lineRule="exact"/>
    </w:pPr>
    <w:rPr>
      <w:b/>
      <w:bCs/>
      <w:i/>
      <w:iCs/>
      <w:szCs w:val="22"/>
      <w:lang w:val="sk-SK" w:eastAsia="en-US"/>
    </w:rPr>
  </w:style>
  <w:style w:type="character" w:customStyle="1" w:styleId="ZkladntextChar">
    <w:name w:val="Základný text Char"/>
    <w:basedOn w:val="Predvolenpsmoodseku"/>
    <w:link w:val="Zkladntext"/>
    <w:rsid w:val="008671AE"/>
    <w:rPr>
      <w:rFonts w:ascii="Times New Roman" w:eastAsia="Times New Roman" w:hAnsi="Times New Roman" w:cs="Times New Roman"/>
      <w:b/>
      <w:bCs/>
      <w:i/>
      <w:iCs/>
      <w:lang w:val="sk-SK"/>
    </w:rPr>
  </w:style>
  <w:style w:type="paragraph" w:customStyle="1" w:styleId="EMEAEnBodyText">
    <w:name w:val="EMEA En Body Text"/>
    <w:basedOn w:val="Normlny"/>
    <w:rsid w:val="008671AE"/>
    <w:pPr>
      <w:spacing w:before="120" w:after="120"/>
      <w:jc w:val="both"/>
    </w:pPr>
    <w:rPr>
      <w:szCs w:val="22"/>
      <w:lang w:eastAsia="en-US"/>
    </w:rPr>
  </w:style>
  <w:style w:type="paragraph" w:styleId="truktradokumentu">
    <w:name w:val="Document Map"/>
    <w:basedOn w:val="Normlny"/>
    <w:link w:val="truktradokumentuChar"/>
    <w:semiHidden/>
    <w:rsid w:val="008671AE"/>
    <w:pPr>
      <w:shd w:val="clear" w:color="auto" w:fill="000080"/>
      <w:tabs>
        <w:tab w:val="left" w:pos="567"/>
      </w:tabs>
      <w:spacing w:line="260" w:lineRule="exact"/>
    </w:pPr>
    <w:rPr>
      <w:rFonts w:ascii="Tahoma" w:hAnsi="Tahoma" w:cs="Tahoma"/>
      <w:szCs w:val="22"/>
      <w:lang w:val="sk-SK" w:eastAsia="en-US"/>
    </w:rPr>
  </w:style>
  <w:style w:type="character" w:customStyle="1" w:styleId="truktradokumentuChar">
    <w:name w:val="Štruktúra dokumentu Char"/>
    <w:basedOn w:val="Predvolenpsmoodseku"/>
    <w:link w:val="truktradokumentu"/>
    <w:semiHidden/>
    <w:rsid w:val="008671AE"/>
    <w:rPr>
      <w:rFonts w:ascii="Tahoma" w:eastAsia="Times New Roman" w:hAnsi="Tahoma" w:cs="Tahoma"/>
      <w:shd w:val="clear" w:color="auto" w:fill="000080"/>
      <w:lang w:val="sk-SK"/>
    </w:rPr>
  </w:style>
  <w:style w:type="paragraph" w:customStyle="1" w:styleId="AHeader1">
    <w:name w:val="AHeader 1"/>
    <w:basedOn w:val="Normlny"/>
    <w:rsid w:val="008671AE"/>
    <w:pPr>
      <w:numPr>
        <w:numId w:val="33"/>
      </w:numPr>
      <w:spacing w:after="120"/>
    </w:pPr>
    <w:rPr>
      <w:rFonts w:ascii="Arial" w:hAnsi="Arial" w:cs="Arial"/>
      <w:b/>
      <w:bCs/>
      <w:sz w:val="24"/>
      <w:szCs w:val="24"/>
      <w:lang w:val="sk-SK" w:eastAsia="en-US"/>
    </w:rPr>
  </w:style>
  <w:style w:type="paragraph" w:customStyle="1" w:styleId="AHeader2">
    <w:name w:val="AHeader 2"/>
    <w:basedOn w:val="AHeader1"/>
    <w:rsid w:val="008671AE"/>
    <w:pPr>
      <w:numPr>
        <w:ilvl w:val="1"/>
      </w:numPr>
    </w:pPr>
    <w:rPr>
      <w:sz w:val="22"/>
      <w:szCs w:val="22"/>
    </w:rPr>
  </w:style>
  <w:style w:type="paragraph" w:customStyle="1" w:styleId="AHeader3">
    <w:name w:val="AHeader 3"/>
    <w:basedOn w:val="AHeader2"/>
    <w:rsid w:val="008671AE"/>
    <w:pPr>
      <w:numPr>
        <w:ilvl w:val="2"/>
      </w:numPr>
    </w:pPr>
  </w:style>
  <w:style w:type="paragraph" w:customStyle="1" w:styleId="AHeader2abc">
    <w:name w:val="AHeader 2 abc"/>
    <w:basedOn w:val="AHeader3"/>
    <w:rsid w:val="008671AE"/>
    <w:pPr>
      <w:numPr>
        <w:ilvl w:val="3"/>
      </w:numPr>
      <w:jc w:val="both"/>
    </w:pPr>
    <w:rPr>
      <w:b w:val="0"/>
      <w:bCs w:val="0"/>
    </w:rPr>
  </w:style>
  <w:style w:type="paragraph" w:customStyle="1" w:styleId="AHeader3abc">
    <w:name w:val="AHeader 3 abc"/>
    <w:basedOn w:val="AHeader2abc"/>
    <w:rsid w:val="008671AE"/>
    <w:pPr>
      <w:numPr>
        <w:ilvl w:val="4"/>
      </w:numPr>
    </w:pPr>
  </w:style>
  <w:style w:type="paragraph" w:styleId="Zarkazkladnhotextu3">
    <w:name w:val="Body Text Indent 3"/>
    <w:basedOn w:val="Normlny"/>
    <w:link w:val="Zarkazkladnhotextu3Char"/>
    <w:rsid w:val="008671AE"/>
    <w:pPr>
      <w:tabs>
        <w:tab w:val="left" w:pos="567"/>
      </w:tabs>
      <w:spacing w:line="260" w:lineRule="exact"/>
      <w:ind w:left="567" w:hanging="567"/>
    </w:pPr>
    <w:rPr>
      <w:i/>
      <w:iCs/>
      <w:color w:val="008000"/>
      <w:szCs w:val="22"/>
      <w:lang w:val="sk-SK" w:eastAsia="en-US"/>
    </w:rPr>
  </w:style>
  <w:style w:type="character" w:customStyle="1" w:styleId="Zarkazkladnhotextu3Char">
    <w:name w:val="Zarážka základného textu 3 Char"/>
    <w:basedOn w:val="Predvolenpsmoodseku"/>
    <w:link w:val="Zarkazkladnhotextu3"/>
    <w:rsid w:val="008671AE"/>
    <w:rPr>
      <w:rFonts w:ascii="Times New Roman" w:eastAsia="Times New Roman" w:hAnsi="Times New Roman" w:cs="Times New Roman"/>
      <w:i/>
      <w:iCs/>
      <w:color w:val="008000"/>
      <w:lang w:val="sk-SK"/>
    </w:rPr>
  </w:style>
  <w:style w:type="character" w:styleId="PouitHypertextovPrepojenie">
    <w:name w:val="FollowedHyperlink"/>
    <w:basedOn w:val="Predvolenpsmoodseku"/>
    <w:rsid w:val="008671AE"/>
    <w:rPr>
      <w:color w:val="800080"/>
      <w:u w:val="single"/>
    </w:rPr>
  </w:style>
  <w:style w:type="paragraph" w:customStyle="1" w:styleId="Default">
    <w:name w:val="Default"/>
    <w:rsid w:val="008671AE"/>
    <w:pPr>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paragraph" w:customStyle="1" w:styleId="Textbubliny1">
    <w:name w:val="Text bubliny1"/>
    <w:basedOn w:val="Normlny"/>
    <w:rsid w:val="008671AE"/>
    <w:pPr>
      <w:tabs>
        <w:tab w:val="left" w:pos="567"/>
      </w:tabs>
      <w:spacing w:line="260" w:lineRule="exact"/>
    </w:pPr>
    <w:rPr>
      <w:sz w:val="16"/>
      <w:szCs w:val="16"/>
      <w:lang w:val="sk-SK" w:eastAsia="en-US"/>
    </w:rPr>
  </w:style>
  <w:style w:type="paragraph" w:customStyle="1" w:styleId="Style6">
    <w:name w:val="Style 6"/>
    <w:rsid w:val="008671AE"/>
    <w:pPr>
      <w:widowControl w:val="0"/>
      <w:autoSpaceDE w:val="0"/>
      <w:autoSpaceDN w:val="0"/>
      <w:adjustRightInd w:val="0"/>
      <w:spacing w:after="0" w:line="240" w:lineRule="auto"/>
    </w:pPr>
    <w:rPr>
      <w:rFonts w:ascii="Times New Roman" w:eastAsia="Times New Roman" w:hAnsi="Times New Roman" w:cs="Times New Roman"/>
      <w:snapToGrid w:val="0"/>
      <w:lang w:val="en-US"/>
    </w:rPr>
  </w:style>
  <w:style w:type="paragraph" w:customStyle="1" w:styleId="Style11">
    <w:name w:val="Style 11"/>
    <w:rsid w:val="008671AE"/>
    <w:pPr>
      <w:widowControl w:val="0"/>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character" w:customStyle="1" w:styleId="tw4winMark">
    <w:name w:val="tw4winMark"/>
    <w:rsid w:val="008671AE"/>
    <w:rPr>
      <w:rFonts w:ascii="Courier New" w:hAnsi="Courier New" w:cs="Courier New"/>
      <w:vanish/>
      <w:color w:val="800080"/>
      <w:sz w:val="24"/>
      <w:szCs w:val="24"/>
      <w:vertAlign w:val="subscript"/>
    </w:rPr>
  </w:style>
  <w:style w:type="character" w:customStyle="1" w:styleId="tw4winError">
    <w:name w:val="tw4winError"/>
    <w:rsid w:val="008671AE"/>
    <w:rPr>
      <w:rFonts w:ascii="Courier New" w:hAnsi="Courier New" w:cs="Courier New"/>
      <w:color w:val="00FF00"/>
      <w:sz w:val="40"/>
      <w:szCs w:val="40"/>
    </w:rPr>
  </w:style>
  <w:style w:type="character" w:customStyle="1" w:styleId="tw4winTerm">
    <w:name w:val="tw4winTerm"/>
    <w:rsid w:val="008671AE"/>
    <w:rPr>
      <w:color w:val="0000FF"/>
    </w:rPr>
  </w:style>
  <w:style w:type="character" w:customStyle="1" w:styleId="tw4winPopup">
    <w:name w:val="tw4winPopup"/>
    <w:rsid w:val="008671AE"/>
    <w:rPr>
      <w:rFonts w:ascii="Courier New" w:hAnsi="Courier New" w:cs="Courier New"/>
      <w:noProof/>
      <w:color w:val="008000"/>
    </w:rPr>
  </w:style>
  <w:style w:type="character" w:customStyle="1" w:styleId="tw4winJump">
    <w:name w:val="tw4winJump"/>
    <w:rsid w:val="008671AE"/>
    <w:rPr>
      <w:rFonts w:ascii="Courier New" w:hAnsi="Courier New" w:cs="Courier New"/>
      <w:noProof/>
      <w:color w:val="008080"/>
    </w:rPr>
  </w:style>
  <w:style w:type="character" w:customStyle="1" w:styleId="tw4winExternal">
    <w:name w:val="tw4winExternal"/>
    <w:rsid w:val="008671AE"/>
    <w:rPr>
      <w:rFonts w:ascii="Courier New" w:hAnsi="Courier New" w:cs="Courier New"/>
      <w:noProof/>
      <w:color w:val="808080"/>
    </w:rPr>
  </w:style>
  <w:style w:type="character" w:customStyle="1" w:styleId="tw4winInternal">
    <w:name w:val="tw4winInternal"/>
    <w:rsid w:val="008671AE"/>
    <w:rPr>
      <w:rFonts w:ascii="Courier New" w:hAnsi="Courier New" w:cs="Courier New"/>
      <w:noProof/>
      <w:color w:val="FF0000"/>
    </w:rPr>
  </w:style>
  <w:style w:type="character" w:customStyle="1" w:styleId="DONOTTRANSLATE">
    <w:name w:val="DO_NOT_TRANSLATE"/>
    <w:rsid w:val="008671AE"/>
    <w:rPr>
      <w:rFonts w:ascii="Courier New" w:hAnsi="Courier New" w:cs="Courier New"/>
      <w:noProof/>
      <w:color w:val="800000"/>
    </w:rPr>
  </w:style>
  <w:style w:type="paragraph" w:customStyle="1" w:styleId="Normlnedoblokusodrkami">
    <w:name w:val="Normálne do bloku s odrážkami"/>
    <w:basedOn w:val="Normlny"/>
    <w:rsid w:val="008671AE"/>
    <w:pPr>
      <w:numPr>
        <w:numId w:val="44"/>
      </w:numPr>
      <w:tabs>
        <w:tab w:val="left" w:pos="567"/>
      </w:tabs>
      <w:spacing w:line="260" w:lineRule="exact"/>
    </w:pPr>
    <w:rPr>
      <w:szCs w:val="22"/>
      <w:lang w:val="sk-SK" w:eastAsia="en-US"/>
    </w:rPr>
  </w:style>
  <w:style w:type="paragraph" w:customStyle="1" w:styleId="SPCnadpis">
    <w:name w:val="SPC nadpis"/>
    <w:basedOn w:val="Nadpis1"/>
    <w:rsid w:val="008671AE"/>
    <w:pPr>
      <w:tabs>
        <w:tab w:val="clear" w:pos="567"/>
      </w:tabs>
      <w:spacing w:line="240" w:lineRule="auto"/>
      <w:jc w:val="center"/>
    </w:pPr>
    <w:rPr>
      <w:caps w:val="0"/>
      <w:sz w:val="22"/>
      <w:szCs w:val="20"/>
      <w:lang w:eastAsia="cs-CZ"/>
    </w:rPr>
  </w:style>
  <w:style w:type="paragraph" w:customStyle="1" w:styleId="DeficiencyCZ">
    <w:name w:val="Deficiency CZ"/>
    <w:basedOn w:val="Normlny"/>
    <w:autoRedefine/>
    <w:rsid w:val="008671AE"/>
    <w:pPr>
      <w:spacing w:before="60" w:after="360"/>
      <w:jc w:val="both"/>
    </w:pPr>
    <w:rPr>
      <w:bCs/>
      <w:i/>
      <w:sz w:val="24"/>
      <w:lang w:val="cs-CZ" w:eastAsia="zh-CN"/>
    </w:rPr>
  </w:style>
  <w:style w:type="paragraph" w:styleId="Normlnywebov">
    <w:name w:val="Normal (Web)"/>
    <w:basedOn w:val="Normlny"/>
    <w:uiPriority w:val="99"/>
    <w:unhideWhenUsed/>
    <w:rsid w:val="008671AE"/>
    <w:pPr>
      <w:spacing w:before="100" w:beforeAutospacing="1" w:after="100" w:afterAutospacing="1"/>
    </w:pPr>
    <w:rPr>
      <w:sz w:val="24"/>
      <w:szCs w:val="24"/>
      <w:lang w:val="cs-CZ"/>
    </w:rPr>
  </w:style>
  <w:style w:type="paragraph" w:styleId="Obsah1">
    <w:name w:val="toc 1"/>
    <w:basedOn w:val="Normlny"/>
    <w:next w:val="Normlny"/>
    <w:autoRedefine/>
    <w:rsid w:val="008671AE"/>
    <w:pPr>
      <w:spacing w:line="260" w:lineRule="exact"/>
    </w:pPr>
    <w:rPr>
      <w:szCs w:val="22"/>
      <w:lang w:val="sk-SK" w:eastAsia="en-US"/>
    </w:rPr>
  </w:style>
  <w:style w:type="paragraph" w:styleId="Obsah2">
    <w:name w:val="toc 2"/>
    <w:basedOn w:val="Normlny"/>
    <w:next w:val="Normlny"/>
    <w:autoRedefine/>
    <w:rsid w:val="008671AE"/>
    <w:pPr>
      <w:spacing w:line="260" w:lineRule="exact"/>
      <w:ind w:left="220"/>
    </w:pPr>
    <w:rPr>
      <w:szCs w:val="22"/>
      <w:lang w:val="sk-SK" w:eastAsia="en-US"/>
    </w:rPr>
  </w:style>
  <w:style w:type="character" w:styleId="Odkaznavysvetlivku">
    <w:name w:val="endnote reference"/>
    <w:basedOn w:val="Predvolenpsmoodseku"/>
    <w:rsid w:val="008671AE"/>
    <w:rPr>
      <w:vertAlign w:val="superscript"/>
    </w:rPr>
  </w:style>
  <w:style w:type="character" w:customStyle="1" w:styleId="StylTun">
    <w:name w:val="Styl Tučné"/>
    <w:basedOn w:val="Predvolenpsmoodseku"/>
    <w:rsid w:val="008671AE"/>
    <w:rPr>
      <w:b/>
      <w:bCs/>
      <w:sz w:val="24"/>
    </w:rPr>
  </w:style>
  <w:style w:type="paragraph" w:styleId="Textpoznmkypodiarou">
    <w:name w:val="footnote text"/>
    <w:basedOn w:val="Normlny"/>
    <w:link w:val="TextpoznmkypodiarouChar"/>
    <w:rsid w:val="008671AE"/>
    <w:pPr>
      <w:tabs>
        <w:tab w:val="left" w:pos="567"/>
      </w:tabs>
      <w:spacing w:line="260" w:lineRule="exact"/>
    </w:pPr>
    <w:rPr>
      <w:sz w:val="20"/>
      <w:lang w:val="sk-SK" w:eastAsia="en-US"/>
    </w:rPr>
  </w:style>
  <w:style w:type="character" w:customStyle="1" w:styleId="TextpoznmkypodiarouChar">
    <w:name w:val="Text poznámky pod čiarou Char"/>
    <w:basedOn w:val="Predvolenpsmoodseku"/>
    <w:link w:val="Textpoznmkypodiarou"/>
    <w:rsid w:val="008671AE"/>
    <w:rPr>
      <w:rFonts w:ascii="Times New Roman" w:eastAsia="Times New Roman" w:hAnsi="Times New Roman" w:cs="Times New Roman"/>
      <w:sz w:val="20"/>
      <w:szCs w:val="20"/>
      <w:lang w:val="sk-SK"/>
    </w:rPr>
  </w:style>
  <w:style w:type="paragraph" w:styleId="Oznaitext">
    <w:name w:val="Block Text"/>
    <w:basedOn w:val="Normlny"/>
    <w:rsid w:val="008671AE"/>
    <w:pPr>
      <w:tabs>
        <w:tab w:val="left" w:pos="2657"/>
      </w:tabs>
      <w:spacing w:before="120"/>
      <w:ind w:left="-37" w:right="-28"/>
    </w:pPr>
    <w:rPr>
      <w:szCs w:val="22"/>
      <w:lang w:val="sk-SK" w:eastAsia="en-US"/>
    </w:rPr>
  </w:style>
  <w:style w:type="paragraph" w:styleId="Textvysvetlivky">
    <w:name w:val="endnote text"/>
    <w:basedOn w:val="Normlny"/>
    <w:next w:val="Normlny"/>
    <w:link w:val="TextvysvetlivkyChar"/>
    <w:rsid w:val="008671AE"/>
    <w:pPr>
      <w:tabs>
        <w:tab w:val="left" w:pos="567"/>
      </w:tabs>
    </w:pPr>
    <w:rPr>
      <w:szCs w:val="22"/>
      <w:lang w:val="sk-SK" w:eastAsia="en-US"/>
    </w:rPr>
  </w:style>
  <w:style w:type="character" w:customStyle="1" w:styleId="TextvysvetlivkyChar">
    <w:name w:val="Text vysvetlivky Char"/>
    <w:basedOn w:val="Predvolenpsmoodseku"/>
    <w:link w:val="Textvysvetlivky"/>
    <w:rsid w:val="008671AE"/>
    <w:rPr>
      <w:rFonts w:ascii="Times New Roman" w:eastAsia="Times New Roman" w:hAnsi="Times New Roman" w:cs="Times New Roman"/>
      <w:lang w:val="sk-SK"/>
    </w:rPr>
  </w:style>
  <w:style w:type="character" w:styleId="Odkaznapoznmkupodiarou">
    <w:name w:val="footnote reference"/>
    <w:basedOn w:val="Predvolenpsmoodseku"/>
    <w:rsid w:val="008671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8671AE"/>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y"/>
    <w:next w:val="Normlny"/>
    <w:link w:val="Nadpis1Char"/>
    <w:qFormat/>
    <w:rsid w:val="008671AE"/>
    <w:pPr>
      <w:tabs>
        <w:tab w:val="left" w:pos="567"/>
      </w:tabs>
      <w:spacing w:before="240" w:after="120" w:line="260" w:lineRule="exact"/>
      <w:ind w:left="357" w:hanging="357"/>
      <w:outlineLvl w:val="0"/>
    </w:pPr>
    <w:rPr>
      <w:b/>
      <w:bCs/>
      <w:caps/>
      <w:sz w:val="26"/>
      <w:szCs w:val="26"/>
      <w:lang w:eastAsia="en-US"/>
    </w:rPr>
  </w:style>
  <w:style w:type="paragraph" w:styleId="Nadpis2">
    <w:name w:val="heading 2"/>
    <w:basedOn w:val="Normlny"/>
    <w:next w:val="Normlny"/>
    <w:link w:val="Nadpis2Char"/>
    <w:qFormat/>
    <w:rsid w:val="008671AE"/>
    <w:pPr>
      <w:keepNext/>
      <w:tabs>
        <w:tab w:val="left" w:pos="567"/>
      </w:tabs>
      <w:spacing w:before="240" w:after="60" w:line="260" w:lineRule="exact"/>
      <w:outlineLvl w:val="1"/>
    </w:pPr>
    <w:rPr>
      <w:rFonts w:ascii="Helvetica" w:hAnsi="Helvetica" w:cs="Helvetica"/>
      <w:b/>
      <w:bCs/>
      <w:i/>
      <w:iCs/>
      <w:sz w:val="24"/>
      <w:szCs w:val="24"/>
      <w:lang w:val="sk-SK" w:eastAsia="en-US"/>
    </w:rPr>
  </w:style>
  <w:style w:type="paragraph" w:styleId="Nadpis3">
    <w:name w:val="heading 3"/>
    <w:basedOn w:val="Normlny"/>
    <w:next w:val="Normlny"/>
    <w:link w:val="Nadpis3Char"/>
    <w:qFormat/>
    <w:rsid w:val="008671AE"/>
    <w:pPr>
      <w:keepNext/>
      <w:keepLines/>
      <w:tabs>
        <w:tab w:val="left" w:pos="567"/>
      </w:tabs>
      <w:spacing w:before="120" w:after="80" w:line="260" w:lineRule="exact"/>
      <w:outlineLvl w:val="2"/>
    </w:pPr>
    <w:rPr>
      <w:b/>
      <w:bCs/>
      <w:kern w:val="28"/>
      <w:sz w:val="24"/>
      <w:szCs w:val="24"/>
      <w:lang w:eastAsia="en-US"/>
    </w:rPr>
  </w:style>
  <w:style w:type="paragraph" w:styleId="Nadpis4">
    <w:name w:val="heading 4"/>
    <w:basedOn w:val="Normlny"/>
    <w:next w:val="Normlny"/>
    <w:link w:val="Nadpis4Char"/>
    <w:qFormat/>
    <w:rsid w:val="008671AE"/>
    <w:pPr>
      <w:keepNext/>
      <w:tabs>
        <w:tab w:val="left" w:pos="567"/>
      </w:tabs>
      <w:spacing w:line="260" w:lineRule="exact"/>
      <w:jc w:val="both"/>
      <w:outlineLvl w:val="3"/>
    </w:pPr>
    <w:rPr>
      <w:b/>
      <w:bCs/>
      <w:noProof/>
      <w:szCs w:val="22"/>
      <w:lang w:val="sk-SK" w:eastAsia="en-US"/>
    </w:rPr>
  </w:style>
  <w:style w:type="paragraph" w:styleId="Nadpis5">
    <w:name w:val="heading 5"/>
    <w:basedOn w:val="Normlny"/>
    <w:next w:val="Normlny"/>
    <w:link w:val="Nadpis5Char"/>
    <w:qFormat/>
    <w:rsid w:val="008671AE"/>
    <w:pPr>
      <w:keepNext/>
      <w:tabs>
        <w:tab w:val="left" w:pos="567"/>
      </w:tabs>
      <w:spacing w:line="260" w:lineRule="exact"/>
      <w:jc w:val="both"/>
      <w:outlineLvl w:val="4"/>
    </w:pPr>
    <w:rPr>
      <w:noProof/>
      <w:szCs w:val="22"/>
      <w:lang w:val="sk-SK" w:eastAsia="en-US"/>
    </w:rPr>
  </w:style>
  <w:style w:type="paragraph" w:styleId="Nadpis6">
    <w:name w:val="heading 6"/>
    <w:basedOn w:val="Normlny"/>
    <w:next w:val="Normlny"/>
    <w:link w:val="Nadpis6Char"/>
    <w:qFormat/>
    <w:rsid w:val="008671AE"/>
    <w:pPr>
      <w:keepNext/>
      <w:tabs>
        <w:tab w:val="left" w:pos="-720"/>
        <w:tab w:val="left" w:pos="567"/>
        <w:tab w:val="left" w:pos="4536"/>
      </w:tabs>
      <w:suppressAutoHyphens/>
      <w:spacing w:line="260" w:lineRule="exact"/>
      <w:outlineLvl w:val="5"/>
    </w:pPr>
    <w:rPr>
      <w:i/>
      <w:iCs/>
      <w:szCs w:val="22"/>
      <w:lang w:val="sk-SK" w:eastAsia="en-US"/>
    </w:rPr>
  </w:style>
  <w:style w:type="paragraph" w:styleId="Nadpis7">
    <w:name w:val="heading 7"/>
    <w:basedOn w:val="Normlny"/>
    <w:next w:val="Normlny"/>
    <w:link w:val="Nadpis7Char"/>
    <w:qFormat/>
    <w:rsid w:val="008671AE"/>
    <w:pPr>
      <w:keepNext/>
      <w:tabs>
        <w:tab w:val="left" w:pos="-720"/>
        <w:tab w:val="left" w:pos="567"/>
        <w:tab w:val="left" w:pos="4536"/>
      </w:tabs>
      <w:suppressAutoHyphens/>
      <w:spacing w:line="260" w:lineRule="exact"/>
      <w:jc w:val="both"/>
      <w:outlineLvl w:val="6"/>
    </w:pPr>
    <w:rPr>
      <w:i/>
      <w:iCs/>
      <w:szCs w:val="22"/>
      <w:lang w:val="sk-SK" w:eastAsia="en-US"/>
    </w:rPr>
  </w:style>
  <w:style w:type="paragraph" w:styleId="Nadpis8">
    <w:name w:val="heading 8"/>
    <w:basedOn w:val="Normlny"/>
    <w:next w:val="Normlny"/>
    <w:link w:val="Nadpis8Char"/>
    <w:qFormat/>
    <w:rsid w:val="008671AE"/>
    <w:pPr>
      <w:keepNext/>
      <w:tabs>
        <w:tab w:val="left" w:pos="567"/>
      </w:tabs>
      <w:spacing w:line="260" w:lineRule="exact"/>
      <w:ind w:left="567" w:hanging="567"/>
      <w:jc w:val="both"/>
      <w:outlineLvl w:val="7"/>
    </w:pPr>
    <w:rPr>
      <w:b/>
      <w:bCs/>
      <w:i/>
      <w:iCs/>
      <w:szCs w:val="22"/>
      <w:lang w:val="sk-SK" w:eastAsia="en-US"/>
    </w:rPr>
  </w:style>
  <w:style w:type="paragraph" w:styleId="Nadpis9">
    <w:name w:val="heading 9"/>
    <w:basedOn w:val="Normlny"/>
    <w:next w:val="Normlny"/>
    <w:link w:val="Nadpis9Char"/>
    <w:qFormat/>
    <w:rsid w:val="008671AE"/>
    <w:pPr>
      <w:keepNext/>
      <w:tabs>
        <w:tab w:val="left" w:pos="567"/>
      </w:tabs>
      <w:spacing w:line="260" w:lineRule="exact"/>
      <w:jc w:val="both"/>
      <w:outlineLvl w:val="8"/>
    </w:pPr>
    <w:rPr>
      <w:b/>
      <w:bCs/>
      <w:i/>
      <w:iCs/>
      <w:szCs w:val="22"/>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165685"/>
  </w:style>
  <w:style w:type="paragraph" w:customStyle="1" w:styleId="Normlndobloku">
    <w:name w:val="Normální do bloku"/>
    <w:basedOn w:val="Normlny"/>
    <w:link w:val="NormlndoblokuChar"/>
    <w:autoRedefine/>
    <w:rsid w:val="00A67EA0"/>
    <w:pPr>
      <w:tabs>
        <w:tab w:val="left" w:pos="4140"/>
      </w:tabs>
      <w:suppressAutoHyphens/>
      <w:spacing w:after="120"/>
    </w:pPr>
    <w:rPr>
      <w:rFonts w:eastAsia="Calibri"/>
      <w:szCs w:val="24"/>
      <w:lang w:val="sk-SK" w:eastAsia="en-US"/>
    </w:rPr>
  </w:style>
  <w:style w:type="character" w:customStyle="1" w:styleId="NormlndoblokuChar">
    <w:name w:val="Normální do bloku Char"/>
    <w:link w:val="Normlndobloku"/>
    <w:rsid w:val="00A67EA0"/>
    <w:rPr>
      <w:rFonts w:ascii="Times New Roman" w:eastAsia="Calibri" w:hAnsi="Times New Roman" w:cs="Times New Roman"/>
      <w:szCs w:val="24"/>
      <w:lang w:val="sk-SK"/>
    </w:rPr>
  </w:style>
  <w:style w:type="paragraph" w:customStyle="1" w:styleId="Styl1">
    <w:name w:val="Styl1"/>
    <w:basedOn w:val="Normlny"/>
    <w:autoRedefine/>
    <w:rsid w:val="008671AE"/>
    <w:pPr>
      <w:keepNext/>
      <w:numPr>
        <w:numId w:val="1"/>
      </w:numPr>
      <w:spacing w:before="360" w:after="120"/>
    </w:pPr>
    <w:rPr>
      <w:b/>
      <w:bCs/>
      <w:caps/>
      <w:szCs w:val="24"/>
      <w:lang w:val="cs-CZ" w:eastAsia="en-US"/>
    </w:rPr>
  </w:style>
  <w:style w:type="paragraph" w:customStyle="1" w:styleId="Styl2">
    <w:name w:val="Styl2"/>
    <w:basedOn w:val="Normlny"/>
    <w:autoRedefine/>
    <w:rsid w:val="008671AE"/>
    <w:pPr>
      <w:keepNext/>
      <w:numPr>
        <w:ilvl w:val="1"/>
        <w:numId w:val="1"/>
      </w:numPr>
      <w:spacing w:before="240" w:after="120"/>
      <w:ind w:left="0" w:firstLine="0"/>
    </w:pPr>
    <w:rPr>
      <w:b/>
      <w:bCs/>
      <w:szCs w:val="22"/>
      <w:lang w:val="cs-CZ" w:eastAsia="en-US"/>
    </w:rPr>
  </w:style>
  <w:style w:type="paragraph" w:customStyle="1" w:styleId="Styl3">
    <w:name w:val="Styl3"/>
    <w:basedOn w:val="Normlndobloku"/>
    <w:link w:val="Styl3Char"/>
    <w:rsid w:val="008671AE"/>
    <w:pPr>
      <w:keepNext/>
      <w:tabs>
        <w:tab w:val="left" w:pos="6946"/>
      </w:tabs>
      <w:suppressAutoHyphens w:val="0"/>
    </w:pPr>
    <w:rPr>
      <w:u w:val="single"/>
    </w:rPr>
  </w:style>
  <w:style w:type="character" w:customStyle="1" w:styleId="Styl3Char">
    <w:name w:val="Styl3 Char"/>
    <w:link w:val="Styl3"/>
    <w:rsid w:val="00281E43"/>
    <w:rPr>
      <w:rFonts w:ascii="Times New Roman" w:eastAsia="Calibri" w:hAnsi="Times New Roman" w:cs="Times New Roman"/>
      <w:szCs w:val="24"/>
      <w:u w:val="single"/>
      <w:lang w:val="sk-SK"/>
    </w:rPr>
  </w:style>
  <w:style w:type="paragraph" w:styleId="Pta">
    <w:name w:val="footer"/>
    <w:basedOn w:val="Normlny"/>
    <w:link w:val="PtaChar"/>
    <w:uiPriority w:val="99"/>
    <w:rsid w:val="008671AE"/>
    <w:pPr>
      <w:tabs>
        <w:tab w:val="center" w:pos="4536"/>
        <w:tab w:val="center" w:pos="8930"/>
      </w:tabs>
    </w:pPr>
    <w:rPr>
      <w:rFonts w:ascii="Helvetica" w:hAnsi="Helvetica" w:cs="Helvetica"/>
      <w:sz w:val="16"/>
      <w:szCs w:val="16"/>
    </w:rPr>
  </w:style>
  <w:style w:type="character" w:customStyle="1" w:styleId="PtaChar">
    <w:name w:val="Päta Char"/>
    <w:basedOn w:val="Predvolenpsmoodseku"/>
    <w:link w:val="Pta"/>
    <w:uiPriority w:val="99"/>
    <w:rsid w:val="00165685"/>
    <w:rPr>
      <w:rFonts w:ascii="Helvetica" w:eastAsia="Times New Roman" w:hAnsi="Helvetica" w:cs="Helvetica"/>
      <w:sz w:val="16"/>
      <w:szCs w:val="16"/>
      <w:lang w:val="en-US" w:eastAsia="cs-CZ"/>
    </w:rPr>
  </w:style>
  <w:style w:type="paragraph" w:customStyle="1" w:styleId="Normlndoblokusodrkami">
    <w:name w:val="Normální do bloku s odrážkami"/>
    <w:basedOn w:val="Normlndobloku"/>
    <w:next w:val="Normlndobloku"/>
    <w:autoRedefine/>
    <w:qFormat/>
    <w:rsid w:val="008671AE"/>
    <w:pPr>
      <w:numPr>
        <w:numId w:val="2"/>
      </w:numPr>
      <w:tabs>
        <w:tab w:val="clear" w:pos="4140"/>
        <w:tab w:val="left" w:pos="360"/>
      </w:tabs>
    </w:pPr>
    <w:rPr>
      <w:noProof/>
    </w:rPr>
  </w:style>
  <w:style w:type="character" w:customStyle="1" w:styleId="Bacil">
    <w:name w:val="Bacil"/>
    <w:qFormat/>
    <w:rsid w:val="00165685"/>
    <w:rPr>
      <w:i/>
    </w:rPr>
  </w:style>
  <w:style w:type="paragraph" w:customStyle="1" w:styleId="SPCaPILhlavika">
    <w:name w:val="SPC a PIL hlavička"/>
    <w:basedOn w:val="Normlny"/>
    <w:autoRedefine/>
    <w:qFormat/>
    <w:rsid w:val="00F24F5C"/>
    <w:pPr>
      <w:spacing w:before="240" w:after="120"/>
      <w:jc w:val="center"/>
    </w:pPr>
    <w:rPr>
      <w:b/>
      <w:lang w:val="sk-SK" w:eastAsia="en-US"/>
    </w:rPr>
  </w:style>
  <w:style w:type="paragraph" w:customStyle="1" w:styleId="Nadpisuvnittabulky">
    <w:name w:val="Nadpis uvnitř tabulky"/>
    <w:basedOn w:val="Normlny"/>
    <w:autoRedefine/>
    <w:qFormat/>
    <w:rsid w:val="00165685"/>
    <w:pPr>
      <w:suppressAutoHyphens/>
      <w:spacing w:before="120" w:after="120"/>
    </w:pPr>
    <w:rPr>
      <w:rFonts w:ascii="TimesNewRoman" w:eastAsia="Calibri" w:hAnsi="TimesNewRoman" w:cs="TimesNewRoman"/>
      <w:b/>
      <w:lang w:val="cs-CZ" w:eastAsia="en-US"/>
    </w:rPr>
  </w:style>
  <w:style w:type="paragraph" w:customStyle="1" w:styleId="Tabulkynormlndoblokuzarovnndoleva">
    <w:name w:val="Tabulky = normální do bloku + zarovnání doleva"/>
    <w:basedOn w:val="Normlndobloku"/>
    <w:autoRedefine/>
    <w:rsid w:val="00165685"/>
    <w:pPr>
      <w:tabs>
        <w:tab w:val="clear" w:pos="4140"/>
      </w:tabs>
    </w:pPr>
    <w:rPr>
      <w:rFonts w:cs="TimesNewRoman"/>
      <w:szCs w:val="20"/>
    </w:rPr>
  </w:style>
  <w:style w:type="paragraph" w:styleId="Hlavika">
    <w:name w:val="header"/>
    <w:basedOn w:val="Normlny"/>
    <w:link w:val="HlavikaChar"/>
    <w:unhideWhenUsed/>
    <w:rsid w:val="008671AE"/>
    <w:pPr>
      <w:tabs>
        <w:tab w:val="center" w:pos="4536"/>
        <w:tab w:val="right" w:pos="9072"/>
      </w:tabs>
    </w:pPr>
  </w:style>
  <w:style w:type="character" w:customStyle="1" w:styleId="HlavikaChar">
    <w:name w:val="Hlavička Char"/>
    <w:basedOn w:val="Predvolenpsmoodseku"/>
    <w:link w:val="Hlavika"/>
    <w:rsid w:val="001B57DB"/>
    <w:rPr>
      <w:rFonts w:ascii="Times New Roman" w:eastAsia="Times New Roman" w:hAnsi="Times New Roman" w:cs="Times New Roman"/>
      <w:szCs w:val="20"/>
      <w:lang w:val="en-US" w:eastAsia="cs-CZ"/>
    </w:rPr>
  </w:style>
  <w:style w:type="paragraph" w:styleId="Textbubliny">
    <w:name w:val="Balloon Text"/>
    <w:basedOn w:val="Normlny"/>
    <w:link w:val="TextbublinyChar"/>
    <w:semiHidden/>
    <w:unhideWhenUsed/>
    <w:rsid w:val="008671AE"/>
    <w:rPr>
      <w:rFonts w:ascii="Segoe UI" w:hAnsi="Segoe UI" w:cs="Segoe UI"/>
      <w:sz w:val="18"/>
      <w:szCs w:val="18"/>
    </w:rPr>
  </w:style>
  <w:style w:type="character" w:customStyle="1" w:styleId="TextbublinyChar">
    <w:name w:val="Text bubliny Char"/>
    <w:basedOn w:val="Predvolenpsmoodseku"/>
    <w:link w:val="Textbubliny"/>
    <w:semiHidden/>
    <w:rsid w:val="001B57DB"/>
    <w:rPr>
      <w:rFonts w:ascii="Segoe UI" w:eastAsia="Times New Roman" w:hAnsi="Segoe UI" w:cs="Segoe UI"/>
      <w:sz w:val="18"/>
      <w:szCs w:val="18"/>
      <w:lang w:val="en-US" w:eastAsia="cs-CZ"/>
    </w:rPr>
  </w:style>
  <w:style w:type="paragraph" w:customStyle="1" w:styleId="Styl4">
    <w:name w:val="Styl4"/>
    <w:basedOn w:val="Styl3"/>
    <w:autoRedefine/>
    <w:qFormat/>
    <w:rsid w:val="008671AE"/>
    <w:pPr>
      <w:spacing w:after="60"/>
    </w:pPr>
    <w:rPr>
      <w:i/>
      <w:u w:val="none"/>
    </w:rPr>
  </w:style>
  <w:style w:type="paragraph" w:customStyle="1" w:styleId="Styl5">
    <w:name w:val="Styl5"/>
    <w:basedOn w:val="Nadpisuvnittabulky"/>
    <w:autoRedefine/>
    <w:qFormat/>
    <w:rsid w:val="00F80108"/>
    <w:pPr>
      <w:keepNext/>
    </w:pPr>
  </w:style>
  <w:style w:type="character" w:styleId="Hypertextovprepojenie">
    <w:name w:val="Hyperlink"/>
    <w:basedOn w:val="Predvolenpsmoodseku"/>
    <w:unhideWhenUsed/>
    <w:rsid w:val="008671AE"/>
    <w:rPr>
      <w:color w:val="0563C1" w:themeColor="hyperlink"/>
      <w:u w:val="single"/>
    </w:rPr>
  </w:style>
  <w:style w:type="character" w:customStyle="1" w:styleId="Zmienka1">
    <w:name w:val="Zmienka1"/>
    <w:basedOn w:val="Predvolenpsmoodseku"/>
    <w:uiPriority w:val="99"/>
    <w:semiHidden/>
    <w:unhideWhenUsed/>
    <w:rsid w:val="00BD10A6"/>
    <w:rPr>
      <w:color w:val="2B579A"/>
      <w:shd w:val="clear" w:color="auto" w:fill="E6E6E6"/>
    </w:rPr>
  </w:style>
  <w:style w:type="paragraph" w:styleId="Revzia">
    <w:name w:val="Revision"/>
    <w:hidden/>
    <w:uiPriority w:val="99"/>
    <w:semiHidden/>
    <w:rsid w:val="008F7923"/>
    <w:pPr>
      <w:spacing w:after="0" w:line="240" w:lineRule="auto"/>
    </w:pPr>
    <w:rPr>
      <w:rFonts w:ascii="Times New Roman" w:eastAsia="Times New Roman" w:hAnsi="Times New Roman" w:cs="Times New Roman"/>
      <w:szCs w:val="20"/>
      <w:lang w:val="en-US" w:eastAsia="cs-CZ"/>
    </w:rPr>
  </w:style>
  <w:style w:type="table" w:styleId="Mriekatabuky">
    <w:name w:val="Table Grid"/>
    <w:basedOn w:val="Normlnatabuka"/>
    <w:rsid w:val="00AE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unhideWhenUsed/>
    <w:rsid w:val="008671AE"/>
    <w:rPr>
      <w:sz w:val="16"/>
      <w:szCs w:val="16"/>
    </w:rPr>
  </w:style>
  <w:style w:type="paragraph" w:styleId="Textkomentra">
    <w:name w:val="annotation text"/>
    <w:basedOn w:val="Normlny"/>
    <w:link w:val="TextkomentraChar"/>
    <w:uiPriority w:val="99"/>
    <w:semiHidden/>
    <w:unhideWhenUsed/>
    <w:rsid w:val="008671AE"/>
    <w:rPr>
      <w:sz w:val="20"/>
    </w:rPr>
  </w:style>
  <w:style w:type="character" w:customStyle="1" w:styleId="TextkomentraChar">
    <w:name w:val="Text komentára Char"/>
    <w:basedOn w:val="Predvolenpsmoodseku"/>
    <w:link w:val="Textkomentra"/>
    <w:uiPriority w:val="99"/>
    <w:semiHidden/>
    <w:rsid w:val="00CD0FF0"/>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semiHidden/>
    <w:unhideWhenUsed/>
    <w:rsid w:val="008671AE"/>
    <w:rPr>
      <w:b/>
      <w:bCs/>
    </w:rPr>
  </w:style>
  <w:style w:type="character" w:customStyle="1" w:styleId="PredmetkomentraChar">
    <w:name w:val="Predmet komentára Char"/>
    <w:basedOn w:val="TextkomentraChar"/>
    <w:link w:val="Predmetkomentra"/>
    <w:semiHidden/>
    <w:rsid w:val="00CD0FF0"/>
    <w:rPr>
      <w:rFonts w:ascii="Times New Roman" w:eastAsia="Times New Roman" w:hAnsi="Times New Roman" w:cs="Times New Roman"/>
      <w:b/>
      <w:bCs/>
      <w:sz w:val="20"/>
      <w:szCs w:val="20"/>
      <w:lang w:val="en-US" w:eastAsia="cs-CZ"/>
    </w:rPr>
  </w:style>
  <w:style w:type="character" w:customStyle="1" w:styleId="Nadpis1Char">
    <w:name w:val="Nadpis 1 Char"/>
    <w:basedOn w:val="Predvolenpsmoodseku"/>
    <w:link w:val="Nadpis1"/>
    <w:rsid w:val="008671AE"/>
    <w:rPr>
      <w:rFonts w:ascii="Times New Roman" w:eastAsia="Times New Roman" w:hAnsi="Times New Roman" w:cs="Times New Roman"/>
      <w:b/>
      <w:bCs/>
      <w:caps/>
      <w:sz w:val="26"/>
      <w:szCs w:val="26"/>
      <w:lang w:val="en-US"/>
    </w:rPr>
  </w:style>
  <w:style w:type="character" w:customStyle="1" w:styleId="Nadpis2Char">
    <w:name w:val="Nadpis 2 Char"/>
    <w:basedOn w:val="Predvolenpsmoodseku"/>
    <w:link w:val="Nadpis2"/>
    <w:rsid w:val="008671AE"/>
    <w:rPr>
      <w:rFonts w:ascii="Helvetica" w:eastAsia="Times New Roman" w:hAnsi="Helvetica" w:cs="Helvetica"/>
      <w:b/>
      <w:bCs/>
      <w:i/>
      <w:iCs/>
      <w:sz w:val="24"/>
      <w:szCs w:val="24"/>
      <w:lang w:val="sk-SK"/>
    </w:rPr>
  </w:style>
  <w:style w:type="character" w:customStyle="1" w:styleId="Nadpis3Char">
    <w:name w:val="Nadpis 3 Char"/>
    <w:basedOn w:val="Predvolenpsmoodseku"/>
    <w:link w:val="Nadpis3"/>
    <w:rsid w:val="008671AE"/>
    <w:rPr>
      <w:rFonts w:ascii="Times New Roman" w:eastAsia="Times New Roman" w:hAnsi="Times New Roman" w:cs="Times New Roman"/>
      <w:b/>
      <w:bCs/>
      <w:kern w:val="28"/>
      <w:sz w:val="24"/>
      <w:szCs w:val="24"/>
      <w:lang w:val="en-US"/>
    </w:rPr>
  </w:style>
  <w:style w:type="character" w:customStyle="1" w:styleId="Nadpis4Char">
    <w:name w:val="Nadpis 4 Char"/>
    <w:basedOn w:val="Predvolenpsmoodseku"/>
    <w:link w:val="Nadpis4"/>
    <w:rsid w:val="008671AE"/>
    <w:rPr>
      <w:rFonts w:ascii="Times New Roman" w:eastAsia="Times New Roman" w:hAnsi="Times New Roman" w:cs="Times New Roman"/>
      <w:b/>
      <w:bCs/>
      <w:noProof/>
      <w:lang w:val="sk-SK"/>
    </w:rPr>
  </w:style>
  <w:style w:type="character" w:customStyle="1" w:styleId="Nadpis5Char">
    <w:name w:val="Nadpis 5 Char"/>
    <w:basedOn w:val="Predvolenpsmoodseku"/>
    <w:link w:val="Nadpis5"/>
    <w:rsid w:val="008671AE"/>
    <w:rPr>
      <w:rFonts w:ascii="Times New Roman" w:eastAsia="Times New Roman" w:hAnsi="Times New Roman" w:cs="Times New Roman"/>
      <w:noProof/>
      <w:lang w:val="sk-SK"/>
    </w:rPr>
  </w:style>
  <w:style w:type="character" w:customStyle="1" w:styleId="Nadpis6Char">
    <w:name w:val="Nadpis 6 Char"/>
    <w:basedOn w:val="Predvolenpsmoodseku"/>
    <w:link w:val="Nadpis6"/>
    <w:rsid w:val="008671AE"/>
    <w:rPr>
      <w:rFonts w:ascii="Times New Roman" w:eastAsia="Times New Roman" w:hAnsi="Times New Roman" w:cs="Times New Roman"/>
      <w:i/>
      <w:iCs/>
      <w:lang w:val="sk-SK"/>
    </w:rPr>
  </w:style>
  <w:style w:type="character" w:customStyle="1" w:styleId="Nadpis7Char">
    <w:name w:val="Nadpis 7 Char"/>
    <w:basedOn w:val="Predvolenpsmoodseku"/>
    <w:link w:val="Nadpis7"/>
    <w:rsid w:val="008671AE"/>
    <w:rPr>
      <w:rFonts w:ascii="Times New Roman" w:eastAsia="Times New Roman" w:hAnsi="Times New Roman" w:cs="Times New Roman"/>
      <w:i/>
      <w:iCs/>
      <w:lang w:val="sk-SK"/>
    </w:rPr>
  </w:style>
  <w:style w:type="character" w:customStyle="1" w:styleId="Nadpis8Char">
    <w:name w:val="Nadpis 8 Char"/>
    <w:basedOn w:val="Predvolenpsmoodseku"/>
    <w:link w:val="Nadpis8"/>
    <w:rsid w:val="008671AE"/>
    <w:rPr>
      <w:rFonts w:ascii="Times New Roman" w:eastAsia="Times New Roman" w:hAnsi="Times New Roman" w:cs="Times New Roman"/>
      <w:b/>
      <w:bCs/>
      <w:i/>
      <w:iCs/>
      <w:lang w:val="sk-SK"/>
    </w:rPr>
  </w:style>
  <w:style w:type="character" w:customStyle="1" w:styleId="Nadpis9Char">
    <w:name w:val="Nadpis 9 Char"/>
    <w:basedOn w:val="Predvolenpsmoodseku"/>
    <w:link w:val="Nadpis9"/>
    <w:rsid w:val="008671AE"/>
    <w:rPr>
      <w:rFonts w:ascii="Times New Roman" w:eastAsia="Times New Roman" w:hAnsi="Times New Roman" w:cs="Times New Roman"/>
      <w:b/>
      <w:bCs/>
      <w:i/>
      <w:iCs/>
      <w:lang w:val="sk-SK"/>
    </w:rPr>
  </w:style>
  <w:style w:type="paragraph" w:styleId="Zarkazkladnhotextu">
    <w:name w:val="Body Text Indent"/>
    <w:basedOn w:val="Normlny"/>
    <w:link w:val="ZarkazkladnhotextuChar"/>
    <w:rsid w:val="008671AE"/>
    <w:pPr>
      <w:ind w:left="567" w:hanging="567"/>
    </w:pPr>
    <w:rPr>
      <w:b/>
      <w:bCs/>
      <w:color w:val="808080"/>
      <w:szCs w:val="22"/>
      <w:lang w:val="sk-SK" w:eastAsia="en-US"/>
    </w:rPr>
  </w:style>
  <w:style w:type="character" w:customStyle="1" w:styleId="ZarkazkladnhotextuChar">
    <w:name w:val="Zarážka základného textu Char"/>
    <w:basedOn w:val="Predvolenpsmoodseku"/>
    <w:link w:val="Zarkazkladnhotextu"/>
    <w:rsid w:val="008671AE"/>
    <w:rPr>
      <w:rFonts w:ascii="Times New Roman" w:eastAsia="Times New Roman" w:hAnsi="Times New Roman" w:cs="Times New Roman"/>
      <w:b/>
      <w:bCs/>
      <w:color w:val="808080"/>
      <w:lang w:val="sk-SK"/>
    </w:rPr>
  </w:style>
  <w:style w:type="paragraph" w:styleId="Zkladntext3">
    <w:name w:val="Body Text 3"/>
    <w:basedOn w:val="Normlny"/>
    <w:link w:val="Zkladntext3Char"/>
    <w:rsid w:val="008671AE"/>
    <w:pPr>
      <w:tabs>
        <w:tab w:val="left" w:pos="567"/>
      </w:tabs>
      <w:spacing w:line="260" w:lineRule="exact"/>
      <w:jc w:val="both"/>
    </w:pPr>
    <w:rPr>
      <w:b/>
      <w:bCs/>
      <w:i/>
      <w:iCs/>
      <w:szCs w:val="22"/>
      <w:lang w:val="sk-SK" w:eastAsia="en-US"/>
    </w:rPr>
  </w:style>
  <w:style w:type="character" w:customStyle="1" w:styleId="Zkladntext3Char">
    <w:name w:val="Základný text 3 Char"/>
    <w:basedOn w:val="Predvolenpsmoodseku"/>
    <w:link w:val="Zkladntext3"/>
    <w:rsid w:val="008671AE"/>
    <w:rPr>
      <w:rFonts w:ascii="Times New Roman" w:eastAsia="Times New Roman" w:hAnsi="Times New Roman" w:cs="Times New Roman"/>
      <w:b/>
      <w:bCs/>
      <w:i/>
      <w:iCs/>
      <w:lang w:val="sk-SK"/>
    </w:rPr>
  </w:style>
  <w:style w:type="paragraph" w:styleId="Zarkazkladnhotextu2">
    <w:name w:val="Body Text Indent 2"/>
    <w:basedOn w:val="Normlny"/>
    <w:link w:val="Zarkazkladnhotextu2Char"/>
    <w:rsid w:val="008671AE"/>
    <w:pPr>
      <w:tabs>
        <w:tab w:val="left" w:pos="567"/>
      </w:tabs>
      <w:spacing w:line="260" w:lineRule="exact"/>
      <w:ind w:left="567" w:hanging="567"/>
      <w:jc w:val="both"/>
    </w:pPr>
    <w:rPr>
      <w:b/>
      <w:bCs/>
      <w:szCs w:val="22"/>
      <w:lang w:val="sk-SK" w:eastAsia="en-US"/>
    </w:rPr>
  </w:style>
  <w:style w:type="character" w:customStyle="1" w:styleId="Zarkazkladnhotextu2Char">
    <w:name w:val="Zarážka základného textu 2 Char"/>
    <w:basedOn w:val="Predvolenpsmoodseku"/>
    <w:link w:val="Zarkazkladnhotextu2"/>
    <w:rsid w:val="008671AE"/>
    <w:rPr>
      <w:rFonts w:ascii="Times New Roman" w:eastAsia="Times New Roman" w:hAnsi="Times New Roman" w:cs="Times New Roman"/>
      <w:b/>
      <w:bCs/>
      <w:lang w:val="sk-SK"/>
    </w:rPr>
  </w:style>
  <w:style w:type="paragraph" w:styleId="Zkladntext">
    <w:name w:val="Body Text"/>
    <w:basedOn w:val="Normlny"/>
    <w:link w:val="ZkladntextChar"/>
    <w:rsid w:val="008671AE"/>
    <w:pPr>
      <w:tabs>
        <w:tab w:val="left" w:pos="567"/>
      </w:tabs>
      <w:spacing w:line="260" w:lineRule="exact"/>
    </w:pPr>
    <w:rPr>
      <w:b/>
      <w:bCs/>
      <w:i/>
      <w:iCs/>
      <w:szCs w:val="22"/>
      <w:lang w:val="sk-SK" w:eastAsia="en-US"/>
    </w:rPr>
  </w:style>
  <w:style w:type="character" w:customStyle="1" w:styleId="ZkladntextChar">
    <w:name w:val="Základný text Char"/>
    <w:basedOn w:val="Predvolenpsmoodseku"/>
    <w:link w:val="Zkladntext"/>
    <w:rsid w:val="008671AE"/>
    <w:rPr>
      <w:rFonts w:ascii="Times New Roman" w:eastAsia="Times New Roman" w:hAnsi="Times New Roman" w:cs="Times New Roman"/>
      <w:b/>
      <w:bCs/>
      <w:i/>
      <w:iCs/>
      <w:lang w:val="sk-SK"/>
    </w:rPr>
  </w:style>
  <w:style w:type="paragraph" w:customStyle="1" w:styleId="EMEAEnBodyText">
    <w:name w:val="EMEA En Body Text"/>
    <w:basedOn w:val="Normlny"/>
    <w:rsid w:val="008671AE"/>
    <w:pPr>
      <w:spacing w:before="120" w:after="120"/>
      <w:jc w:val="both"/>
    </w:pPr>
    <w:rPr>
      <w:szCs w:val="22"/>
      <w:lang w:eastAsia="en-US"/>
    </w:rPr>
  </w:style>
  <w:style w:type="paragraph" w:styleId="truktradokumentu">
    <w:name w:val="Document Map"/>
    <w:basedOn w:val="Normlny"/>
    <w:link w:val="truktradokumentuChar"/>
    <w:semiHidden/>
    <w:rsid w:val="008671AE"/>
    <w:pPr>
      <w:shd w:val="clear" w:color="auto" w:fill="000080"/>
      <w:tabs>
        <w:tab w:val="left" w:pos="567"/>
      </w:tabs>
      <w:spacing w:line="260" w:lineRule="exact"/>
    </w:pPr>
    <w:rPr>
      <w:rFonts w:ascii="Tahoma" w:hAnsi="Tahoma" w:cs="Tahoma"/>
      <w:szCs w:val="22"/>
      <w:lang w:val="sk-SK" w:eastAsia="en-US"/>
    </w:rPr>
  </w:style>
  <w:style w:type="character" w:customStyle="1" w:styleId="truktradokumentuChar">
    <w:name w:val="Štruktúra dokumentu Char"/>
    <w:basedOn w:val="Predvolenpsmoodseku"/>
    <w:link w:val="truktradokumentu"/>
    <w:semiHidden/>
    <w:rsid w:val="008671AE"/>
    <w:rPr>
      <w:rFonts w:ascii="Tahoma" w:eastAsia="Times New Roman" w:hAnsi="Tahoma" w:cs="Tahoma"/>
      <w:shd w:val="clear" w:color="auto" w:fill="000080"/>
      <w:lang w:val="sk-SK"/>
    </w:rPr>
  </w:style>
  <w:style w:type="paragraph" w:customStyle="1" w:styleId="AHeader1">
    <w:name w:val="AHeader 1"/>
    <w:basedOn w:val="Normlny"/>
    <w:rsid w:val="008671AE"/>
    <w:pPr>
      <w:numPr>
        <w:numId w:val="33"/>
      </w:numPr>
      <w:spacing w:after="120"/>
    </w:pPr>
    <w:rPr>
      <w:rFonts w:ascii="Arial" w:hAnsi="Arial" w:cs="Arial"/>
      <w:b/>
      <w:bCs/>
      <w:sz w:val="24"/>
      <w:szCs w:val="24"/>
      <w:lang w:val="sk-SK" w:eastAsia="en-US"/>
    </w:rPr>
  </w:style>
  <w:style w:type="paragraph" w:customStyle="1" w:styleId="AHeader2">
    <w:name w:val="AHeader 2"/>
    <w:basedOn w:val="AHeader1"/>
    <w:rsid w:val="008671AE"/>
    <w:pPr>
      <w:numPr>
        <w:ilvl w:val="1"/>
      </w:numPr>
    </w:pPr>
    <w:rPr>
      <w:sz w:val="22"/>
      <w:szCs w:val="22"/>
    </w:rPr>
  </w:style>
  <w:style w:type="paragraph" w:customStyle="1" w:styleId="AHeader3">
    <w:name w:val="AHeader 3"/>
    <w:basedOn w:val="AHeader2"/>
    <w:rsid w:val="008671AE"/>
    <w:pPr>
      <w:numPr>
        <w:ilvl w:val="2"/>
      </w:numPr>
    </w:pPr>
  </w:style>
  <w:style w:type="paragraph" w:customStyle="1" w:styleId="AHeader2abc">
    <w:name w:val="AHeader 2 abc"/>
    <w:basedOn w:val="AHeader3"/>
    <w:rsid w:val="008671AE"/>
    <w:pPr>
      <w:numPr>
        <w:ilvl w:val="3"/>
      </w:numPr>
      <w:jc w:val="both"/>
    </w:pPr>
    <w:rPr>
      <w:b w:val="0"/>
      <w:bCs w:val="0"/>
    </w:rPr>
  </w:style>
  <w:style w:type="paragraph" w:customStyle="1" w:styleId="AHeader3abc">
    <w:name w:val="AHeader 3 abc"/>
    <w:basedOn w:val="AHeader2abc"/>
    <w:rsid w:val="008671AE"/>
    <w:pPr>
      <w:numPr>
        <w:ilvl w:val="4"/>
      </w:numPr>
    </w:pPr>
  </w:style>
  <w:style w:type="paragraph" w:styleId="Zarkazkladnhotextu3">
    <w:name w:val="Body Text Indent 3"/>
    <w:basedOn w:val="Normlny"/>
    <w:link w:val="Zarkazkladnhotextu3Char"/>
    <w:rsid w:val="008671AE"/>
    <w:pPr>
      <w:tabs>
        <w:tab w:val="left" w:pos="567"/>
      </w:tabs>
      <w:spacing w:line="260" w:lineRule="exact"/>
      <w:ind w:left="567" w:hanging="567"/>
    </w:pPr>
    <w:rPr>
      <w:i/>
      <w:iCs/>
      <w:color w:val="008000"/>
      <w:szCs w:val="22"/>
      <w:lang w:val="sk-SK" w:eastAsia="en-US"/>
    </w:rPr>
  </w:style>
  <w:style w:type="character" w:customStyle="1" w:styleId="Zarkazkladnhotextu3Char">
    <w:name w:val="Zarážka základného textu 3 Char"/>
    <w:basedOn w:val="Predvolenpsmoodseku"/>
    <w:link w:val="Zarkazkladnhotextu3"/>
    <w:rsid w:val="008671AE"/>
    <w:rPr>
      <w:rFonts w:ascii="Times New Roman" w:eastAsia="Times New Roman" w:hAnsi="Times New Roman" w:cs="Times New Roman"/>
      <w:i/>
      <w:iCs/>
      <w:color w:val="008000"/>
      <w:lang w:val="sk-SK"/>
    </w:rPr>
  </w:style>
  <w:style w:type="character" w:styleId="PouitHypertextovPrepojenie">
    <w:name w:val="FollowedHyperlink"/>
    <w:basedOn w:val="Predvolenpsmoodseku"/>
    <w:rsid w:val="008671AE"/>
    <w:rPr>
      <w:color w:val="800080"/>
      <w:u w:val="single"/>
    </w:rPr>
  </w:style>
  <w:style w:type="paragraph" w:customStyle="1" w:styleId="Default">
    <w:name w:val="Default"/>
    <w:rsid w:val="008671AE"/>
    <w:pPr>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paragraph" w:customStyle="1" w:styleId="Textbubliny1">
    <w:name w:val="Text bubliny1"/>
    <w:basedOn w:val="Normlny"/>
    <w:rsid w:val="008671AE"/>
    <w:pPr>
      <w:tabs>
        <w:tab w:val="left" w:pos="567"/>
      </w:tabs>
      <w:spacing w:line="260" w:lineRule="exact"/>
    </w:pPr>
    <w:rPr>
      <w:sz w:val="16"/>
      <w:szCs w:val="16"/>
      <w:lang w:val="sk-SK" w:eastAsia="en-US"/>
    </w:rPr>
  </w:style>
  <w:style w:type="paragraph" w:customStyle="1" w:styleId="Style6">
    <w:name w:val="Style 6"/>
    <w:rsid w:val="008671AE"/>
    <w:pPr>
      <w:widowControl w:val="0"/>
      <w:autoSpaceDE w:val="0"/>
      <w:autoSpaceDN w:val="0"/>
      <w:adjustRightInd w:val="0"/>
      <w:spacing w:after="0" w:line="240" w:lineRule="auto"/>
    </w:pPr>
    <w:rPr>
      <w:rFonts w:ascii="Times New Roman" w:eastAsia="Times New Roman" w:hAnsi="Times New Roman" w:cs="Times New Roman"/>
      <w:snapToGrid w:val="0"/>
      <w:lang w:val="en-US"/>
    </w:rPr>
  </w:style>
  <w:style w:type="paragraph" w:customStyle="1" w:styleId="Style11">
    <w:name w:val="Style 11"/>
    <w:rsid w:val="008671AE"/>
    <w:pPr>
      <w:widowControl w:val="0"/>
      <w:autoSpaceDE w:val="0"/>
      <w:autoSpaceDN w:val="0"/>
      <w:adjustRightInd w:val="0"/>
      <w:spacing w:after="0" w:line="240" w:lineRule="auto"/>
    </w:pPr>
    <w:rPr>
      <w:rFonts w:ascii="Times New Roman" w:eastAsia="Times New Roman" w:hAnsi="Times New Roman" w:cs="Times New Roman"/>
      <w:snapToGrid w:val="0"/>
      <w:sz w:val="20"/>
      <w:szCs w:val="20"/>
      <w:lang w:val="en-US"/>
    </w:rPr>
  </w:style>
  <w:style w:type="character" w:customStyle="1" w:styleId="tw4winMark">
    <w:name w:val="tw4winMark"/>
    <w:rsid w:val="008671AE"/>
    <w:rPr>
      <w:rFonts w:ascii="Courier New" w:hAnsi="Courier New" w:cs="Courier New"/>
      <w:vanish/>
      <w:color w:val="800080"/>
      <w:sz w:val="24"/>
      <w:szCs w:val="24"/>
      <w:vertAlign w:val="subscript"/>
    </w:rPr>
  </w:style>
  <w:style w:type="character" w:customStyle="1" w:styleId="tw4winError">
    <w:name w:val="tw4winError"/>
    <w:rsid w:val="008671AE"/>
    <w:rPr>
      <w:rFonts w:ascii="Courier New" w:hAnsi="Courier New" w:cs="Courier New"/>
      <w:color w:val="00FF00"/>
      <w:sz w:val="40"/>
      <w:szCs w:val="40"/>
    </w:rPr>
  </w:style>
  <w:style w:type="character" w:customStyle="1" w:styleId="tw4winTerm">
    <w:name w:val="tw4winTerm"/>
    <w:rsid w:val="008671AE"/>
    <w:rPr>
      <w:color w:val="0000FF"/>
    </w:rPr>
  </w:style>
  <w:style w:type="character" w:customStyle="1" w:styleId="tw4winPopup">
    <w:name w:val="tw4winPopup"/>
    <w:rsid w:val="008671AE"/>
    <w:rPr>
      <w:rFonts w:ascii="Courier New" w:hAnsi="Courier New" w:cs="Courier New"/>
      <w:noProof/>
      <w:color w:val="008000"/>
    </w:rPr>
  </w:style>
  <w:style w:type="character" w:customStyle="1" w:styleId="tw4winJump">
    <w:name w:val="tw4winJump"/>
    <w:rsid w:val="008671AE"/>
    <w:rPr>
      <w:rFonts w:ascii="Courier New" w:hAnsi="Courier New" w:cs="Courier New"/>
      <w:noProof/>
      <w:color w:val="008080"/>
    </w:rPr>
  </w:style>
  <w:style w:type="character" w:customStyle="1" w:styleId="tw4winExternal">
    <w:name w:val="tw4winExternal"/>
    <w:rsid w:val="008671AE"/>
    <w:rPr>
      <w:rFonts w:ascii="Courier New" w:hAnsi="Courier New" w:cs="Courier New"/>
      <w:noProof/>
      <w:color w:val="808080"/>
    </w:rPr>
  </w:style>
  <w:style w:type="character" w:customStyle="1" w:styleId="tw4winInternal">
    <w:name w:val="tw4winInternal"/>
    <w:rsid w:val="008671AE"/>
    <w:rPr>
      <w:rFonts w:ascii="Courier New" w:hAnsi="Courier New" w:cs="Courier New"/>
      <w:noProof/>
      <w:color w:val="FF0000"/>
    </w:rPr>
  </w:style>
  <w:style w:type="character" w:customStyle="1" w:styleId="DONOTTRANSLATE">
    <w:name w:val="DO_NOT_TRANSLATE"/>
    <w:rsid w:val="008671AE"/>
    <w:rPr>
      <w:rFonts w:ascii="Courier New" w:hAnsi="Courier New" w:cs="Courier New"/>
      <w:noProof/>
      <w:color w:val="800000"/>
    </w:rPr>
  </w:style>
  <w:style w:type="paragraph" w:customStyle="1" w:styleId="Normlnedoblokusodrkami">
    <w:name w:val="Normálne do bloku s odrážkami"/>
    <w:basedOn w:val="Normlny"/>
    <w:rsid w:val="008671AE"/>
    <w:pPr>
      <w:numPr>
        <w:numId w:val="44"/>
      </w:numPr>
      <w:tabs>
        <w:tab w:val="left" w:pos="567"/>
      </w:tabs>
      <w:spacing w:line="260" w:lineRule="exact"/>
    </w:pPr>
    <w:rPr>
      <w:szCs w:val="22"/>
      <w:lang w:val="sk-SK" w:eastAsia="en-US"/>
    </w:rPr>
  </w:style>
  <w:style w:type="paragraph" w:customStyle="1" w:styleId="SPCnadpis">
    <w:name w:val="SPC nadpis"/>
    <w:basedOn w:val="Nadpis1"/>
    <w:rsid w:val="008671AE"/>
    <w:pPr>
      <w:tabs>
        <w:tab w:val="clear" w:pos="567"/>
      </w:tabs>
      <w:spacing w:line="240" w:lineRule="auto"/>
      <w:jc w:val="center"/>
    </w:pPr>
    <w:rPr>
      <w:caps w:val="0"/>
      <w:sz w:val="22"/>
      <w:szCs w:val="20"/>
      <w:lang w:eastAsia="cs-CZ"/>
    </w:rPr>
  </w:style>
  <w:style w:type="paragraph" w:customStyle="1" w:styleId="DeficiencyCZ">
    <w:name w:val="Deficiency CZ"/>
    <w:basedOn w:val="Normlny"/>
    <w:autoRedefine/>
    <w:rsid w:val="008671AE"/>
    <w:pPr>
      <w:spacing w:before="60" w:after="360"/>
      <w:jc w:val="both"/>
    </w:pPr>
    <w:rPr>
      <w:bCs/>
      <w:i/>
      <w:sz w:val="24"/>
      <w:lang w:val="cs-CZ" w:eastAsia="zh-CN"/>
    </w:rPr>
  </w:style>
  <w:style w:type="paragraph" w:styleId="Normlnywebov">
    <w:name w:val="Normal (Web)"/>
    <w:basedOn w:val="Normlny"/>
    <w:uiPriority w:val="99"/>
    <w:unhideWhenUsed/>
    <w:rsid w:val="008671AE"/>
    <w:pPr>
      <w:spacing w:before="100" w:beforeAutospacing="1" w:after="100" w:afterAutospacing="1"/>
    </w:pPr>
    <w:rPr>
      <w:sz w:val="24"/>
      <w:szCs w:val="24"/>
      <w:lang w:val="cs-CZ"/>
    </w:rPr>
  </w:style>
  <w:style w:type="paragraph" w:styleId="Obsah1">
    <w:name w:val="toc 1"/>
    <w:basedOn w:val="Normlny"/>
    <w:next w:val="Normlny"/>
    <w:autoRedefine/>
    <w:rsid w:val="008671AE"/>
    <w:pPr>
      <w:spacing w:line="260" w:lineRule="exact"/>
    </w:pPr>
    <w:rPr>
      <w:szCs w:val="22"/>
      <w:lang w:val="sk-SK" w:eastAsia="en-US"/>
    </w:rPr>
  </w:style>
  <w:style w:type="paragraph" w:styleId="Obsah2">
    <w:name w:val="toc 2"/>
    <w:basedOn w:val="Normlny"/>
    <w:next w:val="Normlny"/>
    <w:autoRedefine/>
    <w:rsid w:val="008671AE"/>
    <w:pPr>
      <w:spacing w:line="260" w:lineRule="exact"/>
      <w:ind w:left="220"/>
    </w:pPr>
    <w:rPr>
      <w:szCs w:val="22"/>
      <w:lang w:val="sk-SK" w:eastAsia="en-US"/>
    </w:rPr>
  </w:style>
  <w:style w:type="character" w:styleId="Odkaznavysvetlivku">
    <w:name w:val="endnote reference"/>
    <w:basedOn w:val="Predvolenpsmoodseku"/>
    <w:rsid w:val="008671AE"/>
    <w:rPr>
      <w:vertAlign w:val="superscript"/>
    </w:rPr>
  </w:style>
  <w:style w:type="character" w:customStyle="1" w:styleId="StylTun">
    <w:name w:val="Styl Tučné"/>
    <w:basedOn w:val="Predvolenpsmoodseku"/>
    <w:rsid w:val="008671AE"/>
    <w:rPr>
      <w:b/>
      <w:bCs/>
      <w:sz w:val="24"/>
    </w:rPr>
  </w:style>
  <w:style w:type="paragraph" w:styleId="Textpoznmkypodiarou">
    <w:name w:val="footnote text"/>
    <w:basedOn w:val="Normlny"/>
    <w:link w:val="TextpoznmkypodiarouChar"/>
    <w:rsid w:val="008671AE"/>
    <w:pPr>
      <w:tabs>
        <w:tab w:val="left" w:pos="567"/>
      </w:tabs>
      <w:spacing w:line="260" w:lineRule="exact"/>
    </w:pPr>
    <w:rPr>
      <w:sz w:val="20"/>
      <w:lang w:val="sk-SK" w:eastAsia="en-US"/>
    </w:rPr>
  </w:style>
  <w:style w:type="character" w:customStyle="1" w:styleId="TextpoznmkypodiarouChar">
    <w:name w:val="Text poznámky pod čiarou Char"/>
    <w:basedOn w:val="Predvolenpsmoodseku"/>
    <w:link w:val="Textpoznmkypodiarou"/>
    <w:rsid w:val="008671AE"/>
    <w:rPr>
      <w:rFonts w:ascii="Times New Roman" w:eastAsia="Times New Roman" w:hAnsi="Times New Roman" w:cs="Times New Roman"/>
      <w:sz w:val="20"/>
      <w:szCs w:val="20"/>
      <w:lang w:val="sk-SK"/>
    </w:rPr>
  </w:style>
  <w:style w:type="paragraph" w:styleId="Oznaitext">
    <w:name w:val="Block Text"/>
    <w:basedOn w:val="Normlny"/>
    <w:rsid w:val="008671AE"/>
    <w:pPr>
      <w:tabs>
        <w:tab w:val="left" w:pos="2657"/>
      </w:tabs>
      <w:spacing w:before="120"/>
      <w:ind w:left="-37" w:right="-28"/>
    </w:pPr>
    <w:rPr>
      <w:szCs w:val="22"/>
      <w:lang w:val="sk-SK" w:eastAsia="en-US"/>
    </w:rPr>
  </w:style>
  <w:style w:type="paragraph" w:styleId="Textvysvetlivky">
    <w:name w:val="endnote text"/>
    <w:basedOn w:val="Normlny"/>
    <w:next w:val="Normlny"/>
    <w:link w:val="TextvysvetlivkyChar"/>
    <w:rsid w:val="008671AE"/>
    <w:pPr>
      <w:tabs>
        <w:tab w:val="left" w:pos="567"/>
      </w:tabs>
    </w:pPr>
    <w:rPr>
      <w:szCs w:val="22"/>
      <w:lang w:val="sk-SK" w:eastAsia="en-US"/>
    </w:rPr>
  </w:style>
  <w:style w:type="character" w:customStyle="1" w:styleId="TextvysvetlivkyChar">
    <w:name w:val="Text vysvetlivky Char"/>
    <w:basedOn w:val="Predvolenpsmoodseku"/>
    <w:link w:val="Textvysvetlivky"/>
    <w:rsid w:val="008671AE"/>
    <w:rPr>
      <w:rFonts w:ascii="Times New Roman" w:eastAsia="Times New Roman" w:hAnsi="Times New Roman" w:cs="Times New Roman"/>
      <w:lang w:val="sk-SK"/>
    </w:rPr>
  </w:style>
  <w:style w:type="character" w:styleId="Odkaznapoznmkupodiarou">
    <w:name w:val="footnote reference"/>
    <w:basedOn w:val="Predvolenpsmoodseku"/>
    <w:rsid w:val="00867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33493">
      <w:bodyDiv w:val="1"/>
      <w:marLeft w:val="0"/>
      <w:marRight w:val="0"/>
      <w:marTop w:val="0"/>
      <w:marBottom w:val="0"/>
      <w:divBdr>
        <w:top w:val="none" w:sz="0" w:space="0" w:color="auto"/>
        <w:left w:val="none" w:sz="0" w:space="0" w:color="auto"/>
        <w:bottom w:val="none" w:sz="0" w:space="0" w:color="auto"/>
        <w:right w:val="none" w:sz="0" w:space="0" w:color="auto"/>
      </w:divBdr>
    </w:div>
    <w:div w:id="885143433">
      <w:bodyDiv w:val="1"/>
      <w:marLeft w:val="0"/>
      <w:marRight w:val="0"/>
      <w:marTop w:val="0"/>
      <w:marBottom w:val="0"/>
      <w:divBdr>
        <w:top w:val="none" w:sz="0" w:space="0" w:color="auto"/>
        <w:left w:val="none" w:sz="0" w:space="0" w:color="auto"/>
        <w:bottom w:val="none" w:sz="0" w:space="0" w:color="auto"/>
        <w:right w:val="none" w:sz="0" w:space="0" w:color="auto"/>
      </w:divBdr>
    </w:div>
    <w:div w:id="1847867089">
      <w:bodyDiv w:val="1"/>
      <w:marLeft w:val="0"/>
      <w:marRight w:val="0"/>
      <w:marTop w:val="0"/>
      <w:marBottom w:val="0"/>
      <w:divBdr>
        <w:top w:val="none" w:sz="0" w:space="0" w:color="auto"/>
        <w:left w:val="none" w:sz="0" w:space="0" w:color="auto"/>
        <w:bottom w:val="none" w:sz="0" w:space="0" w:color="auto"/>
        <w:right w:val="none" w:sz="0" w:space="0" w:color="auto"/>
      </w:divBdr>
    </w:div>
    <w:div w:id="21359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9BE6-1190-4C23-BAE0-2F00EB14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4117</Words>
  <Characters>23467</Characters>
  <Application>Microsoft Office Word</Application>
  <DocSecurity>0</DocSecurity>
  <Lines>195</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Matuskova</dc:creator>
  <cp:lastModifiedBy>Miroslava Slahúčková</cp:lastModifiedBy>
  <cp:revision>3</cp:revision>
  <cp:lastPrinted>2018-02-13T08:58:00Z</cp:lastPrinted>
  <dcterms:created xsi:type="dcterms:W3CDTF">2019-06-24T08:36:00Z</dcterms:created>
  <dcterms:modified xsi:type="dcterms:W3CDTF">2019-07-22T07:44:00Z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General-EMEA/378973/2008</vt:lpwstr>
  </property>
  <property fmtid="{D5CDD505-2E9C-101B-9397-08002B2CF9AE}" pid="3" name="DM_Name">
    <vt:lpwstr>Hreferralspcen</vt:lpwstr>
  </property>
  <property fmtid="{D5CDD505-2E9C-101B-9397-08002B2CF9AE}" pid="4" name="DM_Owner">
    <vt:lpwstr>Prizzi Monica</vt:lpwstr>
  </property>
  <property fmtid="{D5CDD505-2E9C-101B-9397-08002B2CF9AE}" pid="5" name="DM_Creation_Date">
    <vt:lpwstr>24/07/2008 16:45:39</vt:lpwstr>
  </property>
  <property fmtid="{D5CDD505-2E9C-101B-9397-08002B2CF9AE}" pid="6" name="DM_Creator_Name">
    <vt:lpwstr>Cantatore Kira</vt:lpwstr>
  </property>
  <property fmtid="{D5CDD505-2E9C-101B-9397-08002B2CF9AE}" pid="7" name="DM_Modifer_Name">
    <vt:lpwstr>Cantatore Kira</vt:lpwstr>
  </property>
  <property fmtid="{D5CDD505-2E9C-101B-9397-08002B2CF9AE}" pid="8" name="DM_Modified_Date">
    <vt:lpwstr>24/07/2008 16:45:39</vt:lpwstr>
  </property>
  <property fmtid="{D5CDD505-2E9C-101B-9397-08002B2CF9AE}" pid="9" name="DM_Type">
    <vt:lpwstr>emea_document</vt:lpwstr>
  </property>
  <property fmtid="{D5CDD505-2E9C-101B-9397-08002B2CF9AE}" pid="10" name="DM_Version">
    <vt:lpwstr>0.2, CURRENT</vt:lpwstr>
  </property>
  <property fmtid="{D5CDD505-2E9C-101B-9397-08002B2CF9AE}" pid="11" name="DM_emea_doc_ref_id">
    <vt:lpwstr>EMEA/378973/2008</vt:lpwstr>
  </property>
  <property fmtid="{D5CDD505-2E9C-101B-9397-08002B2CF9AE}" pid="12" name="DM_emea_doc_number">
    <vt:lpwstr>378973</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2008</vt:lpwstr>
  </property>
  <property fmtid="{D5CDD505-2E9C-101B-9397-08002B2CF9AE}" pid="18" name="DM_emea_sent_date">
    <vt:lpwstr>nulldate</vt:lpwstr>
  </property>
</Properties>
</file>