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323F3" w14:textId="77777777" w:rsidR="0034679A" w:rsidRPr="00B24AB3" w:rsidRDefault="0034679A" w:rsidP="00F37FBF">
      <w:pPr>
        <w:pStyle w:val="SPCaPILhlavika"/>
        <w:rPr>
          <w:lang w:val="sk-SK"/>
        </w:rPr>
      </w:pPr>
      <w:r w:rsidRPr="00B24AB3">
        <w:rPr>
          <w:lang w:val="sk-SK"/>
        </w:rPr>
        <w:t>SÚHRN CHARAKTERISTICKÝCH VLASTNOSTÍ LIEKU</w:t>
      </w:r>
    </w:p>
    <w:p w14:paraId="51EC6DA9" w14:textId="77777777" w:rsidR="006171B4" w:rsidRPr="00B24AB3" w:rsidRDefault="006171B4" w:rsidP="00F37FBF">
      <w:pPr>
        <w:pStyle w:val="Styl1"/>
      </w:pPr>
    </w:p>
    <w:p w14:paraId="6E01D9F8" w14:textId="75CCEEA7" w:rsidR="0034679A" w:rsidRPr="00B24AB3" w:rsidRDefault="0034679A" w:rsidP="00806E00">
      <w:pPr>
        <w:pStyle w:val="Styl1"/>
      </w:pPr>
      <w:r w:rsidRPr="00B24AB3">
        <w:t xml:space="preserve">1. </w:t>
      </w:r>
      <w:r w:rsidRPr="00B24AB3">
        <w:tab/>
        <w:t>NÁZOV LIEKU</w:t>
      </w:r>
    </w:p>
    <w:p w14:paraId="543E4328" w14:textId="77777777" w:rsidR="006171B4" w:rsidRPr="00B24AB3" w:rsidRDefault="006171B4" w:rsidP="0045140A">
      <w:pPr>
        <w:pStyle w:val="Normlndobloku"/>
      </w:pPr>
    </w:p>
    <w:p w14:paraId="0EC08031" w14:textId="7637C2EF" w:rsidR="0034679A" w:rsidRPr="00B24AB3" w:rsidRDefault="006171B4" w:rsidP="0045140A">
      <w:pPr>
        <w:pStyle w:val="Normlndobloku"/>
      </w:pPr>
      <w:r w:rsidRPr="00B24AB3">
        <w:t>MEDOVERT</w:t>
      </w:r>
      <w:r w:rsidR="0034679A" w:rsidRPr="00B24AB3">
        <w:t xml:space="preserve"> 20 mg/40 mg tablety</w:t>
      </w:r>
    </w:p>
    <w:p w14:paraId="201E8387" w14:textId="77777777" w:rsidR="0034679A" w:rsidRDefault="0034679A" w:rsidP="0045140A">
      <w:pPr>
        <w:pStyle w:val="Normlndobloku"/>
      </w:pPr>
    </w:p>
    <w:p w14:paraId="20A63A5B" w14:textId="77777777" w:rsidR="00F37FBF" w:rsidRPr="00B24AB3" w:rsidRDefault="00F37FBF" w:rsidP="0045140A">
      <w:pPr>
        <w:pStyle w:val="Normlndobloku"/>
      </w:pPr>
    </w:p>
    <w:p w14:paraId="4DA8824C" w14:textId="77777777" w:rsidR="0034679A" w:rsidRPr="00B24AB3" w:rsidRDefault="0034679A">
      <w:pPr>
        <w:pStyle w:val="Styl1"/>
      </w:pPr>
      <w:r w:rsidRPr="00B24AB3">
        <w:t>2.</w:t>
      </w:r>
      <w:r w:rsidRPr="00B24AB3">
        <w:tab/>
        <w:t xml:space="preserve">KVALITATÍVNE A KVANTITATÍVNE ZLOŽENIE </w:t>
      </w:r>
    </w:p>
    <w:p w14:paraId="5A7EF197" w14:textId="77777777" w:rsidR="006171B4" w:rsidRPr="00B24AB3" w:rsidRDefault="006171B4" w:rsidP="0045140A">
      <w:pPr>
        <w:pStyle w:val="Normlndobloku"/>
      </w:pPr>
    </w:p>
    <w:p w14:paraId="22BDA67D" w14:textId="73A34AF1" w:rsidR="0034679A" w:rsidRPr="00B24AB3" w:rsidRDefault="0034679A" w:rsidP="0045140A">
      <w:pPr>
        <w:pStyle w:val="Normlndobloku"/>
      </w:pPr>
      <w:r w:rsidRPr="00B24AB3">
        <w:t xml:space="preserve">Jedna tableta obsahuje </w:t>
      </w:r>
      <w:r w:rsidR="006171B4" w:rsidRPr="00B24AB3">
        <w:t>20 mg c</w:t>
      </w:r>
      <w:r w:rsidRPr="00B24AB3">
        <w:t>inarizín</w:t>
      </w:r>
      <w:r w:rsidR="006171B4" w:rsidRPr="00B24AB3">
        <w:t>u a 40</w:t>
      </w:r>
      <w:r w:rsidRPr="00B24AB3">
        <w:t xml:space="preserve"> mg</w:t>
      </w:r>
      <w:r w:rsidR="006171B4" w:rsidRPr="00B24AB3">
        <w:t xml:space="preserve"> d</w:t>
      </w:r>
      <w:r w:rsidRPr="00B24AB3">
        <w:t>imenhydrinát</w:t>
      </w:r>
      <w:r w:rsidR="006171B4" w:rsidRPr="00B24AB3">
        <w:t>u.</w:t>
      </w:r>
    </w:p>
    <w:p w14:paraId="49A7457C" w14:textId="77777777" w:rsidR="0034679A" w:rsidRPr="00B24AB3" w:rsidRDefault="0034679A" w:rsidP="0045140A">
      <w:pPr>
        <w:pStyle w:val="Normlndobloku"/>
      </w:pPr>
      <w:r w:rsidRPr="00B24AB3">
        <w:t>Úplný zoznam pomocných látok, pozri časť 6.1.</w:t>
      </w:r>
    </w:p>
    <w:p w14:paraId="6AF23321" w14:textId="77777777" w:rsidR="0034679A" w:rsidRDefault="0034679A" w:rsidP="0045140A">
      <w:pPr>
        <w:pStyle w:val="Normlndobloku"/>
      </w:pPr>
    </w:p>
    <w:p w14:paraId="24198250" w14:textId="77777777" w:rsidR="00F37FBF" w:rsidRPr="00B24AB3" w:rsidRDefault="00F37FBF" w:rsidP="0045140A">
      <w:pPr>
        <w:pStyle w:val="Normlndobloku"/>
      </w:pPr>
    </w:p>
    <w:p w14:paraId="68A06914" w14:textId="77777777" w:rsidR="0034679A" w:rsidRPr="00B24AB3" w:rsidRDefault="0034679A">
      <w:pPr>
        <w:pStyle w:val="Styl1"/>
      </w:pPr>
      <w:r w:rsidRPr="00B24AB3">
        <w:t xml:space="preserve">3. </w:t>
      </w:r>
      <w:r w:rsidRPr="00B24AB3">
        <w:tab/>
        <w:t>LIEKOVÁ FORMA</w:t>
      </w:r>
    </w:p>
    <w:p w14:paraId="6CEC1A46" w14:textId="77777777" w:rsidR="0034679A" w:rsidRPr="00B24AB3" w:rsidRDefault="0034679A" w:rsidP="0045140A">
      <w:pPr>
        <w:pStyle w:val="Normlndobloku"/>
      </w:pPr>
    </w:p>
    <w:p w14:paraId="38B8F2DB" w14:textId="77777777" w:rsidR="0034679A" w:rsidRPr="00B24AB3" w:rsidRDefault="0034679A" w:rsidP="0045140A">
      <w:pPr>
        <w:pStyle w:val="Normlndobloku"/>
      </w:pPr>
      <w:r w:rsidRPr="00B24AB3">
        <w:t>Tableta</w:t>
      </w:r>
    </w:p>
    <w:p w14:paraId="2A49861D" w14:textId="7D3E1DDB" w:rsidR="0034679A" w:rsidRPr="00B24AB3" w:rsidRDefault="006171B4" w:rsidP="0045140A">
      <w:pPr>
        <w:pStyle w:val="Normlndobloku"/>
      </w:pPr>
      <w:r w:rsidRPr="00B24AB3">
        <w:t>Biele až takmer biele, o</w:t>
      </w:r>
      <w:r w:rsidR="0034679A" w:rsidRPr="00B24AB3">
        <w:t>krúhle</w:t>
      </w:r>
      <w:r w:rsidRPr="00B24AB3">
        <w:t>,</w:t>
      </w:r>
      <w:r w:rsidR="0034679A" w:rsidRPr="00B24AB3">
        <w:t xml:space="preserve"> bikonvexné tablety </w:t>
      </w:r>
      <w:r w:rsidRPr="00B24AB3">
        <w:t xml:space="preserve">s priemerom 8 mm. </w:t>
      </w:r>
    </w:p>
    <w:p w14:paraId="71E4C643" w14:textId="77777777" w:rsidR="0034679A" w:rsidRDefault="0034679A" w:rsidP="0045140A">
      <w:pPr>
        <w:pStyle w:val="Normlndobloku"/>
      </w:pPr>
    </w:p>
    <w:p w14:paraId="01518D68" w14:textId="77777777" w:rsidR="00F37FBF" w:rsidRPr="00B24AB3" w:rsidRDefault="00F37FBF" w:rsidP="0045140A">
      <w:pPr>
        <w:pStyle w:val="Normlndobloku"/>
      </w:pPr>
    </w:p>
    <w:p w14:paraId="7096ED3A" w14:textId="77777777" w:rsidR="0034679A" w:rsidRPr="00B24AB3" w:rsidRDefault="0034679A">
      <w:pPr>
        <w:pStyle w:val="Styl1"/>
      </w:pPr>
      <w:r w:rsidRPr="00B24AB3">
        <w:t xml:space="preserve">4. </w:t>
      </w:r>
      <w:r w:rsidRPr="00B24AB3">
        <w:tab/>
        <w:t>KLINICKÉ ÚDAJE</w:t>
      </w:r>
    </w:p>
    <w:p w14:paraId="30AA924B" w14:textId="77777777" w:rsidR="00F37FBF" w:rsidRDefault="00F37FBF" w:rsidP="00960544">
      <w:pPr>
        <w:pStyle w:val="Styl2"/>
      </w:pPr>
    </w:p>
    <w:p w14:paraId="4D08DB98" w14:textId="77777777" w:rsidR="0034679A" w:rsidRPr="00B24AB3" w:rsidRDefault="0034679A">
      <w:pPr>
        <w:pStyle w:val="Styl2"/>
      </w:pPr>
      <w:r w:rsidRPr="00B24AB3">
        <w:t>4.1</w:t>
      </w:r>
      <w:r w:rsidRPr="00B24AB3">
        <w:tab/>
        <w:t>Terapeutické indikácie</w:t>
      </w:r>
    </w:p>
    <w:p w14:paraId="67DD3F91" w14:textId="77777777" w:rsidR="0034679A" w:rsidRPr="00B24AB3" w:rsidRDefault="0034679A" w:rsidP="0045140A">
      <w:pPr>
        <w:pStyle w:val="Normlndobloku"/>
      </w:pPr>
    </w:p>
    <w:p w14:paraId="2DDC865A" w14:textId="1ABB13FA" w:rsidR="0034679A" w:rsidRPr="00B24AB3" w:rsidRDefault="0034679A" w:rsidP="0045140A">
      <w:pPr>
        <w:pStyle w:val="Normlndobloku"/>
      </w:pPr>
      <w:r w:rsidRPr="00B24AB3">
        <w:t xml:space="preserve">Liečba </w:t>
      </w:r>
      <w:r w:rsidR="00F37FBF">
        <w:t xml:space="preserve">príznakov </w:t>
      </w:r>
      <w:r w:rsidRPr="00B24AB3">
        <w:t>vertiga rôzneho pôvodu.</w:t>
      </w:r>
    </w:p>
    <w:p w14:paraId="459CC259" w14:textId="04EDA263" w:rsidR="00B00D38" w:rsidRPr="00B24AB3" w:rsidRDefault="00B00D38" w:rsidP="0045140A">
      <w:pPr>
        <w:pStyle w:val="Normlndobloku"/>
      </w:pPr>
      <w:r w:rsidRPr="00B24AB3">
        <w:t>MEDOVERT je indikovaný dospelý</w:t>
      </w:r>
      <w:r w:rsidR="00F37FBF">
        <w:t>m</w:t>
      </w:r>
      <w:r w:rsidRPr="00B24AB3">
        <w:t xml:space="preserve">. </w:t>
      </w:r>
    </w:p>
    <w:p w14:paraId="001AFB06" w14:textId="77777777" w:rsidR="0034679A" w:rsidRPr="00B24AB3" w:rsidRDefault="0034679A" w:rsidP="0045140A">
      <w:pPr>
        <w:pStyle w:val="Normlndobloku"/>
      </w:pPr>
    </w:p>
    <w:p w14:paraId="261CBDDE" w14:textId="77777777" w:rsidR="0034679A" w:rsidRPr="00B24AB3" w:rsidRDefault="0034679A" w:rsidP="00960544">
      <w:pPr>
        <w:pStyle w:val="Styl2"/>
      </w:pPr>
      <w:r w:rsidRPr="00B24AB3">
        <w:t>4.2</w:t>
      </w:r>
      <w:r w:rsidRPr="00B24AB3">
        <w:tab/>
        <w:t>Dávkovanie a spôsob podávania</w:t>
      </w:r>
    </w:p>
    <w:p w14:paraId="37ACB954" w14:textId="77777777" w:rsidR="0034679A" w:rsidRPr="00B24AB3" w:rsidRDefault="0034679A" w:rsidP="0045140A">
      <w:pPr>
        <w:pStyle w:val="Normlndobloku"/>
      </w:pPr>
    </w:p>
    <w:p w14:paraId="784E9EE8" w14:textId="77777777" w:rsidR="0034679A" w:rsidRPr="00B24AB3" w:rsidRDefault="0034679A" w:rsidP="006C1F72">
      <w:pPr>
        <w:pStyle w:val="Styl3"/>
      </w:pPr>
      <w:r w:rsidRPr="00B24AB3">
        <w:t>Dávkovanie</w:t>
      </w:r>
    </w:p>
    <w:p w14:paraId="7B3330D9" w14:textId="210DC74E" w:rsidR="0034679A" w:rsidRPr="00B24AB3" w:rsidRDefault="00B00D38">
      <w:pPr>
        <w:pStyle w:val="Styl4"/>
      </w:pPr>
      <w:r w:rsidRPr="00B24AB3">
        <w:t>Dospelí</w:t>
      </w:r>
    </w:p>
    <w:p w14:paraId="7B313307" w14:textId="77777777" w:rsidR="00B00D38" w:rsidRPr="00B24AB3" w:rsidRDefault="0034679A" w:rsidP="0045140A">
      <w:pPr>
        <w:pStyle w:val="Normlndobloku"/>
      </w:pPr>
      <w:r w:rsidRPr="00B24AB3">
        <w:t>3 x denne 1 tableta</w:t>
      </w:r>
    </w:p>
    <w:p w14:paraId="1CC729FC" w14:textId="77777777" w:rsidR="00B00D38" w:rsidRPr="00B24AB3" w:rsidRDefault="00B00D38" w:rsidP="0045140A">
      <w:pPr>
        <w:pStyle w:val="Normlndobloku"/>
      </w:pPr>
    </w:p>
    <w:p w14:paraId="12C351B6" w14:textId="301B6179" w:rsidR="00B24AB3" w:rsidRPr="00B24AB3" w:rsidRDefault="00B24AB3" w:rsidP="0045140A">
      <w:pPr>
        <w:pStyle w:val="Normlndobloku"/>
      </w:pPr>
      <w:r w:rsidRPr="00B24AB3">
        <w:t>D</w:t>
      </w:r>
      <w:r w:rsidR="00C41B20" w:rsidRPr="00B24AB3">
        <w:t>oba liečby obvykle nemá presiahnuť 4 týždne</w:t>
      </w:r>
      <w:r w:rsidRPr="00B24AB3">
        <w:t>. Lekár rozhodne, či je žiaduce liečbu predĺžiť.</w:t>
      </w:r>
    </w:p>
    <w:p w14:paraId="23EB7134" w14:textId="31BC8B46" w:rsidR="0034679A" w:rsidRPr="00B24AB3" w:rsidRDefault="0034679A" w:rsidP="0045140A">
      <w:pPr>
        <w:pStyle w:val="Normlndobloku"/>
      </w:pPr>
    </w:p>
    <w:p w14:paraId="4B5D4339" w14:textId="7BA67765" w:rsidR="00B24AB3" w:rsidRPr="00B24AB3" w:rsidRDefault="00B24AB3">
      <w:pPr>
        <w:pStyle w:val="Styl4"/>
      </w:pPr>
      <w:r w:rsidRPr="00B24AB3">
        <w:t>Starší pacienti</w:t>
      </w:r>
    </w:p>
    <w:p w14:paraId="53E8CF07" w14:textId="46C85693" w:rsidR="00B24AB3" w:rsidRPr="00B24AB3" w:rsidRDefault="00B24AB3" w:rsidP="0045140A">
      <w:pPr>
        <w:pStyle w:val="Normlndobloku"/>
      </w:pPr>
      <w:r w:rsidRPr="00B24AB3">
        <w:t>Dávkovanie je rovnaké ako pre dospelých.</w:t>
      </w:r>
    </w:p>
    <w:p w14:paraId="255B19E9" w14:textId="77777777" w:rsidR="00B24AB3" w:rsidRPr="00B24AB3" w:rsidRDefault="00B24AB3" w:rsidP="0045140A">
      <w:pPr>
        <w:pStyle w:val="Normlndobloku"/>
      </w:pPr>
    </w:p>
    <w:p w14:paraId="32FDB55F" w14:textId="2B7B5F52" w:rsidR="00B24AB3" w:rsidRPr="00B24AB3" w:rsidRDefault="00F37FBF">
      <w:pPr>
        <w:pStyle w:val="Styl4"/>
      </w:pPr>
      <w:r>
        <w:t>Porucha</w:t>
      </w:r>
      <w:r w:rsidR="00B24AB3" w:rsidRPr="00B24AB3">
        <w:t xml:space="preserve"> funkcie obličiek</w:t>
      </w:r>
    </w:p>
    <w:p w14:paraId="4A23BA0E" w14:textId="220439A8" w:rsidR="00B24AB3" w:rsidRPr="00B24AB3" w:rsidRDefault="00B24AB3" w:rsidP="0045140A">
      <w:pPr>
        <w:pStyle w:val="Normlndoblokusodrkami"/>
      </w:pPr>
      <w:r w:rsidRPr="00B24AB3">
        <w:t>MEDOVERT sa má používať s opatrnosťou u pacientov s miern</w:t>
      </w:r>
      <w:r w:rsidR="00F37FBF">
        <w:t>ou</w:t>
      </w:r>
      <w:r w:rsidRPr="00B24AB3">
        <w:t xml:space="preserve"> až stredne ťažk</w:t>
      </w:r>
      <w:r w:rsidR="00F37FBF">
        <w:t>ou</w:t>
      </w:r>
      <w:r w:rsidRPr="00B24AB3">
        <w:t xml:space="preserve"> </w:t>
      </w:r>
      <w:r w:rsidR="00F37FBF">
        <w:t>poruchou</w:t>
      </w:r>
      <w:r w:rsidRPr="00B24AB3">
        <w:t xml:space="preserve"> funkcie obličiek</w:t>
      </w:r>
    </w:p>
    <w:p w14:paraId="57A57BEF" w14:textId="585AC05B" w:rsidR="00B24AB3" w:rsidRPr="00B24AB3" w:rsidRDefault="00B24AB3" w:rsidP="0045140A">
      <w:pPr>
        <w:pStyle w:val="Normlndoblokusodrkami"/>
      </w:pPr>
      <w:r w:rsidRPr="00B24AB3">
        <w:t xml:space="preserve">MEDOVERT nemajú užívať pacienti s klírensom </w:t>
      </w:r>
      <w:proofErr w:type="spellStart"/>
      <w:r w:rsidRPr="00B24AB3">
        <w:t>kreatinínu</w:t>
      </w:r>
      <w:proofErr w:type="spellEnd"/>
      <w:r w:rsidRPr="00B24AB3">
        <w:t xml:space="preserve"> ≤ 25 ml/min (</w:t>
      </w:r>
      <w:r w:rsidR="0045140A">
        <w:t>ťažk</w:t>
      </w:r>
      <w:r w:rsidR="00F37FBF">
        <w:t>á</w:t>
      </w:r>
      <w:r w:rsidRPr="00B24AB3">
        <w:t xml:space="preserve"> </w:t>
      </w:r>
      <w:r w:rsidR="00F37FBF">
        <w:t>porucha</w:t>
      </w:r>
      <w:r w:rsidRPr="00B24AB3">
        <w:t xml:space="preserve"> funkcie obličiek).</w:t>
      </w:r>
    </w:p>
    <w:p w14:paraId="0290594B" w14:textId="77777777" w:rsidR="00B24AB3" w:rsidRPr="00B24AB3" w:rsidRDefault="00B24AB3" w:rsidP="0045140A">
      <w:pPr>
        <w:pStyle w:val="Normlndobloku"/>
      </w:pPr>
    </w:p>
    <w:p w14:paraId="76BE4113" w14:textId="2C924225" w:rsidR="00B24AB3" w:rsidRPr="00B24AB3" w:rsidRDefault="00F37FBF">
      <w:pPr>
        <w:pStyle w:val="Styl4"/>
      </w:pPr>
      <w:r>
        <w:t>Porucha</w:t>
      </w:r>
      <w:r w:rsidR="00B24AB3" w:rsidRPr="00B24AB3">
        <w:t xml:space="preserve"> funkcie pečene</w:t>
      </w:r>
    </w:p>
    <w:p w14:paraId="7BD363E5" w14:textId="550C0A4A" w:rsidR="00B24AB3" w:rsidRPr="00B24AB3" w:rsidRDefault="00B24AB3" w:rsidP="0045140A">
      <w:pPr>
        <w:pStyle w:val="Normlndobloku"/>
      </w:pPr>
      <w:r w:rsidRPr="00B24AB3">
        <w:t xml:space="preserve">Nie sú dostupné žiadne štúdie u pacientov s </w:t>
      </w:r>
      <w:r w:rsidR="00F37FBF">
        <w:t>poruchou</w:t>
      </w:r>
      <w:r w:rsidRPr="00B24AB3">
        <w:t xml:space="preserve"> funkcie pečene. MEDOVERT by nemali užívať pacienti s</w:t>
      </w:r>
      <w:r w:rsidR="00806E00">
        <w:t> </w:t>
      </w:r>
      <w:r w:rsidRPr="00B24AB3">
        <w:t>ťažk</w:t>
      </w:r>
      <w:r w:rsidR="00806E00">
        <w:t>ou poruchou</w:t>
      </w:r>
      <w:r w:rsidRPr="00B24AB3">
        <w:t xml:space="preserve"> funkcie pečene.</w:t>
      </w:r>
    </w:p>
    <w:p w14:paraId="77AC51FB" w14:textId="77777777" w:rsidR="00B24AB3" w:rsidRPr="00B24AB3" w:rsidRDefault="00B24AB3" w:rsidP="0045140A">
      <w:pPr>
        <w:pStyle w:val="Normlndobloku"/>
      </w:pPr>
    </w:p>
    <w:p w14:paraId="28D20BE3" w14:textId="1BB7D776" w:rsidR="00B24AB3" w:rsidRPr="00B24AB3" w:rsidRDefault="00B24AB3">
      <w:pPr>
        <w:pStyle w:val="Styl4"/>
      </w:pPr>
      <w:r w:rsidRPr="00B24AB3">
        <w:t>Pediatrická populácia</w:t>
      </w:r>
    </w:p>
    <w:p w14:paraId="1D1EC721" w14:textId="3AF1AEE1" w:rsidR="00B24AB3" w:rsidRPr="00B24AB3" w:rsidRDefault="00B24AB3" w:rsidP="0045140A">
      <w:pPr>
        <w:pStyle w:val="Normlndobloku"/>
      </w:pPr>
      <w:r w:rsidRPr="00B24AB3">
        <w:t>Bezpečnosť a účinnosť lieku MEDOVERT u detí a dospievajúcich mladších ako 18 rokov nebola stanovená. Nie sú k dispozícii žiadne údaje.</w:t>
      </w:r>
    </w:p>
    <w:p w14:paraId="40C9F14A" w14:textId="77777777" w:rsidR="00B24AB3" w:rsidRPr="00B24AB3" w:rsidRDefault="00B24AB3" w:rsidP="0045140A">
      <w:pPr>
        <w:pStyle w:val="Normlndobloku"/>
      </w:pPr>
    </w:p>
    <w:p w14:paraId="1E3A757B" w14:textId="77777777" w:rsidR="00B24AB3" w:rsidRPr="00B24AB3" w:rsidRDefault="00B24AB3" w:rsidP="006C1F72">
      <w:pPr>
        <w:pStyle w:val="Styl3"/>
      </w:pPr>
      <w:r w:rsidRPr="00B24AB3">
        <w:t>Spôsob podávania</w:t>
      </w:r>
    </w:p>
    <w:p w14:paraId="43B9C21B" w14:textId="77777777" w:rsidR="00B24AB3" w:rsidRPr="00B24AB3" w:rsidRDefault="00B24AB3" w:rsidP="0045140A">
      <w:pPr>
        <w:pStyle w:val="Normlndobloku"/>
      </w:pPr>
      <w:r w:rsidRPr="00B24AB3">
        <w:t>Perorálne podanie.</w:t>
      </w:r>
    </w:p>
    <w:p w14:paraId="2937DA17" w14:textId="66879D23" w:rsidR="00B24AB3" w:rsidRPr="00B24AB3" w:rsidRDefault="00B24AB3" w:rsidP="0045140A">
      <w:pPr>
        <w:pStyle w:val="Normlndobloku"/>
      </w:pPr>
      <w:r w:rsidRPr="00B24AB3">
        <w:t xml:space="preserve">Tablety </w:t>
      </w:r>
      <w:r w:rsidR="00806E00">
        <w:t xml:space="preserve">lieku </w:t>
      </w:r>
      <w:r w:rsidRPr="00B24AB3">
        <w:t>MEDOVERT sa majú prehltnúť</w:t>
      </w:r>
      <w:r w:rsidR="00806E00">
        <w:t xml:space="preserve"> s trochou tekutiny a</w:t>
      </w:r>
      <w:r>
        <w:t xml:space="preserve"> užívať </w:t>
      </w:r>
      <w:r w:rsidRPr="00B24AB3">
        <w:t>po jedle.</w:t>
      </w:r>
    </w:p>
    <w:p w14:paraId="4C173797" w14:textId="69ECDA93" w:rsidR="00B24AB3" w:rsidRDefault="00B24AB3" w:rsidP="0045140A">
      <w:pPr>
        <w:pStyle w:val="Normlndobloku"/>
      </w:pPr>
    </w:p>
    <w:p w14:paraId="3E8A23F3" w14:textId="77777777" w:rsidR="004910A3" w:rsidRPr="00B24AB3" w:rsidRDefault="004910A3" w:rsidP="0045140A">
      <w:pPr>
        <w:pStyle w:val="Normlndobloku"/>
      </w:pPr>
    </w:p>
    <w:p w14:paraId="38806C49" w14:textId="77777777" w:rsidR="0034679A" w:rsidRPr="00B24AB3" w:rsidRDefault="0034679A">
      <w:pPr>
        <w:pStyle w:val="Styl2"/>
      </w:pPr>
      <w:r w:rsidRPr="00B24AB3">
        <w:lastRenderedPageBreak/>
        <w:t>4.3</w:t>
      </w:r>
      <w:r w:rsidRPr="00B24AB3">
        <w:tab/>
        <w:t>Kontraindikácie</w:t>
      </w:r>
    </w:p>
    <w:p w14:paraId="31C704B6" w14:textId="77777777" w:rsidR="0034679A" w:rsidRPr="00B24AB3" w:rsidRDefault="0034679A" w:rsidP="0045140A">
      <w:pPr>
        <w:pStyle w:val="Normlndobloku"/>
      </w:pPr>
    </w:p>
    <w:p w14:paraId="6B615D83" w14:textId="3C0E2923" w:rsidR="0034679A" w:rsidRPr="00B24AB3" w:rsidRDefault="004910A3" w:rsidP="0045140A">
      <w:pPr>
        <w:pStyle w:val="Normlndoblokusodrkami"/>
      </w:pPr>
      <w:r>
        <w:t>P</w:t>
      </w:r>
      <w:r w:rsidR="0034679A" w:rsidRPr="00B24AB3">
        <w:t xml:space="preserve">recitlivenosť na </w:t>
      </w:r>
      <w:r>
        <w:t>liečivá, difenhydramín ale</w:t>
      </w:r>
      <w:r w:rsidR="002E29EB">
        <w:t>b</w:t>
      </w:r>
      <w:r>
        <w:t xml:space="preserve">o iné </w:t>
      </w:r>
      <w:r w:rsidRPr="004910A3">
        <w:t xml:space="preserve">antihistaminiká </w:t>
      </w:r>
      <w:r>
        <w:t>podobnej štruktúry</w:t>
      </w:r>
      <w:r w:rsidR="0034679A" w:rsidRPr="00B24AB3">
        <w:t xml:space="preserve"> alebo na ktorúkoľvek z pomocných látok uvedených v časti 6.1</w:t>
      </w:r>
    </w:p>
    <w:p w14:paraId="5F224133" w14:textId="182A0E26" w:rsidR="004910A3" w:rsidRDefault="004910A3" w:rsidP="0045140A">
      <w:pPr>
        <w:pStyle w:val="Normlndoblokusodrkami"/>
      </w:pPr>
      <w:r>
        <w:t>D</w:t>
      </w:r>
      <w:r w:rsidRPr="004910A3">
        <w:t>ifenhydramín sa úplne vylučuje obličkami a pacienti s ťažk</w:t>
      </w:r>
      <w:r w:rsidR="00806E00">
        <w:t>ou</w:t>
      </w:r>
      <w:r w:rsidRPr="004910A3">
        <w:t xml:space="preserve"> </w:t>
      </w:r>
      <w:r w:rsidR="00806E00">
        <w:t>poruchou</w:t>
      </w:r>
      <w:r w:rsidRPr="004910A3">
        <w:t xml:space="preserve"> funkcie obličiek boli vylúčení z programu klinického vývoja. </w:t>
      </w:r>
      <w:r>
        <w:t>MEDOVERT</w:t>
      </w:r>
      <w:r w:rsidRPr="004910A3">
        <w:t xml:space="preserve"> by nemali užívať pacienti s</w:t>
      </w:r>
      <w:r>
        <w:t> </w:t>
      </w:r>
      <w:r w:rsidRPr="004910A3">
        <w:t xml:space="preserve">klírensom </w:t>
      </w:r>
      <w:proofErr w:type="spellStart"/>
      <w:r w:rsidRPr="004910A3">
        <w:t>kreatinínu</w:t>
      </w:r>
      <w:proofErr w:type="spellEnd"/>
      <w:r w:rsidRPr="004910A3">
        <w:t xml:space="preserve"> ≤ 25 ml/min (</w:t>
      </w:r>
      <w:r w:rsidR="0045140A">
        <w:t>ťažk</w:t>
      </w:r>
      <w:r w:rsidR="00806E00">
        <w:t>á porucha</w:t>
      </w:r>
      <w:r w:rsidRPr="004910A3">
        <w:t xml:space="preserve"> funkcie obličiek).</w:t>
      </w:r>
    </w:p>
    <w:p w14:paraId="17497723" w14:textId="35AA6F5D" w:rsidR="004910A3" w:rsidRDefault="004910A3" w:rsidP="0045140A">
      <w:pPr>
        <w:pStyle w:val="Normlndoblokusodrkami"/>
      </w:pPr>
      <w:r>
        <w:t>Keďže obe aktívne zložky lieku MEDOVERT sú značne metabolizované pečeňovými enzýmami cytochrómu P450, plazmatické koncentrácie nezmenených liekov a ich polčasy sa zvýšia u pacientov s</w:t>
      </w:r>
      <w:r w:rsidR="00960544">
        <w:t> </w:t>
      </w:r>
      <w:r>
        <w:t>ťažk</w:t>
      </w:r>
      <w:r w:rsidR="00960544">
        <w:t>ou poruchou</w:t>
      </w:r>
      <w:r>
        <w:t xml:space="preserve"> funkcie pečene. Toto bolo preukázané u difenhydramínu u pacientov s cirhózou. MEDOVERT by preto nemali užívať pacienti s</w:t>
      </w:r>
      <w:r w:rsidR="00960544">
        <w:t> </w:t>
      </w:r>
      <w:r>
        <w:t>ťažk</w:t>
      </w:r>
      <w:r w:rsidR="00960544">
        <w:t>ou poruchou</w:t>
      </w:r>
      <w:r>
        <w:t xml:space="preserve"> funkcie pečene.</w:t>
      </w:r>
    </w:p>
    <w:p w14:paraId="777BD2CF" w14:textId="3536162D" w:rsidR="004910A3" w:rsidRDefault="004910A3" w:rsidP="0045140A">
      <w:pPr>
        <w:pStyle w:val="Normlndoblokusodrkami"/>
      </w:pPr>
      <w:r>
        <w:t>MEDOVERT nemajú užívať pacienti s glaukómom s uzavretým uhlom, kŕčmi, s podozrením na zvýšený intrakraniálny tlak, nadmern</w:t>
      </w:r>
      <w:r w:rsidR="00E64902">
        <w:t>e</w:t>
      </w:r>
      <w:r>
        <w:t xml:space="preserve"> požíva</w:t>
      </w:r>
      <w:r w:rsidR="00E64902">
        <w:t xml:space="preserve">júci </w:t>
      </w:r>
      <w:r>
        <w:t xml:space="preserve">alkohol </w:t>
      </w:r>
      <w:r w:rsidR="00E64902">
        <w:t xml:space="preserve">alebo </w:t>
      </w:r>
      <w:r>
        <w:t>paci</w:t>
      </w:r>
      <w:r w:rsidR="00E64902">
        <w:t>e</w:t>
      </w:r>
      <w:r>
        <w:t xml:space="preserve">nti </w:t>
      </w:r>
      <w:r w:rsidR="00E64902">
        <w:t xml:space="preserve">s </w:t>
      </w:r>
      <w:r>
        <w:t>retenci</w:t>
      </w:r>
      <w:r w:rsidR="00E64902">
        <w:t>ou</w:t>
      </w:r>
      <w:r>
        <w:t xml:space="preserve"> moču v</w:t>
      </w:r>
      <w:r w:rsidR="00E64902">
        <w:t> </w:t>
      </w:r>
      <w:r>
        <w:t>dôsledku uretroprostatických porúch.</w:t>
      </w:r>
    </w:p>
    <w:p w14:paraId="76FD8C38" w14:textId="77777777" w:rsidR="00E64902" w:rsidRPr="00E64902" w:rsidRDefault="00E64902" w:rsidP="0045140A">
      <w:pPr>
        <w:pStyle w:val="Normlndobloku"/>
      </w:pPr>
    </w:p>
    <w:p w14:paraId="455E975D" w14:textId="3B8DEBE3" w:rsidR="0034679A" w:rsidRDefault="0034679A">
      <w:pPr>
        <w:pStyle w:val="Styl2"/>
      </w:pPr>
      <w:r w:rsidRPr="00B24AB3">
        <w:t>4.4</w:t>
      </w:r>
      <w:r w:rsidRPr="00B24AB3">
        <w:tab/>
        <w:t>Osobitné upozornenia a opatrenia pri používaní</w:t>
      </w:r>
    </w:p>
    <w:p w14:paraId="4E9F36B6" w14:textId="77777777" w:rsidR="00E64902" w:rsidRPr="00B24AB3" w:rsidRDefault="00E64902" w:rsidP="00960544">
      <w:pPr>
        <w:pStyle w:val="Styl2"/>
      </w:pPr>
    </w:p>
    <w:p w14:paraId="4CAE6E86" w14:textId="667F0924" w:rsidR="00E64902" w:rsidRPr="00E64902" w:rsidRDefault="00E64902" w:rsidP="0045140A">
      <w:pPr>
        <w:pStyle w:val="Normlndoblokusodrkami"/>
      </w:pPr>
      <w:r w:rsidRPr="00E64902">
        <w:t>Cin</w:t>
      </w:r>
      <w:r>
        <w:t>a</w:t>
      </w:r>
      <w:r w:rsidRPr="00E64902">
        <w:t>riz</w:t>
      </w:r>
      <w:r>
        <w:t>ín</w:t>
      </w:r>
      <w:r w:rsidRPr="00E64902">
        <w:t xml:space="preserve">/dimenhydrinát významne neznižuje krvný tlak; u pacientov </w:t>
      </w:r>
      <w:r w:rsidR="00960544">
        <w:t xml:space="preserve">s hypotenziou </w:t>
      </w:r>
      <w:r w:rsidRPr="00E64902">
        <w:t>sa však má používať s opatrnosťou.</w:t>
      </w:r>
    </w:p>
    <w:p w14:paraId="5AD2E112" w14:textId="2B51EF14" w:rsidR="00E64902" w:rsidRPr="00E64902" w:rsidRDefault="00E64902" w:rsidP="0045140A">
      <w:pPr>
        <w:pStyle w:val="Normlndoblokusodrkami"/>
      </w:pPr>
      <w:r>
        <w:t>MEDOVERT</w:t>
      </w:r>
      <w:r w:rsidRPr="00E64902">
        <w:t xml:space="preserve"> sa má užívať po jedle, aby sa minimalizovalo podráždenie žalúdka.</w:t>
      </w:r>
    </w:p>
    <w:p w14:paraId="2E0BE52E" w14:textId="23A09AEE" w:rsidR="00E64902" w:rsidRDefault="00E64902" w:rsidP="0045140A">
      <w:pPr>
        <w:pStyle w:val="Normlndoblokusodrkami"/>
      </w:pPr>
      <w:r>
        <w:t>MEDOVERT</w:t>
      </w:r>
      <w:r w:rsidRPr="00E64902">
        <w:t xml:space="preserve"> sa má používať s opatrnosťou u pacientov so stavmi, ktoré sa môžu zhoršiť </w:t>
      </w:r>
      <w:proofErr w:type="spellStart"/>
      <w:r w:rsidRPr="00E64902">
        <w:t>anticholiner</w:t>
      </w:r>
      <w:r w:rsidR="00960544">
        <w:t>gickou</w:t>
      </w:r>
      <w:proofErr w:type="spellEnd"/>
      <w:r w:rsidRPr="00E64902">
        <w:t xml:space="preserve"> liečbou, napr. zvýšený vnútroočný tlak, pyloro-duodenálna obštrukcia, hypertrofia prostaty, hypertenzia, hypertyreóza alebo závažné koronárne ochorenie</w:t>
      </w:r>
      <w:r w:rsidR="00085FB0">
        <w:t xml:space="preserve"> srdca</w:t>
      </w:r>
      <w:r w:rsidRPr="00E64902">
        <w:t>.</w:t>
      </w:r>
    </w:p>
    <w:p w14:paraId="65836821" w14:textId="1963DF85" w:rsidR="0034679A" w:rsidRPr="00B24AB3" w:rsidRDefault="0034679A" w:rsidP="0045140A">
      <w:pPr>
        <w:pStyle w:val="Normlndoblokusodrkami"/>
      </w:pPr>
      <w:r w:rsidRPr="00B24AB3">
        <w:t xml:space="preserve">U pacientov s Parkinsonovu chorobou je pri podávaní lieku </w:t>
      </w:r>
      <w:r w:rsidR="006171B4" w:rsidRPr="00B24AB3">
        <w:t>MEDOVERT</w:t>
      </w:r>
      <w:r w:rsidRPr="00B24AB3">
        <w:t xml:space="preserve"> nutná opatrnosť.</w:t>
      </w:r>
    </w:p>
    <w:p w14:paraId="2B176517" w14:textId="77777777" w:rsidR="00E64902" w:rsidRPr="00B24AB3" w:rsidRDefault="00E64902" w:rsidP="006C1F72">
      <w:pPr>
        <w:pStyle w:val="Normlndobloku"/>
      </w:pPr>
    </w:p>
    <w:p w14:paraId="669FC7D4" w14:textId="77777777" w:rsidR="0034679A" w:rsidRPr="00B24AB3" w:rsidRDefault="0034679A" w:rsidP="0045140A">
      <w:pPr>
        <w:pStyle w:val="Styl2"/>
      </w:pPr>
      <w:r w:rsidRPr="00B24AB3">
        <w:t>4.5</w:t>
      </w:r>
      <w:r w:rsidRPr="00B24AB3">
        <w:tab/>
        <w:t>Liekové a iné interakcie</w:t>
      </w:r>
    </w:p>
    <w:p w14:paraId="1AC209ED" w14:textId="77777777" w:rsidR="0034679A" w:rsidRPr="00B24AB3" w:rsidRDefault="0034679A" w:rsidP="0045140A">
      <w:pPr>
        <w:pStyle w:val="Normlndobloku"/>
      </w:pPr>
    </w:p>
    <w:p w14:paraId="763F0570" w14:textId="77777777" w:rsidR="003C3B75" w:rsidRPr="003C3B75" w:rsidRDefault="003C3B75" w:rsidP="0045140A">
      <w:pPr>
        <w:pStyle w:val="Normlndobloku"/>
      </w:pPr>
      <w:r w:rsidRPr="003C3B75">
        <w:t>Neuskutočnili sa žiadne interakčné štúdie.</w:t>
      </w:r>
    </w:p>
    <w:p w14:paraId="6AC083C9" w14:textId="63645601" w:rsidR="003C3B75" w:rsidRPr="003C3B75" w:rsidRDefault="003C3B75" w:rsidP="0045140A">
      <w:pPr>
        <w:pStyle w:val="Normlndoblokusodrkami"/>
      </w:pPr>
      <w:proofErr w:type="spellStart"/>
      <w:r w:rsidRPr="003C3B75">
        <w:t>Anticholinerg</w:t>
      </w:r>
      <w:r w:rsidR="00085FB0">
        <w:t>ické</w:t>
      </w:r>
      <w:proofErr w:type="spellEnd"/>
      <w:r w:rsidRPr="003C3B75">
        <w:t xml:space="preserve"> a sedatívne účinky cinarizínu/dimenhydrinátu môžu byť </w:t>
      </w:r>
      <w:r w:rsidR="002E29EB" w:rsidRPr="003C3B75">
        <w:t>potenciované</w:t>
      </w:r>
      <w:r w:rsidRPr="003C3B75">
        <w:t xml:space="preserve"> inhibítormi monoaminooxidázy.</w:t>
      </w:r>
    </w:p>
    <w:p w14:paraId="768C97A6" w14:textId="3E6C021D" w:rsidR="003C3B75" w:rsidRPr="003C3B75" w:rsidRDefault="007C2A1E" w:rsidP="0045140A">
      <w:pPr>
        <w:pStyle w:val="Normlndoblokusodrkami"/>
      </w:pPr>
      <w:r>
        <w:t>MEDOVERT</w:t>
      </w:r>
      <w:r w:rsidR="003C3B75" w:rsidRPr="003C3B75">
        <w:t xml:space="preserve"> môže zvýšiť účinok prokarbazínu.</w:t>
      </w:r>
    </w:p>
    <w:p w14:paraId="0AA2AF26" w14:textId="43DC5115" w:rsidR="003C3B75" w:rsidRPr="003C3B75" w:rsidRDefault="007C2A1E" w:rsidP="0045140A">
      <w:pPr>
        <w:pStyle w:val="Normlndoblokusodrkami"/>
      </w:pPr>
      <w:r>
        <w:t>Rovnako ako</w:t>
      </w:r>
      <w:r w:rsidR="003C3B75" w:rsidRPr="003C3B75">
        <w:t xml:space="preserve"> in</w:t>
      </w:r>
      <w:r>
        <w:t xml:space="preserve">é </w:t>
      </w:r>
      <w:r w:rsidR="003C3B75" w:rsidRPr="003C3B75">
        <w:t>antihistaminik</w:t>
      </w:r>
      <w:r>
        <w:t xml:space="preserve">á </w:t>
      </w:r>
      <w:r w:rsidR="003C3B75" w:rsidRPr="003C3B75">
        <w:t xml:space="preserve">môže </w:t>
      </w:r>
      <w:r>
        <w:t>MEDOVERT</w:t>
      </w:r>
      <w:r w:rsidR="003C3B75" w:rsidRPr="003C3B75">
        <w:t xml:space="preserve"> </w:t>
      </w:r>
      <w:r w:rsidR="002E29EB" w:rsidRPr="003C3B75">
        <w:t>potenciovať</w:t>
      </w:r>
      <w:r w:rsidR="003C3B75" w:rsidRPr="003C3B75">
        <w:t xml:space="preserve"> sedatívne účinky </w:t>
      </w:r>
      <w:r>
        <w:t xml:space="preserve">látok tlmiacich </w:t>
      </w:r>
      <w:r w:rsidR="003C3B75" w:rsidRPr="003C3B75">
        <w:t xml:space="preserve">CNS vrátane alkoholu, barbiturátov, narkotických analgetík a trankvilizérov. Pacienti majú byť poučení, aby sa vyhli alkoholickým nápojom. </w:t>
      </w:r>
      <w:r>
        <w:t>MEDOVERT</w:t>
      </w:r>
      <w:r w:rsidR="003C3B75" w:rsidRPr="003C3B75">
        <w:t xml:space="preserve"> môže tiež zvýšiť účinky antihypertenzív, efedrínu a anticholinergík, ako sú atropín a tricyklické antidepresíva.</w:t>
      </w:r>
    </w:p>
    <w:p w14:paraId="1E25F164" w14:textId="21AC3187" w:rsidR="003C3B75" w:rsidRPr="003C3B75" w:rsidRDefault="007C2A1E" w:rsidP="0045140A">
      <w:pPr>
        <w:pStyle w:val="Normlndoblokusodrkami"/>
      </w:pPr>
      <w:r>
        <w:t>MEDOVERT</w:t>
      </w:r>
      <w:r w:rsidR="003C3B75" w:rsidRPr="003C3B75">
        <w:t xml:space="preserve"> môže maskovať ototoxické príznaky spojené s aminoglykozidovými antibiotikami a maskovať reakciu kože </w:t>
      </w:r>
      <w:r>
        <w:t xml:space="preserve">pri </w:t>
      </w:r>
      <w:r w:rsidR="003C3B75" w:rsidRPr="003C3B75">
        <w:t>kožn</w:t>
      </w:r>
      <w:r>
        <w:t xml:space="preserve">ých </w:t>
      </w:r>
      <w:r w:rsidR="003C3B75" w:rsidRPr="003C3B75">
        <w:t>test</w:t>
      </w:r>
      <w:r>
        <w:t>och na alergie.</w:t>
      </w:r>
    </w:p>
    <w:p w14:paraId="30AA3FBA" w14:textId="7D17E8E4" w:rsidR="003C3B75" w:rsidRPr="003C3B75" w:rsidRDefault="003C3B75" w:rsidP="0045140A">
      <w:pPr>
        <w:pStyle w:val="Normlndoblokusodrkami"/>
      </w:pPr>
      <w:r w:rsidRPr="003C3B75">
        <w:t xml:space="preserve">Je potrebné vyhnúť sa súbežnému podávaniu liekov, ktoré predlžujú QT interval </w:t>
      </w:r>
      <w:r w:rsidR="00184597">
        <w:t xml:space="preserve">na </w:t>
      </w:r>
      <w:r w:rsidRPr="003C3B75">
        <w:t>EKG (ako sú antiarytmiká triedy Ia a triedy III).</w:t>
      </w:r>
    </w:p>
    <w:p w14:paraId="4887D592" w14:textId="6BADF486" w:rsidR="003C3B75" w:rsidRDefault="003C3B75" w:rsidP="0045140A">
      <w:pPr>
        <w:pStyle w:val="Normlndoblokusodrkami"/>
      </w:pPr>
      <w:r w:rsidRPr="003C3B75">
        <w:t xml:space="preserve">Informácie o možných farmakokinetických interakciách </w:t>
      </w:r>
      <w:r w:rsidR="00184597">
        <w:t xml:space="preserve">medzi </w:t>
      </w:r>
      <w:r w:rsidRPr="003C3B75">
        <w:t>cinarizínom a difenhydramínom a</w:t>
      </w:r>
      <w:r w:rsidR="00184597">
        <w:t> </w:t>
      </w:r>
      <w:r w:rsidRPr="003C3B75">
        <w:t>inými liekmi sú obmedzené.</w:t>
      </w:r>
      <w:r w:rsidR="00F9751B">
        <w:t xml:space="preserve"> </w:t>
      </w:r>
      <w:r w:rsidRPr="003C3B75">
        <w:t>Di</w:t>
      </w:r>
      <w:r w:rsidR="00184597">
        <w:t>f</w:t>
      </w:r>
      <w:r w:rsidRPr="003C3B75">
        <w:t>enhydram</w:t>
      </w:r>
      <w:r w:rsidR="00595866">
        <w:t>í</w:t>
      </w:r>
      <w:r w:rsidRPr="003C3B75">
        <w:t xml:space="preserve">n inhibuje metabolizmus sprostredkovaný CYP2D6 a odporúča sa opatrnosť, ak sa </w:t>
      </w:r>
      <w:r w:rsidR="007C2A1E">
        <w:t>MEDOVERT</w:t>
      </w:r>
      <w:r w:rsidRPr="003C3B75">
        <w:t xml:space="preserve"> kombinuje so substrátmi tohto enzýmu, najmä </w:t>
      </w:r>
      <w:r w:rsidR="00595866">
        <w:t xml:space="preserve">ak majú </w:t>
      </w:r>
      <w:r w:rsidRPr="003C3B75">
        <w:t>úzky terapeutický</w:t>
      </w:r>
      <w:r w:rsidR="00595866">
        <w:t xml:space="preserve"> </w:t>
      </w:r>
      <w:r w:rsidRPr="003C3B75">
        <w:t>rozsah.</w:t>
      </w:r>
    </w:p>
    <w:p w14:paraId="0B8A96B8" w14:textId="77777777" w:rsidR="00595866" w:rsidRPr="00595866" w:rsidRDefault="00595866" w:rsidP="0045140A">
      <w:pPr>
        <w:pStyle w:val="Normlndobloku"/>
      </w:pPr>
    </w:p>
    <w:p w14:paraId="514F320D" w14:textId="77777777" w:rsidR="0034679A" w:rsidRPr="00B24AB3" w:rsidRDefault="0034679A">
      <w:pPr>
        <w:pStyle w:val="Styl2"/>
      </w:pPr>
      <w:r w:rsidRPr="00B24AB3">
        <w:t>4.6</w:t>
      </w:r>
      <w:r w:rsidRPr="00B24AB3">
        <w:tab/>
        <w:t>Fertilita, gravidita a laktácia</w:t>
      </w:r>
    </w:p>
    <w:p w14:paraId="663FF343" w14:textId="77777777" w:rsidR="0034679A" w:rsidRPr="00B24AB3" w:rsidRDefault="0034679A" w:rsidP="0045140A">
      <w:pPr>
        <w:pStyle w:val="Normlndobloku"/>
      </w:pPr>
    </w:p>
    <w:p w14:paraId="3E6449AD" w14:textId="77777777" w:rsidR="0034679A" w:rsidRPr="000672D7" w:rsidRDefault="0034679A" w:rsidP="0045140A">
      <w:pPr>
        <w:pStyle w:val="Normlndobloku"/>
        <w:rPr>
          <w:u w:val="single"/>
        </w:rPr>
      </w:pPr>
      <w:r w:rsidRPr="000672D7">
        <w:rPr>
          <w:u w:val="single"/>
        </w:rPr>
        <w:t>Gravidita</w:t>
      </w:r>
    </w:p>
    <w:p w14:paraId="3A2D7393" w14:textId="1AD2A332" w:rsidR="003F5AD4" w:rsidRPr="000672D7" w:rsidRDefault="003F5AD4" w:rsidP="00A031DA">
      <w:pPr>
        <w:pStyle w:val="Styl3"/>
        <w:rPr>
          <w:u w:val="none"/>
        </w:rPr>
      </w:pPr>
      <w:r w:rsidRPr="000672D7">
        <w:rPr>
          <w:u w:val="none"/>
        </w:rPr>
        <w:t xml:space="preserve">Bezpečnosť lieku MEDOVERT </w:t>
      </w:r>
      <w:r w:rsidR="00056544" w:rsidRPr="000672D7">
        <w:rPr>
          <w:u w:val="none"/>
        </w:rPr>
        <w:t>počas</w:t>
      </w:r>
      <w:r w:rsidRPr="000672D7">
        <w:rPr>
          <w:u w:val="none"/>
        </w:rPr>
        <w:t xml:space="preserve"> gravidit</w:t>
      </w:r>
      <w:r w:rsidR="00056544" w:rsidRPr="000672D7">
        <w:rPr>
          <w:u w:val="none"/>
        </w:rPr>
        <w:t>y</w:t>
      </w:r>
      <w:r w:rsidRPr="000672D7">
        <w:rPr>
          <w:u w:val="none"/>
        </w:rPr>
        <w:t xml:space="preserve"> u ľudí nebola stanovená. Štúdie na zvieratách nie sú dostatočné z hľadiska </w:t>
      </w:r>
      <w:r w:rsidR="00884663" w:rsidRPr="000672D7">
        <w:rPr>
          <w:u w:val="none"/>
        </w:rPr>
        <w:t>vplyvu</w:t>
      </w:r>
      <w:r w:rsidRPr="000672D7">
        <w:rPr>
          <w:u w:val="none"/>
        </w:rPr>
        <w:t xml:space="preserve"> na graviditu, embryonálny/</w:t>
      </w:r>
      <w:proofErr w:type="spellStart"/>
      <w:r w:rsidRPr="000672D7">
        <w:rPr>
          <w:u w:val="none"/>
        </w:rPr>
        <w:t>fetálny</w:t>
      </w:r>
      <w:proofErr w:type="spellEnd"/>
      <w:r w:rsidRPr="000672D7">
        <w:rPr>
          <w:u w:val="none"/>
        </w:rPr>
        <w:t xml:space="preserve"> vývoj a </w:t>
      </w:r>
      <w:proofErr w:type="spellStart"/>
      <w:r w:rsidRPr="000672D7">
        <w:rPr>
          <w:u w:val="none"/>
        </w:rPr>
        <w:t>postnatálny</w:t>
      </w:r>
      <w:proofErr w:type="spellEnd"/>
      <w:r w:rsidRPr="000672D7">
        <w:rPr>
          <w:u w:val="none"/>
        </w:rPr>
        <w:t xml:space="preserve"> vývoj (pozri časť </w:t>
      </w:r>
      <w:r w:rsidRPr="000672D7">
        <w:rPr>
          <w:u w:val="none"/>
        </w:rPr>
        <w:lastRenderedPageBreak/>
        <w:t xml:space="preserve">5.3). Teratogénne riziko jednotlivých účinných látok </w:t>
      </w:r>
      <w:proofErr w:type="spellStart"/>
      <w:r w:rsidRPr="000672D7">
        <w:rPr>
          <w:u w:val="none"/>
        </w:rPr>
        <w:t>dimenhydrinátu</w:t>
      </w:r>
      <w:proofErr w:type="spellEnd"/>
      <w:r w:rsidRPr="000672D7">
        <w:rPr>
          <w:u w:val="none"/>
        </w:rPr>
        <w:t>/</w:t>
      </w:r>
      <w:proofErr w:type="spellStart"/>
      <w:r w:rsidRPr="000672D7">
        <w:rPr>
          <w:u w:val="none"/>
        </w:rPr>
        <w:t>difenhydramínu</w:t>
      </w:r>
      <w:proofErr w:type="spellEnd"/>
      <w:r w:rsidRPr="000672D7">
        <w:rPr>
          <w:u w:val="none"/>
        </w:rPr>
        <w:t xml:space="preserve"> a </w:t>
      </w:r>
      <w:proofErr w:type="spellStart"/>
      <w:r w:rsidRPr="000672D7">
        <w:rPr>
          <w:u w:val="none"/>
        </w:rPr>
        <w:t>cinarizínu</w:t>
      </w:r>
      <w:proofErr w:type="spellEnd"/>
      <w:r w:rsidRPr="000672D7">
        <w:rPr>
          <w:u w:val="none"/>
        </w:rPr>
        <w:t xml:space="preserve"> je nízke. V štúdiách na zvieratách neboli pozorované žiadne teratogénne účinky.</w:t>
      </w:r>
    </w:p>
    <w:p w14:paraId="7CB791D6" w14:textId="77777777" w:rsidR="003F5AD4" w:rsidRPr="000672D7" w:rsidRDefault="003F5AD4" w:rsidP="00A031DA">
      <w:pPr>
        <w:pStyle w:val="Styl3"/>
        <w:rPr>
          <w:u w:val="none"/>
        </w:rPr>
      </w:pPr>
    </w:p>
    <w:p w14:paraId="2962AADE" w14:textId="280DAC18" w:rsidR="003F5AD4" w:rsidRPr="000672D7" w:rsidRDefault="00DD2640" w:rsidP="00A031DA">
      <w:pPr>
        <w:pStyle w:val="Styl3"/>
        <w:rPr>
          <w:u w:val="none"/>
        </w:rPr>
      </w:pPr>
      <w:r w:rsidRPr="000672D7">
        <w:rPr>
          <w:u w:val="none"/>
        </w:rPr>
        <w:t>Údaje o použití lieku MEDOVERT u gravidných žien n</w:t>
      </w:r>
      <w:r w:rsidR="003F5AD4" w:rsidRPr="000672D7">
        <w:rPr>
          <w:u w:val="none"/>
        </w:rPr>
        <w:t xml:space="preserve">ie sú k dispozícii. Štúdie na zvieratách nie sú dostatočné </w:t>
      </w:r>
      <w:r w:rsidRPr="000672D7">
        <w:rPr>
          <w:u w:val="none"/>
        </w:rPr>
        <w:t xml:space="preserve">na posúdenie </w:t>
      </w:r>
      <w:r w:rsidR="003F5AD4" w:rsidRPr="000672D7">
        <w:rPr>
          <w:u w:val="none"/>
        </w:rPr>
        <w:t>reprodukčnej toxicity (pozri časť 5.3).</w:t>
      </w:r>
    </w:p>
    <w:p w14:paraId="4941BE52" w14:textId="77777777" w:rsidR="003F5AD4" w:rsidRPr="000672D7" w:rsidRDefault="003F5AD4" w:rsidP="00A031DA">
      <w:pPr>
        <w:pStyle w:val="Styl3"/>
        <w:rPr>
          <w:u w:val="none"/>
        </w:rPr>
      </w:pPr>
    </w:p>
    <w:p w14:paraId="7A2F280D" w14:textId="1DCB82DE" w:rsidR="003F5AD4" w:rsidRPr="000672D7" w:rsidRDefault="003F5AD4" w:rsidP="00A031DA">
      <w:pPr>
        <w:pStyle w:val="Styl3"/>
        <w:rPr>
          <w:u w:val="none"/>
        </w:rPr>
      </w:pPr>
      <w:r w:rsidRPr="000672D7">
        <w:rPr>
          <w:u w:val="none"/>
        </w:rPr>
        <w:t xml:space="preserve">Na základe skúseností u ľudí sa predpokladá, že </w:t>
      </w:r>
      <w:proofErr w:type="spellStart"/>
      <w:r w:rsidRPr="000672D7">
        <w:rPr>
          <w:u w:val="none"/>
        </w:rPr>
        <w:t>dimenhydrinát</w:t>
      </w:r>
      <w:proofErr w:type="spellEnd"/>
      <w:r w:rsidRPr="000672D7">
        <w:rPr>
          <w:u w:val="none"/>
        </w:rPr>
        <w:t xml:space="preserve"> má </w:t>
      </w:r>
      <w:proofErr w:type="spellStart"/>
      <w:r w:rsidRPr="000672D7">
        <w:rPr>
          <w:u w:val="none"/>
        </w:rPr>
        <w:t>oxytoc</w:t>
      </w:r>
      <w:r w:rsidR="00286321" w:rsidRPr="000672D7">
        <w:rPr>
          <w:u w:val="none"/>
        </w:rPr>
        <w:t>ínový</w:t>
      </w:r>
      <w:proofErr w:type="spellEnd"/>
      <w:r w:rsidRPr="000672D7">
        <w:rPr>
          <w:u w:val="none"/>
        </w:rPr>
        <w:t xml:space="preserve"> účinok a môže skrátiť pôrod.</w:t>
      </w:r>
    </w:p>
    <w:p w14:paraId="7E2079DF" w14:textId="77777777" w:rsidR="003F5AD4" w:rsidRPr="000672D7" w:rsidRDefault="003F5AD4" w:rsidP="00A031DA">
      <w:pPr>
        <w:pStyle w:val="Styl3"/>
        <w:rPr>
          <w:u w:val="none"/>
        </w:rPr>
      </w:pPr>
    </w:p>
    <w:p w14:paraId="3E05098A" w14:textId="62700B9E" w:rsidR="00DD2640" w:rsidRPr="000672D7" w:rsidRDefault="003F5AD4" w:rsidP="00A031DA">
      <w:pPr>
        <w:pStyle w:val="Styl3"/>
        <w:rPr>
          <w:u w:val="none"/>
        </w:rPr>
      </w:pPr>
      <w:r w:rsidRPr="000672D7">
        <w:rPr>
          <w:u w:val="none"/>
        </w:rPr>
        <w:t>MEDOVERT sa neodporúča počas gravidity.</w:t>
      </w:r>
    </w:p>
    <w:p w14:paraId="0E515D2C" w14:textId="77777777" w:rsidR="00DD2640" w:rsidRDefault="00DD2640" w:rsidP="00A031DA">
      <w:pPr>
        <w:pStyle w:val="Styl3"/>
      </w:pPr>
    </w:p>
    <w:p w14:paraId="51A61583" w14:textId="624BBAFD" w:rsidR="0034679A" w:rsidRPr="00B24AB3" w:rsidRDefault="000408A4" w:rsidP="00A031DA">
      <w:pPr>
        <w:pStyle w:val="Styl3"/>
      </w:pPr>
      <w:r>
        <w:t>Dojčenie</w:t>
      </w:r>
    </w:p>
    <w:p w14:paraId="6B941E99" w14:textId="2E1570D0" w:rsidR="0034679A" w:rsidRDefault="000408A4" w:rsidP="006C1F7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C</w:t>
      </w:r>
      <w:r w:rsidRPr="00B24AB3">
        <w:rPr>
          <w:rFonts w:ascii="Times New Roman" w:hAnsi="Times New Roman" w:cs="Times New Roman"/>
          <w:lang w:val="sk-SK"/>
        </w:rPr>
        <w:t xml:space="preserve">inarizín a dimenhydrinát </w:t>
      </w:r>
      <w:r w:rsidR="0034679A" w:rsidRPr="00B24AB3">
        <w:rPr>
          <w:rFonts w:ascii="Times New Roman" w:hAnsi="Times New Roman" w:cs="Times New Roman"/>
          <w:lang w:val="sk-SK"/>
        </w:rPr>
        <w:t>sa vylučuj</w:t>
      </w:r>
      <w:r>
        <w:rPr>
          <w:rFonts w:ascii="Times New Roman" w:hAnsi="Times New Roman" w:cs="Times New Roman"/>
          <w:lang w:val="sk-SK"/>
        </w:rPr>
        <w:t>ú</w:t>
      </w:r>
      <w:r w:rsidR="0034679A" w:rsidRPr="00B24AB3">
        <w:rPr>
          <w:rFonts w:ascii="Times New Roman" w:hAnsi="Times New Roman" w:cs="Times New Roman"/>
          <w:lang w:val="sk-SK"/>
        </w:rPr>
        <w:t xml:space="preserve"> do materského mlieka.</w:t>
      </w:r>
    </w:p>
    <w:p w14:paraId="35DF88F9" w14:textId="4747C9E2" w:rsidR="00286321" w:rsidRDefault="00286321" w:rsidP="006C1F7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MEDOVERT sa nemá užívať počas dojčenia,</w:t>
      </w:r>
    </w:p>
    <w:p w14:paraId="038CAFFA" w14:textId="77777777" w:rsidR="00286321" w:rsidRPr="00B24AB3" w:rsidRDefault="00286321" w:rsidP="006C1F7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66D5E2" w14:textId="0D27E570" w:rsidR="0034679A" w:rsidRDefault="000408A4" w:rsidP="00A031DA">
      <w:pPr>
        <w:pStyle w:val="Styl3"/>
      </w:pPr>
      <w:r>
        <w:t>Fertilita</w:t>
      </w:r>
    </w:p>
    <w:p w14:paraId="4E99B0D6" w14:textId="5D7BFD88" w:rsidR="000408A4" w:rsidRDefault="000408A4" w:rsidP="0045140A">
      <w:pPr>
        <w:pStyle w:val="Normlndobloku"/>
      </w:pPr>
      <w:r>
        <w:t>Nie je známe.</w:t>
      </w:r>
    </w:p>
    <w:p w14:paraId="7AE55364" w14:textId="77777777" w:rsidR="000408A4" w:rsidRPr="00B24AB3" w:rsidRDefault="000408A4" w:rsidP="0045140A">
      <w:pPr>
        <w:pStyle w:val="Normlndobloku"/>
      </w:pPr>
    </w:p>
    <w:p w14:paraId="00281426" w14:textId="5EC4C2D2" w:rsidR="0034679A" w:rsidRPr="00B24AB3" w:rsidRDefault="0034679A">
      <w:pPr>
        <w:pStyle w:val="Styl2"/>
      </w:pPr>
      <w:r w:rsidRPr="00B24AB3">
        <w:t>4.7</w:t>
      </w:r>
      <w:r w:rsidRPr="00B24AB3">
        <w:tab/>
        <w:t>Ovplyvnenie schopnosti viesť vozidlá a obsluhovať stroje</w:t>
      </w:r>
    </w:p>
    <w:p w14:paraId="4EC16315" w14:textId="77777777" w:rsidR="006E61AF" w:rsidRDefault="006E61AF" w:rsidP="0045140A">
      <w:pPr>
        <w:pStyle w:val="Normlndobloku"/>
      </w:pPr>
    </w:p>
    <w:p w14:paraId="4B736987" w14:textId="77777777" w:rsidR="00907EBC" w:rsidRDefault="006E61AF" w:rsidP="0045140A">
      <w:pPr>
        <w:pStyle w:val="Normlndobloku"/>
      </w:pPr>
      <w:r>
        <w:t>MEDOVERT</w:t>
      </w:r>
      <w:r w:rsidRPr="006E61AF">
        <w:t xml:space="preserve"> môže mať malý vplyv na schopnosť viesť vozidlá a obsluhovať stroje.</w:t>
      </w:r>
      <w:r>
        <w:t xml:space="preserve"> </w:t>
      </w:r>
    </w:p>
    <w:p w14:paraId="320101B8" w14:textId="716B8F5E" w:rsidR="0034679A" w:rsidRPr="00B24AB3" w:rsidRDefault="006E61AF" w:rsidP="0045140A">
      <w:pPr>
        <w:pStyle w:val="Normlndobloku"/>
        <w:rPr>
          <w:szCs w:val="22"/>
        </w:rPr>
      </w:pPr>
      <w:r>
        <w:t>MED</w:t>
      </w:r>
      <w:bookmarkStart w:id="0" w:name="_GoBack"/>
      <w:bookmarkEnd w:id="0"/>
      <w:r>
        <w:t>OVERT</w:t>
      </w:r>
      <w:r w:rsidRPr="006E61AF">
        <w:t xml:space="preserve"> môže spôsobiť ospalosť, najmä na začiatku liečby. </w:t>
      </w:r>
      <w:r w:rsidR="00286321">
        <w:t>Takto ovplyvnení pacienti</w:t>
      </w:r>
      <w:r w:rsidRPr="006E61AF">
        <w:t xml:space="preserve"> ne</w:t>
      </w:r>
      <w:r>
        <w:t xml:space="preserve">smú </w:t>
      </w:r>
      <w:r w:rsidRPr="006E61AF">
        <w:t>viesť vozidlá ani obsluhovať stroje.</w:t>
      </w:r>
    </w:p>
    <w:p w14:paraId="7C5A1953" w14:textId="77777777" w:rsidR="006F1953" w:rsidRDefault="006F1953" w:rsidP="0045140A">
      <w:pPr>
        <w:pStyle w:val="Normlndobloku"/>
      </w:pPr>
    </w:p>
    <w:p w14:paraId="6BABB201" w14:textId="33526E31" w:rsidR="0034679A" w:rsidRPr="00B24AB3" w:rsidRDefault="0034679A">
      <w:pPr>
        <w:pStyle w:val="Styl2"/>
      </w:pPr>
      <w:r w:rsidRPr="00B24AB3">
        <w:t>4.8</w:t>
      </w:r>
      <w:r w:rsidRPr="00B24AB3">
        <w:tab/>
        <w:t>Nežiaduce účinky</w:t>
      </w:r>
    </w:p>
    <w:p w14:paraId="34D8B91D" w14:textId="77777777" w:rsidR="0034679A" w:rsidRPr="00B24AB3" w:rsidRDefault="0034679A" w:rsidP="0045140A">
      <w:pPr>
        <w:pStyle w:val="Normlndobloku"/>
      </w:pPr>
    </w:p>
    <w:p w14:paraId="794264F9" w14:textId="1637685D" w:rsidR="0034679A" w:rsidRPr="00B24AB3" w:rsidRDefault="006F1953" w:rsidP="0045140A">
      <w:pPr>
        <w:pStyle w:val="Normlndobloku"/>
        <w:rPr>
          <w:szCs w:val="22"/>
        </w:rPr>
      </w:pPr>
      <w:r w:rsidRPr="006F1953">
        <w:t xml:space="preserve">Najčastejšie sa vyskytujúce nežiaduce účinky sú somnolencia (vrátane ospalosti, únavy, </w:t>
      </w:r>
      <w:r>
        <w:t>vyčerpanosti</w:t>
      </w:r>
      <w:r w:rsidRPr="006F1953">
        <w:t xml:space="preserve">, </w:t>
      </w:r>
      <w:r w:rsidRPr="0045140A">
        <w:t>pocitu</w:t>
      </w:r>
      <w:r>
        <w:t xml:space="preserve"> </w:t>
      </w:r>
      <w:r w:rsidRPr="006F1953">
        <w:t>om</w:t>
      </w:r>
      <w:r>
        <w:t>ráčenia</w:t>
      </w:r>
      <w:r w:rsidRPr="006F1953">
        <w:t>) vyskytujúca sa u približne 8</w:t>
      </w:r>
      <w:r>
        <w:t> </w:t>
      </w:r>
      <w:r w:rsidRPr="006F1953">
        <w:t>% pacientov a sucho v ústach sa vyskytuje u približne 5</w:t>
      </w:r>
      <w:r>
        <w:t> </w:t>
      </w:r>
      <w:r w:rsidRPr="006F1953">
        <w:t xml:space="preserve">% pacientov v klinických štúdiách. Tieto reakcie sú zvyčajne mierne a vymiznú v priebehu niekoľkých dní, aj keď liečba pokračuje. Frekvencia nežiaducich účinkov spojených s liekom </w:t>
      </w:r>
      <w:r>
        <w:t>MEDOVERT</w:t>
      </w:r>
      <w:r w:rsidRPr="006F1953">
        <w:t xml:space="preserve"> v</w:t>
      </w:r>
      <w:r>
        <w:t> </w:t>
      </w:r>
      <w:r w:rsidRPr="006F1953">
        <w:t>klinických štúdiách a nasledujúcich spontánnych hláseniach je uvedená v nasledujúcej tabuľke.</w:t>
      </w:r>
    </w:p>
    <w:p w14:paraId="3DC149AB" w14:textId="77777777" w:rsidR="00373734" w:rsidRDefault="00373734" w:rsidP="0045140A">
      <w:pPr>
        <w:pStyle w:val="Normlndobloku"/>
      </w:pPr>
    </w:p>
    <w:p w14:paraId="0C575598" w14:textId="6FB10F26" w:rsidR="00373734" w:rsidRPr="00230FCB" w:rsidRDefault="00373734">
      <w:pPr>
        <w:pStyle w:val="Styl4"/>
      </w:pPr>
      <w:r w:rsidRPr="00230FCB">
        <w:t xml:space="preserve">Tabuľkový </w:t>
      </w:r>
      <w:r>
        <w:t>zo</w:t>
      </w:r>
      <w:r w:rsidRPr="00230FCB">
        <w:t>znam než</w:t>
      </w:r>
      <w:r>
        <w:t>ia</w:t>
      </w:r>
      <w:r w:rsidRPr="00230FCB">
        <w:t>duc</w:t>
      </w:r>
      <w:r>
        <w:t>i</w:t>
      </w:r>
      <w:r w:rsidRPr="00230FCB">
        <w:t>ch účink</w:t>
      </w:r>
      <w:r>
        <w:t>ov</w:t>
      </w:r>
      <w:r w:rsidRPr="00230FCB">
        <w:t>:</w:t>
      </w:r>
    </w:p>
    <w:tbl>
      <w:tblPr>
        <w:tblStyle w:val="Mriekatabuky"/>
        <w:tblW w:w="9107" w:type="dxa"/>
        <w:tblLayout w:type="fixed"/>
        <w:tblLook w:val="04A0" w:firstRow="1" w:lastRow="0" w:firstColumn="1" w:lastColumn="0" w:noHBand="0" w:noVBand="1"/>
      </w:tblPr>
      <w:tblGrid>
        <w:gridCol w:w="2184"/>
        <w:gridCol w:w="1780"/>
        <w:gridCol w:w="1843"/>
        <w:gridCol w:w="1843"/>
        <w:gridCol w:w="1457"/>
      </w:tblGrid>
      <w:tr w:rsidR="00373734" w:rsidRPr="00230FCB" w14:paraId="450E3835" w14:textId="77777777" w:rsidTr="00F24703">
        <w:trPr>
          <w:trHeight w:val="140"/>
          <w:tblHeader/>
        </w:trPr>
        <w:tc>
          <w:tcPr>
            <w:tcW w:w="2184" w:type="dxa"/>
          </w:tcPr>
          <w:p w14:paraId="0D7B5A0D" w14:textId="21D258F5" w:rsidR="00373734" w:rsidRPr="003F16F0" w:rsidRDefault="00847113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Frekvencia nežiaducich účinkov</w:t>
            </w:r>
          </w:p>
        </w:tc>
        <w:tc>
          <w:tcPr>
            <w:tcW w:w="1780" w:type="dxa"/>
          </w:tcPr>
          <w:p w14:paraId="503A502E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Časté</w:t>
            </w:r>
          </w:p>
          <w:p w14:paraId="6822DC09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≥1/100 až &lt;1/10</w:t>
            </w:r>
          </w:p>
        </w:tc>
        <w:tc>
          <w:tcPr>
            <w:tcW w:w="1843" w:type="dxa"/>
          </w:tcPr>
          <w:p w14:paraId="1C60319E" w14:textId="5ECF016E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M</w:t>
            </w:r>
            <w:r w:rsidR="00847113" w:rsidRPr="003F16F0">
              <w:rPr>
                <w:sz w:val="22"/>
                <w:szCs w:val="22"/>
              </w:rPr>
              <w:t>enej</w:t>
            </w:r>
            <w:r w:rsidRPr="003F16F0">
              <w:rPr>
                <w:sz w:val="22"/>
                <w:szCs w:val="22"/>
              </w:rPr>
              <w:t xml:space="preserve"> časté</w:t>
            </w:r>
          </w:p>
          <w:p w14:paraId="315C46E7" w14:textId="56705CA5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≥1/1</w:t>
            </w:r>
            <w:r w:rsidR="00EB414F" w:rsidRPr="003F16F0">
              <w:rPr>
                <w:sz w:val="22"/>
                <w:szCs w:val="22"/>
              </w:rPr>
              <w:t> </w:t>
            </w:r>
            <w:r w:rsidRPr="003F16F0">
              <w:rPr>
                <w:sz w:val="22"/>
                <w:szCs w:val="22"/>
              </w:rPr>
              <w:t>000 až &lt;1/100</w:t>
            </w:r>
          </w:p>
        </w:tc>
        <w:tc>
          <w:tcPr>
            <w:tcW w:w="1843" w:type="dxa"/>
          </w:tcPr>
          <w:p w14:paraId="1F11193C" w14:textId="50300C5A" w:rsidR="00373734" w:rsidRPr="003F16F0" w:rsidRDefault="00847113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 xml:space="preserve">Zriedkavé </w:t>
            </w:r>
            <w:r w:rsidR="00373734" w:rsidRPr="003F16F0">
              <w:rPr>
                <w:sz w:val="22"/>
                <w:szCs w:val="22"/>
              </w:rPr>
              <w:t>≥1/10</w:t>
            </w:r>
            <w:r w:rsidR="00EB414F" w:rsidRPr="003F16F0">
              <w:rPr>
                <w:sz w:val="22"/>
                <w:szCs w:val="22"/>
              </w:rPr>
              <w:t> </w:t>
            </w:r>
            <w:r w:rsidR="00373734" w:rsidRPr="003F16F0">
              <w:rPr>
                <w:sz w:val="22"/>
                <w:szCs w:val="22"/>
              </w:rPr>
              <w:t>000 až &lt;1/1</w:t>
            </w:r>
            <w:r w:rsidR="00EB414F" w:rsidRPr="003F16F0">
              <w:rPr>
                <w:sz w:val="22"/>
                <w:szCs w:val="22"/>
              </w:rPr>
              <w:t> </w:t>
            </w:r>
            <w:r w:rsidR="00373734" w:rsidRPr="003F16F0">
              <w:rPr>
                <w:sz w:val="22"/>
                <w:szCs w:val="22"/>
              </w:rPr>
              <w:t>000</w:t>
            </w:r>
          </w:p>
        </w:tc>
        <w:tc>
          <w:tcPr>
            <w:tcW w:w="1457" w:type="dxa"/>
          </w:tcPr>
          <w:p w14:paraId="54E3DFD1" w14:textId="5E56B874" w:rsidR="00373734" w:rsidRPr="003F16F0" w:rsidRDefault="00847113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 xml:space="preserve">Veľmi zriedkavé </w:t>
            </w:r>
            <w:r w:rsidR="00373734" w:rsidRPr="003F16F0">
              <w:rPr>
                <w:sz w:val="22"/>
                <w:szCs w:val="22"/>
              </w:rPr>
              <w:t>&lt;1/10</w:t>
            </w:r>
            <w:r w:rsidR="00EB414F" w:rsidRPr="003F16F0">
              <w:rPr>
                <w:sz w:val="22"/>
                <w:szCs w:val="22"/>
              </w:rPr>
              <w:t> </w:t>
            </w:r>
            <w:r w:rsidR="00373734" w:rsidRPr="003F16F0">
              <w:rPr>
                <w:sz w:val="22"/>
                <w:szCs w:val="22"/>
              </w:rPr>
              <w:t>000</w:t>
            </w:r>
          </w:p>
        </w:tc>
      </w:tr>
      <w:tr w:rsidR="00373734" w:rsidRPr="00230FCB" w14:paraId="4F48A838" w14:textId="77777777" w:rsidTr="00F24703">
        <w:trPr>
          <w:trHeight w:val="140"/>
        </w:trPr>
        <w:tc>
          <w:tcPr>
            <w:tcW w:w="2184" w:type="dxa"/>
          </w:tcPr>
          <w:p w14:paraId="4D8F1694" w14:textId="20EE8C2A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1780" w:type="dxa"/>
          </w:tcPr>
          <w:p w14:paraId="056216FE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18BEFB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635936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14:paraId="65621EAB" w14:textId="2556FC06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leukop</w:t>
            </w:r>
            <w:r w:rsidR="00F12F99" w:rsidRPr="003F16F0">
              <w:rPr>
                <w:sz w:val="22"/>
                <w:szCs w:val="22"/>
              </w:rPr>
              <w:t>énia</w:t>
            </w:r>
          </w:p>
          <w:p w14:paraId="003F6CDA" w14:textId="7BC8CE31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trombop</w:t>
            </w:r>
            <w:r w:rsidR="00F12F99" w:rsidRPr="003F16F0">
              <w:rPr>
                <w:sz w:val="22"/>
                <w:szCs w:val="22"/>
              </w:rPr>
              <w:t>énia</w:t>
            </w:r>
          </w:p>
          <w:p w14:paraId="1C3F9BCC" w14:textId="08432926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aplastická an</w:t>
            </w:r>
            <w:r w:rsidR="00F12F99" w:rsidRPr="003F16F0">
              <w:rPr>
                <w:sz w:val="22"/>
                <w:szCs w:val="22"/>
              </w:rPr>
              <w:t>é</w:t>
            </w:r>
            <w:r w:rsidRPr="003F16F0">
              <w:rPr>
                <w:sz w:val="22"/>
                <w:szCs w:val="22"/>
              </w:rPr>
              <w:t>mi</w:t>
            </w:r>
            <w:r w:rsidR="00F12F99" w:rsidRPr="003F16F0">
              <w:rPr>
                <w:sz w:val="22"/>
                <w:szCs w:val="22"/>
              </w:rPr>
              <w:t>a</w:t>
            </w:r>
          </w:p>
        </w:tc>
      </w:tr>
      <w:tr w:rsidR="00373734" w:rsidRPr="00230FCB" w14:paraId="60804166" w14:textId="77777777" w:rsidTr="00F24703">
        <w:trPr>
          <w:trHeight w:val="140"/>
        </w:trPr>
        <w:tc>
          <w:tcPr>
            <w:tcW w:w="2184" w:type="dxa"/>
          </w:tcPr>
          <w:p w14:paraId="316A3CAB" w14:textId="411F489A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Poruchy imunitn</w:t>
            </w:r>
            <w:r w:rsidR="00F12F99" w:rsidRPr="003F16F0">
              <w:rPr>
                <w:sz w:val="22"/>
                <w:szCs w:val="22"/>
              </w:rPr>
              <w:t>é</w:t>
            </w:r>
            <w:r w:rsidRPr="003F16F0">
              <w:rPr>
                <w:sz w:val="22"/>
                <w:szCs w:val="22"/>
              </w:rPr>
              <w:t>ho systému</w:t>
            </w:r>
          </w:p>
        </w:tc>
        <w:tc>
          <w:tcPr>
            <w:tcW w:w="1780" w:type="dxa"/>
          </w:tcPr>
          <w:p w14:paraId="53A63B2B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38D2AA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DF688C4" w14:textId="664C8A37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reakcie z precitlivenosti (napr. kožné reakcie)</w:t>
            </w:r>
          </w:p>
        </w:tc>
        <w:tc>
          <w:tcPr>
            <w:tcW w:w="1457" w:type="dxa"/>
          </w:tcPr>
          <w:p w14:paraId="35E9AC35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</w:tr>
      <w:tr w:rsidR="00373734" w:rsidRPr="00230FCB" w14:paraId="636F72DE" w14:textId="77777777" w:rsidTr="00F24703">
        <w:trPr>
          <w:trHeight w:val="140"/>
        </w:trPr>
        <w:tc>
          <w:tcPr>
            <w:tcW w:w="2184" w:type="dxa"/>
          </w:tcPr>
          <w:p w14:paraId="3359BF38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780" w:type="dxa"/>
          </w:tcPr>
          <w:p w14:paraId="1509A708" w14:textId="6544FDE4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somnolenc</w:t>
            </w:r>
            <w:r w:rsidR="00F12F99" w:rsidRPr="003F16F0">
              <w:rPr>
                <w:sz w:val="22"/>
                <w:szCs w:val="22"/>
              </w:rPr>
              <w:t>ia</w:t>
            </w:r>
          </w:p>
          <w:p w14:paraId="2E598FA9" w14:textId="53379BD0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boles</w:t>
            </w:r>
            <w:r w:rsidR="00F12F99" w:rsidRPr="003F16F0">
              <w:rPr>
                <w:sz w:val="22"/>
                <w:szCs w:val="22"/>
              </w:rPr>
              <w:t>ť</w:t>
            </w:r>
            <w:r w:rsidRPr="003F16F0">
              <w:rPr>
                <w:sz w:val="22"/>
                <w:szCs w:val="22"/>
              </w:rPr>
              <w:t xml:space="preserve"> hlavy</w:t>
            </w:r>
          </w:p>
        </w:tc>
        <w:tc>
          <w:tcPr>
            <w:tcW w:w="1843" w:type="dxa"/>
          </w:tcPr>
          <w:p w14:paraId="3CE91140" w14:textId="0EEC62B1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parestézi</w:t>
            </w:r>
            <w:r w:rsidR="00F12F99" w:rsidRPr="003F16F0">
              <w:rPr>
                <w:sz w:val="22"/>
                <w:szCs w:val="22"/>
              </w:rPr>
              <w:t>a</w:t>
            </w:r>
          </w:p>
          <w:p w14:paraId="54478955" w14:textId="2734AF8D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amnézi</w:t>
            </w:r>
            <w:r w:rsidR="00F12F99" w:rsidRPr="003F16F0">
              <w:rPr>
                <w:sz w:val="22"/>
                <w:szCs w:val="22"/>
              </w:rPr>
              <w:t>a</w:t>
            </w:r>
          </w:p>
          <w:p w14:paraId="576C6DD9" w14:textId="46680DC5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proofErr w:type="spellStart"/>
            <w:r w:rsidRPr="003F16F0">
              <w:rPr>
                <w:sz w:val="22"/>
                <w:szCs w:val="22"/>
              </w:rPr>
              <w:t>tinitus</w:t>
            </w:r>
            <w:proofErr w:type="spellEnd"/>
          </w:p>
          <w:p w14:paraId="75BF1437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tremor</w:t>
            </w:r>
          </w:p>
          <w:p w14:paraId="3E7781E2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nervozita</w:t>
            </w:r>
          </w:p>
          <w:p w14:paraId="09BE9758" w14:textId="7A1C6B09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kŕče</w:t>
            </w:r>
          </w:p>
        </w:tc>
        <w:tc>
          <w:tcPr>
            <w:tcW w:w="1843" w:type="dxa"/>
          </w:tcPr>
          <w:p w14:paraId="6FC0AF15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14:paraId="4E09A799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</w:tr>
      <w:tr w:rsidR="00373734" w:rsidRPr="00230FCB" w14:paraId="534575B8" w14:textId="77777777" w:rsidTr="00F24703">
        <w:trPr>
          <w:trHeight w:val="140"/>
        </w:trPr>
        <w:tc>
          <w:tcPr>
            <w:tcW w:w="2184" w:type="dxa"/>
          </w:tcPr>
          <w:p w14:paraId="4596AA21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Poruchy oka</w:t>
            </w:r>
          </w:p>
        </w:tc>
        <w:tc>
          <w:tcPr>
            <w:tcW w:w="1780" w:type="dxa"/>
          </w:tcPr>
          <w:p w14:paraId="40099B04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B8CB8ED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9F3915" w14:textId="39585206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</w:t>
            </w:r>
            <w:r w:rsidR="00373734" w:rsidRPr="003F16F0">
              <w:rPr>
                <w:sz w:val="22"/>
                <w:szCs w:val="22"/>
              </w:rPr>
              <w:t>oruchy</w:t>
            </w:r>
            <w:r w:rsidRPr="003F16F0">
              <w:rPr>
                <w:sz w:val="22"/>
                <w:szCs w:val="22"/>
              </w:rPr>
              <w:t xml:space="preserve"> zraku</w:t>
            </w:r>
          </w:p>
        </w:tc>
        <w:tc>
          <w:tcPr>
            <w:tcW w:w="1457" w:type="dxa"/>
          </w:tcPr>
          <w:p w14:paraId="275DC46E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</w:tr>
      <w:tr w:rsidR="00373734" w:rsidRPr="00230FCB" w14:paraId="763850A8" w14:textId="77777777" w:rsidTr="00F24703">
        <w:trPr>
          <w:trHeight w:val="140"/>
        </w:trPr>
        <w:tc>
          <w:tcPr>
            <w:tcW w:w="2184" w:type="dxa"/>
          </w:tcPr>
          <w:p w14:paraId="2AC1F1CE" w14:textId="61849191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1780" w:type="dxa"/>
          </w:tcPr>
          <w:p w14:paraId="06441E44" w14:textId="637458D7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 xml:space="preserve">suchosť v ústach </w:t>
            </w:r>
            <w:r w:rsidR="00373734" w:rsidRPr="003F16F0">
              <w:rPr>
                <w:sz w:val="22"/>
                <w:szCs w:val="22"/>
              </w:rPr>
              <w:t>abdomináln</w:t>
            </w:r>
            <w:r w:rsidRPr="003F16F0">
              <w:rPr>
                <w:sz w:val="22"/>
                <w:szCs w:val="22"/>
              </w:rPr>
              <w:t xml:space="preserve">a </w:t>
            </w:r>
            <w:r w:rsidR="00373734" w:rsidRPr="003F16F0">
              <w:rPr>
                <w:sz w:val="22"/>
                <w:szCs w:val="22"/>
              </w:rPr>
              <w:t>boles</w:t>
            </w:r>
            <w:r w:rsidRPr="003F16F0">
              <w:rPr>
                <w:sz w:val="22"/>
                <w:szCs w:val="22"/>
              </w:rPr>
              <w:t>ť</w:t>
            </w:r>
          </w:p>
        </w:tc>
        <w:tc>
          <w:tcPr>
            <w:tcW w:w="1843" w:type="dxa"/>
          </w:tcPr>
          <w:p w14:paraId="7E49D32B" w14:textId="51FF3133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dyspepsi</w:t>
            </w:r>
            <w:r w:rsidR="00F12F99" w:rsidRPr="003F16F0">
              <w:rPr>
                <w:sz w:val="22"/>
                <w:szCs w:val="22"/>
              </w:rPr>
              <w:t>a</w:t>
            </w:r>
          </w:p>
          <w:p w14:paraId="713708DC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nauzea</w:t>
            </w:r>
          </w:p>
          <w:p w14:paraId="675BE405" w14:textId="2B3BDBA7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hnačka</w:t>
            </w:r>
          </w:p>
        </w:tc>
        <w:tc>
          <w:tcPr>
            <w:tcW w:w="1843" w:type="dxa"/>
          </w:tcPr>
          <w:p w14:paraId="4B4776A5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14:paraId="0F9F8830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</w:tr>
      <w:tr w:rsidR="00373734" w:rsidRPr="00230FCB" w14:paraId="045A78D6" w14:textId="77777777" w:rsidTr="00F24703">
        <w:trPr>
          <w:trHeight w:val="140"/>
        </w:trPr>
        <w:tc>
          <w:tcPr>
            <w:tcW w:w="2184" w:type="dxa"/>
          </w:tcPr>
          <w:p w14:paraId="697B3836" w14:textId="5687D274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1780" w:type="dxa"/>
          </w:tcPr>
          <w:p w14:paraId="37286122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233650" w14:textId="6720633A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po</w:t>
            </w:r>
            <w:r w:rsidR="00F12F99" w:rsidRPr="003F16F0">
              <w:rPr>
                <w:sz w:val="22"/>
                <w:szCs w:val="22"/>
              </w:rPr>
              <w:t>te</w:t>
            </w:r>
            <w:r w:rsidRPr="003F16F0">
              <w:rPr>
                <w:sz w:val="22"/>
                <w:szCs w:val="22"/>
              </w:rPr>
              <w:t>n</w:t>
            </w:r>
            <w:r w:rsidR="00F12F99" w:rsidRPr="003F16F0">
              <w:rPr>
                <w:sz w:val="22"/>
                <w:szCs w:val="22"/>
              </w:rPr>
              <w:t>ie</w:t>
            </w:r>
          </w:p>
          <w:p w14:paraId="18E75030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vyrážka</w:t>
            </w:r>
          </w:p>
        </w:tc>
        <w:tc>
          <w:tcPr>
            <w:tcW w:w="1843" w:type="dxa"/>
          </w:tcPr>
          <w:p w14:paraId="7CFC12F5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>fotosenzitivita</w:t>
            </w:r>
          </w:p>
        </w:tc>
        <w:tc>
          <w:tcPr>
            <w:tcW w:w="1457" w:type="dxa"/>
          </w:tcPr>
          <w:p w14:paraId="6D7032D1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</w:tr>
      <w:tr w:rsidR="00373734" w:rsidRPr="00230FCB" w14:paraId="077E3395" w14:textId="77777777" w:rsidTr="00F24703">
        <w:trPr>
          <w:trHeight w:val="140"/>
        </w:trPr>
        <w:tc>
          <w:tcPr>
            <w:tcW w:w="2184" w:type="dxa"/>
          </w:tcPr>
          <w:p w14:paraId="1DDA556E" w14:textId="310356F1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lastRenderedPageBreak/>
              <w:t>Poruchy obličiek a močových ciest</w:t>
            </w:r>
          </w:p>
        </w:tc>
        <w:tc>
          <w:tcPr>
            <w:tcW w:w="1780" w:type="dxa"/>
          </w:tcPr>
          <w:p w14:paraId="5C0C0C77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471136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6C389C" w14:textId="36CE25FF" w:rsidR="00373734" w:rsidRPr="003F16F0" w:rsidRDefault="00F12F99" w:rsidP="0045140A">
            <w:pPr>
              <w:pStyle w:val="Normlndobloku"/>
              <w:rPr>
                <w:sz w:val="22"/>
                <w:szCs w:val="22"/>
              </w:rPr>
            </w:pPr>
            <w:r w:rsidRPr="003F16F0">
              <w:rPr>
                <w:sz w:val="22"/>
                <w:szCs w:val="22"/>
              </w:rPr>
              <w:t xml:space="preserve">oneskorený </w:t>
            </w:r>
            <w:r w:rsidR="00373734" w:rsidRPr="003F16F0">
              <w:rPr>
                <w:sz w:val="22"/>
                <w:szCs w:val="22"/>
              </w:rPr>
              <w:t>zač</w:t>
            </w:r>
            <w:r w:rsidRPr="003F16F0">
              <w:rPr>
                <w:sz w:val="22"/>
                <w:szCs w:val="22"/>
              </w:rPr>
              <w:t xml:space="preserve">iatok </w:t>
            </w:r>
            <w:r w:rsidR="00373734" w:rsidRPr="003F16F0">
              <w:rPr>
                <w:sz w:val="22"/>
                <w:szCs w:val="22"/>
              </w:rPr>
              <w:t>močen</w:t>
            </w:r>
            <w:r w:rsidRPr="003F16F0">
              <w:rPr>
                <w:sz w:val="22"/>
                <w:szCs w:val="22"/>
              </w:rPr>
              <w:t>ia</w:t>
            </w:r>
          </w:p>
        </w:tc>
        <w:tc>
          <w:tcPr>
            <w:tcW w:w="1457" w:type="dxa"/>
          </w:tcPr>
          <w:p w14:paraId="2CC4730B" w14:textId="77777777" w:rsidR="00373734" w:rsidRPr="003F16F0" w:rsidRDefault="00373734" w:rsidP="0045140A">
            <w:pPr>
              <w:pStyle w:val="Normlndobloku"/>
              <w:rPr>
                <w:sz w:val="22"/>
                <w:szCs w:val="22"/>
              </w:rPr>
            </w:pPr>
          </w:p>
        </w:tc>
      </w:tr>
    </w:tbl>
    <w:p w14:paraId="0F8D92A7" w14:textId="77777777" w:rsidR="00373734" w:rsidRPr="00230FCB" w:rsidRDefault="00373734" w:rsidP="00A031DA">
      <w:pPr>
        <w:pStyle w:val="Styl3"/>
      </w:pPr>
    </w:p>
    <w:p w14:paraId="2E20466F" w14:textId="43CEF51F" w:rsidR="00FF3613" w:rsidRDefault="00FF3613" w:rsidP="00960544">
      <w:pPr>
        <w:pStyle w:val="Styl4"/>
      </w:pPr>
      <w:r>
        <w:t>Okrem toho sú s dimenhydrinátom a cinarizínom spojené nasledujúce nežiaduce reakcie (frekvencia sa nedá odhadnúť z dostupných údajov):</w:t>
      </w:r>
    </w:p>
    <w:p w14:paraId="273AEA2A" w14:textId="77777777" w:rsidR="00FF3613" w:rsidRDefault="00FF3613" w:rsidP="0045140A">
      <w:pPr>
        <w:pStyle w:val="Normlndobloku"/>
      </w:pPr>
    </w:p>
    <w:p w14:paraId="1A361EEF" w14:textId="759E73A9" w:rsidR="00FF3613" w:rsidRDefault="00FF3613" w:rsidP="00A031DA">
      <w:pPr>
        <w:pStyle w:val="Styl3"/>
      </w:pPr>
      <w:r>
        <w:t>dimenhydrinát</w:t>
      </w:r>
    </w:p>
    <w:p w14:paraId="294D69DA" w14:textId="204C0A73" w:rsidR="00FF3613" w:rsidRDefault="00FF3613">
      <w:pPr>
        <w:pStyle w:val="Normlndoblokusodrkami"/>
      </w:pPr>
      <w:r>
        <w:t>paradoxná excitabilita (najmä u detí)</w:t>
      </w:r>
    </w:p>
    <w:p w14:paraId="19E29E6C" w14:textId="66701125" w:rsidR="00FF3613" w:rsidRDefault="00FF3613" w:rsidP="0045140A">
      <w:pPr>
        <w:pStyle w:val="Normlndoblokusodrkami"/>
      </w:pPr>
      <w:r>
        <w:t>zhoršenie existujúceho glaukómu s uzavretým uhlom</w:t>
      </w:r>
    </w:p>
    <w:p w14:paraId="25E460FD" w14:textId="56A9BA87" w:rsidR="00FF3613" w:rsidRDefault="00FF3613" w:rsidP="0045140A">
      <w:pPr>
        <w:pStyle w:val="Normlndoblokusodrkami"/>
      </w:pPr>
      <w:r>
        <w:t>reverzibilná agranulocytóza</w:t>
      </w:r>
    </w:p>
    <w:p w14:paraId="456995E3" w14:textId="77777777" w:rsidR="00FF3613" w:rsidRDefault="00FF3613" w:rsidP="006C1F72">
      <w:pPr>
        <w:pStyle w:val="Normlndobloku"/>
      </w:pPr>
    </w:p>
    <w:p w14:paraId="7EA80658" w14:textId="40456000" w:rsidR="00FF3613" w:rsidRDefault="00FF3613" w:rsidP="006C1F72">
      <w:pPr>
        <w:pStyle w:val="Styl3"/>
      </w:pPr>
      <w:r>
        <w:t>cinarizín</w:t>
      </w:r>
    </w:p>
    <w:p w14:paraId="0F0858DB" w14:textId="7854CC79" w:rsidR="00FF3613" w:rsidRDefault="00FF3613" w:rsidP="0045140A">
      <w:pPr>
        <w:pStyle w:val="Normlndoblokusodrkami"/>
      </w:pPr>
      <w:r>
        <w:t>zápcha</w:t>
      </w:r>
    </w:p>
    <w:p w14:paraId="4E4578D6" w14:textId="71F7E89B" w:rsidR="00FF3613" w:rsidRDefault="00FF3613" w:rsidP="0045140A">
      <w:pPr>
        <w:pStyle w:val="Normlndoblokusodrkami"/>
      </w:pPr>
      <w:r>
        <w:t>nárast telesnej hmotnosti</w:t>
      </w:r>
    </w:p>
    <w:p w14:paraId="5A399B2F" w14:textId="0428D50C" w:rsidR="00FF3613" w:rsidRDefault="00FF3613" w:rsidP="0045140A">
      <w:pPr>
        <w:pStyle w:val="Normlndoblokusodrkami"/>
      </w:pPr>
      <w:r>
        <w:t xml:space="preserve">tlak na hrudi </w:t>
      </w:r>
    </w:p>
    <w:p w14:paraId="6F033410" w14:textId="162E4E99" w:rsidR="00FF3613" w:rsidRDefault="00FF3613" w:rsidP="0045140A">
      <w:pPr>
        <w:pStyle w:val="Normlndoblokusodrkami"/>
      </w:pPr>
      <w:r>
        <w:t>cholestatická žltačka</w:t>
      </w:r>
    </w:p>
    <w:p w14:paraId="68F1296B" w14:textId="7A56E3DE" w:rsidR="00FF3613" w:rsidRDefault="00FF3613" w:rsidP="0045140A">
      <w:pPr>
        <w:pStyle w:val="Normlndoblokusodrkami"/>
      </w:pPr>
      <w:r>
        <w:t>extrapyramídové symptómy</w:t>
      </w:r>
    </w:p>
    <w:p w14:paraId="06CEE563" w14:textId="3BB90DF1" w:rsidR="00FF3613" w:rsidRDefault="00FF3613" w:rsidP="0045140A">
      <w:pPr>
        <w:pStyle w:val="Normlndoblokusodrkami"/>
      </w:pPr>
      <w:r>
        <w:t>kožné reakcie podobné lupusu</w:t>
      </w:r>
    </w:p>
    <w:p w14:paraId="57B29BFC" w14:textId="2D81EFAC" w:rsidR="0034679A" w:rsidRDefault="00FF3613" w:rsidP="0045140A">
      <w:pPr>
        <w:pStyle w:val="Normlndoblokusodrkami"/>
      </w:pPr>
      <w:r>
        <w:t>lichen planus</w:t>
      </w:r>
    </w:p>
    <w:p w14:paraId="6CD469CE" w14:textId="77777777" w:rsidR="00FF3613" w:rsidRPr="00FF3613" w:rsidRDefault="00FF3613" w:rsidP="00A031DA">
      <w:pPr>
        <w:pStyle w:val="Normlndobloku"/>
        <w:ind w:hanging="714"/>
      </w:pPr>
    </w:p>
    <w:p w14:paraId="18263E70" w14:textId="77777777" w:rsidR="009460A8" w:rsidRDefault="009460A8" w:rsidP="006C1F72">
      <w:pPr>
        <w:pStyle w:val="Styl3"/>
      </w:pPr>
      <w:r>
        <w:rPr>
          <w:noProof/>
        </w:rPr>
        <w:t>Hlásenie podozrení na nežiaduce reakcie</w:t>
      </w:r>
    </w:p>
    <w:p w14:paraId="0E360AC9" w14:textId="56CCD347" w:rsidR="009460A8" w:rsidRDefault="009460A8" w:rsidP="0045140A">
      <w:pPr>
        <w:pStyle w:val="Normlndobloku"/>
        <w:rPr>
          <w:noProof/>
        </w:rPr>
      </w:pPr>
      <w:r>
        <w:rPr>
          <w:noProof/>
        </w:rPr>
        <w:t>Hlásenie podozrení na nežiaduce reakcie po registrácii lieku je dôležité.</w:t>
      </w:r>
      <w:r>
        <w:t xml:space="preserve"> </w:t>
      </w:r>
      <w:r>
        <w:rPr>
          <w:noProof/>
        </w:rPr>
        <w:t>Umožňuje priebežné monitorovanie pomeru prínosu a rizika lieku.</w:t>
      </w:r>
      <w:r>
        <w:t xml:space="preserve"> Od </w:t>
      </w:r>
      <w:r>
        <w:rPr>
          <w:noProof/>
        </w:rPr>
        <w:t xml:space="preserve">zdravotníckych pracovníkov sa vyžaduje, aby hlásili akékoľvek podozrenia na nežiaduce reakcie na </w:t>
      </w:r>
      <w:r>
        <w:rPr>
          <w:noProof/>
          <w:highlight w:val="lightGray"/>
        </w:rPr>
        <w:t>národné centrum hlásenia uvedené v </w:t>
      </w:r>
      <w:hyperlink r:id="rId8" w:history="1">
        <w:r>
          <w:rPr>
            <w:rStyle w:val="Hypertextovprepojenie"/>
            <w:noProof/>
            <w:szCs w:val="22"/>
            <w:highlight w:val="lightGray"/>
          </w:rPr>
          <w:t>Prílohe V</w:t>
        </w:r>
      </w:hyperlink>
      <w:r>
        <w:rPr>
          <w:noProof/>
        </w:rPr>
        <w:t>.</w:t>
      </w:r>
    </w:p>
    <w:p w14:paraId="0AD21DBE" w14:textId="77777777" w:rsidR="009460A8" w:rsidRDefault="009460A8" w:rsidP="0045140A">
      <w:pPr>
        <w:pStyle w:val="Normlndobloku"/>
        <w:rPr>
          <w:noProof/>
        </w:rPr>
      </w:pPr>
    </w:p>
    <w:p w14:paraId="49B5AC27" w14:textId="77777777" w:rsidR="0034679A" w:rsidRPr="00B24AB3" w:rsidRDefault="0034679A">
      <w:pPr>
        <w:pStyle w:val="Styl2"/>
      </w:pPr>
      <w:r w:rsidRPr="00B24AB3">
        <w:t>4.9</w:t>
      </w:r>
      <w:r w:rsidRPr="00B24AB3">
        <w:tab/>
        <w:t>Predávkovanie</w:t>
      </w:r>
    </w:p>
    <w:p w14:paraId="599A20F8" w14:textId="77777777" w:rsidR="0034679A" w:rsidRPr="00B24AB3" w:rsidRDefault="0034679A" w:rsidP="0045140A">
      <w:pPr>
        <w:pStyle w:val="Normlndobloku"/>
      </w:pPr>
    </w:p>
    <w:p w14:paraId="45315CFE" w14:textId="1220FE44" w:rsidR="00B66FB9" w:rsidRPr="00B66FB9" w:rsidRDefault="00B66FB9" w:rsidP="006C1F72">
      <w:pPr>
        <w:pStyle w:val="Styl3"/>
      </w:pPr>
      <w:r>
        <w:t>P</w:t>
      </w:r>
      <w:r w:rsidRPr="00B66FB9">
        <w:t>ríznaky</w:t>
      </w:r>
    </w:p>
    <w:p w14:paraId="11C95657" w14:textId="12D17DD5" w:rsidR="00B66FB9" w:rsidRPr="00B66FB9" w:rsidRDefault="00B66FB9" w:rsidP="0045140A">
      <w:pPr>
        <w:pStyle w:val="Normlndobloku"/>
      </w:pPr>
      <w:r w:rsidRPr="00B66FB9">
        <w:t xml:space="preserve">Medzi príznaky predávkovania liekom </w:t>
      </w:r>
      <w:r w:rsidR="00E23381">
        <w:t>MEDOVERT</w:t>
      </w:r>
      <w:r w:rsidRPr="00B66FB9">
        <w:t xml:space="preserve"> patria ospalosť, závraty a </w:t>
      </w:r>
      <w:proofErr w:type="spellStart"/>
      <w:r w:rsidRPr="00B66FB9">
        <w:t>ataxia</w:t>
      </w:r>
      <w:proofErr w:type="spellEnd"/>
      <w:r w:rsidRPr="00B66FB9">
        <w:t xml:space="preserve"> s</w:t>
      </w:r>
      <w:r w:rsidR="00E23381">
        <w:t> </w:t>
      </w:r>
      <w:proofErr w:type="spellStart"/>
      <w:r w:rsidRPr="00B66FB9">
        <w:t>anticholinerg</w:t>
      </w:r>
      <w:r w:rsidR="004331F4">
        <w:t>ickými</w:t>
      </w:r>
      <w:proofErr w:type="spellEnd"/>
      <w:r w:rsidRPr="00B66FB9">
        <w:t xml:space="preserve"> účinkami, ako sú sucho v ústach, návaly </w:t>
      </w:r>
      <w:r w:rsidR="004331F4">
        <w:t xml:space="preserve">horúčavy </w:t>
      </w:r>
      <w:r w:rsidR="00F41442">
        <w:t>v</w:t>
      </w:r>
      <w:r w:rsidRPr="00B66FB9">
        <w:t xml:space="preserve"> tvári, rozšírené zr</w:t>
      </w:r>
      <w:r w:rsidR="004331F4">
        <w:t>e</w:t>
      </w:r>
      <w:r w:rsidRPr="00B66FB9">
        <w:t xml:space="preserve">nice, </w:t>
      </w:r>
      <w:proofErr w:type="spellStart"/>
      <w:r w:rsidRPr="00B66FB9">
        <w:t>tachykardia</w:t>
      </w:r>
      <w:proofErr w:type="spellEnd"/>
      <w:r w:rsidRPr="00B66FB9">
        <w:t xml:space="preserve">, </w:t>
      </w:r>
      <w:proofErr w:type="spellStart"/>
      <w:r w:rsidRPr="00B66FB9">
        <w:t>pyrexia</w:t>
      </w:r>
      <w:proofErr w:type="spellEnd"/>
      <w:r w:rsidRPr="00B66FB9">
        <w:t>, bolesti hlavy a retencia moču. Kŕče, halucinácie, vzrušenie, útlm dýchania, hypertenzia, tremor a kóma sa môžu vyskytnúť najmä v prípadoch masívneho predávkovania.</w:t>
      </w:r>
    </w:p>
    <w:p w14:paraId="740207D1" w14:textId="77777777" w:rsidR="00B66FB9" w:rsidRPr="00B66FB9" w:rsidRDefault="00B66FB9" w:rsidP="0045140A">
      <w:pPr>
        <w:pStyle w:val="Normlndobloku"/>
      </w:pPr>
    </w:p>
    <w:p w14:paraId="0CF2D052" w14:textId="0AC3114C" w:rsidR="00B66FB9" w:rsidRPr="00B66FB9" w:rsidRDefault="00E23381" w:rsidP="006C1F72">
      <w:pPr>
        <w:pStyle w:val="Styl3"/>
      </w:pPr>
      <w:r w:rsidRPr="00BF027A">
        <w:t>Lieč</w:t>
      </w:r>
      <w:r>
        <w:t>ba</w:t>
      </w:r>
    </w:p>
    <w:p w14:paraId="5A2E82C6" w14:textId="77777777" w:rsidR="00B66FB9" w:rsidRPr="00B66FB9" w:rsidRDefault="00B66FB9" w:rsidP="0045140A">
      <w:pPr>
        <w:pStyle w:val="Normlndobloku"/>
      </w:pPr>
      <w:r w:rsidRPr="00B66FB9">
        <w:t xml:space="preserve">Na liečbu respiračnej insuficiencie alebo </w:t>
      </w:r>
      <w:r w:rsidRPr="00A031DA">
        <w:t>zlyhania obehu</w:t>
      </w:r>
      <w:r w:rsidRPr="00B66FB9">
        <w:t xml:space="preserve"> by sa mali použiť všeobecné podporné opatrenia. Odporúča sa výplach žalúdka izotonickým roztokom chloridu sodného. Telesná teplota sa má starostlivo sledovať, pretože pyrexia sa môže vyskytnúť ako dôsledok intoxikácie antihistaminikami, najmä u detí.</w:t>
      </w:r>
    </w:p>
    <w:p w14:paraId="455BCD7B" w14:textId="77777777" w:rsidR="00B66FB9" w:rsidRPr="00B66FB9" w:rsidRDefault="00B66FB9" w:rsidP="0045140A">
      <w:pPr>
        <w:pStyle w:val="Normlndobloku"/>
      </w:pPr>
    </w:p>
    <w:p w14:paraId="6DE6C292" w14:textId="6489CF8B" w:rsidR="00B66FB9" w:rsidRPr="00B66FB9" w:rsidRDefault="00B66FB9" w:rsidP="0045140A">
      <w:pPr>
        <w:pStyle w:val="Normlndobloku"/>
      </w:pPr>
      <w:r w:rsidRPr="00B66FB9">
        <w:t xml:space="preserve">Symptómy podobné kŕčom sa môžu kontrolovať opatrnou aplikáciou krátkodobo pôsobiaceho barbiturátu. V prípadoch výrazných centrálnych </w:t>
      </w:r>
      <w:proofErr w:type="spellStart"/>
      <w:r w:rsidRPr="00B66FB9">
        <w:t>anticholinerg</w:t>
      </w:r>
      <w:r w:rsidR="00CA41D0">
        <w:t>ick</w:t>
      </w:r>
      <w:r w:rsidRPr="00B66FB9">
        <w:t>ých</w:t>
      </w:r>
      <w:proofErr w:type="spellEnd"/>
      <w:r w:rsidRPr="00B66FB9">
        <w:t xml:space="preserve"> účinkov sa má fyzostigmín (po fyzostigmínovom teste) podávať pomaly intravenózne (alebo v prípade potreby </w:t>
      </w:r>
      <w:proofErr w:type="spellStart"/>
      <w:r w:rsidRPr="00B66FB9">
        <w:t>intramuskulárne</w:t>
      </w:r>
      <w:proofErr w:type="spellEnd"/>
      <w:r w:rsidRPr="00B66FB9">
        <w:t>): 0,03</w:t>
      </w:r>
      <w:r w:rsidR="00F41442">
        <w:t> </w:t>
      </w:r>
      <w:r w:rsidRPr="00B66FB9">
        <w:t>mg/kg telesnej hmotnosti (dospelí max. 2 mg, deti max. 0,5 mg).</w:t>
      </w:r>
    </w:p>
    <w:p w14:paraId="48C3418A" w14:textId="77777777" w:rsidR="00B66FB9" w:rsidRPr="00B66FB9" w:rsidRDefault="00B66FB9" w:rsidP="0045140A">
      <w:pPr>
        <w:pStyle w:val="Normlndobloku"/>
      </w:pPr>
    </w:p>
    <w:p w14:paraId="18B586BF" w14:textId="1CD27B09" w:rsidR="0034679A" w:rsidRPr="00B24AB3" w:rsidRDefault="00B66FB9" w:rsidP="0045140A">
      <w:pPr>
        <w:pStyle w:val="Normlndobloku"/>
      </w:pPr>
      <w:r w:rsidRPr="00B66FB9">
        <w:t>Dimenhydrinát je dialyzovateľný, avšak liečba predávkovania týmto opatrením sa považuje za neuspokojivú. Dostatočnú elimináciu možno dosiahnuť pomocou hemoperfúzie s použitím aktívneho uhlia. Nie sú dostupné žiadne údaje o dialyzovateľnosti cinarizínu.</w:t>
      </w:r>
    </w:p>
    <w:p w14:paraId="06FF10E7" w14:textId="77777777" w:rsidR="0034679A" w:rsidRDefault="0034679A" w:rsidP="0045140A">
      <w:pPr>
        <w:pStyle w:val="Normlndobloku"/>
      </w:pPr>
    </w:p>
    <w:p w14:paraId="3CD9D53E" w14:textId="77777777" w:rsidR="007745CF" w:rsidRPr="00B24AB3" w:rsidRDefault="007745CF" w:rsidP="0045140A">
      <w:pPr>
        <w:pStyle w:val="Normlndobloku"/>
      </w:pPr>
    </w:p>
    <w:p w14:paraId="02381449" w14:textId="77777777" w:rsidR="0034679A" w:rsidRPr="003F35CF" w:rsidRDefault="0034679A">
      <w:pPr>
        <w:pStyle w:val="Styl1"/>
      </w:pPr>
      <w:r w:rsidRPr="003F35CF">
        <w:t xml:space="preserve">5. </w:t>
      </w:r>
      <w:r w:rsidRPr="003F35CF">
        <w:tab/>
        <w:t>FARMAKOLOGICKÉ VLASTNOSTI</w:t>
      </w:r>
    </w:p>
    <w:p w14:paraId="0BD682E5" w14:textId="77777777" w:rsidR="007745CF" w:rsidRDefault="007745CF">
      <w:pPr>
        <w:pStyle w:val="Styl2"/>
      </w:pPr>
    </w:p>
    <w:p w14:paraId="05C6F351" w14:textId="77777777" w:rsidR="0034679A" w:rsidRPr="00B24AB3" w:rsidRDefault="0034679A">
      <w:pPr>
        <w:pStyle w:val="Styl2"/>
      </w:pPr>
      <w:r w:rsidRPr="00B24AB3">
        <w:t>5.1</w:t>
      </w:r>
      <w:r w:rsidRPr="00B24AB3">
        <w:tab/>
        <w:t>Farmakodynamické vlastnosti</w:t>
      </w:r>
    </w:p>
    <w:p w14:paraId="46C85892" w14:textId="77777777" w:rsidR="00BA0524" w:rsidRDefault="00BA0524" w:rsidP="0045140A">
      <w:pPr>
        <w:pStyle w:val="Normlndobloku"/>
      </w:pPr>
    </w:p>
    <w:p w14:paraId="3C084B51" w14:textId="15221290" w:rsidR="0034679A" w:rsidRPr="00B24AB3" w:rsidRDefault="0034679A" w:rsidP="0045140A">
      <w:pPr>
        <w:pStyle w:val="Normlndobloku"/>
        <w:rPr>
          <w:szCs w:val="22"/>
        </w:rPr>
      </w:pPr>
      <w:proofErr w:type="spellStart"/>
      <w:r w:rsidRPr="00B24AB3">
        <w:lastRenderedPageBreak/>
        <w:t>Farmakoterapeutická</w:t>
      </w:r>
      <w:proofErr w:type="spellEnd"/>
      <w:r w:rsidRPr="00B24AB3">
        <w:t xml:space="preserve"> skupina:</w:t>
      </w:r>
      <w:r w:rsidR="00BA0524">
        <w:t xml:space="preserve"> </w:t>
      </w:r>
      <w:proofErr w:type="spellStart"/>
      <w:r w:rsidRPr="00B24AB3">
        <w:t>antivertiginóza</w:t>
      </w:r>
      <w:proofErr w:type="spellEnd"/>
      <w:r w:rsidR="00BA0524">
        <w:t xml:space="preserve">, </w:t>
      </w:r>
      <w:proofErr w:type="spellStart"/>
      <w:r w:rsidR="001E7B47">
        <w:t>cin</w:t>
      </w:r>
      <w:r w:rsidR="00BA0524" w:rsidRPr="00BA0524">
        <w:t>arizín</w:t>
      </w:r>
      <w:proofErr w:type="spellEnd"/>
      <w:r w:rsidR="00CA41D0">
        <w:t>, kombinácie</w:t>
      </w:r>
      <w:r w:rsidR="00BA0524">
        <w:t xml:space="preserve">; </w:t>
      </w:r>
      <w:r w:rsidRPr="00B24AB3">
        <w:rPr>
          <w:szCs w:val="22"/>
        </w:rPr>
        <w:t>ATC kód: N07CA52</w:t>
      </w:r>
    </w:p>
    <w:p w14:paraId="253E2E55" w14:textId="0EFABC2C" w:rsidR="0034679A" w:rsidRDefault="0034679A" w:rsidP="0045140A">
      <w:pPr>
        <w:pStyle w:val="Normlndobloku"/>
      </w:pPr>
    </w:p>
    <w:p w14:paraId="496BF217" w14:textId="76AB6B16" w:rsidR="00BA0524" w:rsidRPr="00BA0524" w:rsidRDefault="00BA0524" w:rsidP="0045140A">
      <w:pPr>
        <w:pStyle w:val="Normlndobloku"/>
      </w:pPr>
      <w:r w:rsidRPr="00BA0524">
        <w:t xml:space="preserve">Dimenhydrinát, chlórteofylínová soľ difenhydramínu, pôsobí ako </w:t>
      </w:r>
      <w:proofErr w:type="spellStart"/>
      <w:r w:rsidRPr="00BA0524">
        <w:t>antihistaminikum</w:t>
      </w:r>
      <w:proofErr w:type="spellEnd"/>
      <w:r w:rsidRPr="00BA0524">
        <w:t xml:space="preserve"> s </w:t>
      </w:r>
      <w:proofErr w:type="spellStart"/>
      <w:r w:rsidRPr="00BA0524">
        <w:t>anticholinerg</w:t>
      </w:r>
      <w:r w:rsidR="00CA41D0">
        <w:t>ick</w:t>
      </w:r>
      <w:r w:rsidRPr="00BA0524">
        <w:t>ými</w:t>
      </w:r>
      <w:proofErr w:type="spellEnd"/>
      <w:r w:rsidRPr="00BA0524">
        <w:t xml:space="preserve"> (</w:t>
      </w:r>
      <w:proofErr w:type="spellStart"/>
      <w:r w:rsidRPr="00BA0524">
        <w:t>antimuskarínovými</w:t>
      </w:r>
      <w:proofErr w:type="spellEnd"/>
      <w:r w:rsidRPr="00BA0524">
        <w:t>) vlastnosťami</w:t>
      </w:r>
      <w:r w:rsidR="00CA41D0">
        <w:t>,</w:t>
      </w:r>
      <w:r w:rsidR="007B65BB">
        <w:t xml:space="preserve"> </w:t>
      </w:r>
      <w:r w:rsidR="00D00C43">
        <w:t xml:space="preserve">vyvoláva </w:t>
      </w:r>
      <w:proofErr w:type="spellStart"/>
      <w:r w:rsidRPr="00BA0524">
        <w:t>parasympatolytick</w:t>
      </w:r>
      <w:r w:rsidR="00D00C43">
        <w:t>é</w:t>
      </w:r>
      <w:proofErr w:type="spellEnd"/>
      <w:r w:rsidR="007B65BB">
        <w:t xml:space="preserve"> </w:t>
      </w:r>
      <w:r w:rsidR="00D00C43">
        <w:t xml:space="preserve">a </w:t>
      </w:r>
      <w:r w:rsidRPr="00BA0524">
        <w:t>centrálne depresívn</w:t>
      </w:r>
      <w:r w:rsidR="00D00C43">
        <w:t>e</w:t>
      </w:r>
      <w:r w:rsidR="007B65BB">
        <w:t xml:space="preserve"> </w:t>
      </w:r>
      <w:r w:rsidRPr="00BA0524">
        <w:t>účinky. Látka vykazuje antiemetické a antivertiginózne účinky prostredníctvom ovplyvňovania spúšťacej zóny chemoreceptora v oblasti 4. komory. Dimenhydrinát teda pôsobí prevažne na centrálny vestibulárny systém.</w:t>
      </w:r>
    </w:p>
    <w:p w14:paraId="4D332F00" w14:textId="77777777" w:rsidR="00BA0524" w:rsidRPr="00BA0524" w:rsidRDefault="00BA0524" w:rsidP="0045140A">
      <w:pPr>
        <w:pStyle w:val="Normlndobloku"/>
      </w:pPr>
    </w:p>
    <w:p w14:paraId="3F9EFA40" w14:textId="6A84D2D8" w:rsidR="00BA0524" w:rsidRPr="00BA0524" w:rsidRDefault="00BA0524" w:rsidP="0045140A">
      <w:pPr>
        <w:pStyle w:val="Normlndobloku"/>
      </w:pPr>
      <w:r w:rsidRPr="00BA0524">
        <w:t xml:space="preserve">Vzhľadom na svoje antagonistické vlastnosti </w:t>
      </w:r>
      <w:r w:rsidR="001202A0">
        <w:t xml:space="preserve">voči vápniku </w:t>
      </w:r>
      <w:r w:rsidRPr="00BA0524">
        <w:t xml:space="preserve">pôsobí </w:t>
      </w:r>
      <w:proofErr w:type="spellStart"/>
      <w:r w:rsidR="001E7B47">
        <w:t>cin</w:t>
      </w:r>
      <w:r w:rsidRPr="00BA0524">
        <w:t>arizín</w:t>
      </w:r>
      <w:proofErr w:type="spellEnd"/>
      <w:r w:rsidRPr="00BA0524">
        <w:t xml:space="preserve"> hlavne ako </w:t>
      </w:r>
      <w:proofErr w:type="spellStart"/>
      <w:r w:rsidRPr="00BA0524">
        <w:t>vestibulárn</w:t>
      </w:r>
      <w:r w:rsidR="001202A0">
        <w:t>e</w:t>
      </w:r>
      <w:proofErr w:type="spellEnd"/>
      <w:r w:rsidRPr="00BA0524">
        <w:t xml:space="preserve"> sedatív</w:t>
      </w:r>
      <w:r w:rsidR="001202A0">
        <w:t>um</w:t>
      </w:r>
      <w:r w:rsidRPr="00BA0524">
        <w:t xml:space="preserve"> prostredníctvom inhibície prívodu vápnika do vestibulárnych senzorických buniek. </w:t>
      </w:r>
      <w:r w:rsidR="001E7B47">
        <w:t>Cin</w:t>
      </w:r>
      <w:r w:rsidRPr="00BA0524">
        <w:t>arizín tak pôsobí prevažne na periférny vestibulárny systém.</w:t>
      </w:r>
    </w:p>
    <w:p w14:paraId="50F34EA1" w14:textId="77777777" w:rsidR="00BA0524" w:rsidRPr="00BA0524" w:rsidRDefault="00BA0524" w:rsidP="0045140A">
      <w:pPr>
        <w:pStyle w:val="Normlndobloku"/>
      </w:pPr>
    </w:p>
    <w:p w14:paraId="211C471D" w14:textId="04998E86" w:rsidR="00BA0524" w:rsidRPr="00BA0524" w:rsidRDefault="00BA0524" w:rsidP="0045140A">
      <w:pPr>
        <w:pStyle w:val="Normlndobloku"/>
      </w:pPr>
      <w:r w:rsidRPr="00BA0524">
        <w:t xml:space="preserve">Je známe, že cinarizín aj dimenhydrinát sú účinné pri liečbe vertiga. Kombinovaný </w:t>
      </w:r>
      <w:r w:rsidR="001202A0">
        <w:t>liek</w:t>
      </w:r>
      <w:r w:rsidRPr="00BA0524">
        <w:t xml:space="preserve"> je účinnejší ako jednotlivé zlúčeniny v skúmanej populácii.</w:t>
      </w:r>
    </w:p>
    <w:p w14:paraId="54E0E818" w14:textId="77777777" w:rsidR="00BA0524" w:rsidRPr="00BA0524" w:rsidRDefault="00BA0524" w:rsidP="0045140A">
      <w:pPr>
        <w:pStyle w:val="Normlndobloku"/>
      </w:pPr>
    </w:p>
    <w:p w14:paraId="46CC0B54" w14:textId="42569C14" w:rsidR="00BA0524" w:rsidRDefault="00BA0524" w:rsidP="0045140A">
      <w:pPr>
        <w:pStyle w:val="Normlndobloku"/>
      </w:pPr>
      <w:r w:rsidRPr="00BA0524">
        <w:t xml:space="preserve">Liek nebol hodnotený </w:t>
      </w:r>
      <w:r w:rsidR="00914E1D">
        <w:t>pri liečbe</w:t>
      </w:r>
      <w:r w:rsidRPr="00BA0524">
        <w:t xml:space="preserve"> </w:t>
      </w:r>
      <w:proofErr w:type="spellStart"/>
      <w:r w:rsidRPr="00BA0524">
        <w:t>kinetóz</w:t>
      </w:r>
      <w:r w:rsidR="00914E1D">
        <w:t>y</w:t>
      </w:r>
      <w:proofErr w:type="spellEnd"/>
      <w:r w:rsidRPr="00BA0524">
        <w:t>.</w:t>
      </w:r>
    </w:p>
    <w:p w14:paraId="113C5B24" w14:textId="77777777" w:rsidR="00BA0524" w:rsidRPr="00B24AB3" w:rsidRDefault="00BA0524" w:rsidP="0045140A">
      <w:pPr>
        <w:pStyle w:val="Normlndobloku"/>
      </w:pPr>
    </w:p>
    <w:p w14:paraId="4C066394" w14:textId="77777777" w:rsidR="0034679A" w:rsidRPr="00B24AB3" w:rsidRDefault="0034679A">
      <w:pPr>
        <w:pStyle w:val="Styl2"/>
      </w:pPr>
      <w:r w:rsidRPr="00B24AB3">
        <w:t>5.2</w:t>
      </w:r>
      <w:r w:rsidRPr="00B24AB3">
        <w:tab/>
        <w:t>Farmakokinetické vlastnosti</w:t>
      </w:r>
    </w:p>
    <w:p w14:paraId="383F1FAA" w14:textId="77777777" w:rsidR="005F1EB5" w:rsidRDefault="005F1EB5" w:rsidP="0045140A">
      <w:pPr>
        <w:pStyle w:val="Normlndobloku"/>
      </w:pPr>
    </w:p>
    <w:p w14:paraId="03DF8F75" w14:textId="493CB02A" w:rsidR="001F1FA8" w:rsidRPr="001F1FA8" w:rsidRDefault="001F1FA8" w:rsidP="006C1F72">
      <w:pPr>
        <w:pStyle w:val="Styl3"/>
      </w:pPr>
      <w:r w:rsidRPr="001F1FA8">
        <w:t>Absorpcia a distribúcia</w:t>
      </w:r>
    </w:p>
    <w:p w14:paraId="328F3D11" w14:textId="36DE9B57" w:rsidR="001F1FA8" w:rsidRPr="001F1FA8" w:rsidRDefault="001F1FA8" w:rsidP="0045140A">
      <w:pPr>
        <w:pStyle w:val="Normlndobloku"/>
      </w:pPr>
      <w:r w:rsidRPr="001F1FA8">
        <w:t>Dimenhydrinát po perorálnom podaní rýchlo uvoľňuje svoju difenhydramínovú skupinu. Di</w:t>
      </w:r>
      <w:r w:rsidR="002E29EB">
        <w:t>f</w:t>
      </w:r>
      <w:r w:rsidRPr="001F1FA8">
        <w:t>enhydramín a cinarizín sa rýchlo vstrebávajú z gastrointestinálneho traktu. Maximálne plazmatické koncentrácie (C</w:t>
      </w:r>
      <w:r w:rsidRPr="005F1EB5">
        <w:rPr>
          <w:vertAlign w:val="subscript"/>
        </w:rPr>
        <w:t>max</w:t>
      </w:r>
      <w:r w:rsidRPr="001F1FA8">
        <w:t>) cinarizínu a difenhydramínu sa dosahujú u ľudí v priebehu 2</w:t>
      </w:r>
      <w:r w:rsidR="005F1EB5">
        <w:t> – </w:t>
      </w:r>
      <w:r w:rsidRPr="001F1FA8">
        <w:t xml:space="preserve">4 hodín. </w:t>
      </w:r>
      <w:r w:rsidR="005F1EB5">
        <w:t>Plazmatický p</w:t>
      </w:r>
      <w:r w:rsidRPr="001F1FA8">
        <w:t xml:space="preserve">olčas eliminácie oboch látok sa pohybuje od 4 do 5 hodín, </w:t>
      </w:r>
      <w:r w:rsidR="00914E1D" w:rsidRPr="00A031DA">
        <w:t>či</w:t>
      </w:r>
      <w:r w:rsidR="005F1EB5">
        <w:t xml:space="preserve"> </w:t>
      </w:r>
      <w:r w:rsidRPr="001F1FA8">
        <w:t>sa podáva</w:t>
      </w:r>
      <w:r w:rsidR="00914E1D">
        <w:t>jú</w:t>
      </w:r>
      <w:r w:rsidRPr="001F1FA8">
        <w:t xml:space="preserve"> samostatne alebo ako kombinovaný </w:t>
      </w:r>
      <w:r w:rsidR="00914E1D">
        <w:t>liek</w:t>
      </w:r>
      <w:r w:rsidRPr="001F1FA8">
        <w:t>.</w:t>
      </w:r>
    </w:p>
    <w:p w14:paraId="7AECA732" w14:textId="77777777" w:rsidR="005F1EB5" w:rsidRDefault="005F1EB5" w:rsidP="0045140A">
      <w:pPr>
        <w:pStyle w:val="Normlndobloku"/>
      </w:pPr>
    </w:p>
    <w:p w14:paraId="2DEA8265" w14:textId="05111203" w:rsidR="001F1FA8" w:rsidRPr="001F1FA8" w:rsidRDefault="005F1EB5" w:rsidP="006C1F72">
      <w:pPr>
        <w:pStyle w:val="Styl3"/>
      </w:pPr>
      <w:r>
        <w:t>B</w:t>
      </w:r>
      <w:r w:rsidR="001F1FA8" w:rsidRPr="001F1FA8">
        <w:t>iotransformáci</w:t>
      </w:r>
      <w:r>
        <w:t>a</w:t>
      </w:r>
    </w:p>
    <w:p w14:paraId="189924A0" w14:textId="14FA35E5" w:rsidR="001F1FA8" w:rsidRPr="001F1FA8" w:rsidRDefault="001E7B47" w:rsidP="0045140A">
      <w:pPr>
        <w:pStyle w:val="Normlndobloku"/>
      </w:pPr>
      <w:r>
        <w:t>Cin</w:t>
      </w:r>
      <w:r w:rsidR="001F1FA8" w:rsidRPr="001F1FA8">
        <w:t xml:space="preserve">arizín a difenhydramín sa extenzívne metabolizujú v pečeni. Metabolizmus </w:t>
      </w:r>
      <w:r>
        <w:t>cin</w:t>
      </w:r>
      <w:r w:rsidR="001F1FA8" w:rsidRPr="001F1FA8">
        <w:t xml:space="preserve">arizínu zahŕňa </w:t>
      </w:r>
      <w:proofErr w:type="spellStart"/>
      <w:r w:rsidR="001F1FA8" w:rsidRPr="001F1FA8">
        <w:t>hydroxylačné</w:t>
      </w:r>
      <w:proofErr w:type="spellEnd"/>
      <w:r w:rsidR="001F1FA8" w:rsidRPr="001F1FA8">
        <w:t xml:space="preserve"> reakcie kruhu, ktoré sú čiastočne katalyzované CYP2D6 a N-dealkylačnými reakciami s nízkou špecifickosťou na enzým CYP. Hlavnou cestou metabolizmu difenhydramínu je sekvenčná N-demetylácia terciárneho amínu. Štúdie na ľudských pečeňových mikrozómoch </w:t>
      </w:r>
      <w:r w:rsidR="001F1FA8" w:rsidRPr="006C1F72">
        <w:rPr>
          <w:i/>
        </w:rPr>
        <w:t>in vitro</w:t>
      </w:r>
      <w:r w:rsidR="001F1FA8" w:rsidRPr="001F1FA8">
        <w:t xml:space="preserve"> naznačujú zapojenie rôznych enzýmov CYP vrátane CYP2D6.</w:t>
      </w:r>
    </w:p>
    <w:p w14:paraId="4F5FB2A4" w14:textId="77777777" w:rsidR="005F1EB5" w:rsidRDefault="005F1EB5" w:rsidP="006C1F72">
      <w:pPr>
        <w:pStyle w:val="Styl3"/>
      </w:pPr>
    </w:p>
    <w:p w14:paraId="271DE9CA" w14:textId="53C1DD9D" w:rsidR="001F1FA8" w:rsidRPr="001F1FA8" w:rsidRDefault="005F1EB5" w:rsidP="00A031DA">
      <w:pPr>
        <w:pStyle w:val="Styl3"/>
      </w:pPr>
      <w:r>
        <w:t>E</w:t>
      </w:r>
      <w:r w:rsidR="001F1FA8" w:rsidRPr="001F1FA8">
        <w:t>liminácia</w:t>
      </w:r>
    </w:p>
    <w:p w14:paraId="0F3B6E5C" w14:textId="5B60736A" w:rsidR="0034679A" w:rsidRDefault="001E7B47" w:rsidP="0045140A">
      <w:pPr>
        <w:pStyle w:val="Normlndobloku"/>
      </w:pPr>
      <w:r>
        <w:t>Cin</w:t>
      </w:r>
      <w:r w:rsidR="001F1FA8" w:rsidRPr="001F1FA8">
        <w:t>arizín sa vylučuje hlavne stolicou (40</w:t>
      </w:r>
      <w:r w:rsidR="005F1EB5">
        <w:t> – </w:t>
      </w:r>
      <w:r w:rsidR="001F1FA8" w:rsidRPr="001F1FA8">
        <w:t>60%) a</w:t>
      </w:r>
      <w:r w:rsidR="005F1EB5">
        <w:t xml:space="preserve"> </w:t>
      </w:r>
      <w:r w:rsidR="001F1FA8" w:rsidRPr="001F1FA8">
        <w:t xml:space="preserve">v menšej miere aj močom, najmä vo forme metabolitov konjugovaných s kyselinou glukurónovou. Hlavná cesta eliminácie difenhydramínu je </w:t>
      </w:r>
      <w:r w:rsidR="005F1EB5">
        <w:t>močom</w:t>
      </w:r>
      <w:r w:rsidR="001F1FA8" w:rsidRPr="001F1FA8">
        <w:t>, najmä vo forme metabolitov, pričom prevládajúcim metabolitom je deaminovaná zlúčenina, kyselina difenylmetoxyoctová (40</w:t>
      </w:r>
      <w:r w:rsidR="005F1EB5">
        <w:t> – </w:t>
      </w:r>
      <w:r w:rsidR="001F1FA8" w:rsidRPr="001F1FA8">
        <w:t>60%).</w:t>
      </w:r>
    </w:p>
    <w:p w14:paraId="4CA9B2F5" w14:textId="77777777" w:rsidR="005F1EB5" w:rsidRPr="00B24AB3" w:rsidRDefault="005F1EB5" w:rsidP="0045140A">
      <w:pPr>
        <w:pStyle w:val="Normlndobloku"/>
      </w:pPr>
    </w:p>
    <w:p w14:paraId="4C57793B" w14:textId="4566BD80" w:rsidR="0034679A" w:rsidRDefault="0034679A">
      <w:pPr>
        <w:pStyle w:val="Styl2"/>
      </w:pPr>
      <w:r w:rsidRPr="00B24AB3">
        <w:t>5.3</w:t>
      </w:r>
      <w:r w:rsidRPr="00B24AB3">
        <w:tab/>
        <w:t>Predklinické údaje o</w:t>
      </w:r>
      <w:r w:rsidR="00597704">
        <w:t> </w:t>
      </w:r>
      <w:r w:rsidRPr="00B24AB3">
        <w:t>bezpečnosti</w:t>
      </w:r>
    </w:p>
    <w:p w14:paraId="0F64E586" w14:textId="77777777" w:rsidR="00597704" w:rsidRPr="00B24AB3" w:rsidRDefault="00597704">
      <w:pPr>
        <w:pStyle w:val="Styl2"/>
      </w:pPr>
    </w:p>
    <w:p w14:paraId="7C2A8F47" w14:textId="3A25B128" w:rsidR="00597704" w:rsidRDefault="00597704" w:rsidP="0045140A">
      <w:pPr>
        <w:pStyle w:val="Normlndobloku"/>
      </w:pPr>
      <w:r w:rsidRPr="00597704">
        <w:t xml:space="preserve">Predklinické údaje získané na základe </w:t>
      </w:r>
      <w:r w:rsidR="00A107D5">
        <w:t>obvyklých</w:t>
      </w:r>
      <w:r w:rsidRPr="00597704">
        <w:t xml:space="preserve"> štúdií toxicity po opakovanom podávaní s</w:t>
      </w:r>
      <w:r>
        <w:t> </w:t>
      </w:r>
      <w:r w:rsidRPr="00597704">
        <w:t xml:space="preserve">kombináciou cinarizínu a dimenhydrinátu, fertility s </w:t>
      </w:r>
      <w:proofErr w:type="spellStart"/>
      <w:r w:rsidRPr="00597704">
        <w:t>cinarizínom</w:t>
      </w:r>
      <w:proofErr w:type="spellEnd"/>
      <w:r w:rsidRPr="00597704">
        <w:t xml:space="preserve"> alebo </w:t>
      </w:r>
      <w:proofErr w:type="spellStart"/>
      <w:r w:rsidRPr="00597704">
        <w:t>dimenhydrinátom</w:t>
      </w:r>
      <w:proofErr w:type="spellEnd"/>
      <w:r w:rsidRPr="00597704">
        <w:t>, embryonálneho/</w:t>
      </w:r>
      <w:proofErr w:type="spellStart"/>
      <w:r w:rsidRPr="00597704">
        <w:t>fetálneho</w:t>
      </w:r>
      <w:proofErr w:type="spellEnd"/>
      <w:r w:rsidRPr="00597704">
        <w:t xml:space="preserve"> vývoja s </w:t>
      </w:r>
      <w:proofErr w:type="spellStart"/>
      <w:r w:rsidRPr="00597704">
        <w:t>dimenhydrinátom</w:t>
      </w:r>
      <w:proofErr w:type="spellEnd"/>
      <w:r w:rsidRPr="00597704">
        <w:t xml:space="preserve"> a teratogenity s </w:t>
      </w:r>
      <w:r w:rsidR="001E7B47">
        <w:t>cin</w:t>
      </w:r>
      <w:r w:rsidRPr="00597704">
        <w:t>arizínom neodhalili žiadne osobitné riziko pre ľudí. V jednej štúdii na potkanoch znížil cinarizín veľkosť vrhu, zvýšil počet resorbovaných plodov a znížil pôrodnú hmotnosť mláďat.</w:t>
      </w:r>
    </w:p>
    <w:p w14:paraId="39CE70C1" w14:textId="77777777" w:rsidR="00F648C9" w:rsidRPr="00597704" w:rsidRDefault="00F648C9" w:rsidP="0045140A">
      <w:pPr>
        <w:pStyle w:val="Normlndobloku"/>
      </w:pPr>
    </w:p>
    <w:p w14:paraId="3B93C81D" w14:textId="43E4663D" w:rsidR="0034679A" w:rsidRPr="00B24AB3" w:rsidRDefault="00597704" w:rsidP="0045140A">
      <w:pPr>
        <w:pStyle w:val="Normlndobloku"/>
        <w:rPr>
          <w:szCs w:val="22"/>
        </w:rPr>
      </w:pPr>
      <w:r w:rsidRPr="00597704">
        <w:t xml:space="preserve">Genotoxický a karcinogénny potenciál kombinácie </w:t>
      </w:r>
      <w:proofErr w:type="spellStart"/>
      <w:r w:rsidR="001E7B47">
        <w:t>cin</w:t>
      </w:r>
      <w:r w:rsidRPr="00597704">
        <w:t>arizín</w:t>
      </w:r>
      <w:proofErr w:type="spellEnd"/>
      <w:r w:rsidRPr="00597704">
        <w:t>/</w:t>
      </w:r>
      <w:proofErr w:type="spellStart"/>
      <w:r w:rsidRPr="00597704">
        <w:t>dimenhydrinát</w:t>
      </w:r>
      <w:proofErr w:type="spellEnd"/>
      <w:r w:rsidRPr="00597704">
        <w:t xml:space="preserve"> nebol úplne vyhodnotený.</w:t>
      </w:r>
    </w:p>
    <w:p w14:paraId="0739D0A3" w14:textId="77777777" w:rsidR="00F648C9" w:rsidRDefault="00F648C9" w:rsidP="0045140A">
      <w:pPr>
        <w:pStyle w:val="Normlndobloku"/>
      </w:pPr>
    </w:p>
    <w:p w14:paraId="74CDD85E" w14:textId="77777777" w:rsidR="00914E1D" w:rsidRDefault="00914E1D" w:rsidP="0045140A">
      <w:pPr>
        <w:pStyle w:val="Normlndobloku"/>
      </w:pPr>
    </w:p>
    <w:p w14:paraId="146889BA" w14:textId="3FC86E3C" w:rsidR="0034679A" w:rsidRPr="003F35CF" w:rsidRDefault="0034679A">
      <w:pPr>
        <w:pStyle w:val="Styl1"/>
      </w:pPr>
      <w:r w:rsidRPr="003F35CF">
        <w:t xml:space="preserve">6. </w:t>
      </w:r>
      <w:r w:rsidRPr="003F35CF">
        <w:tab/>
        <w:t>FARMACEUTICKÉ INFORMÁCIE</w:t>
      </w:r>
    </w:p>
    <w:p w14:paraId="66EB8803" w14:textId="77777777" w:rsidR="00914E1D" w:rsidRDefault="00914E1D">
      <w:pPr>
        <w:pStyle w:val="Styl2"/>
      </w:pPr>
    </w:p>
    <w:p w14:paraId="6A074852" w14:textId="77777777" w:rsidR="0034679A" w:rsidRPr="00B24AB3" w:rsidRDefault="0034679A">
      <w:pPr>
        <w:pStyle w:val="Styl2"/>
      </w:pPr>
      <w:r w:rsidRPr="00B24AB3">
        <w:t>6.1</w:t>
      </w:r>
      <w:r w:rsidRPr="00B24AB3">
        <w:tab/>
        <w:t>Zoznam pomocných látok</w:t>
      </w:r>
    </w:p>
    <w:p w14:paraId="483B1FE5" w14:textId="77777777" w:rsidR="00F648C9" w:rsidRDefault="00F648C9" w:rsidP="0045140A">
      <w:pPr>
        <w:pStyle w:val="Normlndobloku"/>
      </w:pPr>
    </w:p>
    <w:p w14:paraId="6F165DC6" w14:textId="77777777" w:rsidR="00F648C9" w:rsidRPr="00B24AB3" w:rsidRDefault="00F648C9" w:rsidP="0045140A">
      <w:pPr>
        <w:pStyle w:val="Normlndobloku"/>
      </w:pPr>
      <w:r w:rsidRPr="00B24AB3">
        <w:t xml:space="preserve">Mikrokryštalická celulóza </w:t>
      </w:r>
    </w:p>
    <w:p w14:paraId="2ED4011F" w14:textId="77777777" w:rsidR="00F648C9" w:rsidRPr="00B24AB3" w:rsidRDefault="00F648C9" w:rsidP="0045140A">
      <w:pPr>
        <w:pStyle w:val="Normlndobloku"/>
      </w:pPr>
      <w:r w:rsidRPr="00B24AB3">
        <w:t xml:space="preserve">Sodná soľ kroskarmelózy </w:t>
      </w:r>
    </w:p>
    <w:p w14:paraId="09CD8955" w14:textId="6B4FE22C" w:rsidR="0034679A" w:rsidRPr="00B24AB3" w:rsidRDefault="0034679A" w:rsidP="0045140A">
      <w:pPr>
        <w:pStyle w:val="Normlndobloku"/>
      </w:pPr>
      <w:r w:rsidRPr="00B24AB3">
        <w:t xml:space="preserve">Kukuričný škrob </w:t>
      </w:r>
    </w:p>
    <w:p w14:paraId="24F0F1CB" w14:textId="77777777" w:rsidR="0034679A" w:rsidRPr="00B24AB3" w:rsidRDefault="0034679A" w:rsidP="0045140A">
      <w:pPr>
        <w:pStyle w:val="Normlndobloku"/>
      </w:pPr>
      <w:r w:rsidRPr="00B24AB3">
        <w:lastRenderedPageBreak/>
        <w:t xml:space="preserve">Hypromelóza </w:t>
      </w:r>
    </w:p>
    <w:p w14:paraId="4A78B43D" w14:textId="77777777" w:rsidR="0034679A" w:rsidRPr="00B24AB3" w:rsidRDefault="0034679A" w:rsidP="0045140A">
      <w:pPr>
        <w:pStyle w:val="Normlndobloku"/>
      </w:pPr>
      <w:r w:rsidRPr="00B24AB3">
        <w:t xml:space="preserve">Koloidný oxid kremičitý bezvodý </w:t>
      </w:r>
    </w:p>
    <w:p w14:paraId="13A76A8B" w14:textId="77777777" w:rsidR="0034679A" w:rsidRPr="00B24AB3" w:rsidRDefault="0034679A" w:rsidP="0045140A">
      <w:pPr>
        <w:pStyle w:val="Normlndobloku"/>
      </w:pPr>
      <w:r w:rsidRPr="00B24AB3">
        <w:t xml:space="preserve">Mastenec </w:t>
      </w:r>
    </w:p>
    <w:p w14:paraId="67AF5CE6" w14:textId="53FD5A1D" w:rsidR="00F648C9" w:rsidRDefault="00497D95" w:rsidP="0045140A">
      <w:pPr>
        <w:pStyle w:val="Normlndobloku"/>
      </w:pPr>
      <w:r w:rsidRPr="00497D95">
        <w:t>Stearan horečnatý</w:t>
      </w:r>
    </w:p>
    <w:p w14:paraId="3976EA4B" w14:textId="77777777" w:rsidR="00497D95" w:rsidRPr="00B24AB3" w:rsidRDefault="00497D95" w:rsidP="0045140A">
      <w:pPr>
        <w:pStyle w:val="Normlndobloku"/>
      </w:pPr>
    </w:p>
    <w:p w14:paraId="3AFDDCB7" w14:textId="163BC639" w:rsidR="0034679A" w:rsidRPr="00B24AB3" w:rsidRDefault="0034679A">
      <w:pPr>
        <w:pStyle w:val="Styl2"/>
      </w:pPr>
      <w:r w:rsidRPr="00B24AB3">
        <w:t>6.2</w:t>
      </w:r>
      <w:r w:rsidRPr="00B24AB3">
        <w:tab/>
        <w:t>Inkompatibility</w:t>
      </w:r>
    </w:p>
    <w:p w14:paraId="7E7E1B5F" w14:textId="77777777" w:rsidR="00F648C9" w:rsidRDefault="00F648C9" w:rsidP="0045140A">
      <w:pPr>
        <w:pStyle w:val="Normlndobloku"/>
      </w:pPr>
    </w:p>
    <w:p w14:paraId="54D37A57" w14:textId="46ED09EA" w:rsidR="0034679A" w:rsidRDefault="0034679A" w:rsidP="0045140A">
      <w:pPr>
        <w:pStyle w:val="Normlndobloku"/>
      </w:pPr>
      <w:r w:rsidRPr="00B24AB3">
        <w:t xml:space="preserve">Neaplikovateľné. </w:t>
      </w:r>
    </w:p>
    <w:p w14:paraId="0EA24056" w14:textId="77777777" w:rsidR="00F648C9" w:rsidRPr="00B24AB3" w:rsidRDefault="00F648C9" w:rsidP="0045140A">
      <w:pPr>
        <w:pStyle w:val="Normlndobloku"/>
      </w:pPr>
    </w:p>
    <w:p w14:paraId="0AE438A5" w14:textId="77777777" w:rsidR="0034679A" w:rsidRPr="00B24AB3" w:rsidRDefault="0034679A">
      <w:pPr>
        <w:pStyle w:val="Styl2"/>
      </w:pPr>
      <w:r w:rsidRPr="00B24AB3">
        <w:t>6.3</w:t>
      </w:r>
      <w:r w:rsidRPr="00B24AB3">
        <w:tab/>
        <w:t>Čas použiteľnosti</w:t>
      </w:r>
    </w:p>
    <w:p w14:paraId="44E95333" w14:textId="77777777" w:rsidR="00F648C9" w:rsidRDefault="00F648C9" w:rsidP="0045140A">
      <w:pPr>
        <w:pStyle w:val="Normlndobloku"/>
      </w:pPr>
    </w:p>
    <w:p w14:paraId="56EA3CDF" w14:textId="018ACD0E" w:rsidR="0034679A" w:rsidRPr="00B24AB3" w:rsidRDefault="0034679A">
      <w:pPr>
        <w:rPr>
          <w:rFonts w:ascii="Times New Roman" w:hAnsi="Times New Roman" w:cs="Times New Roman"/>
          <w:lang w:val="sk-SK"/>
        </w:rPr>
      </w:pPr>
      <w:r w:rsidRPr="00B24AB3">
        <w:rPr>
          <w:rFonts w:ascii="Times New Roman" w:hAnsi="Times New Roman" w:cs="Times New Roman"/>
          <w:lang w:val="sk-SK"/>
        </w:rPr>
        <w:t>3 roky</w:t>
      </w:r>
    </w:p>
    <w:p w14:paraId="4B7CB385" w14:textId="77777777" w:rsidR="0034679A" w:rsidRPr="00B24AB3" w:rsidRDefault="0034679A">
      <w:pPr>
        <w:pStyle w:val="Styl2"/>
      </w:pPr>
      <w:r w:rsidRPr="00B24AB3">
        <w:t>6.4</w:t>
      </w:r>
      <w:r w:rsidRPr="00B24AB3">
        <w:tab/>
        <w:t>Špeciálne upozornenia na uchovávanie</w:t>
      </w:r>
    </w:p>
    <w:p w14:paraId="45D6CE80" w14:textId="77777777" w:rsidR="00F648C9" w:rsidRDefault="00F648C9" w:rsidP="0045140A">
      <w:pPr>
        <w:pStyle w:val="Normlndobloku"/>
      </w:pPr>
    </w:p>
    <w:p w14:paraId="355F0758" w14:textId="46299F73" w:rsidR="0034679A" w:rsidRPr="00B24AB3" w:rsidRDefault="0034679A" w:rsidP="0045140A">
      <w:pPr>
        <w:pStyle w:val="Normlndobloku"/>
      </w:pPr>
      <w:r w:rsidRPr="00B24AB3">
        <w:t xml:space="preserve">Tento liek nevyžaduje žiadne zvláštne podmienky na uchovávanie. </w:t>
      </w:r>
    </w:p>
    <w:p w14:paraId="56316FB0" w14:textId="77777777" w:rsidR="00F648C9" w:rsidRDefault="00F648C9" w:rsidP="0045140A">
      <w:pPr>
        <w:pStyle w:val="Normlndobloku"/>
      </w:pPr>
    </w:p>
    <w:p w14:paraId="167180E5" w14:textId="5CBCE887" w:rsidR="0034679A" w:rsidRPr="00B24AB3" w:rsidRDefault="0034679A">
      <w:pPr>
        <w:pStyle w:val="Styl2"/>
      </w:pPr>
      <w:r w:rsidRPr="00B24AB3">
        <w:t>6.5</w:t>
      </w:r>
      <w:r w:rsidRPr="00B24AB3">
        <w:tab/>
        <w:t>Druh obalu a obsah balenia</w:t>
      </w:r>
    </w:p>
    <w:p w14:paraId="1B6A9A8C" w14:textId="77777777" w:rsidR="0034679A" w:rsidRPr="00B24AB3" w:rsidRDefault="0034679A" w:rsidP="0045140A">
      <w:pPr>
        <w:pStyle w:val="Normlndobloku"/>
      </w:pPr>
    </w:p>
    <w:p w14:paraId="181943E8" w14:textId="77777777" w:rsidR="00CC17F3" w:rsidRPr="00CC17F3" w:rsidRDefault="00CC17F3" w:rsidP="0045140A">
      <w:pPr>
        <w:pStyle w:val="Normlndobloku"/>
      </w:pPr>
      <w:r w:rsidRPr="00CC17F3">
        <w:t>Škatuľky obsahujú 20, 30, 50 a 100 tabliet.</w:t>
      </w:r>
    </w:p>
    <w:p w14:paraId="1C4EE144" w14:textId="4E216435" w:rsidR="00CC17F3" w:rsidRPr="00CC17F3" w:rsidRDefault="00CC17F3" w:rsidP="0045140A">
      <w:pPr>
        <w:pStyle w:val="Normlndobloku"/>
      </w:pPr>
      <w:r w:rsidRPr="00CC17F3">
        <w:t xml:space="preserve">Tablety sú balené </w:t>
      </w:r>
      <w:r w:rsidR="00A107D5">
        <w:t>v</w:t>
      </w:r>
      <w:r w:rsidRPr="00CC17F3">
        <w:t xml:space="preserve"> PA-Al-PVC/Al </w:t>
      </w:r>
      <w:proofErr w:type="spellStart"/>
      <w:r w:rsidRPr="00CC17F3">
        <w:t>blistro</w:t>
      </w:r>
      <w:r w:rsidR="00A107D5">
        <w:t>ch</w:t>
      </w:r>
      <w:proofErr w:type="spellEnd"/>
      <w:r w:rsidRPr="00CC17F3">
        <w:t xml:space="preserve"> obsahujúcich 10 tabliet.</w:t>
      </w:r>
    </w:p>
    <w:p w14:paraId="79871A0B" w14:textId="720E2FE0" w:rsidR="0034679A" w:rsidRPr="00B24AB3" w:rsidRDefault="00CC17F3" w:rsidP="0045140A">
      <w:pPr>
        <w:pStyle w:val="Normlndobloku"/>
      </w:pPr>
      <w:r w:rsidRPr="00CC17F3">
        <w:t xml:space="preserve">Na trh nemusia byť </w:t>
      </w:r>
      <w:r w:rsidR="00A107D5">
        <w:t xml:space="preserve">uvedené </w:t>
      </w:r>
      <w:r w:rsidRPr="00CC17F3">
        <w:t>všetky veľkosti balenia.</w:t>
      </w:r>
    </w:p>
    <w:p w14:paraId="25C63779" w14:textId="77777777" w:rsidR="00CC17F3" w:rsidRDefault="00CC17F3" w:rsidP="0045140A">
      <w:pPr>
        <w:pStyle w:val="Normlndobloku"/>
      </w:pPr>
    </w:p>
    <w:p w14:paraId="4EFF11FB" w14:textId="3C52843B" w:rsidR="0034679A" w:rsidRDefault="0034679A">
      <w:pPr>
        <w:pStyle w:val="Styl2"/>
      </w:pPr>
      <w:r w:rsidRPr="00B24AB3">
        <w:t>6.6</w:t>
      </w:r>
      <w:r w:rsidRPr="00B24AB3">
        <w:tab/>
        <w:t>Špeciálne opatrenia na likvidáciu</w:t>
      </w:r>
    </w:p>
    <w:p w14:paraId="20ED6D91" w14:textId="77777777" w:rsidR="00CC17F3" w:rsidRPr="00B24AB3" w:rsidRDefault="00CC17F3" w:rsidP="0045140A">
      <w:pPr>
        <w:pStyle w:val="Normlndobloku"/>
      </w:pPr>
    </w:p>
    <w:p w14:paraId="705B8BC4" w14:textId="3706F770" w:rsidR="0034679A" w:rsidRPr="00B24AB3" w:rsidRDefault="00A107D5" w:rsidP="0045140A">
      <w:pPr>
        <w:pStyle w:val="Normlndobloku"/>
        <w:rPr>
          <w:szCs w:val="22"/>
        </w:rPr>
      </w:pPr>
      <w:r>
        <w:t>Všetok n</w:t>
      </w:r>
      <w:r w:rsidR="00CC17F3" w:rsidRPr="00CC17F3">
        <w:t xml:space="preserve">epoužitý liek alebo odpad </w:t>
      </w:r>
      <w:r>
        <w:t>vzniknutý z lieku sa má</w:t>
      </w:r>
      <w:r w:rsidR="00CC17F3" w:rsidRPr="00CC17F3">
        <w:t xml:space="preserve"> zlikvidova</w:t>
      </w:r>
      <w:r>
        <w:t>ť</w:t>
      </w:r>
      <w:r w:rsidR="00CC17F3" w:rsidRPr="00CC17F3">
        <w:t xml:space="preserve"> v súlade s</w:t>
      </w:r>
      <w:r>
        <w:t> národnými</w:t>
      </w:r>
      <w:r w:rsidR="00CC17F3" w:rsidRPr="00CC17F3">
        <w:t xml:space="preserve"> požiadavkami.</w:t>
      </w:r>
    </w:p>
    <w:p w14:paraId="6359C662" w14:textId="77777777" w:rsidR="00CC17F3" w:rsidRDefault="00CC17F3" w:rsidP="0045140A">
      <w:pPr>
        <w:pStyle w:val="Normlndobloku"/>
      </w:pPr>
    </w:p>
    <w:p w14:paraId="17F282F7" w14:textId="77777777" w:rsidR="00914E1D" w:rsidRDefault="00914E1D" w:rsidP="0045140A">
      <w:pPr>
        <w:pStyle w:val="Normlndobloku"/>
      </w:pPr>
    </w:p>
    <w:p w14:paraId="41CFFEEE" w14:textId="62293EC4" w:rsidR="0034679A" w:rsidRPr="003F35CF" w:rsidRDefault="0034679A">
      <w:pPr>
        <w:pStyle w:val="Styl1"/>
      </w:pPr>
      <w:r w:rsidRPr="003F35CF">
        <w:t xml:space="preserve">7. </w:t>
      </w:r>
      <w:r w:rsidRPr="003F35CF">
        <w:tab/>
        <w:t>DRŽITEĽ ROZHODNUTIA O REGISTRÁCII</w:t>
      </w:r>
    </w:p>
    <w:p w14:paraId="029BE2BC" w14:textId="77777777" w:rsidR="00CC17F3" w:rsidRDefault="00CC17F3" w:rsidP="0045140A">
      <w:pPr>
        <w:pStyle w:val="Normlndobloku"/>
      </w:pPr>
    </w:p>
    <w:p w14:paraId="6272419F" w14:textId="0A852D96" w:rsidR="00CC17F3" w:rsidRPr="00230FCB" w:rsidRDefault="00CC17F3" w:rsidP="0045140A">
      <w:pPr>
        <w:pStyle w:val="Normlndobloku"/>
      </w:pPr>
      <w:r w:rsidRPr="00230FCB">
        <w:t xml:space="preserve">MEDOCHEMIE Ltd., 1-10 Constantinoupoleos Street, 3011 Limassol, </w:t>
      </w:r>
      <w:r>
        <w:t>Cyprus</w:t>
      </w:r>
    </w:p>
    <w:p w14:paraId="6373D22B" w14:textId="77777777" w:rsidR="0034679A" w:rsidRDefault="0034679A" w:rsidP="0045140A">
      <w:pPr>
        <w:pStyle w:val="Normlndobloku"/>
      </w:pPr>
    </w:p>
    <w:p w14:paraId="4D96F819" w14:textId="77777777" w:rsidR="00914E1D" w:rsidRPr="00B24AB3" w:rsidRDefault="00914E1D" w:rsidP="0045140A">
      <w:pPr>
        <w:pStyle w:val="Normlndobloku"/>
      </w:pPr>
    </w:p>
    <w:p w14:paraId="234EBC70" w14:textId="77777777" w:rsidR="0034679A" w:rsidRPr="00B24AB3" w:rsidRDefault="0034679A">
      <w:pPr>
        <w:pStyle w:val="Styl2"/>
      </w:pPr>
      <w:r w:rsidRPr="00B24AB3">
        <w:t xml:space="preserve">8. </w:t>
      </w:r>
      <w:r w:rsidRPr="00B24AB3">
        <w:tab/>
        <w:t>REGISTRAČNÉ ČÍSLO</w:t>
      </w:r>
    </w:p>
    <w:p w14:paraId="1E9FD9EC" w14:textId="32329B59" w:rsidR="0034679A" w:rsidRDefault="0034679A" w:rsidP="0045140A">
      <w:pPr>
        <w:pStyle w:val="Normlndobloku"/>
      </w:pPr>
    </w:p>
    <w:p w14:paraId="5A7E8696" w14:textId="26C644A2" w:rsidR="00CC17F3" w:rsidRDefault="006C1F72" w:rsidP="0045140A">
      <w:pPr>
        <w:pStyle w:val="Normlndobloku"/>
      </w:pPr>
      <w:r w:rsidRPr="006C1F72">
        <w:t>20/0240/19-S</w:t>
      </w:r>
    </w:p>
    <w:p w14:paraId="664E0682" w14:textId="77777777" w:rsidR="006C1F72" w:rsidRDefault="006C1F72" w:rsidP="0045140A">
      <w:pPr>
        <w:pStyle w:val="Normlndobloku"/>
      </w:pPr>
    </w:p>
    <w:p w14:paraId="217642B0" w14:textId="50E925D7" w:rsidR="00CC17F3" w:rsidRDefault="00CC17F3" w:rsidP="0045140A">
      <w:pPr>
        <w:pStyle w:val="Normlndobloku"/>
      </w:pPr>
    </w:p>
    <w:p w14:paraId="177CC12F" w14:textId="214F512A" w:rsidR="0034679A" w:rsidRPr="00B24AB3" w:rsidRDefault="0034679A">
      <w:pPr>
        <w:pStyle w:val="Styl2"/>
      </w:pPr>
      <w:r w:rsidRPr="00B24AB3">
        <w:t xml:space="preserve">9. </w:t>
      </w:r>
      <w:r w:rsidRPr="00B24AB3">
        <w:tab/>
        <w:t>DÁTUM PRVEJ REGISTRÁCIE/PREDĹŽENIA REGISTRÁCIE</w:t>
      </w:r>
    </w:p>
    <w:p w14:paraId="280BE07F" w14:textId="77777777" w:rsidR="0034679A" w:rsidRPr="00B24AB3" w:rsidRDefault="0034679A" w:rsidP="0045140A">
      <w:pPr>
        <w:pStyle w:val="Normlndobloku"/>
      </w:pPr>
    </w:p>
    <w:p w14:paraId="6AB0395B" w14:textId="36C170C6" w:rsidR="0034679A" w:rsidRPr="00B24AB3" w:rsidRDefault="0034679A" w:rsidP="0045140A">
      <w:pPr>
        <w:pStyle w:val="Normlndobloku"/>
      </w:pPr>
      <w:r w:rsidRPr="00B24AB3">
        <w:t>Dátum prvej registrácie:</w:t>
      </w:r>
    </w:p>
    <w:p w14:paraId="0595545E" w14:textId="33C0D270" w:rsidR="0034679A" w:rsidRDefault="0034679A" w:rsidP="0045140A">
      <w:pPr>
        <w:pStyle w:val="Normlndobloku"/>
      </w:pPr>
      <w:r w:rsidRPr="00B24AB3">
        <w:t xml:space="preserve">Dátum posledného predĺženia registrácie: </w:t>
      </w:r>
    </w:p>
    <w:p w14:paraId="0755F4EC" w14:textId="77777777" w:rsidR="00CC17F3" w:rsidRDefault="00CC17F3" w:rsidP="0045140A">
      <w:pPr>
        <w:pStyle w:val="Normlndobloku"/>
      </w:pPr>
    </w:p>
    <w:p w14:paraId="33B8C407" w14:textId="77777777" w:rsidR="00914E1D" w:rsidRPr="00B24AB3" w:rsidRDefault="00914E1D" w:rsidP="0045140A">
      <w:pPr>
        <w:pStyle w:val="Normlndobloku"/>
      </w:pPr>
    </w:p>
    <w:p w14:paraId="56C5025D" w14:textId="42FE1FDA" w:rsidR="0034679A" w:rsidRDefault="0034679A">
      <w:pPr>
        <w:pStyle w:val="Styl1"/>
      </w:pPr>
      <w:r w:rsidRPr="00B24AB3">
        <w:t>10.</w:t>
      </w:r>
      <w:r w:rsidRPr="00B24AB3">
        <w:tab/>
        <w:t>DÁTUM REVÍZIE TEXTU</w:t>
      </w:r>
    </w:p>
    <w:p w14:paraId="2A18D599" w14:textId="15C71B89" w:rsidR="00CC17F3" w:rsidRDefault="00CC17F3" w:rsidP="0045140A">
      <w:pPr>
        <w:pStyle w:val="Normlndobloku"/>
      </w:pPr>
    </w:p>
    <w:p w14:paraId="12781F27" w14:textId="4E88F3EA" w:rsidR="00CC17F3" w:rsidRDefault="00914E1D" w:rsidP="0045140A">
      <w:pPr>
        <w:pStyle w:val="Normlndobloku"/>
      </w:pPr>
      <w:r>
        <w:t>07/2019</w:t>
      </w:r>
    </w:p>
    <w:p w14:paraId="52451E6D" w14:textId="77777777" w:rsidR="00914E1D" w:rsidRPr="00B24AB3" w:rsidRDefault="00914E1D" w:rsidP="0045140A">
      <w:pPr>
        <w:pStyle w:val="Normlndobloku"/>
      </w:pPr>
    </w:p>
    <w:sectPr w:rsidR="00914E1D" w:rsidRPr="00B24AB3" w:rsidSect="006C1F72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67FEF" w14:textId="77777777" w:rsidR="0034679A" w:rsidRDefault="0034679A" w:rsidP="0034679A">
      <w:pPr>
        <w:spacing w:after="0" w:line="240" w:lineRule="auto"/>
      </w:pPr>
      <w:r>
        <w:separator/>
      </w:r>
    </w:p>
  </w:endnote>
  <w:endnote w:type="continuationSeparator" w:id="0">
    <w:p w14:paraId="443AA902" w14:textId="77777777" w:rsidR="0034679A" w:rsidRDefault="0034679A" w:rsidP="0034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CFA17" w14:textId="56E6EEE0" w:rsidR="00B24AB3" w:rsidRPr="00E9497C" w:rsidRDefault="00B24AB3" w:rsidP="00E9497C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E9497C">
      <w:rPr>
        <w:rFonts w:ascii="Times New Roman" w:hAnsi="Times New Roman" w:cs="Times New Roman"/>
        <w:sz w:val="18"/>
        <w:szCs w:val="18"/>
      </w:rPr>
      <w:fldChar w:fldCharType="begin"/>
    </w:r>
    <w:r w:rsidRPr="00E9497C">
      <w:rPr>
        <w:rFonts w:ascii="Times New Roman" w:hAnsi="Times New Roman" w:cs="Times New Roman"/>
        <w:sz w:val="18"/>
        <w:szCs w:val="18"/>
      </w:rPr>
      <w:instrText xml:space="preserve"> PAGE </w:instrText>
    </w:r>
    <w:r w:rsidRPr="00E9497C">
      <w:rPr>
        <w:rFonts w:ascii="Times New Roman" w:hAnsi="Times New Roman" w:cs="Times New Roman"/>
        <w:sz w:val="18"/>
        <w:szCs w:val="18"/>
      </w:rPr>
      <w:fldChar w:fldCharType="separate"/>
    </w:r>
    <w:r w:rsidR="006C1F72">
      <w:rPr>
        <w:rFonts w:ascii="Times New Roman" w:hAnsi="Times New Roman" w:cs="Times New Roman"/>
        <w:noProof/>
        <w:sz w:val="18"/>
        <w:szCs w:val="18"/>
      </w:rPr>
      <w:t>6</w:t>
    </w:r>
    <w:r w:rsidRPr="00E9497C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66020" w14:textId="77777777" w:rsidR="0034679A" w:rsidRDefault="0034679A" w:rsidP="0034679A">
      <w:pPr>
        <w:spacing w:after="0" w:line="240" w:lineRule="auto"/>
      </w:pPr>
      <w:r>
        <w:separator/>
      </w:r>
    </w:p>
  </w:footnote>
  <w:footnote w:type="continuationSeparator" w:id="0">
    <w:p w14:paraId="6177DFE6" w14:textId="77777777" w:rsidR="0034679A" w:rsidRDefault="0034679A" w:rsidP="0034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B6346" w14:textId="7AE98B0D" w:rsidR="0034679A" w:rsidRPr="0034679A" w:rsidRDefault="00C03FD1" w:rsidP="0034679A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C03FD1">
      <w:rPr>
        <w:rFonts w:ascii="Times New Roman" w:hAnsi="Times New Roman" w:cs="Times New Roman"/>
        <w:sz w:val="18"/>
        <w:szCs w:val="18"/>
        <w:lang w:val="sk-SK"/>
      </w:rPr>
      <w:t>Schválený text k roz</w:t>
    </w:r>
    <w:r>
      <w:rPr>
        <w:rFonts w:ascii="Times New Roman" w:hAnsi="Times New Roman" w:cs="Times New Roman"/>
        <w:sz w:val="18"/>
        <w:szCs w:val="18"/>
        <w:lang w:val="sk-SK"/>
      </w:rPr>
      <w:t>hodnutiu o registrácii</w:t>
    </w:r>
    <w:r w:rsidR="0034679A" w:rsidRPr="0034679A">
      <w:rPr>
        <w:rFonts w:ascii="Times New Roman" w:hAnsi="Times New Roman" w:cs="Times New Roman"/>
        <w:sz w:val="18"/>
        <w:szCs w:val="18"/>
        <w:lang w:val="sk-SK"/>
      </w:rPr>
      <w:t>, ev. č.: 2018/01314-REG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8B1"/>
    <w:multiLevelType w:val="hybridMultilevel"/>
    <w:tmpl w:val="EB4A15B4"/>
    <w:lvl w:ilvl="0" w:tplc="F218272E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D4AA7"/>
    <w:multiLevelType w:val="multilevel"/>
    <w:tmpl w:val="2DC68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28"/>
    <w:rsid w:val="0001267C"/>
    <w:rsid w:val="00024F6E"/>
    <w:rsid w:val="000408A4"/>
    <w:rsid w:val="00056544"/>
    <w:rsid w:val="000672D7"/>
    <w:rsid w:val="00085FB0"/>
    <w:rsid w:val="001202A0"/>
    <w:rsid w:val="00146CDC"/>
    <w:rsid w:val="00180767"/>
    <w:rsid w:val="00184597"/>
    <w:rsid w:val="001A391A"/>
    <w:rsid w:val="001E7B47"/>
    <w:rsid w:val="001F1FA8"/>
    <w:rsid w:val="00213228"/>
    <w:rsid w:val="00286321"/>
    <w:rsid w:val="002C6ADA"/>
    <w:rsid w:val="002E29EB"/>
    <w:rsid w:val="0034679A"/>
    <w:rsid w:val="00372AED"/>
    <w:rsid w:val="00373734"/>
    <w:rsid w:val="003A3615"/>
    <w:rsid w:val="003C3B75"/>
    <w:rsid w:val="003E3725"/>
    <w:rsid w:val="003F16F0"/>
    <w:rsid w:val="003F35CF"/>
    <w:rsid w:val="003F5AD4"/>
    <w:rsid w:val="004331F4"/>
    <w:rsid w:val="0045140A"/>
    <w:rsid w:val="004910A3"/>
    <w:rsid w:val="00497D95"/>
    <w:rsid w:val="00522570"/>
    <w:rsid w:val="00595866"/>
    <w:rsid w:val="00597704"/>
    <w:rsid w:val="005B5B52"/>
    <w:rsid w:val="005E4D51"/>
    <w:rsid w:val="005F1EB5"/>
    <w:rsid w:val="006171B4"/>
    <w:rsid w:val="006B25AD"/>
    <w:rsid w:val="006C1F72"/>
    <w:rsid w:val="006E3A93"/>
    <w:rsid w:val="006E61AF"/>
    <w:rsid w:val="006F1953"/>
    <w:rsid w:val="006F4E26"/>
    <w:rsid w:val="00707668"/>
    <w:rsid w:val="007745CF"/>
    <w:rsid w:val="007B65BB"/>
    <w:rsid w:val="007C2A1E"/>
    <w:rsid w:val="00806E00"/>
    <w:rsid w:val="00847113"/>
    <w:rsid w:val="00884663"/>
    <w:rsid w:val="008B3EE8"/>
    <w:rsid w:val="00907EBC"/>
    <w:rsid w:val="00914E1D"/>
    <w:rsid w:val="009460A8"/>
    <w:rsid w:val="00960544"/>
    <w:rsid w:val="00A031DA"/>
    <w:rsid w:val="00A107D5"/>
    <w:rsid w:val="00AB6354"/>
    <w:rsid w:val="00B00D38"/>
    <w:rsid w:val="00B24AB3"/>
    <w:rsid w:val="00B66FB9"/>
    <w:rsid w:val="00BA0524"/>
    <w:rsid w:val="00BA1AE6"/>
    <w:rsid w:val="00BD507C"/>
    <w:rsid w:val="00BF027A"/>
    <w:rsid w:val="00BF52F6"/>
    <w:rsid w:val="00C03FD1"/>
    <w:rsid w:val="00C1163F"/>
    <w:rsid w:val="00C41B20"/>
    <w:rsid w:val="00C42AE0"/>
    <w:rsid w:val="00CA41D0"/>
    <w:rsid w:val="00CC17F3"/>
    <w:rsid w:val="00D00C43"/>
    <w:rsid w:val="00D63E9E"/>
    <w:rsid w:val="00D815D4"/>
    <w:rsid w:val="00DD2640"/>
    <w:rsid w:val="00E23381"/>
    <w:rsid w:val="00E514CE"/>
    <w:rsid w:val="00E64902"/>
    <w:rsid w:val="00E9497C"/>
    <w:rsid w:val="00EB414F"/>
    <w:rsid w:val="00EC1482"/>
    <w:rsid w:val="00F12F99"/>
    <w:rsid w:val="00F37FBF"/>
    <w:rsid w:val="00F41442"/>
    <w:rsid w:val="00F648C9"/>
    <w:rsid w:val="00F9751B"/>
    <w:rsid w:val="00FB7487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FBB9DF"/>
  <w15:chartTrackingRefBased/>
  <w15:docId w15:val="{18C8FBFF-63DD-41C4-A2B9-E5BFC6CE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autoRedefine/>
    <w:rsid w:val="00960544"/>
    <w:pPr>
      <w:keepNext/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Styl1">
    <w:name w:val="Styl1"/>
    <w:basedOn w:val="Normlny"/>
    <w:autoRedefine/>
    <w:rsid w:val="00F37FBF"/>
    <w:pPr>
      <w:keepNext/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bCs/>
      <w:caps/>
      <w:szCs w:val="24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45140A"/>
    <w:pPr>
      <w:suppressAutoHyphens/>
      <w:spacing w:after="0" w:line="240" w:lineRule="auto"/>
    </w:pPr>
    <w:rPr>
      <w:rFonts w:ascii="Times New Roman" w:eastAsia="Calibri" w:hAnsi="Times New Roman" w:cs="Times New 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45140A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rsid w:val="00C1163F"/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8B3EE8"/>
    <w:rPr>
      <w:lang w:val="en-GB" w:eastAsia="en-US"/>
    </w:rPr>
  </w:style>
  <w:style w:type="paragraph" w:customStyle="1" w:styleId="Styl3">
    <w:name w:val="Styl3"/>
    <w:basedOn w:val="Normlndobloku"/>
    <w:link w:val="Styl3Char"/>
    <w:autoRedefine/>
    <w:rsid w:val="00A031DA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A031DA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D815D4"/>
    <w:pPr>
      <w:spacing w:before="240" w:after="120" w:line="240" w:lineRule="auto"/>
      <w:ind w:left="567" w:hanging="567"/>
      <w:jc w:val="center"/>
    </w:pPr>
    <w:rPr>
      <w:rFonts w:ascii="Times New Roman" w:eastAsia="Times New Roman" w:hAnsi="Times New Roman" w:cs="Times New Roman"/>
      <w:b/>
      <w:szCs w:val="24"/>
      <w:lang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5140A"/>
    <w:pPr>
      <w:numPr>
        <w:numId w:val="3"/>
      </w:numPr>
      <w:ind w:left="714" w:hanging="714"/>
    </w:pPr>
    <w:rPr>
      <w:rFonts w:eastAsia="Times New Roman"/>
      <w:lang w:eastAsia="x-none"/>
    </w:rPr>
  </w:style>
  <w:style w:type="character" w:customStyle="1" w:styleId="Bacil">
    <w:name w:val="Bacil"/>
    <w:basedOn w:val="NormlndoblokuChar"/>
    <w:uiPriority w:val="1"/>
    <w:qFormat/>
    <w:rsid w:val="006E3A93"/>
    <w:rPr>
      <w:rFonts w:ascii="Times New Roman" w:eastAsia="Calibri" w:hAnsi="Times New Roman" w:cs="Times New Roman"/>
      <w:i/>
      <w:sz w:val="22"/>
      <w:szCs w:val="24"/>
      <w:lang w:val="en-US" w:eastAsia="cs-CZ"/>
    </w:rPr>
  </w:style>
  <w:style w:type="paragraph" w:styleId="Hlavika">
    <w:name w:val="header"/>
    <w:basedOn w:val="Normlny"/>
    <w:link w:val="HlavikaChar"/>
    <w:uiPriority w:val="99"/>
    <w:unhideWhenUsed/>
    <w:rsid w:val="0034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679A"/>
  </w:style>
  <w:style w:type="paragraph" w:styleId="Pta">
    <w:name w:val="footer"/>
    <w:basedOn w:val="Normlny"/>
    <w:link w:val="PtaChar"/>
    <w:uiPriority w:val="99"/>
    <w:unhideWhenUsed/>
    <w:rsid w:val="00346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679A"/>
  </w:style>
  <w:style w:type="table" w:styleId="Mriekatabuky">
    <w:name w:val="Table Grid"/>
    <w:basedOn w:val="Normlnatabuka"/>
    <w:uiPriority w:val="59"/>
    <w:rsid w:val="003737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unhideWhenUsed/>
    <w:rsid w:val="009460A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FD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51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B980-71F5-4FF9-BEA1-A86FDE2F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Litera</dc:creator>
  <cp:keywords/>
  <dc:description/>
  <cp:lastModifiedBy>Lacková, Beáta</cp:lastModifiedBy>
  <cp:revision>39</cp:revision>
  <dcterms:created xsi:type="dcterms:W3CDTF">2019-03-18T12:19:00Z</dcterms:created>
  <dcterms:modified xsi:type="dcterms:W3CDTF">2019-07-23T07:32:00Z</dcterms:modified>
</cp:coreProperties>
</file>