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FBC" w:rsidRDefault="00CE5FBC" w:rsidP="007E1DD6">
      <w:pPr>
        <w:widowControl w:val="0"/>
        <w:tabs>
          <w:tab w:val="clear" w:pos="567"/>
        </w:tabs>
        <w:spacing w:line="240" w:lineRule="auto"/>
        <w:rPr>
          <w:b/>
          <w:bCs/>
          <w:iCs/>
          <w:szCs w:val="22"/>
          <w:lang w:val="sk-SK"/>
        </w:rPr>
      </w:pPr>
    </w:p>
    <w:p w:rsidR="00B340C8" w:rsidRDefault="00B340C8" w:rsidP="00CC6954">
      <w:pPr>
        <w:widowControl w:val="0"/>
        <w:tabs>
          <w:tab w:val="clear" w:pos="567"/>
        </w:tabs>
        <w:spacing w:line="240" w:lineRule="auto"/>
        <w:jc w:val="center"/>
        <w:rPr>
          <w:b/>
          <w:bCs/>
          <w:iCs/>
          <w:szCs w:val="22"/>
          <w:lang w:val="sk-SK"/>
        </w:rPr>
      </w:pPr>
      <w:r>
        <w:rPr>
          <w:b/>
          <w:bCs/>
          <w:iCs/>
          <w:szCs w:val="22"/>
          <w:lang w:val="sk-SK"/>
        </w:rPr>
        <w:t>SÚHRN CHARAKTERIST</w:t>
      </w:r>
      <w:r w:rsidR="00445732">
        <w:rPr>
          <w:b/>
          <w:bCs/>
          <w:iCs/>
          <w:szCs w:val="22"/>
          <w:lang w:val="sk-SK"/>
        </w:rPr>
        <w:t>I</w:t>
      </w:r>
      <w:r>
        <w:rPr>
          <w:b/>
          <w:bCs/>
          <w:iCs/>
          <w:szCs w:val="22"/>
          <w:lang w:val="sk-SK"/>
        </w:rPr>
        <w:t>CKÝCH VLASTNOSTÍ LIEKU</w:t>
      </w:r>
    </w:p>
    <w:p w:rsidR="00415183" w:rsidRDefault="00415183" w:rsidP="00CC6954">
      <w:pPr>
        <w:widowControl w:val="0"/>
        <w:tabs>
          <w:tab w:val="clear" w:pos="567"/>
        </w:tabs>
        <w:spacing w:line="240" w:lineRule="auto"/>
        <w:jc w:val="center"/>
        <w:rPr>
          <w:b/>
          <w:bCs/>
          <w:iCs/>
          <w:szCs w:val="22"/>
          <w:lang w:val="sk-SK"/>
        </w:rPr>
      </w:pPr>
    </w:p>
    <w:p w:rsidR="00B340C8" w:rsidRDefault="00B340C8" w:rsidP="007E1DD6">
      <w:pPr>
        <w:widowControl w:val="0"/>
        <w:tabs>
          <w:tab w:val="clear" w:pos="567"/>
        </w:tabs>
        <w:spacing w:line="240" w:lineRule="auto"/>
        <w:rPr>
          <w:b/>
          <w:bCs/>
          <w:iCs/>
          <w:szCs w:val="22"/>
          <w:lang w:val="sk-SK"/>
        </w:rPr>
      </w:pPr>
    </w:p>
    <w:p w:rsidR="00871AAF" w:rsidRPr="00543955" w:rsidRDefault="00871AAF" w:rsidP="007E1DD6">
      <w:pPr>
        <w:widowControl w:val="0"/>
        <w:tabs>
          <w:tab w:val="clear" w:pos="567"/>
        </w:tabs>
        <w:spacing w:line="240" w:lineRule="auto"/>
        <w:rPr>
          <w:b/>
          <w:szCs w:val="22"/>
          <w:lang w:val="sk-SK"/>
        </w:rPr>
      </w:pPr>
      <w:r w:rsidRPr="00543955">
        <w:rPr>
          <w:b/>
          <w:bCs/>
          <w:iCs/>
          <w:szCs w:val="22"/>
          <w:lang w:val="sk-SK"/>
        </w:rPr>
        <w:t>1.</w:t>
      </w:r>
      <w:r w:rsidRPr="00543955">
        <w:rPr>
          <w:b/>
          <w:bCs/>
          <w:iCs/>
          <w:szCs w:val="22"/>
          <w:lang w:val="sk-SK"/>
        </w:rPr>
        <w:tab/>
      </w:r>
      <w:r w:rsidRPr="00543955">
        <w:rPr>
          <w:b/>
          <w:szCs w:val="22"/>
          <w:lang w:val="sk-SK"/>
        </w:rPr>
        <w:t>NÁZOV LIEKU</w:t>
      </w:r>
    </w:p>
    <w:p w:rsidR="00871AAF" w:rsidRPr="00543955" w:rsidRDefault="00871AAF" w:rsidP="007E1DD6">
      <w:pPr>
        <w:widowControl w:val="0"/>
        <w:tabs>
          <w:tab w:val="clear" w:pos="567"/>
        </w:tabs>
        <w:spacing w:line="240" w:lineRule="auto"/>
        <w:rPr>
          <w:szCs w:val="22"/>
          <w:lang w:val="sk-SK"/>
        </w:rPr>
      </w:pPr>
    </w:p>
    <w:p w:rsidR="00871AAF" w:rsidRDefault="00AF78AE" w:rsidP="00CC6954">
      <w:pPr>
        <w:widowControl w:val="0"/>
        <w:tabs>
          <w:tab w:val="clear" w:pos="567"/>
        </w:tabs>
        <w:spacing w:line="240" w:lineRule="auto"/>
        <w:rPr>
          <w:szCs w:val="22"/>
          <w:lang w:val="sk-SK"/>
        </w:rPr>
      </w:pPr>
      <w:r w:rsidRPr="00AF78AE">
        <w:rPr>
          <w:szCs w:val="22"/>
          <w:lang w:val="sk-SK"/>
        </w:rPr>
        <w:t>SANDOSTATIN 50 mikrogramov/1 ml injekčný/infúzny roztok</w:t>
      </w:r>
    </w:p>
    <w:p w:rsidR="00871AAF" w:rsidRPr="00CC6954" w:rsidRDefault="00AF78AE" w:rsidP="00C94CFC">
      <w:pPr>
        <w:pStyle w:val="Textkomentra"/>
        <w:rPr>
          <w:sz w:val="22"/>
          <w:szCs w:val="22"/>
          <w:lang w:val="sk-SK"/>
        </w:rPr>
      </w:pPr>
      <w:r w:rsidRPr="00AF78AE">
        <w:rPr>
          <w:sz w:val="22"/>
          <w:szCs w:val="22"/>
          <w:lang w:val="sk-SK"/>
        </w:rPr>
        <w:t xml:space="preserve">SANDOSTATIN 100 mikrogramov/1 ml injekčný/infúzny roztok </w:t>
      </w:r>
    </w:p>
    <w:p w:rsidR="00871AAF" w:rsidRPr="00BE75A2" w:rsidRDefault="00AF78AE" w:rsidP="00CC6954">
      <w:pPr>
        <w:widowControl w:val="0"/>
        <w:tabs>
          <w:tab w:val="clear" w:pos="567"/>
        </w:tabs>
        <w:spacing w:line="240" w:lineRule="auto"/>
        <w:rPr>
          <w:szCs w:val="22"/>
          <w:lang w:val="sk-SK"/>
        </w:rPr>
      </w:pPr>
      <w:r w:rsidRPr="00AF78AE">
        <w:rPr>
          <w:szCs w:val="22"/>
          <w:lang w:val="sk-SK"/>
        </w:rPr>
        <w:t xml:space="preserve">SANDOSTATIN 500 mikrogramov/1 ml injekčný/infúzny roztok  </w:t>
      </w:r>
    </w:p>
    <w:p w:rsidR="00871AAF" w:rsidRDefault="00871AAF" w:rsidP="007E1DD6">
      <w:pPr>
        <w:widowControl w:val="0"/>
        <w:tabs>
          <w:tab w:val="clear" w:pos="567"/>
        </w:tabs>
        <w:spacing w:line="240" w:lineRule="auto"/>
        <w:rPr>
          <w:szCs w:val="22"/>
          <w:lang w:val="sk-SK"/>
        </w:rPr>
      </w:pPr>
    </w:p>
    <w:p w:rsidR="0087779A" w:rsidRPr="00543955" w:rsidRDefault="0087779A"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lang w:val="sk-SK"/>
        </w:rPr>
      </w:pPr>
      <w:r w:rsidRPr="00543955">
        <w:rPr>
          <w:b/>
          <w:szCs w:val="22"/>
          <w:lang w:val="sk-SK"/>
        </w:rPr>
        <w:t>2.</w:t>
      </w:r>
      <w:r w:rsidRPr="00543955">
        <w:rPr>
          <w:b/>
          <w:szCs w:val="22"/>
          <w:lang w:val="sk-SK"/>
        </w:rPr>
        <w:tab/>
        <w:t>KVALITATÍVNE A KVANTITATÍVNE ZLOŽENIE</w:t>
      </w:r>
    </w:p>
    <w:p w:rsidR="00871AAF" w:rsidRPr="00543955" w:rsidRDefault="00871AAF" w:rsidP="007E1DD6">
      <w:pPr>
        <w:keepNext/>
        <w:widowControl w:val="0"/>
        <w:tabs>
          <w:tab w:val="clear" w:pos="567"/>
        </w:tabs>
        <w:spacing w:line="240" w:lineRule="auto"/>
        <w:rPr>
          <w:szCs w:val="22"/>
          <w:lang w:val="sk-SK"/>
        </w:rPr>
      </w:pPr>
    </w:p>
    <w:p w:rsidR="00871AAF" w:rsidRDefault="00871AAF" w:rsidP="007E1DD6">
      <w:pPr>
        <w:pStyle w:val="Texttelo"/>
        <w:jc w:val="left"/>
        <w:rPr>
          <w:rFonts w:ascii="Times New Roman" w:hAnsi="Times New Roman"/>
          <w:spacing w:val="0"/>
          <w:sz w:val="22"/>
          <w:szCs w:val="22"/>
          <w:lang w:val="sk-SK"/>
        </w:rPr>
      </w:pPr>
      <w:r>
        <w:rPr>
          <w:rFonts w:ascii="Times New Roman" w:hAnsi="Times New Roman"/>
          <w:spacing w:val="0"/>
          <w:sz w:val="22"/>
          <w:szCs w:val="22"/>
          <w:lang w:val="sk-SK"/>
        </w:rPr>
        <w:t>Jedna ampulka s objemom 1 ml obsahuje 50 mikrogramov oktreotidu (ako oktreotid acetát)</w:t>
      </w:r>
    </w:p>
    <w:p w:rsidR="00871AAF" w:rsidRDefault="00871AAF" w:rsidP="0000342F">
      <w:pPr>
        <w:pStyle w:val="Texttelo"/>
        <w:jc w:val="left"/>
        <w:rPr>
          <w:rFonts w:ascii="Times New Roman" w:hAnsi="Times New Roman"/>
          <w:spacing w:val="0"/>
          <w:sz w:val="22"/>
          <w:szCs w:val="22"/>
          <w:lang w:val="sk-SK"/>
        </w:rPr>
      </w:pPr>
      <w:r>
        <w:rPr>
          <w:rFonts w:ascii="Times New Roman" w:hAnsi="Times New Roman"/>
          <w:spacing w:val="0"/>
          <w:sz w:val="22"/>
          <w:szCs w:val="22"/>
          <w:lang w:val="sk-SK"/>
        </w:rPr>
        <w:t>Jedna ampulka s objemom 1 ml obsahuje 100 mikrogramov oktreotidu (ako oktreotid acetát)</w:t>
      </w:r>
    </w:p>
    <w:p w:rsidR="00871AAF" w:rsidRDefault="00871AAF" w:rsidP="0000342F">
      <w:pPr>
        <w:pStyle w:val="Texttelo"/>
        <w:jc w:val="left"/>
        <w:rPr>
          <w:rFonts w:ascii="Times New Roman" w:hAnsi="Times New Roman"/>
          <w:spacing w:val="0"/>
          <w:sz w:val="22"/>
          <w:szCs w:val="22"/>
          <w:lang w:val="sk-SK"/>
        </w:rPr>
      </w:pPr>
      <w:r>
        <w:rPr>
          <w:rFonts w:ascii="Times New Roman" w:hAnsi="Times New Roman"/>
          <w:spacing w:val="0"/>
          <w:sz w:val="22"/>
          <w:szCs w:val="22"/>
          <w:lang w:val="sk-SK"/>
        </w:rPr>
        <w:t>Jedna ampulka s objemom 1 ml obsahuje 500 mikrogramov oktreotidu (ako oktreotid acetát)</w:t>
      </w:r>
    </w:p>
    <w:p w:rsidR="00871AAF" w:rsidRDefault="00871AAF" w:rsidP="0000342F">
      <w:pPr>
        <w:pStyle w:val="Texttelo"/>
        <w:jc w:val="left"/>
        <w:rPr>
          <w:rFonts w:ascii="Times New Roman" w:hAnsi="Times New Roman"/>
          <w:spacing w:val="0"/>
          <w:sz w:val="22"/>
          <w:szCs w:val="22"/>
          <w:lang w:val="sk-SK"/>
        </w:rPr>
      </w:pPr>
    </w:p>
    <w:p w:rsidR="00871AAF" w:rsidRDefault="00871AAF" w:rsidP="0000342F">
      <w:pPr>
        <w:keepNext/>
        <w:widowControl w:val="0"/>
        <w:tabs>
          <w:tab w:val="clear" w:pos="567"/>
        </w:tabs>
        <w:spacing w:line="240" w:lineRule="auto"/>
        <w:rPr>
          <w:u w:val="single"/>
          <w:lang w:val="sk-SK"/>
        </w:rPr>
      </w:pPr>
      <w:r w:rsidRPr="00EB7580">
        <w:rPr>
          <w:u w:val="single"/>
          <w:lang w:val="sk-SK"/>
        </w:rPr>
        <w:t>Pomocné látky so známym účinkom:</w:t>
      </w:r>
    </w:p>
    <w:p w:rsidR="00871AAF" w:rsidRDefault="00871AAF" w:rsidP="0000342F">
      <w:pPr>
        <w:keepNext/>
        <w:widowControl w:val="0"/>
        <w:tabs>
          <w:tab w:val="clear" w:pos="567"/>
        </w:tabs>
        <w:spacing w:line="240" w:lineRule="auto"/>
        <w:rPr>
          <w:u w:val="single"/>
          <w:lang w:val="sk-SK"/>
        </w:rPr>
      </w:pPr>
      <w:r w:rsidRPr="00EB7580">
        <w:rPr>
          <w:lang w:val="sk-SK"/>
        </w:rPr>
        <w:t xml:space="preserve">Obsahuje menej ako 1 mmol (23 mg) sodíka v jednej dávke, </w:t>
      </w:r>
      <w:r w:rsidRPr="005C3283">
        <w:rPr>
          <w:lang w:val="sk-SK"/>
        </w:rPr>
        <w:t xml:space="preserve">t.j. </w:t>
      </w:r>
      <w:r w:rsidRPr="00CC7A4E">
        <w:rPr>
          <w:szCs w:val="22"/>
          <w:lang w:val="sk-SK"/>
        </w:rPr>
        <w:t>v podstate zanedbateľné množstvo sodíka</w:t>
      </w:r>
    </w:p>
    <w:p w:rsidR="00871AAF" w:rsidRDefault="00871AAF" w:rsidP="00CE0A14">
      <w:pPr>
        <w:widowControl w:val="0"/>
        <w:tabs>
          <w:tab w:val="clear" w:pos="567"/>
        </w:tabs>
        <w:spacing w:line="240" w:lineRule="auto"/>
        <w:rPr>
          <w:szCs w:val="22"/>
          <w:lang w:val="sk-SK"/>
        </w:rPr>
      </w:pPr>
    </w:p>
    <w:p w:rsidR="00871AAF" w:rsidRPr="00543955" w:rsidRDefault="00871AAF" w:rsidP="00CE0A14">
      <w:pPr>
        <w:widowControl w:val="0"/>
        <w:tabs>
          <w:tab w:val="clear" w:pos="567"/>
        </w:tabs>
        <w:spacing w:line="240" w:lineRule="auto"/>
        <w:rPr>
          <w:szCs w:val="22"/>
          <w:highlight w:val="yellow"/>
          <w:lang w:val="sk-SK"/>
        </w:rPr>
      </w:pPr>
      <w:r w:rsidRPr="00543955">
        <w:rPr>
          <w:szCs w:val="22"/>
          <w:lang w:val="sk-SK"/>
        </w:rPr>
        <w:t>Úplný zoznam pomocných látok, pozri časť 6.1.</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ind w:left="567" w:hanging="567"/>
        <w:rPr>
          <w:b/>
          <w:caps/>
          <w:szCs w:val="22"/>
          <w:lang w:val="sk-SK"/>
        </w:rPr>
      </w:pPr>
      <w:r w:rsidRPr="00543955">
        <w:rPr>
          <w:b/>
          <w:szCs w:val="22"/>
          <w:lang w:val="sk-SK"/>
        </w:rPr>
        <w:t>3.</w:t>
      </w:r>
      <w:r w:rsidRPr="00543955">
        <w:rPr>
          <w:b/>
          <w:szCs w:val="22"/>
          <w:lang w:val="sk-SK"/>
        </w:rPr>
        <w:tab/>
        <w:t>LIEKOVÁ FORMA</w:t>
      </w:r>
    </w:p>
    <w:p w:rsidR="00871AAF" w:rsidRPr="00543955" w:rsidRDefault="00871AAF" w:rsidP="007E1DD6">
      <w:pPr>
        <w:keepNext/>
        <w:widowControl w:val="0"/>
        <w:tabs>
          <w:tab w:val="clear" w:pos="567"/>
        </w:tabs>
        <w:spacing w:line="240" w:lineRule="auto"/>
        <w:rPr>
          <w:szCs w:val="22"/>
          <w:lang w:val="sk-SK"/>
        </w:rPr>
      </w:pPr>
    </w:p>
    <w:p w:rsidR="0087779A" w:rsidRDefault="00871AAF" w:rsidP="008224B9">
      <w:pPr>
        <w:widowControl w:val="0"/>
        <w:spacing w:line="240" w:lineRule="auto"/>
        <w:rPr>
          <w:lang w:val="sk-SK"/>
        </w:rPr>
      </w:pPr>
      <w:r>
        <w:rPr>
          <w:lang w:val="sk-SK"/>
        </w:rPr>
        <w:t>I</w:t>
      </w:r>
      <w:r w:rsidRPr="00E379BE">
        <w:rPr>
          <w:lang w:val="sk-SK"/>
        </w:rPr>
        <w:t>njekčn</w:t>
      </w:r>
      <w:r>
        <w:rPr>
          <w:lang w:val="sk-SK"/>
        </w:rPr>
        <w:t>ý</w:t>
      </w:r>
      <w:r w:rsidRPr="00E379BE">
        <w:rPr>
          <w:lang w:val="sk-SK"/>
        </w:rPr>
        <w:t>/infúzn</w:t>
      </w:r>
      <w:r>
        <w:rPr>
          <w:lang w:val="sk-SK"/>
        </w:rPr>
        <w:t>y roztok</w:t>
      </w:r>
      <w:r w:rsidRPr="00E379BE">
        <w:rPr>
          <w:lang w:val="sk-SK"/>
        </w:rPr>
        <w:t xml:space="preserve"> </w:t>
      </w:r>
    </w:p>
    <w:p w:rsidR="0087779A" w:rsidRDefault="0087779A" w:rsidP="008224B9">
      <w:pPr>
        <w:widowControl w:val="0"/>
        <w:spacing w:line="240" w:lineRule="auto"/>
        <w:rPr>
          <w:lang w:val="sk-SK"/>
        </w:rPr>
      </w:pPr>
    </w:p>
    <w:p w:rsidR="00871AAF" w:rsidRPr="008224B9" w:rsidRDefault="00871AAF" w:rsidP="008224B9">
      <w:pPr>
        <w:widowControl w:val="0"/>
        <w:spacing w:line="240" w:lineRule="auto"/>
        <w:rPr>
          <w:szCs w:val="22"/>
          <w:lang w:val="sk-SK"/>
        </w:rPr>
      </w:pPr>
      <w:r w:rsidRPr="008224B9">
        <w:rPr>
          <w:szCs w:val="22"/>
          <w:lang w:val="sk-SK"/>
        </w:rPr>
        <w:t>Číry, bezfarebný roztok</w:t>
      </w:r>
    </w:p>
    <w:p w:rsidR="00871AAF" w:rsidRPr="00731B26"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ind w:left="567" w:hanging="567"/>
        <w:rPr>
          <w:caps/>
          <w:szCs w:val="22"/>
          <w:lang w:val="sk-SK"/>
        </w:rPr>
      </w:pPr>
      <w:r w:rsidRPr="00543955">
        <w:rPr>
          <w:b/>
          <w:caps/>
          <w:szCs w:val="22"/>
          <w:lang w:val="sk-SK"/>
        </w:rPr>
        <w:t>4.</w:t>
      </w:r>
      <w:r w:rsidRPr="00543955">
        <w:rPr>
          <w:b/>
          <w:caps/>
          <w:szCs w:val="22"/>
          <w:lang w:val="sk-SK"/>
        </w:rPr>
        <w:tab/>
        <w:t>KLINICKÉ ÚDAJE</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ind w:left="567" w:hanging="567"/>
        <w:rPr>
          <w:szCs w:val="22"/>
          <w:lang w:val="sk-SK"/>
        </w:rPr>
      </w:pPr>
      <w:r w:rsidRPr="00543955">
        <w:rPr>
          <w:b/>
          <w:szCs w:val="22"/>
          <w:lang w:val="sk-SK"/>
        </w:rPr>
        <w:t>4.1</w:t>
      </w:r>
      <w:r w:rsidRPr="00543955">
        <w:rPr>
          <w:b/>
          <w:szCs w:val="22"/>
          <w:lang w:val="sk-SK"/>
        </w:rPr>
        <w:tab/>
        <w:t>Terapeutické indikácie</w:t>
      </w:r>
    </w:p>
    <w:p w:rsidR="00871AAF" w:rsidRPr="00543955" w:rsidRDefault="00871AAF" w:rsidP="007E1DD6">
      <w:pPr>
        <w:pStyle w:val="Text"/>
        <w:keepN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Symptomatická kontrola a zníženie plazmatických hladín rastového hormónu (STH) a somatomedínu C (IGF-1) u pacientov s akromegáliou, nedostatočne zvládnutou chirurgickým výkonom alebo rádioterapiou. Sandostatin je indikovaný aj u pacientov s akromegáliou, ktorí sa nemôžu alebo nechcú podrobiť chirurgickému výkonu, alebo v medziobdobí, kým sa plne prejaví účinok rádioterapie.</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Zmiernenie príznakov spojených s funkčnými gastroenteropankreatickými (GEP) endokrinnými nádormi, napr. karcinoidové nádory s príznakmi karcinoidového syndrómu (pozri časť 5.1).</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Sandostatin nie je liekom na protinádorovú liečbu a u týchto pacientov nepôsobí kuratívne.</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Prevencia komplikácií po operácii pankreasu.</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Okamžité opatrenie na zastavenie krvácania a zabránenie opätovného krvácania z gastroezofageálnych varixov u pacientov s cirhózou pečene. Sandostatin sa má podať v spojení so špecifickou liečbou, ako je endoskopická skleroterapia.</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keepNext/>
        <w:widowControl w:val="0"/>
        <w:spacing w:before="0"/>
        <w:jc w:val="left"/>
        <w:rPr>
          <w:sz w:val="22"/>
          <w:szCs w:val="22"/>
        </w:rPr>
      </w:pPr>
      <w:r w:rsidRPr="00543955">
        <w:rPr>
          <w:sz w:val="22"/>
          <w:szCs w:val="22"/>
        </w:rPr>
        <w:lastRenderedPageBreak/>
        <w:t>Liečba adeonómov hypofýzy vylučujúcich TSH:</w:t>
      </w:r>
    </w:p>
    <w:p w:rsidR="00871AAF" w:rsidRPr="00543955" w:rsidRDefault="00871AAF" w:rsidP="007E1DD6">
      <w:pPr>
        <w:pStyle w:val="Text"/>
        <w:keepNext/>
        <w:widowControl w:val="0"/>
        <w:numPr>
          <w:ilvl w:val="0"/>
          <w:numId w:val="2"/>
        </w:numPr>
        <w:spacing w:before="0"/>
        <w:ind w:left="567" w:hanging="567"/>
        <w:jc w:val="left"/>
        <w:rPr>
          <w:sz w:val="22"/>
          <w:szCs w:val="22"/>
        </w:rPr>
      </w:pPr>
      <w:r w:rsidRPr="00543955">
        <w:rPr>
          <w:sz w:val="22"/>
          <w:szCs w:val="22"/>
        </w:rPr>
        <w:t>ak nedošlo k normalizácii sekrécie po chirurgickom zákroku a/alebo rádioterapii;</w:t>
      </w:r>
    </w:p>
    <w:p w:rsidR="00871AAF" w:rsidRPr="00543955" w:rsidRDefault="00871AAF" w:rsidP="007E1DD6">
      <w:pPr>
        <w:pStyle w:val="Text"/>
        <w:keepNext/>
        <w:widowControl w:val="0"/>
        <w:numPr>
          <w:ilvl w:val="0"/>
          <w:numId w:val="2"/>
        </w:numPr>
        <w:spacing w:before="0"/>
        <w:ind w:left="567" w:hanging="567"/>
        <w:jc w:val="left"/>
        <w:rPr>
          <w:sz w:val="22"/>
          <w:szCs w:val="22"/>
        </w:rPr>
      </w:pPr>
      <w:r w:rsidRPr="00543955">
        <w:rPr>
          <w:sz w:val="22"/>
          <w:szCs w:val="22"/>
        </w:rPr>
        <w:t>u pacientov, u ktorých je chirurgický zákrok nevhodný;</w:t>
      </w:r>
    </w:p>
    <w:p w:rsidR="00871AAF" w:rsidRPr="00543955" w:rsidRDefault="00871AAF" w:rsidP="007E1DD6">
      <w:pPr>
        <w:pStyle w:val="Text"/>
        <w:keepNext/>
        <w:widowControl w:val="0"/>
        <w:numPr>
          <w:ilvl w:val="0"/>
          <w:numId w:val="2"/>
        </w:numPr>
        <w:spacing w:before="0"/>
        <w:ind w:left="567" w:hanging="567"/>
        <w:jc w:val="left"/>
        <w:rPr>
          <w:sz w:val="22"/>
          <w:szCs w:val="22"/>
        </w:rPr>
      </w:pPr>
      <w:r w:rsidRPr="00543955">
        <w:rPr>
          <w:sz w:val="22"/>
          <w:szCs w:val="22"/>
        </w:rPr>
        <w:t>u ožarovaných pacientov, kým sa prejaví účinok rádioterapie.</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ind w:left="567" w:hanging="567"/>
        <w:rPr>
          <w:b/>
          <w:szCs w:val="22"/>
          <w:lang w:val="sk-SK"/>
        </w:rPr>
      </w:pPr>
      <w:r w:rsidRPr="00543955">
        <w:rPr>
          <w:b/>
          <w:szCs w:val="22"/>
          <w:lang w:val="sk-SK"/>
        </w:rPr>
        <w:t>4.2</w:t>
      </w:r>
      <w:r w:rsidRPr="00543955">
        <w:rPr>
          <w:b/>
          <w:szCs w:val="22"/>
          <w:lang w:val="sk-SK"/>
        </w:rPr>
        <w:tab/>
        <w:t>Dávkovanie a spôsob podávania</w:t>
      </w:r>
    </w:p>
    <w:p w:rsidR="00871AAF" w:rsidRPr="00543955" w:rsidRDefault="00871AAF" w:rsidP="007E1DD6">
      <w:pPr>
        <w:pStyle w:val="Text"/>
        <w:keepNext/>
        <w:widowControl w:val="0"/>
        <w:spacing w:before="0"/>
        <w:jc w:val="left"/>
        <w:rPr>
          <w:sz w:val="22"/>
          <w:szCs w:val="22"/>
        </w:rPr>
      </w:pPr>
    </w:p>
    <w:p w:rsidR="00871AAF" w:rsidRPr="00543955" w:rsidRDefault="00871AAF" w:rsidP="007E1DD6">
      <w:pPr>
        <w:pStyle w:val="Text"/>
        <w:keepNext/>
        <w:widowControl w:val="0"/>
        <w:spacing w:before="0"/>
        <w:jc w:val="left"/>
        <w:rPr>
          <w:sz w:val="22"/>
          <w:szCs w:val="22"/>
          <w:highlight w:val="yellow"/>
          <w:u w:val="single"/>
        </w:rPr>
      </w:pPr>
      <w:r w:rsidRPr="00543955">
        <w:rPr>
          <w:sz w:val="22"/>
          <w:szCs w:val="22"/>
          <w:u w:val="single"/>
        </w:rPr>
        <w:t>Dávkovanie</w:t>
      </w:r>
    </w:p>
    <w:p w:rsidR="00871AAF" w:rsidRPr="00543955" w:rsidRDefault="00871AAF" w:rsidP="007E1DD6">
      <w:pPr>
        <w:pStyle w:val="Text"/>
        <w:keepNext/>
        <w:widowControl w:val="0"/>
        <w:spacing w:before="0"/>
        <w:jc w:val="left"/>
        <w:rPr>
          <w:sz w:val="22"/>
          <w:szCs w:val="22"/>
        </w:rPr>
      </w:pPr>
    </w:p>
    <w:p w:rsidR="00871AAF" w:rsidRPr="00543955" w:rsidRDefault="00871AAF" w:rsidP="007E1DD6">
      <w:pPr>
        <w:pStyle w:val="Text"/>
        <w:keepNext/>
        <w:widowControl w:val="0"/>
        <w:spacing w:before="0"/>
        <w:jc w:val="left"/>
        <w:rPr>
          <w:i/>
          <w:sz w:val="22"/>
          <w:szCs w:val="22"/>
        </w:rPr>
      </w:pPr>
      <w:r w:rsidRPr="00543955">
        <w:rPr>
          <w:i/>
          <w:sz w:val="22"/>
          <w:szCs w:val="22"/>
        </w:rPr>
        <w:t>Akromegália</w:t>
      </w:r>
    </w:p>
    <w:p w:rsidR="00871AAF" w:rsidRPr="00543955" w:rsidRDefault="00871AAF" w:rsidP="007E1DD6">
      <w:pPr>
        <w:pStyle w:val="Text"/>
        <w:widowControl w:val="0"/>
        <w:spacing w:before="0"/>
        <w:jc w:val="left"/>
        <w:rPr>
          <w:sz w:val="22"/>
          <w:szCs w:val="22"/>
        </w:rPr>
      </w:pPr>
      <w:r w:rsidRPr="00543955">
        <w:rPr>
          <w:sz w:val="22"/>
          <w:szCs w:val="22"/>
        </w:rPr>
        <w:t xml:space="preserve">Začiatočná dávka je 0,05 – 0,1 mg podkožnou (s.c.) injekciou každých 8 alebo 12 hodín. Dávkovanie sa má upraviť na základe hladín STH a IGF-1, stanovovaných každý mesiac (cieľ: STH &lt; 2,5 ng/ml, IGF-1 v rozmedzí normálnych referenčných hodnôt), klinických príznakov a znášanlivosti. U väčšiny pacientov je optimálna denná dávka 0,3 mg. Nemá sa prekročiť maximálna denná dávka 1,5 mg. U pacientov s ustáleným dávkovaním Sandostatinu sa má STH </w:t>
      </w:r>
      <w:r w:rsidR="00E168F5">
        <w:rPr>
          <w:sz w:val="22"/>
          <w:szCs w:val="22"/>
        </w:rPr>
        <w:t xml:space="preserve">a IGF-1 </w:t>
      </w:r>
      <w:r w:rsidRPr="00543955">
        <w:rPr>
          <w:sz w:val="22"/>
          <w:szCs w:val="22"/>
        </w:rPr>
        <w:t>stanoviť každých 6 mesiacov.</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Ak sa v priebehu 3 mesiacov od začatia liečby Sandostatinom nedosiahne relevantné zníženie hladín STH a zlepšenie klinických príznakov, liečba sa má ukončiť.</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keepNext/>
        <w:widowControl w:val="0"/>
        <w:spacing w:before="0"/>
        <w:jc w:val="left"/>
        <w:rPr>
          <w:i/>
          <w:sz w:val="22"/>
          <w:szCs w:val="22"/>
        </w:rPr>
      </w:pPr>
      <w:r w:rsidRPr="00543955">
        <w:rPr>
          <w:i/>
          <w:sz w:val="22"/>
          <w:szCs w:val="22"/>
        </w:rPr>
        <w:t>Gastroenteropankreatické endokrinné nádory</w:t>
      </w:r>
    </w:p>
    <w:p w:rsidR="00871AAF" w:rsidRPr="00543955" w:rsidRDefault="00871AAF" w:rsidP="007E1DD6">
      <w:pPr>
        <w:pStyle w:val="Text"/>
        <w:widowControl w:val="0"/>
        <w:spacing w:before="0"/>
        <w:jc w:val="left"/>
        <w:rPr>
          <w:sz w:val="22"/>
          <w:szCs w:val="22"/>
        </w:rPr>
      </w:pPr>
      <w:r w:rsidRPr="00543955">
        <w:rPr>
          <w:sz w:val="22"/>
          <w:szCs w:val="22"/>
        </w:rPr>
        <w:t>Začiatočná dávka je 0,05 mg s.c. injekciou jeden alebo dvakrát denne. V závislosti od klinickej odpovede, účinku na hladiny hormónov vylučovaných nádorom (v prípade karcinoidných nádorov na vylučovanie 5-hydroxyindoloctovej kyseliny močom) a znášanlivosti sa môže dávkovanie postupne zvýšiť na 0,1 až 0,2 mg trikrát denne. Výnimočne môžu byť potrebné vyššie dávky. Udržiavacie dávky sa majú individuálne prispôsobiť.</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Ak sa pri karcinoidových nádoroch nedosiahne priaznivá odpoveď počas jedného týždňa liečby Sandostatinom v najvyššej znášanej dávke, v liečbe sa nemá pokračovať.</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keepNext/>
        <w:widowControl w:val="0"/>
        <w:spacing w:before="0"/>
        <w:jc w:val="left"/>
        <w:rPr>
          <w:i/>
          <w:sz w:val="22"/>
          <w:szCs w:val="22"/>
        </w:rPr>
      </w:pPr>
      <w:r w:rsidRPr="00543955">
        <w:rPr>
          <w:i/>
          <w:sz w:val="22"/>
          <w:szCs w:val="22"/>
        </w:rPr>
        <w:t>Komplikácie po operácii pankreasu</w:t>
      </w:r>
    </w:p>
    <w:p w:rsidR="00871AAF" w:rsidRPr="00543955" w:rsidRDefault="00871AAF" w:rsidP="007E1DD6">
      <w:pPr>
        <w:pStyle w:val="Text"/>
        <w:widowControl w:val="0"/>
        <w:spacing w:before="0"/>
        <w:jc w:val="left"/>
        <w:rPr>
          <w:sz w:val="22"/>
          <w:szCs w:val="22"/>
        </w:rPr>
      </w:pPr>
      <w:r w:rsidRPr="00543955">
        <w:rPr>
          <w:sz w:val="22"/>
          <w:szCs w:val="22"/>
        </w:rPr>
        <w:t>Podáva sa 0,1 mg s.c. injekciou trikrát denne počas 7 po sebe nasledujúcich dní, so začiatkom v deň operácie, minimálne 1 hodinu pred laparotómiou.</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keepNext/>
        <w:widowControl w:val="0"/>
        <w:spacing w:before="0"/>
        <w:jc w:val="left"/>
        <w:rPr>
          <w:i/>
          <w:sz w:val="22"/>
          <w:szCs w:val="22"/>
        </w:rPr>
      </w:pPr>
      <w:r w:rsidRPr="00543955">
        <w:rPr>
          <w:i/>
          <w:sz w:val="22"/>
          <w:szCs w:val="22"/>
        </w:rPr>
        <w:t>Krvácanie z gastroezofageálnych varixov</w:t>
      </w:r>
    </w:p>
    <w:p w:rsidR="00871AAF" w:rsidRPr="00543955" w:rsidRDefault="00871AAF" w:rsidP="007E1DD6">
      <w:pPr>
        <w:pStyle w:val="Text"/>
        <w:widowControl w:val="0"/>
        <w:spacing w:before="0"/>
        <w:jc w:val="left"/>
        <w:rPr>
          <w:sz w:val="22"/>
          <w:szCs w:val="22"/>
        </w:rPr>
      </w:pPr>
      <w:r w:rsidRPr="00543955">
        <w:rPr>
          <w:sz w:val="22"/>
          <w:szCs w:val="22"/>
        </w:rPr>
        <w:t>25 μg/hod počas 5 dní kontinuálnou i.v. infúziou. Sandostatin možno použiť vo fyziologickom roztoku.</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Pacienti s cirhózou pečene s krvácaním z gastroezofageálnych varixov dobre znášali Sandostatin podávaný kontinuálnou i.v. infúziou v dávkach až do 50 μg/hod počas 5 dní.</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keepNext/>
        <w:widowControl w:val="0"/>
        <w:spacing w:before="0"/>
        <w:jc w:val="left"/>
        <w:rPr>
          <w:i/>
          <w:sz w:val="22"/>
          <w:szCs w:val="22"/>
        </w:rPr>
      </w:pPr>
      <w:r w:rsidRPr="00543955">
        <w:rPr>
          <w:i/>
          <w:sz w:val="22"/>
          <w:szCs w:val="22"/>
        </w:rPr>
        <w:t>Liečba adenómov hypofýzy vylučujúcich TSH</w:t>
      </w:r>
    </w:p>
    <w:p w:rsidR="00871AAF" w:rsidRPr="00543955" w:rsidRDefault="00871AAF" w:rsidP="007E1DD6">
      <w:pPr>
        <w:pStyle w:val="Text"/>
        <w:widowControl w:val="0"/>
        <w:spacing w:before="0"/>
        <w:jc w:val="left"/>
        <w:rPr>
          <w:sz w:val="22"/>
          <w:szCs w:val="22"/>
        </w:rPr>
      </w:pPr>
      <w:r w:rsidRPr="00543955">
        <w:rPr>
          <w:sz w:val="22"/>
          <w:szCs w:val="22"/>
        </w:rPr>
        <w:t>Všeobecne najúčinnejšia dávka je 100 μg trikrát denne formou s.c. injekcie. Dávka sa môže upraviť podľa odpovede TSH a hormónov štítnej žľazy. Na vyhodnotenie účinnosti je potrebných minimálne 5 dní liečby.</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keepNext/>
        <w:widowControl w:val="0"/>
        <w:spacing w:before="0"/>
        <w:jc w:val="left"/>
        <w:rPr>
          <w:i/>
          <w:sz w:val="22"/>
          <w:szCs w:val="22"/>
        </w:rPr>
      </w:pPr>
      <w:r w:rsidRPr="00543955">
        <w:rPr>
          <w:i/>
          <w:sz w:val="22"/>
          <w:szCs w:val="22"/>
        </w:rPr>
        <w:t>Použitie u starších pacientov</w:t>
      </w:r>
    </w:p>
    <w:p w:rsidR="00871AAF" w:rsidRPr="00543955" w:rsidRDefault="00871AAF" w:rsidP="007E1DD6">
      <w:pPr>
        <w:pStyle w:val="Text"/>
        <w:widowControl w:val="0"/>
        <w:spacing w:before="0"/>
        <w:jc w:val="left"/>
        <w:rPr>
          <w:sz w:val="22"/>
          <w:szCs w:val="22"/>
        </w:rPr>
      </w:pPr>
      <w:r w:rsidRPr="00543955">
        <w:rPr>
          <w:sz w:val="22"/>
          <w:szCs w:val="22"/>
        </w:rPr>
        <w:t>U starších pacientov liečených Sandostatinom sa nedokázala znížená znášanlivosť alebo potreba meniť dávkovanie.</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keepNext/>
        <w:widowControl w:val="0"/>
        <w:spacing w:before="0"/>
        <w:jc w:val="left"/>
        <w:rPr>
          <w:i/>
          <w:sz w:val="22"/>
          <w:szCs w:val="22"/>
        </w:rPr>
      </w:pPr>
      <w:r>
        <w:rPr>
          <w:i/>
          <w:sz w:val="22"/>
          <w:szCs w:val="22"/>
        </w:rPr>
        <w:t>Pediatrická populácia</w:t>
      </w:r>
    </w:p>
    <w:p w:rsidR="00871AAF" w:rsidRPr="00543955" w:rsidRDefault="00871AAF" w:rsidP="007E1DD6">
      <w:pPr>
        <w:pStyle w:val="Text"/>
        <w:widowControl w:val="0"/>
        <w:spacing w:before="0"/>
        <w:jc w:val="left"/>
        <w:rPr>
          <w:sz w:val="22"/>
          <w:szCs w:val="22"/>
        </w:rPr>
      </w:pPr>
      <w:r w:rsidRPr="00543955">
        <w:rPr>
          <w:sz w:val="22"/>
          <w:szCs w:val="22"/>
        </w:rPr>
        <w:t>Skúsenosti s použitím Sandostatinu u detí sú obmedzené.</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keepNext/>
        <w:widowControl w:val="0"/>
        <w:spacing w:before="0"/>
        <w:jc w:val="left"/>
        <w:rPr>
          <w:i/>
          <w:sz w:val="22"/>
          <w:szCs w:val="22"/>
        </w:rPr>
      </w:pPr>
      <w:r w:rsidRPr="00543955">
        <w:rPr>
          <w:i/>
          <w:sz w:val="22"/>
          <w:szCs w:val="22"/>
        </w:rPr>
        <w:lastRenderedPageBreak/>
        <w:t>Použitie u pacientov s poruchou funkcie pečene</w:t>
      </w:r>
    </w:p>
    <w:p w:rsidR="00871AAF" w:rsidRPr="00543955" w:rsidRDefault="00871AAF" w:rsidP="007E1DD6">
      <w:pPr>
        <w:pStyle w:val="Text"/>
        <w:widowControl w:val="0"/>
        <w:spacing w:before="0"/>
        <w:jc w:val="left"/>
        <w:rPr>
          <w:sz w:val="22"/>
          <w:szCs w:val="22"/>
        </w:rPr>
      </w:pPr>
      <w:r w:rsidRPr="00543955">
        <w:rPr>
          <w:sz w:val="22"/>
          <w:szCs w:val="22"/>
        </w:rPr>
        <w:t>U pacientov s cirhózou pečene sa môže predĺžiť polčas liečiva, čo si vyžiada úpravu udržiavacieho dávkovania.</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keepNext/>
        <w:widowControl w:val="0"/>
        <w:spacing w:before="0"/>
        <w:jc w:val="left"/>
        <w:rPr>
          <w:i/>
          <w:sz w:val="22"/>
          <w:szCs w:val="22"/>
        </w:rPr>
      </w:pPr>
      <w:r w:rsidRPr="00543955">
        <w:rPr>
          <w:i/>
          <w:sz w:val="22"/>
          <w:szCs w:val="22"/>
        </w:rPr>
        <w:t>Použitie u pacientov s poruchou funkcie obličiek</w:t>
      </w:r>
    </w:p>
    <w:p w:rsidR="00871AAF" w:rsidRDefault="00871AAF" w:rsidP="007E1DD6">
      <w:pPr>
        <w:pStyle w:val="Text"/>
        <w:widowControl w:val="0"/>
        <w:spacing w:before="0"/>
        <w:jc w:val="left"/>
        <w:rPr>
          <w:sz w:val="22"/>
          <w:szCs w:val="22"/>
        </w:rPr>
      </w:pPr>
      <w:r w:rsidRPr="00543955">
        <w:rPr>
          <w:sz w:val="22"/>
          <w:szCs w:val="22"/>
        </w:rPr>
        <w:t>Porucha funkcie obličiek neovplyvnila celkovú expozíciu (AUC) oktreotidu podaného s.c. injekciou, preto nie je potrebná úprava dávkovania Sandostatinu.</w:t>
      </w:r>
    </w:p>
    <w:p w:rsidR="00871AAF" w:rsidRDefault="00871AAF" w:rsidP="007E1DD6">
      <w:pPr>
        <w:pStyle w:val="Text"/>
        <w:widowControl w:val="0"/>
        <w:spacing w:before="0"/>
        <w:jc w:val="left"/>
        <w:rPr>
          <w:sz w:val="22"/>
          <w:szCs w:val="22"/>
        </w:rPr>
      </w:pPr>
    </w:p>
    <w:p w:rsidR="00871AAF" w:rsidRPr="00CC6954" w:rsidRDefault="00871AAF" w:rsidP="008224B9">
      <w:pPr>
        <w:keepNext/>
        <w:widowControl w:val="0"/>
        <w:tabs>
          <w:tab w:val="clear" w:pos="567"/>
        </w:tabs>
        <w:spacing w:line="240" w:lineRule="auto"/>
        <w:rPr>
          <w:szCs w:val="22"/>
          <w:u w:val="single"/>
          <w:lang w:val="sk-SK"/>
        </w:rPr>
      </w:pPr>
      <w:r w:rsidRPr="00CC6954">
        <w:rPr>
          <w:szCs w:val="22"/>
          <w:u w:val="single"/>
          <w:lang w:val="sk-SK"/>
        </w:rPr>
        <w:t>Spôsob podávania</w:t>
      </w:r>
    </w:p>
    <w:p w:rsidR="00871AAF" w:rsidRPr="00CC6954" w:rsidRDefault="00871AAF" w:rsidP="008224B9">
      <w:pPr>
        <w:keepNext/>
        <w:widowControl w:val="0"/>
        <w:tabs>
          <w:tab w:val="clear" w:pos="567"/>
        </w:tabs>
        <w:spacing w:line="240" w:lineRule="auto"/>
        <w:rPr>
          <w:szCs w:val="22"/>
          <w:lang w:val="sk-SK"/>
        </w:rPr>
      </w:pPr>
    </w:p>
    <w:p w:rsidR="00871AAF" w:rsidRPr="00013707" w:rsidRDefault="00871AAF" w:rsidP="00D57836">
      <w:pPr>
        <w:pStyle w:val="Text"/>
        <w:widowControl w:val="0"/>
        <w:spacing w:before="0"/>
        <w:jc w:val="left"/>
        <w:rPr>
          <w:sz w:val="22"/>
          <w:szCs w:val="22"/>
        </w:rPr>
      </w:pPr>
      <w:r>
        <w:rPr>
          <w:sz w:val="22"/>
          <w:szCs w:val="22"/>
        </w:rPr>
        <w:t xml:space="preserve">Sandostatin môže byť podávaný priamo subkutánnou injekciou (s.c.) alebo intravenóznou infúziou (i.v.) po zriedení. </w:t>
      </w:r>
      <w:r w:rsidRPr="00013707">
        <w:rPr>
          <w:sz w:val="22"/>
          <w:szCs w:val="22"/>
        </w:rPr>
        <w:t xml:space="preserve">Ďalšie </w:t>
      </w:r>
      <w:r>
        <w:rPr>
          <w:sz w:val="22"/>
          <w:szCs w:val="22"/>
        </w:rPr>
        <w:t xml:space="preserve">pokyny </w:t>
      </w:r>
      <w:r w:rsidRPr="00013707">
        <w:rPr>
          <w:sz w:val="22"/>
          <w:szCs w:val="22"/>
        </w:rPr>
        <w:t>o</w:t>
      </w:r>
      <w:r>
        <w:rPr>
          <w:sz w:val="22"/>
          <w:szCs w:val="22"/>
        </w:rPr>
        <w:t> </w:t>
      </w:r>
      <w:r w:rsidRPr="00013707">
        <w:rPr>
          <w:sz w:val="22"/>
          <w:szCs w:val="22"/>
        </w:rPr>
        <w:t>zaobchádzaní</w:t>
      </w:r>
      <w:r>
        <w:rPr>
          <w:sz w:val="22"/>
          <w:szCs w:val="22"/>
        </w:rPr>
        <w:t xml:space="preserve"> a pokyny na riedenie lieku pred podaním</w:t>
      </w:r>
      <w:r w:rsidRPr="00013707">
        <w:rPr>
          <w:sz w:val="22"/>
          <w:szCs w:val="22"/>
        </w:rPr>
        <w:t>, pozri časť 6.6.</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ind w:left="567" w:hanging="567"/>
        <w:rPr>
          <w:szCs w:val="22"/>
          <w:lang w:val="sk-SK"/>
        </w:rPr>
      </w:pPr>
      <w:r w:rsidRPr="00543955">
        <w:rPr>
          <w:b/>
          <w:szCs w:val="22"/>
          <w:lang w:val="sk-SK"/>
        </w:rPr>
        <w:t>4.3</w:t>
      </w:r>
      <w:r w:rsidRPr="00543955">
        <w:rPr>
          <w:b/>
          <w:szCs w:val="22"/>
          <w:lang w:val="sk-SK"/>
        </w:rPr>
        <w:tab/>
        <w:t>Kontraindikácie</w:t>
      </w:r>
    </w:p>
    <w:p w:rsidR="00871AAF" w:rsidRPr="00543955" w:rsidRDefault="00871AAF" w:rsidP="007E1DD6">
      <w:pPr>
        <w:keepNext/>
        <w:widowControl w:val="0"/>
        <w:tabs>
          <w:tab w:val="clear" w:pos="567"/>
          <w:tab w:val="left" w:pos="1216"/>
        </w:tabs>
        <w:spacing w:line="240" w:lineRule="auto"/>
        <w:rPr>
          <w:szCs w:val="22"/>
          <w:lang w:val="sk-SK"/>
        </w:rPr>
      </w:pPr>
    </w:p>
    <w:p w:rsidR="00871AAF" w:rsidRPr="00543955" w:rsidRDefault="00871AAF" w:rsidP="007E1DD6">
      <w:pPr>
        <w:widowControl w:val="0"/>
        <w:tabs>
          <w:tab w:val="clear" w:pos="567"/>
        </w:tabs>
        <w:spacing w:line="240" w:lineRule="auto"/>
        <w:rPr>
          <w:szCs w:val="22"/>
          <w:highlight w:val="yellow"/>
          <w:lang w:val="sk-SK"/>
        </w:rPr>
      </w:pPr>
      <w:r>
        <w:rPr>
          <w:szCs w:val="22"/>
          <w:lang w:val="sk-SK"/>
        </w:rPr>
        <w:t>P</w:t>
      </w:r>
      <w:r w:rsidRPr="00543955">
        <w:rPr>
          <w:szCs w:val="22"/>
          <w:lang w:val="sk-SK"/>
        </w:rPr>
        <w:t>recitlivenosť na liečivo alebo na ktorúkoľvek z pomocných látok uvedených v časti 6.1.</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ind w:left="567" w:hanging="567"/>
        <w:rPr>
          <w:b/>
          <w:szCs w:val="22"/>
          <w:lang w:val="sk-SK"/>
        </w:rPr>
      </w:pPr>
      <w:r w:rsidRPr="00543955">
        <w:rPr>
          <w:b/>
          <w:szCs w:val="22"/>
          <w:lang w:val="sk-SK"/>
        </w:rPr>
        <w:t>4.4</w:t>
      </w:r>
      <w:r w:rsidRPr="00543955">
        <w:rPr>
          <w:b/>
          <w:szCs w:val="22"/>
          <w:lang w:val="sk-SK"/>
        </w:rPr>
        <w:tab/>
        <w:t>Osobitné upozornenia a opatrenia pri používaní</w:t>
      </w:r>
    </w:p>
    <w:p w:rsidR="00871AAF" w:rsidRPr="00543955" w:rsidRDefault="00871AAF" w:rsidP="007E1DD6">
      <w:pPr>
        <w:pStyle w:val="Text"/>
        <w:keepNext/>
        <w:widowControl w:val="0"/>
        <w:spacing w:before="0"/>
        <w:jc w:val="left"/>
        <w:rPr>
          <w:sz w:val="22"/>
          <w:szCs w:val="22"/>
        </w:rPr>
      </w:pPr>
    </w:p>
    <w:p w:rsidR="00871AAF" w:rsidRPr="00543955" w:rsidRDefault="00871AAF" w:rsidP="007E1DD6">
      <w:pPr>
        <w:pStyle w:val="Text"/>
        <w:keepNext/>
        <w:widowControl w:val="0"/>
        <w:spacing w:before="0"/>
        <w:jc w:val="left"/>
        <w:rPr>
          <w:sz w:val="22"/>
          <w:szCs w:val="22"/>
          <w:u w:val="single"/>
        </w:rPr>
      </w:pPr>
      <w:r w:rsidRPr="00543955">
        <w:rPr>
          <w:sz w:val="22"/>
          <w:szCs w:val="22"/>
          <w:u w:val="single"/>
        </w:rPr>
        <w:t>Všeobecné</w:t>
      </w:r>
    </w:p>
    <w:p w:rsidR="00871AAF" w:rsidRPr="00543955" w:rsidRDefault="00871AAF" w:rsidP="007E1DD6">
      <w:pPr>
        <w:pStyle w:val="Text"/>
        <w:keepN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Pretože nádory hypofýzy, ktoré vylučujú STH, sa môžu niekedy zväčšovať a spôsobiť vážne komplikácie (napr. poruchy zorného poľa), je dôležité, aby boli všetci pacienti starostlivo sledovaní. Ak sa objavia príznaky zväčšovania nádoru, majú sa zvážiť iné liečebné postupy.</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Terapeutický prínos zníženia hladín rastového hormónu (STH) a normalizácie koncentrácie rastového faktora podobného inzulínu 1 (IGF-1) u pacientok s akromegáliou môže prípadne obnoviť plodnosť. Ak je to potrebné, má sa pacientkam, ktoré môžu otehotnieť, odporučiť počas liečby oktreotidom používanie vhodnej antikoncepcie (pozri časť 4.6).</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Pri dlhodobej liečbe oktreotidom sa má u pacientov sledovať funkcia štítnej žľazy.</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Počas liečby oktreotidom sa má sledovať funkcia pečene.</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keepNext/>
        <w:widowControl w:val="0"/>
        <w:spacing w:before="0"/>
        <w:jc w:val="left"/>
        <w:rPr>
          <w:sz w:val="22"/>
          <w:szCs w:val="22"/>
          <w:u w:val="single"/>
        </w:rPr>
      </w:pPr>
      <w:r w:rsidRPr="00543955">
        <w:rPr>
          <w:sz w:val="22"/>
          <w:szCs w:val="22"/>
          <w:u w:val="single"/>
        </w:rPr>
        <w:t>Kardiovaskulárne udalosti</w:t>
      </w:r>
    </w:p>
    <w:p w:rsidR="00871AAF" w:rsidRPr="00543955" w:rsidRDefault="00871AAF" w:rsidP="007E1DD6">
      <w:pPr>
        <w:pStyle w:val="Text"/>
        <w:keepN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Boli hlásené časté prípady bradykardie. Môže byť potrebné upraviť dávky liekov ako sú betablokátory, blokátory kalciových kanálov alebo látok regulujúcich rovnováhu tekutín a elektrolytov (pozri časť 4.5).</w:t>
      </w:r>
    </w:p>
    <w:p w:rsidR="00871AAF" w:rsidRPr="00543955" w:rsidRDefault="00871AAF" w:rsidP="007E1DD6">
      <w:pPr>
        <w:pStyle w:val="Text"/>
        <w:widowControl w:val="0"/>
        <w:spacing w:before="0"/>
        <w:jc w:val="left"/>
        <w:rPr>
          <w:sz w:val="22"/>
          <w:szCs w:val="22"/>
        </w:rPr>
      </w:pPr>
    </w:p>
    <w:p w:rsidR="00871AAF" w:rsidRDefault="00871AAF" w:rsidP="007E1DD6">
      <w:pPr>
        <w:pStyle w:val="Text"/>
        <w:keepNext/>
        <w:widowControl w:val="0"/>
        <w:spacing w:before="0"/>
        <w:jc w:val="left"/>
        <w:rPr>
          <w:sz w:val="22"/>
          <w:szCs w:val="22"/>
          <w:u w:val="single"/>
        </w:rPr>
      </w:pPr>
      <w:r w:rsidRPr="00543955">
        <w:rPr>
          <w:sz w:val="22"/>
          <w:szCs w:val="22"/>
          <w:u w:val="single"/>
        </w:rPr>
        <w:t>Žlčník a súvisiace udalosti</w:t>
      </w:r>
    </w:p>
    <w:p w:rsidR="00871AAF" w:rsidRPr="00543955" w:rsidRDefault="00871AAF" w:rsidP="007E1DD6">
      <w:pPr>
        <w:pStyle w:val="Text"/>
        <w:keepNext/>
        <w:widowControl w:val="0"/>
        <w:spacing w:before="0"/>
        <w:jc w:val="left"/>
        <w:rPr>
          <w:sz w:val="22"/>
          <w:szCs w:val="22"/>
          <w:u w:val="single"/>
        </w:rPr>
      </w:pPr>
    </w:p>
    <w:p w:rsidR="00871AAF" w:rsidRPr="00543955" w:rsidRDefault="00E168F5" w:rsidP="007E1DD6">
      <w:pPr>
        <w:pStyle w:val="Text"/>
        <w:widowControl w:val="0"/>
        <w:spacing w:before="0"/>
        <w:jc w:val="left"/>
        <w:rPr>
          <w:sz w:val="22"/>
          <w:szCs w:val="22"/>
        </w:rPr>
      </w:pPr>
      <w:r w:rsidRPr="009E5DBC">
        <w:rPr>
          <w:rFonts w:eastAsia="Times New Roman"/>
          <w:sz w:val="22"/>
          <w:szCs w:val="22"/>
          <w:lang w:eastAsia="en-US"/>
        </w:rPr>
        <w:t>Cholelitiáza je veľmi častou udalosťou vyskytujúcou sa počas liečby Sandostatinom a môže byť spojená s cholecystitídou a dilatáciou žlčovodov (pozri časť 4.8).</w:t>
      </w:r>
      <w:r>
        <w:rPr>
          <w:rFonts w:eastAsia="Times New Roman"/>
          <w:sz w:val="22"/>
          <w:szCs w:val="22"/>
          <w:lang w:eastAsia="en-US"/>
        </w:rPr>
        <w:t xml:space="preserve"> </w:t>
      </w:r>
      <w:r w:rsidR="00871AAF" w:rsidRPr="00543955">
        <w:rPr>
          <w:sz w:val="22"/>
          <w:szCs w:val="22"/>
        </w:rPr>
        <w:t xml:space="preserve"> Odporúča sa vykonať ultrazvukové vyšetrenie žlčníka pred liečbou a počas liečby Sandostatinom pravidelne v intervaloch asi 6-12 mesiacov. </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keepNext/>
        <w:widowControl w:val="0"/>
        <w:spacing w:before="0"/>
        <w:jc w:val="left"/>
        <w:rPr>
          <w:sz w:val="22"/>
          <w:szCs w:val="22"/>
          <w:u w:val="single"/>
        </w:rPr>
      </w:pPr>
      <w:r w:rsidRPr="00543955">
        <w:rPr>
          <w:sz w:val="22"/>
          <w:szCs w:val="22"/>
          <w:u w:val="single"/>
        </w:rPr>
        <w:t>GEP endokrinné nádory</w:t>
      </w:r>
    </w:p>
    <w:p w:rsidR="00871AAF" w:rsidRPr="00543955" w:rsidRDefault="00871AAF" w:rsidP="007E1DD6">
      <w:pPr>
        <w:pStyle w:val="Text"/>
        <w:keepN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Počas liečby GEP endokrinných nádorov v zriedkavých prípadoch môže náhle prestať priaznivý účinok Sandostatinu na príznaky a dôjsť k prudkej recidíve závažných prejavov. Ak sa liečba zastaví, príznaky sa môžu zhoršiť alebo recidivovať.</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keepNext/>
        <w:widowControl w:val="0"/>
        <w:spacing w:before="0"/>
        <w:jc w:val="left"/>
        <w:rPr>
          <w:sz w:val="22"/>
          <w:szCs w:val="22"/>
          <w:u w:val="single"/>
        </w:rPr>
      </w:pPr>
      <w:r w:rsidRPr="00543955">
        <w:rPr>
          <w:sz w:val="22"/>
          <w:szCs w:val="22"/>
          <w:u w:val="single"/>
        </w:rPr>
        <w:lastRenderedPageBreak/>
        <w:t>Metabolizmus glukózy</w:t>
      </w:r>
    </w:p>
    <w:p w:rsidR="00871AAF" w:rsidRPr="00543955" w:rsidRDefault="00871AAF" w:rsidP="007E1DD6">
      <w:pPr>
        <w:pStyle w:val="Text"/>
        <w:keepN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Keďže Sandostatin má tlmivý účinok na STH, glukagón a inzulín, môže ovplyvniť reguláciu glukózy. Môže sa zhoršiť postprandiálna tolerancia glukózy a v niektorých prípadoch môže vzniknúť stav trvalej hyperglykémie ako následok dlhodobého podávania. Hlásená bola aj hypoglykémia.</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U pacientov s inzulinómami môže oktreotid vzhľadom na relatívne účinnejšie tlmenie sekrécie STH a glukagónu ako sekrécie inzulínu a vzhľadom na kratšie trvanie tlmivého účinku na sekréciu inzulínu prehĺbiť hypoglykémiu a predĺžiť jej trvanie. Títo pacienti majú byť starostlivo sledovaní na začiatku liečby Sandostatinom a pri každej zmene dávkovania. Výrazné výkyvy koncentrácie glukózy v krvi možno pravdepodobne znížiť častejším podávaním menších dávok.</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Potreba inzulínu u pacientov liečených na diabetes mellitus typu I sa môže podávaním Sandostatinu znížiť. U nediabetických pacientov a u pacientov s diabetes mellitus typu II s čiastočne zachovanými rezervami inzulínu môže mať podanie Sandostatinu za následok postprandiálne zvýšenie glykémie. Preto sa odporúča sledovať glukózovú toleranciu a liečbu diabetu.</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keepNext/>
        <w:widowControl w:val="0"/>
        <w:spacing w:before="0"/>
        <w:jc w:val="left"/>
        <w:rPr>
          <w:rFonts w:eastAsia="MS Mincho"/>
          <w:bCs/>
          <w:sz w:val="22"/>
          <w:szCs w:val="22"/>
        </w:rPr>
      </w:pPr>
      <w:r w:rsidRPr="00543955">
        <w:rPr>
          <w:sz w:val="22"/>
          <w:szCs w:val="22"/>
          <w:u w:val="single"/>
        </w:rPr>
        <w:t>Gastroezofageálne varixy</w:t>
      </w:r>
    </w:p>
    <w:p w:rsidR="00871AAF" w:rsidRPr="00543955" w:rsidRDefault="00871AAF" w:rsidP="007E1DD6">
      <w:pPr>
        <w:pStyle w:val="Text"/>
        <w:keepNext/>
        <w:widowControl w:val="0"/>
        <w:spacing w:before="0"/>
        <w:jc w:val="left"/>
        <w:rPr>
          <w:sz w:val="22"/>
          <w:szCs w:val="22"/>
        </w:rPr>
      </w:pPr>
    </w:p>
    <w:p w:rsidR="00871AAF" w:rsidRPr="00543955" w:rsidRDefault="00871AAF" w:rsidP="007E1DD6">
      <w:pPr>
        <w:pStyle w:val="Text"/>
        <w:widowControl w:val="0"/>
        <w:spacing w:before="0"/>
        <w:jc w:val="left"/>
        <w:rPr>
          <w:sz w:val="22"/>
          <w:szCs w:val="22"/>
        </w:rPr>
      </w:pPr>
      <w:r w:rsidRPr="00543955">
        <w:rPr>
          <w:sz w:val="22"/>
          <w:szCs w:val="22"/>
        </w:rPr>
        <w:t>Pretože sa po krvácaní z gastroezofageálnych varixov zvyšuje riziko vzniku inzulín-dependentného diabetu, alebo sa mení potreba inzulínu u pacientov, ktorí už majú diabetes, je potrebné primerane sledovať hladiny glukózy v krvi.</w:t>
      </w:r>
    </w:p>
    <w:p w:rsidR="00871AAF" w:rsidRPr="00543955" w:rsidRDefault="00871AAF" w:rsidP="007E1DD6">
      <w:pPr>
        <w:pStyle w:val="Text"/>
        <w:widowControl w:val="0"/>
        <w:spacing w:before="0"/>
        <w:jc w:val="left"/>
        <w:rPr>
          <w:sz w:val="22"/>
          <w:szCs w:val="22"/>
        </w:rPr>
      </w:pPr>
    </w:p>
    <w:p w:rsidR="00871AAF" w:rsidRPr="00543955" w:rsidRDefault="00871AAF" w:rsidP="007E1DD6">
      <w:pPr>
        <w:pStyle w:val="Text"/>
        <w:keepNext/>
        <w:widowControl w:val="0"/>
        <w:spacing w:before="0"/>
        <w:jc w:val="left"/>
        <w:rPr>
          <w:sz w:val="22"/>
          <w:szCs w:val="22"/>
          <w:u w:val="single"/>
        </w:rPr>
      </w:pPr>
      <w:r w:rsidRPr="00543955">
        <w:rPr>
          <w:sz w:val="22"/>
          <w:szCs w:val="22"/>
          <w:u w:val="single"/>
        </w:rPr>
        <w:t>Reakcie v mieste podania</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V štúdii toxicity na potkanoch trvajúcej 52 týždňov sa len pri najvyšších dávkach (asi 8-násobku maximálnej dávky u človeka podľa plochy povrchu tela) pozorovali, prevažne u samcov, sarkómy v mieste podania s.c. injekcií. Žiadne hyperplastické alebo neoplastické lézie sa nevyskytli v mieste podania s.c. injekcií v štúdii toxicity na psoch trvajúcej 52 týždňov. U pacientov, ktorí sa liečili Sandostatinom až do 15 rokov nebol hlásený vznik nádorov v mieste podania. Všetky informácie dostupné v súčasnosti naznačujú, že nálezy u potkanov sú druhovo špecifické a nie sú významné pre používanie lieku u človeka (pozri časť 5.3).</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pStyle w:val="Text"/>
        <w:keepNext/>
        <w:widowControl w:val="0"/>
        <w:spacing w:before="0"/>
        <w:jc w:val="left"/>
        <w:rPr>
          <w:sz w:val="22"/>
          <w:szCs w:val="22"/>
          <w:u w:val="single"/>
        </w:rPr>
      </w:pPr>
      <w:r w:rsidRPr="00543955">
        <w:rPr>
          <w:sz w:val="22"/>
          <w:szCs w:val="22"/>
          <w:u w:val="single"/>
        </w:rPr>
        <w:t>Výživa</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Oktreotid môže u niektorých pacientov ovplyvniť absorpciu tukov z potravy.</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 xml:space="preserve">U niektorých pacientov, </w:t>
      </w:r>
      <w:r w:rsidRPr="0031729A">
        <w:rPr>
          <w:szCs w:val="22"/>
          <w:lang w:val="sk-SK"/>
        </w:rPr>
        <w:t>liečených</w:t>
      </w:r>
      <w:r w:rsidRPr="00543955">
        <w:rPr>
          <w:color w:val="FF0000"/>
          <w:szCs w:val="22"/>
          <w:lang w:val="sk-SK"/>
        </w:rPr>
        <w:t xml:space="preserve"> </w:t>
      </w:r>
      <w:r w:rsidRPr="00543955">
        <w:rPr>
          <w:szCs w:val="22"/>
          <w:lang w:val="sk-SK"/>
        </w:rPr>
        <w:t>oktreotidom sa pozorovali znížené hladiny vitamínu B12 a abnormálne hodnoty Schillingových testov. U pacientov, ktorí majú v anamnéze nedostatok vitamínu B12, sa počas liečby Sandostatinom odporúča sledovať hladiny vitamínu B12.</w:t>
      </w:r>
    </w:p>
    <w:p w:rsidR="00871AAF" w:rsidRDefault="00871AAF" w:rsidP="007E1DD6">
      <w:pPr>
        <w:widowControl w:val="0"/>
        <w:tabs>
          <w:tab w:val="clear" w:pos="567"/>
        </w:tabs>
        <w:spacing w:line="240" w:lineRule="auto"/>
        <w:rPr>
          <w:szCs w:val="22"/>
          <w:lang w:val="sk-SK"/>
        </w:rPr>
      </w:pPr>
    </w:p>
    <w:p w:rsidR="00871AAF" w:rsidRDefault="00871AAF" w:rsidP="004106AC">
      <w:pPr>
        <w:widowControl w:val="0"/>
        <w:tabs>
          <w:tab w:val="clear" w:pos="567"/>
        </w:tabs>
        <w:spacing w:line="240" w:lineRule="auto"/>
        <w:rPr>
          <w:szCs w:val="22"/>
          <w:lang w:val="sk-SK"/>
        </w:rPr>
      </w:pPr>
      <w:r w:rsidRPr="00EB7580">
        <w:rPr>
          <w:szCs w:val="22"/>
          <w:u w:val="single"/>
          <w:lang w:val="sk-SK"/>
        </w:rPr>
        <w:t>Obsah sodíka</w:t>
      </w:r>
    </w:p>
    <w:p w:rsidR="00871AAF" w:rsidRDefault="00871AAF" w:rsidP="007E1DD6">
      <w:pPr>
        <w:widowControl w:val="0"/>
        <w:tabs>
          <w:tab w:val="clear" w:pos="567"/>
        </w:tabs>
        <w:spacing w:line="240" w:lineRule="auto"/>
        <w:rPr>
          <w:szCs w:val="22"/>
          <w:lang w:val="sk-SK"/>
        </w:rPr>
      </w:pPr>
    </w:p>
    <w:p w:rsidR="00871AAF" w:rsidRPr="008B5A5F" w:rsidRDefault="00871AAF" w:rsidP="00566DBF">
      <w:pPr>
        <w:rPr>
          <w:lang w:val="sk-SK"/>
        </w:rPr>
      </w:pPr>
      <w:r w:rsidRPr="008B5A5F">
        <w:rPr>
          <w:lang w:val="sk-SK"/>
        </w:rPr>
        <w:t xml:space="preserve">Sandostatin obsahuje menej ako 1 mmol (23 mg) sodíka v jednej dávke, t.j. v podstate </w:t>
      </w:r>
      <w:r w:rsidRPr="008B5A5F">
        <w:rPr>
          <w:szCs w:val="22"/>
          <w:lang w:val="sk-SK"/>
        </w:rPr>
        <w:t>zanedbateľné množstvo sodíka.</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ind w:left="567" w:hanging="567"/>
        <w:rPr>
          <w:szCs w:val="22"/>
          <w:lang w:val="sk-SK"/>
        </w:rPr>
      </w:pPr>
      <w:r w:rsidRPr="00543955">
        <w:rPr>
          <w:b/>
          <w:szCs w:val="22"/>
          <w:lang w:val="sk-SK"/>
        </w:rPr>
        <w:t>4.5</w:t>
      </w:r>
      <w:r w:rsidRPr="00543955">
        <w:rPr>
          <w:b/>
          <w:szCs w:val="22"/>
          <w:lang w:val="sk-SK"/>
        </w:rPr>
        <w:tab/>
        <w:t>Liekové a iné interakcie</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Keď sa Sandostatin podáva súčasne s betablokátormi, blokátormi kalciového kanála, alebo látkami, ktoré regulujú rovnováhu tekutín a elektrolytov, môže byť potrebná úprava dávky týchto liekov (pozri časť 4.4).</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lastRenderedPageBreak/>
        <w:t>Keď sa Sandostatin podáva súčasne s inzulínom a antidiabetikami, môže byť potrebná úprava dávky týchto liekov (pozri časť 4.4).</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Zistilo sa, že Sandostatin znižuje črevnú absorpciu cyklosporínu a spomaľuje absorpciu cimetidínu.</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Súčasné podanie oktreotidu a bromokriptínu zvyšuje biologickú dostupnosť bromokriptínu.</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Malý počet publikovaných údajov naznačuje, že analógy somatostatínu môžu znížiť metabolický klírens zlúčenín, o ktorých je známe, že sa metabolizujú enzýmami cytochrómu P450, čo môže byť dôsledkom tlmenia rastového hormónu. Pretože sa nedá vylúčiť, že oktreotid môže mať tento účinok, je potrebné postupovať opatrne pri použití iných liečiv, ktoré sú metabolizované hlavne CYP3A4 a ktoré majú malý terapeutický index (napr. chinidín, terfenadín).</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ind w:left="567" w:hanging="567"/>
        <w:rPr>
          <w:szCs w:val="22"/>
          <w:lang w:val="sk-SK"/>
        </w:rPr>
      </w:pPr>
      <w:r w:rsidRPr="00543955">
        <w:rPr>
          <w:b/>
          <w:szCs w:val="22"/>
          <w:lang w:val="sk-SK"/>
        </w:rPr>
        <w:t>4.6</w:t>
      </w:r>
      <w:r w:rsidRPr="00543955">
        <w:rPr>
          <w:b/>
          <w:szCs w:val="22"/>
          <w:lang w:val="sk-SK"/>
        </w:rPr>
        <w:tab/>
        <w:t>Fertilita, gravidita a laktácia</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highlight w:val="yellow"/>
          <w:u w:val="single"/>
          <w:lang w:val="sk-SK"/>
        </w:rPr>
      </w:pPr>
      <w:r w:rsidRPr="00543955">
        <w:rPr>
          <w:szCs w:val="22"/>
          <w:u w:val="single"/>
          <w:lang w:val="sk-SK"/>
        </w:rPr>
        <w:t>Gravidita</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K dispozícii je obmedzené množstvo údajov (menej ako 300 ukončených gravidít) o použití oktreotidu u gravidných žien a približne v tretine prípadov nie sú známe výsledky gravidity. Väčšina hlásení bola prijatá po uvedení oktreotidu na trh a viac ako 50 % gravidít vystavených oktreotidu bolo u pacientok s akromegáliou. Väčšina žien bola vystavená oktreotidu počas prvého trimestra gravidity v dávkach v rozpätí 100-1200 μg Sandostatinu s.c. denne alebo 10-40 mg Sandostatinu LAR mesačne. Vrodené anomálie sa zaznamenali v 4 % gravidít so známym výsledkom. V uvedených prípadoch nie je podozrenie na príčinnú súvislosť s oktreotidom.</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Štúdie na zvieratách nepreukázali priame alebo nepriame účinky z hľadiska reprodukčnej toxicity (pozri časť 5.3).</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Ako preventívne opatrenie sa odporúča vyhnúť sa používaniu Sandostatinu počas gravidity (pozri časť 4.4).</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highlight w:val="yellow"/>
          <w:u w:val="single"/>
          <w:lang w:val="sk-SK"/>
        </w:rPr>
      </w:pPr>
      <w:r>
        <w:rPr>
          <w:szCs w:val="22"/>
          <w:u w:val="single"/>
          <w:lang w:val="sk-SK"/>
        </w:rPr>
        <w:t>Dojčenie</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Nie je známe, či sa oktreotid vylučuje do ľudského materského mlieka. Štúdie na zvieratách preukázali vylučovanie oktreotidu do materského mlieka. Pacientky počas liečby Sandostatinom nemajú dojčiť.</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napToGrid w:val="0"/>
          <w:szCs w:val="22"/>
          <w:highlight w:val="yellow"/>
          <w:u w:val="single"/>
          <w:lang w:val="sk-SK"/>
        </w:rPr>
      </w:pPr>
      <w:r w:rsidRPr="00543955">
        <w:rPr>
          <w:snapToGrid w:val="0"/>
          <w:szCs w:val="22"/>
          <w:u w:val="single"/>
          <w:lang w:val="sk-SK"/>
        </w:rPr>
        <w:t>Fertilita</w:t>
      </w:r>
    </w:p>
    <w:p w:rsidR="00871AAF" w:rsidRPr="00543955" w:rsidRDefault="00871AAF" w:rsidP="007E1DD6">
      <w:pPr>
        <w:keepNext/>
        <w:widowControl w:val="0"/>
        <w:tabs>
          <w:tab w:val="clear" w:pos="567"/>
        </w:tabs>
        <w:spacing w:line="240" w:lineRule="auto"/>
        <w:rPr>
          <w:snapToGrid w:val="0"/>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Nie je známe, či má oktreotid vplyv na fertilitu u ľudí. U samčích mláďat, ktorých matkám bol počas tehotenstva a laktácie podávaný oktreotid, sa pozoroval oneskorený zostup semenníkov. U potkaních samcov a samíc však oktreotid nepoškodil fertilitu v dávkach do 1 mg/kg telesnej hmotnosti denne (pozri časť 5.3).</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ind w:left="567" w:hanging="567"/>
        <w:rPr>
          <w:szCs w:val="22"/>
          <w:lang w:val="sk-SK"/>
        </w:rPr>
      </w:pPr>
      <w:r w:rsidRPr="00543955">
        <w:rPr>
          <w:b/>
          <w:szCs w:val="22"/>
          <w:lang w:val="sk-SK"/>
        </w:rPr>
        <w:t>4.7</w:t>
      </w:r>
      <w:r w:rsidRPr="00543955">
        <w:rPr>
          <w:b/>
          <w:szCs w:val="22"/>
          <w:lang w:val="sk-SK"/>
        </w:rPr>
        <w:tab/>
        <w:t>Ovplyvnenie schopnosti viesť vozidlá a obsluhovať stroje</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Sandostatin nemá žiadny alebo má zanedbateľný vplyv na schopnosť viesť vozidlá a obsluhovať stroje. Pacientov je potrebné upozorniť, aby boli pri vedení vozidiel a obsluhovaní strojov opatrní, ak budú počas liečby Sandostatinom pociťovať závrat, asténiu/únavu alebo bolesť hlavy.</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b/>
          <w:szCs w:val="22"/>
          <w:lang w:val="sk-SK"/>
        </w:rPr>
      </w:pPr>
      <w:r w:rsidRPr="00543955">
        <w:rPr>
          <w:b/>
          <w:szCs w:val="22"/>
          <w:lang w:val="sk-SK"/>
        </w:rPr>
        <w:lastRenderedPageBreak/>
        <w:t>4.8</w:t>
      </w:r>
      <w:r w:rsidRPr="00543955">
        <w:rPr>
          <w:b/>
          <w:szCs w:val="22"/>
          <w:lang w:val="sk-SK"/>
        </w:rPr>
        <w:tab/>
        <w:t>Nežiaduce účinky</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u w:val="single"/>
          <w:lang w:val="sk-SK"/>
        </w:rPr>
      </w:pPr>
      <w:r w:rsidRPr="00543955">
        <w:rPr>
          <w:szCs w:val="22"/>
          <w:u w:val="single"/>
          <w:lang w:val="sk-SK"/>
        </w:rPr>
        <w:t>Zhrnutie profilu bezpečnosti</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Najčastejšie nežiaduce reakcie hlásené počas liečby oktreotidom zahŕňajú gastrointestinálne poruchy, poruchy nervového systému, pečene a žlčových ciest a poruchy metabolizmu a výživy.</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Najčastejšie hlásené nežiaduce reakcie v klinických skúšaniach, v ktorých sa podával oktreotid, boli hnačka, bolesť brucha, nauzea, flatulencia, bolesť hlavy, vznik žlčových kameňov, hyperglykémia a zápcha. Ďalšie často hlásené nežiaduce reakcie boli závraty, lokalizovaná bolesť, žlčové blato, porucha funkcie štítnej žľazy (napr. pokles hladiny hormónu stimulujúceho štítnu žľazu [TSH], pokles celkového T4 a pokles voľného T4), riedka stolica, zhoršená glukózová tolerancia, vracanie, asténia a hypoglykémia.</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u w:val="single"/>
          <w:lang w:val="sk-SK"/>
        </w:rPr>
      </w:pPr>
      <w:r w:rsidRPr="00543955">
        <w:rPr>
          <w:szCs w:val="22"/>
          <w:u w:val="single"/>
          <w:lang w:val="sk-SK"/>
        </w:rPr>
        <w:t>Tabuľkový prehľad nežiaducich reakcií</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lang w:val="sk-SK"/>
        </w:rPr>
      </w:pPr>
      <w:r w:rsidRPr="00543955">
        <w:rPr>
          <w:szCs w:val="22"/>
          <w:lang w:val="sk-SK"/>
        </w:rPr>
        <w:t>Nasledujúce nežiaduce reakcie na liek, zhrnuté v Tabuľke 1, sa zozbierali z klinických štúdií s oktreotidom:</w:t>
      </w:r>
    </w:p>
    <w:p w:rsidR="00871AAF" w:rsidRPr="00543955" w:rsidRDefault="00871AAF" w:rsidP="007E1DD6">
      <w:pPr>
        <w:keepNext/>
        <w:widowControl w:val="0"/>
        <w:tabs>
          <w:tab w:val="clear" w:pos="567"/>
        </w:tabs>
        <w:spacing w:line="240" w:lineRule="auto"/>
        <w:rPr>
          <w:szCs w:val="22"/>
          <w:lang w:val="sk-SK"/>
        </w:rPr>
      </w:pPr>
      <w:r w:rsidRPr="00543955">
        <w:rPr>
          <w:szCs w:val="22"/>
          <w:lang w:val="sk-SK"/>
        </w:rPr>
        <w:t>Nežiaduce reakcie na liek (Tabuľka 1) sú zoradené podľa frekvencie, najčastejšie sa vyskytujúce ako prvé, podľa nasledujúcej konvencie: veľmi časté (≥1/10); časté (≥1/100 až &lt;1/10); menej časté (≥1/1  000 až &lt;1/100); zriedkavé (≥1/10  000 až &lt;1/1  000) veľmi zriedkavé (&lt;1/10  000), vrátane ojedinelých hlásení. V rámci každej skupiny frekvencie sú nežiaduce reakcie zoradené v poradí klesajúcej závažnosti.</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lang w:val="sk-SK"/>
        </w:rPr>
      </w:pPr>
      <w:r w:rsidRPr="00543955">
        <w:rPr>
          <w:b/>
          <w:szCs w:val="22"/>
          <w:lang w:val="sk-SK"/>
        </w:rPr>
        <w:t>Tabuľka 1</w:t>
      </w:r>
      <w:r w:rsidRPr="00543955">
        <w:rPr>
          <w:b/>
          <w:szCs w:val="22"/>
          <w:lang w:val="sk-SK"/>
        </w:rPr>
        <w:tab/>
        <w:t>Nežiaduce reakcie na liek hlásené v klinických štúdiách</w:t>
      </w:r>
    </w:p>
    <w:p w:rsidR="00871AAF" w:rsidRPr="00543955" w:rsidRDefault="00871AAF" w:rsidP="007E1DD6">
      <w:pPr>
        <w:keepNext/>
        <w:widowControl w:val="0"/>
        <w:tabs>
          <w:tab w:val="clear" w:pos="567"/>
        </w:tabs>
        <w:spacing w:line="240" w:lineRule="auto"/>
        <w:rPr>
          <w:szCs w:val="22"/>
          <w:lang w:val="sk-SK"/>
        </w:rPr>
      </w:pPr>
    </w:p>
    <w:tbl>
      <w:tblPr>
        <w:tblW w:w="5000" w:type="pct"/>
        <w:tblBorders>
          <w:top w:val="single" w:sz="4" w:space="0" w:color="auto"/>
          <w:bottom w:val="single" w:sz="4" w:space="0" w:color="auto"/>
        </w:tblBorders>
        <w:tblLook w:val="0000" w:firstRow="0" w:lastRow="0" w:firstColumn="0" w:lastColumn="0" w:noHBand="0" w:noVBand="0"/>
      </w:tblPr>
      <w:tblGrid>
        <w:gridCol w:w="3233"/>
        <w:gridCol w:w="6389"/>
      </w:tblGrid>
      <w:tr w:rsidR="00871AAF" w:rsidRPr="00543955" w:rsidTr="00286A58">
        <w:trPr>
          <w:cantSplit/>
        </w:trPr>
        <w:tc>
          <w:tcPr>
            <w:tcW w:w="5000" w:type="pct"/>
            <w:gridSpan w:val="2"/>
            <w:tcBorders>
              <w:top w:val="single" w:sz="4" w:space="0" w:color="auto"/>
              <w:left w:val="single" w:sz="4" w:space="0" w:color="auto"/>
              <w:bottom w:val="nil"/>
              <w:right w:val="single" w:sz="4" w:space="0" w:color="auto"/>
            </w:tcBorders>
          </w:tcPr>
          <w:p w:rsidR="00871AAF" w:rsidRPr="00543955" w:rsidRDefault="00871AAF" w:rsidP="00286A58">
            <w:pPr>
              <w:keepNext/>
              <w:widowControl w:val="0"/>
              <w:tabs>
                <w:tab w:val="clear" w:pos="567"/>
              </w:tabs>
              <w:spacing w:line="240" w:lineRule="auto"/>
              <w:rPr>
                <w:szCs w:val="22"/>
                <w:lang w:val="sk-SK"/>
              </w:rPr>
            </w:pPr>
            <w:r w:rsidRPr="00543955">
              <w:rPr>
                <w:b/>
                <w:szCs w:val="22"/>
                <w:lang w:val="sk-SK"/>
              </w:rPr>
              <w:t>Poruchy gastrointestinálneho traktu</w:t>
            </w:r>
          </w:p>
        </w:tc>
      </w:tr>
      <w:tr w:rsidR="00871AAF" w:rsidRPr="00631DCE" w:rsidTr="00286A58">
        <w:trPr>
          <w:cantSplit/>
        </w:trPr>
        <w:tc>
          <w:tcPr>
            <w:tcW w:w="1680" w:type="pct"/>
            <w:tcBorders>
              <w:top w:val="nil"/>
              <w:left w:val="single" w:sz="4" w:space="0" w:color="auto"/>
            </w:tcBorders>
          </w:tcPr>
          <w:p w:rsidR="00871AAF" w:rsidRPr="00543955" w:rsidRDefault="00871AAF" w:rsidP="00286A58">
            <w:pPr>
              <w:keepNext/>
              <w:widowControl w:val="0"/>
              <w:tabs>
                <w:tab w:val="clear" w:pos="567"/>
              </w:tabs>
              <w:spacing w:line="240" w:lineRule="auto"/>
              <w:rPr>
                <w:szCs w:val="22"/>
                <w:lang w:val="sk-SK"/>
              </w:rPr>
            </w:pPr>
            <w:r w:rsidRPr="00543955">
              <w:rPr>
                <w:szCs w:val="22"/>
                <w:lang w:val="sk-SK"/>
              </w:rPr>
              <w:t>Veľmi časté:</w:t>
            </w:r>
          </w:p>
        </w:tc>
        <w:tc>
          <w:tcPr>
            <w:tcW w:w="3320" w:type="pct"/>
            <w:tcBorders>
              <w:top w:val="nil"/>
              <w:right w:val="single" w:sz="4" w:space="0" w:color="auto"/>
            </w:tcBorders>
          </w:tcPr>
          <w:p w:rsidR="00871AAF" w:rsidRPr="00543955" w:rsidRDefault="00871AAF" w:rsidP="00286A58">
            <w:pPr>
              <w:keepNext/>
              <w:widowControl w:val="0"/>
              <w:tabs>
                <w:tab w:val="clear" w:pos="567"/>
              </w:tabs>
              <w:spacing w:line="240" w:lineRule="auto"/>
              <w:rPr>
                <w:szCs w:val="22"/>
                <w:lang w:val="sk-SK"/>
              </w:rPr>
            </w:pPr>
            <w:r w:rsidRPr="00543955">
              <w:rPr>
                <w:szCs w:val="22"/>
                <w:lang w:val="sk-SK"/>
              </w:rPr>
              <w:t>Hnačka, bolesť brucha, nauzea, zápcha, flatulencia.</w:t>
            </w:r>
          </w:p>
        </w:tc>
      </w:tr>
      <w:tr w:rsidR="00871AAF" w:rsidRPr="00631DCE" w:rsidTr="00286A58">
        <w:trPr>
          <w:cantSplit/>
        </w:trPr>
        <w:tc>
          <w:tcPr>
            <w:tcW w:w="1680" w:type="pct"/>
            <w:tcBorders>
              <w:top w:val="nil"/>
              <w:left w:val="single" w:sz="4" w:space="0" w:color="auto"/>
            </w:tcBorders>
          </w:tcPr>
          <w:p w:rsidR="00871AAF" w:rsidRPr="00543955" w:rsidRDefault="00871AAF" w:rsidP="00286A58">
            <w:pPr>
              <w:widowControl w:val="0"/>
              <w:tabs>
                <w:tab w:val="clear" w:pos="567"/>
              </w:tabs>
              <w:spacing w:line="240" w:lineRule="auto"/>
              <w:rPr>
                <w:szCs w:val="22"/>
                <w:lang w:val="sk-SK"/>
              </w:rPr>
            </w:pPr>
            <w:r w:rsidRPr="00543955">
              <w:rPr>
                <w:szCs w:val="22"/>
                <w:lang w:val="sk-SK"/>
              </w:rPr>
              <w:t>Časté:</w:t>
            </w:r>
          </w:p>
        </w:tc>
        <w:tc>
          <w:tcPr>
            <w:tcW w:w="3320" w:type="pct"/>
            <w:tcBorders>
              <w:top w:val="nil"/>
              <w:right w:val="single" w:sz="4" w:space="0" w:color="auto"/>
            </w:tcBorders>
          </w:tcPr>
          <w:p w:rsidR="00871AAF" w:rsidRPr="00543955" w:rsidRDefault="00871AAF" w:rsidP="00286A58">
            <w:pPr>
              <w:widowControl w:val="0"/>
              <w:tabs>
                <w:tab w:val="clear" w:pos="567"/>
              </w:tabs>
              <w:spacing w:line="240" w:lineRule="auto"/>
              <w:rPr>
                <w:szCs w:val="22"/>
                <w:lang w:val="sk-SK"/>
              </w:rPr>
            </w:pPr>
            <w:r w:rsidRPr="00543955">
              <w:rPr>
                <w:szCs w:val="22"/>
                <w:lang w:val="sk-SK"/>
              </w:rPr>
              <w:t>Dyspepsia, vracanie, nadúvanie, steatorea, riedka stolica, zmena farby stolice.</w:t>
            </w:r>
          </w:p>
        </w:tc>
      </w:tr>
      <w:tr w:rsidR="00871AAF" w:rsidRPr="00543955" w:rsidTr="00286A58">
        <w:trPr>
          <w:cantSplit/>
        </w:trPr>
        <w:tc>
          <w:tcPr>
            <w:tcW w:w="5000" w:type="pct"/>
            <w:gridSpan w:val="2"/>
            <w:tcBorders>
              <w:top w:val="single" w:sz="4" w:space="0" w:color="auto"/>
              <w:left w:val="single" w:sz="4" w:space="0" w:color="auto"/>
              <w:bottom w:val="nil"/>
              <w:right w:val="single" w:sz="4" w:space="0" w:color="auto"/>
            </w:tcBorders>
          </w:tcPr>
          <w:p w:rsidR="00871AAF" w:rsidRPr="00543955" w:rsidRDefault="00871AAF" w:rsidP="00286A58">
            <w:pPr>
              <w:keepNext/>
              <w:keepLines/>
              <w:widowControl w:val="0"/>
              <w:tabs>
                <w:tab w:val="clear" w:pos="567"/>
              </w:tabs>
              <w:spacing w:line="240" w:lineRule="auto"/>
              <w:rPr>
                <w:szCs w:val="22"/>
                <w:lang w:val="sk-SK"/>
              </w:rPr>
            </w:pPr>
            <w:r w:rsidRPr="00543955">
              <w:rPr>
                <w:b/>
                <w:szCs w:val="22"/>
                <w:lang w:val="sk-SK"/>
              </w:rPr>
              <w:t>Poruchy nervového systému</w:t>
            </w:r>
          </w:p>
        </w:tc>
      </w:tr>
      <w:tr w:rsidR="00871AAF" w:rsidRPr="00543955" w:rsidTr="00286A58">
        <w:trPr>
          <w:cantSplit/>
        </w:trPr>
        <w:tc>
          <w:tcPr>
            <w:tcW w:w="1680" w:type="pct"/>
            <w:tcBorders>
              <w:top w:val="nil"/>
              <w:left w:val="single" w:sz="4" w:space="0" w:color="auto"/>
              <w:bottom w:val="nil"/>
            </w:tcBorders>
          </w:tcPr>
          <w:p w:rsidR="00871AAF" w:rsidRPr="00543955" w:rsidRDefault="00871AAF" w:rsidP="00286A58">
            <w:pPr>
              <w:keepNext/>
              <w:widowControl w:val="0"/>
              <w:tabs>
                <w:tab w:val="clear" w:pos="567"/>
              </w:tabs>
              <w:spacing w:line="240" w:lineRule="auto"/>
              <w:rPr>
                <w:b/>
                <w:szCs w:val="22"/>
                <w:lang w:val="sk-SK"/>
              </w:rPr>
            </w:pPr>
            <w:r w:rsidRPr="00543955">
              <w:rPr>
                <w:szCs w:val="22"/>
                <w:lang w:val="sk-SK"/>
              </w:rPr>
              <w:t>Veľmi časté:</w:t>
            </w:r>
          </w:p>
        </w:tc>
        <w:tc>
          <w:tcPr>
            <w:tcW w:w="3320" w:type="pct"/>
            <w:tcBorders>
              <w:top w:val="nil"/>
              <w:bottom w:val="nil"/>
              <w:right w:val="single" w:sz="4" w:space="0" w:color="auto"/>
            </w:tcBorders>
          </w:tcPr>
          <w:p w:rsidR="00871AAF" w:rsidRPr="00543955" w:rsidRDefault="00871AAF" w:rsidP="00286A58">
            <w:pPr>
              <w:keepNext/>
              <w:keepLines/>
              <w:widowControl w:val="0"/>
              <w:tabs>
                <w:tab w:val="clear" w:pos="567"/>
              </w:tabs>
              <w:spacing w:line="240" w:lineRule="auto"/>
              <w:rPr>
                <w:szCs w:val="22"/>
                <w:lang w:val="sk-SK"/>
              </w:rPr>
            </w:pPr>
            <w:r w:rsidRPr="00543955">
              <w:rPr>
                <w:szCs w:val="22"/>
                <w:lang w:val="sk-SK"/>
              </w:rPr>
              <w:t>Bolesť hlavy.</w:t>
            </w:r>
          </w:p>
        </w:tc>
      </w:tr>
      <w:tr w:rsidR="00871AAF" w:rsidRPr="00543955" w:rsidTr="00286A58">
        <w:trPr>
          <w:cantSplit/>
        </w:trPr>
        <w:tc>
          <w:tcPr>
            <w:tcW w:w="1680" w:type="pct"/>
            <w:tcBorders>
              <w:top w:val="nil"/>
              <w:left w:val="single" w:sz="4" w:space="0" w:color="auto"/>
              <w:bottom w:val="single" w:sz="4" w:space="0" w:color="auto"/>
            </w:tcBorders>
          </w:tcPr>
          <w:p w:rsidR="00871AAF" w:rsidRPr="00543955" w:rsidRDefault="00871AAF" w:rsidP="00286A58">
            <w:pPr>
              <w:widowControl w:val="0"/>
              <w:tabs>
                <w:tab w:val="clear" w:pos="567"/>
              </w:tabs>
              <w:spacing w:line="240" w:lineRule="auto"/>
              <w:rPr>
                <w:b/>
                <w:szCs w:val="22"/>
                <w:lang w:val="sk-SK"/>
              </w:rPr>
            </w:pPr>
            <w:r w:rsidRPr="00543955">
              <w:rPr>
                <w:szCs w:val="22"/>
                <w:lang w:val="sk-SK"/>
              </w:rPr>
              <w:t>Časté:</w:t>
            </w:r>
          </w:p>
        </w:tc>
        <w:tc>
          <w:tcPr>
            <w:tcW w:w="3320" w:type="pct"/>
            <w:tcBorders>
              <w:top w:val="nil"/>
              <w:bottom w:val="single" w:sz="4" w:space="0" w:color="auto"/>
              <w:right w:val="single" w:sz="4" w:space="0" w:color="auto"/>
            </w:tcBorders>
          </w:tcPr>
          <w:p w:rsidR="00871AAF" w:rsidRPr="00543955" w:rsidRDefault="00871AAF" w:rsidP="00286A58">
            <w:pPr>
              <w:keepNext/>
              <w:keepLines/>
              <w:widowControl w:val="0"/>
              <w:tabs>
                <w:tab w:val="clear" w:pos="567"/>
              </w:tabs>
              <w:spacing w:line="240" w:lineRule="auto"/>
              <w:rPr>
                <w:szCs w:val="22"/>
                <w:lang w:val="sk-SK"/>
              </w:rPr>
            </w:pPr>
            <w:r w:rsidRPr="00543955">
              <w:rPr>
                <w:szCs w:val="22"/>
                <w:lang w:val="sk-SK"/>
              </w:rPr>
              <w:t>Závraty.</w:t>
            </w:r>
          </w:p>
        </w:tc>
      </w:tr>
      <w:tr w:rsidR="00871AAF" w:rsidRPr="00543955" w:rsidTr="00286A58">
        <w:trPr>
          <w:cantSplit/>
          <w:trHeight w:val="335"/>
        </w:trPr>
        <w:tc>
          <w:tcPr>
            <w:tcW w:w="5000" w:type="pct"/>
            <w:gridSpan w:val="2"/>
            <w:tcBorders>
              <w:top w:val="single" w:sz="4" w:space="0" w:color="auto"/>
              <w:left w:val="single" w:sz="4" w:space="0" w:color="auto"/>
              <w:bottom w:val="nil"/>
              <w:right w:val="single" w:sz="4" w:space="0" w:color="auto"/>
            </w:tcBorders>
          </w:tcPr>
          <w:p w:rsidR="00871AAF" w:rsidRPr="00543955" w:rsidRDefault="00871AAF" w:rsidP="00286A58">
            <w:pPr>
              <w:keepNext/>
              <w:widowControl w:val="0"/>
              <w:tabs>
                <w:tab w:val="clear" w:pos="567"/>
              </w:tabs>
              <w:spacing w:line="240" w:lineRule="auto"/>
              <w:rPr>
                <w:szCs w:val="22"/>
                <w:lang w:val="sk-SK"/>
              </w:rPr>
            </w:pPr>
            <w:r w:rsidRPr="00543955">
              <w:rPr>
                <w:b/>
                <w:szCs w:val="22"/>
                <w:lang w:val="sk-SK"/>
              </w:rPr>
              <w:t>Poruchy endokrinného systému</w:t>
            </w:r>
          </w:p>
        </w:tc>
      </w:tr>
      <w:tr w:rsidR="00871AAF" w:rsidRPr="00631DCE" w:rsidTr="00286A58">
        <w:trPr>
          <w:cantSplit/>
        </w:trPr>
        <w:tc>
          <w:tcPr>
            <w:tcW w:w="1680" w:type="pct"/>
            <w:tcBorders>
              <w:top w:val="nil"/>
              <w:left w:val="single" w:sz="4" w:space="0" w:color="auto"/>
              <w:bottom w:val="single" w:sz="4" w:space="0" w:color="auto"/>
            </w:tcBorders>
          </w:tcPr>
          <w:p w:rsidR="00871AAF" w:rsidRPr="00543955" w:rsidRDefault="00871AAF" w:rsidP="00286A58">
            <w:pPr>
              <w:widowControl w:val="0"/>
              <w:tabs>
                <w:tab w:val="clear" w:pos="567"/>
              </w:tabs>
              <w:spacing w:line="240" w:lineRule="auto"/>
              <w:rPr>
                <w:szCs w:val="22"/>
                <w:lang w:val="sk-SK"/>
              </w:rPr>
            </w:pPr>
            <w:r w:rsidRPr="00543955">
              <w:rPr>
                <w:szCs w:val="22"/>
                <w:lang w:val="sk-SK"/>
              </w:rPr>
              <w:t>Časté:</w:t>
            </w:r>
          </w:p>
        </w:tc>
        <w:tc>
          <w:tcPr>
            <w:tcW w:w="3320" w:type="pct"/>
            <w:tcBorders>
              <w:top w:val="nil"/>
              <w:bottom w:val="single" w:sz="4" w:space="0" w:color="auto"/>
              <w:right w:val="single" w:sz="4" w:space="0" w:color="auto"/>
            </w:tcBorders>
          </w:tcPr>
          <w:p w:rsidR="00871AAF" w:rsidRPr="00543955" w:rsidRDefault="00871AAF" w:rsidP="00E168F5">
            <w:pPr>
              <w:keepNext/>
              <w:keepLines/>
              <w:widowControl w:val="0"/>
              <w:tabs>
                <w:tab w:val="clear" w:pos="567"/>
              </w:tabs>
              <w:spacing w:line="240" w:lineRule="auto"/>
              <w:rPr>
                <w:szCs w:val="22"/>
                <w:lang w:val="sk-SK"/>
              </w:rPr>
            </w:pPr>
            <w:r w:rsidRPr="00543955">
              <w:rPr>
                <w:szCs w:val="22"/>
                <w:lang w:val="sk-SK"/>
              </w:rPr>
              <w:t>Hypotyreoidizmus, porucha štítnej žľazy (napr. pokles TSH, pokles celkového T4 a pokles voľného T4).</w:t>
            </w:r>
          </w:p>
        </w:tc>
      </w:tr>
      <w:tr w:rsidR="00871AAF" w:rsidRPr="00543955" w:rsidTr="00286A58">
        <w:trPr>
          <w:cantSplit/>
        </w:trPr>
        <w:tc>
          <w:tcPr>
            <w:tcW w:w="5000" w:type="pct"/>
            <w:gridSpan w:val="2"/>
            <w:tcBorders>
              <w:top w:val="single" w:sz="4" w:space="0" w:color="auto"/>
              <w:left w:val="single" w:sz="4" w:space="0" w:color="auto"/>
              <w:bottom w:val="nil"/>
              <w:right w:val="single" w:sz="4" w:space="0" w:color="auto"/>
            </w:tcBorders>
          </w:tcPr>
          <w:p w:rsidR="00871AAF" w:rsidRPr="00543955" w:rsidRDefault="00871AAF" w:rsidP="00286A58">
            <w:pPr>
              <w:keepNext/>
              <w:widowControl w:val="0"/>
              <w:tabs>
                <w:tab w:val="clear" w:pos="567"/>
              </w:tabs>
              <w:spacing w:line="240" w:lineRule="auto"/>
              <w:rPr>
                <w:szCs w:val="22"/>
                <w:lang w:val="sk-SK"/>
              </w:rPr>
            </w:pPr>
            <w:r w:rsidRPr="00543955">
              <w:rPr>
                <w:b/>
                <w:szCs w:val="22"/>
                <w:lang w:val="sk-SK"/>
              </w:rPr>
              <w:t>Poruchy pečene a žlčových ciest</w:t>
            </w:r>
          </w:p>
        </w:tc>
      </w:tr>
      <w:tr w:rsidR="00871AAF" w:rsidRPr="00543955" w:rsidTr="00286A58">
        <w:trPr>
          <w:cantSplit/>
        </w:trPr>
        <w:tc>
          <w:tcPr>
            <w:tcW w:w="1680" w:type="pct"/>
            <w:tcBorders>
              <w:top w:val="nil"/>
              <w:left w:val="single" w:sz="4" w:space="0" w:color="auto"/>
            </w:tcBorders>
          </w:tcPr>
          <w:p w:rsidR="00871AAF" w:rsidRPr="00543955" w:rsidRDefault="00871AAF" w:rsidP="00286A58">
            <w:pPr>
              <w:keepNext/>
              <w:widowControl w:val="0"/>
              <w:tabs>
                <w:tab w:val="clear" w:pos="567"/>
              </w:tabs>
              <w:spacing w:line="240" w:lineRule="auto"/>
              <w:rPr>
                <w:szCs w:val="22"/>
                <w:lang w:val="sk-SK"/>
              </w:rPr>
            </w:pPr>
            <w:r w:rsidRPr="00543955">
              <w:rPr>
                <w:szCs w:val="22"/>
                <w:lang w:val="sk-SK"/>
              </w:rPr>
              <w:t>Veľmi časté:</w:t>
            </w:r>
          </w:p>
        </w:tc>
        <w:tc>
          <w:tcPr>
            <w:tcW w:w="3320" w:type="pct"/>
            <w:tcBorders>
              <w:top w:val="nil"/>
              <w:right w:val="single" w:sz="4" w:space="0" w:color="auto"/>
            </w:tcBorders>
          </w:tcPr>
          <w:p w:rsidR="00871AAF" w:rsidRPr="00543955" w:rsidRDefault="00871AAF" w:rsidP="00286A58">
            <w:pPr>
              <w:keepNext/>
              <w:widowControl w:val="0"/>
              <w:tabs>
                <w:tab w:val="clear" w:pos="567"/>
              </w:tabs>
              <w:spacing w:line="240" w:lineRule="auto"/>
              <w:rPr>
                <w:szCs w:val="22"/>
                <w:lang w:val="sk-SK"/>
              </w:rPr>
            </w:pPr>
            <w:r w:rsidRPr="00543955">
              <w:rPr>
                <w:szCs w:val="22"/>
                <w:lang w:val="sk-SK"/>
              </w:rPr>
              <w:t>Žlčové kamene.</w:t>
            </w:r>
          </w:p>
        </w:tc>
      </w:tr>
      <w:tr w:rsidR="00871AAF" w:rsidRPr="00543955" w:rsidTr="00286A58">
        <w:trPr>
          <w:cantSplit/>
        </w:trPr>
        <w:tc>
          <w:tcPr>
            <w:tcW w:w="1680" w:type="pct"/>
            <w:tcBorders>
              <w:top w:val="nil"/>
              <w:left w:val="single" w:sz="4" w:space="0" w:color="auto"/>
            </w:tcBorders>
          </w:tcPr>
          <w:p w:rsidR="00871AAF" w:rsidRPr="00543955" w:rsidRDefault="00871AAF" w:rsidP="00286A58">
            <w:pPr>
              <w:widowControl w:val="0"/>
              <w:tabs>
                <w:tab w:val="clear" w:pos="567"/>
              </w:tabs>
              <w:spacing w:line="240" w:lineRule="auto"/>
              <w:rPr>
                <w:szCs w:val="22"/>
                <w:lang w:val="sk-SK"/>
              </w:rPr>
            </w:pPr>
            <w:r w:rsidRPr="00543955">
              <w:rPr>
                <w:szCs w:val="22"/>
                <w:lang w:val="sk-SK"/>
              </w:rPr>
              <w:t>Časté:</w:t>
            </w:r>
          </w:p>
        </w:tc>
        <w:tc>
          <w:tcPr>
            <w:tcW w:w="3320" w:type="pct"/>
            <w:tcBorders>
              <w:top w:val="nil"/>
              <w:right w:val="single" w:sz="4" w:space="0" w:color="auto"/>
            </w:tcBorders>
          </w:tcPr>
          <w:p w:rsidR="00871AAF" w:rsidRPr="00543955" w:rsidRDefault="00871AAF" w:rsidP="00286A58">
            <w:pPr>
              <w:widowControl w:val="0"/>
              <w:tabs>
                <w:tab w:val="clear" w:pos="567"/>
              </w:tabs>
              <w:spacing w:line="240" w:lineRule="auto"/>
              <w:rPr>
                <w:szCs w:val="22"/>
                <w:lang w:val="sk-SK"/>
              </w:rPr>
            </w:pPr>
            <w:r w:rsidRPr="00543955">
              <w:rPr>
                <w:szCs w:val="22"/>
                <w:lang w:val="sk-SK"/>
              </w:rPr>
              <w:t>Cholecystitída, žlčové blato, hyperbilirubinémia.</w:t>
            </w:r>
          </w:p>
        </w:tc>
      </w:tr>
      <w:tr w:rsidR="00871AAF" w:rsidRPr="00543955" w:rsidTr="00286A58">
        <w:trPr>
          <w:cantSplit/>
        </w:trPr>
        <w:tc>
          <w:tcPr>
            <w:tcW w:w="5000" w:type="pct"/>
            <w:gridSpan w:val="2"/>
            <w:tcBorders>
              <w:top w:val="single" w:sz="4" w:space="0" w:color="auto"/>
              <w:left w:val="single" w:sz="4" w:space="0" w:color="auto"/>
              <w:bottom w:val="nil"/>
              <w:right w:val="single" w:sz="4" w:space="0" w:color="auto"/>
            </w:tcBorders>
          </w:tcPr>
          <w:p w:rsidR="00871AAF" w:rsidRPr="00543955" w:rsidRDefault="00871AAF" w:rsidP="00286A58">
            <w:pPr>
              <w:keepNext/>
              <w:keepLines/>
              <w:widowControl w:val="0"/>
              <w:tabs>
                <w:tab w:val="clear" w:pos="567"/>
              </w:tabs>
              <w:spacing w:line="240" w:lineRule="auto"/>
              <w:rPr>
                <w:szCs w:val="22"/>
                <w:lang w:val="sk-SK"/>
              </w:rPr>
            </w:pPr>
            <w:r w:rsidRPr="00543955">
              <w:rPr>
                <w:b/>
                <w:szCs w:val="22"/>
                <w:lang w:val="sk-SK"/>
              </w:rPr>
              <w:t>Poruchy metabolizmu a výživy</w:t>
            </w:r>
          </w:p>
        </w:tc>
      </w:tr>
      <w:tr w:rsidR="00871AAF" w:rsidRPr="00543955" w:rsidTr="00286A58">
        <w:trPr>
          <w:cantSplit/>
        </w:trPr>
        <w:tc>
          <w:tcPr>
            <w:tcW w:w="1680" w:type="pct"/>
            <w:tcBorders>
              <w:top w:val="nil"/>
              <w:left w:val="single" w:sz="4" w:space="0" w:color="auto"/>
              <w:bottom w:val="nil"/>
            </w:tcBorders>
          </w:tcPr>
          <w:p w:rsidR="00871AAF" w:rsidRPr="00543955" w:rsidRDefault="00871AAF" w:rsidP="00286A58">
            <w:pPr>
              <w:keepNext/>
              <w:widowControl w:val="0"/>
              <w:tabs>
                <w:tab w:val="clear" w:pos="567"/>
              </w:tabs>
              <w:spacing w:line="240" w:lineRule="auto"/>
              <w:rPr>
                <w:szCs w:val="22"/>
                <w:lang w:val="sk-SK"/>
              </w:rPr>
            </w:pPr>
            <w:r w:rsidRPr="00543955">
              <w:rPr>
                <w:szCs w:val="22"/>
                <w:lang w:val="sk-SK"/>
              </w:rPr>
              <w:t>Veľmi časté:</w:t>
            </w:r>
          </w:p>
        </w:tc>
        <w:tc>
          <w:tcPr>
            <w:tcW w:w="3320" w:type="pct"/>
            <w:tcBorders>
              <w:top w:val="nil"/>
              <w:bottom w:val="nil"/>
              <w:right w:val="single" w:sz="4" w:space="0" w:color="auto"/>
            </w:tcBorders>
          </w:tcPr>
          <w:p w:rsidR="00871AAF" w:rsidRPr="00543955" w:rsidRDefault="00871AAF" w:rsidP="00286A58">
            <w:pPr>
              <w:keepNext/>
              <w:widowControl w:val="0"/>
              <w:tabs>
                <w:tab w:val="clear" w:pos="567"/>
              </w:tabs>
              <w:spacing w:line="240" w:lineRule="auto"/>
              <w:rPr>
                <w:szCs w:val="22"/>
                <w:lang w:val="sk-SK"/>
              </w:rPr>
            </w:pPr>
            <w:r w:rsidRPr="00543955">
              <w:rPr>
                <w:szCs w:val="22"/>
                <w:lang w:val="sk-SK"/>
              </w:rPr>
              <w:t>Hyperglykémia.</w:t>
            </w:r>
          </w:p>
        </w:tc>
      </w:tr>
      <w:tr w:rsidR="00871AAF" w:rsidRPr="00631DCE" w:rsidTr="00286A58">
        <w:trPr>
          <w:cantSplit/>
        </w:trPr>
        <w:tc>
          <w:tcPr>
            <w:tcW w:w="1680" w:type="pct"/>
            <w:tcBorders>
              <w:top w:val="nil"/>
              <w:left w:val="single" w:sz="4" w:space="0" w:color="auto"/>
              <w:bottom w:val="nil"/>
            </w:tcBorders>
          </w:tcPr>
          <w:p w:rsidR="00871AAF" w:rsidRPr="00543955" w:rsidRDefault="00871AAF" w:rsidP="00286A58">
            <w:pPr>
              <w:keepNext/>
              <w:widowControl w:val="0"/>
              <w:tabs>
                <w:tab w:val="clear" w:pos="567"/>
              </w:tabs>
              <w:spacing w:line="240" w:lineRule="auto"/>
              <w:rPr>
                <w:szCs w:val="22"/>
                <w:lang w:val="sk-SK"/>
              </w:rPr>
            </w:pPr>
            <w:r w:rsidRPr="00543955">
              <w:rPr>
                <w:szCs w:val="22"/>
                <w:lang w:val="sk-SK"/>
              </w:rPr>
              <w:t>Časté:</w:t>
            </w:r>
          </w:p>
        </w:tc>
        <w:tc>
          <w:tcPr>
            <w:tcW w:w="3320" w:type="pct"/>
            <w:tcBorders>
              <w:top w:val="nil"/>
              <w:bottom w:val="nil"/>
              <w:right w:val="single" w:sz="4" w:space="0" w:color="auto"/>
            </w:tcBorders>
          </w:tcPr>
          <w:p w:rsidR="00871AAF" w:rsidRPr="00543955" w:rsidRDefault="00871AAF" w:rsidP="00286A58">
            <w:pPr>
              <w:keepNext/>
              <w:widowControl w:val="0"/>
              <w:tabs>
                <w:tab w:val="clear" w:pos="567"/>
              </w:tabs>
              <w:spacing w:line="240" w:lineRule="auto"/>
              <w:rPr>
                <w:szCs w:val="22"/>
                <w:lang w:val="sk-SK"/>
              </w:rPr>
            </w:pPr>
            <w:r w:rsidRPr="00543955">
              <w:rPr>
                <w:szCs w:val="22"/>
                <w:lang w:val="sk-SK"/>
              </w:rPr>
              <w:t>Hypoglykémia, zhoršená glukózová tolerancia, anorexia.</w:t>
            </w:r>
          </w:p>
        </w:tc>
      </w:tr>
      <w:tr w:rsidR="00871AAF" w:rsidRPr="00543955" w:rsidTr="00286A58">
        <w:trPr>
          <w:cantSplit/>
        </w:trPr>
        <w:tc>
          <w:tcPr>
            <w:tcW w:w="1680" w:type="pct"/>
            <w:tcBorders>
              <w:top w:val="nil"/>
              <w:left w:val="single" w:sz="4" w:space="0" w:color="auto"/>
              <w:bottom w:val="single" w:sz="4" w:space="0" w:color="auto"/>
            </w:tcBorders>
          </w:tcPr>
          <w:p w:rsidR="00871AAF" w:rsidRPr="00543955" w:rsidRDefault="00871AAF" w:rsidP="00286A58">
            <w:pPr>
              <w:widowControl w:val="0"/>
              <w:tabs>
                <w:tab w:val="clear" w:pos="567"/>
              </w:tabs>
              <w:spacing w:line="240" w:lineRule="auto"/>
              <w:rPr>
                <w:b/>
                <w:szCs w:val="22"/>
                <w:lang w:val="sk-SK"/>
              </w:rPr>
            </w:pPr>
            <w:r w:rsidRPr="00543955">
              <w:rPr>
                <w:szCs w:val="22"/>
                <w:lang w:val="sk-SK"/>
              </w:rPr>
              <w:t>Menej časté:</w:t>
            </w:r>
          </w:p>
        </w:tc>
        <w:tc>
          <w:tcPr>
            <w:tcW w:w="3320" w:type="pct"/>
            <w:tcBorders>
              <w:top w:val="nil"/>
              <w:bottom w:val="single" w:sz="4" w:space="0" w:color="auto"/>
              <w:right w:val="single" w:sz="4" w:space="0" w:color="auto"/>
            </w:tcBorders>
          </w:tcPr>
          <w:p w:rsidR="00871AAF" w:rsidRPr="00543955" w:rsidRDefault="00871AAF" w:rsidP="00286A58">
            <w:pPr>
              <w:widowControl w:val="0"/>
              <w:tabs>
                <w:tab w:val="clear" w:pos="567"/>
              </w:tabs>
              <w:spacing w:line="240" w:lineRule="auto"/>
              <w:rPr>
                <w:szCs w:val="22"/>
                <w:lang w:val="sk-SK"/>
              </w:rPr>
            </w:pPr>
            <w:r w:rsidRPr="00543955">
              <w:rPr>
                <w:szCs w:val="22"/>
                <w:lang w:val="sk-SK"/>
              </w:rPr>
              <w:t>Dehydratácia.</w:t>
            </w:r>
          </w:p>
        </w:tc>
      </w:tr>
      <w:tr w:rsidR="00871AAF" w:rsidRPr="00543955" w:rsidTr="00286A58">
        <w:trPr>
          <w:cantSplit/>
        </w:trPr>
        <w:tc>
          <w:tcPr>
            <w:tcW w:w="5000" w:type="pct"/>
            <w:gridSpan w:val="2"/>
            <w:tcBorders>
              <w:top w:val="single" w:sz="4" w:space="0" w:color="auto"/>
              <w:left w:val="single" w:sz="4" w:space="0" w:color="auto"/>
              <w:bottom w:val="nil"/>
              <w:right w:val="single" w:sz="4" w:space="0" w:color="auto"/>
            </w:tcBorders>
          </w:tcPr>
          <w:p w:rsidR="00871AAF" w:rsidRPr="00543955" w:rsidRDefault="00871AAF" w:rsidP="00286A58">
            <w:pPr>
              <w:keepNext/>
              <w:widowControl w:val="0"/>
              <w:tabs>
                <w:tab w:val="clear" w:pos="567"/>
              </w:tabs>
              <w:spacing w:line="240" w:lineRule="auto"/>
              <w:rPr>
                <w:szCs w:val="22"/>
                <w:lang w:val="sk-SK"/>
              </w:rPr>
            </w:pPr>
            <w:r w:rsidRPr="00543955">
              <w:rPr>
                <w:b/>
                <w:szCs w:val="22"/>
                <w:lang w:val="sk-SK"/>
              </w:rPr>
              <w:t>Celkové poruchy a reakcie v mieste podania</w:t>
            </w:r>
          </w:p>
        </w:tc>
      </w:tr>
      <w:tr w:rsidR="00871AAF" w:rsidRPr="00543955" w:rsidTr="00286A58">
        <w:trPr>
          <w:cantSplit/>
          <w:trHeight w:val="292"/>
        </w:trPr>
        <w:tc>
          <w:tcPr>
            <w:tcW w:w="1680" w:type="pct"/>
            <w:tcBorders>
              <w:top w:val="nil"/>
              <w:left w:val="single" w:sz="4" w:space="0" w:color="auto"/>
              <w:bottom w:val="nil"/>
              <w:right w:val="nil"/>
            </w:tcBorders>
          </w:tcPr>
          <w:p w:rsidR="00871AAF" w:rsidRPr="00543955" w:rsidRDefault="00871AAF" w:rsidP="00286A58">
            <w:pPr>
              <w:keepNext/>
              <w:widowControl w:val="0"/>
              <w:tabs>
                <w:tab w:val="clear" w:pos="567"/>
              </w:tabs>
              <w:spacing w:line="240" w:lineRule="auto"/>
              <w:rPr>
                <w:szCs w:val="22"/>
                <w:lang w:val="sk-SK"/>
              </w:rPr>
            </w:pPr>
            <w:r w:rsidRPr="00543955">
              <w:rPr>
                <w:szCs w:val="22"/>
                <w:lang w:val="sk-SK"/>
              </w:rPr>
              <w:t>Veľmi časté:</w:t>
            </w:r>
          </w:p>
        </w:tc>
        <w:tc>
          <w:tcPr>
            <w:tcW w:w="3320" w:type="pct"/>
            <w:tcBorders>
              <w:top w:val="nil"/>
              <w:left w:val="nil"/>
              <w:bottom w:val="nil"/>
              <w:right w:val="single" w:sz="4" w:space="0" w:color="auto"/>
            </w:tcBorders>
          </w:tcPr>
          <w:p w:rsidR="00871AAF" w:rsidRPr="00543955" w:rsidRDefault="00871AAF" w:rsidP="00286A58">
            <w:pPr>
              <w:widowControl w:val="0"/>
              <w:tabs>
                <w:tab w:val="clear" w:pos="567"/>
              </w:tabs>
              <w:spacing w:line="240" w:lineRule="auto"/>
              <w:rPr>
                <w:szCs w:val="22"/>
                <w:lang w:val="sk-SK"/>
              </w:rPr>
            </w:pPr>
            <w:r w:rsidRPr="00543955">
              <w:rPr>
                <w:szCs w:val="22"/>
                <w:lang w:val="sk-SK"/>
              </w:rPr>
              <w:t>Reakcie v mieste podania injekcie.</w:t>
            </w:r>
          </w:p>
        </w:tc>
      </w:tr>
      <w:tr w:rsidR="00871AAF" w:rsidRPr="00543955" w:rsidTr="00286A58">
        <w:trPr>
          <w:cantSplit/>
          <w:trHeight w:val="268"/>
        </w:trPr>
        <w:tc>
          <w:tcPr>
            <w:tcW w:w="1680" w:type="pct"/>
            <w:tcBorders>
              <w:top w:val="nil"/>
              <w:left w:val="single" w:sz="4" w:space="0" w:color="auto"/>
              <w:bottom w:val="single" w:sz="4" w:space="0" w:color="auto"/>
            </w:tcBorders>
          </w:tcPr>
          <w:p w:rsidR="00871AAF" w:rsidRPr="00543955" w:rsidRDefault="00871AAF" w:rsidP="00286A58">
            <w:pPr>
              <w:keepNext/>
              <w:widowControl w:val="0"/>
              <w:tabs>
                <w:tab w:val="clear" w:pos="567"/>
              </w:tabs>
              <w:spacing w:line="240" w:lineRule="auto"/>
              <w:rPr>
                <w:szCs w:val="22"/>
                <w:lang w:val="sk-SK"/>
              </w:rPr>
            </w:pPr>
            <w:r w:rsidRPr="00543955">
              <w:rPr>
                <w:szCs w:val="22"/>
                <w:lang w:val="sk-SK"/>
              </w:rPr>
              <w:t>Časté:</w:t>
            </w:r>
          </w:p>
        </w:tc>
        <w:tc>
          <w:tcPr>
            <w:tcW w:w="3320" w:type="pct"/>
            <w:tcBorders>
              <w:top w:val="nil"/>
              <w:bottom w:val="single" w:sz="4" w:space="0" w:color="auto"/>
              <w:right w:val="single" w:sz="4" w:space="0" w:color="auto"/>
            </w:tcBorders>
          </w:tcPr>
          <w:p w:rsidR="00871AAF" w:rsidRPr="00543955" w:rsidRDefault="00871AAF" w:rsidP="00286A58">
            <w:pPr>
              <w:keepNext/>
              <w:widowControl w:val="0"/>
              <w:tabs>
                <w:tab w:val="clear" w:pos="567"/>
              </w:tabs>
              <w:spacing w:line="240" w:lineRule="auto"/>
              <w:rPr>
                <w:szCs w:val="22"/>
                <w:lang w:val="sk-SK"/>
              </w:rPr>
            </w:pPr>
            <w:r w:rsidRPr="00543955">
              <w:rPr>
                <w:szCs w:val="22"/>
                <w:lang w:val="sk-SK"/>
              </w:rPr>
              <w:t>Asténia.</w:t>
            </w:r>
          </w:p>
        </w:tc>
      </w:tr>
      <w:tr w:rsidR="00871AAF" w:rsidRPr="00543955" w:rsidTr="00286A58">
        <w:trPr>
          <w:cantSplit/>
        </w:trPr>
        <w:tc>
          <w:tcPr>
            <w:tcW w:w="5000" w:type="pct"/>
            <w:gridSpan w:val="2"/>
            <w:tcBorders>
              <w:top w:val="single" w:sz="4" w:space="0" w:color="auto"/>
              <w:left w:val="single" w:sz="4" w:space="0" w:color="auto"/>
              <w:bottom w:val="nil"/>
              <w:right w:val="single" w:sz="4" w:space="0" w:color="auto"/>
            </w:tcBorders>
          </w:tcPr>
          <w:p w:rsidR="00871AAF" w:rsidRPr="00543955" w:rsidRDefault="00871AAF" w:rsidP="00286A58">
            <w:pPr>
              <w:keepNext/>
              <w:keepLines/>
              <w:widowControl w:val="0"/>
              <w:tabs>
                <w:tab w:val="clear" w:pos="567"/>
              </w:tabs>
              <w:spacing w:line="240" w:lineRule="auto"/>
              <w:rPr>
                <w:szCs w:val="22"/>
                <w:lang w:val="sk-SK"/>
              </w:rPr>
            </w:pPr>
            <w:r w:rsidRPr="00543955">
              <w:rPr>
                <w:b/>
                <w:szCs w:val="22"/>
                <w:lang w:val="sk-SK"/>
              </w:rPr>
              <w:t>Laboratórne a funkčné vyšetrenia</w:t>
            </w:r>
          </w:p>
        </w:tc>
      </w:tr>
      <w:tr w:rsidR="00871AAF" w:rsidRPr="00543955" w:rsidTr="00286A58">
        <w:trPr>
          <w:cantSplit/>
        </w:trPr>
        <w:tc>
          <w:tcPr>
            <w:tcW w:w="1680" w:type="pct"/>
            <w:tcBorders>
              <w:top w:val="nil"/>
              <w:left w:val="single" w:sz="4" w:space="0" w:color="auto"/>
              <w:bottom w:val="single" w:sz="4" w:space="0" w:color="auto"/>
            </w:tcBorders>
          </w:tcPr>
          <w:p w:rsidR="00871AAF" w:rsidRPr="00543955" w:rsidRDefault="00871AAF" w:rsidP="00286A58">
            <w:pPr>
              <w:widowControl w:val="0"/>
              <w:tabs>
                <w:tab w:val="clear" w:pos="567"/>
              </w:tabs>
              <w:spacing w:line="240" w:lineRule="auto"/>
              <w:rPr>
                <w:szCs w:val="22"/>
                <w:lang w:val="sk-SK"/>
              </w:rPr>
            </w:pPr>
            <w:r w:rsidRPr="00543955">
              <w:rPr>
                <w:szCs w:val="22"/>
                <w:lang w:val="sk-SK"/>
              </w:rPr>
              <w:t>Časté:</w:t>
            </w:r>
          </w:p>
        </w:tc>
        <w:tc>
          <w:tcPr>
            <w:tcW w:w="3320" w:type="pct"/>
            <w:tcBorders>
              <w:top w:val="nil"/>
              <w:bottom w:val="single" w:sz="4" w:space="0" w:color="auto"/>
              <w:right w:val="single" w:sz="4" w:space="0" w:color="auto"/>
            </w:tcBorders>
          </w:tcPr>
          <w:p w:rsidR="00871AAF" w:rsidRPr="00543955" w:rsidRDefault="00871AAF" w:rsidP="00286A58">
            <w:pPr>
              <w:keepNext/>
              <w:keepLines/>
              <w:widowControl w:val="0"/>
              <w:tabs>
                <w:tab w:val="clear" w:pos="567"/>
              </w:tabs>
              <w:spacing w:line="240" w:lineRule="auto"/>
              <w:rPr>
                <w:szCs w:val="22"/>
                <w:lang w:val="sk-SK"/>
              </w:rPr>
            </w:pPr>
            <w:r w:rsidRPr="00543955">
              <w:rPr>
                <w:szCs w:val="22"/>
                <w:lang w:val="sk-SK"/>
              </w:rPr>
              <w:t>Zvýšené hladiny aminotransferáz.</w:t>
            </w:r>
          </w:p>
        </w:tc>
      </w:tr>
      <w:tr w:rsidR="00871AAF" w:rsidRPr="00543955" w:rsidTr="00286A58">
        <w:trPr>
          <w:cantSplit/>
        </w:trPr>
        <w:tc>
          <w:tcPr>
            <w:tcW w:w="5000" w:type="pct"/>
            <w:gridSpan w:val="2"/>
            <w:tcBorders>
              <w:top w:val="single" w:sz="4" w:space="0" w:color="auto"/>
              <w:left w:val="single" w:sz="4" w:space="0" w:color="auto"/>
              <w:bottom w:val="nil"/>
              <w:right w:val="single" w:sz="4" w:space="0" w:color="auto"/>
            </w:tcBorders>
          </w:tcPr>
          <w:p w:rsidR="00871AAF" w:rsidRPr="00543955" w:rsidRDefault="00871AAF" w:rsidP="00286A58">
            <w:pPr>
              <w:keepNext/>
              <w:widowControl w:val="0"/>
              <w:tabs>
                <w:tab w:val="clear" w:pos="567"/>
              </w:tabs>
              <w:spacing w:line="240" w:lineRule="auto"/>
              <w:rPr>
                <w:szCs w:val="22"/>
                <w:lang w:val="sk-SK"/>
              </w:rPr>
            </w:pPr>
            <w:r w:rsidRPr="00543955">
              <w:rPr>
                <w:b/>
                <w:szCs w:val="22"/>
                <w:lang w:val="sk-SK"/>
              </w:rPr>
              <w:t>Poruchy kože a podkožného tkaniva</w:t>
            </w:r>
          </w:p>
        </w:tc>
      </w:tr>
      <w:tr w:rsidR="00871AAF" w:rsidRPr="00543955" w:rsidTr="00286A58">
        <w:trPr>
          <w:cantSplit/>
        </w:trPr>
        <w:tc>
          <w:tcPr>
            <w:tcW w:w="1680" w:type="pct"/>
            <w:tcBorders>
              <w:top w:val="nil"/>
              <w:left w:val="single" w:sz="4" w:space="0" w:color="auto"/>
              <w:bottom w:val="single" w:sz="4" w:space="0" w:color="auto"/>
            </w:tcBorders>
          </w:tcPr>
          <w:p w:rsidR="00871AAF" w:rsidRPr="00543955" w:rsidRDefault="00871AAF" w:rsidP="00286A58">
            <w:pPr>
              <w:widowControl w:val="0"/>
              <w:tabs>
                <w:tab w:val="clear" w:pos="567"/>
              </w:tabs>
              <w:spacing w:line="240" w:lineRule="auto"/>
              <w:rPr>
                <w:szCs w:val="22"/>
                <w:lang w:val="sk-SK"/>
              </w:rPr>
            </w:pPr>
            <w:r w:rsidRPr="00543955">
              <w:rPr>
                <w:szCs w:val="22"/>
                <w:lang w:val="sk-SK"/>
              </w:rPr>
              <w:t>Časté:</w:t>
            </w:r>
          </w:p>
        </w:tc>
        <w:tc>
          <w:tcPr>
            <w:tcW w:w="3320" w:type="pct"/>
            <w:tcBorders>
              <w:top w:val="nil"/>
              <w:bottom w:val="single" w:sz="4" w:space="0" w:color="auto"/>
              <w:right w:val="single" w:sz="4" w:space="0" w:color="auto"/>
            </w:tcBorders>
          </w:tcPr>
          <w:p w:rsidR="00871AAF" w:rsidRPr="00543955" w:rsidRDefault="00871AAF" w:rsidP="00286A58">
            <w:pPr>
              <w:widowControl w:val="0"/>
              <w:tabs>
                <w:tab w:val="clear" w:pos="567"/>
              </w:tabs>
              <w:spacing w:line="240" w:lineRule="auto"/>
              <w:rPr>
                <w:szCs w:val="22"/>
                <w:lang w:val="sk-SK"/>
              </w:rPr>
            </w:pPr>
            <w:r w:rsidRPr="00543955">
              <w:rPr>
                <w:szCs w:val="22"/>
                <w:lang w:val="sk-SK"/>
              </w:rPr>
              <w:t>Pruritus, vyrážky, alopécia.</w:t>
            </w:r>
          </w:p>
        </w:tc>
      </w:tr>
      <w:tr w:rsidR="00871AAF" w:rsidRPr="00543955" w:rsidTr="00286A58">
        <w:trPr>
          <w:cantSplit/>
        </w:trPr>
        <w:tc>
          <w:tcPr>
            <w:tcW w:w="5000" w:type="pct"/>
            <w:gridSpan w:val="2"/>
            <w:tcBorders>
              <w:top w:val="single" w:sz="4" w:space="0" w:color="auto"/>
              <w:left w:val="single" w:sz="4" w:space="0" w:color="auto"/>
              <w:bottom w:val="nil"/>
              <w:right w:val="single" w:sz="4" w:space="0" w:color="auto"/>
            </w:tcBorders>
          </w:tcPr>
          <w:p w:rsidR="00871AAF" w:rsidRPr="00543955" w:rsidRDefault="00871AAF" w:rsidP="00286A58">
            <w:pPr>
              <w:keepNext/>
              <w:widowControl w:val="0"/>
              <w:tabs>
                <w:tab w:val="clear" w:pos="567"/>
              </w:tabs>
              <w:spacing w:line="240" w:lineRule="auto"/>
              <w:rPr>
                <w:b/>
                <w:szCs w:val="22"/>
                <w:lang w:val="sk-SK"/>
              </w:rPr>
            </w:pPr>
            <w:r w:rsidRPr="00543955">
              <w:rPr>
                <w:b/>
                <w:szCs w:val="22"/>
                <w:lang w:val="sk-SK"/>
              </w:rPr>
              <w:t>Poruchy dýchacej sústavy, hrudníka a mediastína</w:t>
            </w:r>
          </w:p>
        </w:tc>
      </w:tr>
      <w:tr w:rsidR="00871AAF" w:rsidRPr="00543955" w:rsidTr="00286A58">
        <w:trPr>
          <w:cantSplit/>
        </w:trPr>
        <w:tc>
          <w:tcPr>
            <w:tcW w:w="1680" w:type="pct"/>
            <w:tcBorders>
              <w:top w:val="nil"/>
              <w:left w:val="single" w:sz="4" w:space="0" w:color="auto"/>
              <w:bottom w:val="single" w:sz="4" w:space="0" w:color="auto"/>
            </w:tcBorders>
          </w:tcPr>
          <w:p w:rsidR="00871AAF" w:rsidRPr="00543955" w:rsidRDefault="00871AAF" w:rsidP="00286A58">
            <w:pPr>
              <w:widowControl w:val="0"/>
              <w:tabs>
                <w:tab w:val="clear" w:pos="567"/>
              </w:tabs>
              <w:spacing w:line="240" w:lineRule="auto"/>
              <w:rPr>
                <w:szCs w:val="22"/>
                <w:lang w:val="sk-SK"/>
              </w:rPr>
            </w:pPr>
            <w:r w:rsidRPr="00543955">
              <w:rPr>
                <w:szCs w:val="22"/>
                <w:lang w:val="sk-SK"/>
              </w:rPr>
              <w:t>Časté:</w:t>
            </w:r>
          </w:p>
        </w:tc>
        <w:tc>
          <w:tcPr>
            <w:tcW w:w="3320" w:type="pct"/>
            <w:tcBorders>
              <w:top w:val="nil"/>
              <w:bottom w:val="single" w:sz="4" w:space="0" w:color="auto"/>
              <w:right w:val="single" w:sz="4" w:space="0" w:color="auto"/>
            </w:tcBorders>
          </w:tcPr>
          <w:p w:rsidR="00871AAF" w:rsidRPr="00543955" w:rsidRDefault="00871AAF" w:rsidP="00286A58">
            <w:pPr>
              <w:widowControl w:val="0"/>
              <w:tabs>
                <w:tab w:val="clear" w:pos="567"/>
              </w:tabs>
              <w:spacing w:line="240" w:lineRule="auto"/>
              <w:rPr>
                <w:szCs w:val="22"/>
                <w:lang w:val="sk-SK"/>
              </w:rPr>
            </w:pPr>
            <w:r w:rsidRPr="00543955">
              <w:rPr>
                <w:szCs w:val="22"/>
                <w:lang w:val="sk-SK"/>
              </w:rPr>
              <w:t>Dyspnoe.</w:t>
            </w:r>
          </w:p>
        </w:tc>
      </w:tr>
      <w:tr w:rsidR="00871AAF" w:rsidRPr="00543955" w:rsidTr="00286A58">
        <w:trPr>
          <w:cantSplit/>
        </w:trPr>
        <w:tc>
          <w:tcPr>
            <w:tcW w:w="5000" w:type="pct"/>
            <w:gridSpan w:val="2"/>
            <w:tcBorders>
              <w:top w:val="single" w:sz="4" w:space="0" w:color="auto"/>
              <w:left w:val="single" w:sz="4" w:space="0" w:color="auto"/>
              <w:bottom w:val="nil"/>
              <w:right w:val="single" w:sz="4" w:space="0" w:color="auto"/>
            </w:tcBorders>
          </w:tcPr>
          <w:p w:rsidR="00871AAF" w:rsidRPr="00543955" w:rsidRDefault="00871AAF" w:rsidP="00286A58">
            <w:pPr>
              <w:keepNext/>
              <w:widowControl w:val="0"/>
              <w:tabs>
                <w:tab w:val="clear" w:pos="567"/>
              </w:tabs>
              <w:spacing w:line="240" w:lineRule="auto"/>
              <w:rPr>
                <w:szCs w:val="22"/>
                <w:lang w:val="sk-SK"/>
              </w:rPr>
            </w:pPr>
            <w:r>
              <w:rPr>
                <w:b/>
                <w:szCs w:val="22"/>
                <w:lang w:val="sk-SK"/>
              </w:rPr>
              <w:lastRenderedPageBreak/>
              <w:t>Poruchy srdca a srdcovej činnosti</w:t>
            </w:r>
          </w:p>
        </w:tc>
      </w:tr>
      <w:tr w:rsidR="00871AAF" w:rsidRPr="00543955" w:rsidTr="00286A58">
        <w:trPr>
          <w:cantSplit/>
        </w:trPr>
        <w:tc>
          <w:tcPr>
            <w:tcW w:w="1680" w:type="pct"/>
            <w:tcBorders>
              <w:top w:val="nil"/>
              <w:left w:val="single" w:sz="4" w:space="0" w:color="auto"/>
              <w:bottom w:val="nil"/>
            </w:tcBorders>
          </w:tcPr>
          <w:p w:rsidR="00871AAF" w:rsidRPr="00543955" w:rsidRDefault="00871AAF" w:rsidP="00286A58">
            <w:pPr>
              <w:keepNext/>
              <w:widowControl w:val="0"/>
              <w:tabs>
                <w:tab w:val="clear" w:pos="567"/>
              </w:tabs>
              <w:spacing w:line="240" w:lineRule="auto"/>
              <w:rPr>
                <w:szCs w:val="22"/>
                <w:lang w:val="sk-SK"/>
              </w:rPr>
            </w:pPr>
            <w:r w:rsidRPr="00543955">
              <w:rPr>
                <w:szCs w:val="22"/>
                <w:lang w:val="sk-SK"/>
              </w:rPr>
              <w:t>Časté:</w:t>
            </w:r>
          </w:p>
        </w:tc>
        <w:tc>
          <w:tcPr>
            <w:tcW w:w="3320" w:type="pct"/>
            <w:tcBorders>
              <w:top w:val="nil"/>
              <w:bottom w:val="nil"/>
              <w:right w:val="single" w:sz="4" w:space="0" w:color="auto"/>
            </w:tcBorders>
          </w:tcPr>
          <w:p w:rsidR="00871AAF" w:rsidRPr="00543955" w:rsidRDefault="00871AAF" w:rsidP="00286A58">
            <w:pPr>
              <w:keepNext/>
              <w:widowControl w:val="0"/>
              <w:tabs>
                <w:tab w:val="clear" w:pos="567"/>
              </w:tabs>
              <w:spacing w:line="240" w:lineRule="auto"/>
              <w:rPr>
                <w:szCs w:val="22"/>
                <w:lang w:val="sk-SK"/>
              </w:rPr>
            </w:pPr>
            <w:r w:rsidRPr="00543955">
              <w:rPr>
                <w:szCs w:val="22"/>
                <w:lang w:val="sk-SK"/>
              </w:rPr>
              <w:t>Bradykardia.</w:t>
            </w:r>
          </w:p>
        </w:tc>
      </w:tr>
      <w:tr w:rsidR="00871AAF" w:rsidRPr="00543955" w:rsidTr="00286A58">
        <w:trPr>
          <w:cantSplit/>
        </w:trPr>
        <w:tc>
          <w:tcPr>
            <w:tcW w:w="1680" w:type="pct"/>
            <w:tcBorders>
              <w:top w:val="nil"/>
              <w:left w:val="single" w:sz="4" w:space="0" w:color="auto"/>
              <w:bottom w:val="single" w:sz="4" w:space="0" w:color="auto"/>
            </w:tcBorders>
          </w:tcPr>
          <w:p w:rsidR="00871AAF" w:rsidRPr="00543955" w:rsidRDefault="00871AAF" w:rsidP="00286A58">
            <w:pPr>
              <w:widowControl w:val="0"/>
              <w:tabs>
                <w:tab w:val="clear" w:pos="567"/>
              </w:tabs>
              <w:spacing w:line="240" w:lineRule="auto"/>
              <w:rPr>
                <w:szCs w:val="22"/>
                <w:lang w:val="sk-SK"/>
              </w:rPr>
            </w:pPr>
            <w:r w:rsidRPr="00543955">
              <w:rPr>
                <w:szCs w:val="22"/>
                <w:lang w:val="sk-SK"/>
              </w:rPr>
              <w:t>Menej časté:</w:t>
            </w:r>
          </w:p>
        </w:tc>
        <w:tc>
          <w:tcPr>
            <w:tcW w:w="3320" w:type="pct"/>
            <w:tcBorders>
              <w:top w:val="nil"/>
              <w:bottom w:val="single" w:sz="4" w:space="0" w:color="auto"/>
              <w:right w:val="single" w:sz="4" w:space="0" w:color="auto"/>
            </w:tcBorders>
          </w:tcPr>
          <w:p w:rsidR="00871AAF" w:rsidRPr="00543955" w:rsidRDefault="00871AAF" w:rsidP="00286A58">
            <w:pPr>
              <w:widowControl w:val="0"/>
              <w:tabs>
                <w:tab w:val="clear" w:pos="567"/>
              </w:tabs>
              <w:spacing w:line="240" w:lineRule="auto"/>
              <w:rPr>
                <w:szCs w:val="22"/>
                <w:lang w:val="sk-SK"/>
              </w:rPr>
            </w:pPr>
            <w:r w:rsidRPr="00543955">
              <w:rPr>
                <w:szCs w:val="22"/>
                <w:lang w:val="sk-SK"/>
              </w:rPr>
              <w:t>Tachykardia.</w:t>
            </w:r>
          </w:p>
        </w:tc>
      </w:tr>
    </w:tbl>
    <w:p w:rsidR="00871AAF" w:rsidRPr="00543955" w:rsidRDefault="00871AAF" w:rsidP="007E1DD6">
      <w:pPr>
        <w:widowControl w:val="0"/>
        <w:tabs>
          <w:tab w:val="clear" w:pos="567"/>
        </w:tabs>
        <w:spacing w:line="240" w:lineRule="auto"/>
        <w:jc w:val="both"/>
        <w:rPr>
          <w:szCs w:val="22"/>
          <w:u w:val="single"/>
          <w:lang w:val="sk-SK"/>
        </w:rPr>
      </w:pPr>
    </w:p>
    <w:p w:rsidR="00871AAF" w:rsidRPr="00543955" w:rsidRDefault="00871AAF" w:rsidP="007E1DD6">
      <w:pPr>
        <w:keepNext/>
        <w:keepLines/>
        <w:widowControl w:val="0"/>
        <w:tabs>
          <w:tab w:val="clear" w:pos="567"/>
        </w:tabs>
        <w:spacing w:line="240" w:lineRule="auto"/>
        <w:jc w:val="both"/>
        <w:rPr>
          <w:szCs w:val="22"/>
          <w:u w:val="single"/>
          <w:lang w:val="sk-SK"/>
        </w:rPr>
      </w:pPr>
      <w:r w:rsidRPr="00543955">
        <w:rPr>
          <w:szCs w:val="22"/>
          <w:u w:val="single"/>
          <w:lang w:val="sk-SK"/>
        </w:rPr>
        <w:t>Po uvedení na trh</w:t>
      </w:r>
    </w:p>
    <w:p w:rsidR="00871AAF" w:rsidRPr="00543955" w:rsidRDefault="00871AAF" w:rsidP="007E1DD6">
      <w:pPr>
        <w:keepNext/>
        <w:keepLines/>
        <w:widowControl w:val="0"/>
        <w:tabs>
          <w:tab w:val="clear" w:pos="567"/>
        </w:tabs>
        <w:spacing w:line="240" w:lineRule="auto"/>
        <w:rPr>
          <w:szCs w:val="22"/>
          <w:lang w:val="sk-SK"/>
        </w:rPr>
      </w:pPr>
      <w:r w:rsidRPr="00543955">
        <w:rPr>
          <w:szCs w:val="22"/>
          <w:lang w:val="sk-SK"/>
        </w:rPr>
        <w:t>Spontánne hlásené nežiaduce reakcie uvedené v Tabuľke 2 sú hlásené dobrovoľne a nie je pri nich vždy možné spoľahlivo stanoviť frekvenciu alebo príčinnú súvislosť s expozíciou lieku.</w:t>
      </w:r>
    </w:p>
    <w:p w:rsidR="00871AAF" w:rsidRPr="00543955" w:rsidRDefault="00871AAF" w:rsidP="007E1DD6">
      <w:pPr>
        <w:keepNext/>
        <w:keepLines/>
        <w:widowControl w:val="0"/>
        <w:tabs>
          <w:tab w:val="clear" w:pos="567"/>
        </w:tabs>
        <w:spacing w:line="240" w:lineRule="auto"/>
        <w:rPr>
          <w:szCs w:val="22"/>
          <w:lang w:val="sk-SK"/>
        </w:rPr>
      </w:pPr>
    </w:p>
    <w:p w:rsidR="00871AAF" w:rsidRPr="00543955" w:rsidRDefault="00871AAF" w:rsidP="007E1DD6">
      <w:pPr>
        <w:keepNext/>
        <w:keepLines/>
        <w:widowControl w:val="0"/>
        <w:tabs>
          <w:tab w:val="clear" w:pos="567"/>
        </w:tabs>
        <w:spacing w:line="240" w:lineRule="auto"/>
        <w:outlineLvl w:val="5"/>
        <w:rPr>
          <w:b/>
          <w:szCs w:val="22"/>
          <w:lang w:val="sk-SK"/>
        </w:rPr>
      </w:pPr>
      <w:r w:rsidRPr="00543955">
        <w:rPr>
          <w:b/>
          <w:szCs w:val="22"/>
          <w:lang w:val="sk-SK"/>
        </w:rPr>
        <w:t>Tabuľka 2</w:t>
      </w:r>
      <w:r w:rsidRPr="00543955">
        <w:rPr>
          <w:b/>
          <w:szCs w:val="22"/>
          <w:lang w:val="sk-SK"/>
        </w:rPr>
        <w:tab/>
        <w:t>Nežiaduce reakcie na liek pochádzajúce zo spontánnych hlásení</w:t>
      </w:r>
    </w:p>
    <w:p w:rsidR="00871AAF" w:rsidRPr="00543955" w:rsidRDefault="00871AAF" w:rsidP="007E1DD6">
      <w:pPr>
        <w:keepNext/>
        <w:keepLines/>
        <w:widowControl w:val="0"/>
        <w:tabs>
          <w:tab w:val="clear" w:pos="567"/>
        </w:tabs>
        <w:spacing w:line="240" w:lineRule="auto"/>
        <w:rPr>
          <w:szCs w:val="22"/>
          <w:lang w:val="sk-SK"/>
        </w:rPr>
      </w:pPr>
    </w:p>
    <w:tbl>
      <w:tblPr>
        <w:tblW w:w="5000" w:type="pct"/>
        <w:tblBorders>
          <w:top w:val="single" w:sz="4" w:space="0" w:color="auto"/>
          <w:bottom w:val="single" w:sz="4" w:space="0" w:color="auto"/>
        </w:tblBorders>
        <w:tblLook w:val="0000" w:firstRow="0" w:lastRow="0" w:firstColumn="0" w:lastColumn="0" w:noHBand="0" w:noVBand="0"/>
      </w:tblPr>
      <w:tblGrid>
        <w:gridCol w:w="9622"/>
      </w:tblGrid>
      <w:tr w:rsidR="00E168F5" w:rsidRPr="00631DCE" w:rsidTr="00286A58">
        <w:trPr>
          <w:cantSplit/>
        </w:trPr>
        <w:tc>
          <w:tcPr>
            <w:tcW w:w="5000" w:type="pct"/>
            <w:tcBorders>
              <w:top w:val="single" w:sz="4" w:space="0" w:color="auto"/>
              <w:left w:val="single" w:sz="4" w:space="0" w:color="auto"/>
              <w:bottom w:val="nil"/>
              <w:right w:val="single" w:sz="4" w:space="0" w:color="auto"/>
            </w:tcBorders>
          </w:tcPr>
          <w:p w:rsidR="00E168F5" w:rsidRPr="00543955" w:rsidRDefault="00E168F5" w:rsidP="00286A58">
            <w:pPr>
              <w:keepNext/>
              <w:keepLines/>
              <w:widowControl w:val="0"/>
              <w:tabs>
                <w:tab w:val="clear" w:pos="567"/>
              </w:tabs>
              <w:spacing w:line="240" w:lineRule="auto"/>
              <w:rPr>
                <w:b/>
                <w:szCs w:val="22"/>
                <w:lang w:val="sk-SK"/>
              </w:rPr>
            </w:pPr>
            <w:r w:rsidRPr="009E5DBC">
              <w:rPr>
                <w:b/>
                <w:bCs/>
                <w:lang w:val="sk-SK"/>
              </w:rPr>
              <w:t>Poruchy krvi a lymfatického systému</w:t>
            </w:r>
          </w:p>
        </w:tc>
      </w:tr>
      <w:tr w:rsidR="00E168F5" w:rsidRPr="00543955" w:rsidTr="0061089B">
        <w:trPr>
          <w:cantSplit/>
        </w:trPr>
        <w:tc>
          <w:tcPr>
            <w:tcW w:w="5000" w:type="pct"/>
            <w:tcBorders>
              <w:top w:val="nil"/>
              <w:left w:val="single" w:sz="4" w:space="0" w:color="auto"/>
              <w:bottom w:val="single" w:sz="4" w:space="0" w:color="auto"/>
              <w:right w:val="single" w:sz="4" w:space="0" w:color="auto"/>
            </w:tcBorders>
          </w:tcPr>
          <w:p w:rsidR="00E168F5" w:rsidRPr="00543955" w:rsidRDefault="00E168F5" w:rsidP="00286A58">
            <w:pPr>
              <w:keepNext/>
              <w:keepLines/>
              <w:widowControl w:val="0"/>
              <w:tabs>
                <w:tab w:val="clear" w:pos="567"/>
              </w:tabs>
              <w:spacing w:line="240" w:lineRule="auto"/>
              <w:rPr>
                <w:b/>
                <w:szCs w:val="22"/>
                <w:lang w:val="sk-SK"/>
              </w:rPr>
            </w:pPr>
            <w:r w:rsidRPr="009E5DBC">
              <w:rPr>
                <w:szCs w:val="22"/>
                <w:lang w:val="sk-SK"/>
              </w:rPr>
              <w:t>Trombocytopénia</w:t>
            </w:r>
          </w:p>
        </w:tc>
      </w:tr>
      <w:tr w:rsidR="00E168F5" w:rsidRPr="00543955" w:rsidTr="0061089B">
        <w:trPr>
          <w:cantSplit/>
        </w:trPr>
        <w:tc>
          <w:tcPr>
            <w:tcW w:w="5000" w:type="pct"/>
            <w:tcBorders>
              <w:top w:val="single" w:sz="4" w:space="0" w:color="auto"/>
              <w:left w:val="single" w:sz="4" w:space="0" w:color="auto"/>
              <w:bottom w:val="nil"/>
              <w:right w:val="single" w:sz="4" w:space="0" w:color="auto"/>
            </w:tcBorders>
          </w:tcPr>
          <w:p w:rsidR="00E168F5" w:rsidRPr="00543955" w:rsidRDefault="00E168F5" w:rsidP="00286A58">
            <w:pPr>
              <w:keepNext/>
              <w:keepLines/>
              <w:widowControl w:val="0"/>
              <w:tabs>
                <w:tab w:val="clear" w:pos="567"/>
              </w:tabs>
              <w:spacing w:line="240" w:lineRule="auto"/>
              <w:rPr>
                <w:szCs w:val="22"/>
                <w:lang w:val="sk-SK"/>
              </w:rPr>
            </w:pPr>
            <w:r w:rsidRPr="00543955">
              <w:rPr>
                <w:b/>
                <w:szCs w:val="22"/>
                <w:lang w:val="sk-SK"/>
              </w:rPr>
              <w:t>Poruchy imunitného systému</w:t>
            </w:r>
          </w:p>
        </w:tc>
      </w:tr>
      <w:tr w:rsidR="00E168F5" w:rsidRPr="00543955" w:rsidTr="00286A58">
        <w:trPr>
          <w:cantSplit/>
          <w:trHeight w:val="227"/>
        </w:trPr>
        <w:tc>
          <w:tcPr>
            <w:tcW w:w="5000" w:type="pct"/>
            <w:tcBorders>
              <w:top w:val="nil"/>
              <w:left w:val="single" w:sz="4" w:space="0" w:color="auto"/>
              <w:right w:val="single" w:sz="4" w:space="0" w:color="auto"/>
            </w:tcBorders>
          </w:tcPr>
          <w:p w:rsidR="00E168F5" w:rsidRPr="00543955" w:rsidRDefault="00E168F5" w:rsidP="00286A58">
            <w:pPr>
              <w:keepNext/>
              <w:keepLines/>
              <w:widowControl w:val="0"/>
              <w:spacing w:line="240" w:lineRule="auto"/>
              <w:rPr>
                <w:szCs w:val="22"/>
                <w:lang w:val="sk-SK"/>
              </w:rPr>
            </w:pPr>
            <w:r w:rsidRPr="00543955">
              <w:rPr>
                <w:szCs w:val="22"/>
                <w:lang w:val="sk-SK"/>
              </w:rPr>
              <w:t>Anafylaxia, alergické reakcie/reakcie z precitlivenosti.</w:t>
            </w:r>
          </w:p>
        </w:tc>
      </w:tr>
      <w:tr w:rsidR="00E168F5" w:rsidRPr="00543955" w:rsidTr="00286A58">
        <w:trPr>
          <w:cantSplit/>
        </w:trPr>
        <w:tc>
          <w:tcPr>
            <w:tcW w:w="5000" w:type="pct"/>
            <w:tcBorders>
              <w:top w:val="single" w:sz="4" w:space="0" w:color="auto"/>
              <w:left w:val="single" w:sz="4" w:space="0" w:color="auto"/>
              <w:bottom w:val="nil"/>
              <w:right w:val="single" w:sz="4" w:space="0" w:color="auto"/>
            </w:tcBorders>
          </w:tcPr>
          <w:p w:rsidR="00E168F5" w:rsidRPr="00543955" w:rsidRDefault="00E168F5" w:rsidP="00286A58">
            <w:pPr>
              <w:keepNext/>
              <w:keepLines/>
              <w:widowControl w:val="0"/>
              <w:tabs>
                <w:tab w:val="clear" w:pos="567"/>
              </w:tabs>
              <w:spacing w:line="240" w:lineRule="auto"/>
              <w:rPr>
                <w:szCs w:val="22"/>
                <w:lang w:val="sk-SK"/>
              </w:rPr>
            </w:pPr>
            <w:r w:rsidRPr="00543955">
              <w:rPr>
                <w:b/>
                <w:szCs w:val="22"/>
                <w:lang w:val="sk-SK"/>
              </w:rPr>
              <w:t>Poruchy kože a podkožného tkaniva</w:t>
            </w:r>
          </w:p>
        </w:tc>
      </w:tr>
      <w:tr w:rsidR="00E168F5" w:rsidRPr="00543955" w:rsidTr="00286A58">
        <w:trPr>
          <w:cantSplit/>
        </w:trPr>
        <w:tc>
          <w:tcPr>
            <w:tcW w:w="5000" w:type="pct"/>
            <w:tcBorders>
              <w:top w:val="nil"/>
              <w:left w:val="single" w:sz="4" w:space="0" w:color="auto"/>
              <w:bottom w:val="nil"/>
              <w:right w:val="single" w:sz="4" w:space="0" w:color="auto"/>
            </w:tcBorders>
          </w:tcPr>
          <w:p w:rsidR="00E168F5" w:rsidRPr="00543955" w:rsidRDefault="00E168F5" w:rsidP="00286A58">
            <w:pPr>
              <w:keepNext/>
              <w:keepLines/>
              <w:widowControl w:val="0"/>
              <w:tabs>
                <w:tab w:val="clear" w:pos="567"/>
              </w:tabs>
              <w:spacing w:line="240" w:lineRule="auto"/>
              <w:rPr>
                <w:szCs w:val="22"/>
                <w:lang w:val="sk-SK"/>
              </w:rPr>
            </w:pPr>
            <w:r w:rsidRPr="00543955">
              <w:rPr>
                <w:szCs w:val="22"/>
                <w:lang w:val="sk-SK"/>
              </w:rPr>
              <w:t>Urtikária.</w:t>
            </w:r>
          </w:p>
        </w:tc>
      </w:tr>
      <w:tr w:rsidR="00E168F5" w:rsidRPr="00543955" w:rsidTr="00286A58">
        <w:trPr>
          <w:cantSplit/>
          <w:trHeight w:val="335"/>
        </w:trPr>
        <w:tc>
          <w:tcPr>
            <w:tcW w:w="5000" w:type="pct"/>
            <w:tcBorders>
              <w:top w:val="single" w:sz="4" w:space="0" w:color="auto"/>
              <w:left w:val="single" w:sz="4" w:space="0" w:color="auto"/>
              <w:bottom w:val="nil"/>
              <w:right w:val="single" w:sz="4" w:space="0" w:color="auto"/>
            </w:tcBorders>
          </w:tcPr>
          <w:p w:rsidR="00E168F5" w:rsidRPr="00543955" w:rsidRDefault="00E168F5" w:rsidP="00286A58">
            <w:pPr>
              <w:keepNext/>
              <w:keepLines/>
              <w:widowControl w:val="0"/>
              <w:tabs>
                <w:tab w:val="clear" w:pos="567"/>
              </w:tabs>
              <w:spacing w:line="240" w:lineRule="auto"/>
              <w:rPr>
                <w:szCs w:val="22"/>
                <w:lang w:val="sk-SK"/>
              </w:rPr>
            </w:pPr>
            <w:r w:rsidRPr="00543955">
              <w:rPr>
                <w:b/>
                <w:szCs w:val="22"/>
                <w:lang w:val="sk-SK"/>
              </w:rPr>
              <w:t>Poruchy pečene a žlčových ciest</w:t>
            </w:r>
          </w:p>
        </w:tc>
      </w:tr>
      <w:tr w:rsidR="00E168F5" w:rsidRPr="00543955" w:rsidTr="00286A58">
        <w:trPr>
          <w:cantSplit/>
        </w:trPr>
        <w:tc>
          <w:tcPr>
            <w:tcW w:w="5000" w:type="pct"/>
            <w:tcBorders>
              <w:top w:val="nil"/>
              <w:left w:val="single" w:sz="4" w:space="0" w:color="auto"/>
              <w:bottom w:val="single" w:sz="4" w:space="0" w:color="auto"/>
              <w:right w:val="single" w:sz="4" w:space="0" w:color="auto"/>
            </w:tcBorders>
          </w:tcPr>
          <w:p w:rsidR="00E168F5" w:rsidRPr="00543955" w:rsidRDefault="00E168F5" w:rsidP="00286A58">
            <w:pPr>
              <w:keepNext/>
              <w:keepLines/>
              <w:widowControl w:val="0"/>
              <w:tabs>
                <w:tab w:val="clear" w:pos="567"/>
              </w:tabs>
              <w:spacing w:line="240" w:lineRule="auto"/>
              <w:rPr>
                <w:szCs w:val="22"/>
                <w:lang w:val="sk-SK"/>
              </w:rPr>
            </w:pPr>
            <w:r w:rsidRPr="00543955">
              <w:rPr>
                <w:szCs w:val="22"/>
                <w:lang w:val="sk-SK"/>
              </w:rPr>
              <w:t>Akútna pankreatitída, akútna hepatitída bez cholestázy, cholestatická hepatitída, cholestáza, žltačka, cholestatická žltačka.</w:t>
            </w:r>
          </w:p>
        </w:tc>
      </w:tr>
      <w:tr w:rsidR="00E168F5" w:rsidRPr="00543955" w:rsidTr="00286A58">
        <w:trPr>
          <w:cantSplit/>
        </w:trPr>
        <w:tc>
          <w:tcPr>
            <w:tcW w:w="5000" w:type="pct"/>
            <w:tcBorders>
              <w:top w:val="single" w:sz="4" w:space="0" w:color="auto"/>
              <w:left w:val="single" w:sz="4" w:space="0" w:color="auto"/>
              <w:bottom w:val="nil"/>
              <w:right w:val="single" w:sz="4" w:space="0" w:color="auto"/>
            </w:tcBorders>
          </w:tcPr>
          <w:p w:rsidR="00E168F5" w:rsidRPr="00543955" w:rsidRDefault="00E168F5" w:rsidP="00286A58">
            <w:pPr>
              <w:keepNext/>
              <w:keepLines/>
              <w:widowControl w:val="0"/>
              <w:tabs>
                <w:tab w:val="clear" w:pos="567"/>
              </w:tabs>
              <w:spacing w:line="240" w:lineRule="auto"/>
              <w:rPr>
                <w:szCs w:val="22"/>
                <w:lang w:val="sk-SK"/>
              </w:rPr>
            </w:pPr>
            <w:r w:rsidRPr="00543955">
              <w:rPr>
                <w:b/>
                <w:szCs w:val="22"/>
                <w:lang w:val="sk-SK"/>
              </w:rPr>
              <w:t>Poruchy srdca a srdcovej činnosti</w:t>
            </w:r>
          </w:p>
        </w:tc>
      </w:tr>
      <w:tr w:rsidR="00E168F5" w:rsidRPr="00543955" w:rsidTr="00286A58">
        <w:trPr>
          <w:cantSplit/>
        </w:trPr>
        <w:tc>
          <w:tcPr>
            <w:tcW w:w="5000" w:type="pct"/>
            <w:tcBorders>
              <w:top w:val="nil"/>
              <w:left w:val="single" w:sz="4" w:space="0" w:color="auto"/>
              <w:right w:val="single" w:sz="4" w:space="0" w:color="auto"/>
            </w:tcBorders>
          </w:tcPr>
          <w:p w:rsidR="00E168F5" w:rsidRPr="00543955" w:rsidRDefault="00E168F5" w:rsidP="00286A58">
            <w:pPr>
              <w:keepNext/>
              <w:keepLines/>
              <w:widowControl w:val="0"/>
              <w:tabs>
                <w:tab w:val="clear" w:pos="567"/>
              </w:tabs>
              <w:spacing w:line="240" w:lineRule="auto"/>
              <w:rPr>
                <w:szCs w:val="22"/>
                <w:lang w:val="sk-SK"/>
              </w:rPr>
            </w:pPr>
            <w:r w:rsidRPr="00543955">
              <w:rPr>
                <w:szCs w:val="22"/>
                <w:lang w:val="sk-SK"/>
              </w:rPr>
              <w:t>Arytmie.</w:t>
            </w:r>
          </w:p>
        </w:tc>
      </w:tr>
      <w:tr w:rsidR="00E168F5" w:rsidRPr="00543955" w:rsidTr="00286A58">
        <w:trPr>
          <w:cantSplit/>
        </w:trPr>
        <w:tc>
          <w:tcPr>
            <w:tcW w:w="5000" w:type="pct"/>
            <w:tcBorders>
              <w:top w:val="single" w:sz="4" w:space="0" w:color="auto"/>
              <w:left w:val="single" w:sz="4" w:space="0" w:color="auto"/>
              <w:bottom w:val="nil"/>
              <w:right w:val="single" w:sz="4" w:space="0" w:color="auto"/>
            </w:tcBorders>
          </w:tcPr>
          <w:p w:rsidR="00E168F5" w:rsidRPr="00543955" w:rsidRDefault="00E168F5" w:rsidP="00286A58">
            <w:pPr>
              <w:keepNext/>
              <w:keepLines/>
              <w:widowControl w:val="0"/>
              <w:tabs>
                <w:tab w:val="clear" w:pos="567"/>
              </w:tabs>
              <w:spacing w:line="240" w:lineRule="auto"/>
              <w:rPr>
                <w:szCs w:val="22"/>
                <w:lang w:val="sk-SK"/>
              </w:rPr>
            </w:pPr>
            <w:r w:rsidRPr="00543955">
              <w:rPr>
                <w:b/>
                <w:szCs w:val="22"/>
                <w:lang w:val="sk-SK"/>
              </w:rPr>
              <w:t>Laboratórne a funkčné vyšetrenia</w:t>
            </w:r>
          </w:p>
        </w:tc>
      </w:tr>
      <w:tr w:rsidR="00E168F5" w:rsidRPr="00543955" w:rsidTr="00286A58">
        <w:trPr>
          <w:cantSplit/>
        </w:trPr>
        <w:tc>
          <w:tcPr>
            <w:tcW w:w="5000" w:type="pct"/>
            <w:tcBorders>
              <w:top w:val="nil"/>
              <w:left w:val="single" w:sz="4" w:space="0" w:color="auto"/>
              <w:bottom w:val="single" w:sz="4" w:space="0" w:color="auto"/>
              <w:right w:val="single" w:sz="4" w:space="0" w:color="auto"/>
            </w:tcBorders>
          </w:tcPr>
          <w:p w:rsidR="00E168F5" w:rsidRPr="00543955" w:rsidRDefault="00E168F5" w:rsidP="00286A58">
            <w:pPr>
              <w:keepLines/>
              <w:widowControl w:val="0"/>
              <w:tabs>
                <w:tab w:val="clear" w:pos="567"/>
              </w:tabs>
              <w:spacing w:line="240" w:lineRule="auto"/>
              <w:rPr>
                <w:szCs w:val="22"/>
                <w:lang w:val="sk-SK"/>
              </w:rPr>
            </w:pPr>
            <w:r w:rsidRPr="00543955">
              <w:rPr>
                <w:szCs w:val="22"/>
                <w:lang w:val="sk-SK"/>
              </w:rPr>
              <w:t>Zvýšené hladiny alkalickej fosfatázy, zvýšené hladiny gama-glutamyltransferázy.</w:t>
            </w:r>
          </w:p>
        </w:tc>
      </w:tr>
    </w:tbl>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u w:val="single"/>
          <w:lang w:val="sk-SK"/>
        </w:rPr>
      </w:pPr>
      <w:r w:rsidRPr="00543955">
        <w:rPr>
          <w:szCs w:val="22"/>
          <w:u w:val="single"/>
          <w:lang w:val="sk-SK"/>
        </w:rPr>
        <w:t>Popis vybraných nežiaducich reakcií</w:t>
      </w:r>
    </w:p>
    <w:p w:rsidR="00E168F5" w:rsidRPr="009E5DBC" w:rsidRDefault="00E168F5" w:rsidP="00E168F5">
      <w:pPr>
        <w:widowControl w:val="0"/>
        <w:rPr>
          <w:szCs w:val="22"/>
          <w:lang w:val="sk-SK"/>
        </w:rPr>
      </w:pPr>
    </w:p>
    <w:p w:rsidR="00E168F5" w:rsidRPr="009E5DBC" w:rsidRDefault="00E168F5" w:rsidP="00E168F5">
      <w:pPr>
        <w:widowControl w:val="0"/>
        <w:rPr>
          <w:i/>
          <w:szCs w:val="22"/>
          <w:lang w:val="sk-SK"/>
        </w:rPr>
      </w:pPr>
      <w:r w:rsidRPr="009E5DBC">
        <w:rPr>
          <w:i/>
          <w:szCs w:val="22"/>
          <w:lang w:val="sk-SK"/>
        </w:rPr>
        <w:t>Reakcie spojené so žlčníkom</w:t>
      </w:r>
    </w:p>
    <w:p w:rsidR="00E168F5" w:rsidRPr="009E5DBC" w:rsidRDefault="00E168F5" w:rsidP="00E168F5">
      <w:pPr>
        <w:widowControl w:val="0"/>
        <w:rPr>
          <w:szCs w:val="22"/>
          <w:lang w:val="sk-SK"/>
        </w:rPr>
      </w:pPr>
      <w:r>
        <w:rPr>
          <w:szCs w:val="22"/>
          <w:lang w:val="sk-SK"/>
        </w:rPr>
        <w:t>Bolo preukázané, že s</w:t>
      </w:r>
      <w:r w:rsidRPr="009E5DBC">
        <w:rPr>
          <w:szCs w:val="22"/>
          <w:lang w:val="sk-SK"/>
        </w:rPr>
        <w:t>omatostat</w:t>
      </w:r>
      <w:r>
        <w:rPr>
          <w:szCs w:val="22"/>
          <w:lang w:val="sk-SK"/>
        </w:rPr>
        <w:t>ínové analógy inhibujú kontraktilitu žlčníka a znižujú sekréciu žlče, čo môže viesť k žlčníkovým abnormalitám alebo kalu</w:t>
      </w:r>
      <w:r w:rsidRPr="009E5DBC">
        <w:rPr>
          <w:szCs w:val="22"/>
          <w:lang w:val="sk-SK"/>
        </w:rPr>
        <w:t xml:space="preserve">. </w:t>
      </w:r>
      <w:r>
        <w:rPr>
          <w:szCs w:val="22"/>
          <w:lang w:val="sk-SK"/>
        </w:rPr>
        <w:t xml:space="preserve">Vznik žlčových kameňov bol hlásený u </w:t>
      </w:r>
      <w:r w:rsidRPr="009E5DBC">
        <w:rPr>
          <w:szCs w:val="22"/>
          <w:lang w:val="sk-SK"/>
        </w:rPr>
        <w:t xml:space="preserve">15 </w:t>
      </w:r>
      <w:r>
        <w:rPr>
          <w:szCs w:val="22"/>
          <w:lang w:val="sk-SK"/>
        </w:rPr>
        <w:t>až</w:t>
      </w:r>
      <w:r w:rsidRPr="009E5DBC">
        <w:rPr>
          <w:szCs w:val="22"/>
          <w:lang w:val="sk-SK"/>
        </w:rPr>
        <w:t xml:space="preserve"> 30</w:t>
      </w:r>
      <w:r>
        <w:rPr>
          <w:szCs w:val="22"/>
          <w:lang w:val="sk-SK"/>
        </w:rPr>
        <w:t> </w:t>
      </w:r>
      <w:r w:rsidRPr="009E5DBC">
        <w:rPr>
          <w:szCs w:val="22"/>
          <w:lang w:val="sk-SK"/>
        </w:rPr>
        <w:t xml:space="preserve">% </w:t>
      </w:r>
      <w:r>
        <w:rPr>
          <w:szCs w:val="22"/>
          <w:lang w:val="sk-SK"/>
        </w:rPr>
        <w:t xml:space="preserve">pacientov dlhodobo </w:t>
      </w:r>
      <w:r w:rsidR="00A414FE">
        <w:rPr>
          <w:szCs w:val="22"/>
          <w:lang w:val="sk-SK"/>
        </w:rPr>
        <w:t>po</w:t>
      </w:r>
      <w:r>
        <w:rPr>
          <w:szCs w:val="22"/>
          <w:lang w:val="sk-SK"/>
        </w:rPr>
        <w:t>užívajúcich subkutánnu formu</w:t>
      </w:r>
      <w:r w:rsidRPr="009E5DBC">
        <w:rPr>
          <w:szCs w:val="22"/>
          <w:lang w:val="sk-SK"/>
        </w:rPr>
        <w:t xml:space="preserve"> Sandostatin</w:t>
      </w:r>
      <w:r>
        <w:rPr>
          <w:szCs w:val="22"/>
          <w:lang w:val="sk-SK"/>
        </w:rPr>
        <w:t>u</w:t>
      </w:r>
      <w:r w:rsidRPr="009E5DBC">
        <w:rPr>
          <w:szCs w:val="22"/>
          <w:lang w:val="sk-SK"/>
        </w:rPr>
        <w:t xml:space="preserve">. </w:t>
      </w:r>
      <w:r>
        <w:rPr>
          <w:szCs w:val="22"/>
          <w:lang w:val="sk-SK"/>
        </w:rPr>
        <w:t>Incidencia v celkovej populácii (vo veku 40 až 60 rokov) je</w:t>
      </w:r>
      <w:r w:rsidRPr="009E5DBC">
        <w:rPr>
          <w:szCs w:val="22"/>
          <w:lang w:val="sk-SK"/>
        </w:rPr>
        <w:t xml:space="preserve"> 5 </w:t>
      </w:r>
      <w:r>
        <w:rPr>
          <w:szCs w:val="22"/>
          <w:lang w:val="sk-SK"/>
        </w:rPr>
        <w:t>až</w:t>
      </w:r>
      <w:r w:rsidRPr="009E5DBC">
        <w:rPr>
          <w:szCs w:val="22"/>
          <w:lang w:val="sk-SK"/>
        </w:rPr>
        <w:t xml:space="preserve"> 20</w:t>
      </w:r>
      <w:r>
        <w:rPr>
          <w:szCs w:val="22"/>
          <w:lang w:val="sk-SK"/>
        </w:rPr>
        <w:t> </w:t>
      </w:r>
      <w:r w:rsidRPr="009E5DBC">
        <w:rPr>
          <w:szCs w:val="22"/>
          <w:lang w:val="sk-SK"/>
        </w:rPr>
        <w:t xml:space="preserve">%. </w:t>
      </w:r>
      <w:r>
        <w:rPr>
          <w:szCs w:val="22"/>
          <w:lang w:val="sk-SK"/>
        </w:rPr>
        <w:t>Ak dôjde k vzniku žlčových kameňov, zvyčajne sú asymptomatické</w:t>
      </w:r>
      <w:r w:rsidRPr="009E5DBC">
        <w:rPr>
          <w:szCs w:val="22"/>
          <w:lang w:val="sk-SK"/>
        </w:rPr>
        <w:t xml:space="preserve">; </w:t>
      </w:r>
      <w:r>
        <w:rPr>
          <w:szCs w:val="22"/>
          <w:lang w:val="sk-SK"/>
        </w:rPr>
        <w:t xml:space="preserve">kamene </w:t>
      </w:r>
      <w:r w:rsidRPr="00234BC4">
        <w:rPr>
          <w:szCs w:val="22"/>
          <w:lang w:val="sk-SK"/>
        </w:rPr>
        <w:t xml:space="preserve">spôsobujúce príznaky sa majú liečiť buď rozpúšťaním </w:t>
      </w:r>
      <w:r>
        <w:rPr>
          <w:szCs w:val="22"/>
          <w:lang w:val="sk-SK"/>
        </w:rPr>
        <w:t>žlčovými kyselinami alebo chirurgicky</w:t>
      </w:r>
      <w:r w:rsidRPr="009E5DBC">
        <w:rPr>
          <w:szCs w:val="22"/>
          <w:lang w:val="sk-SK"/>
        </w:rPr>
        <w:t xml:space="preserve">. </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i/>
          <w:szCs w:val="22"/>
          <w:lang w:val="sk-SK"/>
        </w:rPr>
      </w:pPr>
      <w:r w:rsidRPr="00543955">
        <w:rPr>
          <w:i/>
          <w:szCs w:val="22"/>
          <w:lang w:val="sk-SK"/>
        </w:rPr>
        <w:t>Poruchy gastrointestinálneho traktu</w:t>
      </w:r>
    </w:p>
    <w:p w:rsidR="00871AAF" w:rsidRPr="00543955" w:rsidRDefault="00871AAF" w:rsidP="007E1DD6">
      <w:pPr>
        <w:widowControl w:val="0"/>
        <w:tabs>
          <w:tab w:val="clear" w:pos="567"/>
        </w:tabs>
        <w:spacing w:line="240" w:lineRule="auto"/>
        <w:rPr>
          <w:szCs w:val="22"/>
          <w:lang w:val="sk-SK"/>
        </w:rPr>
      </w:pPr>
      <w:r w:rsidRPr="00543955">
        <w:rPr>
          <w:szCs w:val="22"/>
          <w:lang w:val="sk-SK"/>
        </w:rPr>
        <w:t>V zriedkavých prípadoch môžu gastrointestinálne účinky pripomínať akútnu nepriechodnosť čriev s postupujúcim rozpätím brucha, silnou bolesťou v epigastriu, pohmatovou citlivosťou brušnej steny a s reflexným napínaním svalstva pri pohmate brucha.</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Frekvencia gastrointestinálnych nežiaducich udalostí sa pri pokračujúcej liečbe časom znižuje.</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Výskyt gastrointestinálnych nežiaducich účinkov sa môže zmierniť obmedzením príjmu jedla v čase podávania Sandostatinu s.c., t.j. podávaním medzi jedlami alebo večer pri ukladaní do postele.</w:t>
      </w:r>
    </w:p>
    <w:p w:rsidR="00E168F5" w:rsidRPr="0057749E" w:rsidRDefault="00E168F5" w:rsidP="00E168F5">
      <w:pPr>
        <w:widowControl w:val="0"/>
        <w:rPr>
          <w:szCs w:val="22"/>
          <w:lang w:val="sk-SK"/>
        </w:rPr>
      </w:pPr>
    </w:p>
    <w:p w:rsidR="00E168F5" w:rsidRPr="0057749E" w:rsidRDefault="00E168F5" w:rsidP="00E168F5">
      <w:pPr>
        <w:widowControl w:val="0"/>
        <w:rPr>
          <w:i/>
          <w:szCs w:val="22"/>
          <w:lang w:val="sk-SK"/>
        </w:rPr>
      </w:pPr>
      <w:r w:rsidRPr="0057749E">
        <w:rPr>
          <w:i/>
          <w:szCs w:val="22"/>
          <w:lang w:val="sk-SK"/>
        </w:rPr>
        <w:t>Reakcie z precitlivenosti a anafylaktické reakcie</w:t>
      </w:r>
    </w:p>
    <w:p w:rsidR="00E168F5" w:rsidRPr="009E5DBC" w:rsidRDefault="00E168F5" w:rsidP="00E168F5">
      <w:pPr>
        <w:widowControl w:val="0"/>
        <w:tabs>
          <w:tab w:val="clear" w:pos="567"/>
        </w:tabs>
        <w:spacing w:line="240" w:lineRule="auto"/>
        <w:rPr>
          <w:szCs w:val="22"/>
          <w:lang w:val="sk-SK"/>
        </w:rPr>
      </w:pPr>
      <w:r w:rsidRPr="0057749E">
        <w:rPr>
          <w:szCs w:val="22"/>
          <w:lang w:val="sk-SK"/>
        </w:rPr>
        <w:t xml:space="preserve">Po uvedení lieku na trh boli hlásené </w:t>
      </w:r>
      <w:r>
        <w:rPr>
          <w:szCs w:val="22"/>
          <w:lang w:val="sk-SK"/>
        </w:rPr>
        <w:t>r</w:t>
      </w:r>
      <w:r w:rsidRPr="0057749E">
        <w:rPr>
          <w:szCs w:val="22"/>
          <w:lang w:val="sk-SK"/>
        </w:rPr>
        <w:t>eakcie z precitlivenosti a a</w:t>
      </w:r>
      <w:r w:rsidR="00A414FE">
        <w:rPr>
          <w:szCs w:val="22"/>
          <w:lang w:val="sk-SK"/>
        </w:rPr>
        <w:t>lergi</w:t>
      </w:r>
      <w:r w:rsidRPr="0057749E">
        <w:rPr>
          <w:szCs w:val="22"/>
          <w:lang w:val="sk-SK"/>
        </w:rPr>
        <w:t xml:space="preserve">cké reakcie. </w:t>
      </w:r>
      <w:r>
        <w:rPr>
          <w:szCs w:val="22"/>
          <w:lang w:val="sk-SK"/>
        </w:rPr>
        <w:t>Ak dôjde k ich výskytu, najčastejšie postihujú kožu, zriedkavo ústa a dýchacie cesty</w:t>
      </w:r>
      <w:r w:rsidRPr="0057749E">
        <w:rPr>
          <w:szCs w:val="22"/>
          <w:lang w:val="sk-SK"/>
        </w:rPr>
        <w:t xml:space="preserve">. </w:t>
      </w:r>
      <w:r>
        <w:rPr>
          <w:szCs w:val="22"/>
          <w:lang w:val="sk-SK"/>
        </w:rPr>
        <w:t>Hlásené boli aj ojedinelé prípady anafylaktického šoku</w:t>
      </w:r>
      <w:r w:rsidRPr="00B82A88">
        <w:rPr>
          <w:szCs w:val="22"/>
          <w:lang w:val="sk-SK"/>
        </w:rPr>
        <w:t>.</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i/>
          <w:szCs w:val="22"/>
          <w:lang w:val="sk-SK"/>
        </w:rPr>
      </w:pPr>
      <w:r w:rsidRPr="00543955">
        <w:rPr>
          <w:i/>
          <w:szCs w:val="22"/>
          <w:lang w:val="sk-SK"/>
        </w:rPr>
        <w:t>Reakcie v mieste vpichu</w:t>
      </w:r>
    </w:p>
    <w:p w:rsidR="00871AAF" w:rsidRPr="00543955" w:rsidRDefault="00871AAF" w:rsidP="007E1DD6">
      <w:pPr>
        <w:widowControl w:val="0"/>
        <w:tabs>
          <w:tab w:val="clear" w:pos="567"/>
        </w:tabs>
        <w:spacing w:line="240" w:lineRule="auto"/>
        <w:rPr>
          <w:szCs w:val="22"/>
          <w:lang w:val="sk-SK"/>
        </w:rPr>
      </w:pPr>
      <w:r w:rsidRPr="00543955">
        <w:rPr>
          <w:szCs w:val="22"/>
          <w:lang w:val="sk-SK"/>
        </w:rPr>
        <w:t xml:space="preserve">Bolesť alebo štípanie, tŕpnutie alebo pálenie v mieste podania s.c. injekcie so začervenaním a opuchom </w:t>
      </w:r>
      <w:r w:rsidRPr="00543955">
        <w:rPr>
          <w:szCs w:val="22"/>
          <w:lang w:val="sk-SK"/>
        </w:rPr>
        <w:lastRenderedPageBreak/>
        <w:t>zriedkavo trvajú dlhšie ako 15 minút. Nepríjemné pocity sa môžu zmierniť tým, že sa roztok pred podaním nechá zohriať na teplotu miestnosti alebo podaním menšieho objemu s koncentrovanejším roztokom.</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i/>
          <w:szCs w:val="22"/>
          <w:lang w:val="sk-SK"/>
        </w:rPr>
      </w:pPr>
      <w:r w:rsidRPr="00543955">
        <w:rPr>
          <w:i/>
          <w:szCs w:val="22"/>
          <w:lang w:val="sk-SK"/>
        </w:rPr>
        <w:t xml:space="preserve">Poruchy metabolizmu a výživy </w:t>
      </w:r>
    </w:p>
    <w:p w:rsidR="00871AAF" w:rsidRPr="00543955" w:rsidRDefault="00871AAF" w:rsidP="007E1DD6">
      <w:pPr>
        <w:widowControl w:val="0"/>
        <w:tabs>
          <w:tab w:val="clear" w:pos="567"/>
        </w:tabs>
        <w:spacing w:line="240" w:lineRule="auto"/>
        <w:rPr>
          <w:szCs w:val="22"/>
          <w:lang w:val="sk-SK"/>
        </w:rPr>
      </w:pPr>
      <w:r w:rsidRPr="00543955">
        <w:rPr>
          <w:szCs w:val="22"/>
          <w:lang w:val="sk-SK"/>
        </w:rPr>
        <w:t>Aj keď sa merané vylučovanie tukov v stolici môže zvýšiť, dosiaľ sa nedokázalo, že by dlhodobá liečba oktreotidom viedla k nedostatočnej výžive následkom nedostatočnej absorpcie.</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i/>
          <w:szCs w:val="22"/>
          <w:lang w:val="sk-SK"/>
        </w:rPr>
      </w:pPr>
      <w:r w:rsidRPr="00543955">
        <w:rPr>
          <w:i/>
          <w:szCs w:val="22"/>
          <w:lang w:val="sk-SK"/>
        </w:rPr>
        <w:t>Pankreatické enzýmy</w:t>
      </w:r>
    </w:p>
    <w:p w:rsidR="00871AAF" w:rsidRPr="00543955" w:rsidRDefault="00871AAF" w:rsidP="007E1DD6">
      <w:pPr>
        <w:widowControl w:val="0"/>
        <w:tabs>
          <w:tab w:val="clear" w:pos="567"/>
        </w:tabs>
        <w:spacing w:line="240" w:lineRule="auto"/>
        <w:rPr>
          <w:szCs w:val="22"/>
          <w:lang w:val="sk-SK"/>
        </w:rPr>
      </w:pPr>
      <w:r w:rsidRPr="00543955">
        <w:rPr>
          <w:szCs w:val="22"/>
          <w:lang w:val="sk-SK"/>
        </w:rPr>
        <w:t>Vo veľmi zriedkavých prípadoch sa zaznamenala počas prvých hodín alebo dní liečby s.c. Sandostatinom akútna pankreatitída, ktorá ustúpila po vysadení lieku. Okrem toho sa u pacientov dlhodobo liečených Sandostatinom s.c. zaznamenala pankreatitída spôsobená žlčovými kameňmi.</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i/>
          <w:szCs w:val="22"/>
          <w:lang w:val="sk-SK"/>
        </w:rPr>
      </w:pPr>
      <w:r w:rsidRPr="00543955">
        <w:rPr>
          <w:i/>
          <w:szCs w:val="22"/>
          <w:lang w:val="sk-SK"/>
        </w:rPr>
        <w:t xml:space="preserve">Poruchy srdca a srdcovej činnosti </w:t>
      </w:r>
    </w:p>
    <w:p w:rsidR="00871AAF" w:rsidRDefault="00E168F5" w:rsidP="007E1DD6">
      <w:pPr>
        <w:widowControl w:val="0"/>
        <w:tabs>
          <w:tab w:val="clear" w:pos="567"/>
        </w:tabs>
        <w:spacing w:line="240" w:lineRule="auto"/>
        <w:rPr>
          <w:szCs w:val="22"/>
          <w:lang w:val="sk-SK"/>
        </w:rPr>
      </w:pPr>
      <w:r>
        <w:rPr>
          <w:szCs w:val="22"/>
          <w:lang w:val="sk-SK"/>
        </w:rPr>
        <w:t>B</w:t>
      </w:r>
      <w:r w:rsidRPr="00776D7E">
        <w:rPr>
          <w:szCs w:val="22"/>
          <w:lang w:val="sk-SK"/>
        </w:rPr>
        <w:t xml:space="preserve">radykardia je pri somatostatínových analógoch častou nežiaducou reakciou. </w:t>
      </w:r>
      <w:r w:rsidR="00871AAF" w:rsidRPr="00543955">
        <w:rPr>
          <w:szCs w:val="22"/>
          <w:lang w:val="sk-SK"/>
        </w:rPr>
        <w:t>U pacientov s akromegáliou aj u pacientov s karcinoidovým syndrómom sa pozorovali zmeny na EKG, ako predĺženie QT intervalu , posuny osi, včasná repolarizácia, nízka voltáž, prechod R/S, včasná progresia kmitu R a nešpecifické zmeny ST-T vlny. Súvislosť medzi týmito udalosťami a oktreotidacetátom nie je preukázaná, pretože mnohí z týchto pacientov majú základné ochorenie srdca (pozri časť 4.4).</w:t>
      </w:r>
    </w:p>
    <w:p w:rsidR="00E168F5" w:rsidRDefault="00E168F5" w:rsidP="00E168F5">
      <w:pPr>
        <w:widowControl w:val="0"/>
        <w:rPr>
          <w:i/>
          <w:szCs w:val="22"/>
          <w:lang w:val="sk-SK"/>
        </w:rPr>
      </w:pPr>
    </w:p>
    <w:p w:rsidR="00E168F5" w:rsidRPr="00B82A88" w:rsidRDefault="00E168F5" w:rsidP="00E168F5">
      <w:pPr>
        <w:widowControl w:val="0"/>
        <w:rPr>
          <w:i/>
          <w:szCs w:val="22"/>
          <w:lang w:val="sk-SK"/>
        </w:rPr>
      </w:pPr>
      <w:r w:rsidRPr="00B82A88">
        <w:rPr>
          <w:i/>
          <w:szCs w:val="22"/>
          <w:lang w:val="sk-SK"/>
        </w:rPr>
        <w:t>Trombocytopénia</w:t>
      </w:r>
    </w:p>
    <w:p w:rsidR="00871AAF" w:rsidRDefault="00E168F5" w:rsidP="00E168F5">
      <w:pPr>
        <w:widowControl w:val="0"/>
        <w:tabs>
          <w:tab w:val="clear" w:pos="567"/>
        </w:tabs>
        <w:spacing w:line="240" w:lineRule="auto"/>
        <w:rPr>
          <w:szCs w:val="22"/>
          <w:lang w:val="sk-SK"/>
        </w:rPr>
      </w:pPr>
      <w:r w:rsidRPr="00ED432D">
        <w:rPr>
          <w:szCs w:val="22"/>
          <w:lang w:val="sk-SK"/>
        </w:rPr>
        <w:t>Po uvedení lieku na trh bola hlásená trombocytopénia, najmä počas intravenóznej liečby Sandostatinom u pacientov s cirhózou pečene. Táto porucha je po ukončení liečby reverzibilná.</w:t>
      </w:r>
    </w:p>
    <w:p w:rsidR="00E168F5" w:rsidRDefault="00E168F5" w:rsidP="00E168F5">
      <w:pPr>
        <w:widowControl w:val="0"/>
        <w:tabs>
          <w:tab w:val="clear" w:pos="567"/>
        </w:tabs>
        <w:spacing w:line="240" w:lineRule="auto"/>
        <w:rPr>
          <w:szCs w:val="22"/>
          <w:lang w:val="sk-SK"/>
        </w:rPr>
      </w:pPr>
    </w:p>
    <w:p w:rsidR="00871AAF" w:rsidRPr="00967D26" w:rsidRDefault="00871AAF" w:rsidP="00962FB4">
      <w:pPr>
        <w:autoSpaceDE w:val="0"/>
        <w:autoSpaceDN w:val="0"/>
        <w:adjustRightInd w:val="0"/>
        <w:spacing w:line="240" w:lineRule="auto"/>
        <w:rPr>
          <w:szCs w:val="22"/>
          <w:u w:val="single"/>
          <w:lang w:val="sk-SK"/>
        </w:rPr>
      </w:pPr>
      <w:r w:rsidRPr="00967D26">
        <w:rPr>
          <w:noProof/>
          <w:szCs w:val="22"/>
          <w:u w:val="single"/>
          <w:lang w:val="sk-SK"/>
        </w:rPr>
        <w:t xml:space="preserve">Hlásenie podozrení na nežiaduce </w:t>
      </w:r>
      <w:r>
        <w:rPr>
          <w:noProof/>
          <w:szCs w:val="22"/>
          <w:u w:val="single"/>
          <w:lang w:val="sk-SK"/>
        </w:rPr>
        <w:t>reakcie</w:t>
      </w:r>
    </w:p>
    <w:p w:rsidR="00871AAF" w:rsidRPr="00543955" w:rsidRDefault="00871AAF" w:rsidP="00962FB4">
      <w:pPr>
        <w:widowControl w:val="0"/>
        <w:tabs>
          <w:tab w:val="clear" w:pos="567"/>
        </w:tabs>
        <w:spacing w:line="240" w:lineRule="auto"/>
        <w:rPr>
          <w:szCs w:val="22"/>
          <w:lang w:val="sk-SK"/>
        </w:rPr>
      </w:pPr>
      <w:r w:rsidRPr="00967D26">
        <w:rPr>
          <w:noProof/>
          <w:szCs w:val="22"/>
          <w:lang w:val="sk-SK"/>
        </w:rPr>
        <w:t xml:space="preserve">Hlásenie podozrení na nežiaduce </w:t>
      </w:r>
      <w:r>
        <w:rPr>
          <w:noProof/>
          <w:szCs w:val="22"/>
          <w:lang w:val="sk-SK"/>
        </w:rPr>
        <w:t>reakcie</w:t>
      </w:r>
      <w:r w:rsidRPr="00967D26">
        <w:rPr>
          <w:noProof/>
          <w:szCs w:val="22"/>
          <w:lang w:val="sk-SK"/>
        </w:rPr>
        <w:t xml:space="preserve"> po </w:t>
      </w:r>
      <w:r>
        <w:rPr>
          <w:noProof/>
          <w:szCs w:val="22"/>
          <w:lang w:val="sk-SK"/>
        </w:rPr>
        <w:t>registrácii</w:t>
      </w:r>
      <w:r w:rsidRPr="00967D26">
        <w:rPr>
          <w:noProof/>
          <w:szCs w:val="22"/>
          <w:lang w:val="sk-SK"/>
        </w:rPr>
        <w:t xml:space="preserve"> lieku je dôležité.</w:t>
      </w:r>
      <w:r w:rsidRPr="00967D26">
        <w:rPr>
          <w:szCs w:val="22"/>
          <w:lang w:val="sk-SK"/>
        </w:rPr>
        <w:t xml:space="preserve"> </w:t>
      </w:r>
      <w:r w:rsidRPr="00967D26">
        <w:rPr>
          <w:noProof/>
          <w:szCs w:val="22"/>
          <w:lang w:val="sk-SK"/>
        </w:rPr>
        <w:t>Umožňuje priebežné monitorovanie pomeru prínosu</w:t>
      </w:r>
      <w:r w:rsidRPr="00A505E4">
        <w:rPr>
          <w:lang w:val="sk-SK"/>
        </w:rPr>
        <w:t xml:space="preserve"> a</w:t>
      </w:r>
      <w:r w:rsidRPr="00967D26">
        <w:rPr>
          <w:noProof/>
          <w:szCs w:val="22"/>
          <w:lang w:val="sk-SK"/>
        </w:rPr>
        <w:t> rizika lieku.</w:t>
      </w:r>
      <w:r w:rsidRPr="00967D26">
        <w:rPr>
          <w:szCs w:val="22"/>
          <w:lang w:val="sk-SK"/>
        </w:rPr>
        <w:t xml:space="preserve"> </w:t>
      </w:r>
      <w:r>
        <w:rPr>
          <w:szCs w:val="22"/>
          <w:lang w:val="sk-SK"/>
        </w:rPr>
        <w:t xml:space="preserve">Od </w:t>
      </w:r>
      <w:r>
        <w:rPr>
          <w:noProof/>
          <w:szCs w:val="22"/>
          <w:lang w:val="sk-SK"/>
        </w:rPr>
        <w:t>z</w:t>
      </w:r>
      <w:r w:rsidRPr="00967D26">
        <w:rPr>
          <w:noProof/>
          <w:szCs w:val="22"/>
          <w:lang w:val="sk-SK"/>
        </w:rPr>
        <w:t>dravotníckych pracovníkov</w:t>
      </w:r>
      <w:r>
        <w:rPr>
          <w:noProof/>
          <w:szCs w:val="22"/>
          <w:lang w:val="sk-SK"/>
        </w:rPr>
        <w:t xml:space="preserve"> sa vyžaduje</w:t>
      </w:r>
      <w:r w:rsidRPr="00967D26">
        <w:rPr>
          <w:noProof/>
          <w:szCs w:val="22"/>
          <w:lang w:val="sk-SK"/>
        </w:rPr>
        <w:t xml:space="preserve">, aby hlásili akékoľvek podozrenia na nežiaduce </w:t>
      </w:r>
      <w:r>
        <w:rPr>
          <w:noProof/>
          <w:szCs w:val="22"/>
          <w:lang w:val="sk-SK"/>
        </w:rPr>
        <w:t>reakcie</w:t>
      </w:r>
      <w:r w:rsidRPr="00967D26">
        <w:rPr>
          <w:noProof/>
          <w:szCs w:val="22"/>
          <w:lang w:val="sk-SK"/>
        </w:rPr>
        <w:t xml:space="preserve"> </w:t>
      </w:r>
      <w:r>
        <w:rPr>
          <w:noProof/>
          <w:szCs w:val="22"/>
          <w:lang w:val="sk-SK"/>
        </w:rPr>
        <w:t>na</w:t>
      </w:r>
      <w:r w:rsidRPr="00967D26">
        <w:rPr>
          <w:noProof/>
          <w:szCs w:val="22"/>
          <w:lang w:val="sk-SK"/>
        </w:rPr>
        <w:t xml:space="preserve"> </w:t>
      </w:r>
      <w:r w:rsidRPr="00A505E4">
        <w:rPr>
          <w:noProof/>
          <w:szCs w:val="22"/>
          <w:highlight w:val="lightGray"/>
          <w:lang w:val="sk-SK"/>
        </w:rPr>
        <w:t xml:space="preserve">národné </w:t>
      </w:r>
      <w:r>
        <w:rPr>
          <w:noProof/>
          <w:szCs w:val="22"/>
          <w:highlight w:val="lightGray"/>
          <w:lang w:val="sk-SK"/>
        </w:rPr>
        <w:t>centrum</w:t>
      </w:r>
      <w:r w:rsidRPr="00A505E4">
        <w:rPr>
          <w:noProof/>
          <w:szCs w:val="22"/>
          <w:highlight w:val="lightGray"/>
          <w:lang w:val="sk-SK"/>
        </w:rPr>
        <w:t xml:space="preserve"> hlásenia uvedené v </w:t>
      </w:r>
      <w:hyperlink r:id="rId9" w:history="1">
        <w:r w:rsidRPr="00136A93">
          <w:rPr>
            <w:rStyle w:val="Hypertextovprepojenie"/>
            <w:noProof/>
            <w:szCs w:val="22"/>
            <w:highlight w:val="lightGray"/>
            <w:lang w:val="sk-SK"/>
          </w:rPr>
          <w:t>P</w:t>
        </w:r>
        <w:r w:rsidRPr="008B5A5F">
          <w:rPr>
            <w:rStyle w:val="Hypertextovprepojenie"/>
            <w:highlight w:val="lightGray"/>
            <w:lang w:val="sk-SK"/>
          </w:rPr>
          <w:t xml:space="preserve">rílohe </w:t>
        </w:r>
        <w:r w:rsidRPr="00136A93">
          <w:rPr>
            <w:rStyle w:val="Hypertextovprepojenie"/>
            <w:noProof/>
            <w:szCs w:val="22"/>
            <w:highlight w:val="lightGray"/>
            <w:lang w:val="sk-SK"/>
          </w:rPr>
          <w:t>V</w:t>
        </w:r>
      </w:hyperlink>
      <w:r>
        <w:rPr>
          <w:rStyle w:val="Hypertextovprepojenie"/>
          <w:noProof/>
          <w:szCs w:val="22"/>
          <w:lang w:val="sk-SK"/>
        </w:rPr>
        <w:t>.</w:t>
      </w:r>
    </w:p>
    <w:p w:rsidR="00871AAF" w:rsidRPr="00543955" w:rsidRDefault="00871AAF" w:rsidP="007E1DD6">
      <w:pPr>
        <w:widowControl w:val="0"/>
        <w:tabs>
          <w:tab w:val="clear" w:pos="567"/>
        </w:tabs>
        <w:spacing w:line="240" w:lineRule="auto"/>
        <w:rPr>
          <w:szCs w:val="22"/>
          <w:u w:val="single"/>
          <w:lang w:val="sk-SK"/>
        </w:rPr>
      </w:pPr>
    </w:p>
    <w:p w:rsidR="00871AAF" w:rsidRPr="00543955" w:rsidRDefault="00871AAF" w:rsidP="007E1DD6">
      <w:pPr>
        <w:keepNext/>
        <w:widowControl w:val="0"/>
        <w:tabs>
          <w:tab w:val="clear" w:pos="567"/>
        </w:tabs>
        <w:spacing w:line="240" w:lineRule="auto"/>
        <w:ind w:left="567" w:hanging="567"/>
        <w:rPr>
          <w:szCs w:val="22"/>
          <w:lang w:val="sk-SK"/>
        </w:rPr>
      </w:pPr>
      <w:r w:rsidRPr="00543955">
        <w:rPr>
          <w:b/>
          <w:szCs w:val="22"/>
          <w:lang w:val="sk-SK"/>
        </w:rPr>
        <w:t>4.9</w:t>
      </w:r>
      <w:r w:rsidRPr="00543955">
        <w:rPr>
          <w:b/>
          <w:szCs w:val="22"/>
          <w:lang w:val="sk-SK"/>
        </w:rPr>
        <w:tab/>
        <w:t>Predávkovanie</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Zaznamenal sa obmedzený počet náhodných predávkovaní Sandostatinom u detí a dospelých. U dospelých boli dávky v rozmedzí 2 400 – 6 000 μg/deň podané kontinuálnou infúziou (100 – 250 μg/hod) alebo subkutánne (1 500 μg trikrát denne). Hlásené nežiaduce udalosti zahŕňali arytmiu, hypotenziu, zastavenie srdca, hypoxiu mozgu, pankreatitídu, hepatickú steatózu, hnačku, slabosť, letargiu, pokles telesnej hmotnosti, hepatomegáliu a laktátovú acidózu.</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U detí boli dávky v rozmedzí 50 – 3 000 μg/deň podané kontinuálnou infúziou (2,1 – 500 μg/hod) alebo subkutánne (50 – 100 μg). Jedinou hlásenou nežiaducou udalosťou bola mierna hyperglykémia.</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U pacientov s karcinómami, ktorí dostávali subkutánne dávky Sandostatinu 3 000 – 30 000 μg/deň rozdelené na čiastkové dávky, sa nezaznamenali žiadne neočakávané nežiaduce udalosti.</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Liečba predávkovania je symptomatická.</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ind w:left="567" w:hanging="567"/>
        <w:rPr>
          <w:b/>
          <w:szCs w:val="22"/>
          <w:lang w:val="sk-SK"/>
        </w:rPr>
      </w:pPr>
      <w:r w:rsidRPr="00543955">
        <w:rPr>
          <w:b/>
          <w:szCs w:val="22"/>
          <w:lang w:val="sk-SK"/>
        </w:rPr>
        <w:t>5.</w:t>
      </w:r>
      <w:r w:rsidRPr="00543955">
        <w:rPr>
          <w:b/>
          <w:szCs w:val="22"/>
          <w:lang w:val="sk-SK"/>
        </w:rPr>
        <w:tab/>
        <w:t>FARMAKOLOGICKÉ VLASTNOSTI</w:t>
      </w:r>
    </w:p>
    <w:p w:rsidR="00871AAF" w:rsidRPr="00543955" w:rsidRDefault="00871AAF" w:rsidP="007E1DD6">
      <w:pPr>
        <w:keepNext/>
        <w:widowControl w:val="0"/>
        <w:tabs>
          <w:tab w:val="clear" w:pos="567"/>
        </w:tabs>
        <w:spacing w:line="240" w:lineRule="auto"/>
        <w:ind w:left="567" w:hanging="567"/>
        <w:rPr>
          <w:szCs w:val="22"/>
          <w:highlight w:val="yellow"/>
          <w:lang w:val="sk-SK"/>
        </w:rPr>
      </w:pPr>
    </w:p>
    <w:p w:rsidR="00871AAF" w:rsidRPr="00543955" w:rsidRDefault="00871AAF" w:rsidP="007E1DD6">
      <w:pPr>
        <w:keepNext/>
        <w:widowControl w:val="0"/>
        <w:tabs>
          <w:tab w:val="clear" w:pos="567"/>
        </w:tabs>
        <w:spacing w:line="240" w:lineRule="auto"/>
        <w:ind w:left="567" w:hanging="567"/>
        <w:rPr>
          <w:b/>
          <w:szCs w:val="22"/>
          <w:lang w:val="sk-SK"/>
        </w:rPr>
      </w:pPr>
      <w:r w:rsidRPr="00543955">
        <w:rPr>
          <w:b/>
          <w:szCs w:val="22"/>
          <w:lang w:val="sk-SK"/>
        </w:rPr>
        <w:t>5.1</w:t>
      </w:r>
      <w:r w:rsidRPr="00543955">
        <w:rPr>
          <w:b/>
          <w:szCs w:val="22"/>
          <w:lang w:val="sk-SK"/>
        </w:rPr>
        <w:tab/>
        <w:t>Farmakodynamické vlastnosti</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lang w:val="sk-SK"/>
        </w:rPr>
      </w:pPr>
      <w:r w:rsidRPr="00543955">
        <w:rPr>
          <w:szCs w:val="22"/>
          <w:lang w:val="sk-SK"/>
        </w:rPr>
        <w:t xml:space="preserve">Farmakoterapeutická skupina: </w:t>
      </w:r>
      <w:r>
        <w:rPr>
          <w:szCs w:val="22"/>
          <w:lang w:val="sk-SK"/>
        </w:rPr>
        <w:t xml:space="preserve">Hormóny hypofýzy a hypotalamu a analógy, </w:t>
      </w:r>
      <w:r w:rsidRPr="00543955">
        <w:rPr>
          <w:szCs w:val="22"/>
          <w:lang w:val="sk-SK"/>
        </w:rPr>
        <w:t xml:space="preserve">Somatostatín a analógy, </w:t>
      </w:r>
      <w:r w:rsidRPr="00543955">
        <w:rPr>
          <w:szCs w:val="22"/>
          <w:lang w:val="sk-SK"/>
        </w:rPr>
        <w:lastRenderedPageBreak/>
        <w:t>ATC</w:t>
      </w:r>
      <w:r w:rsidR="0087779A">
        <w:rPr>
          <w:szCs w:val="22"/>
          <w:lang w:val="sk-SK"/>
        </w:rPr>
        <w:t> </w:t>
      </w:r>
      <w:r w:rsidRPr="00543955">
        <w:rPr>
          <w:szCs w:val="22"/>
          <w:lang w:val="sk-SK"/>
        </w:rPr>
        <w:t>kód:</w:t>
      </w:r>
      <w:r w:rsidR="0087779A">
        <w:rPr>
          <w:szCs w:val="22"/>
          <w:lang w:val="sk-SK"/>
        </w:rPr>
        <w:t> </w:t>
      </w:r>
      <w:r w:rsidRPr="00543955">
        <w:rPr>
          <w:szCs w:val="22"/>
          <w:lang w:val="sk-SK"/>
        </w:rPr>
        <w:t>H01CB02</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Oktreotid je syntetický oktapeptidový derivát prirodzene sa vyskytujúceho somatostatínu s podobnými farmakologickými účinkami, ale podstatne dlhším trvaním účinku. Tlmí patologicky zvýšenú sekréciu rastového hormónu (STH) a peptidov a serotonínu tvorených v gastroenteropankreatickom (GEP) endokrinnom systéme.</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U zvierat je oktreotid v porovnaní so somatostatínom účinnejší inhibítor uvoľňovania STH, glukagónu a inzulínu a má vyššiu selektivitu pre tlmenie STH a glukagónu.</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lang w:val="sk-SK"/>
        </w:rPr>
      </w:pPr>
      <w:r w:rsidRPr="00543955">
        <w:rPr>
          <w:szCs w:val="22"/>
          <w:lang w:val="sk-SK"/>
        </w:rPr>
        <w:t>U zdravých osôb sa preukázalo, že Sandostatin tlmí:</w:t>
      </w:r>
    </w:p>
    <w:p w:rsidR="00871AAF" w:rsidRPr="00543955" w:rsidRDefault="00871AAF" w:rsidP="008B5A5F">
      <w:pPr>
        <w:widowControl w:val="0"/>
        <w:numPr>
          <w:ilvl w:val="0"/>
          <w:numId w:val="1"/>
        </w:numPr>
        <w:tabs>
          <w:tab w:val="clear" w:pos="567"/>
        </w:tabs>
        <w:spacing w:line="240" w:lineRule="auto"/>
        <w:ind w:left="567" w:hanging="567"/>
        <w:rPr>
          <w:szCs w:val="22"/>
          <w:lang w:val="sk-SK"/>
        </w:rPr>
      </w:pPr>
      <w:r w:rsidRPr="00543955">
        <w:rPr>
          <w:szCs w:val="22"/>
          <w:lang w:val="sk-SK"/>
        </w:rPr>
        <w:t>uvoľňovanie STH stimulované arginínom a hypoglykémiu vyvolanú záťažou a inzulínom,</w:t>
      </w:r>
    </w:p>
    <w:p w:rsidR="00871AAF" w:rsidRPr="00543955" w:rsidRDefault="00871AAF" w:rsidP="007E1DD6">
      <w:pPr>
        <w:widowControl w:val="0"/>
        <w:numPr>
          <w:ilvl w:val="0"/>
          <w:numId w:val="1"/>
        </w:numPr>
        <w:tabs>
          <w:tab w:val="clear" w:pos="567"/>
        </w:tabs>
        <w:spacing w:line="240" w:lineRule="auto"/>
        <w:ind w:left="567" w:hanging="567"/>
        <w:rPr>
          <w:szCs w:val="22"/>
          <w:lang w:val="sk-SK"/>
        </w:rPr>
      </w:pPr>
      <w:r w:rsidRPr="00543955">
        <w:rPr>
          <w:szCs w:val="22"/>
          <w:lang w:val="sk-SK"/>
        </w:rPr>
        <w:t>postprandiálne uvoľňovanie inzulínu, glukagónu, gastrínu a iných peptidov GEP endokrinného systému a arginínom stimulované uvoľňovanie inzulínu a glukagónu,</w:t>
      </w:r>
    </w:p>
    <w:p w:rsidR="00871AAF" w:rsidRPr="00543955" w:rsidRDefault="00871AAF" w:rsidP="007E1DD6">
      <w:pPr>
        <w:widowControl w:val="0"/>
        <w:numPr>
          <w:ilvl w:val="0"/>
          <w:numId w:val="1"/>
        </w:numPr>
        <w:tabs>
          <w:tab w:val="clear" w:pos="567"/>
        </w:tabs>
        <w:spacing w:line="240" w:lineRule="auto"/>
        <w:ind w:left="567" w:hanging="567"/>
        <w:rPr>
          <w:szCs w:val="22"/>
          <w:lang w:val="sk-SK"/>
        </w:rPr>
      </w:pPr>
      <w:r w:rsidRPr="00543955">
        <w:rPr>
          <w:szCs w:val="22"/>
          <w:lang w:val="sk-SK"/>
        </w:rPr>
        <w:t>uvoľňovanie TSH stimulované tyreoliberínom (TRH).</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Na rozdiel od somatostatínu tlmí oktreotid sekréciu STH vo väčšej miere ako inzulínu a reakciou na jeho podanie nie je zvýšená sekrécia hormónov (t.j. STH u pacientov s akromegáliou).</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U pacientov s akromegáliou znižuje Sandostatin plazmatické hladiny STH a IGF-1. Ku zníženiu STH o 50% alebo viac dôjde až u 90% pacientov a asi v polovici prípadov sa dá dosiahnuť zníženie STH v sére na hodnoty &lt;5 ng/ml. U väčšiny pacientov Sandostatin výrazne potláča klinické prejavy choroby, ako je bolesť hlavy, opuch kože a mäkkých tkanív, hyperhidróza, artralgia, parestézia. U pacientov s veľkým adenómom hypofýzy môže liečba Sandostatinom vyvolať určité zmenšenie objemu nádorového tkaniva.</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U pacientov s funkčnými nádormi GEP endokrinného systému Sandostatin na základe svojich rozmanitých endokrinných účinkov ovplyvňuje celý rad klinických príznakov. Ku klinickému zlepšeniu a zmierneniu symptómov dochádza u pacientov, u ktorých pretrvávajú príznaky súvisiace s nádorom napriek predchádzajúcej liečbe, ktorá môže zahŕňať chirurgický výkon, embolizáciu pečeňovej artérie a rôzne druhy chemoterapie, napr. streptozocínom a 5-fluorouracilom.</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u w:val="single"/>
          <w:lang w:val="sk-SK"/>
        </w:rPr>
      </w:pPr>
      <w:r w:rsidRPr="00543955">
        <w:rPr>
          <w:szCs w:val="22"/>
          <w:u w:val="single"/>
          <w:lang w:val="sk-SK"/>
        </w:rPr>
        <w:t>Účinky Sandostatinu pri rôznych typoch nádorov sú nasledovné</w:t>
      </w:r>
    </w:p>
    <w:p w:rsidR="00871AAF" w:rsidRPr="00543955" w:rsidRDefault="00871AAF" w:rsidP="007E1DD6">
      <w:pPr>
        <w:keepNext/>
        <w:widowControl w:val="0"/>
        <w:tabs>
          <w:tab w:val="clear" w:pos="567"/>
        </w:tabs>
        <w:spacing w:line="240" w:lineRule="auto"/>
        <w:rPr>
          <w:szCs w:val="22"/>
          <w:u w:val="single"/>
          <w:lang w:val="sk-SK"/>
        </w:rPr>
      </w:pPr>
    </w:p>
    <w:p w:rsidR="00871AAF" w:rsidRPr="00543955" w:rsidRDefault="00871AAF" w:rsidP="007E1DD6">
      <w:pPr>
        <w:keepNext/>
        <w:widowControl w:val="0"/>
        <w:tabs>
          <w:tab w:val="clear" w:pos="567"/>
        </w:tabs>
        <w:spacing w:line="240" w:lineRule="auto"/>
        <w:rPr>
          <w:szCs w:val="22"/>
          <w:lang w:val="sk-SK"/>
        </w:rPr>
      </w:pPr>
      <w:r w:rsidRPr="00543955">
        <w:rPr>
          <w:szCs w:val="22"/>
          <w:u w:val="single"/>
          <w:lang w:val="sk-SK"/>
        </w:rPr>
        <w:t>Karcinoidové nádory</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Podávanie Sandostatinu môže viesť k ústupu príznakov, hlavne návalov tepla a hnačky. V mnohých prípadoch súčasne dochádza k poklesu hladiny serotonínu v plazme a k zníženiu vylučovania kyseliny 5-hydroxyindoloctovej močom.</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u w:val="single"/>
          <w:lang w:val="sk-SK"/>
        </w:rPr>
      </w:pPr>
      <w:r w:rsidRPr="00543955">
        <w:rPr>
          <w:szCs w:val="22"/>
          <w:u w:val="single"/>
          <w:lang w:val="sk-SK"/>
        </w:rPr>
        <w:t>VIPómy</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Biochemickou vlastnosťou týchto nádorov je nadprodukcia vazoaktívneho intestinálneho peptidu (VIP). Vo väčšine prípadov podávanie Sandostatinu vyvolá zmiernenie ťažkej, pre tento stav typickej sekretorickej hnačky, s následným zlepšením kvality života. Toto zároveň vedie aj k ústupu sprievodných porúch elektrolytov, napr. hypokaliémie, čo umožňuje ukončiť enterálne aj parenterálne dopĺňanie tekutín a elektrolytov. U niektorých pacientov sa pri vyšetrení počítačovou tomografiou ukáže spomalenie alebo zastavenie rastu nádoru alebo dokonca zmenšovanie jeho objemu, hlavne metastáz v pečeni. Klinické zlepšenie zvyčajne sprevádza zníženie plazmatických hladín VIP, ktoré môžu klesnúť do normálneho referenčného rozmedzia.</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u w:val="single"/>
          <w:lang w:val="sk-SK"/>
        </w:rPr>
      </w:pPr>
      <w:r w:rsidRPr="00543955">
        <w:rPr>
          <w:szCs w:val="22"/>
          <w:u w:val="single"/>
          <w:lang w:val="sk-SK"/>
        </w:rPr>
        <w:lastRenderedPageBreak/>
        <w:t>Glukagonómy</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Podávanie Sandostatinu vo väčšine prípadov vedie k podstatnému zmierneniu nekrolytického sťahovavého erytému, ktorý je charakteristický pre toto ochorenie. Účinok Sandostatinu na mierny diabetes mellitus, ktorý sa často vyskytuje, nie je výrazný a vo všeobecnosti nemá za následok zníženie potreby inzulínu alebo perorálnych antidiabetík. U postihnutých pacientov Sandostatin zmierňuje hnačku a spôsobuje nárast telesnej hmotnosti. Aj keď podávanie Sandostatinu často vedie k okamžitému zníženiu plazmatických hladín glukagónu, tento pokles zvyčajne nepretrváva pri dlhodobom podávaní lieku, a to napriek pokračujúcemu zlepšovaniu príznakov.</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b/>
          <w:szCs w:val="22"/>
          <w:lang w:val="sk-SK"/>
        </w:rPr>
      </w:pPr>
      <w:r w:rsidRPr="00543955">
        <w:rPr>
          <w:szCs w:val="22"/>
          <w:u w:val="single"/>
          <w:lang w:val="sk-SK"/>
        </w:rPr>
        <w:t>Gastrinómy (Zollingerov-Ellisonov syndróm)</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tabs>
          <w:tab w:val="clear" w:pos="567"/>
        </w:tabs>
        <w:spacing w:line="240" w:lineRule="auto"/>
        <w:rPr>
          <w:szCs w:val="22"/>
          <w:lang w:val="sk-SK"/>
        </w:rPr>
      </w:pPr>
      <w:r w:rsidRPr="00543955">
        <w:rPr>
          <w:szCs w:val="22"/>
          <w:lang w:val="sk-SK"/>
        </w:rPr>
        <w:t>Liečba inhibítormi protónovej pumpy alebo blokátormi H2-receptorov obyčajne reguluje nadmernú sekréciu žalúdkovej kyseliny. Avšak hnačku, ktorá je tiež významným príznakom, nemusia inhibítory protónovej pumpy alebo blokátory H2-receptorov adekvátne zmierniť. Sandostatin môže ďalej znížiť nadmernú sekréciu žalúdkovej kyseliny a zlepšiť príznaky, vrátane hnačky, keďže u niektorých pacientov prináša potlačenie zvýšených hladín gastrínu.</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u w:val="single"/>
          <w:lang w:val="sk-SK"/>
        </w:rPr>
      </w:pPr>
      <w:r w:rsidRPr="00543955">
        <w:rPr>
          <w:szCs w:val="22"/>
          <w:u w:val="single"/>
          <w:lang w:val="sk-SK"/>
        </w:rPr>
        <w:t>Inzulinómy</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Podávanie Sandostatinu vyvoláva pokles cirkulujúceho imunoreaktívneho inzulínu, ktorý však môže trvať len krátko (asi 2 hodiny). U pacientov s operabilnými nádormi Sandostatin môže pomôcť obnoviť a udržať normoglykémiu pred operáciou. U pacientov s neoperabilnými benígnymi alebo malígnymi nádormi sa môže regulácia glykémie zlepšiť aj bez súčasného trvalého zníženia hladín cirkulujúceho inzulínu.</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u w:val="single"/>
          <w:lang w:val="sk-SK"/>
        </w:rPr>
      </w:pPr>
      <w:r w:rsidRPr="00543955">
        <w:rPr>
          <w:szCs w:val="22"/>
          <w:u w:val="single"/>
          <w:lang w:val="sk-SK"/>
        </w:rPr>
        <w:t>Komplikácie po operácii pankreasu</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U pacientov podstupujúcich operáciu pankreasu zníži peri- a postoperačné podávanie Sandostatinu výskyt typických pooperačných komplikácií (napr. pankreatickej fistuly, abscesu a následnej sepsy a pooperačnej akútnej pankreatitídy).</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u w:val="single"/>
          <w:lang w:val="sk-SK"/>
        </w:rPr>
      </w:pPr>
      <w:r w:rsidRPr="00543955">
        <w:rPr>
          <w:szCs w:val="22"/>
          <w:u w:val="single"/>
          <w:lang w:val="sk-SK"/>
        </w:rPr>
        <w:t>Krvácanie z gastroezofageálnych varixov</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U pacientov s krvácaním z gastroezofageálnych varixov pri cirhóze pečene ako základnom ochorení podanie Sandostatinu v kombinácii so špecifickou liečbou (napr. skleroterapiou) vedie k lepšej kontrole krvácania a včasného opätovného krvácania, zníženiu potreby transfúzie a zlepšeniu prežívania po 5 dňoch. Aj keď presný mechanizmus účinku Sandostatinu nie je úplne objasnený, predpokladá sa, že Sandostatin znižuje splanchnický prietok krvi tlmením vazoaktívnych hormónov (napr. VIP a glukagónu).</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szCs w:val="22"/>
          <w:u w:val="single"/>
          <w:lang w:val="sk-SK"/>
        </w:rPr>
      </w:pPr>
      <w:r w:rsidRPr="00543955">
        <w:rPr>
          <w:szCs w:val="22"/>
          <w:u w:val="single"/>
          <w:lang w:val="sk-SK"/>
        </w:rPr>
        <w:t>Liečba adenómov hypofýzy vylučujúcich TSH</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Liečebné účinky Sandostatinu boli prospektívne pozorované u 21 pacientov a združené v sade z 37 publikovaných prípadov. Spomedzi 42 pacientov s hodnotiteľnými biochemickými údajmi malo 81% pacientov (n=34) uspokojivé výsledky (minimálne 50% redukcia TSH a podstatná redukcia tyroidných  hormónov), zatiaľ čo 67% (n=28) malo normalizáciu TSH a tyroidných hormónov. U týchto pacientov sa odpoveď udržala počas celého trvania liečby (až do 61 mesiacov, priemer 15,7 mesiacov).</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S ohľadom na klinické príznaky sa jednoznačné zlepšenie zaznamenalo u 19 z 32 pacientov s klinickým hypertyroidizmom. Redukcia objemu tumoru o viac 20% sa pozorovala v 11 prípadoch (41%), v 4 prípadoch (15%) so znížením o viac ako 50%. Najskoršia redukcia sa zaznamenala po 14 dňoch liečby.</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ind w:left="567" w:hanging="567"/>
        <w:rPr>
          <w:b/>
          <w:szCs w:val="22"/>
          <w:lang w:val="sk-SK"/>
        </w:rPr>
      </w:pPr>
      <w:r w:rsidRPr="00543955">
        <w:rPr>
          <w:b/>
          <w:szCs w:val="22"/>
          <w:lang w:val="sk-SK"/>
        </w:rPr>
        <w:t>5.2</w:t>
      </w:r>
      <w:r w:rsidRPr="00543955">
        <w:rPr>
          <w:b/>
          <w:szCs w:val="22"/>
          <w:lang w:val="sk-SK"/>
        </w:rPr>
        <w:tab/>
        <w:t>Farmakokinetické vlastnosti</w:t>
      </w:r>
    </w:p>
    <w:p w:rsidR="00871AAF" w:rsidRPr="00543955" w:rsidRDefault="00871AAF" w:rsidP="007E1DD6">
      <w:pPr>
        <w:keepNext/>
        <w:widowControl w:val="0"/>
        <w:tabs>
          <w:tab w:val="clear" w:pos="567"/>
        </w:tabs>
        <w:spacing w:line="240" w:lineRule="auto"/>
        <w:ind w:left="567" w:hanging="567"/>
        <w:rPr>
          <w:szCs w:val="22"/>
          <w:lang w:val="sk-SK"/>
        </w:rPr>
      </w:pPr>
    </w:p>
    <w:p w:rsidR="00871AAF" w:rsidRPr="00543955" w:rsidRDefault="00871AAF" w:rsidP="007E1DD6">
      <w:pPr>
        <w:keepNext/>
        <w:widowControl w:val="0"/>
        <w:numPr>
          <w:ilvl w:val="12"/>
          <w:numId w:val="0"/>
        </w:numPr>
        <w:tabs>
          <w:tab w:val="clear" w:pos="567"/>
        </w:tabs>
        <w:spacing w:line="240" w:lineRule="auto"/>
        <w:ind w:right="-2"/>
        <w:rPr>
          <w:iCs/>
          <w:szCs w:val="22"/>
          <w:highlight w:val="yellow"/>
          <w:u w:val="single"/>
          <w:lang w:val="sk-SK"/>
        </w:rPr>
      </w:pPr>
      <w:r w:rsidRPr="00543955">
        <w:rPr>
          <w:iCs/>
          <w:szCs w:val="22"/>
          <w:u w:val="single"/>
          <w:lang w:val="sk-SK"/>
        </w:rPr>
        <w:t>Absorpcia</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Sandostatin sa po s.c. injekcii rýchlo a úplne vstrebáva. Maximálne plazmatické koncentrácie sa dosahujú v priebehu 30 minút.</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uppressAutoHyphens/>
        <w:spacing w:line="240" w:lineRule="auto"/>
        <w:rPr>
          <w:iCs/>
          <w:szCs w:val="22"/>
          <w:highlight w:val="yellow"/>
          <w:u w:val="single"/>
          <w:lang w:val="sk-SK"/>
        </w:rPr>
      </w:pPr>
      <w:r w:rsidRPr="00543955">
        <w:rPr>
          <w:iCs/>
          <w:szCs w:val="22"/>
          <w:u w:val="single"/>
          <w:lang w:val="sk-SK"/>
        </w:rPr>
        <w:t>Distribúcia</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Distribučný objem je 0,27 l/kg a celkový telesný klírens je 160 ml/min. Väzba na bielkoviny plazmy dosahuje 65%. Množstvo Sandostatinu viazaného na krvinky je zanedbateľné.</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numPr>
          <w:ilvl w:val="12"/>
          <w:numId w:val="0"/>
        </w:numPr>
        <w:tabs>
          <w:tab w:val="clear" w:pos="567"/>
        </w:tabs>
        <w:spacing w:line="240" w:lineRule="auto"/>
        <w:ind w:right="-2"/>
        <w:rPr>
          <w:iCs/>
          <w:szCs w:val="22"/>
          <w:highlight w:val="yellow"/>
          <w:u w:val="single"/>
          <w:lang w:val="sk-SK"/>
        </w:rPr>
      </w:pPr>
      <w:r w:rsidRPr="00543955">
        <w:rPr>
          <w:iCs/>
          <w:szCs w:val="22"/>
          <w:u w:val="single"/>
          <w:lang w:val="sk-SK"/>
        </w:rPr>
        <w:t>Eliminácia</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Polčas eliminácie po s.c. podaní je 100 minút. Po i.v. injekcii je eliminácia dvojfázová, s polčasmi 10 minút a 90 minút. Väčšina peptidu sa vylúči stolicou a asi 32% sa vylúči v nezmenenej forme do moču.</w:t>
      </w:r>
    </w:p>
    <w:p w:rsidR="00871AAF" w:rsidRPr="00543955" w:rsidRDefault="00871AAF" w:rsidP="007E1DD6">
      <w:pPr>
        <w:widowControl w:val="0"/>
        <w:numPr>
          <w:ilvl w:val="12"/>
          <w:numId w:val="0"/>
        </w:numPr>
        <w:tabs>
          <w:tab w:val="clear" w:pos="567"/>
        </w:tabs>
        <w:spacing w:line="240" w:lineRule="auto"/>
        <w:ind w:right="-2"/>
        <w:rPr>
          <w:iCs/>
          <w:szCs w:val="22"/>
          <w:u w:val="single"/>
          <w:lang w:val="sk-SK"/>
        </w:rPr>
      </w:pPr>
    </w:p>
    <w:p w:rsidR="00871AAF" w:rsidRPr="00543955" w:rsidRDefault="00871AAF" w:rsidP="007E1DD6">
      <w:pPr>
        <w:keepNext/>
        <w:widowControl w:val="0"/>
        <w:numPr>
          <w:ilvl w:val="12"/>
          <w:numId w:val="0"/>
        </w:numPr>
        <w:tabs>
          <w:tab w:val="clear" w:pos="567"/>
        </w:tabs>
        <w:spacing w:line="240" w:lineRule="auto"/>
        <w:ind w:right="-2"/>
        <w:rPr>
          <w:iCs/>
          <w:szCs w:val="22"/>
          <w:highlight w:val="yellow"/>
          <w:u w:val="single"/>
          <w:lang w:val="sk-SK"/>
        </w:rPr>
      </w:pPr>
      <w:r w:rsidRPr="00543955">
        <w:rPr>
          <w:iCs/>
          <w:szCs w:val="22"/>
          <w:u w:val="single"/>
          <w:lang w:val="sk-SK"/>
        </w:rPr>
        <w:t>Osobitné populácie pacientov</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Poškodenie funkcie obličiek neovplyvnilo celkovú expozíciu (AUC) oktreotidu podávaného s.c. injekciou.</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r w:rsidRPr="00543955">
        <w:rPr>
          <w:szCs w:val="22"/>
          <w:lang w:val="sk-SK"/>
        </w:rPr>
        <w:t>Eliminačná schopnosť sa môže znížiť u pacientov s cirhózou pečene, ale nie u pacientov so steatózou pečene.</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ind w:left="567" w:hanging="567"/>
        <w:rPr>
          <w:szCs w:val="22"/>
          <w:lang w:val="sk-SK"/>
        </w:rPr>
      </w:pPr>
      <w:r w:rsidRPr="00543955">
        <w:rPr>
          <w:b/>
          <w:szCs w:val="22"/>
          <w:lang w:val="sk-SK"/>
        </w:rPr>
        <w:t>5.3</w:t>
      </w:r>
      <w:r w:rsidRPr="00543955">
        <w:rPr>
          <w:b/>
          <w:szCs w:val="22"/>
          <w:lang w:val="sk-SK"/>
        </w:rPr>
        <w:tab/>
        <w:t>Predklinické údaje o bezpečnosti</w:t>
      </w:r>
    </w:p>
    <w:p w:rsidR="00871AAF" w:rsidRPr="00543955" w:rsidRDefault="00871AAF" w:rsidP="007E1DD6">
      <w:pPr>
        <w:keepNext/>
        <w:widowControl w:val="0"/>
        <w:tabs>
          <w:tab w:val="clear" w:pos="567"/>
        </w:tabs>
        <w:spacing w:line="240" w:lineRule="auto"/>
        <w:rPr>
          <w:szCs w:val="22"/>
          <w:lang w:val="sk-SK"/>
        </w:rPr>
      </w:pPr>
    </w:p>
    <w:p w:rsidR="00871AAF" w:rsidRPr="00543955" w:rsidRDefault="00871AAF" w:rsidP="007E1DD6">
      <w:pPr>
        <w:tabs>
          <w:tab w:val="clear" w:pos="567"/>
        </w:tabs>
        <w:spacing w:line="240" w:lineRule="auto"/>
        <w:rPr>
          <w:szCs w:val="22"/>
          <w:lang w:val="sk-SK"/>
        </w:rPr>
      </w:pPr>
      <w:r w:rsidRPr="00543955">
        <w:rPr>
          <w:szCs w:val="22"/>
          <w:lang w:val="sk-SK"/>
        </w:rPr>
        <w:t>Štúdie akútnej toxicity a toxicity pri opakovanom podávaní, genotoxicity, karcinogenity a reprodukčnej toxicity na zvieratách neodhalili žiadne špecifické bezpečnostné riziká pre ľudí.</w:t>
      </w:r>
    </w:p>
    <w:p w:rsidR="00871AAF" w:rsidRPr="00543955" w:rsidRDefault="00871AAF" w:rsidP="007E1DD6">
      <w:pPr>
        <w:tabs>
          <w:tab w:val="clear" w:pos="567"/>
        </w:tabs>
        <w:spacing w:line="240" w:lineRule="auto"/>
        <w:rPr>
          <w:szCs w:val="22"/>
          <w:lang w:val="sk-SK"/>
        </w:rPr>
      </w:pPr>
    </w:p>
    <w:p w:rsidR="00871AAF" w:rsidRPr="00543955" w:rsidRDefault="00871AAF" w:rsidP="007E1DD6">
      <w:pPr>
        <w:tabs>
          <w:tab w:val="clear" w:pos="567"/>
        </w:tabs>
        <w:spacing w:line="240" w:lineRule="auto"/>
        <w:rPr>
          <w:szCs w:val="22"/>
          <w:lang w:val="sk-SK"/>
        </w:rPr>
      </w:pPr>
      <w:r w:rsidRPr="00543955">
        <w:rPr>
          <w:szCs w:val="22"/>
          <w:lang w:val="sk-SK"/>
        </w:rPr>
        <w:t>Reprodukčné štúdie na zvieratách neodhalili žiadne dôkazy teratogénnych, embryo/fetálnych alebo iných reprodukčných účinkov v dôsledku oktreotidu pri dávkach u rodičov až do 1 mg/kg/deň. U potomkov potkanov sa zaznamenalo isté spomalenie fyziologického rastu, ktoré bolo prechodné a pripisovalo sa inhibícii STH spôsobenej prílišnou farmakodynamickou aktivitou (pozri časť 4.6).</w:t>
      </w:r>
    </w:p>
    <w:p w:rsidR="00871AAF" w:rsidRPr="00543955" w:rsidRDefault="00871AAF" w:rsidP="007E1DD6">
      <w:pPr>
        <w:tabs>
          <w:tab w:val="clear" w:pos="567"/>
        </w:tabs>
        <w:spacing w:line="240" w:lineRule="auto"/>
        <w:rPr>
          <w:szCs w:val="22"/>
          <w:lang w:val="sk-SK"/>
        </w:rPr>
      </w:pPr>
    </w:p>
    <w:p w:rsidR="00871AAF" w:rsidRPr="00543955" w:rsidRDefault="00871AAF" w:rsidP="007E1DD6">
      <w:pPr>
        <w:tabs>
          <w:tab w:val="clear" w:pos="567"/>
        </w:tabs>
        <w:spacing w:line="240" w:lineRule="auto"/>
        <w:rPr>
          <w:szCs w:val="22"/>
          <w:lang w:val="sk-SK"/>
        </w:rPr>
      </w:pPr>
      <w:r w:rsidRPr="00543955">
        <w:rPr>
          <w:szCs w:val="22"/>
          <w:lang w:val="sk-SK"/>
        </w:rPr>
        <w:t>Žiadne špecifické štúdie sa nerealizovali na mladých potkanoch. V štúdiách prenatálneho a postnatálneho vývinu sa pozoroval obmedzený rast a dozrievanie u F1 potomkov samíc, ktoré dostávali oktreotid počas celej gravidity a laktácie. U F1 samčieho potomstva sa pozoroval oneskorený zostup semenníkov, ale fertilita postihnutých F1 samčích mláďat ostala normálna. Vyššie uvedené pozorovania teda boli prechodné a považovali sa za dôsledok inhibície STH.</w:t>
      </w:r>
    </w:p>
    <w:p w:rsidR="00871AAF" w:rsidRPr="00543955" w:rsidRDefault="00871AAF" w:rsidP="007E1DD6">
      <w:pPr>
        <w:tabs>
          <w:tab w:val="clear" w:pos="567"/>
        </w:tabs>
        <w:spacing w:line="240" w:lineRule="auto"/>
        <w:jc w:val="both"/>
        <w:rPr>
          <w:szCs w:val="22"/>
          <w:u w:val="single"/>
          <w:lang w:val="sk-SK"/>
        </w:rPr>
      </w:pPr>
    </w:p>
    <w:p w:rsidR="00871AAF" w:rsidRPr="00543955" w:rsidRDefault="00871AAF" w:rsidP="007E1DD6">
      <w:pPr>
        <w:keepNext/>
        <w:tabs>
          <w:tab w:val="clear" w:pos="567"/>
        </w:tabs>
        <w:spacing w:line="240" w:lineRule="auto"/>
        <w:jc w:val="both"/>
        <w:rPr>
          <w:b/>
          <w:szCs w:val="22"/>
          <w:lang w:val="sk-SK"/>
        </w:rPr>
      </w:pPr>
      <w:r w:rsidRPr="00543955">
        <w:rPr>
          <w:szCs w:val="22"/>
          <w:u w:val="single"/>
          <w:lang w:val="sk-SK"/>
        </w:rPr>
        <w:t>Karcinogenita/chronická toxicita</w:t>
      </w:r>
    </w:p>
    <w:p w:rsidR="00871AAF" w:rsidRPr="00543955" w:rsidRDefault="00871AAF" w:rsidP="007E1DD6">
      <w:pPr>
        <w:keepNext/>
        <w:tabs>
          <w:tab w:val="clear" w:pos="567"/>
        </w:tabs>
        <w:spacing w:line="240" w:lineRule="auto"/>
        <w:jc w:val="both"/>
        <w:rPr>
          <w:szCs w:val="22"/>
          <w:lang w:val="sk-SK"/>
        </w:rPr>
      </w:pPr>
    </w:p>
    <w:p w:rsidR="00871AAF" w:rsidRPr="00543955" w:rsidRDefault="00871AAF" w:rsidP="007E1DD6">
      <w:pPr>
        <w:tabs>
          <w:tab w:val="clear" w:pos="567"/>
        </w:tabs>
        <w:spacing w:line="240" w:lineRule="auto"/>
        <w:rPr>
          <w:szCs w:val="22"/>
          <w:lang w:val="sk-SK"/>
        </w:rPr>
      </w:pPr>
      <w:r w:rsidRPr="00543955">
        <w:rPr>
          <w:szCs w:val="22"/>
          <w:lang w:val="sk-SK"/>
        </w:rPr>
        <w:t>U potkanov dostávajúcich oktreotid v denných dávkach do 1,25 mg/kg telesnej hmotnosti sa pozorovali fibrosarkómy, predovšetkým u niekoľkých samcov na mieste vpichu s.c. injekcie po 52, 104 a 113/116 týždni. Lokálne tumory sa tiež vyskytli v kontrolnej skupine, avšak vývoj týchto tumorov sa pripisoval porušenej fibroplázii z dôvodu trvalého podráždenia na mieste vpichu znásobeného acidickou povahu vehikula - kyseliny mliečnej/manitolu. Táto nešpecifická tkanivová reakcia sa zdá byť špecifická pre potkany. Neoplastické lézie neboli pozorované ani u myší dostávajúcich denné s.c. injekcie oktreotidu v dávke do 2 mg/kg počas 98 týždňov, ani u psov liečených denne s.c. dávkami liečiva po dobu 52 týždňov.</w:t>
      </w:r>
    </w:p>
    <w:p w:rsidR="00871AAF" w:rsidRPr="00543955" w:rsidRDefault="00871AAF" w:rsidP="007E1DD6">
      <w:pPr>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highlight w:val="yellow"/>
          <w:u w:val="single"/>
          <w:lang w:val="sk-SK"/>
        </w:rPr>
      </w:pPr>
    </w:p>
    <w:p w:rsidR="00871AAF" w:rsidRPr="00543955" w:rsidRDefault="00871AAF" w:rsidP="007E1DD6">
      <w:pPr>
        <w:keepNext/>
        <w:widowControl w:val="0"/>
        <w:tabs>
          <w:tab w:val="clear" w:pos="567"/>
        </w:tabs>
        <w:spacing w:line="240" w:lineRule="auto"/>
        <w:ind w:left="567" w:hanging="567"/>
        <w:rPr>
          <w:b/>
          <w:szCs w:val="22"/>
          <w:lang w:val="sk-SK"/>
        </w:rPr>
      </w:pPr>
      <w:r w:rsidRPr="00543955">
        <w:rPr>
          <w:b/>
          <w:szCs w:val="22"/>
          <w:lang w:val="sk-SK"/>
        </w:rPr>
        <w:t>6.</w:t>
      </w:r>
      <w:r w:rsidRPr="00543955">
        <w:rPr>
          <w:b/>
          <w:szCs w:val="22"/>
          <w:lang w:val="sk-SK"/>
        </w:rPr>
        <w:tab/>
        <w:t>FARMACEUTICKÉ INFORMÁCIE</w:t>
      </w:r>
    </w:p>
    <w:p w:rsidR="00871AAF" w:rsidRPr="00543955" w:rsidRDefault="00871AAF" w:rsidP="007E1DD6">
      <w:pPr>
        <w:keepNext/>
        <w:widowControl w:val="0"/>
        <w:tabs>
          <w:tab w:val="clear" w:pos="567"/>
        </w:tabs>
        <w:spacing w:line="240" w:lineRule="auto"/>
        <w:rPr>
          <w:szCs w:val="22"/>
          <w:highlight w:val="yellow"/>
          <w:lang w:val="sk-SK"/>
        </w:rPr>
      </w:pPr>
    </w:p>
    <w:p w:rsidR="00871AAF" w:rsidRPr="00543955" w:rsidRDefault="00871AAF" w:rsidP="007E1DD6">
      <w:pPr>
        <w:keepNext/>
        <w:widowControl w:val="0"/>
        <w:tabs>
          <w:tab w:val="clear" w:pos="567"/>
        </w:tabs>
        <w:spacing w:line="240" w:lineRule="auto"/>
        <w:ind w:left="567" w:hanging="567"/>
        <w:rPr>
          <w:b/>
          <w:szCs w:val="22"/>
          <w:lang w:val="sk-SK"/>
        </w:rPr>
      </w:pPr>
      <w:r w:rsidRPr="00543955">
        <w:rPr>
          <w:b/>
          <w:szCs w:val="22"/>
          <w:lang w:val="sk-SK"/>
        </w:rPr>
        <w:t>6.1</w:t>
      </w:r>
      <w:r w:rsidRPr="00543955">
        <w:rPr>
          <w:b/>
          <w:szCs w:val="22"/>
          <w:lang w:val="sk-SK"/>
        </w:rPr>
        <w:tab/>
        <w:t>Zoznam pomocných látok</w:t>
      </w:r>
    </w:p>
    <w:p w:rsidR="00871AAF" w:rsidRPr="00543955" w:rsidRDefault="00871AAF" w:rsidP="007E1DD6">
      <w:pPr>
        <w:keepNext/>
        <w:widowControl w:val="0"/>
        <w:tabs>
          <w:tab w:val="clear" w:pos="567"/>
        </w:tabs>
        <w:spacing w:line="240" w:lineRule="auto"/>
        <w:rPr>
          <w:szCs w:val="22"/>
          <w:lang w:val="sk-SK"/>
        </w:rPr>
      </w:pPr>
    </w:p>
    <w:p w:rsidR="00871AAF" w:rsidRPr="00E96EA3" w:rsidRDefault="00871AAF" w:rsidP="007E1DD6">
      <w:pPr>
        <w:widowControl w:val="0"/>
        <w:tabs>
          <w:tab w:val="clear" w:pos="567"/>
        </w:tabs>
        <w:spacing w:line="240" w:lineRule="auto"/>
        <w:rPr>
          <w:szCs w:val="22"/>
          <w:u w:val="single"/>
          <w:lang w:val="sk-SK"/>
        </w:rPr>
      </w:pPr>
      <w:r w:rsidRPr="00E96EA3">
        <w:rPr>
          <w:szCs w:val="22"/>
          <w:u w:val="single"/>
          <w:lang w:val="sk-SK"/>
        </w:rPr>
        <w:t>Ampulky</w:t>
      </w:r>
      <w:r>
        <w:rPr>
          <w:szCs w:val="22"/>
          <w:u w:val="single"/>
          <w:lang w:val="sk-SK"/>
        </w:rPr>
        <w:t xml:space="preserve"> 50, 100 a 500 mikrogramov/1 ml:</w:t>
      </w:r>
    </w:p>
    <w:p w:rsidR="00871AAF" w:rsidRDefault="00871AAF" w:rsidP="007E1DD6">
      <w:pPr>
        <w:widowControl w:val="0"/>
        <w:tabs>
          <w:tab w:val="clear" w:pos="567"/>
        </w:tabs>
        <w:spacing w:line="240" w:lineRule="auto"/>
        <w:rPr>
          <w:szCs w:val="22"/>
          <w:lang w:val="sk-SK"/>
        </w:rPr>
      </w:pPr>
      <w:r>
        <w:rPr>
          <w:szCs w:val="22"/>
          <w:lang w:val="sk-SK"/>
        </w:rPr>
        <w:t>kyselina mliečna</w:t>
      </w:r>
    </w:p>
    <w:p w:rsidR="00871AAF" w:rsidRDefault="00871AAF" w:rsidP="007E1DD6">
      <w:pPr>
        <w:widowControl w:val="0"/>
        <w:tabs>
          <w:tab w:val="clear" w:pos="567"/>
        </w:tabs>
        <w:spacing w:line="240" w:lineRule="auto"/>
        <w:rPr>
          <w:szCs w:val="22"/>
          <w:lang w:val="sk-SK"/>
        </w:rPr>
      </w:pPr>
      <w:r>
        <w:rPr>
          <w:szCs w:val="22"/>
          <w:lang w:val="sk-SK"/>
        </w:rPr>
        <w:t>m</w:t>
      </w:r>
      <w:r w:rsidRPr="00E96EA3">
        <w:rPr>
          <w:szCs w:val="22"/>
          <w:lang w:val="sk-SK"/>
        </w:rPr>
        <w:t>anitol</w:t>
      </w:r>
      <w:r>
        <w:rPr>
          <w:szCs w:val="22"/>
          <w:lang w:val="sk-SK"/>
        </w:rPr>
        <w:t xml:space="preserve"> (E421)</w:t>
      </w:r>
    </w:p>
    <w:p w:rsidR="00871AAF" w:rsidRDefault="00871AAF" w:rsidP="007E1DD6">
      <w:pPr>
        <w:widowControl w:val="0"/>
        <w:tabs>
          <w:tab w:val="clear" w:pos="567"/>
        </w:tabs>
        <w:spacing w:line="240" w:lineRule="auto"/>
        <w:rPr>
          <w:szCs w:val="22"/>
          <w:lang w:val="sk-SK"/>
        </w:rPr>
      </w:pPr>
      <w:r>
        <w:rPr>
          <w:szCs w:val="22"/>
          <w:lang w:val="sk-SK"/>
        </w:rPr>
        <w:t>hydrogenuhličitan sodný</w:t>
      </w:r>
    </w:p>
    <w:p w:rsidR="00871AAF" w:rsidRPr="00E96EA3" w:rsidRDefault="00871AAF" w:rsidP="007E1DD6">
      <w:pPr>
        <w:widowControl w:val="0"/>
        <w:tabs>
          <w:tab w:val="clear" w:pos="567"/>
        </w:tabs>
        <w:spacing w:line="240" w:lineRule="auto"/>
        <w:rPr>
          <w:szCs w:val="22"/>
          <w:lang w:val="sk-SK"/>
        </w:rPr>
      </w:pPr>
      <w:r>
        <w:rPr>
          <w:szCs w:val="22"/>
          <w:lang w:val="sk-SK"/>
        </w:rPr>
        <w:t>voda na injekciu</w:t>
      </w:r>
    </w:p>
    <w:p w:rsidR="00871AAF" w:rsidRPr="00E96EA3"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ind w:left="567" w:hanging="567"/>
        <w:rPr>
          <w:szCs w:val="22"/>
          <w:lang w:val="sk-SK"/>
        </w:rPr>
      </w:pPr>
      <w:r w:rsidRPr="00543955">
        <w:rPr>
          <w:b/>
          <w:szCs w:val="22"/>
          <w:lang w:val="sk-SK"/>
        </w:rPr>
        <w:t>6.2</w:t>
      </w:r>
      <w:r w:rsidRPr="00543955">
        <w:rPr>
          <w:b/>
          <w:szCs w:val="22"/>
          <w:lang w:val="sk-SK"/>
        </w:rPr>
        <w:tab/>
        <w:t>Inkompatibility</w:t>
      </w:r>
    </w:p>
    <w:p w:rsidR="00871AAF" w:rsidRPr="00543955" w:rsidRDefault="00871AAF" w:rsidP="007E1DD6">
      <w:pPr>
        <w:keepNext/>
        <w:widowControl w:val="0"/>
        <w:tabs>
          <w:tab w:val="clear" w:pos="567"/>
        </w:tabs>
        <w:spacing w:line="240" w:lineRule="auto"/>
        <w:rPr>
          <w:szCs w:val="22"/>
          <w:lang w:val="sk-SK"/>
        </w:rPr>
      </w:pPr>
    </w:p>
    <w:p w:rsidR="00871AAF" w:rsidRDefault="00871AAF" w:rsidP="007E1DD6">
      <w:pPr>
        <w:widowControl w:val="0"/>
        <w:tabs>
          <w:tab w:val="clear" w:pos="567"/>
        </w:tabs>
        <w:spacing w:line="240" w:lineRule="auto"/>
        <w:rPr>
          <w:szCs w:val="22"/>
          <w:lang w:val="sk-SK"/>
        </w:rPr>
      </w:pPr>
      <w:r>
        <w:rPr>
          <w:szCs w:val="22"/>
          <w:lang w:val="sk-SK"/>
        </w:rPr>
        <w:t xml:space="preserve">Tento liek sa nesmie miešať s inými liekmi okrem tých , ktoré sú uvedené v časti 6.6. </w:t>
      </w:r>
      <w:r w:rsidRPr="00E96EA3">
        <w:rPr>
          <w:szCs w:val="22"/>
          <w:lang w:val="sk-SK"/>
        </w:rPr>
        <w:t>Oktreotid</w:t>
      </w:r>
      <w:r>
        <w:rPr>
          <w:szCs w:val="22"/>
          <w:lang w:val="sk-SK"/>
        </w:rPr>
        <w:t xml:space="preserve"> </w:t>
      </w:r>
      <w:r w:rsidRPr="00E96EA3">
        <w:rPr>
          <w:szCs w:val="22"/>
          <w:lang w:val="sk-SK"/>
        </w:rPr>
        <w:t>acetát nie je stály v roztokoch na úplnú parenterálnu výživu</w:t>
      </w:r>
      <w:r>
        <w:rPr>
          <w:szCs w:val="22"/>
          <w:lang w:val="sk-SK"/>
        </w:rPr>
        <w:t xml:space="preserve"> (Total Parenteral Nutrition TPN). </w:t>
      </w: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ind w:left="567" w:hanging="567"/>
        <w:rPr>
          <w:szCs w:val="22"/>
          <w:lang w:val="sk-SK"/>
        </w:rPr>
      </w:pPr>
      <w:r w:rsidRPr="00543955">
        <w:rPr>
          <w:b/>
          <w:szCs w:val="22"/>
          <w:lang w:val="sk-SK"/>
        </w:rPr>
        <w:t>6.3</w:t>
      </w:r>
      <w:r w:rsidRPr="00543955">
        <w:rPr>
          <w:b/>
          <w:szCs w:val="22"/>
          <w:lang w:val="sk-SK"/>
        </w:rPr>
        <w:tab/>
        <w:t>Čas použiteľnosti</w:t>
      </w:r>
    </w:p>
    <w:p w:rsidR="00871AAF" w:rsidRPr="00543955" w:rsidRDefault="00871AAF" w:rsidP="007E1DD6">
      <w:pPr>
        <w:keepNext/>
        <w:widowControl w:val="0"/>
        <w:tabs>
          <w:tab w:val="clear" w:pos="567"/>
        </w:tabs>
        <w:spacing w:line="240" w:lineRule="auto"/>
        <w:rPr>
          <w:szCs w:val="22"/>
          <w:lang w:val="sk-SK"/>
        </w:rPr>
      </w:pPr>
    </w:p>
    <w:p w:rsidR="00871AAF" w:rsidRDefault="00871AAF" w:rsidP="00CC6954">
      <w:pPr>
        <w:widowControl w:val="0"/>
        <w:tabs>
          <w:tab w:val="clear" w:pos="567"/>
        </w:tabs>
        <w:spacing w:line="240" w:lineRule="auto"/>
        <w:rPr>
          <w:szCs w:val="22"/>
          <w:lang w:val="sk-SK"/>
        </w:rPr>
      </w:pPr>
      <w:r w:rsidRPr="00CC6954">
        <w:rPr>
          <w:szCs w:val="22"/>
          <w:lang w:val="sk-SK"/>
        </w:rPr>
        <w:t>Ampulky 50, 100 a</w:t>
      </w:r>
      <w:r w:rsidRPr="003E7833">
        <w:rPr>
          <w:szCs w:val="22"/>
          <w:lang w:val="sk-SK"/>
        </w:rPr>
        <w:t> </w:t>
      </w:r>
      <w:r w:rsidRPr="00CC6954">
        <w:rPr>
          <w:szCs w:val="22"/>
          <w:lang w:val="sk-SK"/>
        </w:rPr>
        <w:t>500</w:t>
      </w:r>
      <w:r w:rsidRPr="003E7833">
        <w:rPr>
          <w:szCs w:val="22"/>
          <w:lang w:val="sk-SK"/>
        </w:rPr>
        <w:t> </w:t>
      </w:r>
      <w:r w:rsidRPr="00CC6954">
        <w:rPr>
          <w:szCs w:val="22"/>
          <w:lang w:val="sk-SK"/>
        </w:rPr>
        <w:t>mikrogramov/1</w:t>
      </w:r>
      <w:r w:rsidRPr="003E7833">
        <w:rPr>
          <w:szCs w:val="22"/>
          <w:lang w:val="sk-SK"/>
        </w:rPr>
        <w:t> </w:t>
      </w:r>
      <w:r w:rsidRPr="00CC6954">
        <w:rPr>
          <w:szCs w:val="22"/>
          <w:lang w:val="sk-SK"/>
        </w:rPr>
        <w:t>ml:</w:t>
      </w:r>
      <w:r w:rsidRPr="004D5537">
        <w:rPr>
          <w:szCs w:val="22"/>
          <w:lang w:val="sk-SK"/>
        </w:rPr>
        <w:t xml:space="preserve"> 3</w:t>
      </w:r>
      <w:r w:rsidRPr="00E96EA3">
        <w:rPr>
          <w:szCs w:val="22"/>
          <w:lang w:val="sk-SK"/>
        </w:rPr>
        <w:t xml:space="preserve"> roky</w:t>
      </w:r>
    </w:p>
    <w:p w:rsidR="00871AAF" w:rsidRDefault="00871AAF" w:rsidP="00CC6954">
      <w:pPr>
        <w:widowControl w:val="0"/>
        <w:tabs>
          <w:tab w:val="clear" w:pos="567"/>
        </w:tabs>
        <w:spacing w:line="240" w:lineRule="auto"/>
        <w:rPr>
          <w:szCs w:val="22"/>
          <w:lang w:val="sk-SK"/>
        </w:rPr>
      </w:pPr>
      <w:r>
        <w:rPr>
          <w:szCs w:val="22"/>
          <w:lang w:val="sk-SK"/>
        </w:rPr>
        <w:t xml:space="preserve">Liek sa má použiť okamžite po </w:t>
      </w:r>
      <w:bookmarkStart w:id="0" w:name="_GoBack"/>
      <w:bookmarkEnd w:id="0"/>
      <w:r>
        <w:rPr>
          <w:szCs w:val="22"/>
          <w:lang w:val="sk-SK"/>
        </w:rPr>
        <w:t>otvorení.</w:t>
      </w:r>
    </w:p>
    <w:p w:rsidR="00871AAF" w:rsidRDefault="00871AAF" w:rsidP="00CC6954">
      <w:pPr>
        <w:widowControl w:val="0"/>
        <w:tabs>
          <w:tab w:val="clear" w:pos="567"/>
        </w:tabs>
        <w:spacing w:line="240" w:lineRule="auto"/>
        <w:rPr>
          <w:szCs w:val="22"/>
          <w:lang w:val="sk-SK"/>
        </w:rPr>
      </w:pPr>
      <w:r>
        <w:rPr>
          <w:szCs w:val="22"/>
          <w:lang w:val="sk-SK"/>
        </w:rPr>
        <w:t xml:space="preserve">Zriedené roztoky sa majú použiť okamžite po príprave. </w:t>
      </w:r>
    </w:p>
    <w:p w:rsidR="00871AAF" w:rsidRPr="00CC6954" w:rsidRDefault="00871AAF" w:rsidP="00CC6954">
      <w:pPr>
        <w:widowControl w:val="0"/>
        <w:tabs>
          <w:tab w:val="clear" w:pos="567"/>
        </w:tabs>
        <w:spacing w:line="240" w:lineRule="auto"/>
        <w:rPr>
          <w:szCs w:val="22"/>
          <w:u w:val="single"/>
          <w:lang w:val="sk-SK"/>
        </w:rPr>
      </w:pPr>
    </w:p>
    <w:p w:rsidR="00871AAF" w:rsidRPr="00543955" w:rsidRDefault="00871AAF" w:rsidP="007E1DD6">
      <w:pPr>
        <w:widowControl w:val="0"/>
        <w:tabs>
          <w:tab w:val="clear" w:pos="567"/>
        </w:tabs>
        <w:spacing w:line="240" w:lineRule="auto"/>
        <w:rPr>
          <w:b/>
          <w:szCs w:val="22"/>
          <w:lang w:val="sk-SK"/>
        </w:rPr>
      </w:pPr>
    </w:p>
    <w:p w:rsidR="00871AAF" w:rsidRPr="00543955" w:rsidRDefault="00871AAF" w:rsidP="007E1DD6">
      <w:pPr>
        <w:keepNext/>
        <w:widowControl w:val="0"/>
        <w:tabs>
          <w:tab w:val="clear" w:pos="567"/>
        </w:tabs>
        <w:spacing w:line="240" w:lineRule="auto"/>
        <w:ind w:left="567" w:hanging="567"/>
        <w:rPr>
          <w:b/>
          <w:szCs w:val="22"/>
          <w:lang w:val="sk-SK"/>
        </w:rPr>
      </w:pPr>
      <w:r w:rsidRPr="00543955">
        <w:rPr>
          <w:b/>
          <w:szCs w:val="22"/>
          <w:lang w:val="sk-SK"/>
        </w:rPr>
        <w:t>6.4</w:t>
      </w:r>
      <w:r w:rsidRPr="00543955">
        <w:rPr>
          <w:b/>
          <w:szCs w:val="22"/>
          <w:lang w:val="sk-SK"/>
        </w:rPr>
        <w:tab/>
        <w:t>Špeciálne upozornenia na uchovávanie</w:t>
      </w:r>
    </w:p>
    <w:p w:rsidR="00871AAF" w:rsidRPr="00543955" w:rsidRDefault="00871AAF" w:rsidP="007E1DD6">
      <w:pPr>
        <w:keepNext/>
        <w:widowControl w:val="0"/>
        <w:tabs>
          <w:tab w:val="clear" w:pos="567"/>
        </w:tabs>
        <w:spacing w:line="240" w:lineRule="auto"/>
        <w:rPr>
          <w:i/>
          <w:iCs/>
          <w:szCs w:val="22"/>
          <w:lang w:val="sk-SK"/>
        </w:rPr>
      </w:pPr>
    </w:p>
    <w:p w:rsidR="00871AAF" w:rsidRPr="00CC6954" w:rsidRDefault="00871AAF" w:rsidP="009A19E1">
      <w:pPr>
        <w:widowControl w:val="0"/>
        <w:tabs>
          <w:tab w:val="clear" w:pos="567"/>
        </w:tabs>
        <w:spacing w:line="240" w:lineRule="auto"/>
        <w:rPr>
          <w:szCs w:val="22"/>
          <w:lang w:val="sk-SK"/>
        </w:rPr>
      </w:pPr>
      <w:r w:rsidRPr="00CC6954">
        <w:rPr>
          <w:szCs w:val="22"/>
          <w:lang w:val="sk-SK"/>
        </w:rPr>
        <w:t>Ampulky 50, 100 a</w:t>
      </w:r>
      <w:r w:rsidRPr="003E7833">
        <w:rPr>
          <w:szCs w:val="22"/>
          <w:lang w:val="sk-SK"/>
        </w:rPr>
        <w:t> </w:t>
      </w:r>
      <w:r w:rsidRPr="00CC6954">
        <w:rPr>
          <w:szCs w:val="22"/>
          <w:lang w:val="sk-SK"/>
        </w:rPr>
        <w:t>500</w:t>
      </w:r>
      <w:r w:rsidRPr="003E7833">
        <w:rPr>
          <w:szCs w:val="22"/>
          <w:lang w:val="sk-SK"/>
        </w:rPr>
        <w:t> </w:t>
      </w:r>
      <w:r w:rsidRPr="00CC6954">
        <w:rPr>
          <w:szCs w:val="22"/>
          <w:lang w:val="sk-SK"/>
        </w:rPr>
        <w:t>mikrogramov/1</w:t>
      </w:r>
      <w:r w:rsidRPr="003E7833">
        <w:rPr>
          <w:szCs w:val="22"/>
          <w:lang w:val="sk-SK"/>
        </w:rPr>
        <w:t> </w:t>
      </w:r>
      <w:r w:rsidRPr="00CC6954">
        <w:rPr>
          <w:szCs w:val="22"/>
          <w:lang w:val="sk-SK"/>
        </w:rPr>
        <w:t>ml:</w:t>
      </w:r>
    </w:p>
    <w:p w:rsidR="00871AAF" w:rsidRDefault="00871AAF" w:rsidP="009A19E1">
      <w:pPr>
        <w:pStyle w:val="Texttelo"/>
        <w:spacing w:line="186" w:lineRule="atLeast"/>
        <w:jc w:val="left"/>
        <w:rPr>
          <w:rFonts w:ascii="Times New Roman" w:hAnsi="Times New Roman"/>
          <w:color w:val="auto"/>
          <w:spacing w:val="0"/>
          <w:sz w:val="22"/>
          <w:szCs w:val="22"/>
          <w:lang w:val="sk-SK"/>
        </w:rPr>
      </w:pPr>
      <w:r>
        <w:rPr>
          <w:rFonts w:ascii="Times New Roman" w:hAnsi="Times New Roman"/>
          <w:color w:val="auto"/>
          <w:spacing w:val="0"/>
          <w:sz w:val="22"/>
          <w:szCs w:val="22"/>
          <w:lang w:val="sk-SK"/>
        </w:rPr>
        <w:t>Uchovávajte v pôvodnom obale na ochranu pred svetlom.</w:t>
      </w:r>
    </w:p>
    <w:p w:rsidR="00871AAF" w:rsidRDefault="00871AAF" w:rsidP="009A19E1">
      <w:pPr>
        <w:pStyle w:val="Texttelo"/>
        <w:spacing w:line="186" w:lineRule="atLeast"/>
        <w:jc w:val="left"/>
        <w:rPr>
          <w:rFonts w:ascii="Times New Roman" w:hAnsi="Times New Roman"/>
          <w:color w:val="auto"/>
          <w:spacing w:val="0"/>
          <w:sz w:val="22"/>
          <w:szCs w:val="22"/>
          <w:lang w:val="sk-SK"/>
        </w:rPr>
      </w:pPr>
      <w:r w:rsidRPr="00EB7580">
        <w:rPr>
          <w:rFonts w:ascii="Times New Roman" w:hAnsi="Times New Roman"/>
          <w:color w:val="auto"/>
          <w:spacing w:val="0"/>
          <w:sz w:val="22"/>
          <w:szCs w:val="22"/>
          <w:lang w:val="sk-SK"/>
        </w:rPr>
        <w:t>Uchovávajte v chladničke (2</w:t>
      </w:r>
      <w:r w:rsidRPr="00145900">
        <w:rPr>
          <w:rFonts w:ascii="Times New Roman" w:hAnsi="Times New Roman"/>
          <w:color w:val="auto"/>
          <w:spacing w:val="0"/>
          <w:sz w:val="22"/>
          <w:szCs w:val="22"/>
          <w:lang w:val="en-GB"/>
        </w:rPr>
        <w:sym w:font="Symbol" w:char="F0B0"/>
      </w:r>
      <w:r w:rsidRPr="00EB7580">
        <w:rPr>
          <w:rFonts w:ascii="Times New Roman" w:hAnsi="Times New Roman"/>
          <w:color w:val="auto"/>
          <w:spacing w:val="0"/>
          <w:sz w:val="22"/>
          <w:szCs w:val="22"/>
          <w:lang w:val="sk-SK"/>
        </w:rPr>
        <w:t>C – 8</w:t>
      </w:r>
      <w:r w:rsidRPr="00145900">
        <w:rPr>
          <w:rFonts w:ascii="Times New Roman" w:hAnsi="Times New Roman"/>
          <w:color w:val="auto"/>
          <w:spacing w:val="0"/>
          <w:sz w:val="22"/>
          <w:szCs w:val="22"/>
          <w:lang w:val="en-GB"/>
        </w:rPr>
        <w:sym w:font="Symbol" w:char="F0B0"/>
      </w:r>
      <w:r w:rsidRPr="00145900">
        <w:rPr>
          <w:rFonts w:ascii="Times New Roman" w:hAnsi="Times New Roman"/>
          <w:color w:val="auto"/>
          <w:spacing w:val="0"/>
          <w:sz w:val="22"/>
          <w:szCs w:val="22"/>
          <w:lang w:val="sk-SK"/>
        </w:rPr>
        <w:t xml:space="preserve">C). </w:t>
      </w:r>
      <w:r>
        <w:rPr>
          <w:rFonts w:ascii="Times New Roman" w:hAnsi="Times New Roman"/>
          <w:color w:val="auto"/>
          <w:spacing w:val="0"/>
          <w:sz w:val="22"/>
          <w:szCs w:val="22"/>
          <w:lang w:val="sk-SK"/>
        </w:rPr>
        <w:t>Neuchovávajte v mrazničke.</w:t>
      </w:r>
    </w:p>
    <w:p w:rsidR="00871AAF" w:rsidRDefault="00871AAF" w:rsidP="009A19E1">
      <w:pPr>
        <w:pStyle w:val="Texttelo"/>
        <w:spacing w:line="186" w:lineRule="atLeast"/>
        <w:jc w:val="left"/>
        <w:rPr>
          <w:rFonts w:ascii="Times New Roman" w:hAnsi="Times New Roman"/>
          <w:color w:val="auto"/>
          <w:spacing w:val="0"/>
          <w:sz w:val="22"/>
          <w:szCs w:val="22"/>
          <w:lang w:val="sk-SK"/>
        </w:rPr>
      </w:pPr>
      <w:r>
        <w:rPr>
          <w:rFonts w:ascii="Times New Roman" w:hAnsi="Times New Roman"/>
          <w:color w:val="auto"/>
          <w:spacing w:val="0"/>
          <w:sz w:val="22"/>
          <w:szCs w:val="22"/>
          <w:lang w:val="sk-SK"/>
        </w:rPr>
        <w:t>Ampulky</w:t>
      </w:r>
      <w:r w:rsidRPr="00CD5105">
        <w:rPr>
          <w:rFonts w:ascii="Times New Roman" w:hAnsi="Times New Roman"/>
          <w:color w:val="auto"/>
          <w:spacing w:val="0"/>
          <w:sz w:val="22"/>
          <w:szCs w:val="22"/>
          <w:lang w:val="sk-SK"/>
        </w:rPr>
        <w:t xml:space="preserve"> sa môž</w:t>
      </w:r>
      <w:r>
        <w:rPr>
          <w:rFonts w:ascii="Times New Roman" w:hAnsi="Times New Roman"/>
          <w:color w:val="auto"/>
          <w:spacing w:val="0"/>
          <w:sz w:val="22"/>
          <w:szCs w:val="22"/>
          <w:lang w:val="sk-SK"/>
        </w:rPr>
        <w:t>u</w:t>
      </w:r>
      <w:r w:rsidRPr="00CD5105">
        <w:rPr>
          <w:rFonts w:ascii="Times New Roman" w:hAnsi="Times New Roman"/>
          <w:color w:val="auto"/>
          <w:spacing w:val="0"/>
          <w:sz w:val="22"/>
          <w:szCs w:val="22"/>
          <w:lang w:val="sk-SK"/>
        </w:rPr>
        <w:t xml:space="preserve"> uchovávať </w:t>
      </w:r>
      <w:r>
        <w:rPr>
          <w:rFonts w:ascii="Times New Roman" w:hAnsi="Times New Roman"/>
          <w:color w:val="auto"/>
          <w:spacing w:val="0"/>
          <w:sz w:val="22"/>
          <w:szCs w:val="22"/>
          <w:lang w:val="sk-SK"/>
        </w:rPr>
        <w:t xml:space="preserve">najviac 2 týždne </w:t>
      </w:r>
      <w:r w:rsidRPr="00CD5105">
        <w:rPr>
          <w:rFonts w:ascii="Times New Roman" w:hAnsi="Times New Roman"/>
          <w:color w:val="auto"/>
          <w:spacing w:val="0"/>
          <w:sz w:val="22"/>
          <w:szCs w:val="22"/>
          <w:lang w:val="sk-SK"/>
        </w:rPr>
        <w:t xml:space="preserve">pri teplote do </w:t>
      </w:r>
      <w:r>
        <w:rPr>
          <w:rFonts w:ascii="Times New Roman" w:hAnsi="Times New Roman"/>
          <w:color w:val="auto"/>
          <w:spacing w:val="0"/>
          <w:sz w:val="22"/>
          <w:szCs w:val="22"/>
          <w:lang w:val="sk-SK"/>
        </w:rPr>
        <w:t>30</w:t>
      </w:r>
      <w:r w:rsidRPr="00CD5105">
        <w:rPr>
          <w:rFonts w:ascii="Times New Roman" w:hAnsi="Times New Roman"/>
          <w:color w:val="auto"/>
          <w:spacing w:val="0"/>
          <w:sz w:val="22"/>
          <w:szCs w:val="22"/>
          <w:lang w:val="sk-SK"/>
        </w:rPr>
        <w:t>°C.</w:t>
      </w:r>
    </w:p>
    <w:p w:rsidR="00871AAF" w:rsidRDefault="00871AAF" w:rsidP="009A19E1">
      <w:pPr>
        <w:pStyle w:val="Texttelo"/>
        <w:spacing w:line="186" w:lineRule="atLeast"/>
        <w:jc w:val="left"/>
        <w:rPr>
          <w:rFonts w:ascii="Times New Roman" w:hAnsi="Times New Roman"/>
          <w:color w:val="auto"/>
          <w:spacing w:val="0"/>
          <w:sz w:val="22"/>
          <w:szCs w:val="22"/>
          <w:lang w:val="sk-SK"/>
        </w:rPr>
      </w:pPr>
      <w:r w:rsidRPr="00145900">
        <w:rPr>
          <w:rFonts w:ascii="Times New Roman" w:hAnsi="Times New Roman"/>
          <w:color w:val="auto"/>
          <w:spacing w:val="0"/>
          <w:sz w:val="22"/>
          <w:szCs w:val="22"/>
          <w:lang w:val="sk-SK"/>
        </w:rPr>
        <w:t>Podmienky na uchovávanie po</w:t>
      </w:r>
      <w:r>
        <w:rPr>
          <w:rFonts w:ascii="Times New Roman" w:hAnsi="Times New Roman"/>
          <w:color w:val="auto"/>
          <w:spacing w:val="0"/>
          <w:sz w:val="22"/>
          <w:szCs w:val="22"/>
          <w:lang w:val="sk-SK"/>
        </w:rPr>
        <w:t xml:space="preserve"> otvorení a po zriedení</w:t>
      </w:r>
      <w:r w:rsidRPr="00145900">
        <w:rPr>
          <w:rFonts w:ascii="Times New Roman" w:hAnsi="Times New Roman"/>
          <w:color w:val="auto"/>
          <w:spacing w:val="0"/>
          <w:sz w:val="22"/>
          <w:szCs w:val="22"/>
          <w:lang w:val="sk-SK"/>
        </w:rPr>
        <w:t xml:space="preserve"> lieku, pozri časť 6.3</w:t>
      </w:r>
    </w:p>
    <w:p w:rsidR="00871AAF" w:rsidRPr="00CC6954" w:rsidRDefault="00871AAF" w:rsidP="007E1DD6">
      <w:pPr>
        <w:widowControl w:val="0"/>
        <w:tabs>
          <w:tab w:val="clear" w:pos="567"/>
        </w:tabs>
        <w:spacing w:line="240" w:lineRule="auto"/>
        <w:rPr>
          <w:szCs w:val="22"/>
          <w:lang w:val="sk-SK"/>
        </w:rPr>
      </w:pPr>
    </w:p>
    <w:p w:rsidR="00871AAF" w:rsidRPr="00543955" w:rsidRDefault="00871AAF" w:rsidP="007E1DD6">
      <w:pPr>
        <w:widowControl w:val="0"/>
        <w:tabs>
          <w:tab w:val="clear" w:pos="567"/>
        </w:tabs>
        <w:spacing w:line="240" w:lineRule="auto"/>
        <w:rPr>
          <w:szCs w:val="22"/>
          <w:lang w:val="sk-SK"/>
        </w:rPr>
      </w:pPr>
    </w:p>
    <w:p w:rsidR="00871AAF" w:rsidRPr="00543955" w:rsidRDefault="00871AAF" w:rsidP="007E1DD6">
      <w:pPr>
        <w:keepNext/>
        <w:widowControl w:val="0"/>
        <w:tabs>
          <w:tab w:val="clear" w:pos="567"/>
        </w:tabs>
        <w:spacing w:line="240" w:lineRule="auto"/>
        <w:rPr>
          <w:b/>
          <w:szCs w:val="22"/>
          <w:lang w:val="sk-SK"/>
        </w:rPr>
      </w:pPr>
      <w:r w:rsidRPr="00543955">
        <w:rPr>
          <w:b/>
          <w:szCs w:val="22"/>
          <w:lang w:val="sk-SK"/>
        </w:rPr>
        <w:t>6.5</w:t>
      </w:r>
      <w:r w:rsidRPr="00543955">
        <w:rPr>
          <w:b/>
          <w:szCs w:val="22"/>
          <w:lang w:val="sk-SK"/>
        </w:rPr>
        <w:tab/>
        <w:t>Druh obalu a obsah balenia</w:t>
      </w:r>
    </w:p>
    <w:p w:rsidR="00871AAF" w:rsidRPr="00543955" w:rsidRDefault="00871AAF" w:rsidP="007E1DD6">
      <w:pPr>
        <w:keepNext/>
        <w:widowControl w:val="0"/>
        <w:tabs>
          <w:tab w:val="clear" w:pos="567"/>
        </w:tabs>
        <w:spacing w:line="240" w:lineRule="auto"/>
        <w:rPr>
          <w:szCs w:val="22"/>
          <w:lang w:val="sk-SK"/>
        </w:rPr>
      </w:pPr>
    </w:p>
    <w:p w:rsidR="00871AAF" w:rsidRDefault="00871AAF" w:rsidP="007E1DD6">
      <w:pPr>
        <w:rPr>
          <w:szCs w:val="22"/>
          <w:lang w:val="sk-SK"/>
        </w:rPr>
      </w:pPr>
      <w:r w:rsidRPr="007E1DD6">
        <w:rPr>
          <w:szCs w:val="22"/>
          <w:lang w:val="sk-SK"/>
        </w:rPr>
        <w:t>Ampulk</w:t>
      </w:r>
      <w:r>
        <w:rPr>
          <w:szCs w:val="22"/>
          <w:lang w:val="sk-SK"/>
        </w:rPr>
        <w:t>y:</w:t>
      </w:r>
    </w:p>
    <w:p w:rsidR="00871AAF" w:rsidRDefault="00871AAF" w:rsidP="001A404A">
      <w:pPr>
        <w:widowControl w:val="0"/>
        <w:tabs>
          <w:tab w:val="clear" w:pos="567"/>
        </w:tabs>
        <w:autoSpaceDE w:val="0"/>
        <w:autoSpaceDN w:val="0"/>
        <w:adjustRightInd w:val="0"/>
        <w:spacing w:line="240" w:lineRule="auto"/>
        <w:rPr>
          <w:szCs w:val="22"/>
          <w:lang w:val="sk-SK"/>
        </w:rPr>
      </w:pPr>
      <w:r>
        <w:rPr>
          <w:szCs w:val="22"/>
          <w:lang w:val="sk-SK"/>
        </w:rPr>
        <w:t xml:space="preserve">Ampulka s </w:t>
      </w:r>
      <w:r w:rsidRPr="001A404A">
        <w:rPr>
          <w:szCs w:val="22"/>
          <w:lang w:val="sk-SK"/>
        </w:rPr>
        <w:t xml:space="preserve"> jedným bodom zlomu, z bezfarebného skla typu I, </w:t>
      </w:r>
      <w:r w:rsidR="000B6040">
        <w:rPr>
          <w:szCs w:val="22"/>
          <w:lang w:val="sk-SK"/>
        </w:rPr>
        <w:t>označená dvomi farebnými krúžkami</w:t>
      </w:r>
      <w:r w:rsidR="00FD459D">
        <w:rPr>
          <w:szCs w:val="22"/>
          <w:lang w:val="sk-SK"/>
        </w:rPr>
        <w:t xml:space="preserve"> </w:t>
      </w:r>
      <w:r w:rsidRPr="001A404A">
        <w:rPr>
          <w:szCs w:val="22"/>
          <w:lang w:val="sk-SK"/>
        </w:rPr>
        <w:t xml:space="preserve">obsahujúca </w:t>
      </w:r>
      <w:r>
        <w:rPr>
          <w:szCs w:val="22"/>
          <w:lang w:val="sk-SK"/>
        </w:rPr>
        <w:t>čistý bezfarebný roztok</w:t>
      </w:r>
      <w:r w:rsidRPr="001A404A">
        <w:rPr>
          <w:szCs w:val="22"/>
          <w:lang w:val="sk-SK"/>
        </w:rPr>
        <w:t>.</w:t>
      </w:r>
    </w:p>
    <w:p w:rsidR="00FD459D" w:rsidRDefault="00FD459D" w:rsidP="00FD459D">
      <w:pPr>
        <w:widowControl w:val="0"/>
        <w:rPr>
          <w:spacing w:val="1"/>
          <w:szCs w:val="22"/>
        </w:rPr>
      </w:pPr>
      <w:r>
        <w:rPr>
          <w:szCs w:val="22"/>
        </w:rPr>
        <w:t>Sandostatin</w:t>
      </w:r>
      <w:r w:rsidRPr="00E5799B" w:rsidDel="00C107C5">
        <w:rPr>
          <w:szCs w:val="22"/>
        </w:rPr>
        <w:t xml:space="preserve"> </w:t>
      </w:r>
      <w:r w:rsidRPr="00E5799B">
        <w:rPr>
          <w:spacing w:val="-3"/>
          <w:szCs w:val="22"/>
          <w:vertAlign w:val="superscript"/>
        </w:rPr>
        <w:t xml:space="preserve"> </w:t>
      </w:r>
      <w:r w:rsidRPr="00E5799B">
        <w:rPr>
          <w:spacing w:val="-3"/>
          <w:szCs w:val="22"/>
        </w:rPr>
        <w:t>5</w:t>
      </w:r>
      <w:r>
        <w:rPr>
          <w:spacing w:val="-3"/>
          <w:szCs w:val="22"/>
        </w:rPr>
        <w:t>0</w:t>
      </w:r>
      <w:r w:rsidRPr="00E5799B">
        <w:rPr>
          <w:spacing w:val="-3"/>
          <w:szCs w:val="22"/>
        </w:rPr>
        <w:t> </w:t>
      </w:r>
      <w:r w:rsidRPr="00CC6954">
        <w:rPr>
          <w:szCs w:val="22"/>
          <w:lang w:val="sk-SK"/>
        </w:rPr>
        <w:t>mikrogramov/1</w:t>
      </w:r>
      <w:r w:rsidRPr="003E7833">
        <w:rPr>
          <w:szCs w:val="22"/>
          <w:lang w:val="sk-SK"/>
        </w:rPr>
        <w:t> </w:t>
      </w:r>
      <w:r w:rsidRPr="00CC6954">
        <w:rPr>
          <w:szCs w:val="22"/>
          <w:lang w:val="sk-SK"/>
        </w:rPr>
        <w:t>ml</w:t>
      </w:r>
      <w:r>
        <w:rPr>
          <w:spacing w:val="1"/>
          <w:szCs w:val="22"/>
        </w:rPr>
        <w:t>: jeden modrý a jeden žltý</w:t>
      </w:r>
    </w:p>
    <w:p w:rsidR="00FD459D" w:rsidRPr="00695FC6" w:rsidRDefault="00FD459D" w:rsidP="00F74203">
      <w:pPr>
        <w:widowControl w:val="0"/>
        <w:shd w:val="clear" w:color="auto" w:fill="FFFFFF" w:themeFill="background1"/>
        <w:rPr>
          <w:szCs w:val="22"/>
        </w:rPr>
      </w:pPr>
      <w:r>
        <w:rPr>
          <w:szCs w:val="22"/>
        </w:rPr>
        <w:t>Sandostatin</w:t>
      </w:r>
      <w:r w:rsidRPr="00E5799B" w:rsidDel="00C107C5">
        <w:rPr>
          <w:szCs w:val="22"/>
        </w:rPr>
        <w:t xml:space="preserve"> </w:t>
      </w:r>
      <w:r w:rsidRPr="00695FC6">
        <w:rPr>
          <w:szCs w:val="22"/>
        </w:rPr>
        <w:t>100 </w:t>
      </w:r>
      <w:r w:rsidRPr="00CC6954">
        <w:rPr>
          <w:szCs w:val="22"/>
          <w:lang w:val="sk-SK"/>
        </w:rPr>
        <w:t>mikrogramov/1</w:t>
      </w:r>
      <w:r w:rsidRPr="003E7833">
        <w:rPr>
          <w:szCs w:val="22"/>
          <w:lang w:val="sk-SK"/>
        </w:rPr>
        <w:t> </w:t>
      </w:r>
      <w:r w:rsidRPr="00CC6954">
        <w:rPr>
          <w:szCs w:val="22"/>
          <w:lang w:val="sk-SK"/>
        </w:rPr>
        <w:t>ml</w:t>
      </w:r>
      <w:r w:rsidRPr="00695FC6">
        <w:rPr>
          <w:szCs w:val="22"/>
        </w:rPr>
        <w:t xml:space="preserve">: </w:t>
      </w:r>
      <w:r>
        <w:rPr>
          <w:spacing w:val="1"/>
          <w:szCs w:val="22"/>
        </w:rPr>
        <w:t>jeden modrý a jeden zelený</w:t>
      </w:r>
    </w:p>
    <w:p w:rsidR="00FD459D" w:rsidRPr="00695FC6" w:rsidRDefault="00FD459D" w:rsidP="00F74203">
      <w:pPr>
        <w:widowControl w:val="0"/>
        <w:shd w:val="clear" w:color="auto" w:fill="FFFFFF" w:themeFill="background1"/>
        <w:rPr>
          <w:szCs w:val="22"/>
        </w:rPr>
      </w:pPr>
      <w:r>
        <w:rPr>
          <w:szCs w:val="22"/>
        </w:rPr>
        <w:t>Sandostatin</w:t>
      </w:r>
      <w:r w:rsidRPr="00E5799B" w:rsidDel="00C107C5">
        <w:rPr>
          <w:szCs w:val="22"/>
        </w:rPr>
        <w:t xml:space="preserve"> </w:t>
      </w:r>
      <w:r w:rsidRPr="00695FC6">
        <w:rPr>
          <w:szCs w:val="22"/>
        </w:rPr>
        <w:t>500 </w:t>
      </w:r>
      <w:r w:rsidRPr="00CC6954">
        <w:rPr>
          <w:szCs w:val="22"/>
          <w:lang w:val="sk-SK"/>
        </w:rPr>
        <w:t>mikrogramov/1</w:t>
      </w:r>
      <w:r w:rsidRPr="003E7833">
        <w:rPr>
          <w:szCs w:val="22"/>
          <w:lang w:val="sk-SK"/>
        </w:rPr>
        <w:t> </w:t>
      </w:r>
      <w:r w:rsidRPr="00CC6954">
        <w:rPr>
          <w:szCs w:val="22"/>
          <w:lang w:val="sk-SK"/>
        </w:rPr>
        <w:t>ml</w:t>
      </w:r>
      <w:r w:rsidRPr="00695FC6">
        <w:rPr>
          <w:szCs w:val="22"/>
        </w:rPr>
        <w:t xml:space="preserve">: </w:t>
      </w:r>
      <w:r>
        <w:rPr>
          <w:spacing w:val="1"/>
          <w:szCs w:val="22"/>
        </w:rPr>
        <w:t>jeden modrý a jeden ružový</w:t>
      </w:r>
    </w:p>
    <w:p w:rsidR="00FD459D" w:rsidRPr="001A404A" w:rsidRDefault="00FD459D" w:rsidP="001A404A">
      <w:pPr>
        <w:widowControl w:val="0"/>
        <w:tabs>
          <w:tab w:val="clear" w:pos="567"/>
        </w:tabs>
        <w:autoSpaceDE w:val="0"/>
        <w:autoSpaceDN w:val="0"/>
        <w:adjustRightInd w:val="0"/>
        <w:spacing w:line="240" w:lineRule="auto"/>
        <w:rPr>
          <w:szCs w:val="22"/>
          <w:lang w:val="sk-SK"/>
        </w:rPr>
      </w:pPr>
    </w:p>
    <w:p w:rsidR="00871AAF" w:rsidRPr="007E1DD6" w:rsidRDefault="00871AAF" w:rsidP="007E1DD6">
      <w:pPr>
        <w:rPr>
          <w:szCs w:val="22"/>
          <w:lang w:val="sk-SK"/>
        </w:rPr>
      </w:pPr>
      <w:r>
        <w:rPr>
          <w:szCs w:val="22"/>
          <w:lang w:val="sk-SK"/>
        </w:rPr>
        <w:t xml:space="preserve">Balenia obsahujúce tri, päť, šesť, desať, dvadsať a päťdesiat ampuliek </w:t>
      </w:r>
      <w:r w:rsidRPr="001A404A">
        <w:rPr>
          <w:szCs w:val="22"/>
          <w:lang w:val="sk-SK"/>
        </w:rPr>
        <w:t>zabalen</w:t>
      </w:r>
      <w:r>
        <w:rPr>
          <w:szCs w:val="22"/>
          <w:lang w:val="sk-SK"/>
        </w:rPr>
        <w:t>ých</w:t>
      </w:r>
      <w:r w:rsidRPr="00CC6954">
        <w:rPr>
          <w:szCs w:val="22"/>
          <w:lang w:val="sk-SK"/>
        </w:rPr>
        <w:t xml:space="preserve"> v</w:t>
      </w:r>
      <w:r w:rsidRPr="003E7833">
        <w:rPr>
          <w:szCs w:val="22"/>
          <w:lang w:val="sk-SK"/>
        </w:rPr>
        <w:t> </w:t>
      </w:r>
      <w:r w:rsidRPr="00CC6954">
        <w:rPr>
          <w:szCs w:val="22"/>
          <w:lang w:val="sk-SK"/>
        </w:rPr>
        <w:t>kartónovej podložke, ktorá je uložená vo vonkajšej škatuli</w:t>
      </w:r>
    </w:p>
    <w:p w:rsidR="00871AAF" w:rsidRDefault="00871AAF" w:rsidP="007E1DD6">
      <w:pPr>
        <w:rPr>
          <w:szCs w:val="22"/>
          <w:lang w:val="sk-SK"/>
        </w:rPr>
      </w:pPr>
      <w:r>
        <w:rPr>
          <w:szCs w:val="22"/>
          <w:lang w:val="sk-SK"/>
        </w:rPr>
        <w:t>Multibalenia obsahujú desať balení, každé z nich obsahuje</w:t>
      </w:r>
      <w:r w:rsidR="00CE5FBC">
        <w:rPr>
          <w:szCs w:val="22"/>
          <w:lang w:val="sk-SK"/>
        </w:rPr>
        <w:t xml:space="preserve"> tri </w:t>
      </w:r>
      <w:r>
        <w:rPr>
          <w:szCs w:val="22"/>
          <w:lang w:val="sk-SK"/>
        </w:rPr>
        <w:t>ampulky.</w:t>
      </w:r>
    </w:p>
    <w:p w:rsidR="00871AAF" w:rsidRDefault="00871AAF" w:rsidP="007E1DD6">
      <w:pPr>
        <w:rPr>
          <w:szCs w:val="22"/>
          <w:lang w:val="sk-SK"/>
        </w:rPr>
      </w:pPr>
    </w:p>
    <w:p w:rsidR="00871AAF" w:rsidRDefault="00871AAF" w:rsidP="007E1DD6">
      <w:pPr>
        <w:rPr>
          <w:szCs w:val="22"/>
          <w:lang w:val="sk-SK"/>
        </w:rPr>
      </w:pPr>
    </w:p>
    <w:p w:rsidR="00871AAF" w:rsidRDefault="00871AAF" w:rsidP="000F5613">
      <w:pPr>
        <w:widowControl w:val="0"/>
        <w:tabs>
          <w:tab w:val="clear" w:pos="567"/>
        </w:tabs>
        <w:spacing w:line="240" w:lineRule="auto"/>
        <w:rPr>
          <w:szCs w:val="22"/>
          <w:lang w:val="sk-SK"/>
        </w:rPr>
      </w:pPr>
      <w:r w:rsidRPr="00EB7580">
        <w:rPr>
          <w:lang w:val="sk-SK"/>
        </w:rPr>
        <w:t>Na trh nemusia byť uvedené</w:t>
      </w:r>
      <w:r w:rsidRPr="00EB7580">
        <w:rPr>
          <w:noProof/>
          <w:szCs w:val="22"/>
          <w:lang w:val="sk-SK"/>
        </w:rPr>
        <w:t xml:space="preserve"> </w:t>
      </w:r>
      <w:r w:rsidRPr="00EB7580">
        <w:rPr>
          <w:szCs w:val="22"/>
          <w:lang w:val="sk-SK"/>
        </w:rPr>
        <w:t xml:space="preserve">všetky </w:t>
      </w:r>
      <w:r w:rsidR="00D7166E">
        <w:rPr>
          <w:szCs w:val="22"/>
          <w:lang w:val="sk-SK"/>
        </w:rPr>
        <w:t xml:space="preserve">sily alebo </w:t>
      </w:r>
      <w:r w:rsidRPr="00EB7580">
        <w:rPr>
          <w:szCs w:val="22"/>
          <w:lang w:val="sk-SK"/>
        </w:rPr>
        <w:t>veľkosti balenia.</w:t>
      </w:r>
    </w:p>
    <w:p w:rsidR="00871AAF" w:rsidRPr="007E1DD6" w:rsidRDefault="00871AAF" w:rsidP="007E1DD6">
      <w:pPr>
        <w:rPr>
          <w:szCs w:val="22"/>
          <w:lang w:val="sk-SK"/>
        </w:rPr>
      </w:pPr>
    </w:p>
    <w:p w:rsidR="00871AAF" w:rsidRPr="00543955" w:rsidRDefault="00871AAF" w:rsidP="007E1DD6">
      <w:pPr>
        <w:keepNext/>
        <w:widowControl w:val="0"/>
        <w:tabs>
          <w:tab w:val="clear" w:pos="567"/>
        </w:tabs>
        <w:spacing w:line="240" w:lineRule="auto"/>
        <w:ind w:left="567" w:hanging="567"/>
        <w:outlineLvl w:val="0"/>
        <w:rPr>
          <w:szCs w:val="22"/>
          <w:lang w:val="sk-SK"/>
        </w:rPr>
      </w:pPr>
      <w:r w:rsidRPr="00543955">
        <w:rPr>
          <w:b/>
          <w:szCs w:val="22"/>
          <w:lang w:val="sk-SK"/>
        </w:rPr>
        <w:lastRenderedPageBreak/>
        <w:t>6.6</w:t>
      </w:r>
      <w:r w:rsidRPr="00543955">
        <w:rPr>
          <w:b/>
          <w:szCs w:val="22"/>
          <w:lang w:val="sk-SK"/>
        </w:rPr>
        <w:tab/>
        <w:t>Špeciálne opatrenia na likvidáciu a iné zaobchádzanie s liekom</w:t>
      </w:r>
    </w:p>
    <w:p w:rsidR="00871AAF" w:rsidRPr="00543955" w:rsidRDefault="00871AAF" w:rsidP="007E1DD6">
      <w:pPr>
        <w:keepNext/>
        <w:widowControl w:val="0"/>
        <w:tabs>
          <w:tab w:val="clear" w:pos="567"/>
        </w:tabs>
        <w:spacing w:line="240" w:lineRule="auto"/>
        <w:rPr>
          <w:szCs w:val="22"/>
          <w:lang w:val="sk-SK"/>
        </w:rPr>
      </w:pPr>
    </w:p>
    <w:p w:rsidR="00871AAF" w:rsidRDefault="00871AAF" w:rsidP="007E1DD6">
      <w:pPr>
        <w:widowControl w:val="0"/>
        <w:tabs>
          <w:tab w:val="clear" w:pos="567"/>
        </w:tabs>
        <w:spacing w:line="240" w:lineRule="auto"/>
        <w:rPr>
          <w:szCs w:val="22"/>
          <w:lang w:val="sk-SK"/>
        </w:rPr>
      </w:pPr>
      <w:r w:rsidRPr="00CC6954">
        <w:rPr>
          <w:szCs w:val="22"/>
          <w:lang w:val="sk-SK"/>
        </w:rPr>
        <w:t>Všetok nepoužitý liek alebo odpad vzniknutý z</w:t>
      </w:r>
      <w:r w:rsidRPr="003E7833">
        <w:rPr>
          <w:szCs w:val="22"/>
          <w:lang w:val="sk-SK"/>
        </w:rPr>
        <w:t> </w:t>
      </w:r>
      <w:r w:rsidRPr="00CC6954">
        <w:rPr>
          <w:szCs w:val="22"/>
          <w:lang w:val="sk-SK"/>
        </w:rPr>
        <w:t>lieku sa má zlikvidovať v</w:t>
      </w:r>
      <w:r w:rsidRPr="003E7833">
        <w:rPr>
          <w:szCs w:val="22"/>
          <w:lang w:val="sk-SK"/>
        </w:rPr>
        <w:t> </w:t>
      </w:r>
      <w:r w:rsidRPr="00CC6954">
        <w:rPr>
          <w:szCs w:val="22"/>
          <w:lang w:val="sk-SK"/>
        </w:rPr>
        <w:t>súlade s</w:t>
      </w:r>
      <w:r w:rsidRPr="003E7833">
        <w:rPr>
          <w:szCs w:val="22"/>
          <w:lang w:val="sk-SK"/>
        </w:rPr>
        <w:t> </w:t>
      </w:r>
      <w:r w:rsidRPr="00CC6954">
        <w:rPr>
          <w:szCs w:val="22"/>
          <w:lang w:val="sk-SK"/>
        </w:rPr>
        <w:t>národnými požiadavkami</w:t>
      </w:r>
      <w:r w:rsidRPr="00543955" w:rsidDel="007A09EC">
        <w:rPr>
          <w:szCs w:val="22"/>
          <w:lang w:val="sk-SK"/>
        </w:rPr>
        <w:t xml:space="preserve"> </w:t>
      </w:r>
    </w:p>
    <w:p w:rsidR="00871AAF" w:rsidRDefault="00871AAF" w:rsidP="007E1DD6">
      <w:pPr>
        <w:widowControl w:val="0"/>
        <w:tabs>
          <w:tab w:val="clear" w:pos="567"/>
        </w:tabs>
        <w:spacing w:line="240" w:lineRule="auto"/>
        <w:rPr>
          <w:szCs w:val="22"/>
          <w:lang w:val="sk-SK"/>
        </w:rPr>
      </w:pPr>
    </w:p>
    <w:p w:rsidR="00871AAF" w:rsidRDefault="00871AAF" w:rsidP="007E1DD6">
      <w:pPr>
        <w:widowControl w:val="0"/>
        <w:tabs>
          <w:tab w:val="clear" w:pos="567"/>
        </w:tabs>
        <w:spacing w:line="240" w:lineRule="auto"/>
        <w:rPr>
          <w:szCs w:val="22"/>
          <w:highlight w:val="yellow"/>
          <w:lang w:val="sk-SK"/>
        </w:rPr>
      </w:pPr>
      <w:r w:rsidRPr="00CC6954">
        <w:rPr>
          <w:b/>
          <w:szCs w:val="22"/>
          <w:lang w:val="sk-SK"/>
        </w:rPr>
        <w:t>Pokyny na použitie a</w:t>
      </w:r>
      <w:r w:rsidRPr="003E7833">
        <w:rPr>
          <w:b/>
          <w:szCs w:val="22"/>
          <w:lang w:val="sk-SK"/>
        </w:rPr>
        <w:t> </w:t>
      </w:r>
      <w:r w:rsidRPr="00CC6954">
        <w:rPr>
          <w:b/>
          <w:szCs w:val="22"/>
          <w:lang w:val="sk-SK"/>
        </w:rPr>
        <w:t xml:space="preserve">zaobchádzanie </w:t>
      </w:r>
    </w:p>
    <w:p w:rsidR="00871AAF" w:rsidRDefault="00871AAF" w:rsidP="007E1DD6">
      <w:pPr>
        <w:widowControl w:val="0"/>
        <w:tabs>
          <w:tab w:val="clear" w:pos="567"/>
        </w:tabs>
        <w:spacing w:line="240" w:lineRule="auto"/>
        <w:rPr>
          <w:szCs w:val="22"/>
          <w:u w:val="single"/>
          <w:lang w:val="sk-SK"/>
        </w:rPr>
      </w:pPr>
      <w:r w:rsidRPr="00CC6954">
        <w:rPr>
          <w:szCs w:val="22"/>
          <w:lang w:val="sk-SK"/>
        </w:rPr>
        <w:t>Ampulky</w:t>
      </w:r>
      <w:r>
        <w:rPr>
          <w:szCs w:val="22"/>
          <w:lang w:val="sk-SK"/>
        </w:rPr>
        <w:t xml:space="preserve"> (</w:t>
      </w:r>
      <w:r>
        <w:rPr>
          <w:szCs w:val="22"/>
          <w:u w:val="single"/>
          <w:lang w:val="sk-SK"/>
        </w:rPr>
        <w:t>50, 100 a 500 mikrogramov/1 ml) sú určené len na jednorazové použitie, majú byť otvorené tesne pred podaním a všetky nepoužité časti sa m</w:t>
      </w:r>
      <w:r w:rsidR="00D7166E">
        <w:rPr>
          <w:szCs w:val="22"/>
          <w:u w:val="single"/>
          <w:lang w:val="sk-SK"/>
        </w:rPr>
        <w:t>ajú</w:t>
      </w:r>
      <w:r>
        <w:rPr>
          <w:szCs w:val="22"/>
          <w:u w:val="single"/>
          <w:lang w:val="sk-SK"/>
        </w:rPr>
        <w:t xml:space="preserve"> vyhodiť.</w:t>
      </w:r>
    </w:p>
    <w:p w:rsidR="00871AAF" w:rsidRPr="00696CC8" w:rsidRDefault="00871AAF" w:rsidP="007E1DD6">
      <w:pPr>
        <w:widowControl w:val="0"/>
        <w:tabs>
          <w:tab w:val="clear" w:pos="567"/>
        </w:tabs>
        <w:spacing w:line="240" w:lineRule="auto"/>
        <w:rPr>
          <w:szCs w:val="22"/>
          <w:highlight w:val="yellow"/>
          <w:lang w:val="sk-SK"/>
        </w:rPr>
      </w:pPr>
    </w:p>
    <w:p w:rsidR="00871AAF" w:rsidRPr="00696CC8" w:rsidRDefault="00871AAF" w:rsidP="007E1DD6">
      <w:pPr>
        <w:pStyle w:val="Nadpis3"/>
        <w:spacing w:before="0" w:after="0"/>
        <w:rPr>
          <w:sz w:val="22"/>
          <w:szCs w:val="22"/>
          <w:lang w:val="sk-SK"/>
        </w:rPr>
      </w:pPr>
      <w:r w:rsidRPr="00696CC8">
        <w:rPr>
          <w:sz w:val="22"/>
          <w:szCs w:val="22"/>
          <w:lang w:val="sk-SK"/>
        </w:rPr>
        <w:t>Subkutánne podanie</w:t>
      </w:r>
    </w:p>
    <w:p w:rsidR="00871AAF" w:rsidRPr="00696CC8" w:rsidRDefault="00871AAF" w:rsidP="007E1DD6">
      <w:pPr>
        <w:pStyle w:val="Texttelo"/>
        <w:spacing w:line="186" w:lineRule="atLeast"/>
        <w:jc w:val="left"/>
        <w:rPr>
          <w:rFonts w:ascii="Times New Roman" w:hAnsi="Times New Roman"/>
          <w:color w:val="auto"/>
          <w:spacing w:val="0"/>
          <w:sz w:val="22"/>
          <w:szCs w:val="22"/>
          <w:lang w:val="sk-SK"/>
        </w:rPr>
      </w:pPr>
      <w:r w:rsidRPr="00696CC8">
        <w:rPr>
          <w:rFonts w:ascii="Times New Roman" w:hAnsi="Times New Roman"/>
          <w:color w:val="auto"/>
          <w:spacing w:val="0"/>
          <w:sz w:val="22"/>
          <w:szCs w:val="22"/>
          <w:lang w:val="sk-SK"/>
        </w:rPr>
        <w:t>Pacienti, ktorí si sami majú subkutánne podávať liek, musia dostať presné pokyny od lekára alebo zdravotnej sestry.</w:t>
      </w:r>
    </w:p>
    <w:p w:rsidR="00871AAF" w:rsidRPr="00696CC8" w:rsidRDefault="00871AAF" w:rsidP="007E1DD6">
      <w:pPr>
        <w:pStyle w:val="Texttelo"/>
        <w:spacing w:line="186" w:lineRule="atLeast"/>
        <w:jc w:val="left"/>
        <w:rPr>
          <w:rFonts w:ascii="Times New Roman" w:hAnsi="Times New Roman"/>
          <w:color w:val="auto"/>
          <w:spacing w:val="0"/>
          <w:sz w:val="22"/>
          <w:szCs w:val="22"/>
          <w:lang w:val="sk-SK"/>
        </w:rPr>
      </w:pPr>
    </w:p>
    <w:p w:rsidR="00871AAF" w:rsidRPr="00C25B07" w:rsidRDefault="00871AAF" w:rsidP="007E1DD6">
      <w:pPr>
        <w:pStyle w:val="Texttelo"/>
        <w:spacing w:line="186" w:lineRule="atLeast"/>
        <w:jc w:val="left"/>
        <w:rPr>
          <w:rFonts w:ascii="Times New Roman" w:hAnsi="Times New Roman"/>
          <w:color w:val="auto"/>
          <w:spacing w:val="0"/>
          <w:sz w:val="22"/>
          <w:szCs w:val="22"/>
          <w:lang w:val="sk-SK"/>
        </w:rPr>
      </w:pPr>
      <w:r w:rsidRPr="00C25B07">
        <w:rPr>
          <w:rFonts w:ascii="Times New Roman" w:hAnsi="Times New Roman"/>
          <w:color w:val="auto"/>
          <w:spacing w:val="0"/>
          <w:sz w:val="22"/>
          <w:szCs w:val="22"/>
          <w:lang w:val="sk-SK"/>
        </w:rPr>
        <w:t xml:space="preserve">Na zmiernenie nepríjemných pocitov v mieste podania sa odporúča, aby injekčný roztok mal pred podaním izbovú teplotu. Je potrebné vyhýbať sa opakovaným injekciám do toho istého miesta krátko po sebe. </w:t>
      </w:r>
    </w:p>
    <w:p w:rsidR="00871AAF" w:rsidRPr="00696CC8" w:rsidRDefault="00871AAF" w:rsidP="007E1DD6">
      <w:pPr>
        <w:pStyle w:val="Nadpis3"/>
        <w:spacing w:before="0" w:after="0"/>
        <w:rPr>
          <w:sz w:val="22"/>
          <w:szCs w:val="22"/>
          <w:lang w:val="sk-SK"/>
        </w:rPr>
      </w:pPr>
    </w:p>
    <w:p w:rsidR="00871AAF" w:rsidRPr="00696CC8" w:rsidRDefault="00871AAF" w:rsidP="007E1DD6">
      <w:pPr>
        <w:pStyle w:val="Nadpis3"/>
        <w:spacing w:before="0" w:after="0"/>
        <w:rPr>
          <w:sz w:val="22"/>
          <w:szCs w:val="22"/>
          <w:lang w:val="sk-SK"/>
        </w:rPr>
      </w:pPr>
      <w:r w:rsidRPr="00696CC8">
        <w:rPr>
          <w:sz w:val="22"/>
          <w:szCs w:val="22"/>
          <w:lang w:val="sk-SK"/>
        </w:rPr>
        <w:t>Intravenózne podanie</w:t>
      </w:r>
    </w:p>
    <w:p w:rsidR="00871AAF" w:rsidRPr="00696CC8" w:rsidRDefault="00871AAF" w:rsidP="007E1DD6">
      <w:pPr>
        <w:rPr>
          <w:szCs w:val="22"/>
          <w:lang w:val="sk-SK"/>
        </w:rPr>
      </w:pPr>
      <w:r w:rsidRPr="00696CC8">
        <w:rPr>
          <w:szCs w:val="22"/>
          <w:lang w:val="sk-SK"/>
        </w:rPr>
        <w:t xml:space="preserve">U parenterálnych liekov sa pred podaním má vizuálne skontrolovať, či nemajú zmenené zafarbenie a neobsahujú cudzorodé častice. </w:t>
      </w:r>
      <w:r w:rsidRPr="005B4493">
        <w:rPr>
          <w:szCs w:val="22"/>
          <w:lang w:val="sk-SK"/>
        </w:rPr>
        <w:t>Pr</w:t>
      </w:r>
      <w:r w:rsidRPr="00D20A35">
        <w:rPr>
          <w:szCs w:val="22"/>
          <w:lang w:val="sk-SK"/>
        </w:rPr>
        <w:t xml:space="preserve">ed podaním </w:t>
      </w:r>
      <w:r w:rsidRPr="00D04A47">
        <w:rPr>
          <w:szCs w:val="22"/>
          <w:lang w:val="sk-SK"/>
        </w:rPr>
        <w:t>intravenózn</w:t>
      </w:r>
      <w:r w:rsidRPr="00330173">
        <w:rPr>
          <w:szCs w:val="22"/>
          <w:lang w:val="sk-SK"/>
        </w:rPr>
        <w:t>ou infúziou sa musí liek zriediť</w:t>
      </w:r>
      <w:r w:rsidRPr="005B4493">
        <w:rPr>
          <w:szCs w:val="22"/>
          <w:lang w:val="sk-SK"/>
        </w:rPr>
        <w:t>.</w:t>
      </w:r>
      <w:r w:rsidRPr="00696CC8">
        <w:rPr>
          <w:szCs w:val="22"/>
          <w:lang w:val="sk-SK"/>
        </w:rPr>
        <w:t xml:space="preserve">Sandostatin (oktreotidacetát) je fyzikálne a chemicky stály po dobu 24 hodín v sterilnom fyziologickom roztoku chloridu sodného alebo sterilnom 5% roztoku </w:t>
      </w:r>
      <w:r>
        <w:rPr>
          <w:szCs w:val="22"/>
          <w:lang w:val="sk-SK"/>
        </w:rPr>
        <w:t>dextrózy (</w:t>
      </w:r>
      <w:r w:rsidRPr="00696CC8">
        <w:rPr>
          <w:szCs w:val="22"/>
          <w:lang w:val="sk-SK"/>
        </w:rPr>
        <w:t>glukózy</w:t>
      </w:r>
      <w:r>
        <w:rPr>
          <w:szCs w:val="22"/>
          <w:lang w:val="sk-SK"/>
        </w:rPr>
        <w:t>)</w:t>
      </w:r>
      <w:r w:rsidRPr="00696CC8">
        <w:rPr>
          <w:szCs w:val="22"/>
          <w:lang w:val="sk-SK"/>
        </w:rPr>
        <w:t xml:space="preserve"> vo vode. Keďže Sandostatin môže ovplyvniť homeostázu glukózy, odporúča sa použiť </w:t>
      </w:r>
      <w:r>
        <w:rPr>
          <w:szCs w:val="22"/>
          <w:lang w:val="sk-SK"/>
        </w:rPr>
        <w:t xml:space="preserve">skôr </w:t>
      </w:r>
      <w:r w:rsidRPr="00696CC8">
        <w:rPr>
          <w:szCs w:val="22"/>
          <w:lang w:val="sk-SK"/>
        </w:rPr>
        <w:t xml:space="preserve">fyziologický roztok chloridu sodného a nie roztok </w:t>
      </w:r>
      <w:r>
        <w:rPr>
          <w:szCs w:val="22"/>
          <w:lang w:val="sk-SK"/>
        </w:rPr>
        <w:t>dextr</w:t>
      </w:r>
      <w:r w:rsidRPr="00696CC8">
        <w:rPr>
          <w:szCs w:val="22"/>
          <w:lang w:val="sk-SK"/>
        </w:rPr>
        <w:t xml:space="preserve">ózy. Zriedené roztoky sú fyzikálne a chemicky stále po dobu najmenej 24 hodín pri teplote do 25°C. Z mikrobiologického hľadiska sa zriedený roztok má použiť okamžite. </w:t>
      </w:r>
      <w:r w:rsidRPr="00913B7E">
        <w:rPr>
          <w:szCs w:val="22"/>
          <w:lang w:val="sk-SK"/>
        </w:rPr>
        <w:t>Ak</w:t>
      </w:r>
      <w:r w:rsidRPr="008440E7">
        <w:rPr>
          <w:szCs w:val="22"/>
          <w:lang w:val="sk-SK"/>
        </w:rPr>
        <w:t xml:space="preserve"> sa roztok nepoužije okamžite, za uchovávanie počas používania a za podmienky skladovania pred použitím zodpovedá používateľ</w:t>
      </w:r>
      <w:r w:rsidRPr="00696CC8">
        <w:rPr>
          <w:szCs w:val="22"/>
          <w:lang w:val="sk-SK"/>
        </w:rPr>
        <w:t xml:space="preserve"> </w:t>
      </w:r>
    </w:p>
    <w:p w:rsidR="00871AAF" w:rsidRPr="007E1DD6" w:rsidRDefault="00871AAF" w:rsidP="006E3241">
      <w:pPr>
        <w:rPr>
          <w:szCs w:val="22"/>
          <w:lang w:val="sk-SK"/>
        </w:rPr>
      </w:pPr>
      <w:r>
        <w:rPr>
          <w:szCs w:val="22"/>
          <w:lang w:val="sk-SK"/>
        </w:rPr>
        <w:t>Obsah jednej 500 mikrogramovej  ampulky má byť štandardne rozpustený v 60 ml fyziologického roztoku, a výsledný roztok sa má podať pomocou infúznej pumpy.</w:t>
      </w:r>
      <w:r w:rsidRPr="00696CC8">
        <w:rPr>
          <w:szCs w:val="22"/>
          <w:lang w:val="sk-SK"/>
        </w:rPr>
        <w:t xml:space="preserve">Tento postup sa má opakovať tak často, ako je to potrebné, aby sa dosiahlo požadované trvanie liečby. </w:t>
      </w:r>
    </w:p>
    <w:p w:rsidR="00871AAF" w:rsidRPr="00543955" w:rsidRDefault="00871AAF" w:rsidP="007E1DD6">
      <w:pPr>
        <w:widowControl w:val="0"/>
        <w:tabs>
          <w:tab w:val="clear" w:pos="567"/>
        </w:tabs>
        <w:spacing w:line="240" w:lineRule="auto"/>
        <w:rPr>
          <w:szCs w:val="22"/>
          <w:highlight w:val="yellow"/>
          <w:lang w:val="sk-SK"/>
        </w:rPr>
      </w:pPr>
    </w:p>
    <w:p w:rsidR="00871AAF" w:rsidRPr="00543955" w:rsidRDefault="00871AAF" w:rsidP="007E1DD6">
      <w:pPr>
        <w:widowControl w:val="0"/>
        <w:tabs>
          <w:tab w:val="clear" w:pos="567"/>
        </w:tabs>
        <w:spacing w:line="240" w:lineRule="auto"/>
        <w:rPr>
          <w:szCs w:val="22"/>
          <w:highlight w:val="yellow"/>
          <w:lang w:val="sk-SK"/>
        </w:rPr>
      </w:pPr>
    </w:p>
    <w:p w:rsidR="00871AAF" w:rsidRPr="00543955" w:rsidRDefault="00871AAF" w:rsidP="007E1DD6">
      <w:pPr>
        <w:keepNext/>
        <w:widowControl w:val="0"/>
        <w:tabs>
          <w:tab w:val="clear" w:pos="567"/>
        </w:tabs>
        <w:spacing w:line="240" w:lineRule="auto"/>
        <w:ind w:left="567" w:hanging="567"/>
        <w:rPr>
          <w:szCs w:val="22"/>
          <w:lang w:val="sk-SK"/>
        </w:rPr>
      </w:pPr>
      <w:r w:rsidRPr="00543955">
        <w:rPr>
          <w:b/>
          <w:szCs w:val="22"/>
          <w:lang w:val="sk-SK"/>
        </w:rPr>
        <w:t>7.</w:t>
      </w:r>
      <w:r w:rsidRPr="00543955">
        <w:rPr>
          <w:b/>
          <w:szCs w:val="22"/>
          <w:lang w:val="sk-SK"/>
        </w:rPr>
        <w:tab/>
        <w:t>DRŽITEĽ ROZHODNUTIA O REGISTRÁCII</w:t>
      </w:r>
    </w:p>
    <w:p w:rsidR="00871AAF" w:rsidRPr="00543955" w:rsidRDefault="00871AAF" w:rsidP="007E1DD6">
      <w:pPr>
        <w:keepNext/>
        <w:widowControl w:val="0"/>
        <w:tabs>
          <w:tab w:val="clear" w:pos="567"/>
        </w:tabs>
        <w:spacing w:line="240" w:lineRule="auto"/>
        <w:rPr>
          <w:szCs w:val="22"/>
          <w:highlight w:val="yellow"/>
          <w:lang w:val="sk-SK"/>
        </w:rPr>
      </w:pPr>
    </w:p>
    <w:p w:rsidR="00AD40BF" w:rsidRPr="00AD40BF" w:rsidRDefault="00AD40BF" w:rsidP="00AD40BF">
      <w:pPr>
        <w:keepNext/>
        <w:widowControl w:val="0"/>
        <w:tabs>
          <w:tab w:val="clear" w:pos="567"/>
        </w:tabs>
        <w:spacing w:line="240" w:lineRule="auto"/>
        <w:rPr>
          <w:szCs w:val="22"/>
          <w:lang w:val="sk-SK"/>
        </w:rPr>
      </w:pPr>
      <w:r w:rsidRPr="00AD40BF">
        <w:rPr>
          <w:szCs w:val="22"/>
          <w:lang w:val="sk-SK"/>
        </w:rPr>
        <w:t>Novartis Slovakia s.r.o.</w:t>
      </w:r>
    </w:p>
    <w:p w:rsidR="00AD40BF" w:rsidRPr="00AD40BF" w:rsidRDefault="00AD40BF" w:rsidP="00AD40BF">
      <w:pPr>
        <w:keepNext/>
        <w:widowControl w:val="0"/>
        <w:tabs>
          <w:tab w:val="clear" w:pos="567"/>
        </w:tabs>
        <w:spacing w:line="240" w:lineRule="auto"/>
        <w:rPr>
          <w:szCs w:val="22"/>
          <w:lang w:val="sk-SK"/>
        </w:rPr>
      </w:pPr>
      <w:r w:rsidRPr="00AD40BF">
        <w:rPr>
          <w:szCs w:val="22"/>
          <w:lang w:val="sk-SK"/>
        </w:rPr>
        <w:t>Žižkova 22B</w:t>
      </w:r>
    </w:p>
    <w:p w:rsidR="00AD40BF" w:rsidRPr="00AD40BF" w:rsidRDefault="00AD40BF" w:rsidP="00AD40BF">
      <w:pPr>
        <w:keepNext/>
        <w:widowControl w:val="0"/>
        <w:tabs>
          <w:tab w:val="clear" w:pos="567"/>
        </w:tabs>
        <w:spacing w:line="240" w:lineRule="auto"/>
        <w:rPr>
          <w:szCs w:val="22"/>
          <w:lang w:val="sk-SK"/>
        </w:rPr>
      </w:pPr>
      <w:r w:rsidRPr="00AD40BF">
        <w:rPr>
          <w:szCs w:val="22"/>
          <w:lang w:val="sk-SK"/>
        </w:rPr>
        <w:t>811 02 Bratislava</w:t>
      </w:r>
    </w:p>
    <w:p w:rsidR="00871AAF" w:rsidRPr="00543955" w:rsidRDefault="00AD40BF" w:rsidP="007E1DD6">
      <w:pPr>
        <w:widowControl w:val="0"/>
        <w:tabs>
          <w:tab w:val="clear" w:pos="567"/>
        </w:tabs>
        <w:spacing w:line="240" w:lineRule="auto"/>
        <w:rPr>
          <w:szCs w:val="22"/>
          <w:highlight w:val="yellow"/>
          <w:lang w:val="sk-SK"/>
        </w:rPr>
      </w:pPr>
      <w:r w:rsidRPr="00AD40BF">
        <w:rPr>
          <w:szCs w:val="22"/>
          <w:lang w:val="sk-SK"/>
        </w:rPr>
        <w:t>Slovenská republika</w:t>
      </w:r>
    </w:p>
    <w:p w:rsidR="00871AAF" w:rsidRDefault="00871AAF" w:rsidP="007E1DD6">
      <w:pPr>
        <w:widowControl w:val="0"/>
        <w:tabs>
          <w:tab w:val="clear" w:pos="567"/>
        </w:tabs>
        <w:spacing w:line="240" w:lineRule="auto"/>
        <w:rPr>
          <w:szCs w:val="22"/>
          <w:highlight w:val="yellow"/>
          <w:lang w:val="sk-SK"/>
        </w:rPr>
      </w:pPr>
    </w:p>
    <w:p w:rsidR="004E2447" w:rsidRPr="00543955" w:rsidRDefault="004E2447" w:rsidP="007E1DD6">
      <w:pPr>
        <w:widowControl w:val="0"/>
        <w:tabs>
          <w:tab w:val="clear" w:pos="567"/>
        </w:tabs>
        <w:spacing w:line="240" w:lineRule="auto"/>
        <w:rPr>
          <w:szCs w:val="22"/>
          <w:highlight w:val="yellow"/>
          <w:lang w:val="sk-SK"/>
        </w:rPr>
      </w:pPr>
    </w:p>
    <w:p w:rsidR="00871AAF" w:rsidRPr="00543955" w:rsidRDefault="00871AAF" w:rsidP="007E1DD6">
      <w:pPr>
        <w:keepNext/>
        <w:widowControl w:val="0"/>
        <w:tabs>
          <w:tab w:val="clear" w:pos="567"/>
        </w:tabs>
        <w:spacing w:line="240" w:lineRule="auto"/>
        <w:ind w:left="567" w:hanging="567"/>
        <w:rPr>
          <w:b/>
          <w:szCs w:val="22"/>
          <w:lang w:val="sk-SK"/>
        </w:rPr>
      </w:pPr>
      <w:r w:rsidRPr="00543955">
        <w:rPr>
          <w:b/>
          <w:szCs w:val="22"/>
          <w:lang w:val="sk-SK"/>
        </w:rPr>
        <w:t>8.</w:t>
      </w:r>
      <w:r w:rsidRPr="00543955">
        <w:rPr>
          <w:b/>
          <w:szCs w:val="22"/>
          <w:lang w:val="sk-SK"/>
        </w:rPr>
        <w:tab/>
        <w:t>REGISTRAČNÉ ČÍSLO</w:t>
      </w:r>
    </w:p>
    <w:p w:rsidR="00871AAF" w:rsidRPr="00543955" w:rsidRDefault="00871AAF" w:rsidP="007E1DD6">
      <w:pPr>
        <w:keepNext/>
        <w:widowControl w:val="0"/>
        <w:tabs>
          <w:tab w:val="clear" w:pos="567"/>
        </w:tabs>
        <w:spacing w:line="240" w:lineRule="auto"/>
        <w:rPr>
          <w:szCs w:val="22"/>
          <w:lang w:val="sk-SK"/>
        </w:rPr>
      </w:pPr>
    </w:p>
    <w:p w:rsidR="00E97222" w:rsidRDefault="00E97222" w:rsidP="00E168F5">
      <w:pPr>
        <w:rPr>
          <w:szCs w:val="22"/>
          <w:lang w:val="sk-SK"/>
        </w:rPr>
      </w:pPr>
      <w:r w:rsidRPr="00AF78AE">
        <w:rPr>
          <w:szCs w:val="22"/>
          <w:lang w:val="sk-SK"/>
        </w:rPr>
        <w:t>SANDOSTATIN 50 mikrogramov/1 ml injekčný/infúzny roztok</w:t>
      </w:r>
      <w:r>
        <w:rPr>
          <w:szCs w:val="22"/>
          <w:lang w:val="sk-SK"/>
        </w:rPr>
        <w:t xml:space="preserve">: </w:t>
      </w:r>
      <w:r w:rsidRPr="006974D2">
        <w:rPr>
          <w:caps/>
          <w:szCs w:val="22"/>
          <w:lang w:val="sk-SK"/>
        </w:rPr>
        <w:t>56/0183/90-CS</w:t>
      </w:r>
    </w:p>
    <w:p w:rsidR="00E97222" w:rsidRPr="00CC6954" w:rsidRDefault="00E97222" w:rsidP="00E97222">
      <w:pPr>
        <w:pStyle w:val="Textkomentra"/>
        <w:rPr>
          <w:sz w:val="22"/>
          <w:szCs w:val="22"/>
          <w:lang w:val="sk-SK"/>
        </w:rPr>
      </w:pPr>
      <w:r w:rsidRPr="00AF78AE">
        <w:rPr>
          <w:sz w:val="22"/>
          <w:szCs w:val="22"/>
          <w:lang w:val="sk-SK"/>
        </w:rPr>
        <w:t>SANDOSTATIN 100 mikrogramov/1 ml injekčný/infúzny roztok</w:t>
      </w:r>
      <w:r>
        <w:rPr>
          <w:sz w:val="22"/>
          <w:szCs w:val="22"/>
          <w:lang w:val="sk-SK"/>
        </w:rPr>
        <w:t>: 56/0060/17-S</w:t>
      </w:r>
      <w:r w:rsidRPr="00AF78AE">
        <w:rPr>
          <w:sz w:val="22"/>
          <w:szCs w:val="22"/>
          <w:lang w:val="sk-SK"/>
        </w:rPr>
        <w:t xml:space="preserve"> </w:t>
      </w:r>
    </w:p>
    <w:p w:rsidR="00E97222" w:rsidRPr="00BE75A2" w:rsidRDefault="00E97222" w:rsidP="00E97222">
      <w:pPr>
        <w:widowControl w:val="0"/>
        <w:tabs>
          <w:tab w:val="clear" w:pos="567"/>
        </w:tabs>
        <w:spacing w:line="240" w:lineRule="auto"/>
        <w:rPr>
          <w:szCs w:val="22"/>
          <w:lang w:val="sk-SK"/>
        </w:rPr>
      </w:pPr>
      <w:r w:rsidRPr="00AF78AE">
        <w:rPr>
          <w:szCs w:val="22"/>
          <w:lang w:val="sk-SK"/>
        </w:rPr>
        <w:t>SANDOSTATIN 500 mikrogramov/1 ml injekčný/infúzny roztok</w:t>
      </w:r>
      <w:r>
        <w:rPr>
          <w:szCs w:val="22"/>
          <w:lang w:val="sk-SK"/>
        </w:rPr>
        <w:t>:</w:t>
      </w:r>
      <w:r w:rsidRPr="00AF78AE">
        <w:rPr>
          <w:szCs w:val="22"/>
          <w:lang w:val="sk-SK"/>
        </w:rPr>
        <w:t xml:space="preserve"> </w:t>
      </w:r>
      <w:r>
        <w:rPr>
          <w:szCs w:val="22"/>
          <w:lang w:val="sk-SK"/>
        </w:rPr>
        <w:t>56/0061/17-S</w:t>
      </w:r>
      <w:r w:rsidRPr="00AF78AE">
        <w:rPr>
          <w:szCs w:val="22"/>
          <w:lang w:val="sk-SK"/>
        </w:rPr>
        <w:t xml:space="preserve"> </w:t>
      </w:r>
    </w:p>
    <w:p w:rsidR="00871AAF" w:rsidRPr="00543955" w:rsidRDefault="00871AAF" w:rsidP="0061089B">
      <w:pPr>
        <w:rPr>
          <w:i/>
          <w:iCs/>
          <w:szCs w:val="22"/>
          <w:lang w:val="sk-SK"/>
        </w:rPr>
      </w:pPr>
    </w:p>
    <w:p w:rsidR="00871AAF" w:rsidRPr="00543955" w:rsidRDefault="00871AAF" w:rsidP="007E1DD6">
      <w:pPr>
        <w:widowControl w:val="0"/>
        <w:tabs>
          <w:tab w:val="clear" w:pos="567"/>
        </w:tabs>
        <w:spacing w:line="240" w:lineRule="auto"/>
        <w:rPr>
          <w:i/>
          <w:iCs/>
          <w:szCs w:val="22"/>
          <w:highlight w:val="yellow"/>
          <w:lang w:val="sk-SK"/>
        </w:rPr>
      </w:pPr>
    </w:p>
    <w:p w:rsidR="00871AAF" w:rsidRPr="00543955" w:rsidRDefault="00871AAF" w:rsidP="007E1DD6">
      <w:pPr>
        <w:keepNext/>
        <w:widowControl w:val="0"/>
        <w:tabs>
          <w:tab w:val="clear" w:pos="567"/>
        </w:tabs>
        <w:spacing w:line="240" w:lineRule="auto"/>
        <w:ind w:left="567" w:hanging="567"/>
        <w:rPr>
          <w:szCs w:val="22"/>
          <w:lang w:val="sk-SK"/>
        </w:rPr>
      </w:pPr>
      <w:r w:rsidRPr="00543955">
        <w:rPr>
          <w:b/>
          <w:szCs w:val="22"/>
          <w:lang w:val="sk-SK"/>
        </w:rPr>
        <w:t>9.</w:t>
      </w:r>
      <w:r w:rsidRPr="00543955">
        <w:rPr>
          <w:b/>
          <w:szCs w:val="22"/>
          <w:lang w:val="sk-SK"/>
        </w:rPr>
        <w:tab/>
        <w:t>DÁTUM PRVEJ REGISTRÁCIE/PREDĹŽENIA REGISTRÁCIE</w:t>
      </w:r>
    </w:p>
    <w:p w:rsidR="00871AAF" w:rsidRPr="00543955" w:rsidRDefault="00871AAF" w:rsidP="007E1DD6">
      <w:pPr>
        <w:keepNext/>
        <w:widowControl w:val="0"/>
        <w:tabs>
          <w:tab w:val="clear" w:pos="567"/>
        </w:tabs>
        <w:spacing w:line="240" w:lineRule="auto"/>
        <w:rPr>
          <w:szCs w:val="22"/>
          <w:highlight w:val="yellow"/>
          <w:lang w:val="sk-SK"/>
        </w:rPr>
      </w:pPr>
    </w:p>
    <w:p w:rsidR="00871AAF" w:rsidRPr="006974D2" w:rsidRDefault="00871AAF" w:rsidP="007E1DD6">
      <w:pPr>
        <w:rPr>
          <w:szCs w:val="22"/>
          <w:lang w:val="sk-SK"/>
        </w:rPr>
      </w:pPr>
      <w:r w:rsidRPr="006974D2">
        <w:rPr>
          <w:szCs w:val="22"/>
          <w:lang w:val="sk-SK"/>
        </w:rPr>
        <w:t>Dátum prvej registrácie: 04.</w:t>
      </w:r>
      <w:r w:rsidR="00A81FB0">
        <w:rPr>
          <w:szCs w:val="22"/>
          <w:lang w:val="sk-SK"/>
        </w:rPr>
        <w:t>jún</w:t>
      </w:r>
      <w:r w:rsidRPr="006974D2">
        <w:rPr>
          <w:szCs w:val="22"/>
          <w:lang w:val="sk-SK"/>
        </w:rPr>
        <w:t>.1990</w:t>
      </w:r>
    </w:p>
    <w:p w:rsidR="00871AAF" w:rsidRPr="006974D2" w:rsidRDefault="00871AAF" w:rsidP="007E1DD6">
      <w:pPr>
        <w:rPr>
          <w:szCs w:val="22"/>
          <w:lang w:val="sk-SK"/>
        </w:rPr>
      </w:pPr>
      <w:r>
        <w:rPr>
          <w:szCs w:val="22"/>
          <w:lang w:val="sk-SK"/>
        </w:rPr>
        <w:lastRenderedPageBreak/>
        <w:t>Dátum posledného predĺženia registrácie</w:t>
      </w:r>
      <w:r w:rsidRPr="006974D2">
        <w:rPr>
          <w:szCs w:val="22"/>
          <w:lang w:val="sk-SK"/>
        </w:rPr>
        <w:t xml:space="preserve">: </w:t>
      </w:r>
      <w:r>
        <w:rPr>
          <w:szCs w:val="22"/>
          <w:lang w:val="sk-SK"/>
        </w:rPr>
        <w:t>29.</w:t>
      </w:r>
      <w:r w:rsidR="00A81FB0">
        <w:rPr>
          <w:szCs w:val="22"/>
          <w:lang w:val="sk-SK"/>
        </w:rPr>
        <w:t>jún</w:t>
      </w:r>
      <w:r>
        <w:rPr>
          <w:szCs w:val="22"/>
          <w:lang w:val="sk-SK"/>
        </w:rPr>
        <w:t>.2005</w:t>
      </w:r>
    </w:p>
    <w:p w:rsidR="00871AAF" w:rsidRPr="00543955" w:rsidRDefault="00871AAF" w:rsidP="007E1DD6">
      <w:pPr>
        <w:widowControl w:val="0"/>
        <w:tabs>
          <w:tab w:val="clear" w:pos="567"/>
        </w:tabs>
        <w:spacing w:line="240" w:lineRule="auto"/>
        <w:rPr>
          <w:szCs w:val="22"/>
          <w:highlight w:val="yellow"/>
          <w:lang w:val="sk-SK"/>
        </w:rPr>
      </w:pPr>
    </w:p>
    <w:p w:rsidR="00871AAF" w:rsidRPr="00543955" w:rsidRDefault="00871AAF" w:rsidP="007E1DD6">
      <w:pPr>
        <w:widowControl w:val="0"/>
        <w:tabs>
          <w:tab w:val="clear" w:pos="567"/>
        </w:tabs>
        <w:spacing w:line="240" w:lineRule="auto"/>
        <w:rPr>
          <w:szCs w:val="22"/>
          <w:highlight w:val="yellow"/>
          <w:lang w:val="sk-SK"/>
        </w:rPr>
      </w:pPr>
    </w:p>
    <w:p w:rsidR="00871AAF" w:rsidRPr="00543955" w:rsidRDefault="00871AAF" w:rsidP="007E1DD6">
      <w:pPr>
        <w:keepNext/>
        <w:widowControl w:val="0"/>
        <w:tabs>
          <w:tab w:val="clear" w:pos="567"/>
        </w:tabs>
        <w:spacing w:line="240" w:lineRule="auto"/>
        <w:ind w:left="567" w:hanging="567"/>
        <w:rPr>
          <w:b/>
          <w:szCs w:val="22"/>
          <w:lang w:val="sk-SK"/>
        </w:rPr>
      </w:pPr>
      <w:r w:rsidRPr="00543955">
        <w:rPr>
          <w:b/>
          <w:szCs w:val="22"/>
          <w:lang w:val="sk-SK"/>
        </w:rPr>
        <w:t>10.</w:t>
      </w:r>
      <w:r w:rsidRPr="00543955">
        <w:rPr>
          <w:b/>
          <w:szCs w:val="22"/>
          <w:lang w:val="sk-SK"/>
        </w:rPr>
        <w:tab/>
        <w:t>DÁTUM REVÍZIE TEXTU</w:t>
      </w:r>
    </w:p>
    <w:p w:rsidR="00871AAF" w:rsidRPr="00543955" w:rsidRDefault="00871AAF" w:rsidP="007E1DD6">
      <w:pPr>
        <w:keepNext/>
        <w:widowControl w:val="0"/>
        <w:tabs>
          <w:tab w:val="clear" w:pos="567"/>
        </w:tabs>
        <w:spacing w:line="240" w:lineRule="auto"/>
        <w:rPr>
          <w:szCs w:val="22"/>
          <w:lang w:val="sk-SK"/>
        </w:rPr>
      </w:pPr>
    </w:p>
    <w:p w:rsidR="00871AAF" w:rsidRPr="00543955" w:rsidRDefault="004E2447" w:rsidP="007E1DD6">
      <w:pPr>
        <w:widowControl w:val="0"/>
        <w:numPr>
          <w:ilvl w:val="12"/>
          <w:numId w:val="0"/>
        </w:numPr>
        <w:tabs>
          <w:tab w:val="clear" w:pos="567"/>
        </w:tabs>
        <w:spacing w:line="240" w:lineRule="auto"/>
        <w:ind w:right="-2"/>
        <w:rPr>
          <w:iCs/>
          <w:szCs w:val="22"/>
          <w:highlight w:val="yellow"/>
          <w:lang w:val="sk-SK"/>
        </w:rPr>
      </w:pPr>
      <w:r>
        <w:rPr>
          <w:szCs w:val="22"/>
          <w:lang w:val="sk-SK"/>
        </w:rPr>
        <w:t>0</w:t>
      </w:r>
      <w:r w:rsidR="002F28A8" w:rsidRPr="003C767F">
        <w:rPr>
          <w:szCs w:val="22"/>
          <w:lang w:val="sk-SK"/>
        </w:rPr>
        <w:t>7</w:t>
      </w:r>
      <w:r>
        <w:rPr>
          <w:szCs w:val="22"/>
          <w:lang w:val="sk-SK"/>
        </w:rPr>
        <w:t>/201</w:t>
      </w:r>
      <w:r w:rsidR="000F4996">
        <w:rPr>
          <w:szCs w:val="22"/>
          <w:lang w:val="sk-SK"/>
        </w:rPr>
        <w:t>9</w:t>
      </w:r>
    </w:p>
    <w:p w:rsidR="00871AAF" w:rsidRPr="00543955" w:rsidRDefault="00871AAF" w:rsidP="007E1DD6">
      <w:pPr>
        <w:widowControl w:val="0"/>
        <w:numPr>
          <w:ilvl w:val="12"/>
          <w:numId w:val="0"/>
        </w:numPr>
        <w:tabs>
          <w:tab w:val="clear" w:pos="567"/>
        </w:tabs>
        <w:spacing w:line="240" w:lineRule="auto"/>
        <w:ind w:right="-2"/>
        <w:rPr>
          <w:iCs/>
          <w:szCs w:val="22"/>
          <w:highlight w:val="yellow"/>
          <w:lang w:val="sk-SK"/>
        </w:rPr>
      </w:pPr>
    </w:p>
    <w:p w:rsidR="00871AAF" w:rsidRPr="007E1DD6" w:rsidRDefault="00871AAF">
      <w:pPr>
        <w:rPr>
          <w:lang w:val="sk-SK"/>
        </w:rPr>
      </w:pPr>
    </w:p>
    <w:sectPr w:rsidR="00871AAF" w:rsidRPr="007E1DD6" w:rsidSect="0061089B">
      <w:headerReference w:type="default"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C87" w:rsidRDefault="00987C87" w:rsidP="0077661B">
      <w:pPr>
        <w:spacing w:line="240" w:lineRule="auto"/>
      </w:pPr>
      <w:r>
        <w:separator/>
      </w:r>
    </w:p>
  </w:endnote>
  <w:endnote w:type="continuationSeparator" w:id="0">
    <w:p w:rsidR="00987C87" w:rsidRDefault="00987C87" w:rsidP="00776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E">
    <w:altName w:val="Courier New"/>
    <w:panose1 w:val="00000000000000000000"/>
    <w:charset w:val="FF"/>
    <w:family w:val="decorative"/>
    <w:notTrueType/>
    <w:pitch w:val="variable"/>
    <w:sig w:usb0="00000003"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F2" w:rsidRPr="008B5A5F" w:rsidRDefault="00052CF2">
    <w:pPr>
      <w:pStyle w:val="Pta"/>
      <w:jc w:val="center"/>
      <w:rPr>
        <w:sz w:val="18"/>
        <w:szCs w:val="18"/>
      </w:rPr>
    </w:pPr>
    <w:r w:rsidRPr="008B5A5F">
      <w:rPr>
        <w:sz w:val="18"/>
        <w:szCs w:val="18"/>
      </w:rPr>
      <w:fldChar w:fldCharType="begin"/>
    </w:r>
    <w:r w:rsidRPr="008B5A5F">
      <w:rPr>
        <w:sz w:val="18"/>
        <w:szCs w:val="18"/>
      </w:rPr>
      <w:instrText>PAGE   \* MERGEFORMAT</w:instrText>
    </w:r>
    <w:r w:rsidRPr="008B5A5F">
      <w:rPr>
        <w:sz w:val="18"/>
        <w:szCs w:val="18"/>
      </w:rPr>
      <w:fldChar w:fldCharType="separate"/>
    </w:r>
    <w:r w:rsidR="00F74203" w:rsidRPr="00F74203">
      <w:rPr>
        <w:noProof/>
        <w:sz w:val="18"/>
        <w:szCs w:val="18"/>
        <w:lang w:val="sk-SK"/>
      </w:rPr>
      <w:t>12</w:t>
    </w:r>
    <w:r w:rsidRPr="008B5A5F">
      <w:rPr>
        <w:sz w:val="18"/>
        <w:szCs w:val="18"/>
      </w:rPr>
      <w:fldChar w:fldCharType="end"/>
    </w:r>
  </w:p>
  <w:p w:rsidR="00052CF2" w:rsidRDefault="00052CF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F2" w:rsidRDefault="00052CF2">
    <w:pPr>
      <w:pStyle w:val="Pta"/>
      <w:jc w:val="center"/>
    </w:pPr>
    <w:r w:rsidRPr="008B5A5F">
      <w:rPr>
        <w:sz w:val="18"/>
        <w:szCs w:val="18"/>
      </w:rPr>
      <w:fldChar w:fldCharType="begin"/>
    </w:r>
    <w:r w:rsidRPr="008B5A5F">
      <w:rPr>
        <w:sz w:val="18"/>
        <w:szCs w:val="18"/>
      </w:rPr>
      <w:instrText>PAGE   \* MERGEFORMAT</w:instrText>
    </w:r>
    <w:r w:rsidRPr="008B5A5F">
      <w:rPr>
        <w:sz w:val="18"/>
        <w:szCs w:val="18"/>
      </w:rPr>
      <w:fldChar w:fldCharType="separate"/>
    </w:r>
    <w:r w:rsidR="00D755A6" w:rsidRPr="00D755A6">
      <w:rPr>
        <w:noProof/>
        <w:sz w:val="18"/>
        <w:szCs w:val="18"/>
        <w:lang w:val="sk-SK"/>
      </w:rPr>
      <w:t>1</w:t>
    </w:r>
    <w:r w:rsidRPr="008B5A5F">
      <w:rPr>
        <w:sz w:val="18"/>
        <w:szCs w:val="18"/>
      </w:rPr>
      <w:fldChar w:fldCharType="end"/>
    </w:r>
  </w:p>
  <w:p w:rsidR="00052CF2" w:rsidRDefault="00052CF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C87" w:rsidRDefault="00987C87" w:rsidP="0077661B">
      <w:pPr>
        <w:spacing w:line="240" w:lineRule="auto"/>
      </w:pPr>
      <w:r>
        <w:separator/>
      </w:r>
    </w:p>
  </w:footnote>
  <w:footnote w:type="continuationSeparator" w:id="0">
    <w:p w:rsidR="00987C87" w:rsidRDefault="00987C87" w:rsidP="007766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A6" w:rsidRDefault="00570E49" w:rsidP="00D755A6">
    <w:pPr>
      <w:pStyle w:val="Hlavika"/>
      <w:rPr>
        <w:sz w:val="18"/>
        <w:szCs w:val="18"/>
        <w:lang w:val="sk-SK" w:eastAsia="cs-CZ"/>
      </w:rPr>
    </w:pPr>
    <w:r>
      <w:rPr>
        <w:sz w:val="18"/>
        <w:szCs w:val="18"/>
        <w:lang w:val="sk-SK" w:eastAsia="cs-CZ"/>
      </w:rPr>
      <w:t> Príloha č.1 k notifikácii o zmene</w:t>
    </w:r>
    <w:r w:rsidR="00D755A6" w:rsidRPr="006C67F0">
      <w:rPr>
        <w:sz w:val="18"/>
        <w:szCs w:val="18"/>
        <w:lang w:val="sk-SK" w:eastAsia="cs-CZ"/>
      </w:rPr>
      <w:t>, ev.</w:t>
    </w:r>
    <w:r w:rsidR="00D755A6">
      <w:rPr>
        <w:sz w:val="18"/>
        <w:szCs w:val="18"/>
        <w:lang w:val="sk-SK" w:eastAsia="cs-CZ"/>
      </w:rPr>
      <w:t xml:space="preserve"> </w:t>
    </w:r>
    <w:r w:rsidR="00D755A6" w:rsidRPr="006C67F0">
      <w:rPr>
        <w:sz w:val="18"/>
        <w:szCs w:val="18"/>
        <w:lang w:val="sk-SK" w:eastAsia="cs-CZ"/>
      </w:rPr>
      <w:t>č.:</w:t>
    </w:r>
    <w:r w:rsidR="00D755A6" w:rsidRPr="006C67F0" w:rsidDel="006C67F0">
      <w:rPr>
        <w:sz w:val="18"/>
        <w:szCs w:val="18"/>
        <w:lang w:val="sk-SK" w:eastAsia="cs-CZ"/>
      </w:rPr>
      <w:t xml:space="preserve"> </w:t>
    </w:r>
    <w:r w:rsidR="00D60790" w:rsidRPr="00D60790">
      <w:rPr>
        <w:sz w:val="18"/>
        <w:szCs w:val="18"/>
        <w:lang w:val="sk-SK" w:eastAsia="cs-CZ"/>
      </w:rPr>
      <w:t>2019/00890-Z1B</w:t>
    </w:r>
    <w:r w:rsidR="006F3182">
      <w:rPr>
        <w:sz w:val="18"/>
        <w:szCs w:val="18"/>
        <w:lang w:val="sk-SK" w:eastAsia="cs-CZ"/>
      </w:rPr>
      <w:t xml:space="preserve">, </w:t>
    </w:r>
    <w:r w:rsidR="006F3182" w:rsidRPr="003C767F">
      <w:rPr>
        <w:sz w:val="18"/>
        <w:szCs w:val="18"/>
        <w:lang w:val="sk-SK" w:eastAsia="cs-CZ"/>
      </w:rPr>
      <w:t>2019/01602-Z1B</w:t>
    </w:r>
    <w:r w:rsidR="00D755A6">
      <w:rPr>
        <w:sz w:val="18"/>
        <w:szCs w:val="18"/>
        <w:lang w:val="sk-SK" w:eastAsia="cs-CZ"/>
      </w:rPr>
      <w:t xml:space="preserve"> </w:t>
    </w:r>
  </w:p>
  <w:p w:rsidR="004D40C1" w:rsidRPr="0061089B" w:rsidRDefault="004D40C1">
    <w:pPr>
      <w:pStyle w:val="Hlavika"/>
      <w:rPr>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0C1" w:rsidRDefault="00052CF2" w:rsidP="0077661B">
    <w:pPr>
      <w:pStyle w:val="Hlavika"/>
      <w:rPr>
        <w:sz w:val="18"/>
        <w:szCs w:val="18"/>
        <w:lang w:val="sk-SK" w:eastAsia="cs-CZ"/>
      </w:rPr>
    </w:pPr>
    <w:r w:rsidRPr="006C67F0">
      <w:rPr>
        <w:sz w:val="18"/>
        <w:szCs w:val="18"/>
        <w:lang w:val="sk-SK" w:eastAsia="cs-CZ"/>
      </w:rPr>
      <w:t>Schválený text k rozhodnutiu o zmene, ev.</w:t>
    </w:r>
    <w:r w:rsidR="00D755A6">
      <w:rPr>
        <w:sz w:val="18"/>
        <w:szCs w:val="18"/>
        <w:lang w:val="sk-SK" w:eastAsia="cs-CZ"/>
      </w:rPr>
      <w:t xml:space="preserve"> </w:t>
    </w:r>
    <w:r w:rsidRPr="006C67F0">
      <w:rPr>
        <w:sz w:val="18"/>
        <w:szCs w:val="18"/>
        <w:lang w:val="sk-SK" w:eastAsia="cs-CZ"/>
      </w:rPr>
      <w:t>č.:</w:t>
    </w:r>
    <w:r w:rsidRPr="006C67F0" w:rsidDel="006C67F0">
      <w:rPr>
        <w:sz w:val="18"/>
        <w:szCs w:val="18"/>
        <w:lang w:val="sk-SK" w:eastAsia="cs-CZ"/>
      </w:rPr>
      <w:t xml:space="preserve"> </w:t>
    </w:r>
    <w:r>
      <w:rPr>
        <w:sz w:val="18"/>
        <w:szCs w:val="18"/>
        <w:lang w:val="sk-SK" w:eastAsia="cs-CZ"/>
      </w:rPr>
      <w:t>201</w:t>
    </w:r>
    <w:r w:rsidR="00E168F5">
      <w:rPr>
        <w:sz w:val="18"/>
        <w:szCs w:val="18"/>
        <w:lang w:val="sk-SK" w:eastAsia="cs-CZ"/>
      </w:rPr>
      <w:t>7</w:t>
    </w:r>
    <w:r>
      <w:rPr>
        <w:sz w:val="18"/>
        <w:szCs w:val="18"/>
        <w:lang w:val="sk-SK" w:eastAsia="cs-CZ"/>
      </w:rPr>
      <w:t>/0</w:t>
    </w:r>
    <w:r w:rsidR="00E168F5">
      <w:rPr>
        <w:sz w:val="18"/>
        <w:szCs w:val="18"/>
        <w:lang w:val="sk-SK" w:eastAsia="cs-CZ"/>
      </w:rPr>
      <w:t>5492</w:t>
    </w:r>
    <w:r>
      <w:rPr>
        <w:sz w:val="18"/>
        <w:szCs w:val="18"/>
        <w:lang w:val="sk-SK" w:eastAsia="cs-CZ"/>
      </w:rPr>
      <w:t>- ZME</w:t>
    </w:r>
    <w:r w:rsidR="00930657">
      <w:rPr>
        <w:sz w:val="18"/>
        <w:szCs w:val="18"/>
        <w:lang w:val="sk-SK" w:eastAsia="cs-CZ"/>
      </w:rPr>
      <w:t>.</w:t>
    </w:r>
    <w:r w:rsidR="004D40C1">
      <w:rPr>
        <w:sz w:val="18"/>
        <w:szCs w:val="18"/>
        <w:lang w:val="sk-SK" w:eastAsia="cs-CZ"/>
      </w:rPr>
      <w:t xml:space="preserve">, </w:t>
    </w:r>
  </w:p>
  <w:p w:rsidR="00052CF2" w:rsidRPr="0061089B" w:rsidRDefault="004D40C1" w:rsidP="0077661B">
    <w:pPr>
      <w:pStyle w:val="Hlavika"/>
      <w:rPr>
        <w:lang w:val="sk-SK"/>
      </w:rPr>
    </w:pPr>
    <w:r w:rsidRPr="004D40C1">
      <w:rPr>
        <w:sz w:val="18"/>
        <w:szCs w:val="18"/>
        <w:lang w:val="sk-SK" w:eastAsia="cs-CZ"/>
      </w:rPr>
      <w:t>Schválený text k rozhodnu</w:t>
    </w:r>
    <w:r>
      <w:rPr>
        <w:sz w:val="18"/>
        <w:szCs w:val="18"/>
        <w:lang w:val="sk-SK" w:eastAsia="cs-CZ"/>
      </w:rPr>
      <w:t>tiu o prevode, ev.</w:t>
    </w:r>
    <w:r w:rsidR="00D755A6">
      <w:rPr>
        <w:sz w:val="18"/>
        <w:szCs w:val="18"/>
        <w:lang w:val="sk-SK" w:eastAsia="cs-CZ"/>
      </w:rPr>
      <w:t xml:space="preserve"> </w:t>
    </w:r>
    <w:r>
      <w:rPr>
        <w:sz w:val="18"/>
        <w:szCs w:val="18"/>
        <w:lang w:val="sk-SK" w:eastAsia="cs-CZ"/>
      </w:rPr>
      <w:t>č.: 2018/</w:t>
    </w:r>
    <w:r w:rsidR="00D755A6">
      <w:rPr>
        <w:sz w:val="18"/>
        <w:szCs w:val="18"/>
        <w:lang w:val="sk-SK" w:eastAsia="cs-CZ"/>
      </w:rPr>
      <w:t>02021</w:t>
    </w:r>
    <w:r w:rsidRPr="004D40C1">
      <w:rPr>
        <w:sz w:val="18"/>
        <w:szCs w:val="18"/>
        <w:lang w:val="sk-SK" w:eastAsia="cs-CZ"/>
      </w:rPr>
      <w:t>-TR</w:t>
    </w:r>
    <w:r w:rsidR="00D755A6">
      <w:rPr>
        <w:sz w:val="18"/>
        <w:szCs w:val="18"/>
        <w:lang w:val="sk-SK" w:eastAsia="cs-CZ"/>
      </w:rPr>
      <w:t>, 2018/02022-TR, 2018/02023-TR, 2018/02053-TR</w:t>
    </w:r>
  </w:p>
  <w:p w:rsidR="00052CF2" w:rsidRPr="0061089B" w:rsidRDefault="00052CF2">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E1AD7"/>
    <w:multiLevelType w:val="hybridMultilevel"/>
    <w:tmpl w:val="134C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40455A"/>
    <w:multiLevelType w:val="hybridMultilevel"/>
    <w:tmpl w:val="B74E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dlarova, Alena">
    <w15:presenceInfo w15:providerId="AD" w15:userId="S-1-5-21-329068152-854245398-839522115-1618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D6"/>
    <w:rsid w:val="0000342F"/>
    <w:rsid w:val="00004279"/>
    <w:rsid w:val="0001314D"/>
    <w:rsid w:val="00013707"/>
    <w:rsid w:val="0002161B"/>
    <w:rsid w:val="000337FF"/>
    <w:rsid w:val="00044E9E"/>
    <w:rsid w:val="00052CF2"/>
    <w:rsid w:val="00071D04"/>
    <w:rsid w:val="00074ADD"/>
    <w:rsid w:val="00081183"/>
    <w:rsid w:val="000940F5"/>
    <w:rsid w:val="000B1DDA"/>
    <w:rsid w:val="000B6040"/>
    <w:rsid w:val="000D45CD"/>
    <w:rsid w:val="000F4996"/>
    <w:rsid w:val="000F5613"/>
    <w:rsid w:val="00136A93"/>
    <w:rsid w:val="00145900"/>
    <w:rsid w:val="0016018A"/>
    <w:rsid w:val="00166BCA"/>
    <w:rsid w:val="00174FE7"/>
    <w:rsid w:val="00182115"/>
    <w:rsid w:val="00196D92"/>
    <w:rsid w:val="00197E2D"/>
    <w:rsid w:val="001A12D2"/>
    <w:rsid w:val="001A404A"/>
    <w:rsid w:val="001D4362"/>
    <w:rsid w:val="001E2103"/>
    <w:rsid w:val="001F1703"/>
    <w:rsid w:val="0022389F"/>
    <w:rsid w:val="00235DF3"/>
    <w:rsid w:val="0024102F"/>
    <w:rsid w:val="00242A0F"/>
    <w:rsid w:val="00257FD4"/>
    <w:rsid w:val="002657A4"/>
    <w:rsid w:val="00275E57"/>
    <w:rsid w:val="0028674B"/>
    <w:rsid w:val="00286A58"/>
    <w:rsid w:val="002927FE"/>
    <w:rsid w:val="002A774F"/>
    <w:rsid w:val="002B1D9E"/>
    <w:rsid w:val="002B652C"/>
    <w:rsid w:val="002C590E"/>
    <w:rsid w:val="002D0796"/>
    <w:rsid w:val="002D479E"/>
    <w:rsid w:val="002F28A8"/>
    <w:rsid w:val="0031729A"/>
    <w:rsid w:val="00330173"/>
    <w:rsid w:val="00334CB7"/>
    <w:rsid w:val="003468E4"/>
    <w:rsid w:val="00346D10"/>
    <w:rsid w:val="00390731"/>
    <w:rsid w:val="003B1094"/>
    <w:rsid w:val="003B2184"/>
    <w:rsid w:val="003C767F"/>
    <w:rsid w:val="003E7833"/>
    <w:rsid w:val="003F35FB"/>
    <w:rsid w:val="004006E7"/>
    <w:rsid w:val="004106AC"/>
    <w:rsid w:val="00410FFB"/>
    <w:rsid w:val="00415183"/>
    <w:rsid w:val="00445732"/>
    <w:rsid w:val="00467069"/>
    <w:rsid w:val="004852D9"/>
    <w:rsid w:val="00487411"/>
    <w:rsid w:val="0049735B"/>
    <w:rsid w:val="004B0287"/>
    <w:rsid w:val="004C08B3"/>
    <w:rsid w:val="004D40C1"/>
    <w:rsid w:val="004D5537"/>
    <w:rsid w:val="004E2447"/>
    <w:rsid w:val="00501B73"/>
    <w:rsid w:val="00504193"/>
    <w:rsid w:val="00507A14"/>
    <w:rsid w:val="00527677"/>
    <w:rsid w:val="005301B8"/>
    <w:rsid w:val="005306B4"/>
    <w:rsid w:val="00543955"/>
    <w:rsid w:val="005537C8"/>
    <w:rsid w:val="00566DBF"/>
    <w:rsid w:val="00570E49"/>
    <w:rsid w:val="00575417"/>
    <w:rsid w:val="005932B4"/>
    <w:rsid w:val="005A69B6"/>
    <w:rsid w:val="005B4493"/>
    <w:rsid w:val="005C3283"/>
    <w:rsid w:val="005C5C65"/>
    <w:rsid w:val="005E4BB7"/>
    <w:rsid w:val="005F0BFE"/>
    <w:rsid w:val="005F1441"/>
    <w:rsid w:val="0061089B"/>
    <w:rsid w:val="00631DCE"/>
    <w:rsid w:val="00640E2D"/>
    <w:rsid w:val="0064167C"/>
    <w:rsid w:val="00655246"/>
    <w:rsid w:val="006629B9"/>
    <w:rsid w:val="00663132"/>
    <w:rsid w:val="00692245"/>
    <w:rsid w:val="00696CC8"/>
    <w:rsid w:val="006974D2"/>
    <w:rsid w:val="006B548A"/>
    <w:rsid w:val="006C4221"/>
    <w:rsid w:val="006C67F0"/>
    <w:rsid w:val="006E3241"/>
    <w:rsid w:val="006F3182"/>
    <w:rsid w:val="006F654B"/>
    <w:rsid w:val="00712FE6"/>
    <w:rsid w:val="00720759"/>
    <w:rsid w:val="007306EE"/>
    <w:rsid w:val="00731B26"/>
    <w:rsid w:val="00737D0E"/>
    <w:rsid w:val="00745D3B"/>
    <w:rsid w:val="0077661B"/>
    <w:rsid w:val="00782302"/>
    <w:rsid w:val="007A09EC"/>
    <w:rsid w:val="007A447E"/>
    <w:rsid w:val="007B249C"/>
    <w:rsid w:val="007B3B5B"/>
    <w:rsid w:val="007E1DD6"/>
    <w:rsid w:val="00821911"/>
    <w:rsid w:val="008224B9"/>
    <w:rsid w:val="0082377A"/>
    <w:rsid w:val="0082797B"/>
    <w:rsid w:val="00831144"/>
    <w:rsid w:val="0083333B"/>
    <w:rsid w:val="008440E7"/>
    <w:rsid w:val="00856E88"/>
    <w:rsid w:val="00867709"/>
    <w:rsid w:val="00871AAF"/>
    <w:rsid w:val="0087779A"/>
    <w:rsid w:val="008A2791"/>
    <w:rsid w:val="008B5A5F"/>
    <w:rsid w:val="008C2B7E"/>
    <w:rsid w:val="008C482D"/>
    <w:rsid w:val="008C626C"/>
    <w:rsid w:val="008C7C2D"/>
    <w:rsid w:val="008D6D4F"/>
    <w:rsid w:val="008E4181"/>
    <w:rsid w:val="008F599A"/>
    <w:rsid w:val="00903ED2"/>
    <w:rsid w:val="00913B7E"/>
    <w:rsid w:val="00915A26"/>
    <w:rsid w:val="00916406"/>
    <w:rsid w:val="009232B4"/>
    <w:rsid w:val="00923D59"/>
    <w:rsid w:val="00927879"/>
    <w:rsid w:val="00927E21"/>
    <w:rsid w:val="00930657"/>
    <w:rsid w:val="00936E20"/>
    <w:rsid w:val="009533BD"/>
    <w:rsid w:val="00962FB4"/>
    <w:rsid w:val="00967D26"/>
    <w:rsid w:val="00987C87"/>
    <w:rsid w:val="00992C83"/>
    <w:rsid w:val="009A19E1"/>
    <w:rsid w:val="009A5975"/>
    <w:rsid w:val="009B19AF"/>
    <w:rsid w:val="009B3B57"/>
    <w:rsid w:val="009C1346"/>
    <w:rsid w:val="009E769A"/>
    <w:rsid w:val="00A070D9"/>
    <w:rsid w:val="00A317E7"/>
    <w:rsid w:val="00A37B44"/>
    <w:rsid w:val="00A414FE"/>
    <w:rsid w:val="00A50353"/>
    <w:rsid w:val="00A505E4"/>
    <w:rsid w:val="00A616D3"/>
    <w:rsid w:val="00A6636A"/>
    <w:rsid w:val="00A81FB0"/>
    <w:rsid w:val="00AB20B1"/>
    <w:rsid w:val="00AD40BF"/>
    <w:rsid w:val="00AF6C83"/>
    <w:rsid w:val="00AF78AE"/>
    <w:rsid w:val="00B123EC"/>
    <w:rsid w:val="00B14810"/>
    <w:rsid w:val="00B340C8"/>
    <w:rsid w:val="00B44214"/>
    <w:rsid w:val="00B52756"/>
    <w:rsid w:val="00B64EDF"/>
    <w:rsid w:val="00B71E1F"/>
    <w:rsid w:val="00B75C4E"/>
    <w:rsid w:val="00BA5DBA"/>
    <w:rsid w:val="00BA7F10"/>
    <w:rsid w:val="00BC168D"/>
    <w:rsid w:val="00BD2F02"/>
    <w:rsid w:val="00BE75A2"/>
    <w:rsid w:val="00C03213"/>
    <w:rsid w:val="00C25B07"/>
    <w:rsid w:val="00C34B1A"/>
    <w:rsid w:val="00C41E93"/>
    <w:rsid w:val="00C44D5F"/>
    <w:rsid w:val="00C45850"/>
    <w:rsid w:val="00C472A0"/>
    <w:rsid w:val="00C71910"/>
    <w:rsid w:val="00C77F99"/>
    <w:rsid w:val="00C93BA1"/>
    <w:rsid w:val="00C94CFC"/>
    <w:rsid w:val="00CA450F"/>
    <w:rsid w:val="00CC4AFF"/>
    <w:rsid w:val="00CC6954"/>
    <w:rsid w:val="00CC7A4E"/>
    <w:rsid w:val="00CD5105"/>
    <w:rsid w:val="00CD7839"/>
    <w:rsid w:val="00CE0A14"/>
    <w:rsid w:val="00CE5FBC"/>
    <w:rsid w:val="00D04A47"/>
    <w:rsid w:val="00D06485"/>
    <w:rsid w:val="00D10F26"/>
    <w:rsid w:val="00D143BF"/>
    <w:rsid w:val="00D16E9B"/>
    <w:rsid w:val="00D20A35"/>
    <w:rsid w:val="00D306F3"/>
    <w:rsid w:val="00D46D33"/>
    <w:rsid w:val="00D52BB7"/>
    <w:rsid w:val="00D57836"/>
    <w:rsid w:val="00D60790"/>
    <w:rsid w:val="00D7166E"/>
    <w:rsid w:val="00D755A6"/>
    <w:rsid w:val="00D76BDB"/>
    <w:rsid w:val="00D80BAB"/>
    <w:rsid w:val="00D9354B"/>
    <w:rsid w:val="00DA7334"/>
    <w:rsid w:val="00DB2102"/>
    <w:rsid w:val="00DB6550"/>
    <w:rsid w:val="00DC1380"/>
    <w:rsid w:val="00DC1E3A"/>
    <w:rsid w:val="00DE7E12"/>
    <w:rsid w:val="00DF1CA2"/>
    <w:rsid w:val="00E05F5E"/>
    <w:rsid w:val="00E168F5"/>
    <w:rsid w:val="00E22784"/>
    <w:rsid w:val="00E320F7"/>
    <w:rsid w:val="00E32BA8"/>
    <w:rsid w:val="00E355FA"/>
    <w:rsid w:val="00E379BE"/>
    <w:rsid w:val="00E427C6"/>
    <w:rsid w:val="00E50E63"/>
    <w:rsid w:val="00E52136"/>
    <w:rsid w:val="00E52BC7"/>
    <w:rsid w:val="00E64BB6"/>
    <w:rsid w:val="00E96EA3"/>
    <w:rsid w:val="00E97222"/>
    <w:rsid w:val="00EA452C"/>
    <w:rsid w:val="00EB6B51"/>
    <w:rsid w:val="00EB7580"/>
    <w:rsid w:val="00F00B62"/>
    <w:rsid w:val="00F12E95"/>
    <w:rsid w:val="00F74203"/>
    <w:rsid w:val="00FB769B"/>
    <w:rsid w:val="00FD459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D40C1"/>
    <w:pPr>
      <w:tabs>
        <w:tab w:val="left" w:pos="567"/>
      </w:tabs>
      <w:spacing w:line="260" w:lineRule="exact"/>
    </w:pPr>
    <w:rPr>
      <w:rFonts w:ascii="Times New Roman" w:eastAsia="Times New Roman" w:hAnsi="Times New Roman"/>
      <w:szCs w:val="20"/>
      <w:lang w:val="en-GB" w:eastAsia="en-US"/>
    </w:rPr>
  </w:style>
  <w:style w:type="paragraph" w:styleId="Nadpis3">
    <w:name w:val="heading 3"/>
    <w:basedOn w:val="Normlny"/>
    <w:next w:val="Normlny"/>
    <w:link w:val="Nadpis3Char"/>
    <w:uiPriority w:val="99"/>
    <w:qFormat/>
    <w:rsid w:val="007E1DD6"/>
    <w:pPr>
      <w:keepNext/>
      <w:keepLines/>
      <w:spacing w:before="120" w:after="80"/>
      <w:outlineLvl w:val="2"/>
    </w:pPr>
    <w:rPr>
      <w:b/>
      <w:kern w:val="28"/>
      <w:sz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9"/>
    <w:locked/>
    <w:rsid w:val="007E1DD6"/>
    <w:rPr>
      <w:rFonts w:ascii="Times New Roman" w:hAnsi="Times New Roman" w:cs="Times New Roman"/>
      <w:b/>
      <w:kern w:val="28"/>
      <w:sz w:val="20"/>
      <w:szCs w:val="20"/>
    </w:rPr>
  </w:style>
  <w:style w:type="paragraph" w:styleId="Zkladntext">
    <w:name w:val="Body Text"/>
    <w:basedOn w:val="Normlny"/>
    <w:link w:val="ZkladntextChar"/>
    <w:uiPriority w:val="99"/>
    <w:rsid w:val="007E1DD6"/>
    <w:pPr>
      <w:tabs>
        <w:tab w:val="clear" w:pos="567"/>
      </w:tabs>
      <w:spacing w:line="240" w:lineRule="auto"/>
    </w:pPr>
    <w:rPr>
      <w:i/>
      <w:color w:val="008000"/>
    </w:rPr>
  </w:style>
  <w:style w:type="character" w:customStyle="1" w:styleId="ZkladntextChar">
    <w:name w:val="Základný text Char"/>
    <w:basedOn w:val="Predvolenpsmoodseku"/>
    <w:link w:val="Zkladntext"/>
    <w:uiPriority w:val="99"/>
    <w:locked/>
    <w:rsid w:val="007E1DD6"/>
    <w:rPr>
      <w:rFonts w:ascii="Times New Roman" w:hAnsi="Times New Roman" w:cs="Times New Roman"/>
      <w:i/>
      <w:color w:val="008000"/>
      <w:sz w:val="20"/>
      <w:szCs w:val="20"/>
      <w:lang w:val="en-GB"/>
    </w:rPr>
  </w:style>
  <w:style w:type="paragraph" w:customStyle="1" w:styleId="Text">
    <w:name w:val="Text"/>
    <w:aliases w:val="Graphic,Graphic Char Char,Graphic Char Char Char Char Char,Graphic Char Char Char Char Char Char Char C"/>
    <w:basedOn w:val="Normlny"/>
    <w:link w:val="TextChar"/>
    <w:uiPriority w:val="99"/>
    <w:rsid w:val="007E1DD6"/>
    <w:pPr>
      <w:tabs>
        <w:tab w:val="clear" w:pos="567"/>
      </w:tabs>
      <w:spacing w:before="120" w:line="240" w:lineRule="auto"/>
      <w:jc w:val="both"/>
    </w:pPr>
    <w:rPr>
      <w:rFonts w:eastAsia="Calibri"/>
      <w:sz w:val="20"/>
      <w:lang w:val="sk-SK" w:eastAsia="sk-SK"/>
    </w:rPr>
  </w:style>
  <w:style w:type="character" w:customStyle="1" w:styleId="TextChar">
    <w:name w:val="Text Char"/>
    <w:link w:val="Text"/>
    <w:uiPriority w:val="99"/>
    <w:locked/>
    <w:rsid w:val="007E1DD6"/>
    <w:rPr>
      <w:rFonts w:ascii="Times New Roman" w:hAnsi="Times New Roman"/>
      <w:sz w:val="20"/>
    </w:rPr>
  </w:style>
  <w:style w:type="paragraph" w:customStyle="1" w:styleId="Texttelo">
    <w:name w:val="Text telo"/>
    <w:uiPriority w:val="99"/>
    <w:rsid w:val="007E1DD6"/>
    <w:pPr>
      <w:tabs>
        <w:tab w:val="left" w:pos="170"/>
      </w:tabs>
      <w:jc w:val="both"/>
    </w:pPr>
    <w:rPr>
      <w:rFonts w:ascii="TimesE" w:eastAsia="Times New Roman" w:hAnsi="TimesE"/>
      <w:color w:val="000000"/>
      <w:spacing w:val="15"/>
      <w:sz w:val="16"/>
      <w:szCs w:val="20"/>
      <w:lang w:val="cs-CZ" w:eastAsia="en-US"/>
    </w:rPr>
  </w:style>
  <w:style w:type="paragraph" w:customStyle="1" w:styleId="Baleni">
    <w:name w:val="Baleni"/>
    <w:basedOn w:val="Normlny"/>
    <w:next w:val="Normlny"/>
    <w:uiPriority w:val="99"/>
    <w:rsid w:val="007E1DD6"/>
    <w:pPr>
      <w:tabs>
        <w:tab w:val="clear" w:pos="567"/>
        <w:tab w:val="left" w:pos="1134"/>
        <w:tab w:val="left" w:pos="2268"/>
        <w:tab w:val="left" w:pos="3969"/>
        <w:tab w:val="left" w:pos="4309"/>
      </w:tabs>
      <w:spacing w:line="240" w:lineRule="auto"/>
      <w:ind w:left="85" w:right="85"/>
      <w:jc w:val="both"/>
    </w:pPr>
    <w:rPr>
      <w:rFonts w:ascii="TimesE" w:hAnsi="TimesE"/>
      <w:spacing w:val="15"/>
      <w:sz w:val="16"/>
      <w:lang w:val="cs-CZ"/>
    </w:rPr>
  </w:style>
  <w:style w:type="paragraph" w:styleId="Hlavika">
    <w:name w:val="header"/>
    <w:basedOn w:val="Normlny"/>
    <w:link w:val="HlavikaChar"/>
    <w:uiPriority w:val="99"/>
    <w:rsid w:val="0077661B"/>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locked/>
    <w:rsid w:val="0077661B"/>
    <w:rPr>
      <w:rFonts w:ascii="Times New Roman" w:hAnsi="Times New Roman" w:cs="Times New Roman"/>
      <w:sz w:val="20"/>
      <w:szCs w:val="20"/>
      <w:lang w:val="en-GB"/>
    </w:rPr>
  </w:style>
  <w:style w:type="paragraph" w:styleId="Pta">
    <w:name w:val="footer"/>
    <w:basedOn w:val="Normlny"/>
    <w:link w:val="PtaChar"/>
    <w:uiPriority w:val="99"/>
    <w:rsid w:val="0077661B"/>
    <w:pPr>
      <w:tabs>
        <w:tab w:val="clear" w:pos="567"/>
        <w:tab w:val="center" w:pos="4536"/>
        <w:tab w:val="right" w:pos="9072"/>
      </w:tabs>
      <w:spacing w:line="240" w:lineRule="auto"/>
    </w:pPr>
  </w:style>
  <w:style w:type="character" w:customStyle="1" w:styleId="PtaChar">
    <w:name w:val="Päta Char"/>
    <w:basedOn w:val="Predvolenpsmoodseku"/>
    <w:link w:val="Pta"/>
    <w:uiPriority w:val="99"/>
    <w:locked/>
    <w:rsid w:val="0077661B"/>
    <w:rPr>
      <w:rFonts w:ascii="Times New Roman" w:hAnsi="Times New Roman" w:cs="Times New Roman"/>
      <w:sz w:val="20"/>
      <w:szCs w:val="20"/>
      <w:lang w:val="en-GB"/>
    </w:rPr>
  </w:style>
  <w:style w:type="paragraph" w:styleId="Textbubliny">
    <w:name w:val="Balloon Text"/>
    <w:basedOn w:val="Normlny"/>
    <w:link w:val="TextbublinyChar"/>
    <w:uiPriority w:val="99"/>
    <w:semiHidden/>
    <w:rsid w:val="0077661B"/>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7661B"/>
    <w:rPr>
      <w:rFonts w:ascii="Tahoma" w:hAnsi="Tahoma" w:cs="Tahoma"/>
      <w:sz w:val="16"/>
      <w:szCs w:val="16"/>
      <w:lang w:val="en-GB"/>
    </w:rPr>
  </w:style>
  <w:style w:type="character" w:styleId="Odkaznakomentr">
    <w:name w:val="annotation reference"/>
    <w:basedOn w:val="Predvolenpsmoodseku"/>
    <w:uiPriority w:val="99"/>
    <w:semiHidden/>
    <w:rsid w:val="00E320F7"/>
    <w:rPr>
      <w:rFonts w:cs="Times New Roman"/>
      <w:sz w:val="16"/>
      <w:szCs w:val="16"/>
    </w:rPr>
  </w:style>
  <w:style w:type="paragraph" w:styleId="Textkomentra">
    <w:name w:val="annotation text"/>
    <w:basedOn w:val="Normlny"/>
    <w:link w:val="TextkomentraChar"/>
    <w:uiPriority w:val="99"/>
    <w:semiHidden/>
    <w:rsid w:val="00E320F7"/>
    <w:pPr>
      <w:spacing w:line="240" w:lineRule="auto"/>
    </w:pPr>
    <w:rPr>
      <w:sz w:val="20"/>
    </w:rPr>
  </w:style>
  <w:style w:type="character" w:customStyle="1" w:styleId="TextkomentraChar">
    <w:name w:val="Text komentára Char"/>
    <w:basedOn w:val="Predvolenpsmoodseku"/>
    <w:link w:val="Textkomentra"/>
    <w:uiPriority w:val="99"/>
    <w:semiHidden/>
    <w:locked/>
    <w:rsid w:val="00E320F7"/>
    <w:rPr>
      <w:rFonts w:ascii="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rsid w:val="00E320F7"/>
    <w:rPr>
      <w:b/>
      <w:bCs/>
    </w:rPr>
  </w:style>
  <w:style w:type="character" w:customStyle="1" w:styleId="PredmetkomentraChar">
    <w:name w:val="Predmet komentára Char"/>
    <w:basedOn w:val="TextkomentraChar"/>
    <w:link w:val="Predmetkomentra"/>
    <w:uiPriority w:val="99"/>
    <w:semiHidden/>
    <w:locked/>
    <w:rsid w:val="00E320F7"/>
    <w:rPr>
      <w:rFonts w:ascii="Times New Roman" w:hAnsi="Times New Roman" w:cs="Times New Roman"/>
      <w:b/>
      <w:bCs/>
      <w:sz w:val="20"/>
      <w:szCs w:val="20"/>
      <w:lang w:val="en-GB"/>
    </w:rPr>
  </w:style>
  <w:style w:type="character" w:styleId="Hypertextovprepojenie">
    <w:name w:val="Hyperlink"/>
    <w:basedOn w:val="Predvolenpsmoodseku"/>
    <w:uiPriority w:val="99"/>
    <w:rsid w:val="00962FB4"/>
    <w:rPr>
      <w:rFonts w:cs="Times New Roman"/>
      <w:color w:val="0000FF"/>
      <w:u w:val="single"/>
    </w:rPr>
  </w:style>
  <w:style w:type="paragraph" w:styleId="Revzia">
    <w:name w:val="Revision"/>
    <w:hidden/>
    <w:uiPriority w:val="99"/>
    <w:semiHidden/>
    <w:rsid w:val="00E22784"/>
    <w:rPr>
      <w:rFonts w:ascii="Times New Roman" w:eastAsia="Times New Roman" w:hAnsi="Times New Roman"/>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D40C1"/>
    <w:pPr>
      <w:tabs>
        <w:tab w:val="left" w:pos="567"/>
      </w:tabs>
      <w:spacing w:line="260" w:lineRule="exact"/>
    </w:pPr>
    <w:rPr>
      <w:rFonts w:ascii="Times New Roman" w:eastAsia="Times New Roman" w:hAnsi="Times New Roman"/>
      <w:szCs w:val="20"/>
      <w:lang w:val="en-GB" w:eastAsia="en-US"/>
    </w:rPr>
  </w:style>
  <w:style w:type="paragraph" w:styleId="Nadpis3">
    <w:name w:val="heading 3"/>
    <w:basedOn w:val="Normlny"/>
    <w:next w:val="Normlny"/>
    <w:link w:val="Nadpis3Char"/>
    <w:uiPriority w:val="99"/>
    <w:qFormat/>
    <w:rsid w:val="007E1DD6"/>
    <w:pPr>
      <w:keepNext/>
      <w:keepLines/>
      <w:spacing w:before="120" w:after="80"/>
      <w:outlineLvl w:val="2"/>
    </w:pPr>
    <w:rPr>
      <w:b/>
      <w:kern w:val="28"/>
      <w:sz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9"/>
    <w:locked/>
    <w:rsid w:val="007E1DD6"/>
    <w:rPr>
      <w:rFonts w:ascii="Times New Roman" w:hAnsi="Times New Roman" w:cs="Times New Roman"/>
      <w:b/>
      <w:kern w:val="28"/>
      <w:sz w:val="20"/>
      <w:szCs w:val="20"/>
    </w:rPr>
  </w:style>
  <w:style w:type="paragraph" w:styleId="Zkladntext">
    <w:name w:val="Body Text"/>
    <w:basedOn w:val="Normlny"/>
    <w:link w:val="ZkladntextChar"/>
    <w:uiPriority w:val="99"/>
    <w:rsid w:val="007E1DD6"/>
    <w:pPr>
      <w:tabs>
        <w:tab w:val="clear" w:pos="567"/>
      </w:tabs>
      <w:spacing w:line="240" w:lineRule="auto"/>
    </w:pPr>
    <w:rPr>
      <w:i/>
      <w:color w:val="008000"/>
    </w:rPr>
  </w:style>
  <w:style w:type="character" w:customStyle="1" w:styleId="ZkladntextChar">
    <w:name w:val="Základný text Char"/>
    <w:basedOn w:val="Predvolenpsmoodseku"/>
    <w:link w:val="Zkladntext"/>
    <w:uiPriority w:val="99"/>
    <w:locked/>
    <w:rsid w:val="007E1DD6"/>
    <w:rPr>
      <w:rFonts w:ascii="Times New Roman" w:hAnsi="Times New Roman" w:cs="Times New Roman"/>
      <w:i/>
      <w:color w:val="008000"/>
      <w:sz w:val="20"/>
      <w:szCs w:val="20"/>
      <w:lang w:val="en-GB"/>
    </w:rPr>
  </w:style>
  <w:style w:type="paragraph" w:customStyle="1" w:styleId="Text">
    <w:name w:val="Text"/>
    <w:aliases w:val="Graphic,Graphic Char Char,Graphic Char Char Char Char Char,Graphic Char Char Char Char Char Char Char C"/>
    <w:basedOn w:val="Normlny"/>
    <w:link w:val="TextChar"/>
    <w:uiPriority w:val="99"/>
    <w:rsid w:val="007E1DD6"/>
    <w:pPr>
      <w:tabs>
        <w:tab w:val="clear" w:pos="567"/>
      </w:tabs>
      <w:spacing w:before="120" w:line="240" w:lineRule="auto"/>
      <w:jc w:val="both"/>
    </w:pPr>
    <w:rPr>
      <w:rFonts w:eastAsia="Calibri"/>
      <w:sz w:val="20"/>
      <w:lang w:val="sk-SK" w:eastAsia="sk-SK"/>
    </w:rPr>
  </w:style>
  <w:style w:type="character" w:customStyle="1" w:styleId="TextChar">
    <w:name w:val="Text Char"/>
    <w:link w:val="Text"/>
    <w:uiPriority w:val="99"/>
    <w:locked/>
    <w:rsid w:val="007E1DD6"/>
    <w:rPr>
      <w:rFonts w:ascii="Times New Roman" w:hAnsi="Times New Roman"/>
      <w:sz w:val="20"/>
    </w:rPr>
  </w:style>
  <w:style w:type="paragraph" w:customStyle="1" w:styleId="Texttelo">
    <w:name w:val="Text telo"/>
    <w:uiPriority w:val="99"/>
    <w:rsid w:val="007E1DD6"/>
    <w:pPr>
      <w:tabs>
        <w:tab w:val="left" w:pos="170"/>
      </w:tabs>
      <w:jc w:val="both"/>
    </w:pPr>
    <w:rPr>
      <w:rFonts w:ascii="TimesE" w:eastAsia="Times New Roman" w:hAnsi="TimesE"/>
      <w:color w:val="000000"/>
      <w:spacing w:val="15"/>
      <w:sz w:val="16"/>
      <w:szCs w:val="20"/>
      <w:lang w:val="cs-CZ" w:eastAsia="en-US"/>
    </w:rPr>
  </w:style>
  <w:style w:type="paragraph" w:customStyle="1" w:styleId="Baleni">
    <w:name w:val="Baleni"/>
    <w:basedOn w:val="Normlny"/>
    <w:next w:val="Normlny"/>
    <w:uiPriority w:val="99"/>
    <w:rsid w:val="007E1DD6"/>
    <w:pPr>
      <w:tabs>
        <w:tab w:val="clear" w:pos="567"/>
        <w:tab w:val="left" w:pos="1134"/>
        <w:tab w:val="left" w:pos="2268"/>
        <w:tab w:val="left" w:pos="3969"/>
        <w:tab w:val="left" w:pos="4309"/>
      </w:tabs>
      <w:spacing w:line="240" w:lineRule="auto"/>
      <w:ind w:left="85" w:right="85"/>
      <w:jc w:val="both"/>
    </w:pPr>
    <w:rPr>
      <w:rFonts w:ascii="TimesE" w:hAnsi="TimesE"/>
      <w:spacing w:val="15"/>
      <w:sz w:val="16"/>
      <w:lang w:val="cs-CZ"/>
    </w:rPr>
  </w:style>
  <w:style w:type="paragraph" w:styleId="Hlavika">
    <w:name w:val="header"/>
    <w:basedOn w:val="Normlny"/>
    <w:link w:val="HlavikaChar"/>
    <w:uiPriority w:val="99"/>
    <w:rsid w:val="0077661B"/>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locked/>
    <w:rsid w:val="0077661B"/>
    <w:rPr>
      <w:rFonts w:ascii="Times New Roman" w:hAnsi="Times New Roman" w:cs="Times New Roman"/>
      <w:sz w:val="20"/>
      <w:szCs w:val="20"/>
      <w:lang w:val="en-GB"/>
    </w:rPr>
  </w:style>
  <w:style w:type="paragraph" w:styleId="Pta">
    <w:name w:val="footer"/>
    <w:basedOn w:val="Normlny"/>
    <w:link w:val="PtaChar"/>
    <w:uiPriority w:val="99"/>
    <w:rsid w:val="0077661B"/>
    <w:pPr>
      <w:tabs>
        <w:tab w:val="clear" w:pos="567"/>
        <w:tab w:val="center" w:pos="4536"/>
        <w:tab w:val="right" w:pos="9072"/>
      </w:tabs>
      <w:spacing w:line="240" w:lineRule="auto"/>
    </w:pPr>
  </w:style>
  <w:style w:type="character" w:customStyle="1" w:styleId="PtaChar">
    <w:name w:val="Päta Char"/>
    <w:basedOn w:val="Predvolenpsmoodseku"/>
    <w:link w:val="Pta"/>
    <w:uiPriority w:val="99"/>
    <w:locked/>
    <w:rsid w:val="0077661B"/>
    <w:rPr>
      <w:rFonts w:ascii="Times New Roman" w:hAnsi="Times New Roman" w:cs="Times New Roman"/>
      <w:sz w:val="20"/>
      <w:szCs w:val="20"/>
      <w:lang w:val="en-GB"/>
    </w:rPr>
  </w:style>
  <w:style w:type="paragraph" w:styleId="Textbubliny">
    <w:name w:val="Balloon Text"/>
    <w:basedOn w:val="Normlny"/>
    <w:link w:val="TextbublinyChar"/>
    <w:uiPriority w:val="99"/>
    <w:semiHidden/>
    <w:rsid w:val="0077661B"/>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7661B"/>
    <w:rPr>
      <w:rFonts w:ascii="Tahoma" w:hAnsi="Tahoma" w:cs="Tahoma"/>
      <w:sz w:val="16"/>
      <w:szCs w:val="16"/>
      <w:lang w:val="en-GB"/>
    </w:rPr>
  </w:style>
  <w:style w:type="character" w:styleId="Odkaznakomentr">
    <w:name w:val="annotation reference"/>
    <w:basedOn w:val="Predvolenpsmoodseku"/>
    <w:uiPriority w:val="99"/>
    <w:semiHidden/>
    <w:rsid w:val="00E320F7"/>
    <w:rPr>
      <w:rFonts w:cs="Times New Roman"/>
      <w:sz w:val="16"/>
      <w:szCs w:val="16"/>
    </w:rPr>
  </w:style>
  <w:style w:type="paragraph" w:styleId="Textkomentra">
    <w:name w:val="annotation text"/>
    <w:basedOn w:val="Normlny"/>
    <w:link w:val="TextkomentraChar"/>
    <w:uiPriority w:val="99"/>
    <w:semiHidden/>
    <w:rsid w:val="00E320F7"/>
    <w:pPr>
      <w:spacing w:line="240" w:lineRule="auto"/>
    </w:pPr>
    <w:rPr>
      <w:sz w:val="20"/>
    </w:rPr>
  </w:style>
  <w:style w:type="character" w:customStyle="1" w:styleId="TextkomentraChar">
    <w:name w:val="Text komentára Char"/>
    <w:basedOn w:val="Predvolenpsmoodseku"/>
    <w:link w:val="Textkomentra"/>
    <w:uiPriority w:val="99"/>
    <w:semiHidden/>
    <w:locked/>
    <w:rsid w:val="00E320F7"/>
    <w:rPr>
      <w:rFonts w:ascii="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rsid w:val="00E320F7"/>
    <w:rPr>
      <w:b/>
      <w:bCs/>
    </w:rPr>
  </w:style>
  <w:style w:type="character" w:customStyle="1" w:styleId="PredmetkomentraChar">
    <w:name w:val="Predmet komentára Char"/>
    <w:basedOn w:val="TextkomentraChar"/>
    <w:link w:val="Predmetkomentra"/>
    <w:uiPriority w:val="99"/>
    <w:semiHidden/>
    <w:locked/>
    <w:rsid w:val="00E320F7"/>
    <w:rPr>
      <w:rFonts w:ascii="Times New Roman" w:hAnsi="Times New Roman" w:cs="Times New Roman"/>
      <w:b/>
      <w:bCs/>
      <w:sz w:val="20"/>
      <w:szCs w:val="20"/>
      <w:lang w:val="en-GB"/>
    </w:rPr>
  </w:style>
  <w:style w:type="character" w:styleId="Hypertextovprepojenie">
    <w:name w:val="Hyperlink"/>
    <w:basedOn w:val="Predvolenpsmoodseku"/>
    <w:uiPriority w:val="99"/>
    <w:rsid w:val="00962FB4"/>
    <w:rPr>
      <w:rFonts w:cs="Times New Roman"/>
      <w:color w:val="0000FF"/>
      <w:u w:val="single"/>
    </w:rPr>
  </w:style>
  <w:style w:type="paragraph" w:styleId="Revzia">
    <w:name w:val="Revision"/>
    <w:hidden/>
    <w:uiPriority w:val="99"/>
    <w:semiHidden/>
    <w:rsid w:val="00E22784"/>
    <w:rPr>
      <w:rFonts w:ascii="Times New Roman" w:eastAsia="Times New Roman" w:hAnsi="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1945">
      <w:bodyDiv w:val="1"/>
      <w:marLeft w:val="0"/>
      <w:marRight w:val="0"/>
      <w:marTop w:val="0"/>
      <w:marBottom w:val="0"/>
      <w:divBdr>
        <w:top w:val="none" w:sz="0" w:space="0" w:color="auto"/>
        <w:left w:val="none" w:sz="0" w:space="0" w:color="auto"/>
        <w:bottom w:val="none" w:sz="0" w:space="0" w:color="auto"/>
        <w:right w:val="none" w:sz="0" w:space="0" w:color="auto"/>
      </w:divBdr>
    </w:div>
    <w:div w:id="962342956">
      <w:marLeft w:val="0"/>
      <w:marRight w:val="0"/>
      <w:marTop w:val="0"/>
      <w:marBottom w:val="0"/>
      <w:divBdr>
        <w:top w:val="none" w:sz="0" w:space="0" w:color="auto"/>
        <w:left w:val="none" w:sz="0" w:space="0" w:color="auto"/>
        <w:bottom w:val="none" w:sz="0" w:space="0" w:color="auto"/>
        <w:right w:val="none" w:sz="0" w:space="0" w:color="auto"/>
      </w:divBdr>
    </w:div>
    <w:div w:id="9623429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DAB9D-6B5A-42DD-877D-613B6C62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4295</Words>
  <Characters>27944</Characters>
  <Application>Microsoft Office Word</Application>
  <DocSecurity>0</DocSecurity>
  <Lines>232</Lines>
  <Paragraphs>64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1</vt:lpstr>
      <vt:lpstr>1</vt:lpstr>
    </vt:vector>
  </TitlesOfParts>
  <Company>Novartis</Company>
  <LinksUpToDate>false</LinksUpToDate>
  <CharactersWithSpaces>32175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Slahúčková, Miroslava</dc:creator>
  <cp:lastModifiedBy>Valovičová, Monika</cp:lastModifiedBy>
  <cp:revision>8</cp:revision>
  <cp:lastPrinted>2019-07-23T10:16:00Z</cp:lastPrinted>
  <dcterms:created xsi:type="dcterms:W3CDTF">2019-06-12T14:39:00Z</dcterms:created>
  <dcterms:modified xsi:type="dcterms:W3CDTF">2019-07-23T10:17:00Z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VIDLAAN1@novartis.net</vt:lpwstr>
  </property>
  <property fmtid="{D5CDD505-2E9C-101B-9397-08002B2CF9AE}" pid="5" name="MSIP_Label_4929bff8-5b33-42aa-95d2-28f72e792cb0_SetDate">
    <vt:lpwstr>2019-05-03T17:53:20.9266563Z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