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8516F" w14:textId="77777777" w:rsidR="00564D9B" w:rsidRPr="00C770F4" w:rsidRDefault="00564D9B" w:rsidP="00564D9B">
      <w:pPr>
        <w:jc w:val="center"/>
        <w:rPr>
          <w:b/>
          <w:szCs w:val="22"/>
        </w:rPr>
      </w:pPr>
    </w:p>
    <w:p w14:paraId="2E78D7A2" w14:textId="77777777" w:rsidR="00564D9B" w:rsidRPr="00CC69EC" w:rsidRDefault="00564D9B" w:rsidP="00564D9B">
      <w:pPr>
        <w:jc w:val="center"/>
        <w:rPr>
          <w:b/>
          <w:szCs w:val="22"/>
        </w:rPr>
      </w:pPr>
      <w:r w:rsidRPr="00CC69EC">
        <w:rPr>
          <w:b/>
          <w:szCs w:val="22"/>
        </w:rPr>
        <w:t>SÚHRN CHARAKTERISTICKÝCH VLAST</w:t>
      </w:r>
      <w:smartTag w:uri="urn:schemas-microsoft-com:office:smarttags" w:element="PersonName">
        <w:r w:rsidRPr="00CC69EC">
          <w:rPr>
            <w:b/>
            <w:szCs w:val="22"/>
          </w:rPr>
          <w:t>NO</w:t>
        </w:r>
      </w:smartTag>
      <w:r w:rsidRPr="00CC69EC">
        <w:rPr>
          <w:b/>
          <w:szCs w:val="22"/>
        </w:rPr>
        <w:t>STÍ LIEKU</w:t>
      </w:r>
    </w:p>
    <w:p w14:paraId="6CF52031" w14:textId="77777777" w:rsidR="00564D9B" w:rsidRPr="00CC69EC" w:rsidRDefault="00564D9B" w:rsidP="00564D9B">
      <w:pPr>
        <w:rPr>
          <w:b/>
          <w:szCs w:val="22"/>
        </w:rPr>
      </w:pPr>
    </w:p>
    <w:p w14:paraId="12E0D670" w14:textId="77777777" w:rsidR="00564D9B" w:rsidRPr="00CC69EC" w:rsidRDefault="00564D9B" w:rsidP="00564D9B">
      <w:pPr>
        <w:rPr>
          <w:b/>
          <w:szCs w:val="22"/>
        </w:rPr>
      </w:pPr>
    </w:p>
    <w:p w14:paraId="568F4A0C" w14:textId="77777777" w:rsidR="00564D9B" w:rsidRPr="00CC69EC" w:rsidRDefault="00564D9B" w:rsidP="00564D9B">
      <w:pPr>
        <w:rPr>
          <w:szCs w:val="22"/>
        </w:rPr>
      </w:pPr>
      <w:r w:rsidRPr="00CC69EC">
        <w:rPr>
          <w:b/>
          <w:szCs w:val="22"/>
        </w:rPr>
        <w:t>1.</w:t>
      </w:r>
      <w:r w:rsidRPr="00CC69EC">
        <w:rPr>
          <w:b/>
          <w:szCs w:val="22"/>
        </w:rPr>
        <w:tab/>
        <w:t>NÁZOV LIEKU</w:t>
      </w:r>
    </w:p>
    <w:p w14:paraId="52189383" w14:textId="77777777" w:rsidR="00564D9B" w:rsidRPr="009E2599" w:rsidRDefault="00564D9B" w:rsidP="00564D9B">
      <w:pPr>
        <w:rPr>
          <w:szCs w:val="22"/>
        </w:rPr>
      </w:pPr>
    </w:p>
    <w:p w14:paraId="13DFEAAD" w14:textId="77777777" w:rsidR="000A47FC" w:rsidRPr="00CC69EC" w:rsidRDefault="00564D9B" w:rsidP="000A47FC">
      <w:pPr>
        <w:rPr>
          <w:szCs w:val="22"/>
        </w:rPr>
      </w:pPr>
      <w:r w:rsidRPr="009E2599">
        <w:rPr>
          <w:szCs w:val="22"/>
        </w:rPr>
        <w:t>Bortezomib</w:t>
      </w:r>
      <w:r w:rsidRPr="00CC69EC">
        <w:rPr>
          <w:szCs w:val="22"/>
        </w:rPr>
        <w:t xml:space="preserve"> </w:t>
      </w:r>
      <w:r w:rsidR="00237680">
        <w:rPr>
          <w:szCs w:val="22"/>
        </w:rPr>
        <w:t>Krka</w:t>
      </w:r>
      <w:r w:rsidR="000A47FC">
        <w:rPr>
          <w:szCs w:val="22"/>
        </w:rPr>
        <w:t xml:space="preserve"> </w:t>
      </w:r>
      <w:r w:rsidR="00237680">
        <w:rPr>
          <w:szCs w:val="22"/>
        </w:rPr>
        <w:t>1</w:t>
      </w:r>
      <w:r w:rsidRPr="00CC69EC">
        <w:rPr>
          <w:szCs w:val="22"/>
        </w:rPr>
        <w:t xml:space="preserve"> mg </w:t>
      </w:r>
      <w:r w:rsidR="000A47FC" w:rsidRPr="00CC69EC">
        <w:rPr>
          <w:szCs w:val="22"/>
        </w:rPr>
        <w:t>prášok na injekčný roztok</w:t>
      </w:r>
    </w:p>
    <w:p w14:paraId="55E70E0D" w14:textId="77777777" w:rsidR="00564D9B" w:rsidRPr="00CC69EC" w:rsidRDefault="00564D9B" w:rsidP="00E110FB">
      <w:pPr>
        <w:ind w:left="0" w:firstLine="0"/>
        <w:rPr>
          <w:szCs w:val="22"/>
        </w:rPr>
      </w:pPr>
    </w:p>
    <w:p w14:paraId="1C12F718" w14:textId="77777777" w:rsidR="00564D9B" w:rsidRPr="00CC69EC" w:rsidRDefault="00564D9B" w:rsidP="00564D9B">
      <w:pPr>
        <w:ind w:left="0" w:firstLine="0"/>
        <w:rPr>
          <w:szCs w:val="22"/>
        </w:rPr>
      </w:pPr>
    </w:p>
    <w:p w14:paraId="1E9E1C8D" w14:textId="77777777" w:rsidR="00564D9B" w:rsidRPr="00CC69EC" w:rsidRDefault="00564D9B" w:rsidP="00564D9B">
      <w:pPr>
        <w:rPr>
          <w:szCs w:val="22"/>
        </w:rPr>
      </w:pPr>
      <w:r w:rsidRPr="00CC69EC">
        <w:rPr>
          <w:b/>
          <w:szCs w:val="22"/>
        </w:rPr>
        <w:t>2.</w:t>
      </w:r>
      <w:r w:rsidRPr="00CC69EC">
        <w:rPr>
          <w:b/>
          <w:szCs w:val="22"/>
        </w:rPr>
        <w:tab/>
        <w:t>KVAL</w:t>
      </w:r>
      <w:smartTag w:uri="urn:schemas-microsoft-com:office:smarttags" w:element="PersonName">
        <w:r w:rsidRPr="00CC69EC">
          <w:rPr>
            <w:b/>
            <w:szCs w:val="22"/>
          </w:rPr>
          <w:t>IT</w:t>
        </w:r>
      </w:smartTag>
      <w:r w:rsidRPr="00CC69EC">
        <w:rPr>
          <w:b/>
          <w:szCs w:val="22"/>
        </w:rPr>
        <w:t>ATÍVNE A KVANT</w:t>
      </w:r>
      <w:smartTag w:uri="urn:schemas-microsoft-com:office:smarttags" w:element="PersonName">
        <w:r w:rsidRPr="00CC69EC">
          <w:rPr>
            <w:b/>
            <w:szCs w:val="22"/>
          </w:rPr>
          <w:t>IT</w:t>
        </w:r>
      </w:smartTag>
      <w:r w:rsidRPr="00CC69EC">
        <w:rPr>
          <w:b/>
          <w:szCs w:val="22"/>
        </w:rPr>
        <w:t>ATÍVNE ZLOŽENIE</w:t>
      </w:r>
    </w:p>
    <w:p w14:paraId="32BA15FB" w14:textId="77777777" w:rsidR="00564D9B" w:rsidRPr="00CC69EC" w:rsidRDefault="00564D9B" w:rsidP="00564D9B">
      <w:pPr>
        <w:ind w:left="0" w:firstLine="0"/>
        <w:rPr>
          <w:szCs w:val="22"/>
        </w:rPr>
      </w:pPr>
    </w:p>
    <w:p w14:paraId="27E9FFF9"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Každá</w:t>
      </w:r>
      <w:r w:rsidR="00237680">
        <w:rPr>
          <w:rFonts w:eastAsia="TimesNewRoman"/>
          <w:szCs w:val="22"/>
          <w:lang w:eastAsia="en-US"/>
        </w:rPr>
        <w:t xml:space="preserve"> injekčná liekovka obsahuje 1</w:t>
      </w:r>
      <w:r w:rsidRPr="00CC69EC">
        <w:rPr>
          <w:rFonts w:eastAsia="TimesNewRoman"/>
          <w:szCs w:val="22"/>
          <w:lang w:eastAsia="en-US"/>
        </w:rPr>
        <w:t> mg bortezomibu (ako ester kyseliny boritej s manitolom).</w:t>
      </w:r>
    </w:p>
    <w:p w14:paraId="570DB95D" w14:textId="77777777" w:rsidR="00564D9B" w:rsidRPr="00CC69EC" w:rsidRDefault="00564D9B" w:rsidP="00564D9B">
      <w:pPr>
        <w:autoSpaceDE w:val="0"/>
        <w:autoSpaceDN w:val="0"/>
        <w:adjustRightInd w:val="0"/>
        <w:ind w:left="0" w:firstLine="0"/>
        <w:rPr>
          <w:rFonts w:eastAsia="TimesNewRoman"/>
          <w:szCs w:val="22"/>
          <w:lang w:eastAsia="en-US"/>
        </w:rPr>
      </w:pPr>
    </w:p>
    <w:p w14:paraId="72C5D2A0" w14:textId="0C65D410" w:rsidR="00564D9B" w:rsidRPr="00E110FB" w:rsidRDefault="00B84EA4" w:rsidP="00E110FB">
      <w:pPr>
        <w:autoSpaceDE w:val="0"/>
        <w:autoSpaceDN w:val="0"/>
        <w:adjustRightInd w:val="0"/>
        <w:ind w:left="0" w:firstLine="0"/>
        <w:rPr>
          <w:rFonts w:eastAsia="TimesNewRoman"/>
          <w:szCs w:val="22"/>
          <w:lang w:eastAsia="en-US"/>
        </w:rPr>
      </w:pPr>
      <w:r>
        <w:rPr>
          <w:rFonts w:eastAsia="TimesNewRoman"/>
          <w:szCs w:val="22"/>
          <w:lang w:eastAsia="en-US"/>
        </w:rPr>
        <w:t>K</w:t>
      </w:r>
      <w:r w:rsidR="00237680">
        <w:rPr>
          <w:rFonts w:eastAsia="TimesNewRoman"/>
          <w:szCs w:val="22"/>
          <w:lang w:eastAsia="en-US"/>
        </w:rPr>
        <w:t>aždý</w:t>
      </w:r>
      <w:r w:rsidR="00564D9B" w:rsidRPr="00CC69EC">
        <w:rPr>
          <w:rFonts w:eastAsia="TimesNewRoman"/>
          <w:szCs w:val="22"/>
          <w:lang w:eastAsia="en-US"/>
        </w:rPr>
        <w:t xml:space="preserve"> ml roztoku na intravenóznu injekciu obsahuje </w:t>
      </w:r>
      <w:r>
        <w:rPr>
          <w:rFonts w:eastAsia="TimesNewRoman"/>
          <w:szCs w:val="22"/>
          <w:lang w:eastAsia="en-US"/>
        </w:rPr>
        <w:t xml:space="preserve">po rekonštitúcii </w:t>
      </w:r>
      <w:r w:rsidR="00564D9B" w:rsidRPr="00CC69EC">
        <w:rPr>
          <w:rFonts w:eastAsia="TimesNewRoman"/>
          <w:szCs w:val="22"/>
          <w:lang w:eastAsia="en-US"/>
        </w:rPr>
        <w:t>1</w:t>
      </w:r>
      <w:r w:rsidR="00237680">
        <w:rPr>
          <w:rFonts w:eastAsia="TimesNewRoman"/>
          <w:szCs w:val="22"/>
          <w:lang w:eastAsia="en-US"/>
        </w:rPr>
        <w:t> mg bortezomibu.</w:t>
      </w:r>
    </w:p>
    <w:p w14:paraId="2A2E4826" w14:textId="77777777" w:rsidR="00564D9B" w:rsidRPr="00CC69EC" w:rsidRDefault="00564D9B" w:rsidP="00E110FB">
      <w:pPr>
        <w:tabs>
          <w:tab w:val="left" w:pos="567"/>
        </w:tabs>
        <w:spacing w:before="240" w:line="260" w:lineRule="exact"/>
        <w:ind w:left="0" w:firstLine="0"/>
        <w:rPr>
          <w:szCs w:val="22"/>
          <w:lang w:eastAsia="en-US"/>
        </w:rPr>
      </w:pPr>
      <w:r w:rsidRPr="00CC69EC">
        <w:rPr>
          <w:szCs w:val="22"/>
          <w:lang w:eastAsia="en-US"/>
        </w:rPr>
        <w:t>Úplný zoznam pomocných látok, pozri časť 6.1.</w:t>
      </w:r>
    </w:p>
    <w:p w14:paraId="4C92B5BE" w14:textId="77777777" w:rsidR="00564D9B" w:rsidRPr="00CC69EC" w:rsidRDefault="00564D9B" w:rsidP="00564D9B">
      <w:pPr>
        <w:rPr>
          <w:szCs w:val="22"/>
        </w:rPr>
      </w:pPr>
    </w:p>
    <w:p w14:paraId="33530EFE" w14:textId="77777777" w:rsidR="00564D9B" w:rsidRPr="00CC69EC" w:rsidRDefault="00564D9B" w:rsidP="00564D9B">
      <w:pPr>
        <w:rPr>
          <w:szCs w:val="22"/>
        </w:rPr>
      </w:pPr>
    </w:p>
    <w:p w14:paraId="1472FF5E" w14:textId="77777777" w:rsidR="00564D9B" w:rsidRPr="00CC69EC" w:rsidRDefault="00564D9B" w:rsidP="00564D9B">
      <w:pPr>
        <w:rPr>
          <w:caps/>
          <w:szCs w:val="22"/>
        </w:rPr>
      </w:pPr>
      <w:r w:rsidRPr="00CC69EC">
        <w:rPr>
          <w:b/>
          <w:szCs w:val="22"/>
        </w:rPr>
        <w:t>3.</w:t>
      </w:r>
      <w:r w:rsidRPr="00CC69EC">
        <w:rPr>
          <w:b/>
          <w:szCs w:val="22"/>
        </w:rPr>
        <w:tab/>
        <w:t>LIEKOVÁ FORMA</w:t>
      </w:r>
    </w:p>
    <w:p w14:paraId="1ABB6B81" w14:textId="77777777" w:rsidR="00564D9B" w:rsidRPr="00CC69EC" w:rsidRDefault="00564D9B" w:rsidP="00564D9B">
      <w:pPr>
        <w:rPr>
          <w:szCs w:val="22"/>
        </w:rPr>
      </w:pPr>
    </w:p>
    <w:p w14:paraId="2317E9BD" w14:textId="226E1C43" w:rsidR="00564D9B" w:rsidRDefault="00564D9B" w:rsidP="00564D9B">
      <w:pPr>
        <w:autoSpaceDE w:val="0"/>
        <w:autoSpaceDN w:val="0"/>
        <w:adjustRightInd w:val="0"/>
        <w:ind w:left="0" w:firstLine="0"/>
        <w:rPr>
          <w:rFonts w:eastAsia="TimesNewRoman"/>
          <w:szCs w:val="22"/>
          <w:lang w:eastAsia="en-US"/>
        </w:rPr>
      </w:pPr>
      <w:r w:rsidRPr="00FD6602">
        <w:rPr>
          <w:rFonts w:eastAsia="TimesNewRoman"/>
          <w:szCs w:val="22"/>
          <w:lang w:eastAsia="en-US"/>
        </w:rPr>
        <w:t>Prášok na injekčný roztok</w:t>
      </w:r>
      <w:r w:rsidR="00FD6602">
        <w:rPr>
          <w:rFonts w:eastAsia="TimesNewRoman"/>
          <w:szCs w:val="22"/>
          <w:lang w:eastAsia="en-US"/>
        </w:rPr>
        <w:t xml:space="preserve"> (prášok na injekciu)</w:t>
      </w:r>
      <w:r w:rsidRPr="00FD6602">
        <w:rPr>
          <w:rFonts w:eastAsia="TimesNewRoman"/>
          <w:szCs w:val="22"/>
          <w:lang w:eastAsia="en-US"/>
        </w:rPr>
        <w:t>.</w:t>
      </w:r>
    </w:p>
    <w:p w14:paraId="676EC223" w14:textId="77777777" w:rsidR="00237680" w:rsidRPr="00CC69EC" w:rsidRDefault="00237680" w:rsidP="00564D9B">
      <w:pPr>
        <w:autoSpaceDE w:val="0"/>
        <w:autoSpaceDN w:val="0"/>
        <w:adjustRightInd w:val="0"/>
        <w:ind w:left="0" w:firstLine="0"/>
        <w:rPr>
          <w:rFonts w:eastAsia="TimesNewRoman"/>
          <w:szCs w:val="22"/>
          <w:lang w:eastAsia="en-US"/>
        </w:rPr>
      </w:pPr>
    </w:p>
    <w:p w14:paraId="1F1AA7B0" w14:textId="0214D1EC" w:rsidR="00564D9B" w:rsidRPr="00CC69EC" w:rsidRDefault="00564D9B" w:rsidP="00564D9B">
      <w:pPr>
        <w:rPr>
          <w:rFonts w:eastAsia="TimesNewRoman"/>
          <w:szCs w:val="22"/>
          <w:lang w:eastAsia="en-US"/>
        </w:rPr>
      </w:pPr>
      <w:r w:rsidRPr="00CC69EC">
        <w:rPr>
          <w:rFonts w:eastAsia="TimesNewRoman"/>
          <w:szCs w:val="22"/>
          <w:lang w:eastAsia="en-US"/>
        </w:rPr>
        <w:t>Biel</w:t>
      </w:r>
      <w:r w:rsidR="005749DB">
        <w:rPr>
          <w:rFonts w:eastAsia="TimesNewRoman"/>
          <w:szCs w:val="22"/>
          <w:lang w:eastAsia="en-US"/>
        </w:rPr>
        <w:t>y</w:t>
      </w:r>
      <w:r w:rsidRPr="00CC69EC">
        <w:rPr>
          <w:rFonts w:eastAsia="TimesNewRoman"/>
          <w:szCs w:val="22"/>
          <w:lang w:eastAsia="en-US"/>
        </w:rPr>
        <w:t xml:space="preserve"> až </w:t>
      </w:r>
      <w:r w:rsidR="005749DB">
        <w:rPr>
          <w:rFonts w:eastAsia="TimesNewRoman"/>
          <w:szCs w:val="22"/>
          <w:lang w:eastAsia="en-US"/>
        </w:rPr>
        <w:t>takmer biely koláč</w:t>
      </w:r>
      <w:r w:rsidRPr="00CC69EC">
        <w:rPr>
          <w:rFonts w:eastAsia="TimesNewRoman"/>
          <w:szCs w:val="22"/>
          <w:lang w:eastAsia="en-US"/>
        </w:rPr>
        <w:t xml:space="preserve"> alebo prášok.</w:t>
      </w:r>
    </w:p>
    <w:p w14:paraId="5C9FBEC9" w14:textId="77777777" w:rsidR="00564D9B" w:rsidRPr="00CC69EC" w:rsidRDefault="00564D9B" w:rsidP="00564D9B">
      <w:pPr>
        <w:ind w:left="0" w:firstLine="0"/>
        <w:rPr>
          <w:szCs w:val="22"/>
        </w:rPr>
      </w:pPr>
    </w:p>
    <w:p w14:paraId="77671988" w14:textId="77777777" w:rsidR="00564D9B" w:rsidRPr="00CC69EC" w:rsidRDefault="00564D9B" w:rsidP="00564D9B">
      <w:pPr>
        <w:ind w:left="0" w:firstLine="0"/>
        <w:rPr>
          <w:szCs w:val="22"/>
        </w:rPr>
      </w:pPr>
    </w:p>
    <w:p w14:paraId="494B618E" w14:textId="77777777" w:rsidR="00564D9B" w:rsidRPr="00CC69EC" w:rsidRDefault="00564D9B" w:rsidP="00564D9B">
      <w:pPr>
        <w:rPr>
          <w:caps/>
          <w:szCs w:val="22"/>
        </w:rPr>
      </w:pPr>
      <w:r w:rsidRPr="00CC69EC">
        <w:rPr>
          <w:b/>
          <w:caps/>
          <w:szCs w:val="22"/>
        </w:rPr>
        <w:t>4.</w:t>
      </w:r>
      <w:r w:rsidRPr="00CC69EC">
        <w:rPr>
          <w:b/>
          <w:caps/>
          <w:szCs w:val="22"/>
        </w:rPr>
        <w:tab/>
        <w:t>KLINICKÉ ÚDAJE</w:t>
      </w:r>
    </w:p>
    <w:p w14:paraId="6BEA54D5" w14:textId="77777777" w:rsidR="00564D9B" w:rsidRPr="00CC69EC" w:rsidRDefault="00564D9B" w:rsidP="00564D9B">
      <w:pPr>
        <w:rPr>
          <w:szCs w:val="22"/>
        </w:rPr>
      </w:pPr>
    </w:p>
    <w:p w14:paraId="17C55DD3" w14:textId="77777777" w:rsidR="00564D9B" w:rsidRPr="00CC69EC" w:rsidRDefault="00564D9B" w:rsidP="00564D9B">
      <w:pPr>
        <w:rPr>
          <w:szCs w:val="22"/>
        </w:rPr>
      </w:pPr>
      <w:r w:rsidRPr="00CC69EC">
        <w:rPr>
          <w:b/>
          <w:szCs w:val="22"/>
        </w:rPr>
        <w:t>4.1</w:t>
      </w:r>
      <w:r w:rsidRPr="00CC69EC">
        <w:rPr>
          <w:b/>
          <w:szCs w:val="22"/>
        </w:rPr>
        <w:tab/>
        <w:t>Terapeutické indikácie</w:t>
      </w:r>
    </w:p>
    <w:p w14:paraId="09AD379B" w14:textId="77777777" w:rsidR="00564D9B" w:rsidRPr="00CC69EC" w:rsidRDefault="00564D9B" w:rsidP="00564D9B">
      <w:pPr>
        <w:rPr>
          <w:szCs w:val="22"/>
        </w:rPr>
      </w:pPr>
    </w:p>
    <w:p w14:paraId="553AE184" w14:textId="384455D5"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237680">
        <w:rPr>
          <w:rFonts w:eastAsia="TimesNewRoman"/>
          <w:szCs w:val="22"/>
          <w:lang w:eastAsia="en-US"/>
        </w:rPr>
        <w:t>Krka</w:t>
      </w:r>
      <w:r w:rsidRPr="00CC69EC">
        <w:rPr>
          <w:rFonts w:eastAsia="TimesNewRoman"/>
          <w:szCs w:val="22"/>
          <w:lang w:eastAsia="en-US"/>
        </w:rPr>
        <w:t xml:space="preserve"> je v monoterapii alebo v kombinácii s pegylovaným lipozomálnym doxorubicínom alebo s dexametazónom indikovaný na liečbu dospelých pacientov s progresívnym mnohopočetným myelómom, ktorí podstúpili najmenej 1 predchádzajúcu liečbu</w:t>
      </w:r>
      <w:r w:rsidR="005749DB">
        <w:rPr>
          <w:rFonts w:eastAsia="TimesNewRoman"/>
          <w:szCs w:val="22"/>
          <w:lang w:eastAsia="en-US"/>
        </w:rPr>
        <w:t>,</w:t>
      </w:r>
      <w:r w:rsidRPr="00CC69EC">
        <w:rPr>
          <w:rFonts w:eastAsia="TimesNewRoman"/>
          <w:szCs w:val="22"/>
          <w:lang w:eastAsia="en-US"/>
        </w:rPr>
        <w:t xml:space="preserve"> a ktorí už podstúpili alebo nie sú vhodní na transplantáciu hematopoetických kmeňových buniek.</w:t>
      </w:r>
    </w:p>
    <w:p w14:paraId="4EEA653C" w14:textId="77777777" w:rsidR="00564D9B" w:rsidRPr="00CC69EC" w:rsidRDefault="00564D9B" w:rsidP="00564D9B">
      <w:pPr>
        <w:autoSpaceDE w:val="0"/>
        <w:autoSpaceDN w:val="0"/>
        <w:adjustRightInd w:val="0"/>
        <w:ind w:left="0" w:firstLine="0"/>
        <w:rPr>
          <w:rFonts w:eastAsia="TimesNewRoman"/>
          <w:szCs w:val="22"/>
          <w:lang w:eastAsia="en-US"/>
        </w:rPr>
      </w:pPr>
    </w:p>
    <w:p w14:paraId="113A984D" w14:textId="73C60AF2"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511923">
        <w:rPr>
          <w:rFonts w:eastAsia="TimesNewRoman"/>
          <w:szCs w:val="22"/>
          <w:lang w:eastAsia="en-US"/>
        </w:rPr>
        <w:t>Krka</w:t>
      </w:r>
      <w:r w:rsidRPr="00CC69EC">
        <w:rPr>
          <w:rFonts w:eastAsia="TimesNewRoman"/>
          <w:szCs w:val="22"/>
          <w:lang w:eastAsia="en-US"/>
        </w:rPr>
        <w:t xml:space="preserve"> sa v kombinácii s melfal</w:t>
      </w:r>
      <w:r>
        <w:rPr>
          <w:rFonts w:eastAsia="TimesNewRoman"/>
          <w:szCs w:val="22"/>
          <w:lang w:eastAsia="en-US"/>
        </w:rPr>
        <w:t>á</w:t>
      </w:r>
      <w:r w:rsidRPr="00CC69EC">
        <w:rPr>
          <w:rFonts w:eastAsia="TimesNewRoman"/>
          <w:szCs w:val="22"/>
          <w:lang w:eastAsia="en-US"/>
        </w:rPr>
        <w:t>nom a prednizónom indikuje na liečbu dospelých pacientov s doteraz neliečeným mnohopočetným myelómom, ktorí nie sú vhodní na vysokodávkovú</w:t>
      </w:r>
    </w:p>
    <w:p w14:paraId="0FF16BDC"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chemoterapiu s transplantáciou hematopoetických kmeňových buniek.</w:t>
      </w:r>
    </w:p>
    <w:p w14:paraId="3BC39F01" w14:textId="77777777" w:rsidR="00564D9B" w:rsidRPr="00CC69EC" w:rsidRDefault="00564D9B" w:rsidP="00564D9B">
      <w:pPr>
        <w:autoSpaceDE w:val="0"/>
        <w:autoSpaceDN w:val="0"/>
        <w:adjustRightInd w:val="0"/>
        <w:ind w:left="0" w:firstLine="0"/>
        <w:rPr>
          <w:rFonts w:eastAsia="TimesNewRoman"/>
          <w:szCs w:val="22"/>
          <w:lang w:eastAsia="en-US"/>
        </w:rPr>
      </w:pPr>
    </w:p>
    <w:p w14:paraId="5AB7B929" w14:textId="0F9ED94F"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511923">
        <w:rPr>
          <w:rFonts w:eastAsia="TimesNewRoman"/>
          <w:szCs w:val="22"/>
          <w:lang w:eastAsia="en-US"/>
        </w:rPr>
        <w:t>Krka</w:t>
      </w:r>
      <w:r w:rsidRPr="00CC69EC">
        <w:rPr>
          <w:rFonts w:eastAsia="TimesNewRoman"/>
          <w:szCs w:val="22"/>
          <w:lang w:eastAsia="en-US"/>
        </w:rPr>
        <w:t xml:space="preserve"> je v kombinácii s dexametazónom alebo s dexametazónom a talidomidom indikovaný na indukčnú liečbu dospelých pacientov s doteraz neliečeným mnohopočetným myelómom, ktorí sú vhodní na vysokodávkovú chemoterapiu s transplantáciou hematopoetických kmeňových buniek.</w:t>
      </w:r>
    </w:p>
    <w:p w14:paraId="554744E4" w14:textId="77777777" w:rsidR="00564D9B" w:rsidRPr="00CC69EC" w:rsidRDefault="00564D9B" w:rsidP="00564D9B">
      <w:pPr>
        <w:ind w:left="0" w:firstLine="0"/>
        <w:rPr>
          <w:rFonts w:eastAsia="TimesNewRoman"/>
          <w:szCs w:val="22"/>
          <w:lang w:eastAsia="en-US"/>
        </w:rPr>
      </w:pPr>
    </w:p>
    <w:p w14:paraId="2A2AC75B" w14:textId="77777777" w:rsidR="00564D9B" w:rsidRPr="00CC69EC" w:rsidRDefault="00564D9B" w:rsidP="00564D9B">
      <w:pPr>
        <w:autoSpaceDE w:val="0"/>
        <w:autoSpaceDN w:val="0"/>
        <w:adjustRightInd w:val="0"/>
        <w:ind w:left="0" w:firstLine="0"/>
        <w:rPr>
          <w:szCs w:val="22"/>
        </w:rPr>
      </w:pPr>
      <w:r w:rsidRPr="00CC69EC">
        <w:rPr>
          <w:rFonts w:eastAsia="TimesNewRoman"/>
          <w:szCs w:val="22"/>
          <w:lang w:eastAsia="en-US"/>
        </w:rPr>
        <w:t xml:space="preserve">Bortezomib </w:t>
      </w:r>
      <w:r w:rsidR="00511923">
        <w:rPr>
          <w:rFonts w:eastAsia="TimesNewRoman"/>
          <w:szCs w:val="22"/>
          <w:lang w:eastAsia="en-US"/>
        </w:rPr>
        <w:t>Krka</w:t>
      </w:r>
      <w:r w:rsidRPr="00CC69EC">
        <w:rPr>
          <w:rFonts w:eastAsia="TimesNewRoman"/>
          <w:szCs w:val="22"/>
          <w:lang w:eastAsia="en-US"/>
        </w:rPr>
        <w:t xml:space="preserve"> je v kombinácii s rituximabom, cyklofosfamidom, doxorubicínom a prednizónom indikovaný na liečbu dospelých pacientov s doteraz neliečeným lymfómom z plášťových buniek, ktorí nie sú vhodní na transplantáciu hematopoetických kmeňových buniek.</w:t>
      </w:r>
    </w:p>
    <w:p w14:paraId="462EB072" w14:textId="77777777" w:rsidR="00564D9B" w:rsidRPr="00CC69EC" w:rsidRDefault="00564D9B" w:rsidP="00564D9B">
      <w:pPr>
        <w:ind w:left="0" w:firstLine="0"/>
        <w:rPr>
          <w:b/>
          <w:szCs w:val="22"/>
        </w:rPr>
      </w:pPr>
    </w:p>
    <w:p w14:paraId="0833DCB6" w14:textId="77777777" w:rsidR="00564D9B" w:rsidRPr="00CC69EC" w:rsidRDefault="00564D9B" w:rsidP="00564D9B">
      <w:pPr>
        <w:rPr>
          <w:b/>
          <w:szCs w:val="22"/>
        </w:rPr>
      </w:pPr>
      <w:r w:rsidRPr="00CC69EC">
        <w:rPr>
          <w:b/>
          <w:szCs w:val="22"/>
        </w:rPr>
        <w:t>4.2</w:t>
      </w:r>
      <w:r w:rsidRPr="00CC69EC">
        <w:rPr>
          <w:b/>
          <w:szCs w:val="22"/>
        </w:rPr>
        <w:tab/>
        <w:t>Dávkovanie a spôsob podávania</w:t>
      </w:r>
    </w:p>
    <w:p w14:paraId="48A6D6AF" w14:textId="77777777" w:rsidR="00564D9B" w:rsidRPr="00CC69EC" w:rsidRDefault="00564D9B" w:rsidP="00564D9B">
      <w:pPr>
        <w:rPr>
          <w:szCs w:val="22"/>
          <w:u w:val="single"/>
        </w:rPr>
      </w:pPr>
    </w:p>
    <w:p w14:paraId="4386C3A0" w14:textId="5D9C33E6"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Liečba</w:t>
      </w:r>
      <w:r w:rsidR="00231AD1">
        <w:rPr>
          <w:rFonts w:eastAsia="TimesNewRoman"/>
          <w:szCs w:val="22"/>
          <w:lang w:eastAsia="en-US"/>
        </w:rPr>
        <w:t xml:space="preserve"> Bortezomibom Krka</w:t>
      </w:r>
      <w:r w:rsidRPr="00CC69EC">
        <w:rPr>
          <w:rFonts w:eastAsia="TimesNewRoman"/>
          <w:szCs w:val="22"/>
          <w:lang w:eastAsia="en-US"/>
        </w:rPr>
        <w:t xml:space="preserve"> sa musí začať pod dohľadom lekára, ktorý má skúsenosti s </w:t>
      </w:r>
      <w:r w:rsidR="00231AD1">
        <w:rPr>
          <w:rFonts w:eastAsia="TimesNewRoman"/>
          <w:szCs w:val="22"/>
          <w:lang w:eastAsia="en-US"/>
        </w:rPr>
        <w:t>liečbou onkologických pacientov,</w:t>
      </w:r>
      <w:r w:rsidRPr="00CC69EC">
        <w:rPr>
          <w:rFonts w:eastAsia="TimesNewRoman"/>
          <w:szCs w:val="22"/>
          <w:lang w:eastAsia="en-US"/>
        </w:rPr>
        <w:t xml:space="preserve"> </w:t>
      </w:r>
      <w:r w:rsidR="00231AD1">
        <w:rPr>
          <w:rFonts w:eastAsia="TimesNewRoman"/>
          <w:szCs w:val="22"/>
          <w:lang w:eastAsia="en-US"/>
        </w:rPr>
        <w:t>avšak podávať B</w:t>
      </w:r>
      <w:r w:rsidRPr="00CC69EC">
        <w:rPr>
          <w:rFonts w:eastAsia="TimesNewRoman"/>
          <w:szCs w:val="22"/>
          <w:lang w:eastAsia="en-US"/>
        </w:rPr>
        <w:t>ortezomib</w:t>
      </w:r>
      <w:r w:rsidR="00231AD1">
        <w:rPr>
          <w:rFonts w:eastAsia="TimesNewRoman"/>
          <w:szCs w:val="22"/>
          <w:lang w:eastAsia="en-US"/>
        </w:rPr>
        <w:t xml:space="preserve"> Krka</w:t>
      </w:r>
      <w:r w:rsidRPr="00CC69EC">
        <w:rPr>
          <w:rFonts w:eastAsia="TimesNewRoman"/>
          <w:szCs w:val="22"/>
          <w:lang w:eastAsia="en-US"/>
        </w:rPr>
        <w:t xml:space="preserve"> môže zdravotnícky pracovník so skúsenosťami s podávaním chemoterapeutík. Bortezomib </w:t>
      </w:r>
      <w:r w:rsidR="00231AD1">
        <w:rPr>
          <w:rFonts w:eastAsia="TimesNewRoman"/>
          <w:szCs w:val="22"/>
          <w:lang w:eastAsia="en-US"/>
        </w:rPr>
        <w:t xml:space="preserve">Krka </w:t>
      </w:r>
      <w:r w:rsidRPr="00CC69EC">
        <w:rPr>
          <w:rFonts w:eastAsia="TimesNewRoman"/>
          <w:szCs w:val="22"/>
          <w:lang w:eastAsia="en-US"/>
        </w:rPr>
        <w:t xml:space="preserve">musí byť </w:t>
      </w:r>
      <w:r w:rsidR="00D0373F">
        <w:rPr>
          <w:rFonts w:eastAsia="TimesNewRoman"/>
          <w:szCs w:val="22"/>
          <w:lang w:eastAsia="en-US"/>
        </w:rPr>
        <w:t xml:space="preserve">rekonštituovaný </w:t>
      </w:r>
      <w:r w:rsidR="0063096F">
        <w:rPr>
          <w:rFonts w:eastAsia="TimesNewRoman"/>
          <w:szCs w:val="22"/>
          <w:lang w:eastAsia="en-US"/>
        </w:rPr>
        <w:t>zdravotníckym pracovníkom</w:t>
      </w:r>
      <w:r w:rsidRPr="00CC69EC">
        <w:rPr>
          <w:rFonts w:eastAsia="TimesNewRoman"/>
          <w:szCs w:val="22"/>
          <w:lang w:eastAsia="en-US"/>
        </w:rPr>
        <w:t xml:space="preserve"> (pozri časť 6.6). </w:t>
      </w:r>
    </w:p>
    <w:p w14:paraId="240BB8FA" w14:textId="77777777" w:rsidR="00564D9B" w:rsidRPr="00CC69EC" w:rsidRDefault="00564D9B" w:rsidP="00564D9B">
      <w:pPr>
        <w:autoSpaceDE w:val="0"/>
        <w:autoSpaceDN w:val="0"/>
        <w:adjustRightInd w:val="0"/>
        <w:ind w:left="0" w:firstLine="0"/>
        <w:rPr>
          <w:rFonts w:eastAsia="TimesNewRoman"/>
          <w:szCs w:val="22"/>
          <w:lang w:eastAsia="en-US"/>
        </w:rPr>
      </w:pPr>
    </w:p>
    <w:p w14:paraId="70C41F37"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u w:val="single"/>
          <w:lang w:eastAsia="en-US"/>
        </w:rPr>
        <w:t>Dávkovanie pri liečbe progresívneho mnohopočetného myelómu (pacienti, ktorí dostali aspoň jednu predchádzajúcu liečbu)</w:t>
      </w:r>
    </w:p>
    <w:p w14:paraId="2EEE7D5D"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0E4C2058"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lastRenderedPageBreak/>
        <w:t>Monoterapia</w:t>
      </w:r>
    </w:p>
    <w:p w14:paraId="1981955B" w14:textId="5C036BC3"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Bortezomib</w:t>
      </w:r>
      <w:r w:rsidR="00A16964">
        <w:rPr>
          <w:rFonts w:eastAsia="TimesNewRoman"/>
          <w:szCs w:val="22"/>
          <w:lang w:eastAsia="en-US"/>
        </w:rPr>
        <w:t xml:space="preserve"> Krka 1 mg</w:t>
      </w:r>
      <w:r w:rsidRPr="00CC69EC">
        <w:rPr>
          <w:rFonts w:eastAsia="TimesNewRoman"/>
          <w:szCs w:val="22"/>
          <w:lang w:eastAsia="en-US"/>
        </w:rPr>
        <w:t xml:space="preserve"> </w:t>
      </w:r>
      <w:r>
        <w:rPr>
          <w:rFonts w:eastAsia="TimesNewRoman"/>
          <w:szCs w:val="22"/>
          <w:lang w:eastAsia="en-US"/>
        </w:rPr>
        <w:t xml:space="preserve">prášok na injekčný roztok </w:t>
      </w:r>
      <w:r w:rsidRPr="00CC69EC">
        <w:rPr>
          <w:rFonts w:eastAsia="TimesNewRoman"/>
          <w:szCs w:val="22"/>
          <w:lang w:eastAsia="en-US"/>
        </w:rPr>
        <w:t>sa podáva intravenóznou injekciou v odporúčanej dávke 1,3 mg/m</w:t>
      </w:r>
      <w:r w:rsidRPr="00CC69EC">
        <w:rPr>
          <w:rFonts w:eastAsia="TimesNewRoman"/>
          <w:szCs w:val="22"/>
          <w:vertAlign w:val="superscript"/>
          <w:lang w:eastAsia="en-US"/>
        </w:rPr>
        <w:t>2</w:t>
      </w:r>
      <w:r w:rsidRPr="00CC69EC">
        <w:rPr>
          <w:rFonts w:eastAsia="TimesNewRoman"/>
          <w:szCs w:val="22"/>
          <w:lang w:eastAsia="en-US"/>
        </w:rPr>
        <w:t xml:space="preserve"> </w:t>
      </w:r>
      <w:r w:rsidR="005749DB">
        <w:rPr>
          <w:rFonts w:eastAsia="TimesNewRoman"/>
          <w:szCs w:val="22"/>
          <w:lang w:eastAsia="en-US"/>
        </w:rPr>
        <w:t xml:space="preserve">plochy </w:t>
      </w:r>
      <w:r w:rsidRPr="00CC69EC">
        <w:rPr>
          <w:rFonts w:eastAsia="TimesNewRoman"/>
          <w:szCs w:val="22"/>
          <w:lang w:eastAsia="en-US"/>
        </w:rPr>
        <w:t>povrchu tela dvakrát týždenne počas dvoch týždňov v 1., 4., 8. a 11.deň terapeutického cyklu trvajúceho 21 dní. Toto 3-týždňové obdobie sa považuje za jeden terapeutický cyklus. Odporúča sa, aby pacienti absolvovali 2 terapeutické cykly s</w:t>
      </w:r>
      <w:r w:rsidR="00E61AB1">
        <w:rPr>
          <w:rFonts w:eastAsia="TimesNewRoman"/>
          <w:szCs w:val="22"/>
          <w:lang w:eastAsia="en-US"/>
        </w:rPr>
        <w:t> B</w:t>
      </w:r>
      <w:r w:rsidRPr="00CC69EC">
        <w:rPr>
          <w:rFonts w:eastAsia="TimesNewRoman"/>
          <w:szCs w:val="22"/>
          <w:lang w:eastAsia="en-US"/>
        </w:rPr>
        <w:t>ortezomibom</w:t>
      </w:r>
      <w:r w:rsidR="00E61AB1">
        <w:rPr>
          <w:rFonts w:eastAsia="TimesNewRoman"/>
          <w:szCs w:val="22"/>
          <w:lang w:eastAsia="en-US"/>
        </w:rPr>
        <w:t xml:space="preserve"> Krka</w:t>
      </w:r>
      <w:r w:rsidRPr="00CC69EC">
        <w:rPr>
          <w:rFonts w:eastAsia="TimesNewRoman"/>
          <w:szCs w:val="22"/>
          <w:lang w:eastAsia="en-US"/>
        </w:rPr>
        <w:t xml:space="preserve"> po potvrdení kompletnej terapeutickej odpovede. Tiež sa odporúča, aby pacienti, ktorí odpovedajú na liečbu a nedosiahli kompletnú remisiu, absolvovali celkovo 8 cyklov liečby </w:t>
      </w:r>
      <w:r w:rsidR="00E61AB1">
        <w:rPr>
          <w:rFonts w:eastAsia="TimesNewRoman"/>
          <w:szCs w:val="22"/>
          <w:lang w:eastAsia="en-US"/>
        </w:rPr>
        <w:t> B</w:t>
      </w:r>
      <w:r w:rsidRPr="00CC69EC">
        <w:rPr>
          <w:rFonts w:eastAsia="TimesNewRoman"/>
          <w:szCs w:val="22"/>
          <w:lang w:eastAsia="en-US"/>
        </w:rPr>
        <w:t>ortezomibom</w:t>
      </w:r>
      <w:r w:rsidR="00E61AB1">
        <w:rPr>
          <w:rFonts w:eastAsia="TimesNewRoman"/>
          <w:szCs w:val="22"/>
          <w:lang w:eastAsia="en-US"/>
        </w:rPr>
        <w:t xml:space="preserve"> Krka</w:t>
      </w:r>
      <w:r w:rsidRPr="00CC69EC">
        <w:rPr>
          <w:rFonts w:eastAsia="TimesNewRoman"/>
          <w:szCs w:val="22"/>
          <w:lang w:eastAsia="en-US"/>
        </w:rPr>
        <w:t>. Medzi nasledujúcimi dávkami</w:t>
      </w:r>
      <w:r w:rsidR="00E61AB1">
        <w:rPr>
          <w:rFonts w:eastAsia="TimesNewRoman"/>
          <w:szCs w:val="22"/>
          <w:lang w:eastAsia="en-US"/>
        </w:rPr>
        <w:t xml:space="preserve"> B</w:t>
      </w:r>
      <w:r w:rsidRPr="00CC69EC">
        <w:rPr>
          <w:rFonts w:eastAsia="TimesNewRoman"/>
          <w:szCs w:val="22"/>
          <w:lang w:eastAsia="en-US"/>
        </w:rPr>
        <w:t xml:space="preserve">ortezomibu </w:t>
      </w:r>
      <w:r w:rsidR="00E61AB1">
        <w:rPr>
          <w:rFonts w:eastAsia="TimesNewRoman"/>
          <w:szCs w:val="22"/>
          <w:lang w:eastAsia="en-US"/>
        </w:rPr>
        <w:t xml:space="preserve">Krka </w:t>
      </w:r>
      <w:r w:rsidRPr="00CC69EC">
        <w:rPr>
          <w:rFonts w:eastAsia="TimesNewRoman"/>
          <w:szCs w:val="22"/>
          <w:lang w:eastAsia="en-US"/>
        </w:rPr>
        <w:t>má uplynúť aspoň 72 hodín.</w:t>
      </w:r>
    </w:p>
    <w:p w14:paraId="1B4B7F2E" w14:textId="77777777" w:rsidR="00564D9B" w:rsidRPr="00CC69EC" w:rsidRDefault="00564D9B" w:rsidP="00564D9B">
      <w:pPr>
        <w:autoSpaceDE w:val="0"/>
        <w:autoSpaceDN w:val="0"/>
        <w:adjustRightInd w:val="0"/>
        <w:ind w:left="0" w:firstLine="0"/>
        <w:rPr>
          <w:rFonts w:eastAsia="TimesNewRoman"/>
          <w:szCs w:val="22"/>
          <w:lang w:eastAsia="en-US"/>
        </w:rPr>
      </w:pPr>
    </w:p>
    <w:p w14:paraId="3A5AC740" w14:textId="0A49FD4C"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Úprava dávkovania počas liečby a reinicializáci</w:t>
      </w:r>
      <w:r w:rsidR="005749DB">
        <w:rPr>
          <w:rFonts w:eastAsia="TimesNewRoman,Italic"/>
          <w:i/>
          <w:iCs/>
          <w:szCs w:val="22"/>
          <w:lang w:eastAsia="en-US"/>
        </w:rPr>
        <w:t>a</w:t>
      </w:r>
      <w:r w:rsidRPr="00CC69EC">
        <w:rPr>
          <w:rFonts w:eastAsia="TimesNewRoman,Italic"/>
          <w:i/>
          <w:iCs/>
          <w:szCs w:val="22"/>
          <w:lang w:eastAsia="en-US"/>
        </w:rPr>
        <w:t xml:space="preserve"> liečby pri monoterapii</w:t>
      </w:r>
    </w:p>
    <w:p w14:paraId="479ABD4A" w14:textId="7CC4E18A"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Liečba  </w:t>
      </w:r>
      <w:r w:rsidR="00E61AB1">
        <w:rPr>
          <w:rFonts w:eastAsia="TimesNewRoman"/>
          <w:szCs w:val="22"/>
          <w:lang w:eastAsia="en-US"/>
        </w:rPr>
        <w:t>B</w:t>
      </w:r>
      <w:r w:rsidRPr="00CC69EC">
        <w:rPr>
          <w:rFonts w:eastAsia="TimesNewRoman"/>
          <w:szCs w:val="22"/>
          <w:lang w:eastAsia="en-US"/>
        </w:rPr>
        <w:t xml:space="preserve">ortezomibom </w:t>
      </w:r>
      <w:r w:rsidR="00E61AB1">
        <w:rPr>
          <w:rFonts w:eastAsia="TimesNewRoman"/>
          <w:szCs w:val="22"/>
          <w:lang w:eastAsia="en-US"/>
        </w:rPr>
        <w:t xml:space="preserve">Krka </w:t>
      </w:r>
      <w:r w:rsidRPr="00CC69EC">
        <w:rPr>
          <w:rFonts w:eastAsia="TimesNewRoman"/>
          <w:szCs w:val="22"/>
          <w:lang w:eastAsia="en-US"/>
        </w:rPr>
        <w:t xml:space="preserve">sa musí prerušiť pri objavení sa akejkoľvek nehematologickej toxicity 3. stupňa alebo hematologickej toxicity 4. stupňa, s výnimkou neuropatie, ako je popísané nižšie (pozri tiež časť 4.4). Po ústupe príznakov toxicity je možné opäť začať liečbu  </w:t>
      </w:r>
      <w:r w:rsidR="00E61AB1">
        <w:rPr>
          <w:rFonts w:eastAsia="TimesNewRoman"/>
          <w:szCs w:val="22"/>
          <w:lang w:eastAsia="en-US"/>
        </w:rPr>
        <w:t>B</w:t>
      </w:r>
      <w:r w:rsidRPr="00CC69EC">
        <w:rPr>
          <w:rFonts w:eastAsia="TimesNewRoman"/>
          <w:szCs w:val="22"/>
          <w:lang w:eastAsia="en-US"/>
        </w:rPr>
        <w:t xml:space="preserve">ortezomibom </w:t>
      </w:r>
      <w:r w:rsidR="00E61AB1">
        <w:rPr>
          <w:rFonts w:eastAsia="TimesNewRoman"/>
          <w:szCs w:val="22"/>
          <w:lang w:eastAsia="en-US"/>
        </w:rPr>
        <w:t xml:space="preserve">Krka </w:t>
      </w:r>
      <w:r w:rsidRPr="00CC69EC">
        <w:rPr>
          <w:rFonts w:eastAsia="TimesNewRoman"/>
          <w:szCs w:val="22"/>
          <w:lang w:eastAsia="en-US"/>
        </w:rPr>
        <w:t>v dávke zredukovanej o 25 % (1,3 mg/m</w:t>
      </w:r>
      <w:r w:rsidRPr="00CC69EC">
        <w:rPr>
          <w:rFonts w:eastAsia="TimesNewRoman"/>
          <w:szCs w:val="22"/>
          <w:vertAlign w:val="superscript"/>
          <w:lang w:eastAsia="en-US"/>
        </w:rPr>
        <w:t>2</w:t>
      </w:r>
      <w:r w:rsidRPr="00CC69EC">
        <w:rPr>
          <w:rFonts w:eastAsia="TimesNewRoman"/>
          <w:szCs w:val="22"/>
          <w:lang w:eastAsia="en-US"/>
        </w:rPr>
        <w:t xml:space="preserve"> redukovaná na 1,0 mg/m</w:t>
      </w:r>
      <w:r w:rsidRPr="00CC69EC">
        <w:rPr>
          <w:rFonts w:eastAsia="TimesNewRoman"/>
          <w:szCs w:val="22"/>
          <w:vertAlign w:val="superscript"/>
          <w:lang w:eastAsia="en-US"/>
        </w:rPr>
        <w:t>2</w:t>
      </w:r>
      <w:r w:rsidRPr="00CC69EC">
        <w:rPr>
          <w:rFonts w:eastAsia="TimesNewRoman"/>
          <w:szCs w:val="22"/>
          <w:lang w:eastAsia="en-US"/>
        </w:rPr>
        <w:t>; 1,0 mg/m</w:t>
      </w:r>
      <w:r w:rsidRPr="00CC69EC">
        <w:rPr>
          <w:rFonts w:eastAsia="TimesNewRoman"/>
          <w:szCs w:val="22"/>
          <w:vertAlign w:val="superscript"/>
          <w:lang w:eastAsia="en-US"/>
        </w:rPr>
        <w:t>2</w:t>
      </w:r>
      <w:r w:rsidRPr="00CC69EC">
        <w:rPr>
          <w:rFonts w:eastAsia="TimesNewRoman"/>
          <w:szCs w:val="22"/>
          <w:lang w:eastAsia="en-US"/>
        </w:rPr>
        <w:t xml:space="preserve"> redukovaná na 0,7 mg/m</w:t>
      </w:r>
      <w:r w:rsidRPr="00CC69EC">
        <w:rPr>
          <w:rFonts w:eastAsia="TimesNewRoman"/>
          <w:szCs w:val="22"/>
          <w:vertAlign w:val="superscript"/>
          <w:lang w:eastAsia="en-US"/>
        </w:rPr>
        <w:t>2</w:t>
      </w:r>
      <w:r w:rsidRPr="00CC69EC">
        <w:rPr>
          <w:rFonts w:eastAsia="TimesNewRoman"/>
          <w:szCs w:val="22"/>
          <w:lang w:eastAsia="en-US"/>
        </w:rPr>
        <w:t>). Ak príznaky toxicity neustúpili, alebo ak sa objavia aj pri najnižšej dávke, musí sa zvážiť prerušenie liečby</w:t>
      </w:r>
      <w:r w:rsidR="00E61AB1">
        <w:rPr>
          <w:rFonts w:eastAsia="TimesNewRoman"/>
          <w:szCs w:val="22"/>
          <w:lang w:eastAsia="en-US"/>
        </w:rPr>
        <w:t xml:space="preserve"> B</w:t>
      </w:r>
      <w:r w:rsidRPr="00CC69EC">
        <w:rPr>
          <w:rFonts w:eastAsia="TimesNewRoman"/>
          <w:szCs w:val="22"/>
          <w:lang w:eastAsia="en-US"/>
        </w:rPr>
        <w:t>ortezomibom</w:t>
      </w:r>
      <w:r w:rsidR="00E61AB1">
        <w:rPr>
          <w:rFonts w:eastAsia="TimesNewRoman"/>
          <w:szCs w:val="22"/>
          <w:lang w:eastAsia="en-US"/>
        </w:rPr>
        <w:t xml:space="preserve"> Krka</w:t>
      </w:r>
      <w:r w:rsidRPr="00CC69EC">
        <w:rPr>
          <w:rFonts w:eastAsia="TimesNewRoman"/>
          <w:szCs w:val="22"/>
          <w:lang w:eastAsia="en-US"/>
        </w:rPr>
        <w:t>, okrem prípadov, keď prínos liečby výrazne prevyšuje jej riziko.</w:t>
      </w:r>
    </w:p>
    <w:p w14:paraId="165C8DF6" w14:textId="77777777" w:rsidR="00564D9B" w:rsidRPr="00CC69EC" w:rsidRDefault="00564D9B" w:rsidP="00564D9B">
      <w:pPr>
        <w:rPr>
          <w:szCs w:val="22"/>
          <w:u w:val="single"/>
        </w:rPr>
      </w:pPr>
    </w:p>
    <w:p w14:paraId="77BED42E"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Neuropatická bolesť a/alebo periférna neuropatia</w:t>
      </w:r>
    </w:p>
    <w:p w14:paraId="6EDEE34B" w14:textId="797DDD75"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Pacienti, u ktorých v súvislosti s liečbou bortezomibom došlo k vzniku neuropatickej bolesti a/alebo k periférnej neuropatii, sa majú liečiť podľa údajov uvedených v </w:t>
      </w:r>
      <w:r w:rsidR="005749DB">
        <w:rPr>
          <w:rFonts w:eastAsia="TimesNewRoman"/>
          <w:szCs w:val="22"/>
          <w:lang w:eastAsia="en-US"/>
        </w:rPr>
        <w:t>t</w:t>
      </w:r>
      <w:r w:rsidRPr="00CC69EC">
        <w:rPr>
          <w:rFonts w:eastAsia="TimesNewRoman"/>
          <w:szCs w:val="22"/>
          <w:lang w:eastAsia="en-US"/>
        </w:rPr>
        <w:t>abuľke 1 (pozri časť 4.4). Pacienti s </w:t>
      </w:r>
      <w:r w:rsidR="005749DB">
        <w:rPr>
          <w:rFonts w:eastAsia="TimesNewRoman"/>
          <w:szCs w:val="22"/>
          <w:lang w:eastAsia="en-US"/>
        </w:rPr>
        <w:t>prítomnou</w:t>
      </w:r>
      <w:r w:rsidRPr="00CC69EC">
        <w:rPr>
          <w:rFonts w:eastAsia="TimesNewRoman"/>
          <w:szCs w:val="22"/>
          <w:lang w:eastAsia="en-US"/>
        </w:rPr>
        <w:t xml:space="preserve"> závažnou neuropatiou môžu byť liečení </w:t>
      </w:r>
      <w:r w:rsidR="002361A0">
        <w:rPr>
          <w:rFonts w:eastAsia="TimesNewRoman"/>
          <w:szCs w:val="22"/>
          <w:lang w:eastAsia="en-US"/>
        </w:rPr>
        <w:t>B</w:t>
      </w:r>
      <w:r>
        <w:rPr>
          <w:rFonts w:eastAsia="TimesNewRoman"/>
          <w:szCs w:val="22"/>
          <w:lang w:eastAsia="en-US"/>
        </w:rPr>
        <w:t>ortezomibom</w:t>
      </w:r>
      <w:r w:rsidR="002361A0">
        <w:rPr>
          <w:rFonts w:eastAsia="TimesNewRoman"/>
          <w:szCs w:val="22"/>
          <w:lang w:eastAsia="en-US"/>
        </w:rPr>
        <w:t xml:space="preserve"> Krka</w:t>
      </w:r>
      <w:r>
        <w:rPr>
          <w:rFonts w:eastAsia="TimesNewRoman"/>
          <w:szCs w:val="22"/>
          <w:lang w:eastAsia="en-US"/>
        </w:rPr>
        <w:t xml:space="preserve"> </w:t>
      </w:r>
      <w:r w:rsidRPr="00CC69EC">
        <w:rPr>
          <w:rFonts w:eastAsia="TimesNewRoman"/>
          <w:szCs w:val="22"/>
          <w:lang w:eastAsia="en-US"/>
        </w:rPr>
        <w:t>len po starostlivom zvážení pomeru rizik</w:t>
      </w:r>
      <w:r w:rsidR="001D2345">
        <w:rPr>
          <w:rFonts w:eastAsia="TimesNewRoman"/>
          <w:szCs w:val="22"/>
          <w:lang w:eastAsia="en-US"/>
        </w:rPr>
        <w:t>a</w:t>
      </w:r>
      <w:r w:rsidRPr="00CC69EC">
        <w:rPr>
          <w:rFonts w:eastAsia="TimesNewRoman"/>
          <w:szCs w:val="22"/>
          <w:lang w:eastAsia="en-US"/>
        </w:rPr>
        <w:t>/prínos</w:t>
      </w:r>
      <w:r w:rsidR="001D2345">
        <w:rPr>
          <w:rFonts w:eastAsia="TimesNewRoman"/>
          <w:szCs w:val="22"/>
          <w:lang w:eastAsia="en-US"/>
        </w:rPr>
        <w:t>u</w:t>
      </w:r>
      <w:r w:rsidRPr="00CC69EC">
        <w:rPr>
          <w:rFonts w:eastAsia="TimesNewRoman"/>
          <w:szCs w:val="22"/>
          <w:lang w:eastAsia="en-US"/>
        </w:rPr>
        <w:t xml:space="preserve"> liečby.</w:t>
      </w:r>
    </w:p>
    <w:p w14:paraId="77C29460" w14:textId="77777777" w:rsidR="00564D9B" w:rsidRPr="00CC69EC" w:rsidRDefault="00564D9B" w:rsidP="00564D9B">
      <w:pPr>
        <w:autoSpaceDE w:val="0"/>
        <w:autoSpaceDN w:val="0"/>
        <w:adjustRightInd w:val="0"/>
        <w:ind w:left="0" w:firstLine="0"/>
        <w:rPr>
          <w:rFonts w:eastAsia="TimesNewRoman"/>
          <w:szCs w:val="22"/>
          <w:lang w:eastAsia="en-US"/>
        </w:rPr>
      </w:pPr>
    </w:p>
    <w:p w14:paraId="7EC328DF"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Tabuľka 1: Odporúčané* zmeny dávkovania bortezomibu v súvislosti s neuropatiou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8"/>
      </w:tblGrid>
      <w:tr w:rsidR="00564D9B" w:rsidRPr="00CC69EC" w14:paraId="29716D9F" w14:textId="77777777" w:rsidTr="00F75370">
        <w:tc>
          <w:tcPr>
            <w:tcW w:w="4644" w:type="dxa"/>
            <w:shd w:val="clear" w:color="auto" w:fill="auto"/>
          </w:tcPr>
          <w:p w14:paraId="2003F8E9" w14:textId="77777777" w:rsidR="00564D9B" w:rsidRPr="00CC69EC" w:rsidRDefault="00564D9B" w:rsidP="00F75370">
            <w:pPr>
              <w:rPr>
                <w:szCs w:val="22"/>
              </w:rPr>
            </w:pPr>
            <w:r w:rsidRPr="00CC69EC">
              <w:rPr>
                <w:rFonts w:eastAsia="TimesNewRoman,Bold"/>
                <w:b/>
                <w:bCs/>
                <w:szCs w:val="22"/>
                <w:lang w:eastAsia="en-US"/>
              </w:rPr>
              <w:t xml:space="preserve">Stupeň neuropatie </w:t>
            </w:r>
          </w:p>
        </w:tc>
        <w:tc>
          <w:tcPr>
            <w:tcW w:w="4644" w:type="dxa"/>
            <w:shd w:val="clear" w:color="auto" w:fill="auto"/>
          </w:tcPr>
          <w:p w14:paraId="5370CCE6" w14:textId="77777777" w:rsidR="00564D9B" w:rsidRPr="00CC69EC" w:rsidRDefault="00564D9B" w:rsidP="00F75370">
            <w:pPr>
              <w:rPr>
                <w:szCs w:val="22"/>
              </w:rPr>
            </w:pPr>
            <w:r w:rsidRPr="00CC69EC">
              <w:rPr>
                <w:rFonts w:eastAsia="TimesNewRoman,Bold"/>
                <w:b/>
                <w:bCs/>
                <w:szCs w:val="22"/>
                <w:lang w:eastAsia="en-US"/>
              </w:rPr>
              <w:t>Zmena dávkovania</w:t>
            </w:r>
          </w:p>
        </w:tc>
      </w:tr>
      <w:tr w:rsidR="00564D9B" w:rsidRPr="00CC69EC" w14:paraId="32FF372F" w14:textId="77777777" w:rsidTr="00F75370">
        <w:tc>
          <w:tcPr>
            <w:tcW w:w="4644" w:type="dxa"/>
            <w:shd w:val="clear" w:color="auto" w:fill="auto"/>
          </w:tcPr>
          <w:p w14:paraId="7F872CF9" w14:textId="6CA5C411" w:rsidR="00564D9B" w:rsidRPr="00F75370"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1. stupeň (asymptomatická; strata hlbokých</w:t>
            </w:r>
            <w:r w:rsidR="00F75370">
              <w:rPr>
                <w:rFonts w:eastAsia="TimesNewRoman"/>
                <w:szCs w:val="22"/>
                <w:lang w:eastAsia="en-US"/>
              </w:rPr>
              <w:t xml:space="preserve"> </w:t>
            </w:r>
            <w:r w:rsidRPr="00CC69EC">
              <w:rPr>
                <w:rFonts w:eastAsia="TimesNewRoman"/>
                <w:szCs w:val="22"/>
                <w:lang w:eastAsia="en-US"/>
              </w:rPr>
              <w:t>šľachových reflexov alebo parestézi</w:t>
            </w:r>
            <w:r w:rsidR="001D2345">
              <w:rPr>
                <w:rFonts w:eastAsia="TimesNewRoman"/>
                <w:szCs w:val="22"/>
                <w:lang w:eastAsia="en-US"/>
              </w:rPr>
              <w:t>e</w:t>
            </w:r>
            <w:r w:rsidRPr="00CC69EC">
              <w:rPr>
                <w:rFonts w:eastAsia="TimesNewRoman"/>
                <w:szCs w:val="22"/>
                <w:lang w:eastAsia="en-US"/>
              </w:rPr>
              <w:t>) bez</w:t>
            </w:r>
            <w:r w:rsidR="00F75370">
              <w:rPr>
                <w:rFonts w:eastAsia="TimesNewRoman"/>
                <w:szCs w:val="22"/>
                <w:lang w:eastAsia="en-US"/>
              </w:rPr>
              <w:t xml:space="preserve"> </w:t>
            </w:r>
            <w:r w:rsidRPr="00CC69EC">
              <w:rPr>
                <w:rFonts w:eastAsia="TimesNewRoman"/>
                <w:szCs w:val="22"/>
                <w:lang w:eastAsia="en-US"/>
              </w:rPr>
              <w:t>bolesti alebo straty funkcie</w:t>
            </w:r>
          </w:p>
        </w:tc>
        <w:tc>
          <w:tcPr>
            <w:tcW w:w="4644" w:type="dxa"/>
            <w:shd w:val="clear" w:color="auto" w:fill="auto"/>
          </w:tcPr>
          <w:p w14:paraId="7FD53FD8" w14:textId="77777777" w:rsidR="00564D9B" w:rsidRPr="00CC69EC" w:rsidRDefault="00564D9B" w:rsidP="00F75370">
            <w:pPr>
              <w:autoSpaceDE w:val="0"/>
              <w:autoSpaceDN w:val="0"/>
              <w:adjustRightInd w:val="0"/>
              <w:ind w:left="0" w:firstLine="0"/>
              <w:rPr>
                <w:rFonts w:eastAsia="TimesNewRoman,Italic"/>
                <w:i/>
                <w:iCs/>
                <w:szCs w:val="22"/>
                <w:lang w:eastAsia="en-US"/>
              </w:rPr>
            </w:pPr>
            <w:r w:rsidRPr="00CC69EC">
              <w:rPr>
                <w:rFonts w:eastAsia="TimesNewRoman"/>
                <w:szCs w:val="22"/>
                <w:lang w:eastAsia="en-US"/>
              </w:rPr>
              <w:t>Žiadna</w:t>
            </w:r>
          </w:p>
        </w:tc>
      </w:tr>
      <w:tr w:rsidR="00564D9B" w:rsidRPr="00CC69EC" w14:paraId="33855F53" w14:textId="77777777" w:rsidTr="00F75370">
        <w:tc>
          <w:tcPr>
            <w:tcW w:w="4644" w:type="dxa"/>
            <w:shd w:val="clear" w:color="auto" w:fill="auto"/>
          </w:tcPr>
          <w:p w14:paraId="03F4C757" w14:textId="2E5FB60A"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1. stupeň s bolesťou alebo 2. </w:t>
            </w:r>
            <w:r w:rsidR="001D2345">
              <w:rPr>
                <w:rFonts w:eastAsia="TimesNewRoman"/>
                <w:szCs w:val="22"/>
                <w:lang w:eastAsia="en-US"/>
              </w:rPr>
              <w:t>s</w:t>
            </w:r>
            <w:r w:rsidRPr="00CC69EC">
              <w:rPr>
                <w:rFonts w:eastAsia="TimesNewRoman"/>
                <w:szCs w:val="22"/>
                <w:lang w:eastAsia="en-US"/>
              </w:rPr>
              <w:t>tupeň</w:t>
            </w:r>
            <w:r w:rsidR="00F75370">
              <w:rPr>
                <w:rFonts w:eastAsia="TimesNewRoman"/>
                <w:szCs w:val="22"/>
                <w:lang w:eastAsia="en-US"/>
              </w:rPr>
              <w:t xml:space="preserve"> </w:t>
            </w:r>
            <w:r w:rsidRPr="00CC69EC">
              <w:rPr>
                <w:rFonts w:eastAsia="TimesNewRoman"/>
                <w:szCs w:val="22"/>
                <w:lang w:eastAsia="en-US"/>
              </w:rPr>
              <w:t>(stredne závažné príznaky; limitujúce</w:t>
            </w:r>
            <w:r w:rsidR="00F75370">
              <w:rPr>
                <w:rFonts w:eastAsia="TimesNewRoman"/>
                <w:szCs w:val="22"/>
                <w:lang w:eastAsia="en-US"/>
              </w:rPr>
              <w:t xml:space="preserve"> </w:t>
            </w:r>
            <w:r w:rsidRPr="00CC69EC">
              <w:rPr>
                <w:rFonts w:eastAsia="TimesNewRoman"/>
                <w:szCs w:val="22"/>
                <w:lang w:eastAsia="en-US"/>
              </w:rPr>
              <w:t>inštrumentálne aktivity denného života</w:t>
            </w:r>
            <w:r w:rsidR="00F75370">
              <w:rPr>
                <w:rFonts w:eastAsia="TimesNewRoman"/>
                <w:szCs w:val="22"/>
                <w:lang w:eastAsia="en-US"/>
              </w:rPr>
              <w:t xml:space="preserve"> </w:t>
            </w:r>
            <w:r w:rsidRPr="00CC69EC">
              <w:rPr>
                <w:rFonts w:eastAsia="TimesNewRoman"/>
                <w:szCs w:val="22"/>
                <w:lang w:eastAsia="en-US"/>
              </w:rPr>
              <w:t>(z angl. Activities of Daily Living,</w:t>
            </w:r>
          </w:p>
          <w:p w14:paraId="60901019" w14:textId="77777777" w:rsidR="00564D9B" w:rsidRPr="00CC69EC" w:rsidRDefault="00564D9B" w:rsidP="00F75370">
            <w:pPr>
              <w:autoSpaceDE w:val="0"/>
              <w:autoSpaceDN w:val="0"/>
              <w:adjustRightInd w:val="0"/>
              <w:ind w:left="0" w:firstLine="0"/>
              <w:rPr>
                <w:rFonts w:eastAsia="TimesNewRoman,Italic"/>
                <w:i/>
                <w:iCs/>
                <w:szCs w:val="22"/>
                <w:lang w:eastAsia="en-US"/>
              </w:rPr>
            </w:pPr>
            <w:r>
              <w:rPr>
                <w:rFonts w:eastAsia="TimesNewRoman"/>
                <w:szCs w:val="22"/>
                <w:lang w:eastAsia="en-US"/>
              </w:rPr>
              <w:t>(</w:t>
            </w:r>
            <w:r w:rsidRPr="00CC69EC">
              <w:rPr>
                <w:rFonts w:eastAsia="TimesNewRoman"/>
                <w:szCs w:val="22"/>
                <w:lang w:eastAsia="en-US"/>
              </w:rPr>
              <w:t>ADL)**</w:t>
            </w:r>
            <w:r>
              <w:rPr>
                <w:rFonts w:eastAsia="TimesNewRoman"/>
                <w:szCs w:val="22"/>
                <w:lang w:eastAsia="en-US"/>
              </w:rPr>
              <w:t>)</w:t>
            </w:r>
          </w:p>
        </w:tc>
        <w:tc>
          <w:tcPr>
            <w:tcW w:w="4644" w:type="dxa"/>
            <w:shd w:val="clear" w:color="auto" w:fill="auto"/>
          </w:tcPr>
          <w:p w14:paraId="11C67177"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Znížiť dávku </w:t>
            </w:r>
            <w:r w:rsidR="002361A0">
              <w:rPr>
                <w:rFonts w:eastAsia="TimesNewRoman"/>
                <w:szCs w:val="22"/>
                <w:lang w:eastAsia="en-US"/>
              </w:rPr>
              <w:t>B</w:t>
            </w:r>
            <w:r w:rsidRPr="00CC69EC">
              <w:rPr>
                <w:rFonts w:eastAsia="TimesNewRoman"/>
                <w:szCs w:val="22"/>
                <w:lang w:eastAsia="en-US"/>
              </w:rPr>
              <w:t xml:space="preserve">ortezomibu </w:t>
            </w:r>
            <w:r w:rsidR="002361A0">
              <w:rPr>
                <w:rFonts w:eastAsia="TimesNewRoman"/>
                <w:szCs w:val="22"/>
                <w:lang w:eastAsia="en-US"/>
              </w:rPr>
              <w:t xml:space="preserve">Krka </w:t>
            </w:r>
            <w:r w:rsidRPr="00CC69EC">
              <w:rPr>
                <w:rFonts w:eastAsia="TimesNewRoman"/>
                <w:szCs w:val="22"/>
                <w:lang w:eastAsia="en-US"/>
              </w:rPr>
              <w:t>na 1,0 mg/m</w:t>
            </w:r>
            <w:r w:rsidRPr="00CC69EC">
              <w:rPr>
                <w:rFonts w:eastAsia="TimesNewRoman"/>
                <w:szCs w:val="22"/>
                <w:vertAlign w:val="superscript"/>
                <w:lang w:eastAsia="en-US"/>
              </w:rPr>
              <w:t>2</w:t>
            </w:r>
          </w:p>
          <w:p w14:paraId="04FBA8AB"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alebo</w:t>
            </w:r>
          </w:p>
          <w:p w14:paraId="458251B5" w14:textId="77777777" w:rsidR="00564D9B" w:rsidRPr="00CC69EC" w:rsidRDefault="00564D9B" w:rsidP="00F75370">
            <w:pPr>
              <w:autoSpaceDE w:val="0"/>
              <w:autoSpaceDN w:val="0"/>
              <w:adjustRightInd w:val="0"/>
              <w:ind w:left="0" w:firstLine="0"/>
              <w:rPr>
                <w:rFonts w:eastAsia="TimesNewRoman,Italic"/>
                <w:i/>
                <w:iCs/>
                <w:szCs w:val="22"/>
                <w:lang w:eastAsia="en-US"/>
              </w:rPr>
            </w:pPr>
            <w:r w:rsidRPr="00CC69EC">
              <w:rPr>
                <w:rFonts w:eastAsia="TimesNewRoman"/>
                <w:szCs w:val="22"/>
                <w:lang w:eastAsia="en-US"/>
              </w:rPr>
              <w:t xml:space="preserve">zmeniť liečbu </w:t>
            </w:r>
            <w:r w:rsidR="002361A0">
              <w:rPr>
                <w:rFonts w:eastAsia="TimesNewRoman"/>
                <w:szCs w:val="22"/>
                <w:lang w:eastAsia="en-US"/>
              </w:rPr>
              <w:t>B</w:t>
            </w:r>
            <w:r w:rsidRPr="00CC69EC">
              <w:rPr>
                <w:rFonts w:eastAsia="TimesNewRoman"/>
                <w:szCs w:val="22"/>
                <w:lang w:eastAsia="en-US"/>
              </w:rPr>
              <w:t xml:space="preserve">ortezomibom </w:t>
            </w:r>
            <w:r w:rsidR="002361A0">
              <w:rPr>
                <w:rFonts w:eastAsia="TimesNewRoman"/>
                <w:szCs w:val="22"/>
                <w:lang w:eastAsia="en-US"/>
              </w:rPr>
              <w:t xml:space="preserve">Krka </w:t>
            </w:r>
            <w:r w:rsidRPr="00CC69EC">
              <w:rPr>
                <w:rFonts w:eastAsia="TimesNewRoman"/>
                <w:szCs w:val="22"/>
                <w:lang w:eastAsia="en-US"/>
              </w:rPr>
              <w:t>na 1,3 mg/m</w:t>
            </w:r>
            <w:r w:rsidRPr="00CC69EC">
              <w:rPr>
                <w:rFonts w:eastAsia="TimesNewRoman"/>
                <w:szCs w:val="22"/>
                <w:vertAlign w:val="superscript"/>
                <w:lang w:eastAsia="en-US"/>
              </w:rPr>
              <w:t>2</w:t>
            </w:r>
            <w:r w:rsidRPr="00CC69EC">
              <w:rPr>
                <w:rFonts w:eastAsia="TimesNewRoman"/>
                <w:szCs w:val="22"/>
                <w:lang w:eastAsia="en-US"/>
              </w:rPr>
              <w:t xml:space="preserve"> jedenkrát týždenne.</w:t>
            </w:r>
          </w:p>
        </w:tc>
      </w:tr>
      <w:tr w:rsidR="00564D9B" w:rsidRPr="00CC69EC" w14:paraId="6BC44156" w14:textId="77777777" w:rsidTr="00F75370">
        <w:tc>
          <w:tcPr>
            <w:tcW w:w="4644" w:type="dxa"/>
            <w:shd w:val="clear" w:color="auto" w:fill="auto"/>
          </w:tcPr>
          <w:p w14:paraId="1EA6D370"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2. stupeň s bolesťou alebo 3. stupeň</w:t>
            </w:r>
          </w:p>
          <w:p w14:paraId="010A32D4"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(závažné príznaky; limitujúce</w:t>
            </w:r>
          </w:p>
          <w:p w14:paraId="7F4C98E6" w14:textId="77777777" w:rsidR="00564D9B" w:rsidRPr="00CC69EC" w:rsidRDefault="00564D9B" w:rsidP="00F75370">
            <w:pPr>
              <w:autoSpaceDE w:val="0"/>
              <w:autoSpaceDN w:val="0"/>
              <w:adjustRightInd w:val="0"/>
              <w:ind w:left="0" w:firstLine="0"/>
              <w:rPr>
                <w:rFonts w:eastAsia="TimesNewRoman,Italic"/>
                <w:i/>
                <w:iCs/>
                <w:szCs w:val="22"/>
                <w:lang w:eastAsia="en-US"/>
              </w:rPr>
            </w:pPr>
            <w:r w:rsidRPr="00CC69EC">
              <w:rPr>
                <w:rFonts w:eastAsia="TimesNewRoman"/>
                <w:szCs w:val="22"/>
                <w:lang w:eastAsia="en-US"/>
              </w:rPr>
              <w:t>sebestačnosť v ADL***)</w:t>
            </w:r>
          </w:p>
        </w:tc>
        <w:tc>
          <w:tcPr>
            <w:tcW w:w="4644" w:type="dxa"/>
            <w:shd w:val="clear" w:color="auto" w:fill="auto"/>
          </w:tcPr>
          <w:p w14:paraId="38929E00" w14:textId="6B7700FE" w:rsidR="00564D9B" w:rsidRPr="00CC69EC" w:rsidRDefault="00564D9B" w:rsidP="00F75370">
            <w:pPr>
              <w:autoSpaceDE w:val="0"/>
              <w:autoSpaceDN w:val="0"/>
              <w:adjustRightInd w:val="0"/>
              <w:ind w:left="0" w:firstLine="0"/>
              <w:rPr>
                <w:rFonts w:eastAsia="TimesNewRoman,Italic"/>
                <w:i/>
                <w:iCs/>
                <w:szCs w:val="22"/>
                <w:lang w:eastAsia="en-US"/>
              </w:rPr>
            </w:pPr>
            <w:r w:rsidRPr="00CC69EC">
              <w:rPr>
                <w:rFonts w:eastAsia="TimesNewRoman"/>
                <w:szCs w:val="22"/>
                <w:lang w:eastAsia="en-US"/>
              </w:rPr>
              <w:t xml:space="preserve">Prerušiť liečbu  </w:t>
            </w:r>
            <w:r w:rsidR="002361A0">
              <w:rPr>
                <w:rFonts w:eastAsia="TimesNewRoman"/>
                <w:szCs w:val="22"/>
                <w:lang w:eastAsia="en-US"/>
              </w:rPr>
              <w:t>B</w:t>
            </w:r>
            <w:r w:rsidRPr="00CC69EC">
              <w:rPr>
                <w:rFonts w:eastAsia="TimesNewRoman"/>
                <w:szCs w:val="22"/>
                <w:lang w:eastAsia="en-US"/>
              </w:rPr>
              <w:t xml:space="preserve">ortezomibom </w:t>
            </w:r>
            <w:r w:rsidR="002361A0">
              <w:rPr>
                <w:rFonts w:eastAsia="TimesNewRoman"/>
                <w:szCs w:val="22"/>
                <w:lang w:eastAsia="en-US"/>
              </w:rPr>
              <w:t xml:space="preserve">Krka </w:t>
            </w:r>
            <w:r w:rsidRPr="00CC69EC">
              <w:rPr>
                <w:rFonts w:eastAsia="TimesNewRoman"/>
                <w:szCs w:val="22"/>
                <w:lang w:eastAsia="en-US"/>
              </w:rPr>
              <w:t xml:space="preserve">do ústupu príznakov toxicity. Po ústupe príznakov toxicity opäť začať liečbu </w:t>
            </w:r>
            <w:r w:rsidR="002361A0">
              <w:rPr>
                <w:rFonts w:eastAsia="TimesNewRoman"/>
                <w:szCs w:val="22"/>
                <w:lang w:eastAsia="en-US"/>
              </w:rPr>
              <w:t> B</w:t>
            </w:r>
            <w:r w:rsidRPr="00CC69EC">
              <w:rPr>
                <w:rFonts w:eastAsia="TimesNewRoman"/>
                <w:szCs w:val="22"/>
                <w:lang w:eastAsia="en-US"/>
              </w:rPr>
              <w:t>ortezomibom</w:t>
            </w:r>
            <w:r w:rsidR="002361A0">
              <w:rPr>
                <w:rFonts w:eastAsia="TimesNewRoman"/>
                <w:szCs w:val="22"/>
                <w:lang w:eastAsia="en-US"/>
              </w:rPr>
              <w:t xml:space="preserve"> Krka</w:t>
            </w:r>
            <w:r w:rsidRPr="00CC69EC">
              <w:rPr>
                <w:rFonts w:eastAsia="TimesNewRoman"/>
                <w:szCs w:val="22"/>
                <w:lang w:eastAsia="en-US"/>
              </w:rPr>
              <w:t xml:space="preserve"> a znížiť dávku na 0,7 mg/m</w:t>
            </w:r>
            <w:r w:rsidRPr="00CC69EC">
              <w:rPr>
                <w:rFonts w:eastAsia="TimesNewRoman"/>
                <w:szCs w:val="22"/>
                <w:vertAlign w:val="superscript"/>
                <w:lang w:eastAsia="en-US"/>
              </w:rPr>
              <w:t>2</w:t>
            </w:r>
            <w:r w:rsidRPr="00CC69EC">
              <w:rPr>
                <w:rFonts w:eastAsia="TimesNewRoman"/>
                <w:szCs w:val="22"/>
                <w:lang w:eastAsia="en-US"/>
              </w:rPr>
              <w:t xml:space="preserve"> jedenkrát týždenne.</w:t>
            </w:r>
          </w:p>
        </w:tc>
      </w:tr>
      <w:tr w:rsidR="00564D9B" w:rsidRPr="00CC69EC" w14:paraId="6AA4CD94" w14:textId="77777777" w:rsidTr="00F75370">
        <w:tc>
          <w:tcPr>
            <w:tcW w:w="4644" w:type="dxa"/>
            <w:shd w:val="clear" w:color="auto" w:fill="auto"/>
          </w:tcPr>
          <w:p w14:paraId="630B6A30"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4. stupeň (život ohrozujúce následky;</w:t>
            </w:r>
          </w:p>
          <w:p w14:paraId="47F5ADA5"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indikovaná okamžitá intervencia)</w:t>
            </w:r>
          </w:p>
          <w:p w14:paraId="37137699" w14:textId="77777777" w:rsidR="00564D9B" w:rsidRPr="00CC69EC" w:rsidRDefault="00564D9B" w:rsidP="00F75370">
            <w:pPr>
              <w:autoSpaceDE w:val="0"/>
              <w:autoSpaceDN w:val="0"/>
              <w:adjustRightInd w:val="0"/>
              <w:ind w:left="0" w:firstLine="0"/>
              <w:rPr>
                <w:rFonts w:eastAsia="TimesNewRoman,Italic"/>
                <w:i/>
                <w:iCs/>
                <w:szCs w:val="22"/>
                <w:lang w:eastAsia="en-US"/>
              </w:rPr>
            </w:pPr>
            <w:r w:rsidRPr="00CC69EC">
              <w:rPr>
                <w:rFonts w:eastAsia="TimesNewRoman"/>
                <w:szCs w:val="22"/>
                <w:lang w:eastAsia="en-US"/>
              </w:rPr>
              <w:t>a/alebo závažná autonómna neuropatia</w:t>
            </w:r>
          </w:p>
        </w:tc>
        <w:tc>
          <w:tcPr>
            <w:tcW w:w="4644" w:type="dxa"/>
            <w:shd w:val="clear" w:color="auto" w:fill="auto"/>
          </w:tcPr>
          <w:p w14:paraId="00B99564" w14:textId="4F6DF367" w:rsidR="00564D9B" w:rsidRPr="00CC69EC" w:rsidRDefault="00564D9B" w:rsidP="00F75370">
            <w:pPr>
              <w:autoSpaceDE w:val="0"/>
              <w:autoSpaceDN w:val="0"/>
              <w:adjustRightInd w:val="0"/>
              <w:ind w:left="0" w:firstLine="0"/>
              <w:rPr>
                <w:rFonts w:eastAsia="TimesNewRoman,Italic"/>
                <w:i/>
                <w:iCs/>
                <w:szCs w:val="22"/>
                <w:lang w:eastAsia="en-US"/>
              </w:rPr>
            </w:pPr>
            <w:r w:rsidRPr="00CC69EC">
              <w:rPr>
                <w:rFonts w:eastAsia="TimesNewRoman"/>
                <w:szCs w:val="22"/>
                <w:lang w:eastAsia="en-US"/>
              </w:rPr>
              <w:t xml:space="preserve">Prerušiť liečbu </w:t>
            </w:r>
            <w:r w:rsidR="002361A0">
              <w:rPr>
                <w:rFonts w:eastAsia="TimesNewRoman"/>
                <w:szCs w:val="22"/>
                <w:lang w:eastAsia="en-US"/>
              </w:rPr>
              <w:t> B</w:t>
            </w:r>
            <w:r w:rsidRPr="00CC69EC">
              <w:rPr>
                <w:rFonts w:eastAsia="TimesNewRoman"/>
                <w:szCs w:val="22"/>
                <w:lang w:eastAsia="en-US"/>
              </w:rPr>
              <w:t>ortezomibom</w:t>
            </w:r>
            <w:r w:rsidR="002361A0">
              <w:rPr>
                <w:rFonts w:eastAsia="TimesNewRoman"/>
                <w:szCs w:val="22"/>
                <w:lang w:eastAsia="en-US"/>
              </w:rPr>
              <w:t xml:space="preserve"> Krka</w:t>
            </w:r>
            <w:r w:rsidRPr="00CC69EC">
              <w:rPr>
                <w:rFonts w:eastAsia="TimesNewRoman"/>
                <w:szCs w:val="22"/>
                <w:lang w:eastAsia="en-US"/>
              </w:rPr>
              <w:t>.</w:t>
            </w:r>
          </w:p>
        </w:tc>
      </w:tr>
    </w:tbl>
    <w:p w14:paraId="4F6FA612" w14:textId="7FB9F0F4" w:rsidR="002361A0" w:rsidRDefault="00564D9B" w:rsidP="002361A0">
      <w:pPr>
        <w:autoSpaceDE w:val="0"/>
        <w:autoSpaceDN w:val="0"/>
        <w:adjustRightInd w:val="0"/>
        <w:ind w:left="0" w:firstLine="0"/>
        <w:rPr>
          <w:rFonts w:eastAsia="TimesNewRoman"/>
          <w:sz w:val="18"/>
          <w:szCs w:val="22"/>
          <w:lang w:eastAsia="en-US"/>
        </w:rPr>
      </w:pPr>
      <w:r w:rsidRPr="00CC69EC">
        <w:rPr>
          <w:rFonts w:eastAsia="TimesNewRoman"/>
          <w:szCs w:val="22"/>
          <w:lang w:eastAsia="en-US"/>
        </w:rPr>
        <w:t xml:space="preserve">* </w:t>
      </w:r>
      <w:r w:rsidR="002361A0">
        <w:rPr>
          <w:rFonts w:eastAsia="TimesNewRoman"/>
          <w:szCs w:val="22"/>
          <w:lang w:eastAsia="en-US"/>
        </w:rPr>
        <w:t xml:space="preserve">    </w:t>
      </w:r>
      <w:r w:rsidRPr="002361A0">
        <w:rPr>
          <w:rFonts w:eastAsia="TimesNewRoman"/>
          <w:sz w:val="18"/>
          <w:szCs w:val="22"/>
          <w:lang w:eastAsia="en-US"/>
        </w:rPr>
        <w:t>Na základe zmeny dávkovania v klinických štúdiách mnohopočetného myelómu fázy II a III a z</w:t>
      </w:r>
      <w:r w:rsidR="001D2345">
        <w:rPr>
          <w:rFonts w:eastAsia="TimesNewRoman"/>
          <w:sz w:val="18"/>
          <w:szCs w:val="22"/>
          <w:lang w:eastAsia="en-US"/>
        </w:rPr>
        <w:t>o</w:t>
      </w:r>
      <w:r w:rsidR="002361A0">
        <w:rPr>
          <w:rFonts w:eastAsia="TimesNewRoman"/>
          <w:sz w:val="18"/>
          <w:szCs w:val="22"/>
          <w:lang w:eastAsia="en-US"/>
        </w:rPr>
        <w:t xml:space="preserve"> </w:t>
      </w:r>
      <w:r w:rsidRPr="002361A0">
        <w:rPr>
          <w:rFonts w:eastAsia="TimesNewRoman"/>
          <w:sz w:val="18"/>
          <w:szCs w:val="22"/>
          <w:lang w:eastAsia="en-US"/>
        </w:rPr>
        <w:t>skúseností</w:t>
      </w:r>
      <w:r w:rsidR="001D2345">
        <w:rPr>
          <w:rFonts w:eastAsia="TimesNewRoman"/>
          <w:sz w:val="18"/>
          <w:szCs w:val="22"/>
          <w:lang w:eastAsia="en-US"/>
        </w:rPr>
        <w:t xml:space="preserve"> po uvedení lieku na trh</w:t>
      </w:r>
      <w:r w:rsidRPr="002361A0">
        <w:rPr>
          <w:rFonts w:eastAsia="TimesNewRoman"/>
          <w:sz w:val="18"/>
          <w:szCs w:val="22"/>
          <w:lang w:eastAsia="en-US"/>
        </w:rPr>
        <w:t xml:space="preserve">. </w:t>
      </w:r>
    </w:p>
    <w:p w14:paraId="0942D6C9" w14:textId="77777777" w:rsidR="00564D9B" w:rsidRPr="00CC69EC" w:rsidRDefault="002361A0" w:rsidP="002361A0">
      <w:pPr>
        <w:autoSpaceDE w:val="0"/>
        <w:autoSpaceDN w:val="0"/>
        <w:adjustRightInd w:val="0"/>
        <w:ind w:left="0" w:firstLine="0"/>
        <w:rPr>
          <w:rFonts w:eastAsia="TimesNewRoman"/>
          <w:szCs w:val="22"/>
          <w:lang w:eastAsia="en-US"/>
        </w:rPr>
      </w:pPr>
      <w:r>
        <w:rPr>
          <w:rFonts w:eastAsia="TimesNewRoman"/>
          <w:sz w:val="18"/>
          <w:szCs w:val="22"/>
          <w:lang w:eastAsia="en-US"/>
        </w:rPr>
        <w:t xml:space="preserve">        </w:t>
      </w:r>
      <w:r w:rsidR="00564D9B" w:rsidRPr="002361A0">
        <w:rPr>
          <w:rFonts w:eastAsia="TimesNewRoman"/>
          <w:sz w:val="18"/>
          <w:szCs w:val="22"/>
          <w:lang w:eastAsia="en-US"/>
        </w:rPr>
        <w:t>Klasifikácia založená na Všeobecných kritériách toxicity CTCAE verzia 4.0 podľa NCI.</w:t>
      </w:r>
    </w:p>
    <w:p w14:paraId="6436931E" w14:textId="77777777" w:rsidR="00564D9B" w:rsidRPr="002361A0" w:rsidRDefault="00564D9B" w:rsidP="00564D9B">
      <w:pPr>
        <w:autoSpaceDE w:val="0"/>
        <w:autoSpaceDN w:val="0"/>
        <w:adjustRightInd w:val="0"/>
        <w:ind w:left="0" w:firstLine="0"/>
        <w:rPr>
          <w:rFonts w:eastAsia="TimesNewRoman"/>
          <w:sz w:val="18"/>
          <w:szCs w:val="22"/>
          <w:lang w:eastAsia="en-US"/>
        </w:rPr>
      </w:pPr>
      <w:r w:rsidRPr="00CC69EC">
        <w:rPr>
          <w:rFonts w:eastAsia="TimesNewRoman"/>
          <w:szCs w:val="22"/>
          <w:lang w:eastAsia="en-US"/>
        </w:rPr>
        <w:t xml:space="preserve">** </w:t>
      </w:r>
      <w:r w:rsidR="002361A0">
        <w:rPr>
          <w:rFonts w:eastAsia="TimesNewRoman"/>
          <w:szCs w:val="22"/>
          <w:lang w:eastAsia="en-US"/>
        </w:rPr>
        <w:t xml:space="preserve"> </w:t>
      </w:r>
      <w:r w:rsidRPr="002361A0">
        <w:rPr>
          <w:rFonts w:eastAsia="TimesNewRoman,Italic"/>
          <w:i/>
          <w:iCs/>
          <w:sz w:val="18"/>
          <w:szCs w:val="22"/>
          <w:lang w:eastAsia="en-US"/>
        </w:rPr>
        <w:t>Inštrumentálne ADL</w:t>
      </w:r>
      <w:r w:rsidRPr="002361A0">
        <w:rPr>
          <w:rFonts w:eastAsia="TimesNewRoman"/>
          <w:sz w:val="18"/>
          <w:szCs w:val="22"/>
          <w:lang w:eastAsia="en-US"/>
        </w:rPr>
        <w:t>: týkajú sa prípravy jedla, nakupovania potravín alebo oblečenia, používania telefónu, hospodárenia s peniazmi a pod.</w:t>
      </w:r>
    </w:p>
    <w:p w14:paraId="1CB6C549" w14:textId="77777777" w:rsidR="00564D9B" w:rsidRPr="002361A0" w:rsidRDefault="00564D9B" w:rsidP="00564D9B">
      <w:pPr>
        <w:autoSpaceDE w:val="0"/>
        <w:autoSpaceDN w:val="0"/>
        <w:adjustRightInd w:val="0"/>
        <w:ind w:left="0" w:firstLine="0"/>
        <w:rPr>
          <w:rFonts w:eastAsia="TimesNewRoman"/>
          <w:sz w:val="18"/>
          <w:szCs w:val="22"/>
          <w:lang w:eastAsia="en-US"/>
        </w:rPr>
      </w:pPr>
      <w:r w:rsidRPr="002361A0">
        <w:rPr>
          <w:rFonts w:eastAsia="TimesNewRoman"/>
          <w:sz w:val="18"/>
          <w:szCs w:val="22"/>
          <w:lang w:eastAsia="en-US"/>
        </w:rPr>
        <w:t>*** S</w:t>
      </w:r>
      <w:r w:rsidRPr="002361A0">
        <w:rPr>
          <w:rFonts w:eastAsia="TimesNewRoman,Italic"/>
          <w:i/>
          <w:iCs/>
          <w:sz w:val="18"/>
          <w:szCs w:val="22"/>
          <w:lang w:eastAsia="en-US"/>
        </w:rPr>
        <w:t>ebestačné ADL</w:t>
      </w:r>
      <w:r w:rsidRPr="002361A0">
        <w:rPr>
          <w:rFonts w:eastAsia="TimesNewRoman"/>
          <w:sz w:val="18"/>
          <w:szCs w:val="22"/>
          <w:lang w:eastAsia="en-US"/>
        </w:rPr>
        <w:t>: týkajú sa kúpania, obliekania a vyzliekania, samostatného príjmu potravy, použitia toalety, užívania liekov. Pacient nie je pripútaný na lôžko.</w:t>
      </w:r>
    </w:p>
    <w:p w14:paraId="2ABB3DC3"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6C3D3D2D"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Kombinovaná liečba s pegylovaným lipozomálnym doxorubicínom</w:t>
      </w:r>
    </w:p>
    <w:p w14:paraId="0460D14D" w14:textId="0427DB24"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Bortezomib</w:t>
      </w:r>
      <w:r w:rsidR="00AC010F">
        <w:rPr>
          <w:rFonts w:eastAsia="TimesNewRoman"/>
          <w:szCs w:val="22"/>
          <w:lang w:eastAsia="en-US"/>
        </w:rPr>
        <w:t xml:space="preserve"> Krka</w:t>
      </w:r>
      <w:r w:rsidRPr="00CC69EC">
        <w:rPr>
          <w:rFonts w:eastAsia="TimesNewRoman"/>
          <w:szCs w:val="22"/>
          <w:lang w:eastAsia="en-US"/>
        </w:rPr>
        <w:t xml:space="preserve"> </w:t>
      </w:r>
      <w:r w:rsidR="00AC010F">
        <w:rPr>
          <w:rFonts w:eastAsia="TimesNewRoman"/>
          <w:szCs w:val="22"/>
          <w:lang w:eastAsia="en-US"/>
        </w:rPr>
        <w:t>1</w:t>
      </w:r>
      <w:r>
        <w:rPr>
          <w:rFonts w:eastAsia="TimesNewRoman"/>
          <w:szCs w:val="22"/>
          <w:lang w:eastAsia="en-US"/>
        </w:rPr>
        <w:t xml:space="preserve"> mg prášok na injekčný roztok </w:t>
      </w:r>
      <w:r w:rsidRPr="00CC69EC">
        <w:rPr>
          <w:rFonts w:eastAsia="TimesNewRoman"/>
          <w:szCs w:val="22"/>
          <w:lang w:eastAsia="en-US"/>
        </w:rPr>
        <w:t>sa podáva intravenóznou injekciou v odporúčanej dávke 1,3 mg/m</w:t>
      </w:r>
      <w:r w:rsidRPr="00CC69EC">
        <w:rPr>
          <w:rFonts w:eastAsia="TimesNewRoman"/>
          <w:szCs w:val="22"/>
          <w:vertAlign w:val="superscript"/>
          <w:lang w:eastAsia="en-US"/>
        </w:rPr>
        <w:t>2</w:t>
      </w:r>
      <w:r w:rsidRPr="00CC69EC">
        <w:rPr>
          <w:rFonts w:eastAsia="TimesNewRoman"/>
          <w:szCs w:val="22"/>
          <w:lang w:eastAsia="en-US"/>
        </w:rPr>
        <w:t xml:space="preserve"> </w:t>
      </w:r>
      <w:r w:rsidR="001D2345">
        <w:rPr>
          <w:rFonts w:eastAsia="TimesNewRoman"/>
          <w:szCs w:val="22"/>
          <w:lang w:eastAsia="en-US"/>
        </w:rPr>
        <w:t xml:space="preserve">plochy </w:t>
      </w:r>
      <w:r w:rsidRPr="00CC69EC">
        <w:rPr>
          <w:rFonts w:eastAsia="TimesNewRoman"/>
          <w:szCs w:val="22"/>
          <w:lang w:eastAsia="en-US"/>
        </w:rPr>
        <w:t xml:space="preserve">povrchu tela dvakrát týždenne počas dvoch týždňov v 1., 4., 8. a 11. deň terapeutického cyklu trvajúceho 21 dní. Toto 3-týždňové obdobie sa považuje za jeden terapeutický cyklus. Medzi nasledujúcimi dávkami </w:t>
      </w:r>
      <w:r w:rsidR="00AC010F">
        <w:rPr>
          <w:rFonts w:eastAsia="TimesNewRoman"/>
          <w:szCs w:val="22"/>
          <w:lang w:eastAsia="en-US"/>
        </w:rPr>
        <w:t>B</w:t>
      </w:r>
      <w:r w:rsidRPr="00CC69EC">
        <w:rPr>
          <w:rFonts w:eastAsia="TimesNewRoman"/>
          <w:szCs w:val="22"/>
          <w:lang w:eastAsia="en-US"/>
        </w:rPr>
        <w:t xml:space="preserve">ortezomibu </w:t>
      </w:r>
      <w:r w:rsidR="00AC010F">
        <w:rPr>
          <w:rFonts w:eastAsia="TimesNewRoman"/>
          <w:szCs w:val="22"/>
          <w:lang w:eastAsia="en-US"/>
        </w:rPr>
        <w:t xml:space="preserve">Krka </w:t>
      </w:r>
      <w:r w:rsidRPr="00CC69EC">
        <w:rPr>
          <w:rFonts w:eastAsia="TimesNewRoman"/>
          <w:szCs w:val="22"/>
          <w:lang w:eastAsia="en-US"/>
        </w:rPr>
        <w:t>má uplynúť aspoň 72 hodín.</w:t>
      </w:r>
    </w:p>
    <w:p w14:paraId="114A2475"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Pegylovaný lipozomálny doxorubicín sa podáva v dávke 30 mg/m</w:t>
      </w:r>
      <w:r w:rsidRPr="00CC69EC">
        <w:rPr>
          <w:rFonts w:eastAsia="TimesNewRoman"/>
          <w:szCs w:val="22"/>
          <w:vertAlign w:val="superscript"/>
          <w:lang w:eastAsia="en-US"/>
        </w:rPr>
        <w:t>2</w:t>
      </w:r>
      <w:r w:rsidRPr="00CC69EC">
        <w:rPr>
          <w:rFonts w:eastAsia="TimesNewRoman"/>
          <w:szCs w:val="22"/>
          <w:lang w:eastAsia="en-US"/>
        </w:rPr>
        <w:t xml:space="preserve"> v 4. deň terapeutického cyklu s </w:t>
      </w:r>
      <w:r w:rsidR="00AC010F">
        <w:rPr>
          <w:rFonts w:eastAsia="TimesNewRoman"/>
          <w:szCs w:val="22"/>
          <w:lang w:eastAsia="en-US"/>
        </w:rPr>
        <w:t>B</w:t>
      </w:r>
      <w:r w:rsidRPr="00CC69EC">
        <w:rPr>
          <w:rFonts w:eastAsia="TimesNewRoman"/>
          <w:szCs w:val="22"/>
          <w:lang w:eastAsia="en-US"/>
        </w:rPr>
        <w:t xml:space="preserve">ortezomibom </w:t>
      </w:r>
      <w:r w:rsidR="00AC010F">
        <w:rPr>
          <w:rFonts w:eastAsia="TimesNewRoman"/>
          <w:szCs w:val="22"/>
          <w:lang w:eastAsia="en-US"/>
        </w:rPr>
        <w:t xml:space="preserve">Krka </w:t>
      </w:r>
      <w:r w:rsidRPr="00CC69EC">
        <w:rPr>
          <w:rFonts w:eastAsia="TimesNewRoman"/>
          <w:szCs w:val="22"/>
          <w:lang w:eastAsia="en-US"/>
        </w:rPr>
        <w:t xml:space="preserve">ako 1-hodinová intravenózna infúzia podávaná po injekcii </w:t>
      </w:r>
      <w:r w:rsidR="00AC010F">
        <w:rPr>
          <w:rFonts w:eastAsia="TimesNewRoman"/>
          <w:szCs w:val="22"/>
          <w:lang w:eastAsia="en-US"/>
        </w:rPr>
        <w:t>B</w:t>
      </w:r>
      <w:r w:rsidRPr="00CC69EC">
        <w:rPr>
          <w:rFonts w:eastAsia="TimesNewRoman"/>
          <w:szCs w:val="22"/>
          <w:lang w:eastAsia="en-US"/>
        </w:rPr>
        <w:t>ortezomibu</w:t>
      </w:r>
      <w:r w:rsidR="00AC010F">
        <w:rPr>
          <w:rFonts w:eastAsia="TimesNewRoman"/>
          <w:szCs w:val="22"/>
          <w:lang w:eastAsia="en-US"/>
        </w:rPr>
        <w:t xml:space="preserve"> Krka</w:t>
      </w:r>
      <w:r w:rsidRPr="00CC69EC">
        <w:rPr>
          <w:rFonts w:eastAsia="TimesNewRoman"/>
          <w:szCs w:val="22"/>
          <w:lang w:eastAsia="en-US"/>
        </w:rPr>
        <w:t xml:space="preserve">. </w:t>
      </w:r>
    </w:p>
    <w:p w14:paraId="646559CB"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
          <w:szCs w:val="22"/>
          <w:lang w:eastAsia="en-US"/>
        </w:rPr>
        <w:t xml:space="preserve">Môže sa podať až 8 cyklov tejto kombinovanej liečby, pokiaľ pacient neprogredoval a toleroval liečbu. Pacienti, ktorí dosiahnu kompletnú odpoveď, môžu pokračovať v liečbe najmenej 2 cyklami </w:t>
      </w:r>
      <w:r w:rsidRPr="00CC69EC">
        <w:rPr>
          <w:rFonts w:eastAsia="TimesNewRoman"/>
          <w:szCs w:val="22"/>
          <w:lang w:eastAsia="en-US"/>
        </w:rPr>
        <w:lastRenderedPageBreak/>
        <w:t>po prvom zaznamenaní kompletnej odpovede, aj keď to vyžaduje liečbu dlhšiu ako 8 cyklov. Pacienti, ktorým sa hladiny paraproteínov po 8 cykloch naďalej znižujú, môžu tiež pokračovať, pokiaľ tolerujú liečbu a naďalej na ňu odpovedajú.</w:t>
      </w:r>
    </w:p>
    <w:p w14:paraId="1F32B0EB"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5291EE10" w14:textId="1B5DB934"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Pre ďalšie informácie o pegylovanom lipozomálnom doxorubicíne, pozri príslušný súhrn</w:t>
      </w:r>
      <w:r w:rsidR="00DE16C8">
        <w:rPr>
          <w:rFonts w:eastAsia="TimesNewRoman"/>
          <w:szCs w:val="22"/>
          <w:lang w:eastAsia="en-US"/>
        </w:rPr>
        <w:t xml:space="preserve"> </w:t>
      </w:r>
      <w:r w:rsidRPr="00CC69EC">
        <w:rPr>
          <w:rFonts w:eastAsia="TimesNewRoman"/>
          <w:szCs w:val="22"/>
          <w:lang w:eastAsia="en-US"/>
        </w:rPr>
        <w:t>charakteristických vlastností lieku.</w:t>
      </w:r>
    </w:p>
    <w:p w14:paraId="4366CD07" w14:textId="77777777" w:rsidR="00564D9B" w:rsidRPr="00CC69EC" w:rsidRDefault="00564D9B" w:rsidP="00564D9B">
      <w:pPr>
        <w:autoSpaceDE w:val="0"/>
        <w:autoSpaceDN w:val="0"/>
        <w:adjustRightInd w:val="0"/>
        <w:ind w:left="0" w:firstLine="0"/>
        <w:rPr>
          <w:rFonts w:eastAsia="TimesNewRoman"/>
          <w:szCs w:val="22"/>
          <w:lang w:eastAsia="en-US"/>
        </w:rPr>
      </w:pPr>
    </w:p>
    <w:p w14:paraId="59D470FD"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Kombinácia s dexametazónom</w:t>
      </w:r>
    </w:p>
    <w:p w14:paraId="45FF85E2" w14:textId="080EB8A4"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DC765A">
        <w:rPr>
          <w:rFonts w:eastAsia="TimesNewRoman"/>
          <w:szCs w:val="22"/>
          <w:lang w:eastAsia="en-US"/>
        </w:rPr>
        <w:t>Krka 1</w:t>
      </w:r>
      <w:r>
        <w:rPr>
          <w:rFonts w:eastAsia="TimesNewRoman"/>
          <w:szCs w:val="22"/>
          <w:lang w:eastAsia="en-US"/>
        </w:rPr>
        <w:t xml:space="preserve"> mg prášok na injekčný roztok </w:t>
      </w:r>
      <w:r w:rsidRPr="00CC69EC">
        <w:rPr>
          <w:rFonts w:eastAsia="TimesNewRoman"/>
          <w:szCs w:val="22"/>
          <w:lang w:eastAsia="en-US"/>
        </w:rPr>
        <w:t>sa podáva intravenóznou injekciou v odporúčanej dávke 1,3 mg/m</w:t>
      </w:r>
      <w:r w:rsidRPr="00CC69EC">
        <w:rPr>
          <w:rFonts w:eastAsia="TimesNewRoman"/>
          <w:szCs w:val="22"/>
          <w:vertAlign w:val="superscript"/>
          <w:lang w:eastAsia="en-US"/>
        </w:rPr>
        <w:t>2</w:t>
      </w:r>
      <w:r w:rsidRPr="00CC69EC">
        <w:rPr>
          <w:rFonts w:eastAsia="TimesNewRoman"/>
          <w:szCs w:val="22"/>
          <w:lang w:eastAsia="en-US"/>
        </w:rPr>
        <w:t xml:space="preserve"> </w:t>
      </w:r>
      <w:r w:rsidR="001D2345">
        <w:rPr>
          <w:rFonts w:eastAsia="TimesNewRoman"/>
          <w:szCs w:val="22"/>
          <w:lang w:eastAsia="en-US"/>
        </w:rPr>
        <w:t xml:space="preserve">plochy </w:t>
      </w:r>
      <w:r w:rsidRPr="00CC69EC">
        <w:rPr>
          <w:rFonts w:eastAsia="TimesNewRoman"/>
          <w:szCs w:val="22"/>
          <w:lang w:eastAsia="en-US"/>
        </w:rPr>
        <w:t xml:space="preserve">povrchu tela dvakrát týždenne počas dvoch týždňov v 1., 4., 8. a 11. deň terapeutického cyklu trvajúceho 21 dní. Toto 3-týždňové obdobie sa považuje za jeden terapeutický cyklus. Medzi nasledujúcimi dávkami </w:t>
      </w:r>
      <w:r w:rsidR="00DC765A">
        <w:rPr>
          <w:rFonts w:eastAsia="TimesNewRoman"/>
          <w:szCs w:val="22"/>
          <w:lang w:eastAsia="en-US"/>
        </w:rPr>
        <w:t>B</w:t>
      </w:r>
      <w:r w:rsidRPr="00CC69EC">
        <w:rPr>
          <w:rFonts w:eastAsia="TimesNewRoman"/>
          <w:szCs w:val="22"/>
          <w:lang w:eastAsia="en-US"/>
        </w:rPr>
        <w:t xml:space="preserve">ortezomibu </w:t>
      </w:r>
      <w:r w:rsidR="00DC765A">
        <w:rPr>
          <w:rFonts w:eastAsia="TimesNewRoman"/>
          <w:szCs w:val="22"/>
          <w:lang w:eastAsia="en-US"/>
        </w:rPr>
        <w:t xml:space="preserve">Krka </w:t>
      </w:r>
      <w:r w:rsidRPr="00CC69EC">
        <w:rPr>
          <w:rFonts w:eastAsia="TimesNewRoman"/>
          <w:szCs w:val="22"/>
          <w:lang w:eastAsia="en-US"/>
        </w:rPr>
        <w:t>má uplynúť aspoň 72 hodín.</w:t>
      </w:r>
    </w:p>
    <w:p w14:paraId="76BFFF1F"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Dexametazón sa podáva perorálne v dávke 20 mg v 1., 2., 4., 5., 8., 9., 11. a 12. deň terapeutického cyklu s</w:t>
      </w:r>
      <w:r w:rsidR="00DC765A">
        <w:rPr>
          <w:rFonts w:eastAsia="TimesNewRoman"/>
          <w:szCs w:val="22"/>
          <w:lang w:eastAsia="en-US"/>
        </w:rPr>
        <w:t> B</w:t>
      </w:r>
      <w:r w:rsidRPr="00CC69EC">
        <w:rPr>
          <w:rFonts w:eastAsia="TimesNewRoman"/>
          <w:szCs w:val="22"/>
          <w:lang w:eastAsia="en-US"/>
        </w:rPr>
        <w:t>ortezomibom</w:t>
      </w:r>
      <w:r w:rsidR="00DC765A">
        <w:rPr>
          <w:rFonts w:eastAsia="TimesNewRoman"/>
          <w:szCs w:val="22"/>
          <w:lang w:eastAsia="en-US"/>
        </w:rPr>
        <w:t xml:space="preserve"> Krka</w:t>
      </w:r>
      <w:r w:rsidRPr="00CC69EC">
        <w:rPr>
          <w:rFonts w:eastAsia="TimesNewRoman"/>
          <w:szCs w:val="22"/>
          <w:lang w:eastAsia="en-US"/>
        </w:rPr>
        <w:t>.</w:t>
      </w:r>
    </w:p>
    <w:p w14:paraId="3EAB482A"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Pacienti, ktorí dosiahnu odpoveď alebo sa ich ochorenie stabilizuje po 4 cykloch tejto kombinovanej liečby, môžu naďalej dostávať rovnakú kombináciu najviac 4 ďalšie cykly.</w:t>
      </w:r>
    </w:p>
    <w:p w14:paraId="4BFC4F7E"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
          <w:szCs w:val="22"/>
          <w:lang w:eastAsia="en-US"/>
        </w:rPr>
        <w:t>Pre ďalšie informácie o dexametazóne, pozri príslušný súhrn charakteristických vlastností lieku.</w:t>
      </w:r>
    </w:p>
    <w:p w14:paraId="2982859E"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0F4CC702"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Úprava dávky pri kombinovanej liečbe pacientov s progresívnym mnohopočetným myelómom</w:t>
      </w:r>
    </w:p>
    <w:p w14:paraId="0F7B4B95"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Pre úpravu dávky </w:t>
      </w:r>
      <w:r w:rsidR="00DC765A">
        <w:rPr>
          <w:rFonts w:eastAsia="TimesNewRoman"/>
          <w:szCs w:val="22"/>
          <w:lang w:eastAsia="en-US"/>
        </w:rPr>
        <w:t>B</w:t>
      </w:r>
      <w:r w:rsidRPr="00CC69EC">
        <w:rPr>
          <w:rFonts w:eastAsia="TimesNewRoman"/>
          <w:szCs w:val="22"/>
          <w:lang w:eastAsia="en-US"/>
        </w:rPr>
        <w:t xml:space="preserve">ortezomibu </w:t>
      </w:r>
      <w:r w:rsidR="00DC765A">
        <w:rPr>
          <w:rFonts w:eastAsia="TimesNewRoman"/>
          <w:szCs w:val="22"/>
          <w:lang w:eastAsia="en-US"/>
        </w:rPr>
        <w:t xml:space="preserve">Krka </w:t>
      </w:r>
      <w:r w:rsidRPr="00CC69EC">
        <w:rPr>
          <w:rFonts w:eastAsia="TimesNewRoman"/>
          <w:szCs w:val="22"/>
          <w:lang w:eastAsia="en-US"/>
        </w:rPr>
        <w:t>pri kombinovanej liečbe sa riaďte zásadami pre zmenu dávky opísanými vyššie v časti monoterapia.</w:t>
      </w:r>
    </w:p>
    <w:p w14:paraId="080F3AEB" w14:textId="77777777" w:rsidR="00564D9B" w:rsidRPr="00CC69EC" w:rsidRDefault="00564D9B" w:rsidP="00564D9B">
      <w:pPr>
        <w:autoSpaceDE w:val="0"/>
        <w:autoSpaceDN w:val="0"/>
        <w:adjustRightInd w:val="0"/>
        <w:ind w:left="0" w:firstLine="0"/>
        <w:rPr>
          <w:rFonts w:eastAsia="TimesNewRoman"/>
          <w:szCs w:val="22"/>
          <w:lang w:eastAsia="en-US"/>
        </w:rPr>
      </w:pPr>
    </w:p>
    <w:p w14:paraId="4B540E28"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Dávkovanie u pacientov s doteraz neliečeným mnohopočetným myelómom, ktorí nie sú vhodní na transplantáciu hematopoetických kmeňových buniek</w:t>
      </w:r>
    </w:p>
    <w:p w14:paraId="72AFE4A0"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Kombinovaná liečba s melfal</w:t>
      </w:r>
      <w:r>
        <w:rPr>
          <w:rFonts w:eastAsia="TimesNewRoman,Italic"/>
          <w:i/>
          <w:iCs/>
          <w:szCs w:val="22"/>
          <w:lang w:eastAsia="en-US"/>
        </w:rPr>
        <w:t>á</w:t>
      </w:r>
      <w:r w:rsidRPr="00CC69EC">
        <w:rPr>
          <w:rFonts w:eastAsia="TimesNewRoman,Italic"/>
          <w:i/>
          <w:iCs/>
          <w:szCs w:val="22"/>
          <w:lang w:eastAsia="en-US"/>
        </w:rPr>
        <w:t>nom a prednizónom</w:t>
      </w:r>
    </w:p>
    <w:p w14:paraId="60E2D4FF" w14:textId="7596BD6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Bortezomib</w:t>
      </w:r>
      <w:r w:rsidR="00DC765A">
        <w:rPr>
          <w:rFonts w:eastAsia="TimesNewRoman"/>
          <w:szCs w:val="22"/>
          <w:lang w:eastAsia="en-US"/>
        </w:rPr>
        <w:t xml:space="preserve"> Krka</w:t>
      </w:r>
      <w:r w:rsidRPr="00CC69EC">
        <w:rPr>
          <w:rFonts w:eastAsia="TimesNewRoman"/>
          <w:szCs w:val="22"/>
          <w:lang w:eastAsia="en-US"/>
        </w:rPr>
        <w:t xml:space="preserve"> </w:t>
      </w:r>
      <w:r w:rsidR="00DC765A">
        <w:rPr>
          <w:rFonts w:eastAsia="TimesNewRoman"/>
          <w:szCs w:val="22"/>
          <w:lang w:eastAsia="en-US"/>
        </w:rPr>
        <w:t>1</w:t>
      </w:r>
      <w:r>
        <w:rPr>
          <w:rFonts w:eastAsia="TimesNewRoman"/>
          <w:szCs w:val="22"/>
          <w:lang w:eastAsia="en-US"/>
        </w:rPr>
        <w:t xml:space="preserve"> mg prášok na injekčný roztok </w:t>
      </w:r>
      <w:r w:rsidRPr="00CC69EC">
        <w:rPr>
          <w:rFonts w:eastAsia="TimesNewRoman"/>
          <w:szCs w:val="22"/>
          <w:lang w:eastAsia="en-US"/>
        </w:rPr>
        <w:t>sa podáva intravenóznou injekciou v kombinácii s perorálnym melfal</w:t>
      </w:r>
      <w:r>
        <w:rPr>
          <w:rFonts w:eastAsia="TimesNewRoman"/>
          <w:szCs w:val="22"/>
          <w:lang w:eastAsia="en-US"/>
        </w:rPr>
        <w:t>á</w:t>
      </w:r>
      <w:r w:rsidRPr="00CC69EC">
        <w:rPr>
          <w:rFonts w:eastAsia="TimesNewRoman"/>
          <w:szCs w:val="22"/>
          <w:lang w:eastAsia="en-US"/>
        </w:rPr>
        <w:t xml:space="preserve">nom a perorálnym prednizónom tak, ako sa uvádza v </w:t>
      </w:r>
      <w:r w:rsidR="001D2720">
        <w:rPr>
          <w:rFonts w:eastAsia="TimesNewRoman"/>
          <w:szCs w:val="22"/>
          <w:lang w:eastAsia="en-US"/>
        </w:rPr>
        <w:t>t</w:t>
      </w:r>
      <w:r w:rsidRPr="00CC69EC">
        <w:rPr>
          <w:rFonts w:eastAsia="TimesNewRoman"/>
          <w:szCs w:val="22"/>
          <w:lang w:eastAsia="en-US"/>
        </w:rPr>
        <w:t xml:space="preserve">abuľke 2. 6-týždňové obdobie sa považuje za jeden terapeutický cyklus. V 1. – 4. cykle sa </w:t>
      </w:r>
      <w:r w:rsidR="00DC765A">
        <w:rPr>
          <w:rFonts w:eastAsia="TimesNewRoman"/>
          <w:szCs w:val="22"/>
          <w:lang w:eastAsia="en-US"/>
        </w:rPr>
        <w:t>B</w:t>
      </w:r>
      <w:r w:rsidRPr="00CC69EC">
        <w:rPr>
          <w:rFonts w:eastAsia="TimesNewRoman"/>
          <w:szCs w:val="22"/>
          <w:lang w:eastAsia="en-US"/>
        </w:rPr>
        <w:t xml:space="preserve">ortezomib </w:t>
      </w:r>
      <w:r w:rsidR="00DC765A">
        <w:rPr>
          <w:rFonts w:eastAsia="TimesNewRoman"/>
          <w:szCs w:val="22"/>
          <w:lang w:eastAsia="en-US"/>
        </w:rPr>
        <w:t xml:space="preserve">Krka </w:t>
      </w:r>
      <w:r w:rsidRPr="00CC69EC">
        <w:rPr>
          <w:rFonts w:eastAsia="TimesNewRoman"/>
          <w:szCs w:val="22"/>
          <w:lang w:eastAsia="en-US"/>
        </w:rPr>
        <w:t xml:space="preserve">podáva dvakrát týždenne v 1., 4., 8., 11., 22., 25., 29. a 32. deň. V 5. – 9. cykle sa </w:t>
      </w:r>
      <w:r w:rsidR="00DC765A">
        <w:rPr>
          <w:rFonts w:eastAsia="TimesNewRoman"/>
          <w:szCs w:val="22"/>
          <w:lang w:eastAsia="en-US"/>
        </w:rPr>
        <w:t>B</w:t>
      </w:r>
      <w:r w:rsidRPr="00CC69EC">
        <w:rPr>
          <w:rFonts w:eastAsia="TimesNewRoman"/>
          <w:szCs w:val="22"/>
          <w:lang w:eastAsia="en-US"/>
        </w:rPr>
        <w:t xml:space="preserve">ortezomib </w:t>
      </w:r>
      <w:r w:rsidR="00DC765A">
        <w:rPr>
          <w:rFonts w:eastAsia="TimesNewRoman"/>
          <w:szCs w:val="22"/>
          <w:lang w:eastAsia="en-US"/>
        </w:rPr>
        <w:t xml:space="preserve">Krka </w:t>
      </w:r>
      <w:r w:rsidRPr="00CC69EC">
        <w:rPr>
          <w:rFonts w:eastAsia="TimesNewRoman"/>
          <w:szCs w:val="22"/>
          <w:lang w:eastAsia="en-US"/>
        </w:rPr>
        <w:t>podáva jedenkrát týždenne v 1., 8., 22. a 29. deň. Medzi nasledujúcimi dávkami</w:t>
      </w:r>
      <w:r w:rsidR="00DC765A">
        <w:rPr>
          <w:rFonts w:eastAsia="TimesNewRoman"/>
          <w:szCs w:val="22"/>
          <w:lang w:eastAsia="en-US"/>
        </w:rPr>
        <w:t xml:space="preserve"> B</w:t>
      </w:r>
      <w:r w:rsidRPr="00CC69EC">
        <w:rPr>
          <w:rFonts w:eastAsia="TimesNewRoman"/>
          <w:szCs w:val="22"/>
          <w:lang w:eastAsia="en-US"/>
        </w:rPr>
        <w:t xml:space="preserve">ortezomibu </w:t>
      </w:r>
      <w:r w:rsidR="00DC765A">
        <w:rPr>
          <w:rFonts w:eastAsia="TimesNewRoman"/>
          <w:szCs w:val="22"/>
          <w:lang w:eastAsia="en-US"/>
        </w:rPr>
        <w:t xml:space="preserve">Krka </w:t>
      </w:r>
      <w:r w:rsidRPr="00CC69EC">
        <w:rPr>
          <w:rFonts w:eastAsia="TimesNewRoman"/>
          <w:szCs w:val="22"/>
          <w:lang w:eastAsia="en-US"/>
        </w:rPr>
        <w:t>má uplynúť aspoň 72 hodín.</w:t>
      </w:r>
    </w:p>
    <w:p w14:paraId="791212AD" w14:textId="77777777" w:rsidR="00DC765A"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Melfal</w:t>
      </w:r>
      <w:r>
        <w:rPr>
          <w:rFonts w:eastAsia="TimesNewRoman"/>
          <w:szCs w:val="22"/>
          <w:lang w:eastAsia="en-US"/>
        </w:rPr>
        <w:t>á</w:t>
      </w:r>
      <w:r w:rsidRPr="00CC69EC">
        <w:rPr>
          <w:rFonts w:eastAsia="TimesNewRoman"/>
          <w:szCs w:val="22"/>
          <w:lang w:eastAsia="en-US"/>
        </w:rPr>
        <w:t>n a prednizón sa podávajú perorálne v 1., 2., 3. a 4. deň prvého týždňa každého terapeutického cyklu s</w:t>
      </w:r>
      <w:r w:rsidR="00DC765A">
        <w:rPr>
          <w:rFonts w:eastAsia="TimesNewRoman"/>
          <w:szCs w:val="22"/>
          <w:lang w:eastAsia="en-US"/>
        </w:rPr>
        <w:t> B</w:t>
      </w:r>
      <w:r w:rsidRPr="00CC69EC">
        <w:rPr>
          <w:rFonts w:eastAsia="TimesNewRoman"/>
          <w:szCs w:val="22"/>
          <w:lang w:eastAsia="en-US"/>
        </w:rPr>
        <w:t>ortezomibom</w:t>
      </w:r>
      <w:r w:rsidR="00DC765A">
        <w:rPr>
          <w:rFonts w:eastAsia="TimesNewRoman"/>
          <w:szCs w:val="22"/>
          <w:lang w:eastAsia="en-US"/>
        </w:rPr>
        <w:t xml:space="preserve"> Krka</w:t>
      </w:r>
      <w:r w:rsidRPr="00CC69EC">
        <w:rPr>
          <w:rFonts w:eastAsia="TimesNewRoman"/>
          <w:szCs w:val="22"/>
          <w:lang w:eastAsia="en-US"/>
        </w:rPr>
        <w:t>.</w:t>
      </w:r>
    </w:p>
    <w:p w14:paraId="45636119"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
          <w:szCs w:val="22"/>
          <w:lang w:eastAsia="en-US"/>
        </w:rPr>
        <w:t>Podáva sa deväť terapeutických cyklov tejto kombinovanej liečby.</w:t>
      </w:r>
    </w:p>
    <w:p w14:paraId="1090C571"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1CF32CDC" w14:textId="14B752A2" w:rsidR="00564D9B" w:rsidRDefault="00564D9B" w:rsidP="00564D9B">
      <w:pPr>
        <w:rPr>
          <w:rFonts w:eastAsia="TimesNewRoman,Italic"/>
          <w:i/>
          <w:iCs/>
          <w:szCs w:val="22"/>
          <w:lang w:eastAsia="en-US"/>
        </w:rPr>
      </w:pPr>
      <w:r w:rsidRPr="00CC69EC">
        <w:rPr>
          <w:rFonts w:eastAsia="TimesNewRoman,Italic"/>
          <w:i/>
          <w:iCs/>
          <w:szCs w:val="22"/>
          <w:lang w:eastAsia="en-US"/>
        </w:rPr>
        <w:t xml:space="preserve">Tabuľka 2: Odporúčané dávkovanie </w:t>
      </w:r>
      <w:r w:rsidR="00DC765A">
        <w:rPr>
          <w:rFonts w:eastAsia="TimesNewRoman,Italic"/>
          <w:i/>
          <w:iCs/>
          <w:szCs w:val="22"/>
          <w:lang w:eastAsia="en-US"/>
        </w:rPr>
        <w:t>B</w:t>
      </w:r>
      <w:r w:rsidRPr="00CC69EC">
        <w:rPr>
          <w:rFonts w:eastAsia="TimesNewRoman,Italic"/>
          <w:i/>
          <w:iCs/>
          <w:szCs w:val="22"/>
          <w:lang w:eastAsia="en-US"/>
        </w:rPr>
        <w:t>ortezomib</w:t>
      </w:r>
      <w:r w:rsidR="001D2720">
        <w:rPr>
          <w:rFonts w:eastAsia="TimesNewRoman,Italic"/>
          <w:i/>
          <w:iCs/>
          <w:szCs w:val="22"/>
          <w:lang w:eastAsia="en-US"/>
        </w:rPr>
        <w:t>u</w:t>
      </w:r>
      <w:r w:rsidRPr="00CC69EC">
        <w:rPr>
          <w:rFonts w:eastAsia="TimesNewRoman,Italic"/>
          <w:i/>
          <w:iCs/>
          <w:szCs w:val="22"/>
          <w:lang w:eastAsia="en-US"/>
        </w:rPr>
        <w:t xml:space="preserve"> </w:t>
      </w:r>
      <w:r w:rsidR="00DC765A">
        <w:rPr>
          <w:rFonts w:eastAsia="TimesNewRoman,Italic"/>
          <w:i/>
          <w:iCs/>
          <w:szCs w:val="22"/>
          <w:lang w:eastAsia="en-US"/>
        </w:rPr>
        <w:t xml:space="preserve">Krka </w:t>
      </w:r>
      <w:r w:rsidRPr="00CC69EC">
        <w:rPr>
          <w:rFonts w:eastAsia="TimesNewRoman,Italic"/>
          <w:i/>
          <w:iCs/>
          <w:szCs w:val="22"/>
          <w:lang w:eastAsia="en-US"/>
        </w:rPr>
        <w:t>v kombinácii s melfal</w:t>
      </w:r>
      <w:r>
        <w:rPr>
          <w:rFonts w:eastAsia="TimesNewRoman,Italic"/>
          <w:i/>
          <w:iCs/>
          <w:szCs w:val="22"/>
          <w:lang w:eastAsia="en-US"/>
        </w:rPr>
        <w:t>á</w:t>
      </w:r>
      <w:r w:rsidRPr="00CC69EC">
        <w:rPr>
          <w:rFonts w:eastAsia="TimesNewRoman,Italic"/>
          <w:i/>
          <w:iCs/>
          <w:szCs w:val="22"/>
          <w:lang w:eastAsia="en-US"/>
        </w:rPr>
        <w:t>nom a</w:t>
      </w:r>
      <w:r w:rsidR="00260574">
        <w:rPr>
          <w:rFonts w:eastAsia="TimesNewRoman,Italic"/>
          <w:i/>
          <w:iCs/>
          <w:szCs w:val="22"/>
          <w:lang w:eastAsia="en-US"/>
        </w:rPr>
        <w:t> </w:t>
      </w:r>
      <w:r w:rsidRPr="00CC69EC">
        <w:rPr>
          <w:rFonts w:eastAsia="TimesNewRoman,Italic"/>
          <w:i/>
          <w:iCs/>
          <w:szCs w:val="22"/>
          <w:lang w:eastAsia="en-US"/>
        </w:rPr>
        <w:t>prednizónom</w:t>
      </w:r>
    </w:p>
    <w:p w14:paraId="7E2ED51E" w14:textId="77777777" w:rsidR="00260574" w:rsidRDefault="00260574" w:rsidP="00564D9B">
      <w:pPr>
        <w:rPr>
          <w:rFonts w:eastAsia="TimesNewRoman,Italic"/>
          <w:i/>
          <w:iCs/>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9"/>
        <w:gridCol w:w="569"/>
        <w:gridCol w:w="647"/>
        <w:gridCol w:w="649"/>
        <w:gridCol w:w="647"/>
        <w:gridCol w:w="649"/>
        <w:gridCol w:w="729"/>
        <w:gridCol w:w="648"/>
        <w:gridCol w:w="650"/>
        <w:gridCol w:w="648"/>
        <w:gridCol w:w="650"/>
        <w:gridCol w:w="729"/>
      </w:tblGrid>
      <w:tr w:rsidR="00260574" w:rsidRPr="00260574" w14:paraId="49A67D08" w14:textId="77777777" w:rsidTr="00260574">
        <w:tc>
          <w:tcPr>
            <w:tcW w:w="5000" w:type="pct"/>
            <w:gridSpan w:val="13"/>
            <w:tcBorders>
              <w:top w:val="single" w:sz="12" w:space="0" w:color="auto"/>
              <w:bottom w:val="single" w:sz="12" w:space="0" w:color="auto"/>
            </w:tcBorders>
            <w:shd w:val="clear" w:color="auto" w:fill="auto"/>
          </w:tcPr>
          <w:p w14:paraId="44068844" w14:textId="64A1CFE1" w:rsidR="00260574" w:rsidRPr="00260574" w:rsidRDefault="00260574" w:rsidP="00260574">
            <w:pPr>
              <w:widowControl w:val="0"/>
              <w:tabs>
                <w:tab w:val="left" w:pos="1240"/>
              </w:tabs>
              <w:ind w:left="0" w:right="-20" w:firstLine="0"/>
              <w:jc w:val="center"/>
              <w:rPr>
                <w:b/>
                <w:szCs w:val="22"/>
                <w:lang w:val="en-US" w:eastAsia="en-US"/>
              </w:rPr>
            </w:pPr>
            <w:r w:rsidRPr="007B7F2C">
              <w:rPr>
                <w:b/>
                <w:bCs/>
                <w:szCs w:val="22"/>
              </w:rPr>
              <w:t>Bortezomib</w:t>
            </w:r>
            <w:r>
              <w:rPr>
                <w:b/>
                <w:bCs/>
                <w:szCs w:val="22"/>
              </w:rPr>
              <w:t xml:space="preserve"> Krka </w:t>
            </w:r>
            <w:r w:rsidRPr="007B7F2C">
              <w:rPr>
                <w:b/>
                <w:szCs w:val="22"/>
              </w:rPr>
              <w:t>dvakrát týždenne (1. – 4. cyklus)</w:t>
            </w:r>
          </w:p>
        </w:tc>
      </w:tr>
      <w:tr w:rsidR="00260574" w:rsidRPr="00260574" w14:paraId="070B9553" w14:textId="77777777" w:rsidTr="00260574">
        <w:tc>
          <w:tcPr>
            <w:tcW w:w="676" w:type="pct"/>
            <w:tcBorders>
              <w:top w:val="single" w:sz="12" w:space="0" w:color="auto"/>
            </w:tcBorders>
            <w:shd w:val="clear" w:color="auto" w:fill="auto"/>
          </w:tcPr>
          <w:p w14:paraId="13177E11" w14:textId="0A37E4D1" w:rsidR="00260574" w:rsidRPr="00260574" w:rsidRDefault="00260574" w:rsidP="00260574">
            <w:pPr>
              <w:widowControl w:val="0"/>
              <w:tabs>
                <w:tab w:val="left" w:pos="1240"/>
              </w:tabs>
              <w:ind w:left="0" w:right="-20" w:firstLine="0"/>
              <w:jc w:val="center"/>
              <w:rPr>
                <w:b/>
                <w:szCs w:val="22"/>
                <w:lang w:val="en-US" w:eastAsia="en-US"/>
              </w:rPr>
            </w:pPr>
            <w:r w:rsidRPr="00260574">
              <w:rPr>
                <w:b/>
                <w:bCs/>
                <w:szCs w:val="22"/>
              </w:rPr>
              <w:t>Týždeň</w:t>
            </w:r>
          </w:p>
        </w:tc>
        <w:tc>
          <w:tcPr>
            <w:tcW w:w="1363" w:type="pct"/>
            <w:gridSpan w:val="4"/>
            <w:tcBorders>
              <w:top w:val="single" w:sz="12" w:space="0" w:color="auto"/>
            </w:tcBorders>
            <w:shd w:val="clear" w:color="auto" w:fill="auto"/>
          </w:tcPr>
          <w:p w14:paraId="074C03B5"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1</w:t>
            </w:r>
          </w:p>
        </w:tc>
        <w:tc>
          <w:tcPr>
            <w:tcW w:w="725" w:type="pct"/>
            <w:gridSpan w:val="2"/>
            <w:tcBorders>
              <w:top w:val="single" w:sz="12" w:space="0" w:color="auto"/>
            </w:tcBorders>
            <w:shd w:val="clear" w:color="auto" w:fill="auto"/>
          </w:tcPr>
          <w:p w14:paraId="0A36ECB5"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2</w:t>
            </w:r>
          </w:p>
        </w:tc>
        <w:tc>
          <w:tcPr>
            <w:tcW w:w="395" w:type="pct"/>
            <w:tcBorders>
              <w:top w:val="single" w:sz="12" w:space="0" w:color="auto"/>
            </w:tcBorders>
            <w:shd w:val="clear" w:color="auto" w:fill="auto"/>
          </w:tcPr>
          <w:p w14:paraId="782386D6"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3</w:t>
            </w:r>
          </w:p>
        </w:tc>
        <w:tc>
          <w:tcPr>
            <w:tcW w:w="725" w:type="pct"/>
            <w:gridSpan w:val="2"/>
            <w:tcBorders>
              <w:top w:val="single" w:sz="12" w:space="0" w:color="auto"/>
            </w:tcBorders>
            <w:shd w:val="clear" w:color="auto" w:fill="auto"/>
          </w:tcPr>
          <w:p w14:paraId="05F8AA98"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4</w:t>
            </w:r>
          </w:p>
        </w:tc>
        <w:tc>
          <w:tcPr>
            <w:tcW w:w="725" w:type="pct"/>
            <w:gridSpan w:val="2"/>
            <w:tcBorders>
              <w:top w:val="single" w:sz="12" w:space="0" w:color="auto"/>
            </w:tcBorders>
            <w:shd w:val="clear" w:color="auto" w:fill="auto"/>
          </w:tcPr>
          <w:p w14:paraId="2FB53D98"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5</w:t>
            </w:r>
          </w:p>
        </w:tc>
        <w:tc>
          <w:tcPr>
            <w:tcW w:w="391" w:type="pct"/>
            <w:tcBorders>
              <w:top w:val="single" w:sz="12" w:space="0" w:color="auto"/>
            </w:tcBorders>
            <w:shd w:val="clear" w:color="auto" w:fill="auto"/>
          </w:tcPr>
          <w:p w14:paraId="5708C8C8"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6</w:t>
            </w:r>
          </w:p>
        </w:tc>
      </w:tr>
      <w:tr w:rsidR="00260574" w:rsidRPr="00260574" w14:paraId="217AA820" w14:textId="77777777" w:rsidTr="00260574">
        <w:tc>
          <w:tcPr>
            <w:tcW w:w="676" w:type="pct"/>
            <w:shd w:val="clear" w:color="auto" w:fill="auto"/>
          </w:tcPr>
          <w:p w14:paraId="626C3D82" w14:textId="79706BE2"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B</w:t>
            </w:r>
          </w:p>
          <w:p w14:paraId="6D809272" w14:textId="33E4FFC6"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(1</w:t>
            </w:r>
            <w:r>
              <w:rPr>
                <w:szCs w:val="22"/>
                <w:lang w:val="en-US" w:eastAsia="en-US"/>
              </w:rPr>
              <w:t>,</w:t>
            </w:r>
            <w:r w:rsidRPr="00260574">
              <w:rPr>
                <w:szCs w:val="22"/>
                <w:lang w:val="en-US" w:eastAsia="en-US"/>
              </w:rPr>
              <w:t>3 mg/m</w:t>
            </w:r>
            <w:r w:rsidRPr="00260574">
              <w:rPr>
                <w:szCs w:val="20"/>
                <w:vertAlign w:val="superscript"/>
                <w:lang w:val="en-US" w:eastAsia="sl-SI"/>
              </w:rPr>
              <w:t>2</w:t>
            </w:r>
            <w:r w:rsidRPr="00260574">
              <w:rPr>
                <w:szCs w:val="22"/>
                <w:lang w:val="en-US" w:eastAsia="en-US"/>
              </w:rPr>
              <w:t>)</w:t>
            </w:r>
          </w:p>
        </w:tc>
        <w:tc>
          <w:tcPr>
            <w:tcW w:w="319" w:type="pct"/>
            <w:shd w:val="clear" w:color="auto" w:fill="auto"/>
          </w:tcPr>
          <w:p w14:paraId="787F00AB" w14:textId="1092716F"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1</w:t>
            </w:r>
            <w:r>
              <w:rPr>
                <w:szCs w:val="22"/>
                <w:lang w:val="en-US" w:eastAsia="en-US"/>
              </w:rPr>
              <w:t>. deň</w:t>
            </w:r>
          </w:p>
        </w:tc>
        <w:tc>
          <w:tcPr>
            <w:tcW w:w="319" w:type="pct"/>
            <w:shd w:val="clear" w:color="auto" w:fill="auto"/>
          </w:tcPr>
          <w:p w14:paraId="3B4997A2"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62" w:type="pct"/>
            <w:shd w:val="clear" w:color="auto" w:fill="auto"/>
          </w:tcPr>
          <w:p w14:paraId="114AF0E7"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62" w:type="pct"/>
            <w:shd w:val="clear" w:color="auto" w:fill="auto"/>
          </w:tcPr>
          <w:p w14:paraId="03089999" w14:textId="51ECD4B0"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4. deň</w:t>
            </w:r>
          </w:p>
        </w:tc>
        <w:tc>
          <w:tcPr>
            <w:tcW w:w="362" w:type="pct"/>
            <w:shd w:val="clear" w:color="auto" w:fill="auto"/>
          </w:tcPr>
          <w:p w14:paraId="7BF94796" w14:textId="71952877"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8. deň</w:t>
            </w:r>
          </w:p>
        </w:tc>
        <w:tc>
          <w:tcPr>
            <w:tcW w:w="362" w:type="pct"/>
            <w:shd w:val="clear" w:color="auto" w:fill="auto"/>
          </w:tcPr>
          <w:p w14:paraId="253C50DD" w14:textId="2BD890FD"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11. deň</w:t>
            </w:r>
          </w:p>
        </w:tc>
        <w:tc>
          <w:tcPr>
            <w:tcW w:w="395" w:type="pct"/>
            <w:shd w:val="clear" w:color="auto" w:fill="auto"/>
          </w:tcPr>
          <w:p w14:paraId="15F6F326" w14:textId="433F0870"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pauza</w:t>
            </w:r>
          </w:p>
        </w:tc>
        <w:tc>
          <w:tcPr>
            <w:tcW w:w="362" w:type="pct"/>
            <w:shd w:val="clear" w:color="auto" w:fill="auto"/>
          </w:tcPr>
          <w:p w14:paraId="3DDAA982" w14:textId="2F4F85FE"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22. deň</w:t>
            </w:r>
          </w:p>
        </w:tc>
        <w:tc>
          <w:tcPr>
            <w:tcW w:w="362" w:type="pct"/>
            <w:shd w:val="clear" w:color="auto" w:fill="auto"/>
          </w:tcPr>
          <w:p w14:paraId="08A5BC9E" w14:textId="29AD8723"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25. deň</w:t>
            </w:r>
          </w:p>
        </w:tc>
        <w:tc>
          <w:tcPr>
            <w:tcW w:w="362" w:type="pct"/>
            <w:shd w:val="clear" w:color="auto" w:fill="auto"/>
          </w:tcPr>
          <w:p w14:paraId="5941AB73" w14:textId="7A5D576B"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29. deň</w:t>
            </w:r>
          </w:p>
        </w:tc>
        <w:tc>
          <w:tcPr>
            <w:tcW w:w="362" w:type="pct"/>
            <w:shd w:val="clear" w:color="auto" w:fill="auto"/>
          </w:tcPr>
          <w:p w14:paraId="475B4181" w14:textId="1326AF27"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32. deň</w:t>
            </w:r>
          </w:p>
        </w:tc>
        <w:tc>
          <w:tcPr>
            <w:tcW w:w="391" w:type="pct"/>
            <w:shd w:val="clear" w:color="auto" w:fill="auto"/>
          </w:tcPr>
          <w:p w14:paraId="12ECCCD4" w14:textId="3C172FE1"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pauza</w:t>
            </w:r>
          </w:p>
        </w:tc>
      </w:tr>
      <w:tr w:rsidR="00260574" w:rsidRPr="00260574" w14:paraId="151F11A0" w14:textId="77777777" w:rsidTr="00260574">
        <w:tc>
          <w:tcPr>
            <w:tcW w:w="676" w:type="pct"/>
            <w:tcBorders>
              <w:bottom w:val="single" w:sz="12" w:space="0" w:color="auto"/>
            </w:tcBorders>
            <w:shd w:val="clear" w:color="auto" w:fill="auto"/>
          </w:tcPr>
          <w:p w14:paraId="7990958F"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M (9 mg/m</w:t>
            </w:r>
            <w:r w:rsidRPr="00260574">
              <w:rPr>
                <w:szCs w:val="20"/>
                <w:vertAlign w:val="superscript"/>
                <w:lang w:val="en-US" w:eastAsia="sl-SI"/>
              </w:rPr>
              <w:t>2</w:t>
            </w:r>
            <w:r w:rsidRPr="00260574">
              <w:rPr>
                <w:szCs w:val="22"/>
                <w:lang w:val="en-US" w:eastAsia="en-US"/>
              </w:rPr>
              <w:t>)</w:t>
            </w:r>
          </w:p>
          <w:p w14:paraId="3AC68928"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P (60 mg/m</w:t>
            </w:r>
            <w:r w:rsidRPr="00260574">
              <w:rPr>
                <w:szCs w:val="20"/>
                <w:vertAlign w:val="superscript"/>
                <w:lang w:val="en-US" w:eastAsia="sl-SI"/>
              </w:rPr>
              <w:t>2</w:t>
            </w:r>
            <w:r w:rsidRPr="00260574">
              <w:rPr>
                <w:szCs w:val="22"/>
                <w:lang w:val="en-US" w:eastAsia="en-US"/>
              </w:rPr>
              <w:t>)</w:t>
            </w:r>
          </w:p>
        </w:tc>
        <w:tc>
          <w:tcPr>
            <w:tcW w:w="319" w:type="pct"/>
            <w:tcBorders>
              <w:bottom w:val="single" w:sz="12" w:space="0" w:color="auto"/>
            </w:tcBorders>
            <w:shd w:val="clear" w:color="auto" w:fill="auto"/>
          </w:tcPr>
          <w:p w14:paraId="6D88A742" w14:textId="2FB8AAA3"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1</w:t>
            </w:r>
            <w:r>
              <w:rPr>
                <w:szCs w:val="22"/>
                <w:lang w:val="en-US" w:eastAsia="en-US"/>
              </w:rPr>
              <w:t>. deň</w:t>
            </w:r>
          </w:p>
        </w:tc>
        <w:tc>
          <w:tcPr>
            <w:tcW w:w="319" w:type="pct"/>
            <w:tcBorders>
              <w:bottom w:val="single" w:sz="12" w:space="0" w:color="auto"/>
            </w:tcBorders>
            <w:shd w:val="clear" w:color="auto" w:fill="auto"/>
          </w:tcPr>
          <w:p w14:paraId="2E85861D" w14:textId="214A6ACA"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2. deň</w:t>
            </w:r>
          </w:p>
        </w:tc>
        <w:tc>
          <w:tcPr>
            <w:tcW w:w="362" w:type="pct"/>
            <w:tcBorders>
              <w:bottom w:val="single" w:sz="12" w:space="0" w:color="auto"/>
            </w:tcBorders>
            <w:shd w:val="clear" w:color="auto" w:fill="auto"/>
          </w:tcPr>
          <w:p w14:paraId="5376D92E" w14:textId="06CFDE80"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3. deň</w:t>
            </w:r>
          </w:p>
        </w:tc>
        <w:tc>
          <w:tcPr>
            <w:tcW w:w="362" w:type="pct"/>
            <w:tcBorders>
              <w:bottom w:val="single" w:sz="12" w:space="0" w:color="auto"/>
            </w:tcBorders>
            <w:shd w:val="clear" w:color="auto" w:fill="auto"/>
          </w:tcPr>
          <w:p w14:paraId="1176A0F7" w14:textId="2373602A"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4. deň</w:t>
            </w:r>
          </w:p>
        </w:tc>
        <w:tc>
          <w:tcPr>
            <w:tcW w:w="362" w:type="pct"/>
            <w:tcBorders>
              <w:bottom w:val="single" w:sz="12" w:space="0" w:color="auto"/>
            </w:tcBorders>
            <w:shd w:val="clear" w:color="auto" w:fill="auto"/>
          </w:tcPr>
          <w:p w14:paraId="0F09E2C0"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62" w:type="pct"/>
            <w:tcBorders>
              <w:bottom w:val="single" w:sz="12" w:space="0" w:color="auto"/>
            </w:tcBorders>
            <w:shd w:val="clear" w:color="auto" w:fill="auto"/>
          </w:tcPr>
          <w:p w14:paraId="094C8A03"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95" w:type="pct"/>
            <w:tcBorders>
              <w:bottom w:val="single" w:sz="12" w:space="0" w:color="auto"/>
            </w:tcBorders>
            <w:shd w:val="clear" w:color="auto" w:fill="auto"/>
          </w:tcPr>
          <w:p w14:paraId="585759A6" w14:textId="25B58CFB"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pauza</w:t>
            </w:r>
          </w:p>
        </w:tc>
        <w:tc>
          <w:tcPr>
            <w:tcW w:w="362" w:type="pct"/>
            <w:tcBorders>
              <w:bottom w:val="single" w:sz="12" w:space="0" w:color="auto"/>
            </w:tcBorders>
            <w:shd w:val="clear" w:color="auto" w:fill="auto"/>
          </w:tcPr>
          <w:p w14:paraId="2A1716DD"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62" w:type="pct"/>
            <w:tcBorders>
              <w:bottom w:val="single" w:sz="12" w:space="0" w:color="auto"/>
            </w:tcBorders>
            <w:shd w:val="clear" w:color="auto" w:fill="auto"/>
          </w:tcPr>
          <w:p w14:paraId="52D4E2CB"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62" w:type="pct"/>
            <w:tcBorders>
              <w:bottom w:val="single" w:sz="12" w:space="0" w:color="auto"/>
            </w:tcBorders>
            <w:shd w:val="clear" w:color="auto" w:fill="auto"/>
          </w:tcPr>
          <w:p w14:paraId="4C0D5CAA"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62" w:type="pct"/>
            <w:tcBorders>
              <w:bottom w:val="single" w:sz="12" w:space="0" w:color="auto"/>
            </w:tcBorders>
            <w:shd w:val="clear" w:color="auto" w:fill="auto"/>
          </w:tcPr>
          <w:p w14:paraId="37A8B435"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91" w:type="pct"/>
            <w:tcBorders>
              <w:bottom w:val="single" w:sz="12" w:space="0" w:color="auto"/>
            </w:tcBorders>
            <w:shd w:val="clear" w:color="auto" w:fill="auto"/>
          </w:tcPr>
          <w:p w14:paraId="5E1635E9" w14:textId="40162379"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pauza</w:t>
            </w:r>
          </w:p>
        </w:tc>
      </w:tr>
      <w:tr w:rsidR="00260574" w:rsidRPr="00260574" w14:paraId="1E4F6986" w14:textId="77777777" w:rsidTr="00260574">
        <w:tc>
          <w:tcPr>
            <w:tcW w:w="5000" w:type="pct"/>
            <w:gridSpan w:val="13"/>
            <w:tcBorders>
              <w:top w:val="single" w:sz="12" w:space="0" w:color="auto"/>
              <w:bottom w:val="single" w:sz="12" w:space="0" w:color="auto"/>
            </w:tcBorders>
            <w:shd w:val="clear" w:color="auto" w:fill="auto"/>
          </w:tcPr>
          <w:p w14:paraId="63F3E2C4" w14:textId="07B7186C" w:rsidR="00260574" w:rsidRPr="00260574" w:rsidRDefault="00260574" w:rsidP="00260574">
            <w:pPr>
              <w:widowControl w:val="0"/>
              <w:tabs>
                <w:tab w:val="left" w:pos="1240"/>
              </w:tabs>
              <w:ind w:left="0" w:right="-20" w:firstLine="0"/>
              <w:jc w:val="center"/>
              <w:rPr>
                <w:b/>
                <w:szCs w:val="22"/>
                <w:lang w:val="en-US" w:eastAsia="en-US"/>
              </w:rPr>
            </w:pPr>
            <w:r w:rsidRPr="007B7F2C">
              <w:rPr>
                <w:b/>
                <w:bCs/>
                <w:szCs w:val="22"/>
              </w:rPr>
              <w:t>Bortezomib</w:t>
            </w:r>
            <w:r>
              <w:rPr>
                <w:b/>
                <w:bCs/>
                <w:szCs w:val="22"/>
              </w:rPr>
              <w:t xml:space="preserve"> Krka</w:t>
            </w:r>
            <w:r w:rsidRPr="007B7F2C">
              <w:rPr>
                <w:b/>
                <w:bCs/>
                <w:szCs w:val="22"/>
              </w:rPr>
              <w:t xml:space="preserve"> </w:t>
            </w:r>
            <w:r w:rsidRPr="007B7F2C">
              <w:rPr>
                <w:b/>
                <w:szCs w:val="22"/>
              </w:rPr>
              <w:t>jedenkrát týždenne (5. – 9. cyklus)</w:t>
            </w:r>
          </w:p>
        </w:tc>
      </w:tr>
      <w:tr w:rsidR="00260574" w:rsidRPr="00260574" w14:paraId="093C657A" w14:textId="77777777" w:rsidTr="00260574">
        <w:tc>
          <w:tcPr>
            <w:tcW w:w="676" w:type="pct"/>
            <w:tcBorders>
              <w:top w:val="single" w:sz="12" w:space="0" w:color="auto"/>
            </w:tcBorders>
            <w:shd w:val="clear" w:color="auto" w:fill="auto"/>
          </w:tcPr>
          <w:p w14:paraId="678FF7DE" w14:textId="1B33D669" w:rsidR="00260574" w:rsidRPr="00260574" w:rsidRDefault="00260574" w:rsidP="00260574">
            <w:pPr>
              <w:widowControl w:val="0"/>
              <w:tabs>
                <w:tab w:val="left" w:pos="1240"/>
              </w:tabs>
              <w:ind w:left="0" w:right="-20" w:firstLine="0"/>
              <w:jc w:val="center"/>
              <w:rPr>
                <w:b/>
                <w:szCs w:val="22"/>
                <w:lang w:val="en-US" w:eastAsia="en-US"/>
              </w:rPr>
            </w:pPr>
            <w:r w:rsidRPr="00260574">
              <w:rPr>
                <w:b/>
                <w:bCs/>
                <w:szCs w:val="22"/>
              </w:rPr>
              <w:t>Týždeň</w:t>
            </w:r>
          </w:p>
        </w:tc>
        <w:tc>
          <w:tcPr>
            <w:tcW w:w="1363" w:type="pct"/>
            <w:gridSpan w:val="4"/>
            <w:tcBorders>
              <w:top w:val="single" w:sz="12" w:space="0" w:color="auto"/>
            </w:tcBorders>
            <w:shd w:val="clear" w:color="auto" w:fill="auto"/>
          </w:tcPr>
          <w:p w14:paraId="1924F6B6"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1</w:t>
            </w:r>
          </w:p>
        </w:tc>
        <w:tc>
          <w:tcPr>
            <w:tcW w:w="725" w:type="pct"/>
            <w:gridSpan w:val="2"/>
            <w:tcBorders>
              <w:top w:val="single" w:sz="12" w:space="0" w:color="auto"/>
            </w:tcBorders>
            <w:shd w:val="clear" w:color="auto" w:fill="auto"/>
          </w:tcPr>
          <w:p w14:paraId="3A196FA5"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2</w:t>
            </w:r>
          </w:p>
        </w:tc>
        <w:tc>
          <w:tcPr>
            <w:tcW w:w="395" w:type="pct"/>
            <w:tcBorders>
              <w:top w:val="single" w:sz="12" w:space="0" w:color="auto"/>
            </w:tcBorders>
            <w:shd w:val="clear" w:color="auto" w:fill="auto"/>
          </w:tcPr>
          <w:p w14:paraId="7CDCEA60"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3</w:t>
            </w:r>
          </w:p>
        </w:tc>
        <w:tc>
          <w:tcPr>
            <w:tcW w:w="725" w:type="pct"/>
            <w:gridSpan w:val="2"/>
            <w:tcBorders>
              <w:top w:val="single" w:sz="12" w:space="0" w:color="auto"/>
            </w:tcBorders>
            <w:shd w:val="clear" w:color="auto" w:fill="auto"/>
          </w:tcPr>
          <w:p w14:paraId="4218521F"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4</w:t>
            </w:r>
          </w:p>
        </w:tc>
        <w:tc>
          <w:tcPr>
            <w:tcW w:w="725" w:type="pct"/>
            <w:gridSpan w:val="2"/>
            <w:tcBorders>
              <w:top w:val="single" w:sz="12" w:space="0" w:color="auto"/>
            </w:tcBorders>
            <w:shd w:val="clear" w:color="auto" w:fill="auto"/>
          </w:tcPr>
          <w:p w14:paraId="3A1342CF"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5</w:t>
            </w:r>
          </w:p>
        </w:tc>
        <w:tc>
          <w:tcPr>
            <w:tcW w:w="391" w:type="pct"/>
            <w:tcBorders>
              <w:top w:val="single" w:sz="12" w:space="0" w:color="auto"/>
            </w:tcBorders>
            <w:shd w:val="clear" w:color="auto" w:fill="auto"/>
          </w:tcPr>
          <w:p w14:paraId="0FF6C6FC"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6</w:t>
            </w:r>
          </w:p>
        </w:tc>
      </w:tr>
      <w:tr w:rsidR="00260574" w:rsidRPr="00260574" w14:paraId="0ABD8399" w14:textId="77777777" w:rsidTr="00260574">
        <w:tc>
          <w:tcPr>
            <w:tcW w:w="676" w:type="pct"/>
            <w:tcBorders>
              <w:bottom w:val="single" w:sz="4" w:space="0" w:color="auto"/>
            </w:tcBorders>
            <w:shd w:val="clear" w:color="auto" w:fill="auto"/>
          </w:tcPr>
          <w:p w14:paraId="6D0DA813" w14:textId="2EB540BA"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B</w:t>
            </w:r>
          </w:p>
          <w:p w14:paraId="3FF5C7EE" w14:textId="41883BD5"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(1</w:t>
            </w:r>
            <w:r>
              <w:rPr>
                <w:szCs w:val="22"/>
                <w:lang w:val="en-US" w:eastAsia="en-US"/>
              </w:rPr>
              <w:t>,</w:t>
            </w:r>
            <w:r w:rsidRPr="00260574">
              <w:rPr>
                <w:szCs w:val="22"/>
                <w:lang w:val="en-US" w:eastAsia="en-US"/>
              </w:rPr>
              <w:t>3 mg/m</w:t>
            </w:r>
            <w:r w:rsidRPr="00260574">
              <w:rPr>
                <w:szCs w:val="20"/>
                <w:vertAlign w:val="superscript"/>
                <w:lang w:val="en-US" w:eastAsia="sl-SI"/>
              </w:rPr>
              <w:t>2</w:t>
            </w:r>
            <w:r w:rsidRPr="00260574">
              <w:rPr>
                <w:szCs w:val="22"/>
                <w:lang w:val="en-US" w:eastAsia="en-US"/>
              </w:rPr>
              <w:t>)</w:t>
            </w:r>
          </w:p>
        </w:tc>
        <w:tc>
          <w:tcPr>
            <w:tcW w:w="319" w:type="pct"/>
            <w:tcBorders>
              <w:bottom w:val="single" w:sz="4" w:space="0" w:color="auto"/>
            </w:tcBorders>
            <w:shd w:val="clear" w:color="auto" w:fill="auto"/>
          </w:tcPr>
          <w:p w14:paraId="5303C602" w14:textId="71DC1428" w:rsidR="00260574" w:rsidRPr="00260574" w:rsidRDefault="00260574" w:rsidP="00260574">
            <w:pPr>
              <w:widowControl w:val="0"/>
              <w:ind w:left="0" w:firstLine="0"/>
              <w:jc w:val="center"/>
              <w:rPr>
                <w:szCs w:val="22"/>
                <w:lang w:val="sl-SI" w:eastAsia="sl-SI"/>
              </w:rPr>
            </w:pPr>
            <w:r w:rsidRPr="00260574">
              <w:rPr>
                <w:szCs w:val="22"/>
                <w:lang w:val="en-US" w:eastAsia="en-US"/>
              </w:rPr>
              <w:t>1</w:t>
            </w:r>
            <w:r>
              <w:rPr>
                <w:szCs w:val="22"/>
                <w:lang w:val="en-US" w:eastAsia="en-US"/>
              </w:rPr>
              <w:t>. deň</w:t>
            </w:r>
          </w:p>
        </w:tc>
        <w:tc>
          <w:tcPr>
            <w:tcW w:w="319" w:type="pct"/>
            <w:tcBorders>
              <w:bottom w:val="single" w:sz="4" w:space="0" w:color="auto"/>
            </w:tcBorders>
            <w:shd w:val="clear" w:color="auto" w:fill="auto"/>
          </w:tcPr>
          <w:p w14:paraId="52D01EAE" w14:textId="77777777" w:rsidR="00260574" w:rsidRPr="00260574" w:rsidRDefault="00260574" w:rsidP="00260574">
            <w:pPr>
              <w:widowControl w:val="0"/>
              <w:ind w:left="0" w:firstLine="0"/>
              <w:jc w:val="center"/>
              <w:rPr>
                <w:szCs w:val="22"/>
                <w:lang w:val="sl-SI" w:eastAsia="sl-SI"/>
              </w:rPr>
            </w:pPr>
            <w:r w:rsidRPr="00260574">
              <w:rPr>
                <w:szCs w:val="22"/>
                <w:lang w:val="sl-SI" w:eastAsia="sl-SI"/>
              </w:rPr>
              <w:t>--</w:t>
            </w:r>
          </w:p>
        </w:tc>
        <w:tc>
          <w:tcPr>
            <w:tcW w:w="362" w:type="pct"/>
            <w:tcBorders>
              <w:bottom w:val="single" w:sz="4" w:space="0" w:color="auto"/>
            </w:tcBorders>
            <w:shd w:val="clear" w:color="auto" w:fill="auto"/>
          </w:tcPr>
          <w:p w14:paraId="1535DEE4" w14:textId="77777777" w:rsidR="00260574" w:rsidRPr="00260574" w:rsidRDefault="00260574" w:rsidP="00260574">
            <w:pPr>
              <w:widowControl w:val="0"/>
              <w:ind w:left="0" w:firstLine="0"/>
              <w:jc w:val="center"/>
              <w:rPr>
                <w:szCs w:val="22"/>
                <w:lang w:val="sl-SI" w:eastAsia="sl-SI"/>
              </w:rPr>
            </w:pPr>
            <w:r w:rsidRPr="00260574">
              <w:rPr>
                <w:szCs w:val="22"/>
                <w:lang w:val="sl-SI" w:eastAsia="sl-SI"/>
              </w:rPr>
              <w:t>--</w:t>
            </w:r>
          </w:p>
        </w:tc>
        <w:tc>
          <w:tcPr>
            <w:tcW w:w="362" w:type="pct"/>
            <w:tcBorders>
              <w:bottom w:val="single" w:sz="4" w:space="0" w:color="auto"/>
            </w:tcBorders>
            <w:shd w:val="clear" w:color="auto" w:fill="auto"/>
          </w:tcPr>
          <w:p w14:paraId="4EB496F6" w14:textId="77777777" w:rsidR="00260574" w:rsidRPr="00260574" w:rsidRDefault="00260574" w:rsidP="00260574">
            <w:pPr>
              <w:widowControl w:val="0"/>
              <w:ind w:left="0" w:firstLine="0"/>
              <w:jc w:val="center"/>
              <w:rPr>
                <w:szCs w:val="22"/>
                <w:lang w:val="sl-SI" w:eastAsia="sl-SI"/>
              </w:rPr>
            </w:pPr>
            <w:r w:rsidRPr="00260574">
              <w:rPr>
                <w:szCs w:val="22"/>
                <w:lang w:val="sl-SI" w:eastAsia="sl-SI"/>
              </w:rPr>
              <w:t>--</w:t>
            </w:r>
          </w:p>
        </w:tc>
        <w:tc>
          <w:tcPr>
            <w:tcW w:w="725" w:type="pct"/>
            <w:gridSpan w:val="2"/>
            <w:tcBorders>
              <w:bottom w:val="single" w:sz="4" w:space="0" w:color="auto"/>
            </w:tcBorders>
            <w:shd w:val="clear" w:color="auto" w:fill="auto"/>
          </w:tcPr>
          <w:p w14:paraId="011035CF" w14:textId="27EDC53A"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8. deň</w:t>
            </w:r>
          </w:p>
        </w:tc>
        <w:tc>
          <w:tcPr>
            <w:tcW w:w="395" w:type="pct"/>
            <w:tcBorders>
              <w:bottom w:val="single" w:sz="4" w:space="0" w:color="auto"/>
            </w:tcBorders>
            <w:shd w:val="clear" w:color="auto" w:fill="auto"/>
          </w:tcPr>
          <w:p w14:paraId="65ED02E4" w14:textId="741A0815"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pauza</w:t>
            </w:r>
          </w:p>
        </w:tc>
        <w:tc>
          <w:tcPr>
            <w:tcW w:w="725" w:type="pct"/>
            <w:gridSpan w:val="2"/>
            <w:tcBorders>
              <w:bottom w:val="single" w:sz="4" w:space="0" w:color="auto"/>
            </w:tcBorders>
            <w:shd w:val="clear" w:color="auto" w:fill="auto"/>
          </w:tcPr>
          <w:p w14:paraId="5094C39D" w14:textId="39A1E5FD"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22. deň</w:t>
            </w:r>
          </w:p>
        </w:tc>
        <w:tc>
          <w:tcPr>
            <w:tcW w:w="725" w:type="pct"/>
            <w:gridSpan w:val="2"/>
            <w:tcBorders>
              <w:bottom w:val="single" w:sz="4" w:space="0" w:color="auto"/>
            </w:tcBorders>
            <w:shd w:val="clear" w:color="auto" w:fill="auto"/>
          </w:tcPr>
          <w:p w14:paraId="76213AB8" w14:textId="78CDC8F3"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29. deň</w:t>
            </w:r>
          </w:p>
        </w:tc>
        <w:tc>
          <w:tcPr>
            <w:tcW w:w="391" w:type="pct"/>
            <w:tcBorders>
              <w:bottom w:val="single" w:sz="4" w:space="0" w:color="auto"/>
            </w:tcBorders>
            <w:shd w:val="clear" w:color="auto" w:fill="auto"/>
          </w:tcPr>
          <w:p w14:paraId="73D69921" w14:textId="512F6131"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pauza</w:t>
            </w:r>
          </w:p>
        </w:tc>
      </w:tr>
      <w:tr w:rsidR="00260574" w:rsidRPr="00260574" w14:paraId="3F49C638" w14:textId="77777777" w:rsidTr="00260574">
        <w:tc>
          <w:tcPr>
            <w:tcW w:w="676" w:type="pct"/>
            <w:tcBorders>
              <w:bottom w:val="single" w:sz="12" w:space="0" w:color="auto"/>
            </w:tcBorders>
            <w:shd w:val="clear" w:color="auto" w:fill="auto"/>
          </w:tcPr>
          <w:p w14:paraId="236E3AC2"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M (9 mg/m</w:t>
            </w:r>
            <w:r w:rsidRPr="00260574">
              <w:rPr>
                <w:szCs w:val="20"/>
                <w:vertAlign w:val="superscript"/>
                <w:lang w:val="en-US" w:eastAsia="sl-SI"/>
              </w:rPr>
              <w:t>2</w:t>
            </w:r>
            <w:r w:rsidRPr="00260574">
              <w:rPr>
                <w:szCs w:val="22"/>
                <w:lang w:val="en-US" w:eastAsia="en-US"/>
              </w:rPr>
              <w:t>)</w:t>
            </w:r>
          </w:p>
          <w:p w14:paraId="56D0E477"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P (60 mg/m</w:t>
            </w:r>
            <w:r w:rsidRPr="00260574">
              <w:rPr>
                <w:position w:val="9"/>
                <w:sz w:val="14"/>
                <w:szCs w:val="14"/>
                <w:lang w:val="sl-SI" w:eastAsia="sl-SI"/>
              </w:rPr>
              <w:t>2</w:t>
            </w:r>
            <w:r w:rsidRPr="00260574">
              <w:rPr>
                <w:szCs w:val="22"/>
                <w:lang w:val="en-US" w:eastAsia="en-US"/>
              </w:rPr>
              <w:t>)</w:t>
            </w:r>
          </w:p>
        </w:tc>
        <w:tc>
          <w:tcPr>
            <w:tcW w:w="319" w:type="pct"/>
            <w:tcBorders>
              <w:bottom w:val="single" w:sz="12" w:space="0" w:color="auto"/>
            </w:tcBorders>
            <w:shd w:val="clear" w:color="auto" w:fill="auto"/>
          </w:tcPr>
          <w:p w14:paraId="26D987B8" w14:textId="09078CD9" w:rsidR="00260574" w:rsidRPr="00260574" w:rsidRDefault="00260574" w:rsidP="00260574">
            <w:pPr>
              <w:widowControl w:val="0"/>
              <w:ind w:left="0" w:firstLine="0"/>
              <w:jc w:val="center"/>
              <w:rPr>
                <w:szCs w:val="22"/>
                <w:lang w:val="sl-SI" w:eastAsia="sl-SI"/>
              </w:rPr>
            </w:pPr>
            <w:r w:rsidRPr="00260574">
              <w:rPr>
                <w:szCs w:val="22"/>
                <w:lang w:val="en-US" w:eastAsia="en-US"/>
              </w:rPr>
              <w:t>1</w:t>
            </w:r>
            <w:r>
              <w:rPr>
                <w:szCs w:val="22"/>
                <w:lang w:val="en-US" w:eastAsia="en-US"/>
              </w:rPr>
              <w:t>. deň</w:t>
            </w:r>
          </w:p>
        </w:tc>
        <w:tc>
          <w:tcPr>
            <w:tcW w:w="319" w:type="pct"/>
            <w:tcBorders>
              <w:bottom w:val="single" w:sz="12" w:space="0" w:color="auto"/>
            </w:tcBorders>
            <w:shd w:val="clear" w:color="auto" w:fill="auto"/>
          </w:tcPr>
          <w:p w14:paraId="02385332" w14:textId="09596BA8" w:rsidR="00260574" w:rsidRPr="00260574" w:rsidRDefault="00260574" w:rsidP="00260574">
            <w:pPr>
              <w:widowControl w:val="0"/>
              <w:ind w:left="0" w:firstLine="0"/>
              <w:jc w:val="center"/>
              <w:rPr>
                <w:szCs w:val="22"/>
                <w:lang w:val="sl-SI" w:eastAsia="sl-SI"/>
              </w:rPr>
            </w:pPr>
            <w:r>
              <w:rPr>
                <w:szCs w:val="22"/>
                <w:lang w:val="en-US" w:eastAsia="en-US"/>
              </w:rPr>
              <w:t>2</w:t>
            </w:r>
            <w:r w:rsidRPr="008C359B">
              <w:rPr>
                <w:szCs w:val="22"/>
                <w:lang w:val="en-US" w:eastAsia="en-US"/>
              </w:rPr>
              <w:t>. deň</w:t>
            </w:r>
          </w:p>
        </w:tc>
        <w:tc>
          <w:tcPr>
            <w:tcW w:w="362" w:type="pct"/>
            <w:tcBorders>
              <w:bottom w:val="single" w:sz="12" w:space="0" w:color="auto"/>
            </w:tcBorders>
            <w:shd w:val="clear" w:color="auto" w:fill="auto"/>
          </w:tcPr>
          <w:p w14:paraId="45DC653A" w14:textId="46E98050" w:rsidR="00260574" w:rsidRPr="00260574" w:rsidRDefault="00260574" w:rsidP="00260574">
            <w:pPr>
              <w:widowControl w:val="0"/>
              <w:ind w:left="0" w:firstLine="0"/>
              <w:jc w:val="center"/>
              <w:rPr>
                <w:szCs w:val="22"/>
                <w:lang w:val="sl-SI" w:eastAsia="sl-SI"/>
              </w:rPr>
            </w:pPr>
            <w:r>
              <w:rPr>
                <w:szCs w:val="22"/>
                <w:lang w:val="en-US" w:eastAsia="en-US"/>
              </w:rPr>
              <w:t>3</w:t>
            </w:r>
            <w:r w:rsidRPr="008C359B">
              <w:rPr>
                <w:szCs w:val="22"/>
                <w:lang w:val="en-US" w:eastAsia="en-US"/>
              </w:rPr>
              <w:t>. deň</w:t>
            </w:r>
          </w:p>
        </w:tc>
        <w:tc>
          <w:tcPr>
            <w:tcW w:w="362" w:type="pct"/>
            <w:tcBorders>
              <w:bottom w:val="single" w:sz="12" w:space="0" w:color="auto"/>
            </w:tcBorders>
            <w:shd w:val="clear" w:color="auto" w:fill="auto"/>
          </w:tcPr>
          <w:p w14:paraId="33244787" w14:textId="3666AFB7" w:rsidR="00260574" w:rsidRPr="00260574" w:rsidRDefault="00260574" w:rsidP="00260574">
            <w:pPr>
              <w:widowControl w:val="0"/>
              <w:ind w:left="0" w:firstLine="0"/>
              <w:jc w:val="center"/>
              <w:rPr>
                <w:szCs w:val="22"/>
                <w:lang w:val="sl-SI" w:eastAsia="sl-SI"/>
              </w:rPr>
            </w:pPr>
            <w:r>
              <w:rPr>
                <w:szCs w:val="22"/>
                <w:lang w:val="en-US" w:eastAsia="en-US"/>
              </w:rPr>
              <w:t>4</w:t>
            </w:r>
            <w:r w:rsidRPr="008C359B">
              <w:rPr>
                <w:szCs w:val="22"/>
                <w:lang w:val="en-US" w:eastAsia="en-US"/>
              </w:rPr>
              <w:t>. deň</w:t>
            </w:r>
          </w:p>
        </w:tc>
        <w:tc>
          <w:tcPr>
            <w:tcW w:w="725" w:type="pct"/>
            <w:gridSpan w:val="2"/>
            <w:tcBorders>
              <w:bottom w:val="single" w:sz="12" w:space="0" w:color="auto"/>
            </w:tcBorders>
            <w:shd w:val="clear" w:color="auto" w:fill="auto"/>
          </w:tcPr>
          <w:p w14:paraId="11D8CE47"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95" w:type="pct"/>
            <w:tcBorders>
              <w:bottom w:val="single" w:sz="12" w:space="0" w:color="auto"/>
            </w:tcBorders>
            <w:shd w:val="clear" w:color="auto" w:fill="auto"/>
          </w:tcPr>
          <w:p w14:paraId="456E312A" w14:textId="2BEC4CA1"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pauza</w:t>
            </w:r>
          </w:p>
        </w:tc>
        <w:tc>
          <w:tcPr>
            <w:tcW w:w="725" w:type="pct"/>
            <w:gridSpan w:val="2"/>
            <w:tcBorders>
              <w:bottom w:val="single" w:sz="12" w:space="0" w:color="auto"/>
            </w:tcBorders>
            <w:shd w:val="clear" w:color="auto" w:fill="auto"/>
          </w:tcPr>
          <w:p w14:paraId="2F60FB04"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725" w:type="pct"/>
            <w:gridSpan w:val="2"/>
            <w:tcBorders>
              <w:bottom w:val="single" w:sz="12" w:space="0" w:color="auto"/>
            </w:tcBorders>
            <w:shd w:val="clear" w:color="auto" w:fill="auto"/>
          </w:tcPr>
          <w:p w14:paraId="368A8B5D" w14:textId="77777777" w:rsidR="00260574" w:rsidRPr="00260574" w:rsidRDefault="00260574" w:rsidP="00260574">
            <w:pPr>
              <w:widowControl w:val="0"/>
              <w:tabs>
                <w:tab w:val="left" w:pos="1240"/>
              </w:tabs>
              <w:ind w:left="0" w:right="-20" w:firstLine="0"/>
              <w:jc w:val="center"/>
              <w:rPr>
                <w:szCs w:val="22"/>
                <w:lang w:val="en-US" w:eastAsia="en-US"/>
              </w:rPr>
            </w:pPr>
          </w:p>
        </w:tc>
        <w:tc>
          <w:tcPr>
            <w:tcW w:w="391" w:type="pct"/>
            <w:tcBorders>
              <w:bottom w:val="single" w:sz="12" w:space="0" w:color="auto"/>
            </w:tcBorders>
            <w:shd w:val="clear" w:color="auto" w:fill="auto"/>
          </w:tcPr>
          <w:p w14:paraId="7C11507D" w14:textId="0A8584C0"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pauza</w:t>
            </w:r>
          </w:p>
        </w:tc>
      </w:tr>
    </w:tbl>
    <w:p w14:paraId="10F057A9" w14:textId="77777777" w:rsidR="00260574" w:rsidRDefault="00260574" w:rsidP="00564D9B">
      <w:pPr>
        <w:rPr>
          <w:rFonts w:eastAsia="TimesNewRoman,Italic"/>
          <w:i/>
          <w:iCs/>
          <w:szCs w:val="22"/>
          <w:lang w:eastAsia="en-US"/>
        </w:rPr>
      </w:pPr>
    </w:p>
    <w:p w14:paraId="37FEDC82" w14:textId="56AC279B" w:rsidR="00564D9B" w:rsidRDefault="00564D9B" w:rsidP="00564D9B">
      <w:pPr>
        <w:rPr>
          <w:color w:val="000000"/>
          <w:sz w:val="18"/>
        </w:rPr>
      </w:pPr>
      <w:r w:rsidRPr="00DC765A">
        <w:rPr>
          <w:color w:val="000000"/>
          <w:sz w:val="18"/>
        </w:rPr>
        <w:t xml:space="preserve">B = bortezomib; M = melfalán; P = prednizón </w:t>
      </w:r>
    </w:p>
    <w:p w14:paraId="25F9750E" w14:textId="77777777" w:rsidR="001D2720" w:rsidRPr="00DC765A" w:rsidRDefault="001D2720" w:rsidP="00564D9B">
      <w:pPr>
        <w:rPr>
          <w:color w:val="000000"/>
          <w:sz w:val="18"/>
        </w:rPr>
      </w:pPr>
    </w:p>
    <w:p w14:paraId="475E43FD"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lastRenderedPageBreak/>
        <w:t>Úpravy dávky počas liečby a po obnovení liečby pri kombinovanej liečbe s melfal</w:t>
      </w:r>
      <w:r>
        <w:rPr>
          <w:rFonts w:eastAsia="TimesNewRoman,Italic"/>
          <w:i/>
          <w:iCs/>
          <w:szCs w:val="22"/>
          <w:lang w:eastAsia="en-US"/>
        </w:rPr>
        <w:t>á</w:t>
      </w:r>
      <w:r w:rsidRPr="00CC69EC">
        <w:rPr>
          <w:rFonts w:eastAsia="TimesNewRoman,Italic"/>
          <w:i/>
          <w:iCs/>
          <w:szCs w:val="22"/>
          <w:lang w:eastAsia="en-US"/>
        </w:rPr>
        <w:t>nom a prednizónom</w:t>
      </w:r>
    </w:p>
    <w:p w14:paraId="066315CF"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Pred začatím nového cyklu liečby:</w:t>
      </w:r>
    </w:p>
    <w:p w14:paraId="224851F6" w14:textId="77777777" w:rsidR="00564D9B" w:rsidRPr="00CC69EC" w:rsidRDefault="00564D9B" w:rsidP="00E110FB">
      <w:pPr>
        <w:numPr>
          <w:ilvl w:val="0"/>
          <w:numId w:val="12"/>
        </w:numPr>
        <w:ind w:hanging="720"/>
        <w:rPr>
          <w:color w:val="000000"/>
          <w:szCs w:val="22"/>
        </w:rPr>
      </w:pPr>
      <w:r w:rsidRPr="00CC69EC">
        <w:rPr>
          <w:rFonts w:eastAsia="TimesNewRoman"/>
          <w:szCs w:val="22"/>
          <w:lang w:eastAsia="en-US"/>
        </w:rPr>
        <w:t>počet krvných doštičiek má byť ≥ 70 x 10</w:t>
      </w:r>
      <w:r w:rsidRPr="00CC69EC">
        <w:rPr>
          <w:rFonts w:eastAsia="TimesNewRoman"/>
          <w:szCs w:val="22"/>
          <w:vertAlign w:val="superscript"/>
          <w:lang w:eastAsia="en-US"/>
        </w:rPr>
        <w:t>9</w:t>
      </w:r>
      <w:r w:rsidRPr="00CC69EC">
        <w:rPr>
          <w:rFonts w:eastAsia="TimesNewRoman"/>
          <w:szCs w:val="22"/>
          <w:lang w:eastAsia="en-US"/>
        </w:rPr>
        <w:t>/l a absolútny počet neutrofilov má byť ≥ 1,0 x 10</w:t>
      </w:r>
      <w:r w:rsidRPr="00CC69EC">
        <w:rPr>
          <w:rFonts w:eastAsia="TimesNewRoman"/>
          <w:szCs w:val="22"/>
          <w:vertAlign w:val="superscript"/>
          <w:lang w:eastAsia="en-US"/>
        </w:rPr>
        <w:t>9</w:t>
      </w:r>
      <w:r w:rsidRPr="00CC69EC">
        <w:rPr>
          <w:rFonts w:eastAsia="TimesNewRoman"/>
          <w:szCs w:val="22"/>
          <w:lang w:eastAsia="en-US"/>
        </w:rPr>
        <w:t>/l</w:t>
      </w:r>
    </w:p>
    <w:p w14:paraId="4B7D00D7" w14:textId="25784BE3" w:rsidR="00564D9B" w:rsidRPr="00CC69EC" w:rsidRDefault="00564D9B" w:rsidP="00E110FB">
      <w:pPr>
        <w:numPr>
          <w:ilvl w:val="0"/>
          <w:numId w:val="12"/>
        </w:numPr>
        <w:ind w:hanging="720"/>
        <w:rPr>
          <w:color w:val="000000"/>
          <w:szCs w:val="22"/>
        </w:rPr>
      </w:pPr>
      <w:r w:rsidRPr="00CC69EC">
        <w:rPr>
          <w:rFonts w:eastAsia="TimesNewRoman"/>
          <w:szCs w:val="22"/>
          <w:lang w:eastAsia="en-US"/>
        </w:rPr>
        <w:t xml:space="preserve">nehematologické toxicity majú ustúpiť na 1. stupeň alebo na </w:t>
      </w:r>
      <w:r w:rsidR="001D2720">
        <w:rPr>
          <w:rFonts w:eastAsia="TimesNewRoman"/>
          <w:szCs w:val="22"/>
          <w:lang w:eastAsia="en-US"/>
        </w:rPr>
        <w:t>za</w:t>
      </w:r>
      <w:r w:rsidRPr="00CC69EC">
        <w:rPr>
          <w:rFonts w:eastAsia="TimesNewRoman"/>
          <w:szCs w:val="22"/>
          <w:lang w:eastAsia="en-US"/>
        </w:rPr>
        <w:t>čiatočnú úroveň</w:t>
      </w:r>
    </w:p>
    <w:p w14:paraId="159613F8" w14:textId="77777777" w:rsidR="00564D9B" w:rsidRPr="00CC69EC" w:rsidRDefault="00564D9B" w:rsidP="00564D9B">
      <w:pPr>
        <w:ind w:left="0" w:firstLine="0"/>
        <w:rPr>
          <w:szCs w:val="22"/>
          <w:u w:val="single"/>
        </w:rPr>
      </w:pPr>
    </w:p>
    <w:p w14:paraId="3988DF18" w14:textId="1304107F" w:rsidR="00564D9B" w:rsidRPr="00CC69EC" w:rsidRDefault="00B35224" w:rsidP="00564D9B">
      <w:pPr>
        <w:autoSpaceDE w:val="0"/>
        <w:autoSpaceDN w:val="0"/>
        <w:adjustRightInd w:val="0"/>
        <w:ind w:left="0" w:firstLine="0"/>
        <w:rPr>
          <w:rFonts w:eastAsia="TimesNewRoman,Italic"/>
          <w:i/>
          <w:iCs/>
          <w:szCs w:val="22"/>
          <w:lang w:eastAsia="en-US"/>
        </w:rPr>
      </w:pPr>
      <w:r>
        <w:rPr>
          <w:rFonts w:eastAsia="TimesNewRoman,Italic"/>
          <w:i/>
          <w:iCs/>
          <w:szCs w:val="22"/>
          <w:lang w:eastAsia="en-US"/>
        </w:rPr>
        <w:t>Tabuľka 3:</w:t>
      </w:r>
      <w:r w:rsidRPr="00B35224">
        <w:rPr>
          <w:position w:val="-1"/>
          <w:sz w:val="18"/>
          <w:szCs w:val="18"/>
          <w:lang w:val="en-US" w:eastAsia="en-US"/>
        </w:rPr>
        <w:t xml:space="preserve"> </w:t>
      </w:r>
      <w:r w:rsidRPr="00F31BA8">
        <w:rPr>
          <w:position w:val="-1"/>
          <w:sz w:val="18"/>
          <w:szCs w:val="18"/>
          <w:lang w:val="en-US" w:eastAsia="en-US"/>
        </w:rPr>
        <w:tab/>
      </w:r>
      <w:r w:rsidR="00564D9B" w:rsidRPr="00CC69EC">
        <w:rPr>
          <w:rFonts w:eastAsia="TimesNewRoman,Italic"/>
          <w:i/>
          <w:iCs/>
          <w:szCs w:val="22"/>
          <w:lang w:eastAsia="en-US"/>
        </w:rPr>
        <w:t>Úpravy dávkovania</w:t>
      </w:r>
      <w:r>
        <w:rPr>
          <w:rFonts w:eastAsia="TimesNewRoman,Italic"/>
          <w:i/>
          <w:iCs/>
          <w:szCs w:val="22"/>
          <w:lang w:eastAsia="en-US"/>
        </w:rPr>
        <w:t xml:space="preserve"> počas ďalších cyklov liečby  B</w:t>
      </w:r>
      <w:r w:rsidR="00564D9B" w:rsidRPr="00CC69EC">
        <w:rPr>
          <w:rFonts w:eastAsia="TimesNewRoman,Italic"/>
          <w:i/>
          <w:iCs/>
          <w:szCs w:val="22"/>
          <w:lang w:eastAsia="en-US"/>
        </w:rPr>
        <w:t>ortezomibom</w:t>
      </w:r>
      <w:r>
        <w:rPr>
          <w:rFonts w:eastAsia="TimesNewRoman,Italic"/>
          <w:i/>
          <w:iCs/>
          <w:szCs w:val="22"/>
          <w:lang w:eastAsia="en-US"/>
        </w:rPr>
        <w:t xml:space="preserve"> Krka</w:t>
      </w:r>
      <w:r w:rsidR="00564D9B" w:rsidRPr="00CC69EC">
        <w:rPr>
          <w:rFonts w:eastAsia="TimesNewRoman,Italic"/>
          <w:i/>
          <w:iCs/>
          <w:szCs w:val="22"/>
          <w:lang w:eastAsia="en-US"/>
        </w:rPr>
        <w:t xml:space="preserve"> v kombinácii</w:t>
      </w:r>
    </w:p>
    <w:p w14:paraId="52E378EE" w14:textId="77777777" w:rsidR="00564D9B" w:rsidRPr="00CC69EC" w:rsidRDefault="00564D9B" w:rsidP="00564D9B">
      <w:pPr>
        <w:rPr>
          <w:color w:val="000000"/>
          <w:szCs w:val="22"/>
        </w:rPr>
      </w:pPr>
      <w:r w:rsidRPr="00CC69EC">
        <w:rPr>
          <w:rFonts w:eastAsia="TimesNewRoman,Italic"/>
          <w:i/>
          <w:iCs/>
          <w:szCs w:val="22"/>
          <w:lang w:eastAsia="en-US"/>
        </w:rPr>
        <w:t>s melfal</w:t>
      </w:r>
      <w:r>
        <w:rPr>
          <w:rFonts w:eastAsia="TimesNewRoman,Italic"/>
          <w:i/>
          <w:iCs/>
          <w:szCs w:val="22"/>
          <w:lang w:eastAsia="en-US"/>
        </w:rPr>
        <w:t>á</w:t>
      </w:r>
      <w:r w:rsidRPr="00CC69EC">
        <w:rPr>
          <w:rFonts w:eastAsia="TimesNewRoman,Italic"/>
          <w:i/>
          <w:iCs/>
          <w:szCs w:val="22"/>
          <w:lang w:eastAsia="en-US"/>
        </w:rPr>
        <w:t>nom a prednizónom</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firstRow="1" w:lastRow="0" w:firstColumn="1" w:lastColumn="0" w:noHBand="0" w:noVBand="1"/>
      </w:tblPr>
      <w:tblGrid>
        <w:gridCol w:w="4532"/>
        <w:gridCol w:w="4532"/>
      </w:tblGrid>
      <w:tr w:rsidR="0055599D" w:rsidRPr="00CC69EC" w14:paraId="55BD58AB" w14:textId="77777777" w:rsidTr="0055599D">
        <w:trPr>
          <w:tblCellSpacing w:w="0" w:type="dxa"/>
        </w:trPr>
        <w:tc>
          <w:tcPr>
            <w:tcW w:w="2500" w:type="pct"/>
            <w:hideMark/>
          </w:tcPr>
          <w:p w14:paraId="7BA31ACC" w14:textId="64753DBB" w:rsidR="00564D9B" w:rsidRPr="00CC69EC" w:rsidRDefault="00564D9B" w:rsidP="00B35224">
            <w:pPr>
              <w:jc w:val="center"/>
              <w:rPr>
                <w:color w:val="000000"/>
              </w:rPr>
            </w:pPr>
            <w:r w:rsidRPr="00CC69EC">
              <w:rPr>
                <w:b/>
                <w:bCs/>
                <w:color w:val="000000"/>
              </w:rPr>
              <w:t>Toxicita</w:t>
            </w:r>
          </w:p>
        </w:tc>
        <w:tc>
          <w:tcPr>
            <w:tcW w:w="2500" w:type="pct"/>
            <w:hideMark/>
          </w:tcPr>
          <w:p w14:paraId="3B480A3B" w14:textId="77777777" w:rsidR="00564D9B" w:rsidRPr="00CC69EC" w:rsidRDefault="00564D9B" w:rsidP="00B35224">
            <w:pPr>
              <w:jc w:val="center"/>
              <w:rPr>
                <w:color w:val="000000"/>
              </w:rPr>
            </w:pPr>
            <w:r w:rsidRPr="00CC69EC">
              <w:rPr>
                <w:b/>
                <w:bCs/>
                <w:color w:val="000000"/>
              </w:rPr>
              <w:t>Úprava dávkovania alebo odloženie liečby</w:t>
            </w:r>
          </w:p>
        </w:tc>
      </w:tr>
      <w:tr w:rsidR="0055599D" w:rsidRPr="00CC69EC" w14:paraId="44171A91" w14:textId="77777777" w:rsidTr="0055599D">
        <w:trPr>
          <w:tblCellSpacing w:w="0" w:type="dxa"/>
        </w:trPr>
        <w:tc>
          <w:tcPr>
            <w:tcW w:w="2500" w:type="pct"/>
            <w:hideMark/>
          </w:tcPr>
          <w:p w14:paraId="5BFF6CCA" w14:textId="77777777" w:rsidR="00564D9B" w:rsidRPr="00CC69EC" w:rsidRDefault="00564D9B" w:rsidP="00F75370">
            <w:pPr>
              <w:rPr>
                <w:color w:val="000000"/>
              </w:rPr>
            </w:pPr>
            <w:r w:rsidRPr="00CC69EC">
              <w:rPr>
                <w:rFonts w:eastAsia="TimesNewRoman,Italic"/>
                <w:i/>
                <w:iCs/>
                <w:szCs w:val="22"/>
                <w:lang w:eastAsia="en-US"/>
              </w:rPr>
              <w:t>Hematologická toxicita počas cyklu</w:t>
            </w:r>
          </w:p>
        </w:tc>
        <w:tc>
          <w:tcPr>
            <w:tcW w:w="2500" w:type="pct"/>
            <w:hideMark/>
          </w:tcPr>
          <w:p w14:paraId="70FD64F6" w14:textId="77777777" w:rsidR="00564D9B" w:rsidRPr="00CC69EC" w:rsidRDefault="00564D9B" w:rsidP="00F75370">
            <w:pPr>
              <w:rPr>
                <w:color w:val="000000"/>
              </w:rPr>
            </w:pPr>
          </w:p>
        </w:tc>
      </w:tr>
      <w:tr w:rsidR="0055599D" w:rsidRPr="00CC69EC" w14:paraId="44933E9D" w14:textId="77777777" w:rsidTr="0055599D">
        <w:trPr>
          <w:tblCellSpacing w:w="0" w:type="dxa"/>
        </w:trPr>
        <w:tc>
          <w:tcPr>
            <w:tcW w:w="2500" w:type="pct"/>
            <w:hideMark/>
          </w:tcPr>
          <w:p w14:paraId="4563076A" w14:textId="77777777" w:rsidR="00564D9B" w:rsidRPr="00CC69EC" w:rsidRDefault="00B35224" w:rsidP="00F75370">
            <w:pPr>
              <w:autoSpaceDE w:val="0"/>
              <w:autoSpaceDN w:val="0"/>
              <w:adjustRightInd w:val="0"/>
              <w:ind w:left="0" w:firstLine="0"/>
              <w:rPr>
                <w:rFonts w:eastAsia="TimesNewRoman"/>
                <w:szCs w:val="22"/>
                <w:lang w:eastAsia="en-US"/>
              </w:rPr>
            </w:pPr>
            <w:r w:rsidRPr="00F31BA8">
              <w:rPr>
                <w:position w:val="-1"/>
                <w:sz w:val="18"/>
                <w:szCs w:val="18"/>
                <w:lang w:val="en-US" w:eastAsia="en-US"/>
              </w:rPr>
              <w:tab/>
            </w:r>
            <w:r w:rsidR="00564D9B" w:rsidRPr="00CC69EC">
              <w:rPr>
                <w:rFonts w:eastAsia="TimesNewRoman"/>
                <w:szCs w:val="22"/>
                <w:lang w:eastAsia="en-US"/>
              </w:rPr>
              <w:t>Ak pretrváva 4. stupeň neutropénie alebo</w:t>
            </w:r>
          </w:p>
          <w:p w14:paraId="03204614" w14:textId="1DF98120" w:rsidR="00564D9B" w:rsidRPr="00F75370"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trombocytopénie alebo bola v</w:t>
            </w:r>
            <w:r w:rsidR="00F75370">
              <w:rPr>
                <w:rFonts w:eastAsia="TimesNewRoman"/>
                <w:szCs w:val="22"/>
                <w:lang w:eastAsia="en-US"/>
              </w:rPr>
              <w:t> </w:t>
            </w:r>
            <w:r w:rsidRPr="00CC69EC">
              <w:rPr>
                <w:rFonts w:eastAsia="TimesNewRoman"/>
                <w:szCs w:val="22"/>
                <w:lang w:eastAsia="en-US"/>
              </w:rPr>
              <w:t>predošlom</w:t>
            </w:r>
            <w:r w:rsidR="00F75370">
              <w:rPr>
                <w:rFonts w:eastAsia="TimesNewRoman"/>
                <w:szCs w:val="22"/>
                <w:lang w:eastAsia="en-US"/>
              </w:rPr>
              <w:t xml:space="preserve"> </w:t>
            </w:r>
            <w:r w:rsidRPr="00CC69EC">
              <w:rPr>
                <w:rFonts w:eastAsia="TimesNewRoman"/>
                <w:szCs w:val="22"/>
                <w:lang w:eastAsia="en-US"/>
              </w:rPr>
              <w:t>cykle pozorovaná trombocytopénia</w:t>
            </w:r>
            <w:r w:rsidR="00F75370">
              <w:rPr>
                <w:rFonts w:eastAsia="TimesNewRoman"/>
                <w:szCs w:val="22"/>
                <w:lang w:eastAsia="en-US"/>
              </w:rPr>
              <w:t xml:space="preserve"> </w:t>
            </w:r>
            <w:r w:rsidRPr="00CC69EC">
              <w:rPr>
                <w:rFonts w:eastAsia="TimesNewRoman"/>
                <w:szCs w:val="22"/>
                <w:lang w:eastAsia="en-US"/>
              </w:rPr>
              <w:t>s</w:t>
            </w:r>
            <w:r w:rsidR="00FF5683">
              <w:rPr>
                <w:rFonts w:eastAsia="TimesNewRoman"/>
                <w:szCs w:val="22"/>
                <w:lang w:eastAsia="en-US"/>
              </w:rPr>
              <w:t> </w:t>
            </w:r>
            <w:r w:rsidRPr="00CC69EC">
              <w:rPr>
                <w:rFonts w:eastAsia="TimesNewRoman"/>
                <w:szCs w:val="22"/>
                <w:lang w:eastAsia="en-US"/>
              </w:rPr>
              <w:t>krvácaním</w:t>
            </w:r>
          </w:p>
        </w:tc>
        <w:tc>
          <w:tcPr>
            <w:tcW w:w="2500" w:type="pct"/>
            <w:hideMark/>
          </w:tcPr>
          <w:p w14:paraId="082D1535" w14:textId="07DB69D1" w:rsidR="00564D9B" w:rsidRPr="00F75370"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V ďalšom cykle zvážte zníženie dávky melfal</w:t>
            </w:r>
            <w:r w:rsidR="00753AC5">
              <w:rPr>
                <w:rFonts w:eastAsia="TimesNewRoman"/>
                <w:szCs w:val="22"/>
                <w:lang w:eastAsia="en-US"/>
              </w:rPr>
              <w:t>á</w:t>
            </w:r>
            <w:r w:rsidRPr="00CC69EC">
              <w:rPr>
                <w:rFonts w:eastAsia="TimesNewRoman"/>
                <w:szCs w:val="22"/>
                <w:lang w:eastAsia="en-US"/>
              </w:rPr>
              <w:t>nu</w:t>
            </w:r>
            <w:r w:rsidR="00F75370">
              <w:rPr>
                <w:rFonts w:eastAsia="TimesNewRoman"/>
                <w:szCs w:val="22"/>
                <w:lang w:eastAsia="en-US"/>
              </w:rPr>
              <w:t xml:space="preserve"> </w:t>
            </w:r>
            <w:r w:rsidRPr="00CC69EC">
              <w:rPr>
                <w:rFonts w:eastAsia="TimesNewRoman"/>
                <w:szCs w:val="22"/>
                <w:lang w:eastAsia="en-US"/>
              </w:rPr>
              <w:t>o 25 %.</w:t>
            </w:r>
          </w:p>
        </w:tc>
      </w:tr>
      <w:tr w:rsidR="0055599D" w:rsidRPr="00CC69EC" w14:paraId="7F8EC9D3" w14:textId="77777777" w:rsidTr="0055599D">
        <w:trPr>
          <w:tblCellSpacing w:w="0" w:type="dxa"/>
        </w:trPr>
        <w:tc>
          <w:tcPr>
            <w:tcW w:w="2500" w:type="pct"/>
            <w:hideMark/>
          </w:tcPr>
          <w:p w14:paraId="5FD5EBE2" w14:textId="07772B74" w:rsidR="00564D9B" w:rsidRPr="00F75370" w:rsidRDefault="00B35224" w:rsidP="00F75370">
            <w:pPr>
              <w:autoSpaceDE w:val="0"/>
              <w:autoSpaceDN w:val="0"/>
              <w:adjustRightInd w:val="0"/>
              <w:ind w:left="0" w:firstLine="0"/>
              <w:rPr>
                <w:rFonts w:eastAsia="TimesNewRoman"/>
                <w:szCs w:val="22"/>
                <w:lang w:eastAsia="en-US"/>
              </w:rPr>
            </w:pPr>
            <w:r w:rsidRPr="00F31BA8">
              <w:rPr>
                <w:position w:val="-1"/>
                <w:sz w:val="18"/>
                <w:szCs w:val="18"/>
                <w:lang w:val="en-US" w:eastAsia="en-US"/>
              </w:rPr>
              <w:tab/>
            </w:r>
            <w:r w:rsidR="00564D9B" w:rsidRPr="00CC69EC">
              <w:rPr>
                <w:rFonts w:eastAsia="TimesNewRoman"/>
                <w:szCs w:val="22"/>
                <w:lang w:eastAsia="en-US"/>
              </w:rPr>
              <w:t xml:space="preserve">Ak je počet krvných doštičiek </w:t>
            </w:r>
            <w:r w:rsidR="00564D9B" w:rsidRPr="00CC69EC">
              <w:rPr>
                <w:color w:val="000000"/>
              </w:rPr>
              <w:t>≤ 30 x 10</w:t>
            </w:r>
            <w:r w:rsidR="00564D9B" w:rsidRPr="00CC69EC">
              <w:rPr>
                <w:color w:val="000000"/>
                <w:vertAlign w:val="superscript"/>
              </w:rPr>
              <w:t>9</w:t>
            </w:r>
            <w:r w:rsidR="00564D9B" w:rsidRPr="00CC69EC">
              <w:rPr>
                <w:color w:val="000000"/>
              </w:rPr>
              <w:t>/l alebo ANC ≤ 0,75 x 10</w:t>
            </w:r>
            <w:r w:rsidR="00564D9B" w:rsidRPr="00CC69EC">
              <w:rPr>
                <w:color w:val="000000"/>
                <w:vertAlign w:val="superscript"/>
              </w:rPr>
              <w:t>9</w:t>
            </w:r>
            <w:r w:rsidR="00564D9B" w:rsidRPr="00CC69EC">
              <w:rPr>
                <w:color w:val="000000"/>
              </w:rPr>
              <w:t>/l</w:t>
            </w:r>
            <w:r w:rsidR="00564D9B" w:rsidRPr="00CC69EC">
              <w:rPr>
                <w:rFonts w:eastAsia="TimesNewRoman"/>
                <w:szCs w:val="22"/>
                <w:lang w:eastAsia="en-US"/>
              </w:rPr>
              <w:t xml:space="preserve"> v deň, ke</w:t>
            </w:r>
            <w:r w:rsidR="00753AC5">
              <w:rPr>
                <w:rFonts w:eastAsia="TimesNewRoman"/>
                <w:szCs w:val="22"/>
                <w:lang w:eastAsia="en-US"/>
              </w:rPr>
              <w:t>ď</w:t>
            </w:r>
            <w:r w:rsidR="00564D9B" w:rsidRPr="00CC69EC">
              <w:rPr>
                <w:rFonts w:eastAsia="TimesNewRoman"/>
                <w:szCs w:val="22"/>
                <w:lang w:eastAsia="en-US"/>
              </w:rPr>
              <w:t xml:space="preserve"> má</w:t>
            </w:r>
            <w:r w:rsidR="00F75370">
              <w:rPr>
                <w:rFonts w:eastAsia="TimesNewRoman"/>
                <w:szCs w:val="22"/>
                <w:lang w:eastAsia="en-US"/>
              </w:rPr>
              <w:t xml:space="preserve"> </w:t>
            </w:r>
            <w:r w:rsidR="00564D9B" w:rsidRPr="00CC69EC">
              <w:rPr>
                <w:rFonts w:eastAsia="TimesNewRoman"/>
                <w:szCs w:val="22"/>
                <w:lang w:eastAsia="en-US"/>
              </w:rPr>
              <w:t xml:space="preserve">byť podaný </w:t>
            </w:r>
            <w:r>
              <w:rPr>
                <w:rFonts w:eastAsia="TimesNewRoman"/>
                <w:szCs w:val="22"/>
                <w:lang w:eastAsia="en-US"/>
              </w:rPr>
              <w:t>B</w:t>
            </w:r>
            <w:r w:rsidR="00564D9B" w:rsidRPr="00CC69EC">
              <w:rPr>
                <w:rFonts w:eastAsia="TimesNewRoman"/>
                <w:szCs w:val="22"/>
                <w:lang w:eastAsia="en-US"/>
              </w:rPr>
              <w:t xml:space="preserve">ortezomib </w:t>
            </w:r>
            <w:r>
              <w:rPr>
                <w:rFonts w:eastAsia="TimesNewRoman"/>
                <w:szCs w:val="22"/>
                <w:lang w:eastAsia="en-US"/>
              </w:rPr>
              <w:t xml:space="preserve">Krka </w:t>
            </w:r>
            <w:r w:rsidR="00564D9B" w:rsidRPr="00CC69EC">
              <w:rPr>
                <w:rFonts w:eastAsia="TimesNewRoman"/>
                <w:szCs w:val="22"/>
                <w:lang w:eastAsia="en-US"/>
              </w:rPr>
              <w:t>(iný ako 1. deň)</w:t>
            </w:r>
          </w:p>
        </w:tc>
        <w:tc>
          <w:tcPr>
            <w:tcW w:w="2500" w:type="pct"/>
            <w:hideMark/>
          </w:tcPr>
          <w:p w14:paraId="2CC72C5F" w14:textId="77777777" w:rsidR="00564D9B" w:rsidRPr="00CC69EC" w:rsidRDefault="00B35224" w:rsidP="00F75370">
            <w:pPr>
              <w:autoSpaceDE w:val="0"/>
              <w:autoSpaceDN w:val="0"/>
              <w:adjustRightInd w:val="0"/>
              <w:ind w:left="0" w:firstLine="0"/>
              <w:rPr>
                <w:rFonts w:eastAsia="TimesNewRoman"/>
                <w:szCs w:val="22"/>
                <w:lang w:eastAsia="en-US"/>
              </w:rPr>
            </w:pPr>
            <w:r>
              <w:rPr>
                <w:rFonts w:eastAsia="TimesNewRoman"/>
                <w:szCs w:val="22"/>
                <w:lang w:eastAsia="en-US"/>
              </w:rPr>
              <w:t>Liečba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sa má odložiť.</w:t>
            </w:r>
          </w:p>
          <w:p w14:paraId="6FFE083C" w14:textId="77777777" w:rsidR="00564D9B" w:rsidRPr="00CC69EC" w:rsidRDefault="00564D9B" w:rsidP="00F75370">
            <w:pPr>
              <w:rPr>
                <w:color w:val="000000"/>
              </w:rPr>
            </w:pPr>
          </w:p>
        </w:tc>
      </w:tr>
      <w:tr w:rsidR="0055599D" w:rsidRPr="00CC69EC" w14:paraId="1FDB3720" w14:textId="77777777" w:rsidTr="0055599D">
        <w:trPr>
          <w:tblCellSpacing w:w="0" w:type="dxa"/>
        </w:trPr>
        <w:tc>
          <w:tcPr>
            <w:tcW w:w="2500" w:type="pct"/>
            <w:hideMark/>
          </w:tcPr>
          <w:p w14:paraId="23E19060" w14:textId="77777777" w:rsidR="00564D9B" w:rsidRPr="00CC69EC" w:rsidRDefault="00B35224" w:rsidP="00F75370">
            <w:pPr>
              <w:autoSpaceDE w:val="0"/>
              <w:autoSpaceDN w:val="0"/>
              <w:adjustRightInd w:val="0"/>
              <w:ind w:left="0" w:firstLine="0"/>
              <w:rPr>
                <w:color w:val="000000"/>
                <w:szCs w:val="22"/>
              </w:rPr>
            </w:pPr>
            <w:r w:rsidRPr="00F31BA8">
              <w:rPr>
                <w:position w:val="-1"/>
                <w:sz w:val="18"/>
                <w:szCs w:val="18"/>
                <w:lang w:val="en-US" w:eastAsia="en-US"/>
              </w:rPr>
              <w:tab/>
            </w:r>
            <w:r w:rsidR="00564D9B" w:rsidRPr="00CC69EC">
              <w:rPr>
                <w:rFonts w:eastAsia="TimesNewRoman"/>
                <w:szCs w:val="22"/>
                <w:lang w:eastAsia="en-US"/>
              </w:rPr>
              <w:t xml:space="preserve">Ak </w:t>
            </w:r>
            <w:r>
              <w:rPr>
                <w:rFonts w:eastAsia="TimesNewRoman"/>
                <w:szCs w:val="22"/>
                <w:lang w:eastAsia="en-US"/>
              </w:rPr>
              <w:t>nie je podaných niekoľko dávok B</w:t>
            </w:r>
            <w:r w:rsidR="00564D9B" w:rsidRPr="00CC69EC">
              <w:rPr>
                <w:rFonts w:eastAsia="TimesNewRoman"/>
                <w:szCs w:val="22"/>
                <w:lang w:eastAsia="en-US"/>
              </w:rPr>
              <w:t xml:space="preserve">ortezomibu </w:t>
            </w:r>
            <w:r>
              <w:rPr>
                <w:rFonts w:eastAsia="TimesNewRoman"/>
                <w:szCs w:val="22"/>
                <w:lang w:eastAsia="en-US"/>
              </w:rPr>
              <w:t xml:space="preserve">Krka </w:t>
            </w:r>
            <w:r w:rsidR="00564D9B" w:rsidRPr="00CC69EC">
              <w:rPr>
                <w:rFonts w:eastAsia="TimesNewRoman"/>
                <w:szCs w:val="22"/>
                <w:lang w:eastAsia="en-US"/>
              </w:rPr>
              <w:t>v cykle (≥ 3 dávky počas podávania dvakrát týždenne alebo ≥ 2 dávky počas podávania jedenkrát týždenne)</w:t>
            </w:r>
          </w:p>
        </w:tc>
        <w:tc>
          <w:tcPr>
            <w:tcW w:w="2500" w:type="pct"/>
            <w:hideMark/>
          </w:tcPr>
          <w:p w14:paraId="1F6C7BEF" w14:textId="77777777" w:rsidR="00564D9B" w:rsidRPr="00CC69EC" w:rsidRDefault="00B35224" w:rsidP="00F75370">
            <w:pPr>
              <w:autoSpaceDE w:val="0"/>
              <w:autoSpaceDN w:val="0"/>
              <w:adjustRightInd w:val="0"/>
              <w:ind w:left="0" w:firstLine="0"/>
              <w:rPr>
                <w:color w:val="000000"/>
                <w:szCs w:val="22"/>
              </w:rPr>
            </w:pPr>
            <w:r>
              <w:rPr>
                <w:rFonts w:eastAsia="TimesNewRoman"/>
                <w:szCs w:val="22"/>
                <w:lang w:eastAsia="en-US"/>
              </w:rPr>
              <w:t>Dávka B</w:t>
            </w:r>
            <w:r w:rsidR="00564D9B" w:rsidRPr="00CC69EC">
              <w:rPr>
                <w:rFonts w:eastAsia="TimesNewRoman"/>
                <w:szCs w:val="22"/>
                <w:lang w:eastAsia="en-US"/>
              </w:rPr>
              <w:t xml:space="preserve">ortezomibu </w:t>
            </w:r>
            <w:r>
              <w:rPr>
                <w:rFonts w:eastAsia="TimesNewRoman"/>
                <w:szCs w:val="22"/>
                <w:lang w:eastAsia="en-US"/>
              </w:rPr>
              <w:t xml:space="preserve">Krka </w:t>
            </w:r>
            <w:r w:rsidR="00564D9B" w:rsidRPr="00CC69EC">
              <w:rPr>
                <w:rFonts w:eastAsia="TimesNewRoman"/>
                <w:szCs w:val="22"/>
                <w:lang w:eastAsia="en-US"/>
              </w:rPr>
              <w:t>sa má znížiť o jednu úroveň (z 1,3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na 1 mg/m</w:t>
            </w:r>
            <w:r w:rsidR="00564D9B" w:rsidRPr="00CC69EC">
              <w:rPr>
                <w:rFonts w:eastAsia="TimesNewRoman"/>
                <w:szCs w:val="22"/>
                <w:vertAlign w:val="superscript"/>
                <w:lang w:eastAsia="en-US"/>
              </w:rPr>
              <w:t>2</w:t>
            </w:r>
            <w:r w:rsidR="00564D9B" w:rsidRPr="00CC69EC">
              <w:rPr>
                <w:rFonts w:eastAsia="TimesNewRoman"/>
                <w:szCs w:val="22"/>
                <w:lang w:eastAsia="en-US"/>
              </w:rPr>
              <w:t>, alebo z 1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na 0,7 mg/m</w:t>
            </w:r>
            <w:r w:rsidR="00564D9B" w:rsidRPr="00CC69EC">
              <w:rPr>
                <w:rFonts w:eastAsia="TimesNewRoman"/>
                <w:szCs w:val="22"/>
                <w:vertAlign w:val="superscript"/>
                <w:lang w:eastAsia="en-US"/>
              </w:rPr>
              <w:t>2</w:t>
            </w:r>
            <w:r w:rsidR="00564D9B" w:rsidRPr="00CC69EC">
              <w:rPr>
                <w:rFonts w:eastAsia="TimesNewRoman"/>
                <w:szCs w:val="22"/>
                <w:lang w:eastAsia="en-US"/>
              </w:rPr>
              <w:t>).</w:t>
            </w:r>
          </w:p>
        </w:tc>
      </w:tr>
      <w:tr w:rsidR="0055599D" w:rsidRPr="00CC69EC" w14:paraId="42345E72" w14:textId="77777777" w:rsidTr="0055599D">
        <w:trPr>
          <w:tblCellSpacing w:w="0" w:type="dxa"/>
        </w:trPr>
        <w:tc>
          <w:tcPr>
            <w:tcW w:w="2500" w:type="pct"/>
            <w:hideMark/>
          </w:tcPr>
          <w:p w14:paraId="37DE7C0D" w14:textId="77777777" w:rsidR="00564D9B" w:rsidRPr="00B35224" w:rsidRDefault="00564D9B" w:rsidP="00F75370">
            <w:pPr>
              <w:ind w:left="0" w:firstLine="0"/>
              <w:rPr>
                <w:i/>
                <w:color w:val="000000"/>
                <w:szCs w:val="22"/>
              </w:rPr>
            </w:pPr>
            <w:r w:rsidRPr="00B35224">
              <w:rPr>
                <w:rFonts w:eastAsia="TimesNewRoman,Italic"/>
                <w:i/>
                <w:iCs/>
                <w:szCs w:val="22"/>
                <w:lang w:eastAsia="en-US"/>
              </w:rPr>
              <w:t>Stupeň ≥ 3 nehematologickej toxicity</w:t>
            </w:r>
          </w:p>
        </w:tc>
        <w:tc>
          <w:tcPr>
            <w:tcW w:w="2500" w:type="pct"/>
            <w:hideMark/>
          </w:tcPr>
          <w:p w14:paraId="6D49C5C1" w14:textId="5A65AD37" w:rsidR="00564D9B" w:rsidRPr="00CC69EC" w:rsidRDefault="00B35224" w:rsidP="00F75370">
            <w:pPr>
              <w:autoSpaceDE w:val="0"/>
              <w:autoSpaceDN w:val="0"/>
              <w:adjustRightInd w:val="0"/>
              <w:ind w:left="0" w:firstLine="0"/>
              <w:rPr>
                <w:color w:val="000000"/>
                <w:szCs w:val="22"/>
              </w:rPr>
            </w:pPr>
            <w:r>
              <w:rPr>
                <w:rFonts w:eastAsia="TimesNewRoman"/>
                <w:szCs w:val="22"/>
                <w:lang w:eastAsia="en-US"/>
              </w:rPr>
              <w:t>Liečba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sa má odložiť, pokiaľ sa príznaky toxicity nezmiernia na 1. stupeň alebo na </w:t>
            </w:r>
            <w:r w:rsidR="00753AC5">
              <w:rPr>
                <w:rFonts w:eastAsia="TimesNewRoman"/>
                <w:szCs w:val="22"/>
                <w:lang w:eastAsia="en-US"/>
              </w:rPr>
              <w:t>za</w:t>
            </w:r>
            <w:r w:rsidR="00564D9B" w:rsidRPr="00CC69EC">
              <w:rPr>
                <w:rFonts w:eastAsia="TimesNewRoman"/>
                <w:szCs w:val="22"/>
                <w:lang w:eastAsia="en-US"/>
              </w:rPr>
              <w:t>čiato</w:t>
            </w:r>
            <w:r>
              <w:rPr>
                <w:rFonts w:eastAsia="TimesNewRoman"/>
                <w:szCs w:val="22"/>
                <w:lang w:eastAsia="en-US"/>
              </w:rPr>
              <w:t>čnú úroveň. Potom možno liečbu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znovu začať so znížením o jednu úroveň (z 1,3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na 1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alebo z 1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na 0,7 mg/m</w:t>
            </w:r>
            <w:r w:rsidR="00564D9B" w:rsidRPr="00CC69EC">
              <w:rPr>
                <w:rFonts w:eastAsia="TimesNewRoman"/>
                <w:szCs w:val="22"/>
                <w:vertAlign w:val="superscript"/>
                <w:lang w:eastAsia="en-US"/>
              </w:rPr>
              <w:t>2</w:t>
            </w:r>
            <w:r w:rsidR="00564D9B" w:rsidRPr="00CC69EC">
              <w:rPr>
                <w:rFonts w:eastAsia="TimesNewRoman"/>
                <w:szCs w:val="22"/>
                <w:lang w:eastAsia="en-US"/>
              </w:rPr>
              <w:t>). Ak sa v súvislosti s bortezomibom vyskytne neuropatická bolesť a/alebo periférna neuropatia,</w:t>
            </w:r>
            <w:r>
              <w:rPr>
                <w:rFonts w:eastAsia="TimesNewRoman"/>
                <w:szCs w:val="22"/>
                <w:lang w:eastAsia="en-US"/>
              </w:rPr>
              <w:t xml:space="preserve"> odložte a/alebo upravte dávku B</w:t>
            </w:r>
            <w:r w:rsidR="00564D9B" w:rsidRPr="00CC69EC">
              <w:rPr>
                <w:rFonts w:eastAsia="TimesNewRoman"/>
                <w:szCs w:val="22"/>
                <w:lang w:eastAsia="en-US"/>
              </w:rPr>
              <w:t>ortezomibu</w:t>
            </w:r>
            <w:r>
              <w:rPr>
                <w:rFonts w:eastAsia="TimesNewRoman"/>
                <w:szCs w:val="22"/>
                <w:lang w:eastAsia="en-US"/>
              </w:rPr>
              <w:t xml:space="preserve"> Krka</w:t>
            </w:r>
            <w:r w:rsidR="00564D9B" w:rsidRPr="00CC69EC">
              <w:rPr>
                <w:rFonts w:eastAsia="TimesNewRoman"/>
                <w:szCs w:val="22"/>
                <w:lang w:eastAsia="en-US"/>
              </w:rPr>
              <w:t xml:space="preserve"> tak, ako sa uvádza v </w:t>
            </w:r>
            <w:r w:rsidR="00753AC5">
              <w:rPr>
                <w:rFonts w:eastAsia="TimesNewRoman"/>
                <w:szCs w:val="22"/>
                <w:lang w:eastAsia="en-US"/>
              </w:rPr>
              <w:t>t</w:t>
            </w:r>
            <w:r w:rsidR="00564D9B" w:rsidRPr="00CC69EC">
              <w:rPr>
                <w:rFonts w:eastAsia="TimesNewRoman"/>
                <w:szCs w:val="22"/>
                <w:lang w:eastAsia="en-US"/>
              </w:rPr>
              <w:t>abuľke 1.</w:t>
            </w:r>
          </w:p>
        </w:tc>
      </w:tr>
    </w:tbl>
    <w:p w14:paraId="6E181374" w14:textId="77777777" w:rsidR="00564D9B" w:rsidRPr="00CC69EC" w:rsidRDefault="00564D9B" w:rsidP="00564D9B">
      <w:pPr>
        <w:rPr>
          <w:color w:val="000000"/>
        </w:rPr>
      </w:pPr>
    </w:p>
    <w:p w14:paraId="2CAF3364"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Ďalšie informácie o melfal</w:t>
      </w:r>
      <w:r>
        <w:rPr>
          <w:rFonts w:eastAsia="TimesNewRoman"/>
          <w:szCs w:val="22"/>
          <w:lang w:eastAsia="en-US"/>
        </w:rPr>
        <w:t>á</w:t>
      </w:r>
      <w:r w:rsidRPr="00CC69EC">
        <w:rPr>
          <w:rFonts w:eastAsia="TimesNewRoman"/>
          <w:szCs w:val="22"/>
          <w:lang w:eastAsia="en-US"/>
        </w:rPr>
        <w:t>ne a prednizóne nájdete v príslušnom súhrne charakteristických vlastností</w:t>
      </w:r>
      <w:r w:rsidR="00F75370">
        <w:rPr>
          <w:rFonts w:eastAsia="TimesNewRoman"/>
          <w:szCs w:val="22"/>
          <w:lang w:eastAsia="en-US"/>
        </w:rPr>
        <w:t xml:space="preserve"> </w:t>
      </w:r>
      <w:r w:rsidRPr="00CC69EC">
        <w:rPr>
          <w:rFonts w:eastAsia="TimesNewRoman"/>
          <w:szCs w:val="22"/>
          <w:lang w:eastAsia="en-US"/>
        </w:rPr>
        <w:t>lieku.</w:t>
      </w:r>
    </w:p>
    <w:p w14:paraId="58534CAF" w14:textId="77777777" w:rsidR="00564D9B" w:rsidRPr="00CC69EC" w:rsidRDefault="00564D9B" w:rsidP="00564D9B">
      <w:pPr>
        <w:autoSpaceDE w:val="0"/>
        <w:autoSpaceDN w:val="0"/>
        <w:adjustRightInd w:val="0"/>
        <w:ind w:left="0" w:firstLine="0"/>
        <w:rPr>
          <w:rFonts w:eastAsia="TimesNewRoman"/>
          <w:szCs w:val="22"/>
          <w:lang w:eastAsia="en-US"/>
        </w:rPr>
      </w:pPr>
    </w:p>
    <w:p w14:paraId="0EB1A8BF"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u w:val="single"/>
          <w:lang w:eastAsia="en-US"/>
        </w:rPr>
        <w:t>Dávkovanie u pacientov s doteraz neliečeným mnohopočetným myelómom, ktorí sú vhodní na transplantáciu hematopoetických kmeňových buniek (indukčná liečba)</w:t>
      </w:r>
    </w:p>
    <w:p w14:paraId="50A372B0"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Kombinovaná liečba s dexametazónom</w:t>
      </w:r>
    </w:p>
    <w:p w14:paraId="2973B8D5" w14:textId="4A35C98C"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B35224">
        <w:rPr>
          <w:rFonts w:eastAsia="TimesNewRoman"/>
          <w:szCs w:val="22"/>
          <w:lang w:eastAsia="en-US"/>
        </w:rPr>
        <w:t>Krka 1</w:t>
      </w:r>
      <w:r>
        <w:rPr>
          <w:rFonts w:eastAsia="TimesNewRoman"/>
          <w:szCs w:val="22"/>
          <w:lang w:eastAsia="en-US"/>
        </w:rPr>
        <w:t xml:space="preserve"> mg prášok na injekčný roztok </w:t>
      </w:r>
      <w:r w:rsidRPr="00CC69EC">
        <w:rPr>
          <w:rFonts w:eastAsia="TimesNewRoman"/>
          <w:szCs w:val="22"/>
          <w:lang w:eastAsia="en-US"/>
        </w:rPr>
        <w:t>sa podáva intravenóznou injekciou v odporúčanej dávke 1,3 mg/m</w:t>
      </w:r>
      <w:r w:rsidRPr="00CC69EC">
        <w:rPr>
          <w:rFonts w:eastAsia="TimesNewRoman"/>
          <w:szCs w:val="22"/>
          <w:vertAlign w:val="superscript"/>
          <w:lang w:eastAsia="en-US"/>
        </w:rPr>
        <w:t>2</w:t>
      </w:r>
      <w:r w:rsidRPr="00CC69EC">
        <w:rPr>
          <w:rFonts w:eastAsia="TimesNewRoman"/>
          <w:szCs w:val="22"/>
          <w:lang w:eastAsia="en-US"/>
        </w:rPr>
        <w:t xml:space="preserve"> </w:t>
      </w:r>
      <w:r w:rsidR="00693194">
        <w:rPr>
          <w:rFonts w:eastAsia="TimesNewRoman"/>
          <w:szCs w:val="22"/>
          <w:lang w:eastAsia="en-US"/>
        </w:rPr>
        <w:t xml:space="preserve">plochy </w:t>
      </w:r>
      <w:r w:rsidRPr="00CC69EC">
        <w:rPr>
          <w:rFonts w:eastAsia="TimesNewRoman"/>
          <w:szCs w:val="22"/>
          <w:lang w:eastAsia="en-US"/>
        </w:rPr>
        <w:t xml:space="preserve">povrchu tela dvakrát týždenne počas dvoch týždňov v 1., 4., 8. a 11. deň terapeutického cyklu trvajúceho 21 dní. Toto 3-týždňové obdobie sa považuje za jeden terapeutický cyklus. Medzi nasledujúcimi dávkami </w:t>
      </w:r>
      <w:r w:rsidR="00B35224">
        <w:rPr>
          <w:rFonts w:eastAsia="TimesNewRoman"/>
          <w:szCs w:val="22"/>
          <w:lang w:eastAsia="en-US"/>
        </w:rPr>
        <w:t>B</w:t>
      </w:r>
      <w:r w:rsidRPr="00CC69EC">
        <w:rPr>
          <w:rFonts w:eastAsia="TimesNewRoman"/>
          <w:szCs w:val="22"/>
          <w:lang w:eastAsia="en-US"/>
        </w:rPr>
        <w:t xml:space="preserve">ortezomibu </w:t>
      </w:r>
      <w:r w:rsidR="00B35224">
        <w:rPr>
          <w:rFonts w:eastAsia="TimesNewRoman"/>
          <w:szCs w:val="22"/>
          <w:lang w:eastAsia="en-US"/>
        </w:rPr>
        <w:t xml:space="preserve">Krka </w:t>
      </w:r>
      <w:r w:rsidRPr="00CC69EC">
        <w:rPr>
          <w:rFonts w:eastAsia="TimesNewRoman"/>
          <w:szCs w:val="22"/>
          <w:lang w:eastAsia="en-US"/>
        </w:rPr>
        <w:t>má uplynúť aspoň 72 hodín.</w:t>
      </w:r>
    </w:p>
    <w:p w14:paraId="578696A0"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Dexametazón sa podáva perorálne v dávke 40 mg v 1., 2., 3., 4., 8., 9., 10. a 11. deň terapeutického cyklu s</w:t>
      </w:r>
      <w:r w:rsidR="00B35224">
        <w:rPr>
          <w:rFonts w:eastAsia="TimesNewRoman"/>
          <w:szCs w:val="22"/>
          <w:lang w:eastAsia="en-US"/>
        </w:rPr>
        <w:t> B</w:t>
      </w:r>
      <w:r w:rsidRPr="00CC69EC">
        <w:rPr>
          <w:rFonts w:eastAsia="TimesNewRoman"/>
          <w:szCs w:val="22"/>
          <w:lang w:eastAsia="en-US"/>
        </w:rPr>
        <w:t>ortezomibom</w:t>
      </w:r>
      <w:r w:rsidR="00B35224">
        <w:rPr>
          <w:rFonts w:eastAsia="TimesNewRoman"/>
          <w:szCs w:val="22"/>
          <w:lang w:eastAsia="en-US"/>
        </w:rPr>
        <w:t xml:space="preserve"> Krka</w:t>
      </w:r>
      <w:r w:rsidRPr="00CC69EC">
        <w:rPr>
          <w:rFonts w:eastAsia="TimesNewRoman"/>
          <w:szCs w:val="22"/>
          <w:lang w:eastAsia="en-US"/>
        </w:rPr>
        <w:t>.</w:t>
      </w:r>
    </w:p>
    <w:p w14:paraId="614D4A65"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Podávajú sa štyri terapeutické cykly tejto kombinovanej liečby.</w:t>
      </w:r>
    </w:p>
    <w:p w14:paraId="6D2BEF76" w14:textId="77777777" w:rsidR="00564D9B" w:rsidRPr="00CC69EC" w:rsidRDefault="00564D9B" w:rsidP="00564D9B">
      <w:pPr>
        <w:autoSpaceDE w:val="0"/>
        <w:autoSpaceDN w:val="0"/>
        <w:adjustRightInd w:val="0"/>
        <w:ind w:left="0" w:firstLine="0"/>
        <w:rPr>
          <w:rFonts w:eastAsia="TimesNewRoman"/>
          <w:szCs w:val="22"/>
          <w:lang w:eastAsia="en-US"/>
        </w:rPr>
      </w:pPr>
    </w:p>
    <w:p w14:paraId="498E7BDA"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Kombinovaná liečba s dexametazónom a talidomidom</w:t>
      </w:r>
    </w:p>
    <w:p w14:paraId="7A3228F1" w14:textId="0C81D475"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Bortezomib</w:t>
      </w:r>
      <w:r w:rsidR="00B35224">
        <w:rPr>
          <w:rFonts w:eastAsia="TimesNewRoman"/>
          <w:szCs w:val="22"/>
          <w:lang w:eastAsia="en-US"/>
        </w:rPr>
        <w:t xml:space="preserve"> Krka</w:t>
      </w:r>
      <w:r w:rsidRPr="00CC69EC">
        <w:rPr>
          <w:rFonts w:eastAsia="TimesNewRoman"/>
          <w:szCs w:val="22"/>
          <w:lang w:eastAsia="en-US"/>
        </w:rPr>
        <w:t xml:space="preserve"> </w:t>
      </w:r>
      <w:r w:rsidR="00B35224">
        <w:rPr>
          <w:rFonts w:eastAsia="TimesNewRoman"/>
          <w:szCs w:val="22"/>
          <w:lang w:eastAsia="en-US"/>
        </w:rPr>
        <w:t>1</w:t>
      </w:r>
      <w:r>
        <w:rPr>
          <w:rFonts w:eastAsia="TimesNewRoman"/>
          <w:szCs w:val="22"/>
          <w:lang w:eastAsia="en-US"/>
        </w:rPr>
        <w:t xml:space="preserve"> mg prášok na injekčný roztok </w:t>
      </w:r>
      <w:r w:rsidRPr="00CC69EC">
        <w:rPr>
          <w:rFonts w:eastAsia="TimesNewRoman"/>
          <w:szCs w:val="22"/>
          <w:lang w:eastAsia="en-US"/>
        </w:rPr>
        <w:t>sa podáva intravenóznou injekciou v odporúčanej dávke 1,3 mg/m</w:t>
      </w:r>
      <w:r w:rsidRPr="00CC69EC">
        <w:rPr>
          <w:rFonts w:eastAsia="TimesNewRoman"/>
          <w:szCs w:val="22"/>
          <w:vertAlign w:val="superscript"/>
          <w:lang w:eastAsia="en-US"/>
        </w:rPr>
        <w:t>2</w:t>
      </w:r>
      <w:r w:rsidRPr="00CC69EC">
        <w:rPr>
          <w:rFonts w:eastAsia="TimesNewRoman"/>
          <w:szCs w:val="22"/>
          <w:lang w:eastAsia="en-US"/>
        </w:rPr>
        <w:t xml:space="preserve"> </w:t>
      </w:r>
      <w:r w:rsidR="00693194">
        <w:rPr>
          <w:rFonts w:eastAsia="TimesNewRoman"/>
          <w:szCs w:val="22"/>
          <w:lang w:eastAsia="en-US"/>
        </w:rPr>
        <w:t xml:space="preserve">plochy </w:t>
      </w:r>
      <w:r w:rsidRPr="00CC69EC">
        <w:rPr>
          <w:rFonts w:eastAsia="TimesNewRoman"/>
          <w:szCs w:val="22"/>
          <w:lang w:eastAsia="en-US"/>
        </w:rPr>
        <w:t xml:space="preserve">povrchu tela dvakrát týždenne počas dvoch týždňov v 1., 4., 8. a 11. deň terapeutického cyklu trvajúceho 28 dní. Toto 4-týždňové obdobie sa považuje za jeden terapeutický cyklus. Medzi nasledujúcimi dávkami </w:t>
      </w:r>
      <w:r w:rsidR="00B35224">
        <w:rPr>
          <w:rFonts w:eastAsia="TimesNewRoman"/>
          <w:szCs w:val="22"/>
          <w:lang w:eastAsia="en-US"/>
        </w:rPr>
        <w:t>B</w:t>
      </w:r>
      <w:r w:rsidRPr="00CC69EC">
        <w:rPr>
          <w:rFonts w:eastAsia="TimesNewRoman"/>
          <w:szCs w:val="22"/>
          <w:lang w:eastAsia="en-US"/>
        </w:rPr>
        <w:t xml:space="preserve">ortezomibu </w:t>
      </w:r>
      <w:r w:rsidR="00B35224">
        <w:rPr>
          <w:rFonts w:eastAsia="TimesNewRoman"/>
          <w:szCs w:val="22"/>
          <w:lang w:eastAsia="en-US"/>
        </w:rPr>
        <w:t xml:space="preserve">Krka </w:t>
      </w:r>
      <w:r w:rsidRPr="00CC69EC">
        <w:rPr>
          <w:rFonts w:eastAsia="TimesNewRoman"/>
          <w:szCs w:val="22"/>
          <w:lang w:eastAsia="en-US"/>
        </w:rPr>
        <w:t>má uplynúť aspoň 72 hodín.</w:t>
      </w:r>
    </w:p>
    <w:p w14:paraId="7159A214"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Dexametazón sa podáva perorálne v dávke 40 mg v 1., 2., 3., 4., 8., 9., 10. a 11. deň terapeutického cyklu s</w:t>
      </w:r>
      <w:r w:rsidR="00B35224">
        <w:rPr>
          <w:rFonts w:eastAsia="TimesNewRoman"/>
          <w:szCs w:val="22"/>
          <w:lang w:eastAsia="en-US"/>
        </w:rPr>
        <w:t> B</w:t>
      </w:r>
      <w:r w:rsidRPr="00CC69EC">
        <w:rPr>
          <w:rFonts w:eastAsia="TimesNewRoman"/>
          <w:szCs w:val="22"/>
          <w:lang w:eastAsia="en-US"/>
        </w:rPr>
        <w:t>ortezomibom</w:t>
      </w:r>
      <w:r w:rsidR="00B35224">
        <w:rPr>
          <w:rFonts w:eastAsia="TimesNewRoman"/>
          <w:szCs w:val="22"/>
          <w:lang w:eastAsia="en-US"/>
        </w:rPr>
        <w:t xml:space="preserve"> Krka</w:t>
      </w:r>
      <w:r w:rsidRPr="00CC69EC">
        <w:rPr>
          <w:rFonts w:eastAsia="TimesNewRoman"/>
          <w:szCs w:val="22"/>
          <w:lang w:eastAsia="en-US"/>
        </w:rPr>
        <w:t>.</w:t>
      </w:r>
    </w:p>
    <w:p w14:paraId="16ABD546" w14:textId="6BC042C0"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Talidomid sa podáva perorálne v dávke 50 mg denne v 1. – 14. deň</w:t>
      </w:r>
      <w:r w:rsidR="00693194">
        <w:rPr>
          <w:rFonts w:eastAsia="TimesNewRoman"/>
          <w:szCs w:val="22"/>
          <w:lang w:eastAsia="en-US"/>
        </w:rPr>
        <w:t>,</w:t>
      </w:r>
      <w:r w:rsidRPr="00CC69EC">
        <w:rPr>
          <w:rFonts w:eastAsia="TimesNewRoman"/>
          <w:szCs w:val="22"/>
          <w:lang w:eastAsia="en-US"/>
        </w:rPr>
        <w:t xml:space="preserve"> a ak ho pacient toleruje, dávka sa potom zvýši na 100 mg denne v 15. – 28. deň, a potom sa môže ďalej zvýšiť na 200 mg denne od 2. cyklu (pozri </w:t>
      </w:r>
      <w:r w:rsidR="00F75370">
        <w:rPr>
          <w:rFonts w:eastAsia="TimesNewRoman"/>
          <w:szCs w:val="22"/>
          <w:lang w:eastAsia="en-US"/>
        </w:rPr>
        <w:t>t</w:t>
      </w:r>
      <w:r w:rsidRPr="00CC69EC">
        <w:rPr>
          <w:rFonts w:eastAsia="TimesNewRoman"/>
          <w:szCs w:val="22"/>
          <w:lang w:eastAsia="en-US"/>
        </w:rPr>
        <w:t>abuľku 4).</w:t>
      </w:r>
    </w:p>
    <w:p w14:paraId="5921A995"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lastRenderedPageBreak/>
        <w:t>Podávajú sa štyri terapeutické cykly tejto kombinácie. Odporúča sa, aby pacienti s aspoň čiastočnou odpoveďou dostali ďalšie 2 cykly.</w:t>
      </w:r>
    </w:p>
    <w:p w14:paraId="7B739A15" w14:textId="77777777" w:rsidR="00564D9B" w:rsidRPr="00CC69EC" w:rsidRDefault="00564D9B" w:rsidP="00564D9B">
      <w:pPr>
        <w:ind w:left="0" w:firstLine="0"/>
        <w:rPr>
          <w:rFonts w:eastAsia="TimesNewRoman"/>
          <w:szCs w:val="22"/>
          <w:lang w:eastAsia="en-US"/>
        </w:rPr>
      </w:pPr>
    </w:p>
    <w:p w14:paraId="1CEB197B" w14:textId="77777777" w:rsidR="00564D9B" w:rsidRPr="00CC69EC" w:rsidRDefault="00564D9B" w:rsidP="00564D9B">
      <w:pPr>
        <w:autoSpaceDE w:val="0"/>
        <w:autoSpaceDN w:val="0"/>
        <w:adjustRightInd w:val="0"/>
        <w:ind w:left="0" w:firstLine="0"/>
        <w:rPr>
          <w:color w:val="000000"/>
        </w:rPr>
      </w:pPr>
      <w:r w:rsidRPr="00CC69EC">
        <w:rPr>
          <w:rFonts w:eastAsia="TimesNewRoman,Italic"/>
          <w:i/>
          <w:iCs/>
          <w:szCs w:val="22"/>
          <w:lang w:eastAsia="en-US"/>
        </w:rPr>
        <w:t>Tabuľka 4: Dávko</w:t>
      </w:r>
      <w:r w:rsidR="00B35224">
        <w:rPr>
          <w:rFonts w:eastAsia="TimesNewRoman,Italic"/>
          <w:i/>
          <w:iCs/>
          <w:szCs w:val="22"/>
          <w:lang w:eastAsia="en-US"/>
        </w:rPr>
        <w:t>vanie pre kombinovanú liečbu s B</w:t>
      </w:r>
      <w:r w:rsidRPr="00CC69EC">
        <w:rPr>
          <w:rFonts w:eastAsia="TimesNewRoman,Italic"/>
          <w:i/>
          <w:iCs/>
          <w:szCs w:val="22"/>
          <w:lang w:eastAsia="en-US"/>
        </w:rPr>
        <w:t xml:space="preserve">ortezomibom </w:t>
      </w:r>
      <w:r w:rsidR="00B35224">
        <w:rPr>
          <w:rFonts w:eastAsia="TimesNewRoman,Italic"/>
          <w:i/>
          <w:iCs/>
          <w:szCs w:val="22"/>
          <w:lang w:eastAsia="en-US"/>
        </w:rPr>
        <w:t xml:space="preserve">Krka </w:t>
      </w:r>
      <w:r w:rsidRPr="00CC69EC">
        <w:rPr>
          <w:rFonts w:eastAsia="TimesNewRoman,Italic"/>
          <w:i/>
          <w:iCs/>
          <w:szCs w:val="22"/>
          <w:lang w:eastAsia="en-US"/>
        </w:rPr>
        <w:t>u pacientov s doteraz neliečeným mnohopočetným myelómom, ktorí sú vhodní na transplantáciu hematopoetických kmeňových buniek</w:t>
      </w:r>
    </w:p>
    <w:p w14:paraId="6C68D36D" w14:textId="77777777" w:rsidR="0055599D" w:rsidRDefault="0055599D" w:rsidP="00564D9B">
      <w:pPr>
        <w:autoSpaceDE w:val="0"/>
        <w:autoSpaceDN w:val="0"/>
        <w:adjustRightInd w:val="0"/>
        <w:ind w:left="0" w:firstLine="0"/>
        <w:rPr>
          <w:rFonts w:eastAsia="TimesNewRoman"/>
          <w:sz w:val="18"/>
          <w:szCs w:val="22"/>
          <w:lang w:eastAsia="en-US"/>
        </w:rPr>
      </w:pPr>
    </w:p>
    <w:tbl>
      <w:tblPr>
        <w:tblW w:w="8931" w:type="dxa"/>
        <w:tblInd w:w="40" w:type="dxa"/>
        <w:tblLayout w:type="fixed"/>
        <w:tblCellMar>
          <w:left w:w="40" w:type="dxa"/>
          <w:right w:w="40" w:type="dxa"/>
        </w:tblCellMar>
        <w:tblLook w:val="0000" w:firstRow="0" w:lastRow="0" w:firstColumn="0" w:lastColumn="0" w:noHBand="0" w:noVBand="0"/>
      </w:tblPr>
      <w:tblGrid>
        <w:gridCol w:w="1258"/>
        <w:gridCol w:w="1819"/>
        <w:gridCol w:w="1601"/>
        <w:gridCol w:w="1701"/>
        <w:gridCol w:w="341"/>
        <w:gridCol w:w="1077"/>
        <w:gridCol w:w="1134"/>
      </w:tblGrid>
      <w:tr w:rsidR="0055599D" w:rsidRPr="007B7F2C" w14:paraId="55FD897A" w14:textId="77777777" w:rsidTr="00E110FB">
        <w:trPr>
          <w:trHeight w:val="20"/>
        </w:trPr>
        <w:tc>
          <w:tcPr>
            <w:tcW w:w="1258" w:type="dxa"/>
            <w:tcBorders>
              <w:top w:val="single" w:sz="6" w:space="0" w:color="auto"/>
              <w:left w:val="single" w:sz="6" w:space="0" w:color="auto"/>
              <w:bottom w:val="nil"/>
              <w:right w:val="single" w:sz="6" w:space="0" w:color="auto"/>
            </w:tcBorders>
            <w:shd w:val="clear" w:color="auto" w:fill="FFFFFF"/>
            <w:vAlign w:val="center"/>
          </w:tcPr>
          <w:p w14:paraId="4EB5BE0C" w14:textId="77777777" w:rsidR="0055599D" w:rsidRPr="007B7F2C" w:rsidRDefault="0055599D" w:rsidP="00B3579C">
            <w:pPr>
              <w:keepNext/>
              <w:rPr>
                <w:szCs w:val="22"/>
              </w:rPr>
            </w:pPr>
          </w:p>
        </w:tc>
        <w:tc>
          <w:tcPr>
            <w:tcW w:w="7673" w:type="dxa"/>
            <w:gridSpan w:val="6"/>
            <w:tcBorders>
              <w:top w:val="single" w:sz="6" w:space="0" w:color="auto"/>
              <w:left w:val="single" w:sz="6" w:space="0" w:color="auto"/>
              <w:bottom w:val="single" w:sz="6" w:space="0" w:color="auto"/>
              <w:right w:val="single" w:sz="6" w:space="0" w:color="auto"/>
            </w:tcBorders>
            <w:shd w:val="clear" w:color="auto" w:fill="FFFFFF"/>
          </w:tcPr>
          <w:p w14:paraId="2D489EB6" w14:textId="77777777" w:rsidR="0055599D" w:rsidRPr="007B7F2C" w:rsidRDefault="0055599D" w:rsidP="00B3579C">
            <w:pPr>
              <w:keepNext/>
              <w:jc w:val="center"/>
              <w:rPr>
                <w:szCs w:val="22"/>
              </w:rPr>
            </w:pPr>
            <w:r w:rsidRPr="007B7F2C">
              <w:rPr>
                <w:b/>
                <w:bCs/>
                <w:szCs w:val="22"/>
              </w:rPr>
              <w:t>Cykly 1 až 4</w:t>
            </w:r>
          </w:p>
        </w:tc>
      </w:tr>
      <w:tr w:rsidR="0055599D" w:rsidRPr="007B7F2C" w14:paraId="26BFD518"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7A8FF398" w14:textId="77777777" w:rsidR="0055599D" w:rsidRPr="007B7F2C" w:rsidRDefault="0055599D" w:rsidP="00B3579C">
            <w:pPr>
              <w:widowControl w:val="0"/>
              <w:rPr>
                <w:szCs w:val="22"/>
              </w:rPr>
            </w:pPr>
          </w:p>
          <w:p w14:paraId="7F810C18"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vAlign w:val="center"/>
          </w:tcPr>
          <w:p w14:paraId="14B9FAEB" w14:textId="77777777" w:rsidR="0055599D" w:rsidRPr="007B7F2C" w:rsidRDefault="0055599D" w:rsidP="00B3579C">
            <w:pPr>
              <w:widowControl w:val="0"/>
              <w:jc w:val="center"/>
              <w:rPr>
                <w:b/>
                <w:szCs w:val="22"/>
              </w:rPr>
            </w:pPr>
            <w:r w:rsidRPr="007B7F2C">
              <w:rPr>
                <w:b/>
                <w:szCs w:val="22"/>
              </w:rPr>
              <w:t>Týždeň</w:t>
            </w:r>
          </w:p>
        </w:tc>
        <w:tc>
          <w:tcPr>
            <w:tcW w:w="1601" w:type="dxa"/>
            <w:tcBorders>
              <w:top w:val="single" w:sz="6" w:space="0" w:color="auto"/>
              <w:left w:val="single" w:sz="6" w:space="0" w:color="auto"/>
              <w:bottom w:val="single" w:sz="6" w:space="0" w:color="auto"/>
              <w:right w:val="single" w:sz="6" w:space="0" w:color="auto"/>
            </w:tcBorders>
            <w:shd w:val="clear" w:color="auto" w:fill="FFFFFF"/>
            <w:vAlign w:val="center"/>
          </w:tcPr>
          <w:p w14:paraId="3DDBC923" w14:textId="77777777" w:rsidR="0055599D" w:rsidRPr="007B7F2C" w:rsidRDefault="0055599D" w:rsidP="00B3579C">
            <w:pPr>
              <w:widowControl w:val="0"/>
              <w:jc w:val="center"/>
              <w:rPr>
                <w:szCs w:val="22"/>
              </w:rPr>
            </w:pPr>
            <w:r w:rsidRPr="007B7F2C">
              <w:rPr>
                <w:b/>
                <w:bCs/>
                <w:szCs w:val="22"/>
              </w:rPr>
              <w:t>1</w:t>
            </w:r>
          </w:p>
        </w:tc>
        <w:tc>
          <w:tcPr>
            <w:tcW w:w="204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3C00D4C" w14:textId="77777777" w:rsidR="0055599D" w:rsidRPr="007B7F2C" w:rsidRDefault="0055599D" w:rsidP="00B3579C">
            <w:pPr>
              <w:widowControl w:val="0"/>
              <w:jc w:val="center"/>
              <w:rPr>
                <w:szCs w:val="22"/>
              </w:rPr>
            </w:pPr>
            <w:r w:rsidRPr="007B7F2C">
              <w:rPr>
                <w:b/>
                <w:bCs/>
                <w:szCs w:val="22"/>
              </w:rPr>
              <w:t>2</w:t>
            </w:r>
          </w:p>
        </w:tc>
        <w:tc>
          <w:tcPr>
            <w:tcW w:w="221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9CADE52" w14:textId="77777777" w:rsidR="0055599D" w:rsidRPr="007B7F2C" w:rsidRDefault="0055599D" w:rsidP="00B3579C">
            <w:pPr>
              <w:widowControl w:val="0"/>
              <w:jc w:val="center"/>
              <w:rPr>
                <w:szCs w:val="22"/>
              </w:rPr>
            </w:pPr>
            <w:r w:rsidRPr="007B7F2C">
              <w:rPr>
                <w:b/>
                <w:bCs/>
                <w:szCs w:val="22"/>
              </w:rPr>
              <w:t>3</w:t>
            </w:r>
          </w:p>
        </w:tc>
      </w:tr>
      <w:tr w:rsidR="0055599D" w:rsidRPr="007B7F2C" w14:paraId="2CC59FB8"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285EC360" w14:textId="77777777" w:rsidR="0055599D" w:rsidRPr="007B7F2C" w:rsidRDefault="0055599D" w:rsidP="00B3579C">
            <w:pPr>
              <w:widowControl w:val="0"/>
              <w:rPr>
                <w:szCs w:val="22"/>
              </w:rPr>
            </w:pPr>
            <w:r w:rsidRPr="007B7F2C">
              <w:rPr>
                <w:b/>
                <w:bCs/>
                <w:szCs w:val="22"/>
              </w:rPr>
              <w:t>B+ Dx</w:t>
            </w:r>
          </w:p>
          <w:p w14:paraId="567A028E"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21C0E2C5" w14:textId="77777777" w:rsidR="0055599D" w:rsidRPr="007B7F2C" w:rsidRDefault="0055599D" w:rsidP="00B3579C">
            <w:pPr>
              <w:widowControl w:val="0"/>
              <w:rPr>
                <w:szCs w:val="22"/>
              </w:rPr>
            </w:pPr>
            <w:r w:rsidRPr="007B7F2C">
              <w:rPr>
                <w:szCs w:val="22"/>
              </w:rPr>
              <w:t>B (1,3 mg/m</w:t>
            </w:r>
            <w:r w:rsidRPr="007B7F2C">
              <w:rPr>
                <w:szCs w:val="22"/>
                <w:vertAlign w:val="superscript"/>
              </w:rPr>
              <w:t>2</w:t>
            </w:r>
            <w:r w:rsidRPr="007B7F2C">
              <w:rPr>
                <w:szCs w:val="22"/>
              </w:rPr>
              <w:t>)</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7FC86998" w14:textId="77777777" w:rsidR="0055599D" w:rsidRPr="007B7F2C" w:rsidRDefault="0055599D" w:rsidP="00B3579C">
            <w:pPr>
              <w:widowControl w:val="0"/>
              <w:rPr>
                <w:szCs w:val="22"/>
              </w:rPr>
            </w:pPr>
            <w:r w:rsidRPr="007B7F2C">
              <w:rPr>
                <w:szCs w:val="22"/>
              </w:rPr>
              <w:t>1., 4. deň</w:t>
            </w:r>
          </w:p>
        </w:tc>
        <w:tc>
          <w:tcPr>
            <w:tcW w:w="2042" w:type="dxa"/>
            <w:gridSpan w:val="2"/>
            <w:tcBorders>
              <w:top w:val="single" w:sz="6" w:space="0" w:color="auto"/>
              <w:left w:val="single" w:sz="6" w:space="0" w:color="auto"/>
              <w:bottom w:val="single" w:sz="6" w:space="0" w:color="auto"/>
              <w:right w:val="single" w:sz="6" w:space="0" w:color="auto"/>
            </w:tcBorders>
            <w:shd w:val="clear" w:color="auto" w:fill="FFFFFF"/>
          </w:tcPr>
          <w:p w14:paraId="4687D7BE" w14:textId="77777777" w:rsidR="0055599D" w:rsidRPr="007B7F2C" w:rsidRDefault="0055599D" w:rsidP="00B3579C">
            <w:pPr>
              <w:widowControl w:val="0"/>
              <w:rPr>
                <w:szCs w:val="22"/>
              </w:rPr>
            </w:pPr>
            <w:r w:rsidRPr="007B7F2C">
              <w:rPr>
                <w:szCs w:val="22"/>
              </w:rPr>
              <w:t>8., 11. deň</w:t>
            </w:r>
          </w:p>
        </w:tc>
        <w:tc>
          <w:tcPr>
            <w:tcW w:w="2211" w:type="dxa"/>
            <w:gridSpan w:val="2"/>
            <w:tcBorders>
              <w:top w:val="single" w:sz="6" w:space="0" w:color="auto"/>
              <w:left w:val="single" w:sz="6" w:space="0" w:color="auto"/>
              <w:bottom w:val="single" w:sz="6" w:space="0" w:color="auto"/>
              <w:right w:val="single" w:sz="6" w:space="0" w:color="auto"/>
            </w:tcBorders>
            <w:shd w:val="clear" w:color="auto" w:fill="FFFFFF"/>
          </w:tcPr>
          <w:p w14:paraId="646C60AC" w14:textId="77777777" w:rsidR="0055599D" w:rsidRPr="007B7F2C" w:rsidRDefault="0055599D" w:rsidP="00B3579C">
            <w:pPr>
              <w:widowControl w:val="0"/>
              <w:rPr>
                <w:szCs w:val="22"/>
              </w:rPr>
            </w:pPr>
            <w:r w:rsidRPr="007B7F2C">
              <w:rPr>
                <w:szCs w:val="22"/>
              </w:rPr>
              <w:t>pauza</w:t>
            </w:r>
          </w:p>
        </w:tc>
      </w:tr>
      <w:tr w:rsidR="0055599D" w:rsidRPr="007B7F2C" w14:paraId="47E837DE" w14:textId="77777777" w:rsidTr="00E110FB">
        <w:trPr>
          <w:trHeight w:val="20"/>
        </w:trPr>
        <w:tc>
          <w:tcPr>
            <w:tcW w:w="1258" w:type="dxa"/>
            <w:tcBorders>
              <w:top w:val="nil"/>
              <w:left w:val="single" w:sz="6" w:space="0" w:color="auto"/>
              <w:bottom w:val="single" w:sz="6" w:space="0" w:color="auto"/>
              <w:right w:val="single" w:sz="6" w:space="0" w:color="auto"/>
            </w:tcBorders>
            <w:shd w:val="clear" w:color="auto" w:fill="FFFFFF"/>
            <w:vAlign w:val="center"/>
          </w:tcPr>
          <w:p w14:paraId="348D2BA3" w14:textId="77777777" w:rsidR="0055599D" w:rsidRPr="007B7F2C" w:rsidRDefault="0055599D" w:rsidP="00B3579C">
            <w:pPr>
              <w:widowControl w:val="0"/>
              <w:rPr>
                <w:szCs w:val="22"/>
              </w:rPr>
            </w:pPr>
          </w:p>
          <w:p w14:paraId="26CFE53B"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1099DA2F" w14:textId="77777777" w:rsidR="0055599D" w:rsidRPr="007B7F2C" w:rsidRDefault="0055599D" w:rsidP="00B3579C">
            <w:pPr>
              <w:widowControl w:val="0"/>
              <w:rPr>
                <w:szCs w:val="22"/>
              </w:rPr>
            </w:pPr>
            <w:r w:rsidRPr="007B7F2C">
              <w:rPr>
                <w:szCs w:val="22"/>
              </w:rPr>
              <w:t>Dx 40 mg</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7953F711" w14:textId="77777777" w:rsidR="0055599D" w:rsidRPr="007B7F2C" w:rsidRDefault="0055599D" w:rsidP="00B3579C">
            <w:pPr>
              <w:widowControl w:val="0"/>
              <w:rPr>
                <w:szCs w:val="22"/>
              </w:rPr>
            </w:pPr>
            <w:r w:rsidRPr="007B7F2C">
              <w:rPr>
                <w:szCs w:val="22"/>
              </w:rPr>
              <w:t>1., 2., 3., 4. deň</w:t>
            </w:r>
          </w:p>
        </w:tc>
        <w:tc>
          <w:tcPr>
            <w:tcW w:w="2042" w:type="dxa"/>
            <w:gridSpan w:val="2"/>
            <w:tcBorders>
              <w:top w:val="single" w:sz="6" w:space="0" w:color="auto"/>
              <w:left w:val="single" w:sz="6" w:space="0" w:color="auto"/>
              <w:bottom w:val="single" w:sz="6" w:space="0" w:color="auto"/>
              <w:right w:val="single" w:sz="6" w:space="0" w:color="auto"/>
            </w:tcBorders>
            <w:shd w:val="clear" w:color="auto" w:fill="FFFFFF"/>
          </w:tcPr>
          <w:p w14:paraId="253A37A5" w14:textId="77777777" w:rsidR="0055599D" w:rsidRPr="007B7F2C" w:rsidRDefault="0055599D" w:rsidP="00B3579C">
            <w:pPr>
              <w:widowControl w:val="0"/>
              <w:rPr>
                <w:szCs w:val="22"/>
              </w:rPr>
            </w:pPr>
            <w:r w:rsidRPr="007B7F2C">
              <w:rPr>
                <w:szCs w:val="22"/>
              </w:rPr>
              <w:t>8., 9., 10., 11. deň</w:t>
            </w:r>
          </w:p>
        </w:tc>
        <w:tc>
          <w:tcPr>
            <w:tcW w:w="2211" w:type="dxa"/>
            <w:gridSpan w:val="2"/>
            <w:tcBorders>
              <w:top w:val="single" w:sz="6" w:space="0" w:color="auto"/>
              <w:left w:val="single" w:sz="6" w:space="0" w:color="auto"/>
              <w:bottom w:val="single" w:sz="6" w:space="0" w:color="auto"/>
              <w:right w:val="single" w:sz="6" w:space="0" w:color="auto"/>
            </w:tcBorders>
            <w:shd w:val="clear" w:color="auto" w:fill="FFFFFF"/>
          </w:tcPr>
          <w:p w14:paraId="45758125" w14:textId="77777777" w:rsidR="0055599D" w:rsidRPr="007B7F2C" w:rsidRDefault="0055599D" w:rsidP="00B3579C">
            <w:pPr>
              <w:widowControl w:val="0"/>
              <w:rPr>
                <w:szCs w:val="22"/>
              </w:rPr>
            </w:pPr>
            <w:r w:rsidRPr="007B7F2C">
              <w:rPr>
                <w:szCs w:val="22"/>
              </w:rPr>
              <w:t>-</w:t>
            </w:r>
          </w:p>
        </w:tc>
      </w:tr>
      <w:tr w:rsidR="0055599D" w:rsidRPr="007B7F2C" w14:paraId="68673AD2" w14:textId="77777777" w:rsidTr="00E110FB">
        <w:trPr>
          <w:trHeight w:val="20"/>
        </w:trPr>
        <w:tc>
          <w:tcPr>
            <w:tcW w:w="1258" w:type="dxa"/>
            <w:tcBorders>
              <w:top w:val="single" w:sz="6" w:space="0" w:color="auto"/>
              <w:left w:val="single" w:sz="6" w:space="0" w:color="auto"/>
              <w:bottom w:val="nil"/>
              <w:right w:val="single" w:sz="6" w:space="0" w:color="auto"/>
            </w:tcBorders>
            <w:shd w:val="clear" w:color="auto" w:fill="FFFFFF"/>
            <w:vAlign w:val="center"/>
          </w:tcPr>
          <w:p w14:paraId="32B407CE" w14:textId="77777777" w:rsidR="0055599D" w:rsidRPr="007B7F2C" w:rsidRDefault="0055599D" w:rsidP="00B3579C">
            <w:pPr>
              <w:widowControl w:val="0"/>
              <w:rPr>
                <w:szCs w:val="22"/>
              </w:rPr>
            </w:pPr>
          </w:p>
        </w:tc>
        <w:tc>
          <w:tcPr>
            <w:tcW w:w="7673" w:type="dxa"/>
            <w:gridSpan w:val="6"/>
            <w:tcBorders>
              <w:top w:val="single" w:sz="6" w:space="0" w:color="auto"/>
              <w:left w:val="single" w:sz="6" w:space="0" w:color="auto"/>
              <w:bottom w:val="single" w:sz="6" w:space="0" w:color="auto"/>
              <w:right w:val="single" w:sz="6" w:space="0" w:color="auto"/>
            </w:tcBorders>
            <w:shd w:val="clear" w:color="auto" w:fill="FFFFFF"/>
          </w:tcPr>
          <w:p w14:paraId="3F9C409A" w14:textId="77777777" w:rsidR="0055599D" w:rsidRPr="007B7F2C" w:rsidRDefault="0055599D" w:rsidP="00B3579C">
            <w:pPr>
              <w:widowControl w:val="0"/>
              <w:jc w:val="center"/>
              <w:rPr>
                <w:szCs w:val="22"/>
              </w:rPr>
            </w:pPr>
            <w:r w:rsidRPr="007B7F2C">
              <w:rPr>
                <w:b/>
                <w:bCs/>
                <w:szCs w:val="22"/>
              </w:rPr>
              <w:t>Cyklus 1</w:t>
            </w:r>
          </w:p>
        </w:tc>
      </w:tr>
      <w:tr w:rsidR="0055599D" w:rsidRPr="007B7F2C" w14:paraId="769558A7"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5B487330" w14:textId="77777777" w:rsidR="0055599D" w:rsidRPr="007B7F2C" w:rsidRDefault="0055599D" w:rsidP="00B3579C">
            <w:pPr>
              <w:widowControl w:val="0"/>
              <w:rPr>
                <w:szCs w:val="22"/>
              </w:rPr>
            </w:pPr>
          </w:p>
          <w:p w14:paraId="0577DDAB"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vAlign w:val="center"/>
          </w:tcPr>
          <w:p w14:paraId="627FABCE" w14:textId="77777777" w:rsidR="0055599D" w:rsidRPr="007B7F2C" w:rsidRDefault="0055599D" w:rsidP="00B3579C">
            <w:pPr>
              <w:widowControl w:val="0"/>
              <w:jc w:val="center"/>
              <w:rPr>
                <w:szCs w:val="22"/>
              </w:rPr>
            </w:pPr>
            <w:r w:rsidRPr="007B7F2C">
              <w:rPr>
                <w:b/>
                <w:szCs w:val="22"/>
              </w:rPr>
              <w:t>Týždeň</w:t>
            </w:r>
          </w:p>
        </w:tc>
        <w:tc>
          <w:tcPr>
            <w:tcW w:w="1601" w:type="dxa"/>
            <w:tcBorders>
              <w:top w:val="single" w:sz="6" w:space="0" w:color="auto"/>
              <w:left w:val="single" w:sz="6" w:space="0" w:color="auto"/>
              <w:bottom w:val="single" w:sz="6" w:space="0" w:color="auto"/>
              <w:right w:val="single" w:sz="6" w:space="0" w:color="auto"/>
            </w:tcBorders>
            <w:shd w:val="clear" w:color="auto" w:fill="FFFFFF"/>
            <w:vAlign w:val="center"/>
          </w:tcPr>
          <w:p w14:paraId="56EEF100" w14:textId="77777777" w:rsidR="0055599D" w:rsidRPr="007B7F2C" w:rsidRDefault="0055599D" w:rsidP="00B3579C">
            <w:pPr>
              <w:widowControl w:val="0"/>
              <w:jc w:val="center"/>
              <w:rPr>
                <w:szCs w:val="22"/>
              </w:rPr>
            </w:pPr>
            <w:r w:rsidRPr="007B7F2C">
              <w:rPr>
                <w:b/>
                <w:bCs/>
                <w:szCs w:val="22"/>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7A06DCF" w14:textId="77777777" w:rsidR="0055599D" w:rsidRPr="007B7F2C" w:rsidRDefault="0055599D" w:rsidP="00B3579C">
            <w:pPr>
              <w:widowControl w:val="0"/>
              <w:jc w:val="center"/>
              <w:rPr>
                <w:szCs w:val="22"/>
              </w:rPr>
            </w:pPr>
            <w:r w:rsidRPr="007B7F2C">
              <w:rPr>
                <w:b/>
                <w:bCs/>
                <w:szCs w:val="22"/>
              </w:rPr>
              <w:t>2</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0A16BC0" w14:textId="77777777" w:rsidR="0055599D" w:rsidRPr="007B7F2C" w:rsidRDefault="0055599D" w:rsidP="00B3579C">
            <w:pPr>
              <w:widowControl w:val="0"/>
              <w:jc w:val="center"/>
              <w:rPr>
                <w:szCs w:val="22"/>
              </w:rPr>
            </w:pPr>
            <w:r w:rsidRPr="007B7F2C">
              <w:rPr>
                <w:b/>
                <w:bCs/>
                <w:szCs w:val="22"/>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BAF7E83" w14:textId="77777777" w:rsidR="0055599D" w:rsidRPr="007B7F2C" w:rsidRDefault="0055599D" w:rsidP="00B3579C">
            <w:pPr>
              <w:widowControl w:val="0"/>
              <w:jc w:val="center"/>
              <w:rPr>
                <w:szCs w:val="22"/>
              </w:rPr>
            </w:pPr>
            <w:r w:rsidRPr="007B7F2C">
              <w:rPr>
                <w:b/>
                <w:bCs/>
                <w:szCs w:val="22"/>
              </w:rPr>
              <w:t>4</w:t>
            </w:r>
          </w:p>
        </w:tc>
      </w:tr>
      <w:tr w:rsidR="0055599D" w:rsidRPr="007B7F2C" w14:paraId="02D9FFEF"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5A77028A" w14:textId="77777777" w:rsidR="0055599D" w:rsidRPr="007B7F2C" w:rsidRDefault="0055599D" w:rsidP="00B3579C">
            <w:pPr>
              <w:widowControl w:val="0"/>
              <w:rPr>
                <w:szCs w:val="22"/>
              </w:rPr>
            </w:pPr>
          </w:p>
          <w:p w14:paraId="22A95C59"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5648919B" w14:textId="77777777" w:rsidR="0055599D" w:rsidRPr="007B7F2C" w:rsidRDefault="0055599D" w:rsidP="00B3579C">
            <w:pPr>
              <w:widowControl w:val="0"/>
              <w:rPr>
                <w:szCs w:val="22"/>
              </w:rPr>
            </w:pPr>
            <w:r w:rsidRPr="007B7F2C">
              <w:rPr>
                <w:szCs w:val="22"/>
              </w:rPr>
              <w:t>B (1,3 mg/m</w:t>
            </w:r>
            <w:r w:rsidRPr="007B7F2C">
              <w:rPr>
                <w:szCs w:val="22"/>
                <w:vertAlign w:val="superscript"/>
              </w:rPr>
              <w:t>2</w:t>
            </w:r>
            <w:r w:rsidRPr="007B7F2C">
              <w:rPr>
                <w:szCs w:val="22"/>
              </w:rPr>
              <w:t>)</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3906C7E4" w14:textId="77777777" w:rsidR="0055599D" w:rsidRPr="007B7F2C" w:rsidRDefault="0055599D" w:rsidP="00B3579C">
            <w:pPr>
              <w:widowControl w:val="0"/>
              <w:rPr>
                <w:szCs w:val="22"/>
              </w:rPr>
            </w:pPr>
            <w:r w:rsidRPr="007B7F2C">
              <w:rPr>
                <w:szCs w:val="22"/>
              </w:rPr>
              <w:t>1., 4. deň</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42F54D6" w14:textId="77777777" w:rsidR="0055599D" w:rsidRPr="007B7F2C" w:rsidRDefault="0055599D" w:rsidP="00B3579C">
            <w:pPr>
              <w:widowControl w:val="0"/>
              <w:rPr>
                <w:szCs w:val="22"/>
              </w:rPr>
            </w:pPr>
            <w:r w:rsidRPr="007B7F2C">
              <w:rPr>
                <w:szCs w:val="22"/>
              </w:rPr>
              <w:t>8., 11. deň</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36D67BDF" w14:textId="77777777" w:rsidR="0055599D" w:rsidRPr="007B7F2C" w:rsidRDefault="0055599D" w:rsidP="00B3579C">
            <w:pPr>
              <w:widowControl w:val="0"/>
              <w:rPr>
                <w:szCs w:val="22"/>
              </w:rPr>
            </w:pPr>
            <w:r w:rsidRPr="007B7F2C">
              <w:rPr>
                <w:szCs w:val="22"/>
              </w:rPr>
              <w:t>pauza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D5AE397" w14:textId="77777777" w:rsidR="0055599D" w:rsidRPr="007B7F2C" w:rsidRDefault="0055599D" w:rsidP="00B3579C">
            <w:pPr>
              <w:widowControl w:val="0"/>
              <w:rPr>
                <w:szCs w:val="22"/>
              </w:rPr>
            </w:pPr>
            <w:r w:rsidRPr="007B7F2C">
              <w:rPr>
                <w:szCs w:val="22"/>
              </w:rPr>
              <w:t>pauza</w:t>
            </w:r>
          </w:p>
        </w:tc>
      </w:tr>
      <w:tr w:rsidR="0055599D" w:rsidRPr="007B7F2C" w14:paraId="397E531C"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003C32C5" w14:textId="77777777" w:rsidR="0055599D" w:rsidRPr="007B7F2C" w:rsidRDefault="0055599D" w:rsidP="00B3579C">
            <w:pPr>
              <w:widowControl w:val="0"/>
              <w:rPr>
                <w:szCs w:val="22"/>
              </w:rPr>
            </w:pPr>
          </w:p>
          <w:p w14:paraId="207452DD" w14:textId="77777777" w:rsidR="0055599D" w:rsidRPr="007B7F2C" w:rsidRDefault="0055599D" w:rsidP="00B3579C">
            <w:pPr>
              <w:widowControl w:val="0"/>
              <w:rPr>
                <w:szCs w:val="22"/>
              </w:rPr>
            </w:pPr>
            <w:r w:rsidRPr="007B7F2C">
              <w:rPr>
                <w:b/>
                <w:bCs/>
                <w:szCs w:val="22"/>
              </w:rPr>
              <w:t>B+Dx+T</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299BA19A" w14:textId="77777777" w:rsidR="0055599D" w:rsidRPr="007B7F2C" w:rsidRDefault="0055599D" w:rsidP="00B3579C">
            <w:pPr>
              <w:widowControl w:val="0"/>
              <w:rPr>
                <w:szCs w:val="22"/>
              </w:rPr>
            </w:pPr>
            <w:r w:rsidRPr="007B7F2C">
              <w:rPr>
                <w:szCs w:val="22"/>
              </w:rPr>
              <w:t>T 50 mg</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529358CD" w14:textId="77777777" w:rsidR="0055599D" w:rsidRPr="007B7F2C" w:rsidRDefault="0055599D" w:rsidP="00B3579C">
            <w:pPr>
              <w:widowControl w:val="0"/>
              <w:rPr>
                <w:szCs w:val="22"/>
              </w:rPr>
            </w:pPr>
            <w:r w:rsidRPr="007B7F2C">
              <w:rPr>
                <w:szCs w:val="22"/>
              </w:rPr>
              <w:t>denne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9C291BA" w14:textId="77777777" w:rsidR="0055599D" w:rsidRPr="007B7F2C" w:rsidRDefault="0055599D" w:rsidP="00B3579C">
            <w:pPr>
              <w:widowControl w:val="0"/>
              <w:rPr>
                <w:szCs w:val="22"/>
              </w:rPr>
            </w:pPr>
            <w:r w:rsidRPr="007B7F2C">
              <w:rPr>
                <w:szCs w:val="22"/>
              </w:rPr>
              <w:t>denne</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385D83EF" w14:textId="77777777" w:rsidR="0055599D" w:rsidRPr="007B7F2C" w:rsidRDefault="0055599D" w:rsidP="00B3579C">
            <w:pPr>
              <w:widowControl w:val="0"/>
              <w:rPr>
                <w:szCs w:val="22"/>
              </w:rPr>
            </w:pPr>
            <w:r w:rsidRPr="007B7F2C">
              <w:rPr>
                <w:szCs w:val="22"/>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69B28EF" w14:textId="77777777" w:rsidR="0055599D" w:rsidRPr="007B7F2C" w:rsidRDefault="0055599D" w:rsidP="00B3579C">
            <w:pPr>
              <w:widowControl w:val="0"/>
              <w:rPr>
                <w:szCs w:val="22"/>
              </w:rPr>
            </w:pPr>
            <w:r w:rsidRPr="007B7F2C">
              <w:rPr>
                <w:szCs w:val="22"/>
              </w:rPr>
              <w:t>-</w:t>
            </w:r>
          </w:p>
        </w:tc>
      </w:tr>
      <w:tr w:rsidR="0055599D" w:rsidRPr="007B7F2C" w14:paraId="7962BFCC"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3E471D6F" w14:textId="77777777" w:rsidR="0055599D" w:rsidRPr="007B7F2C" w:rsidRDefault="0055599D" w:rsidP="00B3579C">
            <w:pPr>
              <w:widowControl w:val="0"/>
              <w:rPr>
                <w:szCs w:val="22"/>
              </w:rPr>
            </w:pPr>
          </w:p>
          <w:p w14:paraId="4940F102"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5B6AB0B8" w14:textId="77777777" w:rsidR="0055599D" w:rsidRPr="007B7F2C" w:rsidRDefault="0055599D" w:rsidP="00B3579C">
            <w:pPr>
              <w:widowControl w:val="0"/>
              <w:rPr>
                <w:szCs w:val="22"/>
              </w:rPr>
            </w:pPr>
            <w:r w:rsidRPr="007B7F2C">
              <w:rPr>
                <w:szCs w:val="22"/>
              </w:rPr>
              <w:t>T 100 mg</w:t>
            </w:r>
            <w:r w:rsidRPr="007B7F2C">
              <w:rPr>
                <w:szCs w:val="22"/>
                <w:vertAlign w:val="superscript"/>
              </w:rPr>
              <w:t>a</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270A5844" w14:textId="77777777" w:rsidR="0055599D" w:rsidRPr="007B7F2C" w:rsidRDefault="0055599D" w:rsidP="00B3579C">
            <w:pPr>
              <w:widowControl w:val="0"/>
              <w:rPr>
                <w:szCs w:val="22"/>
              </w:rPr>
            </w:pPr>
            <w:r w:rsidRPr="007B7F2C">
              <w:rPr>
                <w:szCs w:val="22"/>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2E8DEE0" w14:textId="77777777" w:rsidR="0055599D" w:rsidRPr="007B7F2C" w:rsidRDefault="0055599D" w:rsidP="00B3579C">
            <w:pPr>
              <w:widowControl w:val="0"/>
              <w:rPr>
                <w:szCs w:val="22"/>
              </w:rPr>
            </w:pPr>
            <w:r w:rsidRPr="007B7F2C">
              <w:rPr>
                <w:szCs w:val="22"/>
              </w:rPr>
              <w:t>-</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4ABB1DBA" w14:textId="77777777" w:rsidR="0055599D" w:rsidRPr="007B7F2C" w:rsidRDefault="0055599D" w:rsidP="00B3579C">
            <w:pPr>
              <w:widowControl w:val="0"/>
              <w:rPr>
                <w:szCs w:val="22"/>
              </w:rPr>
            </w:pPr>
            <w:r w:rsidRPr="007B7F2C">
              <w:rPr>
                <w:szCs w:val="22"/>
              </w:rPr>
              <w:t>denne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770470F" w14:textId="77777777" w:rsidR="0055599D" w:rsidRPr="007B7F2C" w:rsidRDefault="0055599D" w:rsidP="00B3579C">
            <w:pPr>
              <w:widowControl w:val="0"/>
              <w:rPr>
                <w:szCs w:val="22"/>
              </w:rPr>
            </w:pPr>
            <w:r w:rsidRPr="007B7F2C">
              <w:rPr>
                <w:szCs w:val="22"/>
              </w:rPr>
              <w:t>denne</w:t>
            </w:r>
          </w:p>
        </w:tc>
      </w:tr>
      <w:tr w:rsidR="0055599D" w:rsidRPr="007B7F2C" w14:paraId="2BF05F94"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5C64DB89" w14:textId="77777777" w:rsidR="0055599D" w:rsidRPr="007B7F2C" w:rsidRDefault="0055599D" w:rsidP="00B3579C">
            <w:pPr>
              <w:widowControl w:val="0"/>
              <w:rPr>
                <w:szCs w:val="22"/>
              </w:rPr>
            </w:pPr>
          </w:p>
          <w:p w14:paraId="2446FC4D"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5249CE2B" w14:textId="77777777" w:rsidR="0055599D" w:rsidRPr="007B7F2C" w:rsidRDefault="0055599D" w:rsidP="00B3579C">
            <w:pPr>
              <w:widowControl w:val="0"/>
              <w:rPr>
                <w:szCs w:val="22"/>
              </w:rPr>
            </w:pPr>
            <w:r w:rsidRPr="007B7F2C">
              <w:rPr>
                <w:szCs w:val="22"/>
              </w:rPr>
              <w:t>Dx 40 mg</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74772A4C" w14:textId="77777777" w:rsidR="0055599D" w:rsidRPr="007B7F2C" w:rsidRDefault="0055599D" w:rsidP="00B3579C">
            <w:pPr>
              <w:widowControl w:val="0"/>
              <w:rPr>
                <w:szCs w:val="22"/>
              </w:rPr>
            </w:pPr>
            <w:r w:rsidRPr="007B7F2C">
              <w:rPr>
                <w:szCs w:val="22"/>
              </w:rPr>
              <w:t>1., 2., 3., 4. deň</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A9EAE48" w14:textId="77777777" w:rsidR="0055599D" w:rsidRPr="007B7F2C" w:rsidRDefault="0055599D" w:rsidP="00B3579C">
            <w:pPr>
              <w:widowControl w:val="0"/>
              <w:rPr>
                <w:szCs w:val="22"/>
              </w:rPr>
            </w:pPr>
            <w:r w:rsidRPr="007B7F2C">
              <w:rPr>
                <w:szCs w:val="22"/>
              </w:rPr>
              <w:t>8., 9., 10., 11. deň</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5490BF9F" w14:textId="77777777" w:rsidR="0055599D" w:rsidRPr="007B7F2C" w:rsidRDefault="0055599D" w:rsidP="00B3579C">
            <w:pPr>
              <w:widowControl w:val="0"/>
              <w:rPr>
                <w:szCs w:val="22"/>
              </w:rPr>
            </w:pPr>
            <w:r w:rsidRPr="007B7F2C">
              <w:rPr>
                <w:szCs w:val="22"/>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0140AD5" w14:textId="77777777" w:rsidR="0055599D" w:rsidRPr="007B7F2C" w:rsidRDefault="0055599D" w:rsidP="00B3579C">
            <w:pPr>
              <w:widowControl w:val="0"/>
              <w:rPr>
                <w:szCs w:val="22"/>
              </w:rPr>
            </w:pPr>
            <w:r w:rsidRPr="007B7F2C">
              <w:rPr>
                <w:szCs w:val="22"/>
              </w:rPr>
              <w:t>-</w:t>
            </w:r>
          </w:p>
        </w:tc>
      </w:tr>
      <w:tr w:rsidR="0055599D" w:rsidRPr="007B7F2C" w14:paraId="65430B03" w14:textId="77777777" w:rsidTr="00E110FB">
        <w:trPr>
          <w:trHeight w:val="309"/>
        </w:trPr>
        <w:tc>
          <w:tcPr>
            <w:tcW w:w="1258" w:type="dxa"/>
            <w:tcBorders>
              <w:top w:val="nil"/>
              <w:left w:val="single" w:sz="6" w:space="0" w:color="auto"/>
              <w:bottom w:val="nil"/>
              <w:right w:val="single" w:sz="6" w:space="0" w:color="auto"/>
            </w:tcBorders>
            <w:shd w:val="clear" w:color="auto" w:fill="FFFFFF"/>
            <w:vAlign w:val="center"/>
          </w:tcPr>
          <w:p w14:paraId="3F8F6E35" w14:textId="77777777" w:rsidR="0055599D" w:rsidRPr="007B7F2C" w:rsidRDefault="0055599D" w:rsidP="00B3579C">
            <w:pPr>
              <w:widowControl w:val="0"/>
              <w:rPr>
                <w:szCs w:val="22"/>
              </w:rPr>
            </w:pPr>
          </w:p>
        </w:tc>
        <w:tc>
          <w:tcPr>
            <w:tcW w:w="7673" w:type="dxa"/>
            <w:gridSpan w:val="6"/>
            <w:tcBorders>
              <w:top w:val="single" w:sz="6" w:space="0" w:color="auto"/>
              <w:left w:val="single" w:sz="6" w:space="0" w:color="auto"/>
              <w:bottom w:val="single" w:sz="6" w:space="0" w:color="auto"/>
              <w:right w:val="single" w:sz="6" w:space="0" w:color="auto"/>
            </w:tcBorders>
            <w:shd w:val="clear" w:color="auto" w:fill="FFFFFF"/>
          </w:tcPr>
          <w:p w14:paraId="7C83BEFE" w14:textId="77777777" w:rsidR="0055599D" w:rsidRPr="007B7F2C" w:rsidRDefault="0055599D" w:rsidP="00B3579C">
            <w:pPr>
              <w:widowControl w:val="0"/>
              <w:jc w:val="center"/>
              <w:rPr>
                <w:szCs w:val="22"/>
              </w:rPr>
            </w:pPr>
            <w:r w:rsidRPr="007B7F2C">
              <w:rPr>
                <w:b/>
                <w:bCs/>
                <w:szCs w:val="22"/>
              </w:rPr>
              <w:t>Cykly 2 až 4</w:t>
            </w:r>
            <w:r w:rsidRPr="007B7F2C">
              <w:rPr>
                <w:b/>
                <w:bCs/>
                <w:szCs w:val="22"/>
                <w:vertAlign w:val="superscript"/>
              </w:rPr>
              <w:t>b</w:t>
            </w:r>
          </w:p>
        </w:tc>
      </w:tr>
      <w:tr w:rsidR="0055599D" w:rsidRPr="007B7F2C" w14:paraId="5536DA01"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580A4BED" w14:textId="77777777" w:rsidR="0055599D" w:rsidRPr="007B7F2C" w:rsidRDefault="0055599D" w:rsidP="00B3579C">
            <w:pPr>
              <w:widowControl w:val="0"/>
              <w:rPr>
                <w:szCs w:val="22"/>
              </w:rPr>
            </w:pPr>
          </w:p>
          <w:p w14:paraId="1E0FBB23"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5C8AE0BD" w14:textId="77777777" w:rsidR="0055599D" w:rsidRPr="007B7F2C" w:rsidRDefault="0055599D" w:rsidP="00B3579C">
            <w:pPr>
              <w:widowControl w:val="0"/>
              <w:rPr>
                <w:szCs w:val="22"/>
              </w:rPr>
            </w:pPr>
            <w:r w:rsidRPr="007B7F2C">
              <w:rPr>
                <w:szCs w:val="22"/>
              </w:rPr>
              <w:t>B (1,3 mg/m</w:t>
            </w:r>
            <w:r w:rsidRPr="007B7F2C">
              <w:rPr>
                <w:szCs w:val="22"/>
                <w:vertAlign w:val="superscript"/>
              </w:rPr>
              <w:t>2</w:t>
            </w:r>
            <w:r w:rsidRPr="007B7F2C">
              <w:rPr>
                <w:szCs w:val="22"/>
              </w:rPr>
              <w:t>)</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56DCA73F" w14:textId="77777777" w:rsidR="0055599D" w:rsidRPr="007B7F2C" w:rsidRDefault="0055599D" w:rsidP="00B3579C">
            <w:pPr>
              <w:widowControl w:val="0"/>
              <w:rPr>
                <w:szCs w:val="22"/>
              </w:rPr>
            </w:pPr>
            <w:r w:rsidRPr="007B7F2C">
              <w:rPr>
                <w:szCs w:val="22"/>
              </w:rPr>
              <w:t>1., 4. deň</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A090E00" w14:textId="77777777" w:rsidR="0055599D" w:rsidRPr="007B7F2C" w:rsidRDefault="0055599D" w:rsidP="00B3579C">
            <w:pPr>
              <w:widowControl w:val="0"/>
              <w:rPr>
                <w:szCs w:val="22"/>
              </w:rPr>
            </w:pPr>
            <w:r w:rsidRPr="007B7F2C">
              <w:rPr>
                <w:szCs w:val="22"/>
              </w:rPr>
              <w:t>8., 11. deň</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786B0856" w14:textId="77777777" w:rsidR="0055599D" w:rsidRPr="007B7F2C" w:rsidRDefault="0055599D" w:rsidP="00B3579C">
            <w:pPr>
              <w:widowControl w:val="0"/>
              <w:rPr>
                <w:szCs w:val="22"/>
              </w:rPr>
            </w:pPr>
            <w:r w:rsidRPr="007B7F2C">
              <w:rPr>
                <w:szCs w:val="22"/>
              </w:rPr>
              <w:t>pauza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D2BD27D" w14:textId="77777777" w:rsidR="0055599D" w:rsidRPr="007B7F2C" w:rsidRDefault="0055599D" w:rsidP="00B3579C">
            <w:pPr>
              <w:widowControl w:val="0"/>
              <w:rPr>
                <w:szCs w:val="22"/>
              </w:rPr>
            </w:pPr>
            <w:r w:rsidRPr="007B7F2C">
              <w:rPr>
                <w:szCs w:val="22"/>
              </w:rPr>
              <w:t>pauza</w:t>
            </w:r>
          </w:p>
        </w:tc>
      </w:tr>
      <w:tr w:rsidR="0055599D" w:rsidRPr="007B7F2C" w14:paraId="77570FEB"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345634FA" w14:textId="77777777" w:rsidR="0055599D" w:rsidRPr="007B7F2C" w:rsidRDefault="0055599D" w:rsidP="00B3579C">
            <w:pPr>
              <w:widowControl w:val="0"/>
              <w:rPr>
                <w:szCs w:val="22"/>
              </w:rPr>
            </w:pPr>
          </w:p>
          <w:p w14:paraId="6A3B21C6"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798BA9A7" w14:textId="77777777" w:rsidR="0055599D" w:rsidRPr="007B7F2C" w:rsidRDefault="0055599D" w:rsidP="00B3579C">
            <w:pPr>
              <w:widowControl w:val="0"/>
              <w:rPr>
                <w:szCs w:val="22"/>
              </w:rPr>
            </w:pPr>
            <w:r w:rsidRPr="007B7F2C">
              <w:rPr>
                <w:szCs w:val="22"/>
              </w:rPr>
              <w:t>T 200 mg</w:t>
            </w:r>
            <w:r w:rsidRPr="007B7F2C">
              <w:rPr>
                <w:szCs w:val="22"/>
                <w:vertAlign w:val="superscript"/>
              </w:rPr>
              <w:t>a</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7DF86E1D" w14:textId="77777777" w:rsidR="0055599D" w:rsidRPr="007B7F2C" w:rsidRDefault="0055599D" w:rsidP="00B3579C">
            <w:pPr>
              <w:widowControl w:val="0"/>
              <w:rPr>
                <w:szCs w:val="22"/>
              </w:rPr>
            </w:pPr>
            <w:r w:rsidRPr="007B7F2C">
              <w:rPr>
                <w:szCs w:val="22"/>
              </w:rPr>
              <w:t>denne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EA557E1" w14:textId="77777777" w:rsidR="0055599D" w:rsidRPr="007B7F2C" w:rsidRDefault="0055599D" w:rsidP="00B3579C">
            <w:pPr>
              <w:widowControl w:val="0"/>
              <w:rPr>
                <w:szCs w:val="22"/>
              </w:rPr>
            </w:pPr>
            <w:r w:rsidRPr="007B7F2C">
              <w:rPr>
                <w:szCs w:val="22"/>
              </w:rPr>
              <w:t>denne</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68292AA1" w14:textId="77777777" w:rsidR="0055599D" w:rsidRPr="007B7F2C" w:rsidRDefault="0055599D" w:rsidP="00B3579C">
            <w:pPr>
              <w:widowControl w:val="0"/>
              <w:rPr>
                <w:szCs w:val="22"/>
              </w:rPr>
            </w:pPr>
            <w:r w:rsidRPr="007B7F2C">
              <w:rPr>
                <w:szCs w:val="22"/>
              </w:rPr>
              <w:t>denne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E553ECE" w14:textId="77777777" w:rsidR="0055599D" w:rsidRPr="007B7F2C" w:rsidRDefault="0055599D" w:rsidP="00B3579C">
            <w:pPr>
              <w:widowControl w:val="0"/>
              <w:rPr>
                <w:szCs w:val="22"/>
              </w:rPr>
            </w:pPr>
            <w:r w:rsidRPr="007B7F2C">
              <w:rPr>
                <w:szCs w:val="22"/>
              </w:rPr>
              <w:t>denne</w:t>
            </w:r>
          </w:p>
        </w:tc>
      </w:tr>
      <w:tr w:rsidR="0055599D" w:rsidRPr="007B7F2C" w14:paraId="69AC658F" w14:textId="77777777" w:rsidTr="00E110FB">
        <w:trPr>
          <w:trHeight w:val="20"/>
        </w:trPr>
        <w:tc>
          <w:tcPr>
            <w:tcW w:w="1258" w:type="dxa"/>
            <w:tcBorders>
              <w:top w:val="nil"/>
              <w:left w:val="single" w:sz="6" w:space="0" w:color="auto"/>
              <w:bottom w:val="single" w:sz="6" w:space="0" w:color="auto"/>
              <w:right w:val="single" w:sz="6" w:space="0" w:color="auto"/>
            </w:tcBorders>
            <w:shd w:val="clear" w:color="auto" w:fill="FFFFFF"/>
            <w:vAlign w:val="center"/>
          </w:tcPr>
          <w:p w14:paraId="620A9538" w14:textId="77777777" w:rsidR="0055599D" w:rsidRPr="007B7F2C" w:rsidRDefault="0055599D" w:rsidP="00B3579C">
            <w:pPr>
              <w:widowControl w:val="0"/>
              <w:rPr>
                <w:szCs w:val="22"/>
              </w:rPr>
            </w:pPr>
          </w:p>
          <w:p w14:paraId="4B0B6015"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0E71DE33" w14:textId="77777777" w:rsidR="0055599D" w:rsidRPr="007B7F2C" w:rsidRDefault="0055599D" w:rsidP="00B3579C">
            <w:pPr>
              <w:widowControl w:val="0"/>
              <w:rPr>
                <w:szCs w:val="22"/>
              </w:rPr>
            </w:pPr>
            <w:r w:rsidRPr="007B7F2C">
              <w:rPr>
                <w:szCs w:val="22"/>
              </w:rPr>
              <w:t>Dx 40 mg</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4165F277" w14:textId="77777777" w:rsidR="0055599D" w:rsidRPr="007B7F2C" w:rsidRDefault="0055599D" w:rsidP="00B3579C">
            <w:pPr>
              <w:widowControl w:val="0"/>
              <w:rPr>
                <w:szCs w:val="22"/>
              </w:rPr>
            </w:pPr>
            <w:r w:rsidRPr="007B7F2C">
              <w:rPr>
                <w:szCs w:val="22"/>
              </w:rPr>
              <w:t>1., 2., 3., 4. deň</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F1391F3" w14:textId="77777777" w:rsidR="0055599D" w:rsidRPr="007B7F2C" w:rsidRDefault="0055599D" w:rsidP="00B3579C">
            <w:pPr>
              <w:widowControl w:val="0"/>
              <w:rPr>
                <w:szCs w:val="22"/>
              </w:rPr>
            </w:pPr>
            <w:r w:rsidRPr="007B7F2C">
              <w:rPr>
                <w:szCs w:val="22"/>
              </w:rPr>
              <w:t>8., 9., 10., 11. deň</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2CD30580" w14:textId="77777777" w:rsidR="0055599D" w:rsidRPr="007B7F2C" w:rsidRDefault="0055599D" w:rsidP="00B3579C">
            <w:pPr>
              <w:widowControl w:val="0"/>
              <w:rPr>
                <w:szCs w:val="22"/>
              </w:rPr>
            </w:pPr>
            <w:r w:rsidRPr="007B7F2C">
              <w:rPr>
                <w:szCs w:val="22"/>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686BA78" w14:textId="77777777" w:rsidR="0055599D" w:rsidRPr="007B7F2C" w:rsidRDefault="0055599D" w:rsidP="00B3579C">
            <w:pPr>
              <w:widowControl w:val="0"/>
              <w:rPr>
                <w:szCs w:val="22"/>
              </w:rPr>
            </w:pPr>
            <w:r w:rsidRPr="007B7F2C">
              <w:rPr>
                <w:szCs w:val="22"/>
              </w:rPr>
              <w:t>-</w:t>
            </w:r>
          </w:p>
        </w:tc>
      </w:tr>
    </w:tbl>
    <w:p w14:paraId="3E975572" w14:textId="77777777" w:rsidR="0055599D" w:rsidRDefault="0055599D" w:rsidP="00564D9B">
      <w:pPr>
        <w:autoSpaceDE w:val="0"/>
        <w:autoSpaceDN w:val="0"/>
        <w:adjustRightInd w:val="0"/>
        <w:ind w:left="0" w:firstLine="0"/>
        <w:rPr>
          <w:rFonts w:eastAsia="TimesNewRoman"/>
          <w:sz w:val="18"/>
          <w:szCs w:val="22"/>
          <w:lang w:eastAsia="en-US"/>
        </w:rPr>
      </w:pPr>
    </w:p>
    <w:p w14:paraId="6366880F" w14:textId="09B2EA75" w:rsidR="00564D9B" w:rsidRPr="00B35224" w:rsidRDefault="00564D9B" w:rsidP="00564D9B">
      <w:pPr>
        <w:autoSpaceDE w:val="0"/>
        <w:autoSpaceDN w:val="0"/>
        <w:adjustRightInd w:val="0"/>
        <w:ind w:left="0" w:firstLine="0"/>
        <w:rPr>
          <w:rFonts w:eastAsia="TimesNewRoman"/>
          <w:sz w:val="18"/>
          <w:szCs w:val="22"/>
          <w:lang w:eastAsia="en-US"/>
        </w:rPr>
      </w:pPr>
      <w:r w:rsidRPr="00B35224">
        <w:rPr>
          <w:rFonts w:eastAsia="TimesNewRoman"/>
          <w:sz w:val="18"/>
          <w:szCs w:val="22"/>
          <w:lang w:eastAsia="en-US"/>
        </w:rPr>
        <w:t>B = bortezomib; Dx = dexametazón; T = talidomid</w:t>
      </w:r>
    </w:p>
    <w:p w14:paraId="6F7EA4A7" w14:textId="17A8ADA3" w:rsidR="00564D9B" w:rsidRPr="00B35224" w:rsidRDefault="00564D9B" w:rsidP="00564D9B">
      <w:pPr>
        <w:autoSpaceDE w:val="0"/>
        <w:autoSpaceDN w:val="0"/>
        <w:adjustRightInd w:val="0"/>
        <w:ind w:left="0" w:firstLine="0"/>
        <w:rPr>
          <w:rFonts w:eastAsia="TimesNewRoman"/>
          <w:sz w:val="18"/>
          <w:szCs w:val="22"/>
          <w:lang w:eastAsia="en-US"/>
        </w:rPr>
      </w:pPr>
      <w:r w:rsidRPr="00B35224">
        <w:rPr>
          <w:rFonts w:eastAsia="TimesNewRoman"/>
          <w:sz w:val="18"/>
          <w:szCs w:val="22"/>
          <w:vertAlign w:val="superscript"/>
          <w:lang w:eastAsia="en-US"/>
        </w:rPr>
        <w:t>a</w:t>
      </w:r>
      <w:r w:rsidRPr="00B35224">
        <w:rPr>
          <w:rFonts w:eastAsia="TimesNewRoman"/>
          <w:sz w:val="18"/>
          <w:szCs w:val="22"/>
          <w:lang w:eastAsia="en-US"/>
        </w:rPr>
        <w:t xml:space="preserve"> Dávka talidomidu sa zvyšuje na 100 mg od 3. týždňa 1. cyklu, iba ak pacient toleruje dávku 50 mg a na 200 mg od 2. cyklu, ak toleruje 100 mg.</w:t>
      </w:r>
    </w:p>
    <w:p w14:paraId="687F8883" w14:textId="3D1A0C46" w:rsidR="00564D9B" w:rsidRPr="00B35224" w:rsidRDefault="00564D9B" w:rsidP="00564D9B">
      <w:pPr>
        <w:rPr>
          <w:rFonts w:eastAsia="TimesNewRoman"/>
          <w:sz w:val="18"/>
          <w:szCs w:val="22"/>
          <w:lang w:eastAsia="en-US"/>
        </w:rPr>
      </w:pPr>
      <w:r w:rsidRPr="00B35224">
        <w:rPr>
          <w:rFonts w:eastAsia="TimesNewRoman"/>
          <w:sz w:val="18"/>
          <w:szCs w:val="22"/>
          <w:vertAlign w:val="superscript"/>
          <w:lang w:eastAsia="en-US"/>
        </w:rPr>
        <w:t>b</w:t>
      </w:r>
      <w:r w:rsidRPr="00B35224">
        <w:rPr>
          <w:rFonts w:eastAsia="TimesNewRoman"/>
          <w:sz w:val="18"/>
          <w:szCs w:val="22"/>
          <w:lang w:eastAsia="en-US"/>
        </w:rPr>
        <w:t xml:space="preserve"> Pacientom, ktorí po 4. cykloch dosiahnu aspoň čiastočnú odpoveď, možno podať až 6 cyklov</w:t>
      </w:r>
    </w:p>
    <w:p w14:paraId="7FA4EE84" w14:textId="77777777" w:rsidR="00564D9B" w:rsidRPr="00E1400F" w:rsidRDefault="00564D9B" w:rsidP="00564D9B">
      <w:pPr>
        <w:rPr>
          <w:rFonts w:eastAsia="TimesNewRoman"/>
          <w:szCs w:val="22"/>
          <w:lang w:eastAsia="en-US"/>
        </w:rPr>
      </w:pPr>
    </w:p>
    <w:p w14:paraId="755F317D"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Úpravy dávky u pacientov vhodných na transplantáciu</w:t>
      </w:r>
    </w:p>
    <w:p w14:paraId="5FFA8C35"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Pre úpravy dávky </w:t>
      </w:r>
      <w:r w:rsidR="000E7D2D">
        <w:rPr>
          <w:rFonts w:eastAsia="TimesNewRoman"/>
          <w:szCs w:val="22"/>
          <w:lang w:eastAsia="en-US"/>
        </w:rPr>
        <w:t>B</w:t>
      </w:r>
      <w:r w:rsidRPr="00CC69EC">
        <w:rPr>
          <w:rFonts w:eastAsia="TimesNewRoman"/>
          <w:szCs w:val="22"/>
          <w:lang w:eastAsia="en-US"/>
        </w:rPr>
        <w:t xml:space="preserve">ortezomibu </w:t>
      </w:r>
      <w:r w:rsidR="000E7D2D">
        <w:rPr>
          <w:rFonts w:eastAsia="TimesNewRoman"/>
          <w:szCs w:val="22"/>
          <w:lang w:eastAsia="en-US"/>
        </w:rPr>
        <w:t xml:space="preserve">Krka </w:t>
      </w:r>
      <w:r>
        <w:rPr>
          <w:rFonts w:eastAsia="TimesNewRoman"/>
          <w:szCs w:val="22"/>
          <w:lang w:eastAsia="en-US"/>
        </w:rPr>
        <w:t>sa má postupovať podľa pokynov na úpravy dávky popísaných pre monoterapiu.</w:t>
      </w:r>
    </w:p>
    <w:p w14:paraId="29E1BA93"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Okrem toho, ak sa </w:t>
      </w:r>
      <w:r w:rsidR="000E7D2D">
        <w:rPr>
          <w:rFonts w:eastAsia="TimesNewRoman"/>
          <w:szCs w:val="22"/>
          <w:lang w:eastAsia="en-US"/>
        </w:rPr>
        <w:t>B</w:t>
      </w:r>
      <w:r w:rsidRPr="00CC69EC">
        <w:rPr>
          <w:rFonts w:eastAsia="TimesNewRoman"/>
          <w:szCs w:val="22"/>
          <w:lang w:eastAsia="en-US"/>
        </w:rPr>
        <w:t xml:space="preserve">ortezomib </w:t>
      </w:r>
      <w:r w:rsidR="000E7D2D">
        <w:rPr>
          <w:rFonts w:eastAsia="TimesNewRoman"/>
          <w:szCs w:val="22"/>
          <w:lang w:eastAsia="en-US"/>
        </w:rPr>
        <w:t xml:space="preserve">Krka </w:t>
      </w:r>
      <w:r w:rsidRPr="00CC69EC">
        <w:rPr>
          <w:rFonts w:eastAsia="TimesNewRoman"/>
          <w:szCs w:val="22"/>
          <w:lang w:eastAsia="en-US"/>
        </w:rPr>
        <w:t>podáva v kombinácii s inými chemoterapeutickými liekmi, treba v prípade toxicity zvážiť vhodné zníženie dávky týchto liekov podľa odporúčaní v súhrne charakteristických vlastností lieku.</w:t>
      </w:r>
    </w:p>
    <w:p w14:paraId="53BF73C4" w14:textId="77777777" w:rsidR="00564D9B" w:rsidRPr="00CC69EC" w:rsidRDefault="00564D9B" w:rsidP="00564D9B">
      <w:pPr>
        <w:autoSpaceDE w:val="0"/>
        <w:autoSpaceDN w:val="0"/>
        <w:adjustRightInd w:val="0"/>
        <w:ind w:left="0" w:firstLine="0"/>
        <w:rPr>
          <w:rFonts w:eastAsia="TimesNewRoman"/>
          <w:szCs w:val="22"/>
          <w:lang w:eastAsia="en-US"/>
        </w:rPr>
      </w:pPr>
    </w:p>
    <w:p w14:paraId="72C9024A"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Dávkovanie u pacientov s doteraz neliečeným lymfómom z plášťových buniek (MCL)</w:t>
      </w:r>
    </w:p>
    <w:p w14:paraId="2469B3CA"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Kombinovaná liečba s rituximabom, cyklofosfamidom, doxorubicínom a prednizónom (BR-CAP)</w:t>
      </w:r>
    </w:p>
    <w:p w14:paraId="06231D3C" w14:textId="3D344CFD"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0E7D2D">
        <w:rPr>
          <w:rFonts w:eastAsia="TimesNewRoman"/>
          <w:szCs w:val="22"/>
          <w:lang w:eastAsia="en-US"/>
        </w:rPr>
        <w:t>Krka 1</w:t>
      </w:r>
      <w:r>
        <w:rPr>
          <w:rFonts w:eastAsia="TimesNewRoman"/>
          <w:szCs w:val="22"/>
          <w:lang w:eastAsia="en-US"/>
        </w:rPr>
        <w:t xml:space="preserve"> mg prášok na injekčný roztok </w:t>
      </w:r>
      <w:r w:rsidRPr="00CC69EC">
        <w:rPr>
          <w:rFonts w:eastAsia="TimesNewRoman"/>
          <w:szCs w:val="22"/>
          <w:lang w:eastAsia="en-US"/>
        </w:rPr>
        <w:t>sa podáva intravenóznou injekciou v odporúčanej dávke 1,3 mg/m</w:t>
      </w:r>
      <w:r w:rsidRPr="00CC69EC">
        <w:rPr>
          <w:rFonts w:eastAsia="TimesNewRoman"/>
          <w:szCs w:val="22"/>
          <w:vertAlign w:val="superscript"/>
          <w:lang w:eastAsia="en-US"/>
        </w:rPr>
        <w:t>2</w:t>
      </w:r>
      <w:r w:rsidRPr="00CC69EC">
        <w:rPr>
          <w:rFonts w:eastAsia="TimesNewRoman"/>
          <w:szCs w:val="22"/>
          <w:lang w:eastAsia="en-US"/>
        </w:rPr>
        <w:t xml:space="preserve"> </w:t>
      </w:r>
      <w:r w:rsidR="00BE6E7F">
        <w:rPr>
          <w:rFonts w:eastAsia="TimesNewRoman"/>
          <w:szCs w:val="22"/>
          <w:lang w:eastAsia="en-US"/>
        </w:rPr>
        <w:t xml:space="preserve">plochy </w:t>
      </w:r>
      <w:r w:rsidRPr="00CC69EC">
        <w:rPr>
          <w:rFonts w:eastAsia="TimesNewRoman"/>
          <w:szCs w:val="22"/>
          <w:lang w:eastAsia="en-US"/>
        </w:rPr>
        <w:t>povrchu tela dvakrát týždenne počas dvoch týždňov v 1., 4., 8. a 11. deň, po čom nasleduje 10-dňová prestávka v dňoch 12 –- 21. Toto 3-týždňové obdobie sa považuje za jeden terapeutický cyklus. Odporúča sa šesť cyklov s</w:t>
      </w:r>
      <w:r w:rsidR="000E7D2D">
        <w:rPr>
          <w:rFonts w:eastAsia="TimesNewRoman"/>
          <w:szCs w:val="22"/>
          <w:lang w:eastAsia="en-US"/>
        </w:rPr>
        <w:t> B</w:t>
      </w:r>
      <w:r w:rsidRPr="00CC69EC">
        <w:rPr>
          <w:rFonts w:eastAsia="TimesNewRoman"/>
          <w:szCs w:val="22"/>
          <w:lang w:eastAsia="en-US"/>
        </w:rPr>
        <w:t>ortezomibom</w:t>
      </w:r>
      <w:r w:rsidR="000E7D2D">
        <w:rPr>
          <w:rFonts w:eastAsia="TimesNewRoman"/>
          <w:szCs w:val="22"/>
          <w:lang w:eastAsia="en-US"/>
        </w:rPr>
        <w:t xml:space="preserve"> Krka</w:t>
      </w:r>
      <w:r w:rsidRPr="00CC69EC">
        <w:rPr>
          <w:rFonts w:eastAsia="TimesNewRoman"/>
          <w:szCs w:val="22"/>
          <w:lang w:eastAsia="en-US"/>
        </w:rPr>
        <w:t xml:space="preserve">, pacientom s odpoveďou zaznamenanou prvýkrát v 6.cykle sa však môžu podať ďalšie dva cykly </w:t>
      </w:r>
      <w:r w:rsidR="000E7D2D">
        <w:rPr>
          <w:rFonts w:eastAsia="TimesNewRoman"/>
          <w:szCs w:val="22"/>
          <w:lang w:eastAsia="en-US"/>
        </w:rPr>
        <w:t>B</w:t>
      </w:r>
      <w:r w:rsidRPr="00CC69EC">
        <w:rPr>
          <w:rFonts w:eastAsia="TimesNewRoman"/>
          <w:szCs w:val="22"/>
          <w:lang w:eastAsia="en-US"/>
        </w:rPr>
        <w:t>ortezomibu</w:t>
      </w:r>
      <w:r w:rsidR="000E7D2D">
        <w:rPr>
          <w:rFonts w:eastAsia="TimesNewRoman"/>
          <w:szCs w:val="22"/>
          <w:lang w:eastAsia="en-US"/>
        </w:rPr>
        <w:t xml:space="preserve"> Krka</w:t>
      </w:r>
      <w:r w:rsidRPr="00CC69EC">
        <w:rPr>
          <w:rFonts w:eastAsia="TimesNewRoman"/>
          <w:szCs w:val="22"/>
          <w:lang w:eastAsia="en-US"/>
        </w:rPr>
        <w:t xml:space="preserve">. Medzi nasledujúcimi dávkami </w:t>
      </w:r>
      <w:r w:rsidR="000E7D2D">
        <w:rPr>
          <w:rFonts w:eastAsia="TimesNewRoman"/>
          <w:szCs w:val="22"/>
          <w:lang w:eastAsia="en-US"/>
        </w:rPr>
        <w:t>B</w:t>
      </w:r>
      <w:r w:rsidRPr="00CC69EC">
        <w:rPr>
          <w:rFonts w:eastAsia="TimesNewRoman"/>
          <w:szCs w:val="22"/>
          <w:lang w:eastAsia="en-US"/>
        </w:rPr>
        <w:t>ortezomibu</w:t>
      </w:r>
      <w:r w:rsidR="000E7D2D">
        <w:rPr>
          <w:rFonts w:eastAsia="TimesNewRoman"/>
          <w:szCs w:val="22"/>
          <w:lang w:eastAsia="en-US"/>
        </w:rPr>
        <w:t xml:space="preserve"> Krka</w:t>
      </w:r>
      <w:r w:rsidRPr="00CC69EC">
        <w:rPr>
          <w:rFonts w:eastAsia="TimesNewRoman"/>
          <w:szCs w:val="22"/>
          <w:lang w:eastAsia="en-US"/>
        </w:rPr>
        <w:t xml:space="preserve"> má uplynúť aspoň 72 hodín.</w:t>
      </w:r>
    </w:p>
    <w:p w14:paraId="0C2539E7" w14:textId="77777777" w:rsidR="000E7D2D" w:rsidRPr="00CC69EC" w:rsidRDefault="000E7D2D" w:rsidP="00564D9B">
      <w:pPr>
        <w:autoSpaceDE w:val="0"/>
        <w:autoSpaceDN w:val="0"/>
        <w:adjustRightInd w:val="0"/>
        <w:ind w:left="0" w:firstLine="0"/>
        <w:rPr>
          <w:rFonts w:eastAsia="TimesNewRoman"/>
          <w:szCs w:val="22"/>
          <w:lang w:eastAsia="en-US"/>
        </w:rPr>
      </w:pPr>
    </w:p>
    <w:p w14:paraId="0B2B01C0"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Nasledujúce lieky sa podávajú intravenóznymi infúziami v 1. deň každého 3-týždňového terapeutického cyklu s</w:t>
      </w:r>
      <w:r w:rsidR="000E7D2D">
        <w:rPr>
          <w:rFonts w:eastAsia="TimesNewRoman"/>
          <w:szCs w:val="22"/>
          <w:lang w:eastAsia="en-US"/>
        </w:rPr>
        <w:t> B</w:t>
      </w:r>
      <w:r w:rsidRPr="00CC69EC">
        <w:rPr>
          <w:rFonts w:eastAsia="TimesNewRoman"/>
          <w:szCs w:val="22"/>
          <w:lang w:eastAsia="en-US"/>
        </w:rPr>
        <w:t>ortezomibom</w:t>
      </w:r>
      <w:r w:rsidR="000E7D2D">
        <w:rPr>
          <w:rFonts w:eastAsia="TimesNewRoman"/>
          <w:szCs w:val="22"/>
          <w:lang w:eastAsia="en-US"/>
        </w:rPr>
        <w:t xml:space="preserve"> Krka</w:t>
      </w:r>
      <w:r w:rsidRPr="00CC69EC">
        <w:rPr>
          <w:rFonts w:eastAsia="TimesNewRoman"/>
          <w:szCs w:val="22"/>
          <w:lang w:eastAsia="en-US"/>
        </w:rPr>
        <w:t>: rituximab 375 mg/m</w:t>
      </w:r>
      <w:r w:rsidRPr="00CC69EC">
        <w:rPr>
          <w:rFonts w:eastAsia="TimesNewRoman"/>
          <w:szCs w:val="22"/>
          <w:vertAlign w:val="superscript"/>
          <w:lang w:eastAsia="en-US"/>
        </w:rPr>
        <w:t>2</w:t>
      </w:r>
      <w:r w:rsidRPr="00CC69EC">
        <w:rPr>
          <w:rFonts w:eastAsia="TimesNewRoman"/>
          <w:szCs w:val="22"/>
          <w:lang w:eastAsia="en-US"/>
        </w:rPr>
        <w:t>, cyklofosfamid 750 mg/m</w:t>
      </w:r>
      <w:r w:rsidRPr="00CC69EC">
        <w:rPr>
          <w:rFonts w:eastAsia="TimesNewRoman"/>
          <w:szCs w:val="22"/>
          <w:vertAlign w:val="superscript"/>
          <w:lang w:eastAsia="en-US"/>
        </w:rPr>
        <w:t>2</w:t>
      </w:r>
      <w:r w:rsidRPr="00CC69EC">
        <w:rPr>
          <w:rFonts w:eastAsia="TimesNewRoman"/>
          <w:szCs w:val="22"/>
          <w:lang w:eastAsia="en-US"/>
        </w:rPr>
        <w:t xml:space="preserve"> a doxorubicín 50 mg/m</w:t>
      </w:r>
      <w:r w:rsidRPr="00CC69EC">
        <w:rPr>
          <w:rFonts w:eastAsia="TimesNewRoman"/>
          <w:szCs w:val="22"/>
          <w:vertAlign w:val="superscript"/>
          <w:lang w:eastAsia="en-US"/>
        </w:rPr>
        <w:t>2</w:t>
      </w:r>
      <w:r w:rsidRPr="00CC69EC">
        <w:rPr>
          <w:rFonts w:eastAsia="TimesNewRoman"/>
          <w:szCs w:val="22"/>
          <w:lang w:eastAsia="en-US"/>
        </w:rPr>
        <w:t>.</w:t>
      </w:r>
    </w:p>
    <w:p w14:paraId="0BEEEA63" w14:textId="77777777"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lastRenderedPageBreak/>
        <w:t>Prednizón sa podáva perorálne v dávke 100 mg/m</w:t>
      </w:r>
      <w:r w:rsidRPr="00CC69EC">
        <w:rPr>
          <w:rFonts w:eastAsia="TimesNewRoman"/>
          <w:szCs w:val="22"/>
          <w:vertAlign w:val="superscript"/>
          <w:lang w:eastAsia="en-US"/>
        </w:rPr>
        <w:t>2</w:t>
      </w:r>
      <w:r w:rsidRPr="00CC69EC">
        <w:rPr>
          <w:rFonts w:eastAsia="TimesNewRoman"/>
          <w:szCs w:val="22"/>
          <w:lang w:eastAsia="en-US"/>
        </w:rPr>
        <w:t xml:space="preserve"> v 1., 2., 3., 4. a 5. deň každého terapeutického cyklu s</w:t>
      </w:r>
      <w:r w:rsidR="000E7D2D">
        <w:rPr>
          <w:rFonts w:eastAsia="TimesNewRoman"/>
          <w:szCs w:val="22"/>
          <w:lang w:eastAsia="en-US"/>
        </w:rPr>
        <w:t> B</w:t>
      </w:r>
      <w:r w:rsidRPr="00CC69EC">
        <w:rPr>
          <w:rFonts w:eastAsia="TimesNewRoman"/>
          <w:szCs w:val="22"/>
          <w:lang w:eastAsia="en-US"/>
        </w:rPr>
        <w:t>ortezomibom</w:t>
      </w:r>
      <w:r w:rsidR="000E7D2D">
        <w:rPr>
          <w:rFonts w:eastAsia="TimesNewRoman"/>
          <w:szCs w:val="22"/>
          <w:lang w:eastAsia="en-US"/>
        </w:rPr>
        <w:t xml:space="preserve"> Krka</w:t>
      </w:r>
      <w:r w:rsidRPr="00CC69EC">
        <w:rPr>
          <w:rFonts w:eastAsia="TimesNewRoman"/>
          <w:szCs w:val="22"/>
          <w:lang w:eastAsia="en-US"/>
        </w:rPr>
        <w:t>.</w:t>
      </w:r>
    </w:p>
    <w:p w14:paraId="67A27DF4" w14:textId="77777777" w:rsidR="000E7D2D" w:rsidRPr="00CC69EC" w:rsidRDefault="000E7D2D" w:rsidP="00564D9B">
      <w:pPr>
        <w:autoSpaceDE w:val="0"/>
        <w:autoSpaceDN w:val="0"/>
        <w:adjustRightInd w:val="0"/>
        <w:ind w:left="0" w:firstLine="0"/>
        <w:rPr>
          <w:rFonts w:eastAsia="TimesNewRoman"/>
          <w:szCs w:val="22"/>
          <w:lang w:eastAsia="en-US"/>
        </w:rPr>
      </w:pPr>
    </w:p>
    <w:p w14:paraId="5FC6D700"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Úpravy dávky počas liečby pacientov s doteraz neliečeným lymfómom z plášťových buniek</w:t>
      </w:r>
    </w:p>
    <w:p w14:paraId="6A330146" w14:textId="77777777" w:rsidR="00564D9B" w:rsidRPr="00CC69EC" w:rsidRDefault="00564D9B" w:rsidP="00564D9B">
      <w:pPr>
        <w:rPr>
          <w:color w:val="000000"/>
          <w:lang w:eastAsia="de-AT"/>
        </w:rPr>
      </w:pPr>
      <w:r w:rsidRPr="00CC69EC">
        <w:rPr>
          <w:rFonts w:eastAsia="TimesNewRoman"/>
          <w:szCs w:val="22"/>
          <w:lang w:eastAsia="en-US"/>
        </w:rPr>
        <w:t>Pred začatím nového cyklu liečby</w:t>
      </w:r>
      <w:r w:rsidRPr="00CC69EC">
        <w:rPr>
          <w:color w:val="000000"/>
          <w:lang w:eastAsia="de-AT"/>
        </w:rPr>
        <w:t>:</w:t>
      </w:r>
    </w:p>
    <w:p w14:paraId="41C4D84F" w14:textId="61DB3BF9" w:rsidR="00564D9B" w:rsidRPr="00CC69EC" w:rsidRDefault="000E7D2D" w:rsidP="000E7D2D">
      <w:pPr>
        <w:autoSpaceDE w:val="0"/>
        <w:autoSpaceDN w:val="0"/>
        <w:adjustRightInd w:val="0"/>
        <w:rPr>
          <w:rFonts w:eastAsia="TimesNewRoman"/>
          <w:szCs w:val="22"/>
          <w:lang w:eastAsia="en-US"/>
        </w:rPr>
      </w:pPr>
      <w:r w:rsidRPr="000E7D2D">
        <w:rPr>
          <w:b/>
          <w:position w:val="-1"/>
          <w:sz w:val="18"/>
          <w:szCs w:val="18"/>
          <w:lang w:val="en-US" w:eastAsia="en-US"/>
        </w:rPr>
        <w:t>-</w:t>
      </w:r>
      <w:r w:rsidRPr="000E7D2D">
        <w:rPr>
          <w:b/>
          <w:position w:val="-1"/>
          <w:sz w:val="18"/>
          <w:szCs w:val="18"/>
          <w:lang w:val="en-US" w:eastAsia="en-US"/>
        </w:rPr>
        <w:tab/>
      </w:r>
      <w:r w:rsidR="00564D9B" w:rsidRPr="00CC69EC">
        <w:rPr>
          <w:rFonts w:eastAsia="TimesNewRoman"/>
          <w:szCs w:val="22"/>
          <w:lang w:eastAsia="en-US"/>
        </w:rPr>
        <w:t>počet krvných doštičiek má byť ≥ 100 000 buniek/μl a absolútny počet neutrofilov</w:t>
      </w:r>
      <w:r w:rsidR="00EE2547">
        <w:rPr>
          <w:rFonts w:eastAsia="TimesNewRoman"/>
          <w:szCs w:val="22"/>
          <w:lang w:eastAsia="en-US"/>
        </w:rPr>
        <w:t xml:space="preserve"> (ANC)</w:t>
      </w:r>
      <w:r w:rsidR="00564D9B" w:rsidRPr="00CC69EC">
        <w:rPr>
          <w:rFonts w:eastAsia="TimesNewRoman"/>
          <w:szCs w:val="22"/>
          <w:lang w:eastAsia="en-US"/>
        </w:rPr>
        <w:t xml:space="preserve"> má byť ≥ 1 500 buniek/μl</w:t>
      </w:r>
    </w:p>
    <w:p w14:paraId="37AB2E89" w14:textId="77777777" w:rsidR="00564D9B" w:rsidRPr="00CC69EC" w:rsidRDefault="000E7D2D" w:rsidP="000E7D2D">
      <w:pPr>
        <w:autoSpaceDE w:val="0"/>
        <w:autoSpaceDN w:val="0"/>
        <w:adjustRightInd w:val="0"/>
        <w:rPr>
          <w:color w:val="000000"/>
          <w:lang w:eastAsia="de-AT"/>
        </w:rPr>
      </w:pPr>
      <w:r w:rsidRPr="000E7D2D">
        <w:rPr>
          <w:b/>
          <w:position w:val="-1"/>
          <w:sz w:val="18"/>
          <w:szCs w:val="18"/>
          <w:lang w:val="en-US" w:eastAsia="en-US"/>
        </w:rPr>
        <w:t>-</w:t>
      </w:r>
      <w:r w:rsidRPr="000E7D2D">
        <w:rPr>
          <w:b/>
          <w:position w:val="-1"/>
          <w:sz w:val="18"/>
          <w:szCs w:val="18"/>
          <w:lang w:val="en-US" w:eastAsia="en-US"/>
        </w:rPr>
        <w:tab/>
      </w:r>
      <w:r w:rsidR="00564D9B" w:rsidRPr="00CC69EC">
        <w:rPr>
          <w:rFonts w:eastAsia="TimesNewRoman"/>
          <w:szCs w:val="22"/>
          <w:lang w:eastAsia="en-US"/>
        </w:rPr>
        <w:t>počet krvných doštičiek má byť ≥ 75 000 buniek/μl u pacientov s infiltráciou kostnej drene alebo sekvestráciou v slezine</w:t>
      </w:r>
      <w:r w:rsidR="00564D9B" w:rsidRPr="00CC69EC">
        <w:rPr>
          <w:color w:val="000000"/>
          <w:lang w:eastAsia="de-AT"/>
        </w:rPr>
        <w:t xml:space="preserve"> </w:t>
      </w:r>
    </w:p>
    <w:p w14:paraId="3D24FD76" w14:textId="77777777" w:rsidR="00564D9B" w:rsidRPr="00CC69EC" w:rsidRDefault="000E7D2D" w:rsidP="000E7D2D">
      <w:pPr>
        <w:rPr>
          <w:color w:val="000000"/>
          <w:lang w:eastAsia="de-AT"/>
        </w:rPr>
      </w:pPr>
      <w:r w:rsidRPr="000E7D2D">
        <w:rPr>
          <w:b/>
          <w:position w:val="-1"/>
          <w:sz w:val="18"/>
          <w:szCs w:val="18"/>
          <w:lang w:val="en-US" w:eastAsia="en-US"/>
        </w:rPr>
        <w:t>-</w:t>
      </w:r>
      <w:r w:rsidRPr="000E7D2D">
        <w:rPr>
          <w:b/>
          <w:position w:val="-1"/>
          <w:sz w:val="18"/>
          <w:szCs w:val="18"/>
          <w:lang w:val="en-US" w:eastAsia="en-US"/>
        </w:rPr>
        <w:tab/>
      </w:r>
      <w:r w:rsidR="00564D9B" w:rsidRPr="00CC69EC">
        <w:rPr>
          <w:rFonts w:eastAsia="TimesNewRoman"/>
          <w:szCs w:val="22"/>
          <w:lang w:eastAsia="en-US"/>
        </w:rPr>
        <w:t>hemoglobín ≥ 8 g/dl</w:t>
      </w:r>
      <w:r w:rsidR="00564D9B" w:rsidRPr="00CC69EC">
        <w:rPr>
          <w:color w:val="000000"/>
          <w:lang w:eastAsia="de-AT"/>
        </w:rPr>
        <w:t xml:space="preserve"> </w:t>
      </w:r>
    </w:p>
    <w:p w14:paraId="4F1C5A7A" w14:textId="2FD93BF5" w:rsidR="00564D9B" w:rsidRDefault="000E7D2D" w:rsidP="000E7D2D">
      <w:pPr>
        <w:rPr>
          <w:rFonts w:eastAsia="TimesNewRoman"/>
          <w:szCs w:val="22"/>
          <w:lang w:eastAsia="en-US"/>
        </w:rPr>
      </w:pPr>
      <w:r w:rsidRPr="000E7D2D">
        <w:rPr>
          <w:b/>
          <w:position w:val="-1"/>
          <w:sz w:val="18"/>
          <w:szCs w:val="18"/>
          <w:lang w:val="en-US" w:eastAsia="en-US"/>
        </w:rPr>
        <w:t>-</w:t>
      </w:r>
      <w:r w:rsidRPr="000E7D2D">
        <w:rPr>
          <w:b/>
          <w:position w:val="-1"/>
          <w:sz w:val="18"/>
          <w:szCs w:val="18"/>
          <w:lang w:val="en-US" w:eastAsia="en-US"/>
        </w:rPr>
        <w:tab/>
      </w:r>
      <w:r w:rsidR="00564D9B" w:rsidRPr="00CC69EC">
        <w:rPr>
          <w:rFonts w:eastAsia="TimesNewRoman"/>
          <w:szCs w:val="22"/>
          <w:lang w:eastAsia="en-US"/>
        </w:rPr>
        <w:t xml:space="preserve">nehematologické toxicity sa majú zmierniť na 1. stupeň alebo </w:t>
      </w:r>
      <w:r w:rsidR="00BE6E7F">
        <w:rPr>
          <w:rFonts w:eastAsia="TimesNewRoman"/>
          <w:szCs w:val="22"/>
          <w:lang w:eastAsia="en-US"/>
        </w:rPr>
        <w:t>za</w:t>
      </w:r>
      <w:r w:rsidR="00564D9B" w:rsidRPr="00CC69EC">
        <w:rPr>
          <w:rFonts w:eastAsia="TimesNewRoman"/>
          <w:szCs w:val="22"/>
          <w:lang w:eastAsia="en-US"/>
        </w:rPr>
        <w:t>čiatočnú úroveň.</w:t>
      </w:r>
    </w:p>
    <w:p w14:paraId="0DC7E685" w14:textId="77777777" w:rsidR="00A7138A" w:rsidRPr="00CC69EC" w:rsidRDefault="00A7138A" w:rsidP="000E7D2D">
      <w:pPr>
        <w:rPr>
          <w:color w:val="000000"/>
          <w:lang w:eastAsia="de-AT"/>
        </w:rPr>
      </w:pPr>
    </w:p>
    <w:p w14:paraId="48E33AE2" w14:textId="3BDDFB59"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Liečba</w:t>
      </w:r>
      <w:r w:rsidR="00370D0F">
        <w:rPr>
          <w:rFonts w:eastAsia="TimesNewRoman"/>
          <w:szCs w:val="22"/>
          <w:lang w:eastAsia="en-US"/>
        </w:rPr>
        <w:t xml:space="preserve"> B</w:t>
      </w:r>
      <w:r w:rsidRPr="00CC69EC">
        <w:rPr>
          <w:rFonts w:eastAsia="TimesNewRoman"/>
          <w:szCs w:val="22"/>
          <w:lang w:eastAsia="en-US"/>
        </w:rPr>
        <w:t xml:space="preserve">ortezomibom </w:t>
      </w:r>
      <w:r w:rsidR="00370D0F">
        <w:rPr>
          <w:rFonts w:eastAsia="TimesNewRoman"/>
          <w:szCs w:val="22"/>
          <w:lang w:eastAsia="en-US"/>
        </w:rPr>
        <w:t xml:space="preserve">Krka </w:t>
      </w:r>
      <w:r w:rsidRPr="00CC69EC">
        <w:rPr>
          <w:rFonts w:eastAsia="TimesNewRoman"/>
          <w:szCs w:val="22"/>
          <w:lang w:eastAsia="en-US"/>
        </w:rPr>
        <w:t xml:space="preserve">sa musí odložiť pri objavení sa nehematologických toxicít ≥ 3. stupňa považovaných za súvisiace s bortezomibom (okrem neuropatie) alebo hematologických toxicít ≥ 3. stupňa (pozri tiež časť 4.4). Úpravy dávky si pozrite nižšie v </w:t>
      </w:r>
      <w:r w:rsidR="00EE2547">
        <w:rPr>
          <w:rFonts w:eastAsia="TimesNewRoman"/>
          <w:szCs w:val="22"/>
          <w:lang w:eastAsia="en-US"/>
        </w:rPr>
        <w:t>t</w:t>
      </w:r>
      <w:r w:rsidRPr="00CC69EC">
        <w:rPr>
          <w:rFonts w:eastAsia="TimesNewRoman"/>
          <w:szCs w:val="22"/>
          <w:lang w:eastAsia="en-US"/>
        </w:rPr>
        <w:t>abuľke 5.</w:t>
      </w:r>
    </w:p>
    <w:p w14:paraId="5056BD47"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Pri hematologickej toxicite možno podľa miestnej štandardnej praxe podávať faktory stimulujúce kolónie granulocytov. V prípade opakovaných oneskorení podania cyklu sa má zvážiť profylaktické použitie faktorov stimulujúcich kolónie granulocytov. Keď je to klinicky vhodné, má sa pri liečbe trombocytopénie zvážiť transfúzia krvných doštičiek.</w:t>
      </w:r>
    </w:p>
    <w:p w14:paraId="2AA82A15" w14:textId="77777777" w:rsidR="00564D9B" w:rsidRPr="00CC69EC" w:rsidRDefault="00564D9B" w:rsidP="00564D9B">
      <w:pPr>
        <w:ind w:left="0" w:firstLine="0"/>
        <w:rPr>
          <w:rFonts w:eastAsia="TimesNewRoman"/>
          <w:szCs w:val="22"/>
          <w:lang w:eastAsia="en-US"/>
        </w:rPr>
      </w:pPr>
    </w:p>
    <w:p w14:paraId="10632094" w14:textId="77777777" w:rsidR="00564D9B" w:rsidRPr="00CC69EC" w:rsidRDefault="00564D9B" w:rsidP="00564D9B">
      <w:pPr>
        <w:autoSpaceDE w:val="0"/>
        <w:autoSpaceDN w:val="0"/>
        <w:adjustRightInd w:val="0"/>
        <w:ind w:left="0" w:firstLine="0"/>
        <w:rPr>
          <w:i/>
          <w:iCs/>
          <w:color w:val="000000"/>
          <w:lang w:eastAsia="de-AT"/>
        </w:rPr>
      </w:pPr>
      <w:r w:rsidRPr="00CC69EC">
        <w:rPr>
          <w:rFonts w:eastAsia="TimesNewRoman,Italic"/>
          <w:i/>
          <w:iCs/>
          <w:szCs w:val="22"/>
          <w:lang w:eastAsia="en-US"/>
        </w:rPr>
        <w:t>Tabuľka 5: Úpravy dávky počas liečby pacientov s doteraz neliečeným lymfómom z plášťových buniek</w:t>
      </w:r>
    </w:p>
    <w:tbl>
      <w:tblPr>
        <w:tblW w:w="897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4441"/>
        <w:gridCol w:w="4535"/>
      </w:tblGrid>
      <w:tr w:rsidR="00564D9B" w:rsidRPr="00CC69EC" w14:paraId="214DB9EE" w14:textId="77777777" w:rsidTr="00E110FB">
        <w:trPr>
          <w:tblCellSpacing w:w="0" w:type="dxa"/>
        </w:trPr>
        <w:tc>
          <w:tcPr>
            <w:tcW w:w="2474" w:type="pct"/>
            <w:hideMark/>
          </w:tcPr>
          <w:p w14:paraId="45E5830A" w14:textId="77777777" w:rsidR="00564D9B" w:rsidRPr="00CC69EC" w:rsidRDefault="00564D9B" w:rsidP="00F75370">
            <w:pPr>
              <w:rPr>
                <w:color w:val="000000"/>
                <w:lang w:eastAsia="de-AT"/>
              </w:rPr>
            </w:pPr>
            <w:r w:rsidRPr="00CC69EC">
              <w:rPr>
                <w:b/>
                <w:bCs/>
                <w:color w:val="000000"/>
                <w:lang w:eastAsia="de-AT"/>
              </w:rPr>
              <w:t>Toxicita</w:t>
            </w:r>
          </w:p>
        </w:tc>
        <w:tc>
          <w:tcPr>
            <w:tcW w:w="2526" w:type="pct"/>
            <w:hideMark/>
          </w:tcPr>
          <w:p w14:paraId="10E0F618" w14:textId="77777777" w:rsidR="00564D9B" w:rsidRPr="00CC69EC" w:rsidRDefault="00564D9B" w:rsidP="00F75370">
            <w:pPr>
              <w:rPr>
                <w:color w:val="000000"/>
                <w:lang w:eastAsia="de-AT"/>
              </w:rPr>
            </w:pPr>
            <w:r w:rsidRPr="00CC69EC">
              <w:rPr>
                <w:rFonts w:eastAsia="TimesNewRoman,Bold"/>
                <w:b/>
                <w:bCs/>
                <w:szCs w:val="22"/>
                <w:lang w:eastAsia="en-US"/>
              </w:rPr>
              <w:t>Úprava dávkovania alebo odloženie liečby</w:t>
            </w:r>
          </w:p>
        </w:tc>
      </w:tr>
      <w:tr w:rsidR="00564D9B" w:rsidRPr="00CC69EC" w14:paraId="3D86F52C" w14:textId="77777777" w:rsidTr="00E110FB">
        <w:trPr>
          <w:tblCellSpacing w:w="0" w:type="dxa"/>
        </w:trPr>
        <w:tc>
          <w:tcPr>
            <w:tcW w:w="5000" w:type="pct"/>
            <w:gridSpan w:val="2"/>
            <w:hideMark/>
          </w:tcPr>
          <w:p w14:paraId="3DE2B6AE" w14:textId="77777777" w:rsidR="00564D9B" w:rsidRPr="00CC69EC" w:rsidRDefault="00564D9B" w:rsidP="00F75370">
            <w:pPr>
              <w:rPr>
                <w:color w:val="000000"/>
                <w:lang w:eastAsia="de-AT"/>
              </w:rPr>
            </w:pPr>
            <w:r w:rsidRPr="00CC69EC">
              <w:rPr>
                <w:rFonts w:eastAsia="TimesNewRoman,Italic"/>
                <w:i/>
                <w:iCs/>
                <w:szCs w:val="22"/>
                <w:lang w:eastAsia="en-US"/>
              </w:rPr>
              <w:t>Hematologická toxicita</w:t>
            </w:r>
          </w:p>
        </w:tc>
      </w:tr>
      <w:tr w:rsidR="00564D9B" w:rsidRPr="00CC69EC" w14:paraId="28F6D540" w14:textId="77777777" w:rsidTr="00E110FB">
        <w:trPr>
          <w:tblCellSpacing w:w="0" w:type="dxa"/>
        </w:trPr>
        <w:tc>
          <w:tcPr>
            <w:tcW w:w="2474" w:type="pct"/>
            <w:hideMark/>
          </w:tcPr>
          <w:p w14:paraId="7D786927" w14:textId="77777777" w:rsidR="00564D9B" w:rsidRPr="00CC69EC" w:rsidRDefault="00D876ED" w:rsidP="00D876ED">
            <w:pPr>
              <w:tabs>
                <w:tab w:val="left" w:pos="426"/>
              </w:tabs>
              <w:autoSpaceDE w:val="0"/>
              <w:autoSpaceDN w:val="0"/>
              <w:adjustRightInd w:val="0"/>
              <w:ind w:left="0" w:firstLine="0"/>
              <w:rPr>
                <w:color w:val="000000"/>
                <w:lang w:eastAsia="de-AT"/>
              </w:rPr>
            </w:pPr>
            <w:r>
              <w:rPr>
                <w:rFonts w:eastAsia="TimesNewRoman"/>
                <w:szCs w:val="22"/>
                <w:lang w:eastAsia="en-US"/>
              </w:rPr>
              <w:t xml:space="preserve">-   </w:t>
            </w:r>
            <w:r w:rsidR="00564D9B" w:rsidRPr="00CC69EC">
              <w:rPr>
                <w:rFonts w:eastAsia="TimesNewRoman"/>
                <w:szCs w:val="22"/>
                <w:lang w:eastAsia="en-US"/>
              </w:rPr>
              <w:t>Neutropénia ≥ 3. stupňa s horúčkou, neutropénia 4. stupňa trvajúca viac ako 7 dní, počet krvných doštičiek &lt; 10 000 buniek/μl</w:t>
            </w:r>
          </w:p>
        </w:tc>
        <w:tc>
          <w:tcPr>
            <w:tcW w:w="2526" w:type="pct"/>
            <w:hideMark/>
          </w:tcPr>
          <w:p w14:paraId="0F670B03" w14:textId="25648EE1" w:rsidR="00564D9B" w:rsidRPr="00CC69EC" w:rsidRDefault="00D876ED" w:rsidP="00F75370">
            <w:pPr>
              <w:autoSpaceDE w:val="0"/>
              <w:autoSpaceDN w:val="0"/>
              <w:adjustRightInd w:val="0"/>
              <w:ind w:left="0" w:firstLine="0"/>
              <w:rPr>
                <w:rFonts w:eastAsia="TimesNewRoman"/>
                <w:szCs w:val="22"/>
                <w:lang w:eastAsia="en-US"/>
              </w:rPr>
            </w:pPr>
            <w:r>
              <w:rPr>
                <w:rFonts w:eastAsia="TimesNewRoman"/>
                <w:szCs w:val="22"/>
                <w:lang w:eastAsia="en-US"/>
              </w:rPr>
              <w:t>Liečba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 xml:space="preserve">sa má odložiť </w:t>
            </w:r>
            <w:r w:rsidR="009F2084">
              <w:rPr>
                <w:rFonts w:eastAsia="TimesNewRoman"/>
                <w:szCs w:val="22"/>
                <w:lang w:eastAsia="en-US"/>
              </w:rPr>
              <w:t xml:space="preserve">až </w:t>
            </w:r>
            <w:r w:rsidR="00564D9B" w:rsidRPr="00CC69EC">
              <w:rPr>
                <w:rFonts w:eastAsia="TimesNewRoman"/>
                <w:szCs w:val="22"/>
                <w:lang w:eastAsia="en-US"/>
              </w:rPr>
              <w:t>na 2 týždne, kým pacient nemá ANC ≥ 750 buniek/μl a počet krvných doštičiek ≥ 25 000 buniek/μl.</w:t>
            </w:r>
          </w:p>
          <w:p w14:paraId="7F1E1FB8" w14:textId="4E005AE6" w:rsidR="00564D9B" w:rsidRPr="00CC69EC" w:rsidRDefault="00D876ED" w:rsidP="00D876ED">
            <w:pPr>
              <w:autoSpaceDE w:val="0"/>
              <w:autoSpaceDN w:val="0"/>
              <w:adjustRightInd w:val="0"/>
              <w:rPr>
                <w:rFonts w:eastAsia="TimesNewRoman"/>
                <w:szCs w:val="22"/>
                <w:lang w:eastAsia="en-US"/>
              </w:rPr>
            </w:pPr>
            <w:r>
              <w:rPr>
                <w:rFonts w:eastAsia="TimesNewRoman"/>
                <w:szCs w:val="22"/>
                <w:lang w:eastAsia="en-US"/>
              </w:rPr>
              <w:t>-   Ak po odložení liečby B</w:t>
            </w:r>
            <w:r w:rsidR="00564D9B" w:rsidRPr="00CC69EC">
              <w:rPr>
                <w:rFonts w:eastAsia="TimesNewRoman"/>
                <w:szCs w:val="22"/>
                <w:lang w:eastAsia="en-US"/>
              </w:rPr>
              <w:t>ortezomibom</w:t>
            </w:r>
            <w:r>
              <w:rPr>
                <w:rFonts w:eastAsia="TimesNewRoman"/>
                <w:szCs w:val="22"/>
                <w:lang w:eastAsia="en-US"/>
              </w:rPr>
              <w:t xml:space="preserve"> Krka</w:t>
            </w:r>
            <w:r w:rsidR="00564D9B" w:rsidRPr="00CC69EC">
              <w:rPr>
                <w:rFonts w:eastAsia="TimesNewRoman"/>
                <w:szCs w:val="22"/>
                <w:lang w:eastAsia="en-US"/>
              </w:rPr>
              <w:t xml:space="preserve"> toxicita neustúpi tak, ako je defino</w:t>
            </w:r>
            <w:r>
              <w:rPr>
                <w:rFonts w:eastAsia="TimesNewRoman"/>
                <w:szCs w:val="22"/>
                <w:lang w:eastAsia="en-US"/>
              </w:rPr>
              <w:t>vané vyššie, potom sa liečba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musí ukončiť.</w:t>
            </w:r>
          </w:p>
          <w:p w14:paraId="41B3C76F" w14:textId="77777777" w:rsidR="00564D9B" w:rsidRPr="00CC69EC" w:rsidRDefault="00D876ED" w:rsidP="00D876ED">
            <w:pPr>
              <w:autoSpaceDE w:val="0"/>
              <w:autoSpaceDN w:val="0"/>
              <w:adjustRightInd w:val="0"/>
              <w:rPr>
                <w:color w:val="000000"/>
                <w:lang w:eastAsia="de-AT"/>
              </w:rPr>
            </w:pPr>
            <w:r>
              <w:rPr>
                <w:rFonts w:eastAsia="TimesNewRoman"/>
                <w:szCs w:val="22"/>
                <w:lang w:eastAsia="en-US"/>
              </w:rPr>
              <w:t xml:space="preserve">-   </w:t>
            </w:r>
            <w:r w:rsidR="00564D9B" w:rsidRPr="00CC69EC">
              <w:rPr>
                <w:rFonts w:eastAsia="TimesNewRoman"/>
                <w:szCs w:val="22"/>
                <w:lang w:eastAsia="en-US"/>
              </w:rPr>
              <w:t>Ak toxicita ustúpi, t.j. pacient má ANC ≥ 750 buniek/μl a počet krvných doštič</w:t>
            </w:r>
            <w:r>
              <w:rPr>
                <w:rFonts w:eastAsia="TimesNewRoman"/>
                <w:szCs w:val="22"/>
                <w:lang w:eastAsia="en-US"/>
              </w:rPr>
              <w:t>iek ≥ 25 000 buniek/μl, liečbu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možno znovu začať s dávkou zníženou o jednu úroveň (z 1,3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na 1 mg/m</w:t>
            </w:r>
            <w:r w:rsidR="00564D9B" w:rsidRPr="00CC69EC">
              <w:rPr>
                <w:rFonts w:eastAsia="TimesNewRoman"/>
                <w:szCs w:val="22"/>
                <w:vertAlign w:val="superscript"/>
                <w:lang w:eastAsia="en-US"/>
              </w:rPr>
              <w:t xml:space="preserve">2 </w:t>
            </w:r>
            <w:r w:rsidR="00564D9B" w:rsidRPr="00CC69EC">
              <w:rPr>
                <w:rFonts w:eastAsia="TimesNewRoman"/>
                <w:szCs w:val="22"/>
                <w:lang w:eastAsia="en-US"/>
              </w:rPr>
              <w:t>alebo z 1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na 0,7 mg/m</w:t>
            </w:r>
            <w:r w:rsidR="00564D9B" w:rsidRPr="00CC69EC">
              <w:rPr>
                <w:rFonts w:eastAsia="TimesNewRoman"/>
                <w:szCs w:val="22"/>
                <w:vertAlign w:val="superscript"/>
                <w:lang w:eastAsia="en-US"/>
              </w:rPr>
              <w:t>2</w:t>
            </w:r>
            <w:r w:rsidR="00564D9B" w:rsidRPr="00CC69EC">
              <w:rPr>
                <w:rFonts w:eastAsia="TimesNewRoman"/>
                <w:szCs w:val="22"/>
                <w:lang w:eastAsia="en-US"/>
              </w:rPr>
              <w:t>).</w:t>
            </w:r>
          </w:p>
        </w:tc>
      </w:tr>
      <w:tr w:rsidR="00564D9B" w:rsidRPr="00CC69EC" w14:paraId="7A40D58A" w14:textId="77777777" w:rsidTr="00E110FB">
        <w:trPr>
          <w:tblCellSpacing w:w="0" w:type="dxa"/>
        </w:trPr>
        <w:tc>
          <w:tcPr>
            <w:tcW w:w="2474" w:type="pct"/>
            <w:hideMark/>
          </w:tcPr>
          <w:p w14:paraId="205FCF9E" w14:textId="77777777" w:rsidR="00564D9B" w:rsidRPr="00CC69EC" w:rsidRDefault="00D876ED" w:rsidP="00F75370">
            <w:pPr>
              <w:autoSpaceDE w:val="0"/>
              <w:autoSpaceDN w:val="0"/>
              <w:adjustRightInd w:val="0"/>
              <w:ind w:left="0" w:firstLine="0"/>
              <w:rPr>
                <w:color w:val="000000"/>
                <w:lang w:eastAsia="de-AT"/>
              </w:rPr>
            </w:pPr>
            <w:r>
              <w:rPr>
                <w:color w:val="000000"/>
                <w:lang w:eastAsia="de-AT"/>
              </w:rPr>
              <w:t xml:space="preserve">-   </w:t>
            </w:r>
            <w:r w:rsidR="00564D9B" w:rsidRPr="00CC69EC">
              <w:rPr>
                <w:rFonts w:eastAsia="TimesNewRoman"/>
                <w:szCs w:val="22"/>
                <w:lang w:eastAsia="en-US"/>
              </w:rPr>
              <w:t>Ak je počet krvných doštičiek &lt; 25 000 buniek/μl alebo ANC &lt; 750 bunie</w:t>
            </w:r>
            <w:r>
              <w:rPr>
                <w:rFonts w:eastAsia="TimesNewRoman"/>
                <w:szCs w:val="22"/>
                <w:lang w:eastAsia="en-US"/>
              </w:rPr>
              <w:t>k/μl v deň, kedy má byť podaný B</w:t>
            </w:r>
            <w:r w:rsidR="00564D9B" w:rsidRPr="00CC69EC">
              <w:rPr>
                <w:rFonts w:eastAsia="TimesNewRoman"/>
                <w:szCs w:val="22"/>
                <w:lang w:eastAsia="en-US"/>
              </w:rPr>
              <w:t>ortezomib</w:t>
            </w:r>
            <w:r>
              <w:rPr>
                <w:rFonts w:eastAsia="TimesNewRoman"/>
                <w:szCs w:val="22"/>
                <w:lang w:eastAsia="en-US"/>
              </w:rPr>
              <w:t xml:space="preserve"> Krka</w:t>
            </w:r>
            <w:r w:rsidR="00564D9B" w:rsidRPr="00CC69EC">
              <w:rPr>
                <w:rFonts w:eastAsia="TimesNewRoman"/>
                <w:szCs w:val="22"/>
                <w:lang w:eastAsia="en-US"/>
              </w:rPr>
              <w:t xml:space="preserve"> (iný ako 1. deň každého cyklu)</w:t>
            </w:r>
          </w:p>
        </w:tc>
        <w:tc>
          <w:tcPr>
            <w:tcW w:w="2526" w:type="pct"/>
            <w:hideMark/>
          </w:tcPr>
          <w:p w14:paraId="16ACB24C" w14:textId="77777777" w:rsidR="00564D9B" w:rsidRPr="00CC69EC" w:rsidRDefault="00D876ED" w:rsidP="00F75370">
            <w:pPr>
              <w:rPr>
                <w:color w:val="000000"/>
                <w:lang w:eastAsia="de-AT"/>
              </w:rPr>
            </w:pPr>
            <w:r>
              <w:rPr>
                <w:rFonts w:eastAsia="TimesNewRoman"/>
                <w:szCs w:val="22"/>
                <w:lang w:eastAsia="en-US"/>
              </w:rPr>
              <w:t>Liečba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sa má odložiť.</w:t>
            </w:r>
          </w:p>
        </w:tc>
      </w:tr>
      <w:tr w:rsidR="00564D9B" w:rsidRPr="00CC69EC" w14:paraId="01D09843" w14:textId="77777777" w:rsidTr="00E110FB">
        <w:trPr>
          <w:tblCellSpacing w:w="0" w:type="dxa"/>
        </w:trPr>
        <w:tc>
          <w:tcPr>
            <w:tcW w:w="2474" w:type="pct"/>
            <w:hideMark/>
          </w:tcPr>
          <w:p w14:paraId="244CF75C" w14:textId="77777777" w:rsidR="00564D9B" w:rsidRPr="00D876ED" w:rsidRDefault="00564D9B" w:rsidP="00D876ED">
            <w:pPr>
              <w:autoSpaceDE w:val="0"/>
              <w:autoSpaceDN w:val="0"/>
              <w:adjustRightInd w:val="0"/>
              <w:ind w:left="0" w:firstLine="0"/>
              <w:rPr>
                <w:rFonts w:eastAsia="TimesNewRoman,Italic"/>
                <w:i/>
                <w:iCs/>
                <w:szCs w:val="22"/>
                <w:lang w:eastAsia="en-US"/>
              </w:rPr>
            </w:pPr>
            <w:r w:rsidRPr="00D876ED">
              <w:rPr>
                <w:rFonts w:eastAsia="TimesNewRoman,Italic"/>
                <w:i/>
                <w:iCs/>
                <w:szCs w:val="22"/>
                <w:lang w:eastAsia="en-US"/>
              </w:rPr>
              <w:t>Nehematologické toxicity ≥ 3. stu</w:t>
            </w:r>
            <w:r w:rsidR="00D876ED">
              <w:rPr>
                <w:rFonts w:eastAsia="TimesNewRoman,Italic"/>
                <w:i/>
                <w:iCs/>
                <w:szCs w:val="22"/>
                <w:lang w:eastAsia="en-US"/>
              </w:rPr>
              <w:t xml:space="preserve">pňa </w:t>
            </w:r>
            <w:r w:rsidR="00D876ED" w:rsidRPr="00D876ED">
              <w:rPr>
                <w:rFonts w:eastAsia="TimesNewRoman,Italic"/>
                <w:i/>
                <w:iCs/>
                <w:szCs w:val="22"/>
                <w:lang w:eastAsia="en-US"/>
              </w:rPr>
              <w:t>považované za súvisiace s B</w:t>
            </w:r>
            <w:r w:rsidRPr="00D876ED">
              <w:rPr>
                <w:rFonts w:eastAsia="TimesNewRoman,Italic"/>
                <w:i/>
                <w:iCs/>
                <w:szCs w:val="22"/>
                <w:lang w:eastAsia="en-US"/>
              </w:rPr>
              <w:t>ortezomibom</w:t>
            </w:r>
            <w:r w:rsidR="00D876ED" w:rsidRPr="00D876ED">
              <w:rPr>
                <w:rFonts w:eastAsia="TimesNewRoman,Italic"/>
                <w:i/>
                <w:iCs/>
                <w:szCs w:val="22"/>
                <w:lang w:eastAsia="en-US"/>
              </w:rPr>
              <w:t xml:space="preserve"> Krka</w:t>
            </w:r>
          </w:p>
        </w:tc>
        <w:tc>
          <w:tcPr>
            <w:tcW w:w="2526" w:type="pct"/>
            <w:hideMark/>
          </w:tcPr>
          <w:p w14:paraId="37BA5160" w14:textId="6BCF9BE6" w:rsidR="00564D9B" w:rsidRPr="00CC69EC" w:rsidRDefault="00D876ED" w:rsidP="00F75370">
            <w:pPr>
              <w:autoSpaceDE w:val="0"/>
              <w:autoSpaceDN w:val="0"/>
              <w:adjustRightInd w:val="0"/>
              <w:ind w:left="0" w:firstLine="0"/>
              <w:rPr>
                <w:color w:val="000000"/>
                <w:lang w:eastAsia="de-AT"/>
              </w:rPr>
            </w:pPr>
            <w:r>
              <w:rPr>
                <w:rFonts w:eastAsia="TimesNewRoman"/>
                <w:szCs w:val="22"/>
                <w:lang w:eastAsia="en-US"/>
              </w:rPr>
              <w:t>Liečba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sa má odložiť, pokiaľ sa príznaky toxicity nezmiernia na 2. stupeň ale</w:t>
            </w:r>
            <w:r>
              <w:rPr>
                <w:rFonts w:eastAsia="TimesNewRoman"/>
                <w:szCs w:val="22"/>
                <w:lang w:eastAsia="en-US"/>
              </w:rPr>
              <w:t>bo nižší. Potom možno liečbu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znovu začať s dávkou zníženou o jednu úroveň (z 1,3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na 1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alebo z 1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na 0,7 mg/m</w:t>
            </w:r>
            <w:r w:rsidR="00564D9B" w:rsidRPr="00CC69EC">
              <w:rPr>
                <w:rFonts w:eastAsia="TimesNewRoman"/>
                <w:szCs w:val="22"/>
                <w:vertAlign w:val="superscript"/>
                <w:lang w:eastAsia="en-US"/>
              </w:rPr>
              <w:t>2</w:t>
            </w:r>
            <w:r w:rsidR="00564D9B" w:rsidRPr="00CC69EC">
              <w:rPr>
                <w:rFonts w:eastAsia="TimesNewRoman"/>
                <w:szCs w:val="22"/>
                <w:lang w:eastAsia="en-US"/>
              </w:rPr>
              <w:t>). Ak sa v súvislosti s bortezomibom vyskytne neuropatická bolesť a/alebo periférna neuropatia,</w:t>
            </w:r>
            <w:r>
              <w:rPr>
                <w:rFonts w:eastAsia="TimesNewRoman"/>
                <w:szCs w:val="22"/>
                <w:lang w:eastAsia="en-US"/>
              </w:rPr>
              <w:t xml:space="preserve"> odložte a/alebo upravte dávku B</w:t>
            </w:r>
            <w:r w:rsidR="00564D9B" w:rsidRPr="00CC69EC">
              <w:rPr>
                <w:rFonts w:eastAsia="TimesNewRoman"/>
                <w:szCs w:val="22"/>
                <w:lang w:eastAsia="en-US"/>
              </w:rPr>
              <w:t xml:space="preserve">ortezomibu </w:t>
            </w:r>
            <w:r>
              <w:rPr>
                <w:rFonts w:eastAsia="TimesNewRoman"/>
                <w:szCs w:val="22"/>
                <w:lang w:eastAsia="en-US"/>
              </w:rPr>
              <w:t xml:space="preserve">Krka </w:t>
            </w:r>
            <w:r w:rsidR="00564D9B" w:rsidRPr="00CC69EC">
              <w:rPr>
                <w:rFonts w:eastAsia="TimesNewRoman"/>
                <w:szCs w:val="22"/>
                <w:lang w:eastAsia="en-US"/>
              </w:rPr>
              <w:t>tak, ako sa uvádza v </w:t>
            </w:r>
            <w:r w:rsidR="00DA6D78">
              <w:rPr>
                <w:rFonts w:eastAsia="TimesNewRoman"/>
                <w:szCs w:val="22"/>
                <w:lang w:eastAsia="en-US"/>
              </w:rPr>
              <w:t>t</w:t>
            </w:r>
            <w:r w:rsidR="00564D9B" w:rsidRPr="00CC69EC">
              <w:rPr>
                <w:rFonts w:eastAsia="TimesNewRoman"/>
                <w:szCs w:val="22"/>
                <w:lang w:eastAsia="en-US"/>
              </w:rPr>
              <w:t>abuľke 1.</w:t>
            </w:r>
            <w:r w:rsidR="00564D9B" w:rsidRPr="00CC69EC">
              <w:rPr>
                <w:color w:val="000000"/>
                <w:lang w:eastAsia="de-AT"/>
              </w:rPr>
              <w:t xml:space="preserve"> </w:t>
            </w:r>
          </w:p>
        </w:tc>
      </w:tr>
    </w:tbl>
    <w:p w14:paraId="3A6DE149" w14:textId="77777777" w:rsidR="00D876ED" w:rsidRDefault="00D876ED" w:rsidP="00564D9B">
      <w:pPr>
        <w:autoSpaceDE w:val="0"/>
        <w:autoSpaceDN w:val="0"/>
        <w:adjustRightInd w:val="0"/>
        <w:ind w:left="0" w:firstLine="0"/>
        <w:rPr>
          <w:rFonts w:eastAsia="TimesNewRoman"/>
          <w:szCs w:val="22"/>
          <w:lang w:eastAsia="en-US"/>
        </w:rPr>
      </w:pPr>
    </w:p>
    <w:p w14:paraId="2468880A"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Navyše, keď sa </w:t>
      </w:r>
      <w:r w:rsidR="00D876ED">
        <w:rPr>
          <w:rFonts w:eastAsia="TimesNewRoman"/>
          <w:szCs w:val="22"/>
          <w:lang w:eastAsia="en-US"/>
        </w:rPr>
        <w:t>B</w:t>
      </w:r>
      <w:r w:rsidRPr="00CC69EC">
        <w:rPr>
          <w:rFonts w:eastAsia="TimesNewRoman"/>
          <w:szCs w:val="22"/>
          <w:lang w:eastAsia="en-US"/>
        </w:rPr>
        <w:t xml:space="preserve">ortezomib </w:t>
      </w:r>
      <w:r w:rsidR="00D876ED">
        <w:rPr>
          <w:rFonts w:eastAsia="TimesNewRoman"/>
          <w:szCs w:val="22"/>
          <w:lang w:eastAsia="en-US"/>
        </w:rPr>
        <w:t xml:space="preserve">Krka </w:t>
      </w:r>
      <w:r w:rsidRPr="00CC69EC">
        <w:rPr>
          <w:rFonts w:eastAsia="TimesNewRoman"/>
          <w:szCs w:val="22"/>
          <w:lang w:eastAsia="en-US"/>
        </w:rPr>
        <w:t>podáva v kombinácii s inými chemoterapeutickými liekmi, má sa v prípade toxicít zvážiť vhodná úprava dávky týchto liekov, podľa odporúčaní v príslušnom súhrne charakteristických vlastností lieku.</w:t>
      </w:r>
    </w:p>
    <w:p w14:paraId="59379BEE" w14:textId="77777777" w:rsidR="00564D9B" w:rsidRPr="00CC69EC" w:rsidRDefault="00564D9B" w:rsidP="00564D9B">
      <w:pPr>
        <w:autoSpaceDE w:val="0"/>
        <w:autoSpaceDN w:val="0"/>
        <w:adjustRightInd w:val="0"/>
        <w:ind w:left="0" w:firstLine="0"/>
        <w:rPr>
          <w:rFonts w:eastAsia="TimesNewRoman"/>
          <w:szCs w:val="22"/>
          <w:lang w:eastAsia="en-US"/>
        </w:rPr>
      </w:pPr>
    </w:p>
    <w:p w14:paraId="4565F16C"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Osobitné skupiny pacientov</w:t>
      </w:r>
    </w:p>
    <w:p w14:paraId="72EB8EA7"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51CC9560"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Starší pacienti</w:t>
      </w:r>
    </w:p>
    <w:p w14:paraId="308B75B1"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Nie sú dostupné dôkazy o potrebe úpravy dávkovania u pacientov s mnohopočetným myelómom alebo s lymfómom z plášťových buniek starších ako 65 rokov.</w:t>
      </w:r>
    </w:p>
    <w:p w14:paraId="712EDDC4"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Neboli vykonané žiadne štúdie s použitím bortezomibu u starších pacientov s doteraz neliečeným mnohopočetným myelómom, ktorí sú vhodní na vysokodávkovú chemoterapiu s transplantáciou hematopoetických kmeňových buniek. Preto nie je možné stanoviť v tejto populácii odporúčanie pre dávkovanie.</w:t>
      </w:r>
    </w:p>
    <w:p w14:paraId="2DFE9992" w14:textId="169CC19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štúdii u pacientov s doteraz neliečeným lymfómom z plášťových buniek malo 42,9 % pacientov liečených bortezomibom vek v rozpätí 65 – 74 rokov a 10,4 % pacientov malo ≥ 75 rokov. Pacienti vo veku ≥ 75 rokov menej tolerovali oba režimy, BR-CAP ako aj R-CHOP (pozri časť 4.8).</w:t>
      </w:r>
    </w:p>
    <w:p w14:paraId="1B564923" w14:textId="77777777" w:rsidR="00564D9B" w:rsidRPr="00CC69EC" w:rsidRDefault="00564D9B" w:rsidP="00564D9B">
      <w:pPr>
        <w:ind w:left="0" w:firstLine="0"/>
        <w:rPr>
          <w:rFonts w:eastAsia="TimesNewRoman"/>
          <w:szCs w:val="22"/>
          <w:lang w:eastAsia="en-US"/>
        </w:rPr>
      </w:pPr>
    </w:p>
    <w:p w14:paraId="5840880C"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Porucha funkcie pečene</w:t>
      </w:r>
    </w:p>
    <w:p w14:paraId="3EB02760" w14:textId="16BB7B39"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 xml:space="preserve">Pacienti s miernou poruchou funkcie pečene nevyžadujú úpravu dávky a majú byť liečení odporúčanou dávkou. U pacientov so stredne závažnou alebo závažnou poruchou funkcie pečene sa má začať s dávkou </w:t>
      </w:r>
      <w:r w:rsidR="00305411">
        <w:rPr>
          <w:rFonts w:eastAsia="TimesNewRoman"/>
          <w:szCs w:val="22"/>
          <w:lang w:eastAsia="en-US"/>
        </w:rPr>
        <w:t>B</w:t>
      </w:r>
      <w:r w:rsidRPr="00CC69EC">
        <w:rPr>
          <w:rFonts w:eastAsia="TimesNewRoman"/>
          <w:szCs w:val="22"/>
          <w:lang w:eastAsia="en-US"/>
        </w:rPr>
        <w:t xml:space="preserve">ortezomibu </w:t>
      </w:r>
      <w:r w:rsidR="00305411">
        <w:rPr>
          <w:rFonts w:eastAsia="TimesNewRoman"/>
          <w:szCs w:val="22"/>
          <w:lang w:eastAsia="en-US"/>
        </w:rPr>
        <w:t xml:space="preserve">Krka </w:t>
      </w:r>
      <w:r w:rsidRPr="00CC69EC">
        <w:rPr>
          <w:rFonts w:eastAsia="TimesNewRoman"/>
          <w:szCs w:val="22"/>
          <w:lang w:eastAsia="en-US"/>
        </w:rPr>
        <w:t>zníženou na 0,7 mg/m</w:t>
      </w:r>
      <w:r w:rsidRPr="00CC69EC">
        <w:rPr>
          <w:rFonts w:eastAsia="TimesNewRoman"/>
          <w:szCs w:val="22"/>
          <w:vertAlign w:val="superscript"/>
          <w:lang w:eastAsia="en-US"/>
        </w:rPr>
        <w:t>2</w:t>
      </w:r>
      <w:r w:rsidRPr="00CC69EC">
        <w:rPr>
          <w:rFonts w:eastAsia="TimesNewRoman"/>
          <w:szCs w:val="22"/>
          <w:lang w:eastAsia="en-US"/>
        </w:rPr>
        <w:t xml:space="preserve"> na injekciu počas prvého liečebného cyklu a má sa zvážiť následné zvýšenie na 1,0 mg/m</w:t>
      </w:r>
      <w:r w:rsidRPr="00CC69EC">
        <w:rPr>
          <w:rFonts w:eastAsia="TimesNewRoman"/>
          <w:szCs w:val="22"/>
          <w:vertAlign w:val="superscript"/>
          <w:lang w:eastAsia="en-US"/>
        </w:rPr>
        <w:t xml:space="preserve">2 </w:t>
      </w:r>
      <w:r w:rsidRPr="00CC69EC">
        <w:rPr>
          <w:rFonts w:eastAsia="TimesNewRoman"/>
          <w:szCs w:val="22"/>
          <w:lang w:eastAsia="en-US"/>
        </w:rPr>
        <w:t>alebo ďalšie zníženie na 0,5 mg/m</w:t>
      </w:r>
      <w:r w:rsidRPr="00CC69EC">
        <w:rPr>
          <w:rFonts w:eastAsia="TimesNewRoman"/>
          <w:szCs w:val="22"/>
          <w:vertAlign w:val="superscript"/>
          <w:lang w:eastAsia="en-US"/>
        </w:rPr>
        <w:t>2</w:t>
      </w:r>
      <w:r w:rsidRPr="00CC69EC">
        <w:rPr>
          <w:rFonts w:eastAsia="TimesNewRoman"/>
          <w:szCs w:val="22"/>
          <w:lang w:eastAsia="en-US"/>
        </w:rPr>
        <w:t xml:space="preserve"> v závislosti od tolerancie liečby pacientom (pozri </w:t>
      </w:r>
      <w:r w:rsidR="00DA6D78">
        <w:rPr>
          <w:rFonts w:eastAsia="TimesNewRoman"/>
          <w:szCs w:val="22"/>
          <w:lang w:eastAsia="en-US"/>
        </w:rPr>
        <w:t>t</w:t>
      </w:r>
      <w:r w:rsidRPr="00CC69EC">
        <w:rPr>
          <w:rFonts w:eastAsia="TimesNewRoman"/>
          <w:szCs w:val="22"/>
          <w:lang w:eastAsia="en-US"/>
        </w:rPr>
        <w:t>abuľku 6 a časti 4.4 a 5.2).</w:t>
      </w:r>
    </w:p>
    <w:p w14:paraId="06E360C0" w14:textId="77777777" w:rsidR="00564D9B" w:rsidRPr="00CC69EC" w:rsidRDefault="00564D9B" w:rsidP="00564D9B">
      <w:pPr>
        <w:ind w:left="0" w:firstLine="0"/>
        <w:rPr>
          <w:szCs w:val="22"/>
          <w:u w:val="single"/>
        </w:rPr>
      </w:pPr>
    </w:p>
    <w:p w14:paraId="5C03552E" w14:textId="7EB7C882" w:rsidR="00564D9B" w:rsidRPr="00CC69EC" w:rsidRDefault="00564D9B" w:rsidP="00564D9B">
      <w:pPr>
        <w:autoSpaceDE w:val="0"/>
        <w:autoSpaceDN w:val="0"/>
        <w:adjustRightInd w:val="0"/>
        <w:ind w:left="0" w:firstLine="0"/>
        <w:rPr>
          <w:color w:val="000000"/>
        </w:rPr>
      </w:pPr>
      <w:r w:rsidRPr="00CC69EC">
        <w:rPr>
          <w:rFonts w:eastAsia="TimesNewRoman,Italic"/>
          <w:i/>
          <w:iCs/>
          <w:szCs w:val="22"/>
          <w:lang w:eastAsia="en-US"/>
        </w:rPr>
        <w:t xml:space="preserve">Tabuľka 6: Odporúčaná úprava </w:t>
      </w:r>
      <w:r>
        <w:rPr>
          <w:rFonts w:eastAsia="TimesNewRoman,Italic"/>
          <w:i/>
          <w:iCs/>
          <w:szCs w:val="22"/>
          <w:lang w:eastAsia="en-US"/>
        </w:rPr>
        <w:t>začiatočnej</w:t>
      </w:r>
      <w:r w:rsidR="00305411">
        <w:rPr>
          <w:rFonts w:eastAsia="TimesNewRoman,Italic"/>
          <w:i/>
          <w:iCs/>
          <w:szCs w:val="22"/>
          <w:lang w:eastAsia="en-US"/>
        </w:rPr>
        <w:t xml:space="preserve"> dávky B</w:t>
      </w:r>
      <w:r w:rsidRPr="00CC69EC">
        <w:rPr>
          <w:rFonts w:eastAsia="TimesNewRoman,Italic"/>
          <w:i/>
          <w:iCs/>
          <w:szCs w:val="22"/>
          <w:lang w:eastAsia="en-US"/>
        </w:rPr>
        <w:t xml:space="preserve">ortezomibu </w:t>
      </w:r>
      <w:r w:rsidR="00305411">
        <w:rPr>
          <w:rFonts w:eastAsia="TimesNewRoman,Italic"/>
          <w:i/>
          <w:iCs/>
          <w:szCs w:val="22"/>
          <w:lang w:eastAsia="en-US"/>
        </w:rPr>
        <w:t xml:space="preserve">Krka </w:t>
      </w:r>
      <w:r w:rsidRPr="00CC69EC">
        <w:rPr>
          <w:rFonts w:eastAsia="TimesNewRoman,Italic"/>
          <w:i/>
          <w:iCs/>
          <w:szCs w:val="22"/>
          <w:lang w:eastAsia="en-US"/>
        </w:rPr>
        <w:t>u pacientov s poruchou funkcie pečene</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firstRow="1" w:lastRow="0" w:firstColumn="1" w:lastColumn="0" w:noHBand="0" w:noVBand="1"/>
      </w:tblPr>
      <w:tblGrid>
        <w:gridCol w:w="1729"/>
        <w:gridCol w:w="1917"/>
        <w:gridCol w:w="1596"/>
        <w:gridCol w:w="3822"/>
      </w:tblGrid>
      <w:tr w:rsidR="00564D9B" w:rsidRPr="00CC69EC" w14:paraId="59F42A59" w14:textId="77777777" w:rsidTr="00E110FB">
        <w:trPr>
          <w:tblCellSpacing w:w="0" w:type="dxa"/>
        </w:trPr>
        <w:tc>
          <w:tcPr>
            <w:tcW w:w="960" w:type="pct"/>
            <w:hideMark/>
          </w:tcPr>
          <w:p w14:paraId="06E79EBB" w14:textId="77777777" w:rsidR="00564D9B" w:rsidRPr="00CC69EC" w:rsidRDefault="00564D9B" w:rsidP="00F75370">
            <w:pPr>
              <w:autoSpaceDE w:val="0"/>
              <w:autoSpaceDN w:val="0"/>
              <w:adjustRightInd w:val="0"/>
              <w:ind w:left="0" w:firstLine="0"/>
              <w:rPr>
                <w:color w:val="000000"/>
              </w:rPr>
            </w:pPr>
            <w:r w:rsidRPr="00CC69EC">
              <w:rPr>
                <w:rFonts w:eastAsia="TimesNewRoman,Bold"/>
                <w:b/>
                <w:bCs/>
                <w:szCs w:val="22"/>
                <w:lang w:eastAsia="en-US"/>
              </w:rPr>
              <w:t>Stupeň poruchy funkcie pečene*</w:t>
            </w:r>
          </w:p>
        </w:tc>
        <w:tc>
          <w:tcPr>
            <w:tcW w:w="1040" w:type="pct"/>
            <w:hideMark/>
          </w:tcPr>
          <w:p w14:paraId="7EC11750" w14:textId="77777777" w:rsidR="00564D9B" w:rsidRPr="00CC69EC" w:rsidRDefault="00564D9B" w:rsidP="00F75370">
            <w:pPr>
              <w:rPr>
                <w:color w:val="000000"/>
              </w:rPr>
            </w:pPr>
            <w:r w:rsidRPr="00CC69EC">
              <w:rPr>
                <w:b/>
                <w:bCs/>
                <w:color w:val="000000"/>
              </w:rPr>
              <w:t>Hladina bilirubínu</w:t>
            </w:r>
          </w:p>
        </w:tc>
        <w:tc>
          <w:tcPr>
            <w:tcW w:w="886" w:type="pct"/>
            <w:hideMark/>
          </w:tcPr>
          <w:p w14:paraId="50A85EC8" w14:textId="77777777" w:rsidR="00564D9B" w:rsidRPr="00CC69EC" w:rsidRDefault="00564D9B" w:rsidP="00E110FB">
            <w:pPr>
              <w:autoSpaceDE w:val="0"/>
              <w:autoSpaceDN w:val="0"/>
              <w:adjustRightInd w:val="0"/>
              <w:ind w:left="0" w:firstLine="0"/>
              <w:jc w:val="center"/>
              <w:rPr>
                <w:rFonts w:eastAsia="TimesNewRoman,Bold"/>
                <w:b/>
                <w:bCs/>
                <w:szCs w:val="22"/>
                <w:lang w:eastAsia="en-US"/>
              </w:rPr>
            </w:pPr>
            <w:r w:rsidRPr="00CC69EC">
              <w:rPr>
                <w:rFonts w:eastAsia="TimesNewRoman,Bold"/>
                <w:b/>
                <w:bCs/>
                <w:szCs w:val="22"/>
                <w:lang w:eastAsia="en-US"/>
              </w:rPr>
              <w:t>Hladiny SGOT</w:t>
            </w:r>
          </w:p>
          <w:p w14:paraId="66490F45" w14:textId="77777777" w:rsidR="00564D9B" w:rsidRPr="00CC69EC" w:rsidRDefault="00564D9B" w:rsidP="00E110FB">
            <w:pPr>
              <w:jc w:val="center"/>
              <w:rPr>
                <w:color w:val="000000"/>
              </w:rPr>
            </w:pPr>
            <w:r w:rsidRPr="00CC69EC">
              <w:rPr>
                <w:rFonts w:eastAsia="TimesNewRoman,Bold"/>
                <w:b/>
                <w:bCs/>
                <w:szCs w:val="22"/>
                <w:lang w:eastAsia="en-US"/>
              </w:rPr>
              <w:t>(AST)</w:t>
            </w:r>
          </w:p>
        </w:tc>
        <w:tc>
          <w:tcPr>
            <w:tcW w:w="2114" w:type="pct"/>
            <w:hideMark/>
          </w:tcPr>
          <w:p w14:paraId="1BDBCA7F" w14:textId="77777777" w:rsidR="00564D9B" w:rsidRPr="00CC69EC" w:rsidRDefault="00564D9B" w:rsidP="00E110FB">
            <w:pPr>
              <w:jc w:val="center"/>
              <w:rPr>
                <w:color w:val="000000"/>
              </w:rPr>
            </w:pPr>
            <w:r w:rsidRPr="00CC69EC">
              <w:rPr>
                <w:rFonts w:eastAsia="TimesNewRoman,Bold"/>
                <w:b/>
                <w:bCs/>
                <w:szCs w:val="22"/>
                <w:lang w:eastAsia="en-US"/>
              </w:rPr>
              <w:t xml:space="preserve">Úprava </w:t>
            </w:r>
            <w:r>
              <w:rPr>
                <w:rFonts w:eastAsia="TimesNewRoman,Bold"/>
                <w:b/>
                <w:bCs/>
                <w:szCs w:val="22"/>
                <w:lang w:eastAsia="en-US"/>
              </w:rPr>
              <w:t>začiatočnej</w:t>
            </w:r>
            <w:r w:rsidRPr="00CC69EC">
              <w:rPr>
                <w:rFonts w:eastAsia="TimesNewRoman,Bold"/>
                <w:b/>
                <w:bCs/>
                <w:szCs w:val="22"/>
                <w:lang w:eastAsia="en-US"/>
              </w:rPr>
              <w:t xml:space="preserve"> dávky</w:t>
            </w:r>
          </w:p>
        </w:tc>
      </w:tr>
      <w:tr w:rsidR="00564D9B" w:rsidRPr="00CC69EC" w14:paraId="7BB91972" w14:textId="77777777" w:rsidTr="00E110FB">
        <w:trPr>
          <w:tblCellSpacing w:w="0" w:type="dxa"/>
        </w:trPr>
        <w:tc>
          <w:tcPr>
            <w:tcW w:w="960" w:type="pct"/>
            <w:vMerge w:val="restart"/>
            <w:hideMark/>
          </w:tcPr>
          <w:p w14:paraId="07098BBA" w14:textId="77777777" w:rsidR="00564D9B" w:rsidRPr="00CC69EC" w:rsidRDefault="00564D9B" w:rsidP="00F75370">
            <w:pPr>
              <w:rPr>
                <w:color w:val="000000"/>
              </w:rPr>
            </w:pPr>
            <w:r w:rsidRPr="00CC69EC">
              <w:rPr>
                <w:color w:val="000000"/>
              </w:rPr>
              <w:t xml:space="preserve">Mierna </w:t>
            </w:r>
          </w:p>
        </w:tc>
        <w:tc>
          <w:tcPr>
            <w:tcW w:w="1040" w:type="pct"/>
            <w:hideMark/>
          </w:tcPr>
          <w:p w14:paraId="1442078F" w14:textId="77777777" w:rsidR="00564D9B" w:rsidRPr="00CC69EC" w:rsidRDefault="00564D9B" w:rsidP="00F75370">
            <w:pPr>
              <w:rPr>
                <w:color w:val="000000"/>
              </w:rPr>
            </w:pPr>
            <w:r w:rsidRPr="00CC69EC">
              <w:rPr>
                <w:color w:val="000000"/>
              </w:rPr>
              <w:t xml:space="preserve">≤ 1,0 x ULN </w:t>
            </w:r>
          </w:p>
        </w:tc>
        <w:tc>
          <w:tcPr>
            <w:tcW w:w="886" w:type="pct"/>
            <w:hideMark/>
          </w:tcPr>
          <w:p w14:paraId="4428BA23" w14:textId="77777777" w:rsidR="00564D9B" w:rsidRPr="00CC69EC" w:rsidRDefault="00564D9B" w:rsidP="00253235">
            <w:pPr>
              <w:jc w:val="center"/>
              <w:rPr>
                <w:color w:val="000000"/>
              </w:rPr>
            </w:pPr>
            <w:r w:rsidRPr="00CC69EC">
              <w:rPr>
                <w:color w:val="000000"/>
              </w:rPr>
              <w:t>&gt; ULN</w:t>
            </w:r>
          </w:p>
        </w:tc>
        <w:tc>
          <w:tcPr>
            <w:tcW w:w="2114" w:type="pct"/>
            <w:hideMark/>
          </w:tcPr>
          <w:p w14:paraId="6979AB9A" w14:textId="77777777" w:rsidR="00564D9B" w:rsidRPr="00CC69EC" w:rsidRDefault="00564D9B" w:rsidP="00253235">
            <w:pPr>
              <w:jc w:val="center"/>
              <w:rPr>
                <w:color w:val="000000"/>
              </w:rPr>
            </w:pPr>
            <w:r w:rsidRPr="00CC69EC">
              <w:rPr>
                <w:color w:val="000000"/>
              </w:rPr>
              <w:t>Žiadna</w:t>
            </w:r>
          </w:p>
        </w:tc>
      </w:tr>
      <w:tr w:rsidR="00564D9B" w:rsidRPr="00CC69EC" w14:paraId="557CE28D" w14:textId="77777777" w:rsidTr="00E110FB">
        <w:trPr>
          <w:tblCellSpacing w:w="0" w:type="dxa"/>
        </w:trPr>
        <w:tc>
          <w:tcPr>
            <w:tcW w:w="960" w:type="pct"/>
            <w:vMerge/>
            <w:vAlign w:val="center"/>
            <w:hideMark/>
          </w:tcPr>
          <w:p w14:paraId="071216D7" w14:textId="77777777" w:rsidR="00564D9B" w:rsidRPr="00CC69EC" w:rsidRDefault="00564D9B" w:rsidP="00F75370">
            <w:pPr>
              <w:rPr>
                <w:color w:val="000000"/>
              </w:rPr>
            </w:pPr>
          </w:p>
        </w:tc>
        <w:tc>
          <w:tcPr>
            <w:tcW w:w="1040" w:type="pct"/>
            <w:hideMark/>
          </w:tcPr>
          <w:p w14:paraId="5C02E349" w14:textId="77777777" w:rsidR="00564D9B" w:rsidRPr="00CC69EC" w:rsidRDefault="00564D9B" w:rsidP="00F75370">
            <w:pPr>
              <w:rPr>
                <w:color w:val="000000"/>
              </w:rPr>
            </w:pPr>
            <w:r w:rsidRPr="00CC69EC">
              <w:rPr>
                <w:color w:val="000000"/>
              </w:rPr>
              <w:t xml:space="preserve">&gt; 1,0 x – 1,5 x ULN </w:t>
            </w:r>
          </w:p>
        </w:tc>
        <w:tc>
          <w:tcPr>
            <w:tcW w:w="886" w:type="pct"/>
            <w:hideMark/>
          </w:tcPr>
          <w:p w14:paraId="75D655A9" w14:textId="77777777" w:rsidR="00564D9B" w:rsidRPr="00CC69EC" w:rsidRDefault="00564D9B" w:rsidP="00253235">
            <w:pPr>
              <w:jc w:val="center"/>
              <w:rPr>
                <w:color w:val="000000"/>
              </w:rPr>
            </w:pPr>
            <w:r w:rsidRPr="00CC69EC">
              <w:rPr>
                <w:color w:val="000000"/>
              </w:rPr>
              <w:t>Každá</w:t>
            </w:r>
          </w:p>
        </w:tc>
        <w:tc>
          <w:tcPr>
            <w:tcW w:w="2114" w:type="pct"/>
            <w:hideMark/>
          </w:tcPr>
          <w:p w14:paraId="3AA1350C" w14:textId="77777777" w:rsidR="00564D9B" w:rsidRPr="00CC69EC" w:rsidRDefault="00564D9B" w:rsidP="00253235">
            <w:pPr>
              <w:jc w:val="center"/>
              <w:rPr>
                <w:color w:val="000000"/>
              </w:rPr>
            </w:pPr>
            <w:r w:rsidRPr="00CC69EC">
              <w:rPr>
                <w:color w:val="000000"/>
              </w:rPr>
              <w:t>Žiadna</w:t>
            </w:r>
          </w:p>
        </w:tc>
      </w:tr>
      <w:tr w:rsidR="00564D9B" w:rsidRPr="00CC69EC" w14:paraId="4AB2FEC3" w14:textId="77777777" w:rsidTr="00E110FB">
        <w:trPr>
          <w:tblCellSpacing w:w="0" w:type="dxa"/>
        </w:trPr>
        <w:tc>
          <w:tcPr>
            <w:tcW w:w="960" w:type="pct"/>
            <w:hideMark/>
          </w:tcPr>
          <w:p w14:paraId="330C2938" w14:textId="77777777" w:rsidR="00564D9B" w:rsidRPr="00CC69EC" w:rsidRDefault="00564D9B" w:rsidP="00F75370">
            <w:pPr>
              <w:ind w:left="0" w:firstLine="0"/>
              <w:jc w:val="both"/>
              <w:rPr>
                <w:color w:val="000000"/>
              </w:rPr>
            </w:pPr>
            <w:r w:rsidRPr="00CC69EC">
              <w:rPr>
                <w:color w:val="000000"/>
              </w:rPr>
              <w:t xml:space="preserve">Stredne závažná </w:t>
            </w:r>
          </w:p>
        </w:tc>
        <w:tc>
          <w:tcPr>
            <w:tcW w:w="1040" w:type="pct"/>
            <w:hideMark/>
          </w:tcPr>
          <w:p w14:paraId="749615B1" w14:textId="77777777" w:rsidR="00564D9B" w:rsidRPr="00CC69EC" w:rsidRDefault="00564D9B" w:rsidP="00F75370">
            <w:pPr>
              <w:rPr>
                <w:color w:val="000000"/>
              </w:rPr>
            </w:pPr>
            <w:r w:rsidRPr="00CC69EC">
              <w:rPr>
                <w:color w:val="000000"/>
              </w:rPr>
              <w:t xml:space="preserve">&gt; 1,5 x – 3 x ULN </w:t>
            </w:r>
          </w:p>
        </w:tc>
        <w:tc>
          <w:tcPr>
            <w:tcW w:w="886" w:type="pct"/>
            <w:hideMark/>
          </w:tcPr>
          <w:p w14:paraId="3CCB2B06" w14:textId="77777777" w:rsidR="00564D9B" w:rsidRPr="00CC69EC" w:rsidRDefault="00564D9B" w:rsidP="00253235">
            <w:pPr>
              <w:jc w:val="center"/>
              <w:rPr>
                <w:color w:val="000000"/>
              </w:rPr>
            </w:pPr>
            <w:r w:rsidRPr="00CC69EC">
              <w:rPr>
                <w:color w:val="000000"/>
              </w:rPr>
              <w:t>Každá</w:t>
            </w:r>
          </w:p>
        </w:tc>
        <w:tc>
          <w:tcPr>
            <w:tcW w:w="2114" w:type="pct"/>
            <w:vMerge w:val="restart"/>
            <w:hideMark/>
          </w:tcPr>
          <w:p w14:paraId="593E6B9B" w14:textId="77777777" w:rsidR="00564D9B" w:rsidRPr="00CC69EC" w:rsidRDefault="00253235" w:rsidP="00F75370">
            <w:pPr>
              <w:autoSpaceDE w:val="0"/>
              <w:autoSpaceDN w:val="0"/>
              <w:adjustRightInd w:val="0"/>
              <w:ind w:left="0" w:firstLine="0"/>
              <w:rPr>
                <w:color w:val="000000"/>
              </w:rPr>
            </w:pPr>
            <w:r>
              <w:rPr>
                <w:rFonts w:eastAsia="TimesNewRoman"/>
                <w:szCs w:val="22"/>
                <w:lang w:eastAsia="en-US"/>
              </w:rPr>
              <w:t>Znížte dávku B</w:t>
            </w:r>
            <w:r w:rsidR="00564D9B" w:rsidRPr="00CC69EC">
              <w:rPr>
                <w:rFonts w:eastAsia="TimesNewRoman"/>
                <w:szCs w:val="22"/>
                <w:lang w:eastAsia="en-US"/>
              </w:rPr>
              <w:t xml:space="preserve">ortezomibu </w:t>
            </w:r>
            <w:r>
              <w:rPr>
                <w:rFonts w:eastAsia="TimesNewRoman"/>
                <w:szCs w:val="22"/>
                <w:lang w:eastAsia="en-US"/>
              </w:rPr>
              <w:t xml:space="preserve">Krka </w:t>
            </w:r>
            <w:r w:rsidR="00564D9B" w:rsidRPr="00CC69EC">
              <w:rPr>
                <w:rFonts w:eastAsia="TimesNewRoman"/>
                <w:szCs w:val="22"/>
                <w:lang w:eastAsia="en-US"/>
              </w:rPr>
              <w:t>na 0,7 mg/m</w:t>
            </w:r>
            <w:r w:rsidR="00564D9B" w:rsidRPr="00CC69EC">
              <w:rPr>
                <w:rFonts w:eastAsia="TimesNewRoman"/>
                <w:szCs w:val="22"/>
                <w:vertAlign w:val="superscript"/>
                <w:lang w:eastAsia="en-US"/>
              </w:rPr>
              <w:t xml:space="preserve">2 </w:t>
            </w:r>
            <w:r w:rsidR="00564D9B" w:rsidRPr="00CC69EC">
              <w:rPr>
                <w:rFonts w:eastAsia="TimesNewRoman"/>
                <w:szCs w:val="22"/>
                <w:lang w:eastAsia="en-US"/>
              </w:rPr>
              <w:t>v prvom liečebnom cykle. Zvážte zvýšenie dávky na 1,0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alebo ďalšie zníženie dávky na 0,5 mg/m</w:t>
            </w:r>
            <w:r w:rsidR="00564D9B" w:rsidRPr="00CC69EC">
              <w:rPr>
                <w:rFonts w:eastAsia="TimesNewRoman"/>
                <w:szCs w:val="22"/>
                <w:vertAlign w:val="superscript"/>
                <w:lang w:eastAsia="en-US"/>
              </w:rPr>
              <w:t xml:space="preserve">2 </w:t>
            </w:r>
            <w:r w:rsidR="00564D9B" w:rsidRPr="00CC69EC">
              <w:rPr>
                <w:rFonts w:eastAsia="TimesNewRoman"/>
                <w:szCs w:val="22"/>
                <w:lang w:eastAsia="en-US"/>
              </w:rPr>
              <w:t>v nasledujúcich cykloch v závislosti od tolerancie liečby pacientom.</w:t>
            </w:r>
          </w:p>
        </w:tc>
      </w:tr>
      <w:tr w:rsidR="00564D9B" w:rsidRPr="00CC69EC" w14:paraId="2F5579AF" w14:textId="77777777" w:rsidTr="00E110FB">
        <w:trPr>
          <w:tblCellSpacing w:w="0" w:type="dxa"/>
        </w:trPr>
        <w:tc>
          <w:tcPr>
            <w:tcW w:w="960" w:type="pct"/>
            <w:hideMark/>
          </w:tcPr>
          <w:p w14:paraId="4FE4566E" w14:textId="77777777" w:rsidR="00564D9B" w:rsidRPr="00CC69EC" w:rsidRDefault="00564D9B" w:rsidP="00F75370">
            <w:pPr>
              <w:rPr>
                <w:color w:val="000000"/>
              </w:rPr>
            </w:pPr>
            <w:r w:rsidRPr="00CC69EC">
              <w:rPr>
                <w:color w:val="000000"/>
              </w:rPr>
              <w:t xml:space="preserve">Závažná </w:t>
            </w:r>
          </w:p>
        </w:tc>
        <w:tc>
          <w:tcPr>
            <w:tcW w:w="1040" w:type="pct"/>
            <w:hideMark/>
          </w:tcPr>
          <w:p w14:paraId="05D4A0C4" w14:textId="77777777" w:rsidR="00564D9B" w:rsidRPr="00CC69EC" w:rsidRDefault="00564D9B" w:rsidP="00F75370">
            <w:pPr>
              <w:rPr>
                <w:color w:val="000000"/>
              </w:rPr>
            </w:pPr>
            <w:r w:rsidRPr="00CC69EC">
              <w:rPr>
                <w:color w:val="000000"/>
              </w:rPr>
              <w:t xml:space="preserve">&gt; 3 x ULN </w:t>
            </w:r>
          </w:p>
        </w:tc>
        <w:tc>
          <w:tcPr>
            <w:tcW w:w="886" w:type="pct"/>
            <w:hideMark/>
          </w:tcPr>
          <w:p w14:paraId="49283AC5" w14:textId="77777777" w:rsidR="00564D9B" w:rsidRPr="00CC69EC" w:rsidRDefault="00564D9B" w:rsidP="00253235">
            <w:pPr>
              <w:jc w:val="center"/>
              <w:rPr>
                <w:color w:val="000000"/>
              </w:rPr>
            </w:pPr>
            <w:r w:rsidRPr="00CC69EC">
              <w:rPr>
                <w:color w:val="000000"/>
              </w:rPr>
              <w:t>Každá</w:t>
            </w:r>
          </w:p>
        </w:tc>
        <w:tc>
          <w:tcPr>
            <w:tcW w:w="2114" w:type="pct"/>
            <w:vMerge/>
            <w:hideMark/>
          </w:tcPr>
          <w:p w14:paraId="276380EB" w14:textId="77777777" w:rsidR="00564D9B" w:rsidRPr="00CC69EC" w:rsidRDefault="00564D9B" w:rsidP="00F75370">
            <w:pPr>
              <w:rPr>
                <w:color w:val="000000"/>
              </w:rPr>
            </w:pPr>
          </w:p>
        </w:tc>
      </w:tr>
    </w:tbl>
    <w:p w14:paraId="7D29FEE5" w14:textId="77777777" w:rsidR="00564D9B" w:rsidRPr="00305411" w:rsidRDefault="00564D9B" w:rsidP="00564D9B">
      <w:pPr>
        <w:autoSpaceDE w:val="0"/>
        <w:autoSpaceDN w:val="0"/>
        <w:adjustRightInd w:val="0"/>
        <w:ind w:left="0" w:firstLine="0"/>
        <w:rPr>
          <w:rFonts w:eastAsia="TimesNewRoman"/>
          <w:sz w:val="18"/>
          <w:szCs w:val="22"/>
          <w:lang w:eastAsia="en-US"/>
        </w:rPr>
      </w:pPr>
      <w:r w:rsidRPr="00305411">
        <w:rPr>
          <w:rFonts w:eastAsia="TimesNewRoman"/>
          <w:sz w:val="18"/>
          <w:szCs w:val="22"/>
          <w:lang w:eastAsia="en-US"/>
        </w:rPr>
        <w:t xml:space="preserve">Skratky: SGOT = sérová </w:t>
      </w:r>
      <w:r w:rsidRPr="00FF5683">
        <w:rPr>
          <w:rFonts w:eastAsia="TimesNewRoman"/>
          <w:sz w:val="18"/>
          <w:szCs w:val="22"/>
          <w:lang w:eastAsia="en-US"/>
        </w:rPr>
        <w:t>glutamátoxalacetátami</w:t>
      </w:r>
      <w:r w:rsidRPr="00F56C25">
        <w:rPr>
          <w:rFonts w:eastAsia="TimesNewRoman"/>
          <w:sz w:val="18"/>
          <w:szCs w:val="22"/>
          <w:lang w:eastAsia="en-US"/>
        </w:rPr>
        <w:t>notransferáza</w:t>
      </w:r>
      <w:r w:rsidRPr="00305411">
        <w:rPr>
          <w:rFonts w:eastAsia="TimesNewRoman"/>
          <w:sz w:val="18"/>
          <w:szCs w:val="22"/>
          <w:lang w:eastAsia="en-US"/>
        </w:rPr>
        <w:t xml:space="preserve"> (z angl. serum glutamic oxaloacetic transaminase);</w:t>
      </w:r>
    </w:p>
    <w:p w14:paraId="4F248C9A" w14:textId="77777777" w:rsidR="00564D9B" w:rsidRPr="00305411" w:rsidRDefault="00564D9B" w:rsidP="00564D9B">
      <w:pPr>
        <w:autoSpaceDE w:val="0"/>
        <w:autoSpaceDN w:val="0"/>
        <w:adjustRightInd w:val="0"/>
        <w:ind w:left="0" w:firstLine="0"/>
        <w:rPr>
          <w:rFonts w:eastAsia="TimesNewRoman"/>
          <w:sz w:val="18"/>
          <w:szCs w:val="22"/>
          <w:lang w:eastAsia="en-US"/>
        </w:rPr>
      </w:pPr>
      <w:r w:rsidRPr="00305411">
        <w:rPr>
          <w:rFonts w:eastAsia="TimesNewRoman"/>
          <w:sz w:val="18"/>
          <w:szCs w:val="22"/>
          <w:lang w:eastAsia="en-US"/>
        </w:rPr>
        <w:t>AST = aspartátaminotransferáza; ULN = horná hranica normy (z angl. upper limit of the normal range).</w:t>
      </w:r>
    </w:p>
    <w:p w14:paraId="4832E210" w14:textId="77777777" w:rsidR="00564D9B" w:rsidRPr="00305411" w:rsidRDefault="00564D9B" w:rsidP="00564D9B">
      <w:pPr>
        <w:autoSpaceDE w:val="0"/>
        <w:autoSpaceDN w:val="0"/>
        <w:adjustRightInd w:val="0"/>
        <w:ind w:left="0" w:firstLine="0"/>
        <w:rPr>
          <w:color w:val="000000"/>
          <w:sz w:val="18"/>
          <w:szCs w:val="22"/>
        </w:rPr>
      </w:pPr>
      <w:r w:rsidRPr="00305411">
        <w:rPr>
          <w:rFonts w:eastAsia="TimesNewRoman"/>
          <w:sz w:val="18"/>
          <w:szCs w:val="22"/>
          <w:lang w:eastAsia="en-US"/>
        </w:rPr>
        <w:t>*</w:t>
      </w:r>
      <w:r w:rsidR="00253235">
        <w:rPr>
          <w:rFonts w:eastAsia="TimesNewRoman"/>
          <w:sz w:val="18"/>
          <w:szCs w:val="22"/>
          <w:lang w:eastAsia="en-US"/>
        </w:rPr>
        <w:t xml:space="preserve">    </w:t>
      </w:r>
      <w:r w:rsidRPr="00305411">
        <w:rPr>
          <w:rFonts w:eastAsia="TimesNewRoman"/>
          <w:sz w:val="18"/>
          <w:szCs w:val="22"/>
          <w:lang w:eastAsia="en-US"/>
        </w:rPr>
        <w:t xml:space="preserve"> Na základe klasifikácie pracovnej skupiny pre poruchy orgánov NCI (z angl. National Cancer Institute) pre kategórie porúch funkcie pečene (mierna, stredne závažná, závažná).</w:t>
      </w:r>
    </w:p>
    <w:p w14:paraId="63174BCA" w14:textId="77777777" w:rsidR="00564D9B" w:rsidRPr="00CC69EC" w:rsidRDefault="00564D9B" w:rsidP="00564D9B">
      <w:pPr>
        <w:ind w:left="0" w:firstLine="0"/>
        <w:rPr>
          <w:szCs w:val="22"/>
          <w:u w:val="single"/>
        </w:rPr>
      </w:pPr>
    </w:p>
    <w:p w14:paraId="0FC36545"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Porucha funkcie obličiek</w:t>
      </w:r>
    </w:p>
    <w:p w14:paraId="5610B639"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Farmakokinetika bortezomibu nie je ovplyvnená u pacientov s miernou až stredne závažnou poruchou funkcie obličiek (klírens kreatinínu [CrCL] &gt; 20 ml/min/1,73 m</w:t>
      </w:r>
      <w:r w:rsidRPr="00CC69EC">
        <w:rPr>
          <w:rFonts w:eastAsia="TimesNewRoman"/>
          <w:szCs w:val="22"/>
          <w:vertAlign w:val="superscript"/>
          <w:lang w:eastAsia="en-US"/>
        </w:rPr>
        <w:t xml:space="preserve">2 </w:t>
      </w:r>
      <w:r w:rsidRPr="00CC69EC">
        <w:rPr>
          <w:rFonts w:eastAsia="TimesNewRoman"/>
          <w:szCs w:val="22"/>
          <w:lang w:eastAsia="en-US"/>
        </w:rPr>
        <w:t>), a preto u týchto pacientov nie je potrebná úprava dávky. Nie je známe, či je farmakokinetika bortezomibu ovplyvnená u pacientov so závažnou poruchou funkcie obličiek bez dialýzy (CrCL &lt; 20 ml/min/1,73 m</w:t>
      </w:r>
      <w:r w:rsidRPr="00CC69EC">
        <w:rPr>
          <w:rFonts w:eastAsia="TimesNewRoman"/>
          <w:szCs w:val="22"/>
          <w:vertAlign w:val="superscript"/>
          <w:lang w:eastAsia="en-US"/>
        </w:rPr>
        <w:t>2</w:t>
      </w:r>
      <w:r w:rsidRPr="00CC69EC">
        <w:rPr>
          <w:rFonts w:eastAsia="TimesNewRoman"/>
          <w:szCs w:val="22"/>
          <w:lang w:eastAsia="en-US"/>
        </w:rPr>
        <w:t xml:space="preserve">). Vzhľadom na to, že dialýza môže znížiť koncentrácie bortezomibu, </w:t>
      </w:r>
      <w:r w:rsidR="004E1518">
        <w:rPr>
          <w:rFonts w:eastAsia="TimesNewRoman"/>
          <w:szCs w:val="22"/>
          <w:lang w:eastAsia="en-US"/>
        </w:rPr>
        <w:t>B</w:t>
      </w:r>
      <w:r w:rsidRPr="00CC69EC">
        <w:rPr>
          <w:rFonts w:eastAsia="TimesNewRoman"/>
          <w:szCs w:val="22"/>
          <w:lang w:eastAsia="en-US"/>
        </w:rPr>
        <w:t xml:space="preserve">ortezomib </w:t>
      </w:r>
      <w:r w:rsidR="004E1518">
        <w:rPr>
          <w:rFonts w:eastAsia="TimesNewRoman"/>
          <w:szCs w:val="22"/>
          <w:lang w:eastAsia="en-US"/>
        </w:rPr>
        <w:t xml:space="preserve">Krka </w:t>
      </w:r>
      <w:r w:rsidRPr="00CC69EC">
        <w:rPr>
          <w:rFonts w:eastAsia="TimesNewRoman"/>
          <w:szCs w:val="22"/>
          <w:lang w:eastAsia="en-US"/>
        </w:rPr>
        <w:t>sa má podávať až po ukončení dialýzy (pozri časť 5.2).</w:t>
      </w:r>
    </w:p>
    <w:p w14:paraId="5A2B7E59" w14:textId="77777777" w:rsidR="00564D9B" w:rsidRPr="00CC69EC" w:rsidRDefault="00564D9B" w:rsidP="00564D9B">
      <w:pPr>
        <w:autoSpaceDE w:val="0"/>
        <w:autoSpaceDN w:val="0"/>
        <w:adjustRightInd w:val="0"/>
        <w:ind w:left="0" w:firstLine="0"/>
        <w:rPr>
          <w:rFonts w:eastAsia="TimesNewRoman"/>
          <w:szCs w:val="22"/>
          <w:lang w:eastAsia="en-US"/>
        </w:rPr>
      </w:pPr>
    </w:p>
    <w:p w14:paraId="519B0DC6"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Pediatrická populácia</w:t>
      </w:r>
    </w:p>
    <w:p w14:paraId="446C3EEB"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Bezpečnosť a účinnosť bortezomibu u detí vo veku mladších ako 18 rokov neboli stanovené (pozri časti 5.1 a 5.2). V súčasnosti dostupné údaje sú uvedené v časti 5.1, ale nie je možné odporučiť dávkovanie.</w:t>
      </w:r>
    </w:p>
    <w:p w14:paraId="07B69CFC" w14:textId="77777777" w:rsidR="00564D9B" w:rsidRPr="00CC69EC" w:rsidRDefault="00564D9B" w:rsidP="00564D9B">
      <w:pPr>
        <w:autoSpaceDE w:val="0"/>
        <w:autoSpaceDN w:val="0"/>
        <w:adjustRightInd w:val="0"/>
        <w:ind w:left="0" w:firstLine="0"/>
        <w:rPr>
          <w:rFonts w:eastAsia="TimesNewRoman"/>
          <w:szCs w:val="22"/>
          <w:lang w:eastAsia="en-US"/>
        </w:rPr>
      </w:pPr>
    </w:p>
    <w:p w14:paraId="03B11A56"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Spôsob podávania</w:t>
      </w:r>
    </w:p>
    <w:p w14:paraId="3C4BFDDB" w14:textId="77777777"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4E1518">
        <w:rPr>
          <w:rFonts w:eastAsia="TimesNewRoman"/>
          <w:szCs w:val="22"/>
          <w:lang w:eastAsia="en-US"/>
        </w:rPr>
        <w:t>Krka 1</w:t>
      </w:r>
      <w:r>
        <w:rPr>
          <w:rFonts w:eastAsia="TimesNewRoman"/>
          <w:szCs w:val="22"/>
          <w:lang w:eastAsia="en-US"/>
        </w:rPr>
        <w:t xml:space="preserve"> mg prášok na injekčný roztok </w:t>
      </w:r>
      <w:r w:rsidRPr="00CC69EC">
        <w:rPr>
          <w:rFonts w:eastAsia="TimesNewRoman"/>
          <w:szCs w:val="22"/>
          <w:lang w:eastAsia="en-US"/>
        </w:rPr>
        <w:t xml:space="preserve">je určený iba na intravenózne podávanie. </w:t>
      </w:r>
    </w:p>
    <w:p w14:paraId="4A567F44" w14:textId="77777777" w:rsidR="004E1518" w:rsidRDefault="004E1518" w:rsidP="00564D9B">
      <w:pPr>
        <w:autoSpaceDE w:val="0"/>
        <w:autoSpaceDN w:val="0"/>
        <w:adjustRightInd w:val="0"/>
        <w:ind w:left="0" w:firstLine="0"/>
        <w:rPr>
          <w:rFonts w:eastAsia="TimesNewRoman"/>
          <w:szCs w:val="22"/>
          <w:lang w:eastAsia="en-US"/>
        </w:rPr>
      </w:pPr>
    </w:p>
    <w:p w14:paraId="735D4332" w14:textId="77777777" w:rsidR="004E1518" w:rsidRPr="00CC69EC" w:rsidRDefault="004E1518" w:rsidP="004E1518">
      <w:pPr>
        <w:autoSpaceDE w:val="0"/>
        <w:autoSpaceDN w:val="0"/>
        <w:adjustRightInd w:val="0"/>
        <w:ind w:left="0" w:firstLine="0"/>
        <w:rPr>
          <w:szCs w:val="22"/>
          <w:u w:val="single"/>
        </w:rPr>
      </w:pPr>
      <w:r w:rsidRPr="00CC69EC">
        <w:rPr>
          <w:rFonts w:eastAsia="TimesNewRoman"/>
          <w:szCs w:val="22"/>
          <w:lang w:eastAsia="en-US"/>
        </w:rPr>
        <w:lastRenderedPageBreak/>
        <w:t xml:space="preserve">Bortezomib </w:t>
      </w:r>
      <w:r>
        <w:rPr>
          <w:rFonts w:eastAsia="TimesNewRoman"/>
          <w:szCs w:val="22"/>
          <w:lang w:eastAsia="en-US"/>
        </w:rPr>
        <w:t xml:space="preserve">Krka 3,5 mg prášok na injekčný roztok </w:t>
      </w:r>
      <w:r w:rsidR="006623EB">
        <w:rPr>
          <w:rFonts w:eastAsia="TimesNewRoman"/>
          <w:szCs w:val="22"/>
          <w:lang w:eastAsia="en-US"/>
        </w:rPr>
        <w:t>je určený</w:t>
      </w:r>
      <w:r w:rsidRPr="00CC69EC">
        <w:rPr>
          <w:rFonts w:eastAsia="TimesNewRoman"/>
          <w:szCs w:val="22"/>
          <w:lang w:eastAsia="en-US"/>
        </w:rPr>
        <w:t xml:space="preserve"> na intravenózne alebo subkutánne podávanie. </w:t>
      </w:r>
    </w:p>
    <w:p w14:paraId="5BE7B9CB" w14:textId="77777777" w:rsidR="004E1518" w:rsidRPr="00CC69EC" w:rsidRDefault="004E1518" w:rsidP="00564D9B">
      <w:pPr>
        <w:autoSpaceDE w:val="0"/>
        <w:autoSpaceDN w:val="0"/>
        <w:adjustRightInd w:val="0"/>
        <w:ind w:left="0" w:firstLine="0"/>
        <w:rPr>
          <w:szCs w:val="22"/>
          <w:u w:val="single"/>
        </w:rPr>
      </w:pPr>
    </w:p>
    <w:p w14:paraId="63CF787C"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6623EB">
        <w:rPr>
          <w:rFonts w:eastAsia="TimesNewRoman"/>
          <w:szCs w:val="22"/>
          <w:lang w:eastAsia="en-US"/>
        </w:rPr>
        <w:t>Krka</w:t>
      </w:r>
      <w:r w:rsidRPr="00CC69EC">
        <w:rPr>
          <w:rFonts w:eastAsia="TimesNewRoman"/>
          <w:szCs w:val="22"/>
          <w:lang w:eastAsia="en-US"/>
        </w:rPr>
        <w:t xml:space="preserve"> sa nesmie podávať inými spôsobmi</w:t>
      </w:r>
      <w:r w:rsidRPr="00CC69EC">
        <w:rPr>
          <w:rFonts w:eastAsia="TimesNewRoman,Bold"/>
          <w:b/>
          <w:bCs/>
          <w:szCs w:val="22"/>
          <w:lang w:eastAsia="en-US"/>
        </w:rPr>
        <w:t xml:space="preserve">. </w:t>
      </w:r>
      <w:r w:rsidRPr="00CC69EC">
        <w:rPr>
          <w:rFonts w:eastAsia="TimesNewRoman"/>
          <w:szCs w:val="22"/>
          <w:lang w:eastAsia="en-US"/>
        </w:rPr>
        <w:t>Intratekálne podanie viedlo k úmrtiu.</w:t>
      </w:r>
    </w:p>
    <w:p w14:paraId="294E21C9"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3572F5B6"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Intravenózna injekcia</w:t>
      </w:r>
    </w:p>
    <w:p w14:paraId="16490ADB" w14:textId="77777777" w:rsidR="00564D9B" w:rsidRPr="00CC69EC" w:rsidRDefault="006623E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Pr>
          <w:rFonts w:eastAsia="TimesNewRoman"/>
          <w:szCs w:val="22"/>
          <w:lang w:eastAsia="en-US"/>
        </w:rPr>
        <w:t xml:space="preserve">Krka 1 mg prášok na injekčný roztok </w:t>
      </w:r>
      <w:r w:rsidRPr="00CC69EC">
        <w:rPr>
          <w:rFonts w:eastAsia="TimesNewRoman"/>
          <w:szCs w:val="22"/>
          <w:lang w:eastAsia="en-US"/>
        </w:rPr>
        <w:t>je určený iba na intravenózne podávanie.</w:t>
      </w:r>
      <w:r>
        <w:rPr>
          <w:rFonts w:eastAsia="TimesNewRoman"/>
          <w:szCs w:val="22"/>
          <w:lang w:eastAsia="en-US"/>
        </w:rPr>
        <w:t xml:space="preserve"> </w:t>
      </w:r>
      <w:r w:rsidR="00564D9B" w:rsidRPr="00CC69EC">
        <w:rPr>
          <w:rFonts w:eastAsia="TimesNewRoman"/>
          <w:szCs w:val="22"/>
          <w:lang w:eastAsia="en-US"/>
        </w:rPr>
        <w:t>Rekonštituovaný r</w:t>
      </w:r>
      <w:r>
        <w:rPr>
          <w:rFonts w:eastAsia="TimesNewRoman"/>
          <w:szCs w:val="22"/>
          <w:lang w:eastAsia="en-US"/>
        </w:rPr>
        <w:t xml:space="preserve">oztok </w:t>
      </w:r>
      <w:r w:rsidR="00564D9B" w:rsidRPr="00CC69EC">
        <w:rPr>
          <w:rFonts w:eastAsia="TimesNewRoman"/>
          <w:szCs w:val="22"/>
          <w:lang w:eastAsia="en-US"/>
        </w:rPr>
        <w:t>sa podáva ako 3 </w:t>
      </w:r>
      <w:r w:rsidR="00564D9B" w:rsidRPr="00CC69EC">
        <w:rPr>
          <w:rFonts w:eastAsia="TimesNewRoman"/>
          <w:szCs w:val="22"/>
          <w:lang w:eastAsia="en-US"/>
        </w:rPr>
        <w:noBreakHyphen/>
        <w:t xml:space="preserve"> 5 sekundový bolus intravenóznej injekcie cez periférny alebo centrálny intravenózny katéter s následným prepláchnutím injekčným roztokom 9 mg/ml (0,9 %) chloridu sodného. Medzi dvomi po sebe nasledujúcimi dávkami </w:t>
      </w:r>
      <w:r w:rsidR="00564D9B">
        <w:rPr>
          <w:rFonts w:eastAsia="TimesNewRoman"/>
          <w:szCs w:val="22"/>
          <w:lang w:eastAsia="en-US"/>
        </w:rPr>
        <w:t>B</w:t>
      </w:r>
      <w:r w:rsidR="00564D9B" w:rsidRPr="00CC69EC">
        <w:rPr>
          <w:rFonts w:eastAsia="TimesNewRoman"/>
          <w:szCs w:val="22"/>
          <w:lang w:eastAsia="en-US"/>
        </w:rPr>
        <w:t xml:space="preserve">ortezomibu </w:t>
      </w:r>
      <w:r>
        <w:rPr>
          <w:rFonts w:eastAsia="TimesNewRoman"/>
          <w:szCs w:val="22"/>
          <w:lang w:eastAsia="en-US"/>
        </w:rPr>
        <w:t>Krka</w:t>
      </w:r>
      <w:r w:rsidR="00564D9B">
        <w:rPr>
          <w:rFonts w:eastAsia="TimesNewRoman"/>
          <w:szCs w:val="22"/>
          <w:lang w:eastAsia="en-US"/>
        </w:rPr>
        <w:t xml:space="preserve"> </w:t>
      </w:r>
      <w:r w:rsidR="00564D9B" w:rsidRPr="00CC69EC">
        <w:rPr>
          <w:rFonts w:eastAsia="TimesNewRoman"/>
          <w:szCs w:val="22"/>
          <w:lang w:eastAsia="en-US"/>
        </w:rPr>
        <w:t>má uplynúť minimálne 72 hodín.</w:t>
      </w:r>
    </w:p>
    <w:p w14:paraId="0B322ED5" w14:textId="77777777" w:rsidR="00564D9B" w:rsidRPr="00CC69EC" w:rsidRDefault="00564D9B" w:rsidP="00564D9B">
      <w:pPr>
        <w:autoSpaceDE w:val="0"/>
        <w:autoSpaceDN w:val="0"/>
        <w:adjustRightInd w:val="0"/>
        <w:ind w:left="0" w:firstLine="0"/>
        <w:rPr>
          <w:rFonts w:eastAsia="TimesNewRoman"/>
          <w:szCs w:val="22"/>
          <w:lang w:eastAsia="en-US"/>
        </w:rPr>
      </w:pPr>
    </w:p>
    <w:p w14:paraId="1F3B487E" w14:textId="77777777"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 xml:space="preserve">Keď sa Bortezomib </w:t>
      </w:r>
      <w:r w:rsidR="006623EB">
        <w:rPr>
          <w:rFonts w:eastAsia="TimesNewRoman"/>
          <w:szCs w:val="22"/>
          <w:lang w:eastAsia="en-US"/>
        </w:rPr>
        <w:t>Krka</w:t>
      </w:r>
      <w:r w:rsidRPr="00CC69EC">
        <w:rPr>
          <w:rFonts w:eastAsia="TimesNewRoman"/>
          <w:szCs w:val="22"/>
          <w:lang w:eastAsia="en-US"/>
        </w:rPr>
        <w:t xml:space="preserve"> podáva v kombinácii s inými liekmi, pozrite si pokyny na podávanie v súhrne charakteristických vlastností týchto liekov.</w:t>
      </w:r>
    </w:p>
    <w:p w14:paraId="4058DC92" w14:textId="77777777" w:rsidR="00564D9B" w:rsidRPr="00CC69EC" w:rsidRDefault="00564D9B" w:rsidP="00564D9B">
      <w:pPr>
        <w:rPr>
          <w:b/>
          <w:szCs w:val="22"/>
        </w:rPr>
      </w:pPr>
    </w:p>
    <w:p w14:paraId="2C129BDD" w14:textId="77777777" w:rsidR="00564D9B" w:rsidRPr="00CC69EC" w:rsidRDefault="00564D9B" w:rsidP="00564D9B">
      <w:pPr>
        <w:rPr>
          <w:szCs w:val="22"/>
        </w:rPr>
      </w:pPr>
      <w:r w:rsidRPr="00CC69EC">
        <w:rPr>
          <w:b/>
          <w:szCs w:val="22"/>
        </w:rPr>
        <w:t>4.3</w:t>
      </w:r>
      <w:r w:rsidRPr="00CC69EC">
        <w:rPr>
          <w:b/>
          <w:szCs w:val="22"/>
        </w:rPr>
        <w:tab/>
        <w:t xml:space="preserve">Kontraindikácie </w:t>
      </w:r>
    </w:p>
    <w:p w14:paraId="60F24A6B" w14:textId="77777777" w:rsidR="00564D9B" w:rsidRPr="00CC69EC" w:rsidRDefault="00564D9B" w:rsidP="00564D9B">
      <w:pPr>
        <w:autoSpaceDE w:val="0"/>
        <w:autoSpaceDN w:val="0"/>
        <w:adjustRightInd w:val="0"/>
        <w:ind w:left="0" w:firstLine="0"/>
        <w:rPr>
          <w:rFonts w:eastAsia="TimesNewRoman"/>
          <w:szCs w:val="22"/>
          <w:lang w:eastAsia="en-US"/>
        </w:rPr>
      </w:pPr>
    </w:p>
    <w:p w14:paraId="4A1DE29B"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Precitlivenosť na liečivo, na bór alebo na ktorúkoľvek z pomocných látok uvedených v časti 6.1.</w:t>
      </w:r>
    </w:p>
    <w:p w14:paraId="778B382F" w14:textId="77777777"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Akútna difúzna infiltračná pľúcna a perikardiálna choroba.</w:t>
      </w:r>
    </w:p>
    <w:p w14:paraId="32F76826" w14:textId="77777777" w:rsidR="001A5C23" w:rsidRPr="00CC69EC" w:rsidRDefault="001A5C23" w:rsidP="00564D9B">
      <w:pPr>
        <w:autoSpaceDE w:val="0"/>
        <w:autoSpaceDN w:val="0"/>
        <w:adjustRightInd w:val="0"/>
        <w:ind w:left="0" w:firstLine="0"/>
        <w:rPr>
          <w:rFonts w:eastAsia="TimesNewRoman"/>
          <w:szCs w:val="22"/>
          <w:lang w:eastAsia="en-US"/>
        </w:rPr>
      </w:pPr>
    </w:p>
    <w:p w14:paraId="5863440F" w14:textId="77777777" w:rsidR="00564D9B" w:rsidRPr="00CC69EC" w:rsidRDefault="00564D9B" w:rsidP="00564D9B">
      <w:pPr>
        <w:autoSpaceDE w:val="0"/>
        <w:autoSpaceDN w:val="0"/>
        <w:adjustRightInd w:val="0"/>
        <w:ind w:left="0" w:firstLine="0"/>
        <w:rPr>
          <w:szCs w:val="22"/>
        </w:rPr>
      </w:pPr>
      <w:r w:rsidRPr="00CC69EC">
        <w:rPr>
          <w:rFonts w:eastAsia="TimesNewRoman"/>
          <w:szCs w:val="22"/>
          <w:lang w:eastAsia="en-US"/>
        </w:rPr>
        <w:t xml:space="preserve">V prípade, že sa </w:t>
      </w:r>
      <w:r w:rsidR="001A5C23">
        <w:rPr>
          <w:rFonts w:eastAsia="TimesNewRoman"/>
          <w:szCs w:val="22"/>
          <w:lang w:eastAsia="en-US"/>
        </w:rPr>
        <w:t>B</w:t>
      </w:r>
      <w:r w:rsidRPr="00CC69EC">
        <w:rPr>
          <w:rFonts w:eastAsia="TimesNewRoman"/>
          <w:szCs w:val="22"/>
          <w:lang w:eastAsia="en-US"/>
        </w:rPr>
        <w:t xml:space="preserve">ortezomib </w:t>
      </w:r>
      <w:r w:rsidR="001A5C23">
        <w:rPr>
          <w:rFonts w:eastAsia="TimesNewRoman"/>
          <w:szCs w:val="22"/>
          <w:lang w:eastAsia="en-US"/>
        </w:rPr>
        <w:t xml:space="preserve">Krka </w:t>
      </w:r>
      <w:r w:rsidRPr="00CC69EC">
        <w:rPr>
          <w:rFonts w:eastAsia="TimesNewRoman"/>
          <w:szCs w:val="22"/>
          <w:lang w:eastAsia="en-US"/>
        </w:rPr>
        <w:t>podáva v kombinácii s inými liekmi, prečítajte si súhrny charakteristických vlastností daných liekov pre ďalšie informácie o kontraindikáciách.</w:t>
      </w:r>
    </w:p>
    <w:p w14:paraId="7336CD83" w14:textId="77777777" w:rsidR="00564D9B" w:rsidRPr="00CC69EC" w:rsidRDefault="00564D9B" w:rsidP="00564D9B">
      <w:pPr>
        <w:rPr>
          <w:b/>
          <w:szCs w:val="22"/>
        </w:rPr>
      </w:pPr>
    </w:p>
    <w:p w14:paraId="1877012B" w14:textId="77777777" w:rsidR="00564D9B" w:rsidRPr="00CC69EC" w:rsidRDefault="00564D9B" w:rsidP="00564D9B">
      <w:pPr>
        <w:rPr>
          <w:b/>
          <w:szCs w:val="22"/>
        </w:rPr>
      </w:pPr>
      <w:r w:rsidRPr="00CC69EC">
        <w:rPr>
          <w:b/>
          <w:szCs w:val="22"/>
        </w:rPr>
        <w:t>4.4</w:t>
      </w:r>
      <w:r w:rsidRPr="00CC69EC">
        <w:rPr>
          <w:b/>
          <w:szCs w:val="22"/>
        </w:rPr>
        <w:tab/>
        <w:t xml:space="preserve">Osobitné upozornenia a opatrenia </w:t>
      </w:r>
      <w:r w:rsidRPr="00BD0D01">
        <w:rPr>
          <w:b/>
          <w:szCs w:val="22"/>
        </w:rPr>
        <w:t>pri používaní</w:t>
      </w:r>
    </w:p>
    <w:p w14:paraId="28749BB9" w14:textId="77777777" w:rsidR="00564D9B" w:rsidRPr="00CC69EC" w:rsidRDefault="00564D9B" w:rsidP="00564D9B">
      <w:pPr>
        <w:ind w:left="0" w:firstLine="0"/>
        <w:rPr>
          <w:szCs w:val="22"/>
        </w:rPr>
      </w:pPr>
    </w:p>
    <w:p w14:paraId="1C86DE87" w14:textId="6CCDC7EC"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V prípade, že sa </w:t>
      </w:r>
      <w:r w:rsidR="00076B13">
        <w:rPr>
          <w:rFonts w:eastAsia="TimesNewRoman"/>
          <w:szCs w:val="22"/>
          <w:lang w:eastAsia="en-US"/>
        </w:rPr>
        <w:t>B</w:t>
      </w:r>
      <w:r w:rsidRPr="00CC69EC">
        <w:rPr>
          <w:rFonts w:eastAsia="TimesNewRoman"/>
          <w:szCs w:val="22"/>
          <w:lang w:eastAsia="en-US"/>
        </w:rPr>
        <w:t xml:space="preserve">ortezomib </w:t>
      </w:r>
      <w:r w:rsidR="00076B13">
        <w:rPr>
          <w:rFonts w:eastAsia="TimesNewRoman"/>
          <w:szCs w:val="22"/>
          <w:lang w:eastAsia="en-US"/>
        </w:rPr>
        <w:t xml:space="preserve">Krka </w:t>
      </w:r>
      <w:r w:rsidRPr="00CC69EC">
        <w:rPr>
          <w:rFonts w:eastAsia="TimesNewRoman"/>
          <w:szCs w:val="22"/>
          <w:lang w:eastAsia="en-US"/>
        </w:rPr>
        <w:t xml:space="preserve">podáva v kombinácii s inými liekmi, pred začatím liečby </w:t>
      </w:r>
      <w:r w:rsidR="00076B13">
        <w:rPr>
          <w:rFonts w:eastAsia="TimesNewRoman"/>
          <w:szCs w:val="22"/>
          <w:lang w:eastAsia="en-US"/>
        </w:rPr>
        <w:t>B</w:t>
      </w:r>
      <w:r w:rsidRPr="00CC69EC">
        <w:rPr>
          <w:rFonts w:eastAsia="TimesNewRoman"/>
          <w:szCs w:val="22"/>
          <w:lang w:eastAsia="en-US"/>
        </w:rPr>
        <w:t xml:space="preserve">ortezomibom </w:t>
      </w:r>
      <w:r w:rsidR="00076B13">
        <w:rPr>
          <w:rFonts w:eastAsia="TimesNewRoman"/>
          <w:szCs w:val="22"/>
          <w:lang w:eastAsia="en-US"/>
        </w:rPr>
        <w:t xml:space="preserve">Krka </w:t>
      </w:r>
      <w:r w:rsidRPr="00CC69EC">
        <w:rPr>
          <w:rFonts w:eastAsia="TimesNewRoman"/>
          <w:szCs w:val="22"/>
          <w:lang w:eastAsia="en-US"/>
        </w:rPr>
        <w:t xml:space="preserve">je potrebné pozrieť si súhrny charakteristických vlastností týchto liekov. Ak sa používa talidomid, pozornosť treba venovať obzvlášť </w:t>
      </w:r>
      <w:r w:rsidR="009F2084">
        <w:rPr>
          <w:rFonts w:eastAsia="TimesNewRoman"/>
          <w:szCs w:val="22"/>
          <w:lang w:eastAsia="en-US"/>
        </w:rPr>
        <w:t>zisťovaniu tehotenstva</w:t>
      </w:r>
      <w:r w:rsidRPr="00CC69EC">
        <w:rPr>
          <w:rFonts w:eastAsia="TimesNewRoman"/>
          <w:szCs w:val="22"/>
          <w:lang w:eastAsia="en-US"/>
        </w:rPr>
        <w:t xml:space="preserve"> a preventívnym opatreniam (pozri časť 4.6).</w:t>
      </w:r>
    </w:p>
    <w:p w14:paraId="7D139E1B" w14:textId="77777777" w:rsidR="00564D9B" w:rsidRPr="00CC69EC" w:rsidRDefault="00564D9B" w:rsidP="00564D9B">
      <w:pPr>
        <w:autoSpaceDE w:val="0"/>
        <w:autoSpaceDN w:val="0"/>
        <w:adjustRightInd w:val="0"/>
        <w:ind w:left="0" w:firstLine="0"/>
        <w:rPr>
          <w:rFonts w:eastAsia="TimesNewRoman"/>
          <w:szCs w:val="22"/>
          <w:lang w:eastAsia="en-US"/>
        </w:rPr>
      </w:pPr>
    </w:p>
    <w:p w14:paraId="74A5736F" w14:textId="77777777" w:rsidR="00564D9B" w:rsidRPr="00076B13" w:rsidRDefault="00564D9B" w:rsidP="00564D9B">
      <w:pPr>
        <w:autoSpaceDE w:val="0"/>
        <w:autoSpaceDN w:val="0"/>
        <w:adjustRightInd w:val="0"/>
        <w:ind w:left="0" w:firstLine="0"/>
        <w:rPr>
          <w:rFonts w:eastAsia="TimesNewRoman"/>
          <w:szCs w:val="22"/>
          <w:u w:val="single"/>
          <w:lang w:eastAsia="en-US"/>
        </w:rPr>
      </w:pPr>
      <w:r w:rsidRPr="00076B13">
        <w:rPr>
          <w:rFonts w:eastAsia="TimesNewRoman"/>
          <w:szCs w:val="22"/>
          <w:u w:val="single"/>
          <w:lang w:eastAsia="en-US"/>
        </w:rPr>
        <w:t>Intratekálne podanie</w:t>
      </w:r>
    </w:p>
    <w:p w14:paraId="0A4A4C75" w14:textId="31730A7B"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Po neúmyselnom podaní bortezomibu intratekálne boli zaznamenané prípady úmrtia. Bortezomib</w:t>
      </w:r>
      <w:r>
        <w:rPr>
          <w:rFonts w:eastAsia="TimesNewRoman"/>
          <w:szCs w:val="22"/>
          <w:lang w:eastAsia="en-US"/>
        </w:rPr>
        <w:t xml:space="preserve"> </w:t>
      </w:r>
      <w:r w:rsidR="00076B13">
        <w:rPr>
          <w:rFonts w:eastAsia="TimesNewRoman"/>
          <w:szCs w:val="22"/>
          <w:lang w:eastAsia="en-US"/>
        </w:rPr>
        <w:t>Krka</w:t>
      </w:r>
      <w:r w:rsidRPr="00CC69EC">
        <w:rPr>
          <w:rFonts w:eastAsia="TimesNewRoman"/>
          <w:szCs w:val="22"/>
          <w:lang w:eastAsia="en-US"/>
        </w:rPr>
        <w:t xml:space="preserve"> </w:t>
      </w:r>
      <w:r w:rsidR="00076B13">
        <w:rPr>
          <w:rFonts w:eastAsia="TimesNewRoman"/>
          <w:szCs w:val="22"/>
          <w:lang w:eastAsia="en-US"/>
        </w:rPr>
        <w:t>1</w:t>
      </w:r>
      <w:r>
        <w:rPr>
          <w:rFonts w:eastAsia="TimesNewRoman"/>
          <w:szCs w:val="22"/>
          <w:lang w:eastAsia="en-US"/>
        </w:rPr>
        <w:t xml:space="preserve"> mg prášok na injekčný roztok </w:t>
      </w:r>
      <w:r w:rsidRPr="00CC69EC">
        <w:rPr>
          <w:rFonts w:eastAsia="TimesNewRoman"/>
          <w:szCs w:val="22"/>
          <w:lang w:eastAsia="en-US"/>
        </w:rPr>
        <w:t>je určený</w:t>
      </w:r>
      <w:r w:rsidR="00076B13">
        <w:rPr>
          <w:rFonts w:eastAsia="TimesNewRoman"/>
          <w:szCs w:val="22"/>
          <w:lang w:eastAsia="en-US"/>
        </w:rPr>
        <w:t xml:space="preserve"> iba</w:t>
      </w:r>
      <w:r w:rsidRPr="00CC69EC">
        <w:rPr>
          <w:rFonts w:eastAsia="TimesNewRoman"/>
          <w:szCs w:val="22"/>
          <w:lang w:eastAsia="en-US"/>
        </w:rPr>
        <w:t xml:space="preserve"> na intravenózne podanie</w:t>
      </w:r>
      <w:r w:rsidR="00956061">
        <w:rPr>
          <w:rFonts w:eastAsia="TimesNewRoman"/>
          <w:szCs w:val="22"/>
          <w:lang w:eastAsia="en-US"/>
        </w:rPr>
        <w:t>,</w:t>
      </w:r>
      <w:r w:rsidRPr="00CC69EC">
        <w:rPr>
          <w:rFonts w:eastAsia="TimesNewRoman"/>
          <w:szCs w:val="22"/>
          <w:lang w:eastAsia="en-US"/>
        </w:rPr>
        <w:t xml:space="preserve"> </w:t>
      </w:r>
      <w:r w:rsidR="00076B13">
        <w:rPr>
          <w:rFonts w:eastAsia="TimesNewRoman"/>
          <w:szCs w:val="22"/>
          <w:lang w:eastAsia="en-US"/>
        </w:rPr>
        <w:t xml:space="preserve">kým </w:t>
      </w:r>
      <w:r w:rsidR="00076B13" w:rsidRPr="00CC69EC">
        <w:rPr>
          <w:rFonts w:eastAsia="TimesNewRoman"/>
          <w:szCs w:val="22"/>
          <w:lang w:eastAsia="en-US"/>
        </w:rPr>
        <w:t>Bortezomib</w:t>
      </w:r>
      <w:r w:rsidR="00076B13">
        <w:rPr>
          <w:rFonts w:eastAsia="TimesNewRoman"/>
          <w:szCs w:val="22"/>
          <w:lang w:eastAsia="en-US"/>
        </w:rPr>
        <w:t xml:space="preserve"> Krka</w:t>
      </w:r>
      <w:r w:rsidR="00076B13" w:rsidRPr="00CC69EC">
        <w:rPr>
          <w:rFonts w:eastAsia="TimesNewRoman"/>
          <w:szCs w:val="22"/>
          <w:lang w:eastAsia="en-US"/>
        </w:rPr>
        <w:t xml:space="preserve"> </w:t>
      </w:r>
      <w:r w:rsidR="00076B13">
        <w:rPr>
          <w:rFonts w:eastAsia="TimesNewRoman"/>
          <w:szCs w:val="22"/>
          <w:lang w:eastAsia="en-US"/>
        </w:rPr>
        <w:t>3,5 mg prášok na injekčný roztok je určený</w:t>
      </w:r>
      <w:r w:rsidR="00076B13" w:rsidRPr="00CC69EC">
        <w:rPr>
          <w:rFonts w:eastAsia="TimesNewRoman"/>
          <w:szCs w:val="22"/>
          <w:lang w:eastAsia="en-US"/>
        </w:rPr>
        <w:t xml:space="preserve"> na intravenózne alebo subkutánne podávanie. </w:t>
      </w:r>
      <w:r w:rsidRPr="00CC69EC">
        <w:rPr>
          <w:rFonts w:eastAsia="TimesNewRoman"/>
          <w:szCs w:val="22"/>
          <w:lang w:eastAsia="en-US"/>
        </w:rPr>
        <w:t xml:space="preserve">Bortezomib </w:t>
      </w:r>
      <w:r w:rsidR="00076B13">
        <w:rPr>
          <w:rFonts w:eastAsia="TimesNewRoman"/>
          <w:szCs w:val="22"/>
          <w:lang w:eastAsia="en-US"/>
        </w:rPr>
        <w:t xml:space="preserve">Krka </w:t>
      </w:r>
      <w:r w:rsidRPr="00CC69EC">
        <w:rPr>
          <w:rFonts w:eastAsia="TimesNewRoman"/>
          <w:szCs w:val="22"/>
          <w:lang w:eastAsia="en-US"/>
        </w:rPr>
        <w:t>sa nemá podávať intratekálne.</w:t>
      </w:r>
    </w:p>
    <w:p w14:paraId="5F63E3F7" w14:textId="77777777" w:rsidR="00564D9B" w:rsidRPr="00CC69EC" w:rsidRDefault="00564D9B" w:rsidP="00564D9B">
      <w:pPr>
        <w:autoSpaceDE w:val="0"/>
        <w:autoSpaceDN w:val="0"/>
        <w:adjustRightInd w:val="0"/>
        <w:ind w:left="0" w:firstLine="0"/>
        <w:rPr>
          <w:rFonts w:eastAsia="TimesNewRoman"/>
          <w:szCs w:val="22"/>
          <w:u w:val="single"/>
          <w:lang w:eastAsia="en-US"/>
        </w:rPr>
      </w:pPr>
    </w:p>
    <w:p w14:paraId="162D752B" w14:textId="77777777" w:rsidR="00564D9B" w:rsidRPr="00FD710B" w:rsidRDefault="00564D9B" w:rsidP="00564D9B">
      <w:pPr>
        <w:autoSpaceDE w:val="0"/>
        <w:autoSpaceDN w:val="0"/>
        <w:adjustRightInd w:val="0"/>
        <w:ind w:left="0" w:firstLine="0"/>
        <w:rPr>
          <w:rFonts w:eastAsia="TimesNewRoman"/>
          <w:szCs w:val="22"/>
          <w:u w:val="single"/>
          <w:lang w:eastAsia="en-US"/>
        </w:rPr>
      </w:pPr>
      <w:r w:rsidRPr="00FD710B">
        <w:rPr>
          <w:rFonts w:eastAsia="TimesNewRoman"/>
          <w:szCs w:val="22"/>
          <w:u w:val="single"/>
          <w:lang w:eastAsia="en-US"/>
        </w:rPr>
        <w:t>Gastrointestinálna toxicita</w:t>
      </w:r>
    </w:p>
    <w:p w14:paraId="68F49E74" w14:textId="2565E32E"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Gastroi</w:t>
      </w:r>
      <w:r w:rsidR="00FD710B">
        <w:rPr>
          <w:rFonts w:eastAsia="TimesNewRoman"/>
          <w:szCs w:val="22"/>
          <w:lang w:eastAsia="en-US"/>
        </w:rPr>
        <w:t>ntestinálna toxicita, zahŕňajúca</w:t>
      </w:r>
      <w:r w:rsidRPr="00CC69EC">
        <w:rPr>
          <w:rFonts w:eastAsia="TimesNewRoman"/>
          <w:szCs w:val="22"/>
          <w:lang w:eastAsia="en-US"/>
        </w:rPr>
        <w:t xml:space="preserve"> nauzeu, </w:t>
      </w:r>
      <w:r w:rsidR="00EF3B49">
        <w:rPr>
          <w:rFonts w:eastAsia="TimesNewRoman"/>
          <w:szCs w:val="22"/>
          <w:lang w:eastAsia="en-US"/>
        </w:rPr>
        <w:t>hnačku</w:t>
      </w:r>
      <w:r w:rsidRPr="00CC69EC">
        <w:rPr>
          <w:rFonts w:eastAsia="TimesNewRoman"/>
          <w:szCs w:val="22"/>
          <w:lang w:eastAsia="en-US"/>
        </w:rPr>
        <w:t>, vracanie a zápchu, sa veľmi často vyskytuje počas liečby  bortezomibom. Menej často sa zaznamenali prípady ilea (pozri časť 4.8). Pacienti, ktorí majú problémy s</w:t>
      </w:r>
      <w:r w:rsidR="009422AF">
        <w:rPr>
          <w:rFonts w:eastAsia="TimesNewRoman"/>
          <w:szCs w:val="22"/>
          <w:lang w:eastAsia="en-US"/>
        </w:rPr>
        <w:t>o zápchou</w:t>
      </w:r>
      <w:r w:rsidRPr="00CC69EC">
        <w:rPr>
          <w:rFonts w:eastAsia="TimesNewRoman"/>
          <w:szCs w:val="22"/>
          <w:lang w:eastAsia="en-US"/>
        </w:rPr>
        <w:t>, sa majú preto starostlivo sledovať.</w:t>
      </w:r>
    </w:p>
    <w:p w14:paraId="0B6FABF3" w14:textId="77777777" w:rsidR="00564D9B" w:rsidRPr="00CC69EC" w:rsidRDefault="00564D9B" w:rsidP="00564D9B">
      <w:pPr>
        <w:ind w:left="0" w:firstLine="0"/>
        <w:rPr>
          <w:szCs w:val="22"/>
          <w:u w:val="single"/>
        </w:rPr>
      </w:pPr>
    </w:p>
    <w:p w14:paraId="56243AA7" w14:textId="77777777" w:rsidR="00564D9B" w:rsidRPr="009422AF" w:rsidRDefault="00564D9B" w:rsidP="00564D9B">
      <w:pPr>
        <w:autoSpaceDE w:val="0"/>
        <w:autoSpaceDN w:val="0"/>
        <w:adjustRightInd w:val="0"/>
        <w:ind w:left="0" w:firstLine="0"/>
        <w:rPr>
          <w:rFonts w:eastAsia="TimesNewRoman"/>
          <w:szCs w:val="22"/>
          <w:u w:val="single"/>
          <w:lang w:eastAsia="en-US"/>
        </w:rPr>
      </w:pPr>
      <w:r w:rsidRPr="009422AF">
        <w:rPr>
          <w:rFonts w:eastAsia="TimesNewRoman"/>
          <w:szCs w:val="22"/>
          <w:u w:val="single"/>
          <w:lang w:eastAsia="en-US"/>
        </w:rPr>
        <w:t>Hematologická toxicita</w:t>
      </w:r>
    </w:p>
    <w:p w14:paraId="46EB0D68"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Liečba bortezomibom sa veľmi často spája s hematologickou toxicitou (trombocytopénia, neutropénia a anémia). V štúdiách u pacientov s relapsom mnohopočetného myelómu liečených bortezomibom a u pacientov s doteraz neliečeným MCL liečený</w:t>
      </w:r>
      <w:r>
        <w:rPr>
          <w:rFonts w:eastAsia="TimesNewRoman"/>
          <w:szCs w:val="22"/>
          <w:lang w:eastAsia="en-US"/>
        </w:rPr>
        <w:t>ch</w:t>
      </w:r>
      <w:r w:rsidRPr="00CC69EC">
        <w:rPr>
          <w:rFonts w:eastAsia="TimesNewRoman"/>
          <w:szCs w:val="22"/>
          <w:lang w:eastAsia="en-US"/>
        </w:rPr>
        <w:t> bortezomibom v kombinácii s rituximabom, cyklofosfamidom, doxorubicínom a prednizónom (BR </w:t>
      </w:r>
      <w:r w:rsidRPr="00CC69EC">
        <w:rPr>
          <w:rFonts w:eastAsia="TimesNewRoman"/>
          <w:szCs w:val="22"/>
          <w:lang w:eastAsia="en-US"/>
        </w:rPr>
        <w:noBreakHyphen/>
        <w:t xml:space="preserve"> CAP) bola jednou z najčastejších hematologických toxicít tranzitórna trombocytopénia. Počet krvných doštičiek bol najnižší v 11. deň každého terapeutického cyklu s bortezomibom a zvyčajne sa upravil na východiskovú hodnotu pri ďalšom cykle. Nedokázala sa kumulatívna trombocytopénia. Nameraná dolná hodnota priemerného počtu trombocytov bola približne 40 % z východiskovej hodnoty v štúdiách mnohopočetného myelómu s jedným liekom a 50 % v štúdii MCL. U pacientov s pokročilým myelómom súvisela závažnosť trombocytopénie s počtom trombocytov pred začiatkom liečby: u pacientov s východiskovou hodnotou trombocytov &lt; 75 000/μl, malo počas štúdie 90 % z 21 pacientov počet </w:t>
      </w:r>
      <w:r w:rsidRPr="00CC69EC">
        <w:rPr>
          <w:color w:val="000000"/>
          <w:szCs w:val="22"/>
        </w:rPr>
        <w:t>≤ </w:t>
      </w:r>
      <w:r w:rsidRPr="00CC69EC">
        <w:rPr>
          <w:rFonts w:eastAsia="TimesNewRoman"/>
          <w:szCs w:val="22"/>
          <w:lang w:eastAsia="en-US"/>
        </w:rPr>
        <w:t xml:space="preserve">25 000/μl, vrátane 14 % pacientov s &lt; 10 000/μl, naproti tomu s východiskovou hodnotou trombocytov </w:t>
      </w:r>
      <w:r w:rsidRPr="00CC69EC">
        <w:rPr>
          <w:color w:val="000000"/>
          <w:szCs w:val="22"/>
        </w:rPr>
        <w:t>&gt; </w:t>
      </w:r>
      <w:r w:rsidRPr="00CC69EC">
        <w:rPr>
          <w:rFonts w:eastAsia="TimesNewRoman"/>
          <w:szCs w:val="22"/>
          <w:lang w:eastAsia="en-US"/>
        </w:rPr>
        <w:t xml:space="preserve">75 000/μl, iba 14 % z 309 pacientov malo počas štúdie počet </w:t>
      </w:r>
      <w:r w:rsidRPr="00CC69EC">
        <w:rPr>
          <w:color w:val="000000"/>
          <w:szCs w:val="22"/>
        </w:rPr>
        <w:t>≤ </w:t>
      </w:r>
      <w:r w:rsidRPr="00CC69EC">
        <w:rPr>
          <w:rFonts w:eastAsia="TimesNewRoman"/>
          <w:szCs w:val="22"/>
          <w:lang w:eastAsia="en-US"/>
        </w:rPr>
        <w:t xml:space="preserve">25 000/μl. </w:t>
      </w:r>
    </w:p>
    <w:p w14:paraId="426E2878" w14:textId="77777777" w:rsidR="00564D9B" w:rsidRPr="00CC69EC" w:rsidRDefault="00564D9B" w:rsidP="00564D9B">
      <w:pPr>
        <w:autoSpaceDE w:val="0"/>
        <w:autoSpaceDN w:val="0"/>
        <w:adjustRightInd w:val="0"/>
        <w:ind w:left="0" w:firstLine="0"/>
        <w:rPr>
          <w:rFonts w:eastAsia="TimesNewRoman"/>
          <w:szCs w:val="22"/>
          <w:lang w:eastAsia="en-US"/>
        </w:rPr>
      </w:pPr>
    </w:p>
    <w:p w14:paraId="17136DB2" w14:textId="44123DEF"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lastRenderedPageBreak/>
        <w:t>U pacientov s MCL (štúdia LYM-3002) bola vyššia incidencia (56,7 % oproti 5,8 %) trombocytopénie ≥ 3. stupňa v skupine liečenej bortezomibom (BR-CAP) v porovnaní so skupinou neliečenou bortezomibom (rituximab, cyklofosfamid, doxorubicín, vinkristín a prednizón [R-CHOP]). Dve liečené skupiny boli podobné s ohľadom na celkovú incidenciu prípadov krvácania všetkých stupňov (6,3 % v skupine BR-CAP a 5,0 % v skupine R-CHOP) ako aj prípadov krvácania 3. a vyššieho stupňa (BR-CAP: 4 pacienti [1,7 %]; R-CHOP: 3 pacienti [1,2 %]). V skupine BR-CAP, 22,5 % pacientov dostalo transfúzie krvných doštičiek v porovnaní s 2,9 % pacientov v skupine R-CHOP.</w:t>
      </w:r>
    </w:p>
    <w:p w14:paraId="5F6400EE" w14:textId="77777777" w:rsidR="00564D9B" w:rsidRPr="00CC69EC" w:rsidRDefault="00564D9B" w:rsidP="00564D9B">
      <w:pPr>
        <w:autoSpaceDE w:val="0"/>
        <w:autoSpaceDN w:val="0"/>
        <w:adjustRightInd w:val="0"/>
        <w:ind w:left="0" w:firstLine="0"/>
        <w:rPr>
          <w:rFonts w:eastAsia="TimesNewRoman"/>
          <w:szCs w:val="22"/>
          <w:lang w:eastAsia="en-US"/>
        </w:rPr>
      </w:pPr>
    </w:p>
    <w:p w14:paraId="1A849E4D" w14:textId="23004BA9"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súvislosti s liečbou bortezomibom bolo hlásené gastrointestinálne krvácanie a krvácanie do mozgu. Z toho dôvodu sa má sledovať počet trombocytov pred každou dávkou bortezomibu. Ak je počet trombocytov &lt; 25 000/μl alebo ak je v prípade kombinovanej liečby s melfal</w:t>
      </w:r>
      <w:r>
        <w:rPr>
          <w:rFonts w:eastAsia="TimesNewRoman"/>
          <w:szCs w:val="22"/>
          <w:lang w:eastAsia="en-US"/>
        </w:rPr>
        <w:t>á</w:t>
      </w:r>
      <w:r w:rsidRPr="00CC69EC">
        <w:rPr>
          <w:rFonts w:eastAsia="TimesNewRoman"/>
          <w:szCs w:val="22"/>
          <w:lang w:eastAsia="en-US"/>
        </w:rPr>
        <w:t xml:space="preserve">nom a prednizónom počet trombocytov ≤ 30 000/μl, </w:t>
      </w:r>
      <w:r w:rsidR="00956061">
        <w:rPr>
          <w:rFonts w:eastAsia="TimesNewRoman"/>
          <w:szCs w:val="22"/>
          <w:lang w:eastAsia="en-US"/>
        </w:rPr>
        <w:t>liečba</w:t>
      </w:r>
      <w:r w:rsidR="00956061" w:rsidRPr="00CC69EC">
        <w:rPr>
          <w:rFonts w:eastAsia="TimesNewRoman"/>
          <w:szCs w:val="22"/>
          <w:lang w:eastAsia="en-US"/>
        </w:rPr>
        <w:t xml:space="preserve"> </w:t>
      </w:r>
      <w:r w:rsidRPr="00CC69EC">
        <w:rPr>
          <w:rFonts w:eastAsia="TimesNewRoman"/>
          <w:szCs w:val="22"/>
          <w:lang w:eastAsia="en-US"/>
        </w:rPr>
        <w:t xml:space="preserve">bortezomibom sa má </w:t>
      </w:r>
      <w:r w:rsidR="00FF5683">
        <w:rPr>
          <w:rFonts w:eastAsia="TimesNewRoman"/>
          <w:szCs w:val="22"/>
          <w:lang w:eastAsia="en-US"/>
        </w:rPr>
        <w:t>ukončiť</w:t>
      </w:r>
      <w:r w:rsidR="00FF5683" w:rsidRPr="00CC69EC">
        <w:rPr>
          <w:rFonts w:eastAsia="TimesNewRoman"/>
          <w:szCs w:val="22"/>
          <w:lang w:eastAsia="en-US"/>
        </w:rPr>
        <w:t xml:space="preserve"> </w:t>
      </w:r>
      <w:r w:rsidRPr="00CC69EC">
        <w:rPr>
          <w:rFonts w:eastAsia="TimesNewRoman"/>
          <w:szCs w:val="22"/>
          <w:lang w:eastAsia="en-US"/>
        </w:rPr>
        <w:t>(pozri časť 4.2). Má sa starostlivo zvážiť potenciálny prínos liečby oproti riziku, predovšetkým v prípade stredne závažnej až závažnej trombocytopénie a rizikových faktorov krvácania.</w:t>
      </w:r>
    </w:p>
    <w:p w14:paraId="6CB9C2C4" w14:textId="77777777" w:rsidR="00564D9B" w:rsidRPr="00CC69EC" w:rsidRDefault="00564D9B" w:rsidP="00564D9B">
      <w:pPr>
        <w:autoSpaceDE w:val="0"/>
        <w:autoSpaceDN w:val="0"/>
        <w:adjustRightInd w:val="0"/>
        <w:ind w:left="0" w:firstLine="0"/>
        <w:rPr>
          <w:rFonts w:eastAsia="TimesNewRoman"/>
          <w:szCs w:val="22"/>
          <w:lang w:eastAsia="en-US"/>
        </w:rPr>
      </w:pPr>
    </w:p>
    <w:p w14:paraId="2D71CE64" w14:textId="77777777"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Počas liečby </w:t>
      </w:r>
      <w:r w:rsidR="008811B2">
        <w:rPr>
          <w:rFonts w:eastAsia="TimesNewRoman"/>
          <w:szCs w:val="22"/>
          <w:lang w:eastAsia="en-US"/>
        </w:rPr>
        <w:t>B</w:t>
      </w:r>
      <w:r w:rsidRPr="00CC69EC">
        <w:rPr>
          <w:rFonts w:eastAsia="TimesNewRoman"/>
          <w:szCs w:val="22"/>
          <w:lang w:eastAsia="en-US"/>
        </w:rPr>
        <w:t xml:space="preserve">ortezomibom </w:t>
      </w:r>
      <w:r w:rsidR="008811B2">
        <w:rPr>
          <w:rFonts w:eastAsia="TimesNewRoman"/>
          <w:szCs w:val="22"/>
          <w:lang w:eastAsia="en-US"/>
        </w:rPr>
        <w:t xml:space="preserve">Krka </w:t>
      </w:r>
      <w:r w:rsidRPr="00CC69EC">
        <w:rPr>
          <w:rFonts w:eastAsia="TimesNewRoman"/>
          <w:szCs w:val="22"/>
          <w:lang w:eastAsia="en-US"/>
        </w:rPr>
        <w:t>sa má často monitorovať celkový krvný obraz (CBC) spolu s diferenciálnym krvným obrazom, vrátane počtu krvných doštičiek. Keď je to klinicky vhodné, má sa zvážiť transfúzia krvných doštičiek (pozri časť 4.2).</w:t>
      </w:r>
    </w:p>
    <w:p w14:paraId="0207AF78" w14:textId="77777777" w:rsidR="008811B2" w:rsidRPr="00CC69EC" w:rsidRDefault="008811B2" w:rsidP="00564D9B">
      <w:pPr>
        <w:autoSpaceDE w:val="0"/>
        <w:autoSpaceDN w:val="0"/>
        <w:adjustRightInd w:val="0"/>
        <w:ind w:left="0" w:firstLine="0"/>
        <w:rPr>
          <w:szCs w:val="22"/>
          <w:u w:val="single"/>
        </w:rPr>
      </w:pPr>
    </w:p>
    <w:p w14:paraId="7BE33999" w14:textId="481FA3C8"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U pacientov s MCL sa pozorovala tranzitórna neutropénia, ktorá bola reverzibilná medzi cyklami, bez </w:t>
      </w:r>
      <w:r w:rsidR="00956061">
        <w:rPr>
          <w:rFonts w:eastAsia="TimesNewRoman"/>
          <w:szCs w:val="22"/>
          <w:lang w:eastAsia="en-US"/>
        </w:rPr>
        <w:t>dôkazu</w:t>
      </w:r>
      <w:r w:rsidR="00956061" w:rsidRPr="00CC69EC">
        <w:rPr>
          <w:rFonts w:eastAsia="TimesNewRoman"/>
          <w:szCs w:val="22"/>
          <w:lang w:eastAsia="en-US"/>
        </w:rPr>
        <w:t xml:space="preserve"> </w:t>
      </w:r>
      <w:r w:rsidRPr="00CC69EC">
        <w:rPr>
          <w:rFonts w:eastAsia="TimesNewRoman"/>
          <w:szCs w:val="22"/>
          <w:lang w:eastAsia="en-US"/>
        </w:rPr>
        <w:t>kumulatívnej neutropénie. Počet neutrofilov bol najnižší v 11. deň každého terapeutického cyklu s bortezomibom a zvyčajne sa upravil na východiskovú hodnotu pri ďalšom cykle. V štúdii LYM-3002 bola podpora faktorom stimulujúcim kolónie podaná 78 % pacientov v skupine BR-CAP a 61 % pacientov v skupine s R-CHOP. Keďže u pacientov s neutropéniou existuje zvýšené riziko infekcií, majú sa u nich sledovať prejavy a príznaky infekcií a ihneď liečiť. Pri hematologickej toxicite možno podľa miestnej štandardnej praxe podávať faktory stimulujúce kolónie granulocytov. V prípade opakovaných oneskorení podania cyklu sa má zvážiť profylaktické použitie faktorov stimulujúcich kolónie granulocytov (pozri časť 4.2).</w:t>
      </w:r>
    </w:p>
    <w:p w14:paraId="5725ACD3" w14:textId="77777777" w:rsidR="00564D9B" w:rsidRPr="00CC69EC" w:rsidRDefault="00564D9B" w:rsidP="00564D9B">
      <w:pPr>
        <w:ind w:left="0" w:firstLine="0"/>
        <w:rPr>
          <w:szCs w:val="22"/>
          <w:u w:val="single"/>
        </w:rPr>
      </w:pPr>
    </w:p>
    <w:p w14:paraId="5B64105D" w14:textId="77777777" w:rsidR="00564D9B" w:rsidRPr="008811B2" w:rsidRDefault="00564D9B" w:rsidP="00564D9B">
      <w:pPr>
        <w:autoSpaceDE w:val="0"/>
        <w:autoSpaceDN w:val="0"/>
        <w:adjustRightInd w:val="0"/>
        <w:ind w:left="0" w:firstLine="0"/>
        <w:rPr>
          <w:rFonts w:eastAsia="TimesNewRoman"/>
          <w:szCs w:val="22"/>
          <w:u w:val="single"/>
          <w:lang w:eastAsia="en-US"/>
        </w:rPr>
      </w:pPr>
      <w:r w:rsidRPr="008811B2">
        <w:rPr>
          <w:rFonts w:eastAsia="TimesNewRoman"/>
          <w:szCs w:val="22"/>
          <w:u w:val="single"/>
          <w:lang w:eastAsia="en-US"/>
        </w:rPr>
        <w:t>Reaktivácia vírusu herpes zoster</w:t>
      </w:r>
    </w:p>
    <w:p w14:paraId="28D4A756" w14:textId="77777777" w:rsidR="008811B2"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U pacientov liečených</w:t>
      </w:r>
      <w:r w:rsidR="008811B2">
        <w:rPr>
          <w:rFonts w:eastAsia="TimesNewRoman"/>
          <w:szCs w:val="22"/>
          <w:lang w:eastAsia="en-US"/>
        </w:rPr>
        <w:t xml:space="preserve"> B</w:t>
      </w:r>
      <w:r w:rsidRPr="00CC69EC">
        <w:rPr>
          <w:rFonts w:eastAsia="TimesNewRoman"/>
          <w:szCs w:val="22"/>
          <w:lang w:eastAsia="en-US"/>
        </w:rPr>
        <w:t xml:space="preserve">ortezomibom </w:t>
      </w:r>
      <w:r w:rsidR="008811B2">
        <w:rPr>
          <w:rFonts w:eastAsia="TimesNewRoman"/>
          <w:szCs w:val="22"/>
          <w:lang w:eastAsia="en-US"/>
        </w:rPr>
        <w:t xml:space="preserve">Krka </w:t>
      </w:r>
      <w:r w:rsidRPr="00CC69EC">
        <w:rPr>
          <w:rFonts w:eastAsia="TimesNewRoman"/>
          <w:szCs w:val="22"/>
          <w:lang w:eastAsia="en-US"/>
        </w:rPr>
        <w:t xml:space="preserve">sa odporúča antivírusová profylaxia. </w:t>
      </w:r>
    </w:p>
    <w:p w14:paraId="01246922" w14:textId="3C571853"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V štúdii fázy III u pacientov s doteraz neliečeným mnohopočetným myelómom bola celková incidencia reaktivácie herpesu zoster častejšia u pacientov liečených </w:t>
      </w:r>
      <w:r w:rsidR="008811B2">
        <w:rPr>
          <w:rFonts w:eastAsia="TimesNewRoman"/>
          <w:szCs w:val="22"/>
          <w:lang w:eastAsia="en-US"/>
        </w:rPr>
        <w:t xml:space="preserve">kombináciou </w:t>
      </w:r>
      <w:r w:rsidR="002F3267">
        <w:rPr>
          <w:rFonts w:eastAsia="TimesNewRoman"/>
          <w:szCs w:val="22"/>
          <w:lang w:eastAsia="en-US"/>
        </w:rPr>
        <w:t>b</w:t>
      </w:r>
      <w:r w:rsidR="002F3267" w:rsidRPr="00CC69EC">
        <w:rPr>
          <w:rFonts w:eastAsia="TimesNewRoman"/>
          <w:szCs w:val="22"/>
          <w:lang w:eastAsia="en-US"/>
        </w:rPr>
        <w:t>ortezomib</w:t>
      </w:r>
      <w:r w:rsidR="008811B2">
        <w:rPr>
          <w:rFonts w:eastAsia="TimesNewRoman"/>
          <w:szCs w:val="22"/>
          <w:lang w:eastAsia="en-US"/>
        </w:rPr>
        <w:t>+</w:t>
      </w:r>
      <w:r w:rsidR="002F3267">
        <w:rPr>
          <w:rFonts w:eastAsia="TimesNewRoman"/>
          <w:szCs w:val="22"/>
          <w:lang w:eastAsia="en-US"/>
        </w:rPr>
        <w:t>m</w:t>
      </w:r>
      <w:r w:rsidR="002F3267" w:rsidRPr="00CC69EC">
        <w:rPr>
          <w:rFonts w:eastAsia="TimesNewRoman"/>
          <w:szCs w:val="22"/>
          <w:lang w:eastAsia="en-US"/>
        </w:rPr>
        <w:t>elfal</w:t>
      </w:r>
      <w:r w:rsidR="002F3267">
        <w:rPr>
          <w:rFonts w:eastAsia="TimesNewRoman"/>
          <w:szCs w:val="22"/>
          <w:lang w:eastAsia="en-US"/>
        </w:rPr>
        <w:t>án</w:t>
      </w:r>
      <w:r w:rsidR="008811B2">
        <w:rPr>
          <w:rFonts w:eastAsia="TimesNewRoman"/>
          <w:szCs w:val="22"/>
          <w:lang w:eastAsia="en-US"/>
        </w:rPr>
        <w:t>+</w:t>
      </w:r>
      <w:r w:rsidR="002F3267">
        <w:rPr>
          <w:rFonts w:eastAsia="TimesNewRoman"/>
          <w:szCs w:val="22"/>
          <w:lang w:eastAsia="en-US"/>
        </w:rPr>
        <w:t>p</w:t>
      </w:r>
      <w:r w:rsidR="002F3267" w:rsidRPr="00CC69EC">
        <w:rPr>
          <w:rFonts w:eastAsia="TimesNewRoman"/>
          <w:szCs w:val="22"/>
          <w:lang w:eastAsia="en-US"/>
        </w:rPr>
        <w:t xml:space="preserve">rednizón </w:t>
      </w:r>
      <w:r w:rsidRPr="00CC69EC">
        <w:rPr>
          <w:rFonts w:eastAsia="TimesNewRoman"/>
          <w:szCs w:val="22"/>
          <w:lang w:eastAsia="en-US"/>
        </w:rPr>
        <w:t xml:space="preserve">v porovnaní s kombináciou </w:t>
      </w:r>
      <w:r w:rsidR="002F3267">
        <w:rPr>
          <w:rFonts w:eastAsia="TimesNewRoman"/>
          <w:szCs w:val="22"/>
          <w:lang w:eastAsia="en-US"/>
        </w:rPr>
        <w:t>m</w:t>
      </w:r>
      <w:r w:rsidR="002F3267" w:rsidRPr="00CC69EC">
        <w:rPr>
          <w:rFonts w:eastAsia="TimesNewRoman"/>
          <w:szCs w:val="22"/>
          <w:lang w:eastAsia="en-US"/>
        </w:rPr>
        <w:t>elfal</w:t>
      </w:r>
      <w:r w:rsidR="002F3267">
        <w:rPr>
          <w:rFonts w:eastAsia="TimesNewRoman"/>
          <w:szCs w:val="22"/>
          <w:lang w:eastAsia="en-US"/>
        </w:rPr>
        <w:t>án</w:t>
      </w:r>
      <w:r w:rsidR="008811B2">
        <w:rPr>
          <w:rFonts w:eastAsia="TimesNewRoman"/>
          <w:szCs w:val="22"/>
          <w:lang w:eastAsia="en-US"/>
        </w:rPr>
        <w:t>+</w:t>
      </w:r>
      <w:r w:rsidR="002F3267">
        <w:rPr>
          <w:rFonts w:eastAsia="TimesNewRoman"/>
          <w:szCs w:val="22"/>
          <w:lang w:eastAsia="en-US"/>
        </w:rPr>
        <w:t>p</w:t>
      </w:r>
      <w:r w:rsidR="002F3267" w:rsidRPr="00CC69EC">
        <w:rPr>
          <w:rFonts w:eastAsia="TimesNewRoman"/>
          <w:szCs w:val="22"/>
          <w:lang w:eastAsia="en-US"/>
        </w:rPr>
        <w:t xml:space="preserve">rednizón </w:t>
      </w:r>
      <w:r w:rsidRPr="00CC69EC">
        <w:rPr>
          <w:rFonts w:eastAsia="TimesNewRoman"/>
          <w:szCs w:val="22"/>
          <w:lang w:eastAsia="en-US"/>
        </w:rPr>
        <w:t>(14 % oproti 4 %).</w:t>
      </w:r>
    </w:p>
    <w:p w14:paraId="6CE1FD7D" w14:textId="744D0669"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U pacientov s MCL (štúdia LYM-3002) bola incidencia infekcie herpesom zoster 6,7 % v skupine s BR-CAP a 1,2 % v skupine s R-CHOP (pozri časť 4.8).</w:t>
      </w:r>
    </w:p>
    <w:p w14:paraId="34C690D5" w14:textId="77777777" w:rsidR="00564D9B" w:rsidRPr="00CC69EC" w:rsidRDefault="00564D9B" w:rsidP="00564D9B">
      <w:pPr>
        <w:autoSpaceDE w:val="0"/>
        <w:autoSpaceDN w:val="0"/>
        <w:adjustRightInd w:val="0"/>
        <w:ind w:left="0" w:firstLine="0"/>
        <w:rPr>
          <w:rFonts w:eastAsia="TimesNewRoman"/>
          <w:szCs w:val="22"/>
          <w:lang w:eastAsia="en-US"/>
        </w:rPr>
      </w:pPr>
    </w:p>
    <w:p w14:paraId="40AF1A77" w14:textId="77777777" w:rsidR="00564D9B" w:rsidRPr="008811B2" w:rsidRDefault="00564D9B" w:rsidP="00564D9B">
      <w:pPr>
        <w:autoSpaceDE w:val="0"/>
        <w:autoSpaceDN w:val="0"/>
        <w:adjustRightInd w:val="0"/>
        <w:ind w:left="0" w:firstLine="0"/>
        <w:rPr>
          <w:rFonts w:eastAsia="TimesNewRoman"/>
          <w:szCs w:val="22"/>
          <w:u w:val="single"/>
          <w:lang w:eastAsia="en-US"/>
        </w:rPr>
      </w:pPr>
      <w:r w:rsidRPr="008811B2">
        <w:rPr>
          <w:rFonts w:eastAsia="TimesNewRoman"/>
          <w:szCs w:val="22"/>
          <w:u w:val="single"/>
          <w:lang w:eastAsia="en-US"/>
        </w:rPr>
        <w:t>Reaktivácia vírusu hepatitídy B (HBV) a infekcia</w:t>
      </w:r>
    </w:p>
    <w:p w14:paraId="18970DF7" w14:textId="77777777"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Keď sa rituximab užíva v kombinácii s</w:t>
      </w:r>
      <w:r w:rsidR="001E0A51">
        <w:rPr>
          <w:rFonts w:eastAsia="TimesNewRoman"/>
          <w:szCs w:val="22"/>
          <w:lang w:eastAsia="en-US"/>
        </w:rPr>
        <w:t> B</w:t>
      </w:r>
      <w:r w:rsidRPr="00CC69EC">
        <w:rPr>
          <w:rFonts w:eastAsia="TimesNewRoman"/>
          <w:szCs w:val="22"/>
          <w:lang w:eastAsia="en-US"/>
        </w:rPr>
        <w:t>ortezomibom</w:t>
      </w:r>
      <w:r w:rsidR="001E0A51">
        <w:rPr>
          <w:rFonts w:eastAsia="TimesNewRoman"/>
          <w:szCs w:val="22"/>
          <w:lang w:eastAsia="en-US"/>
        </w:rPr>
        <w:t xml:space="preserve"> Krka</w:t>
      </w:r>
      <w:r w:rsidRPr="00CC69EC">
        <w:rPr>
          <w:rFonts w:eastAsia="TimesNewRoman"/>
          <w:szCs w:val="22"/>
          <w:lang w:eastAsia="en-US"/>
        </w:rPr>
        <w:t>, má sa u pacientov s rizikom infekcie HBV urobiť vždy pred začatím liečby vyšetrenie na HBV. U nositeľov hepatitídy B a pacientov s hepatitídou B v anamnéze sa musia starostlivo sledovať klinické a laboratórne prejavy aktívnej infekcie HBV počas a po kombinovanej liečbe rituximabom a</w:t>
      </w:r>
      <w:r w:rsidR="001E0A51">
        <w:rPr>
          <w:rFonts w:eastAsia="TimesNewRoman"/>
          <w:szCs w:val="22"/>
          <w:lang w:eastAsia="en-US"/>
        </w:rPr>
        <w:t> B</w:t>
      </w:r>
      <w:r w:rsidRPr="00CC69EC">
        <w:rPr>
          <w:rFonts w:eastAsia="TimesNewRoman"/>
          <w:szCs w:val="22"/>
          <w:lang w:eastAsia="en-US"/>
        </w:rPr>
        <w:t>ortezomibom</w:t>
      </w:r>
      <w:r w:rsidR="001E0A51">
        <w:rPr>
          <w:rFonts w:eastAsia="TimesNewRoman"/>
          <w:szCs w:val="22"/>
          <w:lang w:eastAsia="en-US"/>
        </w:rPr>
        <w:t xml:space="preserve"> Krka</w:t>
      </w:r>
      <w:r w:rsidRPr="00CC69EC">
        <w:rPr>
          <w:rFonts w:eastAsia="TimesNewRoman"/>
          <w:szCs w:val="22"/>
          <w:lang w:eastAsia="en-US"/>
        </w:rPr>
        <w:t>. Má sa zvážiť antivírusová profylaxia. Ďalšie informácie si prečítajte v súhrne charakteristických vlastností rituximabu.</w:t>
      </w:r>
    </w:p>
    <w:p w14:paraId="75FF8230" w14:textId="77777777" w:rsidR="00564D9B" w:rsidRPr="00CC69EC" w:rsidRDefault="00564D9B" w:rsidP="00564D9B">
      <w:pPr>
        <w:ind w:left="0" w:firstLine="0"/>
        <w:rPr>
          <w:szCs w:val="22"/>
          <w:u w:val="single"/>
        </w:rPr>
      </w:pPr>
    </w:p>
    <w:p w14:paraId="663253E3" w14:textId="77777777" w:rsidR="00564D9B" w:rsidRPr="001E0A51" w:rsidRDefault="00564D9B" w:rsidP="00564D9B">
      <w:pPr>
        <w:autoSpaceDE w:val="0"/>
        <w:autoSpaceDN w:val="0"/>
        <w:adjustRightInd w:val="0"/>
        <w:ind w:left="0" w:firstLine="0"/>
        <w:rPr>
          <w:rFonts w:eastAsia="TimesNewRoman"/>
          <w:szCs w:val="22"/>
          <w:u w:val="single"/>
          <w:lang w:eastAsia="en-US"/>
        </w:rPr>
      </w:pPr>
      <w:r w:rsidRPr="001E0A51">
        <w:rPr>
          <w:rFonts w:eastAsia="TimesNewRoman"/>
          <w:szCs w:val="22"/>
          <w:u w:val="single"/>
          <w:lang w:eastAsia="en-US"/>
        </w:rPr>
        <w:t>Progresívna multifokálna leukoencefalopatia (PML)</w:t>
      </w:r>
    </w:p>
    <w:p w14:paraId="33C90D66"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U pacientov liečených bortezomibom boli veľmi zriedkavo hlásené prípady infekcie </w:t>
      </w:r>
    </w:p>
    <w:p w14:paraId="4313C50A"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John Cunninghamovým (JC) vírusom s neznámou kauzalitou, čo malo za následok PML a smrť. Pacienti, u ktorých bola diagnostikovaná PML, podstúpili predtým alebo súčasne imunosupresívnu liečbu. Väčšina prípadov PML bola diagnostikovaná do 12 mesiacov od prvej dávky bortezomibu. U pacientov je potrebné v pravidelných intervaloch v rámci diferenciálnej diagnostiky CNS ťažkostí sledovať výskyt nových alebo zhoršenie existujúcich neurologických príznakov alebo prejavov, ktoré by mohli svedčiť o PML. Ak existuje podozrenie na diagnózu PML, pacientov treba odoslať k odborníkovi na PML a iniciovať vhodný diagnostický proces zameraný na PML. Ak sa diagnostikuje PML, ukončite liečbu</w:t>
      </w:r>
      <w:r w:rsidR="001E0A51">
        <w:rPr>
          <w:rFonts w:eastAsia="TimesNewRoman"/>
          <w:szCs w:val="22"/>
          <w:lang w:eastAsia="en-US"/>
        </w:rPr>
        <w:t xml:space="preserve"> B</w:t>
      </w:r>
      <w:r w:rsidRPr="00CC69EC">
        <w:rPr>
          <w:rFonts w:eastAsia="TimesNewRoman"/>
          <w:szCs w:val="22"/>
          <w:lang w:eastAsia="en-US"/>
        </w:rPr>
        <w:t>ortezomibom</w:t>
      </w:r>
      <w:r w:rsidR="001E0A51">
        <w:rPr>
          <w:rFonts w:eastAsia="TimesNewRoman"/>
          <w:szCs w:val="22"/>
          <w:lang w:eastAsia="en-US"/>
        </w:rPr>
        <w:t xml:space="preserve"> Krka</w:t>
      </w:r>
      <w:r w:rsidRPr="00CC69EC">
        <w:rPr>
          <w:rFonts w:eastAsia="TimesNewRoman"/>
          <w:szCs w:val="22"/>
          <w:lang w:eastAsia="en-US"/>
        </w:rPr>
        <w:t>.</w:t>
      </w:r>
    </w:p>
    <w:p w14:paraId="687AF94E" w14:textId="77777777" w:rsidR="00564D9B" w:rsidRPr="00CC69EC" w:rsidRDefault="00564D9B" w:rsidP="00564D9B">
      <w:pPr>
        <w:autoSpaceDE w:val="0"/>
        <w:autoSpaceDN w:val="0"/>
        <w:adjustRightInd w:val="0"/>
        <w:ind w:left="0" w:firstLine="0"/>
        <w:rPr>
          <w:rFonts w:eastAsia="TimesNewRoman"/>
          <w:szCs w:val="22"/>
          <w:lang w:eastAsia="en-US"/>
        </w:rPr>
      </w:pPr>
    </w:p>
    <w:p w14:paraId="50BB1C06" w14:textId="77777777" w:rsidR="00564D9B" w:rsidRPr="001E0A51" w:rsidRDefault="00564D9B" w:rsidP="00564D9B">
      <w:pPr>
        <w:autoSpaceDE w:val="0"/>
        <w:autoSpaceDN w:val="0"/>
        <w:adjustRightInd w:val="0"/>
        <w:ind w:left="0" w:firstLine="0"/>
        <w:rPr>
          <w:rFonts w:eastAsia="TimesNewRoman"/>
          <w:szCs w:val="22"/>
          <w:u w:val="single"/>
          <w:lang w:eastAsia="en-US"/>
        </w:rPr>
      </w:pPr>
      <w:r w:rsidRPr="00F75370">
        <w:rPr>
          <w:rFonts w:eastAsia="TimesNewRoman"/>
          <w:szCs w:val="22"/>
          <w:u w:val="single"/>
          <w:lang w:eastAsia="en-US"/>
        </w:rPr>
        <w:t>Periférna neuropatia</w:t>
      </w:r>
    </w:p>
    <w:p w14:paraId="352EE13B" w14:textId="77777777"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lastRenderedPageBreak/>
        <w:t>Liečba bortezomibom je veľmi často spojená s periférnou neuropatiou, ktorá je prevažne senzorická. Napriek tomu boli hlásené prípady závažnej motorickej neuropatie so senzorickou periférnou neuropatiou alebo bez senzorickej periférnej neuropatie. Výskyt periférnej neuropatie sa zvyšuje na začiatku liečby a vrchol bol pozorovaný počas 5. cyklu.</w:t>
      </w:r>
    </w:p>
    <w:p w14:paraId="6283601C" w14:textId="77777777" w:rsidR="00564D9B" w:rsidRPr="00CC69EC" w:rsidRDefault="00564D9B" w:rsidP="00564D9B">
      <w:pPr>
        <w:ind w:left="0" w:firstLine="0"/>
        <w:rPr>
          <w:szCs w:val="22"/>
          <w:u w:val="single"/>
        </w:rPr>
      </w:pPr>
    </w:p>
    <w:p w14:paraId="650AFD8B" w14:textId="5D800AED"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U týchto pacientov sa odporúča starostlivo monitorovať príznaky neuropatie ako je pocit pálenia, hyperestézia, hypestézia, parestézi</w:t>
      </w:r>
      <w:r w:rsidR="002B20A8">
        <w:rPr>
          <w:rFonts w:eastAsia="TimesNewRoman"/>
          <w:szCs w:val="22"/>
          <w:lang w:eastAsia="en-US"/>
        </w:rPr>
        <w:t>e</w:t>
      </w:r>
      <w:r w:rsidRPr="00CC69EC">
        <w:rPr>
          <w:rFonts w:eastAsia="TimesNewRoman"/>
          <w:szCs w:val="22"/>
          <w:lang w:eastAsia="en-US"/>
        </w:rPr>
        <w:t>, diskomfort, neuropatická bolesť alebo slabosť.</w:t>
      </w:r>
    </w:p>
    <w:p w14:paraId="71ADA27F" w14:textId="77777777" w:rsidR="00564D9B" w:rsidRPr="00CC69EC" w:rsidRDefault="00564D9B" w:rsidP="00564D9B">
      <w:pPr>
        <w:autoSpaceDE w:val="0"/>
        <w:autoSpaceDN w:val="0"/>
        <w:adjustRightInd w:val="0"/>
        <w:ind w:left="0" w:firstLine="0"/>
        <w:rPr>
          <w:rFonts w:eastAsia="TimesNewRoman"/>
          <w:szCs w:val="22"/>
          <w:lang w:eastAsia="en-US"/>
        </w:rPr>
      </w:pPr>
    </w:p>
    <w:p w14:paraId="06007F2F" w14:textId="77777777" w:rsidR="00564D9B" w:rsidRPr="00CC69EC" w:rsidRDefault="00564D9B" w:rsidP="00564D9B">
      <w:pPr>
        <w:autoSpaceDE w:val="0"/>
        <w:autoSpaceDN w:val="0"/>
        <w:adjustRightInd w:val="0"/>
        <w:ind w:left="0" w:firstLine="0"/>
        <w:rPr>
          <w:rFonts w:eastAsia="TimesNewRoman"/>
          <w:szCs w:val="22"/>
          <w:lang w:eastAsia="en-US"/>
        </w:rPr>
      </w:pPr>
    </w:p>
    <w:p w14:paraId="5C1BEE5C" w14:textId="0B1F9F2E"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Pacienti s objavením sa alebo zhoršením periférnej neuropatie sa majú podrobiť neurologickému vyšetreniu a môžu vyžadovať zmenu dávky, </w:t>
      </w:r>
      <w:r w:rsidR="002B20A8">
        <w:rPr>
          <w:rFonts w:eastAsia="TimesNewRoman"/>
          <w:szCs w:val="22"/>
          <w:lang w:eastAsia="en-US"/>
        </w:rPr>
        <w:t xml:space="preserve">dávkovacej </w:t>
      </w:r>
      <w:r w:rsidRPr="00CC69EC">
        <w:rPr>
          <w:rFonts w:eastAsia="TimesNewRoman"/>
          <w:szCs w:val="22"/>
          <w:lang w:eastAsia="en-US"/>
        </w:rPr>
        <w:t>schémy  (pozri časť 4.2). Neuropatia sa zvládla podpornou starostlivosťou a inou liečbou.</w:t>
      </w:r>
    </w:p>
    <w:p w14:paraId="369439C8" w14:textId="77777777" w:rsidR="00564D9B" w:rsidRPr="00CC69EC" w:rsidRDefault="00564D9B" w:rsidP="00564D9B">
      <w:pPr>
        <w:autoSpaceDE w:val="0"/>
        <w:autoSpaceDN w:val="0"/>
        <w:adjustRightInd w:val="0"/>
        <w:ind w:left="0" w:firstLine="0"/>
        <w:rPr>
          <w:rFonts w:eastAsia="TimesNewRoman"/>
          <w:szCs w:val="22"/>
          <w:lang w:eastAsia="en-US"/>
        </w:rPr>
      </w:pPr>
    </w:p>
    <w:p w14:paraId="6F7978E2" w14:textId="6B7D35C6"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U pacientov dostávajúcich </w:t>
      </w:r>
      <w:r w:rsidR="002B20A8">
        <w:rPr>
          <w:rFonts w:eastAsia="TimesNewRoman"/>
          <w:szCs w:val="22"/>
          <w:lang w:eastAsia="en-US"/>
        </w:rPr>
        <w:t>B</w:t>
      </w:r>
      <w:r w:rsidRPr="00CC69EC">
        <w:rPr>
          <w:rFonts w:eastAsia="TimesNewRoman"/>
          <w:szCs w:val="22"/>
          <w:lang w:eastAsia="en-US"/>
        </w:rPr>
        <w:t>ortezomib</w:t>
      </w:r>
      <w:r w:rsidR="002B20A8">
        <w:rPr>
          <w:rFonts w:eastAsia="TimesNewRoman"/>
          <w:szCs w:val="22"/>
          <w:lang w:eastAsia="en-US"/>
        </w:rPr>
        <w:t xml:space="preserve"> Krka</w:t>
      </w:r>
      <w:r w:rsidRPr="00CC69EC">
        <w:rPr>
          <w:rFonts w:eastAsia="TimesNewRoman"/>
          <w:szCs w:val="22"/>
          <w:lang w:eastAsia="en-US"/>
        </w:rPr>
        <w:t xml:space="preserve"> v kombinácii s liekmi, o ktorých je známe, že súvisia s neuropatiou (napr. talidomid), sa má zvážiť skoré a pravidelné sledovanie príznakov neuropatie </w:t>
      </w:r>
      <w:r w:rsidR="002B20A8">
        <w:rPr>
          <w:rFonts w:eastAsia="TimesNewRoman"/>
          <w:szCs w:val="22"/>
          <w:lang w:eastAsia="en-US"/>
        </w:rPr>
        <w:t>v dôsledku</w:t>
      </w:r>
      <w:r w:rsidRPr="00CC69EC">
        <w:rPr>
          <w:rFonts w:eastAsia="TimesNewRoman"/>
          <w:szCs w:val="22"/>
          <w:lang w:eastAsia="en-US"/>
        </w:rPr>
        <w:t xml:space="preserve"> liečby s neurologickým </w:t>
      </w:r>
      <w:r w:rsidR="002B20A8">
        <w:rPr>
          <w:rFonts w:eastAsia="TimesNewRoman"/>
          <w:szCs w:val="22"/>
          <w:lang w:eastAsia="en-US"/>
        </w:rPr>
        <w:t>vyšetrením</w:t>
      </w:r>
      <w:r w:rsidR="002B20A8" w:rsidRPr="00CC69EC">
        <w:rPr>
          <w:rFonts w:eastAsia="TimesNewRoman"/>
          <w:szCs w:val="22"/>
          <w:lang w:eastAsia="en-US"/>
        </w:rPr>
        <w:t xml:space="preserve"> </w:t>
      </w:r>
      <w:r w:rsidRPr="00CC69EC">
        <w:rPr>
          <w:rFonts w:eastAsia="TimesNewRoman"/>
          <w:szCs w:val="22"/>
          <w:lang w:eastAsia="en-US"/>
        </w:rPr>
        <w:t>a</w:t>
      </w:r>
      <w:r w:rsidR="002B20A8">
        <w:rPr>
          <w:rFonts w:eastAsia="TimesNewRoman"/>
          <w:szCs w:val="22"/>
          <w:lang w:eastAsia="en-US"/>
        </w:rPr>
        <w:t xml:space="preserve"> je potrebné</w:t>
      </w:r>
      <w:r w:rsidRPr="00CC69EC">
        <w:rPr>
          <w:rFonts w:eastAsia="TimesNewRoman"/>
          <w:szCs w:val="22"/>
          <w:lang w:eastAsia="en-US"/>
        </w:rPr>
        <w:t xml:space="preserve"> zvážiť vhodné zníženie dávky alebo prerušenie liečby.</w:t>
      </w:r>
    </w:p>
    <w:p w14:paraId="221F5E07" w14:textId="77777777" w:rsidR="00564D9B" w:rsidRPr="00CC69EC" w:rsidRDefault="00564D9B" w:rsidP="00564D9B">
      <w:pPr>
        <w:autoSpaceDE w:val="0"/>
        <w:autoSpaceDN w:val="0"/>
        <w:adjustRightInd w:val="0"/>
        <w:ind w:left="0" w:firstLine="0"/>
        <w:rPr>
          <w:rFonts w:eastAsia="TimesNewRoman"/>
          <w:szCs w:val="22"/>
          <w:lang w:eastAsia="en-US"/>
        </w:rPr>
      </w:pPr>
    </w:p>
    <w:p w14:paraId="286709FC" w14:textId="77777777"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Okrem periférnej neuropatie môže vznik autonómnej neuropatie prispievať k niektorým nežiaducim reakciám ako je posturálna hypotenzia a ťažká obstipácia s ileom. Informácie o autonómnej neuropatii a jej vzťahu k týmto nežiaducim účinkom sú však obmedzené.</w:t>
      </w:r>
    </w:p>
    <w:p w14:paraId="13F6E16A" w14:textId="77777777" w:rsidR="00564D9B" w:rsidRPr="00CC69EC" w:rsidRDefault="00564D9B" w:rsidP="00564D9B">
      <w:pPr>
        <w:ind w:left="0" w:firstLine="0"/>
        <w:rPr>
          <w:szCs w:val="22"/>
          <w:u w:val="single"/>
        </w:rPr>
      </w:pPr>
    </w:p>
    <w:p w14:paraId="01326352"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Záchvaty</w:t>
      </w:r>
    </w:p>
    <w:p w14:paraId="05190308" w14:textId="77777777"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Záchvaty sa menej často zaznamenali u pacientov, u ktorých neboli v anamnéze zaznamenané záchvaty alebo epilepsia. Špeciálna starostlivosť sa vyžaduje u liečených pacientov s akýmikoľvek rizikovými faktormi vzniku záchvatov.</w:t>
      </w:r>
    </w:p>
    <w:p w14:paraId="2B95ECE7" w14:textId="77777777" w:rsidR="00564D9B" w:rsidRPr="00CC69EC" w:rsidRDefault="00564D9B" w:rsidP="00564D9B">
      <w:pPr>
        <w:ind w:left="0" w:firstLine="0"/>
        <w:rPr>
          <w:szCs w:val="22"/>
          <w:u w:val="single"/>
        </w:rPr>
      </w:pPr>
    </w:p>
    <w:p w14:paraId="31AE1239"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Hypotenzia</w:t>
      </w:r>
    </w:p>
    <w:p w14:paraId="7DFDE703" w14:textId="3ED95DD3"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 xml:space="preserve">Liečba bortezomibom je často spojená s ortostatickou/posturálnou hypotenziou. Väčšina nežiaducich reakcií je miernej až stredne závažnej povahy a vyskytujú sa v priebehu liečby. Pacienti, u ktorých vznikla ortostatická hypotenzia počas liečby bortezomibom (podávaným intravenózne), nemali </w:t>
      </w:r>
      <w:r w:rsidR="00EB62AB">
        <w:rPr>
          <w:rFonts w:eastAsia="TimesNewRoman"/>
          <w:szCs w:val="22"/>
          <w:lang w:eastAsia="en-US"/>
        </w:rPr>
        <w:t>prejavy</w:t>
      </w:r>
      <w:r w:rsidR="00EB62AB" w:rsidRPr="00CC69EC">
        <w:rPr>
          <w:rFonts w:eastAsia="TimesNewRoman"/>
          <w:szCs w:val="22"/>
          <w:lang w:eastAsia="en-US"/>
        </w:rPr>
        <w:t xml:space="preserve"> </w:t>
      </w:r>
      <w:r w:rsidRPr="00CC69EC">
        <w:rPr>
          <w:rFonts w:eastAsia="TimesNewRoman"/>
          <w:szCs w:val="22"/>
          <w:lang w:eastAsia="en-US"/>
        </w:rPr>
        <w:t xml:space="preserve">ortostatickej hypotenzie pred liečbou bortezomibom. Väčšina pacientov potrebovala liečbu ortostatickej hypotenzie. U menšej časti pacientov s ortostatickou hypotenziou sa zaznamenali prípady synkopy. Vznik ortostatickej/posturálnej hypotenzie nebol akútne spojený s podaním bolusu infúzie bortezomibu. Mechanizmus </w:t>
      </w:r>
      <w:r w:rsidR="00EB62AB">
        <w:rPr>
          <w:rFonts w:eastAsia="TimesNewRoman"/>
          <w:szCs w:val="22"/>
          <w:lang w:eastAsia="en-US"/>
        </w:rPr>
        <w:t>tejto udalosti</w:t>
      </w:r>
      <w:r w:rsidRPr="00CC69EC">
        <w:rPr>
          <w:rFonts w:eastAsia="TimesNewRoman"/>
          <w:szCs w:val="22"/>
          <w:lang w:eastAsia="en-US"/>
        </w:rPr>
        <w:t xml:space="preserve"> je neznámy, čiastočne však môže vzniknúť v dôsledku autonómnej neuropatie. Autonómna neuropatia môže byť spojená s bortezomibom alebo bortezomib môže zhoršovať </w:t>
      </w:r>
      <w:r w:rsidR="00EB62AB">
        <w:rPr>
          <w:rFonts w:eastAsia="TimesNewRoman"/>
          <w:szCs w:val="22"/>
          <w:lang w:eastAsia="en-US"/>
        </w:rPr>
        <w:t>primárne</w:t>
      </w:r>
      <w:r w:rsidR="00EB62AB" w:rsidRPr="00CC69EC">
        <w:rPr>
          <w:rFonts w:eastAsia="TimesNewRoman"/>
          <w:szCs w:val="22"/>
          <w:lang w:eastAsia="en-US"/>
        </w:rPr>
        <w:t xml:space="preserve"> </w:t>
      </w:r>
      <w:r w:rsidRPr="00CC69EC">
        <w:rPr>
          <w:rFonts w:eastAsia="TimesNewRoman"/>
          <w:szCs w:val="22"/>
          <w:lang w:eastAsia="en-US"/>
        </w:rPr>
        <w:t>ochorenie, ako napríklad diabetickú alebo amyloidnú neuropatiu. Opatrnosť sa odporúča pri liečbe pacientov so známou anamnézou synkopy spojenou s užívaním liekov spôsobujúcich hypotenziu alebo u pacientov dehydratovaných v dôsledku opakujúcej sa</w:t>
      </w:r>
      <w:r w:rsidR="006722D3">
        <w:rPr>
          <w:rFonts w:eastAsia="TimesNewRoman"/>
          <w:szCs w:val="22"/>
          <w:lang w:eastAsia="en-US"/>
        </w:rPr>
        <w:t xml:space="preserve"> </w:t>
      </w:r>
      <w:r w:rsidR="00EB62AB">
        <w:rPr>
          <w:rFonts w:eastAsia="TimesNewRoman"/>
          <w:szCs w:val="22"/>
          <w:lang w:eastAsia="en-US"/>
        </w:rPr>
        <w:t>hnačky</w:t>
      </w:r>
      <w:r w:rsidRPr="00CC69EC">
        <w:rPr>
          <w:rFonts w:eastAsia="TimesNewRoman"/>
          <w:szCs w:val="22"/>
          <w:lang w:eastAsia="en-US"/>
        </w:rPr>
        <w:t xml:space="preserve"> alebo vracania. </w:t>
      </w:r>
      <w:r w:rsidR="00EB62AB">
        <w:rPr>
          <w:rFonts w:eastAsia="TimesNewRoman"/>
          <w:szCs w:val="22"/>
          <w:lang w:eastAsia="en-US"/>
        </w:rPr>
        <w:t xml:space="preserve">Liečba </w:t>
      </w:r>
      <w:r w:rsidRPr="00CC69EC">
        <w:rPr>
          <w:rFonts w:eastAsia="TimesNewRoman"/>
          <w:szCs w:val="22"/>
          <w:lang w:eastAsia="en-US"/>
        </w:rPr>
        <w:t xml:space="preserve">ortostatickej/posturálnej hypotenzie môže zahŕňať úpravu antihypertenzívnych liekov, rehydratáciu alebo podávanie mineralokortikoidov a/alebo sympatomimetík. Pacienti majú byť upozornení, aby vyhľadali lekársku pomoc, ak pocítia príznaky ako závrat, </w:t>
      </w:r>
      <w:r>
        <w:rPr>
          <w:rFonts w:eastAsia="TimesNewRoman"/>
          <w:szCs w:val="22"/>
          <w:lang w:eastAsia="en-US"/>
        </w:rPr>
        <w:t>točenie hlavy</w:t>
      </w:r>
      <w:r w:rsidRPr="00CC69EC">
        <w:rPr>
          <w:rFonts w:eastAsia="TimesNewRoman"/>
          <w:szCs w:val="22"/>
          <w:lang w:eastAsia="en-US"/>
        </w:rPr>
        <w:t xml:space="preserve"> alebo strat</w:t>
      </w:r>
      <w:r>
        <w:rPr>
          <w:rFonts w:eastAsia="TimesNewRoman"/>
          <w:szCs w:val="22"/>
          <w:lang w:eastAsia="en-US"/>
        </w:rPr>
        <w:t>a</w:t>
      </w:r>
      <w:r w:rsidRPr="00CC69EC">
        <w:rPr>
          <w:rFonts w:eastAsia="TimesNewRoman"/>
          <w:szCs w:val="22"/>
          <w:lang w:eastAsia="en-US"/>
        </w:rPr>
        <w:t xml:space="preserve"> vedomia.</w:t>
      </w:r>
    </w:p>
    <w:p w14:paraId="10945F88" w14:textId="77777777" w:rsidR="00564D9B" w:rsidRPr="00CC69EC" w:rsidRDefault="00564D9B" w:rsidP="00564D9B">
      <w:pPr>
        <w:ind w:left="0" w:firstLine="0"/>
        <w:rPr>
          <w:szCs w:val="22"/>
          <w:u w:val="single"/>
        </w:rPr>
      </w:pPr>
    </w:p>
    <w:p w14:paraId="2721A2D3"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Syndróm posteriórnej reverzibilnej encefalopatie (PRES)</w:t>
      </w:r>
    </w:p>
    <w:p w14:paraId="507037E4" w14:textId="498CCEE5"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U pacientov liečených bortezomibom boli hlásené prípady PRES. PRES je zriedkavý, často reverzibilný, rýchlo sa vyvíjajúci neurologický stav, ktorý sa môže prejaviť záchvatom, hypertenziou, bolesťou hlavy, letargiou, zmätenosťou, slepotou alebo inými zrakovými a neurologickými poruchami. Na potvrdenie diagnózy sa používa </w:t>
      </w:r>
      <w:r w:rsidR="00EB62AB">
        <w:rPr>
          <w:rFonts w:eastAsia="TimesNewRoman"/>
          <w:szCs w:val="22"/>
          <w:lang w:eastAsia="en-US"/>
        </w:rPr>
        <w:t>zobrazovacie vyšetrenie</w:t>
      </w:r>
      <w:r w:rsidR="00EB62AB" w:rsidRPr="00CC69EC">
        <w:rPr>
          <w:rFonts w:eastAsia="TimesNewRoman"/>
          <w:szCs w:val="22"/>
          <w:lang w:eastAsia="en-US"/>
        </w:rPr>
        <w:t xml:space="preserve"> </w:t>
      </w:r>
      <w:r w:rsidRPr="00CC69EC">
        <w:rPr>
          <w:rFonts w:eastAsia="TimesNewRoman"/>
          <w:szCs w:val="22"/>
          <w:lang w:eastAsia="en-US"/>
        </w:rPr>
        <w:t xml:space="preserve">mozgu, najmä magnetická rezonancia (MRI). U pacientov, u ktorých sa vyvinie PRES, treba ukončiť podávanie </w:t>
      </w:r>
      <w:r w:rsidR="009529B3">
        <w:rPr>
          <w:rFonts w:eastAsia="TimesNewRoman"/>
          <w:szCs w:val="22"/>
          <w:lang w:eastAsia="en-US"/>
        </w:rPr>
        <w:t>B</w:t>
      </w:r>
      <w:r w:rsidR="009529B3" w:rsidRPr="00CC69EC">
        <w:rPr>
          <w:rFonts w:eastAsia="TimesNewRoman"/>
          <w:szCs w:val="22"/>
          <w:lang w:eastAsia="en-US"/>
        </w:rPr>
        <w:t>ortezomibu</w:t>
      </w:r>
      <w:r w:rsidR="009529B3">
        <w:rPr>
          <w:rFonts w:eastAsia="TimesNewRoman"/>
          <w:szCs w:val="22"/>
          <w:lang w:eastAsia="en-US"/>
        </w:rPr>
        <w:t xml:space="preserve"> Krka</w:t>
      </w:r>
      <w:r w:rsidRPr="00CC69EC">
        <w:rPr>
          <w:rFonts w:eastAsia="TimesNewRoman"/>
          <w:szCs w:val="22"/>
          <w:lang w:eastAsia="en-US"/>
        </w:rPr>
        <w:t>.</w:t>
      </w:r>
    </w:p>
    <w:p w14:paraId="4573DC88" w14:textId="77777777" w:rsidR="00EB62AB" w:rsidRDefault="00EB62AB" w:rsidP="00564D9B">
      <w:pPr>
        <w:autoSpaceDE w:val="0"/>
        <w:autoSpaceDN w:val="0"/>
        <w:adjustRightInd w:val="0"/>
        <w:ind w:left="0" w:firstLine="0"/>
        <w:rPr>
          <w:rFonts w:eastAsia="TimesNewRoman"/>
          <w:i/>
          <w:szCs w:val="22"/>
          <w:lang w:eastAsia="en-US"/>
        </w:rPr>
      </w:pPr>
    </w:p>
    <w:p w14:paraId="7C1D0B5A" w14:textId="39E9F57E"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Zlyh</w:t>
      </w:r>
      <w:r w:rsidR="009529B3" w:rsidRPr="00E110FB">
        <w:rPr>
          <w:rFonts w:eastAsia="TimesNewRoman"/>
          <w:szCs w:val="22"/>
          <w:u w:val="single"/>
          <w:lang w:eastAsia="en-US"/>
        </w:rPr>
        <w:t>ávanie</w:t>
      </w:r>
      <w:r w:rsidRPr="00E110FB">
        <w:rPr>
          <w:rFonts w:eastAsia="TimesNewRoman"/>
          <w:szCs w:val="22"/>
          <w:u w:val="single"/>
          <w:lang w:eastAsia="en-US"/>
        </w:rPr>
        <w:t xml:space="preserve"> srdca</w:t>
      </w:r>
    </w:p>
    <w:p w14:paraId="0149809F" w14:textId="063D4189"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Akútny </w:t>
      </w:r>
      <w:r w:rsidR="00EB62AB">
        <w:rPr>
          <w:rFonts w:eastAsia="TimesNewRoman"/>
          <w:szCs w:val="22"/>
          <w:lang w:eastAsia="en-US"/>
        </w:rPr>
        <w:t>vznik</w:t>
      </w:r>
      <w:r w:rsidR="00EB62AB" w:rsidRPr="00CC69EC">
        <w:rPr>
          <w:rFonts w:eastAsia="TimesNewRoman"/>
          <w:szCs w:val="22"/>
          <w:lang w:eastAsia="en-US"/>
        </w:rPr>
        <w:t xml:space="preserve"> </w:t>
      </w:r>
      <w:r w:rsidRPr="00CC69EC">
        <w:rPr>
          <w:rFonts w:eastAsia="TimesNewRoman"/>
          <w:szCs w:val="22"/>
          <w:lang w:eastAsia="en-US"/>
        </w:rPr>
        <w:t>alebo zhoršenie kongestívneho zlyh</w:t>
      </w:r>
      <w:r w:rsidR="00EB62AB">
        <w:rPr>
          <w:rFonts w:eastAsia="TimesNewRoman"/>
          <w:szCs w:val="22"/>
          <w:lang w:eastAsia="en-US"/>
        </w:rPr>
        <w:t>ávania</w:t>
      </w:r>
      <w:r w:rsidRPr="00CC69EC">
        <w:rPr>
          <w:rFonts w:eastAsia="TimesNewRoman"/>
          <w:szCs w:val="22"/>
          <w:lang w:eastAsia="en-US"/>
        </w:rPr>
        <w:t xml:space="preserve"> srdca a/alebo nový pokles ejekčnej frakcie ľavej komory boli hlásené počas liečby bortezomibom. Retencia tekutín môže byť predispozičným faktorom prejavov a príznakov zlyh</w:t>
      </w:r>
      <w:r w:rsidR="00473B76">
        <w:rPr>
          <w:rFonts w:eastAsia="TimesNewRoman"/>
          <w:szCs w:val="22"/>
          <w:lang w:eastAsia="en-US"/>
        </w:rPr>
        <w:t>ávania</w:t>
      </w:r>
      <w:r w:rsidRPr="00CC69EC">
        <w:rPr>
          <w:rFonts w:eastAsia="TimesNewRoman"/>
          <w:szCs w:val="22"/>
          <w:lang w:eastAsia="en-US"/>
        </w:rPr>
        <w:t xml:space="preserve"> srdca. Pacienti s predispozíciou k ochoreniu srdca </w:t>
      </w:r>
      <w:r>
        <w:rPr>
          <w:rFonts w:eastAsia="TimesNewRoman"/>
          <w:szCs w:val="22"/>
          <w:lang w:eastAsia="en-US"/>
        </w:rPr>
        <w:t xml:space="preserve">alebo s už existujúcim ochorením srdca </w:t>
      </w:r>
      <w:r w:rsidRPr="00CC69EC">
        <w:rPr>
          <w:rFonts w:eastAsia="TimesNewRoman"/>
          <w:szCs w:val="22"/>
          <w:lang w:eastAsia="en-US"/>
        </w:rPr>
        <w:t xml:space="preserve">majú byť starostlivo monitorovaní. </w:t>
      </w:r>
    </w:p>
    <w:p w14:paraId="7BD8103A" w14:textId="77777777" w:rsidR="00564D9B" w:rsidRPr="00CC69EC" w:rsidRDefault="00564D9B" w:rsidP="00564D9B">
      <w:pPr>
        <w:autoSpaceDE w:val="0"/>
        <w:autoSpaceDN w:val="0"/>
        <w:adjustRightInd w:val="0"/>
        <w:ind w:left="0" w:firstLine="0"/>
        <w:rPr>
          <w:rFonts w:eastAsia="TimesNewRoman"/>
          <w:szCs w:val="22"/>
          <w:lang w:eastAsia="en-US"/>
        </w:rPr>
      </w:pPr>
    </w:p>
    <w:p w14:paraId="2AF37151"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Vyšetrenie elektrokardiogramom</w:t>
      </w:r>
    </w:p>
    <w:p w14:paraId="584EF330" w14:textId="77777777"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V klinických štúdiách boli pozorované ojedinelé prípady predĺženia QT-intervalu, príčina nebola objasnená.</w:t>
      </w:r>
    </w:p>
    <w:p w14:paraId="67D44C35" w14:textId="77777777" w:rsidR="00564D9B" w:rsidRPr="00CC69EC" w:rsidRDefault="00564D9B" w:rsidP="00564D9B">
      <w:pPr>
        <w:ind w:left="0" w:firstLine="0"/>
        <w:rPr>
          <w:szCs w:val="22"/>
          <w:u w:val="single"/>
        </w:rPr>
      </w:pPr>
    </w:p>
    <w:p w14:paraId="567C69F0"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Pľúcne poruchy</w:t>
      </w:r>
    </w:p>
    <w:p w14:paraId="7DF91079" w14:textId="22C1D95A"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U pacientov liečených bortezomibom (pozri časť 4.8) bola v zriedkavých prípadoch hlásená akútna difúzna infiltračná pľúcna choroba neznámej etiológie ako napr. pneumonitída, intersticiálna pneumónia, pľúcna infiltrácia a syndróm akútnej respiračnej tiesne (ARDS). Niektoré z týchto príhod boli smrteľné. Pred začiatkom liečby sa odporúča vykonať röntgen hrudníka, ktorý bude slúžiť ako východisko</w:t>
      </w:r>
      <w:r w:rsidR="00D57AC1">
        <w:rPr>
          <w:rFonts w:eastAsia="TimesNewRoman"/>
          <w:szCs w:val="22"/>
          <w:lang w:eastAsia="en-US"/>
        </w:rPr>
        <w:t>vý stav</w:t>
      </w:r>
      <w:r w:rsidRPr="00CC69EC">
        <w:rPr>
          <w:rFonts w:eastAsia="TimesNewRoman"/>
          <w:szCs w:val="22"/>
          <w:lang w:eastAsia="en-US"/>
        </w:rPr>
        <w:t xml:space="preserve"> v prípade zmien na pľúcach po ukončení liečby.</w:t>
      </w:r>
    </w:p>
    <w:p w14:paraId="56F9EE90" w14:textId="77777777" w:rsidR="00564D9B" w:rsidRPr="00CC69EC" w:rsidRDefault="00564D9B" w:rsidP="00564D9B">
      <w:pPr>
        <w:autoSpaceDE w:val="0"/>
        <w:autoSpaceDN w:val="0"/>
        <w:adjustRightInd w:val="0"/>
        <w:ind w:left="0" w:firstLine="0"/>
        <w:rPr>
          <w:rFonts w:eastAsia="TimesNewRoman"/>
          <w:szCs w:val="22"/>
          <w:lang w:eastAsia="en-US"/>
        </w:rPr>
      </w:pPr>
    </w:p>
    <w:p w14:paraId="4D41E6D9" w14:textId="7707CF6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Pri výskyte nových alebo zhoršených pľúcnych príznakov (napr. kašeľ, dyspnoe) sa má okamžite stanoviť diagnóza a pacienti sa majú podrobiť vhodnej liečbe. Pred pokračovaním liečby </w:t>
      </w:r>
      <w:r w:rsidR="006318A6">
        <w:rPr>
          <w:rFonts w:eastAsia="TimesNewRoman"/>
          <w:szCs w:val="22"/>
          <w:lang w:eastAsia="en-US"/>
        </w:rPr>
        <w:t>B</w:t>
      </w:r>
      <w:r w:rsidRPr="00CC69EC">
        <w:rPr>
          <w:rFonts w:eastAsia="TimesNewRoman"/>
          <w:szCs w:val="22"/>
          <w:lang w:eastAsia="en-US"/>
        </w:rPr>
        <w:t>ortezomibom</w:t>
      </w:r>
      <w:r w:rsidR="006318A6">
        <w:rPr>
          <w:rFonts w:eastAsia="TimesNewRoman"/>
          <w:szCs w:val="22"/>
          <w:lang w:eastAsia="en-US"/>
        </w:rPr>
        <w:t xml:space="preserve"> Krka</w:t>
      </w:r>
      <w:r w:rsidRPr="00CC69EC">
        <w:rPr>
          <w:rFonts w:eastAsia="TimesNewRoman"/>
          <w:szCs w:val="22"/>
          <w:lang w:eastAsia="en-US"/>
        </w:rPr>
        <w:t xml:space="preserve"> sa má zvážiť pomer jej prínosu/rizika.</w:t>
      </w:r>
    </w:p>
    <w:p w14:paraId="7441F92E" w14:textId="77777777" w:rsidR="00564D9B" w:rsidRPr="00CC69EC" w:rsidRDefault="00564D9B" w:rsidP="00564D9B">
      <w:pPr>
        <w:autoSpaceDE w:val="0"/>
        <w:autoSpaceDN w:val="0"/>
        <w:adjustRightInd w:val="0"/>
        <w:ind w:left="0" w:firstLine="0"/>
        <w:rPr>
          <w:rFonts w:eastAsia="TimesNewRoman"/>
          <w:szCs w:val="22"/>
          <w:lang w:eastAsia="en-US"/>
        </w:rPr>
      </w:pPr>
    </w:p>
    <w:p w14:paraId="22015E90" w14:textId="53300A3D"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V klinickom skúšaní dvaja pacienti (z dvoch), ktorým sa podávala vysoká dávka cytarabínu (2 g/m</w:t>
      </w:r>
      <w:r w:rsidRPr="00CC69EC">
        <w:rPr>
          <w:rFonts w:eastAsia="TimesNewRoman"/>
          <w:szCs w:val="22"/>
          <w:vertAlign w:val="superscript"/>
          <w:lang w:eastAsia="en-US"/>
        </w:rPr>
        <w:t>2 </w:t>
      </w:r>
      <w:r w:rsidRPr="00CC69EC">
        <w:rPr>
          <w:rFonts w:eastAsia="TimesNewRoman"/>
          <w:szCs w:val="22"/>
          <w:lang w:eastAsia="en-US"/>
        </w:rPr>
        <w:t xml:space="preserve">denne) kontinuálnou infúziou počas 24 hodín s daunorubicínom a bortezomibom z dôvodu relapsu akútnej myeloidnej leukémie, zomreli na ARDS v </w:t>
      </w:r>
      <w:r w:rsidR="006318A6">
        <w:rPr>
          <w:rFonts w:eastAsia="TimesNewRoman"/>
          <w:szCs w:val="22"/>
          <w:lang w:eastAsia="en-US"/>
        </w:rPr>
        <w:t>za</w:t>
      </w:r>
      <w:r w:rsidRPr="00CC69EC">
        <w:rPr>
          <w:rFonts w:eastAsia="TimesNewRoman"/>
          <w:szCs w:val="22"/>
          <w:lang w:eastAsia="en-US"/>
        </w:rPr>
        <w:t>čiatočnom štádiu liečby a skúšanie sa ukončilo. Z toho dôvodu sa táto špecifická liečba so sú</w:t>
      </w:r>
      <w:r w:rsidR="006318A6">
        <w:rPr>
          <w:rFonts w:eastAsia="TimesNewRoman"/>
          <w:szCs w:val="22"/>
          <w:lang w:eastAsia="en-US"/>
        </w:rPr>
        <w:t>bežne</w:t>
      </w:r>
      <w:r w:rsidRPr="00CC69EC">
        <w:rPr>
          <w:rFonts w:eastAsia="TimesNewRoman"/>
          <w:szCs w:val="22"/>
          <w:lang w:eastAsia="en-US"/>
        </w:rPr>
        <w:t xml:space="preserve"> podávanou vysokou dávkou cytarabínu (2 g/m</w:t>
      </w:r>
      <w:r w:rsidRPr="00CC69EC">
        <w:rPr>
          <w:szCs w:val="22"/>
          <w:vertAlign w:val="superscript"/>
          <w:lang w:eastAsia="en-GB"/>
        </w:rPr>
        <w:t>2</w:t>
      </w:r>
      <w:r w:rsidRPr="00CC69EC">
        <w:rPr>
          <w:rFonts w:eastAsia="TimesNewRoman"/>
          <w:sz w:val="14"/>
          <w:szCs w:val="14"/>
          <w:lang w:eastAsia="en-US"/>
        </w:rPr>
        <w:t xml:space="preserve"> </w:t>
      </w:r>
      <w:r w:rsidRPr="00CC69EC">
        <w:rPr>
          <w:rFonts w:eastAsia="TimesNewRoman"/>
          <w:szCs w:val="22"/>
          <w:lang w:eastAsia="en-US"/>
        </w:rPr>
        <w:t>denne) kontinuálnou infúziou počas 24 hodín neodporúča.</w:t>
      </w:r>
    </w:p>
    <w:p w14:paraId="29956FBD" w14:textId="77777777" w:rsidR="00564D9B" w:rsidRPr="00CC69EC" w:rsidRDefault="00564D9B" w:rsidP="00564D9B">
      <w:pPr>
        <w:ind w:left="0" w:firstLine="0"/>
        <w:rPr>
          <w:szCs w:val="22"/>
          <w:u w:val="single"/>
        </w:rPr>
      </w:pPr>
    </w:p>
    <w:p w14:paraId="64EC6CB1"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Porucha funkcie obličiek</w:t>
      </w:r>
    </w:p>
    <w:p w14:paraId="5D12A3A2"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U pacientov s mnohopočetným myelómom sú renálne komplikácie časté. Pacienti s poruchou funkcie obličiek sa majú dôsledne sledovať (pozri časti 4.2 a 5.2).</w:t>
      </w:r>
    </w:p>
    <w:p w14:paraId="2F1C55D2" w14:textId="77777777" w:rsidR="00564D9B" w:rsidRPr="00CC69EC" w:rsidRDefault="00564D9B" w:rsidP="00564D9B">
      <w:pPr>
        <w:autoSpaceDE w:val="0"/>
        <w:autoSpaceDN w:val="0"/>
        <w:adjustRightInd w:val="0"/>
        <w:ind w:left="0" w:firstLine="0"/>
        <w:rPr>
          <w:rFonts w:eastAsia="TimesNewRoman"/>
          <w:szCs w:val="22"/>
          <w:lang w:eastAsia="en-US"/>
        </w:rPr>
      </w:pPr>
    </w:p>
    <w:p w14:paraId="6D151634"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Porucha funkcie pečene</w:t>
      </w:r>
    </w:p>
    <w:p w14:paraId="5D01BC94" w14:textId="7505B4E7"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 xml:space="preserve">Bortezomib je metabolizovaný pečeňovými enzýmami. Expozícia bortezomibu je zvýšená u pacientov so stredne závažnou alebo závažnou poruchou funkcie pečene; títo pacienti sa majú liečiť zníženými dávkami </w:t>
      </w:r>
      <w:r w:rsidR="00CE5E50">
        <w:rPr>
          <w:rFonts w:eastAsia="TimesNewRoman"/>
          <w:szCs w:val="22"/>
          <w:lang w:eastAsia="en-US"/>
        </w:rPr>
        <w:t>B</w:t>
      </w:r>
      <w:r w:rsidR="00CE5E50" w:rsidRPr="00CC69EC">
        <w:rPr>
          <w:rFonts w:eastAsia="TimesNewRoman"/>
          <w:szCs w:val="22"/>
          <w:lang w:eastAsia="en-US"/>
        </w:rPr>
        <w:t>ortezomibu</w:t>
      </w:r>
      <w:r w:rsidR="00CE5E50">
        <w:rPr>
          <w:rFonts w:eastAsia="TimesNewRoman"/>
          <w:szCs w:val="22"/>
          <w:lang w:eastAsia="en-US"/>
        </w:rPr>
        <w:t xml:space="preserve"> Krka</w:t>
      </w:r>
      <w:r w:rsidR="00CE5E50" w:rsidRPr="00CC69EC">
        <w:rPr>
          <w:rFonts w:eastAsia="TimesNewRoman"/>
          <w:szCs w:val="22"/>
          <w:lang w:eastAsia="en-US"/>
        </w:rPr>
        <w:t xml:space="preserve"> </w:t>
      </w:r>
      <w:r w:rsidRPr="00CC69EC">
        <w:rPr>
          <w:rFonts w:eastAsia="TimesNewRoman"/>
          <w:szCs w:val="22"/>
          <w:lang w:eastAsia="en-US"/>
        </w:rPr>
        <w:t>a starostlivo sledovať z dôvodu toxicity (pozri časti 4.2 a 5.2).</w:t>
      </w:r>
    </w:p>
    <w:p w14:paraId="26AC64FD" w14:textId="77777777" w:rsidR="00564D9B" w:rsidRPr="00CC69EC" w:rsidRDefault="00564D9B" w:rsidP="00564D9B">
      <w:pPr>
        <w:ind w:left="0" w:firstLine="0"/>
        <w:rPr>
          <w:szCs w:val="22"/>
          <w:u w:val="single"/>
        </w:rPr>
      </w:pPr>
    </w:p>
    <w:p w14:paraId="3EAB14FA"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Reakcie pečene</w:t>
      </w:r>
    </w:p>
    <w:p w14:paraId="44509735" w14:textId="76FA049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U pacientov vo vážnom stave, ktorí sú liečení bortezomibom a sú</w:t>
      </w:r>
      <w:r w:rsidR="006318A6">
        <w:rPr>
          <w:rFonts w:eastAsia="TimesNewRoman"/>
          <w:szCs w:val="22"/>
          <w:lang w:eastAsia="en-US"/>
        </w:rPr>
        <w:t>bežne</w:t>
      </w:r>
      <w:r w:rsidRPr="00CC69EC">
        <w:rPr>
          <w:rFonts w:eastAsia="TimesNewRoman"/>
          <w:szCs w:val="22"/>
          <w:lang w:eastAsia="en-US"/>
        </w:rPr>
        <w:t xml:space="preserve"> inými liekmi, boli zriedkavo hlásené prípady hepatálneho zlyhania. Ďalšie hlásené pečeňové reakcie zahŕňajú zvýšenie pečeňových enzýmov, hyperbilirubinémiu a hepatitídu. Po prerušení liečby bortezomibom môžu tieto zmeny zaniknúť (pozri časť 4.8).</w:t>
      </w:r>
    </w:p>
    <w:p w14:paraId="62C5A4AB" w14:textId="77777777" w:rsidR="00564D9B" w:rsidRPr="00CC69EC" w:rsidRDefault="00564D9B" w:rsidP="00564D9B">
      <w:pPr>
        <w:autoSpaceDE w:val="0"/>
        <w:autoSpaceDN w:val="0"/>
        <w:adjustRightInd w:val="0"/>
        <w:ind w:left="0" w:firstLine="0"/>
        <w:rPr>
          <w:rFonts w:eastAsia="TimesNewRoman"/>
          <w:szCs w:val="22"/>
          <w:lang w:eastAsia="en-US"/>
        </w:rPr>
      </w:pPr>
    </w:p>
    <w:p w14:paraId="534B1AD9"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Syndróm z rozpadu nádoru</w:t>
      </w:r>
    </w:p>
    <w:p w14:paraId="0351D1CD" w14:textId="708F0CAA"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Pretože bortezomib je cytotoxická látka a môže rýchlo ničiť malígne plazmatické bunky a bunky MCL, môžu sa vyskytnúť komplikácie syndrómu z rozpadu nádoru. Pacienti s rizikom vzniku syndrómu z rozpadu nádoru sú tí, ktorí mali veľké ložisko nádoru pred začatím liečby. Títo pacienti sa majú starostlivo sledovať a majú byť </w:t>
      </w:r>
      <w:r w:rsidR="006318A6">
        <w:rPr>
          <w:rFonts w:eastAsia="TimesNewRoman"/>
          <w:szCs w:val="22"/>
          <w:lang w:eastAsia="en-US"/>
        </w:rPr>
        <w:t>vykonané</w:t>
      </w:r>
      <w:r w:rsidR="006318A6" w:rsidRPr="00CC69EC">
        <w:rPr>
          <w:rFonts w:eastAsia="TimesNewRoman"/>
          <w:szCs w:val="22"/>
          <w:lang w:eastAsia="en-US"/>
        </w:rPr>
        <w:t xml:space="preserve"> </w:t>
      </w:r>
      <w:r w:rsidRPr="00CC69EC">
        <w:rPr>
          <w:rFonts w:eastAsia="TimesNewRoman"/>
          <w:szCs w:val="22"/>
          <w:lang w:eastAsia="en-US"/>
        </w:rPr>
        <w:t>vhodné opatrenia.</w:t>
      </w:r>
    </w:p>
    <w:p w14:paraId="74EA4637" w14:textId="77777777" w:rsidR="00564D9B" w:rsidRPr="00CC69EC" w:rsidRDefault="00564D9B" w:rsidP="00564D9B">
      <w:pPr>
        <w:autoSpaceDE w:val="0"/>
        <w:autoSpaceDN w:val="0"/>
        <w:adjustRightInd w:val="0"/>
        <w:ind w:left="0" w:firstLine="0"/>
        <w:rPr>
          <w:rFonts w:eastAsia="TimesNewRoman"/>
          <w:szCs w:val="22"/>
          <w:lang w:eastAsia="en-US"/>
        </w:rPr>
      </w:pPr>
    </w:p>
    <w:p w14:paraId="5A949448" w14:textId="3AE5C0AE"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Sú</w:t>
      </w:r>
      <w:r w:rsidR="006318A6" w:rsidRPr="00E110FB">
        <w:rPr>
          <w:rFonts w:eastAsia="TimesNewRoman"/>
          <w:szCs w:val="22"/>
          <w:u w:val="single"/>
          <w:lang w:eastAsia="en-US"/>
        </w:rPr>
        <w:t>bežne</w:t>
      </w:r>
      <w:r w:rsidRPr="00E110FB">
        <w:rPr>
          <w:rFonts w:eastAsia="TimesNewRoman"/>
          <w:szCs w:val="22"/>
          <w:u w:val="single"/>
          <w:lang w:eastAsia="en-US"/>
        </w:rPr>
        <w:t xml:space="preserve"> podávané lieky</w:t>
      </w:r>
    </w:p>
    <w:p w14:paraId="11097915" w14:textId="5DAF8FF1"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Pacienti sa majú starostlivo monitorovať, ak sa im podáva bortezomib v kombinácii so silnými inhibítormi</w:t>
      </w:r>
      <w:r w:rsidR="006318A6">
        <w:rPr>
          <w:rFonts w:eastAsia="TimesNewRoman"/>
          <w:szCs w:val="22"/>
          <w:lang w:eastAsia="en-US"/>
        </w:rPr>
        <w:t xml:space="preserve"> </w:t>
      </w:r>
      <w:r w:rsidR="006318A6" w:rsidRPr="00CC69EC">
        <w:rPr>
          <w:rFonts w:eastAsia="TimesNewRoman"/>
          <w:szCs w:val="22"/>
          <w:lang w:eastAsia="en-US"/>
        </w:rPr>
        <w:t>CYP3A4</w:t>
      </w:r>
      <w:r w:rsidRPr="00CC69EC">
        <w:rPr>
          <w:rFonts w:eastAsia="TimesNewRoman"/>
          <w:szCs w:val="22"/>
          <w:lang w:eastAsia="en-US"/>
        </w:rPr>
        <w:t>. Opatrnosť sa vyžaduje, ak sa bortezomib kombinuje s</w:t>
      </w:r>
      <w:r w:rsidR="006318A6">
        <w:rPr>
          <w:rFonts w:eastAsia="TimesNewRoman"/>
          <w:szCs w:val="22"/>
          <w:lang w:eastAsia="en-US"/>
        </w:rPr>
        <w:t xml:space="preserve">o </w:t>
      </w:r>
      <w:r w:rsidR="006318A6" w:rsidRPr="00CC69EC">
        <w:rPr>
          <w:rFonts w:eastAsia="TimesNewRoman"/>
          <w:szCs w:val="22"/>
          <w:lang w:eastAsia="en-US"/>
        </w:rPr>
        <w:t>substrátmi</w:t>
      </w:r>
      <w:r w:rsidRPr="00CC69EC">
        <w:rPr>
          <w:rFonts w:eastAsia="TimesNewRoman"/>
          <w:szCs w:val="22"/>
          <w:lang w:eastAsia="en-US"/>
        </w:rPr>
        <w:t xml:space="preserve"> CYP3A4- alebo CYP2C19(pozri časť 4.5).</w:t>
      </w:r>
    </w:p>
    <w:p w14:paraId="3376D5D3"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Normálna funkcia pečene sa má potvrdiť a opatrnosť sa vyžaduje u pacientov, ktorí užívajú perorálne antidiabetiká (pozri časť 4.5).</w:t>
      </w:r>
    </w:p>
    <w:p w14:paraId="70F5C628" w14:textId="77777777" w:rsidR="00564D9B" w:rsidRPr="00CC69EC" w:rsidRDefault="00564D9B" w:rsidP="00564D9B">
      <w:pPr>
        <w:autoSpaceDE w:val="0"/>
        <w:autoSpaceDN w:val="0"/>
        <w:adjustRightInd w:val="0"/>
        <w:ind w:left="0" w:firstLine="0"/>
        <w:rPr>
          <w:rFonts w:eastAsia="TimesNewRoman"/>
          <w:szCs w:val="22"/>
          <w:lang w:eastAsia="en-US"/>
        </w:rPr>
      </w:pPr>
    </w:p>
    <w:p w14:paraId="1FBFE9D0" w14:textId="45A64FB0" w:rsidR="00564D9B" w:rsidRPr="00CC69EC" w:rsidRDefault="004E7719" w:rsidP="00564D9B">
      <w:pPr>
        <w:autoSpaceDE w:val="0"/>
        <w:autoSpaceDN w:val="0"/>
        <w:adjustRightInd w:val="0"/>
        <w:ind w:left="0" w:firstLine="0"/>
        <w:rPr>
          <w:rFonts w:eastAsia="TimesNewRoman"/>
          <w:i/>
          <w:szCs w:val="22"/>
          <w:lang w:eastAsia="en-US"/>
        </w:rPr>
      </w:pPr>
      <w:r>
        <w:rPr>
          <w:rFonts w:eastAsia="TimesNewRoman"/>
          <w:i/>
          <w:szCs w:val="22"/>
          <w:lang w:eastAsia="en-US"/>
        </w:rPr>
        <w:t>R</w:t>
      </w:r>
      <w:r w:rsidR="00564D9B" w:rsidRPr="00CC69EC">
        <w:rPr>
          <w:rFonts w:eastAsia="TimesNewRoman"/>
          <w:i/>
          <w:szCs w:val="22"/>
          <w:lang w:eastAsia="en-US"/>
        </w:rPr>
        <w:t>eakcie</w:t>
      </w:r>
      <w:r w:rsidR="008F0872">
        <w:rPr>
          <w:rFonts w:eastAsia="TimesNewRoman"/>
          <w:i/>
          <w:szCs w:val="22"/>
          <w:lang w:eastAsia="en-US"/>
        </w:rPr>
        <w:t xml:space="preserve"> </w:t>
      </w:r>
      <w:r>
        <w:rPr>
          <w:rFonts w:eastAsia="TimesNewRoman"/>
          <w:i/>
          <w:szCs w:val="22"/>
          <w:lang w:eastAsia="en-US"/>
        </w:rPr>
        <w:t xml:space="preserve">potenciálne </w:t>
      </w:r>
      <w:r w:rsidR="008F0872">
        <w:rPr>
          <w:rFonts w:eastAsia="TimesNewRoman"/>
          <w:i/>
          <w:szCs w:val="22"/>
          <w:lang w:eastAsia="en-US"/>
        </w:rPr>
        <w:t>sprostredkované imunokomplexami</w:t>
      </w:r>
    </w:p>
    <w:p w14:paraId="20799F04" w14:textId="39F59D78" w:rsidR="00564D9B" w:rsidRPr="00CC69EC" w:rsidRDefault="004E7719" w:rsidP="00564D9B">
      <w:pPr>
        <w:autoSpaceDE w:val="0"/>
        <w:autoSpaceDN w:val="0"/>
        <w:adjustRightInd w:val="0"/>
        <w:ind w:left="0" w:firstLine="0"/>
        <w:rPr>
          <w:szCs w:val="22"/>
          <w:u w:val="single"/>
        </w:rPr>
      </w:pPr>
      <w:r>
        <w:rPr>
          <w:rFonts w:eastAsia="TimesNewRoman"/>
          <w:szCs w:val="22"/>
          <w:lang w:eastAsia="en-US"/>
        </w:rPr>
        <w:t>Menej často boli hlásené nežiaduce účinky potenciálne súvisiace s tvorbou imunokomplexov</w:t>
      </w:r>
      <w:r w:rsidR="00564D9B" w:rsidRPr="00CC69EC">
        <w:rPr>
          <w:rFonts w:eastAsia="TimesNewRoman"/>
          <w:szCs w:val="22"/>
          <w:lang w:eastAsia="en-US"/>
        </w:rPr>
        <w:t xml:space="preserve">, ako je  sérová choroba, polyartritída s vyrážkou a proliferatívna glomerulonefritída. Podávanie bortezomibu sa má prerušiť, ak sa vyskytnú </w:t>
      </w:r>
      <w:r>
        <w:rPr>
          <w:rFonts w:eastAsia="TimesNewRoman"/>
          <w:szCs w:val="22"/>
          <w:lang w:eastAsia="en-US"/>
        </w:rPr>
        <w:t>závažné</w:t>
      </w:r>
      <w:r w:rsidR="00564D9B" w:rsidRPr="00CC69EC">
        <w:rPr>
          <w:rFonts w:eastAsia="TimesNewRoman"/>
          <w:szCs w:val="22"/>
          <w:lang w:eastAsia="en-US"/>
        </w:rPr>
        <w:t xml:space="preserve"> reakcie.</w:t>
      </w:r>
    </w:p>
    <w:p w14:paraId="74D616BF" w14:textId="77777777" w:rsidR="00564D9B" w:rsidRPr="00CC69EC" w:rsidRDefault="00564D9B" w:rsidP="00564D9B">
      <w:pPr>
        <w:ind w:left="0" w:firstLine="0"/>
        <w:rPr>
          <w:szCs w:val="22"/>
          <w:u w:val="single"/>
        </w:rPr>
      </w:pPr>
    </w:p>
    <w:p w14:paraId="5433835D" w14:textId="77777777" w:rsidR="00564D9B" w:rsidRPr="00CC69EC" w:rsidRDefault="00564D9B" w:rsidP="00564D9B">
      <w:pPr>
        <w:rPr>
          <w:b/>
          <w:szCs w:val="22"/>
        </w:rPr>
      </w:pPr>
      <w:r w:rsidRPr="00CC69EC">
        <w:rPr>
          <w:b/>
          <w:szCs w:val="22"/>
        </w:rPr>
        <w:t>4.5</w:t>
      </w:r>
      <w:r w:rsidRPr="00CC69EC">
        <w:rPr>
          <w:b/>
          <w:szCs w:val="22"/>
        </w:rPr>
        <w:tab/>
        <w:t>Liekové a iné interakcie</w:t>
      </w:r>
    </w:p>
    <w:p w14:paraId="574368DD" w14:textId="77777777" w:rsidR="00564D9B" w:rsidRPr="00CC69EC" w:rsidRDefault="00564D9B" w:rsidP="00564D9B">
      <w:pPr>
        <w:ind w:left="0" w:firstLine="0"/>
        <w:rPr>
          <w:szCs w:val="22"/>
          <w:u w:val="single"/>
        </w:rPr>
      </w:pPr>
    </w:p>
    <w:p w14:paraId="501ADD92" w14:textId="5C91B7FE"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Italic"/>
          <w:i/>
          <w:iCs/>
          <w:szCs w:val="22"/>
          <w:lang w:eastAsia="en-US"/>
        </w:rPr>
        <w:lastRenderedPageBreak/>
        <w:t xml:space="preserve">In vitro </w:t>
      </w:r>
      <w:r w:rsidRPr="00CC69EC">
        <w:rPr>
          <w:rFonts w:eastAsia="TimesNewRoman"/>
          <w:szCs w:val="22"/>
          <w:lang w:eastAsia="en-US"/>
        </w:rPr>
        <w:t xml:space="preserve">štúdie </w:t>
      </w:r>
      <w:r w:rsidR="008B5E1B">
        <w:rPr>
          <w:rFonts w:eastAsia="TimesNewRoman"/>
          <w:szCs w:val="22"/>
          <w:lang w:eastAsia="en-US"/>
        </w:rPr>
        <w:t>naznačujú</w:t>
      </w:r>
      <w:r w:rsidRPr="00CC69EC">
        <w:rPr>
          <w:rFonts w:eastAsia="TimesNewRoman"/>
          <w:szCs w:val="22"/>
          <w:lang w:eastAsia="en-US"/>
        </w:rPr>
        <w:t xml:space="preserve">, že bortezomib je slabý inhibítor izoenzýmov 1A2, 2C9, 2C19, 2D6 a 3A4 cytochrómu P450 (CYP). Na základe obmedzeného podielu (7 %) </w:t>
      </w:r>
      <w:r w:rsidR="008B5E1B">
        <w:rPr>
          <w:rFonts w:eastAsia="TimesNewRoman"/>
          <w:szCs w:val="22"/>
          <w:lang w:eastAsia="en-US"/>
        </w:rPr>
        <w:t xml:space="preserve">izoenzýmu </w:t>
      </w:r>
      <w:r w:rsidRPr="00CC69EC">
        <w:rPr>
          <w:rFonts w:eastAsia="TimesNewRoman"/>
          <w:szCs w:val="22"/>
          <w:lang w:eastAsia="en-US"/>
        </w:rPr>
        <w:t xml:space="preserve">CYP2D6 na metabolizme bortezomibu sa nepredpokladá vplyv fenotypu </w:t>
      </w:r>
      <w:r w:rsidR="008B5E1B">
        <w:rPr>
          <w:rFonts w:eastAsia="TimesNewRoman"/>
          <w:szCs w:val="22"/>
          <w:lang w:eastAsia="en-US"/>
        </w:rPr>
        <w:t>pomalých</w:t>
      </w:r>
      <w:r w:rsidRPr="00CC69EC">
        <w:rPr>
          <w:rFonts w:eastAsia="TimesNewRoman"/>
          <w:szCs w:val="22"/>
          <w:lang w:eastAsia="en-US"/>
        </w:rPr>
        <w:t xml:space="preserve"> metaboliz</w:t>
      </w:r>
      <w:r w:rsidR="008B5E1B">
        <w:rPr>
          <w:rFonts w:eastAsia="TimesNewRoman"/>
          <w:szCs w:val="22"/>
          <w:lang w:eastAsia="en-US"/>
        </w:rPr>
        <w:t>átorov</w:t>
      </w:r>
      <w:r w:rsidRPr="00CC69EC">
        <w:rPr>
          <w:rFonts w:eastAsia="TimesNewRoman"/>
          <w:szCs w:val="22"/>
          <w:lang w:eastAsia="en-US"/>
        </w:rPr>
        <w:t xml:space="preserve"> CYP2D6 na celkov</w:t>
      </w:r>
      <w:r w:rsidR="008B5E1B">
        <w:rPr>
          <w:rFonts w:eastAsia="TimesNewRoman"/>
          <w:szCs w:val="22"/>
          <w:lang w:eastAsia="en-US"/>
        </w:rPr>
        <w:t>ý</w:t>
      </w:r>
      <w:r w:rsidRPr="00CC69EC">
        <w:rPr>
          <w:rFonts w:eastAsia="TimesNewRoman"/>
          <w:szCs w:val="22"/>
          <w:lang w:eastAsia="en-US"/>
        </w:rPr>
        <w:t xml:space="preserve"> </w:t>
      </w:r>
      <w:r w:rsidR="008B5E1B">
        <w:rPr>
          <w:rFonts w:eastAsia="TimesNewRoman"/>
          <w:szCs w:val="22"/>
          <w:lang w:eastAsia="en-US"/>
        </w:rPr>
        <w:t>metabolizmus</w:t>
      </w:r>
      <w:r w:rsidRPr="00CC69EC">
        <w:rPr>
          <w:rFonts w:eastAsia="TimesNewRoman"/>
          <w:szCs w:val="22"/>
          <w:lang w:eastAsia="en-US"/>
        </w:rPr>
        <w:t xml:space="preserve"> bortezomibu.</w:t>
      </w:r>
    </w:p>
    <w:p w14:paraId="31B30A79" w14:textId="77777777" w:rsidR="00564D9B" w:rsidRPr="00CC69EC" w:rsidRDefault="00564D9B" w:rsidP="00564D9B">
      <w:pPr>
        <w:autoSpaceDE w:val="0"/>
        <w:autoSpaceDN w:val="0"/>
        <w:adjustRightInd w:val="0"/>
        <w:ind w:left="0" w:firstLine="0"/>
        <w:rPr>
          <w:rFonts w:eastAsia="TimesNewRoman"/>
          <w:szCs w:val="22"/>
          <w:lang w:eastAsia="en-US"/>
        </w:rPr>
      </w:pPr>
    </w:p>
    <w:p w14:paraId="3CA59508" w14:textId="770154F5"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Interakčná štúdia, ktorá hodnotila účinok ketokonazolu, silného inhibítora</w:t>
      </w:r>
      <w:r w:rsidR="008B5E1B">
        <w:rPr>
          <w:rFonts w:eastAsia="TimesNewRoman"/>
          <w:szCs w:val="22"/>
          <w:lang w:eastAsia="en-US"/>
        </w:rPr>
        <w:t xml:space="preserve"> </w:t>
      </w:r>
      <w:r w:rsidR="008B5E1B" w:rsidRPr="00CC69EC">
        <w:rPr>
          <w:rFonts w:eastAsia="TimesNewRoman"/>
          <w:szCs w:val="22"/>
          <w:lang w:eastAsia="en-US"/>
        </w:rPr>
        <w:t>CYP3A4</w:t>
      </w:r>
      <w:r w:rsidRPr="00CC69EC">
        <w:rPr>
          <w:rFonts w:eastAsia="TimesNewRoman"/>
          <w:szCs w:val="22"/>
          <w:lang w:eastAsia="en-US"/>
        </w:rPr>
        <w:t>, na farmakokinetiku bortezomibu (podávaného intravenózne), preukázala priemerný nárast AUC bortezomibu o 35 % (I</w:t>
      </w:r>
      <w:r w:rsidR="008B5E1B">
        <w:rPr>
          <w:rFonts w:eastAsia="TimesNewRoman"/>
          <w:szCs w:val="22"/>
          <w:lang w:eastAsia="en-US"/>
        </w:rPr>
        <w:t>S</w:t>
      </w:r>
      <w:r w:rsidRPr="00CC69EC">
        <w:rPr>
          <w:rFonts w:eastAsia="TimesNewRoman"/>
          <w:szCs w:val="22"/>
          <w:vertAlign w:val="subscript"/>
          <w:lang w:eastAsia="en-US"/>
        </w:rPr>
        <w:t>90%</w:t>
      </w:r>
      <w:r w:rsidRPr="00CC69EC">
        <w:rPr>
          <w:rFonts w:eastAsia="TimesNewRoman"/>
          <w:szCs w:val="22"/>
          <w:lang w:eastAsia="en-US"/>
        </w:rPr>
        <w:t xml:space="preserve"> [1,032 do 1,772]) na základe údajov od 12 pacientov. Preto sa majú pacienti starostlivo monitorovať, ak sa im podáva bortezomib v kombinácii so silnými inhibítormi</w:t>
      </w:r>
      <w:r w:rsidR="008B5E1B">
        <w:rPr>
          <w:rFonts w:eastAsia="TimesNewRoman"/>
          <w:szCs w:val="22"/>
          <w:lang w:eastAsia="en-US"/>
        </w:rPr>
        <w:t xml:space="preserve"> </w:t>
      </w:r>
      <w:r w:rsidR="008B5E1B" w:rsidRPr="00CC69EC">
        <w:rPr>
          <w:rFonts w:eastAsia="TimesNewRoman"/>
          <w:szCs w:val="22"/>
          <w:lang w:eastAsia="en-US"/>
        </w:rPr>
        <w:t>CYP3A4</w:t>
      </w:r>
      <w:r w:rsidRPr="00CC69EC">
        <w:rPr>
          <w:rFonts w:eastAsia="TimesNewRoman"/>
          <w:szCs w:val="22"/>
          <w:lang w:eastAsia="en-US"/>
        </w:rPr>
        <w:t xml:space="preserve"> (napr. ketokonazol, ritonavir).</w:t>
      </w:r>
    </w:p>
    <w:p w14:paraId="37531BEA" w14:textId="77777777" w:rsidR="00564D9B" w:rsidRPr="00CC69EC" w:rsidRDefault="00564D9B" w:rsidP="00564D9B">
      <w:pPr>
        <w:autoSpaceDE w:val="0"/>
        <w:autoSpaceDN w:val="0"/>
        <w:adjustRightInd w:val="0"/>
        <w:ind w:left="0" w:firstLine="0"/>
        <w:rPr>
          <w:rFonts w:eastAsia="TimesNewRoman"/>
          <w:szCs w:val="22"/>
          <w:lang w:eastAsia="en-US"/>
        </w:rPr>
      </w:pPr>
    </w:p>
    <w:p w14:paraId="0A62A8D7" w14:textId="092534B1"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interakčnej štúdii, ktorá hodnotila účinok omeprazolu, silného inhibítora</w:t>
      </w:r>
      <w:r w:rsidR="008B5E1B">
        <w:rPr>
          <w:rFonts w:eastAsia="TimesNewRoman"/>
          <w:szCs w:val="22"/>
          <w:lang w:eastAsia="en-US"/>
        </w:rPr>
        <w:t xml:space="preserve"> </w:t>
      </w:r>
      <w:r w:rsidR="008B5E1B" w:rsidRPr="00CC69EC">
        <w:rPr>
          <w:rFonts w:eastAsia="TimesNewRoman"/>
          <w:szCs w:val="22"/>
          <w:lang w:eastAsia="en-US"/>
        </w:rPr>
        <w:t>CYP2C19</w:t>
      </w:r>
      <w:r w:rsidRPr="00CC69EC">
        <w:rPr>
          <w:rFonts w:eastAsia="TimesNewRoman"/>
          <w:szCs w:val="22"/>
          <w:lang w:eastAsia="en-US"/>
        </w:rPr>
        <w:t>, na farmakokinetiku bortezomibu (podávaného intravenózne), sa nezaznamenal žiaden významný účinok na farmakokinetiku bortezomibu na základe údajov od 17 pacientov.</w:t>
      </w:r>
    </w:p>
    <w:p w14:paraId="05F408DD" w14:textId="77777777" w:rsidR="00564D9B" w:rsidRPr="00CC69EC" w:rsidRDefault="00564D9B" w:rsidP="00564D9B">
      <w:pPr>
        <w:ind w:left="0" w:firstLine="0"/>
        <w:rPr>
          <w:rFonts w:eastAsia="TimesNewRoman"/>
          <w:szCs w:val="22"/>
          <w:lang w:eastAsia="en-US"/>
        </w:rPr>
      </w:pPr>
    </w:p>
    <w:p w14:paraId="7E04C812" w14:textId="73631D2D"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Interakčná štúdia, ktorá hodnotila účinok rifampicínu, silného induktora CYP3A4, na farmakokinetiku bortezomibu (podávaného intravenózne), potvrdila priemernú redukciu AUC bortezomibu o 45 % na základe údajov od 6 pacientov. Sú</w:t>
      </w:r>
      <w:r w:rsidR="008B5E1B">
        <w:rPr>
          <w:rFonts w:eastAsia="TimesNewRoman"/>
          <w:szCs w:val="22"/>
          <w:lang w:eastAsia="en-US"/>
        </w:rPr>
        <w:t>bežné</w:t>
      </w:r>
      <w:r w:rsidRPr="00CC69EC">
        <w:rPr>
          <w:rFonts w:eastAsia="TimesNewRoman"/>
          <w:szCs w:val="22"/>
          <w:lang w:eastAsia="en-US"/>
        </w:rPr>
        <w:t xml:space="preserve"> užívanie bortezomibu so silnými induktormi CYP3A4 (napr. rifampicín, karbamazepín, fenytoín, fenobarbital a ľubovník bodkovaný) sa neodporúča, pretože sa môže znížiť účinnosť.</w:t>
      </w:r>
    </w:p>
    <w:p w14:paraId="65B04D43" w14:textId="77777777" w:rsidR="008B5E1B" w:rsidRPr="00CC69EC" w:rsidRDefault="008B5E1B" w:rsidP="00564D9B">
      <w:pPr>
        <w:autoSpaceDE w:val="0"/>
        <w:autoSpaceDN w:val="0"/>
        <w:adjustRightInd w:val="0"/>
        <w:ind w:left="0" w:firstLine="0"/>
        <w:rPr>
          <w:rFonts w:eastAsia="TimesNewRoman"/>
          <w:szCs w:val="22"/>
          <w:lang w:eastAsia="en-US"/>
        </w:rPr>
      </w:pPr>
    </w:p>
    <w:p w14:paraId="187C46D0"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tej istej interakčnej štúdii, ktorá hodnotila účinok dexametazónu, slabšieho induktora CYP3A4, na farmakokinetiku bortezomibu (podávaného intravenózne), sa nezistil žiadny významný účinok na farmakokinetiku bortezomibu na základe údajov od 7 pacientov.</w:t>
      </w:r>
    </w:p>
    <w:p w14:paraId="72B55F2B" w14:textId="77777777" w:rsidR="00564D9B" w:rsidRPr="00CC69EC" w:rsidRDefault="00564D9B" w:rsidP="00564D9B">
      <w:pPr>
        <w:ind w:left="0" w:firstLine="0"/>
        <w:rPr>
          <w:rFonts w:eastAsia="TimesNewRoman"/>
          <w:szCs w:val="22"/>
          <w:lang w:eastAsia="en-US"/>
        </w:rPr>
      </w:pPr>
    </w:p>
    <w:p w14:paraId="3310EB02"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Interakčná štúdia, ktorá hodnotila účinok melfal</w:t>
      </w:r>
      <w:r>
        <w:rPr>
          <w:rFonts w:eastAsia="TimesNewRoman"/>
          <w:szCs w:val="22"/>
          <w:lang w:eastAsia="en-US"/>
        </w:rPr>
        <w:t>á</w:t>
      </w:r>
      <w:r w:rsidRPr="00CC69EC">
        <w:rPr>
          <w:rFonts w:eastAsia="TimesNewRoman"/>
          <w:szCs w:val="22"/>
          <w:lang w:eastAsia="en-US"/>
        </w:rPr>
        <w:t>nu-prednizónu na farmakokinetiku bortezomibu (podávaného intravenózne) dokázala priemerný 17 % nárast AUC bortezomibu na základe údajov od 21 pacientov. Nepovažuje sa to za klinicky významné.</w:t>
      </w:r>
    </w:p>
    <w:p w14:paraId="2B148544" w14:textId="77777777" w:rsidR="00564D9B" w:rsidRPr="00CC69EC" w:rsidRDefault="00564D9B" w:rsidP="00564D9B">
      <w:pPr>
        <w:autoSpaceDE w:val="0"/>
        <w:autoSpaceDN w:val="0"/>
        <w:adjustRightInd w:val="0"/>
        <w:ind w:left="0" w:firstLine="0"/>
        <w:rPr>
          <w:rFonts w:eastAsia="TimesNewRoman"/>
          <w:szCs w:val="22"/>
          <w:lang w:eastAsia="en-US"/>
        </w:rPr>
      </w:pPr>
    </w:p>
    <w:p w14:paraId="4D495DDD" w14:textId="43E88A25"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Počas klinických skúšaní sa u pacientov</w:t>
      </w:r>
      <w:r w:rsidR="008B5E1B">
        <w:rPr>
          <w:rFonts w:eastAsia="TimesNewRoman"/>
          <w:szCs w:val="22"/>
          <w:lang w:eastAsia="en-US"/>
        </w:rPr>
        <w:t xml:space="preserve"> s diabetom</w:t>
      </w:r>
      <w:r w:rsidRPr="00CC69EC">
        <w:rPr>
          <w:rFonts w:eastAsia="TimesNewRoman"/>
          <w:szCs w:val="22"/>
          <w:lang w:eastAsia="en-US"/>
        </w:rPr>
        <w:t xml:space="preserve">, ktorí užívali perorálne antidiabetiká, zaznamenali menej často a často stavy hypoglykémie a hyperglykémie. U pacientov liečených perorálnymi antidiabetikami a </w:t>
      </w:r>
      <w:r w:rsidR="008B5E1B">
        <w:rPr>
          <w:rFonts w:eastAsia="TimesNewRoman"/>
          <w:szCs w:val="22"/>
          <w:lang w:eastAsia="en-US"/>
        </w:rPr>
        <w:t>B</w:t>
      </w:r>
      <w:r w:rsidRPr="00CC69EC">
        <w:rPr>
          <w:rFonts w:eastAsia="TimesNewRoman"/>
          <w:szCs w:val="22"/>
          <w:lang w:eastAsia="en-US"/>
        </w:rPr>
        <w:t xml:space="preserve">ortezomibom </w:t>
      </w:r>
      <w:r w:rsidR="008B5E1B">
        <w:rPr>
          <w:rFonts w:eastAsia="TimesNewRoman"/>
          <w:szCs w:val="22"/>
          <w:lang w:eastAsia="en-US"/>
        </w:rPr>
        <w:t xml:space="preserve">Krka </w:t>
      </w:r>
      <w:r w:rsidRPr="00CC69EC">
        <w:rPr>
          <w:rFonts w:eastAsia="TimesNewRoman"/>
          <w:szCs w:val="22"/>
          <w:lang w:eastAsia="en-US"/>
        </w:rPr>
        <w:t>môže byť potrebné starostlivé monitorovanie hladiny glukózy v krvi a upravenie dávkovania antidiabetík.</w:t>
      </w:r>
    </w:p>
    <w:p w14:paraId="12A2D129" w14:textId="77777777" w:rsidR="00564D9B" w:rsidRPr="00CC69EC" w:rsidRDefault="00564D9B" w:rsidP="00564D9B">
      <w:pPr>
        <w:ind w:left="0" w:firstLine="0"/>
        <w:rPr>
          <w:rFonts w:eastAsia="TimesNewRoman"/>
          <w:szCs w:val="22"/>
          <w:lang w:eastAsia="en-US"/>
        </w:rPr>
      </w:pPr>
    </w:p>
    <w:p w14:paraId="0B3EDEA0" w14:textId="77777777" w:rsidR="00564D9B" w:rsidRPr="00CC69EC" w:rsidRDefault="00564D9B" w:rsidP="00564D9B">
      <w:pPr>
        <w:rPr>
          <w:b/>
        </w:rPr>
      </w:pPr>
      <w:r w:rsidRPr="00CC69EC">
        <w:rPr>
          <w:b/>
        </w:rPr>
        <w:t>4.6</w:t>
      </w:r>
      <w:r w:rsidRPr="00CC69EC">
        <w:rPr>
          <w:b/>
        </w:rPr>
        <w:tab/>
        <w:t>Fertilita, gravidita a laktácia</w:t>
      </w:r>
    </w:p>
    <w:p w14:paraId="05EF539B" w14:textId="77777777" w:rsidR="00564D9B" w:rsidRPr="00CC69EC" w:rsidRDefault="00564D9B" w:rsidP="00564D9B">
      <w:pPr>
        <w:ind w:left="0" w:firstLine="0"/>
      </w:pPr>
    </w:p>
    <w:p w14:paraId="49670C9E"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Antikoncepcia u mužov a žien</w:t>
      </w:r>
    </w:p>
    <w:p w14:paraId="115BE2CB"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Muži a ženy vo fertilnom veku musia používať účinnú antikoncepciu počas liečby a 3 mesiace po ukončení liečby.</w:t>
      </w:r>
    </w:p>
    <w:p w14:paraId="0D182D9D" w14:textId="77777777" w:rsidR="00564D9B" w:rsidRPr="00CC69EC" w:rsidRDefault="00564D9B" w:rsidP="00564D9B">
      <w:pPr>
        <w:autoSpaceDE w:val="0"/>
        <w:autoSpaceDN w:val="0"/>
        <w:adjustRightInd w:val="0"/>
        <w:ind w:left="0" w:firstLine="0"/>
        <w:rPr>
          <w:rFonts w:eastAsia="TimesNewRoman"/>
          <w:szCs w:val="22"/>
          <w:lang w:eastAsia="en-US"/>
        </w:rPr>
      </w:pPr>
    </w:p>
    <w:p w14:paraId="739A856C"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Gravidita</w:t>
      </w:r>
    </w:p>
    <w:p w14:paraId="09FD7294"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Nie sú k dispozícii žiadne klinické údaje o gravidných ženách vystavených účinku bortezomibu.</w:t>
      </w:r>
    </w:p>
    <w:p w14:paraId="5B21526F"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Teratogénny potenciál bortezomibu nebol doteraz úplne preskúmaný.</w:t>
      </w:r>
    </w:p>
    <w:p w14:paraId="28644EC8" w14:textId="77777777" w:rsidR="00564D9B" w:rsidRPr="00CC69EC" w:rsidRDefault="00564D9B" w:rsidP="00564D9B">
      <w:pPr>
        <w:autoSpaceDE w:val="0"/>
        <w:autoSpaceDN w:val="0"/>
        <w:adjustRightInd w:val="0"/>
        <w:ind w:left="0" w:firstLine="0"/>
        <w:rPr>
          <w:rFonts w:eastAsia="TimesNewRoman"/>
          <w:szCs w:val="22"/>
          <w:lang w:eastAsia="en-US"/>
        </w:rPr>
      </w:pPr>
    </w:p>
    <w:p w14:paraId="2B2F1C0F" w14:textId="39B14E2F"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predklinických štúdiách nemal bortezomib žiadny vplyv na embryonálny/fetálny výv</w:t>
      </w:r>
      <w:r w:rsidR="00867F06">
        <w:rPr>
          <w:rFonts w:eastAsia="TimesNewRoman"/>
          <w:szCs w:val="22"/>
          <w:lang w:eastAsia="en-US"/>
        </w:rPr>
        <w:t>in</w:t>
      </w:r>
      <w:r w:rsidRPr="00CC69EC">
        <w:rPr>
          <w:rFonts w:eastAsia="TimesNewRoman"/>
          <w:szCs w:val="22"/>
          <w:lang w:eastAsia="en-US"/>
        </w:rPr>
        <w:t xml:space="preserve"> u potkanov a králikov pri najvyšších tolerovaných dávkach v tehotenstve. Nerealizovali sa žiadne štúdie na zvieratách, ktoré by stanovili vplyv bortezomibu na pôrodnosť alebo postnatálny výv</w:t>
      </w:r>
      <w:r w:rsidR="00867F06">
        <w:rPr>
          <w:rFonts w:eastAsia="TimesNewRoman"/>
          <w:szCs w:val="22"/>
          <w:lang w:eastAsia="en-US"/>
        </w:rPr>
        <w:t>in</w:t>
      </w:r>
      <w:r w:rsidRPr="00CC69EC">
        <w:rPr>
          <w:rFonts w:eastAsia="TimesNewRoman"/>
          <w:szCs w:val="22"/>
          <w:lang w:eastAsia="en-US"/>
        </w:rPr>
        <w:t xml:space="preserve"> (pozri časť 5.3). Bortezomib </w:t>
      </w:r>
      <w:r w:rsidR="00867F06">
        <w:rPr>
          <w:rFonts w:eastAsia="TimesNewRoman"/>
          <w:szCs w:val="22"/>
          <w:lang w:eastAsia="en-US"/>
        </w:rPr>
        <w:t xml:space="preserve">Krka </w:t>
      </w:r>
      <w:r w:rsidRPr="00CC69EC">
        <w:rPr>
          <w:rFonts w:eastAsia="TimesNewRoman"/>
          <w:szCs w:val="22"/>
          <w:lang w:eastAsia="en-US"/>
        </w:rPr>
        <w:t xml:space="preserve">sa nemá </w:t>
      </w:r>
      <w:r>
        <w:rPr>
          <w:rFonts w:eastAsia="TimesNewRoman"/>
          <w:szCs w:val="22"/>
          <w:lang w:eastAsia="en-US"/>
        </w:rPr>
        <w:t>po</w:t>
      </w:r>
      <w:r w:rsidRPr="00CC69EC">
        <w:rPr>
          <w:rFonts w:eastAsia="TimesNewRoman"/>
          <w:szCs w:val="22"/>
          <w:lang w:eastAsia="en-US"/>
        </w:rPr>
        <w:t xml:space="preserve">užívať počas gravidity, pokiaľ klinický stav ženy nevyžaduje liečbu </w:t>
      </w:r>
      <w:r w:rsidR="00867F06">
        <w:rPr>
          <w:rFonts w:eastAsia="TimesNewRoman"/>
          <w:szCs w:val="22"/>
          <w:lang w:eastAsia="en-US"/>
        </w:rPr>
        <w:t>B</w:t>
      </w:r>
      <w:r w:rsidRPr="00CC69EC">
        <w:rPr>
          <w:rFonts w:eastAsia="TimesNewRoman"/>
          <w:szCs w:val="22"/>
          <w:lang w:eastAsia="en-US"/>
        </w:rPr>
        <w:t>ortezomibom</w:t>
      </w:r>
      <w:r w:rsidR="00867F06">
        <w:rPr>
          <w:rFonts w:eastAsia="TimesNewRoman"/>
          <w:szCs w:val="22"/>
          <w:lang w:eastAsia="en-US"/>
        </w:rPr>
        <w:t xml:space="preserve"> Krka</w:t>
      </w:r>
      <w:r w:rsidRPr="00CC69EC">
        <w:rPr>
          <w:rFonts w:eastAsia="TimesNewRoman"/>
          <w:szCs w:val="22"/>
          <w:lang w:eastAsia="en-US"/>
        </w:rPr>
        <w:t xml:space="preserve">. Ak sa </w:t>
      </w:r>
      <w:r w:rsidR="00867F06">
        <w:rPr>
          <w:rFonts w:eastAsia="TimesNewRoman"/>
          <w:szCs w:val="22"/>
          <w:lang w:eastAsia="en-US"/>
        </w:rPr>
        <w:t>B</w:t>
      </w:r>
      <w:r w:rsidRPr="00CC69EC">
        <w:rPr>
          <w:rFonts w:eastAsia="TimesNewRoman"/>
          <w:szCs w:val="22"/>
          <w:lang w:eastAsia="en-US"/>
        </w:rPr>
        <w:t xml:space="preserve">ortezomib </w:t>
      </w:r>
      <w:r w:rsidR="00867F06">
        <w:rPr>
          <w:rFonts w:eastAsia="TimesNewRoman"/>
          <w:szCs w:val="22"/>
          <w:lang w:eastAsia="en-US"/>
        </w:rPr>
        <w:t xml:space="preserve">Krka </w:t>
      </w:r>
      <w:r w:rsidRPr="00CC69EC">
        <w:rPr>
          <w:rFonts w:eastAsia="TimesNewRoman"/>
          <w:szCs w:val="22"/>
          <w:lang w:eastAsia="en-US"/>
        </w:rPr>
        <w:t>podáva počas gravidity alebo ak pacientka otehotnie počas liečby týmto liekom, musí byť informovaná o potenciálnom riziku pre plod.</w:t>
      </w:r>
    </w:p>
    <w:p w14:paraId="49543747" w14:textId="77777777" w:rsidR="00564D9B" w:rsidRPr="00CC69EC" w:rsidRDefault="00564D9B" w:rsidP="00564D9B">
      <w:pPr>
        <w:ind w:left="0" w:firstLine="0"/>
        <w:rPr>
          <w:rFonts w:eastAsia="TimesNewRoman"/>
          <w:szCs w:val="22"/>
          <w:lang w:eastAsia="en-US"/>
        </w:rPr>
      </w:pPr>
    </w:p>
    <w:p w14:paraId="3ED971BD" w14:textId="43F7C91A"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Talidomid je známe liečivo s teratogénnym účinkom u ľudí, ktoré spôsobuje život ohrozujúce vrodené anomálie. Talidomid je kontraindikovaný počas gravidity a u žien vo fertilnom veku, ak nie sú dodržané podmienky programu prevencie </w:t>
      </w:r>
      <w:r w:rsidR="00867F06">
        <w:rPr>
          <w:rFonts w:eastAsia="TimesNewRoman"/>
          <w:szCs w:val="22"/>
          <w:lang w:eastAsia="en-US"/>
        </w:rPr>
        <w:t xml:space="preserve">tehotenstva </w:t>
      </w:r>
      <w:r w:rsidRPr="00CC69EC">
        <w:rPr>
          <w:rFonts w:eastAsia="TimesNewRoman"/>
          <w:szCs w:val="22"/>
          <w:lang w:eastAsia="en-US"/>
        </w:rPr>
        <w:t xml:space="preserve">pre talidomid. Pacientky dostávajúce </w:t>
      </w:r>
      <w:r w:rsidR="00867F06">
        <w:rPr>
          <w:rFonts w:eastAsia="TimesNewRoman"/>
          <w:szCs w:val="22"/>
          <w:lang w:eastAsia="en-US"/>
        </w:rPr>
        <w:t>B</w:t>
      </w:r>
      <w:r w:rsidRPr="00CC69EC">
        <w:rPr>
          <w:rFonts w:eastAsia="TimesNewRoman"/>
          <w:szCs w:val="22"/>
          <w:lang w:eastAsia="en-US"/>
        </w:rPr>
        <w:t>ortezomib</w:t>
      </w:r>
      <w:r w:rsidR="00867F06">
        <w:rPr>
          <w:rFonts w:eastAsia="TimesNewRoman"/>
          <w:szCs w:val="22"/>
          <w:lang w:eastAsia="en-US"/>
        </w:rPr>
        <w:t xml:space="preserve"> Krka</w:t>
      </w:r>
      <w:r w:rsidRPr="00CC69EC">
        <w:rPr>
          <w:rFonts w:eastAsia="TimesNewRoman"/>
          <w:szCs w:val="22"/>
          <w:lang w:eastAsia="en-US"/>
        </w:rPr>
        <w:t xml:space="preserve"> spolu s talidomidom sa majú riadiť programom prevencie </w:t>
      </w:r>
      <w:r w:rsidR="00867F06">
        <w:rPr>
          <w:rFonts w:eastAsia="TimesNewRoman"/>
          <w:szCs w:val="22"/>
          <w:lang w:eastAsia="en-US"/>
        </w:rPr>
        <w:t>tehotenstva</w:t>
      </w:r>
      <w:r w:rsidRPr="00CC69EC">
        <w:rPr>
          <w:rFonts w:eastAsia="TimesNewRoman"/>
          <w:szCs w:val="22"/>
          <w:lang w:eastAsia="en-US"/>
        </w:rPr>
        <w:t xml:space="preserve"> pre talidomid. Pre ďalšie informácie si prečítajte súhrn charakteristických vlastností lieku s obsahom talidomidu.</w:t>
      </w:r>
    </w:p>
    <w:p w14:paraId="36ED3C6C" w14:textId="77777777" w:rsidR="00564D9B" w:rsidRPr="00CC69EC" w:rsidRDefault="00564D9B" w:rsidP="00564D9B">
      <w:pPr>
        <w:autoSpaceDE w:val="0"/>
        <w:autoSpaceDN w:val="0"/>
        <w:adjustRightInd w:val="0"/>
        <w:ind w:left="0" w:firstLine="0"/>
        <w:rPr>
          <w:rFonts w:eastAsia="TimesNewRoman"/>
          <w:szCs w:val="22"/>
          <w:lang w:eastAsia="en-US"/>
        </w:rPr>
      </w:pPr>
    </w:p>
    <w:p w14:paraId="4633D021"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lastRenderedPageBreak/>
        <w:t>Dojčenie</w:t>
      </w:r>
    </w:p>
    <w:p w14:paraId="4CC4541C" w14:textId="13EAB34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Nie je známe, či sa bortezomib vylučuje do ľudského mlieka. Kvôli možnosti závažných nežiaducich reakcií u dojčených novorodencov sa má dojčenie počas liečby </w:t>
      </w:r>
      <w:r w:rsidR="00867F06">
        <w:rPr>
          <w:rFonts w:eastAsia="TimesNewRoman"/>
          <w:szCs w:val="22"/>
          <w:lang w:eastAsia="en-US"/>
        </w:rPr>
        <w:t>B</w:t>
      </w:r>
      <w:r w:rsidRPr="00CC69EC">
        <w:rPr>
          <w:rFonts w:eastAsia="TimesNewRoman"/>
          <w:szCs w:val="22"/>
          <w:lang w:eastAsia="en-US"/>
        </w:rPr>
        <w:t xml:space="preserve">ortezomibom </w:t>
      </w:r>
      <w:r w:rsidR="00867F06">
        <w:rPr>
          <w:rFonts w:eastAsia="TimesNewRoman"/>
          <w:szCs w:val="22"/>
          <w:lang w:eastAsia="en-US"/>
        </w:rPr>
        <w:t xml:space="preserve">Krka </w:t>
      </w:r>
      <w:r w:rsidRPr="00CC69EC">
        <w:rPr>
          <w:rFonts w:eastAsia="TimesNewRoman"/>
          <w:szCs w:val="22"/>
          <w:lang w:eastAsia="en-US"/>
        </w:rPr>
        <w:t>prerušiť.</w:t>
      </w:r>
    </w:p>
    <w:p w14:paraId="22DB9303" w14:textId="77777777" w:rsidR="00564D9B" w:rsidRPr="00CC69EC" w:rsidRDefault="00564D9B" w:rsidP="00564D9B">
      <w:pPr>
        <w:autoSpaceDE w:val="0"/>
        <w:autoSpaceDN w:val="0"/>
        <w:adjustRightInd w:val="0"/>
        <w:ind w:left="0" w:firstLine="0"/>
        <w:rPr>
          <w:rFonts w:eastAsia="TimesNewRoman"/>
          <w:szCs w:val="22"/>
          <w:lang w:eastAsia="en-US"/>
        </w:rPr>
      </w:pPr>
    </w:p>
    <w:p w14:paraId="5CA38F96"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Fertilita</w:t>
      </w:r>
    </w:p>
    <w:p w14:paraId="09C861DC" w14:textId="77777777" w:rsidR="00564D9B" w:rsidRPr="00CC69EC" w:rsidRDefault="00564D9B" w:rsidP="00564D9B">
      <w:pPr>
        <w:ind w:left="0" w:firstLine="0"/>
        <w:rPr>
          <w:rFonts w:eastAsia="TimesNewRoman"/>
          <w:szCs w:val="22"/>
          <w:lang w:eastAsia="en-US"/>
        </w:rPr>
      </w:pPr>
      <w:r w:rsidRPr="00CC69EC">
        <w:rPr>
          <w:rFonts w:eastAsia="TimesNewRoman"/>
          <w:szCs w:val="22"/>
          <w:lang w:eastAsia="en-US"/>
        </w:rPr>
        <w:t>Nevykonali sa štúdie s bortezomibom zamerané na fertilitu (pozri časť 5.3).</w:t>
      </w:r>
    </w:p>
    <w:p w14:paraId="675EEBC4" w14:textId="77777777" w:rsidR="00564D9B" w:rsidRPr="00CC69EC" w:rsidRDefault="00564D9B" w:rsidP="00564D9B">
      <w:pPr>
        <w:ind w:left="0" w:firstLine="0"/>
        <w:rPr>
          <w:szCs w:val="22"/>
        </w:rPr>
      </w:pPr>
    </w:p>
    <w:p w14:paraId="3F87BCE8" w14:textId="77777777" w:rsidR="00564D9B" w:rsidRPr="00CC69EC" w:rsidRDefault="00564D9B" w:rsidP="00564D9B">
      <w:pPr>
        <w:rPr>
          <w:b/>
        </w:rPr>
      </w:pPr>
      <w:r w:rsidRPr="00CC69EC">
        <w:rPr>
          <w:b/>
        </w:rPr>
        <w:t>4.7</w:t>
      </w:r>
      <w:r w:rsidRPr="00CC69EC">
        <w:rPr>
          <w:b/>
        </w:rPr>
        <w:tab/>
        <w:t>Ovplyvnenie schopnosti viesť vozidlá a obsluhovať stroje</w:t>
      </w:r>
    </w:p>
    <w:p w14:paraId="5566F00A" w14:textId="77777777" w:rsidR="00564D9B" w:rsidRPr="00CC69EC" w:rsidRDefault="00564D9B" w:rsidP="00564D9B"/>
    <w:p w14:paraId="69138EB7" w14:textId="3CF58574"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Bortezomib</w:t>
      </w:r>
      <w:r w:rsidR="00867F06">
        <w:rPr>
          <w:rFonts w:eastAsia="TimesNewRoman"/>
          <w:szCs w:val="22"/>
          <w:lang w:eastAsia="en-US"/>
        </w:rPr>
        <w:t xml:space="preserve"> Krka</w:t>
      </w:r>
      <w:r w:rsidRPr="00CC69EC">
        <w:rPr>
          <w:rFonts w:eastAsia="TimesNewRoman"/>
          <w:szCs w:val="22"/>
          <w:lang w:eastAsia="en-US"/>
        </w:rPr>
        <w:t xml:space="preserve"> </w:t>
      </w:r>
      <w:r>
        <w:rPr>
          <w:rFonts w:eastAsia="TimesNewRoman"/>
          <w:szCs w:val="22"/>
          <w:lang w:eastAsia="en-US"/>
        </w:rPr>
        <w:t>môže mať</w:t>
      </w:r>
      <w:r w:rsidRPr="00CC69EC">
        <w:rPr>
          <w:rFonts w:eastAsia="TimesNewRoman"/>
          <w:szCs w:val="22"/>
          <w:lang w:eastAsia="en-US"/>
        </w:rPr>
        <w:t xml:space="preserve"> mierny vplyv na schopnosť viesť vozidlá a obsluhovať stroje. </w:t>
      </w:r>
    </w:p>
    <w:p w14:paraId="2E56EF94" w14:textId="2DEC738D" w:rsidR="00564D9B" w:rsidRPr="00CC69EC" w:rsidRDefault="00564D9B" w:rsidP="00564D9B">
      <w:pPr>
        <w:autoSpaceDE w:val="0"/>
        <w:autoSpaceDN w:val="0"/>
        <w:adjustRightInd w:val="0"/>
        <w:ind w:left="0" w:firstLine="0"/>
        <w:rPr>
          <w:szCs w:val="22"/>
        </w:rPr>
      </w:pPr>
      <w:r w:rsidRPr="00CC69EC">
        <w:rPr>
          <w:rFonts w:eastAsia="TimesNewRoman"/>
          <w:szCs w:val="22"/>
          <w:lang w:eastAsia="en-US"/>
        </w:rPr>
        <w:t xml:space="preserve">Počas liečby </w:t>
      </w:r>
      <w:r w:rsidR="00867F06">
        <w:rPr>
          <w:rFonts w:eastAsia="TimesNewRoman"/>
          <w:szCs w:val="22"/>
          <w:lang w:eastAsia="en-US"/>
        </w:rPr>
        <w:t>B</w:t>
      </w:r>
      <w:r w:rsidRPr="00CC69EC">
        <w:rPr>
          <w:rFonts w:eastAsia="TimesNewRoman"/>
          <w:szCs w:val="22"/>
          <w:lang w:eastAsia="en-US"/>
        </w:rPr>
        <w:t>ortezomibom</w:t>
      </w:r>
      <w:r w:rsidR="00867F06">
        <w:rPr>
          <w:rFonts w:eastAsia="TimesNewRoman"/>
          <w:szCs w:val="22"/>
          <w:lang w:eastAsia="en-US"/>
        </w:rPr>
        <w:t xml:space="preserve"> Krka</w:t>
      </w:r>
      <w:r w:rsidRPr="00CC69EC">
        <w:rPr>
          <w:rFonts w:eastAsia="TimesNewRoman"/>
          <w:szCs w:val="22"/>
          <w:lang w:eastAsia="en-US"/>
        </w:rPr>
        <w:t xml:space="preserve"> sa môže vyskytnúť veľmi často únava, často závrat, menej často synkopa a</w:t>
      </w:r>
      <w:r>
        <w:rPr>
          <w:rFonts w:eastAsia="TimesNewRoman"/>
          <w:szCs w:val="22"/>
          <w:lang w:eastAsia="en-US"/>
        </w:rPr>
        <w:t xml:space="preserve"> často </w:t>
      </w:r>
      <w:r w:rsidRPr="00CC69EC">
        <w:rPr>
          <w:rFonts w:eastAsia="TimesNewRoman"/>
          <w:szCs w:val="22"/>
          <w:lang w:eastAsia="en-US"/>
        </w:rPr>
        <w:t xml:space="preserve">ortostatická/posturálna hypotenzia alebo rozmazané videnie. Preto pacienti musia byť opatrní pri </w:t>
      </w:r>
      <w:r w:rsidRPr="00CC69EC">
        <w:rPr>
          <w:rFonts w:eastAsia="TimesNewRoman"/>
          <w:szCs w:val="22"/>
        </w:rPr>
        <w:t>vedení vozidiel alebo obsluhe strojov</w:t>
      </w:r>
      <w:r>
        <w:rPr>
          <w:rFonts w:eastAsia="TimesNewRoman"/>
          <w:szCs w:val="22"/>
        </w:rPr>
        <w:t xml:space="preserve"> a upozornení, aby neviedli vozidlá alebo neobsluhovali stroje, ak sa u nich vyskytnú tieto príznaky</w:t>
      </w:r>
      <w:r w:rsidRPr="00CC69EC">
        <w:rPr>
          <w:rFonts w:eastAsia="TimesNewRoman"/>
          <w:szCs w:val="22"/>
        </w:rPr>
        <w:t xml:space="preserve"> (pozri časť 4.8).</w:t>
      </w:r>
    </w:p>
    <w:p w14:paraId="5831C639" w14:textId="77777777" w:rsidR="00564D9B" w:rsidRPr="00CC69EC" w:rsidRDefault="00564D9B" w:rsidP="00564D9B"/>
    <w:p w14:paraId="088E6129" w14:textId="77777777" w:rsidR="00564D9B" w:rsidRPr="00CC69EC" w:rsidRDefault="00564D9B" w:rsidP="00564D9B">
      <w:pPr>
        <w:rPr>
          <w:b/>
        </w:rPr>
      </w:pPr>
      <w:r w:rsidRPr="00CC69EC">
        <w:rPr>
          <w:b/>
        </w:rPr>
        <w:t>4.8</w:t>
      </w:r>
      <w:r w:rsidRPr="00CC69EC">
        <w:rPr>
          <w:b/>
        </w:rPr>
        <w:tab/>
        <w:t xml:space="preserve">Nežiaduce účinky </w:t>
      </w:r>
    </w:p>
    <w:p w14:paraId="59321D50" w14:textId="77777777" w:rsidR="00564D9B" w:rsidRPr="00CC69EC" w:rsidRDefault="00564D9B" w:rsidP="00564D9B">
      <w:pPr>
        <w:rPr>
          <w:u w:val="single"/>
        </w:rPr>
      </w:pPr>
    </w:p>
    <w:p w14:paraId="729B6179"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Súhrn bezpečnostného profilu</w:t>
      </w:r>
    </w:p>
    <w:p w14:paraId="4DF74FE0" w14:textId="6A9BFAFF" w:rsidR="00564D9B" w:rsidRPr="00CC69EC" w:rsidRDefault="00564D9B" w:rsidP="00564D9B">
      <w:pPr>
        <w:autoSpaceDE w:val="0"/>
        <w:autoSpaceDN w:val="0"/>
        <w:adjustRightInd w:val="0"/>
        <w:ind w:left="0" w:firstLine="0"/>
      </w:pPr>
      <w:r w:rsidRPr="00CC69EC">
        <w:rPr>
          <w:rFonts w:eastAsia="TimesNewRoman"/>
          <w:szCs w:val="22"/>
          <w:lang w:eastAsia="en-US"/>
        </w:rPr>
        <w:t xml:space="preserve">Medzi závažné nežiaduce reakcie hlásené menej často počas liečby bortezomibom patrí zlyhanie srdca, syndróm z rozpadu nádoru, pľúcna hypertenzia, syndróm posteriórnej reverzibilnej encefalopatie, akútne difúzne infiltračné ochorenia pľúc a zriedkavo autonómna neuropatia. Najčastejšie hlásené nežiaduce reakcie počas liečby bortezomibom sú nauzea, </w:t>
      </w:r>
      <w:r w:rsidR="00F33540">
        <w:rPr>
          <w:rFonts w:eastAsia="TimesNewRoman"/>
          <w:szCs w:val="22"/>
          <w:lang w:eastAsia="en-US"/>
        </w:rPr>
        <w:t>hnačka</w:t>
      </w:r>
      <w:r w:rsidRPr="00CC69EC">
        <w:rPr>
          <w:rFonts w:eastAsia="TimesNewRoman"/>
          <w:szCs w:val="22"/>
          <w:lang w:eastAsia="en-US"/>
        </w:rPr>
        <w:t>, zápcha, vracanie, únava, pyrexia, trombocytopénia, anémia, neutropénia, periférna neuropatia (vrátane senzorickej), bolesť hlavy, parestézi</w:t>
      </w:r>
      <w:r w:rsidR="00F33540">
        <w:rPr>
          <w:rFonts w:eastAsia="TimesNewRoman"/>
          <w:szCs w:val="22"/>
          <w:lang w:eastAsia="en-US"/>
        </w:rPr>
        <w:t>e</w:t>
      </w:r>
      <w:r w:rsidRPr="00CC69EC">
        <w:rPr>
          <w:rFonts w:eastAsia="TimesNewRoman"/>
          <w:szCs w:val="22"/>
          <w:lang w:eastAsia="en-US"/>
        </w:rPr>
        <w:t>, znížená chuť do jedla, dyspnoe, vyrážka, herpes zoster a myalgia.</w:t>
      </w:r>
    </w:p>
    <w:p w14:paraId="23C01407" w14:textId="77777777" w:rsidR="00564D9B" w:rsidRPr="00CC69EC" w:rsidRDefault="00564D9B" w:rsidP="00564D9B">
      <w:pPr>
        <w:ind w:left="0" w:firstLine="0"/>
      </w:pPr>
    </w:p>
    <w:p w14:paraId="1ACD073E"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Tabuľkový zoznam nežiaducich reakcií</w:t>
      </w:r>
    </w:p>
    <w:p w14:paraId="469B9FED"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Mnohopočetný myelóm</w:t>
      </w:r>
    </w:p>
    <w:p w14:paraId="5B532F19" w14:textId="5FC22063"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Pri nežiaducich účinkoch v </w:t>
      </w:r>
      <w:r w:rsidR="00F33540">
        <w:rPr>
          <w:rFonts w:eastAsia="TimesNewRoman"/>
          <w:szCs w:val="22"/>
          <w:lang w:eastAsia="en-US"/>
        </w:rPr>
        <w:t>t</w:t>
      </w:r>
      <w:r w:rsidRPr="00CC69EC">
        <w:rPr>
          <w:rFonts w:eastAsia="TimesNewRoman"/>
          <w:szCs w:val="22"/>
          <w:lang w:eastAsia="en-US"/>
        </w:rPr>
        <w:t xml:space="preserve">abuľke 7 </w:t>
      </w:r>
      <w:r w:rsidR="00E106E8" w:rsidRPr="00E110FB">
        <w:rPr>
          <w:rFonts w:eastAsia="TimesNewRoman"/>
          <w:szCs w:val="22"/>
          <w:lang w:eastAsia="en-US"/>
        </w:rPr>
        <w:t>sk</w:t>
      </w:r>
      <w:r w:rsidR="00E106E8" w:rsidRPr="00E106E8">
        <w:rPr>
          <w:rFonts w:eastAsia="TimesNewRoman"/>
          <w:szCs w:val="22"/>
          <w:lang w:eastAsia="en-US"/>
        </w:rPr>
        <w:t>úšaj</w:t>
      </w:r>
      <w:r w:rsidR="00E106E8">
        <w:rPr>
          <w:rFonts w:eastAsia="TimesNewRoman"/>
          <w:szCs w:val="22"/>
          <w:lang w:eastAsia="en-US"/>
        </w:rPr>
        <w:t>ú</w:t>
      </w:r>
      <w:r w:rsidR="00E106E8" w:rsidRPr="00E110FB">
        <w:rPr>
          <w:rFonts w:eastAsia="TimesNewRoman"/>
          <w:szCs w:val="22"/>
          <w:lang w:eastAsia="en-US"/>
        </w:rPr>
        <w:t>ci</w:t>
      </w:r>
      <w:r w:rsidRPr="00E106E8">
        <w:rPr>
          <w:rFonts w:eastAsia="TimesNewRoman"/>
          <w:szCs w:val="22"/>
          <w:lang w:eastAsia="en-US"/>
        </w:rPr>
        <w:t xml:space="preserve"> predpokladali</w:t>
      </w:r>
      <w:r w:rsidRPr="00CC69EC">
        <w:rPr>
          <w:rFonts w:eastAsia="TimesNewRoman"/>
          <w:szCs w:val="22"/>
          <w:lang w:eastAsia="en-US"/>
        </w:rPr>
        <w:t xml:space="preserve"> minimálny možný alebo pravdepodobný kauzálny vzťah k bortezomibu. Tieto nežiaduce reakcie sú založené na zjednotenom súbore údajov od 5 476 pacientov, z ktorých bolo 3 996 pacientov liečených dávkou 1,3 mg/m</w:t>
      </w:r>
      <w:r w:rsidRPr="00CC69EC">
        <w:rPr>
          <w:rFonts w:eastAsia="TimesNewRoman"/>
          <w:szCs w:val="22"/>
          <w:vertAlign w:val="superscript"/>
          <w:lang w:eastAsia="en-US"/>
        </w:rPr>
        <w:t>2</w:t>
      </w:r>
      <w:r w:rsidRPr="00CC69EC">
        <w:rPr>
          <w:rFonts w:eastAsia="TimesNewRoman"/>
          <w:szCs w:val="22"/>
          <w:lang w:eastAsia="en-US"/>
        </w:rPr>
        <w:t xml:space="preserve"> bortezomibu a uvádzajú sa v </w:t>
      </w:r>
      <w:r w:rsidR="00F33540">
        <w:rPr>
          <w:rFonts w:eastAsia="TimesNewRoman"/>
          <w:szCs w:val="22"/>
          <w:lang w:eastAsia="en-US"/>
        </w:rPr>
        <w:t>t</w:t>
      </w:r>
      <w:r w:rsidRPr="00CC69EC">
        <w:rPr>
          <w:rFonts w:eastAsia="TimesNewRoman"/>
          <w:szCs w:val="22"/>
          <w:lang w:eastAsia="en-US"/>
        </w:rPr>
        <w:t>abuľke 7.</w:t>
      </w:r>
    </w:p>
    <w:p w14:paraId="2142B06B"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Celkovo sa bortezomib podával za účelom liečby mnohopočetného myelómu 3 974 pacientom.</w:t>
      </w:r>
    </w:p>
    <w:p w14:paraId="1676C6A6" w14:textId="77777777" w:rsidR="00564D9B" w:rsidRPr="00CC69EC" w:rsidRDefault="00564D9B" w:rsidP="00564D9B">
      <w:pPr>
        <w:autoSpaceDE w:val="0"/>
        <w:autoSpaceDN w:val="0"/>
        <w:adjustRightInd w:val="0"/>
        <w:ind w:left="0" w:firstLine="0"/>
        <w:rPr>
          <w:rFonts w:eastAsia="TimesNewRoman"/>
          <w:szCs w:val="22"/>
          <w:lang w:eastAsia="en-US"/>
        </w:rPr>
      </w:pPr>
    </w:p>
    <w:p w14:paraId="65AF969C" w14:textId="729853FC"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Nežiaduce reakcie sú uvedené nižšie podľa tried orgánových systémov a frekvencie. Frekvencie sú definované ako: veľmi časté (</w:t>
      </w:r>
      <w:r w:rsidRPr="00CC69EC">
        <w:rPr>
          <w:b/>
          <w:bCs/>
          <w:color w:val="000000"/>
        </w:rPr>
        <w:t>≥ </w:t>
      </w:r>
      <w:r w:rsidRPr="00CC69EC">
        <w:rPr>
          <w:rFonts w:eastAsia="TimesNewRoman"/>
          <w:szCs w:val="22"/>
          <w:lang w:eastAsia="en-US"/>
        </w:rPr>
        <w:t xml:space="preserve">1/10); časté </w:t>
      </w:r>
      <w:r w:rsidRPr="00CC69EC">
        <w:rPr>
          <w:color w:val="000000"/>
        </w:rPr>
        <w:t>(</w:t>
      </w:r>
      <w:r w:rsidRPr="00CC69EC">
        <w:rPr>
          <w:b/>
          <w:bCs/>
          <w:color w:val="000000"/>
        </w:rPr>
        <w:t>≥ </w:t>
      </w:r>
      <w:r w:rsidRPr="00CC69EC">
        <w:rPr>
          <w:color w:val="000000"/>
        </w:rPr>
        <w:t>1/100 až &lt; 1/10</w:t>
      </w:r>
      <w:r w:rsidRPr="00CC69EC">
        <w:rPr>
          <w:rFonts w:eastAsia="TimesNewRoman"/>
          <w:szCs w:val="22"/>
          <w:lang w:eastAsia="en-US"/>
        </w:rPr>
        <w:t xml:space="preserve">); menej časté </w:t>
      </w:r>
      <w:r w:rsidRPr="00CC69EC">
        <w:rPr>
          <w:color w:val="000000"/>
        </w:rPr>
        <w:t>(</w:t>
      </w:r>
      <w:r w:rsidRPr="00CC69EC">
        <w:rPr>
          <w:b/>
          <w:bCs/>
          <w:color w:val="000000"/>
        </w:rPr>
        <w:t>≥ </w:t>
      </w:r>
      <w:r w:rsidRPr="00CC69EC">
        <w:rPr>
          <w:color w:val="000000"/>
        </w:rPr>
        <w:t>1/1 000 až &lt; 1/100</w:t>
      </w:r>
      <w:r w:rsidRPr="00CC69EC">
        <w:rPr>
          <w:rFonts w:eastAsia="TimesNewRoman"/>
          <w:szCs w:val="22"/>
          <w:lang w:eastAsia="en-US"/>
        </w:rPr>
        <w:t xml:space="preserve">); zriedkavé </w:t>
      </w:r>
      <w:r w:rsidRPr="00CC69EC">
        <w:rPr>
          <w:color w:val="000000"/>
        </w:rPr>
        <w:t>(</w:t>
      </w:r>
      <w:r w:rsidRPr="00CC69EC">
        <w:rPr>
          <w:b/>
          <w:bCs/>
          <w:color w:val="000000"/>
        </w:rPr>
        <w:t>≥ </w:t>
      </w:r>
      <w:r w:rsidRPr="00CC69EC">
        <w:rPr>
          <w:color w:val="000000"/>
        </w:rPr>
        <w:t>1/10 000 až &lt; 1/1 000</w:t>
      </w:r>
      <w:r w:rsidRPr="00CC69EC">
        <w:rPr>
          <w:rFonts w:eastAsia="TimesNewRoman"/>
          <w:szCs w:val="22"/>
          <w:lang w:eastAsia="en-US"/>
        </w:rPr>
        <w:t xml:space="preserve">); veľmi zriedkavé (&lt; 1/10 000), neznáme (z dostupných údajov). V rámci jednotlivých skupín frekvencií sú nežiaduce účinky usporiadané v poradí klesajúcej závažnosti. Tabuľka 7 bola vytvorená použitím verzie 14.1 </w:t>
      </w:r>
      <w:r w:rsidR="00F33540">
        <w:rPr>
          <w:rFonts w:eastAsia="TimesNewRoman"/>
          <w:szCs w:val="22"/>
          <w:lang w:eastAsia="en-US"/>
        </w:rPr>
        <w:t xml:space="preserve">databázy </w:t>
      </w:r>
      <w:r w:rsidRPr="00CC69EC">
        <w:rPr>
          <w:rFonts w:eastAsia="TimesNewRoman"/>
          <w:szCs w:val="22"/>
          <w:lang w:eastAsia="en-US"/>
        </w:rPr>
        <w:t>MedDRA.</w:t>
      </w:r>
    </w:p>
    <w:p w14:paraId="1C31C361" w14:textId="58DAEE7F" w:rsidR="00564D9B" w:rsidRPr="00CC69EC" w:rsidRDefault="00564D9B" w:rsidP="00564D9B">
      <w:pPr>
        <w:ind w:left="0" w:firstLine="0"/>
        <w:rPr>
          <w:szCs w:val="22"/>
        </w:rPr>
      </w:pPr>
      <w:r w:rsidRPr="00CC69EC">
        <w:rPr>
          <w:rFonts w:eastAsia="TimesNewRoman"/>
          <w:szCs w:val="22"/>
          <w:lang w:eastAsia="en-US"/>
        </w:rPr>
        <w:t>Zaradené sú aj nežiaduce reakcie</w:t>
      </w:r>
      <w:r w:rsidR="00F33540">
        <w:rPr>
          <w:rFonts w:eastAsia="TimesNewRoman"/>
          <w:szCs w:val="22"/>
          <w:lang w:eastAsia="en-US"/>
        </w:rPr>
        <w:t xml:space="preserve"> hlásené po uvedení lieku na trh</w:t>
      </w:r>
      <w:r w:rsidRPr="00CC69EC">
        <w:rPr>
          <w:rFonts w:eastAsia="TimesNewRoman"/>
          <w:szCs w:val="22"/>
          <w:lang w:eastAsia="en-US"/>
        </w:rPr>
        <w:t>, ktoré sa neobjavili v klinických štúdiách.</w:t>
      </w:r>
    </w:p>
    <w:p w14:paraId="3C211883" w14:textId="77777777" w:rsidR="00564D9B" w:rsidRPr="00CC69EC" w:rsidRDefault="00564D9B" w:rsidP="00564D9B">
      <w:pPr>
        <w:ind w:left="0" w:firstLine="0"/>
      </w:pPr>
    </w:p>
    <w:p w14:paraId="5CB61CE0" w14:textId="291D8B6C" w:rsidR="00564D9B" w:rsidRPr="00CC69EC" w:rsidRDefault="00564D9B" w:rsidP="00E110FB">
      <w:pPr>
        <w:autoSpaceDE w:val="0"/>
        <w:autoSpaceDN w:val="0"/>
        <w:adjustRightInd w:val="0"/>
        <w:ind w:left="993" w:hanging="993"/>
        <w:rPr>
          <w:color w:val="000000"/>
        </w:rPr>
      </w:pPr>
      <w:r w:rsidRPr="00CC69EC">
        <w:rPr>
          <w:rFonts w:eastAsia="TimesNewRoman,Italic"/>
          <w:i/>
          <w:iCs/>
          <w:szCs w:val="22"/>
          <w:lang w:eastAsia="en-US"/>
        </w:rPr>
        <w:t xml:space="preserve">Tabuľka 7: Nežiaduce reakcie u pacientov s mnohopočetným myelómom liečených bortezomibom </w:t>
      </w:r>
      <w:r w:rsidR="00030E94">
        <w:rPr>
          <w:rFonts w:eastAsia="TimesNewRoman,Italic"/>
          <w:i/>
          <w:iCs/>
          <w:szCs w:val="22"/>
          <w:lang w:eastAsia="en-US"/>
        </w:rPr>
        <w:t>v klinických skúšaniach a všetky nežiaduce reakcie po uvedení lieku na trh bez ohľadu na indikáciu</w:t>
      </w:r>
      <w:r w:rsidR="00030E94" w:rsidRPr="007202B7">
        <w:rPr>
          <w:rFonts w:eastAsia="TimesNewRoman,Italic"/>
          <w:i/>
          <w:iCs/>
          <w:szCs w:val="22"/>
          <w:vertAlign w:val="superscript"/>
          <w:lang w:eastAsia="en-US"/>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912"/>
        <w:gridCol w:w="1762"/>
        <w:gridCol w:w="5386"/>
      </w:tblGrid>
      <w:tr w:rsidR="00564D9B" w:rsidRPr="00CC69EC" w14:paraId="4255BA81" w14:textId="77777777" w:rsidTr="00E110FB">
        <w:trPr>
          <w:tblCellSpacing w:w="0" w:type="dxa"/>
        </w:trPr>
        <w:tc>
          <w:tcPr>
            <w:tcW w:w="1000" w:type="pct"/>
            <w:hideMark/>
          </w:tcPr>
          <w:p w14:paraId="517E9B8F" w14:textId="77777777" w:rsidR="00564D9B" w:rsidRPr="00CC69EC" w:rsidRDefault="00564D9B" w:rsidP="00E110FB">
            <w:pPr>
              <w:autoSpaceDE w:val="0"/>
              <w:autoSpaceDN w:val="0"/>
              <w:adjustRightInd w:val="0"/>
              <w:ind w:left="0" w:firstLine="0"/>
              <w:jc w:val="center"/>
              <w:rPr>
                <w:rFonts w:eastAsia="TimesNewRoman"/>
                <w:b/>
                <w:szCs w:val="22"/>
                <w:lang w:eastAsia="en-US"/>
              </w:rPr>
            </w:pPr>
            <w:r w:rsidRPr="00CC69EC">
              <w:rPr>
                <w:rFonts w:eastAsia="TimesNewRoman"/>
                <w:b/>
                <w:szCs w:val="22"/>
                <w:lang w:eastAsia="en-US"/>
              </w:rPr>
              <w:t>Trieda orgánových</w:t>
            </w:r>
          </w:p>
          <w:p w14:paraId="0122A328" w14:textId="77777777" w:rsidR="00564D9B" w:rsidRPr="00CC69EC" w:rsidRDefault="00564D9B" w:rsidP="00E110FB">
            <w:pPr>
              <w:ind w:left="0" w:firstLine="0"/>
              <w:jc w:val="center"/>
              <w:rPr>
                <w:color w:val="000000"/>
              </w:rPr>
            </w:pPr>
            <w:r w:rsidRPr="00CC69EC">
              <w:rPr>
                <w:rFonts w:eastAsia="TimesNewRoman"/>
                <w:b/>
                <w:szCs w:val="22"/>
                <w:lang w:eastAsia="en-US"/>
              </w:rPr>
              <w:t>systémov</w:t>
            </w:r>
          </w:p>
        </w:tc>
        <w:tc>
          <w:tcPr>
            <w:tcW w:w="1000" w:type="pct"/>
            <w:hideMark/>
          </w:tcPr>
          <w:p w14:paraId="28D9DFB8" w14:textId="7350A0CD" w:rsidR="00564D9B" w:rsidRPr="00CC69EC" w:rsidRDefault="00564D9B" w:rsidP="00E110FB">
            <w:pPr>
              <w:jc w:val="center"/>
              <w:rPr>
                <w:color w:val="000000"/>
              </w:rPr>
            </w:pPr>
            <w:r w:rsidRPr="00CC69EC">
              <w:rPr>
                <w:b/>
                <w:bCs/>
                <w:color w:val="000000"/>
              </w:rPr>
              <w:t>Incidencia</w:t>
            </w:r>
          </w:p>
        </w:tc>
        <w:tc>
          <w:tcPr>
            <w:tcW w:w="3000" w:type="pct"/>
            <w:hideMark/>
          </w:tcPr>
          <w:p w14:paraId="49685370" w14:textId="7735DB4B" w:rsidR="00564D9B" w:rsidRPr="00CC69EC" w:rsidRDefault="00564D9B" w:rsidP="00E110FB">
            <w:pPr>
              <w:jc w:val="center"/>
              <w:rPr>
                <w:color w:val="000000"/>
              </w:rPr>
            </w:pPr>
            <w:r w:rsidRPr="00CC69EC">
              <w:rPr>
                <w:b/>
                <w:bCs/>
                <w:color w:val="000000"/>
              </w:rPr>
              <w:t>Nežiaduca reakcia</w:t>
            </w:r>
          </w:p>
        </w:tc>
      </w:tr>
      <w:tr w:rsidR="00564D9B" w:rsidRPr="00CC69EC" w14:paraId="79838166" w14:textId="77777777" w:rsidTr="00E110FB">
        <w:trPr>
          <w:tblCellSpacing w:w="0" w:type="dxa"/>
        </w:trPr>
        <w:tc>
          <w:tcPr>
            <w:tcW w:w="1000" w:type="pct"/>
            <w:vMerge w:val="restart"/>
            <w:hideMark/>
          </w:tcPr>
          <w:p w14:paraId="6DE0BBAE" w14:textId="77777777" w:rsidR="00564D9B" w:rsidRPr="00CC69EC" w:rsidRDefault="00564D9B" w:rsidP="00F75370">
            <w:pPr>
              <w:rPr>
                <w:color w:val="000000"/>
              </w:rPr>
            </w:pPr>
            <w:r w:rsidRPr="00CC69EC">
              <w:rPr>
                <w:rFonts w:eastAsia="TimesNewRoman"/>
                <w:szCs w:val="22"/>
                <w:lang w:eastAsia="en-US"/>
              </w:rPr>
              <w:t>Infekcie a nákazy</w:t>
            </w:r>
          </w:p>
        </w:tc>
        <w:tc>
          <w:tcPr>
            <w:tcW w:w="1000" w:type="pct"/>
            <w:hideMark/>
          </w:tcPr>
          <w:p w14:paraId="618CF3BA" w14:textId="77777777" w:rsidR="00564D9B" w:rsidRPr="00CC69EC" w:rsidRDefault="00564D9B" w:rsidP="00F75370">
            <w:pPr>
              <w:rPr>
                <w:color w:val="000000"/>
              </w:rPr>
            </w:pPr>
            <w:r w:rsidRPr="00CC69EC">
              <w:rPr>
                <w:color w:val="000000"/>
              </w:rPr>
              <w:t xml:space="preserve">Časté </w:t>
            </w:r>
          </w:p>
        </w:tc>
        <w:tc>
          <w:tcPr>
            <w:tcW w:w="3000" w:type="pct"/>
            <w:hideMark/>
          </w:tcPr>
          <w:p w14:paraId="776F0799"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herpes zoster (vrátane diseminovaného a oftalmického), pneumónia*, herpes simplex*, plesňové infekcie*</w:t>
            </w:r>
          </w:p>
        </w:tc>
      </w:tr>
      <w:tr w:rsidR="00564D9B" w:rsidRPr="00CC69EC" w14:paraId="7F029386" w14:textId="77777777" w:rsidTr="00E110FB">
        <w:trPr>
          <w:tblCellSpacing w:w="0" w:type="dxa"/>
        </w:trPr>
        <w:tc>
          <w:tcPr>
            <w:tcW w:w="0" w:type="auto"/>
            <w:vMerge/>
            <w:vAlign w:val="center"/>
            <w:hideMark/>
          </w:tcPr>
          <w:p w14:paraId="450819F8" w14:textId="77777777" w:rsidR="00564D9B" w:rsidRPr="00CC69EC" w:rsidRDefault="00564D9B" w:rsidP="00F75370">
            <w:pPr>
              <w:rPr>
                <w:color w:val="000000"/>
              </w:rPr>
            </w:pPr>
          </w:p>
        </w:tc>
        <w:tc>
          <w:tcPr>
            <w:tcW w:w="1000" w:type="pct"/>
            <w:hideMark/>
          </w:tcPr>
          <w:p w14:paraId="62D918EE" w14:textId="77777777" w:rsidR="00564D9B" w:rsidRPr="00CC69EC" w:rsidRDefault="00564D9B" w:rsidP="00F75370">
            <w:pPr>
              <w:rPr>
                <w:color w:val="000000"/>
              </w:rPr>
            </w:pPr>
            <w:r w:rsidRPr="00CC69EC">
              <w:rPr>
                <w:color w:val="000000"/>
              </w:rPr>
              <w:t xml:space="preserve">Menej časté </w:t>
            </w:r>
          </w:p>
        </w:tc>
        <w:tc>
          <w:tcPr>
            <w:tcW w:w="3000" w:type="pct"/>
            <w:hideMark/>
          </w:tcPr>
          <w:p w14:paraId="3D9E5A7F" w14:textId="61FC5307" w:rsidR="00564D9B" w:rsidRPr="00CC69EC" w:rsidRDefault="00564D9B" w:rsidP="00110A92">
            <w:pPr>
              <w:autoSpaceDE w:val="0"/>
              <w:autoSpaceDN w:val="0"/>
              <w:adjustRightInd w:val="0"/>
              <w:ind w:left="0" w:firstLine="0"/>
              <w:rPr>
                <w:color w:val="000000"/>
              </w:rPr>
            </w:pPr>
            <w:r w:rsidRPr="00CC69EC">
              <w:rPr>
                <w:rFonts w:eastAsia="TimesNewRoman"/>
                <w:szCs w:val="22"/>
                <w:lang w:eastAsia="en-US"/>
              </w:rPr>
              <w:t>infekcia*, bakteriálna infekcia*, vírusová infekcia*, sepsa (vrátane septického šoku)*, bronchopneumónia, infekcia herpes vírusom*, herpetická meningoencefalitída</w:t>
            </w:r>
            <w:r w:rsidRPr="00CC69EC">
              <w:rPr>
                <w:rFonts w:eastAsia="TimesNewRoman"/>
                <w:szCs w:val="22"/>
                <w:vertAlign w:val="superscript"/>
                <w:lang w:eastAsia="en-US"/>
              </w:rPr>
              <w:t>#</w:t>
            </w:r>
            <w:r w:rsidRPr="00CC69EC">
              <w:rPr>
                <w:rFonts w:eastAsia="TimesNewRoman"/>
                <w:szCs w:val="22"/>
                <w:lang w:eastAsia="en-US"/>
              </w:rPr>
              <w:t>, bakter</w:t>
            </w:r>
            <w:r w:rsidR="00EB3773">
              <w:rPr>
                <w:rFonts w:eastAsia="TimesNewRoman"/>
                <w:szCs w:val="22"/>
                <w:lang w:eastAsia="en-US"/>
              </w:rPr>
              <w:t>i</w:t>
            </w:r>
            <w:r w:rsidRPr="00CC69EC">
              <w:rPr>
                <w:rFonts w:eastAsia="TimesNewRoman"/>
                <w:szCs w:val="22"/>
                <w:lang w:eastAsia="en-US"/>
              </w:rPr>
              <w:t xml:space="preserve">émia (vrátane stafylokokovej), hordeolum, chrípka, celulitída, </w:t>
            </w:r>
            <w:r w:rsidRPr="00110A92">
              <w:rPr>
                <w:rFonts w:eastAsia="TimesNewRoman"/>
                <w:szCs w:val="22"/>
                <w:lang w:eastAsia="en-US"/>
              </w:rPr>
              <w:t xml:space="preserve">infekcia súvisiaca so </w:t>
            </w:r>
            <w:r w:rsidR="00110A92" w:rsidRPr="00E110FB">
              <w:rPr>
                <w:rFonts w:eastAsia="TimesNewRoman"/>
                <w:szCs w:val="22"/>
                <w:lang w:eastAsia="en-US"/>
              </w:rPr>
              <w:t>zdravotníck</w:t>
            </w:r>
            <w:r w:rsidR="00110A92">
              <w:rPr>
                <w:rFonts w:eastAsia="TimesNewRoman"/>
                <w:szCs w:val="22"/>
                <w:lang w:eastAsia="en-US"/>
              </w:rPr>
              <w:t>o</w:t>
            </w:r>
            <w:r w:rsidR="00110A92" w:rsidRPr="00E110FB">
              <w:rPr>
                <w:rFonts w:eastAsia="TimesNewRoman"/>
                <w:szCs w:val="22"/>
                <w:lang w:eastAsia="en-US"/>
              </w:rPr>
              <w:t>u pomôckou</w:t>
            </w:r>
            <w:r w:rsidRPr="00110A92">
              <w:rPr>
                <w:rFonts w:eastAsia="TimesNewRoman"/>
                <w:szCs w:val="22"/>
                <w:lang w:eastAsia="en-US"/>
              </w:rPr>
              <w:t>,</w:t>
            </w:r>
            <w:r w:rsidRPr="00CC69EC">
              <w:rPr>
                <w:rFonts w:eastAsia="TimesNewRoman"/>
                <w:szCs w:val="22"/>
                <w:lang w:eastAsia="en-US"/>
              </w:rPr>
              <w:t xml:space="preserve"> </w:t>
            </w:r>
            <w:r w:rsidRPr="00CC69EC">
              <w:rPr>
                <w:rFonts w:eastAsia="TimesNewRoman"/>
                <w:szCs w:val="22"/>
                <w:lang w:eastAsia="en-US"/>
              </w:rPr>
              <w:lastRenderedPageBreak/>
              <w:t>kožná infekcia*, infekcia ucha*, stafylokoková infekcia*, infekcia zubov*</w:t>
            </w:r>
          </w:p>
        </w:tc>
      </w:tr>
      <w:tr w:rsidR="00564D9B" w:rsidRPr="00CC69EC" w14:paraId="1F73A796" w14:textId="77777777" w:rsidTr="00E110FB">
        <w:trPr>
          <w:tblCellSpacing w:w="0" w:type="dxa"/>
        </w:trPr>
        <w:tc>
          <w:tcPr>
            <w:tcW w:w="0" w:type="auto"/>
            <w:vMerge/>
            <w:vAlign w:val="center"/>
            <w:hideMark/>
          </w:tcPr>
          <w:p w14:paraId="20E27045" w14:textId="77777777" w:rsidR="00564D9B" w:rsidRPr="00CC69EC" w:rsidRDefault="00564D9B" w:rsidP="00F75370">
            <w:pPr>
              <w:rPr>
                <w:color w:val="000000"/>
              </w:rPr>
            </w:pPr>
          </w:p>
        </w:tc>
        <w:tc>
          <w:tcPr>
            <w:tcW w:w="1000" w:type="pct"/>
            <w:hideMark/>
          </w:tcPr>
          <w:p w14:paraId="29F9D2D2" w14:textId="77777777" w:rsidR="00564D9B" w:rsidRPr="00CC69EC" w:rsidRDefault="00564D9B" w:rsidP="00F75370">
            <w:pPr>
              <w:rPr>
                <w:color w:val="000000"/>
              </w:rPr>
            </w:pPr>
            <w:r w:rsidRPr="00CC69EC">
              <w:rPr>
                <w:color w:val="000000"/>
              </w:rPr>
              <w:t xml:space="preserve">Zriedkavé </w:t>
            </w:r>
          </w:p>
        </w:tc>
        <w:tc>
          <w:tcPr>
            <w:tcW w:w="3000" w:type="pct"/>
            <w:hideMark/>
          </w:tcPr>
          <w:p w14:paraId="70198E44"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meningitída (vrátane bakteriálnej), infekcia Epstein-Barrovej vírusom, genitálny herpes, tonzilitída, mastoiditída, postvírusový únavový syndróm</w:t>
            </w:r>
          </w:p>
        </w:tc>
      </w:tr>
      <w:tr w:rsidR="00564D9B" w:rsidRPr="00CC69EC" w14:paraId="248DB212" w14:textId="77777777" w:rsidTr="00E110FB">
        <w:trPr>
          <w:tblCellSpacing w:w="0" w:type="dxa"/>
        </w:trPr>
        <w:tc>
          <w:tcPr>
            <w:tcW w:w="1000" w:type="pct"/>
            <w:hideMark/>
          </w:tcPr>
          <w:p w14:paraId="32F0FA16"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Benígne a malígne nádory, vrátane nešpecifikovaných novotvarov (cysty a polypy)</w:t>
            </w:r>
          </w:p>
        </w:tc>
        <w:tc>
          <w:tcPr>
            <w:tcW w:w="1000" w:type="pct"/>
            <w:hideMark/>
          </w:tcPr>
          <w:p w14:paraId="61B6FA9A" w14:textId="77777777" w:rsidR="00564D9B" w:rsidRPr="00CC69EC" w:rsidRDefault="00564D9B" w:rsidP="00F75370">
            <w:pPr>
              <w:rPr>
                <w:color w:val="000000"/>
              </w:rPr>
            </w:pPr>
            <w:r w:rsidRPr="00CC69EC">
              <w:rPr>
                <w:color w:val="000000"/>
              </w:rPr>
              <w:t>Zriedkavé</w:t>
            </w:r>
          </w:p>
        </w:tc>
        <w:tc>
          <w:tcPr>
            <w:tcW w:w="3000" w:type="pct"/>
            <w:hideMark/>
          </w:tcPr>
          <w:p w14:paraId="43B8D344" w14:textId="280A2C08"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 xml:space="preserve">malígne nádory, plazmocytárna leukémia, karcinóm renálnych buniek, </w:t>
            </w:r>
            <w:r w:rsidR="00110A92">
              <w:rPr>
                <w:rFonts w:eastAsia="TimesNewRoman"/>
                <w:szCs w:val="22"/>
                <w:lang w:eastAsia="en-US"/>
              </w:rPr>
              <w:t>novotvar</w:t>
            </w:r>
            <w:r w:rsidRPr="00CC69EC">
              <w:rPr>
                <w:rFonts w:eastAsia="TimesNewRoman"/>
                <w:szCs w:val="22"/>
                <w:lang w:eastAsia="en-US"/>
              </w:rPr>
              <w:t>, plesňové mykózy, benígne nádory*</w:t>
            </w:r>
          </w:p>
        </w:tc>
      </w:tr>
      <w:tr w:rsidR="00564D9B" w:rsidRPr="00CC69EC" w14:paraId="27B711C3" w14:textId="77777777" w:rsidTr="00E110FB">
        <w:trPr>
          <w:tblCellSpacing w:w="0" w:type="dxa"/>
        </w:trPr>
        <w:tc>
          <w:tcPr>
            <w:tcW w:w="1000" w:type="pct"/>
            <w:vMerge w:val="restart"/>
            <w:hideMark/>
          </w:tcPr>
          <w:p w14:paraId="6AF51243"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Poruchy krvi a lymfatického systému</w:t>
            </w:r>
          </w:p>
        </w:tc>
        <w:tc>
          <w:tcPr>
            <w:tcW w:w="1000" w:type="pct"/>
            <w:hideMark/>
          </w:tcPr>
          <w:p w14:paraId="56CA773E" w14:textId="77777777" w:rsidR="00564D9B" w:rsidRPr="00CC69EC" w:rsidRDefault="00564D9B" w:rsidP="00F75370">
            <w:pPr>
              <w:rPr>
                <w:color w:val="000000"/>
              </w:rPr>
            </w:pPr>
            <w:r w:rsidRPr="00CC69EC">
              <w:rPr>
                <w:color w:val="000000"/>
              </w:rPr>
              <w:t xml:space="preserve">Veľmi časté </w:t>
            </w:r>
          </w:p>
        </w:tc>
        <w:tc>
          <w:tcPr>
            <w:tcW w:w="3000" w:type="pct"/>
            <w:hideMark/>
          </w:tcPr>
          <w:p w14:paraId="304D7CBC" w14:textId="77777777" w:rsidR="00564D9B" w:rsidRPr="00CC69EC" w:rsidRDefault="00564D9B" w:rsidP="00F75370">
            <w:pPr>
              <w:rPr>
                <w:color w:val="000000"/>
              </w:rPr>
            </w:pPr>
            <w:r w:rsidRPr="00CC69EC">
              <w:rPr>
                <w:rFonts w:eastAsia="TimesNewRoman"/>
                <w:szCs w:val="22"/>
                <w:lang w:eastAsia="en-US"/>
              </w:rPr>
              <w:t>trombocytopénia*, neutropénia*, anémia*</w:t>
            </w:r>
          </w:p>
        </w:tc>
      </w:tr>
      <w:tr w:rsidR="00564D9B" w:rsidRPr="00CC69EC" w14:paraId="31D1FD6E" w14:textId="77777777" w:rsidTr="00E110FB">
        <w:trPr>
          <w:tblCellSpacing w:w="0" w:type="dxa"/>
        </w:trPr>
        <w:tc>
          <w:tcPr>
            <w:tcW w:w="0" w:type="auto"/>
            <w:vMerge/>
            <w:vAlign w:val="center"/>
            <w:hideMark/>
          </w:tcPr>
          <w:p w14:paraId="35313B09" w14:textId="77777777" w:rsidR="00564D9B" w:rsidRPr="00CC69EC" w:rsidRDefault="00564D9B" w:rsidP="00F75370">
            <w:pPr>
              <w:rPr>
                <w:color w:val="000000"/>
              </w:rPr>
            </w:pPr>
          </w:p>
        </w:tc>
        <w:tc>
          <w:tcPr>
            <w:tcW w:w="1000" w:type="pct"/>
            <w:hideMark/>
          </w:tcPr>
          <w:p w14:paraId="3CB28FE7" w14:textId="77777777" w:rsidR="00564D9B" w:rsidRPr="00CC69EC" w:rsidRDefault="00564D9B" w:rsidP="00F75370">
            <w:pPr>
              <w:rPr>
                <w:color w:val="000000"/>
              </w:rPr>
            </w:pPr>
            <w:r w:rsidRPr="00CC69EC">
              <w:rPr>
                <w:color w:val="000000"/>
              </w:rPr>
              <w:t xml:space="preserve">Časté </w:t>
            </w:r>
          </w:p>
        </w:tc>
        <w:tc>
          <w:tcPr>
            <w:tcW w:w="3000" w:type="pct"/>
            <w:hideMark/>
          </w:tcPr>
          <w:p w14:paraId="29475D46" w14:textId="77777777" w:rsidR="00564D9B" w:rsidRPr="00CC69EC" w:rsidRDefault="00564D9B" w:rsidP="00F75370">
            <w:pPr>
              <w:rPr>
                <w:color w:val="000000"/>
              </w:rPr>
            </w:pPr>
            <w:r w:rsidRPr="00CC69EC">
              <w:rPr>
                <w:rFonts w:eastAsia="TimesNewRoman"/>
                <w:szCs w:val="22"/>
                <w:lang w:eastAsia="en-US"/>
              </w:rPr>
              <w:t>leukopénia*, lymfopénia*</w:t>
            </w:r>
          </w:p>
        </w:tc>
      </w:tr>
      <w:tr w:rsidR="00564D9B" w:rsidRPr="00CC69EC" w14:paraId="70D53772" w14:textId="77777777" w:rsidTr="00E110FB">
        <w:trPr>
          <w:tblCellSpacing w:w="0" w:type="dxa"/>
        </w:trPr>
        <w:tc>
          <w:tcPr>
            <w:tcW w:w="0" w:type="auto"/>
            <w:vMerge/>
            <w:vAlign w:val="center"/>
            <w:hideMark/>
          </w:tcPr>
          <w:p w14:paraId="5FF424E0" w14:textId="77777777" w:rsidR="00564D9B" w:rsidRPr="00CC69EC" w:rsidRDefault="00564D9B" w:rsidP="00F75370">
            <w:pPr>
              <w:rPr>
                <w:color w:val="000000"/>
              </w:rPr>
            </w:pPr>
          </w:p>
        </w:tc>
        <w:tc>
          <w:tcPr>
            <w:tcW w:w="1000" w:type="pct"/>
            <w:hideMark/>
          </w:tcPr>
          <w:p w14:paraId="34377CE4" w14:textId="77777777" w:rsidR="00564D9B" w:rsidRPr="00CC69EC" w:rsidRDefault="00564D9B" w:rsidP="00F75370">
            <w:pPr>
              <w:rPr>
                <w:color w:val="000000"/>
              </w:rPr>
            </w:pPr>
            <w:r w:rsidRPr="00CC69EC">
              <w:rPr>
                <w:color w:val="000000"/>
              </w:rPr>
              <w:t>Menej časté</w:t>
            </w:r>
          </w:p>
        </w:tc>
        <w:tc>
          <w:tcPr>
            <w:tcW w:w="3000" w:type="pct"/>
            <w:hideMark/>
          </w:tcPr>
          <w:p w14:paraId="4FBF16A9"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pancytopénia*, febrilná neutropénia, koagulopatia*, leukocytóza*, lymfadenopatia, hemolytická anémia</w:t>
            </w:r>
            <w:r w:rsidRPr="00CC69EC">
              <w:rPr>
                <w:rFonts w:eastAsia="TimesNewRoman"/>
                <w:szCs w:val="22"/>
                <w:vertAlign w:val="superscript"/>
                <w:lang w:eastAsia="en-US"/>
              </w:rPr>
              <w:t>#</w:t>
            </w:r>
          </w:p>
        </w:tc>
      </w:tr>
      <w:tr w:rsidR="00564D9B" w:rsidRPr="00CC69EC" w14:paraId="4EF149B8" w14:textId="77777777" w:rsidTr="00E110FB">
        <w:trPr>
          <w:tblCellSpacing w:w="0" w:type="dxa"/>
        </w:trPr>
        <w:tc>
          <w:tcPr>
            <w:tcW w:w="0" w:type="auto"/>
            <w:vMerge/>
            <w:vAlign w:val="center"/>
            <w:hideMark/>
          </w:tcPr>
          <w:p w14:paraId="3EBCF964" w14:textId="77777777" w:rsidR="00564D9B" w:rsidRPr="00CC69EC" w:rsidRDefault="00564D9B" w:rsidP="00F75370">
            <w:pPr>
              <w:rPr>
                <w:color w:val="000000"/>
              </w:rPr>
            </w:pPr>
          </w:p>
        </w:tc>
        <w:tc>
          <w:tcPr>
            <w:tcW w:w="1000" w:type="pct"/>
            <w:hideMark/>
          </w:tcPr>
          <w:p w14:paraId="72B8373C" w14:textId="77777777" w:rsidR="00564D9B" w:rsidRPr="00CC69EC" w:rsidRDefault="00564D9B" w:rsidP="00F75370">
            <w:pPr>
              <w:rPr>
                <w:color w:val="000000"/>
              </w:rPr>
            </w:pPr>
            <w:r w:rsidRPr="00CC69EC">
              <w:rPr>
                <w:color w:val="000000"/>
              </w:rPr>
              <w:t xml:space="preserve">Zriedkavé </w:t>
            </w:r>
          </w:p>
        </w:tc>
        <w:tc>
          <w:tcPr>
            <w:tcW w:w="3000" w:type="pct"/>
            <w:hideMark/>
          </w:tcPr>
          <w:p w14:paraId="202BE4B2" w14:textId="6D7A6EF8"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 xml:space="preserve">diseminovaná intravaskulárna koagulácia, trombocytóza*, syndróm hyperviskozity, porucha krvných doštičiek </w:t>
            </w:r>
            <w:r w:rsidRPr="00110A92">
              <w:rPr>
                <w:rFonts w:eastAsia="TimesNewRoman"/>
                <w:szCs w:val="22"/>
                <w:lang w:eastAsia="en-US"/>
              </w:rPr>
              <w:t xml:space="preserve">NOS, </w:t>
            </w:r>
            <w:r w:rsidR="00030E94" w:rsidRPr="00030E94">
              <w:rPr>
                <w:rFonts w:eastAsia="TimesNewRoman"/>
                <w:szCs w:val="22"/>
                <w:lang w:eastAsia="en-US"/>
              </w:rPr>
              <w:t>trombotická mikroangiopatia (vrátane trombocytopenickej purpury</w:t>
            </w:r>
            <w:r w:rsidR="00030E94" w:rsidRPr="00213061">
              <w:rPr>
                <w:rFonts w:eastAsia="TimesNewRoman"/>
                <w:szCs w:val="22"/>
                <w:vertAlign w:val="superscript"/>
                <w:lang w:eastAsia="en-US"/>
              </w:rPr>
              <w:t>#</w:t>
            </w:r>
            <w:r w:rsidR="00030E94">
              <w:rPr>
                <w:rFonts w:eastAsia="TimesNewRoman"/>
                <w:szCs w:val="22"/>
                <w:lang w:eastAsia="en-US"/>
              </w:rPr>
              <w:t>,</w:t>
            </w:r>
            <w:r w:rsidRPr="00110A92">
              <w:rPr>
                <w:rFonts w:eastAsia="TimesNewRoman"/>
                <w:szCs w:val="22"/>
                <w:lang w:eastAsia="en-US"/>
              </w:rPr>
              <w:t xml:space="preserve"> porucha krvi </w:t>
            </w:r>
            <w:r w:rsidRPr="00717D9C">
              <w:rPr>
                <w:rFonts w:eastAsia="TimesNewRoman"/>
                <w:szCs w:val="22"/>
                <w:lang w:eastAsia="en-US"/>
              </w:rPr>
              <w:t>NOS,</w:t>
            </w:r>
            <w:r w:rsidRPr="00CC69EC">
              <w:rPr>
                <w:rFonts w:eastAsia="TimesNewRoman"/>
                <w:szCs w:val="22"/>
                <w:lang w:eastAsia="en-US"/>
              </w:rPr>
              <w:t xml:space="preserve"> hemoragická diatéza, infiltrácia lymfocytov</w:t>
            </w:r>
          </w:p>
        </w:tc>
      </w:tr>
      <w:tr w:rsidR="00564D9B" w:rsidRPr="00CC69EC" w14:paraId="0AACA65D" w14:textId="77777777" w:rsidTr="00E110FB">
        <w:trPr>
          <w:tblCellSpacing w:w="0" w:type="dxa"/>
        </w:trPr>
        <w:tc>
          <w:tcPr>
            <w:tcW w:w="1000" w:type="pct"/>
            <w:vMerge w:val="restart"/>
            <w:hideMark/>
          </w:tcPr>
          <w:p w14:paraId="19A5F582"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Poruchy imunitného systému</w:t>
            </w:r>
          </w:p>
        </w:tc>
        <w:tc>
          <w:tcPr>
            <w:tcW w:w="1000" w:type="pct"/>
            <w:hideMark/>
          </w:tcPr>
          <w:p w14:paraId="0EC831A7" w14:textId="77777777" w:rsidR="00564D9B" w:rsidRPr="00CC69EC" w:rsidRDefault="00564D9B" w:rsidP="00F75370">
            <w:pPr>
              <w:rPr>
                <w:color w:val="000000"/>
              </w:rPr>
            </w:pPr>
            <w:r w:rsidRPr="00CC69EC">
              <w:rPr>
                <w:color w:val="000000"/>
              </w:rPr>
              <w:t>Menej časté</w:t>
            </w:r>
          </w:p>
        </w:tc>
        <w:tc>
          <w:tcPr>
            <w:tcW w:w="3000" w:type="pct"/>
            <w:hideMark/>
          </w:tcPr>
          <w:p w14:paraId="31259AB4" w14:textId="77777777" w:rsidR="00564D9B" w:rsidRPr="00CC69EC" w:rsidRDefault="00564D9B" w:rsidP="00F75370">
            <w:pPr>
              <w:rPr>
                <w:color w:val="000000"/>
                <w:szCs w:val="22"/>
              </w:rPr>
            </w:pPr>
            <w:r w:rsidRPr="00CC69EC">
              <w:rPr>
                <w:rFonts w:eastAsia="TimesNewRoman"/>
                <w:szCs w:val="22"/>
                <w:lang w:eastAsia="en-US"/>
              </w:rPr>
              <w:t>angioedém</w:t>
            </w:r>
            <w:r w:rsidRPr="00CC69EC">
              <w:rPr>
                <w:rFonts w:eastAsia="TimesNewRoman"/>
                <w:szCs w:val="22"/>
                <w:vertAlign w:val="superscript"/>
                <w:lang w:eastAsia="en-US"/>
              </w:rPr>
              <w:t>#</w:t>
            </w:r>
            <w:r w:rsidRPr="00CC69EC">
              <w:rPr>
                <w:rFonts w:eastAsia="TimesNewRoman"/>
                <w:szCs w:val="22"/>
                <w:lang w:eastAsia="en-US"/>
              </w:rPr>
              <w:t>, hypersenzitivita*</w:t>
            </w:r>
          </w:p>
        </w:tc>
      </w:tr>
      <w:tr w:rsidR="00564D9B" w:rsidRPr="00CC69EC" w14:paraId="7CC174D6" w14:textId="77777777" w:rsidTr="00E110FB">
        <w:trPr>
          <w:tblCellSpacing w:w="0" w:type="dxa"/>
        </w:trPr>
        <w:tc>
          <w:tcPr>
            <w:tcW w:w="0" w:type="auto"/>
            <w:vMerge/>
            <w:vAlign w:val="center"/>
            <w:hideMark/>
          </w:tcPr>
          <w:p w14:paraId="1C76EF64" w14:textId="77777777" w:rsidR="00564D9B" w:rsidRPr="00CC69EC" w:rsidRDefault="00564D9B" w:rsidP="00F75370">
            <w:pPr>
              <w:rPr>
                <w:color w:val="000000"/>
              </w:rPr>
            </w:pPr>
          </w:p>
        </w:tc>
        <w:tc>
          <w:tcPr>
            <w:tcW w:w="1000" w:type="pct"/>
            <w:hideMark/>
          </w:tcPr>
          <w:p w14:paraId="19CA8C3F" w14:textId="77777777" w:rsidR="00564D9B" w:rsidRPr="00CC69EC" w:rsidRDefault="00564D9B" w:rsidP="00F75370">
            <w:pPr>
              <w:rPr>
                <w:color w:val="000000"/>
              </w:rPr>
            </w:pPr>
            <w:r w:rsidRPr="00CC69EC">
              <w:rPr>
                <w:color w:val="000000"/>
              </w:rPr>
              <w:t xml:space="preserve">Zriedkavé </w:t>
            </w:r>
          </w:p>
        </w:tc>
        <w:tc>
          <w:tcPr>
            <w:tcW w:w="3000" w:type="pct"/>
            <w:hideMark/>
          </w:tcPr>
          <w:p w14:paraId="0A731A37"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anafylaktický šok, amyloidóza, imunokomplexom sprostredkovaná reakcia typu III</w:t>
            </w:r>
          </w:p>
        </w:tc>
      </w:tr>
      <w:tr w:rsidR="00564D9B" w:rsidRPr="00CC69EC" w14:paraId="48AA95C1" w14:textId="77777777" w:rsidTr="00E110FB">
        <w:trPr>
          <w:tblCellSpacing w:w="0" w:type="dxa"/>
        </w:trPr>
        <w:tc>
          <w:tcPr>
            <w:tcW w:w="1000" w:type="pct"/>
            <w:vMerge w:val="restart"/>
            <w:hideMark/>
          </w:tcPr>
          <w:p w14:paraId="24AC332D"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Poruchy endokrinného systému</w:t>
            </w:r>
          </w:p>
        </w:tc>
        <w:tc>
          <w:tcPr>
            <w:tcW w:w="1000" w:type="pct"/>
            <w:hideMark/>
          </w:tcPr>
          <w:p w14:paraId="7D33FB84" w14:textId="77777777" w:rsidR="00564D9B" w:rsidRPr="00CC69EC" w:rsidRDefault="00564D9B" w:rsidP="00F75370">
            <w:pPr>
              <w:rPr>
                <w:color w:val="000000"/>
              </w:rPr>
            </w:pPr>
            <w:r w:rsidRPr="00CC69EC">
              <w:rPr>
                <w:color w:val="000000"/>
              </w:rPr>
              <w:t>Menej časté</w:t>
            </w:r>
          </w:p>
        </w:tc>
        <w:tc>
          <w:tcPr>
            <w:tcW w:w="3000" w:type="pct"/>
            <w:hideMark/>
          </w:tcPr>
          <w:p w14:paraId="4E4503AB" w14:textId="621F20DD"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Cushingov syndróm*, hypertyr</w:t>
            </w:r>
            <w:r w:rsidR="00EB3773">
              <w:rPr>
                <w:rFonts w:eastAsia="TimesNewRoman"/>
                <w:szCs w:val="22"/>
                <w:lang w:eastAsia="en-US"/>
              </w:rPr>
              <w:t>e</w:t>
            </w:r>
            <w:r w:rsidRPr="00CC69EC">
              <w:rPr>
                <w:rFonts w:eastAsia="TimesNewRoman"/>
                <w:szCs w:val="22"/>
                <w:lang w:eastAsia="en-US"/>
              </w:rPr>
              <w:t xml:space="preserve">oidizmus*, </w:t>
            </w:r>
            <w:r>
              <w:rPr>
                <w:rFonts w:eastAsia="TimesNewRoman"/>
                <w:szCs w:val="22"/>
                <w:lang w:eastAsia="en-US"/>
              </w:rPr>
              <w:t>neprimeraná</w:t>
            </w:r>
            <w:r w:rsidRPr="00CC69EC">
              <w:rPr>
                <w:rFonts w:eastAsia="TimesNewRoman"/>
                <w:szCs w:val="22"/>
                <w:lang w:eastAsia="en-US"/>
              </w:rPr>
              <w:t xml:space="preserve"> sekrécia antidiuretického hormónu</w:t>
            </w:r>
          </w:p>
        </w:tc>
      </w:tr>
      <w:tr w:rsidR="00564D9B" w:rsidRPr="00CC69EC" w14:paraId="65DD7926" w14:textId="77777777" w:rsidTr="00E110FB">
        <w:trPr>
          <w:tblCellSpacing w:w="0" w:type="dxa"/>
        </w:trPr>
        <w:tc>
          <w:tcPr>
            <w:tcW w:w="0" w:type="auto"/>
            <w:vMerge/>
            <w:vAlign w:val="center"/>
            <w:hideMark/>
          </w:tcPr>
          <w:p w14:paraId="533FF6C3" w14:textId="77777777" w:rsidR="00564D9B" w:rsidRPr="00CC69EC" w:rsidRDefault="00564D9B" w:rsidP="00F75370">
            <w:pPr>
              <w:rPr>
                <w:color w:val="000000"/>
              </w:rPr>
            </w:pPr>
          </w:p>
        </w:tc>
        <w:tc>
          <w:tcPr>
            <w:tcW w:w="1000" w:type="pct"/>
            <w:hideMark/>
          </w:tcPr>
          <w:p w14:paraId="57EA7506" w14:textId="77777777" w:rsidR="00564D9B" w:rsidRPr="00CC69EC" w:rsidRDefault="00564D9B" w:rsidP="00F75370">
            <w:pPr>
              <w:rPr>
                <w:color w:val="000000"/>
              </w:rPr>
            </w:pPr>
            <w:r w:rsidRPr="00CC69EC">
              <w:rPr>
                <w:color w:val="000000"/>
              </w:rPr>
              <w:t xml:space="preserve">Zriedkavé </w:t>
            </w:r>
          </w:p>
        </w:tc>
        <w:tc>
          <w:tcPr>
            <w:tcW w:w="3000" w:type="pct"/>
            <w:hideMark/>
          </w:tcPr>
          <w:p w14:paraId="58984D61" w14:textId="5F3CA28A" w:rsidR="00564D9B" w:rsidRPr="00CC69EC" w:rsidRDefault="00564D9B" w:rsidP="00F75370">
            <w:pPr>
              <w:rPr>
                <w:color w:val="000000"/>
              </w:rPr>
            </w:pPr>
            <w:r w:rsidRPr="00CC69EC">
              <w:rPr>
                <w:rFonts w:eastAsia="TimesNewRoman"/>
                <w:szCs w:val="22"/>
                <w:lang w:eastAsia="en-US"/>
              </w:rPr>
              <w:t>hypotyr</w:t>
            </w:r>
            <w:r w:rsidR="00EB3773">
              <w:rPr>
                <w:rFonts w:eastAsia="TimesNewRoman"/>
                <w:szCs w:val="22"/>
                <w:lang w:eastAsia="en-US"/>
              </w:rPr>
              <w:t>e</w:t>
            </w:r>
            <w:r w:rsidRPr="00CC69EC">
              <w:rPr>
                <w:rFonts w:eastAsia="TimesNewRoman"/>
                <w:szCs w:val="22"/>
                <w:lang w:eastAsia="en-US"/>
              </w:rPr>
              <w:t>oidizmus</w:t>
            </w:r>
            <w:r w:rsidRPr="00CC69EC">
              <w:rPr>
                <w:color w:val="000000"/>
              </w:rPr>
              <w:t xml:space="preserve"> </w:t>
            </w:r>
          </w:p>
        </w:tc>
      </w:tr>
      <w:tr w:rsidR="00564D9B" w:rsidRPr="00CC69EC" w14:paraId="5261D224" w14:textId="77777777" w:rsidTr="00E110FB">
        <w:trPr>
          <w:tblCellSpacing w:w="0" w:type="dxa"/>
        </w:trPr>
        <w:tc>
          <w:tcPr>
            <w:tcW w:w="1000" w:type="pct"/>
            <w:vMerge w:val="restart"/>
            <w:hideMark/>
          </w:tcPr>
          <w:p w14:paraId="7C7D8AC1"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Poruchy metabolizmu a výživy</w:t>
            </w:r>
          </w:p>
        </w:tc>
        <w:tc>
          <w:tcPr>
            <w:tcW w:w="1000" w:type="pct"/>
            <w:hideMark/>
          </w:tcPr>
          <w:p w14:paraId="77411A27" w14:textId="77777777" w:rsidR="00564D9B" w:rsidRPr="00CC69EC" w:rsidRDefault="00564D9B" w:rsidP="00F75370">
            <w:pPr>
              <w:rPr>
                <w:color w:val="000000"/>
              </w:rPr>
            </w:pPr>
            <w:r w:rsidRPr="00CC69EC">
              <w:rPr>
                <w:color w:val="000000"/>
              </w:rPr>
              <w:t xml:space="preserve">Veľmi časté </w:t>
            </w:r>
          </w:p>
        </w:tc>
        <w:tc>
          <w:tcPr>
            <w:tcW w:w="3000" w:type="pct"/>
            <w:hideMark/>
          </w:tcPr>
          <w:p w14:paraId="179536BE" w14:textId="77777777" w:rsidR="00564D9B" w:rsidRPr="00CC69EC" w:rsidRDefault="00564D9B" w:rsidP="00F75370">
            <w:pPr>
              <w:rPr>
                <w:color w:val="000000"/>
              </w:rPr>
            </w:pPr>
            <w:r w:rsidRPr="00CC69EC">
              <w:rPr>
                <w:rFonts w:eastAsia="TimesNewRoman"/>
                <w:szCs w:val="22"/>
                <w:lang w:eastAsia="en-US"/>
              </w:rPr>
              <w:t>znížená chuť do jedla</w:t>
            </w:r>
          </w:p>
        </w:tc>
      </w:tr>
      <w:tr w:rsidR="00564D9B" w:rsidRPr="00CC69EC" w14:paraId="6EB9F0D5" w14:textId="77777777" w:rsidTr="00E110FB">
        <w:trPr>
          <w:tblCellSpacing w:w="0" w:type="dxa"/>
        </w:trPr>
        <w:tc>
          <w:tcPr>
            <w:tcW w:w="0" w:type="auto"/>
            <w:vMerge/>
            <w:vAlign w:val="center"/>
            <w:hideMark/>
          </w:tcPr>
          <w:p w14:paraId="0DC794FC" w14:textId="77777777" w:rsidR="00564D9B" w:rsidRPr="00CC69EC" w:rsidRDefault="00564D9B" w:rsidP="00F75370">
            <w:pPr>
              <w:rPr>
                <w:color w:val="000000"/>
              </w:rPr>
            </w:pPr>
          </w:p>
        </w:tc>
        <w:tc>
          <w:tcPr>
            <w:tcW w:w="1000" w:type="pct"/>
            <w:hideMark/>
          </w:tcPr>
          <w:p w14:paraId="3CAB3C39" w14:textId="77777777" w:rsidR="00564D9B" w:rsidRPr="00CC69EC" w:rsidRDefault="00564D9B" w:rsidP="00F75370">
            <w:pPr>
              <w:rPr>
                <w:color w:val="000000"/>
              </w:rPr>
            </w:pPr>
            <w:r w:rsidRPr="00CC69EC">
              <w:rPr>
                <w:color w:val="000000"/>
              </w:rPr>
              <w:t xml:space="preserve">Časté </w:t>
            </w:r>
          </w:p>
        </w:tc>
        <w:tc>
          <w:tcPr>
            <w:tcW w:w="3000" w:type="pct"/>
            <w:hideMark/>
          </w:tcPr>
          <w:p w14:paraId="103224C9" w14:textId="767B3576" w:rsidR="00564D9B" w:rsidRPr="00CC69EC" w:rsidRDefault="00564D9B" w:rsidP="00EB3773">
            <w:pPr>
              <w:autoSpaceDE w:val="0"/>
              <w:autoSpaceDN w:val="0"/>
              <w:adjustRightInd w:val="0"/>
              <w:ind w:left="0" w:firstLine="0"/>
              <w:rPr>
                <w:color w:val="000000"/>
              </w:rPr>
            </w:pPr>
            <w:r w:rsidRPr="00CC69EC">
              <w:rPr>
                <w:rFonts w:eastAsia="TimesNewRoman"/>
                <w:szCs w:val="22"/>
                <w:lang w:eastAsia="en-US"/>
              </w:rPr>
              <w:t>dehydratácia, hypokaliémia*, hyponatrémia*, hladiny glukózy v</w:t>
            </w:r>
            <w:r w:rsidR="00EB3773">
              <w:rPr>
                <w:rFonts w:eastAsia="TimesNewRoman"/>
                <w:szCs w:val="22"/>
                <w:lang w:eastAsia="en-US"/>
              </w:rPr>
              <w:t> </w:t>
            </w:r>
            <w:r w:rsidRPr="00CC69EC">
              <w:rPr>
                <w:rFonts w:eastAsia="TimesNewRoman"/>
                <w:szCs w:val="22"/>
                <w:lang w:eastAsia="en-US"/>
              </w:rPr>
              <w:t>krvi</w:t>
            </w:r>
            <w:r w:rsidR="00EB3773">
              <w:rPr>
                <w:rFonts w:eastAsia="TimesNewRoman"/>
                <w:szCs w:val="22"/>
                <w:lang w:eastAsia="en-US"/>
              </w:rPr>
              <w:t xml:space="preserve"> mimo normy</w:t>
            </w:r>
            <w:r w:rsidRPr="00CC69EC">
              <w:rPr>
                <w:rFonts w:eastAsia="TimesNewRoman"/>
                <w:szCs w:val="22"/>
                <w:lang w:eastAsia="en-US"/>
              </w:rPr>
              <w:t xml:space="preserve">*, hypokalcémia*, </w:t>
            </w:r>
            <w:r w:rsidR="00EB3773">
              <w:rPr>
                <w:rFonts w:eastAsia="TimesNewRoman"/>
                <w:szCs w:val="22"/>
                <w:lang w:eastAsia="en-US"/>
              </w:rPr>
              <w:t>poruchy</w:t>
            </w:r>
            <w:r w:rsidR="00A67236">
              <w:rPr>
                <w:rFonts w:eastAsia="TimesNewRoman"/>
                <w:szCs w:val="22"/>
                <w:lang w:eastAsia="en-US"/>
              </w:rPr>
              <w:t xml:space="preserve"> </w:t>
            </w:r>
            <w:r w:rsidRPr="00CC69EC">
              <w:rPr>
                <w:rFonts w:eastAsia="TimesNewRoman"/>
                <w:szCs w:val="22"/>
                <w:lang w:eastAsia="en-US"/>
              </w:rPr>
              <w:t>enzýmov*</w:t>
            </w:r>
          </w:p>
        </w:tc>
      </w:tr>
      <w:tr w:rsidR="00564D9B" w:rsidRPr="00CC69EC" w14:paraId="5BED8E2C" w14:textId="77777777" w:rsidTr="00E110FB">
        <w:trPr>
          <w:tblCellSpacing w:w="0" w:type="dxa"/>
        </w:trPr>
        <w:tc>
          <w:tcPr>
            <w:tcW w:w="0" w:type="auto"/>
            <w:vMerge/>
            <w:vAlign w:val="center"/>
            <w:hideMark/>
          </w:tcPr>
          <w:p w14:paraId="6E5915F6" w14:textId="77777777" w:rsidR="00564D9B" w:rsidRPr="00CC69EC" w:rsidRDefault="00564D9B" w:rsidP="00F75370">
            <w:pPr>
              <w:rPr>
                <w:color w:val="000000"/>
              </w:rPr>
            </w:pPr>
          </w:p>
        </w:tc>
        <w:tc>
          <w:tcPr>
            <w:tcW w:w="1000" w:type="pct"/>
            <w:hideMark/>
          </w:tcPr>
          <w:p w14:paraId="6AAC5E7F" w14:textId="77777777" w:rsidR="00564D9B" w:rsidRPr="00CC69EC" w:rsidRDefault="00564D9B" w:rsidP="00F75370">
            <w:pPr>
              <w:rPr>
                <w:color w:val="000000"/>
              </w:rPr>
            </w:pPr>
            <w:r w:rsidRPr="00CC69EC">
              <w:rPr>
                <w:color w:val="000000"/>
              </w:rPr>
              <w:t>Menej časté</w:t>
            </w:r>
          </w:p>
        </w:tc>
        <w:tc>
          <w:tcPr>
            <w:tcW w:w="3000" w:type="pct"/>
            <w:hideMark/>
          </w:tcPr>
          <w:p w14:paraId="71B23022" w14:textId="0B4CE99E" w:rsidR="00564D9B" w:rsidRPr="00CC69EC" w:rsidRDefault="00564D9B" w:rsidP="00EB3773">
            <w:pPr>
              <w:autoSpaceDE w:val="0"/>
              <w:autoSpaceDN w:val="0"/>
              <w:adjustRightInd w:val="0"/>
              <w:ind w:left="0" w:firstLine="0"/>
              <w:rPr>
                <w:color w:val="000000"/>
              </w:rPr>
            </w:pPr>
            <w:r w:rsidRPr="00CC69EC">
              <w:rPr>
                <w:rFonts w:eastAsia="TimesNewRoman"/>
                <w:szCs w:val="22"/>
                <w:lang w:eastAsia="en-US"/>
              </w:rPr>
              <w:t>syndróm z rozpadu nádoru, nedostatočné prospievanie*, hypomagneziémia*, hypofosfatémia*, hyperkaliémia*, hyperkalcémia*, hypernatrémia*, hladina kyseliny močovej</w:t>
            </w:r>
            <w:r w:rsidR="00EB3773">
              <w:rPr>
                <w:rFonts w:eastAsia="TimesNewRoman"/>
                <w:szCs w:val="22"/>
                <w:lang w:eastAsia="en-US"/>
              </w:rPr>
              <w:t xml:space="preserve"> mimo normy</w:t>
            </w:r>
            <w:r w:rsidRPr="00CC69EC">
              <w:rPr>
                <w:rFonts w:eastAsia="TimesNewRoman"/>
                <w:szCs w:val="22"/>
                <w:lang w:eastAsia="en-US"/>
              </w:rPr>
              <w:t>*, diabetes mellitus*, zadržiavanie tekutín</w:t>
            </w:r>
          </w:p>
        </w:tc>
      </w:tr>
      <w:tr w:rsidR="00564D9B" w:rsidRPr="00CC69EC" w14:paraId="5FA9A5B5" w14:textId="77777777" w:rsidTr="00E110FB">
        <w:trPr>
          <w:tblCellSpacing w:w="0" w:type="dxa"/>
        </w:trPr>
        <w:tc>
          <w:tcPr>
            <w:tcW w:w="0" w:type="auto"/>
            <w:vMerge/>
            <w:vAlign w:val="center"/>
            <w:hideMark/>
          </w:tcPr>
          <w:p w14:paraId="437417B5" w14:textId="77777777" w:rsidR="00564D9B" w:rsidRPr="00CC69EC" w:rsidRDefault="00564D9B" w:rsidP="00F75370">
            <w:pPr>
              <w:rPr>
                <w:color w:val="000000"/>
              </w:rPr>
            </w:pPr>
          </w:p>
        </w:tc>
        <w:tc>
          <w:tcPr>
            <w:tcW w:w="1000" w:type="pct"/>
            <w:hideMark/>
          </w:tcPr>
          <w:p w14:paraId="57BE5FE8" w14:textId="77777777" w:rsidR="00564D9B" w:rsidRPr="00CC69EC" w:rsidRDefault="00564D9B" w:rsidP="00F75370">
            <w:pPr>
              <w:rPr>
                <w:color w:val="000000"/>
              </w:rPr>
            </w:pPr>
            <w:r w:rsidRPr="00CC69EC">
              <w:rPr>
                <w:color w:val="000000"/>
              </w:rPr>
              <w:t xml:space="preserve">Zriedkavé </w:t>
            </w:r>
          </w:p>
        </w:tc>
        <w:tc>
          <w:tcPr>
            <w:tcW w:w="3000" w:type="pct"/>
            <w:hideMark/>
          </w:tcPr>
          <w:p w14:paraId="3D72295D" w14:textId="20AB06DA"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 xml:space="preserve">hypermagneziémia*, acidóza, nerovnováha elektrolytov*, </w:t>
            </w:r>
            <w:r w:rsidRPr="00717D9C">
              <w:rPr>
                <w:rFonts w:eastAsia="TimesNewRoman"/>
                <w:szCs w:val="22"/>
                <w:lang w:eastAsia="en-US"/>
              </w:rPr>
              <w:t>preťaženie tekutinou</w:t>
            </w:r>
            <w:r w:rsidRPr="00CC69EC">
              <w:rPr>
                <w:rFonts w:eastAsia="TimesNewRoman"/>
                <w:szCs w:val="22"/>
                <w:lang w:eastAsia="en-US"/>
              </w:rPr>
              <w:t xml:space="preserve">, hypochlorémia*, hypovolémia, hyperchlorémia*, hyperfosfatémia*, metabolická porucha, </w:t>
            </w:r>
            <w:r w:rsidRPr="009C54DB">
              <w:rPr>
                <w:rFonts w:eastAsia="TimesNewRoman"/>
                <w:szCs w:val="22"/>
                <w:lang w:eastAsia="en-US"/>
              </w:rPr>
              <w:t xml:space="preserve">deficit </w:t>
            </w:r>
            <w:r w:rsidRPr="009E2599">
              <w:rPr>
                <w:rFonts w:eastAsia="TimesNewRoman"/>
                <w:szCs w:val="22"/>
                <w:lang w:eastAsia="en-US"/>
              </w:rPr>
              <w:t xml:space="preserve">komplexu </w:t>
            </w:r>
            <w:r w:rsidRPr="009C54DB">
              <w:rPr>
                <w:rFonts w:eastAsia="TimesNewRoman"/>
                <w:szCs w:val="22"/>
                <w:lang w:eastAsia="en-US"/>
              </w:rPr>
              <w:t>vitamín</w:t>
            </w:r>
            <w:r w:rsidRPr="009E2599">
              <w:rPr>
                <w:rFonts w:eastAsia="TimesNewRoman"/>
                <w:szCs w:val="22"/>
                <w:lang w:eastAsia="en-US"/>
              </w:rPr>
              <w:t>ov</w:t>
            </w:r>
            <w:r w:rsidRPr="00C061A1">
              <w:rPr>
                <w:rFonts w:eastAsia="TimesNewRoman"/>
                <w:szCs w:val="22"/>
                <w:lang w:eastAsia="en-US"/>
              </w:rPr>
              <w:t xml:space="preserve"> B</w:t>
            </w:r>
            <w:r w:rsidRPr="00CC69EC">
              <w:rPr>
                <w:rFonts w:eastAsia="TimesNewRoman"/>
                <w:szCs w:val="22"/>
                <w:lang w:eastAsia="en-US"/>
              </w:rPr>
              <w:t>, deficit vitamínu B</w:t>
            </w:r>
            <w:r w:rsidRPr="00CC69EC">
              <w:rPr>
                <w:vertAlign w:val="subscript"/>
              </w:rPr>
              <w:t>12</w:t>
            </w:r>
            <w:r w:rsidRPr="00CC69EC">
              <w:rPr>
                <w:rFonts w:eastAsia="TimesNewRoman"/>
                <w:szCs w:val="22"/>
                <w:lang w:eastAsia="en-US"/>
              </w:rPr>
              <w:t>, dna, zvýšená chuť do jedla, intolerancia alkoholu</w:t>
            </w:r>
          </w:p>
        </w:tc>
      </w:tr>
      <w:tr w:rsidR="00564D9B" w:rsidRPr="00CC69EC" w14:paraId="0E5A226A" w14:textId="77777777" w:rsidTr="00E110FB">
        <w:trPr>
          <w:tblCellSpacing w:w="0" w:type="dxa"/>
        </w:trPr>
        <w:tc>
          <w:tcPr>
            <w:tcW w:w="1000" w:type="pct"/>
            <w:vMerge w:val="restart"/>
            <w:hideMark/>
          </w:tcPr>
          <w:p w14:paraId="0A46F131" w14:textId="77777777" w:rsidR="00564D9B" w:rsidRPr="00CC69EC" w:rsidRDefault="00564D9B" w:rsidP="00F75370">
            <w:pPr>
              <w:rPr>
                <w:color w:val="000000"/>
              </w:rPr>
            </w:pPr>
            <w:r w:rsidRPr="00CC69EC">
              <w:rPr>
                <w:rFonts w:eastAsia="TimesNewRoman"/>
                <w:szCs w:val="22"/>
                <w:lang w:eastAsia="en-US"/>
              </w:rPr>
              <w:t>Psychické poruchy</w:t>
            </w:r>
          </w:p>
        </w:tc>
        <w:tc>
          <w:tcPr>
            <w:tcW w:w="1000" w:type="pct"/>
            <w:hideMark/>
          </w:tcPr>
          <w:p w14:paraId="5E9F8F82" w14:textId="77777777" w:rsidR="00564D9B" w:rsidRPr="00CC69EC" w:rsidRDefault="00564D9B" w:rsidP="00F75370">
            <w:pPr>
              <w:rPr>
                <w:color w:val="000000"/>
              </w:rPr>
            </w:pPr>
            <w:r w:rsidRPr="00CC69EC">
              <w:rPr>
                <w:color w:val="000000"/>
              </w:rPr>
              <w:t>Časté</w:t>
            </w:r>
          </w:p>
        </w:tc>
        <w:tc>
          <w:tcPr>
            <w:tcW w:w="3000" w:type="pct"/>
            <w:hideMark/>
          </w:tcPr>
          <w:p w14:paraId="2A515C99" w14:textId="5C32925D" w:rsidR="00564D9B" w:rsidRPr="00CC69EC" w:rsidRDefault="00564D9B" w:rsidP="00E110FB">
            <w:pPr>
              <w:ind w:left="0" w:firstLine="0"/>
              <w:rPr>
                <w:color w:val="000000"/>
              </w:rPr>
            </w:pPr>
            <w:r w:rsidRPr="00CC69EC">
              <w:rPr>
                <w:rFonts w:eastAsia="TimesNewRoman"/>
                <w:szCs w:val="22"/>
                <w:lang w:eastAsia="en-US"/>
              </w:rPr>
              <w:t>poruchy nálady*, úzkostné poruchy*,</w:t>
            </w:r>
            <w:r>
              <w:rPr>
                <w:rFonts w:eastAsia="TimesNewRoman"/>
                <w:szCs w:val="22"/>
                <w:lang w:eastAsia="en-US"/>
              </w:rPr>
              <w:t xml:space="preserve"> </w:t>
            </w:r>
            <w:r w:rsidR="0066331E">
              <w:rPr>
                <w:rFonts w:eastAsia="TimesNewRoman"/>
                <w:szCs w:val="22"/>
                <w:lang w:eastAsia="en-US"/>
              </w:rPr>
              <w:t>prerušovaný spánok</w:t>
            </w:r>
            <w:r w:rsidRPr="00CC69EC">
              <w:rPr>
                <w:rFonts w:eastAsia="TimesNewRoman"/>
                <w:szCs w:val="22"/>
                <w:lang w:eastAsia="en-US"/>
              </w:rPr>
              <w:t>*</w:t>
            </w:r>
          </w:p>
        </w:tc>
      </w:tr>
      <w:tr w:rsidR="00564D9B" w:rsidRPr="00CC69EC" w14:paraId="0589C51D" w14:textId="77777777" w:rsidTr="00E110FB">
        <w:trPr>
          <w:tblCellSpacing w:w="0" w:type="dxa"/>
        </w:trPr>
        <w:tc>
          <w:tcPr>
            <w:tcW w:w="0" w:type="auto"/>
            <w:vMerge/>
            <w:vAlign w:val="center"/>
            <w:hideMark/>
          </w:tcPr>
          <w:p w14:paraId="32E70544" w14:textId="77777777" w:rsidR="00564D9B" w:rsidRPr="00CC69EC" w:rsidRDefault="00564D9B" w:rsidP="00F75370">
            <w:pPr>
              <w:rPr>
                <w:color w:val="000000"/>
              </w:rPr>
            </w:pPr>
          </w:p>
        </w:tc>
        <w:tc>
          <w:tcPr>
            <w:tcW w:w="1000" w:type="pct"/>
            <w:hideMark/>
          </w:tcPr>
          <w:p w14:paraId="63C1C37D" w14:textId="77777777" w:rsidR="00564D9B" w:rsidRPr="00CC69EC" w:rsidRDefault="00564D9B" w:rsidP="00F75370">
            <w:pPr>
              <w:rPr>
                <w:color w:val="000000"/>
              </w:rPr>
            </w:pPr>
            <w:r w:rsidRPr="00CC69EC">
              <w:rPr>
                <w:color w:val="000000"/>
              </w:rPr>
              <w:t xml:space="preserve">Menej časté </w:t>
            </w:r>
          </w:p>
        </w:tc>
        <w:tc>
          <w:tcPr>
            <w:tcW w:w="3000" w:type="pct"/>
            <w:hideMark/>
          </w:tcPr>
          <w:p w14:paraId="1B757EAF"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duševné poruchy*, halucinácie*, psychotické poruchy*, zmätenosť*, nepokoj</w:t>
            </w:r>
          </w:p>
        </w:tc>
      </w:tr>
      <w:tr w:rsidR="00564D9B" w:rsidRPr="00CC69EC" w14:paraId="6A54773D" w14:textId="77777777" w:rsidTr="00E110FB">
        <w:trPr>
          <w:tblCellSpacing w:w="0" w:type="dxa"/>
        </w:trPr>
        <w:tc>
          <w:tcPr>
            <w:tcW w:w="0" w:type="auto"/>
            <w:vMerge/>
            <w:vAlign w:val="center"/>
            <w:hideMark/>
          </w:tcPr>
          <w:p w14:paraId="115B8C3B" w14:textId="77777777" w:rsidR="00564D9B" w:rsidRPr="00CC69EC" w:rsidRDefault="00564D9B" w:rsidP="00F75370">
            <w:pPr>
              <w:rPr>
                <w:color w:val="000000"/>
              </w:rPr>
            </w:pPr>
          </w:p>
        </w:tc>
        <w:tc>
          <w:tcPr>
            <w:tcW w:w="1000" w:type="pct"/>
            <w:hideMark/>
          </w:tcPr>
          <w:p w14:paraId="001F6ABC" w14:textId="77777777" w:rsidR="00564D9B" w:rsidRPr="00CC69EC" w:rsidRDefault="00564D9B" w:rsidP="00F75370">
            <w:pPr>
              <w:rPr>
                <w:color w:val="000000"/>
              </w:rPr>
            </w:pPr>
            <w:r w:rsidRPr="00CC69EC">
              <w:rPr>
                <w:color w:val="000000"/>
              </w:rPr>
              <w:t xml:space="preserve">Zriedkavé </w:t>
            </w:r>
          </w:p>
        </w:tc>
        <w:tc>
          <w:tcPr>
            <w:tcW w:w="3000" w:type="pct"/>
            <w:hideMark/>
          </w:tcPr>
          <w:p w14:paraId="504E63B8" w14:textId="1B25EA54" w:rsidR="00564D9B" w:rsidRPr="00CC69EC" w:rsidRDefault="00564D9B" w:rsidP="006533F8">
            <w:pPr>
              <w:autoSpaceDE w:val="0"/>
              <w:autoSpaceDN w:val="0"/>
              <w:adjustRightInd w:val="0"/>
              <w:ind w:left="0" w:firstLine="0"/>
              <w:rPr>
                <w:color w:val="000000"/>
              </w:rPr>
            </w:pPr>
            <w:r w:rsidRPr="00CC69EC">
              <w:rPr>
                <w:rFonts w:eastAsia="TimesNewRoman"/>
                <w:szCs w:val="22"/>
                <w:lang w:eastAsia="en-US"/>
              </w:rPr>
              <w:t xml:space="preserve">samovražedné myšlienky*, </w:t>
            </w:r>
            <w:r w:rsidRPr="00717D9C">
              <w:rPr>
                <w:rFonts w:eastAsia="TimesNewRoman"/>
                <w:szCs w:val="22"/>
                <w:lang w:eastAsia="en-US"/>
              </w:rPr>
              <w:t>porucha prispôsobenia sa,</w:t>
            </w:r>
            <w:r w:rsidRPr="00CC69EC">
              <w:rPr>
                <w:rFonts w:eastAsia="TimesNewRoman"/>
                <w:szCs w:val="22"/>
                <w:lang w:eastAsia="en-US"/>
              </w:rPr>
              <w:t xml:space="preserve"> delírium, pokles </w:t>
            </w:r>
            <w:r w:rsidR="006533F8">
              <w:rPr>
                <w:rFonts w:eastAsia="TimesNewRoman"/>
                <w:szCs w:val="22"/>
                <w:lang w:eastAsia="en-US"/>
              </w:rPr>
              <w:t>libida</w:t>
            </w:r>
          </w:p>
        </w:tc>
      </w:tr>
      <w:tr w:rsidR="00564D9B" w:rsidRPr="00CC69EC" w14:paraId="3F867F72" w14:textId="77777777" w:rsidTr="00E110FB">
        <w:trPr>
          <w:tblCellSpacing w:w="0" w:type="dxa"/>
        </w:trPr>
        <w:tc>
          <w:tcPr>
            <w:tcW w:w="1000" w:type="pct"/>
            <w:vMerge w:val="restart"/>
            <w:hideMark/>
          </w:tcPr>
          <w:p w14:paraId="456F4EE1" w14:textId="77777777" w:rsidR="00564D9B" w:rsidRPr="00467029" w:rsidRDefault="00564D9B" w:rsidP="00F75370">
            <w:pPr>
              <w:autoSpaceDE w:val="0"/>
              <w:autoSpaceDN w:val="0"/>
              <w:adjustRightInd w:val="0"/>
              <w:ind w:left="0" w:firstLine="0"/>
              <w:rPr>
                <w:rFonts w:eastAsia="TimesNewRoman"/>
                <w:szCs w:val="22"/>
                <w:lang w:eastAsia="en-US"/>
              </w:rPr>
            </w:pPr>
            <w:r w:rsidRPr="00467029">
              <w:rPr>
                <w:rFonts w:eastAsia="TimesNewRoman"/>
                <w:szCs w:val="22"/>
                <w:lang w:eastAsia="en-US"/>
              </w:rPr>
              <w:t>Poruchy nervového</w:t>
            </w:r>
          </w:p>
          <w:p w14:paraId="5A31E0E8" w14:textId="77777777" w:rsidR="00564D9B" w:rsidRPr="00CC69EC" w:rsidRDefault="00564D9B" w:rsidP="00F75370">
            <w:pPr>
              <w:rPr>
                <w:color w:val="000000"/>
              </w:rPr>
            </w:pPr>
            <w:r w:rsidRPr="008E5C8E">
              <w:rPr>
                <w:rFonts w:eastAsia="TimesNewRoman"/>
                <w:szCs w:val="22"/>
                <w:lang w:eastAsia="en-US"/>
              </w:rPr>
              <w:t>systému</w:t>
            </w:r>
          </w:p>
        </w:tc>
        <w:tc>
          <w:tcPr>
            <w:tcW w:w="1000" w:type="pct"/>
            <w:hideMark/>
          </w:tcPr>
          <w:p w14:paraId="468E15F3" w14:textId="77777777" w:rsidR="00564D9B" w:rsidRPr="00CC69EC" w:rsidRDefault="00564D9B" w:rsidP="00F75370">
            <w:pPr>
              <w:rPr>
                <w:color w:val="000000"/>
              </w:rPr>
            </w:pPr>
            <w:r w:rsidRPr="00CC69EC">
              <w:rPr>
                <w:color w:val="000000"/>
              </w:rPr>
              <w:t>Veľmi časté</w:t>
            </w:r>
          </w:p>
        </w:tc>
        <w:tc>
          <w:tcPr>
            <w:tcW w:w="3000" w:type="pct"/>
            <w:hideMark/>
          </w:tcPr>
          <w:p w14:paraId="53ECD3CF"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neuropatie*, periférna senzorická neuropatia, dyzestézia*, neuralgia*</w:t>
            </w:r>
          </w:p>
        </w:tc>
      </w:tr>
      <w:tr w:rsidR="00564D9B" w:rsidRPr="00CC69EC" w14:paraId="0C0BBA65" w14:textId="77777777" w:rsidTr="00E110FB">
        <w:trPr>
          <w:tblCellSpacing w:w="0" w:type="dxa"/>
        </w:trPr>
        <w:tc>
          <w:tcPr>
            <w:tcW w:w="0" w:type="auto"/>
            <w:vMerge/>
            <w:vAlign w:val="center"/>
            <w:hideMark/>
          </w:tcPr>
          <w:p w14:paraId="25D40AB0" w14:textId="77777777" w:rsidR="00564D9B" w:rsidRPr="00CC69EC" w:rsidRDefault="00564D9B" w:rsidP="00F75370">
            <w:pPr>
              <w:rPr>
                <w:color w:val="000000"/>
              </w:rPr>
            </w:pPr>
          </w:p>
        </w:tc>
        <w:tc>
          <w:tcPr>
            <w:tcW w:w="1000" w:type="pct"/>
            <w:hideMark/>
          </w:tcPr>
          <w:p w14:paraId="52AAC659" w14:textId="77777777" w:rsidR="00564D9B" w:rsidRPr="00CC69EC" w:rsidRDefault="00564D9B" w:rsidP="00F75370">
            <w:pPr>
              <w:rPr>
                <w:color w:val="000000"/>
              </w:rPr>
            </w:pPr>
            <w:r w:rsidRPr="00CC69EC">
              <w:rPr>
                <w:color w:val="000000"/>
              </w:rPr>
              <w:t>Časté</w:t>
            </w:r>
          </w:p>
        </w:tc>
        <w:tc>
          <w:tcPr>
            <w:tcW w:w="3000" w:type="pct"/>
            <w:hideMark/>
          </w:tcPr>
          <w:p w14:paraId="7C8817F3"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motorická neuropatia*, strata vedomia (vrátane synkopy), závraty*, dysgeúzia*, letargia, bolesť hlavy*</w:t>
            </w:r>
          </w:p>
        </w:tc>
      </w:tr>
      <w:tr w:rsidR="00564D9B" w:rsidRPr="00CC69EC" w14:paraId="5594D2C8" w14:textId="77777777" w:rsidTr="00E110FB">
        <w:trPr>
          <w:tblCellSpacing w:w="0" w:type="dxa"/>
        </w:trPr>
        <w:tc>
          <w:tcPr>
            <w:tcW w:w="0" w:type="auto"/>
            <w:vMerge/>
            <w:vAlign w:val="center"/>
            <w:hideMark/>
          </w:tcPr>
          <w:p w14:paraId="38FA6492" w14:textId="77777777" w:rsidR="00564D9B" w:rsidRPr="00CC69EC" w:rsidRDefault="00564D9B" w:rsidP="00F75370">
            <w:pPr>
              <w:rPr>
                <w:color w:val="000000"/>
              </w:rPr>
            </w:pPr>
          </w:p>
        </w:tc>
        <w:tc>
          <w:tcPr>
            <w:tcW w:w="1000" w:type="pct"/>
            <w:hideMark/>
          </w:tcPr>
          <w:p w14:paraId="78F1117F" w14:textId="77777777" w:rsidR="00564D9B" w:rsidRPr="00CC69EC" w:rsidRDefault="00564D9B" w:rsidP="00F75370">
            <w:pPr>
              <w:rPr>
                <w:color w:val="000000"/>
              </w:rPr>
            </w:pPr>
            <w:r w:rsidRPr="00CC69EC">
              <w:rPr>
                <w:color w:val="000000"/>
              </w:rPr>
              <w:t>Menej časté</w:t>
            </w:r>
          </w:p>
        </w:tc>
        <w:tc>
          <w:tcPr>
            <w:tcW w:w="3000" w:type="pct"/>
            <w:hideMark/>
          </w:tcPr>
          <w:p w14:paraId="53393AE2" w14:textId="189B6B9D" w:rsidR="00564D9B" w:rsidRPr="00CC69EC" w:rsidRDefault="00564D9B" w:rsidP="00717D9C">
            <w:pPr>
              <w:autoSpaceDE w:val="0"/>
              <w:autoSpaceDN w:val="0"/>
              <w:adjustRightInd w:val="0"/>
              <w:ind w:left="0" w:firstLine="0"/>
              <w:rPr>
                <w:color w:val="000000"/>
              </w:rPr>
            </w:pPr>
            <w:r w:rsidRPr="00CC69EC">
              <w:rPr>
                <w:rFonts w:eastAsia="TimesNewRoman"/>
                <w:szCs w:val="22"/>
                <w:lang w:eastAsia="en-US"/>
              </w:rPr>
              <w:t>tremor, periférna senzorimotorická neuropatia, dyskinéza*, poruchy cerebelárnej koordinácie a rovnováhy*, strata pamäti (s výnimkou demencie)*, encefalopatia*, syndróm posteriórnej reverzibilnej encefalopatie</w:t>
            </w:r>
            <w:r w:rsidRPr="00CC69EC">
              <w:rPr>
                <w:szCs w:val="22"/>
                <w:vertAlign w:val="superscript"/>
                <w:lang w:eastAsia="en-GB"/>
              </w:rPr>
              <w:t>#</w:t>
            </w:r>
            <w:r w:rsidRPr="00CC69EC">
              <w:rPr>
                <w:rFonts w:eastAsia="TimesNewRoman"/>
                <w:szCs w:val="22"/>
                <w:lang w:eastAsia="en-US"/>
              </w:rPr>
              <w:t xml:space="preserve">, neurotoxicita, </w:t>
            </w:r>
            <w:r w:rsidR="00717D9C" w:rsidRPr="00717D9C">
              <w:rPr>
                <w:rFonts w:eastAsia="TimesNewRoman"/>
                <w:szCs w:val="22"/>
                <w:lang w:eastAsia="en-US"/>
              </w:rPr>
              <w:t>z</w:t>
            </w:r>
            <w:r w:rsidR="00717D9C">
              <w:rPr>
                <w:rFonts w:eastAsia="TimesNewRoman"/>
                <w:szCs w:val="22"/>
                <w:lang w:eastAsia="en-US"/>
              </w:rPr>
              <w:t>áchvatové poruchy</w:t>
            </w:r>
            <w:r w:rsidRPr="00CC69EC">
              <w:rPr>
                <w:rFonts w:eastAsia="TimesNewRoman"/>
                <w:szCs w:val="22"/>
                <w:lang w:eastAsia="en-US"/>
              </w:rPr>
              <w:t>*, postherpetická neuralgia, porucha reči*, syndróm nepokojných nôh, migréna, ischias, porucha pozornosti, neprirodzené reflexy*, parosmia</w:t>
            </w:r>
          </w:p>
        </w:tc>
      </w:tr>
      <w:tr w:rsidR="00564D9B" w:rsidRPr="00CC69EC" w14:paraId="38D068FE" w14:textId="77777777" w:rsidTr="00E110FB">
        <w:trPr>
          <w:tblCellSpacing w:w="0" w:type="dxa"/>
        </w:trPr>
        <w:tc>
          <w:tcPr>
            <w:tcW w:w="0" w:type="auto"/>
            <w:vMerge/>
            <w:vAlign w:val="center"/>
            <w:hideMark/>
          </w:tcPr>
          <w:p w14:paraId="496724F6" w14:textId="77777777" w:rsidR="00564D9B" w:rsidRPr="00CC69EC" w:rsidRDefault="00564D9B" w:rsidP="00F75370">
            <w:pPr>
              <w:rPr>
                <w:color w:val="000000"/>
              </w:rPr>
            </w:pPr>
          </w:p>
        </w:tc>
        <w:tc>
          <w:tcPr>
            <w:tcW w:w="1000" w:type="pct"/>
            <w:hideMark/>
          </w:tcPr>
          <w:p w14:paraId="1501D733" w14:textId="77777777" w:rsidR="00564D9B" w:rsidRPr="00CC69EC" w:rsidRDefault="00564D9B" w:rsidP="00F75370">
            <w:pPr>
              <w:rPr>
                <w:color w:val="000000"/>
              </w:rPr>
            </w:pPr>
            <w:r w:rsidRPr="00A77F12">
              <w:rPr>
                <w:color w:val="000000"/>
              </w:rPr>
              <w:t>Zriedkavé</w:t>
            </w:r>
            <w:r w:rsidRPr="00CC69EC">
              <w:rPr>
                <w:color w:val="000000"/>
              </w:rPr>
              <w:t xml:space="preserve"> </w:t>
            </w:r>
          </w:p>
        </w:tc>
        <w:tc>
          <w:tcPr>
            <w:tcW w:w="3000" w:type="pct"/>
            <w:hideMark/>
          </w:tcPr>
          <w:p w14:paraId="02A96D3D"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 xml:space="preserve">cerebrálna hemorágia*, intrakraniálna hemorágia* (vrátane subarachnoidálnej)*, opuch mozgu, tranzitórny ischemický atak, kóma, nerovnováha autonómneho nervového systému, autonómna neuropatia, ochrnutie hlavových nervov*, paralýza*, paréza*, presynkopa, </w:t>
            </w:r>
            <w:r w:rsidRPr="00717D9C">
              <w:rPr>
                <w:rFonts w:eastAsia="TimesNewRoman"/>
                <w:szCs w:val="22"/>
                <w:lang w:eastAsia="en-US"/>
              </w:rPr>
              <w:t>syndróm mozgového kmeňa</w:t>
            </w:r>
            <w:r w:rsidRPr="00936B2F">
              <w:rPr>
                <w:rFonts w:eastAsia="TimesNewRoman"/>
                <w:szCs w:val="22"/>
                <w:lang w:eastAsia="en-US"/>
              </w:rPr>
              <w:t>,</w:t>
            </w:r>
            <w:r w:rsidRPr="00CC69EC">
              <w:rPr>
                <w:rFonts w:eastAsia="TimesNewRoman"/>
                <w:szCs w:val="22"/>
                <w:lang w:eastAsia="en-US"/>
              </w:rPr>
              <w:t xml:space="preserve"> cerebrovaskulárna porucha, lézia nervového koreňa, psychomotorická hyperaktivita, stlačenie miechy, kognitívna porucha NOS, motorická dysfunkcia, porucha nervového systému NOS, radikulitída, zvýšené slinenie, hypotónia</w:t>
            </w:r>
          </w:p>
        </w:tc>
      </w:tr>
      <w:tr w:rsidR="00564D9B" w:rsidRPr="00CC69EC" w14:paraId="280D0592" w14:textId="77777777" w:rsidTr="00E110FB">
        <w:trPr>
          <w:tblCellSpacing w:w="0" w:type="dxa"/>
        </w:trPr>
        <w:tc>
          <w:tcPr>
            <w:tcW w:w="1000" w:type="pct"/>
            <w:vMerge w:val="restart"/>
            <w:hideMark/>
          </w:tcPr>
          <w:p w14:paraId="2E58BC15" w14:textId="77777777" w:rsidR="00564D9B" w:rsidRPr="00CC69EC" w:rsidRDefault="00564D9B" w:rsidP="00F75370">
            <w:pPr>
              <w:rPr>
                <w:color w:val="000000"/>
              </w:rPr>
            </w:pPr>
            <w:r w:rsidRPr="00CC69EC">
              <w:rPr>
                <w:rFonts w:eastAsia="TimesNewRoman"/>
                <w:szCs w:val="22"/>
                <w:lang w:eastAsia="en-US"/>
              </w:rPr>
              <w:t>Poruchy oka</w:t>
            </w:r>
          </w:p>
        </w:tc>
        <w:tc>
          <w:tcPr>
            <w:tcW w:w="1000" w:type="pct"/>
            <w:hideMark/>
          </w:tcPr>
          <w:p w14:paraId="1D343A03" w14:textId="77777777" w:rsidR="00564D9B" w:rsidRPr="00CC69EC" w:rsidRDefault="00564D9B" w:rsidP="00F75370">
            <w:pPr>
              <w:rPr>
                <w:color w:val="000000"/>
              </w:rPr>
            </w:pPr>
            <w:r w:rsidRPr="00CC69EC">
              <w:rPr>
                <w:color w:val="000000"/>
              </w:rPr>
              <w:t xml:space="preserve">Časté </w:t>
            </w:r>
          </w:p>
        </w:tc>
        <w:tc>
          <w:tcPr>
            <w:tcW w:w="3000" w:type="pct"/>
            <w:hideMark/>
          </w:tcPr>
          <w:p w14:paraId="77A24A65" w14:textId="3F724B2A" w:rsidR="00564D9B" w:rsidRPr="00CC69EC" w:rsidRDefault="00564D9B" w:rsidP="006533F8">
            <w:pPr>
              <w:rPr>
                <w:color w:val="000000"/>
              </w:rPr>
            </w:pPr>
            <w:r w:rsidRPr="00CC69EC">
              <w:rPr>
                <w:rFonts w:eastAsia="TimesNewRoman"/>
                <w:szCs w:val="22"/>
                <w:lang w:eastAsia="en-US"/>
              </w:rPr>
              <w:t xml:space="preserve">opuch oka*, </w:t>
            </w:r>
            <w:r w:rsidR="006533F8">
              <w:rPr>
                <w:rFonts w:eastAsia="TimesNewRoman"/>
                <w:szCs w:val="22"/>
                <w:lang w:eastAsia="en-US"/>
              </w:rPr>
              <w:t>porucha</w:t>
            </w:r>
            <w:r w:rsidR="006533F8" w:rsidRPr="00CC69EC">
              <w:rPr>
                <w:rFonts w:eastAsia="TimesNewRoman"/>
                <w:szCs w:val="22"/>
                <w:lang w:eastAsia="en-US"/>
              </w:rPr>
              <w:t xml:space="preserve"> </w:t>
            </w:r>
            <w:r w:rsidRPr="00CC69EC">
              <w:rPr>
                <w:rFonts w:eastAsia="TimesNewRoman"/>
                <w:szCs w:val="22"/>
                <w:lang w:eastAsia="en-US"/>
              </w:rPr>
              <w:t>videni</w:t>
            </w:r>
            <w:r w:rsidR="006533F8">
              <w:rPr>
                <w:rFonts w:eastAsia="TimesNewRoman"/>
                <w:szCs w:val="22"/>
                <w:lang w:eastAsia="en-US"/>
              </w:rPr>
              <w:t>a</w:t>
            </w:r>
            <w:r w:rsidRPr="00CC69EC">
              <w:rPr>
                <w:rFonts w:eastAsia="TimesNewRoman"/>
                <w:szCs w:val="22"/>
                <w:lang w:eastAsia="en-US"/>
              </w:rPr>
              <w:t>*, konjunktivitída*</w:t>
            </w:r>
          </w:p>
        </w:tc>
      </w:tr>
      <w:tr w:rsidR="00564D9B" w:rsidRPr="00CC69EC" w14:paraId="52B502FA" w14:textId="77777777" w:rsidTr="00E110FB">
        <w:trPr>
          <w:tblCellSpacing w:w="0" w:type="dxa"/>
        </w:trPr>
        <w:tc>
          <w:tcPr>
            <w:tcW w:w="0" w:type="auto"/>
            <w:vMerge/>
            <w:vAlign w:val="center"/>
            <w:hideMark/>
          </w:tcPr>
          <w:p w14:paraId="169B75B4" w14:textId="77777777" w:rsidR="00564D9B" w:rsidRPr="00CC69EC" w:rsidRDefault="00564D9B" w:rsidP="00F75370">
            <w:pPr>
              <w:rPr>
                <w:color w:val="000000"/>
              </w:rPr>
            </w:pPr>
          </w:p>
        </w:tc>
        <w:tc>
          <w:tcPr>
            <w:tcW w:w="1000" w:type="pct"/>
            <w:hideMark/>
          </w:tcPr>
          <w:p w14:paraId="64FF2EB0" w14:textId="77777777" w:rsidR="00564D9B" w:rsidRPr="00CC69EC" w:rsidRDefault="00564D9B" w:rsidP="00F75370">
            <w:pPr>
              <w:rPr>
                <w:color w:val="000000"/>
              </w:rPr>
            </w:pPr>
            <w:r w:rsidRPr="00CC69EC">
              <w:rPr>
                <w:color w:val="000000"/>
              </w:rPr>
              <w:t>Menej časté</w:t>
            </w:r>
          </w:p>
        </w:tc>
        <w:tc>
          <w:tcPr>
            <w:tcW w:w="3000" w:type="pct"/>
            <w:hideMark/>
          </w:tcPr>
          <w:p w14:paraId="2CAF0DE6" w14:textId="3166F9BA"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 xml:space="preserve">očná hemorágia*, infekcia očného viečka*, </w:t>
            </w:r>
            <w:r w:rsidR="00030E94" w:rsidRPr="00030E94">
              <w:rPr>
                <w:rFonts w:eastAsia="TimesNewRoman"/>
                <w:szCs w:val="22"/>
                <w:lang w:eastAsia="en-US"/>
              </w:rPr>
              <w:t>chalazión</w:t>
            </w:r>
            <w:r w:rsidR="00030E94" w:rsidRPr="00030E94">
              <w:rPr>
                <w:rFonts w:eastAsia="TimesNewRoman"/>
                <w:szCs w:val="22"/>
                <w:vertAlign w:val="superscript"/>
                <w:lang w:eastAsia="en-US"/>
              </w:rPr>
              <w:t>#</w:t>
            </w:r>
            <w:r w:rsidR="00030E94" w:rsidRPr="00030E94">
              <w:rPr>
                <w:rFonts w:eastAsia="TimesNewRoman"/>
                <w:szCs w:val="22"/>
                <w:lang w:eastAsia="en-US"/>
              </w:rPr>
              <w:t>, blefaritída</w:t>
            </w:r>
            <w:r w:rsidR="00030E94" w:rsidRPr="00030E94">
              <w:rPr>
                <w:rFonts w:eastAsia="TimesNewRoman"/>
                <w:szCs w:val="22"/>
                <w:vertAlign w:val="superscript"/>
                <w:lang w:eastAsia="en-US"/>
              </w:rPr>
              <w:t>#</w:t>
            </w:r>
            <w:r w:rsidR="00030E94" w:rsidRPr="00030E94">
              <w:rPr>
                <w:rFonts w:eastAsia="TimesNewRoman"/>
                <w:szCs w:val="22"/>
                <w:lang w:eastAsia="en-US"/>
              </w:rPr>
              <w:t xml:space="preserve">, </w:t>
            </w:r>
            <w:r w:rsidRPr="00CC69EC">
              <w:rPr>
                <w:rFonts w:eastAsia="TimesNewRoman"/>
                <w:szCs w:val="22"/>
                <w:lang w:eastAsia="en-US"/>
              </w:rPr>
              <w:t>zápal oka*, diplopia, suchosť oka*, podráždenie oka*, bolesť oka, zvýšené slzenie, výtok z oka</w:t>
            </w:r>
            <w:r w:rsidRPr="00CC69EC">
              <w:rPr>
                <w:color w:val="000000"/>
              </w:rPr>
              <w:t xml:space="preserve"> </w:t>
            </w:r>
          </w:p>
        </w:tc>
      </w:tr>
      <w:tr w:rsidR="00564D9B" w:rsidRPr="00CC69EC" w14:paraId="643D249F" w14:textId="77777777" w:rsidTr="00E110FB">
        <w:trPr>
          <w:tblCellSpacing w:w="0" w:type="dxa"/>
        </w:trPr>
        <w:tc>
          <w:tcPr>
            <w:tcW w:w="0" w:type="auto"/>
            <w:vMerge/>
            <w:vAlign w:val="center"/>
            <w:hideMark/>
          </w:tcPr>
          <w:p w14:paraId="0540032C" w14:textId="77777777" w:rsidR="00564D9B" w:rsidRPr="00CC69EC" w:rsidRDefault="00564D9B" w:rsidP="00F75370">
            <w:pPr>
              <w:rPr>
                <w:color w:val="000000"/>
              </w:rPr>
            </w:pPr>
          </w:p>
        </w:tc>
        <w:tc>
          <w:tcPr>
            <w:tcW w:w="1000" w:type="pct"/>
            <w:hideMark/>
          </w:tcPr>
          <w:p w14:paraId="03C65401" w14:textId="77777777" w:rsidR="00564D9B" w:rsidRPr="00CC69EC" w:rsidRDefault="00564D9B" w:rsidP="00F75370">
            <w:pPr>
              <w:rPr>
                <w:color w:val="000000"/>
              </w:rPr>
            </w:pPr>
            <w:r w:rsidRPr="00CC69EC">
              <w:rPr>
                <w:color w:val="000000"/>
              </w:rPr>
              <w:t>Zriedkavé</w:t>
            </w:r>
          </w:p>
        </w:tc>
        <w:tc>
          <w:tcPr>
            <w:tcW w:w="3000" w:type="pct"/>
            <w:hideMark/>
          </w:tcPr>
          <w:p w14:paraId="6A91537F"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lézie rohovky*, exoftalmus, retinitída, skotóm, poruchy oka NOS (vrátane očného viečka), získaná dakryoadenitída, fotofóbia, fotopsia, optická neuropatia</w:t>
            </w:r>
            <w:r w:rsidRPr="00CC69EC">
              <w:rPr>
                <w:rFonts w:eastAsia="TimesNewRoman"/>
                <w:szCs w:val="22"/>
                <w:vertAlign w:val="superscript"/>
                <w:lang w:eastAsia="en-US"/>
              </w:rPr>
              <w:t>#</w:t>
            </w:r>
            <w:r w:rsidRPr="00CC69EC">
              <w:rPr>
                <w:rFonts w:eastAsia="TimesNewRoman"/>
                <w:szCs w:val="22"/>
                <w:lang w:eastAsia="en-US"/>
              </w:rPr>
              <w:t>, rôzne stupne poškodenia zraku (až po slepotu*)</w:t>
            </w:r>
          </w:p>
        </w:tc>
      </w:tr>
      <w:tr w:rsidR="00564D9B" w:rsidRPr="00CC69EC" w14:paraId="1EDBA7F6" w14:textId="77777777" w:rsidTr="00E110FB">
        <w:trPr>
          <w:tblCellSpacing w:w="0" w:type="dxa"/>
        </w:trPr>
        <w:tc>
          <w:tcPr>
            <w:tcW w:w="1000" w:type="pct"/>
            <w:vMerge w:val="restart"/>
            <w:hideMark/>
          </w:tcPr>
          <w:p w14:paraId="18B2E0C6"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Poruchy ucha a labyrintu</w:t>
            </w:r>
          </w:p>
        </w:tc>
        <w:tc>
          <w:tcPr>
            <w:tcW w:w="1000" w:type="pct"/>
            <w:hideMark/>
          </w:tcPr>
          <w:p w14:paraId="2165CCD2" w14:textId="77777777" w:rsidR="00564D9B" w:rsidRPr="00CC69EC" w:rsidRDefault="00564D9B" w:rsidP="00F75370">
            <w:pPr>
              <w:rPr>
                <w:color w:val="000000"/>
              </w:rPr>
            </w:pPr>
            <w:r w:rsidRPr="00CC69EC">
              <w:rPr>
                <w:color w:val="000000"/>
              </w:rPr>
              <w:t xml:space="preserve">Časté </w:t>
            </w:r>
          </w:p>
        </w:tc>
        <w:tc>
          <w:tcPr>
            <w:tcW w:w="3000" w:type="pct"/>
            <w:hideMark/>
          </w:tcPr>
          <w:p w14:paraId="596F534D" w14:textId="77777777" w:rsidR="00564D9B" w:rsidRPr="00CC69EC" w:rsidRDefault="00564D9B" w:rsidP="00F75370">
            <w:pPr>
              <w:rPr>
                <w:color w:val="000000"/>
              </w:rPr>
            </w:pPr>
            <w:r w:rsidRPr="00CC69EC">
              <w:rPr>
                <w:color w:val="000000"/>
              </w:rPr>
              <w:t xml:space="preserve">vertigo* </w:t>
            </w:r>
          </w:p>
        </w:tc>
      </w:tr>
      <w:tr w:rsidR="00564D9B" w:rsidRPr="00CC69EC" w14:paraId="7AD754CA" w14:textId="77777777" w:rsidTr="00E110FB">
        <w:trPr>
          <w:tblCellSpacing w:w="0" w:type="dxa"/>
        </w:trPr>
        <w:tc>
          <w:tcPr>
            <w:tcW w:w="0" w:type="auto"/>
            <w:vMerge/>
            <w:vAlign w:val="center"/>
            <w:hideMark/>
          </w:tcPr>
          <w:p w14:paraId="6BC74CED" w14:textId="77777777" w:rsidR="00564D9B" w:rsidRPr="00CC69EC" w:rsidRDefault="00564D9B" w:rsidP="00F75370">
            <w:pPr>
              <w:rPr>
                <w:color w:val="000000"/>
              </w:rPr>
            </w:pPr>
          </w:p>
        </w:tc>
        <w:tc>
          <w:tcPr>
            <w:tcW w:w="1000" w:type="pct"/>
            <w:hideMark/>
          </w:tcPr>
          <w:p w14:paraId="57DF01A7" w14:textId="77777777" w:rsidR="00564D9B" w:rsidRPr="00CC69EC" w:rsidRDefault="00564D9B" w:rsidP="00F75370">
            <w:pPr>
              <w:rPr>
                <w:color w:val="000000"/>
              </w:rPr>
            </w:pPr>
            <w:r w:rsidRPr="00CC69EC">
              <w:rPr>
                <w:color w:val="000000"/>
              </w:rPr>
              <w:t>Menej časté</w:t>
            </w:r>
          </w:p>
        </w:tc>
        <w:tc>
          <w:tcPr>
            <w:tcW w:w="3000" w:type="pct"/>
            <w:hideMark/>
          </w:tcPr>
          <w:p w14:paraId="214F50B1"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dysakúzia (vrátane tinitu)*, porucha sluchu (až do a vrátane hluchoty), ušný diskomfort*</w:t>
            </w:r>
          </w:p>
        </w:tc>
      </w:tr>
      <w:tr w:rsidR="00564D9B" w:rsidRPr="00CC69EC" w14:paraId="09C8B04D" w14:textId="77777777" w:rsidTr="00E110FB">
        <w:trPr>
          <w:tblCellSpacing w:w="0" w:type="dxa"/>
        </w:trPr>
        <w:tc>
          <w:tcPr>
            <w:tcW w:w="0" w:type="auto"/>
            <w:vMerge/>
            <w:vAlign w:val="center"/>
            <w:hideMark/>
          </w:tcPr>
          <w:p w14:paraId="31DCB5F5" w14:textId="77777777" w:rsidR="00564D9B" w:rsidRPr="00CC69EC" w:rsidRDefault="00564D9B" w:rsidP="00F75370">
            <w:pPr>
              <w:rPr>
                <w:color w:val="000000"/>
              </w:rPr>
            </w:pPr>
          </w:p>
        </w:tc>
        <w:tc>
          <w:tcPr>
            <w:tcW w:w="1000" w:type="pct"/>
            <w:hideMark/>
          </w:tcPr>
          <w:p w14:paraId="7B3D331E" w14:textId="77777777" w:rsidR="00564D9B" w:rsidRPr="00CC69EC" w:rsidRDefault="00564D9B" w:rsidP="00F75370">
            <w:pPr>
              <w:rPr>
                <w:color w:val="000000"/>
              </w:rPr>
            </w:pPr>
            <w:r w:rsidRPr="00CC69EC">
              <w:rPr>
                <w:color w:val="000000"/>
              </w:rPr>
              <w:t xml:space="preserve">Zriedkavé </w:t>
            </w:r>
          </w:p>
        </w:tc>
        <w:tc>
          <w:tcPr>
            <w:tcW w:w="3000" w:type="pct"/>
            <w:hideMark/>
          </w:tcPr>
          <w:p w14:paraId="75DF1229"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krvácanie ucha, vestibulárna neuronitída, porucha ucha NOS</w:t>
            </w:r>
          </w:p>
        </w:tc>
      </w:tr>
      <w:tr w:rsidR="00564D9B" w:rsidRPr="00CC69EC" w14:paraId="109DD6F6" w14:textId="77777777" w:rsidTr="00E110FB">
        <w:trPr>
          <w:tblCellSpacing w:w="0" w:type="dxa"/>
        </w:trPr>
        <w:tc>
          <w:tcPr>
            <w:tcW w:w="1000" w:type="pct"/>
            <w:vMerge w:val="restart"/>
            <w:hideMark/>
          </w:tcPr>
          <w:p w14:paraId="732021C2"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Poruchy srdca a srdcovej činnosti</w:t>
            </w:r>
          </w:p>
        </w:tc>
        <w:tc>
          <w:tcPr>
            <w:tcW w:w="1000" w:type="pct"/>
            <w:hideMark/>
          </w:tcPr>
          <w:p w14:paraId="32BBFAA0" w14:textId="77777777" w:rsidR="00564D9B" w:rsidRPr="00CC69EC" w:rsidRDefault="00564D9B" w:rsidP="00F75370">
            <w:pPr>
              <w:rPr>
                <w:color w:val="000000"/>
              </w:rPr>
            </w:pPr>
            <w:r w:rsidRPr="00CC69EC">
              <w:rPr>
                <w:color w:val="000000"/>
              </w:rPr>
              <w:t xml:space="preserve">Menej časté </w:t>
            </w:r>
          </w:p>
        </w:tc>
        <w:tc>
          <w:tcPr>
            <w:tcW w:w="3000" w:type="pct"/>
            <w:hideMark/>
          </w:tcPr>
          <w:p w14:paraId="708A9C5F" w14:textId="4D1C6E8C" w:rsidR="00564D9B" w:rsidRPr="00CC69EC" w:rsidRDefault="00564D9B" w:rsidP="00EB39CD">
            <w:pPr>
              <w:autoSpaceDE w:val="0"/>
              <w:autoSpaceDN w:val="0"/>
              <w:adjustRightInd w:val="0"/>
              <w:ind w:left="0" w:firstLine="0"/>
              <w:rPr>
                <w:color w:val="000000"/>
              </w:rPr>
            </w:pPr>
            <w:r w:rsidRPr="00CC69EC">
              <w:rPr>
                <w:rFonts w:eastAsia="TimesNewRoman"/>
                <w:szCs w:val="22"/>
                <w:lang w:eastAsia="en-US"/>
              </w:rPr>
              <w:t>srdcová tamponáda</w:t>
            </w:r>
            <w:r w:rsidRPr="00CC69EC">
              <w:rPr>
                <w:rFonts w:eastAsia="TimesNewRoman"/>
                <w:szCs w:val="22"/>
                <w:vertAlign w:val="superscript"/>
                <w:lang w:eastAsia="en-US"/>
              </w:rPr>
              <w:t>#</w:t>
            </w:r>
            <w:r w:rsidRPr="00CC69EC">
              <w:rPr>
                <w:rFonts w:eastAsia="TimesNewRoman"/>
                <w:szCs w:val="22"/>
                <w:lang w:eastAsia="en-US"/>
              </w:rPr>
              <w:t>, kardiopulmonálna zástava*, srdcová fibrilácia (vrátane atriálnej), zlyhanie srdca (vrátane ľavostranného a pravostranného ventrikulárneho zlyhania)*, arytmia*, tachykardia*, palpitácie, angína pe</w:t>
            </w:r>
            <w:r w:rsidR="006533F8">
              <w:rPr>
                <w:rFonts w:eastAsia="TimesNewRoman"/>
                <w:szCs w:val="22"/>
                <w:lang w:eastAsia="en-US"/>
              </w:rPr>
              <w:t>k</w:t>
            </w:r>
            <w:r w:rsidRPr="00CC69EC">
              <w:rPr>
                <w:rFonts w:eastAsia="TimesNewRoman"/>
                <w:szCs w:val="22"/>
                <w:lang w:eastAsia="en-US"/>
              </w:rPr>
              <w:t>toris, perikarditída (vrátane perikardiálneho výpotku)</w:t>
            </w:r>
            <w:r w:rsidR="00EB39CD" w:rsidRPr="00CC69EC">
              <w:rPr>
                <w:rFonts w:eastAsia="TimesNewRoman"/>
                <w:szCs w:val="22"/>
                <w:lang w:eastAsia="en-US"/>
              </w:rPr>
              <w:t>*</w:t>
            </w:r>
            <w:r w:rsidRPr="00CC69EC">
              <w:rPr>
                <w:rFonts w:eastAsia="TimesNewRoman"/>
                <w:szCs w:val="22"/>
                <w:lang w:eastAsia="en-US"/>
              </w:rPr>
              <w:t>, kardiomyopatia*, ventrikulárna dysfunkcia*, bradykardia</w:t>
            </w:r>
            <w:r w:rsidRPr="00CC69EC">
              <w:rPr>
                <w:color w:val="000000"/>
              </w:rPr>
              <w:t xml:space="preserve"> </w:t>
            </w:r>
          </w:p>
        </w:tc>
      </w:tr>
      <w:tr w:rsidR="00564D9B" w:rsidRPr="00CC69EC" w14:paraId="37F22B0E" w14:textId="77777777" w:rsidTr="00E110FB">
        <w:trPr>
          <w:tblCellSpacing w:w="0" w:type="dxa"/>
        </w:trPr>
        <w:tc>
          <w:tcPr>
            <w:tcW w:w="0" w:type="auto"/>
            <w:vMerge/>
            <w:vAlign w:val="center"/>
            <w:hideMark/>
          </w:tcPr>
          <w:p w14:paraId="124C44F5" w14:textId="77777777" w:rsidR="00564D9B" w:rsidRPr="00CC69EC" w:rsidRDefault="00564D9B" w:rsidP="00F75370">
            <w:pPr>
              <w:rPr>
                <w:color w:val="000000"/>
              </w:rPr>
            </w:pPr>
          </w:p>
        </w:tc>
        <w:tc>
          <w:tcPr>
            <w:tcW w:w="1000" w:type="pct"/>
            <w:hideMark/>
          </w:tcPr>
          <w:p w14:paraId="12FE1737" w14:textId="77777777" w:rsidR="00564D9B" w:rsidRPr="00CC69EC" w:rsidRDefault="00564D9B" w:rsidP="00F75370">
            <w:pPr>
              <w:rPr>
                <w:color w:val="000000"/>
              </w:rPr>
            </w:pPr>
            <w:r w:rsidRPr="00CC69EC">
              <w:rPr>
                <w:color w:val="000000"/>
              </w:rPr>
              <w:t xml:space="preserve">Zriedkavé </w:t>
            </w:r>
          </w:p>
        </w:tc>
        <w:tc>
          <w:tcPr>
            <w:tcW w:w="3000" w:type="pct"/>
            <w:hideMark/>
          </w:tcPr>
          <w:p w14:paraId="38CD52E7"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fl</w:t>
            </w:r>
            <w:r>
              <w:rPr>
                <w:rFonts w:eastAsia="TimesNewRoman"/>
                <w:szCs w:val="22"/>
                <w:lang w:eastAsia="en-US"/>
              </w:rPr>
              <w:t>ut</w:t>
            </w:r>
            <w:r w:rsidRPr="00CC69EC">
              <w:rPr>
                <w:rFonts w:eastAsia="TimesNewRoman"/>
                <w:szCs w:val="22"/>
                <w:lang w:eastAsia="en-US"/>
              </w:rPr>
              <w:t>ter predsiení, infarkt myokardu*, atrioventrikulárny blok*, kardiovaskulárna porucha (vrátane kardiogénneho šoku), torsade de pointes, nestabilná angína, poruchy srdcovej chlopne*, insuficiencia koronárnych artérií, zástava sínusového uzla</w:t>
            </w:r>
          </w:p>
        </w:tc>
      </w:tr>
      <w:tr w:rsidR="00564D9B" w:rsidRPr="00CC69EC" w14:paraId="3672235A" w14:textId="77777777" w:rsidTr="00E110FB">
        <w:trPr>
          <w:tblCellSpacing w:w="0" w:type="dxa"/>
        </w:trPr>
        <w:tc>
          <w:tcPr>
            <w:tcW w:w="1000" w:type="pct"/>
            <w:vMerge w:val="restart"/>
            <w:hideMark/>
          </w:tcPr>
          <w:p w14:paraId="606A8855" w14:textId="77777777" w:rsidR="00564D9B" w:rsidRPr="00CC69EC" w:rsidRDefault="00564D9B" w:rsidP="00F75370">
            <w:pPr>
              <w:rPr>
                <w:color w:val="000000"/>
              </w:rPr>
            </w:pPr>
            <w:r w:rsidRPr="00CC69EC">
              <w:rPr>
                <w:rFonts w:eastAsia="TimesNewRoman"/>
                <w:szCs w:val="22"/>
                <w:lang w:eastAsia="en-US"/>
              </w:rPr>
              <w:t>Poruchy ciev</w:t>
            </w:r>
          </w:p>
        </w:tc>
        <w:tc>
          <w:tcPr>
            <w:tcW w:w="1000" w:type="pct"/>
            <w:hideMark/>
          </w:tcPr>
          <w:p w14:paraId="71FD1352" w14:textId="77777777" w:rsidR="00564D9B" w:rsidRPr="00CC69EC" w:rsidRDefault="00564D9B" w:rsidP="00F75370">
            <w:pPr>
              <w:rPr>
                <w:color w:val="000000"/>
              </w:rPr>
            </w:pPr>
            <w:r w:rsidRPr="00CC69EC">
              <w:rPr>
                <w:color w:val="000000"/>
              </w:rPr>
              <w:t xml:space="preserve">Časté </w:t>
            </w:r>
          </w:p>
        </w:tc>
        <w:tc>
          <w:tcPr>
            <w:tcW w:w="3000" w:type="pct"/>
            <w:hideMark/>
          </w:tcPr>
          <w:p w14:paraId="14DB26F4" w14:textId="77777777" w:rsidR="00564D9B" w:rsidRPr="00CC69EC" w:rsidRDefault="00564D9B" w:rsidP="00F75370">
            <w:pPr>
              <w:rPr>
                <w:color w:val="000000"/>
                <w:szCs w:val="22"/>
              </w:rPr>
            </w:pPr>
            <w:r w:rsidRPr="00CC69EC">
              <w:rPr>
                <w:rFonts w:eastAsia="TimesNewRoman"/>
                <w:szCs w:val="22"/>
                <w:lang w:eastAsia="en-US"/>
              </w:rPr>
              <w:t>hypotenzia*, ortostatická hypotenzia, hypertenzia*</w:t>
            </w:r>
          </w:p>
        </w:tc>
      </w:tr>
      <w:tr w:rsidR="00564D9B" w:rsidRPr="00CC69EC" w14:paraId="1000AA36" w14:textId="77777777" w:rsidTr="00E110FB">
        <w:trPr>
          <w:tblCellSpacing w:w="0" w:type="dxa"/>
        </w:trPr>
        <w:tc>
          <w:tcPr>
            <w:tcW w:w="0" w:type="auto"/>
            <w:vMerge/>
            <w:vAlign w:val="center"/>
            <w:hideMark/>
          </w:tcPr>
          <w:p w14:paraId="53C2FCD3" w14:textId="77777777" w:rsidR="00564D9B" w:rsidRPr="00CC69EC" w:rsidRDefault="00564D9B" w:rsidP="00F75370">
            <w:pPr>
              <w:rPr>
                <w:color w:val="000000"/>
              </w:rPr>
            </w:pPr>
          </w:p>
        </w:tc>
        <w:tc>
          <w:tcPr>
            <w:tcW w:w="1000" w:type="pct"/>
            <w:hideMark/>
          </w:tcPr>
          <w:p w14:paraId="7A6A0F47" w14:textId="77777777" w:rsidR="00564D9B" w:rsidRPr="00CC69EC" w:rsidRDefault="00564D9B" w:rsidP="00F75370">
            <w:pPr>
              <w:rPr>
                <w:color w:val="000000"/>
              </w:rPr>
            </w:pPr>
            <w:r w:rsidRPr="00CC69EC">
              <w:rPr>
                <w:color w:val="000000"/>
              </w:rPr>
              <w:t>Menej časté</w:t>
            </w:r>
          </w:p>
        </w:tc>
        <w:tc>
          <w:tcPr>
            <w:tcW w:w="3000" w:type="pct"/>
            <w:hideMark/>
          </w:tcPr>
          <w:p w14:paraId="51D914D2"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cerebrovaskulárna príhoda</w:t>
            </w:r>
            <w:r w:rsidRPr="00CC69EC">
              <w:rPr>
                <w:rFonts w:eastAsia="TimesNewRoman"/>
                <w:szCs w:val="22"/>
                <w:vertAlign w:val="superscript"/>
                <w:lang w:eastAsia="en-US"/>
              </w:rPr>
              <w:t>#</w:t>
            </w:r>
            <w:r w:rsidRPr="00CC69EC">
              <w:rPr>
                <w:rFonts w:eastAsia="TimesNewRoman"/>
                <w:szCs w:val="22"/>
                <w:lang w:eastAsia="en-US"/>
              </w:rPr>
              <w:t>, hlboká žilová trombóza*, hemorágia*, tromboflebitída (vrátane povrchovej), kolaps obehového systému (vrátane hypovolemického šoku), flebitída, sčervenanie*, hematóm (vrátane perirenálneho)*, nedostatočná periférna cirkulácia*, vaskulitída, hyperémia (vrátane očnej)*</w:t>
            </w:r>
          </w:p>
        </w:tc>
      </w:tr>
      <w:tr w:rsidR="00564D9B" w:rsidRPr="00CC69EC" w14:paraId="4A379D88" w14:textId="77777777" w:rsidTr="00E110FB">
        <w:trPr>
          <w:tblCellSpacing w:w="0" w:type="dxa"/>
        </w:trPr>
        <w:tc>
          <w:tcPr>
            <w:tcW w:w="0" w:type="auto"/>
            <w:vMerge/>
            <w:vAlign w:val="center"/>
            <w:hideMark/>
          </w:tcPr>
          <w:p w14:paraId="048E9F01" w14:textId="77777777" w:rsidR="00564D9B" w:rsidRPr="00CC69EC" w:rsidRDefault="00564D9B" w:rsidP="00F75370">
            <w:pPr>
              <w:rPr>
                <w:color w:val="000000"/>
              </w:rPr>
            </w:pPr>
          </w:p>
        </w:tc>
        <w:tc>
          <w:tcPr>
            <w:tcW w:w="1000" w:type="pct"/>
            <w:hideMark/>
          </w:tcPr>
          <w:p w14:paraId="6E76A47B" w14:textId="77777777" w:rsidR="00564D9B" w:rsidRPr="00CC69EC" w:rsidRDefault="00564D9B" w:rsidP="00F75370">
            <w:pPr>
              <w:rPr>
                <w:color w:val="000000"/>
              </w:rPr>
            </w:pPr>
            <w:r w:rsidRPr="00CC69EC">
              <w:rPr>
                <w:color w:val="000000"/>
              </w:rPr>
              <w:t xml:space="preserve">Zriedkavé </w:t>
            </w:r>
          </w:p>
        </w:tc>
        <w:tc>
          <w:tcPr>
            <w:tcW w:w="3000" w:type="pct"/>
            <w:hideMark/>
          </w:tcPr>
          <w:p w14:paraId="5890E896" w14:textId="2E2621AC"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periférna embólia, lymfedém, bledosť, erytromelalgia, vazodilatácia, zmena zafarbenia žily, žilová nedostatočnosť</w:t>
            </w:r>
          </w:p>
        </w:tc>
      </w:tr>
      <w:tr w:rsidR="00564D9B" w:rsidRPr="00CC69EC" w14:paraId="2ECE98FF" w14:textId="77777777" w:rsidTr="00E110FB">
        <w:trPr>
          <w:tblCellSpacing w:w="0" w:type="dxa"/>
        </w:trPr>
        <w:tc>
          <w:tcPr>
            <w:tcW w:w="1000" w:type="pct"/>
            <w:vMerge w:val="restart"/>
            <w:hideMark/>
          </w:tcPr>
          <w:p w14:paraId="52A3387B"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Poruchy dýchacej sústavy, hrudníka a mediastína</w:t>
            </w:r>
          </w:p>
        </w:tc>
        <w:tc>
          <w:tcPr>
            <w:tcW w:w="1000" w:type="pct"/>
            <w:hideMark/>
          </w:tcPr>
          <w:p w14:paraId="5ABAAADD" w14:textId="77777777" w:rsidR="00564D9B" w:rsidRPr="00CC69EC" w:rsidRDefault="00564D9B" w:rsidP="00F75370">
            <w:pPr>
              <w:rPr>
                <w:color w:val="000000"/>
                <w:szCs w:val="22"/>
              </w:rPr>
            </w:pPr>
            <w:r w:rsidRPr="00CC69EC">
              <w:rPr>
                <w:color w:val="000000"/>
                <w:szCs w:val="22"/>
              </w:rPr>
              <w:t xml:space="preserve">Časté </w:t>
            </w:r>
          </w:p>
        </w:tc>
        <w:tc>
          <w:tcPr>
            <w:tcW w:w="3000" w:type="pct"/>
            <w:hideMark/>
          </w:tcPr>
          <w:p w14:paraId="4639B481"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dyspnoe*, epistaxa, infekcia horných/dolných dýchacích ciest*, kašeľ*</w:t>
            </w:r>
          </w:p>
        </w:tc>
      </w:tr>
      <w:tr w:rsidR="00564D9B" w:rsidRPr="00CC69EC" w14:paraId="31472AA6" w14:textId="77777777" w:rsidTr="00E110FB">
        <w:trPr>
          <w:tblCellSpacing w:w="0" w:type="dxa"/>
        </w:trPr>
        <w:tc>
          <w:tcPr>
            <w:tcW w:w="0" w:type="auto"/>
            <w:vMerge/>
            <w:vAlign w:val="center"/>
            <w:hideMark/>
          </w:tcPr>
          <w:p w14:paraId="46D04A33" w14:textId="77777777" w:rsidR="00564D9B" w:rsidRPr="00CC69EC" w:rsidRDefault="00564D9B" w:rsidP="00F75370">
            <w:pPr>
              <w:rPr>
                <w:color w:val="000000"/>
                <w:szCs w:val="22"/>
              </w:rPr>
            </w:pPr>
          </w:p>
        </w:tc>
        <w:tc>
          <w:tcPr>
            <w:tcW w:w="1000" w:type="pct"/>
            <w:hideMark/>
          </w:tcPr>
          <w:p w14:paraId="3FBB5F05" w14:textId="77777777" w:rsidR="00564D9B" w:rsidRPr="00CC69EC" w:rsidRDefault="00564D9B" w:rsidP="00F75370">
            <w:pPr>
              <w:rPr>
                <w:color w:val="000000"/>
                <w:szCs w:val="22"/>
              </w:rPr>
            </w:pPr>
            <w:r w:rsidRPr="00CC69EC">
              <w:rPr>
                <w:color w:val="000000"/>
                <w:szCs w:val="22"/>
              </w:rPr>
              <w:t xml:space="preserve">Menej časté </w:t>
            </w:r>
          </w:p>
        </w:tc>
        <w:tc>
          <w:tcPr>
            <w:tcW w:w="3000" w:type="pct"/>
            <w:hideMark/>
          </w:tcPr>
          <w:p w14:paraId="12390A27"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pľúcna embólia, pleurálny výpotok, pľúcny edém (vrátane akútneho), pľúcna alveolárna hemorágia</w:t>
            </w:r>
            <w:r w:rsidRPr="00CC69EC">
              <w:rPr>
                <w:rFonts w:eastAsia="TimesNewRoman"/>
                <w:szCs w:val="22"/>
                <w:vertAlign w:val="superscript"/>
                <w:lang w:eastAsia="en-US"/>
              </w:rPr>
              <w:t>#</w:t>
            </w:r>
            <w:r w:rsidRPr="00CC69EC">
              <w:rPr>
                <w:rFonts w:eastAsia="TimesNewRoman"/>
                <w:szCs w:val="22"/>
                <w:lang w:eastAsia="en-US"/>
              </w:rPr>
              <w:t>, bronchospazmus, chronická obštrukčná choroba pľúc*, hypoxémia*, kongescia dýchacieho traktu*, hypoxia, pleuritída*, čkanie, rinorea, dysfónia, sipot</w:t>
            </w:r>
            <w:r w:rsidRPr="00CC69EC">
              <w:rPr>
                <w:color w:val="000000"/>
                <w:szCs w:val="22"/>
              </w:rPr>
              <w:t xml:space="preserve"> </w:t>
            </w:r>
          </w:p>
        </w:tc>
      </w:tr>
      <w:tr w:rsidR="00564D9B" w:rsidRPr="00CC69EC" w14:paraId="74CC4EA4" w14:textId="77777777" w:rsidTr="00E110FB">
        <w:trPr>
          <w:tblCellSpacing w:w="0" w:type="dxa"/>
        </w:trPr>
        <w:tc>
          <w:tcPr>
            <w:tcW w:w="0" w:type="auto"/>
            <w:vMerge/>
            <w:vAlign w:val="center"/>
            <w:hideMark/>
          </w:tcPr>
          <w:p w14:paraId="123BE9CA" w14:textId="77777777" w:rsidR="00564D9B" w:rsidRPr="00CC69EC" w:rsidRDefault="00564D9B" w:rsidP="00F75370">
            <w:pPr>
              <w:rPr>
                <w:color w:val="000000"/>
                <w:szCs w:val="22"/>
              </w:rPr>
            </w:pPr>
          </w:p>
        </w:tc>
        <w:tc>
          <w:tcPr>
            <w:tcW w:w="1000" w:type="pct"/>
            <w:hideMark/>
          </w:tcPr>
          <w:p w14:paraId="1F84A8CD"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3F4C7FB6" w14:textId="2CEC489C" w:rsidR="00564D9B" w:rsidRPr="00CC69EC" w:rsidRDefault="00564D9B" w:rsidP="00717D9C">
            <w:pPr>
              <w:ind w:left="0" w:firstLine="0"/>
              <w:rPr>
                <w:color w:val="000000"/>
                <w:szCs w:val="22"/>
              </w:rPr>
            </w:pPr>
            <w:r w:rsidRPr="00CC69EC">
              <w:rPr>
                <w:rFonts w:eastAsia="TimesNewRoman"/>
                <w:szCs w:val="22"/>
                <w:lang w:eastAsia="en-US"/>
              </w:rPr>
              <w:t>respiračné zlyhanie, syndróm akútnej respiračnej tiesne,</w:t>
            </w:r>
            <w:r w:rsidR="00517090">
              <w:rPr>
                <w:rFonts w:eastAsia="TimesNewRoman"/>
                <w:szCs w:val="22"/>
                <w:lang w:eastAsia="en-US"/>
              </w:rPr>
              <w:t xml:space="preserve"> </w:t>
            </w:r>
            <w:r w:rsidRPr="00CC69EC">
              <w:rPr>
                <w:rFonts w:eastAsia="TimesNewRoman"/>
                <w:szCs w:val="22"/>
                <w:lang w:eastAsia="en-US"/>
              </w:rPr>
              <w:t>apnoe, pneumotorax, atelektáza, pľúcna hypertenzia, hemoptýza, hyperventilácia, ortopnoe, pneumonitída, respiračná alkalóza, tachypnoe, pľúcna fibróza, bronchiálna porucha*, hypokapnia*, intersticiáln</w:t>
            </w:r>
            <w:r w:rsidR="00517090">
              <w:rPr>
                <w:rFonts w:eastAsia="TimesNewRoman"/>
                <w:szCs w:val="22"/>
                <w:lang w:eastAsia="en-US"/>
              </w:rPr>
              <w:t>a</w:t>
            </w:r>
            <w:r w:rsidRPr="00CC69EC">
              <w:rPr>
                <w:rFonts w:eastAsia="TimesNewRoman"/>
                <w:szCs w:val="22"/>
                <w:lang w:eastAsia="en-US"/>
              </w:rPr>
              <w:t xml:space="preserve"> </w:t>
            </w:r>
            <w:r w:rsidR="00517090">
              <w:rPr>
                <w:rFonts w:eastAsia="TimesNewRoman"/>
                <w:szCs w:val="22"/>
                <w:lang w:eastAsia="en-US"/>
              </w:rPr>
              <w:t>choroba</w:t>
            </w:r>
            <w:r w:rsidRPr="00CC69EC">
              <w:rPr>
                <w:rFonts w:eastAsia="TimesNewRoman"/>
                <w:szCs w:val="22"/>
                <w:lang w:eastAsia="en-US"/>
              </w:rPr>
              <w:t xml:space="preserve"> pľúc, pľúcna infiltrácia, </w:t>
            </w:r>
            <w:r>
              <w:rPr>
                <w:rFonts w:eastAsia="TimesNewRoman"/>
                <w:szCs w:val="22"/>
                <w:lang w:eastAsia="en-US"/>
              </w:rPr>
              <w:t>nepriechodnosť hrdla</w:t>
            </w:r>
            <w:r w:rsidRPr="00CC69EC">
              <w:rPr>
                <w:rFonts w:eastAsia="TimesNewRoman"/>
                <w:szCs w:val="22"/>
                <w:lang w:eastAsia="en-US"/>
              </w:rPr>
              <w:t xml:space="preserve">, sucho </w:t>
            </w:r>
            <w:r>
              <w:rPr>
                <w:rFonts w:eastAsia="TimesNewRoman"/>
                <w:szCs w:val="22"/>
                <w:lang w:eastAsia="en-US"/>
              </w:rPr>
              <w:t xml:space="preserve">v </w:t>
            </w:r>
            <w:r w:rsidRPr="00CC69EC">
              <w:rPr>
                <w:rFonts w:eastAsia="TimesNewRoman"/>
                <w:szCs w:val="22"/>
                <w:lang w:eastAsia="en-US"/>
              </w:rPr>
              <w:t xml:space="preserve">hrdle, zvýšená sekrécia </w:t>
            </w:r>
            <w:r w:rsidR="00517090">
              <w:rPr>
                <w:rFonts w:eastAsia="TimesNewRoman"/>
                <w:szCs w:val="22"/>
                <w:lang w:eastAsia="en-US"/>
              </w:rPr>
              <w:t xml:space="preserve">v </w:t>
            </w:r>
            <w:r w:rsidRPr="00CC69EC">
              <w:rPr>
                <w:rFonts w:eastAsia="TimesNewRoman"/>
                <w:szCs w:val="22"/>
                <w:lang w:eastAsia="en-US"/>
              </w:rPr>
              <w:t>horných dýchacích c</w:t>
            </w:r>
            <w:r w:rsidR="00517090">
              <w:rPr>
                <w:rFonts w:eastAsia="TimesNewRoman"/>
                <w:szCs w:val="22"/>
                <w:lang w:eastAsia="en-US"/>
              </w:rPr>
              <w:t>estách</w:t>
            </w:r>
            <w:r w:rsidRPr="00CC69EC">
              <w:rPr>
                <w:rFonts w:eastAsia="TimesNewRoman"/>
                <w:szCs w:val="22"/>
                <w:lang w:eastAsia="en-US"/>
              </w:rPr>
              <w:t xml:space="preserve">, podráždenie </w:t>
            </w:r>
            <w:r w:rsidRPr="00717D9C">
              <w:rPr>
                <w:rFonts w:eastAsia="TimesNewRoman"/>
                <w:szCs w:val="22"/>
                <w:lang w:eastAsia="en-US"/>
              </w:rPr>
              <w:t xml:space="preserve">hrdla, syndróm kašľa </w:t>
            </w:r>
            <w:r w:rsidRPr="00936B2F">
              <w:rPr>
                <w:rFonts w:eastAsia="TimesNewRoman"/>
                <w:szCs w:val="22"/>
                <w:lang w:eastAsia="en-US"/>
              </w:rPr>
              <w:t>horných dýchacích ciest</w:t>
            </w:r>
          </w:p>
        </w:tc>
      </w:tr>
      <w:tr w:rsidR="00564D9B" w:rsidRPr="00CC69EC" w14:paraId="61B79D0F" w14:textId="77777777" w:rsidTr="00E110FB">
        <w:trPr>
          <w:tblCellSpacing w:w="0" w:type="dxa"/>
        </w:trPr>
        <w:tc>
          <w:tcPr>
            <w:tcW w:w="1000" w:type="pct"/>
            <w:vMerge w:val="restart"/>
            <w:hideMark/>
          </w:tcPr>
          <w:p w14:paraId="5CF1EE80"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Poruchy gastrointestinálneho traktu</w:t>
            </w:r>
          </w:p>
        </w:tc>
        <w:tc>
          <w:tcPr>
            <w:tcW w:w="1000" w:type="pct"/>
            <w:hideMark/>
          </w:tcPr>
          <w:p w14:paraId="48578755" w14:textId="77777777" w:rsidR="00564D9B" w:rsidRPr="00CC69EC" w:rsidRDefault="00564D9B" w:rsidP="00F75370">
            <w:pPr>
              <w:rPr>
                <w:color w:val="000000"/>
                <w:szCs w:val="22"/>
              </w:rPr>
            </w:pPr>
            <w:r w:rsidRPr="00CC69EC">
              <w:rPr>
                <w:color w:val="000000"/>
                <w:szCs w:val="22"/>
              </w:rPr>
              <w:t xml:space="preserve">Veľmi časté </w:t>
            </w:r>
          </w:p>
        </w:tc>
        <w:tc>
          <w:tcPr>
            <w:tcW w:w="3000" w:type="pct"/>
            <w:hideMark/>
          </w:tcPr>
          <w:p w14:paraId="60EF91C2" w14:textId="744ABE97" w:rsidR="00564D9B" w:rsidRPr="00CC69EC" w:rsidRDefault="00717D9C" w:rsidP="00F75370">
            <w:pPr>
              <w:rPr>
                <w:color w:val="000000"/>
                <w:szCs w:val="22"/>
              </w:rPr>
            </w:pPr>
            <w:r>
              <w:rPr>
                <w:rFonts w:eastAsia="TimesNewRoman"/>
                <w:szCs w:val="22"/>
                <w:lang w:eastAsia="en-US"/>
              </w:rPr>
              <w:t>p</w:t>
            </w:r>
            <w:r w:rsidRPr="00717D9C">
              <w:rPr>
                <w:rFonts w:eastAsia="TimesNewRoman"/>
                <w:szCs w:val="22"/>
                <w:lang w:eastAsia="en-US"/>
              </w:rPr>
              <w:t xml:space="preserve">ríznaky </w:t>
            </w:r>
            <w:r w:rsidR="00564D9B" w:rsidRPr="00717D9C">
              <w:rPr>
                <w:rFonts w:eastAsia="TimesNewRoman"/>
                <w:szCs w:val="22"/>
                <w:lang w:eastAsia="en-US"/>
              </w:rPr>
              <w:t>nauze</w:t>
            </w:r>
            <w:r w:rsidRPr="00717D9C">
              <w:rPr>
                <w:rFonts w:eastAsia="TimesNewRoman"/>
                <w:szCs w:val="22"/>
                <w:lang w:eastAsia="en-US"/>
              </w:rPr>
              <w:t>y</w:t>
            </w:r>
            <w:r w:rsidR="00564D9B" w:rsidRPr="00717D9C">
              <w:rPr>
                <w:rFonts w:eastAsia="TimesNewRoman"/>
                <w:szCs w:val="22"/>
                <w:lang w:eastAsia="en-US"/>
              </w:rPr>
              <w:t xml:space="preserve"> a  vracania</w:t>
            </w:r>
            <w:r w:rsidR="00564D9B" w:rsidRPr="00CC69EC">
              <w:rPr>
                <w:rFonts w:eastAsia="TimesNewRoman"/>
                <w:szCs w:val="22"/>
                <w:lang w:eastAsia="en-US"/>
              </w:rPr>
              <w:t xml:space="preserve">*, </w:t>
            </w:r>
            <w:r w:rsidR="00517090">
              <w:rPr>
                <w:rFonts w:eastAsia="TimesNewRoman"/>
                <w:szCs w:val="22"/>
                <w:lang w:eastAsia="en-US"/>
              </w:rPr>
              <w:t>hnačka</w:t>
            </w:r>
            <w:r w:rsidR="00564D9B" w:rsidRPr="00CC69EC">
              <w:rPr>
                <w:rFonts w:eastAsia="TimesNewRoman"/>
                <w:szCs w:val="22"/>
                <w:lang w:eastAsia="en-US"/>
              </w:rPr>
              <w:t>*, zápcha</w:t>
            </w:r>
          </w:p>
        </w:tc>
      </w:tr>
      <w:tr w:rsidR="00564D9B" w:rsidRPr="00CC69EC" w14:paraId="7BF22146" w14:textId="77777777" w:rsidTr="00E110FB">
        <w:trPr>
          <w:tblCellSpacing w:w="0" w:type="dxa"/>
        </w:trPr>
        <w:tc>
          <w:tcPr>
            <w:tcW w:w="0" w:type="auto"/>
            <w:vMerge/>
            <w:vAlign w:val="center"/>
            <w:hideMark/>
          </w:tcPr>
          <w:p w14:paraId="5C1143A1" w14:textId="77777777" w:rsidR="00564D9B" w:rsidRPr="00CC69EC" w:rsidRDefault="00564D9B" w:rsidP="00F75370">
            <w:pPr>
              <w:rPr>
                <w:color w:val="000000"/>
                <w:szCs w:val="22"/>
              </w:rPr>
            </w:pPr>
          </w:p>
        </w:tc>
        <w:tc>
          <w:tcPr>
            <w:tcW w:w="1000" w:type="pct"/>
            <w:hideMark/>
          </w:tcPr>
          <w:p w14:paraId="1D5C6902" w14:textId="77777777" w:rsidR="00564D9B" w:rsidRPr="00CC69EC" w:rsidRDefault="00564D9B" w:rsidP="00F75370">
            <w:pPr>
              <w:rPr>
                <w:color w:val="000000"/>
                <w:szCs w:val="22"/>
              </w:rPr>
            </w:pPr>
            <w:r w:rsidRPr="00CC69EC">
              <w:rPr>
                <w:color w:val="000000"/>
                <w:szCs w:val="22"/>
              </w:rPr>
              <w:t xml:space="preserve">Časté </w:t>
            </w:r>
          </w:p>
        </w:tc>
        <w:tc>
          <w:tcPr>
            <w:tcW w:w="3000" w:type="pct"/>
            <w:hideMark/>
          </w:tcPr>
          <w:p w14:paraId="7D352C51" w14:textId="727EAB53" w:rsidR="00564D9B" w:rsidRPr="00CC69EC" w:rsidRDefault="00564D9B" w:rsidP="00517090">
            <w:pPr>
              <w:autoSpaceDE w:val="0"/>
              <w:autoSpaceDN w:val="0"/>
              <w:adjustRightInd w:val="0"/>
              <w:ind w:left="0" w:firstLine="0"/>
              <w:rPr>
                <w:color w:val="000000"/>
                <w:szCs w:val="22"/>
              </w:rPr>
            </w:pPr>
            <w:r w:rsidRPr="00CC69EC">
              <w:rPr>
                <w:rFonts w:eastAsia="TimesNewRoman"/>
                <w:szCs w:val="22"/>
                <w:lang w:eastAsia="en-US"/>
              </w:rPr>
              <w:t>gastrointestinálne krvácanie (vrátane krvácania zo slizníc)*, dyspepsia, stomatitída*, abdominálna distenzia, bolesť</w:t>
            </w:r>
            <w:r w:rsidR="00517090">
              <w:rPr>
                <w:rFonts w:eastAsia="TimesNewRoman"/>
                <w:szCs w:val="22"/>
                <w:lang w:eastAsia="en-US"/>
              </w:rPr>
              <w:t xml:space="preserve"> orofaryngu</w:t>
            </w:r>
            <w:r w:rsidRPr="00CC69EC">
              <w:rPr>
                <w:rFonts w:eastAsia="TimesNewRoman"/>
                <w:szCs w:val="22"/>
                <w:lang w:eastAsia="en-US"/>
              </w:rPr>
              <w:t>*, abdominálna bolesť (vrátane gastrointestinálnej bolesti a bolesti sleziny)*, ochorenia ústnej dutiny*, flatulencia</w:t>
            </w:r>
          </w:p>
        </w:tc>
      </w:tr>
      <w:tr w:rsidR="00564D9B" w:rsidRPr="00CC69EC" w14:paraId="1BBF245A" w14:textId="77777777" w:rsidTr="00E110FB">
        <w:trPr>
          <w:tblCellSpacing w:w="0" w:type="dxa"/>
        </w:trPr>
        <w:tc>
          <w:tcPr>
            <w:tcW w:w="0" w:type="auto"/>
            <w:vMerge/>
            <w:vAlign w:val="center"/>
            <w:hideMark/>
          </w:tcPr>
          <w:p w14:paraId="12F37265" w14:textId="77777777" w:rsidR="00564D9B" w:rsidRPr="00CC69EC" w:rsidRDefault="00564D9B" w:rsidP="00F75370">
            <w:pPr>
              <w:rPr>
                <w:color w:val="000000"/>
                <w:szCs w:val="22"/>
              </w:rPr>
            </w:pPr>
          </w:p>
        </w:tc>
        <w:tc>
          <w:tcPr>
            <w:tcW w:w="1000" w:type="pct"/>
            <w:hideMark/>
          </w:tcPr>
          <w:p w14:paraId="207838D4" w14:textId="77777777" w:rsidR="00564D9B" w:rsidRPr="00CC69EC" w:rsidRDefault="00564D9B" w:rsidP="00F75370">
            <w:pPr>
              <w:rPr>
                <w:color w:val="000000"/>
                <w:szCs w:val="22"/>
              </w:rPr>
            </w:pPr>
            <w:r w:rsidRPr="00CC69EC">
              <w:rPr>
                <w:color w:val="000000"/>
                <w:szCs w:val="22"/>
              </w:rPr>
              <w:t xml:space="preserve">Menej časté </w:t>
            </w:r>
          </w:p>
        </w:tc>
        <w:tc>
          <w:tcPr>
            <w:tcW w:w="3000" w:type="pct"/>
            <w:hideMark/>
          </w:tcPr>
          <w:p w14:paraId="3F28CFF8" w14:textId="5E46A3F9" w:rsidR="00564D9B" w:rsidRPr="00CC69EC" w:rsidRDefault="00564D9B" w:rsidP="007A24D6">
            <w:pPr>
              <w:autoSpaceDE w:val="0"/>
              <w:autoSpaceDN w:val="0"/>
              <w:adjustRightInd w:val="0"/>
              <w:ind w:left="0" w:firstLine="0"/>
              <w:rPr>
                <w:color w:val="000000"/>
                <w:szCs w:val="22"/>
              </w:rPr>
            </w:pPr>
            <w:r w:rsidRPr="00CC69EC">
              <w:rPr>
                <w:rFonts w:eastAsia="TimesNewRoman"/>
                <w:szCs w:val="22"/>
                <w:lang w:eastAsia="en-US"/>
              </w:rPr>
              <w:t xml:space="preserve">pankreatitída (vrátane chronickej)*, hemateméza, opuch pery*, gastrointestinálna obštrukcia (vrátane </w:t>
            </w:r>
            <w:r>
              <w:rPr>
                <w:rFonts w:eastAsia="TimesNewRoman"/>
                <w:szCs w:val="22"/>
                <w:lang w:eastAsia="en-US"/>
              </w:rPr>
              <w:t xml:space="preserve">obštrukcie tenkého čreva, </w:t>
            </w:r>
            <w:r w:rsidRPr="00CC69EC">
              <w:rPr>
                <w:rFonts w:eastAsia="TimesNewRoman"/>
                <w:szCs w:val="22"/>
                <w:lang w:eastAsia="en-US"/>
              </w:rPr>
              <w:t>ile</w:t>
            </w:r>
            <w:r w:rsidR="00517090">
              <w:rPr>
                <w:rFonts w:eastAsia="TimesNewRoman"/>
                <w:szCs w:val="22"/>
                <w:lang w:eastAsia="en-US"/>
              </w:rPr>
              <w:t>us</w:t>
            </w:r>
            <w:r w:rsidRPr="00CC69EC">
              <w:rPr>
                <w:rFonts w:eastAsia="TimesNewRoman"/>
                <w:szCs w:val="22"/>
                <w:lang w:eastAsia="en-US"/>
              </w:rPr>
              <w:t xml:space="preserve">)*, abdominálny diskomfort, ulcerácie v ústnej dutine*, enteritída*, gastritída*, krvácanie ďasien, </w:t>
            </w:r>
            <w:r w:rsidR="00517090">
              <w:rPr>
                <w:rFonts w:eastAsia="TimesNewRoman"/>
                <w:szCs w:val="22"/>
                <w:lang w:eastAsia="en-US"/>
              </w:rPr>
              <w:t xml:space="preserve">gastroezofágová </w:t>
            </w:r>
            <w:r w:rsidRPr="00CC69EC">
              <w:rPr>
                <w:rFonts w:eastAsia="TimesNewRoman"/>
                <w:szCs w:val="22"/>
                <w:lang w:eastAsia="en-US"/>
              </w:rPr>
              <w:t>reflux</w:t>
            </w:r>
            <w:r w:rsidR="00517090">
              <w:rPr>
                <w:rFonts w:eastAsia="TimesNewRoman"/>
                <w:szCs w:val="22"/>
                <w:lang w:eastAsia="en-US"/>
              </w:rPr>
              <w:t>ová</w:t>
            </w:r>
            <w:r w:rsidRPr="00CC69EC">
              <w:rPr>
                <w:rFonts w:eastAsia="TimesNewRoman"/>
                <w:szCs w:val="22"/>
                <w:lang w:eastAsia="en-US"/>
              </w:rPr>
              <w:t xml:space="preserve"> choroba*, kolitída (vrátane kolitídy spôsobenej </w:t>
            </w:r>
            <w:r w:rsidR="00517090">
              <w:rPr>
                <w:rFonts w:eastAsia="TimesNewRoman"/>
                <w:i/>
                <w:szCs w:val="22"/>
                <w:lang w:eastAsia="en-US"/>
              </w:rPr>
              <w:t>C</w:t>
            </w:r>
            <w:r w:rsidRPr="00CC69EC">
              <w:rPr>
                <w:rFonts w:eastAsia="TimesNewRoman"/>
                <w:i/>
                <w:szCs w:val="22"/>
                <w:lang w:eastAsia="en-US"/>
              </w:rPr>
              <w:t>lostridium difficile</w:t>
            </w:r>
            <w:r w:rsidRPr="00CC69EC">
              <w:rPr>
                <w:rFonts w:eastAsia="TimesNewRoman"/>
                <w:szCs w:val="22"/>
                <w:lang w:eastAsia="en-US"/>
              </w:rPr>
              <w:t>)*, ischemická kolitída</w:t>
            </w:r>
            <w:r w:rsidRPr="00CC69EC">
              <w:rPr>
                <w:rFonts w:eastAsia="TimesNewRoman"/>
                <w:szCs w:val="22"/>
                <w:vertAlign w:val="superscript"/>
                <w:lang w:eastAsia="en-US"/>
              </w:rPr>
              <w:t>#</w:t>
            </w:r>
            <w:r w:rsidRPr="00CC69EC">
              <w:rPr>
                <w:rFonts w:eastAsia="TimesNewRoman"/>
                <w:szCs w:val="22"/>
                <w:lang w:eastAsia="en-US"/>
              </w:rPr>
              <w:t>, gastrointestinálny zápal*, dysfágia, syndróm dráždivého čreva, gastrointestinálna porucha NOS, povlak na jazyku, porucha gastrointestinálnej motility*, porucha slinnej žľazy*</w:t>
            </w:r>
          </w:p>
        </w:tc>
      </w:tr>
      <w:tr w:rsidR="00564D9B" w:rsidRPr="00CC69EC" w14:paraId="0819AD50" w14:textId="77777777" w:rsidTr="00E110FB">
        <w:trPr>
          <w:tblCellSpacing w:w="0" w:type="dxa"/>
        </w:trPr>
        <w:tc>
          <w:tcPr>
            <w:tcW w:w="0" w:type="auto"/>
            <w:vMerge/>
            <w:vAlign w:val="center"/>
            <w:hideMark/>
          </w:tcPr>
          <w:p w14:paraId="0EE26092" w14:textId="77777777" w:rsidR="00564D9B" w:rsidRPr="00CC69EC" w:rsidRDefault="00564D9B" w:rsidP="00F75370">
            <w:pPr>
              <w:rPr>
                <w:color w:val="000000"/>
                <w:szCs w:val="22"/>
              </w:rPr>
            </w:pPr>
          </w:p>
        </w:tc>
        <w:tc>
          <w:tcPr>
            <w:tcW w:w="1000" w:type="pct"/>
            <w:hideMark/>
          </w:tcPr>
          <w:p w14:paraId="1D9F8CA5"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0CE353FC" w14:textId="0FC21EF3" w:rsidR="00564D9B" w:rsidRPr="00CC69EC" w:rsidRDefault="00564D9B" w:rsidP="000C428F">
            <w:pPr>
              <w:autoSpaceDE w:val="0"/>
              <w:autoSpaceDN w:val="0"/>
              <w:adjustRightInd w:val="0"/>
              <w:ind w:left="0" w:firstLine="0"/>
              <w:rPr>
                <w:color w:val="000000"/>
                <w:szCs w:val="22"/>
              </w:rPr>
            </w:pPr>
            <w:r w:rsidRPr="00CC69EC">
              <w:rPr>
                <w:rFonts w:eastAsia="TimesNewRoman"/>
                <w:szCs w:val="22"/>
                <w:lang w:eastAsia="en-US"/>
              </w:rPr>
              <w:t xml:space="preserve">akútna pankreatitída, peritonitída*, opuch jazyka*, ascites, ezofagitída, cheilitída, inkontinencia stolice, atónia análneho sfinktera, fekalóm*, gastrointestinálna ulcerácia a perforácia*, hypertrofia ďasien, megakolón, výtok z rekta, tvorba pľuzgierov v ústach a hltane*, bolesť pery, periodontitída, </w:t>
            </w:r>
            <w:r>
              <w:rPr>
                <w:rFonts w:eastAsia="TimesNewRoman"/>
                <w:szCs w:val="22"/>
                <w:lang w:eastAsia="en-US"/>
              </w:rPr>
              <w:t xml:space="preserve">análna </w:t>
            </w:r>
            <w:r w:rsidR="000C428F">
              <w:rPr>
                <w:rFonts w:eastAsia="TimesNewRoman"/>
                <w:szCs w:val="22"/>
                <w:lang w:eastAsia="en-US"/>
              </w:rPr>
              <w:t>fisúra</w:t>
            </w:r>
            <w:r>
              <w:rPr>
                <w:rFonts w:eastAsia="TimesNewRoman"/>
                <w:szCs w:val="22"/>
                <w:lang w:eastAsia="en-US"/>
              </w:rPr>
              <w:t>,</w:t>
            </w:r>
            <w:r w:rsidRPr="00CC69EC">
              <w:rPr>
                <w:rFonts w:eastAsia="TimesNewRoman"/>
                <w:szCs w:val="22"/>
                <w:lang w:eastAsia="en-US"/>
              </w:rPr>
              <w:t xml:space="preserve"> zmena </w:t>
            </w:r>
            <w:r w:rsidR="000C428F">
              <w:rPr>
                <w:rFonts w:eastAsia="TimesNewRoman"/>
                <w:szCs w:val="22"/>
                <w:lang w:eastAsia="en-US"/>
              </w:rPr>
              <w:t>počtu stolíc</w:t>
            </w:r>
            <w:r w:rsidRPr="00CC69EC">
              <w:rPr>
                <w:rFonts w:eastAsia="TimesNewRoman"/>
                <w:szCs w:val="22"/>
                <w:lang w:eastAsia="en-US"/>
              </w:rPr>
              <w:t xml:space="preserve">, proktalgia, </w:t>
            </w:r>
            <w:r w:rsidR="000C428F">
              <w:rPr>
                <w:rFonts w:eastAsia="TimesNewRoman"/>
                <w:szCs w:val="22"/>
                <w:lang w:eastAsia="en-US"/>
              </w:rPr>
              <w:t>nezvyčajná</w:t>
            </w:r>
            <w:r w:rsidR="000C428F" w:rsidRPr="00CC69EC">
              <w:rPr>
                <w:rFonts w:eastAsia="TimesNewRoman"/>
                <w:szCs w:val="22"/>
                <w:lang w:eastAsia="en-US"/>
              </w:rPr>
              <w:t xml:space="preserve"> </w:t>
            </w:r>
            <w:r w:rsidRPr="00CC69EC">
              <w:rPr>
                <w:rFonts w:eastAsia="TimesNewRoman"/>
                <w:szCs w:val="22"/>
                <w:lang w:eastAsia="en-US"/>
              </w:rPr>
              <w:t xml:space="preserve">stolica </w:t>
            </w:r>
          </w:p>
        </w:tc>
      </w:tr>
      <w:tr w:rsidR="00564D9B" w:rsidRPr="00CC69EC" w14:paraId="27BE5AE0" w14:textId="77777777" w:rsidTr="00E110FB">
        <w:trPr>
          <w:tblCellSpacing w:w="0" w:type="dxa"/>
        </w:trPr>
        <w:tc>
          <w:tcPr>
            <w:tcW w:w="1000" w:type="pct"/>
            <w:vMerge w:val="restart"/>
            <w:hideMark/>
          </w:tcPr>
          <w:p w14:paraId="5C1A8378"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Poruchy pečene a žlčových ciest</w:t>
            </w:r>
          </w:p>
        </w:tc>
        <w:tc>
          <w:tcPr>
            <w:tcW w:w="1000" w:type="pct"/>
            <w:hideMark/>
          </w:tcPr>
          <w:p w14:paraId="00326F49" w14:textId="77777777" w:rsidR="00564D9B" w:rsidRPr="00CC69EC" w:rsidRDefault="00564D9B" w:rsidP="00F75370">
            <w:pPr>
              <w:rPr>
                <w:color w:val="000000"/>
                <w:szCs w:val="22"/>
              </w:rPr>
            </w:pPr>
            <w:r w:rsidRPr="00CC69EC">
              <w:rPr>
                <w:color w:val="000000"/>
                <w:szCs w:val="22"/>
              </w:rPr>
              <w:t xml:space="preserve">Časté </w:t>
            </w:r>
          </w:p>
        </w:tc>
        <w:tc>
          <w:tcPr>
            <w:tcW w:w="3000" w:type="pct"/>
            <w:hideMark/>
          </w:tcPr>
          <w:p w14:paraId="29E3EB15" w14:textId="57BBA650" w:rsidR="00564D9B" w:rsidRPr="00CC69EC" w:rsidRDefault="000C428F" w:rsidP="00F75370">
            <w:pPr>
              <w:rPr>
                <w:color w:val="000000"/>
                <w:szCs w:val="22"/>
              </w:rPr>
            </w:pPr>
            <w:r>
              <w:rPr>
                <w:rFonts w:eastAsia="TimesNewRoman"/>
                <w:szCs w:val="22"/>
                <w:lang w:eastAsia="en-US"/>
              </w:rPr>
              <w:t>porucha</w:t>
            </w:r>
            <w:r w:rsidRPr="00CC69EC">
              <w:rPr>
                <w:rFonts w:eastAsia="TimesNewRoman"/>
                <w:szCs w:val="22"/>
                <w:lang w:eastAsia="en-US"/>
              </w:rPr>
              <w:t xml:space="preserve"> </w:t>
            </w:r>
            <w:r w:rsidR="00564D9B" w:rsidRPr="00CC69EC">
              <w:rPr>
                <w:rFonts w:eastAsia="TimesNewRoman"/>
                <w:szCs w:val="22"/>
                <w:lang w:eastAsia="en-US"/>
              </w:rPr>
              <w:t>pečeňov</w:t>
            </w:r>
            <w:r>
              <w:rPr>
                <w:rFonts w:eastAsia="TimesNewRoman"/>
                <w:szCs w:val="22"/>
                <w:lang w:eastAsia="en-US"/>
              </w:rPr>
              <w:t>ých</w:t>
            </w:r>
            <w:r w:rsidR="00564D9B" w:rsidRPr="00CC69EC">
              <w:rPr>
                <w:rFonts w:eastAsia="TimesNewRoman"/>
                <w:szCs w:val="22"/>
                <w:lang w:eastAsia="en-US"/>
              </w:rPr>
              <w:t xml:space="preserve"> enzým</w:t>
            </w:r>
            <w:r>
              <w:rPr>
                <w:rFonts w:eastAsia="TimesNewRoman"/>
                <w:szCs w:val="22"/>
                <w:lang w:eastAsia="en-US"/>
              </w:rPr>
              <w:t>ov</w:t>
            </w:r>
            <w:r w:rsidR="00564D9B" w:rsidRPr="00CC69EC">
              <w:rPr>
                <w:rFonts w:eastAsia="TimesNewRoman"/>
                <w:szCs w:val="22"/>
                <w:lang w:eastAsia="en-US"/>
              </w:rPr>
              <w:t>*</w:t>
            </w:r>
          </w:p>
        </w:tc>
      </w:tr>
      <w:tr w:rsidR="00564D9B" w:rsidRPr="00CC69EC" w14:paraId="30D57BE3" w14:textId="77777777" w:rsidTr="00E110FB">
        <w:trPr>
          <w:tblCellSpacing w:w="0" w:type="dxa"/>
        </w:trPr>
        <w:tc>
          <w:tcPr>
            <w:tcW w:w="0" w:type="auto"/>
            <w:vMerge/>
            <w:vAlign w:val="center"/>
            <w:hideMark/>
          </w:tcPr>
          <w:p w14:paraId="4CB107DC" w14:textId="77777777" w:rsidR="00564D9B" w:rsidRPr="00CC69EC" w:rsidRDefault="00564D9B" w:rsidP="00F75370">
            <w:pPr>
              <w:rPr>
                <w:color w:val="000000"/>
                <w:szCs w:val="22"/>
              </w:rPr>
            </w:pPr>
          </w:p>
        </w:tc>
        <w:tc>
          <w:tcPr>
            <w:tcW w:w="1000" w:type="pct"/>
            <w:hideMark/>
          </w:tcPr>
          <w:p w14:paraId="3E875D83" w14:textId="77777777" w:rsidR="00564D9B" w:rsidRPr="00CC69EC" w:rsidRDefault="00564D9B" w:rsidP="00F75370">
            <w:pPr>
              <w:rPr>
                <w:color w:val="000000"/>
                <w:szCs w:val="22"/>
              </w:rPr>
            </w:pPr>
            <w:r w:rsidRPr="00CC69EC">
              <w:rPr>
                <w:color w:val="000000"/>
                <w:szCs w:val="22"/>
              </w:rPr>
              <w:t xml:space="preserve">Menej časté </w:t>
            </w:r>
          </w:p>
        </w:tc>
        <w:tc>
          <w:tcPr>
            <w:tcW w:w="3000" w:type="pct"/>
            <w:hideMark/>
          </w:tcPr>
          <w:p w14:paraId="6A1B3537" w14:textId="5CC967EC" w:rsidR="00564D9B" w:rsidRPr="00CC69EC" w:rsidRDefault="00564D9B" w:rsidP="00F75370">
            <w:pPr>
              <w:ind w:left="0" w:firstLine="0"/>
              <w:rPr>
                <w:color w:val="000000"/>
                <w:szCs w:val="22"/>
              </w:rPr>
            </w:pPr>
            <w:r w:rsidRPr="00CC69EC">
              <w:rPr>
                <w:rFonts w:eastAsia="TimesNewRoman"/>
                <w:szCs w:val="22"/>
                <w:lang w:eastAsia="en-US"/>
              </w:rPr>
              <w:t xml:space="preserve">hepatotoxicita (vrátane poruchy </w:t>
            </w:r>
            <w:r w:rsidR="000C428F">
              <w:rPr>
                <w:rFonts w:eastAsia="TimesNewRoman"/>
                <w:szCs w:val="22"/>
                <w:lang w:eastAsia="en-US"/>
              </w:rPr>
              <w:t xml:space="preserve">funkcie </w:t>
            </w:r>
            <w:r w:rsidRPr="00CC69EC">
              <w:rPr>
                <w:rFonts w:eastAsia="TimesNewRoman"/>
                <w:szCs w:val="22"/>
                <w:lang w:eastAsia="en-US"/>
              </w:rPr>
              <w:t>pečene), hepatitída*, cholestáza</w:t>
            </w:r>
          </w:p>
        </w:tc>
      </w:tr>
      <w:tr w:rsidR="00564D9B" w:rsidRPr="00CC69EC" w14:paraId="268808D6" w14:textId="77777777" w:rsidTr="00E110FB">
        <w:trPr>
          <w:tblCellSpacing w:w="0" w:type="dxa"/>
        </w:trPr>
        <w:tc>
          <w:tcPr>
            <w:tcW w:w="0" w:type="auto"/>
            <w:vMerge/>
            <w:vAlign w:val="center"/>
            <w:hideMark/>
          </w:tcPr>
          <w:p w14:paraId="08FE8571" w14:textId="77777777" w:rsidR="00564D9B" w:rsidRPr="00CC69EC" w:rsidRDefault="00564D9B" w:rsidP="00F75370">
            <w:pPr>
              <w:rPr>
                <w:color w:val="000000"/>
                <w:szCs w:val="22"/>
              </w:rPr>
            </w:pPr>
          </w:p>
        </w:tc>
        <w:tc>
          <w:tcPr>
            <w:tcW w:w="1000" w:type="pct"/>
            <w:hideMark/>
          </w:tcPr>
          <w:p w14:paraId="2751E897" w14:textId="77777777" w:rsidR="00564D9B" w:rsidRPr="00CC69EC" w:rsidRDefault="00564D9B" w:rsidP="00F75370">
            <w:pPr>
              <w:rPr>
                <w:color w:val="000000"/>
                <w:szCs w:val="22"/>
              </w:rPr>
            </w:pPr>
            <w:r w:rsidRPr="00CC69EC">
              <w:rPr>
                <w:color w:val="000000"/>
                <w:szCs w:val="22"/>
              </w:rPr>
              <w:t>Zriedkavé</w:t>
            </w:r>
          </w:p>
        </w:tc>
        <w:tc>
          <w:tcPr>
            <w:tcW w:w="3000" w:type="pct"/>
            <w:hideMark/>
          </w:tcPr>
          <w:p w14:paraId="0C54A69A"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zlyhanie pečene, hepatomegália, Buddov-Chiariho syndróm, cytomegalovírusová hepatitída, krvácanie pečene, cholelitiáza</w:t>
            </w:r>
          </w:p>
        </w:tc>
      </w:tr>
      <w:tr w:rsidR="00564D9B" w:rsidRPr="00CC69EC" w14:paraId="7FFEE9E0" w14:textId="77777777" w:rsidTr="00E110FB">
        <w:trPr>
          <w:tblCellSpacing w:w="0" w:type="dxa"/>
        </w:trPr>
        <w:tc>
          <w:tcPr>
            <w:tcW w:w="1000" w:type="pct"/>
            <w:vMerge w:val="restart"/>
            <w:hideMark/>
          </w:tcPr>
          <w:p w14:paraId="4BC7B7A2"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Poruchy kože a podkožného tkaniva</w:t>
            </w:r>
          </w:p>
        </w:tc>
        <w:tc>
          <w:tcPr>
            <w:tcW w:w="1000" w:type="pct"/>
            <w:hideMark/>
          </w:tcPr>
          <w:p w14:paraId="47DC9D0A" w14:textId="77777777" w:rsidR="00564D9B" w:rsidRPr="00CC69EC" w:rsidRDefault="00564D9B" w:rsidP="00F75370">
            <w:pPr>
              <w:rPr>
                <w:color w:val="000000"/>
                <w:szCs w:val="22"/>
              </w:rPr>
            </w:pPr>
            <w:r w:rsidRPr="00CC69EC">
              <w:rPr>
                <w:color w:val="000000"/>
                <w:szCs w:val="22"/>
              </w:rPr>
              <w:t xml:space="preserve">Časté </w:t>
            </w:r>
          </w:p>
        </w:tc>
        <w:tc>
          <w:tcPr>
            <w:tcW w:w="3000" w:type="pct"/>
            <w:hideMark/>
          </w:tcPr>
          <w:p w14:paraId="758164A4" w14:textId="77777777" w:rsidR="00564D9B" w:rsidRPr="00CC69EC" w:rsidRDefault="00564D9B" w:rsidP="00F75370">
            <w:pPr>
              <w:rPr>
                <w:color w:val="000000"/>
                <w:szCs w:val="22"/>
              </w:rPr>
            </w:pPr>
            <w:r w:rsidRPr="00CC69EC">
              <w:rPr>
                <w:rFonts w:eastAsia="TimesNewRoman"/>
                <w:szCs w:val="22"/>
                <w:lang w:eastAsia="en-US"/>
              </w:rPr>
              <w:t>vyrážka*, pruritus*, erytém, suchá koža</w:t>
            </w:r>
          </w:p>
        </w:tc>
      </w:tr>
      <w:tr w:rsidR="00564D9B" w:rsidRPr="00CC69EC" w14:paraId="76DE2959" w14:textId="77777777" w:rsidTr="00E110FB">
        <w:trPr>
          <w:tblCellSpacing w:w="0" w:type="dxa"/>
        </w:trPr>
        <w:tc>
          <w:tcPr>
            <w:tcW w:w="0" w:type="auto"/>
            <w:vMerge/>
            <w:vAlign w:val="center"/>
            <w:hideMark/>
          </w:tcPr>
          <w:p w14:paraId="715F31C7" w14:textId="77777777" w:rsidR="00564D9B" w:rsidRPr="00CC69EC" w:rsidRDefault="00564D9B" w:rsidP="00F75370">
            <w:pPr>
              <w:rPr>
                <w:color w:val="000000"/>
                <w:szCs w:val="22"/>
              </w:rPr>
            </w:pPr>
          </w:p>
        </w:tc>
        <w:tc>
          <w:tcPr>
            <w:tcW w:w="1000" w:type="pct"/>
            <w:hideMark/>
          </w:tcPr>
          <w:p w14:paraId="6C05A5C9" w14:textId="77777777" w:rsidR="00564D9B" w:rsidRPr="00CC69EC" w:rsidRDefault="00564D9B" w:rsidP="00F75370">
            <w:pPr>
              <w:rPr>
                <w:color w:val="000000"/>
                <w:szCs w:val="22"/>
              </w:rPr>
            </w:pPr>
            <w:r w:rsidRPr="00CC69EC">
              <w:rPr>
                <w:color w:val="000000"/>
                <w:szCs w:val="22"/>
              </w:rPr>
              <w:t>Menej časté</w:t>
            </w:r>
          </w:p>
        </w:tc>
        <w:tc>
          <w:tcPr>
            <w:tcW w:w="3000" w:type="pct"/>
            <w:hideMark/>
          </w:tcPr>
          <w:p w14:paraId="2FB61205"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 xml:space="preserve">multiformný erytém, urtikária, akútna febrilná neutrofilná dermatóza, </w:t>
            </w:r>
            <w:r w:rsidRPr="00717D9C">
              <w:rPr>
                <w:rFonts w:eastAsia="TimesNewRoman"/>
                <w:szCs w:val="22"/>
                <w:lang w:eastAsia="en-US"/>
              </w:rPr>
              <w:t>toxická kožná erupcia,</w:t>
            </w:r>
            <w:r w:rsidRPr="00CC69EC">
              <w:rPr>
                <w:rFonts w:eastAsia="TimesNewRoman"/>
                <w:szCs w:val="22"/>
                <w:lang w:eastAsia="en-US"/>
              </w:rPr>
              <w:t xml:space="preserve"> toxická epidermálna nekrolýza</w:t>
            </w:r>
            <w:r w:rsidRPr="00CC69EC">
              <w:rPr>
                <w:rFonts w:eastAsia="TimesNewRoman"/>
                <w:szCs w:val="22"/>
                <w:vertAlign w:val="superscript"/>
                <w:lang w:eastAsia="en-US"/>
              </w:rPr>
              <w:t>#</w:t>
            </w:r>
            <w:r w:rsidRPr="00CC69EC">
              <w:rPr>
                <w:rFonts w:eastAsia="TimesNewRoman"/>
                <w:szCs w:val="22"/>
                <w:lang w:eastAsia="en-US"/>
              </w:rPr>
              <w:t>, Stevensov-Johnsonov syndróm</w:t>
            </w:r>
            <w:r w:rsidRPr="00CC69EC">
              <w:rPr>
                <w:rFonts w:eastAsia="TimesNewRoman"/>
                <w:szCs w:val="22"/>
                <w:vertAlign w:val="superscript"/>
                <w:lang w:eastAsia="en-US"/>
              </w:rPr>
              <w:t>#</w:t>
            </w:r>
            <w:r w:rsidRPr="00CC69EC">
              <w:rPr>
                <w:rFonts w:eastAsia="TimesNewRoman"/>
                <w:szCs w:val="22"/>
                <w:lang w:eastAsia="en-US"/>
              </w:rPr>
              <w:t xml:space="preserve">, dermatitída*, </w:t>
            </w:r>
            <w:r w:rsidRPr="00CC69EC">
              <w:rPr>
                <w:rFonts w:eastAsia="TimesNewRoman"/>
                <w:szCs w:val="22"/>
                <w:lang w:eastAsia="en-US"/>
              </w:rPr>
              <w:lastRenderedPageBreak/>
              <w:t>ochorenie vlasov*, petechie, ekchymóza, kožné lézie, purpura, zdurenie kože*, psoriáza, hyperhidróza, nočné potenie, dekubitálny vred</w:t>
            </w:r>
            <w:r w:rsidRPr="00CC69EC">
              <w:rPr>
                <w:rFonts w:eastAsia="TimesNewRoman"/>
                <w:szCs w:val="22"/>
                <w:vertAlign w:val="superscript"/>
                <w:lang w:eastAsia="en-US"/>
              </w:rPr>
              <w:t>#</w:t>
            </w:r>
            <w:r w:rsidRPr="00CC69EC">
              <w:rPr>
                <w:rFonts w:eastAsia="TimesNewRoman"/>
                <w:szCs w:val="22"/>
                <w:lang w:eastAsia="en-US"/>
              </w:rPr>
              <w:t>, akné*, pľuzgier*, porucha pigmentácie*</w:t>
            </w:r>
          </w:p>
        </w:tc>
      </w:tr>
      <w:tr w:rsidR="00564D9B" w:rsidRPr="00CC69EC" w14:paraId="6954C6AD" w14:textId="77777777" w:rsidTr="00E110FB">
        <w:trPr>
          <w:tblCellSpacing w:w="0" w:type="dxa"/>
        </w:trPr>
        <w:tc>
          <w:tcPr>
            <w:tcW w:w="0" w:type="auto"/>
            <w:vMerge/>
            <w:vAlign w:val="center"/>
            <w:hideMark/>
          </w:tcPr>
          <w:p w14:paraId="43E52BE0" w14:textId="77777777" w:rsidR="00564D9B" w:rsidRPr="00CC69EC" w:rsidRDefault="00564D9B" w:rsidP="00F75370">
            <w:pPr>
              <w:rPr>
                <w:color w:val="000000"/>
                <w:szCs w:val="22"/>
              </w:rPr>
            </w:pPr>
          </w:p>
        </w:tc>
        <w:tc>
          <w:tcPr>
            <w:tcW w:w="1000" w:type="pct"/>
            <w:hideMark/>
          </w:tcPr>
          <w:p w14:paraId="49D1039F" w14:textId="77777777" w:rsidR="00564D9B" w:rsidRPr="00CC69EC" w:rsidRDefault="00564D9B" w:rsidP="00F75370">
            <w:pPr>
              <w:rPr>
                <w:color w:val="000000"/>
                <w:szCs w:val="22"/>
              </w:rPr>
            </w:pPr>
            <w:r w:rsidRPr="00CC69EC">
              <w:rPr>
                <w:color w:val="000000"/>
                <w:szCs w:val="22"/>
              </w:rPr>
              <w:t>Zriedkavé</w:t>
            </w:r>
          </w:p>
        </w:tc>
        <w:tc>
          <w:tcPr>
            <w:tcW w:w="3000" w:type="pct"/>
            <w:hideMark/>
          </w:tcPr>
          <w:p w14:paraId="7284BD08" w14:textId="69D69856" w:rsidR="00564D9B" w:rsidRPr="00CC69EC" w:rsidRDefault="00564D9B" w:rsidP="00F75370">
            <w:pPr>
              <w:autoSpaceDE w:val="0"/>
              <w:autoSpaceDN w:val="0"/>
              <w:adjustRightInd w:val="0"/>
              <w:ind w:left="0" w:firstLine="0"/>
              <w:rPr>
                <w:color w:val="000000"/>
                <w:szCs w:val="22"/>
              </w:rPr>
            </w:pPr>
            <w:r w:rsidRPr="00717D9C">
              <w:rPr>
                <w:rFonts w:eastAsia="TimesNewRoman"/>
                <w:szCs w:val="22"/>
                <w:lang w:eastAsia="en-US"/>
              </w:rPr>
              <w:t>reakcia</w:t>
            </w:r>
            <w:r w:rsidRPr="00CC69EC">
              <w:rPr>
                <w:rFonts w:eastAsia="TimesNewRoman"/>
                <w:szCs w:val="22"/>
                <w:lang w:eastAsia="en-US"/>
              </w:rPr>
              <w:t xml:space="preserve"> kože, Jessnerova lymfocytová infiltrácia, syndróm </w:t>
            </w:r>
            <w:r w:rsidRPr="00717D9C">
              <w:rPr>
                <w:rFonts w:eastAsia="TimesNewRoman"/>
                <w:szCs w:val="22"/>
                <w:lang w:eastAsia="en-US"/>
              </w:rPr>
              <w:t>palm</w:t>
            </w:r>
            <w:r w:rsidR="00717D9C">
              <w:rPr>
                <w:rFonts w:eastAsia="TimesNewRoman"/>
                <w:szCs w:val="22"/>
                <w:lang w:eastAsia="en-US"/>
              </w:rPr>
              <w:t>o</w:t>
            </w:r>
            <w:r w:rsidRPr="00717D9C">
              <w:rPr>
                <w:rFonts w:eastAsia="TimesNewRoman"/>
                <w:szCs w:val="22"/>
                <w:lang w:eastAsia="en-US"/>
              </w:rPr>
              <w:t>plantárnej</w:t>
            </w:r>
            <w:r w:rsidRPr="00CC69EC">
              <w:rPr>
                <w:rFonts w:eastAsia="TimesNewRoman"/>
                <w:szCs w:val="22"/>
                <w:lang w:eastAsia="en-US"/>
              </w:rPr>
              <w:t xml:space="preserve"> erytrodyzestézie, subkutánna hemorágia, retikulárne sčervenanie kože, stvrdnutie kože, papula, fotosenzitívna reakcia, seborea, studený pot, porucha kože NOS, erytróza, kožný vred, ochorenie nechtov</w:t>
            </w:r>
            <w:r w:rsidRPr="00CC69EC">
              <w:rPr>
                <w:color w:val="000000"/>
                <w:szCs w:val="22"/>
              </w:rPr>
              <w:t xml:space="preserve"> </w:t>
            </w:r>
          </w:p>
        </w:tc>
      </w:tr>
      <w:tr w:rsidR="00564D9B" w:rsidRPr="00CC69EC" w14:paraId="1046FA3B" w14:textId="77777777" w:rsidTr="00E110FB">
        <w:trPr>
          <w:tblCellSpacing w:w="0" w:type="dxa"/>
        </w:trPr>
        <w:tc>
          <w:tcPr>
            <w:tcW w:w="1000" w:type="pct"/>
            <w:vMerge w:val="restart"/>
            <w:hideMark/>
          </w:tcPr>
          <w:p w14:paraId="7456D4E7"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Poruchy kostrovej a svalovej sústavy a spojivového tkaniva</w:t>
            </w:r>
            <w:r w:rsidRPr="00CC69EC">
              <w:rPr>
                <w:color w:val="000000"/>
                <w:szCs w:val="22"/>
              </w:rPr>
              <w:t xml:space="preserve"> </w:t>
            </w:r>
          </w:p>
        </w:tc>
        <w:tc>
          <w:tcPr>
            <w:tcW w:w="1000" w:type="pct"/>
            <w:hideMark/>
          </w:tcPr>
          <w:p w14:paraId="42329E00" w14:textId="77777777" w:rsidR="00564D9B" w:rsidRPr="00CC69EC" w:rsidRDefault="00564D9B" w:rsidP="00F75370">
            <w:pPr>
              <w:rPr>
                <w:color w:val="000000"/>
                <w:szCs w:val="22"/>
              </w:rPr>
            </w:pPr>
            <w:r w:rsidRPr="00CC69EC">
              <w:rPr>
                <w:color w:val="000000"/>
                <w:szCs w:val="22"/>
              </w:rPr>
              <w:t>Veľmi časté</w:t>
            </w:r>
          </w:p>
        </w:tc>
        <w:tc>
          <w:tcPr>
            <w:tcW w:w="3000" w:type="pct"/>
            <w:hideMark/>
          </w:tcPr>
          <w:p w14:paraId="2AE4380C" w14:textId="77777777" w:rsidR="00564D9B" w:rsidRPr="00CC69EC" w:rsidRDefault="00564D9B" w:rsidP="00F75370">
            <w:pPr>
              <w:rPr>
                <w:color w:val="000000"/>
                <w:szCs w:val="22"/>
              </w:rPr>
            </w:pPr>
            <w:r w:rsidRPr="00CC69EC">
              <w:rPr>
                <w:rFonts w:eastAsia="TimesNewRoman"/>
                <w:szCs w:val="22"/>
                <w:lang w:eastAsia="en-US"/>
              </w:rPr>
              <w:t>muskuloskeletálna bolesť*</w:t>
            </w:r>
          </w:p>
        </w:tc>
      </w:tr>
      <w:tr w:rsidR="00564D9B" w:rsidRPr="00CC69EC" w14:paraId="4323C4C7" w14:textId="77777777" w:rsidTr="00E110FB">
        <w:trPr>
          <w:tblCellSpacing w:w="0" w:type="dxa"/>
        </w:trPr>
        <w:tc>
          <w:tcPr>
            <w:tcW w:w="0" w:type="auto"/>
            <w:vMerge/>
            <w:vAlign w:val="center"/>
            <w:hideMark/>
          </w:tcPr>
          <w:p w14:paraId="0DFA630F" w14:textId="77777777" w:rsidR="00564D9B" w:rsidRPr="00CC69EC" w:rsidRDefault="00564D9B" w:rsidP="00F75370">
            <w:pPr>
              <w:rPr>
                <w:color w:val="000000"/>
                <w:szCs w:val="22"/>
              </w:rPr>
            </w:pPr>
          </w:p>
        </w:tc>
        <w:tc>
          <w:tcPr>
            <w:tcW w:w="1000" w:type="pct"/>
            <w:hideMark/>
          </w:tcPr>
          <w:p w14:paraId="59B6DDB6" w14:textId="77777777" w:rsidR="00564D9B" w:rsidRPr="00CC69EC" w:rsidRDefault="00564D9B" w:rsidP="00F75370">
            <w:pPr>
              <w:rPr>
                <w:color w:val="000000"/>
                <w:szCs w:val="22"/>
              </w:rPr>
            </w:pPr>
            <w:r w:rsidRPr="00CC69EC">
              <w:rPr>
                <w:color w:val="000000"/>
                <w:szCs w:val="22"/>
              </w:rPr>
              <w:t xml:space="preserve">Časté </w:t>
            </w:r>
          </w:p>
        </w:tc>
        <w:tc>
          <w:tcPr>
            <w:tcW w:w="3000" w:type="pct"/>
            <w:hideMark/>
          </w:tcPr>
          <w:p w14:paraId="57646FD9" w14:textId="77777777" w:rsidR="00564D9B" w:rsidRPr="00CC69EC" w:rsidRDefault="00564D9B" w:rsidP="00F75370">
            <w:pPr>
              <w:rPr>
                <w:color w:val="000000"/>
                <w:szCs w:val="22"/>
              </w:rPr>
            </w:pPr>
            <w:r w:rsidRPr="00CC69EC">
              <w:rPr>
                <w:rFonts w:eastAsia="TimesNewRoman"/>
                <w:szCs w:val="22"/>
                <w:lang w:eastAsia="en-US"/>
              </w:rPr>
              <w:t>svalové spazmy*, bolesť končatín, svalová slabosť</w:t>
            </w:r>
          </w:p>
        </w:tc>
      </w:tr>
      <w:tr w:rsidR="00564D9B" w:rsidRPr="00CC69EC" w14:paraId="12AB1737" w14:textId="77777777" w:rsidTr="00E110FB">
        <w:trPr>
          <w:tblCellSpacing w:w="0" w:type="dxa"/>
        </w:trPr>
        <w:tc>
          <w:tcPr>
            <w:tcW w:w="0" w:type="auto"/>
            <w:vMerge/>
            <w:vAlign w:val="center"/>
            <w:hideMark/>
          </w:tcPr>
          <w:p w14:paraId="4E40E42D" w14:textId="77777777" w:rsidR="00564D9B" w:rsidRPr="00CC69EC" w:rsidRDefault="00564D9B" w:rsidP="00F75370">
            <w:pPr>
              <w:rPr>
                <w:color w:val="000000"/>
                <w:szCs w:val="22"/>
              </w:rPr>
            </w:pPr>
          </w:p>
        </w:tc>
        <w:tc>
          <w:tcPr>
            <w:tcW w:w="1000" w:type="pct"/>
            <w:hideMark/>
          </w:tcPr>
          <w:p w14:paraId="2A7E830B" w14:textId="77777777" w:rsidR="00564D9B" w:rsidRPr="00CC69EC" w:rsidRDefault="00564D9B" w:rsidP="00F75370">
            <w:pPr>
              <w:rPr>
                <w:color w:val="000000"/>
                <w:szCs w:val="22"/>
              </w:rPr>
            </w:pPr>
            <w:r w:rsidRPr="00CC69EC">
              <w:rPr>
                <w:color w:val="000000"/>
                <w:szCs w:val="22"/>
              </w:rPr>
              <w:t xml:space="preserve">Menej časté </w:t>
            </w:r>
          </w:p>
        </w:tc>
        <w:tc>
          <w:tcPr>
            <w:tcW w:w="3000" w:type="pct"/>
            <w:hideMark/>
          </w:tcPr>
          <w:p w14:paraId="5275F7AA"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zášklby svalov, opuch kĺbov, artritída*, stuhnutie kĺbov, myopatie*, pocit ťažoby</w:t>
            </w:r>
            <w:r w:rsidRPr="00CC69EC">
              <w:rPr>
                <w:color w:val="000000"/>
                <w:szCs w:val="22"/>
              </w:rPr>
              <w:t xml:space="preserve"> </w:t>
            </w:r>
          </w:p>
        </w:tc>
      </w:tr>
      <w:tr w:rsidR="00564D9B" w:rsidRPr="00CC69EC" w14:paraId="22BB880B" w14:textId="77777777" w:rsidTr="00E110FB">
        <w:trPr>
          <w:tblCellSpacing w:w="0" w:type="dxa"/>
        </w:trPr>
        <w:tc>
          <w:tcPr>
            <w:tcW w:w="0" w:type="auto"/>
            <w:vMerge/>
            <w:vAlign w:val="center"/>
            <w:hideMark/>
          </w:tcPr>
          <w:p w14:paraId="48A66662" w14:textId="77777777" w:rsidR="00564D9B" w:rsidRPr="00CC69EC" w:rsidRDefault="00564D9B" w:rsidP="00F75370">
            <w:pPr>
              <w:rPr>
                <w:color w:val="000000"/>
                <w:szCs w:val="22"/>
              </w:rPr>
            </w:pPr>
          </w:p>
        </w:tc>
        <w:tc>
          <w:tcPr>
            <w:tcW w:w="1000" w:type="pct"/>
            <w:hideMark/>
          </w:tcPr>
          <w:p w14:paraId="32B2896E"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064F13E9"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rabdomyolýza, syndróm temporomandibulárneho kĺbu, fistula, kĺbová efúzia, bolesť čeľuste, porucha kostí, infekcia a zápaly muskuloskeletálneho a spojivového tkaniva</w:t>
            </w:r>
            <w:r w:rsidRPr="00CC69EC">
              <w:rPr>
                <w:sz w:val="24"/>
              </w:rPr>
              <w:t>*</w:t>
            </w:r>
            <w:r w:rsidRPr="00CC69EC">
              <w:rPr>
                <w:rFonts w:eastAsia="TimesNewRoman"/>
                <w:szCs w:val="22"/>
                <w:lang w:eastAsia="en-US"/>
              </w:rPr>
              <w:t>, synoviálna cysta</w:t>
            </w:r>
          </w:p>
        </w:tc>
      </w:tr>
      <w:tr w:rsidR="00564D9B" w:rsidRPr="00CC69EC" w14:paraId="0BDC4567" w14:textId="77777777" w:rsidTr="00E110FB">
        <w:trPr>
          <w:tblCellSpacing w:w="0" w:type="dxa"/>
        </w:trPr>
        <w:tc>
          <w:tcPr>
            <w:tcW w:w="1000" w:type="pct"/>
            <w:vMerge w:val="restart"/>
            <w:hideMark/>
          </w:tcPr>
          <w:p w14:paraId="0F5EE2E5"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Poruchy obličiek a močových ciest</w:t>
            </w:r>
          </w:p>
        </w:tc>
        <w:tc>
          <w:tcPr>
            <w:tcW w:w="1000" w:type="pct"/>
            <w:hideMark/>
          </w:tcPr>
          <w:p w14:paraId="463316F3" w14:textId="77777777" w:rsidR="00564D9B" w:rsidRPr="00CC69EC" w:rsidRDefault="00564D9B" w:rsidP="00F75370">
            <w:pPr>
              <w:rPr>
                <w:color w:val="000000"/>
                <w:szCs w:val="22"/>
              </w:rPr>
            </w:pPr>
            <w:r w:rsidRPr="00CC69EC">
              <w:rPr>
                <w:color w:val="000000"/>
                <w:szCs w:val="22"/>
              </w:rPr>
              <w:t xml:space="preserve">Časté </w:t>
            </w:r>
          </w:p>
        </w:tc>
        <w:tc>
          <w:tcPr>
            <w:tcW w:w="3000" w:type="pct"/>
            <w:hideMark/>
          </w:tcPr>
          <w:p w14:paraId="3104451D" w14:textId="77777777" w:rsidR="00564D9B" w:rsidRPr="00CC69EC" w:rsidRDefault="00564D9B" w:rsidP="00F75370">
            <w:pPr>
              <w:rPr>
                <w:color w:val="000000"/>
                <w:szCs w:val="22"/>
              </w:rPr>
            </w:pPr>
            <w:r w:rsidRPr="00CC69EC">
              <w:rPr>
                <w:rFonts w:eastAsia="TimesNewRoman"/>
                <w:szCs w:val="22"/>
                <w:lang w:eastAsia="en-US"/>
              </w:rPr>
              <w:t>poškodenie obličiek*</w:t>
            </w:r>
          </w:p>
        </w:tc>
      </w:tr>
      <w:tr w:rsidR="00564D9B" w:rsidRPr="00CC69EC" w14:paraId="3D39A709" w14:textId="77777777" w:rsidTr="00E110FB">
        <w:trPr>
          <w:tblCellSpacing w:w="0" w:type="dxa"/>
        </w:trPr>
        <w:tc>
          <w:tcPr>
            <w:tcW w:w="0" w:type="auto"/>
            <w:vMerge/>
            <w:vAlign w:val="center"/>
            <w:hideMark/>
          </w:tcPr>
          <w:p w14:paraId="1C5F280F" w14:textId="77777777" w:rsidR="00564D9B" w:rsidRPr="00CC69EC" w:rsidRDefault="00564D9B" w:rsidP="00F75370">
            <w:pPr>
              <w:rPr>
                <w:color w:val="000000"/>
                <w:szCs w:val="22"/>
              </w:rPr>
            </w:pPr>
          </w:p>
        </w:tc>
        <w:tc>
          <w:tcPr>
            <w:tcW w:w="1000" w:type="pct"/>
            <w:hideMark/>
          </w:tcPr>
          <w:p w14:paraId="09907E4D" w14:textId="77777777" w:rsidR="00564D9B" w:rsidRPr="00CC69EC" w:rsidRDefault="00564D9B" w:rsidP="00F75370">
            <w:pPr>
              <w:rPr>
                <w:color w:val="000000"/>
                <w:szCs w:val="22"/>
              </w:rPr>
            </w:pPr>
            <w:r w:rsidRPr="00CC69EC">
              <w:rPr>
                <w:color w:val="000000"/>
                <w:szCs w:val="22"/>
              </w:rPr>
              <w:t>Menej časté</w:t>
            </w:r>
          </w:p>
        </w:tc>
        <w:tc>
          <w:tcPr>
            <w:tcW w:w="3000" w:type="pct"/>
            <w:hideMark/>
          </w:tcPr>
          <w:p w14:paraId="074A01F4"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akútne zlyhanie obličiek, chronické zlyhanie obličiek*, infekcia močových ciest*, prejavy a príznaky močových ciest, hematúria*, retencia moču, porucha močenia*, proteinúria, azotémia, oligúria*, polakizúria</w:t>
            </w:r>
          </w:p>
        </w:tc>
      </w:tr>
      <w:tr w:rsidR="00564D9B" w:rsidRPr="00CC69EC" w14:paraId="5A966057" w14:textId="77777777" w:rsidTr="00E110FB">
        <w:trPr>
          <w:tblCellSpacing w:w="0" w:type="dxa"/>
        </w:trPr>
        <w:tc>
          <w:tcPr>
            <w:tcW w:w="0" w:type="auto"/>
            <w:vMerge/>
            <w:vAlign w:val="center"/>
            <w:hideMark/>
          </w:tcPr>
          <w:p w14:paraId="67C9E35A" w14:textId="77777777" w:rsidR="00564D9B" w:rsidRPr="00CC69EC" w:rsidRDefault="00564D9B" w:rsidP="00F75370">
            <w:pPr>
              <w:rPr>
                <w:color w:val="000000"/>
                <w:szCs w:val="22"/>
              </w:rPr>
            </w:pPr>
          </w:p>
        </w:tc>
        <w:tc>
          <w:tcPr>
            <w:tcW w:w="1000" w:type="pct"/>
            <w:hideMark/>
          </w:tcPr>
          <w:p w14:paraId="4723E0CA"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46739134" w14:textId="77777777" w:rsidR="00564D9B" w:rsidRPr="00CC69EC" w:rsidRDefault="00564D9B" w:rsidP="00F75370">
            <w:pPr>
              <w:rPr>
                <w:color w:val="000000"/>
                <w:szCs w:val="22"/>
              </w:rPr>
            </w:pPr>
            <w:r w:rsidRPr="00CC69EC">
              <w:rPr>
                <w:rFonts w:eastAsia="TimesNewRoman"/>
                <w:szCs w:val="22"/>
                <w:lang w:eastAsia="en-US"/>
              </w:rPr>
              <w:t>podráždenie močového mechúra</w:t>
            </w:r>
          </w:p>
        </w:tc>
      </w:tr>
      <w:tr w:rsidR="00564D9B" w:rsidRPr="00CC69EC" w14:paraId="39535252" w14:textId="77777777" w:rsidTr="00E110FB">
        <w:trPr>
          <w:tblCellSpacing w:w="0" w:type="dxa"/>
        </w:trPr>
        <w:tc>
          <w:tcPr>
            <w:tcW w:w="1000" w:type="pct"/>
            <w:vMerge w:val="restart"/>
            <w:hideMark/>
          </w:tcPr>
          <w:p w14:paraId="55FACB63"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Poruchy reprodukčného systému a prsníkov</w:t>
            </w:r>
          </w:p>
        </w:tc>
        <w:tc>
          <w:tcPr>
            <w:tcW w:w="1000" w:type="pct"/>
            <w:hideMark/>
          </w:tcPr>
          <w:p w14:paraId="11597061" w14:textId="77777777" w:rsidR="00564D9B" w:rsidRPr="00CC69EC" w:rsidRDefault="00564D9B" w:rsidP="00F75370">
            <w:pPr>
              <w:rPr>
                <w:color w:val="000000"/>
                <w:szCs w:val="22"/>
              </w:rPr>
            </w:pPr>
            <w:r w:rsidRPr="00CC69EC">
              <w:rPr>
                <w:color w:val="000000"/>
                <w:szCs w:val="22"/>
              </w:rPr>
              <w:t xml:space="preserve">Menej časté </w:t>
            </w:r>
          </w:p>
        </w:tc>
        <w:tc>
          <w:tcPr>
            <w:tcW w:w="3000" w:type="pct"/>
            <w:hideMark/>
          </w:tcPr>
          <w:p w14:paraId="2F3903CB" w14:textId="77777777" w:rsidR="00564D9B" w:rsidRPr="00CC69EC" w:rsidRDefault="00564D9B" w:rsidP="00F75370">
            <w:pPr>
              <w:ind w:left="-41" w:firstLine="41"/>
              <w:rPr>
                <w:color w:val="000000"/>
                <w:szCs w:val="22"/>
              </w:rPr>
            </w:pPr>
            <w:r w:rsidRPr="00CC69EC">
              <w:rPr>
                <w:rFonts w:eastAsia="TimesNewRoman"/>
                <w:szCs w:val="22"/>
                <w:lang w:eastAsia="en-US"/>
              </w:rPr>
              <w:t>vaginálna hemorágia, genitálna bolesť*, erektilná dysfunkcia</w:t>
            </w:r>
          </w:p>
        </w:tc>
      </w:tr>
      <w:tr w:rsidR="00564D9B" w:rsidRPr="00CC69EC" w14:paraId="594FFD9B" w14:textId="77777777" w:rsidTr="00E110FB">
        <w:trPr>
          <w:tblCellSpacing w:w="0" w:type="dxa"/>
        </w:trPr>
        <w:tc>
          <w:tcPr>
            <w:tcW w:w="0" w:type="auto"/>
            <w:vMerge/>
            <w:vAlign w:val="center"/>
            <w:hideMark/>
          </w:tcPr>
          <w:p w14:paraId="4C89E9E2" w14:textId="77777777" w:rsidR="00564D9B" w:rsidRPr="00CC69EC" w:rsidRDefault="00564D9B" w:rsidP="00F75370">
            <w:pPr>
              <w:rPr>
                <w:color w:val="000000"/>
                <w:szCs w:val="22"/>
              </w:rPr>
            </w:pPr>
          </w:p>
        </w:tc>
        <w:tc>
          <w:tcPr>
            <w:tcW w:w="1000" w:type="pct"/>
            <w:hideMark/>
          </w:tcPr>
          <w:p w14:paraId="61DE51A0"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28EE4EC1"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porucha semenníkov*, prostatitída, porucha prsníkov u žien, citlivosť nadsemenníkov, epididymitída, bolesť panvy, ulcerácia vulvy</w:t>
            </w:r>
          </w:p>
        </w:tc>
      </w:tr>
      <w:tr w:rsidR="00564D9B" w:rsidRPr="00CC69EC" w14:paraId="22059476" w14:textId="77777777" w:rsidTr="00E110FB">
        <w:trPr>
          <w:tblCellSpacing w:w="0" w:type="dxa"/>
        </w:trPr>
        <w:tc>
          <w:tcPr>
            <w:tcW w:w="1000" w:type="pct"/>
            <w:hideMark/>
          </w:tcPr>
          <w:p w14:paraId="6CC105B0"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Vrodené, familiárne a genetické poruchy</w:t>
            </w:r>
          </w:p>
        </w:tc>
        <w:tc>
          <w:tcPr>
            <w:tcW w:w="1000" w:type="pct"/>
            <w:hideMark/>
          </w:tcPr>
          <w:p w14:paraId="44041DBC"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6CF5853E" w14:textId="77777777" w:rsidR="00564D9B" w:rsidRPr="00CC69EC" w:rsidRDefault="00564D9B" w:rsidP="00F75370">
            <w:pPr>
              <w:rPr>
                <w:color w:val="000000"/>
                <w:szCs w:val="22"/>
              </w:rPr>
            </w:pPr>
            <w:r w:rsidRPr="00CC69EC">
              <w:rPr>
                <w:rFonts w:eastAsia="TimesNewRoman"/>
                <w:szCs w:val="22"/>
                <w:lang w:eastAsia="en-US"/>
              </w:rPr>
              <w:t>aplázia, gastrointestinálne malformácie, ichtyóza</w:t>
            </w:r>
          </w:p>
        </w:tc>
      </w:tr>
      <w:tr w:rsidR="00564D9B" w:rsidRPr="00CC69EC" w14:paraId="70774D29" w14:textId="77777777" w:rsidTr="00E110FB">
        <w:trPr>
          <w:tblCellSpacing w:w="0" w:type="dxa"/>
        </w:trPr>
        <w:tc>
          <w:tcPr>
            <w:tcW w:w="1000" w:type="pct"/>
            <w:vMerge w:val="restart"/>
            <w:hideMark/>
          </w:tcPr>
          <w:p w14:paraId="4B1D2CF0"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Celkové poruchy a reakcie v mieste podania</w:t>
            </w:r>
          </w:p>
        </w:tc>
        <w:tc>
          <w:tcPr>
            <w:tcW w:w="1000" w:type="pct"/>
            <w:hideMark/>
          </w:tcPr>
          <w:p w14:paraId="3951C443" w14:textId="77777777" w:rsidR="00564D9B" w:rsidRPr="00CC69EC" w:rsidRDefault="00564D9B" w:rsidP="00F75370">
            <w:pPr>
              <w:rPr>
                <w:color w:val="000000"/>
                <w:szCs w:val="22"/>
              </w:rPr>
            </w:pPr>
            <w:r w:rsidRPr="00CC69EC">
              <w:rPr>
                <w:color w:val="000000"/>
                <w:szCs w:val="22"/>
              </w:rPr>
              <w:t xml:space="preserve">Veľmi časté </w:t>
            </w:r>
          </w:p>
        </w:tc>
        <w:tc>
          <w:tcPr>
            <w:tcW w:w="3000" w:type="pct"/>
            <w:hideMark/>
          </w:tcPr>
          <w:p w14:paraId="10E30659" w14:textId="77777777" w:rsidR="00564D9B" w:rsidRPr="00CC69EC" w:rsidRDefault="00564D9B" w:rsidP="00F75370">
            <w:pPr>
              <w:rPr>
                <w:color w:val="000000"/>
                <w:szCs w:val="22"/>
              </w:rPr>
            </w:pPr>
            <w:r w:rsidRPr="00CC69EC">
              <w:rPr>
                <w:rFonts w:eastAsia="TimesNewRoman"/>
                <w:szCs w:val="22"/>
                <w:lang w:eastAsia="en-US"/>
              </w:rPr>
              <w:t>pyrexia*, únava, asténia</w:t>
            </w:r>
          </w:p>
        </w:tc>
      </w:tr>
      <w:tr w:rsidR="00564D9B" w:rsidRPr="00CC69EC" w14:paraId="01D355C1" w14:textId="77777777" w:rsidTr="00E110FB">
        <w:trPr>
          <w:tblCellSpacing w:w="0" w:type="dxa"/>
        </w:trPr>
        <w:tc>
          <w:tcPr>
            <w:tcW w:w="0" w:type="auto"/>
            <w:vMerge/>
            <w:vAlign w:val="center"/>
            <w:hideMark/>
          </w:tcPr>
          <w:p w14:paraId="2BD80D04" w14:textId="77777777" w:rsidR="00564D9B" w:rsidRPr="00CC69EC" w:rsidRDefault="00564D9B" w:rsidP="00F75370">
            <w:pPr>
              <w:rPr>
                <w:color w:val="000000"/>
                <w:szCs w:val="22"/>
              </w:rPr>
            </w:pPr>
          </w:p>
        </w:tc>
        <w:tc>
          <w:tcPr>
            <w:tcW w:w="1000" w:type="pct"/>
            <w:hideMark/>
          </w:tcPr>
          <w:p w14:paraId="1A781451" w14:textId="77777777" w:rsidR="00564D9B" w:rsidRPr="00CC69EC" w:rsidRDefault="00564D9B" w:rsidP="00F75370">
            <w:pPr>
              <w:rPr>
                <w:color w:val="000000"/>
                <w:szCs w:val="22"/>
              </w:rPr>
            </w:pPr>
            <w:r w:rsidRPr="00CC69EC">
              <w:rPr>
                <w:color w:val="000000"/>
                <w:szCs w:val="22"/>
              </w:rPr>
              <w:t xml:space="preserve">Časté </w:t>
            </w:r>
          </w:p>
        </w:tc>
        <w:tc>
          <w:tcPr>
            <w:tcW w:w="3000" w:type="pct"/>
            <w:hideMark/>
          </w:tcPr>
          <w:p w14:paraId="0BB0344E" w14:textId="689F0DBB" w:rsidR="00564D9B" w:rsidRPr="00CC69EC" w:rsidRDefault="00564D9B" w:rsidP="000C428F">
            <w:pPr>
              <w:rPr>
                <w:color w:val="000000"/>
                <w:szCs w:val="22"/>
              </w:rPr>
            </w:pPr>
            <w:r w:rsidRPr="00CC69EC">
              <w:rPr>
                <w:rFonts w:eastAsia="TimesNewRoman"/>
                <w:szCs w:val="22"/>
                <w:lang w:eastAsia="en-US"/>
              </w:rPr>
              <w:t xml:space="preserve">opuch (vrátane periférneho), zimnica, bolesť*, </w:t>
            </w:r>
            <w:r w:rsidR="000C428F">
              <w:rPr>
                <w:rFonts w:eastAsia="TimesNewRoman"/>
                <w:szCs w:val="22"/>
                <w:lang w:eastAsia="en-US"/>
              </w:rPr>
              <w:t>celkový pocit choroby</w:t>
            </w:r>
            <w:r w:rsidRPr="00CC69EC">
              <w:rPr>
                <w:rFonts w:eastAsia="TimesNewRoman"/>
                <w:szCs w:val="22"/>
                <w:lang w:eastAsia="en-US"/>
              </w:rPr>
              <w:t>*</w:t>
            </w:r>
          </w:p>
        </w:tc>
      </w:tr>
      <w:tr w:rsidR="00564D9B" w:rsidRPr="00CC69EC" w14:paraId="56059270" w14:textId="77777777" w:rsidTr="00E110FB">
        <w:trPr>
          <w:tblCellSpacing w:w="0" w:type="dxa"/>
        </w:trPr>
        <w:tc>
          <w:tcPr>
            <w:tcW w:w="0" w:type="auto"/>
            <w:vMerge/>
            <w:vAlign w:val="center"/>
            <w:hideMark/>
          </w:tcPr>
          <w:p w14:paraId="238D702F" w14:textId="77777777" w:rsidR="00564D9B" w:rsidRPr="00CC69EC" w:rsidRDefault="00564D9B" w:rsidP="00F75370">
            <w:pPr>
              <w:rPr>
                <w:color w:val="000000"/>
                <w:szCs w:val="22"/>
              </w:rPr>
            </w:pPr>
          </w:p>
        </w:tc>
        <w:tc>
          <w:tcPr>
            <w:tcW w:w="1000" w:type="pct"/>
            <w:hideMark/>
          </w:tcPr>
          <w:p w14:paraId="04156EDB" w14:textId="77777777" w:rsidR="00564D9B" w:rsidRPr="00CC69EC" w:rsidRDefault="00564D9B" w:rsidP="00F75370">
            <w:pPr>
              <w:rPr>
                <w:color w:val="000000"/>
                <w:szCs w:val="22"/>
              </w:rPr>
            </w:pPr>
            <w:r w:rsidRPr="00CC69EC">
              <w:rPr>
                <w:color w:val="000000"/>
                <w:szCs w:val="22"/>
              </w:rPr>
              <w:t xml:space="preserve">Menej časté </w:t>
            </w:r>
          </w:p>
        </w:tc>
        <w:tc>
          <w:tcPr>
            <w:tcW w:w="3000" w:type="pct"/>
            <w:hideMark/>
          </w:tcPr>
          <w:p w14:paraId="454A7F61"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zhoršenie celkového zdravotného stavu*, opuch tváre*, reakcia v mieste podania injekcie*, porucha slizníc*, bolesť na hrudi, porucha chôdze, pocit chladu, extravazácia*, komplikácie súvisiace s katétrom*, zmena v pociťovaní smädu*, hrudníkový diskomfort, pocit zmeny telesnej teploty*, bolesť v mieste podania injekcie*</w:t>
            </w:r>
          </w:p>
        </w:tc>
      </w:tr>
      <w:tr w:rsidR="00564D9B" w:rsidRPr="00CC69EC" w14:paraId="05F3A0FD" w14:textId="77777777" w:rsidTr="00E110FB">
        <w:trPr>
          <w:tblCellSpacing w:w="0" w:type="dxa"/>
        </w:trPr>
        <w:tc>
          <w:tcPr>
            <w:tcW w:w="0" w:type="auto"/>
            <w:vMerge/>
            <w:vAlign w:val="center"/>
            <w:hideMark/>
          </w:tcPr>
          <w:p w14:paraId="2ECFC99A" w14:textId="77777777" w:rsidR="00564D9B" w:rsidRPr="00CC69EC" w:rsidRDefault="00564D9B" w:rsidP="00F75370">
            <w:pPr>
              <w:rPr>
                <w:color w:val="000000"/>
                <w:szCs w:val="22"/>
              </w:rPr>
            </w:pPr>
          </w:p>
        </w:tc>
        <w:tc>
          <w:tcPr>
            <w:tcW w:w="1000" w:type="pct"/>
            <w:hideMark/>
          </w:tcPr>
          <w:p w14:paraId="7475D689"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67B42B72"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smrť (vrátane náhleho úmrtia), multiorgánové zlyhanie, krvácanie v mieste podania injekcie*, hernia (vrátane hiátovej)*, zhoršené hojenie*, zápal, flebitída v mieste podania injekcie*, citlivosť, vred, podráždenosť, bolesť na hrudi nesúvisiaca so srdcom, bolesť v mieste zavedenia katétra, pocit cudzieho tela</w:t>
            </w:r>
          </w:p>
        </w:tc>
      </w:tr>
      <w:tr w:rsidR="00564D9B" w:rsidRPr="00CC69EC" w14:paraId="741CCAE2" w14:textId="77777777" w:rsidTr="00E110FB">
        <w:trPr>
          <w:tblCellSpacing w:w="0" w:type="dxa"/>
        </w:trPr>
        <w:tc>
          <w:tcPr>
            <w:tcW w:w="1000" w:type="pct"/>
            <w:vMerge w:val="restart"/>
            <w:hideMark/>
          </w:tcPr>
          <w:p w14:paraId="6E73C4F3"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Laboratórne a funkčné vyšetrenia</w:t>
            </w:r>
            <w:r w:rsidRPr="00CC69EC">
              <w:rPr>
                <w:color w:val="000000"/>
                <w:szCs w:val="22"/>
              </w:rPr>
              <w:t xml:space="preserve"> </w:t>
            </w:r>
          </w:p>
        </w:tc>
        <w:tc>
          <w:tcPr>
            <w:tcW w:w="1000" w:type="pct"/>
            <w:hideMark/>
          </w:tcPr>
          <w:p w14:paraId="6A57A393" w14:textId="77777777" w:rsidR="00564D9B" w:rsidRPr="00CC69EC" w:rsidRDefault="00564D9B" w:rsidP="00F75370">
            <w:pPr>
              <w:rPr>
                <w:color w:val="000000"/>
                <w:szCs w:val="22"/>
              </w:rPr>
            </w:pPr>
            <w:r w:rsidRPr="00CC69EC">
              <w:rPr>
                <w:color w:val="000000"/>
                <w:szCs w:val="22"/>
              </w:rPr>
              <w:t xml:space="preserve">Časté </w:t>
            </w:r>
          </w:p>
        </w:tc>
        <w:tc>
          <w:tcPr>
            <w:tcW w:w="3000" w:type="pct"/>
            <w:hideMark/>
          </w:tcPr>
          <w:p w14:paraId="3F2B1DA3" w14:textId="77777777" w:rsidR="00564D9B" w:rsidRPr="00CC69EC" w:rsidRDefault="00564D9B" w:rsidP="00F75370">
            <w:pPr>
              <w:rPr>
                <w:color w:val="000000"/>
                <w:szCs w:val="22"/>
              </w:rPr>
            </w:pPr>
            <w:r w:rsidRPr="00CC69EC">
              <w:rPr>
                <w:rFonts w:eastAsia="TimesNewRoman"/>
                <w:szCs w:val="22"/>
                <w:lang w:eastAsia="en-US"/>
              </w:rPr>
              <w:t>zníženie telesnej hmotnosti</w:t>
            </w:r>
          </w:p>
        </w:tc>
      </w:tr>
      <w:tr w:rsidR="00564D9B" w:rsidRPr="00CC69EC" w14:paraId="013C2990" w14:textId="77777777" w:rsidTr="00E110FB">
        <w:trPr>
          <w:tblCellSpacing w:w="0" w:type="dxa"/>
        </w:trPr>
        <w:tc>
          <w:tcPr>
            <w:tcW w:w="0" w:type="auto"/>
            <w:vMerge/>
            <w:vAlign w:val="center"/>
            <w:hideMark/>
          </w:tcPr>
          <w:p w14:paraId="0FA023AF" w14:textId="77777777" w:rsidR="00564D9B" w:rsidRPr="00CC69EC" w:rsidRDefault="00564D9B" w:rsidP="00F75370">
            <w:pPr>
              <w:rPr>
                <w:color w:val="000000"/>
                <w:szCs w:val="22"/>
              </w:rPr>
            </w:pPr>
          </w:p>
        </w:tc>
        <w:tc>
          <w:tcPr>
            <w:tcW w:w="1000" w:type="pct"/>
            <w:hideMark/>
          </w:tcPr>
          <w:p w14:paraId="0D85B37D" w14:textId="77777777" w:rsidR="00564D9B" w:rsidRPr="00CC69EC" w:rsidRDefault="00564D9B" w:rsidP="00F75370">
            <w:pPr>
              <w:rPr>
                <w:color w:val="000000"/>
                <w:szCs w:val="22"/>
              </w:rPr>
            </w:pPr>
            <w:r w:rsidRPr="00CC69EC">
              <w:rPr>
                <w:color w:val="000000"/>
                <w:szCs w:val="22"/>
              </w:rPr>
              <w:t xml:space="preserve">Menej časté </w:t>
            </w:r>
          </w:p>
        </w:tc>
        <w:tc>
          <w:tcPr>
            <w:tcW w:w="3000" w:type="pct"/>
            <w:hideMark/>
          </w:tcPr>
          <w:p w14:paraId="5D437DC0" w14:textId="51BC9164" w:rsidR="00564D9B" w:rsidRPr="00CC69EC" w:rsidRDefault="00564D9B" w:rsidP="004A7AA3">
            <w:pPr>
              <w:autoSpaceDE w:val="0"/>
              <w:autoSpaceDN w:val="0"/>
              <w:adjustRightInd w:val="0"/>
              <w:ind w:left="0" w:firstLine="0"/>
              <w:rPr>
                <w:color w:val="000000"/>
                <w:szCs w:val="22"/>
              </w:rPr>
            </w:pPr>
            <w:r w:rsidRPr="00CC69EC">
              <w:rPr>
                <w:rFonts w:eastAsia="TimesNewRoman"/>
                <w:szCs w:val="22"/>
                <w:lang w:eastAsia="en-US"/>
              </w:rPr>
              <w:t>hyperbilirubinémia*, výsledky analýzy proteínov</w:t>
            </w:r>
            <w:r w:rsidR="004A7AA3">
              <w:rPr>
                <w:rFonts w:eastAsia="TimesNewRoman"/>
                <w:szCs w:val="22"/>
                <w:lang w:eastAsia="en-US"/>
              </w:rPr>
              <w:t xml:space="preserve"> mimo normy</w:t>
            </w:r>
            <w:r w:rsidRPr="00CC69EC">
              <w:rPr>
                <w:rFonts w:eastAsia="TimesNewRoman"/>
                <w:szCs w:val="22"/>
                <w:lang w:eastAsia="en-US"/>
              </w:rPr>
              <w:t>*, zvýšenie telesnej hmotnosti, výsledky krvných testov</w:t>
            </w:r>
            <w:r w:rsidR="004A7AA3">
              <w:rPr>
                <w:rFonts w:eastAsia="TimesNewRoman"/>
                <w:szCs w:val="22"/>
                <w:lang w:eastAsia="en-US"/>
              </w:rPr>
              <w:t xml:space="preserve"> mimo normy</w:t>
            </w:r>
            <w:r w:rsidRPr="00CC69EC">
              <w:rPr>
                <w:rFonts w:eastAsia="TimesNewRoman"/>
                <w:szCs w:val="22"/>
                <w:lang w:eastAsia="en-US"/>
              </w:rPr>
              <w:t>*, zvýšenie C-reaktívneho proteínu</w:t>
            </w:r>
          </w:p>
        </w:tc>
      </w:tr>
      <w:tr w:rsidR="00564D9B" w:rsidRPr="00CC69EC" w14:paraId="365BC94A" w14:textId="77777777" w:rsidTr="00E110FB">
        <w:trPr>
          <w:tblCellSpacing w:w="0" w:type="dxa"/>
        </w:trPr>
        <w:tc>
          <w:tcPr>
            <w:tcW w:w="0" w:type="auto"/>
            <w:vMerge/>
            <w:vAlign w:val="center"/>
            <w:hideMark/>
          </w:tcPr>
          <w:p w14:paraId="7C13219F" w14:textId="77777777" w:rsidR="00564D9B" w:rsidRPr="00CC69EC" w:rsidRDefault="00564D9B" w:rsidP="00F75370">
            <w:pPr>
              <w:rPr>
                <w:color w:val="000000"/>
                <w:szCs w:val="22"/>
              </w:rPr>
            </w:pPr>
          </w:p>
        </w:tc>
        <w:tc>
          <w:tcPr>
            <w:tcW w:w="1000" w:type="pct"/>
            <w:hideMark/>
          </w:tcPr>
          <w:p w14:paraId="04FDC654"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16AE4362" w14:textId="677CF21D" w:rsidR="00564D9B" w:rsidRPr="00CC69EC" w:rsidRDefault="00564D9B" w:rsidP="004A7AA3">
            <w:pPr>
              <w:autoSpaceDE w:val="0"/>
              <w:autoSpaceDN w:val="0"/>
              <w:adjustRightInd w:val="0"/>
              <w:ind w:left="0" w:firstLine="0"/>
              <w:rPr>
                <w:color w:val="000000"/>
                <w:szCs w:val="22"/>
              </w:rPr>
            </w:pPr>
            <w:r w:rsidRPr="00CC69EC">
              <w:rPr>
                <w:rFonts w:eastAsia="TimesNewRoman"/>
                <w:szCs w:val="22"/>
                <w:lang w:eastAsia="en-US"/>
              </w:rPr>
              <w:t>hladina plynov v</w:t>
            </w:r>
            <w:r w:rsidR="004A7AA3">
              <w:rPr>
                <w:rFonts w:eastAsia="TimesNewRoman"/>
                <w:szCs w:val="22"/>
                <w:lang w:eastAsia="en-US"/>
              </w:rPr>
              <w:t> </w:t>
            </w:r>
            <w:r w:rsidRPr="00CC69EC">
              <w:rPr>
                <w:rFonts w:eastAsia="TimesNewRoman"/>
                <w:szCs w:val="22"/>
                <w:lang w:eastAsia="en-US"/>
              </w:rPr>
              <w:t>krvi</w:t>
            </w:r>
            <w:r w:rsidR="004A7AA3">
              <w:rPr>
                <w:rFonts w:eastAsia="TimesNewRoman"/>
                <w:szCs w:val="22"/>
                <w:lang w:eastAsia="en-US"/>
              </w:rPr>
              <w:t xml:space="preserve"> mimo normy</w:t>
            </w:r>
            <w:r w:rsidRPr="00CC69EC">
              <w:rPr>
                <w:rFonts w:eastAsia="TimesNewRoman"/>
                <w:szCs w:val="22"/>
                <w:lang w:eastAsia="en-US"/>
              </w:rPr>
              <w:t xml:space="preserve">*, </w:t>
            </w:r>
            <w:r w:rsidR="004A7AA3">
              <w:rPr>
                <w:rFonts w:eastAsia="TimesNewRoman"/>
                <w:szCs w:val="22"/>
                <w:lang w:eastAsia="en-US"/>
              </w:rPr>
              <w:t>odchýlky</w:t>
            </w:r>
            <w:r w:rsidR="004A7AA3" w:rsidRPr="00CC69EC">
              <w:rPr>
                <w:rFonts w:eastAsia="TimesNewRoman"/>
                <w:szCs w:val="22"/>
                <w:lang w:eastAsia="en-US"/>
              </w:rPr>
              <w:t xml:space="preserve"> </w:t>
            </w:r>
            <w:r w:rsidRPr="00CC69EC">
              <w:rPr>
                <w:rFonts w:eastAsia="TimesNewRoman"/>
                <w:szCs w:val="22"/>
                <w:lang w:eastAsia="en-US"/>
              </w:rPr>
              <w:t xml:space="preserve">na elektrokardiograme (vrátane predĺženia QT intervalu)*, </w:t>
            </w:r>
            <w:r w:rsidR="004A7AA3">
              <w:rPr>
                <w:rFonts w:eastAsia="TimesNewRoman"/>
                <w:szCs w:val="22"/>
                <w:lang w:eastAsia="en-US"/>
              </w:rPr>
              <w:t>odchýlky</w:t>
            </w:r>
            <w:r w:rsidR="004A7AA3" w:rsidRPr="00CC69EC">
              <w:rPr>
                <w:rFonts w:eastAsia="TimesNewRoman"/>
                <w:szCs w:val="22"/>
                <w:lang w:eastAsia="en-US"/>
              </w:rPr>
              <w:t xml:space="preserve"> </w:t>
            </w:r>
            <w:r w:rsidRPr="00CC69EC">
              <w:rPr>
                <w:rFonts w:eastAsia="TimesNewRoman"/>
                <w:szCs w:val="22"/>
                <w:lang w:eastAsia="en-US"/>
              </w:rPr>
              <w:t>hodnot</w:t>
            </w:r>
            <w:r w:rsidR="004A7AA3">
              <w:rPr>
                <w:rFonts w:eastAsia="TimesNewRoman"/>
                <w:szCs w:val="22"/>
                <w:lang w:eastAsia="en-US"/>
              </w:rPr>
              <w:t>y</w:t>
            </w:r>
            <w:r w:rsidRPr="00CC69EC">
              <w:rPr>
                <w:rFonts w:eastAsia="TimesNewRoman"/>
                <w:szCs w:val="22"/>
                <w:lang w:eastAsia="en-US"/>
              </w:rPr>
              <w:t xml:space="preserve"> INR*, zníženie pH v žalúdku, zvýšenie agregácie krvných doštičiek, zvýšenie troponínu I, identifikácia vírusu a sérológia*, výsledky analýzy moču</w:t>
            </w:r>
            <w:r w:rsidR="004A7AA3">
              <w:rPr>
                <w:rFonts w:eastAsia="TimesNewRoman"/>
                <w:szCs w:val="22"/>
                <w:lang w:eastAsia="en-US"/>
              </w:rPr>
              <w:t xml:space="preserve"> mimo normy</w:t>
            </w:r>
            <w:r w:rsidRPr="00CC69EC">
              <w:rPr>
                <w:rFonts w:eastAsia="TimesNewRoman"/>
                <w:szCs w:val="22"/>
                <w:lang w:eastAsia="en-US"/>
              </w:rPr>
              <w:t>*</w:t>
            </w:r>
          </w:p>
        </w:tc>
      </w:tr>
      <w:tr w:rsidR="00564D9B" w:rsidRPr="00CC69EC" w14:paraId="57200CEE" w14:textId="77777777" w:rsidTr="00E110FB">
        <w:trPr>
          <w:tblCellSpacing w:w="0" w:type="dxa"/>
        </w:trPr>
        <w:tc>
          <w:tcPr>
            <w:tcW w:w="1000" w:type="pct"/>
            <w:vMerge w:val="restart"/>
            <w:hideMark/>
          </w:tcPr>
          <w:p w14:paraId="7A45E8AE"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Úrazy, otravy a komplikácie liečebného postupu</w:t>
            </w:r>
            <w:r w:rsidRPr="00CC69EC">
              <w:rPr>
                <w:color w:val="000000"/>
                <w:szCs w:val="22"/>
              </w:rPr>
              <w:t xml:space="preserve"> </w:t>
            </w:r>
          </w:p>
        </w:tc>
        <w:tc>
          <w:tcPr>
            <w:tcW w:w="1000" w:type="pct"/>
            <w:hideMark/>
          </w:tcPr>
          <w:p w14:paraId="66FC6261" w14:textId="77777777" w:rsidR="00564D9B" w:rsidRPr="00CC69EC" w:rsidRDefault="00564D9B" w:rsidP="00F75370">
            <w:pPr>
              <w:rPr>
                <w:color w:val="000000"/>
                <w:szCs w:val="22"/>
              </w:rPr>
            </w:pPr>
            <w:r w:rsidRPr="00CC69EC">
              <w:rPr>
                <w:color w:val="000000"/>
                <w:szCs w:val="22"/>
              </w:rPr>
              <w:t xml:space="preserve">Menej časté </w:t>
            </w:r>
          </w:p>
        </w:tc>
        <w:tc>
          <w:tcPr>
            <w:tcW w:w="3000" w:type="pct"/>
            <w:hideMark/>
          </w:tcPr>
          <w:p w14:paraId="7B571726" w14:textId="77777777" w:rsidR="00564D9B" w:rsidRPr="00CC69EC" w:rsidRDefault="00564D9B" w:rsidP="00F75370">
            <w:pPr>
              <w:rPr>
                <w:color w:val="000000"/>
                <w:szCs w:val="22"/>
              </w:rPr>
            </w:pPr>
            <w:r w:rsidRPr="00CC69EC">
              <w:rPr>
                <w:rFonts w:eastAsia="TimesNewRoman"/>
                <w:szCs w:val="22"/>
                <w:lang w:eastAsia="en-US"/>
              </w:rPr>
              <w:t>pád, pomliaždenie</w:t>
            </w:r>
          </w:p>
        </w:tc>
      </w:tr>
      <w:tr w:rsidR="00564D9B" w:rsidRPr="00CC69EC" w14:paraId="77F2845D" w14:textId="77777777" w:rsidTr="00E110FB">
        <w:trPr>
          <w:tblCellSpacing w:w="0" w:type="dxa"/>
        </w:trPr>
        <w:tc>
          <w:tcPr>
            <w:tcW w:w="0" w:type="auto"/>
            <w:vMerge/>
            <w:vAlign w:val="center"/>
            <w:hideMark/>
          </w:tcPr>
          <w:p w14:paraId="039CF7AE" w14:textId="77777777" w:rsidR="00564D9B" w:rsidRPr="00CC69EC" w:rsidRDefault="00564D9B" w:rsidP="00F75370">
            <w:pPr>
              <w:rPr>
                <w:color w:val="000000"/>
                <w:szCs w:val="22"/>
              </w:rPr>
            </w:pPr>
          </w:p>
        </w:tc>
        <w:tc>
          <w:tcPr>
            <w:tcW w:w="1000" w:type="pct"/>
            <w:hideMark/>
          </w:tcPr>
          <w:p w14:paraId="37D6934C"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3DDD9038" w14:textId="10EE2279" w:rsidR="00564D9B" w:rsidRPr="00CC69EC" w:rsidRDefault="00564D9B" w:rsidP="00936B2F">
            <w:pPr>
              <w:autoSpaceDE w:val="0"/>
              <w:autoSpaceDN w:val="0"/>
              <w:adjustRightInd w:val="0"/>
              <w:ind w:left="0" w:firstLine="0"/>
              <w:rPr>
                <w:color w:val="000000"/>
                <w:szCs w:val="22"/>
              </w:rPr>
            </w:pPr>
            <w:r w:rsidRPr="00CC69EC">
              <w:rPr>
                <w:rFonts w:eastAsia="TimesNewRoman"/>
                <w:szCs w:val="22"/>
                <w:lang w:eastAsia="en-US"/>
              </w:rPr>
              <w:t xml:space="preserve">reakcie na transfúziu, zlomeniny*, </w:t>
            </w:r>
            <w:r>
              <w:rPr>
                <w:rFonts w:eastAsia="TimesNewRoman"/>
                <w:szCs w:val="22"/>
                <w:lang w:eastAsia="en-US"/>
              </w:rPr>
              <w:t>stuhnutosť</w:t>
            </w:r>
            <w:r w:rsidRPr="00CC69EC">
              <w:rPr>
                <w:rFonts w:eastAsia="TimesNewRoman"/>
                <w:szCs w:val="22"/>
                <w:lang w:eastAsia="en-US"/>
              </w:rPr>
              <w:t>*, poranenie tváre, poranenie kĺbov*, popáleniny, lacerácia, bolesť</w:t>
            </w:r>
            <w:r w:rsidR="00936B2F">
              <w:rPr>
                <w:rFonts w:eastAsia="TimesNewRoman"/>
                <w:szCs w:val="22"/>
                <w:lang w:eastAsia="en-US"/>
              </w:rPr>
              <w:t xml:space="preserve"> spojená s podaním lieku</w:t>
            </w:r>
            <w:r w:rsidRPr="00CC69EC">
              <w:rPr>
                <w:rFonts w:eastAsia="TimesNewRoman"/>
                <w:szCs w:val="22"/>
                <w:lang w:eastAsia="en-US"/>
              </w:rPr>
              <w:t>, poranenia žiarením*</w:t>
            </w:r>
            <w:r w:rsidRPr="00CC69EC">
              <w:rPr>
                <w:color w:val="000000"/>
                <w:szCs w:val="22"/>
              </w:rPr>
              <w:t xml:space="preserve"> </w:t>
            </w:r>
          </w:p>
        </w:tc>
      </w:tr>
      <w:tr w:rsidR="00564D9B" w:rsidRPr="00CC69EC" w14:paraId="73E7809E" w14:textId="77777777" w:rsidTr="00E110FB">
        <w:trPr>
          <w:tblCellSpacing w:w="0" w:type="dxa"/>
        </w:trPr>
        <w:tc>
          <w:tcPr>
            <w:tcW w:w="1000" w:type="pct"/>
            <w:hideMark/>
          </w:tcPr>
          <w:p w14:paraId="2DCCE3B0"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Chirurgické a liečebné postupy</w:t>
            </w:r>
          </w:p>
        </w:tc>
        <w:tc>
          <w:tcPr>
            <w:tcW w:w="1000" w:type="pct"/>
            <w:hideMark/>
          </w:tcPr>
          <w:p w14:paraId="2847B32D"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61B18FD3" w14:textId="1AAD3FC5" w:rsidR="00564D9B" w:rsidRPr="00CC69EC" w:rsidRDefault="00564D9B" w:rsidP="00F75370">
            <w:pPr>
              <w:rPr>
                <w:color w:val="000000"/>
                <w:szCs w:val="22"/>
              </w:rPr>
            </w:pPr>
            <w:r w:rsidRPr="00CC69EC">
              <w:rPr>
                <w:rFonts w:eastAsia="TimesNewRoman"/>
                <w:szCs w:val="22"/>
                <w:lang w:eastAsia="en-US"/>
              </w:rPr>
              <w:t>aktivácia makrofág</w:t>
            </w:r>
            <w:r w:rsidR="004A7AA3">
              <w:rPr>
                <w:rFonts w:eastAsia="TimesNewRoman"/>
                <w:szCs w:val="22"/>
                <w:lang w:eastAsia="en-US"/>
              </w:rPr>
              <w:t>ov</w:t>
            </w:r>
          </w:p>
        </w:tc>
      </w:tr>
    </w:tbl>
    <w:p w14:paraId="133E2DFA" w14:textId="77777777" w:rsidR="00564D9B" w:rsidRPr="00E110FB" w:rsidRDefault="00564D9B" w:rsidP="00564D9B">
      <w:pPr>
        <w:rPr>
          <w:color w:val="000000"/>
          <w:sz w:val="18"/>
          <w:szCs w:val="18"/>
        </w:rPr>
      </w:pPr>
      <w:r w:rsidRPr="00E110FB">
        <w:rPr>
          <w:color w:val="000000"/>
          <w:sz w:val="18"/>
          <w:szCs w:val="18"/>
        </w:rPr>
        <w:t>NOS=bližšie nešpecifikované</w:t>
      </w:r>
    </w:p>
    <w:p w14:paraId="53769DF8" w14:textId="3B667483"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 xml:space="preserve">* Predstavuje pojmy, ktoré zahŕňajú viac ako jeden uprednostňovaný názov </w:t>
      </w:r>
      <w:r w:rsidR="00381692" w:rsidRPr="00E110FB">
        <w:rPr>
          <w:rFonts w:eastAsia="TimesNewRoman"/>
          <w:sz w:val="18"/>
          <w:szCs w:val="18"/>
          <w:lang w:eastAsia="en-US"/>
        </w:rPr>
        <w:t xml:space="preserve">podľa </w:t>
      </w:r>
      <w:r w:rsidRPr="00E110FB">
        <w:rPr>
          <w:rFonts w:eastAsia="TimesNewRoman"/>
          <w:sz w:val="18"/>
          <w:szCs w:val="18"/>
          <w:lang w:eastAsia="en-US"/>
        </w:rPr>
        <w:t>MedDRA</w:t>
      </w:r>
    </w:p>
    <w:p w14:paraId="08971E3F" w14:textId="1CC4A567" w:rsidR="00564D9B" w:rsidRPr="00E110FB" w:rsidRDefault="00564D9B" w:rsidP="00564D9B">
      <w:pPr>
        <w:ind w:left="0" w:firstLine="0"/>
        <w:rPr>
          <w:rFonts w:eastAsia="TimesNewRoman"/>
          <w:sz w:val="18"/>
          <w:szCs w:val="18"/>
          <w:lang w:eastAsia="en-US"/>
        </w:rPr>
      </w:pPr>
      <w:r w:rsidRPr="00E110FB">
        <w:rPr>
          <w:rFonts w:eastAsia="TimesNewRoman"/>
          <w:sz w:val="18"/>
          <w:szCs w:val="18"/>
          <w:lang w:eastAsia="en-US"/>
        </w:rPr>
        <w:t># hlásenia</w:t>
      </w:r>
      <w:r w:rsidR="00455CB9" w:rsidRPr="00E110FB">
        <w:rPr>
          <w:rFonts w:eastAsia="TimesNewRoman"/>
          <w:sz w:val="18"/>
          <w:szCs w:val="18"/>
          <w:lang w:eastAsia="en-US"/>
        </w:rPr>
        <w:t xml:space="preserve"> po uvedení lieku na trh</w:t>
      </w:r>
      <w:r w:rsidR="00030E94">
        <w:rPr>
          <w:rFonts w:eastAsia="TimesNewRoman"/>
          <w:sz w:val="18"/>
          <w:szCs w:val="18"/>
          <w:lang w:eastAsia="en-US"/>
        </w:rPr>
        <w:t xml:space="preserve"> </w:t>
      </w:r>
      <w:r w:rsidR="00030E94" w:rsidRPr="00030E94">
        <w:rPr>
          <w:rFonts w:eastAsia="TimesNewRoman"/>
          <w:sz w:val="18"/>
          <w:szCs w:val="18"/>
          <w:lang w:eastAsia="en-US"/>
        </w:rPr>
        <w:t>bez ohľadu na indikáciu</w:t>
      </w:r>
    </w:p>
    <w:p w14:paraId="287000A0" w14:textId="77777777" w:rsidR="00564D9B" w:rsidRPr="00CC69EC" w:rsidRDefault="00564D9B" w:rsidP="00564D9B">
      <w:pPr>
        <w:ind w:left="0" w:firstLine="0"/>
        <w:rPr>
          <w:b/>
          <w:szCs w:val="22"/>
        </w:rPr>
      </w:pPr>
    </w:p>
    <w:p w14:paraId="6BD4B444"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Lymfóm z plášťových buniek (MCL)</w:t>
      </w:r>
    </w:p>
    <w:p w14:paraId="5A14931B"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Bezpečnostný profil bortezomibu u 240 pacientov s MCL liečených bortezomibom v dávke 1,3 mg/m</w:t>
      </w:r>
      <w:r w:rsidRPr="00CC69EC">
        <w:rPr>
          <w:rFonts w:eastAsia="TimesNewRoman"/>
          <w:szCs w:val="22"/>
          <w:vertAlign w:val="superscript"/>
          <w:lang w:eastAsia="en-US"/>
        </w:rPr>
        <w:t xml:space="preserve">2 </w:t>
      </w:r>
      <w:r w:rsidRPr="00CC69EC">
        <w:rPr>
          <w:rFonts w:eastAsia="TimesNewRoman"/>
          <w:szCs w:val="22"/>
          <w:lang w:eastAsia="en-US"/>
        </w:rPr>
        <w:t xml:space="preserve">v kombinácii s rituximabom, cyklofosfamidom, doxorubicínom a prednizónom (BR-CAP) v porovnaní s 242 pacientmi liečenými rituximabom, cyklofosfamidom, doxorubicínom, vinkristínom a prednizónom [R-CHOP] bol relatívne zhodný s profilom pozorovaným u pacientov s mnohopočetným myelómom s hlavnými rozdielmi opísanými nižšie. Ďalšie nežiaduce reakcie na liečivo identifikované ako súvisiace s použitím kombinovanej liečby (BR-CAP) boli infekcia hepatitídy B (&lt; 1 %) a ischémia myokardu (1,3 %). Podobné incidencie týchto prípadov v oboch liečených skupinách naznačili, že tieto nežiaduce reakcie na liečivo nemožno pripísať samotnému bortezomibu. Medzi významné rozdiely v populácii pacientov s MCL v porovnaní s pacientmi v štúdiách s mnohopočetným myelómom boli ≥ 5 % vyššia incidencia hematologických nežiaducich reakcií (neutropénia, trombocytopénia, leukopénia, anémia, lymfopénia), periférna senzorická neuropatia, hypertenzia, pyrexia, pneumónia, stomatitída a </w:t>
      </w:r>
      <w:r w:rsidRPr="008A4085">
        <w:rPr>
          <w:rFonts w:eastAsia="TimesNewRoman"/>
          <w:szCs w:val="22"/>
          <w:lang w:eastAsia="en-US"/>
        </w:rPr>
        <w:t>ochorenia vlasov.</w:t>
      </w:r>
    </w:p>
    <w:p w14:paraId="625C5D21" w14:textId="77777777" w:rsidR="00564D9B" w:rsidRPr="00CC69EC" w:rsidRDefault="00564D9B" w:rsidP="00564D9B">
      <w:pPr>
        <w:autoSpaceDE w:val="0"/>
        <w:autoSpaceDN w:val="0"/>
        <w:adjustRightInd w:val="0"/>
        <w:ind w:left="0" w:firstLine="0"/>
        <w:rPr>
          <w:rFonts w:eastAsia="TimesNewRoman"/>
          <w:szCs w:val="22"/>
          <w:lang w:eastAsia="en-US"/>
        </w:rPr>
      </w:pPr>
    </w:p>
    <w:p w14:paraId="0C6DB187" w14:textId="1A9AEA31" w:rsidR="00564D9B" w:rsidRPr="00CC69EC" w:rsidRDefault="00564D9B" w:rsidP="00564D9B">
      <w:pPr>
        <w:autoSpaceDE w:val="0"/>
        <w:autoSpaceDN w:val="0"/>
        <w:adjustRightInd w:val="0"/>
        <w:ind w:left="0" w:firstLine="0"/>
        <w:rPr>
          <w:szCs w:val="22"/>
        </w:rPr>
      </w:pPr>
      <w:r w:rsidRPr="00CC69EC">
        <w:rPr>
          <w:rFonts w:eastAsia="TimesNewRoman"/>
          <w:szCs w:val="22"/>
          <w:lang w:eastAsia="en-US"/>
        </w:rPr>
        <w:t>Nežiaduce reakcie na liečivo identifikované ako tie s ≥ 1 % incidenciou, podobnou alebo vyššou incidenciou v skupine BR-CAP a s minimáln</w:t>
      </w:r>
      <w:r>
        <w:rPr>
          <w:rFonts w:eastAsia="TimesNewRoman"/>
          <w:szCs w:val="22"/>
          <w:lang w:eastAsia="en-US"/>
        </w:rPr>
        <w:t>ym</w:t>
      </w:r>
      <w:r w:rsidRPr="00CC69EC">
        <w:rPr>
          <w:rFonts w:eastAsia="TimesNewRoman"/>
          <w:szCs w:val="22"/>
          <w:lang w:eastAsia="en-US"/>
        </w:rPr>
        <w:t xml:space="preserve"> možným alebo pravdepodobným kauzálnym vzťahom k zložkám použitým v skupine BR-CAP, sú vymenované v </w:t>
      </w:r>
      <w:r w:rsidR="00E106E8">
        <w:rPr>
          <w:rFonts w:eastAsia="TimesNewRoman"/>
          <w:szCs w:val="22"/>
          <w:lang w:eastAsia="en-US"/>
        </w:rPr>
        <w:t>t</w:t>
      </w:r>
      <w:r w:rsidRPr="00CC69EC">
        <w:rPr>
          <w:rFonts w:eastAsia="TimesNewRoman"/>
          <w:szCs w:val="22"/>
          <w:lang w:eastAsia="en-US"/>
        </w:rPr>
        <w:t>abuľke 8 nižšie. Zahrnuté sú tiež nežiaduce reakcie na liek identifikované v skupine BR-CAP, u ktorých sa skúšajúci na základe historických údajov zo štúdií mnohopočetného myelómu domnievali, že majú minimáln</w:t>
      </w:r>
      <w:r>
        <w:rPr>
          <w:rFonts w:eastAsia="TimesNewRoman"/>
          <w:szCs w:val="22"/>
          <w:lang w:eastAsia="en-US"/>
        </w:rPr>
        <w:t>y</w:t>
      </w:r>
      <w:r w:rsidRPr="00CC69EC">
        <w:rPr>
          <w:rFonts w:eastAsia="TimesNewRoman"/>
          <w:szCs w:val="22"/>
          <w:lang w:eastAsia="en-US"/>
        </w:rPr>
        <w:t xml:space="preserve"> možný alebo pravdepodobný kauzálny vzťah k bortezomibu.</w:t>
      </w:r>
    </w:p>
    <w:p w14:paraId="67404927" w14:textId="77777777" w:rsidR="00564D9B" w:rsidRPr="00CC69EC" w:rsidRDefault="00564D9B" w:rsidP="00564D9B">
      <w:pPr>
        <w:ind w:left="0" w:firstLine="0"/>
      </w:pPr>
    </w:p>
    <w:p w14:paraId="28435774" w14:textId="44172CF9" w:rsidR="00564D9B" w:rsidRPr="00CC69EC" w:rsidRDefault="00564D9B" w:rsidP="00564D9B">
      <w:pPr>
        <w:autoSpaceDE w:val="0"/>
        <w:autoSpaceDN w:val="0"/>
        <w:adjustRightInd w:val="0"/>
        <w:ind w:left="0" w:firstLine="0"/>
        <w:rPr>
          <w:szCs w:val="22"/>
        </w:rPr>
      </w:pPr>
      <w:r w:rsidRPr="00CC69EC">
        <w:rPr>
          <w:rFonts w:eastAsia="TimesNewRoman"/>
          <w:szCs w:val="22"/>
          <w:lang w:eastAsia="en-US"/>
        </w:rPr>
        <w:t>Nežiaduce reakcie sú uvedené nižšie podľa triedy orgánov</w:t>
      </w:r>
      <w:r>
        <w:rPr>
          <w:rFonts w:eastAsia="TimesNewRoman"/>
          <w:szCs w:val="22"/>
          <w:lang w:eastAsia="en-US"/>
        </w:rPr>
        <w:t>ých</w:t>
      </w:r>
      <w:r w:rsidRPr="00CC69EC">
        <w:rPr>
          <w:rFonts w:eastAsia="TimesNewRoman"/>
          <w:szCs w:val="22"/>
          <w:lang w:eastAsia="en-US"/>
        </w:rPr>
        <w:t xml:space="preserve"> systém</w:t>
      </w:r>
      <w:r>
        <w:rPr>
          <w:rFonts w:eastAsia="TimesNewRoman"/>
          <w:szCs w:val="22"/>
          <w:lang w:eastAsia="en-US"/>
        </w:rPr>
        <w:t>ov</w:t>
      </w:r>
      <w:r w:rsidRPr="00CC69EC">
        <w:rPr>
          <w:rFonts w:eastAsia="TimesNewRoman"/>
          <w:szCs w:val="22"/>
          <w:lang w:eastAsia="en-US"/>
        </w:rPr>
        <w:t xml:space="preserve"> a frekvencie. Frekvencie sú definované ako: veľmi časté (≥ 1/10); časté (≥ 1/100 až &lt; 1/10); menej časté (≥ 1/1 000 až &lt; 1/100); zriedkavé (≥ 1/10 000 až &lt; 1/1 000); veľmi zriedkavé (&lt; 1/10 000), neznáme (z dostupných údajov). V rámci jednotlivých skupín frekvencií sú nežiaduce účinky usporiadané v poradí klesajúcej závažnosti. Tabuľka 8 bola vytvorená použitím verzie 16</w:t>
      </w:r>
      <w:r w:rsidR="00E106E8">
        <w:rPr>
          <w:rFonts w:eastAsia="TimesNewRoman"/>
          <w:szCs w:val="22"/>
          <w:lang w:eastAsia="en-US"/>
        </w:rPr>
        <w:t xml:space="preserve"> databázy</w:t>
      </w:r>
      <w:r w:rsidRPr="00CC69EC">
        <w:rPr>
          <w:rFonts w:eastAsia="TimesNewRoman"/>
          <w:szCs w:val="22"/>
          <w:lang w:eastAsia="en-US"/>
        </w:rPr>
        <w:t xml:space="preserve"> MedDRA.</w:t>
      </w:r>
    </w:p>
    <w:p w14:paraId="3A7EC167" w14:textId="77777777" w:rsidR="00564D9B" w:rsidRPr="00CC69EC" w:rsidRDefault="00564D9B" w:rsidP="00564D9B">
      <w:pPr>
        <w:ind w:left="0" w:firstLine="0"/>
      </w:pPr>
    </w:p>
    <w:p w14:paraId="25308670" w14:textId="1F1B1B9A" w:rsidR="00564D9B" w:rsidRPr="00CC69EC" w:rsidRDefault="00564D9B" w:rsidP="00030E94">
      <w:pPr>
        <w:spacing w:after="150"/>
        <w:ind w:left="993" w:hanging="993"/>
        <w:rPr>
          <w:color w:val="000000"/>
          <w:lang w:eastAsia="de-AT"/>
        </w:rPr>
      </w:pPr>
      <w:r w:rsidRPr="00CC69EC">
        <w:rPr>
          <w:rFonts w:eastAsia="TimesNewRoman,Italic"/>
          <w:i/>
          <w:iCs/>
          <w:szCs w:val="22"/>
          <w:lang w:eastAsia="en-US"/>
        </w:rPr>
        <w:t>Tabuľka 8: Nežiaduce reakcie u pacientov s lymfómom z plášťových buniek liečených  BR-CAP</w:t>
      </w:r>
      <w:r w:rsidR="00030E94">
        <w:rPr>
          <w:rFonts w:eastAsia="TimesNewRoman,Italic"/>
          <w:i/>
          <w:iCs/>
          <w:szCs w:val="22"/>
          <w:lang w:eastAsia="en-US"/>
        </w:rPr>
        <w:t xml:space="preserve"> v klinickom skúšaní</w:t>
      </w:r>
    </w:p>
    <w:tbl>
      <w:tblPr>
        <w:tblW w:w="897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109"/>
        <w:gridCol w:w="1865"/>
        <w:gridCol w:w="4002"/>
      </w:tblGrid>
      <w:tr w:rsidR="00564D9B" w:rsidRPr="00CC69EC" w14:paraId="2DF0CA46" w14:textId="77777777" w:rsidTr="00E110FB">
        <w:trPr>
          <w:tblCellSpacing w:w="0" w:type="dxa"/>
        </w:trPr>
        <w:tc>
          <w:tcPr>
            <w:tcW w:w="1732" w:type="pct"/>
            <w:hideMark/>
          </w:tcPr>
          <w:p w14:paraId="51A24C1B"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Bold"/>
                <w:b/>
                <w:bCs/>
                <w:szCs w:val="22"/>
                <w:lang w:eastAsia="en-US"/>
              </w:rPr>
              <w:t xml:space="preserve">Trieda orgánových systémov </w:t>
            </w:r>
          </w:p>
        </w:tc>
        <w:tc>
          <w:tcPr>
            <w:tcW w:w="1039" w:type="pct"/>
            <w:hideMark/>
          </w:tcPr>
          <w:p w14:paraId="5A4E8458" w14:textId="77777777" w:rsidR="00564D9B" w:rsidRPr="00CC69EC" w:rsidRDefault="00564D9B" w:rsidP="00F75370">
            <w:pPr>
              <w:rPr>
                <w:color w:val="000000"/>
                <w:lang w:eastAsia="de-AT"/>
              </w:rPr>
            </w:pPr>
            <w:r w:rsidRPr="00CC69EC">
              <w:rPr>
                <w:b/>
                <w:bCs/>
                <w:color w:val="000000"/>
                <w:lang w:eastAsia="de-AT"/>
              </w:rPr>
              <w:t xml:space="preserve">Incidencia </w:t>
            </w:r>
          </w:p>
        </w:tc>
        <w:tc>
          <w:tcPr>
            <w:tcW w:w="2229" w:type="pct"/>
            <w:hideMark/>
          </w:tcPr>
          <w:p w14:paraId="11380A53" w14:textId="77777777" w:rsidR="00564D9B" w:rsidRPr="00CC69EC" w:rsidRDefault="00564D9B" w:rsidP="00F75370">
            <w:pPr>
              <w:rPr>
                <w:color w:val="000000"/>
                <w:lang w:eastAsia="de-AT"/>
              </w:rPr>
            </w:pPr>
            <w:r w:rsidRPr="00CC69EC">
              <w:rPr>
                <w:b/>
                <w:bCs/>
                <w:color w:val="000000"/>
                <w:lang w:eastAsia="de-AT"/>
              </w:rPr>
              <w:t xml:space="preserve">Nežiaduca reakcia </w:t>
            </w:r>
          </w:p>
        </w:tc>
      </w:tr>
      <w:tr w:rsidR="00564D9B" w:rsidRPr="00CC69EC" w14:paraId="38FD972B" w14:textId="77777777" w:rsidTr="00E110FB">
        <w:trPr>
          <w:tblCellSpacing w:w="0" w:type="dxa"/>
        </w:trPr>
        <w:tc>
          <w:tcPr>
            <w:tcW w:w="1732" w:type="pct"/>
            <w:vMerge w:val="restart"/>
            <w:hideMark/>
          </w:tcPr>
          <w:p w14:paraId="098CBB25" w14:textId="77777777" w:rsidR="00564D9B" w:rsidRPr="00CC69EC" w:rsidRDefault="00564D9B" w:rsidP="00F75370">
            <w:pPr>
              <w:rPr>
                <w:color w:val="000000"/>
                <w:lang w:eastAsia="de-AT"/>
              </w:rPr>
            </w:pPr>
            <w:r w:rsidRPr="00CC69EC">
              <w:rPr>
                <w:rFonts w:eastAsia="TimesNewRoman"/>
                <w:szCs w:val="22"/>
                <w:lang w:eastAsia="en-US"/>
              </w:rPr>
              <w:t>Infekcie a nákazy</w:t>
            </w:r>
          </w:p>
        </w:tc>
        <w:tc>
          <w:tcPr>
            <w:tcW w:w="1039" w:type="pct"/>
            <w:hideMark/>
          </w:tcPr>
          <w:p w14:paraId="76F43A81" w14:textId="77777777" w:rsidR="00564D9B" w:rsidRPr="00CC69EC" w:rsidRDefault="00564D9B" w:rsidP="00F75370">
            <w:pPr>
              <w:rPr>
                <w:color w:val="000000"/>
                <w:lang w:eastAsia="de-AT"/>
              </w:rPr>
            </w:pPr>
            <w:r w:rsidRPr="00CC69EC">
              <w:rPr>
                <w:rFonts w:eastAsia="TimesNewRoman"/>
                <w:szCs w:val="22"/>
                <w:lang w:eastAsia="en-US"/>
              </w:rPr>
              <w:t>Veľmi časté</w:t>
            </w:r>
          </w:p>
        </w:tc>
        <w:tc>
          <w:tcPr>
            <w:tcW w:w="2229" w:type="pct"/>
            <w:hideMark/>
          </w:tcPr>
          <w:p w14:paraId="12754C52" w14:textId="77777777" w:rsidR="00564D9B" w:rsidRPr="00CC69EC" w:rsidRDefault="00564D9B" w:rsidP="00F75370">
            <w:pPr>
              <w:rPr>
                <w:color w:val="000000"/>
                <w:lang w:eastAsia="de-AT"/>
              </w:rPr>
            </w:pPr>
            <w:r w:rsidRPr="00CC69EC">
              <w:rPr>
                <w:rFonts w:eastAsia="TimesNewRoman"/>
                <w:szCs w:val="22"/>
                <w:lang w:eastAsia="en-US"/>
              </w:rPr>
              <w:t>pneumónia*</w:t>
            </w:r>
            <w:r w:rsidRPr="00CC69EC">
              <w:rPr>
                <w:color w:val="000000"/>
                <w:lang w:eastAsia="de-AT"/>
              </w:rPr>
              <w:t xml:space="preserve"> </w:t>
            </w:r>
          </w:p>
        </w:tc>
      </w:tr>
      <w:tr w:rsidR="00564D9B" w:rsidRPr="00CC69EC" w14:paraId="20F41CD4" w14:textId="77777777" w:rsidTr="00E110FB">
        <w:trPr>
          <w:tblCellSpacing w:w="0" w:type="dxa"/>
        </w:trPr>
        <w:tc>
          <w:tcPr>
            <w:tcW w:w="0" w:type="auto"/>
            <w:vMerge/>
            <w:vAlign w:val="center"/>
            <w:hideMark/>
          </w:tcPr>
          <w:p w14:paraId="739D1AFE" w14:textId="77777777" w:rsidR="00564D9B" w:rsidRPr="00CC69EC" w:rsidRDefault="00564D9B" w:rsidP="00F75370">
            <w:pPr>
              <w:rPr>
                <w:color w:val="000000"/>
                <w:lang w:eastAsia="de-AT"/>
              </w:rPr>
            </w:pPr>
          </w:p>
        </w:tc>
        <w:tc>
          <w:tcPr>
            <w:tcW w:w="1039" w:type="pct"/>
            <w:hideMark/>
          </w:tcPr>
          <w:p w14:paraId="6D218253" w14:textId="77777777" w:rsidR="00564D9B" w:rsidRPr="00CC69EC" w:rsidRDefault="00564D9B" w:rsidP="00F75370">
            <w:pPr>
              <w:rPr>
                <w:color w:val="000000"/>
                <w:lang w:eastAsia="de-AT"/>
              </w:rPr>
            </w:pPr>
            <w:r w:rsidRPr="00CC69EC">
              <w:rPr>
                <w:color w:val="000000"/>
                <w:lang w:eastAsia="de-AT"/>
              </w:rPr>
              <w:t xml:space="preserve">Časté </w:t>
            </w:r>
          </w:p>
        </w:tc>
        <w:tc>
          <w:tcPr>
            <w:tcW w:w="2229" w:type="pct"/>
            <w:hideMark/>
          </w:tcPr>
          <w:p w14:paraId="39919454"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 xml:space="preserve">sepsa (vrátane septického šoku)*, herpes zoster (vrátane diseminovaného a oftalmického), infekcia herpes vírusom*, </w:t>
            </w:r>
            <w:r w:rsidRPr="00CC69EC">
              <w:rPr>
                <w:rFonts w:eastAsia="TimesNewRoman"/>
                <w:szCs w:val="22"/>
                <w:lang w:eastAsia="en-US"/>
              </w:rPr>
              <w:lastRenderedPageBreak/>
              <w:t>bakteriálne infekcie*, infekcia horného/dolného dýchacieho traktu*, plesňová infekcia*, herpes simplex*</w:t>
            </w:r>
          </w:p>
        </w:tc>
      </w:tr>
      <w:tr w:rsidR="00564D9B" w:rsidRPr="00CC69EC" w14:paraId="685B8020" w14:textId="77777777" w:rsidTr="00E110FB">
        <w:trPr>
          <w:tblCellSpacing w:w="0" w:type="dxa"/>
        </w:trPr>
        <w:tc>
          <w:tcPr>
            <w:tcW w:w="0" w:type="auto"/>
            <w:vMerge/>
            <w:vAlign w:val="center"/>
            <w:hideMark/>
          </w:tcPr>
          <w:p w14:paraId="5002C157" w14:textId="77777777" w:rsidR="00564D9B" w:rsidRPr="00CC69EC" w:rsidRDefault="00564D9B" w:rsidP="00F75370">
            <w:pPr>
              <w:rPr>
                <w:color w:val="000000"/>
                <w:lang w:eastAsia="de-AT"/>
              </w:rPr>
            </w:pPr>
          </w:p>
        </w:tc>
        <w:tc>
          <w:tcPr>
            <w:tcW w:w="1039" w:type="pct"/>
            <w:hideMark/>
          </w:tcPr>
          <w:p w14:paraId="14BFF5A8" w14:textId="77777777" w:rsidR="00564D9B" w:rsidRPr="00CC69EC" w:rsidRDefault="00564D9B" w:rsidP="00F75370">
            <w:pPr>
              <w:rPr>
                <w:color w:val="000000"/>
                <w:lang w:eastAsia="de-AT"/>
              </w:rPr>
            </w:pPr>
            <w:r w:rsidRPr="00CC69EC">
              <w:rPr>
                <w:color w:val="000000"/>
                <w:lang w:eastAsia="de-AT"/>
              </w:rPr>
              <w:t xml:space="preserve">Menej časté </w:t>
            </w:r>
          </w:p>
        </w:tc>
        <w:tc>
          <w:tcPr>
            <w:tcW w:w="2229" w:type="pct"/>
            <w:hideMark/>
          </w:tcPr>
          <w:p w14:paraId="233FF9B6" w14:textId="77777777" w:rsidR="00564D9B" w:rsidRPr="00CC69EC" w:rsidRDefault="00564D9B" w:rsidP="00F75370">
            <w:pPr>
              <w:rPr>
                <w:color w:val="000000"/>
                <w:lang w:eastAsia="de-AT"/>
              </w:rPr>
            </w:pPr>
            <w:r w:rsidRPr="00CC69EC">
              <w:rPr>
                <w:rFonts w:eastAsia="TimesNewRoman"/>
                <w:szCs w:val="22"/>
                <w:lang w:eastAsia="en-US"/>
              </w:rPr>
              <w:t>hepatitída B, infekcia*, bronchopneumónia</w:t>
            </w:r>
          </w:p>
        </w:tc>
      </w:tr>
      <w:tr w:rsidR="00564D9B" w:rsidRPr="00CC69EC" w14:paraId="0A7D9D24" w14:textId="77777777" w:rsidTr="00E110FB">
        <w:trPr>
          <w:tblCellSpacing w:w="0" w:type="dxa"/>
        </w:trPr>
        <w:tc>
          <w:tcPr>
            <w:tcW w:w="1732" w:type="pct"/>
            <w:vMerge w:val="restart"/>
            <w:hideMark/>
          </w:tcPr>
          <w:p w14:paraId="194F30A2"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Poruchy krvi a lymfatického systému</w:t>
            </w:r>
          </w:p>
        </w:tc>
        <w:tc>
          <w:tcPr>
            <w:tcW w:w="1039" w:type="pct"/>
            <w:hideMark/>
          </w:tcPr>
          <w:p w14:paraId="0E0964A3" w14:textId="77777777" w:rsidR="00564D9B" w:rsidRPr="00CC69EC" w:rsidRDefault="00564D9B" w:rsidP="00F75370">
            <w:pPr>
              <w:rPr>
                <w:color w:val="000000"/>
                <w:lang w:eastAsia="de-AT"/>
              </w:rPr>
            </w:pPr>
            <w:r w:rsidRPr="00CC69EC">
              <w:rPr>
                <w:color w:val="000000"/>
                <w:lang w:eastAsia="de-AT"/>
              </w:rPr>
              <w:t xml:space="preserve">Veľmi časté </w:t>
            </w:r>
          </w:p>
        </w:tc>
        <w:tc>
          <w:tcPr>
            <w:tcW w:w="2229" w:type="pct"/>
            <w:hideMark/>
          </w:tcPr>
          <w:p w14:paraId="19667405"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trombocytopénia*, febrilná neutropénia, neutropénia*, leukopénia*, anémia*, lym</w:t>
            </w:r>
            <w:bookmarkStart w:id="0" w:name="_GoBack"/>
            <w:bookmarkEnd w:id="0"/>
            <w:r w:rsidRPr="00CC69EC">
              <w:rPr>
                <w:rFonts w:eastAsia="TimesNewRoman"/>
                <w:szCs w:val="22"/>
                <w:lang w:eastAsia="en-US"/>
              </w:rPr>
              <w:t>fopénia*</w:t>
            </w:r>
          </w:p>
        </w:tc>
      </w:tr>
      <w:tr w:rsidR="00564D9B" w:rsidRPr="00CC69EC" w14:paraId="549D9EB6" w14:textId="77777777" w:rsidTr="00E110FB">
        <w:trPr>
          <w:tblCellSpacing w:w="0" w:type="dxa"/>
        </w:trPr>
        <w:tc>
          <w:tcPr>
            <w:tcW w:w="0" w:type="auto"/>
            <w:vMerge/>
            <w:vAlign w:val="center"/>
            <w:hideMark/>
          </w:tcPr>
          <w:p w14:paraId="10021FD5" w14:textId="77777777" w:rsidR="00564D9B" w:rsidRPr="00CC69EC" w:rsidRDefault="00564D9B" w:rsidP="00F75370">
            <w:pPr>
              <w:rPr>
                <w:color w:val="000000"/>
                <w:lang w:eastAsia="de-AT"/>
              </w:rPr>
            </w:pPr>
          </w:p>
        </w:tc>
        <w:tc>
          <w:tcPr>
            <w:tcW w:w="1039" w:type="pct"/>
            <w:hideMark/>
          </w:tcPr>
          <w:p w14:paraId="3C8BF93C" w14:textId="77777777" w:rsidR="00564D9B" w:rsidRPr="00CC69EC" w:rsidRDefault="00564D9B" w:rsidP="00F75370">
            <w:pPr>
              <w:rPr>
                <w:color w:val="000000"/>
                <w:lang w:eastAsia="de-AT"/>
              </w:rPr>
            </w:pPr>
            <w:r w:rsidRPr="00CC69EC">
              <w:rPr>
                <w:color w:val="000000"/>
                <w:lang w:eastAsia="de-AT"/>
              </w:rPr>
              <w:t>Menej časté</w:t>
            </w:r>
          </w:p>
        </w:tc>
        <w:tc>
          <w:tcPr>
            <w:tcW w:w="2229" w:type="pct"/>
            <w:hideMark/>
          </w:tcPr>
          <w:p w14:paraId="60E537E1" w14:textId="77777777" w:rsidR="00564D9B" w:rsidRPr="00CC69EC" w:rsidRDefault="00564D9B" w:rsidP="00F75370">
            <w:pPr>
              <w:rPr>
                <w:color w:val="000000"/>
                <w:lang w:eastAsia="de-AT"/>
              </w:rPr>
            </w:pPr>
            <w:r w:rsidRPr="00CC69EC">
              <w:rPr>
                <w:rFonts w:eastAsia="TimesNewRoman"/>
                <w:szCs w:val="22"/>
                <w:lang w:eastAsia="en-US"/>
              </w:rPr>
              <w:t>pancytopénia*</w:t>
            </w:r>
          </w:p>
        </w:tc>
      </w:tr>
      <w:tr w:rsidR="00564D9B" w:rsidRPr="00CC69EC" w14:paraId="190F36D3" w14:textId="77777777" w:rsidTr="00E110FB">
        <w:trPr>
          <w:tblCellSpacing w:w="0" w:type="dxa"/>
        </w:trPr>
        <w:tc>
          <w:tcPr>
            <w:tcW w:w="1732" w:type="pct"/>
            <w:vMerge w:val="restart"/>
            <w:hideMark/>
          </w:tcPr>
          <w:p w14:paraId="3DDE7C24"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Poruchy imunitného systému</w:t>
            </w:r>
          </w:p>
        </w:tc>
        <w:tc>
          <w:tcPr>
            <w:tcW w:w="1039" w:type="pct"/>
            <w:hideMark/>
          </w:tcPr>
          <w:p w14:paraId="1B4D4A9F" w14:textId="77777777" w:rsidR="00564D9B" w:rsidRPr="00CC69EC" w:rsidRDefault="00564D9B" w:rsidP="00F75370">
            <w:pPr>
              <w:rPr>
                <w:color w:val="000000"/>
                <w:lang w:eastAsia="de-AT"/>
              </w:rPr>
            </w:pPr>
            <w:r w:rsidRPr="00CC69EC">
              <w:rPr>
                <w:color w:val="000000"/>
                <w:lang w:eastAsia="de-AT"/>
              </w:rPr>
              <w:t xml:space="preserve">Časté </w:t>
            </w:r>
          </w:p>
        </w:tc>
        <w:tc>
          <w:tcPr>
            <w:tcW w:w="2229" w:type="pct"/>
            <w:hideMark/>
          </w:tcPr>
          <w:p w14:paraId="7F346B8F" w14:textId="77777777" w:rsidR="00564D9B" w:rsidRPr="00CC69EC" w:rsidRDefault="00564D9B" w:rsidP="00F75370">
            <w:pPr>
              <w:rPr>
                <w:color w:val="000000"/>
                <w:lang w:eastAsia="de-AT"/>
              </w:rPr>
            </w:pPr>
            <w:r w:rsidRPr="00CC69EC">
              <w:rPr>
                <w:rFonts w:eastAsia="TimesNewRoman"/>
                <w:szCs w:val="22"/>
                <w:lang w:eastAsia="en-US"/>
              </w:rPr>
              <w:t>hypersenzitivita*</w:t>
            </w:r>
            <w:r w:rsidRPr="00CC69EC">
              <w:rPr>
                <w:color w:val="000000"/>
                <w:lang w:eastAsia="de-AT"/>
              </w:rPr>
              <w:t xml:space="preserve"> </w:t>
            </w:r>
          </w:p>
        </w:tc>
      </w:tr>
      <w:tr w:rsidR="00564D9B" w:rsidRPr="00CC69EC" w14:paraId="6A4E98C7" w14:textId="77777777" w:rsidTr="00E110FB">
        <w:trPr>
          <w:tblCellSpacing w:w="0" w:type="dxa"/>
        </w:trPr>
        <w:tc>
          <w:tcPr>
            <w:tcW w:w="0" w:type="auto"/>
            <w:vMerge/>
            <w:vAlign w:val="center"/>
            <w:hideMark/>
          </w:tcPr>
          <w:p w14:paraId="77B70973" w14:textId="77777777" w:rsidR="00564D9B" w:rsidRPr="00CC69EC" w:rsidRDefault="00564D9B" w:rsidP="00F75370">
            <w:pPr>
              <w:rPr>
                <w:color w:val="000000"/>
                <w:lang w:eastAsia="de-AT"/>
              </w:rPr>
            </w:pPr>
          </w:p>
        </w:tc>
        <w:tc>
          <w:tcPr>
            <w:tcW w:w="1039" w:type="pct"/>
            <w:hideMark/>
          </w:tcPr>
          <w:p w14:paraId="43F287F3" w14:textId="77777777" w:rsidR="00564D9B" w:rsidRPr="00CC69EC" w:rsidRDefault="00564D9B" w:rsidP="00F75370">
            <w:pPr>
              <w:rPr>
                <w:color w:val="000000"/>
                <w:lang w:eastAsia="de-AT"/>
              </w:rPr>
            </w:pPr>
            <w:r w:rsidRPr="00CC69EC">
              <w:rPr>
                <w:color w:val="000000"/>
                <w:lang w:eastAsia="de-AT"/>
              </w:rPr>
              <w:t xml:space="preserve">Menej časté </w:t>
            </w:r>
          </w:p>
        </w:tc>
        <w:tc>
          <w:tcPr>
            <w:tcW w:w="2229" w:type="pct"/>
            <w:hideMark/>
          </w:tcPr>
          <w:p w14:paraId="4A5642D4" w14:textId="77777777" w:rsidR="00564D9B" w:rsidRPr="00CC69EC" w:rsidRDefault="00564D9B" w:rsidP="00F75370">
            <w:pPr>
              <w:rPr>
                <w:color w:val="000000"/>
                <w:lang w:eastAsia="de-AT"/>
              </w:rPr>
            </w:pPr>
            <w:r w:rsidRPr="00CC69EC">
              <w:rPr>
                <w:rFonts w:eastAsia="TimesNewRoman"/>
                <w:szCs w:val="22"/>
                <w:lang w:eastAsia="en-US"/>
              </w:rPr>
              <w:t>anafylaktická reakcia</w:t>
            </w:r>
          </w:p>
        </w:tc>
      </w:tr>
      <w:tr w:rsidR="00564D9B" w:rsidRPr="00CC69EC" w14:paraId="143E5F20" w14:textId="77777777" w:rsidTr="00E110FB">
        <w:trPr>
          <w:tblCellSpacing w:w="0" w:type="dxa"/>
        </w:trPr>
        <w:tc>
          <w:tcPr>
            <w:tcW w:w="1732" w:type="pct"/>
            <w:vMerge w:val="restart"/>
            <w:hideMark/>
          </w:tcPr>
          <w:p w14:paraId="6447FB5C" w14:textId="77777777" w:rsidR="00564D9B" w:rsidRPr="00CC69EC" w:rsidRDefault="00564D9B" w:rsidP="00F75370">
            <w:pPr>
              <w:rPr>
                <w:color w:val="000000"/>
                <w:lang w:eastAsia="de-AT"/>
              </w:rPr>
            </w:pPr>
            <w:r w:rsidRPr="00CC69EC">
              <w:rPr>
                <w:color w:val="000000"/>
                <w:szCs w:val="22"/>
              </w:rPr>
              <w:t>Poruchy metabolizmu a výživy</w:t>
            </w:r>
          </w:p>
        </w:tc>
        <w:tc>
          <w:tcPr>
            <w:tcW w:w="1039" w:type="pct"/>
            <w:hideMark/>
          </w:tcPr>
          <w:p w14:paraId="3882D5EF" w14:textId="77777777" w:rsidR="00564D9B" w:rsidRPr="00CC69EC" w:rsidRDefault="00564D9B" w:rsidP="00F75370">
            <w:pPr>
              <w:rPr>
                <w:color w:val="000000"/>
                <w:lang w:eastAsia="de-AT"/>
              </w:rPr>
            </w:pPr>
            <w:r w:rsidRPr="00CC69EC">
              <w:rPr>
                <w:color w:val="000000"/>
                <w:lang w:eastAsia="de-AT"/>
              </w:rPr>
              <w:t>Veľmi časté</w:t>
            </w:r>
          </w:p>
        </w:tc>
        <w:tc>
          <w:tcPr>
            <w:tcW w:w="2229" w:type="pct"/>
            <w:hideMark/>
          </w:tcPr>
          <w:p w14:paraId="0E55FFAE" w14:textId="77777777" w:rsidR="00564D9B" w:rsidRPr="00CC69EC" w:rsidRDefault="00564D9B" w:rsidP="00F75370">
            <w:pPr>
              <w:rPr>
                <w:color w:val="000000"/>
                <w:lang w:eastAsia="de-AT"/>
              </w:rPr>
            </w:pPr>
            <w:r w:rsidRPr="00CC69EC">
              <w:rPr>
                <w:rFonts w:eastAsia="TimesNewRoman"/>
                <w:szCs w:val="22"/>
                <w:lang w:eastAsia="en-US"/>
              </w:rPr>
              <w:t>znížená chuť do jedla</w:t>
            </w:r>
          </w:p>
        </w:tc>
      </w:tr>
      <w:tr w:rsidR="00564D9B" w:rsidRPr="00CC69EC" w14:paraId="2B37C85C" w14:textId="77777777" w:rsidTr="00E110FB">
        <w:trPr>
          <w:tblCellSpacing w:w="0" w:type="dxa"/>
        </w:trPr>
        <w:tc>
          <w:tcPr>
            <w:tcW w:w="0" w:type="auto"/>
            <w:vMerge/>
            <w:vAlign w:val="center"/>
            <w:hideMark/>
          </w:tcPr>
          <w:p w14:paraId="37D408D8" w14:textId="77777777" w:rsidR="00564D9B" w:rsidRPr="00CC69EC" w:rsidRDefault="00564D9B" w:rsidP="00F75370">
            <w:pPr>
              <w:rPr>
                <w:color w:val="000000"/>
                <w:lang w:eastAsia="de-AT"/>
              </w:rPr>
            </w:pPr>
          </w:p>
        </w:tc>
        <w:tc>
          <w:tcPr>
            <w:tcW w:w="1039" w:type="pct"/>
            <w:hideMark/>
          </w:tcPr>
          <w:p w14:paraId="5C64257A" w14:textId="77777777" w:rsidR="00564D9B" w:rsidRPr="00CC69EC" w:rsidRDefault="00564D9B" w:rsidP="00F75370">
            <w:pPr>
              <w:rPr>
                <w:color w:val="000000"/>
                <w:lang w:eastAsia="de-AT"/>
              </w:rPr>
            </w:pPr>
            <w:r w:rsidRPr="00CC69EC">
              <w:rPr>
                <w:color w:val="000000"/>
                <w:lang w:eastAsia="de-AT"/>
              </w:rPr>
              <w:t xml:space="preserve">Časté </w:t>
            </w:r>
          </w:p>
        </w:tc>
        <w:tc>
          <w:tcPr>
            <w:tcW w:w="2229" w:type="pct"/>
            <w:hideMark/>
          </w:tcPr>
          <w:p w14:paraId="08FE9F74" w14:textId="02ADF12A" w:rsidR="00564D9B" w:rsidRPr="00CC69EC" w:rsidRDefault="00564D9B" w:rsidP="00E106E8">
            <w:pPr>
              <w:autoSpaceDE w:val="0"/>
              <w:autoSpaceDN w:val="0"/>
              <w:adjustRightInd w:val="0"/>
              <w:ind w:left="0" w:firstLine="0"/>
              <w:rPr>
                <w:color w:val="000000"/>
                <w:lang w:eastAsia="de-AT"/>
              </w:rPr>
            </w:pPr>
            <w:r w:rsidRPr="00CC69EC">
              <w:rPr>
                <w:rFonts w:eastAsia="TimesNewRoman"/>
                <w:szCs w:val="22"/>
                <w:lang w:eastAsia="en-US"/>
              </w:rPr>
              <w:t>hypokaliémia*, hodnoty glukózy v</w:t>
            </w:r>
            <w:r w:rsidR="00E106E8">
              <w:rPr>
                <w:rFonts w:eastAsia="TimesNewRoman"/>
                <w:szCs w:val="22"/>
                <w:lang w:eastAsia="en-US"/>
              </w:rPr>
              <w:t> </w:t>
            </w:r>
            <w:r w:rsidRPr="00CC69EC">
              <w:rPr>
                <w:rFonts w:eastAsia="TimesNewRoman"/>
                <w:szCs w:val="22"/>
                <w:lang w:eastAsia="en-US"/>
              </w:rPr>
              <w:t>krvi</w:t>
            </w:r>
            <w:r w:rsidR="00E106E8">
              <w:rPr>
                <w:rFonts w:eastAsia="TimesNewRoman"/>
                <w:szCs w:val="22"/>
                <w:lang w:eastAsia="en-US"/>
              </w:rPr>
              <w:t xml:space="preserve"> mimo normy</w:t>
            </w:r>
            <w:r w:rsidRPr="00CC69EC">
              <w:rPr>
                <w:rFonts w:eastAsia="TimesNewRoman"/>
                <w:szCs w:val="22"/>
                <w:lang w:eastAsia="en-US"/>
              </w:rPr>
              <w:t>*, hyponatrémia*, diabetes mellitus*, zadržiavanie tekutín</w:t>
            </w:r>
          </w:p>
        </w:tc>
      </w:tr>
      <w:tr w:rsidR="00564D9B" w:rsidRPr="00CC69EC" w14:paraId="757D2A9D" w14:textId="77777777" w:rsidTr="00E110FB">
        <w:trPr>
          <w:tblCellSpacing w:w="0" w:type="dxa"/>
        </w:trPr>
        <w:tc>
          <w:tcPr>
            <w:tcW w:w="0" w:type="auto"/>
            <w:vMerge/>
            <w:vAlign w:val="center"/>
            <w:hideMark/>
          </w:tcPr>
          <w:p w14:paraId="160E3323" w14:textId="77777777" w:rsidR="00564D9B" w:rsidRPr="00CC69EC" w:rsidRDefault="00564D9B" w:rsidP="00F75370">
            <w:pPr>
              <w:rPr>
                <w:color w:val="000000"/>
                <w:lang w:eastAsia="de-AT"/>
              </w:rPr>
            </w:pPr>
          </w:p>
        </w:tc>
        <w:tc>
          <w:tcPr>
            <w:tcW w:w="1039" w:type="pct"/>
            <w:hideMark/>
          </w:tcPr>
          <w:p w14:paraId="39CC84A8" w14:textId="77777777" w:rsidR="00564D9B" w:rsidRPr="00CC69EC" w:rsidRDefault="00564D9B" w:rsidP="00F75370">
            <w:pPr>
              <w:rPr>
                <w:color w:val="000000"/>
                <w:lang w:eastAsia="de-AT"/>
              </w:rPr>
            </w:pPr>
            <w:r w:rsidRPr="00CC69EC">
              <w:rPr>
                <w:rFonts w:eastAsia="TimesNewRoman"/>
                <w:szCs w:val="22"/>
                <w:lang w:eastAsia="en-US"/>
              </w:rPr>
              <w:t>Menej časté</w:t>
            </w:r>
          </w:p>
        </w:tc>
        <w:tc>
          <w:tcPr>
            <w:tcW w:w="2229" w:type="pct"/>
            <w:hideMark/>
          </w:tcPr>
          <w:p w14:paraId="7609EAAF" w14:textId="77777777" w:rsidR="00564D9B" w:rsidRPr="00CC69EC" w:rsidRDefault="00564D9B" w:rsidP="00F75370">
            <w:pPr>
              <w:rPr>
                <w:color w:val="000000"/>
                <w:lang w:eastAsia="de-AT"/>
              </w:rPr>
            </w:pPr>
            <w:r w:rsidRPr="00CC69EC">
              <w:rPr>
                <w:rFonts w:eastAsia="TimesNewRoman"/>
                <w:szCs w:val="22"/>
                <w:lang w:eastAsia="en-US"/>
              </w:rPr>
              <w:t xml:space="preserve">syndróm z rozpadu nádoru </w:t>
            </w:r>
          </w:p>
        </w:tc>
      </w:tr>
      <w:tr w:rsidR="00564D9B" w:rsidRPr="00CC69EC" w14:paraId="79FD8FF5" w14:textId="77777777" w:rsidTr="00E110FB">
        <w:trPr>
          <w:tblCellSpacing w:w="0" w:type="dxa"/>
        </w:trPr>
        <w:tc>
          <w:tcPr>
            <w:tcW w:w="1732" w:type="pct"/>
            <w:hideMark/>
          </w:tcPr>
          <w:p w14:paraId="5DD8D0BB" w14:textId="77777777" w:rsidR="00564D9B" w:rsidRPr="00CC69EC" w:rsidRDefault="00564D9B" w:rsidP="00F75370">
            <w:pPr>
              <w:rPr>
                <w:color w:val="000000"/>
                <w:lang w:eastAsia="de-AT"/>
              </w:rPr>
            </w:pPr>
            <w:r w:rsidRPr="00CC69EC">
              <w:rPr>
                <w:rFonts w:eastAsia="TimesNewRoman"/>
                <w:szCs w:val="22"/>
                <w:lang w:eastAsia="en-US"/>
              </w:rPr>
              <w:t>Psychické poruchy</w:t>
            </w:r>
          </w:p>
        </w:tc>
        <w:tc>
          <w:tcPr>
            <w:tcW w:w="1039" w:type="pct"/>
            <w:hideMark/>
          </w:tcPr>
          <w:p w14:paraId="61CC6DF9"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7AA3D3B4" w14:textId="20FE47C0" w:rsidR="00564D9B" w:rsidRPr="00CC69EC" w:rsidRDefault="008D6FF9" w:rsidP="00E110FB">
            <w:pPr>
              <w:ind w:left="-12" w:firstLine="12"/>
              <w:rPr>
                <w:color w:val="000000"/>
                <w:lang w:eastAsia="de-AT"/>
              </w:rPr>
            </w:pPr>
            <w:r>
              <w:rPr>
                <w:rFonts w:eastAsia="TimesNewRoman"/>
                <w:szCs w:val="22"/>
                <w:lang w:eastAsia="en-US"/>
              </w:rPr>
              <w:t>p</w:t>
            </w:r>
            <w:r w:rsidR="00564D9B" w:rsidRPr="00CC69EC">
              <w:rPr>
                <w:rFonts w:eastAsia="TimesNewRoman"/>
                <w:szCs w:val="22"/>
                <w:lang w:eastAsia="en-US"/>
              </w:rPr>
              <w:t>oruchy</w:t>
            </w:r>
            <w:r w:rsidR="004A2AAD">
              <w:rPr>
                <w:rFonts w:eastAsia="TimesNewRoman"/>
                <w:szCs w:val="22"/>
                <w:lang w:eastAsia="en-US"/>
              </w:rPr>
              <w:t xml:space="preserve"> spánku</w:t>
            </w:r>
            <w:r w:rsidR="00564D9B" w:rsidRPr="00CC69EC">
              <w:rPr>
                <w:rFonts w:eastAsia="TimesNewRoman"/>
                <w:szCs w:val="22"/>
                <w:lang w:eastAsia="en-US"/>
              </w:rPr>
              <w:t xml:space="preserve"> a </w:t>
            </w:r>
            <w:r w:rsidR="0066331E">
              <w:rPr>
                <w:rFonts w:eastAsia="TimesNewRoman"/>
                <w:szCs w:val="22"/>
                <w:lang w:eastAsia="en-US"/>
              </w:rPr>
              <w:t>prerušovaný spánok</w:t>
            </w:r>
            <w:r w:rsidR="00564D9B" w:rsidRPr="00CC69EC">
              <w:rPr>
                <w:rFonts w:eastAsia="TimesNewRoman"/>
                <w:szCs w:val="22"/>
                <w:lang w:eastAsia="en-US"/>
              </w:rPr>
              <w:t>*</w:t>
            </w:r>
          </w:p>
        </w:tc>
      </w:tr>
      <w:tr w:rsidR="00564D9B" w:rsidRPr="00CC69EC" w14:paraId="151988F9" w14:textId="77777777" w:rsidTr="00E110FB">
        <w:trPr>
          <w:tblCellSpacing w:w="0" w:type="dxa"/>
        </w:trPr>
        <w:tc>
          <w:tcPr>
            <w:tcW w:w="1732" w:type="pct"/>
            <w:vMerge w:val="restart"/>
            <w:hideMark/>
          </w:tcPr>
          <w:p w14:paraId="0F8895AE"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Poruchy nervového systému</w:t>
            </w:r>
          </w:p>
        </w:tc>
        <w:tc>
          <w:tcPr>
            <w:tcW w:w="1039" w:type="pct"/>
            <w:hideMark/>
          </w:tcPr>
          <w:p w14:paraId="05E2E871" w14:textId="77777777" w:rsidR="00564D9B" w:rsidRPr="00CC69EC" w:rsidRDefault="00564D9B" w:rsidP="00F75370">
            <w:pPr>
              <w:rPr>
                <w:color w:val="000000"/>
                <w:lang w:eastAsia="de-AT"/>
              </w:rPr>
            </w:pPr>
            <w:r w:rsidRPr="00CC69EC">
              <w:rPr>
                <w:color w:val="000000"/>
                <w:lang w:eastAsia="de-AT"/>
              </w:rPr>
              <w:t xml:space="preserve">Veľmi časté </w:t>
            </w:r>
          </w:p>
        </w:tc>
        <w:tc>
          <w:tcPr>
            <w:tcW w:w="2229" w:type="pct"/>
            <w:hideMark/>
          </w:tcPr>
          <w:p w14:paraId="6CFBDB50" w14:textId="77777777" w:rsidR="00564D9B" w:rsidRPr="00CC69EC" w:rsidRDefault="00564D9B" w:rsidP="00F75370">
            <w:pPr>
              <w:ind w:left="0" w:firstLine="0"/>
              <w:rPr>
                <w:color w:val="000000"/>
                <w:lang w:eastAsia="de-AT"/>
              </w:rPr>
            </w:pPr>
            <w:r w:rsidRPr="00CC69EC">
              <w:rPr>
                <w:rFonts w:eastAsia="TimesNewRoman"/>
                <w:szCs w:val="22"/>
                <w:lang w:eastAsia="en-US"/>
              </w:rPr>
              <w:t>periférna senzorická neuropatia, dyzestézia*, neuralgia*</w:t>
            </w:r>
          </w:p>
        </w:tc>
      </w:tr>
      <w:tr w:rsidR="00564D9B" w:rsidRPr="00CC69EC" w14:paraId="0BC67A2F" w14:textId="77777777" w:rsidTr="00E110FB">
        <w:trPr>
          <w:tblCellSpacing w:w="0" w:type="dxa"/>
        </w:trPr>
        <w:tc>
          <w:tcPr>
            <w:tcW w:w="0" w:type="auto"/>
            <w:vMerge/>
            <w:vAlign w:val="center"/>
            <w:hideMark/>
          </w:tcPr>
          <w:p w14:paraId="0FA86425" w14:textId="77777777" w:rsidR="00564D9B" w:rsidRPr="00CC69EC" w:rsidRDefault="00564D9B" w:rsidP="00F75370">
            <w:pPr>
              <w:rPr>
                <w:color w:val="000000"/>
                <w:lang w:eastAsia="de-AT"/>
              </w:rPr>
            </w:pPr>
          </w:p>
        </w:tc>
        <w:tc>
          <w:tcPr>
            <w:tcW w:w="1039" w:type="pct"/>
            <w:hideMark/>
          </w:tcPr>
          <w:p w14:paraId="4A168EF2"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5E76B9E5"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neuropatie*, motorická neuropatia*, strata vedomia (vrátane synkopy), encefalopatia*, periférna senzorimotorická neuropatia, závrat*, dysgeúzia*, autonómna neuropatia</w:t>
            </w:r>
          </w:p>
        </w:tc>
      </w:tr>
      <w:tr w:rsidR="00564D9B" w:rsidRPr="00CC69EC" w14:paraId="5C318902" w14:textId="77777777" w:rsidTr="00E110FB">
        <w:trPr>
          <w:tblCellSpacing w:w="0" w:type="dxa"/>
        </w:trPr>
        <w:tc>
          <w:tcPr>
            <w:tcW w:w="0" w:type="auto"/>
            <w:vMerge/>
            <w:vAlign w:val="center"/>
            <w:hideMark/>
          </w:tcPr>
          <w:p w14:paraId="584A1771" w14:textId="77777777" w:rsidR="00564D9B" w:rsidRPr="00CC69EC" w:rsidRDefault="00564D9B" w:rsidP="00F75370">
            <w:pPr>
              <w:rPr>
                <w:color w:val="000000"/>
                <w:lang w:eastAsia="de-AT"/>
              </w:rPr>
            </w:pPr>
          </w:p>
        </w:tc>
        <w:tc>
          <w:tcPr>
            <w:tcW w:w="1039" w:type="pct"/>
            <w:hideMark/>
          </w:tcPr>
          <w:p w14:paraId="2D7236FF" w14:textId="77777777" w:rsidR="00564D9B" w:rsidRPr="00CC69EC" w:rsidRDefault="00564D9B" w:rsidP="00F75370">
            <w:pPr>
              <w:rPr>
                <w:color w:val="000000"/>
                <w:lang w:eastAsia="de-AT"/>
              </w:rPr>
            </w:pPr>
            <w:r w:rsidRPr="00CC69EC">
              <w:rPr>
                <w:rFonts w:eastAsia="TimesNewRoman"/>
                <w:szCs w:val="22"/>
                <w:lang w:eastAsia="en-US"/>
              </w:rPr>
              <w:t>Menej časté</w:t>
            </w:r>
            <w:r w:rsidRPr="00CC69EC">
              <w:rPr>
                <w:color w:val="000000"/>
                <w:lang w:eastAsia="de-AT"/>
              </w:rPr>
              <w:t xml:space="preserve"> </w:t>
            </w:r>
          </w:p>
        </w:tc>
        <w:tc>
          <w:tcPr>
            <w:tcW w:w="2229" w:type="pct"/>
            <w:hideMark/>
          </w:tcPr>
          <w:p w14:paraId="11B4B286" w14:textId="77777777" w:rsidR="00564D9B" w:rsidRPr="00CC69EC" w:rsidRDefault="00564D9B" w:rsidP="00F75370">
            <w:pPr>
              <w:ind w:left="-12" w:firstLine="12"/>
              <w:rPr>
                <w:color w:val="000000"/>
                <w:lang w:eastAsia="de-AT"/>
              </w:rPr>
            </w:pPr>
            <w:r w:rsidRPr="00CC69EC">
              <w:rPr>
                <w:rFonts w:eastAsia="TimesNewRoman"/>
                <w:szCs w:val="22"/>
                <w:lang w:eastAsia="en-US"/>
              </w:rPr>
              <w:t>nerovnováha autonómneho nervového systému</w:t>
            </w:r>
          </w:p>
        </w:tc>
      </w:tr>
      <w:tr w:rsidR="00564D9B" w:rsidRPr="00CC69EC" w14:paraId="4846F0A4" w14:textId="77777777" w:rsidTr="00E110FB">
        <w:trPr>
          <w:tblCellSpacing w:w="0" w:type="dxa"/>
        </w:trPr>
        <w:tc>
          <w:tcPr>
            <w:tcW w:w="1732" w:type="pct"/>
            <w:hideMark/>
          </w:tcPr>
          <w:p w14:paraId="7361F2C2" w14:textId="77777777" w:rsidR="00564D9B" w:rsidRPr="00CC69EC" w:rsidRDefault="00564D9B" w:rsidP="00F75370">
            <w:pPr>
              <w:rPr>
                <w:color w:val="000000"/>
                <w:lang w:eastAsia="de-AT"/>
              </w:rPr>
            </w:pPr>
            <w:r w:rsidRPr="00CC69EC">
              <w:rPr>
                <w:rFonts w:eastAsia="TimesNewRoman"/>
                <w:szCs w:val="22"/>
                <w:lang w:eastAsia="en-US"/>
              </w:rPr>
              <w:t>Poruchy oka</w:t>
            </w:r>
          </w:p>
        </w:tc>
        <w:tc>
          <w:tcPr>
            <w:tcW w:w="1039" w:type="pct"/>
            <w:hideMark/>
          </w:tcPr>
          <w:p w14:paraId="0FAADEF0"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29374460" w14:textId="53232FFD" w:rsidR="00564D9B" w:rsidRPr="00CC69EC" w:rsidRDefault="00E72302" w:rsidP="00F75370">
            <w:pPr>
              <w:rPr>
                <w:color w:val="000000"/>
                <w:lang w:eastAsia="de-AT"/>
              </w:rPr>
            </w:pPr>
            <w:r>
              <w:rPr>
                <w:rFonts w:eastAsia="TimesNewRoman"/>
                <w:szCs w:val="22"/>
                <w:lang w:eastAsia="en-US"/>
              </w:rPr>
              <w:t>porucha</w:t>
            </w:r>
            <w:r w:rsidRPr="00CC69EC">
              <w:rPr>
                <w:rFonts w:eastAsia="TimesNewRoman"/>
                <w:szCs w:val="22"/>
                <w:lang w:eastAsia="en-US"/>
              </w:rPr>
              <w:t xml:space="preserve"> </w:t>
            </w:r>
            <w:r w:rsidR="00564D9B" w:rsidRPr="00CC69EC">
              <w:rPr>
                <w:rFonts w:eastAsia="TimesNewRoman"/>
                <w:szCs w:val="22"/>
                <w:lang w:eastAsia="en-US"/>
              </w:rPr>
              <w:t>videni</w:t>
            </w:r>
            <w:r>
              <w:rPr>
                <w:rFonts w:eastAsia="TimesNewRoman"/>
                <w:szCs w:val="22"/>
                <w:lang w:eastAsia="en-US"/>
              </w:rPr>
              <w:t>a</w:t>
            </w:r>
            <w:r w:rsidR="00564D9B" w:rsidRPr="00CC69EC">
              <w:rPr>
                <w:rFonts w:eastAsia="TimesNewRoman"/>
                <w:szCs w:val="22"/>
                <w:lang w:eastAsia="en-US"/>
              </w:rPr>
              <w:t>*</w:t>
            </w:r>
          </w:p>
        </w:tc>
      </w:tr>
      <w:tr w:rsidR="00564D9B" w:rsidRPr="00CC69EC" w14:paraId="2ACAEF85" w14:textId="77777777" w:rsidTr="00E110FB">
        <w:trPr>
          <w:tblCellSpacing w:w="0" w:type="dxa"/>
        </w:trPr>
        <w:tc>
          <w:tcPr>
            <w:tcW w:w="1732" w:type="pct"/>
            <w:vMerge w:val="restart"/>
            <w:hideMark/>
          </w:tcPr>
          <w:p w14:paraId="648A8E48"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Poruchy ucha a</w:t>
            </w:r>
          </w:p>
          <w:p w14:paraId="32813DAB" w14:textId="77777777" w:rsidR="00564D9B" w:rsidRPr="00CC69EC" w:rsidRDefault="00564D9B" w:rsidP="00F75370">
            <w:pPr>
              <w:rPr>
                <w:color w:val="000000"/>
                <w:lang w:eastAsia="de-AT"/>
              </w:rPr>
            </w:pPr>
            <w:r w:rsidRPr="00CC69EC">
              <w:rPr>
                <w:rFonts w:eastAsia="TimesNewRoman"/>
                <w:szCs w:val="22"/>
                <w:lang w:eastAsia="en-US"/>
              </w:rPr>
              <w:t>labyrintu</w:t>
            </w:r>
          </w:p>
        </w:tc>
        <w:tc>
          <w:tcPr>
            <w:tcW w:w="1039" w:type="pct"/>
            <w:hideMark/>
          </w:tcPr>
          <w:p w14:paraId="232796F9"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40D79DBB" w14:textId="77777777" w:rsidR="00564D9B" w:rsidRPr="00CC69EC" w:rsidRDefault="00564D9B" w:rsidP="00F75370">
            <w:pPr>
              <w:rPr>
                <w:color w:val="000000"/>
                <w:lang w:eastAsia="de-AT"/>
              </w:rPr>
            </w:pPr>
            <w:r w:rsidRPr="00CC69EC">
              <w:rPr>
                <w:rFonts w:eastAsia="TimesNewRoman"/>
                <w:szCs w:val="22"/>
                <w:lang w:eastAsia="en-US"/>
              </w:rPr>
              <w:t>dysakúzia (vrátane tinitu)*</w:t>
            </w:r>
          </w:p>
        </w:tc>
      </w:tr>
      <w:tr w:rsidR="00564D9B" w:rsidRPr="00CC69EC" w14:paraId="13EFB98F" w14:textId="77777777" w:rsidTr="00E110FB">
        <w:trPr>
          <w:tblCellSpacing w:w="0" w:type="dxa"/>
        </w:trPr>
        <w:tc>
          <w:tcPr>
            <w:tcW w:w="0" w:type="auto"/>
            <w:vMerge/>
            <w:vAlign w:val="center"/>
            <w:hideMark/>
          </w:tcPr>
          <w:p w14:paraId="465379F6" w14:textId="77777777" w:rsidR="00564D9B" w:rsidRPr="00CC69EC" w:rsidRDefault="00564D9B" w:rsidP="00F75370">
            <w:pPr>
              <w:rPr>
                <w:color w:val="000000"/>
                <w:lang w:eastAsia="de-AT"/>
              </w:rPr>
            </w:pPr>
          </w:p>
        </w:tc>
        <w:tc>
          <w:tcPr>
            <w:tcW w:w="1039" w:type="pct"/>
            <w:hideMark/>
          </w:tcPr>
          <w:p w14:paraId="0B7AB87F" w14:textId="77777777" w:rsidR="00564D9B" w:rsidRPr="00CC69EC" w:rsidRDefault="00564D9B" w:rsidP="00F75370">
            <w:pPr>
              <w:rPr>
                <w:color w:val="000000"/>
                <w:lang w:eastAsia="de-AT"/>
              </w:rPr>
            </w:pPr>
            <w:r w:rsidRPr="00CC69EC">
              <w:rPr>
                <w:rFonts w:eastAsia="TimesNewRoman"/>
                <w:szCs w:val="22"/>
                <w:lang w:eastAsia="en-US"/>
              </w:rPr>
              <w:t>Menej časté</w:t>
            </w:r>
            <w:r w:rsidRPr="00CC69EC">
              <w:rPr>
                <w:color w:val="000000"/>
                <w:lang w:eastAsia="de-AT"/>
              </w:rPr>
              <w:t xml:space="preserve"> </w:t>
            </w:r>
          </w:p>
        </w:tc>
        <w:tc>
          <w:tcPr>
            <w:tcW w:w="2229" w:type="pct"/>
            <w:hideMark/>
          </w:tcPr>
          <w:p w14:paraId="7E04A9B6" w14:textId="77777777" w:rsidR="00564D9B" w:rsidRPr="00CC69EC" w:rsidRDefault="00564D9B" w:rsidP="00F75370">
            <w:pPr>
              <w:ind w:left="0" w:firstLine="0"/>
              <w:rPr>
                <w:color w:val="000000"/>
                <w:lang w:eastAsia="de-AT"/>
              </w:rPr>
            </w:pPr>
            <w:r w:rsidRPr="00CC69EC">
              <w:rPr>
                <w:rFonts w:eastAsia="TimesNewRoman"/>
                <w:szCs w:val="22"/>
                <w:lang w:eastAsia="en-US"/>
              </w:rPr>
              <w:t>vertigo*, porucha sluchu (až do a vrátane hluchoty)</w:t>
            </w:r>
          </w:p>
        </w:tc>
      </w:tr>
      <w:tr w:rsidR="00564D9B" w:rsidRPr="00CC69EC" w14:paraId="5A504783" w14:textId="77777777" w:rsidTr="00E110FB">
        <w:trPr>
          <w:tblCellSpacing w:w="0" w:type="dxa"/>
        </w:trPr>
        <w:tc>
          <w:tcPr>
            <w:tcW w:w="1732" w:type="pct"/>
            <w:vMerge w:val="restart"/>
            <w:hideMark/>
          </w:tcPr>
          <w:p w14:paraId="6EAE61F6"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Poruchy srdca</w:t>
            </w:r>
          </w:p>
          <w:p w14:paraId="32F1115B" w14:textId="77777777" w:rsidR="00564D9B" w:rsidRPr="00CC69EC" w:rsidRDefault="00564D9B" w:rsidP="00F75370">
            <w:pPr>
              <w:rPr>
                <w:color w:val="000000"/>
                <w:lang w:eastAsia="de-AT"/>
              </w:rPr>
            </w:pPr>
            <w:r w:rsidRPr="00CC69EC">
              <w:rPr>
                <w:rFonts w:eastAsia="TimesNewRoman"/>
                <w:szCs w:val="22"/>
                <w:lang w:eastAsia="en-US"/>
              </w:rPr>
              <w:t>a srdcovej činnosti</w:t>
            </w:r>
          </w:p>
        </w:tc>
        <w:tc>
          <w:tcPr>
            <w:tcW w:w="1039" w:type="pct"/>
            <w:hideMark/>
          </w:tcPr>
          <w:p w14:paraId="6533949E"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06D952F5"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srdcová fibrilácia (vrátane atriálnej), arytmia*, zlyhanie srdca (vrátane ľavostranného a pravostranného ventrikulárneho zlyhania)*, ischémia myokardu, ventrikulárna dysfunkcia*</w:t>
            </w:r>
          </w:p>
        </w:tc>
      </w:tr>
      <w:tr w:rsidR="00564D9B" w:rsidRPr="00CC69EC" w14:paraId="096253FF" w14:textId="77777777" w:rsidTr="00E110FB">
        <w:trPr>
          <w:tblCellSpacing w:w="0" w:type="dxa"/>
        </w:trPr>
        <w:tc>
          <w:tcPr>
            <w:tcW w:w="0" w:type="auto"/>
            <w:vMerge/>
            <w:vAlign w:val="center"/>
            <w:hideMark/>
          </w:tcPr>
          <w:p w14:paraId="54D44381" w14:textId="77777777" w:rsidR="00564D9B" w:rsidRPr="00CC69EC" w:rsidRDefault="00564D9B" w:rsidP="00F75370">
            <w:pPr>
              <w:rPr>
                <w:color w:val="000000"/>
                <w:lang w:eastAsia="de-AT"/>
              </w:rPr>
            </w:pPr>
          </w:p>
        </w:tc>
        <w:tc>
          <w:tcPr>
            <w:tcW w:w="1039" w:type="pct"/>
            <w:hideMark/>
          </w:tcPr>
          <w:p w14:paraId="6E2EA0AD" w14:textId="77777777" w:rsidR="00564D9B" w:rsidRPr="00CC69EC" w:rsidRDefault="00564D9B" w:rsidP="00F75370">
            <w:pPr>
              <w:rPr>
                <w:color w:val="000000"/>
                <w:lang w:eastAsia="de-AT"/>
              </w:rPr>
            </w:pPr>
            <w:r w:rsidRPr="00CC69EC">
              <w:rPr>
                <w:rFonts w:eastAsia="TimesNewRoman"/>
                <w:szCs w:val="22"/>
                <w:lang w:eastAsia="en-US"/>
              </w:rPr>
              <w:t>Menej časté</w:t>
            </w:r>
            <w:r w:rsidRPr="00CC69EC">
              <w:rPr>
                <w:color w:val="000000"/>
                <w:lang w:eastAsia="de-AT"/>
              </w:rPr>
              <w:t xml:space="preserve"> </w:t>
            </w:r>
          </w:p>
        </w:tc>
        <w:tc>
          <w:tcPr>
            <w:tcW w:w="2229" w:type="pct"/>
            <w:hideMark/>
          </w:tcPr>
          <w:p w14:paraId="0DD6ED82" w14:textId="77777777" w:rsidR="00564D9B" w:rsidRPr="00CC69EC" w:rsidRDefault="00564D9B" w:rsidP="00F75370">
            <w:pPr>
              <w:ind w:left="0" w:firstLine="0"/>
              <w:rPr>
                <w:color w:val="000000"/>
                <w:lang w:eastAsia="de-AT"/>
              </w:rPr>
            </w:pPr>
            <w:r w:rsidRPr="00CC69EC">
              <w:rPr>
                <w:rFonts w:eastAsia="TimesNewRoman"/>
                <w:szCs w:val="22"/>
                <w:lang w:eastAsia="en-US"/>
              </w:rPr>
              <w:t>kardiovaskulárna porucha (vrátane kardiogénneho šoku)</w:t>
            </w:r>
          </w:p>
        </w:tc>
      </w:tr>
      <w:tr w:rsidR="00564D9B" w:rsidRPr="00CC69EC" w14:paraId="43F43D2B" w14:textId="77777777" w:rsidTr="00E110FB">
        <w:trPr>
          <w:tblCellSpacing w:w="0" w:type="dxa"/>
        </w:trPr>
        <w:tc>
          <w:tcPr>
            <w:tcW w:w="1732" w:type="pct"/>
            <w:hideMark/>
          </w:tcPr>
          <w:p w14:paraId="1C3D00DB" w14:textId="77777777" w:rsidR="00564D9B" w:rsidRPr="00CC69EC" w:rsidRDefault="00564D9B" w:rsidP="00F75370">
            <w:pPr>
              <w:rPr>
                <w:color w:val="000000"/>
                <w:lang w:eastAsia="de-AT"/>
              </w:rPr>
            </w:pPr>
            <w:r w:rsidRPr="00CC69EC">
              <w:rPr>
                <w:rFonts w:eastAsia="TimesNewRoman"/>
                <w:szCs w:val="22"/>
                <w:lang w:eastAsia="en-US"/>
              </w:rPr>
              <w:t>Poruchy ciev</w:t>
            </w:r>
          </w:p>
        </w:tc>
        <w:tc>
          <w:tcPr>
            <w:tcW w:w="1039" w:type="pct"/>
            <w:hideMark/>
          </w:tcPr>
          <w:p w14:paraId="6B569345" w14:textId="77777777" w:rsidR="00564D9B" w:rsidRPr="00CC69EC" w:rsidRDefault="00564D9B" w:rsidP="00F75370">
            <w:pPr>
              <w:rPr>
                <w:color w:val="000000"/>
                <w:lang w:eastAsia="de-AT"/>
              </w:rPr>
            </w:pPr>
            <w:r w:rsidRPr="00CC69EC">
              <w:rPr>
                <w:color w:val="000000"/>
                <w:lang w:eastAsia="de-AT"/>
              </w:rPr>
              <w:t xml:space="preserve">Časté </w:t>
            </w:r>
          </w:p>
        </w:tc>
        <w:tc>
          <w:tcPr>
            <w:tcW w:w="2229" w:type="pct"/>
            <w:hideMark/>
          </w:tcPr>
          <w:p w14:paraId="735CA35E" w14:textId="77777777" w:rsidR="00564D9B" w:rsidRPr="00CC69EC" w:rsidRDefault="00564D9B" w:rsidP="00F75370">
            <w:pPr>
              <w:ind w:left="0" w:firstLine="0"/>
              <w:rPr>
                <w:color w:val="000000"/>
                <w:lang w:eastAsia="de-AT"/>
              </w:rPr>
            </w:pPr>
            <w:r w:rsidRPr="00CC69EC">
              <w:rPr>
                <w:rFonts w:eastAsia="TimesNewRoman"/>
                <w:szCs w:val="22"/>
                <w:lang w:eastAsia="en-US"/>
              </w:rPr>
              <w:t>hypertenzia*, hypotenzia*, ortostatická hypotenzia</w:t>
            </w:r>
          </w:p>
        </w:tc>
      </w:tr>
      <w:tr w:rsidR="00564D9B" w:rsidRPr="00CC69EC" w14:paraId="19BD43C0" w14:textId="77777777" w:rsidTr="00E110FB">
        <w:trPr>
          <w:tblCellSpacing w:w="0" w:type="dxa"/>
        </w:trPr>
        <w:tc>
          <w:tcPr>
            <w:tcW w:w="1732" w:type="pct"/>
            <w:vMerge w:val="restart"/>
            <w:hideMark/>
          </w:tcPr>
          <w:p w14:paraId="0BDB6361"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Poruchy dýchacej sústavy, hrudníka a mediastína</w:t>
            </w:r>
          </w:p>
        </w:tc>
        <w:tc>
          <w:tcPr>
            <w:tcW w:w="1039" w:type="pct"/>
            <w:hideMark/>
          </w:tcPr>
          <w:p w14:paraId="7A804206"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2571CC74" w14:textId="77777777" w:rsidR="00564D9B" w:rsidRPr="00CC69EC" w:rsidRDefault="00564D9B" w:rsidP="00F75370">
            <w:pPr>
              <w:rPr>
                <w:color w:val="000000"/>
                <w:lang w:eastAsia="de-AT"/>
              </w:rPr>
            </w:pPr>
            <w:r w:rsidRPr="00CC69EC">
              <w:rPr>
                <w:rFonts w:eastAsia="TimesNewRoman"/>
                <w:szCs w:val="22"/>
                <w:lang w:eastAsia="en-US"/>
              </w:rPr>
              <w:t>dyspnoe*, kašeľ*, čkanie</w:t>
            </w:r>
          </w:p>
        </w:tc>
      </w:tr>
      <w:tr w:rsidR="00564D9B" w:rsidRPr="00CC69EC" w14:paraId="598BF9FC" w14:textId="77777777" w:rsidTr="00E110FB">
        <w:trPr>
          <w:tblCellSpacing w:w="0" w:type="dxa"/>
        </w:trPr>
        <w:tc>
          <w:tcPr>
            <w:tcW w:w="0" w:type="auto"/>
            <w:vMerge/>
            <w:vAlign w:val="center"/>
            <w:hideMark/>
          </w:tcPr>
          <w:p w14:paraId="0CDCECC7" w14:textId="77777777" w:rsidR="00564D9B" w:rsidRPr="00CC69EC" w:rsidRDefault="00564D9B" w:rsidP="00F75370">
            <w:pPr>
              <w:rPr>
                <w:color w:val="000000"/>
                <w:lang w:eastAsia="de-AT"/>
              </w:rPr>
            </w:pPr>
          </w:p>
        </w:tc>
        <w:tc>
          <w:tcPr>
            <w:tcW w:w="1039" w:type="pct"/>
            <w:hideMark/>
          </w:tcPr>
          <w:p w14:paraId="12744179" w14:textId="77777777" w:rsidR="00564D9B" w:rsidRPr="00CC69EC" w:rsidRDefault="00564D9B" w:rsidP="00F75370">
            <w:pPr>
              <w:rPr>
                <w:color w:val="000000"/>
                <w:lang w:eastAsia="de-AT"/>
              </w:rPr>
            </w:pPr>
            <w:r w:rsidRPr="00CC69EC">
              <w:rPr>
                <w:rFonts w:eastAsia="TimesNewRoman"/>
                <w:szCs w:val="22"/>
                <w:lang w:eastAsia="en-US"/>
              </w:rPr>
              <w:t>Menej časté</w:t>
            </w:r>
          </w:p>
        </w:tc>
        <w:tc>
          <w:tcPr>
            <w:tcW w:w="2229" w:type="pct"/>
            <w:hideMark/>
          </w:tcPr>
          <w:p w14:paraId="110074C2"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syndróm akútnej respiračnej tiesne, pľúcna embólia, pneumonitída, pľúcna hypertenzia, pľúcny edém (vrátane akútneho)</w:t>
            </w:r>
          </w:p>
        </w:tc>
      </w:tr>
      <w:tr w:rsidR="00564D9B" w:rsidRPr="00CC69EC" w14:paraId="29A38404" w14:textId="77777777" w:rsidTr="00E110FB">
        <w:trPr>
          <w:tblCellSpacing w:w="0" w:type="dxa"/>
        </w:trPr>
        <w:tc>
          <w:tcPr>
            <w:tcW w:w="1732" w:type="pct"/>
            <w:vMerge w:val="restart"/>
            <w:hideMark/>
          </w:tcPr>
          <w:p w14:paraId="6A022BA2"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Poruchy gastrointestinálneho traktu</w:t>
            </w:r>
          </w:p>
        </w:tc>
        <w:tc>
          <w:tcPr>
            <w:tcW w:w="1039" w:type="pct"/>
            <w:hideMark/>
          </w:tcPr>
          <w:p w14:paraId="7050E60D" w14:textId="77777777" w:rsidR="00564D9B" w:rsidRPr="00CC69EC" w:rsidRDefault="00564D9B" w:rsidP="00F75370">
            <w:pPr>
              <w:rPr>
                <w:color w:val="000000"/>
                <w:lang w:eastAsia="de-AT"/>
              </w:rPr>
            </w:pPr>
            <w:r w:rsidRPr="00CC69EC">
              <w:rPr>
                <w:color w:val="000000"/>
                <w:lang w:eastAsia="de-AT"/>
              </w:rPr>
              <w:t xml:space="preserve">Veľmi časté </w:t>
            </w:r>
          </w:p>
        </w:tc>
        <w:tc>
          <w:tcPr>
            <w:tcW w:w="2229" w:type="pct"/>
            <w:hideMark/>
          </w:tcPr>
          <w:p w14:paraId="6A9678C1" w14:textId="581E6711" w:rsidR="00564D9B" w:rsidRPr="00CC69EC" w:rsidRDefault="00E72302" w:rsidP="00F75370">
            <w:pPr>
              <w:ind w:left="0" w:firstLine="0"/>
              <w:rPr>
                <w:color w:val="000000"/>
                <w:lang w:eastAsia="de-AT"/>
              </w:rPr>
            </w:pPr>
            <w:r>
              <w:rPr>
                <w:rFonts w:eastAsia="TimesNewRoman"/>
                <w:szCs w:val="22"/>
                <w:lang w:eastAsia="en-US"/>
              </w:rPr>
              <w:t xml:space="preserve">príznaky </w:t>
            </w:r>
            <w:r w:rsidR="00564D9B" w:rsidRPr="00CC69EC">
              <w:rPr>
                <w:rFonts w:eastAsia="TimesNewRoman"/>
                <w:szCs w:val="22"/>
                <w:lang w:eastAsia="en-US"/>
              </w:rPr>
              <w:t>nauze</w:t>
            </w:r>
            <w:r>
              <w:rPr>
                <w:rFonts w:eastAsia="TimesNewRoman"/>
                <w:szCs w:val="22"/>
                <w:lang w:eastAsia="en-US"/>
              </w:rPr>
              <w:t>y</w:t>
            </w:r>
            <w:r w:rsidR="00564D9B" w:rsidRPr="00CC69EC">
              <w:rPr>
                <w:rFonts w:eastAsia="TimesNewRoman"/>
                <w:szCs w:val="22"/>
                <w:lang w:eastAsia="en-US"/>
              </w:rPr>
              <w:t xml:space="preserve"> a vracania*, diarea*, stomatitída*, zápcha</w:t>
            </w:r>
          </w:p>
        </w:tc>
      </w:tr>
      <w:tr w:rsidR="00564D9B" w:rsidRPr="00CC69EC" w14:paraId="192C99D1" w14:textId="77777777" w:rsidTr="00E110FB">
        <w:trPr>
          <w:tblCellSpacing w:w="0" w:type="dxa"/>
        </w:trPr>
        <w:tc>
          <w:tcPr>
            <w:tcW w:w="0" w:type="auto"/>
            <w:vMerge/>
            <w:vAlign w:val="center"/>
            <w:hideMark/>
          </w:tcPr>
          <w:p w14:paraId="010C699E" w14:textId="77777777" w:rsidR="00564D9B" w:rsidRPr="00CC69EC" w:rsidRDefault="00564D9B" w:rsidP="00F75370">
            <w:pPr>
              <w:rPr>
                <w:color w:val="000000"/>
                <w:lang w:eastAsia="de-AT"/>
              </w:rPr>
            </w:pPr>
          </w:p>
        </w:tc>
        <w:tc>
          <w:tcPr>
            <w:tcW w:w="1039" w:type="pct"/>
            <w:hideMark/>
          </w:tcPr>
          <w:p w14:paraId="543C95E8"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334FD860" w14:textId="2164D37D" w:rsidR="00564D9B" w:rsidRPr="00CC69EC" w:rsidRDefault="00564D9B" w:rsidP="00E72302">
            <w:pPr>
              <w:autoSpaceDE w:val="0"/>
              <w:autoSpaceDN w:val="0"/>
              <w:adjustRightInd w:val="0"/>
              <w:ind w:left="0" w:firstLine="0"/>
              <w:rPr>
                <w:color w:val="000000"/>
                <w:lang w:eastAsia="de-AT"/>
              </w:rPr>
            </w:pPr>
            <w:r w:rsidRPr="00CC69EC">
              <w:rPr>
                <w:rFonts w:eastAsia="TimesNewRoman"/>
                <w:szCs w:val="22"/>
                <w:lang w:eastAsia="en-US"/>
              </w:rPr>
              <w:t>gastrointestinálne krvácanie (vrátane krvácania zo slizníc)*, abdominálna distenzia, dyspepsia, bolesť</w:t>
            </w:r>
            <w:r w:rsidR="00E72302">
              <w:rPr>
                <w:rFonts w:eastAsia="TimesNewRoman"/>
                <w:szCs w:val="22"/>
                <w:lang w:eastAsia="en-US"/>
              </w:rPr>
              <w:t xml:space="preserve"> orofaryngu</w:t>
            </w:r>
            <w:r w:rsidRPr="00CC69EC">
              <w:rPr>
                <w:rFonts w:eastAsia="TimesNewRoman"/>
                <w:szCs w:val="22"/>
                <w:lang w:eastAsia="en-US"/>
              </w:rPr>
              <w:t xml:space="preserve">*, gastritída*, ulcerácie v ústnej dutine*, abdominálny diskomfort, dysfágia, gastrointestinálny zápal*, abdominálna </w:t>
            </w:r>
            <w:r w:rsidRPr="00CC69EC">
              <w:rPr>
                <w:rFonts w:eastAsia="TimesNewRoman"/>
                <w:szCs w:val="22"/>
                <w:lang w:eastAsia="en-US"/>
              </w:rPr>
              <w:lastRenderedPageBreak/>
              <w:t>bolesť (vrátane gastrointestinálnej bolesti a bolesti sleziny)*, ochorenia ústnej dutiny*</w:t>
            </w:r>
          </w:p>
        </w:tc>
      </w:tr>
      <w:tr w:rsidR="00564D9B" w:rsidRPr="00CC69EC" w14:paraId="795B73A1" w14:textId="77777777" w:rsidTr="00E110FB">
        <w:trPr>
          <w:tblCellSpacing w:w="0" w:type="dxa"/>
        </w:trPr>
        <w:tc>
          <w:tcPr>
            <w:tcW w:w="0" w:type="auto"/>
            <w:vMerge/>
            <w:vAlign w:val="center"/>
            <w:hideMark/>
          </w:tcPr>
          <w:p w14:paraId="5F15B094" w14:textId="77777777" w:rsidR="00564D9B" w:rsidRPr="00CC69EC" w:rsidRDefault="00564D9B" w:rsidP="00F75370">
            <w:pPr>
              <w:rPr>
                <w:color w:val="000000"/>
                <w:lang w:eastAsia="de-AT"/>
              </w:rPr>
            </w:pPr>
          </w:p>
        </w:tc>
        <w:tc>
          <w:tcPr>
            <w:tcW w:w="1039" w:type="pct"/>
            <w:hideMark/>
          </w:tcPr>
          <w:p w14:paraId="5E240CCF" w14:textId="77777777" w:rsidR="00564D9B" w:rsidRPr="00CC69EC" w:rsidRDefault="00564D9B" w:rsidP="00F75370">
            <w:pPr>
              <w:rPr>
                <w:color w:val="000000"/>
                <w:lang w:eastAsia="de-AT"/>
              </w:rPr>
            </w:pPr>
            <w:r w:rsidRPr="00CC69EC">
              <w:rPr>
                <w:rFonts w:eastAsia="TimesNewRoman"/>
                <w:szCs w:val="22"/>
                <w:lang w:eastAsia="en-US"/>
              </w:rPr>
              <w:t>Menej časté</w:t>
            </w:r>
            <w:r w:rsidRPr="00CC69EC">
              <w:rPr>
                <w:color w:val="000000"/>
                <w:lang w:eastAsia="de-AT"/>
              </w:rPr>
              <w:t xml:space="preserve"> </w:t>
            </w:r>
          </w:p>
        </w:tc>
        <w:tc>
          <w:tcPr>
            <w:tcW w:w="2229" w:type="pct"/>
            <w:hideMark/>
          </w:tcPr>
          <w:p w14:paraId="280C4262" w14:textId="341233DC" w:rsidR="00564D9B" w:rsidRPr="00CC69EC" w:rsidRDefault="00564D9B" w:rsidP="00F75370">
            <w:pPr>
              <w:ind w:left="0" w:firstLine="0"/>
              <w:rPr>
                <w:color w:val="000000"/>
                <w:lang w:eastAsia="de-AT"/>
              </w:rPr>
            </w:pPr>
            <w:r w:rsidRPr="00CC69EC">
              <w:rPr>
                <w:rFonts w:eastAsia="TimesNewRoman"/>
                <w:szCs w:val="22"/>
                <w:lang w:eastAsia="en-US"/>
              </w:rPr>
              <w:t xml:space="preserve">kolitída (vrátane kolitídy spôsobenej </w:t>
            </w:r>
            <w:r w:rsidR="00381692">
              <w:rPr>
                <w:rFonts w:eastAsia="TimesNewRoman"/>
                <w:i/>
                <w:szCs w:val="22"/>
                <w:lang w:eastAsia="en-US"/>
              </w:rPr>
              <w:t>C</w:t>
            </w:r>
            <w:r w:rsidRPr="00CC69EC">
              <w:rPr>
                <w:rFonts w:eastAsia="TimesNewRoman"/>
                <w:i/>
                <w:szCs w:val="22"/>
                <w:lang w:eastAsia="en-US"/>
              </w:rPr>
              <w:t>lostridium difficile</w:t>
            </w:r>
            <w:r w:rsidRPr="00CC69EC">
              <w:rPr>
                <w:rFonts w:eastAsia="TimesNewRoman"/>
                <w:szCs w:val="22"/>
                <w:lang w:eastAsia="en-US"/>
              </w:rPr>
              <w:t>)*</w:t>
            </w:r>
          </w:p>
        </w:tc>
      </w:tr>
      <w:tr w:rsidR="00564D9B" w:rsidRPr="00CC69EC" w14:paraId="3C41FBFC" w14:textId="77777777" w:rsidTr="00E110FB">
        <w:trPr>
          <w:tblCellSpacing w:w="0" w:type="dxa"/>
        </w:trPr>
        <w:tc>
          <w:tcPr>
            <w:tcW w:w="1732" w:type="pct"/>
            <w:vMerge w:val="restart"/>
            <w:hideMark/>
          </w:tcPr>
          <w:p w14:paraId="446FD303"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Poruchy pečene a žlčových ciest</w:t>
            </w:r>
          </w:p>
        </w:tc>
        <w:tc>
          <w:tcPr>
            <w:tcW w:w="1039" w:type="pct"/>
            <w:hideMark/>
          </w:tcPr>
          <w:p w14:paraId="10FEE6BF" w14:textId="77777777" w:rsidR="00564D9B" w:rsidRPr="00CC69EC" w:rsidRDefault="00564D9B" w:rsidP="00F75370">
            <w:pPr>
              <w:rPr>
                <w:color w:val="000000"/>
                <w:lang w:eastAsia="de-AT"/>
              </w:rPr>
            </w:pPr>
            <w:r w:rsidRPr="00CC69EC">
              <w:rPr>
                <w:color w:val="000000"/>
                <w:lang w:eastAsia="de-AT"/>
              </w:rPr>
              <w:t xml:space="preserve">Časté </w:t>
            </w:r>
          </w:p>
        </w:tc>
        <w:tc>
          <w:tcPr>
            <w:tcW w:w="2229" w:type="pct"/>
            <w:hideMark/>
          </w:tcPr>
          <w:p w14:paraId="1DE6D9E6" w14:textId="77777777" w:rsidR="00564D9B" w:rsidRPr="00CC69EC" w:rsidRDefault="00564D9B" w:rsidP="00F75370">
            <w:pPr>
              <w:rPr>
                <w:color w:val="000000"/>
                <w:lang w:eastAsia="de-AT"/>
              </w:rPr>
            </w:pPr>
            <w:r w:rsidRPr="00CC69EC">
              <w:rPr>
                <w:rFonts w:eastAsia="TimesNewRoman"/>
                <w:szCs w:val="22"/>
                <w:lang w:eastAsia="en-US"/>
              </w:rPr>
              <w:t>hepatotoxicita (vrátane poruchy pečene)</w:t>
            </w:r>
          </w:p>
        </w:tc>
      </w:tr>
      <w:tr w:rsidR="00564D9B" w:rsidRPr="00CC69EC" w14:paraId="3F4C1F4E" w14:textId="77777777" w:rsidTr="00E110FB">
        <w:trPr>
          <w:tblCellSpacing w:w="0" w:type="dxa"/>
        </w:trPr>
        <w:tc>
          <w:tcPr>
            <w:tcW w:w="0" w:type="auto"/>
            <w:vMerge/>
            <w:vAlign w:val="center"/>
            <w:hideMark/>
          </w:tcPr>
          <w:p w14:paraId="4A6CCB90" w14:textId="77777777" w:rsidR="00564D9B" w:rsidRPr="00CC69EC" w:rsidRDefault="00564D9B" w:rsidP="00F75370">
            <w:pPr>
              <w:rPr>
                <w:color w:val="000000"/>
                <w:lang w:eastAsia="de-AT"/>
              </w:rPr>
            </w:pPr>
          </w:p>
        </w:tc>
        <w:tc>
          <w:tcPr>
            <w:tcW w:w="1039" w:type="pct"/>
            <w:hideMark/>
          </w:tcPr>
          <w:p w14:paraId="4ACA250F" w14:textId="77777777" w:rsidR="00564D9B" w:rsidRPr="00CC69EC" w:rsidRDefault="00564D9B" w:rsidP="00F75370">
            <w:pPr>
              <w:rPr>
                <w:color w:val="000000"/>
                <w:lang w:eastAsia="de-AT"/>
              </w:rPr>
            </w:pPr>
            <w:r w:rsidRPr="00CC69EC">
              <w:rPr>
                <w:rFonts w:eastAsia="TimesNewRoman"/>
                <w:szCs w:val="22"/>
                <w:lang w:eastAsia="en-US"/>
              </w:rPr>
              <w:t>Menej časté</w:t>
            </w:r>
            <w:r w:rsidRPr="00CC69EC">
              <w:rPr>
                <w:color w:val="000000"/>
                <w:lang w:eastAsia="de-AT"/>
              </w:rPr>
              <w:t xml:space="preserve"> </w:t>
            </w:r>
          </w:p>
        </w:tc>
        <w:tc>
          <w:tcPr>
            <w:tcW w:w="2229" w:type="pct"/>
            <w:hideMark/>
          </w:tcPr>
          <w:p w14:paraId="47FC90CF" w14:textId="77777777" w:rsidR="00564D9B" w:rsidRPr="00CC69EC" w:rsidRDefault="00564D9B" w:rsidP="00F75370">
            <w:pPr>
              <w:rPr>
                <w:color w:val="000000"/>
                <w:lang w:eastAsia="de-AT"/>
              </w:rPr>
            </w:pPr>
            <w:r w:rsidRPr="00CC69EC">
              <w:rPr>
                <w:rFonts w:eastAsia="TimesNewRoman"/>
                <w:szCs w:val="22"/>
                <w:lang w:eastAsia="en-US"/>
              </w:rPr>
              <w:t>zlyhanie pečene</w:t>
            </w:r>
          </w:p>
        </w:tc>
      </w:tr>
      <w:tr w:rsidR="00564D9B" w:rsidRPr="00CC69EC" w14:paraId="5AC3105F" w14:textId="77777777" w:rsidTr="00E110FB">
        <w:trPr>
          <w:tblCellSpacing w:w="0" w:type="dxa"/>
        </w:trPr>
        <w:tc>
          <w:tcPr>
            <w:tcW w:w="1732" w:type="pct"/>
            <w:vMerge w:val="restart"/>
            <w:hideMark/>
          </w:tcPr>
          <w:p w14:paraId="6659BF76"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Poruchy kože a podkožného tkaniva</w:t>
            </w:r>
          </w:p>
        </w:tc>
        <w:tc>
          <w:tcPr>
            <w:tcW w:w="1039" w:type="pct"/>
            <w:hideMark/>
          </w:tcPr>
          <w:p w14:paraId="1C1300B0" w14:textId="77777777" w:rsidR="00564D9B" w:rsidRPr="00CC69EC" w:rsidRDefault="00564D9B" w:rsidP="00F75370">
            <w:pPr>
              <w:rPr>
                <w:color w:val="000000"/>
                <w:lang w:eastAsia="de-AT"/>
              </w:rPr>
            </w:pPr>
            <w:r w:rsidRPr="00CC69EC">
              <w:rPr>
                <w:color w:val="000000"/>
                <w:lang w:eastAsia="de-AT"/>
              </w:rPr>
              <w:t xml:space="preserve">Veľmi časté </w:t>
            </w:r>
          </w:p>
        </w:tc>
        <w:tc>
          <w:tcPr>
            <w:tcW w:w="2229" w:type="pct"/>
            <w:hideMark/>
          </w:tcPr>
          <w:p w14:paraId="200E2C37" w14:textId="77777777" w:rsidR="00564D9B" w:rsidRPr="00CC69EC" w:rsidRDefault="00564D9B" w:rsidP="00F75370">
            <w:pPr>
              <w:rPr>
                <w:color w:val="000000"/>
                <w:lang w:eastAsia="de-AT"/>
              </w:rPr>
            </w:pPr>
            <w:r w:rsidRPr="008A4085">
              <w:rPr>
                <w:rFonts w:eastAsia="TimesNewRoman"/>
                <w:szCs w:val="22"/>
                <w:lang w:eastAsia="en-US"/>
              </w:rPr>
              <w:t>ochorenie vlasov*</w:t>
            </w:r>
          </w:p>
        </w:tc>
      </w:tr>
      <w:tr w:rsidR="00564D9B" w:rsidRPr="00CC69EC" w14:paraId="18EA482C" w14:textId="77777777" w:rsidTr="00E110FB">
        <w:trPr>
          <w:tblCellSpacing w:w="0" w:type="dxa"/>
        </w:trPr>
        <w:tc>
          <w:tcPr>
            <w:tcW w:w="0" w:type="auto"/>
            <w:vMerge/>
            <w:vAlign w:val="center"/>
            <w:hideMark/>
          </w:tcPr>
          <w:p w14:paraId="0857F6EA" w14:textId="77777777" w:rsidR="00564D9B" w:rsidRPr="00CC69EC" w:rsidRDefault="00564D9B" w:rsidP="00F75370">
            <w:pPr>
              <w:rPr>
                <w:color w:val="000000"/>
                <w:lang w:eastAsia="de-AT"/>
              </w:rPr>
            </w:pPr>
          </w:p>
        </w:tc>
        <w:tc>
          <w:tcPr>
            <w:tcW w:w="1039" w:type="pct"/>
            <w:hideMark/>
          </w:tcPr>
          <w:p w14:paraId="31A81FCA" w14:textId="77777777" w:rsidR="00564D9B" w:rsidRPr="00CC69EC" w:rsidRDefault="00564D9B" w:rsidP="00F75370">
            <w:pPr>
              <w:rPr>
                <w:color w:val="000000"/>
                <w:lang w:eastAsia="de-AT"/>
              </w:rPr>
            </w:pPr>
            <w:r w:rsidRPr="00CC69EC">
              <w:rPr>
                <w:color w:val="000000"/>
                <w:lang w:eastAsia="de-AT"/>
              </w:rPr>
              <w:t xml:space="preserve">Časté </w:t>
            </w:r>
          </w:p>
        </w:tc>
        <w:tc>
          <w:tcPr>
            <w:tcW w:w="2229" w:type="pct"/>
            <w:hideMark/>
          </w:tcPr>
          <w:p w14:paraId="19D84561" w14:textId="77777777" w:rsidR="00564D9B" w:rsidRPr="00CC69EC" w:rsidRDefault="00564D9B" w:rsidP="00F75370">
            <w:pPr>
              <w:rPr>
                <w:color w:val="000000"/>
                <w:lang w:eastAsia="de-AT"/>
              </w:rPr>
            </w:pPr>
            <w:r w:rsidRPr="00CC69EC">
              <w:rPr>
                <w:rFonts w:eastAsia="TimesNewRoman"/>
                <w:szCs w:val="22"/>
                <w:lang w:eastAsia="en-US"/>
              </w:rPr>
              <w:t>pruritus*, dermatitída*, vyrážka*</w:t>
            </w:r>
          </w:p>
        </w:tc>
      </w:tr>
      <w:tr w:rsidR="00564D9B" w:rsidRPr="00CC69EC" w14:paraId="0CC700AB" w14:textId="77777777" w:rsidTr="00E110FB">
        <w:trPr>
          <w:tblCellSpacing w:w="0" w:type="dxa"/>
        </w:trPr>
        <w:tc>
          <w:tcPr>
            <w:tcW w:w="1732" w:type="pct"/>
            <w:hideMark/>
          </w:tcPr>
          <w:p w14:paraId="6EDF80B8"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Poruchy kostrovej a svalovej sústavy a spojivového tkaniva</w:t>
            </w:r>
          </w:p>
        </w:tc>
        <w:tc>
          <w:tcPr>
            <w:tcW w:w="1039" w:type="pct"/>
            <w:hideMark/>
          </w:tcPr>
          <w:p w14:paraId="0F5A10A7"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0D3D893F" w14:textId="77777777" w:rsidR="00564D9B" w:rsidRPr="00CC69EC" w:rsidRDefault="00564D9B" w:rsidP="00F75370">
            <w:pPr>
              <w:ind w:left="0" w:firstLine="0"/>
              <w:rPr>
                <w:color w:val="000000"/>
                <w:lang w:eastAsia="de-AT"/>
              </w:rPr>
            </w:pPr>
            <w:r w:rsidRPr="00CC69EC">
              <w:rPr>
                <w:rFonts w:eastAsia="TimesNewRoman"/>
                <w:szCs w:val="22"/>
                <w:lang w:eastAsia="en-US"/>
              </w:rPr>
              <w:t>svalové spazmy*, muskuloskeletálna bolesť*, bolesť končatín</w:t>
            </w:r>
          </w:p>
        </w:tc>
      </w:tr>
      <w:tr w:rsidR="00564D9B" w:rsidRPr="00CC69EC" w14:paraId="3622E262" w14:textId="77777777" w:rsidTr="00E110FB">
        <w:trPr>
          <w:tblCellSpacing w:w="0" w:type="dxa"/>
        </w:trPr>
        <w:tc>
          <w:tcPr>
            <w:tcW w:w="1732" w:type="pct"/>
            <w:hideMark/>
          </w:tcPr>
          <w:p w14:paraId="49715E3D"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Poruchy obličiek a močových ciest</w:t>
            </w:r>
          </w:p>
        </w:tc>
        <w:tc>
          <w:tcPr>
            <w:tcW w:w="1039" w:type="pct"/>
            <w:hideMark/>
          </w:tcPr>
          <w:p w14:paraId="1D3913E4" w14:textId="77777777" w:rsidR="00564D9B" w:rsidRPr="00CC69EC" w:rsidRDefault="00564D9B" w:rsidP="00F75370">
            <w:pPr>
              <w:rPr>
                <w:color w:val="000000"/>
                <w:lang w:eastAsia="de-AT"/>
              </w:rPr>
            </w:pPr>
            <w:r w:rsidRPr="00CC69EC">
              <w:rPr>
                <w:color w:val="000000"/>
                <w:lang w:eastAsia="de-AT"/>
              </w:rPr>
              <w:t xml:space="preserve">Časté </w:t>
            </w:r>
          </w:p>
        </w:tc>
        <w:tc>
          <w:tcPr>
            <w:tcW w:w="2229" w:type="pct"/>
            <w:hideMark/>
          </w:tcPr>
          <w:p w14:paraId="31BCE17A" w14:textId="77777777" w:rsidR="00564D9B" w:rsidRPr="00CC69EC" w:rsidRDefault="00564D9B" w:rsidP="00F75370">
            <w:pPr>
              <w:rPr>
                <w:color w:val="000000"/>
                <w:lang w:eastAsia="de-AT"/>
              </w:rPr>
            </w:pPr>
            <w:r w:rsidRPr="00CC69EC">
              <w:rPr>
                <w:rFonts w:eastAsia="TimesNewRoman"/>
                <w:szCs w:val="22"/>
                <w:lang w:eastAsia="en-US"/>
              </w:rPr>
              <w:t>infekcia močových ciest *</w:t>
            </w:r>
          </w:p>
        </w:tc>
      </w:tr>
      <w:tr w:rsidR="00564D9B" w:rsidRPr="00CC69EC" w14:paraId="493A2B09" w14:textId="77777777" w:rsidTr="00E110FB">
        <w:trPr>
          <w:tblCellSpacing w:w="0" w:type="dxa"/>
        </w:trPr>
        <w:tc>
          <w:tcPr>
            <w:tcW w:w="1732" w:type="pct"/>
            <w:vMerge w:val="restart"/>
            <w:hideMark/>
          </w:tcPr>
          <w:p w14:paraId="73539401"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Celkové poruchy a reakcie v mieste podania</w:t>
            </w:r>
          </w:p>
        </w:tc>
        <w:tc>
          <w:tcPr>
            <w:tcW w:w="1039" w:type="pct"/>
            <w:hideMark/>
          </w:tcPr>
          <w:p w14:paraId="6861D25D" w14:textId="77777777" w:rsidR="00564D9B" w:rsidRPr="00CC69EC" w:rsidRDefault="00564D9B" w:rsidP="00F75370">
            <w:pPr>
              <w:rPr>
                <w:color w:val="000000"/>
                <w:lang w:eastAsia="de-AT"/>
              </w:rPr>
            </w:pPr>
            <w:r w:rsidRPr="00CC69EC">
              <w:rPr>
                <w:color w:val="000000"/>
                <w:lang w:eastAsia="de-AT"/>
              </w:rPr>
              <w:t xml:space="preserve">Veľmi časté </w:t>
            </w:r>
          </w:p>
        </w:tc>
        <w:tc>
          <w:tcPr>
            <w:tcW w:w="2229" w:type="pct"/>
            <w:hideMark/>
          </w:tcPr>
          <w:p w14:paraId="0BD01820" w14:textId="77777777" w:rsidR="00564D9B" w:rsidRPr="00CC69EC" w:rsidRDefault="00564D9B" w:rsidP="00F75370">
            <w:pPr>
              <w:rPr>
                <w:color w:val="000000"/>
                <w:lang w:eastAsia="de-AT"/>
              </w:rPr>
            </w:pPr>
            <w:r w:rsidRPr="00CC69EC">
              <w:rPr>
                <w:rFonts w:eastAsia="TimesNewRoman"/>
                <w:szCs w:val="22"/>
                <w:lang w:eastAsia="en-US"/>
              </w:rPr>
              <w:t>pyrexia*, únava, asténia</w:t>
            </w:r>
          </w:p>
        </w:tc>
      </w:tr>
      <w:tr w:rsidR="00564D9B" w:rsidRPr="00CC69EC" w14:paraId="0A1F4E85" w14:textId="77777777" w:rsidTr="00E110FB">
        <w:trPr>
          <w:tblCellSpacing w:w="0" w:type="dxa"/>
        </w:trPr>
        <w:tc>
          <w:tcPr>
            <w:tcW w:w="0" w:type="auto"/>
            <w:vMerge/>
            <w:vAlign w:val="center"/>
            <w:hideMark/>
          </w:tcPr>
          <w:p w14:paraId="5791E6F0" w14:textId="77777777" w:rsidR="00564D9B" w:rsidRPr="00CC69EC" w:rsidRDefault="00564D9B" w:rsidP="00F75370">
            <w:pPr>
              <w:rPr>
                <w:color w:val="000000"/>
                <w:lang w:eastAsia="de-AT"/>
              </w:rPr>
            </w:pPr>
          </w:p>
        </w:tc>
        <w:tc>
          <w:tcPr>
            <w:tcW w:w="1039" w:type="pct"/>
            <w:hideMark/>
          </w:tcPr>
          <w:p w14:paraId="135569E5" w14:textId="77777777" w:rsidR="00564D9B" w:rsidRPr="00CC69EC" w:rsidRDefault="00564D9B" w:rsidP="00F75370">
            <w:pPr>
              <w:rPr>
                <w:color w:val="000000"/>
                <w:lang w:eastAsia="de-AT"/>
              </w:rPr>
            </w:pPr>
            <w:r w:rsidRPr="00CC69EC">
              <w:rPr>
                <w:color w:val="000000"/>
                <w:lang w:eastAsia="de-AT"/>
              </w:rPr>
              <w:t xml:space="preserve">Časté </w:t>
            </w:r>
          </w:p>
        </w:tc>
        <w:tc>
          <w:tcPr>
            <w:tcW w:w="2229" w:type="pct"/>
            <w:hideMark/>
          </w:tcPr>
          <w:p w14:paraId="4ECC2E76" w14:textId="395C4368" w:rsidR="00564D9B" w:rsidRPr="00CC69EC" w:rsidRDefault="00564D9B" w:rsidP="00381692">
            <w:pPr>
              <w:autoSpaceDE w:val="0"/>
              <w:autoSpaceDN w:val="0"/>
              <w:adjustRightInd w:val="0"/>
              <w:ind w:left="0" w:firstLine="0"/>
              <w:rPr>
                <w:color w:val="000000"/>
                <w:lang w:eastAsia="de-AT"/>
              </w:rPr>
            </w:pPr>
            <w:r w:rsidRPr="00CC69EC">
              <w:rPr>
                <w:rFonts w:eastAsia="TimesNewRoman"/>
                <w:szCs w:val="22"/>
                <w:lang w:eastAsia="en-US"/>
              </w:rPr>
              <w:t xml:space="preserve">opuch (vrátane periférneho), zimnica, reakcia v mieste podania injekcie*, </w:t>
            </w:r>
            <w:r w:rsidR="00381692">
              <w:rPr>
                <w:rFonts w:eastAsia="TimesNewRoman"/>
                <w:szCs w:val="22"/>
                <w:lang w:eastAsia="en-US"/>
              </w:rPr>
              <w:t>celkový pocit choroby</w:t>
            </w:r>
            <w:r w:rsidRPr="00CC69EC">
              <w:rPr>
                <w:rFonts w:eastAsia="TimesNewRoman"/>
                <w:szCs w:val="22"/>
                <w:lang w:eastAsia="en-US"/>
              </w:rPr>
              <w:t>*</w:t>
            </w:r>
          </w:p>
        </w:tc>
      </w:tr>
      <w:tr w:rsidR="00564D9B" w:rsidRPr="00CC69EC" w14:paraId="15C2D654" w14:textId="77777777" w:rsidTr="00E110FB">
        <w:trPr>
          <w:tblCellSpacing w:w="0" w:type="dxa"/>
        </w:trPr>
        <w:tc>
          <w:tcPr>
            <w:tcW w:w="1732" w:type="pct"/>
            <w:hideMark/>
          </w:tcPr>
          <w:p w14:paraId="6E13FC23"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Laboratórne a funkčné vyšetrenia</w:t>
            </w:r>
          </w:p>
        </w:tc>
        <w:tc>
          <w:tcPr>
            <w:tcW w:w="1039" w:type="pct"/>
            <w:hideMark/>
          </w:tcPr>
          <w:p w14:paraId="0FBCB0EC"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54DBF7EB" w14:textId="2392C75F" w:rsidR="00564D9B" w:rsidRPr="00CC69EC" w:rsidRDefault="00564D9B" w:rsidP="00381692">
            <w:pPr>
              <w:autoSpaceDE w:val="0"/>
              <w:autoSpaceDN w:val="0"/>
              <w:adjustRightInd w:val="0"/>
              <w:ind w:left="0" w:firstLine="0"/>
              <w:rPr>
                <w:color w:val="000000"/>
                <w:lang w:eastAsia="de-AT"/>
              </w:rPr>
            </w:pPr>
            <w:r w:rsidRPr="00CC69EC">
              <w:rPr>
                <w:rFonts w:eastAsia="TimesNewRoman"/>
                <w:szCs w:val="22"/>
                <w:lang w:eastAsia="en-US"/>
              </w:rPr>
              <w:t>hyperbilirubinémia*, výsledky analýzy proteínov</w:t>
            </w:r>
            <w:r w:rsidR="00381692">
              <w:rPr>
                <w:rFonts w:eastAsia="TimesNewRoman"/>
                <w:szCs w:val="22"/>
                <w:lang w:eastAsia="en-US"/>
              </w:rPr>
              <w:t xml:space="preserve"> mimo normy</w:t>
            </w:r>
            <w:r w:rsidRPr="00CC69EC">
              <w:rPr>
                <w:rFonts w:eastAsia="TimesNewRoman"/>
                <w:szCs w:val="22"/>
                <w:lang w:eastAsia="en-US"/>
              </w:rPr>
              <w:t>*, zníženie telesnej hmotnosti, zvýšenie telesnej hmotnosti</w:t>
            </w:r>
          </w:p>
        </w:tc>
      </w:tr>
      <w:tr w:rsidR="00564D9B" w:rsidRPr="00CC69EC" w14:paraId="4DF69883" w14:textId="77777777" w:rsidTr="00E110FB">
        <w:trPr>
          <w:tblCellSpacing w:w="0" w:type="dxa"/>
        </w:trPr>
        <w:tc>
          <w:tcPr>
            <w:tcW w:w="5000" w:type="pct"/>
            <w:gridSpan w:val="3"/>
            <w:hideMark/>
          </w:tcPr>
          <w:p w14:paraId="6EA513D4" w14:textId="3B17059F" w:rsidR="00564D9B" w:rsidRPr="00E110FB" w:rsidRDefault="00564D9B" w:rsidP="00F75370">
            <w:pPr>
              <w:rPr>
                <w:color w:val="000000"/>
                <w:sz w:val="18"/>
                <w:szCs w:val="18"/>
                <w:lang w:eastAsia="de-AT"/>
              </w:rPr>
            </w:pPr>
          </w:p>
        </w:tc>
      </w:tr>
    </w:tbl>
    <w:p w14:paraId="0845B408" w14:textId="384147A6" w:rsidR="00564D9B" w:rsidRDefault="00381692" w:rsidP="00564D9B">
      <w:pPr>
        <w:rPr>
          <w:rFonts w:eastAsia="TimesNewRoman"/>
          <w:sz w:val="18"/>
          <w:szCs w:val="18"/>
          <w:lang w:eastAsia="en-US"/>
        </w:rPr>
      </w:pPr>
      <w:r w:rsidRPr="002C3801">
        <w:rPr>
          <w:rFonts w:eastAsia="TimesNewRoman"/>
          <w:sz w:val="18"/>
          <w:szCs w:val="18"/>
          <w:lang w:eastAsia="en-US"/>
        </w:rPr>
        <w:t xml:space="preserve">* Predstavuje pojmy, ktoré zahŕňajú viac ako jeden uprednostňovaný názov </w:t>
      </w:r>
      <w:r>
        <w:rPr>
          <w:rFonts w:eastAsia="TimesNewRoman"/>
          <w:sz w:val="18"/>
          <w:szCs w:val="18"/>
          <w:lang w:eastAsia="en-US"/>
        </w:rPr>
        <w:t xml:space="preserve">podľa </w:t>
      </w:r>
      <w:r w:rsidRPr="002C3801">
        <w:rPr>
          <w:rFonts w:eastAsia="TimesNewRoman"/>
          <w:sz w:val="18"/>
          <w:szCs w:val="18"/>
          <w:lang w:eastAsia="en-US"/>
        </w:rPr>
        <w:t>MedDRA.</w:t>
      </w:r>
    </w:p>
    <w:p w14:paraId="08B2778B" w14:textId="77777777" w:rsidR="00381692" w:rsidRPr="00CC69EC" w:rsidRDefault="00381692" w:rsidP="00564D9B">
      <w:pPr>
        <w:rPr>
          <w:i/>
          <w:iCs/>
          <w:color w:val="000000"/>
          <w:u w:val="single"/>
        </w:rPr>
      </w:pPr>
    </w:p>
    <w:p w14:paraId="75185398"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Opis vybraných nežiaducich reakcií</w:t>
      </w:r>
    </w:p>
    <w:p w14:paraId="414BF35E"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Reaktivácia vírusu herpes zoster</w:t>
      </w:r>
    </w:p>
    <w:p w14:paraId="19C42E73"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Mnohopočetný myelóm</w:t>
      </w:r>
    </w:p>
    <w:p w14:paraId="1636A854" w14:textId="7D3F76BB" w:rsidR="00564D9B" w:rsidRPr="00CC69EC" w:rsidRDefault="00564D9B" w:rsidP="00564D9B">
      <w:pPr>
        <w:autoSpaceDE w:val="0"/>
        <w:autoSpaceDN w:val="0"/>
        <w:adjustRightInd w:val="0"/>
        <w:ind w:left="0" w:firstLine="0"/>
        <w:rPr>
          <w:color w:val="000000"/>
          <w:lang w:eastAsia="de-AT"/>
        </w:rPr>
      </w:pPr>
      <w:r w:rsidRPr="00CC69EC">
        <w:rPr>
          <w:rFonts w:eastAsia="TimesNewRoman"/>
          <w:szCs w:val="22"/>
          <w:lang w:eastAsia="en-US"/>
        </w:rPr>
        <w:t xml:space="preserve">Antivírusová profylaxia bola podávaná 26 % pacientov v </w:t>
      </w:r>
      <w:r w:rsidR="00AA6F71">
        <w:rPr>
          <w:rFonts w:eastAsia="TimesNewRoman"/>
          <w:szCs w:val="22"/>
          <w:lang w:eastAsia="en-US"/>
        </w:rPr>
        <w:t>skupine</w:t>
      </w:r>
      <w:r w:rsidR="00AA6F71" w:rsidRPr="00CC69EC">
        <w:rPr>
          <w:rFonts w:eastAsia="TimesNewRoman"/>
          <w:szCs w:val="22"/>
          <w:lang w:eastAsia="en-US"/>
        </w:rPr>
        <w:t xml:space="preserve"> </w:t>
      </w:r>
      <w:r w:rsidRPr="00CC69EC">
        <w:rPr>
          <w:rFonts w:eastAsia="TimesNewRoman"/>
          <w:szCs w:val="22"/>
          <w:lang w:eastAsia="en-US"/>
        </w:rPr>
        <w:t>B+M+P. Incidencia herpes zoster v ramene B+M+P bola 17 % u pacientov, ktorým nebola podávaná antivírusová profylaxia, v porovnaní s 3 % u pacientov, ktorým bola podávaná antivírusová profylaxia.</w:t>
      </w:r>
      <w:r w:rsidRPr="00CC69EC">
        <w:rPr>
          <w:color w:val="000000"/>
          <w:lang w:eastAsia="de-AT"/>
        </w:rPr>
        <w:t xml:space="preserve"> </w:t>
      </w:r>
    </w:p>
    <w:p w14:paraId="49E45AFC" w14:textId="77777777" w:rsidR="00564D9B" w:rsidRPr="00CC69EC" w:rsidRDefault="00564D9B" w:rsidP="00564D9B">
      <w:pPr>
        <w:autoSpaceDE w:val="0"/>
        <w:autoSpaceDN w:val="0"/>
        <w:adjustRightInd w:val="0"/>
        <w:ind w:left="0" w:firstLine="0"/>
        <w:rPr>
          <w:color w:val="000000"/>
          <w:lang w:eastAsia="de-AT"/>
        </w:rPr>
      </w:pPr>
    </w:p>
    <w:p w14:paraId="58833F6D"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Lymfóm z plášťových buniek</w:t>
      </w:r>
    </w:p>
    <w:p w14:paraId="3E25162F"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Antivírusová profylaxia bola podávaná 137 z 240 pacientov (57 %) v skupine s BR-CAP. V skupine BR-CAP bola incidencia herpesu zoster 10,7 % u pacientov, ktorým nebola podávaná antivírusová profylaxia v porovnaní s 3,6 % u pacientov, ktorým bola podávaná antivírusová profylaxia (pozri časť 4.4).</w:t>
      </w:r>
    </w:p>
    <w:p w14:paraId="2FD0DDE5" w14:textId="77777777" w:rsidR="00564D9B" w:rsidRPr="00CC69EC" w:rsidRDefault="00564D9B" w:rsidP="00564D9B">
      <w:pPr>
        <w:autoSpaceDE w:val="0"/>
        <w:autoSpaceDN w:val="0"/>
        <w:adjustRightInd w:val="0"/>
        <w:ind w:left="0" w:firstLine="0"/>
        <w:rPr>
          <w:rFonts w:eastAsia="TimesNewRoman"/>
          <w:szCs w:val="22"/>
          <w:lang w:eastAsia="en-US"/>
        </w:rPr>
      </w:pPr>
    </w:p>
    <w:p w14:paraId="7ADD6557"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Reaktivácia vírusu hepatitídy B (HBV) a infekcia</w:t>
      </w:r>
    </w:p>
    <w:p w14:paraId="1A85C1EE"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Lymfóm z plášťových buniek</w:t>
      </w:r>
    </w:p>
    <w:p w14:paraId="186D7CBD"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Infekcia HBV so smrteľnými následkami sa vyskytla u 0,8 % (n = 2) pacientov v skupine neliečenej bortezomibom (rituximab, cyklofosfamid, doxorubicín, vinkristín a prednizón; R-CHOP) a u 0,4 % (n = 1) pacientov dostávajúcich bortezomib v kombinácii s rituximabom, cyklofosfamidom, doxorubicínom a prednizónom (BR-CAP). Celková incidencia infekcií hepatitídy B bola u pacientov liečených s BR-CAP alebo s R-CHOP podobná (0,8 % oproti 1,2 %, v tomto poradí).</w:t>
      </w:r>
    </w:p>
    <w:p w14:paraId="3B5717C2" w14:textId="77777777" w:rsidR="00564D9B" w:rsidRPr="00CC69EC" w:rsidRDefault="00564D9B" w:rsidP="00564D9B">
      <w:pPr>
        <w:autoSpaceDE w:val="0"/>
        <w:autoSpaceDN w:val="0"/>
        <w:adjustRightInd w:val="0"/>
        <w:ind w:left="0" w:firstLine="0"/>
        <w:rPr>
          <w:i/>
          <w:iCs/>
          <w:color w:val="000000"/>
        </w:rPr>
      </w:pPr>
    </w:p>
    <w:p w14:paraId="173730B1"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Periférna neuropatia v kombinovanej liečbe</w:t>
      </w:r>
    </w:p>
    <w:p w14:paraId="3B53A728"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Mnohopočetný myelóm</w:t>
      </w:r>
    </w:p>
    <w:p w14:paraId="13406D7F"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Incidencia periférnej neuropatie v skúšaniach s kombinovanou liečbou, v ktorých bol bortezomib podávaný ako indukčná liečba v kombinácii s dexametazónom (štúdia IFM-2005-01) a dexametazónom-talidomidom (štúdia MMY-3010), sa uvádza v tabuľke nižšie:</w:t>
      </w:r>
    </w:p>
    <w:p w14:paraId="29B54AF3"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2B090D64" w14:textId="77777777" w:rsidR="00564D9B"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Tabuľka 9: Incidencia periférnej neuropatie počas indukčnej liečby podľa toxicity a prerušenie liečby z dôvodu periférnej neuropatie</w:t>
      </w:r>
    </w:p>
    <w:p w14:paraId="15538940" w14:textId="77777777" w:rsidR="00564D9B" w:rsidRPr="00CC69EC" w:rsidRDefault="00564D9B" w:rsidP="00564D9B">
      <w:pPr>
        <w:autoSpaceDE w:val="0"/>
        <w:autoSpaceDN w:val="0"/>
        <w:adjustRightInd w:val="0"/>
        <w:ind w:left="0" w:firstLine="0"/>
        <w:rPr>
          <w:color w:val="000000"/>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626"/>
        <w:gridCol w:w="1359"/>
        <w:gridCol w:w="1359"/>
        <w:gridCol w:w="1359"/>
        <w:gridCol w:w="1357"/>
      </w:tblGrid>
      <w:tr w:rsidR="00564D9B" w:rsidRPr="00CC69EC" w14:paraId="1F6407A8" w14:textId="77777777" w:rsidTr="00E110FB">
        <w:trPr>
          <w:tblCellSpacing w:w="0" w:type="dxa"/>
        </w:trPr>
        <w:tc>
          <w:tcPr>
            <w:tcW w:w="2001" w:type="pct"/>
            <w:hideMark/>
          </w:tcPr>
          <w:p w14:paraId="40C52083" w14:textId="77777777" w:rsidR="00564D9B" w:rsidRPr="00CC69EC" w:rsidRDefault="00564D9B" w:rsidP="00F75370">
            <w:pPr>
              <w:rPr>
                <w:color w:val="000000"/>
              </w:rPr>
            </w:pPr>
          </w:p>
        </w:tc>
        <w:tc>
          <w:tcPr>
            <w:tcW w:w="1500" w:type="pct"/>
            <w:gridSpan w:val="2"/>
            <w:hideMark/>
          </w:tcPr>
          <w:p w14:paraId="657D0745" w14:textId="77777777" w:rsidR="00564D9B" w:rsidRPr="00CC69EC" w:rsidRDefault="00564D9B" w:rsidP="00F75370">
            <w:pPr>
              <w:jc w:val="center"/>
              <w:rPr>
                <w:color w:val="000000"/>
              </w:rPr>
            </w:pPr>
            <w:r w:rsidRPr="00CC69EC">
              <w:rPr>
                <w:color w:val="000000"/>
                <w:u w:val="single"/>
              </w:rPr>
              <w:t>IFM-2005-01</w:t>
            </w:r>
          </w:p>
        </w:tc>
        <w:tc>
          <w:tcPr>
            <w:tcW w:w="1500" w:type="pct"/>
            <w:gridSpan w:val="2"/>
            <w:hideMark/>
          </w:tcPr>
          <w:p w14:paraId="088CDF6D" w14:textId="77777777" w:rsidR="00564D9B" w:rsidRPr="00CC69EC" w:rsidRDefault="00564D9B" w:rsidP="00F75370">
            <w:pPr>
              <w:jc w:val="center"/>
              <w:rPr>
                <w:color w:val="000000"/>
              </w:rPr>
            </w:pPr>
            <w:r w:rsidRPr="00CC69EC">
              <w:rPr>
                <w:color w:val="000000"/>
                <w:u w:val="single"/>
              </w:rPr>
              <w:t>MMY-3010</w:t>
            </w:r>
          </w:p>
        </w:tc>
      </w:tr>
      <w:tr w:rsidR="00564D9B" w:rsidRPr="00CC69EC" w14:paraId="6B94C457" w14:textId="77777777" w:rsidTr="00E110FB">
        <w:trPr>
          <w:tblCellSpacing w:w="0" w:type="dxa"/>
        </w:trPr>
        <w:tc>
          <w:tcPr>
            <w:tcW w:w="2001" w:type="pct"/>
            <w:hideMark/>
          </w:tcPr>
          <w:p w14:paraId="5B866E34" w14:textId="77777777" w:rsidR="00564D9B" w:rsidRPr="00CC69EC" w:rsidRDefault="00564D9B" w:rsidP="00F75370">
            <w:pPr>
              <w:rPr>
                <w:color w:val="000000"/>
              </w:rPr>
            </w:pPr>
          </w:p>
        </w:tc>
        <w:tc>
          <w:tcPr>
            <w:tcW w:w="750" w:type="pct"/>
            <w:hideMark/>
          </w:tcPr>
          <w:p w14:paraId="4F3EA73E" w14:textId="77777777" w:rsidR="00564D9B" w:rsidRPr="00CC69EC" w:rsidRDefault="00564D9B" w:rsidP="00F75370">
            <w:pPr>
              <w:jc w:val="center"/>
              <w:rPr>
                <w:color w:val="000000"/>
              </w:rPr>
            </w:pPr>
            <w:r w:rsidRPr="00CC69EC">
              <w:rPr>
                <w:color w:val="000000"/>
              </w:rPr>
              <w:t>VDDx</w:t>
            </w:r>
          </w:p>
          <w:p w14:paraId="31A2D402" w14:textId="77777777" w:rsidR="00564D9B" w:rsidRPr="00CC69EC" w:rsidRDefault="00564D9B" w:rsidP="00F75370">
            <w:pPr>
              <w:jc w:val="center"/>
              <w:rPr>
                <w:color w:val="000000"/>
              </w:rPr>
            </w:pPr>
            <w:r w:rsidRPr="00CC69EC">
              <w:rPr>
                <w:color w:val="000000"/>
              </w:rPr>
              <w:t>(n = 239)</w:t>
            </w:r>
          </w:p>
        </w:tc>
        <w:tc>
          <w:tcPr>
            <w:tcW w:w="750" w:type="pct"/>
            <w:hideMark/>
          </w:tcPr>
          <w:p w14:paraId="4EAC2C70" w14:textId="77777777" w:rsidR="00564D9B" w:rsidRPr="00CC69EC" w:rsidRDefault="00564D9B" w:rsidP="00F75370">
            <w:pPr>
              <w:jc w:val="center"/>
              <w:rPr>
                <w:color w:val="000000"/>
              </w:rPr>
            </w:pPr>
            <w:r w:rsidRPr="00CC69EC">
              <w:rPr>
                <w:color w:val="000000"/>
              </w:rPr>
              <w:t>BDx</w:t>
            </w:r>
          </w:p>
          <w:p w14:paraId="3E31AB1D" w14:textId="77777777" w:rsidR="00564D9B" w:rsidRPr="00CC69EC" w:rsidRDefault="00564D9B" w:rsidP="00F75370">
            <w:pPr>
              <w:jc w:val="center"/>
              <w:rPr>
                <w:color w:val="000000"/>
              </w:rPr>
            </w:pPr>
            <w:r w:rsidRPr="00CC69EC">
              <w:rPr>
                <w:color w:val="000000"/>
              </w:rPr>
              <w:t>(n = 239)</w:t>
            </w:r>
          </w:p>
        </w:tc>
        <w:tc>
          <w:tcPr>
            <w:tcW w:w="750" w:type="pct"/>
            <w:hideMark/>
          </w:tcPr>
          <w:p w14:paraId="127E5CFE" w14:textId="77777777" w:rsidR="00564D9B" w:rsidRPr="00CC69EC" w:rsidRDefault="00564D9B" w:rsidP="00F75370">
            <w:pPr>
              <w:jc w:val="center"/>
              <w:rPr>
                <w:color w:val="000000"/>
              </w:rPr>
            </w:pPr>
            <w:r w:rsidRPr="00CC69EC">
              <w:rPr>
                <w:color w:val="000000"/>
              </w:rPr>
              <w:t>TDx</w:t>
            </w:r>
          </w:p>
          <w:p w14:paraId="14C22D81" w14:textId="77777777" w:rsidR="00564D9B" w:rsidRPr="00CC69EC" w:rsidRDefault="00564D9B" w:rsidP="00F75370">
            <w:pPr>
              <w:jc w:val="center"/>
              <w:rPr>
                <w:color w:val="000000"/>
              </w:rPr>
            </w:pPr>
            <w:r w:rsidRPr="00CC69EC">
              <w:rPr>
                <w:color w:val="000000"/>
              </w:rPr>
              <w:t>(n = 126)</w:t>
            </w:r>
          </w:p>
        </w:tc>
        <w:tc>
          <w:tcPr>
            <w:tcW w:w="750" w:type="pct"/>
            <w:hideMark/>
          </w:tcPr>
          <w:p w14:paraId="78586E4C" w14:textId="77777777" w:rsidR="00564D9B" w:rsidRPr="00CC69EC" w:rsidRDefault="00564D9B" w:rsidP="00F75370">
            <w:pPr>
              <w:jc w:val="center"/>
              <w:rPr>
                <w:color w:val="000000"/>
              </w:rPr>
            </w:pPr>
            <w:r w:rsidRPr="00CC69EC">
              <w:rPr>
                <w:color w:val="000000"/>
              </w:rPr>
              <w:t>BTDx</w:t>
            </w:r>
          </w:p>
          <w:p w14:paraId="738C61E7" w14:textId="77777777" w:rsidR="00564D9B" w:rsidRPr="00CC69EC" w:rsidRDefault="00564D9B" w:rsidP="00F75370">
            <w:pPr>
              <w:jc w:val="center"/>
              <w:rPr>
                <w:color w:val="000000"/>
              </w:rPr>
            </w:pPr>
            <w:r w:rsidRPr="00CC69EC">
              <w:rPr>
                <w:color w:val="000000"/>
              </w:rPr>
              <w:t>(n = 130)</w:t>
            </w:r>
          </w:p>
        </w:tc>
      </w:tr>
      <w:tr w:rsidR="00564D9B" w:rsidRPr="00CC69EC" w14:paraId="50E38998" w14:textId="77777777" w:rsidTr="00E110FB">
        <w:trPr>
          <w:tblCellSpacing w:w="0" w:type="dxa"/>
        </w:trPr>
        <w:tc>
          <w:tcPr>
            <w:tcW w:w="2001" w:type="pct"/>
            <w:hideMark/>
          </w:tcPr>
          <w:p w14:paraId="453D2D53" w14:textId="77777777" w:rsidR="00564D9B" w:rsidRPr="00CC69EC" w:rsidRDefault="00564D9B" w:rsidP="00F75370">
            <w:pPr>
              <w:rPr>
                <w:color w:val="000000"/>
              </w:rPr>
            </w:pPr>
            <w:r w:rsidRPr="00CC69EC">
              <w:rPr>
                <w:color w:val="000000"/>
              </w:rPr>
              <w:t xml:space="preserve">Incidencia PN (%) </w:t>
            </w:r>
          </w:p>
        </w:tc>
        <w:tc>
          <w:tcPr>
            <w:tcW w:w="750" w:type="pct"/>
            <w:hideMark/>
          </w:tcPr>
          <w:p w14:paraId="57009C66" w14:textId="77777777" w:rsidR="00564D9B" w:rsidRPr="00CC69EC" w:rsidRDefault="00564D9B" w:rsidP="00F75370">
            <w:pPr>
              <w:jc w:val="center"/>
              <w:rPr>
                <w:color w:val="000000"/>
              </w:rPr>
            </w:pPr>
          </w:p>
        </w:tc>
        <w:tc>
          <w:tcPr>
            <w:tcW w:w="750" w:type="pct"/>
            <w:hideMark/>
          </w:tcPr>
          <w:p w14:paraId="4D7CC753" w14:textId="77777777" w:rsidR="00564D9B" w:rsidRPr="00CC69EC" w:rsidRDefault="00564D9B" w:rsidP="00F75370">
            <w:pPr>
              <w:jc w:val="center"/>
              <w:rPr>
                <w:color w:val="000000"/>
              </w:rPr>
            </w:pPr>
          </w:p>
        </w:tc>
        <w:tc>
          <w:tcPr>
            <w:tcW w:w="750" w:type="pct"/>
            <w:hideMark/>
          </w:tcPr>
          <w:p w14:paraId="46F7A5ED" w14:textId="77777777" w:rsidR="00564D9B" w:rsidRPr="00CC69EC" w:rsidRDefault="00564D9B" w:rsidP="00F75370">
            <w:pPr>
              <w:jc w:val="center"/>
              <w:rPr>
                <w:color w:val="000000"/>
              </w:rPr>
            </w:pPr>
          </w:p>
        </w:tc>
        <w:tc>
          <w:tcPr>
            <w:tcW w:w="750" w:type="pct"/>
            <w:hideMark/>
          </w:tcPr>
          <w:p w14:paraId="25A548B8" w14:textId="77777777" w:rsidR="00564D9B" w:rsidRPr="00CC69EC" w:rsidRDefault="00564D9B" w:rsidP="00F75370">
            <w:pPr>
              <w:jc w:val="center"/>
              <w:rPr>
                <w:color w:val="000000"/>
              </w:rPr>
            </w:pPr>
          </w:p>
        </w:tc>
      </w:tr>
      <w:tr w:rsidR="00564D9B" w:rsidRPr="00CC69EC" w14:paraId="05C6A67B" w14:textId="77777777" w:rsidTr="00E110FB">
        <w:trPr>
          <w:tblCellSpacing w:w="0" w:type="dxa"/>
        </w:trPr>
        <w:tc>
          <w:tcPr>
            <w:tcW w:w="2001" w:type="pct"/>
            <w:hideMark/>
          </w:tcPr>
          <w:p w14:paraId="44226263" w14:textId="77777777" w:rsidR="00564D9B" w:rsidRPr="00CC69EC" w:rsidRDefault="00564D9B" w:rsidP="00F75370">
            <w:pPr>
              <w:rPr>
                <w:color w:val="000000"/>
              </w:rPr>
            </w:pPr>
            <w:r w:rsidRPr="00CC69EC">
              <w:rPr>
                <w:color w:val="000000"/>
              </w:rPr>
              <w:t>Všetky stup</w:t>
            </w:r>
            <w:r>
              <w:rPr>
                <w:color w:val="000000"/>
              </w:rPr>
              <w:t>n</w:t>
            </w:r>
            <w:r w:rsidRPr="00CC69EC">
              <w:rPr>
                <w:color w:val="000000"/>
              </w:rPr>
              <w:t xml:space="preserve">e PN </w:t>
            </w:r>
          </w:p>
        </w:tc>
        <w:tc>
          <w:tcPr>
            <w:tcW w:w="750" w:type="pct"/>
            <w:hideMark/>
          </w:tcPr>
          <w:p w14:paraId="76254574" w14:textId="77777777" w:rsidR="00564D9B" w:rsidRPr="00CC69EC" w:rsidRDefault="00564D9B" w:rsidP="00F75370">
            <w:pPr>
              <w:jc w:val="center"/>
              <w:rPr>
                <w:color w:val="000000"/>
              </w:rPr>
            </w:pPr>
            <w:r w:rsidRPr="00CC69EC">
              <w:rPr>
                <w:color w:val="000000"/>
              </w:rPr>
              <w:t>3</w:t>
            </w:r>
          </w:p>
        </w:tc>
        <w:tc>
          <w:tcPr>
            <w:tcW w:w="750" w:type="pct"/>
            <w:hideMark/>
          </w:tcPr>
          <w:p w14:paraId="0EE67D03" w14:textId="77777777" w:rsidR="00564D9B" w:rsidRPr="00CC69EC" w:rsidRDefault="00564D9B" w:rsidP="00F75370">
            <w:pPr>
              <w:jc w:val="center"/>
              <w:rPr>
                <w:color w:val="000000"/>
              </w:rPr>
            </w:pPr>
            <w:r w:rsidRPr="00CC69EC">
              <w:rPr>
                <w:color w:val="000000"/>
              </w:rPr>
              <w:t>15</w:t>
            </w:r>
          </w:p>
        </w:tc>
        <w:tc>
          <w:tcPr>
            <w:tcW w:w="750" w:type="pct"/>
            <w:hideMark/>
          </w:tcPr>
          <w:p w14:paraId="3B5697F5" w14:textId="77777777" w:rsidR="00564D9B" w:rsidRPr="00CC69EC" w:rsidRDefault="00564D9B" w:rsidP="00F75370">
            <w:pPr>
              <w:jc w:val="center"/>
              <w:rPr>
                <w:color w:val="000000"/>
              </w:rPr>
            </w:pPr>
            <w:r w:rsidRPr="00CC69EC">
              <w:rPr>
                <w:color w:val="000000"/>
              </w:rPr>
              <w:t>12</w:t>
            </w:r>
          </w:p>
        </w:tc>
        <w:tc>
          <w:tcPr>
            <w:tcW w:w="750" w:type="pct"/>
            <w:hideMark/>
          </w:tcPr>
          <w:p w14:paraId="041070DE" w14:textId="77777777" w:rsidR="00564D9B" w:rsidRPr="00CC69EC" w:rsidRDefault="00564D9B" w:rsidP="00F75370">
            <w:pPr>
              <w:jc w:val="center"/>
              <w:rPr>
                <w:color w:val="000000"/>
              </w:rPr>
            </w:pPr>
            <w:r w:rsidRPr="00CC69EC">
              <w:rPr>
                <w:color w:val="000000"/>
              </w:rPr>
              <w:t>45</w:t>
            </w:r>
          </w:p>
        </w:tc>
      </w:tr>
      <w:tr w:rsidR="00564D9B" w:rsidRPr="00CC69EC" w14:paraId="69ADCFD7" w14:textId="77777777" w:rsidTr="00E110FB">
        <w:trPr>
          <w:tblCellSpacing w:w="0" w:type="dxa"/>
        </w:trPr>
        <w:tc>
          <w:tcPr>
            <w:tcW w:w="2001" w:type="pct"/>
            <w:hideMark/>
          </w:tcPr>
          <w:p w14:paraId="30ED6825" w14:textId="77777777" w:rsidR="00564D9B" w:rsidRPr="00CC69EC" w:rsidRDefault="00564D9B" w:rsidP="00F75370">
            <w:pPr>
              <w:rPr>
                <w:color w:val="000000"/>
              </w:rPr>
            </w:pPr>
            <w:r w:rsidRPr="00CC69EC">
              <w:rPr>
                <w:color w:val="000000"/>
              </w:rPr>
              <w:t xml:space="preserve">≥ 2. stupeň PN </w:t>
            </w:r>
          </w:p>
        </w:tc>
        <w:tc>
          <w:tcPr>
            <w:tcW w:w="750" w:type="pct"/>
            <w:hideMark/>
          </w:tcPr>
          <w:p w14:paraId="1EC11468" w14:textId="77777777" w:rsidR="00564D9B" w:rsidRPr="00CC69EC" w:rsidRDefault="00564D9B" w:rsidP="00F75370">
            <w:pPr>
              <w:jc w:val="center"/>
              <w:rPr>
                <w:color w:val="000000"/>
              </w:rPr>
            </w:pPr>
            <w:r w:rsidRPr="00CC69EC">
              <w:rPr>
                <w:color w:val="000000"/>
              </w:rPr>
              <w:t>1</w:t>
            </w:r>
          </w:p>
        </w:tc>
        <w:tc>
          <w:tcPr>
            <w:tcW w:w="750" w:type="pct"/>
            <w:hideMark/>
          </w:tcPr>
          <w:p w14:paraId="70389FC3" w14:textId="77777777" w:rsidR="00564D9B" w:rsidRPr="00CC69EC" w:rsidRDefault="00564D9B" w:rsidP="00F75370">
            <w:pPr>
              <w:jc w:val="center"/>
              <w:rPr>
                <w:color w:val="000000"/>
              </w:rPr>
            </w:pPr>
            <w:r w:rsidRPr="00CC69EC">
              <w:rPr>
                <w:color w:val="000000"/>
              </w:rPr>
              <w:t>10</w:t>
            </w:r>
          </w:p>
        </w:tc>
        <w:tc>
          <w:tcPr>
            <w:tcW w:w="750" w:type="pct"/>
            <w:hideMark/>
          </w:tcPr>
          <w:p w14:paraId="4755EEB4" w14:textId="77777777" w:rsidR="00564D9B" w:rsidRPr="00CC69EC" w:rsidRDefault="00564D9B" w:rsidP="00F75370">
            <w:pPr>
              <w:jc w:val="center"/>
              <w:rPr>
                <w:color w:val="000000"/>
              </w:rPr>
            </w:pPr>
            <w:r w:rsidRPr="00CC69EC">
              <w:rPr>
                <w:color w:val="000000"/>
              </w:rPr>
              <w:t>2</w:t>
            </w:r>
          </w:p>
        </w:tc>
        <w:tc>
          <w:tcPr>
            <w:tcW w:w="750" w:type="pct"/>
            <w:hideMark/>
          </w:tcPr>
          <w:p w14:paraId="46B35AC3" w14:textId="77777777" w:rsidR="00564D9B" w:rsidRPr="00CC69EC" w:rsidRDefault="00564D9B" w:rsidP="00F75370">
            <w:pPr>
              <w:jc w:val="center"/>
              <w:rPr>
                <w:color w:val="000000"/>
              </w:rPr>
            </w:pPr>
            <w:r w:rsidRPr="00CC69EC">
              <w:rPr>
                <w:color w:val="000000"/>
              </w:rPr>
              <w:t>31</w:t>
            </w:r>
          </w:p>
        </w:tc>
      </w:tr>
      <w:tr w:rsidR="00564D9B" w:rsidRPr="00CC69EC" w14:paraId="1558DE25" w14:textId="77777777" w:rsidTr="00E110FB">
        <w:trPr>
          <w:tblCellSpacing w:w="0" w:type="dxa"/>
        </w:trPr>
        <w:tc>
          <w:tcPr>
            <w:tcW w:w="2001" w:type="pct"/>
            <w:hideMark/>
          </w:tcPr>
          <w:p w14:paraId="4C0B659D" w14:textId="77777777" w:rsidR="00564D9B" w:rsidRPr="00CC69EC" w:rsidRDefault="00564D9B" w:rsidP="00F75370">
            <w:pPr>
              <w:rPr>
                <w:color w:val="000000"/>
              </w:rPr>
            </w:pPr>
            <w:r w:rsidRPr="00CC69EC">
              <w:rPr>
                <w:color w:val="000000"/>
              </w:rPr>
              <w:t>≥ 3. stupeň PN</w:t>
            </w:r>
          </w:p>
        </w:tc>
        <w:tc>
          <w:tcPr>
            <w:tcW w:w="750" w:type="pct"/>
            <w:hideMark/>
          </w:tcPr>
          <w:p w14:paraId="6C461133" w14:textId="77777777" w:rsidR="00564D9B" w:rsidRPr="00CC69EC" w:rsidRDefault="00564D9B" w:rsidP="00F75370">
            <w:pPr>
              <w:jc w:val="center"/>
              <w:rPr>
                <w:color w:val="000000"/>
              </w:rPr>
            </w:pPr>
            <w:r w:rsidRPr="00CC69EC">
              <w:rPr>
                <w:color w:val="000000"/>
              </w:rPr>
              <w:t>&lt; 1</w:t>
            </w:r>
          </w:p>
        </w:tc>
        <w:tc>
          <w:tcPr>
            <w:tcW w:w="750" w:type="pct"/>
            <w:hideMark/>
          </w:tcPr>
          <w:p w14:paraId="570EB136" w14:textId="77777777" w:rsidR="00564D9B" w:rsidRPr="00CC69EC" w:rsidRDefault="00564D9B" w:rsidP="00F75370">
            <w:pPr>
              <w:jc w:val="center"/>
              <w:rPr>
                <w:color w:val="000000"/>
              </w:rPr>
            </w:pPr>
            <w:r w:rsidRPr="00CC69EC">
              <w:rPr>
                <w:color w:val="000000"/>
              </w:rPr>
              <w:t>5</w:t>
            </w:r>
          </w:p>
        </w:tc>
        <w:tc>
          <w:tcPr>
            <w:tcW w:w="750" w:type="pct"/>
            <w:hideMark/>
          </w:tcPr>
          <w:p w14:paraId="69B13CCE" w14:textId="77777777" w:rsidR="00564D9B" w:rsidRPr="00CC69EC" w:rsidRDefault="00564D9B" w:rsidP="00F75370">
            <w:pPr>
              <w:jc w:val="center"/>
              <w:rPr>
                <w:color w:val="000000"/>
              </w:rPr>
            </w:pPr>
            <w:r w:rsidRPr="00CC69EC">
              <w:rPr>
                <w:color w:val="000000"/>
              </w:rPr>
              <w:t>0</w:t>
            </w:r>
          </w:p>
        </w:tc>
        <w:tc>
          <w:tcPr>
            <w:tcW w:w="750" w:type="pct"/>
            <w:hideMark/>
          </w:tcPr>
          <w:p w14:paraId="4F76A305" w14:textId="77777777" w:rsidR="00564D9B" w:rsidRPr="00CC69EC" w:rsidRDefault="00564D9B" w:rsidP="00F75370">
            <w:pPr>
              <w:jc w:val="center"/>
              <w:rPr>
                <w:color w:val="000000"/>
              </w:rPr>
            </w:pPr>
            <w:r w:rsidRPr="00CC69EC">
              <w:rPr>
                <w:color w:val="000000"/>
              </w:rPr>
              <w:t>5</w:t>
            </w:r>
          </w:p>
        </w:tc>
      </w:tr>
      <w:tr w:rsidR="00564D9B" w:rsidRPr="00CC69EC" w14:paraId="3CE70474" w14:textId="77777777" w:rsidTr="00E110FB">
        <w:trPr>
          <w:tblCellSpacing w:w="0" w:type="dxa"/>
        </w:trPr>
        <w:tc>
          <w:tcPr>
            <w:tcW w:w="2001" w:type="pct"/>
            <w:hideMark/>
          </w:tcPr>
          <w:p w14:paraId="0D4EF76E" w14:textId="77777777" w:rsidR="00564D9B" w:rsidRPr="00CC69EC" w:rsidRDefault="00564D9B" w:rsidP="00F75370">
            <w:pPr>
              <w:rPr>
                <w:color w:val="000000"/>
              </w:rPr>
            </w:pPr>
            <w:r w:rsidRPr="00CC69EC">
              <w:rPr>
                <w:color w:val="000000"/>
              </w:rPr>
              <w:t xml:space="preserve">Prerušenie z dôvodu PN (%) </w:t>
            </w:r>
          </w:p>
        </w:tc>
        <w:tc>
          <w:tcPr>
            <w:tcW w:w="750" w:type="pct"/>
            <w:hideMark/>
          </w:tcPr>
          <w:p w14:paraId="2976DD1A" w14:textId="77777777" w:rsidR="00564D9B" w:rsidRPr="00CC69EC" w:rsidRDefault="00564D9B" w:rsidP="00F75370">
            <w:pPr>
              <w:jc w:val="center"/>
              <w:rPr>
                <w:color w:val="000000"/>
              </w:rPr>
            </w:pPr>
            <w:r w:rsidRPr="00CC69EC">
              <w:rPr>
                <w:color w:val="000000"/>
              </w:rPr>
              <w:t>&lt; 1</w:t>
            </w:r>
          </w:p>
        </w:tc>
        <w:tc>
          <w:tcPr>
            <w:tcW w:w="750" w:type="pct"/>
            <w:hideMark/>
          </w:tcPr>
          <w:p w14:paraId="500CF361" w14:textId="77777777" w:rsidR="00564D9B" w:rsidRPr="00CC69EC" w:rsidRDefault="00564D9B" w:rsidP="00F75370">
            <w:pPr>
              <w:jc w:val="center"/>
              <w:rPr>
                <w:color w:val="000000"/>
              </w:rPr>
            </w:pPr>
            <w:r w:rsidRPr="00CC69EC">
              <w:rPr>
                <w:color w:val="000000"/>
              </w:rPr>
              <w:t>2</w:t>
            </w:r>
          </w:p>
        </w:tc>
        <w:tc>
          <w:tcPr>
            <w:tcW w:w="750" w:type="pct"/>
            <w:hideMark/>
          </w:tcPr>
          <w:p w14:paraId="1BE1AE47" w14:textId="77777777" w:rsidR="00564D9B" w:rsidRPr="00CC69EC" w:rsidRDefault="00564D9B" w:rsidP="00F75370">
            <w:pPr>
              <w:jc w:val="center"/>
              <w:rPr>
                <w:color w:val="000000"/>
              </w:rPr>
            </w:pPr>
            <w:r w:rsidRPr="00CC69EC">
              <w:rPr>
                <w:color w:val="000000"/>
              </w:rPr>
              <w:t>1</w:t>
            </w:r>
          </w:p>
        </w:tc>
        <w:tc>
          <w:tcPr>
            <w:tcW w:w="750" w:type="pct"/>
            <w:hideMark/>
          </w:tcPr>
          <w:p w14:paraId="3BE78BB2" w14:textId="77777777" w:rsidR="00564D9B" w:rsidRPr="00CC69EC" w:rsidRDefault="00564D9B" w:rsidP="00F75370">
            <w:pPr>
              <w:jc w:val="center"/>
              <w:rPr>
                <w:color w:val="000000"/>
              </w:rPr>
            </w:pPr>
            <w:r w:rsidRPr="00CC69EC">
              <w:rPr>
                <w:color w:val="000000"/>
              </w:rPr>
              <w:t>5</w:t>
            </w:r>
          </w:p>
        </w:tc>
      </w:tr>
    </w:tbl>
    <w:p w14:paraId="05A2B959"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VDDx= vinkristín, doxorubicín, dexametazón; BDx = bortezomib, dexametazón; TDx = talidomid, dexametazón; BTDx = bortezomib, talidomid, dexametazón; PN = periférna neuropatia</w:t>
      </w:r>
    </w:p>
    <w:p w14:paraId="4EAD51B0" w14:textId="77777777" w:rsidR="00564D9B" w:rsidRPr="00E110FB" w:rsidRDefault="00564D9B" w:rsidP="00564D9B">
      <w:pPr>
        <w:autoSpaceDE w:val="0"/>
        <w:autoSpaceDN w:val="0"/>
        <w:adjustRightInd w:val="0"/>
        <w:ind w:left="0" w:firstLine="0"/>
        <w:rPr>
          <w:color w:val="000000"/>
          <w:sz w:val="18"/>
          <w:szCs w:val="18"/>
        </w:rPr>
      </w:pPr>
      <w:r w:rsidRPr="00E110FB">
        <w:rPr>
          <w:rFonts w:eastAsia="TimesNewRoman"/>
          <w:sz w:val="18"/>
          <w:szCs w:val="18"/>
          <w:lang w:eastAsia="en-US"/>
        </w:rPr>
        <w:t>Poznámka: Periférna neuropatia zahŕňala uprednostňované pojmy: periférna neuropatia, periférna motorická neuropatia, periférna senzorická neuropatia a polyneuropatia.</w:t>
      </w:r>
      <w:r w:rsidRPr="00E110FB">
        <w:rPr>
          <w:color w:val="000000"/>
          <w:sz w:val="18"/>
          <w:szCs w:val="18"/>
        </w:rPr>
        <w:t xml:space="preserve"> </w:t>
      </w:r>
    </w:p>
    <w:p w14:paraId="6A23BC47" w14:textId="77777777" w:rsidR="00564D9B" w:rsidRPr="00CC69EC" w:rsidRDefault="00564D9B" w:rsidP="00564D9B">
      <w:pPr>
        <w:rPr>
          <w:i/>
          <w:iCs/>
          <w:color w:val="000000"/>
        </w:rPr>
      </w:pPr>
    </w:p>
    <w:p w14:paraId="77FAECD8"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Lymfóm z plášťových buniek</w:t>
      </w:r>
    </w:p>
    <w:p w14:paraId="705D20BD"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tabuľke nižšie sa uvádza incidencia periférnej neuropatie v štúdii LYM-3002 s kombinovanou liečbou, v ktorej sa bortezomib podával s rituximabom, cyklofosfamidom, doxorubicínom a prednizónom (R-CAP).</w:t>
      </w:r>
    </w:p>
    <w:p w14:paraId="3FBDDFAE"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723AFB23" w14:textId="77777777" w:rsidR="00564D9B" w:rsidRPr="00CC69EC" w:rsidRDefault="00564D9B" w:rsidP="00564D9B">
      <w:pPr>
        <w:autoSpaceDE w:val="0"/>
        <w:autoSpaceDN w:val="0"/>
        <w:adjustRightInd w:val="0"/>
        <w:ind w:left="0" w:firstLine="0"/>
        <w:rPr>
          <w:color w:val="000000"/>
          <w:lang w:eastAsia="de-AT"/>
        </w:rPr>
      </w:pPr>
      <w:r w:rsidRPr="00CC69EC">
        <w:rPr>
          <w:rFonts w:eastAsia="TimesNewRoman,Italic"/>
          <w:i/>
          <w:iCs/>
          <w:szCs w:val="22"/>
          <w:lang w:eastAsia="en-US"/>
        </w:rPr>
        <w:t>Tabuľka 10: Incidencia periférnej neuropatie v štúdii LYM-3002 podľa toxicity a prerušenie liečby z dôvodu periférnej neuropatie</w:t>
      </w:r>
    </w:p>
    <w:tbl>
      <w:tblPr>
        <w:tblW w:w="848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144"/>
        <w:gridCol w:w="3109"/>
        <w:gridCol w:w="1234"/>
      </w:tblGrid>
      <w:tr w:rsidR="00564D9B" w:rsidRPr="00CC69EC" w14:paraId="7EA3AEFB" w14:textId="77777777" w:rsidTr="00E110FB">
        <w:trPr>
          <w:tblCellSpacing w:w="0" w:type="dxa"/>
        </w:trPr>
        <w:tc>
          <w:tcPr>
            <w:tcW w:w="2442" w:type="pct"/>
            <w:hideMark/>
          </w:tcPr>
          <w:p w14:paraId="5BC16141" w14:textId="77777777" w:rsidR="00564D9B" w:rsidRPr="00CC69EC" w:rsidRDefault="00564D9B" w:rsidP="00F75370">
            <w:pPr>
              <w:rPr>
                <w:color w:val="000000"/>
                <w:lang w:eastAsia="de-AT"/>
              </w:rPr>
            </w:pPr>
          </w:p>
        </w:tc>
        <w:tc>
          <w:tcPr>
            <w:tcW w:w="1832" w:type="pct"/>
            <w:hideMark/>
          </w:tcPr>
          <w:p w14:paraId="24BCD80D" w14:textId="77777777" w:rsidR="00564D9B" w:rsidRPr="00CC69EC" w:rsidRDefault="00564D9B" w:rsidP="00F75370">
            <w:pPr>
              <w:jc w:val="center"/>
              <w:rPr>
                <w:color w:val="000000"/>
                <w:lang w:eastAsia="de-AT"/>
              </w:rPr>
            </w:pPr>
            <w:r w:rsidRPr="00CC69EC">
              <w:rPr>
                <w:color w:val="000000"/>
                <w:lang w:eastAsia="de-AT"/>
              </w:rPr>
              <w:t>BR-CAP</w:t>
            </w:r>
          </w:p>
          <w:p w14:paraId="7BB9319A" w14:textId="77777777" w:rsidR="00564D9B" w:rsidRPr="00CC69EC" w:rsidRDefault="00564D9B" w:rsidP="00F75370">
            <w:pPr>
              <w:jc w:val="center"/>
              <w:rPr>
                <w:color w:val="000000"/>
                <w:lang w:eastAsia="de-AT"/>
              </w:rPr>
            </w:pPr>
            <w:r w:rsidRPr="00CC69EC">
              <w:rPr>
                <w:color w:val="000000"/>
                <w:lang w:eastAsia="de-AT"/>
              </w:rPr>
              <w:t>(n = 240)</w:t>
            </w:r>
          </w:p>
        </w:tc>
        <w:tc>
          <w:tcPr>
            <w:tcW w:w="726" w:type="pct"/>
            <w:hideMark/>
          </w:tcPr>
          <w:p w14:paraId="0AB0DAB5" w14:textId="77777777" w:rsidR="00564D9B" w:rsidRPr="00CC69EC" w:rsidRDefault="00564D9B" w:rsidP="00F75370">
            <w:pPr>
              <w:jc w:val="center"/>
              <w:rPr>
                <w:color w:val="000000"/>
                <w:lang w:eastAsia="de-AT"/>
              </w:rPr>
            </w:pPr>
            <w:r w:rsidRPr="00CC69EC">
              <w:rPr>
                <w:color w:val="000000"/>
                <w:lang w:eastAsia="de-AT"/>
              </w:rPr>
              <w:t>R-CHOP</w:t>
            </w:r>
          </w:p>
          <w:p w14:paraId="3DC30BAD" w14:textId="77777777" w:rsidR="00564D9B" w:rsidRPr="00CC69EC" w:rsidRDefault="00564D9B" w:rsidP="00F75370">
            <w:pPr>
              <w:jc w:val="center"/>
              <w:rPr>
                <w:color w:val="000000"/>
                <w:lang w:eastAsia="de-AT"/>
              </w:rPr>
            </w:pPr>
            <w:r w:rsidRPr="00CC69EC">
              <w:rPr>
                <w:color w:val="000000"/>
                <w:lang w:eastAsia="de-AT"/>
              </w:rPr>
              <w:t>(n = 242)</w:t>
            </w:r>
          </w:p>
        </w:tc>
      </w:tr>
      <w:tr w:rsidR="00564D9B" w:rsidRPr="00CC69EC" w14:paraId="0C7A0479" w14:textId="77777777" w:rsidTr="00E110FB">
        <w:trPr>
          <w:tblCellSpacing w:w="0" w:type="dxa"/>
        </w:trPr>
        <w:tc>
          <w:tcPr>
            <w:tcW w:w="2442" w:type="pct"/>
            <w:hideMark/>
          </w:tcPr>
          <w:p w14:paraId="687CC9CB" w14:textId="77777777" w:rsidR="00564D9B" w:rsidRPr="00CC69EC" w:rsidRDefault="00564D9B" w:rsidP="00F75370">
            <w:pPr>
              <w:rPr>
                <w:color w:val="000000"/>
                <w:lang w:eastAsia="de-AT"/>
              </w:rPr>
            </w:pPr>
            <w:r w:rsidRPr="00CC69EC">
              <w:rPr>
                <w:color w:val="000000"/>
                <w:lang w:eastAsia="de-AT"/>
              </w:rPr>
              <w:t xml:space="preserve">Incidencia PN (%) </w:t>
            </w:r>
          </w:p>
        </w:tc>
        <w:tc>
          <w:tcPr>
            <w:tcW w:w="1832" w:type="pct"/>
            <w:hideMark/>
          </w:tcPr>
          <w:p w14:paraId="16565F45" w14:textId="77777777" w:rsidR="00564D9B" w:rsidRPr="00CC69EC" w:rsidRDefault="00564D9B" w:rsidP="00F75370">
            <w:pPr>
              <w:jc w:val="center"/>
              <w:rPr>
                <w:color w:val="000000"/>
                <w:lang w:eastAsia="de-AT"/>
              </w:rPr>
            </w:pPr>
          </w:p>
        </w:tc>
        <w:tc>
          <w:tcPr>
            <w:tcW w:w="726" w:type="pct"/>
            <w:hideMark/>
          </w:tcPr>
          <w:p w14:paraId="0A918A79" w14:textId="77777777" w:rsidR="00564D9B" w:rsidRPr="00CC69EC" w:rsidRDefault="00564D9B" w:rsidP="00F75370">
            <w:pPr>
              <w:jc w:val="center"/>
              <w:rPr>
                <w:color w:val="000000"/>
                <w:lang w:eastAsia="de-AT"/>
              </w:rPr>
            </w:pPr>
          </w:p>
        </w:tc>
      </w:tr>
      <w:tr w:rsidR="00564D9B" w:rsidRPr="00CC69EC" w14:paraId="71275B85" w14:textId="77777777" w:rsidTr="00E110FB">
        <w:trPr>
          <w:tblCellSpacing w:w="0" w:type="dxa"/>
        </w:trPr>
        <w:tc>
          <w:tcPr>
            <w:tcW w:w="2442" w:type="pct"/>
            <w:hideMark/>
          </w:tcPr>
          <w:p w14:paraId="400A587E" w14:textId="77777777" w:rsidR="00564D9B" w:rsidRPr="00CC69EC" w:rsidRDefault="00564D9B" w:rsidP="00F75370">
            <w:pPr>
              <w:rPr>
                <w:color w:val="000000"/>
              </w:rPr>
            </w:pPr>
            <w:r w:rsidRPr="00CC69EC">
              <w:rPr>
                <w:color w:val="000000"/>
              </w:rPr>
              <w:t>Všetky stup</w:t>
            </w:r>
            <w:r>
              <w:rPr>
                <w:color w:val="000000"/>
              </w:rPr>
              <w:t>n</w:t>
            </w:r>
            <w:r w:rsidRPr="00CC69EC">
              <w:rPr>
                <w:color w:val="000000"/>
              </w:rPr>
              <w:t xml:space="preserve">e PN </w:t>
            </w:r>
          </w:p>
        </w:tc>
        <w:tc>
          <w:tcPr>
            <w:tcW w:w="1832" w:type="pct"/>
            <w:hideMark/>
          </w:tcPr>
          <w:p w14:paraId="67F1BF00" w14:textId="77777777" w:rsidR="00564D9B" w:rsidRPr="00CC69EC" w:rsidRDefault="00564D9B" w:rsidP="00F75370">
            <w:pPr>
              <w:jc w:val="center"/>
              <w:rPr>
                <w:color w:val="000000"/>
                <w:lang w:eastAsia="de-AT"/>
              </w:rPr>
            </w:pPr>
            <w:r w:rsidRPr="00CC69EC">
              <w:rPr>
                <w:color w:val="000000"/>
                <w:lang w:eastAsia="de-AT"/>
              </w:rPr>
              <w:t>30</w:t>
            </w:r>
          </w:p>
        </w:tc>
        <w:tc>
          <w:tcPr>
            <w:tcW w:w="726" w:type="pct"/>
            <w:hideMark/>
          </w:tcPr>
          <w:p w14:paraId="40394C0D" w14:textId="77777777" w:rsidR="00564D9B" w:rsidRPr="00CC69EC" w:rsidRDefault="00564D9B" w:rsidP="00F75370">
            <w:pPr>
              <w:jc w:val="center"/>
              <w:rPr>
                <w:color w:val="000000"/>
                <w:lang w:eastAsia="de-AT"/>
              </w:rPr>
            </w:pPr>
            <w:r w:rsidRPr="00CC69EC">
              <w:rPr>
                <w:color w:val="000000"/>
                <w:lang w:eastAsia="de-AT"/>
              </w:rPr>
              <w:t>29</w:t>
            </w:r>
          </w:p>
        </w:tc>
      </w:tr>
      <w:tr w:rsidR="00564D9B" w:rsidRPr="00CC69EC" w14:paraId="35403A0E" w14:textId="77777777" w:rsidTr="00E110FB">
        <w:trPr>
          <w:tblCellSpacing w:w="0" w:type="dxa"/>
        </w:trPr>
        <w:tc>
          <w:tcPr>
            <w:tcW w:w="2442" w:type="pct"/>
            <w:hideMark/>
          </w:tcPr>
          <w:p w14:paraId="0DEF047E" w14:textId="77777777" w:rsidR="00564D9B" w:rsidRPr="00CC69EC" w:rsidRDefault="00564D9B" w:rsidP="00F75370">
            <w:pPr>
              <w:rPr>
                <w:color w:val="000000"/>
              </w:rPr>
            </w:pPr>
            <w:r w:rsidRPr="00CC69EC">
              <w:rPr>
                <w:color w:val="000000"/>
              </w:rPr>
              <w:t xml:space="preserve">≥ 2. stupeň PN </w:t>
            </w:r>
          </w:p>
        </w:tc>
        <w:tc>
          <w:tcPr>
            <w:tcW w:w="1832" w:type="pct"/>
            <w:hideMark/>
          </w:tcPr>
          <w:p w14:paraId="258BFCF6" w14:textId="77777777" w:rsidR="00564D9B" w:rsidRPr="00CC69EC" w:rsidRDefault="00564D9B" w:rsidP="00F75370">
            <w:pPr>
              <w:jc w:val="center"/>
              <w:rPr>
                <w:color w:val="000000"/>
                <w:lang w:eastAsia="de-AT"/>
              </w:rPr>
            </w:pPr>
            <w:r w:rsidRPr="00CC69EC">
              <w:rPr>
                <w:color w:val="000000"/>
                <w:lang w:eastAsia="de-AT"/>
              </w:rPr>
              <w:t>18</w:t>
            </w:r>
          </w:p>
        </w:tc>
        <w:tc>
          <w:tcPr>
            <w:tcW w:w="726" w:type="pct"/>
            <w:hideMark/>
          </w:tcPr>
          <w:p w14:paraId="06744323" w14:textId="77777777" w:rsidR="00564D9B" w:rsidRPr="00CC69EC" w:rsidRDefault="00564D9B" w:rsidP="00F75370">
            <w:pPr>
              <w:jc w:val="center"/>
              <w:rPr>
                <w:color w:val="000000"/>
                <w:lang w:eastAsia="de-AT"/>
              </w:rPr>
            </w:pPr>
            <w:r w:rsidRPr="00CC69EC">
              <w:rPr>
                <w:color w:val="000000"/>
                <w:lang w:eastAsia="de-AT"/>
              </w:rPr>
              <w:t>9</w:t>
            </w:r>
          </w:p>
        </w:tc>
      </w:tr>
      <w:tr w:rsidR="00564D9B" w:rsidRPr="00CC69EC" w14:paraId="12FBB60A" w14:textId="77777777" w:rsidTr="00E110FB">
        <w:trPr>
          <w:tblCellSpacing w:w="0" w:type="dxa"/>
        </w:trPr>
        <w:tc>
          <w:tcPr>
            <w:tcW w:w="2442" w:type="pct"/>
            <w:hideMark/>
          </w:tcPr>
          <w:p w14:paraId="7C000898" w14:textId="77777777" w:rsidR="00564D9B" w:rsidRPr="00CC69EC" w:rsidRDefault="00564D9B" w:rsidP="00F75370">
            <w:pPr>
              <w:rPr>
                <w:color w:val="000000"/>
              </w:rPr>
            </w:pPr>
            <w:r w:rsidRPr="00CC69EC">
              <w:rPr>
                <w:color w:val="000000"/>
              </w:rPr>
              <w:t>≥ 3. stupeň PN</w:t>
            </w:r>
          </w:p>
        </w:tc>
        <w:tc>
          <w:tcPr>
            <w:tcW w:w="1832" w:type="pct"/>
            <w:hideMark/>
          </w:tcPr>
          <w:p w14:paraId="2856A36F" w14:textId="77777777" w:rsidR="00564D9B" w:rsidRPr="00CC69EC" w:rsidRDefault="00564D9B" w:rsidP="00F75370">
            <w:pPr>
              <w:jc w:val="center"/>
              <w:rPr>
                <w:color w:val="000000"/>
                <w:lang w:eastAsia="de-AT"/>
              </w:rPr>
            </w:pPr>
            <w:r w:rsidRPr="00CC69EC">
              <w:rPr>
                <w:color w:val="000000"/>
                <w:lang w:eastAsia="de-AT"/>
              </w:rPr>
              <w:t>8</w:t>
            </w:r>
          </w:p>
        </w:tc>
        <w:tc>
          <w:tcPr>
            <w:tcW w:w="726" w:type="pct"/>
            <w:hideMark/>
          </w:tcPr>
          <w:p w14:paraId="1EC8A8AD" w14:textId="77777777" w:rsidR="00564D9B" w:rsidRPr="00CC69EC" w:rsidRDefault="00564D9B" w:rsidP="00F75370">
            <w:pPr>
              <w:jc w:val="center"/>
              <w:rPr>
                <w:color w:val="000000"/>
                <w:lang w:eastAsia="de-AT"/>
              </w:rPr>
            </w:pPr>
            <w:r w:rsidRPr="00CC69EC">
              <w:rPr>
                <w:color w:val="000000"/>
                <w:lang w:eastAsia="de-AT"/>
              </w:rPr>
              <w:t>4</w:t>
            </w:r>
          </w:p>
        </w:tc>
      </w:tr>
      <w:tr w:rsidR="00564D9B" w:rsidRPr="00CC69EC" w14:paraId="195C13FD" w14:textId="77777777" w:rsidTr="00E110FB">
        <w:trPr>
          <w:tblCellSpacing w:w="0" w:type="dxa"/>
        </w:trPr>
        <w:tc>
          <w:tcPr>
            <w:tcW w:w="2442" w:type="pct"/>
            <w:hideMark/>
          </w:tcPr>
          <w:p w14:paraId="5D835228" w14:textId="77777777" w:rsidR="00564D9B" w:rsidRPr="00CC69EC" w:rsidRDefault="00564D9B" w:rsidP="00F75370">
            <w:pPr>
              <w:rPr>
                <w:color w:val="000000"/>
                <w:lang w:eastAsia="de-AT"/>
              </w:rPr>
            </w:pPr>
            <w:r w:rsidRPr="00CC69EC">
              <w:rPr>
                <w:color w:val="000000"/>
              </w:rPr>
              <w:t>Prerušenie z dôvodu PN (%)</w:t>
            </w:r>
            <w:r w:rsidRPr="00CC69EC">
              <w:rPr>
                <w:color w:val="000000"/>
                <w:lang w:eastAsia="de-AT"/>
              </w:rPr>
              <w:t xml:space="preserve"> </w:t>
            </w:r>
          </w:p>
        </w:tc>
        <w:tc>
          <w:tcPr>
            <w:tcW w:w="1832" w:type="pct"/>
            <w:hideMark/>
          </w:tcPr>
          <w:p w14:paraId="11F3AF09" w14:textId="77777777" w:rsidR="00564D9B" w:rsidRPr="00CC69EC" w:rsidRDefault="00564D9B" w:rsidP="00F75370">
            <w:pPr>
              <w:jc w:val="center"/>
              <w:rPr>
                <w:color w:val="000000"/>
                <w:lang w:eastAsia="de-AT"/>
              </w:rPr>
            </w:pPr>
            <w:r w:rsidRPr="00CC69EC">
              <w:rPr>
                <w:color w:val="000000"/>
                <w:lang w:eastAsia="de-AT"/>
              </w:rPr>
              <w:t>2</w:t>
            </w:r>
          </w:p>
        </w:tc>
        <w:tc>
          <w:tcPr>
            <w:tcW w:w="726" w:type="pct"/>
            <w:hideMark/>
          </w:tcPr>
          <w:p w14:paraId="4C8EB254" w14:textId="77777777" w:rsidR="00564D9B" w:rsidRPr="00CC69EC" w:rsidRDefault="00564D9B" w:rsidP="00F75370">
            <w:pPr>
              <w:jc w:val="center"/>
              <w:rPr>
                <w:color w:val="000000"/>
                <w:lang w:eastAsia="de-AT"/>
              </w:rPr>
            </w:pPr>
            <w:r w:rsidRPr="00CC69EC">
              <w:rPr>
                <w:color w:val="000000"/>
                <w:lang w:eastAsia="de-AT"/>
              </w:rPr>
              <w:t>&lt; 1</w:t>
            </w:r>
          </w:p>
        </w:tc>
      </w:tr>
      <w:tr w:rsidR="00564D9B" w:rsidRPr="00CC69EC" w14:paraId="75E0F833" w14:textId="77777777" w:rsidTr="00E110FB">
        <w:trPr>
          <w:tblCellSpacing w:w="0" w:type="dxa"/>
        </w:trPr>
        <w:tc>
          <w:tcPr>
            <w:tcW w:w="5000" w:type="pct"/>
            <w:gridSpan w:val="3"/>
            <w:hideMark/>
          </w:tcPr>
          <w:p w14:paraId="3098EDA1" w14:textId="6A242099"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w:t>
            </w:r>
          </w:p>
        </w:tc>
      </w:tr>
    </w:tbl>
    <w:p w14:paraId="328354C4" w14:textId="2FC0D4C6" w:rsidR="00690F95" w:rsidRPr="00E110FB" w:rsidRDefault="00690F95" w:rsidP="00690F95">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BR-CAP = bortezomi</w:t>
      </w:r>
      <w:r w:rsidR="00C31464">
        <w:rPr>
          <w:rFonts w:eastAsia="TimesNewRoman"/>
          <w:sz w:val="18"/>
          <w:szCs w:val="18"/>
          <w:lang w:eastAsia="en-US"/>
        </w:rPr>
        <w:t>b</w:t>
      </w:r>
      <w:r w:rsidRPr="00E110FB">
        <w:rPr>
          <w:rFonts w:eastAsia="TimesNewRoman"/>
          <w:sz w:val="18"/>
          <w:szCs w:val="18"/>
          <w:lang w:eastAsia="en-US"/>
        </w:rPr>
        <w:t xml:space="preserve">, rituximab, cyklofosfamid, doxorubicín a prednizón; </w:t>
      </w:r>
    </w:p>
    <w:p w14:paraId="7357BAF1" w14:textId="77777777" w:rsidR="00690F95" w:rsidRPr="00E110FB" w:rsidRDefault="00690F95" w:rsidP="00690F95">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 xml:space="preserve">R-CHOP = rituximab, cyklofosfamid, doxorubicín, vinkristín a prednizón; </w:t>
      </w:r>
    </w:p>
    <w:p w14:paraId="07ABA44B" w14:textId="77777777" w:rsidR="00690F95" w:rsidRPr="00E110FB" w:rsidRDefault="00690F95" w:rsidP="00690F95">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PN = periférna neuropatia</w:t>
      </w:r>
    </w:p>
    <w:p w14:paraId="69DA5720" w14:textId="77777777" w:rsidR="00690F95" w:rsidRPr="00E110FB" w:rsidRDefault="00690F95" w:rsidP="00690F95">
      <w:pPr>
        <w:rPr>
          <w:rFonts w:eastAsia="TimesNewRoman"/>
          <w:sz w:val="18"/>
          <w:szCs w:val="18"/>
          <w:lang w:eastAsia="en-US"/>
        </w:rPr>
      </w:pPr>
      <w:r w:rsidRPr="00E110FB">
        <w:rPr>
          <w:rFonts w:eastAsia="TimesNewRoman"/>
          <w:sz w:val="18"/>
          <w:szCs w:val="18"/>
          <w:lang w:eastAsia="en-US"/>
        </w:rPr>
        <w:t xml:space="preserve">Periférna neuropatia zahŕňala uprednostňované pojmy: periférna senzorická neuropatia, periférna </w:t>
      </w:r>
    </w:p>
    <w:p w14:paraId="529EBE01" w14:textId="784D5B36" w:rsidR="00564D9B" w:rsidRPr="00E110FB" w:rsidRDefault="00690F95" w:rsidP="00690F95">
      <w:pPr>
        <w:rPr>
          <w:i/>
          <w:iCs/>
          <w:color w:val="000000"/>
          <w:sz w:val="18"/>
          <w:szCs w:val="18"/>
          <w:lang w:eastAsia="de-AT"/>
        </w:rPr>
      </w:pPr>
      <w:r w:rsidRPr="00E110FB">
        <w:rPr>
          <w:rFonts w:eastAsia="TimesNewRoman"/>
          <w:sz w:val="18"/>
          <w:szCs w:val="18"/>
          <w:lang w:eastAsia="en-US"/>
        </w:rPr>
        <w:t>neuropatia, periférna motorická neuropatia a periférna senzorimotorická neuropatia.</w:t>
      </w:r>
    </w:p>
    <w:p w14:paraId="1A527EE2" w14:textId="77777777" w:rsidR="00690F95" w:rsidRDefault="00690F95" w:rsidP="00564D9B">
      <w:pPr>
        <w:autoSpaceDE w:val="0"/>
        <w:autoSpaceDN w:val="0"/>
        <w:adjustRightInd w:val="0"/>
        <w:ind w:left="0" w:firstLine="0"/>
        <w:rPr>
          <w:rFonts w:eastAsia="TimesNewRoman,Italic"/>
          <w:i/>
          <w:iCs/>
          <w:szCs w:val="22"/>
          <w:lang w:eastAsia="en-US"/>
        </w:rPr>
      </w:pPr>
    </w:p>
    <w:p w14:paraId="2EEC0169"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Starší pacienti s MCL</w:t>
      </w:r>
    </w:p>
    <w:p w14:paraId="2EFED2D7"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skupine BR-CAP malo 42,9 % pacientov vek v rozpätí 65 – 74 rokov a 10,4 % pacientov malo ≥ 75 rokov. Napriek tomu, že pacienti vo veku ≥ 75 rokov menej tolerovali BR-CAP a R-CHOP, podiel závažných nežiaducich účinkov bol 68 % v skupine BR-CAP v porovnaní s 42 % v skupine R-CHOP.</w:t>
      </w:r>
    </w:p>
    <w:p w14:paraId="00EB56B4" w14:textId="77777777" w:rsidR="00564D9B" w:rsidRPr="00CC69EC" w:rsidRDefault="00564D9B" w:rsidP="00564D9B">
      <w:pPr>
        <w:autoSpaceDE w:val="0"/>
        <w:autoSpaceDN w:val="0"/>
        <w:adjustRightInd w:val="0"/>
        <w:ind w:left="0" w:firstLine="0"/>
        <w:rPr>
          <w:rFonts w:eastAsia="TimesNewRoman,Italic"/>
          <w:szCs w:val="22"/>
          <w:lang w:eastAsia="en-US"/>
        </w:rPr>
      </w:pPr>
    </w:p>
    <w:p w14:paraId="2B0B6F10" w14:textId="77777777" w:rsidR="00564D9B" w:rsidRPr="00CC69EC" w:rsidRDefault="00564D9B" w:rsidP="00564D9B">
      <w:pPr>
        <w:autoSpaceDE w:val="0"/>
        <w:autoSpaceDN w:val="0"/>
        <w:adjustRightInd w:val="0"/>
        <w:ind w:left="0" w:firstLine="0"/>
        <w:rPr>
          <w:rFonts w:eastAsia="TimesNewRoman"/>
          <w:color w:val="000000"/>
          <w:szCs w:val="22"/>
          <w:lang w:eastAsia="en-US"/>
        </w:rPr>
      </w:pPr>
    </w:p>
    <w:p w14:paraId="70B07FEB" w14:textId="77777777" w:rsidR="00564D9B" w:rsidRPr="00CC69EC" w:rsidRDefault="00564D9B" w:rsidP="00564D9B">
      <w:pPr>
        <w:autoSpaceDE w:val="0"/>
        <w:autoSpaceDN w:val="0"/>
        <w:adjustRightInd w:val="0"/>
        <w:ind w:left="0" w:firstLine="0"/>
        <w:rPr>
          <w:rFonts w:eastAsia="TimesNewRoman,Italic"/>
          <w:i/>
          <w:iCs/>
          <w:color w:val="000000"/>
          <w:szCs w:val="22"/>
          <w:lang w:eastAsia="en-US"/>
        </w:rPr>
      </w:pPr>
      <w:r w:rsidRPr="00CC69EC">
        <w:rPr>
          <w:rFonts w:eastAsia="TimesNewRoman,Italic"/>
          <w:i/>
          <w:iCs/>
          <w:color w:val="000000"/>
          <w:szCs w:val="22"/>
          <w:lang w:eastAsia="en-US"/>
        </w:rPr>
        <w:t>Opakovaná liečba pacientov s relapsom mnohopočetného myelómu</w:t>
      </w:r>
    </w:p>
    <w:p w14:paraId="3E2842AC" w14:textId="15A727F7" w:rsidR="00564D9B" w:rsidRPr="00CC69EC" w:rsidRDefault="00564D9B" w:rsidP="00564D9B">
      <w:pPr>
        <w:autoSpaceDE w:val="0"/>
        <w:autoSpaceDN w:val="0"/>
        <w:adjustRightInd w:val="0"/>
        <w:ind w:left="0" w:firstLine="0"/>
        <w:rPr>
          <w:rFonts w:eastAsia="TimesNewRoman"/>
          <w:color w:val="000000"/>
          <w:szCs w:val="22"/>
          <w:lang w:eastAsia="en-US"/>
        </w:rPr>
      </w:pPr>
      <w:r w:rsidRPr="00CC69EC">
        <w:rPr>
          <w:rFonts w:eastAsia="TimesNewRoman"/>
          <w:color w:val="000000"/>
          <w:szCs w:val="22"/>
          <w:lang w:eastAsia="en-US"/>
        </w:rPr>
        <w:t>V štúdii, v ktorej sa opakovaná liečba bortezomibom podávala 130 pacientom s relapsom mnohopočetného myelómu, ktorí predtým aspoň čiastočne odpovedali na liečbu obsahujúcu bortezomib, boli najčastejšie nežiaduce udalosti všetkých stupňov vyskytujúce sa u minimálne 25 % pacientov trombocytopénia (55 %), neuropatia (40 %), anémia (37 %),</w:t>
      </w:r>
      <w:r w:rsidR="006110E5">
        <w:rPr>
          <w:rFonts w:eastAsia="TimesNewRoman"/>
          <w:color w:val="000000"/>
          <w:szCs w:val="22"/>
          <w:lang w:eastAsia="en-US"/>
        </w:rPr>
        <w:t>hnačka</w:t>
      </w:r>
      <w:r w:rsidRPr="00CC69EC">
        <w:rPr>
          <w:rFonts w:eastAsia="TimesNewRoman"/>
          <w:color w:val="000000"/>
          <w:szCs w:val="22"/>
          <w:lang w:eastAsia="en-US"/>
        </w:rPr>
        <w:t xml:space="preserve"> (35 %) a zápcha (28 %). U 40 % pacientov sa pozorovali všetky stupne periférnej neuropatie a periférna neuropatia ≥ 3. stupňa sa pozorovala u 8,5 % pacientov.</w:t>
      </w:r>
    </w:p>
    <w:p w14:paraId="29929455" w14:textId="77777777" w:rsidR="00564D9B" w:rsidRPr="00CC69EC" w:rsidRDefault="00564D9B" w:rsidP="00564D9B">
      <w:pPr>
        <w:autoSpaceDE w:val="0"/>
        <w:autoSpaceDN w:val="0"/>
        <w:adjustRightInd w:val="0"/>
        <w:ind w:left="0" w:firstLine="0"/>
        <w:rPr>
          <w:rFonts w:eastAsia="TimesNewRoman"/>
          <w:color w:val="000000"/>
          <w:szCs w:val="22"/>
          <w:lang w:eastAsia="en-US"/>
        </w:rPr>
      </w:pPr>
    </w:p>
    <w:p w14:paraId="77513E2B" w14:textId="77777777" w:rsidR="00564D9B" w:rsidRPr="00CC69EC" w:rsidRDefault="00564D9B" w:rsidP="00564D9B">
      <w:pPr>
        <w:autoSpaceDE w:val="0"/>
        <w:autoSpaceDN w:val="0"/>
        <w:adjustRightInd w:val="0"/>
        <w:ind w:left="0" w:firstLine="0"/>
        <w:rPr>
          <w:rFonts w:eastAsia="TimesNewRoman"/>
          <w:color w:val="000000"/>
          <w:szCs w:val="22"/>
          <w:u w:val="single"/>
          <w:lang w:eastAsia="en-US"/>
        </w:rPr>
      </w:pPr>
      <w:r w:rsidRPr="00CC69EC">
        <w:rPr>
          <w:rFonts w:eastAsia="TimesNewRoman"/>
          <w:color w:val="000000"/>
          <w:szCs w:val="22"/>
          <w:u w:val="single"/>
          <w:lang w:eastAsia="en-US"/>
        </w:rPr>
        <w:t>Hlásenie podozrení na nežiaduce reakcie</w:t>
      </w:r>
    </w:p>
    <w:p w14:paraId="02CAE7CB" w14:textId="77777777" w:rsidR="00564D9B" w:rsidRPr="00CC69EC" w:rsidRDefault="00564D9B" w:rsidP="00564D9B">
      <w:pPr>
        <w:autoSpaceDE w:val="0"/>
        <w:autoSpaceDN w:val="0"/>
        <w:adjustRightInd w:val="0"/>
        <w:ind w:left="0" w:firstLine="0"/>
        <w:rPr>
          <w:rFonts w:eastAsia="TimesNewRoman"/>
          <w:color w:val="000000"/>
          <w:szCs w:val="22"/>
          <w:lang w:eastAsia="en-US"/>
        </w:rPr>
      </w:pPr>
      <w:r w:rsidRPr="00CC69EC">
        <w:rPr>
          <w:rFonts w:eastAsia="TimesNewRoman"/>
          <w:color w:val="000000"/>
          <w:szCs w:val="22"/>
          <w:lang w:eastAsia="en-US"/>
        </w:rPr>
        <w:t>Hlásenie podozrení na nežiaduce reakcie po registrácii lieku je dôležité. Umožňuje priebežné</w:t>
      </w:r>
    </w:p>
    <w:p w14:paraId="3D2B0713" w14:textId="77777777" w:rsidR="00564D9B" w:rsidRPr="00CC69EC" w:rsidRDefault="00564D9B" w:rsidP="00564D9B">
      <w:pPr>
        <w:autoSpaceDE w:val="0"/>
        <w:autoSpaceDN w:val="0"/>
        <w:adjustRightInd w:val="0"/>
        <w:ind w:left="0" w:firstLine="0"/>
        <w:rPr>
          <w:rFonts w:eastAsia="TimesNewRoman"/>
          <w:color w:val="000000"/>
          <w:szCs w:val="22"/>
          <w:lang w:eastAsia="en-US"/>
        </w:rPr>
      </w:pPr>
      <w:r w:rsidRPr="00CC69EC">
        <w:rPr>
          <w:rFonts w:eastAsia="TimesNewRoman"/>
          <w:color w:val="000000"/>
          <w:szCs w:val="22"/>
          <w:lang w:eastAsia="en-US"/>
        </w:rPr>
        <w:t>monitorovanie pomeru prínosu a rizika lieku. Od zdravotníckych pracovníkov sa vyžaduje, aby hlásili</w:t>
      </w:r>
    </w:p>
    <w:p w14:paraId="36BB43D0" w14:textId="77777777" w:rsidR="00564D9B" w:rsidRPr="00CC69EC" w:rsidRDefault="00564D9B" w:rsidP="00564D9B">
      <w:pPr>
        <w:autoSpaceDE w:val="0"/>
        <w:autoSpaceDN w:val="0"/>
        <w:adjustRightInd w:val="0"/>
        <w:ind w:left="0" w:firstLine="0"/>
        <w:rPr>
          <w:szCs w:val="22"/>
        </w:rPr>
      </w:pPr>
      <w:r w:rsidRPr="00CC69EC">
        <w:rPr>
          <w:rFonts w:eastAsia="TimesNewRoman"/>
          <w:color w:val="000000"/>
          <w:szCs w:val="22"/>
          <w:lang w:eastAsia="en-US"/>
        </w:rPr>
        <w:t xml:space="preserve">akékoľvek podozrenia na nežiaduce reakcie na </w:t>
      </w:r>
      <w:r w:rsidRPr="00CC69EC">
        <w:rPr>
          <w:rFonts w:eastAsia="TimesNewRoman"/>
          <w:color w:val="000000"/>
          <w:szCs w:val="22"/>
          <w:highlight w:val="lightGray"/>
          <w:lang w:eastAsia="en-US"/>
        </w:rPr>
        <w:t xml:space="preserve">národné centrum hlásenia uvedené v </w:t>
      </w:r>
      <w:hyperlink r:id="rId8" w:history="1">
        <w:r w:rsidRPr="00CC69EC">
          <w:rPr>
            <w:rStyle w:val="Hypertextovprepojenie"/>
            <w:szCs w:val="22"/>
            <w:highlight w:val="lightGray"/>
            <w:lang w:eastAsia="en-GB"/>
          </w:rPr>
          <w:t>Prílohe V</w:t>
        </w:r>
      </w:hyperlink>
      <w:r w:rsidRPr="00CC69EC">
        <w:rPr>
          <w:rFonts w:eastAsia="TimesNewRoman"/>
          <w:color w:val="000000"/>
          <w:szCs w:val="22"/>
          <w:lang w:eastAsia="en-US"/>
        </w:rPr>
        <w:t>.</w:t>
      </w:r>
    </w:p>
    <w:p w14:paraId="49256039" w14:textId="77777777" w:rsidR="00564D9B" w:rsidRPr="00CC69EC" w:rsidRDefault="00564D9B" w:rsidP="00564D9B"/>
    <w:p w14:paraId="39E9467F" w14:textId="77777777" w:rsidR="00564D9B" w:rsidRPr="00CC69EC" w:rsidRDefault="00564D9B" w:rsidP="00564D9B">
      <w:pPr>
        <w:rPr>
          <w:szCs w:val="22"/>
        </w:rPr>
      </w:pPr>
      <w:r w:rsidRPr="00CC69EC">
        <w:rPr>
          <w:b/>
          <w:szCs w:val="22"/>
        </w:rPr>
        <w:t>4.9</w:t>
      </w:r>
      <w:r w:rsidRPr="00CC69EC">
        <w:rPr>
          <w:b/>
          <w:szCs w:val="22"/>
        </w:rPr>
        <w:tab/>
        <w:t>Predávkovanie</w:t>
      </w:r>
    </w:p>
    <w:p w14:paraId="45423D2B" w14:textId="77777777" w:rsidR="00564D9B" w:rsidRPr="00CC69EC" w:rsidRDefault="00564D9B" w:rsidP="00564D9B">
      <w:pPr>
        <w:ind w:left="0" w:firstLine="0"/>
        <w:rPr>
          <w:szCs w:val="22"/>
          <w:u w:val="single"/>
        </w:rPr>
      </w:pPr>
    </w:p>
    <w:p w14:paraId="19317BF5"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U</w:t>
      </w:r>
      <w:r>
        <w:rPr>
          <w:rFonts w:eastAsia="TimesNewRoman"/>
          <w:szCs w:val="22"/>
          <w:lang w:eastAsia="en-US"/>
        </w:rPr>
        <w:t> </w:t>
      </w:r>
      <w:r w:rsidRPr="00CC69EC">
        <w:rPr>
          <w:rFonts w:eastAsia="TimesNewRoman"/>
          <w:szCs w:val="22"/>
          <w:lang w:eastAsia="en-US"/>
        </w:rPr>
        <w:t>pacientov</w:t>
      </w:r>
      <w:r>
        <w:rPr>
          <w:rFonts w:eastAsia="TimesNewRoman"/>
          <w:szCs w:val="22"/>
          <w:lang w:eastAsia="en-US"/>
        </w:rPr>
        <w:t xml:space="preserve"> bolo</w:t>
      </w:r>
      <w:r w:rsidRPr="00CC69EC">
        <w:rPr>
          <w:rFonts w:eastAsia="TimesNewRoman"/>
          <w:szCs w:val="22"/>
          <w:lang w:eastAsia="en-US"/>
        </w:rPr>
        <w:t xml:space="preserve"> predávkovanie viac ako dvojnásobnou odporúčanou dávkou spojené s akútnym nástupom symptomatickej hypotenzie a trombocytopénie s fatálnymi následkami. Pre predklinické farmakologické štúdie kardiovaskulárnej bezpečnosti, pozri časť 5.3.</w:t>
      </w:r>
    </w:p>
    <w:p w14:paraId="1A6D179C" w14:textId="77777777" w:rsidR="00564D9B" w:rsidRPr="00CC69EC" w:rsidRDefault="00564D9B" w:rsidP="00564D9B">
      <w:pPr>
        <w:autoSpaceDE w:val="0"/>
        <w:autoSpaceDN w:val="0"/>
        <w:adjustRightInd w:val="0"/>
        <w:ind w:left="0" w:firstLine="0"/>
        <w:rPr>
          <w:rFonts w:eastAsia="TimesNewRoman"/>
          <w:szCs w:val="22"/>
          <w:lang w:eastAsia="en-US"/>
        </w:rPr>
      </w:pPr>
    </w:p>
    <w:p w14:paraId="662F7896" w14:textId="48B4FAC8" w:rsidR="00564D9B" w:rsidRPr="00CC69EC" w:rsidRDefault="00564D9B" w:rsidP="00564D9B">
      <w:pPr>
        <w:autoSpaceDE w:val="0"/>
        <w:autoSpaceDN w:val="0"/>
        <w:adjustRightInd w:val="0"/>
        <w:ind w:left="0" w:firstLine="0"/>
        <w:rPr>
          <w:szCs w:val="22"/>
        </w:rPr>
      </w:pPr>
      <w:r w:rsidRPr="00CC69EC">
        <w:rPr>
          <w:rFonts w:eastAsia="TimesNewRoman"/>
          <w:szCs w:val="22"/>
          <w:lang w:eastAsia="en-US"/>
        </w:rPr>
        <w:t>Pri predávkovaní bortezomibom nie je známe žiadne špecifické antidotum. V prípade predávkovania sa majú monitorovať životné funkcie pacientov a má im byť poskytnutá primeraná podporná starostlivosť na udržanie krvného tlaku (ako tekutiny, presoriká a/alebo inotropné l</w:t>
      </w:r>
      <w:r w:rsidR="004F70BD">
        <w:rPr>
          <w:rFonts w:eastAsia="TimesNewRoman"/>
          <w:szCs w:val="22"/>
          <w:lang w:eastAsia="en-US"/>
        </w:rPr>
        <w:t>iečivá</w:t>
      </w:r>
      <w:r w:rsidRPr="00CC69EC">
        <w:rPr>
          <w:rFonts w:eastAsia="TimesNewRoman"/>
          <w:szCs w:val="22"/>
          <w:lang w:eastAsia="en-US"/>
        </w:rPr>
        <w:t>) a telesnej teploty (pozri časti 4.2 a 4.4).</w:t>
      </w:r>
    </w:p>
    <w:p w14:paraId="4632062E" w14:textId="77777777" w:rsidR="00564D9B" w:rsidRPr="00CC69EC" w:rsidRDefault="00564D9B" w:rsidP="00564D9B">
      <w:pPr>
        <w:ind w:left="0" w:firstLine="0"/>
        <w:rPr>
          <w:szCs w:val="22"/>
        </w:rPr>
      </w:pPr>
    </w:p>
    <w:p w14:paraId="0823FDF0" w14:textId="77777777" w:rsidR="00564D9B" w:rsidRPr="00CC69EC" w:rsidRDefault="00564D9B" w:rsidP="00564D9B">
      <w:pPr>
        <w:ind w:left="0" w:firstLine="0"/>
        <w:rPr>
          <w:szCs w:val="22"/>
        </w:rPr>
      </w:pPr>
    </w:p>
    <w:p w14:paraId="67D190E4" w14:textId="77777777" w:rsidR="00564D9B" w:rsidRPr="00CC69EC" w:rsidRDefault="00564D9B" w:rsidP="00564D9B">
      <w:pPr>
        <w:rPr>
          <w:szCs w:val="22"/>
        </w:rPr>
      </w:pPr>
      <w:r w:rsidRPr="00CC69EC">
        <w:rPr>
          <w:b/>
          <w:szCs w:val="22"/>
        </w:rPr>
        <w:t>5.</w:t>
      </w:r>
      <w:r w:rsidRPr="00CC69EC">
        <w:rPr>
          <w:b/>
          <w:szCs w:val="22"/>
        </w:rPr>
        <w:tab/>
        <w:t>FARMAKOLOGICKÉ VLAST</w:t>
      </w:r>
      <w:smartTag w:uri="urn:schemas-microsoft-com:office:smarttags" w:element="PersonName">
        <w:r w:rsidRPr="00CC69EC">
          <w:rPr>
            <w:b/>
            <w:szCs w:val="22"/>
          </w:rPr>
          <w:t>NO</w:t>
        </w:r>
      </w:smartTag>
      <w:r w:rsidRPr="00CC69EC">
        <w:rPr>
          <w:b/>
          <w:szCs w:val="22"/>
        </w:rPr>
        <w:t>STI</w:t>
      </w:r>
    </w:p>
    <w:p w14:paraId="6DB05736" w14:textId="77777777" w:rsidR="00564D9B" w:rsidRPr="00CC69EC" w:rsidRDefault="00564D9B" w:rsidP="00564D9B">
      <w:pPr>
        <w:rPr>
          <w:bCs/>
          <w:szCs w:val="22"/>
        </w:rPr>
      </w:pPr>
    </w:p>
    <w:p w14:paraId="210EB166" w14:textId="77777777" w:rsidR="00564D9B" w:rsidRPr="00CC69EC" w:rsidRDefault="00564D9B" w:rsidP="00564D9B">
      <w:pPr>
        <w:rPr>
          <w:szCs w:val="22"/>
        </w:rPr>
      </w:pPr>
      <w:r w:rsidRPr="00CC69EC">
        <w:rPr>
          <w:b/>
          <w:szCs w:val="22"/>
        </w:rPr>
        <w:t>5.1</w:t>
      </w:r>
      <w:r w:rsidRPr="00CC69EC">
        <w:rPr>
          <w:b/>
          <w:szCs w:val="22"/>
        </w:rPr>
        <w:tab/>
        <w:t>Farmakodynamické vlastnosti</w:t>
      </w:r>
    </w:p>
    <w:p w14:paraId="4BB8566B" w14:textId="77777777" w:rsidR="00564D9B" w:rsidRPr="00CC69EC" w:rsidRDefault="00564D9B" w:rsidP="00564D9B">
      <w:pPr>
        <w:rPr>
          <w:szCs w:val="22"/>
        </w:rPr>
      </w:pPr>
    </w:p>
    <w:p w14:paraId="79D821D5"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Farmakoterapeutická skupina: Cytostatiká, iné cytostatiká, ATC kód: L01XX32.</w:t>
      </w:r>
    </w:p>
    <w:p w14:paraId="7396D5D9" w14:textId="77777777" w:rsidR="00564D9B" w:rsidRPr="00CC69EC" w:rsidRDefault="00564D9B" w:rsidP="00564D9B">
      <w:pPr>
        <w:autoSpaceDE w:val="0"/>
        <w:autoSpaceDN w:val="0"/>
        <w:adjustRightInd w:val="0"/>
        <w:ind w:left="0" w:firstLine="0"/>
        <w:rPr>
          <w:rFonts w:eastAsia="TimesNewRoman"/>
          <w:szCs w:val="22"/>
          <w:lang w:eastAsia="en-US"/>
        </w:rPr>
      </w:pPr>
    </w:p>
    <w:p w14:paraId="7C96CE34"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Mechanizmus účinku</w:t>
      </w:r>
    </w:p>
    <w:p w14:paraId="4071A224"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Bortezomib je proteazómový inhibítor. Je špeciálne vytvorený na inhibíciu chymotrypsínovej aktivity proteazómu 26S v bunkách cicavcov. Proteazóm 26S je veľký proteínový komplex, ktorý degraduje ubikvit</w:t>
      </w:r>
      <w:r>
        <w:rPr>
          <w:rFonts w:eastAsia="TimesNewRoman"/>
          <w:szCs w:val="22"/>
          <w:lang w:eastAsia="en-US"/>
        </w:rPr>
        <w:t>né</w:t>
      </w:r>
      <w:r w:rsidRPr="00CC69EC">
        <w:rPr>
          <w:rFonts w:eastAsia="TimesNewRoman"/>
          <w:szCs w:val="22"/>
          <w:lang w:eastAsia="en-US"/>
        </w:rPr>
        <w:t xml:space="preserve"> proteíny. Ubikvitin-proteazómová cesta hrá základnú úlohu pri riadení premeny špecifických proteínov, čím sa udržuje homeostáza v bunkách. Inhibícia proteazómu 26S bráni tejto cielenej proteolýze a ovplyvňuje mnohosignálové kaskády vo vnútri bunky, čo nakoniec vedie k smrti nádorovej bunky.</w:t>
      </w:r>
    </w:p>
    <w:p w14:paraId="626625A7" w14:textId="77777777" w:rsidR="00564D9B" w:rsidRPr="00CC69EC" w:rsidRDefault="00564D9B" w:rsidP="00564D9B">
      <w:pPr>
        <w:autoSpaceDE w:val="0"/>
        <w:autoSpaceDN w:val="0"/>
        <w:adjustRightInd w:val="0"/>
        <w:ind w:left="0" w:firstLine="0"/>
        <w:rPr>
          <w:rFonts w:eastAsia="TimesNewRoman"/>
          <w:szCs w:val="22"/>
          <w:lang w:eastAsia="en-US"/>
        </w:rPr>
      </w:pPr>
    </w:p>
    <w:p w14:paraId="03BF6B10" w14:textId="39E4D125"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je vysoko selektívny na proteazóm. V koncentráciách 10 μM , bortezomib neinhibuje žiadny z veľkého množstva sledovaných receptorov a proteáz, a je viac ako 1 500-krát selektívnejší na proteazóm ako na svoj ďalší cieľový enzým. Kinetika proteazómovej inhibície sa sledovala </w:t>
      </w:r>
      <w:r w:rsidRPr="00CC69EC">
        <w:rPr>
          <w:rFonts w:eastAsia="TimesNewRoman,Italic"/>
          <w:i/>
          <w:iCs/>
          <w:szCs w:val="22"/>
          <w:lang w:eastAsia="en-US"/>
        </w:rPr>
        <w:t xml:space="preserve">in vitro </w:t>
      </w:r>
      <w:r w:rsidRPr="00CC69EC">
        <w:rPr>
          <w:rFonts w:eastAsia="TimesNewRoman"/>
          <w:szCs w:val="22"/>
          <w:lang w:eastAsia="en-US"/>
        </w:rPr>
        <w:t>a ukázalo sa, že bortezomib sa uvoľňuje z proteazómu s polčasom (t</w:t>
      </w:r>
      <w:r w:rsidRPr="00355CF4">
        <w:rPr>
          <w:rFonts w:eastAsia="TimesNewRoman"/>
          <w:szCs w:val="22"/>
          <w:vertAlign w:val="subscript"/>
          <w:lang w:eastAsia="en-US"/>
        </w:rPr>
        <w:t>1/2</w:t>
      </w:r>
      <w:r w:rsidRPr="00CC69EC">
        <w:rPr>
          <w:rFonts w:eastAsia="TimesNewRoman"/>
          <w:szCs w:val="22"/>
          <w:lang w:eastAsia="en-US"/>
        </w:rPr>
        <w:t>) 20 minút, čím sa demonštrovala reverzibilita proteazómovej inhibície bortezomibom.</w:t>
      </w:r>
    </w:p>
    <w:p w14:paraId="617AEDCC" w14:textId="77777777" w:rsidR="00564D9B" w:rsidRPr="00CC69EC" w:rsidRDefault="00564D9B" w:rsidP="00564D9B">
      <w:pPr>
        <w:autoSpaceDE w:val="0"/>
        <w:autoSpaceDN w:val="0"/>
        <w:adjustRightInd w:val="0"/>
        <w:ind w:left="0" w:firstLine="0"/>
        <w:rPr>
          <w:rFonts w:eastAsia="TimesNewRoman"/>
          <w:szCs w:val="22"/>
          <w:lang w:eastAsia="en-US"/>
        </w:rPr>
      </w:pPr>
    </w:p>
    <w:p w14:paraId="440192A9" w14:textId="77777777" w:rsidR="00564D9B" w:rsidRPr="00CC69EC" w:rsidRDefault="00564D9B" w:rsidP="00564D9B">
      <w:pPr>
        <w:autoSpaceDE w:val="0"/>
        <w:autoSpaceDN w:val="0"/>
        <w:adjustRightInd w:val="0"/>
        <w:ind w:left="0" w:firstLine="0"/>
        <w:rPr>
          <w:rFonts w:eastAsia="TimesNewRoman"/>
          <w:szCs w:val="22"/>
          <w:lang w:eastAsia="en-US"/>
        </w:rPr>
      </w:pPr>
      <w:r w:rsidRPr="00A8389E">
        <w:rPr>
          <w:rFonts w:eastAsia="TimesNewRoman"/>
          <w:szCs w:val="22"/>
          <w:lang w:eastAsia="en-US"/>
        </w:rPr>
        <w:t>Bortezomibom</w:t>
      </w:r>
      <w:r w:rsidRPr="00CC69EC">
        <w:rPr>
          <w:rFonts w:eastAsia="TimesNewRoman"/>
          <w:szCs w:val="22"/>
          <w:lang w:eastAsia="en-US"/>
        </w:rPr>
        <w:t xml:space="preserve"> sprostredkovaná proteazómová inhibícia ovplyvňuje nádorové bunky mnohými spôsobmi, zahrňujúcimi okrem iného aj zmenu regulačných proteínov, ktoré kontrolujú pokračovanie bunkového cyklu a aktiváciu nukleárneho faktora kappa B (NF-kB). Inhibícia proteazómu vedie k zastaveniu bunkového cyklu a apoptóze. NF-kB je transkripčný faktor, ktorého aktivácia je potrebná v mnohých aspektoch tumorogenézy, vrátane rastu a prežívania bunky, angiogenézy, medzibunkových interakcií a tvorby metastáz. U myelómov bortezomib ovplyvňuje schopnosť myelómových buniek interagovať s mikroprostredím kostnej drene.</w:t>
      </w:r>
    </w:p>
    <w:p w14:paraId="0B643849" w14:textId="77777777" w:rsidR="00564D9B" w:rsidRPr="00CC69EC" w:rsidRDefault="00564D9B" w:rsidP="00564D9B">
      <w:pPr>
        <w:autoSpaceDE w:val="0"/>
        <w:autoSpaceDN w:val="0"/>
        <w:adjustRightInd w:val="0"/>
        <w:ind w:left="0" w:firstLine="0"/>
        <w:rPr>
          <w:rFonts w:eastAsia="TimesNewRoman"/>
          <w:szCs w:val="22"/>
          <w:lang w:eastAsia="en-US"/>
        </w:rPr>
      </w:pPr>
    </w:p>
    <w:p w14:paraId="1ED008A9"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Experimenty ukázali, že bortezomib je cytotoxický pre rôzne typy nádorových buniek a že nádorové bunky sú citlivejšie na proapoptotické vplyvy proteazómovej inhibície ako zdravé bunky. Bortezomib spôsobuje redukciu rastu tumoru </w:t>
      </w:r>
      <w:r w:rsidRPr="00CC69EC">
        <w:rPr>
          <w:rFonts w:eastAsia="TimesNewRoman,Italic"/>
          <w:i/>
          <w:iCs/>
          <w:szCs w:val="22"/>
          <w:lang w:eastAsia="en-US"/>
        </w:rPr>
        <w:t xml:space="preserve">in vivo </w:t>
      </w:r>
      <w:r w:rsidRPr="00CC69EC">
        <w:rPr>
          <w:rFonts w:eastAsia="TimesNewRoman"/>
          <w:szCs w:val="22"/>
          <w:lang w:eastAsia="en-US"/>
        </w:rPr>
        <w:t>v mnohých predklinických modeloch tumorov vrátane mnohopočetného myelómu.</w:t>
      </w:r>
    </w:p>
    <w:p w14:paraId="2DE90174" w14:textId="77777777" w:rsidR="00564D9B" w:rsidRPr="00CC69EC" w:rsidRDefault="00564D9B" w:rsidP="00564D9B">
      <w:pPr>
        <w:autoSpaceDE w:val="0"/>
        <w:autoSpaceDN w:val="0"/>
        <w:adjustRightInd w:val="0"/>
        <w:ind w:left="0" w:firstLine="0"/>
        <w:rPr>
          <w:rFonts w:eastAsia="TimesNewRoman"/>
          <w:szCs w:val="22"/>
          <w:lang w:eastAsia="en-US"/>
        </w:rPr>
      </w:pPr>
    </w:p>
    <w:p w14:paraId="5EE9929C" w14:textId="7AFC0561"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Údaje z modelov </w:t>
      </w:r>
      <w:r w:rsidRPr="00CC69EC">
        <w:rPr>
          <w:rFonts w:eastAsia="TimesNewRoman,Italic"/>
          <w:i/>
          <w:iCs/>
          <w:szCs w:val="22"/>
          <w:lang w:eastAsia="en-US"/>
        </w:rPr>
        <w:t xml:space="preserve">in vitro, ex-vivo </w:t>
      </w:r>
      <w:r w:rsidRPr="00CC69EC">
        <w:rPr>
          <w:rFonts w:eastAsia="TimesNewRoman"/>
          <w:szCs w:val="22"/>
          <w:lang w:eastAsia="en-US"/>
        </w:rPr>
        <w:t>a zviera</w:t>
      </w:r>
      <w:r w:rsidR="00176F0F">
        <w:rPr>
          <w:rFonts w:eastAsia="TimesNewRoman"/>
          <w:szCs w:val="22"/>
          <w:lang w:eastAsia="en-US"/>
        </w:rPr>
        <w:t>cích modelov</w:t>
      </w:r>
      <w:r w:rsidRPr="00CC69EC">
        <w:rPr>
          <w:rFonts w:eastAsia="TimesNewRoman"/>
          <w:szCs w:val="22"/>
          <w:lang w:eastAsia="en-US"/>
        </w:rPr>
        <w:t xml:space="preserve"> s bortezomibom potvrdzujú, že bortezomib zvyšuje diferenciáciu a aktivitu osteoblastov a inhibuje funkciu osteoklastov. Tieto účinky boli pozorované u pacientov s mnohopočetným myelómom liečených bortezomibom s pokročilým štádiom osteolytického ochorenia.</w:t>
      </w:r>
    </w:p>
    <w:p w14:paraId="41AA51D9" w14:textId="77777777" w:rsidR="00564D9B" w:rsidRPr="00CC69EC" w:rsidRDefault="00564D9B" w:rsidP="00564D9B">
      <w:pPr>
        <w:ind w:left="0" w:firstLine="0"/>
        <w:rPr>
          <w:rFonts w:eastAsia="TimesNewRoman"/>
          <w:szCs w:val="22"/>
          <w:lang w:eastAsia="en-US"/>
        </w:rPr>
      </w:pPr>
    </w:p>
    <w:p w14:paraId="3E12D03E"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Klinická účinnosť pri doteraz neliečenom mnohopočetnom myelóme</w:t>
      </w:r>
    </w:p>
    <w:p w14:paraId="72CBAF44"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Vykonala sa prospektívna, medzinárodná, randomizovaná (1:1), otvorená klinická štúdia fázy III</w:t>
      </w:r>
    </w:p>
    <w:p w14:paraId="0B0FAE41" w14:textId="615AC513"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(MMY-3002 VISTA) s 682 pacientmi, aby sa zistilo, či bortezomib (1,3 mg/m</w:t>
      </w:r>
      <w:r w:rsidRPr="00CC69EC">
        <w:rPr>
          <w:rFonts w:eastAsia="TimesNewRoman"/>
          <w:szCs w:val="22"/>
          <w:vertAlign w:val="superscript"/>
          <w:lang w:eastAsia="en-US"/>
        </w:rPr>
        <w:t>2</w:t>
      </w:r>
      <w:r w:rsidRPr="00CC69EC">
        <w:rPr>
          <w:rFonts w:eastAsia="TimesNewRoman"/>
          <w:szCs w:val="22"/>
          <w:lang w:eastAsia="en-US"/>
        </w:rPr>
        <w:t xml:space="preserve"> podaný intravenózne) v kombinácii s melfal</w:t>
      </w:r>
      <w:r>
        <w:rPr>
          <w:rFonts w:eastAsia="TimesNewRoman"/>
          <w:szCs w:val="22"/>
          <w:lang w:eastAsia="en-US"/>
        </w:rPr>
        <w:t>á</w:t>
      </w:r>
      <w:r w:rsidRPr="00CC69EC">
        <w:rPr>
          <w:rFonts w:eastAsia="TimesNewRoman"/>
          <w:szCs w:val="22"/>
          <w:lang w:eastAsia="en-US"/>
        </w:rPr>
        <w:t>nom (9 mg/m</w:t>
      </w:r>
      <w:r w:rsidRPr="00CC69EC">
        <w:rPr>
          <w:rFonts w:eastAsia="TimesNewRoman"/>
          <w:szCs w:val="22"/>
          <w:vertAlign w:val="superscript"/>
          <w:lang w:eastAsia="en-US"/>
        </w:rPr>
        <w:t>2</w:t>
      </w:r>
      <w:r w:rsidRPr="00CC69EC">
        <w:rPr>
          <w:rFonts w:eastAsia="TimesNewRoman"/>
          <w:szCs w:val="22"/>
          <w:lang w:eastAsia="en-US"/>
        </w:rPr>
        <w:t>) a prednizónom (60 mg/m</w:t>
      </w:r>
      <w:r w:rsidRPr="00CC69EC">
        <w:rPr>
          <w:rFonts w:eastAsia="TimesNewRoman"/>
          <w:szCs w:val="22"/>
          <w:vertAlign w:val="superscript"/>
          <w:lang w:eastAsia="en-US"/>
        </w:rPr>
        <w:t>2</w:t>
      </w:r>
      <w:r w:rsidRPr="00CC69EC">
        <w:rPr>
          <w:rFonts w:eastAsia="TimesNewRoman"/>
          <w:szCs w:val="22"/>
          <w:lang w:eastAsia="en-US"/>
        </w:rPr>
        <w:t>) priniesol zlepšenie v čase do progresie (</w:t>
      </w:r>
      <w:r>
        <w:rPr>
          <w:rFonts w:eastAsia="TimesNewRoman"/>
          <w:szCs w:val="22"/>
          <w:lang w:eastAsia="en-US"/>
        </w:rPr>
        <w:t xml:space="preserve">z angl. </w:t>
      </w:r>
      <w:r w:rsidRPr="00CC69EC">
        <w:rPr>
          <w:rFonts w:eastAsia="TimesNewRoman"/>
          <w:szCs w:val="22"/>
          <w:lang w:eastAsia="en-US"/>
        </w:rPr>
        <w:t>time to progression, TTP) v porovnaní s melfal</w:t>
      </w:r>
      <w:r>
        <w:rPr>
          <w:rFonts w:eastAsia="TimesNewRoman"/>
          <w:szCs w:val="22"/>
          <w:lang w:eastAsia="en-US"/>
        </w:rPr>
        <w:t>á</w:t>
      </w:r>
      <w:r w:rsidRPr="00CC69EC">
        <w:rPr>
          <w:rFonts w:eastAsia="TimesNewRoman"/>
          <w:szCs w:val="22"/>
          <w:lang w:eastAsia="en-US"/>
        </w:rPr>
        <w:t>nom (9 mg/m</w:t>
      </w:r>
      <w:r w:rsidRPr="00CC69EC">
        <w:rPr>
          <w:rFonts w:eastAsia="TimesNewRoman"/>
          <w:szCs w:val="22"/>
          <w:vertAlign w:val="superscript"/>
          <w:lang w:eastAsia="en-US"/>
        </w:rPr>
        <w:t>2</w:t>
      </w:r>
      <w:r w:rsidRPr="00CC69EC">
        <w:rPr>
          <w:rFonts w:eastAsia="TimesNewRoman"/>
          <w:szCs w:val="22"/>
          <w:lang w:eastAsia="en-US"/>
        </w:rPr>
        <w:t>) a prednizónom (60 mg/m</w:t>
      </w:r>
      <w:r w:rsidRPr="00CC69EC">
        <w:rPr>
          <w:rFonts w:eastAsia="TimesNewRoman"/>
          <w:szCs w:val="22"/>
          <w:vertAlign w:val="superscript"/>
          <w:lang w:eastAsia="en-US"/>
        </w:rPr>
        <w:t>2</w:t>
      </w:r>
      <w:r w:rsidRPr="00CC69EC">
        <w:rPr>
          <w:rFonts w:eastAsia="TimesNewRoman"/>
          <w:szCs w:val="22"/>
          <w:lang w:eastAsia="en-US"/>
        </w:rPr>
        <w:t>) u pacientov s dot</w:t>
      </w:r>
      <w:r w:rsidR="0063096F">
        <w:rPr>
          <w:rFonts w:eastAsia="TimesNewRoman"/>
          <w:szCs w:val="22"/>
          <w:lang w:eastAsia="en-US"/>
        </w:rPr>
        <w:t>eraz neliečeným mnohopočetným m</w:t>
      </w:r>
      <w:r w:rsidRPr="00CC69EC">
        <w:rPr>
          <w:rFonts w:eastAsia="TimesNewRoman"/>
          <w:szCs w:val="22"/>
          <w:lang w:eastAsia="en-US"/>
        </w:rPr>
        <w:t>y</w:t>
      </w:r>
      <w:r w:rsidR="0063096F">
        <w:rPr>
          <w:rFonts w:eastAsia="TimesNewRoman"/>
          <w:szCs w:val="22"/>
          <w:lang w:eastAsia="en-US"/>
        </w:rPr>
        <w:t>e</w:t>
      </w:r>
      <w:r w:rsidRPr="00CC69EC">
        <w:rPr>
          <w:rFonts w:eastAsia="TimesNewRoman"/>
          <w:szCs w:val="22"/>
          <w:lang w:eastAsia="en-US"/>
        </w:rPr>
        <w:t xml:space="preserve">lómom. Liečba sa podávala maximálne v 9 cykloch (približne 54 týždňov) a predčasne ukončená bola v prípade progresie choroby alebo neprijateľnej toxicity. Priemerný vek pacientov v štúdii bol 71 rokov, 50 % bolo mužov, 88 % </w:t>
      </w:r>
      <w:r w:rsidRPr="00CC69EC">
        <w:rPr>
          <w:rFonts w:eastAsia="TimesNewRoman"/>
          <w:szCs w:val="22"/>
          <w:lang w:eastAsia="en-US"/>
        </w:rPr>
        <w:lastRenderedPageBreak/>
        <w:t xml:space="preserve">bolo belochov a priemerné hodnotenie </w:t>
      </w:r>
      <w:r w:rsidR="00A20F3D">
        <w:rPr>
          <w:rFonts w:eastAsia="TimesNewRoman"/>
          <w:szCs w:val="22"/>
          <w:lang w:eastAsia="en-US"/>
        </w:rPr>
        <w:t>výkonnostného</w:t>
      </w:r>
      <w:r w:rsidR="00A20F3D" w:rsidRPr="00CC69EC">
        <w:rPr>
          <w:rFonts w:eastAsia="TimesNewRoman"/>
          <w:szCs w:val="22"/>
          <w:lang w:eastAsia="en-US"/>
        </w:rPr>
        <w:t xml:space="preserve"> </w:t>
      </w:r>
      <w:r w:rsidRPr="00CC69EC">
        <w:rPr>
          <w:rFonts w:eastAsia="TimesNewRoman"/>
          <w:szCs w:val="22"/>
          <w:lang w:eastAsia="en-US"/>
        </w:rPr>
        <w:t xml:space="preserve">stavu </w:t>
      </w:r>
      <w:r w:rsidR="00A20F3D">
        <w:rPr>
          <w:rFonts w:eastAsia="TimesNewRoman"/>
          <w:szCs w:val="22"/>
          <w:lang w:eastAsia="en-US"/>
        </w:rPr>
        <w:t xml:space="preserve">podľa </w:t>
      </w:r>
      <w:r w:rsidRPr="00A20F3D">
        <w:rPr>
          <w:rFonts w:eastAsia="TimesNewRoman"/>
          <w:szCs w:val="22"/>
          <w:lang w:eastAsia="en-US"/>
        </w:rPr>
        <w:t>Karnofsk</w:t>
      </w:r>
      <w:r w:rsidR="00A20F3D" w:rsidRPr="00E110FB">
        <w:rPr>
          <w:rFonts w:eastAsia="TimesNewRoman"/>
          <w:szCs w:val="22"/>
          <w:lang w:eastAsia="en-US"/>
        </w:rPr>
        <w:t>ého</w:t>
      </w:r>
      <w:r w:rsidRPr="00CC69EC">
        <w:rPr>
          <w:rFonts w:eastAsia="TimesNewRoman"/>
          <w:szCs w:val="22"/>
          <w:lang w:eastAsia="en-US"/>
        </w:rPr>
        <w:t xml:space="preserve"> bolo u pacientov 80. Pacienti mali myelóm IgG/IgA/ľahkých reťazcov u 63 %/25 %/8 % prípadov, priemernú hodnotu hemoglobínu 105 g/l a priemerný počet krvných doštičiek 221,5 x 10</w:t>
      </w:r>
      <w:r w:rsidRPr="00CC69EC">
        <w:rPr>
          <w:rFonts w:eastAsia="TimesNewRoman"/>
          <w:szCs w:val="22"/>
          <w:vertAlign w:val="superscript"/>
          <w:lang w:eastAsia="en-US"/>
        </w:rPr>
        <w:t>9</w:t>
      </w:r>
      <w:r w:rsidRPr="00CC69EC">
        <w:rPr>
          <w:rFonts w:eastAsia="TimesNewRoman"/>
          <w:szCs w:val="22"/>
          <w:lang w:eastAsia="en-US"/>
        </w:rPr>
        <w:t>/l. Podobné percento pacientov malo klírens kreatinínu ≤ 30 ml/min (3 % v každ</w:t>
      </w:r>
      <w:r w:rsidR="00A20F3D">
        <w:rPr>
          <w:rFonts w:eastAsia="TimesNewRoman"/>
          <w:szCs w:val="22"/>
          <w:lang w:eastAsia="en-US"/>
        </w:rPr>
        <w:t>ej</w:t>
      </w:r>
      <w:r w:rsidRPr="00CC69EC">
        <w:rPr>
          <w:rFonts w:eastAsia="TimesNewRoman"/>
          <w:szCs w:val="22"/>
          <w:lang w:eastAsia="en-US"/>
        </w:rPr>
        <w:t xml:space="preserve"> </w:t>
      </w:r>
      <w:r w:rsidR="00A20F3D">
        <w:rPr>
          <w:rFonts w:eastAsia="TimesNewRoman"/>
          <w:szCs w:val="22"/>
          <w:lang w:eastAsia="en-US"/>
        </w:rPr>
        <w:t>skupine</w:t>
      </w:r>
      <w:r w:rsidRPr="00CC69EC">
        <w:rPr>
          <w:rFonts w:eastAsia="TimesNewRoman"/>
          <w:szCs w:val="22"/>
          <w:lang w:eastAsia="en-US"/>
        </w:rPr>
        <w:t>).</w:t>
      </w:r>
    </w:p>
    <w:p w14:paraId="739CB27A" w14:textId="6DD3F424"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čase dopredu určenej predbežnej analýzy bol splnený primárny cieľ</w:t>
      </w:r>
      <w:r w:rsidR="00A20F3D">
        <w:rPr>
          <w:rFonts w:eastAsia="TimesNewRoman"/>
          <w:szCs w:val="22"/>
          <w:lang w:eastAsia="en-US"/>
        </w:rPr>
        <w:t>ový ukazovateľ</w:t>
      </w:r>
      <w:r w:rsidRPr="00CC69EC">
        <w:rPr>
          <w:rFonts w:eastAsia="TimesNewRoman"/>
          <w:szCs w:val="22"/>
          <w:lang w:eastAsia="en-US"/>
        </w:rPr>
        <w:t>, čas do progresie, a pacientom z</w:t>
      </w:r>
      <w:r w:rsidR="00A20F3D">
        <w:rPr>
          <w:rFonts w:eastAsia="TimesNewRoman"/>
          <w:szCs w:val="22"/>
          <w:lang w:eastAsia="en-US"/>
        </w:rPr>
        <w:t>o</w:t>
      </w:r>
      <w:r w:rsidRPr="00CC69EC">
        <w:rPr>
          <w:rFonts w:eastAsia="TimesNewRoman"/>
          <w:szCs w:val="22"/>
          <w:lang w:eastAsia="en-US"/>
        </w:rPr>
        <w:t> </w:t>
      </w:r>
      <w:r w:rsidR="00A20F3D">
        <w:rPr>
          <w:rFonts w:eastAsia="TimesNewRoman"/>
          <w:szCs w:val="22"/>
          <w:lang w:eastAsia="en-US"/>
        </w:rPr>
        <w:t>skupiny</w:t>
      </w:r>
      <w:r w:rsidRPr="00CC69EC">
        <w:rPr>
          <w:rFonts w:eastAsia="TimesNewRoman"/>
          <w:szCs w:val="22"/>
          <w:lang w:eastAsia="en-US"/>
        </w:rPr>
        <w:t xml:space="preserve"> M+P bola ponúknutá liečba B+M+P. Priemerná doba sledovania bola 16,3 mesiaca. Záverečná aktualizácia údajov o prežívaní sa uskutočnila na základe mediánu dĺžky sledovania 60,1 mesiacov. Pozoroval sa štatisticky významný prínos v prežívaní v prospech skupiny liečenej B+M+P (</w:t>
      </w:r>
      <w:r w:rsidR="00A20F3D" w:rsidRPr="00E110FB">
        <w:rPr>
          <w:rFonts w:eastAsia="TimesNewRoman"/>
          <w:szCs w:val="22"/>
          <w:lang w:eastAsia="en-US"/>
        </w:rPr>
        <w:t>pomer</w:t>
      </w:r>
      <w:r w:rsidRPr="00A20F3D">
        <w:rPr>
          <w:rFonts w:eastAsia="TimesNewRoman"/>
          <w:szCs w:val="22"/>
          <w:lang w:eastAsia="en-US"/>
        </w:rPr>
        <w:t xml:space="preserve"> riz</w:t>
      </w:r>
      <w:r w:rsidR="0068512B">
        <w:rPr>
          <w:rFonts w:eastAsia="TimesNewRoman"/>
          <w:szCs w:val="22"/>
          <w:lang w:eastAsia="en-US"/>
        </w:rPr>
        <w:t>ík</w:t>
      </w:r>
      <w:r w:rsidRPr="00A20F3D">
        <w:rPr>
          <w:rFonts w:eastAsia="TimesNewRoman"/>
          <w:szCs w:val="22"/>
          <w:lang w:eastAsia="en-US"/>
        </w:rPr>
        <w:t xml:space="preserve"> </w:t>
      </w:r>
      <w:r w:rsidR="00A20F3D" w:rsidRPr="00A20F3D">
        <w:rPr>
          <w:rFonts w:eastAsia="TimesNewRoman"/>
          <w:szCs w:val="22"/>
          <w:lang w:eastAsia="en-US"/>
        </w:rPr>
        <w:t>(</w:t>
      </w:r>
      <w:r w:rsidR="00A20F3D">
        <w:rPr>
          <w:rFonts w:eastAsia="TimesNewRoman"/>
          <w:szCs w:val="22"/>
          <w:lang w:eastAsia="en-US"/>
        </w:rPr>
        <w:t>HR)</w:t>
      </w:r>
      <w:r w:rsidRPr="00CC69EC">
        <w:rPr>
          <w:rFonts w:eastAsia="TimesNewRoman"/>
          <w:szCs w:val="22"/>
          <w:lang w:eastAsia="en-US"/>
        </w:rPr>
        <w:t xml:space="preserve">= 0,695, p = 0,00043), napriek následnej liečbe zahŕňajúcej režimy na báze bortezomibu. </w:t>
      </w:r>
      <w:r w:rsidR="0068512B">
        <w:rPr>
          <w:rFonts w:eastAsia="TimesNewRoman"/>
          <w:szCs w:val="22"/>
          <w:lang w:eastAsia="en-US"/>
        </w:rPr>
        <w:t>Medián</w:t>
      </w:r>
      <w:r w:rsidRPr="00CC69EC">
        <w:rPr>
          <w:rFonts w:eastAsia="TimesNewRoman"/>
          <w:szCs w:val="22"/>
          <w:lang w:eastAsia="en-US"/>
        </w:rPr>
        <w:t xml:space="preserve"> prežívania pre skupinu B+M+P bola 56,4 mesiacov v porovnaní so 43,1 pre skupinu liečenú M+P. Výsledky účinnosti sa uvádzajú v </w:t>
      </w:r>
      <w:r w:rsidR="00FE5CB3">
        <w:rPr>
          <w:rFonts w:eastAsia="TimesNewRoman"/>
          <w:szCs w:val="22"/>
          <w:lang w:eastAsia="en-US"/>
        </w:rPr>
        <w:t>t</w:t>
      </w:r>
      <w:r w:rsidRPr="00CC69EC">
        <w:rPr>
          <w:rFonts w:eastAsia="TimesNewRoman"/>
          <w:szCs w:val="22"/>
          <w:lang w:eastAsia="en-US"/>
        </w:rPr>
        <w:t>abuľke 11:</w:t>
      </w:r>
    </w:p>
    <w:p w14:paraId="5D77DB5E" w14:textId="77777777" w:rsidR="00564D9B" w:rsidRPr="00CC69EC" w:rsidRDefault="00564D9B" w:rsidP="00564D9B">
      <w:pPr>
        <w:ind w:left="0" w:firstLine="0"/>
        <w:rPr>
          <w:rFonts w:eastAsia="TimesNewRoman"/>
          <w:szCs w:val="22"/>
          <w:lang w:eastAsia="en-US"/>
        </w:rPr>
      </w:pPr>
    </w:p>
    <w:p w14:paraId="5A279876" w14:textId="77777777" w:rsidR="00564D9B" w:rsidRPr="00CC69EC" w:rsidRDefault="00564D9B" w:rsidP="00564D9B">
      <w:pPr>
        <w:rPr>
          <w:color w:val="000000"/>
        </w:rPr>
      </w:pPr>
      <w:r w:rsidRPr="00CC69EC">
        <w:rPr>
          <w:rFonts w:eastAsia="TimesNewRoman,Italic"/>
          <w:i/>
          <w:iCs/>
          <w:szCs w:val="22"/>
          <w:lang w:eastAsia="en-US"/>
        </w:rPr>
        <w:t>Tabuľka 11: Výsledky účinnosti po záverečnej aktualizácii údajov o prežívaní v štúdii VISTA</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528"/>
        <w:gridCol w:w="2265"/>
        <w:gridCol w:w="2267"/>
      </w:tblGrid>
      <w:tr w:rsidR="00564D9B" w:rsidRPr="008541FF" w14:paraId="1DDC3379" w14:textId="77777777" w:rsidTr="00E110FB">
        <w:trPr>
          <w:tblCellSpacing w:w="0" w:type="dxa"/>
        </w:trPr>
        <w:tc>
          <w:tcPr>
            <w:tcW w:w="2499" w:type="pct"/>
            <w:hideMark/>
          </w:tcPr>
          <w:p w14:paraId="3C10D59D" w14:textId="6B3F4456" w:rsidR="00564D9B" w:rsidRPr="008541FF" w:rsidRDefault="00A20F3D" w:rsidP="00F75370">
            <w:pPr>
              <w:rPr>
                <w:color w:val="000000"/>
                <w:szCs w:val="22"/>
              </w:rPr>
            </w:pPr>
            <w:r w:rsidRPr="008541FF">
              <w:rPr>
                <w:b/>
                <w:bCs/>
                <w:color w:val="000000"/>
                <w:szCs w:val="22"/>
              </w:rPr>
              <w:t xml:space="preserve">Cieľový ukazovateľ </w:t>
            </w:r>
            <w:r w:rsidR="00564D9B" w:rsidRPr="008541FF">
              <w:rPr>
                <w:b/>
                <w:bCs/>
                <w:color w:val="000000"/>
                <w:szCs w:val="22"/>
              </w:rPr>
              <w:t>účinnos</w:t>
            </w:r>
            <w:r w:rsidRPr="008541FF">
              <w:rPr>
                <w:b/>
                <w:bCs/>
                <w:color w:val="000000"/>
                <w:szCs w:val="22"/>
              </w:rPr>
              <w:t>ti</w:t>
            </w:r>
          </w:p>
        </w:tc>
        <w:tc>
          <w:tcPr>
            <w:tcW w:w="1250" w:type="pct"/>
            <w:hideMark/>
          </w:tcPr>
          <w:p w14:paraId="6CDFAD57" w14:textId="77777777" w:rsidR="00564D9B" w:rsidRPr="002E3042" w:rsidRDefault="00564D9B" w:rsidP="00F75370">
            <w:pPr>
              <w:jc w:val="center"/>
              <w:rPr>
                <w:color w:val="000000"/>
                <w:szCs w:val="22"/>
              </w:rPr>
            </w:pPr>
            <w:r w:rsidRPr="002E3042">
              <w:rPr>
                <w:b/>
                <w:bCs/>
                <w:color w:val="000000"/>
                <w:szCs w:val="22"/>
              </w:rPr>
              <w:t>B+M+P</w:t>
            </w:r>
          </w:p>
          <w:p w14:paraId="5C09E37B" w14:textId="77777777" w:rsidR="00564D9B" w:rsidRPr="006D4CF8" w:rsidRDefault="00564D9B" w:rsidP="00F75370">
            <w:pPr>
              <w:jc w:val="center"/>
              <w:rPr>
                <w:color w:val="000000"/>
                <w:szCs w:val="22"/>
              </w:rPr>
            </w:pPr>
            <w:r w:rsidRPr="002E3042">
              <w:rPr>
                <w:b/>
                <w:bCs/>
                <w:color w:val="000000"/>
                <w:szCs w:val="22"/>
              </w:rPr>
              <w:t>n = 344</w:t>
            </w:r>
          </w:p>
        </w:tc>
        <w:tc>
          <w:tcPr>
            <w:tcW w:w="1250" w:type="pct"/>
            <w:hideMark/>
          </w:tcPr>
          <w:p w14:paraId="0268CFB6" w14:textId="77777777" w:rsidR="00564D9B" w:rsidRPr="00260574" w:rsidRDefault="00564D9B" w:rsidP="00F75370">
            <w:pPr>
              <w:jc w:val="center"/>
              <w:rPr>
                <w:color w:val="000000"/>
                <w:szCs w:val="22"/>
              </w:rPr>
            </w:pPr>
            <w:r w:rsidRPr="00260574">
              <w:rPr>
                <w:b/>
                <w:bCs/>
                <w:color w:val="000000"/>
                <w:szCs w:val="22"/>
              </w:rPr>
              <w:t>M+P</w:t>
            </w:r>
          </w:p>
          <w:p w14:paraId="09F52D6C" w14:textId="77777777" w:rsidR="00564D9B" w:rsidRPr="00260574" w:rsidRDefault="00564D9B" w:rsidP="00F75370">
            <w:pPr>
              <w:jc w:val="center"/>
              <w:rPr>
                <w:color w:val="000000"/>
                <w:szCs w:val="22"/>
              </w:rPr>
            </w:pPr>
            <w:r w:rsidRPr="00260574">
              <w:rPr>
                <w:b/>
                <w:bCs/>
                <w:color w:val="000000"/>
                <w:szCs w:val="22"/>
              </w:rPr>
              <w:t>n = 338</w:t>
            </w:r>
          </w:p>
        </w:tc>
      </w:tr>
      <w:tr w:rsidR="00564D9B" w:rsidRPr="008541FF" w14:paraId="5053DA49" w14:textId="77777777" w:rsidTr="00E110FB">
        <w:trPr>
          <w:tblCellSpacing w:w="0" w:type="dxa"/>
        </w:trPr>
        <w:tc>
          <w:tcPr>
            <w:tcW w:w="2499" w:type="pct"/>
            <w:hideMark/>
          </w:tcPr>
          <w:p w14:paraId="23AF6C03" w14:textId="77777777" w:rsidR="00564D9B" w:rsidRPr="008541FF" w:rsidRDefault="00564D9B" w:rsidP="00F75370">
            <w:pPr>
              <w:autoSpaceDE w:val="0"/>
              <w:autoSpaceDN w:val="0"/>
              <w:adjustRightInd w:val="0"/>
              <w:ind w:left="0" w:firstLine="0"/>
              <w:rPr>
                <w:rFonts w:eastAsia="TimesNewRoman,Bold"/>
                <w:b/>
                <w:bCs/>
                <w:szCs w:val="22"/>
                <w:lang w:eastAsia="en-US"/>
              </w:rPr>
            </w:pPr>
            <w:r w:rsidRPr="008541FF">
              <w:rPr>
                <w:rFonts w:eastAsia="TimesNewRoman,Bold"/>
                <w:b/>
                <w:bCs/>
                <w:szCs w:val="22"/>
                <w:lang w:eastAsia="en-US"/>
              </w:rPr>
              <w:t>Čas do progresie</w:t>
            </w:r>
          </w:p>
          <w:p w14:paraId="1BCF6920" w14:textId="77777777" w:rsidR="00564D9B" w:rsidRPr="002E3042" w:rsidRDefault="00564D9B" w:rsidP="00F75370">
            <w:pPr>
              <w:rPr>
                <w:color w:val="000000"/>
                <w:szCs w:val="22"/>
              </w:rPr>
            </w:pPr>
            <w:r w:rsidRPr="008541FF">
              <w:rPr>
                <w:rFonts w:eastAsia="TimesNewRoman"/>
                <w:szCs w:val="22"/>
                <w:lang w:eastAsia="en-US"/>
              </w:rPr>
              <w:t>Udalosti n (%)</w:t>
            </w:r>
            <w:r w:rsidRPr="002E3042">
              <w:rPr>
                <w:color w:val="000000"/>
                <w:szCs w:val="22"/>
              </w:rPr>
              <w:t xml:space="preserve"> </w:t>
            </w:r>
          </w:p>
        </w:tc>
        <w:tc>
          <w:tcPr>
            <w:tcW w:w="1250" w:type="pct"/>
            <w:hideMark/>
          </w:tcPr>
          <w:p w14:paraId="7F00AB07" w14:textId="77777777" w:rsidR="00564D9B" w:rsidRPr="006D4CF8" w:rsidRDefault="00564D9B" w:rsidP="00F75370">
            <w:pPr>
              <w:jc w:val="center"/>
              <w:rPr>
                <w:color w:val="000000"/>
                <w:szCs w:val="22"/>
              </w:rPr>
            </w:pPr>
            <w:r w:rsidRPr="002E3042">
              <w:rPr>
                <w:color w:val="000000"/>
                <w:szCs w:val="22"/>
              </w:rPr>
              <w:t>101 (29)</w:t>
            </w:r>
          </w:p>
        </w:tc>
        <w:tc>
          <w:tcPr>
            <w:tcW w:w="1250" w:type="pct"/>
            <w:hideMark/>
          </w:tcPr>
          <w:p w14:paraId="57AE2F27" w14:textId="77777777" w:rsidR="00564D9B" w:rsidRPr="00260574" w:rsidRDefault="00564D9B" w:rsidP="00F75370">
            <w:pPr>
              <w:jc w:val="center"/>
              <w:rPr>
                <w:color w:val="000000"/>
                <w:szCs w:val="22"/>
              </w:rPr>
            </w:pPr>
            <w:r w:rsidRPr="00260574">
              <w:rPr>
                <w:color w:val="000000"/>
                <w:szCs w:val="22"/>
              </w:rPr>
              <w:t>152 (45)</w:t>
            </w:r>
          </w:p>
        </w:tc>
      </w:tr>
      <w:tr w:rsidR="00564D9B" w:rsidRPr="008541FF" w14:paraId="1124F12E" w14:textId="77777777" w:rsidTr="00E110FB">
        <w:trPr>
          <w:tblCellSpacing w:w="0" w:type="dxa"/>
        </w:trPr>
        <w:tc>
          <w:tcPr>
            <w:tcW w:w="2499" w:type="pct"/>
            <w:hideMark/>
          </w:tcPr>
          <w:p w14:paraId="3BEA0AAC" w14:textId="33F0F16A" w:rsidR="00564D9B" w:rsidRPr="008541FF" w:rsidRDefault="00FF6F0E" w:rsidP="00FF6F0E">
            <w:pPr>
              <w:rPr>
                <w:color w:val="000000"/>
                <w:szCs w:val="22"/>
              </w:rPr>
            </w:pPr>
            <w:r w:rsidRPr="008541FF">
              <w:rPr>
                <w:rFonts w:eastAsia="TimesNewRoman"/>
                <w:szCs w:val="22"/>
                <w:lang w:eastAsia="en-US"/>
              </w:rPr>
              <w:t>Medián</w:t>
            </w:r>
            <w:r w:rsidR="00564D9B" w:rsidRPr="008541FF">
              <w:rPr>
                <w:szCs w:val="22"/>
                <w:vertAlign w:val="superscript"/>
                <w:lang w:eastAsia="en-GB"/>
              </w:rPr>
              <w:t xml:space="preserve"> a</w:t>
            </w:r>
            <w:r w:rsidR="00564D9B" w:rsidRPr="008541FF">
              <w:rPr>
                <w:rFonts w:eastAsia="TimesNewRoman"/>
                <w:szCs w:val="22"/>
                <w:lang w:eastAsia="en-US"/>
              </w:rPr>
              <w:t xml:space="preserve"> (95 % I</w:t>
            </w:r>
            <w:r w:rsidR="00C33852" w:rsidRPr="008541FF">
              <w:rPr>
                <w:rFonts w:eastAsia="TimesNewRoman"/>
                <w:szCs w:val="22"/>
                <w:lang w:eastAsia="en-US"/>
              </w:rPr>
              <w:t>S</w:t>
            </w:r>
            <w:r w:rsidR="00564D9B" w:rsidRPr="008541FF">
              <w:rPr>
                <w:rFonts w:eastAsia="TimesNewRoman"/>
                <w:szCs w:val="22"/>
                <w:lang w:eastAsia="en-US"/>
              </w:rPr>
              <w:t>)</w:t>
            </w:r>
          </w:p>
        </w:tc>
        <w:tc>
          <w:tcPr>
            <w:tcW w:w="1250" w:type="pct"/>
            <w:hideMark/>
          </w:tcPr>
          <w:p w14:paraId="1CA82E65" w14:textId="68F8B50E" w:rsidR="00564D9B" w:rsidRPr="008541FF" w:rsidRDefault="00564D9B" w:rsidP="00F75370">
            <w:pPr>
              <w:jc w:val="center"/>
              <w:rPr>
                <w:color w:val="000000"/>
                <w:szCs w:val="22"/>
              </w:rPr>
            </w:pPr>
            <w:r w:rsidRPr="002E3042">
              <w:rPr>
                <w:color w:val="000000"/>
                <w:szCs w:val="22"/>
              </w:rPr>
              <w:t>20,7 mes</w:t>
            </w:r>
            <w:r w:rsidR="00C33852" w:rsidRPr="002E3042">
              <w:rPr>
                <w:color w:val="000000"/>
                <w:szCs w:val="22"/>
              </w:rPr>
              <w:t>iaca</w:t>
            </w:r>
          </w:p>
          <w:p w14:paraId="7B089E39" w14:textId="77777777" w:rsidR="00564D9B" w:rsidRPr="008541FF" w:rsidRDefault="00564D9B" w:rsidP="00F75370">
            <w:pPr>
              <w:jc w:val="center"/>
              <w:rPr>
                <w:color w:val="000000"/>
                <w:szCs w:val="22"/>
              </w:rPr>
            </w:pPr>
            <w:r w:rsidRPr="008541FF">
              <w:rPr>
                <w:color w:val="000000"/>
                <w:szCs w:val="22"/>
              </w:rPr>
              <w:t>(17,6; 24,7)</w:t>
            </w:r>
          </w:p>
        </w:tc>
        <w:tc>
          <w:tcPr>
            <w:tcW w:w="1250" w:type="pct"/>
            <w:hideMark/>
          </w:tcPr>
          <w:p w14:paraId="14AAE021" w14:textId="66E3EF75" w:rsidR="00564D9B" w:rsidRPr="002E3042" w:rsidRDefault="00564D9B" w:rsidP="00F75370">
            <w:pPr>
              <w:jc w:val="center"/>
              <w:rPr>
                <w:color w:val="000000"/>
                <w:szCs w:val="22"/>
              </w:rPr>
            </w:pPr>
            <w:r w:rsidRPr="002E3042">
              <w:rPr>
                <w:color w:val="000000"/>
                <w:szCs w:val="22"/>
              </w:rPr>
              <w:t>15,0 mes</w:t>
            </w:r>
            <w:r w:rsidR="00C33852" w:rsidRPr="002E3042">
              <w:rPr>
                <w:color w:val="000000"/>
                <w:szCs w:val="22"/>
              </w:rPr>
              <w:t>iacov</w:t>
            </w:r>
          </w:p>
          <w:p w14:paraId="7A65095B" w14:textId="77777777" w:rsidR="00564D9B" w:rsidRPr="006D4CF8" w:rsidRDefault="00564D9B" w:rsidP="00F75370">
            <w:pPr>
              <w:jc w:val="center"/>
              <w:rPr>
                <w:color w:val="000000"/>
                <w:szCs w:val="22"/>
              </w:rPr>
            </w:pPr>
            <w:r w:rsidRPr="002E3042">
              <w:rPr>
                <w:color w:val="000000"/>
                <w:szCs w:val="22"/>
              </w:rPr>
              <w:t>(14,1; 17,9)</w:t>
            </w:r>
          </w:p>
        </w:tc>
      </w:tr>
      <w:tr w:rsidR="00564D9B" w:rsidRPr="008541FF" w14:paraId="6C6CF7A2" w14:textId="77777777" w:rsidTr="00E110FB">
        <w:trPr>
          <w:tblCellSpacing w:w="0" w:type="dxa"/>
        </w:trPr>
        <w:tc>
          <w:tcPr>
            <w:tcW w:w="2499" w:type="pct"/>
            <w:hideMark/>
          </w:tcPr>
          <w:p w14:paraId="514534C5" w14:textId="30677A32" w:rsidR="00564D9B" w:rsidRPr="008541FF" w:rsidRDefault="00C33852" w:rsidP="00F75370">
            <w:pPr>
              <w:autoSpaceDE w:val="0"/>
              <w:autoSpaceDN w:val="0"/>
              <w:adjustRightInd w:val="0"/>
              <w:ind w:left="0" w:firstLine="0"/>
              <w:rPr>
                <w:rFonts w:eastAsia="TimesNewRoman"/>
                <w:szCs w:val="22"/>
                <w:lang w:eastAsia="en-US"/>
              </w:rPr>
            </w:pPr>
            <w:r w:rsidRPr="008541FF">
              <w:rPr>
                <w:rFonts w:eastAsia="TimesNewRoman"/>
                <w:szCs w:val="22"/>
                <w:lang w:eastAsia="en-US"/>
              </w:rPr>
              <w:t xml:space="preserve">Pomer </w:t>
            </w:r>
            <w:r w:rsidR="00564D9B" w:rsidRPr="008541FF">
              <w:rPr>
                <w:rFonts w:eastAsia="TimesNewRoman"/>
                <w:szCs w:val="22"/>
                <w:lang w:eastAsia="en-US"/>
              </w:rPr>
              <w:t>riz</w:t>
            </w:r>
            <w:r w:rsidR="00FF6F0E" w:rsidRPr="008541FF">
              <w:rPr>
                <w:rFonts w:eastAsia="TimesNewRoman"/>
                <w:szCs w:val="22"/>
                <w:lang w:eastAsia="en-US"/>
              </w:rPr>
              <w:t>ík</w:t>
            </w:r>
            <w:r w:rsidR="00564D9B" w:rsidRPr="008541FF">
              <w:rPr>
                <w:rFonts w:eastAsia="TimesNewRoman"/>
                <w:szCs w:val="22"/>
                <w:vertAlign w:val="superscript"/>
                <w:lang w:eastAsia="en-US"/>
              </w:rPr>
              <w:t>b</w:t>
            </w:r>
          </w:p>
          <w:p w14:paraId="67065935" w14:textId="77777777" w:rsidR="00564D9B" w:rsidRPr="008541FF" w:rsidRDefault="00564D9B" w:rsidP="00F75370">
            <w:pPr>
              <w:rPr>
                <w:color w:val="000000"/>
                <w:szCs w:val="22"/>
              </w:rPr>
            </w:pPr>
            <w:r w:rsidRPr="008541FF">
              <w:rPr>
                <w:rFonts w:eastAsia="TimesNewRoman"/>
                <w:szCs w:val="22"/>
                <w:lang w:eastAsia="en-US"/>
              </w:rPr>
              <w:t>(95 % CI)</w:t>
            </w:r>
          </w:p>
        </w:tc>
        <w:tc>
          <w:tcPr>
            <w:tcW w:w="2501" w:type="pct"/>
            <w:gridSpan w:val="2"/>
            <w:hideMark/>
          </w:tcPr>
          <w:p w14:paraId="799938D1" w14:textId="77777777" w:rsidR="00564D9B" w:rsidRPr="002E3042" w:rsidRDefault="00564D9B" w:rsidP="00F75370">
            <w:pPr>
              <w:jc w:val="center"/>
              <w:rPr>
                <w:color w:val="000000"/>
                <w:szCs w:val="22"/>
              </w:rPr>
            </w:pPr>
            <w:r w:rsidRPr="002E3042">
              <w:rPr>
                <w:color w:val="000000"/>
                <w:szCs w:val="22"/>
              </w:rPr>
              <w:t>0,54</w:t>
            </w:r>
          </w:p>
          <w:p w14:paraId="06259FB8" w14:textId="77777777" w:rsidR="00564D9B" w:rsidRPr="00260574" w:rsidRDefault="00564D9B" w:rsidP="00F75370">
            <w:pPr>
              <w:jc w:val="center"/>
              <w:rPr>
                <w:color w:val="000000"/>
                <w:szCs w:val="22"/>
              </w:rPr>
            </w:pPr>
            <w:r w:rsidRPr="002E3042">
              <w:rPr>
                <w:color w:val="000000"/>
                <w:szCs w:val="22"/>
              </w:rPr>
              <w:t xml:space="preserve">(0,42; </w:t>
            </w:r>
            <w:r w:rsidRPr="006D4CF8">
              <w:rPr>
                <w:color w:val="000000"/>
                <w:szCs w:val="22"/>
              </w:rPr>
              <w:t>0,70)</w:t>
            </w:r>
          </w:p>
        </w:tc>
      </w:tr>
      <w:tr w:rsidR="00564D9B" w:rsidRPr="008541FF" w14:paraId="1FD84A18" w14:textId="77777777" w:rsidTr="00E110FB">
        <w:trPr>
          <w:tblCellSpacing w:w="0" w:type="dxa"/>
        </w:trPr>
        <w:tc>
          <w:tcPr>
            <w:tcW w:w="2499" w:type="pct"/>
            <w:hideMark/>
          </w:tcPr>
          <w:p w14:paraId="2B64FEFC" w14:textId="77777777" w:rsidR="00564D9B" w:rsidRPr="008541FF" w:rsidRDefault="00564D9B" w:rsidP="00F75370">
            <w:pPr>
              <w:rPr>
                <w:color w:val="000000"/>
                <w:szCs w:val="22"/>
              </w:rPr>
            </w:pPr>
            <w:r w:rsidRPr="008541FF">
              <w:rPr>
                <w:rFonts w:eastAsia="TimesNewRoman"/>
                <w:szCs w:val="22"/>
                <w:lang w:eastAsia="en-US"/>
              </w:rPr>
              <w:t xml:space="preserve">p-hodnota </w:t>
            </w:r>
            <w:r w:rsidRPr="008541FF">
              <w:rPr>
                <w:rFonts w:eastAsia="TimesNewRoman"/>
                <w:szCs w:val="22"/>
                <w:vertAlign w:val="superscript"/>
                <w:lang w:eastAsia="en-US"/>
              </w:rPr>
              <w:t>c</w:t>
            </w:r>
          </w:p>
        </w:tc>
        <w:tc>
          <w:tcPr>
            <w:tcW w:w="2501" w:type="pct"/>
            <w:gridSpan w:val="2"/>
            <w:hideMark/>
          </w:tcPr>
          <w:p w14:paraId="5C96CA35" w14:textId="77777777" w:rsidR="00564D9B" w:rsidRPr="002E3042" w:rsidRDefault="00564D9B" w:rsidP="00F75370">
            <w:pPr>
              <w:jc w:val="center"/>
              <w:rPr>
                <w:color w:val="000000"/>
                <w:szCs w:val="22"/>
              </w:rPr>
            </w:pPr>
            <w:r w:rsidRPr="002E3042">
              <w:rPr>
                <w:color w:val="000000"/>
                <w:szCs w:val="22"/>
              </w:rPr>
              <w:t>0,000002</w:t>
            </w:r>
          </w:p>
        </w:tc>
      </w:tr>
      <w:tr w:rsidR="00564D9B" w:rsidRPr="008541FF" w14:paraId="4A827904" w14:textId="77777777" w:rsidTr="00E110FB">
        <w:trPr>
          <w:tblCellSpacing w:w="0" w:type="dxa"/>
        </w:trPr>
        <w:tc>
          <w:tcPr>
            <w:tcW w:w="2499" w:type="pct"/>
            <w:hideMark/>
          </w:tcPr>
          <w:p w14:paraId="479F3157" w14:textId="77777777" w:rsidR="00564D9B" w:rsidRPr="008541FF" w:rsidRDefault="00564D9B" w:rsidP="00F75370">
            <w:pPr>
              <w:autoSpaceDE w:val="0"/>
              <w:autoSpaceDN w:val="0"/>
              <w:adjustRightInd w:val="0"/>
              <w:ind w:left="0" w:firstLine="0"/>
              <w:rPr>
                <w:rFonts w:eastAsia="TimesNewRoman,Bold"/>
                <w:b/>
                <w:bCs/>
                <w:szCs w:val="22"/>
                <w:lang w:eastAsia="en-US"/>
              </w:rPr>
            </w:pPr>
            <w:r w:rsidRPr="008541FF">
              <w:rPr>
                <w:rFonts w:eastAsia="TimesNewRoman,Bold"/>
                <w:b/>
                <w:bCs/>
                <w:szCs w:val="22"/>
                <w:lang w:eastAsia="en-US"/>
              </w:rPr>
              <w:t>Prežívanie bez progresie</w:t>
            </w:r>
          </w:p>
          <w:p w14:paraId="4134C068" w14:textId="77777777" w:rsidR="00564D9B" w:rsidRPr="002E3042" w:rsidRDefault="00564D9B" w:rsidP="00F75370">
            <w:pPr>
              <w:rPr>
                <w:color w:val="000000"/>
                <w:szCs w:val="22"/>
              </w:rPr>
            </w:pPr>
            <w:r w:rsidRPr="008541FF">
              <w:rPr>
                <w:rFonts w:eastAsia="TimesNewRoman"/>
                <w:szCs w:val="22"/>
                <w:lang w:eastAsia="en-US"/>
              </w:rPr>
              <w:t>Udalosti n (%)</w:t>
            </w:r>
          </w:p>
        </w:tc>
        <w:tc>
          <w:tcPr>
            <w:tcW w:w="1250" w:type="pct"/>
            <w:hideMark/>
          </w:tcPr>
          <w:p w14:paraId="1FC61B8B" w14:textId="77777777" w:rsidR="00564D9B" w:rsidRPr="006D4CF8" w:rsidRDefault="00564D9B" w:rsidP="00F75370">
            <w:pPr>
              <w:jc w:val="center"/>
              <w:rPr>
                <w:color w:val="000000"/>
                <w:szCs w:val="22"/>
              </w:rPr>
            </w:pPr>
            <w:r w:rsidRPr="002E3042">
              <w:rPr>
                <w:color w:val="000000"/>
                <w:szCs w:val="22"/>
              </w:rPr>
              <w:t>135 (39)</w:t>
            </w:r>
          </w:p>
        </w:tc>
        <w:tc>
          <w:tcPr>
            <w:tcW w:w="1250" w:type="pct"/>
            <w:hideMark/>
          </w:tcPr>
          <w:p w14:paraId="0E1B5B19" w14:textId="77777777" w:rsidR="00564D9B" w:rsidRPr="00260574" w:rsidRDefault="00564D9B" w:rsidP="00F75370">
            <w:pPr>
              <w:jc w:val="center"/>
              <w:rPr>
                <w:color w:val="000000"/>
                <w:szCs w:val="22"/>
              </w:rPr>
            </w:pPr>
            <w:r w:rsidRPr="00260574">
              <w:rPr>
                <w:color w:val="000000"/>
                <w:szCs w:val="22"/>
              </w:rPr>
              <w:t>190 (56)</w:t>
            </w:r>
          </w:p>
        </w:tc>
      </w:tr>
      <w:tr w:rsidR="00564D9B" w:rsidRPr="008541FF" w14:paraId="6FE34D9A" w14:textId="77777777" w:rsidTr="00E110FB">
        <w:trPr>
          <w:tblCellSpacing w:w="0" w:type="dxa"/>
        </w:trPr>
        <w:tc>
          <w:tcPr>
            <w:tcW w:w="2499" w:type="pct"/>
            <w:hideMark/>
          </w:tcPr>
          <w:p w14:paraId="0A696B5E" w14:textId="615E8FF1" w:rsidR="00564D9B" w:rsidRPr="008541FF" w:rsidRDefault="00FF6F0E" w:rsidP="00FF6F0E">
            <w:pPr>
              <w:rPr>
                <w:color w:val="000000"/>
                <w:szCs w:val="22"/>
              </w:rPr>
            </w:pPr>
            <w:r w:rsidRPr="008541FF">
              <w:rPr>
                <w:rFonts w:eastAsia="TimesNewRoman"/>
                <w:szCs w:val="22"/>
                <w:lang w:eastAsia="en-US"/>
              </w:rPr>
              <w:t>Medián</w:t>
            </w:r>
            <w:r w:rsidR="00564D9B" w:rsidRPr="008541FF">
              <w:rPr>
                <w:rFonts w:eastAsia="TimesNewRoman"/>
                <w:szCs w:val="22"/>
                <w:lang w:eastAsia="en-US"/>
              </w:rPr>
              <w:t xml:space="preserve"> (95 % I</w:t>
            </w:r>
            <w:r w:rsidR="00C33852" w:rsidRPr="008541FF">
              <w:rPr>
                <w:rFonts w:eastAsia="TimesNewRoman"/>
                <w:szCs w:val="22"/>
                <w:lang w:eastAsia="en-US"/>
              </w:rPr>
              <w:t>S</w:t>
            </w:r>
            <w:r w:rsidR="00564D9B" w:rsidRPr="008541FF">
              <w:rPr>
                <w:rFonts w:eastAsia="TimesNewRoman"/>
                <w:szCs w:val="22"/>
                <w:lang w:eastAsia="en-US"/>
              </w:rPr>
              <w:t>)</w:t>
            </w:r>
          </w:p>
        </w:tc>
        <w:tc>
          <w:tcPr>
            <w:tcW w:w="1250" w:type="pct"/>
            <w:hideMark/>
          </w:tcPr>
          <w:p w14:paraId="0948B19F" w14:textId="2B305B6D" w:rsidR="00564D9B" w:rsidRPr="002E3042" w:rsidRDefault="00564D9B" w:rsidP="00F75370">
            <w:pPr>
              <w:jc w:val="center"/>
              <w:rPr>
                <w:color w:val="000000"/>
                <w:szCs w:val="22"/>
              </w:rPr>
            </w:pPr>
            <w:r w:rsidRPr="002E3042">
              <w:rPr>
                <w:color w:val="000000"/>
                <w:szCs w:val="22"/>
              </w:rPr>
              <w:t>18,3 mes</w:t>
            </w:r>
            <w:r w:rsidR="00C33852" w:rsidRPr="002E3042">
              <w:rPr>
                <w:color w:val="000000"/>
                <w:szCs w:val="22"/>
              </w:rPr>
              <w:t>iaca</w:t>
            </w:r>
          </w:p>
          <w:p w14:paraId="44D2C447" w14:textId="77777777" w:rsidR="00564D9B" w:rsidRPr="006D4CF8" w:rsidRDefault="00564D9B" w:rsidP="00F75370">
            <w:pPr>
              <w:jc w:val="center"/>
              <w:rPr>
                <w:color w:val="000000"/>
                <w:szCs w:val="22"/>
              </w:rPr>
            </w:pPr>
            <w:r w:rsidRPr="002E3042">
              <w:rPr>
                <w:color w:val="000000"/>
                <w:szCs w:val="22"/>
              </w:rPr>
              <w:t>(16,6; 21,7)</w:t>
            </w:r>
          </w:p>
        </w:tc>
        <w:tc>
          <w:tcPr>
            <w:tcW w:w="1250" w:type="pct"/>
            <w:hideMark/>
          </w:tcPr>
          <w:p w14:paraId="64C0B560" w14:textId="793029C1" w:rsidR="00564D9B" w:rsidRPr="00260574" w:rsidRDefault="00564D9B" w:rsidP="00F75370">
            <w:pPr>
              <w:jc w:val="center"/>
              <w:rPr>
                <w:color w:val="000000"/>
                <w:szCs w:val="22"/>
              </w:rPr>
            </w:pPr>
            <w:r w:rsidRPr="00260574">
              <w:rPr>
                <w:color w:val="000000"/>
                <w:szCs w:val="22"/>
              </w:rPr>
              <w:t>14,0 mes</w:t>
            </w:r>
            <w:r w:rsidR="00C33852" w:rsidRPr="00260574">
              <w:rPr>
                <w:color w:val="000000"/>
                <w:szCs w:val="22"/>
              </w:rPr>
              <w:t>iacov</w:t>
            </w:r>
          </w:p>
          <w:p w14:paraId="4FFB1F0E" w14:textId="77777777" w:rsidR="00564D9B" w:rsidRPr="00260574" w:rsidRDefault="00564D9B" w:rsidP="00F75370">
            <w:pPr>
              <w:jc w:val="center"/>
              <w:rPr>
                <w:color w:val="000000"/>
                <w:szCs w:val="22"/>
              </w:rPr>
            </w:pPr>
            <w:r w:rsidRPr="00260574">
              <w:rPr>
                <w:color w:val="000000"/>
                <w:szCs w:val="22"/>
              </w:rPr>
              <w:t>(11,1; 15,0)</w:t>
            </w:r>
          </w:p>
        </w:tc>
      </w:tr>
      <w:tr w:rsidR="00564D9B" w:rsidRPr="008541FF" w14:paraId="757E8E25" w14:textId="77777777" w:rsidTr="00E110FB">
        <w:trPr>
          <w:tblCellSpacing w:w="0" w:type="dxa"/>
        </w:trPr>
        <w:tc>
          <w:tcPr>
            <w:tcW w:w="2499" w:type="pct"/>
            <w:hideMark/>
          </w:tcPr>
          <w:p w14:paraId="7E24EDE6" w14:textId="358BC28D" w:rsidR="00564D9B" w:rsidRPr="008541FF" w:rsidRDefault="00C33852" w:rsidP="00F75370">
            <w:pPr>
              <w:autoSpaceDE w:val="0"/>
              <w:autoSpaceDN w:val="0"/>
              <w:adjustRightInd w:val="0"/>
              <w:ind w:left="0" w:firstLine="0"/>
              <w:rPr>
                <w:rFonts w:eastAsia="TimesNewRoman"/>
                <w:szCs w:val="22"/>
                <w:lang w:eastAsia="en-US"/>
              </w:rPr>
            </w:pPr>
            <w:r w:rsidRPr="008541FF">
              <w:rPr>
                <w:rFonts w:eastAsia="TimesNewRoman"/>
                <w:szCs w:val="22"/>
                <w:lang w:eastAsia="en-US"/>
              </w:rPr>
              <w:t xml:space="preserve">Pomer </w:t>
            </w:r>
            <w:r w:rsidR="00564D9B" w:rsidRPr="008541FF">
              <w:rPr>
                <w:rFonts w:eastAsia="TimesNewRoman"/>
                <w:szCs w:val="22"/>
                <w:lang w:eastAsia="en-US"/>
              </w:rPr>
              <w:t>ri</w:t>
            </w:r>
            <w:r w:rsidR="00FF6F0E" w:rsidRPr="008541FF">
              <w:rPr>
                <w:rFonts w:eastAsia="TimesNewRoman"/>
                <w:szCs w:val="22"/>
                <w:lang w:eastAsia="en-US"/>
              </w:rPr>
              <w:t>zík</w:t>
            </w:r>
            <w:r w:rsidR="00564D9B" w:rsidRPr="008541FF">
              <w:rPr>
                <w:rFonts w:eastAsia="TimesNewRoman"/>
                <w:szCs w:val="22"/>
                <w:vertAlign w:val="superscript"/>
                <w:lang w:eastAsia="en-US"/>
              </w:rPr>
              <w:t>b</w:t>
            </w:r>
          </w:p>
          <w:p w14:paraId="69C7928E" w14:textId="4DB36E05" w:rsidR="00564D9B" w:rsidRPr="002E3042" w:rsidRDefault="00564D9B" w:rsidP="00F75370">
            <w:pPr>
              <w:rPr>
                <w:color w:val="000000"/>
                <w:szCs w:val="22"/>
              </w:rPr>
            </w:pPr>
            <w:r w:rsidRPr="008541FF">
              <w:rPr>
                <w:rFonts w:eastAsia="TimesNewRoman"/>
                <w:szCs w:val="22"/>
                <w:lang w:eastAsia="en-US"/>
              </w:rPr>
              <w:t>(95 % I</w:t>
            </w:r>
            <w:r w:rsidR="00C33852" w:rsidRPr="008541FF">
              <w:rPr>
                <w:rFonts w:eastAsia="TimesNewRoman"/>
                <w:szCs w:val="22"/>
                <w:lang w:eastAsia="en-US"/>
              </w:rPr>
              <w:t>S</w:t>
            </w:r>
            <w:r w:rsidRPr="008541FF">
              <w:rPr>
                <w:rFonts w:eastAsia="TimesNewRoman"/>
                <w:szCs w:val="22"/>
                <w:lang w:eastAsia="en-US"/>
              </w:rPr>
              <w:t>)</w:t>
            </w:r>
          </w:p>
        </w:tc>
        <w:tc>
          <w:tcPr>
            <w:tcW w:w="2501" w:type="pct"/>
            <w:gridSpan w:val="2"/>
            <w:hideMark/>
          </w:tcPr>
          <w:p w14:paraId="284E311F" w14:textId="77777777" w:rsidR="00564D9B" w:rsidRPr="006D4CF8" w:rsidRDefault="00564D9B" w:rsidP="00F75370">
            <w:pPr>
              <w:jc w:val="center"/>
              <w:rPr>
                <w:color w:val="000000"/>
                <w:szCs w:val="22"/>
              </w:rPr>
            </w:pPr>
            <w:r w:rsidRPr="002E3042">
              <w:rPr>
                <w:color w:val="000000"/>
                <w:szCs w:val="22"/>
              </w:rPr>
              <w:t>0,61</w:t>
            </w:r>
          </w:p>
          <w:p w14:paraId="5ABF3C70" w14:textId="77777777" w:rsidR="00564D9B" w:rsidRPr="00260574" w:rsidRDefault="00564D9B" w:rsidP="00F75370">
            <w:pPr>
              <w:jc w:val="center"/>
              <w:rPr>
                <w:color w:val="000000"/>
                <w:szCs w:val="22"/>
              </w:rPr>
            </w:pPr>
            <w:r w:rsidRPr="00260574">
              <w:rPr>
                <w:color w:val="000000"/>
                <w:szCs w:val="22"/>
              </w:rPr>
              <w:t>(0,49; 0,76)</w:t>
            </w:r>
          </w:p>
        </w:tc>
      </w:tr>
      <w:tr w:rsidR="00564D9B" w:rsidRPr="008541FF" w14:paraId="451011CE" w14:textId="77777777" w:rsidTr="00E110FB">
        <w:trPr>
          <w:tblCellSpacing w:w="0" w:type="dxa"/>
        </w:trPr>
        <w:tc>
          <w:tcPr>
            <w:tcW w:w="2499" w:type="pct"/>
            <w:hideMark/>
          </w:tcPr>
          <w:p w14:paraId="13200C24" w14:textId="77777777" w:rsidR="00564D9B" w:rsidRPr="008541FF" w:rsidRDefault="00564D9B" w:rsidP="00F75370">
            <w:pPr>
              <w:rPr>
                <w:color w:val="000000"/>
                <w:szCs w:val="22"/>
              </w:rPr>
            </w:pPr>
            <w:r w:rsidRPr="008541FF">
              <w:rPr>
                <w:rFonts w:eastAsia="TimesNewRoman"/>
                <w:szCs w:val="22"/>
                <w:lang w:eastAsia="en-US"/>
              </w:rPr>
              <w:t xml:space="preserve">p-hodnota </w:t>
            </w:r>
            <w:r w:rsidRPr="008541FF">
              <w:rPr>
                <w:rFonts w:eastAsia="TimesNewRoman"/>
                <w:szCs w:val="22"/>
                <w:vertAlign w:val="superscript"/>
                <w:lang w:eastAsia="en-US"/>
              </w:rPr>
              <w:t>c</w:t>
            </w:r>
          </w:p>
        </w:tc>
        <w:tc>
          <w:tcPr>
            <w:tcW w:w="2501" w:type="pct"/>
            <w:gridSpan w:val="2"/>
            <w:hideMark/>
          </w:tcPr>
          <w:p w14:paraId="4F7E8DBB" w14:textId="77777777" w:rsidR="00564D9B" w:rsidRPr="002E3042" w:rsidRDefault="00564D9B" w:rsidP="00F75370">
            <w:pPr>
              <w:jc w:val="center"/>
              <w:rPr>
                <w:color w:val="000000"/>
                <w:szCs w:val="22"/>
              </w:rPr>
            </w:pPr>
            <w:r w:rsidRPr="002E3042">
              <w:rPr>
                <w:color w:val="000000"/>
                <w:szCs w:val="22"/>
              </w:rPr>
              <w:t>0,00001</w:t>
            </w:r>
          </w:p>
        </w:tc>
      </w:tr>
      <w:tr w:rsidR="00564D9B" w:rsidRPr="008541FF" w14:paraId="6EE1FE02" w14:textId="77777777" w:rsidTr="00E110FB">
        <w:trPr>
          <w:tblCellSpacing w:w="0" w:type="dxa"/>
        </w:trPr>
        <w:tc>
          <w:tcPr>
            <w:tcW w:w="2499" w:type="pct"/>
            <w:hideMark/>
          </w:tcPr>
          <w:p w14:paraId="1487E1A2" w14:textId="77777777" w:rsidR="00564D9B" w:rsidRPr="008541FF" w:rsidRDefault="00564D9B" w:rsidP="00F75370">
            <w:pPr>
              <w:autoSpaceDE w:val="0"/>
              <w:autoSpaceDN w:val="0"/>
              <w:adjustRightInd w:val="0"/>
              <w:ind w:left="0" w:firstLine="0"/>
              <w:rPr>
                <w:rFonts w:eastAsia="TimesNewRoman,Bold"/>
                <w:b/>
                <w:bCs/>
                <w:szCs w:val="22"/>
                <w:lang w:eastAsia="en-US"/>
              </w:rPr>
            </w:pPr>
            <w:r w:rsidRPr="008541FF">
              <w:rPr>
                <w:rFonts w:eastAsia="TimesNewRoman,Bold"/>
                <w:b/>
                <w:bCs/>
                <w:szCs w:val="22"/>
                <w:lang w:eastAsia="en-US"/>
              </w:rPr>
              <w:t>Celkové prežívanie*</w:t>
            </w:r>
          </w:p>
          <w:p w14:paraId="3BE7B681" w14:textId="77777777" w:rsidR="00564D9B" w:rsidRPr="002E3042" w:rsidRDefault="00564D9B" w:rsidP="00F75370">
            <w:pPr>
              <w:rPr>
                <w:color w:val="000000"/>
                <w:szCs w:val="22"/>
              </w:rPr>
            </w:pPr>
            <w:r w:rsidRPr="008541FF">
              <w:rPr>
                <w:rFonts w:eastAsia="TimesNewRoman"/>
                <w:szCs w:val="22"/>
                <w:lang w:eastAsia="en-US"/>
              </w:rPr>
              <w:t>Udalosti (úmrtia) n (%)</w:t>
            </w:r>
          </w:p>
        </w:tc>
        <w:tc>
          <w:tcPr>
            <w:tcW w:w="1250" w:type="pct"/>
            <w:hideMark/>
          </w:tcPr>
          <w:p w14:paraId="4351449C" w14:textId="77777777" w:rsidR="00564D9B" w:rsidRPr="006D4CF8" w:rsidRDefault="00564D9B" w:rsidP="00F75370">
            <w:pPr>
              <w:jc w:val="center"/>
              <w:rPr>
                <w:color w:val="000000"/>
                <w:szCs w:val="22"/>
              </w:rPr>
            </w:pPr>
            <w:r w:rsidRPr="002E3042">
              <w:rPr>
                <w:color w:val="000000"/>
                <w:szCs w:val="22"/>
              </w:rPr>
              <w:t>176 (51,2)</w:t>
            </w:r>
          </w:p>
        </w:tc>
        <w:tc>
          <w:tcPr>
            <w:tcW w:w="1250" w:type="pct"/>
            <w:hideMark/>
          </w:tcPr>
          <w:p w14:paraId="1FC1F508" w14:textId="77777777" w:rsidR="00564D9B" w:rsidRPr="00260574" w:rsidRDefault="00564D9B" w:rsidP="00F75370">
            <w:pPr>
              <w:jc w:val="center"/>
              <w:rPr>
                <w:color w:val="000000"/>
                <w:szCs w:val="22"/>
              </w:rPr>
            </w:pPr>
            <w:r w:rsidRPr="00260574">
              <w:rPr>
                <w:color w:val="000000"/>
                <w:szCs w:val="22"/>
              </w:rPr>
              <w:t>211 (62,4)</w:t>
            </w:r>
          </w:p>
        </w:tc>
      </w:tr>
      <w:tr w:rsidR="00564D9B" w:rsidRPr="008541FF" w14:paraId="1EFE3C98" w14:textId="77777777" w:rsidTr="00E110FB">
        <w:trPr>
          <w:tblCellSpacing w:w="0" w:type="dxa"/>
        </w:trPr>
        <w:tc>
          <w:tcPr>
            <w:tcW w:w="2499" w:type="pct"/>
            <w:hideMark/>
          </w:tcPr>
          <w:p w14:paraId="6EDA8537" w14:textId="7E3D64B6" w:rsidR="00564D9B" w:rsidRPr="008541FF" w:rsidRDefault="00FF6F0E" w:rsidP="00F75370">
            <w:pPr>
              <w:autoSpaceDE w:val="0"/>
              <w:autoSpaceDN w:val="0"/>
              <w:adjustRightInd w:val="0"/>
              <w:ind w:left="0" w:firstLine="0"/>
              <w:rPr>
                <w:rFonts w:eastAsia="TimesNewRoman"/>
                <w:szCs w:val="22"/>
                <w:lang w:eastAsia="en-US"/>
              </w:rPr>
            </w:pPr>
            <w:r w:rsidRPr="008541FF">
              <w:rPr>
                <w:rFonts w:eastAsia="TimesNewRoman"/>
                <w:szCs w:val="22"/>
                <w:lang w:eastAsia="en-US"/>
              </w:rPr>
              <w:t>Medián</w:t>
            </w:r>
            <w:r w:rsidR="00564D9B" w:rsidRPr="008541FF">
              <w:rPr>
                <w:rFonts w:eastAsia="TimesNewRoman"/>
                <w:szCs w:val="22"/>
                <w:vertAlign w:val="superscript"/>
                <w:lang w:eastAsia="en-US"/>
              </w:rPr>
              <w:t>a</w:t>
            </w:r>
          </w:p>
          <w:p w14:paraId="50357DCC" w14:textId="144D91EE" w:rsidR="00564D9B" w:rsidRPr="002E3042" w:rsidRDefault="00564D9B" w:rsidP="00F75370">
            <w:pPr>
              <w:rPr>
                <w:color w:val="000000"/>
                <w:szCs w:val="22"/>
              </w:rPr>
            </w:pPr>
            <w:r w:rsidRPr="008541FF">
              <w:rPr>
                <w:rFonts w:eastAsia="TimesNewRoman"/>
                <w:szCs w:val="22"/>
                <w:lang w:eastAsia="en-US"/>
              </w:rPr>
              <w:t>(95 % I</w:t>
            </w:r>
            <w:r w:rsidR="00C33852" w:rsidRPr="008541FF">
              <w:rPr>
                <w:rFonts w:eastAsia="TimesNewRoman"/>
                <w:szCs w:val="22"/>
                <w:lang w:eastAsia="en-US"/>
              </w:rPr>
              <w:t>S</w:t>
            </w:r>
            <w:r w:rsidRPr="008541FF">
              <w:rPr>
                <w:rFonts w:eastAsia="TimesNewRoman"/>
                <w:szCs w:val="22"/>
                <w:lang w:eastAsia="en-US"/>
              </w:rPr>
              <w:t>)</w:t>
            </w:r>
          </w:p>
        </w:tc>
        <w:tc>
          <w:tcPr>
            <w:tcW w:w="1250" w:type="pct"/>
            <w:hideMark/>
          </w:tcPr>
          <w:p w14:paraId="2F27EDD3" w14:textId="50BFCBC2" w:rsidR="00564D9B" w:rsidRPr="00260574" w:rsidRDefault="00564D9B" w:rsidP="00F75370">
            <w:pPr>
              <w:jc w:val="center"/>
              <w:rPr>
                <w:color w:val="000000"/>
                <w:szCs w:val="22"/>
              </w:rPr>
            </w:pPr>
            <w:r w:rsidRPr="002E3042">
              <w:rPr>
                <w:color w:val="000000"/>
                <w:szCs w:val="22"/>
              </w:rPr>
              <w:t>56,4 mes</w:t>
            </w:r>
            <w:r w:rsidR="00C33852" w:rsidRPr="006D4CF8">
              <w:rPr>
                <w:color w:val="000000"/>
                <w:szCs w:val="22"/>
              </w:rPr>
              <w:t>iaca</w:t>
            </w:r>
          </w:p>
          <w:p w14:paraId="29DB9504" w14:textId="77777777" w:rsidR="00564D9B" w:rsidRPr="00260574" w:rsidRDefault="00564D9B" w:rsidP="00F75370">
            <w:pPr>
              <w:jc w:val="center"/>
              <w:rPr>
                <w:color w:val="000000"/>
                <w:szCs w:val="22"/>
              </w:rPr>
            </w:pPr>
            <w:r w:rsidRPr="00260574">
              <w:rPr>
                <w:color w:val="000000"/>
                <w:szCs w:val="22"/>
              </w:rPr>
              <w:t>(52,8; 60,9)</w:t>
            </w:r>
          </w:p>
        </w:tc>
        <w:tc>
          <w:tcPr>
            <w:tcW w:w="1250" w:type="pct"/>
            <w:hideMark/>
          </w:tcPr>
          <w:p w14:paraId="67F07A5D" w14:textId="5166460D" w:rsidR="00564D9B" w:rsidRPr="00267017" w:rsidRDefault="00564D9B" w:rsidP="00F75370">
            <w:pPr>
              <w:jc w:val="center"/>
              <w:rPr>
                <w:color w:val="000000"/>
                <w:szCs w:val="22"/>
              </w:rPr>
            </w:pPr>
            <w:r w:rsidRPr="00260574">
              <w:rPr>
                <w:color w:val="000000"/>
                <w:szCs w:val="22"/>
              </w:rPr>
              <w:t>43,1 mes</w:t>
            </w:r>
            <w:r w:rsidR="00C33852" w:rsidRPr="008A5742">
              <w:rPr>
                <w:color w:val="000000"/>
                <w:szCs w:val="22"/>
              </w:rPr>
              <w:t>iaca</w:t>
            </w:r>
          </w:p>
          <w:p w14:paraId="0F933FAB" w14:textId="77777777" w:rsidR="00564D9B" w:rsidRPr="004A2AAD" w:rsidRDefault="00564D9B" w:rsidP="00F75370">
            <w:pPr>
              <w:jc w:val="center"/>
              <w:rPr>
                <w:color w:val="000000"/>
                <w:szCs w:val="22"/>
              </w:rPr>
            </w:pPr>
            <w:r w:rsidRPr="00D0373F">
              <w:rPr>
                <w:color w:val="000000"/>
                <w:szCs w:val="22"/>
              </w:rPr>
              <w:t>(35,3; 48,3)</w:t>
            </w:r>
          </w:p>
        </w:tc>
      </w:tr>
      <w:tr w:rsidR="00564D9B" w:rsidRPr="008541FF" w14:paraId="53BFC52A" w14:textId="77777777" w:rsidTr="00E110FB">
        <w:trPr>
          <w:tblCellSpacing w:w="0" w:type="dxa"/>
        </w:trPr>
        <w:tc>
          <w:tcPr>
            <w:tcW w:w="2499" w:type="pct"/>
            <w:hideMark/>
          </w:tcPr>
          <w:p w14:paraId="1A6752E9" w14:textId="1013CD60" w:rsidR="00564D9B" w:rsidRPr="008541FF" w:rsidRDefault="00C33852" w:rsidP="00F75370">
            <w:pPr>
              <w:autoSpaceDE w:val="0"/>
              <w:autoSpaceDN w:val="0"/>
              <w:adjustRightInd w:val="0"/>
              <w:ind w:left="0" w:firstLine="0"/>
              <w:rPr>
                <w:rFonts w:eastAsia="TimesNewRoman"/>
                <w:szCs w:val="22"/>
                <w:lang w:eastAsia="en-US"/>
              </w:rPr>
            </w:pPr>
            <w:r w:rsidRPr="008541FF">
              <w:rPr>
                <w:rFonts w:eastAsia="TimesNewRoman"/>
                <w:szCs w:val="22"/>
                <w:lang w:eastAsia="en-US"/>
              </w:rPr>
              <w:t xml:space="preserve">Pomer </w:t>
            </w:r>
            <w:r w:rsidR="00564D9B" w:rsidRPr="008541FF">
              <w:rPr>
                <w:rFonts w:eastAsia="TimesNewRoman"/>
                <w:szCs w:val="22"/>
                <w:lang w:eastAsia="en-US"/>
              </w:rPr>
              <w:t>riz</w:t>
            </w:r>
            <w:r w:rsidR="00FF6F0E" w:rsidRPr="008541FF">
              <w:rPr>
                <w:rFonts w:eastAsia="TimesNewRoman"/>
                <w:szCs w:val="22"/>
                <w:lang w:eastAsia="en-US"/>
              </w:rPr>
              <w:t>ík</w:t>
            </w:r>
            <w:r w:rsidR="00564D9B" w:rsidRPr="008541FF">
              <w:rPr>
                <w:rFonts w:eastAsia="TimesNewRoman"/>
                <w:szCs w:val="22"/>
                <w:vertAlign w:val="superscript"/>
                <w:lang w:eastAsia="en-US"/>
              </w:rPr>
              <w:t>b</w:t>
            </w:r>
          </w:p>
          <w:p w14:paraId="08E47742" w14:textId="62BAA288" w:rsidR="00564D9B" w:rsidRPr="002E3042" w:rsidRDefault="00564D9B" w:rsidP="00F75370">
            <w:pPr>
              <w:rPr>
                <w:color w:val="000000"/>
                <w:szCs w:val="22"/>
              </w:rPr>
            </w:pPr>
            <w:r w:rsidRPr="008541FF">
              <w:rPr>
                <w:rFonts w:eastAsia="TimesNewRoman"/>
                <w:szCs w:val="22"/>
                <w:lang w:eastAsia="en-US"/>
              </w:rPr>
              <w:t>(95 % I</w:t>
            </w:r>
            <w:r w:rsidR="00C33852" w:rsidRPr="008541FF">
              <w:rPr>
                <w:rFonts w:eastAsia="TimesNewRoman"/>
                <w:szCs w:val="22"/>
                <w:lang w:eastAsia="en-US"/>
              </w:rPr>
              <w:t>S</w:t>
            </w:r>
            <w:r w:rsidRPr="008541FF">
              <w:rPr>
                <w:rFonts w:eastAsia="TimesNewRoman"/>
                <w:szCs w:val="22"/>
                <w:lang w:eastAsia="en-US"/>
              </w:rPr>
              <w:t>)</w:t>
            </w:r>
          </w:p>
        </w:tc>
        <w:tc>
          <w:tcPr>
            <w:tcW w:w="2501" w:type="pct"/>
            <w:gridSpan w:val="2"/>
            <w:hideMark/>
          </w:tcPr>
          <w:p w14:paraId="3FBFE4CF" w14:textId="77777777" w:rsidR="00564D9B" w:rsidRPr="006D4CF8" w:rsidRDefault="00564D9B" w:rsidP="00F75370">
            <w:pPr>
              <w:jc w:val="center"/>
              <w:rPr>
                <w:color w:val="000000"/>
                <w:szCs w:val="22"/>
              </w:rPr>
            </w:pPr>
            <w:r w:rsidRPr="002E3042">
              <w:rPr>
                <w:color w:val="000000"/>
                <w:szCs w:val="22"/>
              </w:rPr>
              <w:t>0,695</w:t>
            </w:r>
          </w:p>
          <w:p w14:paraId="3FB9BE21" w14:textId="77777777" w:rsidR="00564D9B" w:rsidRPr="00260574" w:rsidRDefault="00564D9B" w:rsidP="00F75370">
            <w:pPr>
              <w:jc w:val="center"/>
              <w:rPr>
                <w:color w:val="000000"/>
                <w:szCs w:val="22"/>
              </w:rPr>
            </w:pPr>
            <w:r w:rsidRPr="00260574">
              <w:rPr>
                <w:color w:val="000000"/>
                <w:szCs w:val="22"/>
              </w:rPr>
              <w:t>(0,567; 0,852)</w:t>
            </w:r>
          </w:p>
        </w:tc>
      </w:tr>
      <w:tr w:rsidR="00564D9B" w:rsidRPr="008541FF" w14:paraId="0935027A" w14:textId="77777777" w:rsidTr="00E110FB">
        <w:trPr>
          <w:tblCellSpacing w:w="0" w:type="dxa"/>
        </w:trPr>
        <w:tc>
          <w:tcPr>
            <w:tcW w:w="2499" w:type="pct"/>
            <w:hideMark/>
          </w:tcPr>
          <w:p w14:paraId="7EFBB98A" w14:textId="77777777" w:rsidR="00564D9B" w:rsidRPr="008541FF" w:rsidRDefault="00564D9B" w:rsidP="00F75370">
            <w:pPr>
              <w:rPr>
                <w:color w:val="000000"/>
                <w:szCs w:val="22"/>
              </w:rPr>
            </w:pPr>
            <w:r w:rsidRPr="008541FF">
              <w:rPr>
                <w:rFonts w:eastAsia="TimesNewRoman"/>
                <w:szCs w:val="22"/>
                <w:lang w:eastAsia="en-US"/>
              </w:rPr>
              <w:t xml:space="preserve">p-hodnota </w:t>
            </w:r>
            <w:r w:rsidRPr="008541FF">
              <w:rPr>
                <w:rFonts w:eastAsia="TimesNewRoman"/>
                <w:szCs w:val="22"/>
                <w:vertAlign w:val="superscript"/>
                <w:lang w:eastAsia="en-US"/>
              </w:rPr>
              <w:t>c</w:t>
            </w:r>
          </w:p>
        </w:tc>
        <w:tc>
          <w:tcPr>
            <w:tcW w:w="2501" w:type="pct"/>
            <w:gridSpan w:val="2"/>
            <w:hideMark/>
          </w:tcPr>
          <w:p w14:paraId="1A09E8CF" w14:textId="77777777" w:rsidR="00564D9B" w:rsidRPr="002E3042" w:rsidRDefault="00564D9B" w:rsidP="00F75370">
            <w:pPr>
              <w:jc w:val="center"/>
              <w:rPr>
                <w:color w:val="000000"/>
                <w:szCs w:val="22"/>
              </w:rPr>
            </w:pPr>
            <w:r w:rsidRPr="002E3042">
              <w:rPr>
                <w:color w:val="000000"/>
                <w:szCs w:val="22"/>
              </w:rPr>
              <w:t>0,00043</w:t>
            </w:r>
          </w:p>
        </w:tc>
      </w:tr>
      <w:tr w:rsidR="00564D9B" w:rsidRPr="008541FF" w14:paraId="7C18E6EB" w14:textId="77777777" w:rsidTr="00E110FB">
        <w:trPr>
          <w:tblCellSpacing w:w="0" w:type="dxa"/>
        </w:trPr>
        <w:tc>
          <w:tcPr>
            <w:tcW w:w="2499" w:type="pct"/>
            <w:hideMark/>
          </w:tcPr>
          <w:p w14:paraId="51ACBB6A" w14:textId="77777777" w:rsidR="00564D9B" w:rsidRPr="008541FF" w:rsidRDefault="00564D9B" w:rsidP="00F75370">
            <w:pPr>
              <w:autoSpaceDE w:val="0"/>
              <w:autoSpaceDN w:val="0"/>
              <w:adjustRightInd w:val="0"/>
              <w:ind w:left="0" w:firstLine="0"/>
              <w:rPr>
                <w:rFonts w:eastAsia="TimesNewRoman,Bold"/>
                <w:b/>
                <w:bCs/>
                <w:szCs w:val="22"/>
                <w:lang w:eastAsia="en-US"/>
              </w:rPr>
            </w:pPr>
            <w:r w:rsidRPr="008541FF">
              <w:rPr>
                <w:rFonts w:eastAsia="TimesNewRoman,Bold"/>
                <w:b/>
                <w:bCs/>
                <w:szCs w:val="22"/>
                <w:lang w:eastAsia="en-US"/>
              </w:rPr>
              <w:t>Miera odpovede</w:t>
            </w:r>
          </w:p>
          <w:p w14:paraId="6A9EBB14" w14:textId="77777777" w:rsidR="00564D9B" w:rsidRPr="002E3042" w:rsidRDefault="00564D9B" w:rsidP="00F75370">
            <w:pPr>
              <w:rPr>
                <w:color w:val="000000"/>
                <w:szCs w:val="22"/>
              </w:rPr>
            </w:pPr>
            <w:r w:rsidRPr="008541FF">
              <w:rPr>
                <w:rFonts w:eastAsia="TimesNewRoman"/>
                <w:szCs w:val="22"/>
                <w:lang w:eastAsia="en-US"/>
              </w:rPr>
              <w:t>populácia</w:t>
            </w:r>
            <w:r w:rsidRPr="008541FF">
              <w:rPr>
                <w:rFonts w:eastAsia="TimesNewRoman"/>
                <w:szCs w:val="22"/>
                <w:vertAlign w:val="superscript"/>
                <w:lang w:eastAsia="en-US"/>
              </w:rPr>
              <w:t>e</w:t>
            </w:r>
            <w:r w:rsidRPr="008541FF">
              <w:rPr>
                <w:rFonts w:eastAsia="TimesNewRoman"/>
                <w:szCs w:val="22"/>
                <w:lang w:eastAsia="en-US"/>
              </w:rPr>
              <w:t xml:space="preserve"> n = 668</w:t>
            </w:r>
          </w:p>
        </w:tc>
        <w:tc>
          <w:tcPr>
            <w:tcW w:w="1250" w:type="pct"/>
            <w:hideMark/>
          </w:tcPr>
          <w:p w14:paraId="667BEBD8" w14:textId="77777777" w:rsidR="00564D9B" w:rsidRPr="006D4CF8" w:rsidRDefault="00564D9B" w:rsidP="00F75370">
            <w:pPr>
              <w:jc w:val="center"/>
              <w:rPr>
                <w:color w:val="000000"/>
                <w:szCs w:val="22"/>
              </w:rPr>
            </w:pPr>
            <w:r w:rsidRPr="002E3042">
              <w:rPr>
                <w:color w:val="000000"/>
                <w:szCs w:val="22"/>
              </w:rPr>
              <w:t>n = 337</w:t>
            </w:r>
          </w:p>
        </w:tc>
        <w:tc>
          <w:tcPr>
            <w:tcW w:w="1250" w:type="pct"/>
            <w:hideMark/>
          </w:tcPr>
          <w:p w14:paraId="3B13A7CB" w14:textId="77777777" w:rsidR="00564D9B" w:rsidRPr="00260574" w:rsidRDefault="00564D9B" w:rsidP="00F75370">
            <w:pPr>
              <w:jc w:val="center"/>
              <w:rPr>
                <w:color w:val="000000"/>
                <w:szCs w:val="22"/>
              </w:rPr>
            </w:pPr>
            <w:r w:rsidRPr="00260574">
              <w:rPr>
                <w:color w:val="000000"/>
                <w:szCs w:val="22"/>
              </w:rPr>
              <w:t>n = 331</w:t>
            </w:r>
          </w:p>
        </w:tc>
      </w:tr>
      <w:tr w:rsidR="00564D9B" w:rsidRPr="008541FF" w14:paraId="7E76F672" w14:textId="77777777" w:rsidTr="00E110FB">
        <w:trPr>
          <w:tblCellSpacing w:w="0" w:type="dxa"/>
        </w:trPr>
        <w:tc>
          <w:tcPr>
            <w:tcW w:w="2499" w:type="pct"/>
            <w:hideMark/>
          </w:tcPr>
          <w:p w14:paraId="625FACD8" w14:textId="77777777" w:rsidR="00564D9B" w:rsidRPr="002E3042" w:rsidRDefault="00564D9B" w:rsidP="00F75370">
            <w:pPr>
              <w:rPr>
                <w:color w:val="000000"/>
                <w:szCs w:val="22"/>
              </w:rPr>
            </w:pPr>
            <w:r w:rsidRPr="002E3042">
              <w:rPr>
                <w:color w:val="000000"/>
                <w:szCs w:val="22"/>
              </w:rPr>
              <w:t>CR</w:t>
            </w:r>
            <w:r w:rsidRPr="002E3042">
              <w:rPr>
                <w:color w:val="000000"/>
                <w:szCs w:val="22"/>
                <w:vertAlign w:val="superscript"/>
              </w:rPr>
              <w:t>f</w:t>
            </w:r>
            <w:r w:rsidRPr="002E3042">
              <w:rPr>
                <w:color w:val="000000"/>
                <w:szCs w:val="22"/>
              </w:rPr>
              <w:t xml:space="preserve"> n (%) </w:t>
            </w:r>
          </w:p>
        </w:tc>
        <w:tc>
          <w:tcPr>
            <w:tcW w:w="1250" w:type="pct"/>
            <w:hideMark/>
          </w:tcPr>
          <w:p w14:paraId="0B76D4D5" w14:textId="77777777" w:rsidR="00564D9B" w:rsidRPr="006D4CF8" w:rsidRDefault="00564D9B" w:rsidP="00F75370">
            <w:pPr>
              <w:jc w:val="center"/>
              <w:rPr>
                <w:color w:val="000000"/>
                <w:szCs w:val="22"/>
              </w:rPr>
            </w:pPr>
            <w:r w:rsidRPr="002E3042">
              <w:rPr>
                <w:color w:val="000000"/>
                <w:szCs w:val="22"/>
              </w:rPr>
              <w:t>102 (30)</w:t>
            </w:r>
          </w:p>
        </w:tc>
        <w:tc>
          <w:tcPr>
            <w:tcW w:w="1250" w:type="pct"/>
            <w:hideMark/>
          </w:tcPr>
          <w:p w14:paraId="68CF943E" w14:textId="77777777" w:rsidR="00564D9B" w:rsidRPr="00260574" w:rsidRDefault="00564D9B" w:rsidP="00F75370">
            <w:pPr>
              <w:jc w:val="center"/>
              <w:rPr>
                <w:color w:val="000000"/>
                <w:szCs w:val="22"/>
              </w:rPr>
            </w:pPr>
            <w:r w:rsidRPr="00260574">
              <w:rPr>
                <w:color w:val="000000"/>
                <w:szCs w:val="22"/>
              </w:rPr>
              <w:t>12 (4)</w:t>
            </w:r>
          </w:p>
        </w:tc>
      </w:tr>
      <w:tr w:rsidR="00564D9B" w:rsidRPr="008541FF" w14:paraId="63B06AC6" w14:textId="77777777" w:rsidTr="00E110FB">
        <w:trPr>
          <w:tblCellSpacing w:w="0" w:type="dxa"/>
        </w:trPr>
        <w:tc>
          <w:tcPr>
            <w:tcW w:w="2499" w:type="pct"/>
            <w:hideMark/>
          </w:tcPr>
          <w:p w14:paraId="34D97125" w14:textId="77777777" w:rsidR="00564D9B" w:rsidRPr="002E3042" w:rsidRDefault="00564D9B" w:rsidP="00F75370">
            <w:pPr>
              <w:rPr>
                <w:color w:val="000000"/>
                <w:szCs w:val="22"/>
              </w:rPr>
            </w:pPr>
            <w:r w:rsidRPr="002E3042">
              <w:rPr>
                <w:color w:val="000000"/>
                <w:szCs w:val="22"/>
              </w:rPr>
              <w:t>PR</w:t>
            </w:r>
            <w:r w:rsidRPr="002E3042">
              <w:rPr>
                <w:color w:val="000000"/>
                <w:szCs w:val="22"/>
                <w:vertAlign w:val="superscript"/>
              </w:rPr>
              <w:t>f</w:t>
            </w:r>
            <w:r w:rsidRPr="002E3042">
              <w:rPr>
                <w:color w:val="000000"/>
                <w:szCs w:val="22"/>
              </w:rPr>
              <w:t xml:space="preserve"> n (%) </w:t>
            </w:r>
          </w:p>
        </w:tc>
        <w:tc>
          <w:tcPr>
            <w:tcW w:w="1250" w:type="pct"/>
            <w:hideMark/>
          </w:tcPr>
          <w:p w14:paraId="14D66A7E" w14:textId="77777777" w:rsidR="00564D9B" w:rsidRPr="006D4CF8" w:rsidRDefault="00564D9B" w:rsidP="00F75370">
            <w:pPr>
              <w:jc w:val="center"/>
              <w:rPr>
                <w:color w:val="000000"/>
                <w:szCs w:val="22"/>
              </w:rPr>
            </w:pPr>
            <w:r w:rsidRPr="002E3042">
              <w:rPr>
                <w:color w:val="000000"/>
                <w:szCs w:val="22"/>
              </w:rPr>
              <w:t>136 (40)</w:t>
            </w:r>
          </w:p>
        </w:tc>
        <w:tc>
          <w:tcPr>
            <w:tcW w:w="1250" w:type="pct"/>
            <w:hideMark/>
          </w:tcPr>
          <w:p w14:paraId="00C01348" w14:textId="77777777" w:rsidR="00564D9B" w:rsidRPr="00260574" w:rsidRDefault="00564D9B" w:rsidP="00F75370">
            <w:pPr>
              <w:jc w:val="center"/>
              <w:rPr>
                <w:color w:val="000000"/>
                <w:szCs w:val="22"/>
              </w:rPr>
            </w:pPr>
            <w:r w:rsidRPr="00260574">
              <w:rPr>
                <w:color w:val="000000"/>
                <w:szCs w:val="22"/>
              </w:rPr>
              <w:t>103 (31)</w:t>
            </w:r>
          </w:p>
        </w:tc>
      </w:tr>
      <w:tr w:rsidR="00564D9B" w:rsidRPr="008541FF" w14:paraId="18AE017E" w14:textId="77777777" w:rsidTr="00E110FB">
        <w:trPr>
          <w:tblCellSpacing w:w="0" w:type="dxa"/>
        </w:trPr>
        <w:tc>
          <w:tcPr>
            <w:tcW w:w="2499" w:type="pct"/>
            <w:hideMark/>
          </w:tcPr>
          <w:p w14:paraId="01FD21ED" w14:textId="77777777" w:rsidR="00564D9B" w:rsidRPr="002E3042" w:rsidRDefault="00564D9B" w:rsidP="00F75370">
            <w:pPr>
              <w:rPr>
                <w:color w:val="000000"/>
                <w:szCs w:val="22"/>
              </w:rPr>
            </w:pPr>
            <w:r w:rsidRPr="002E3042">
              <w:rPr>
                <w:color w:val="000000"/>
                <w:szCs w:val="22"/>
              </w:rPr>
              <w:t xml:space="preserve">nCR n (%) </w:t>
            </w:r>
          </w:p>
        </w:tc>
        <w:tc>
          <w:tcPr>
            <w:tcW w:w="1250" w:type="pct"/>
            <w:hideMark/>
          </w:tcPr>
          <w:p w14:paraId="670B2091" w14:textId="77777777" w:rsidR="00564D9B" w:rsidRPr="006D4CF8" w:rsidRDefault="00564D9B" w:rsidP="00F75370">
            <w:pPr>
              <w:jc w:val="center"/>
              <w:rPr>
                <w:color w:val="000000"/>
                <w:szCs w:val="22"/>
              </w:rPr>
            </w:pPr>
            <w:r w:rsidRPr="002E3042">
              <w:rPr>
                <w:color w:val="000000"/>
                <w:szCs w:val="22"/>
              </w:rPr>
              <w:t>5 (1)</w:t>
            </w:r>
          </w:p>
        </w:tc>
        <w:tc>
          <w:tcPr>
            <w:tcW w:w="1250" w:type="pct"/>
            <w:hideMark/>
          </w:tcPr>
          <w:p w14:paraId="30ED3F9C" w14:textId="77777777" w:rsidR="00564D9B" w:rsidRPr="00260574" w:rsidRDefault="00564D9B" w:rsidP="00F75370">
            <w:pPr>
              <w:jc w:val="center"/>
              <w:rPr>
                <w:color w:val="000000"/>
                <w:szCs w:val="22"/>
              </w:rPr>
            </w:pPr>
            <w:r w:rsidRPr="00260574">
              <w:rPr>
                <w:color w:val="000000"/>
                <w:szCs w:val="22"/>
              </w:rPr>
              <w:t>0</w:t>
            </w:r>
          </w:p>
        </w:tc>
      </w:tr>
      <w:tr w:rsidR="00564D9B" w:rsidRPr="008541FF" w14:paraId="5F3F77A4" w14:textId="77777777" w:rsidTr="00E110FB">
        <w:trPr>
          <w:tblCellSpacing w:w="0" w:type="dxa"/>
        </w:trPr>
        <w:tc>
          <w:tcPr>
            <w:tcW w:w="2499" w:type="pct"/>
            <w:hideMark/>
          </w:tcPr>
          <w:p w14:paraId="667BECA1" w14:textId="77777777" w:rsidR="00564D9B" w:rsidRPr="002E3042" w:rsidRDefault="00564D9B" w:rsidP="00F75370">
            <w:pPr>
              <w:rPr>
                <w:color w:val="000000"/>
                <w:szCs w:val="22"/>
              </w:rPr>
            </w:pPr>
            <w:r w:rsidRPr="002E3042">
              <w:rPr>
                <w:color w:val="000000"/>
                <w:szCs w:val="22"/>
              </w:rPr>
              <w:t>CR+PR</w:t>
            </w:r>
            <w:r w:rsidRPr="002E3042">
              <w:rPr>
                <w:color w:val="000000"/>
                <w:szCs w:val="22"/>
                <w:vertAlign w:val="superscript"/>
              </w:rPr>
              <w:t>f</w:t>
            </w:r>
            <w:r w:rsidRPr="002E3042">
              <w:rPr>
                <w:color w:val="000000"/>
                <w:szCs w:val="22"/>
              </w:rPr>
              <w:t xml:space="preserve"> n (%) </w:t>
            </w:r>
          </w:p>
        </w:tc>
        <w:tc>
          <w:tcPr>
            <w:tcW w:w="1250" w:type="pct"/>
            <w:hideMark/>
          </w:tcPr>
          <w:p w14:paraId="3B31BC9F" w14:textId="77777777" w:rsidR="00564D9B" w:rsidRPr="006D4CF8" w:rsidRDefault="00564D9B" w:rsidP="00F75370">
            <w:pPr>
              <w:jc w:val="center"/>
              <w:rPr>
                <w:color w:val="000000"/>
                <w:szCs w:val="22"/>
              </w:rPr>
            </w:pPr>
            <w:r w:rsidRPr="002E3042">
              <w:rPr>
                <w:color w:val="000000"/>
                <w:szCs w:val="22"/>
              </w:rPr>
              <w:t>238 (71)</w:t>
            </w:r>
          </w:p>
        </w:tc>
        <w:tc>
          <w:tcPr>
            <w:tcW w:w="1250" w:type="pct"/>
            <w:hideMark/>
          </w:tcPr>
          <w:p w14:paraId="7E1DFB52" w14:textId="77777777" w:rsidR="00564D9B" w:rsidRPr="00260574" w:rsidRDefault="00564D9B" w:rsidP="00F75370">
            <w:pPr>
              <w:jc w:val="center"/>
              <w:rPr>
                <w:color w:val="000000"/>
                <w:szCs w:val="22"/>
              </w:rPr>
            </w:pPr>
            <w:r w:rsidRPr="00260574">
              <w:rPr>
                <w:color w:val="000000"/>
                <w:szCs w:val="22"/>
              </w:rPr>
              <w:t>115 (35)</w:t>
            </w:r>
          </w:p>
        </w:tc>
      </w:tr>
      <w:tr w:rsidR="00564D9B" w:rsidRPr="008541FF" w14:paraId="1D33CECE" w14:textId="77777777" w:rsidTr="00E110FB">
        <w:trPr>
          <w:tblCellSpacing w:w="0" w:type="dxa"/>
        </w:trPr>
        <w:tc>
          <w:tcPr>
            <w:tcW w:w="2499" w:type="pct"/>
            <w:hideMark/>
          </w:tcPr>
          <w:p w14:paraId="20DDBC5A" w14:textId="77777777" w:rsidR="00564D9B" w:rsidRPr="008541FF" w:rsidRDefault="00564D9B" w:rsidP="00F75370">
            <w:pPr>
              <w:rPr>
                <w:color w:val="000000"/>
                <w:szCs w:val="22"/>
              </w:rPr>
            </w:pPr>
            <w:r w:rsidRPr="008541FF">
              <w:rPr>
                <w:rFonts w:eastAsia="TimesNewRoman"/>
                <w:szCs w:val="22"/>
                <w:lang w:eastAsia="en-US"/>
              </w:rPr>
              <w:t>p-hodnota</w:t>
            </w:r>
            <w:r w:rsidRPr="008541FF">
              <w:rPr>
                <w:rFonts w:eastAsia="TimesNewRoman"/>
                <w:szCs w:val="22"/>
                <w:vertAlign w:val="superscript"/>
                <w:lang w:eastAsia="en-US"/>
              </w:rPr>
              <w:t>d</w:t>
            </w:r>
          </w:p>
        </w:tc>
        <w:tc>
          <w:tcPr>
            <w:tcW w:w="2501" w:type="pct"/>
            <w:gridSpan w:val="2"/>
            <w:hideMark/>
          </w:tcPr>
          <w:p w14:paraId="758F8024" w14:textId="77777777" w:rsidR="00564D9B" w:rsidRPr="002E3042" w:rsidRDefault="00564D9B" w:rsidP="00F75370">
            <w:pPr>
              <w:jc w:val="center"/>
              <w:rPr>
                <w:color w:val="000000"/>
                <w:szCs w:val="22"/>
              </w:rPr>
            </w:pPr>
            <w:r w:rsidRPr="002E3042">
              <w:rPr>
                <w:color w:val="000000"/>
                <w:szCs w:val="22"/>
              </w:rPr>
              <w:t>&lt; 10</w:t>
            </w:r>
            <w:r w:rsidRPr="002E3042">
              <w:rPr>
                <w:color w:val="000000"/>
                <w:szCs w:val="22"/>
                <w:vertAlign w:val="superscript"/>
              </w:rPr>
              <w:t>-10</w:t>
            </w:r>
          </w:p>
        </w:tc>
      </w:tr>
      <w:tr w:rsidR="00564D9B" w:rsidRPr="008541FF" w14:paraId="50828819" w14:textId="77777777" w:rsidTr="00E110FB">
        <w:trPr>
          <w:tblCellSpacing w:w="0" w:type="dxa"/>
        </w:trPr>
        <w:tc>
          <w:tcPr>
            <w:tcW w:w="2499" w:type="pct"/>
            <w:hideMark/>
          </w:tcPr>
          <w:p w14:paraId="679173B3" w14:textId="77777777" w:rsidR="00564D9B" w:rsidRPr="008541FF" w:rsidRDefault="00564D9B" w:rsidP="00F75370">
            <w:pPr>
              <w:autoSpaceDE w:val="0"/>
              <w:autoSpaceDN w:val="0"/>
              <w:adjustRightInd w:val="0"/>
              <w:ind w:left="0" w:firstLine="0"/>
              <w:rPr>
                <w:rFonts w:eastAsia="TimesNewRoman,Bold"/>
                <w:b/>
                <w:bCs/>
                <w:szCs w:val="22"/>
                <w:lang w:eastAsia="en-US"/>
              </w:rPr>
            </w:pPr>
            <w:r w:rsidRPr="008541FF">
              <w:rPr>
                <w:rFonts w:eastAsia="TimesNewRoman,Bold"/>
                <w:b/>
                <w:bCs/>
                <w:szCs w:val="22"/>
                <w:lang w:eastAsia="en-US"/>
              </w:rPr>
              <w:t>Zníženie sérového M-proteínu</w:t>
            </w:r>
          </w:p>
          <w:p w14:paraId="52108313" w14:textId="77777777" w:rsidR="00564D9B" w:rsidRPr="002E3042" w:rsidRDefault="00564D9B" w:rsidP="00F75370">
            <w:pPr>
              <w:rPr>
                <w:color w:val="000000"/>
                <w:szCs w:val="22"/>
              </w:rPr>
            </w:pPr>
            <w:r w:rsidRPr="008541FF">
              <w:rPr>
                <w:rFonts w:eastAsia="TimesNewRoman"/>
                <w:szCs w:val="22"/>
                <w:lang w:eastAsia="en-US"/>
              </w:rPr>
              <w:t>populácia</w:t>
            </w:r>
            <w:r w:rsidRPr="008541FF">
              <w:rPr>
                <w:rFonts w:eastAsia="TimesNewRoman"/>
                <w:szCs w:val="22"/>
                <w:vertAlign w:val="superscript"/>
                <w:lang w:eastAsia="en-US"/>
              </w:rPr>
              <w:t>g</w:t>
            </w:r>
            <w:r w:rsidRPr="008541FF">
              <w:rPr>
                <w:rFonts w:eastAsia="TimesNewRoman"/>
                <w:szCs w:val="22"/>
                <w:lang w:eastAsia="en-US"/>
              </w:rPr>
              <w:t xml:space="preserve"> n = 667</w:t>
            </w:r>
          </w:p>
        </w:tc>
        <w:tc>
          <w:tcPr>
            <w:tcW w:w="1250" w:type="pct"/>
            <w:hideMark/>
          </w:tcPr>
          <w:p w14:paraId="5E816311" w14:textId="77777777" w:rsidR="00564D9B" w:rsidRPr="006D4CF8" w:rsidRDefault="00564D9B" w:rsidP="00F75370">
            <w:pPr>
              <w:jc w:val="center"/>
              <w:rPr>
                <w:color w:val="000000"/>
                <w:szCs w:val="22"/>
              </w:rPr>
            </w:pPr>
            <w:r w:rsidRPr="002E3042">
              <w:rPr>
                <w:color w:val="000000"/>
                <w:szCs w:val="22"/>
              </w:rPr>
              <w:t>n =336</w:t>
            </w:r>
          </w:p>
        </w:tc>
        <w:tc>
          <w:tcPr>
            <w:tcW w:w="1250" w:type="pct"/>
            <w:hideMark/>
          </w:tcPr>
          <w:p w14:paraId="24C263FC" w14:textId="77777777" w:rsidR="00564D9B" w:rsidRPr="00260574" w:rsidRDefault="00564D9B" w:rsidP="00F75370">
            <w:pPr>
              <w:jc w:val="center"/>
              <w:rPr>
                <w:color w:val="000000"/>
                <w:szCs w:val="22"/>
              </w:rPr>
            </w:pPr>
            <w:r w:rsidRPr="00260574">
              <w:rPr>
                <w:color w:val="000000"/>
                <w:szCs w:val="22"/>
              </w:rPr>
              <w:t>n = 331</w:t>
            </w:r>
          </w:p>
        </w:tc>
      </w:tr>
      <w:tr w:rsidR="00564D9B" w:rsidRPr="008541FF" w14:paraId="2B795002" w14:textId="77777777" w:rsidTr="00E110FB">
        <w:trPr>
          <w:tblCellSpacing w:w="0" w:type="dxa"/>
        </w:trPr>
        <w:tc>
          <w:tcPr>
            <w:tcW w:w="2499" w:type="pct"/>
            <w:hideMark/>
          </w:tcPr>
          <w:p w14:paraId="3AAC00D9" w14:textId="77777777" w:rsidR="00564D9B" w:rsidRPr="002E3042" w:rsidRDefault="00564D9B" w:rsidP="00F75370">
            <w:pPr>
              <w:rPr>
                <w:color w:val="000000"/>
                <w:szCs w:val="22"/>
              </w:rPr>
            </w:pPr>
            <w:r w:rsidRPr="008541FF">
              <w:rPr>
                <w:szCs w:val="22"/>
              </w:rPr>
              <w:lastRenderedPageBreak/>
              <w:t xml:space="preserve">≥ </w:t>
            </w:r>
            <w:r w:rsidRPr="002E3042">
              <w:rPr>
                <w:color w:val="000000"/>
                <w:szCs w:val="22"/>
              </w:rPr>
              <w:t xml:space="preserve">90 % n (%) </w:t>
            </w:r>
          </w:p>
        </w:tc>
        <w:tc>
          <w:tcPr>
            <w:tcW w:w="1250" w:type="pct"/>
            <w:hideMark/>
          </w:tcPr>
          <w:p w14:paraId="73A94F88" w14:textId="77777777" w:rsidR="00564D9B" w:rsidRPr="006D4CF8" w:rsidRDefault="00564D9B" w:rsidP="00F75370">
            <w:pPr>
              <w:jc w:val="center"/>
              <w:rPr>
                <w:color w:val="000000"/>
                <w:szCs w:val="22"/>
              </w:rPr>
            </w:pPr>
            <w:r w:rsidRPr="002E3042">
              <w:rPr>
                <w:color w:val="000000"/>
                <w:szCs w:val="22"/>
              </w:rPr>
              <w:t>151 (45)</w:t>
            </w:r>
          </w:p>
        </w:tc>
        <w:tc>
          <w:tcPr>
            <w:tcW w:w="1250" w:type="pct"/>
            <w:hideMark/>
          </w:tcPr>
          <w:p w14:paraId="415D1848" w14:textId="77777777" w:rsidR="00564D9B" w:rsidRPr="00260574" w:rsidRDefault="00564D9B" w:rsidP="00F75370">
            <w:pPr>
              <w:jc w:val="center"/>
              <w:rPr>
                <w:color w:val="000000"/>
                <w:szCs w:val="22"/>
              </w:rPr>
            </w:pPr>
            <w:r w:rsidRPr="00260574">
              <w:rPr>
                <w:color w:val="000000"/>
                <w:szCs w:val="22"/>
              </w:rPr>
              <w:t>34 (10)</w:t>
            </w:r>
          </w:p>
        </w:tc>
      </w:tr>
      <w:tr w:rsidR="00564D9B" w:rsidRPr="008541FF" w14:paraId="36E61F24" w14:textId="77777777" w:rsidTr="00E110FB">
        <w:trPr>
          <w:tblCellSpacing w:w="0" w:type="dxa"/>
        </w:trPr>
        <w:tc>
          <w:tcPr>
            <w:tcW w:w="2499" w:type="pct"/>
            <w:hideMark/>
          </w:tcPr>
          <w:p w14:paraId="67FF2C00" w14:textId="77777777" w:rsidR="00564D9B" w:rsidRPr="002E3042" w:rsidRDefault="00564D9B" w:rsidP="00F75370">
            <w:pPr>
              <w:rPr>
                <w:color w:val="000000"/>
                <w:szCs w:val="22"/>
              </w:rPr>
            </w:pPr>
            <w:r w:rsidRPr="008541FF">
              <w:rPr>
                <w:rFonts w:eastAsia="TimesNewRoman,Bold"/>
                <w:b/>
                <w:bCs/>
                <w:szCs w:val="22"/>
                <w:lang w:eastAsia="en-US"/>
              </w:rPr>
              <w:t>Čas do prvej odpovede v CR + PR</w:t>
            </w:r>
          </w:p>
        </w:tc>
        <w:tc>
          <w:tcPr>
            <w:tcW w:w="2501" w:type="pct"/>
            <w:gridSpan w:val="2"/>
            <w:hideMark/>
          </w:tcPr>
          <w:p w14:paraId="4347DC95" w14:textId="77777777" w:rsidR="00564D9B" w:rsidRPr="002E3042" w:rsidRDefault="00564D9B" w:rsidP="00F75370">
            <w:pPr>
              <w:jc w:val="center"/>
              <w:rPr>
                <w:color w:val="000000"/>
                <w:szCs w:val="22"/>
              </w:rPr>
            </w:pPr>
          </w:p>
        </w:tc>
      </w:tr>
      <w:tr w:rsidR="00564D9B" w:rsidRPr="008541FF" w14:paraId="4AFC56A0" w14:textId="77777777" w:rsidTr="00E110FB">
        <w:trPr>
          <w:tblCellSpacing w:w="0" w:type="dxa"/>
        </w:trPr>
        <w:tc>
          <w:tcPr>
            <w:tcW w:w="2499" w:type="pct"/>
            <w:hideMark/>
          </w:tcPr>
          <w:p w14:paraId="354567D8" w14:textId="12B4708D" w:rsidR="00564D9B" w:rsidRPr="002E3042" w:rsidRDefault="00FF6F0E" w:rsidP="00F75370">
            <w:pPr>
              <w:rPr>
                <w:color w:val="000000"/>
                <w:szCs w:val="22"/>
              </w:rPr>
            </w:pPr>
            <w:r w:rsidRPr="002E3042">
              <w:rPr>
                <w:color w:val="000000"/>
                <w:szCs w:val="22"/>
              </w:rPr>
              <w:t>Medián</w:t>
            </w:r>
            <w:r w:rsidR="00564D9B" w:rsidRPr="002E3042">
              <w:rPr>
                <w:color w:val="000000"/>
                <w:szCs w:val="22"/>
              </w:rPr>
              <w:t xml:space="preserve"> </w:t>
            </w:r>
          </w:p>
        </w:tc>
        <w:tc>
          <w:tcPr>
            <w:tcW w:w="1250" w:type="pct"/>
            <w:hideMark/>
          </w:tcPr>
          <w:p w14:paraId="42AD930C" w14:textId="76C6C64E" w:rsidR="00564D9B" w:rsidRPr="00260574" w:rsidRDefault="00564D9B" w:rsidP="00F75370">
            <w:pPr>
              <w:jc w:val="center"/>
              <w:rPr>
                <w:color w:val="000000"/>
                <w:szCs w:val="22"/>
              </w:rPr>
            </w:pPr>
            <w:r w:rsidRPr="002E3042">
              <w:rPr>
                <w:color w:val="000000"/>
                <w:szCs w:val="22"/>
              </w:rPr>
              <w:t>1,4 mes</w:t>
            </w:r>
            <w:r w:rsidR="00C247D0" w:rsidRPr="006D4CF8">
              <w:rPr>
                <w:color w:val="000000"/>
                <w:szCs w:val="22"/>
              </w:rPr>
              <w:t>iaca</w:t>
            </w:r>
          </w:p>
        </w:tc>
        <w:tc>
          <w:tcPr>
            <w:tcW w:w="1250" w:type="pct"/>
            <w:hideMark/>
          </w:tcPr>
          <w:p w14:paraId="17EF1B70" w14:textId="730AF788" w:rsidR="00564D9B" w:rsidRPr="00260574" w:rsidRDefault="00564D9B" w:rsidP="00F75370">
            <w:pPr>
              <w:jc w:val="center"/>
              <w:rPr>
                <w:color w:val="000000"/>
                <w:szCs w:val="22"/>
              </w:rPr>
            </w:pPr>
            <w:r w:rsidRPr="00260574">
              <w:rPr>
                <w:color w:val="000000"/>
                <w:szCs w:val="22"/>
              </w:rPr>
              <w:t>4,2 mes</w:t>
            </w:r>
            <w:r w:rsidR="00C247D0" w:rsidRPr="00260574">
              <w:rPr>
                <w:color w:val="000000"/>
                <w:szCs w:val="22"/>
              </w:rPr>
              <w:t>iaca</w:t>
            </w:r>
          </w:p>
        </w:tc>
      </w:tr>
      <w:tr w:rsidR="00564D9B" w:rsidRPr="008541FF" w14:paraId="4C0D7271" w14:textId="77777777" w:rsidTr="00E110FB">
        <w:trPr>
          <w:tblCellSpacing w:w="0" w:type="dxa"/>
        </w:trPr>
        <w:tc>
          <w:tcPr>
            <w:tcW w:w="2499" w:type="pct"/>
            <w:hideMark/>
          </w:tcPr>
          <w:p w14:paraId="4D942824" w14:textId="7367EBA2" w:rsidR="00564D9B" w:rsidRPr="008541FF" w:rsidRDefault="00FF6F0E" w:rsidP="00F75370">
            <w:pPr>
              <w:rPr>
                <w:color w:val="000000"/>
                <w:szCs w:val="22"/>
              </w:rPr>
            </w:pPr>
            <w:r w:rsidRPr="008541FF">
              <w:rPr>
                <w:rFonts w:eastAsia="TimesNewRoman,Bold"/>
                <w:b/>
                <w:bCs/>
                <w:szCs w:val="22"/>
                <w:lang w:eastAsia="en-US"/>
              </w:rPr>
              <w:t>Medián</w:t>
            </w:r>
            <w:r w:rsidR="00564D9B" w:rsidRPr="008541FF">
              <w:rPr>
                <w:rFonts w:eastAsia="TimesNewRoman"/>
                <w:szCs w:val="22"/>
                <w:vertAlign w:val="superscript"/>
                <w:lang w:eastAsia="en-US"/>
              </w:rPr>
              <w:t>a</w:t>
            </w:r>
            <w:r w:rsidR="00564D9B" w:rsidRPr="008541FF">
              <w:rPr>
                <w:rFonts w:eastAsia="TimesNewRoman"/>
                <w:szCs w:val="22"/>
                <w:lang w:eastAsia="en-US"/>
              </w:rPr>
              <w:t xml:space="preserve"> </w:t>
            </w:r>
            <w:r w:rsidR="00564D9B" w:rsidRPr="008541FF">
              <w:rPr>
                <w:rFonts w:eastAsia="TimesNewRoman,Bold"/>
                <w:b/>
                <w:bCs/>
                <w:szCs w:val="22"/>
                <w:lang w:eastAsia="en-US"/>
              </w:rPr>
              <w:t>trvania odpovede</w:t>
            </w:r>
          </w:p>
        </w:tc>
        <w:tc>
          <w:tcPr>
            <w:tcW w:w="2501" w:type="pct"/>
            <w:gridSpan w:val="2"/>
            <w:hideMark/>
          </w:tcPr>
          <w:p w14:paraId="47D4DC1F" w14:textId="77777777" w:rsidR="00564D9B" w:rsidRPr="002E3042" w:rsidRDefault="00564D9B" w:rsidP="00F75370">
            <w:pPr>
              <w:jc w:val="center"/>
              <w:rPr>
                <w:color w:val="000000"/>
                <w:szCs w:val="22"/>
              </w:rPr>
            </w:pPr>
          </w:p>
        </w:tc>
      </w:tr>
      <w:tr w:rsidR="00564D9B" w:rsidRPr="008541FF" w14:paraId="0732A717" w14:textId="77777777" w:rsidTr="00E110FB">
        <w:trPr>
          <w:tblCellSpacing w:w="0" w:type="dxa"/>
        </w:trPr>
        <w:tc>
          <w:tcPr>
            <w:tcW w:w="2499" w:type="pct"/>
            <w:hideMark/>
          </w:tcPr>
          <w:p w14:paraId="3AEC4972" w14:textId="77777777" w:rsidR="00564D9B" w:rsidRPr="002E3042" w:rsidRDefault="00564D9B" w:rsidP="00F75370">
            <w:pPr>
              <w:rPr>
                <w:color w:val="000000"/>
                <w:szCs w:val="22"/>
              </w:rPr>
            </w:pPr>
            <w:r w:rsidRPr="002E3042">
              <w:rPr>
                <w:color w:val="000000"/>
                <w:szCs w:val="22"/>
              </w:rPr>
              <w:t>CR</w:t>
            </w:r>
            <w:r w:rsidRPr="002E3042">
              <w:rPr>
                <w:color w:val="000000"/>
                <w:szCs w:val="22"/>
                <w:vertAlign w:val="superscript"/>
              </w:rPr>
              <w:t>f</w:t>
            </w:r>
          </w:p>
        </w:tc>
        <w:tc>
          <w:tcPr>
            <w:tcW w:w="1250" w:type="pct"/>
            <w:hideMark/>
          </w:tcPr>
          <w:p w14:paraId="15CA5F93" w14:textId="06C716EB" w:rsidR="00564D9B" w:rsidRPr="00260574" w:rsidRDefault="00564D9B" w:rsidP="00F75370">
            <w:pPr>
              <w:jc w:val="center"/>
              <w:rPr>
                <w:color w:val="000000"/>
                <w:szCs w:val="22"/>
              </w:rPr>
            </w:pPr>
            <w:r w:rsidRPr="002E3042">
              <w:rPr>
                <w:color w:val="000000"/>
                <w:szCs w:val="22"/>
              </w:rPr>
              <w:t>24,0 mes</w:t>
            </w:r>
            <w:r w:rsidR="00C247D0" w:rsidRPr="006D4CF8">
              <w:rPr>
                <w:color w:val="000000"/>
                <w:szCs w:val="22"/>
              </w:rPr>
              <w:t>iaca</w:t>
            </w:r>
          </w:p>
        </w:tc>
        <w:tc>
          <w:tcPr>
            <w:tcW w:w="1250" w:type="pct"/>
            <w:hideMark/>
          </w:tcPr>
          <w:p w14:paraId="0FC156FB" w14:textId="1EC6E840" w:rsidR="00564D9B" w:rsidRPr="00260574" w:rsidRDefault="00564D9B" w:rsidP="00F75370">
            <w:pPr>
              <w:jc w:val="center"/>
              <w:rPr>
                <w:color w:val="000000"/>
                <w:szCs w:val="22"/>
              </w:rPr>
            </w:pPr>
            <w:r w:rsidRPr="00260574">
              <w:rPr>
                <w:color w:val="000000"/>
                <w:szCs w:val="22"/>
              </w:rPr>
              <w:t>12,8 mes</w:t>
            </w:r>
            <w:r w:rsidR="00C247D0" w:rsidRPr="00260574">
              <w:rPr>
                <w:color w:val="000000"/>
                <w:szCs w:val="22"/>
              </w:rPr>
              <w:t>iaca</w:t>
            </w:r>
          </w:p>
        </w:tc>
      </w:tr>
      <w:tr w:rsidR="00564D9B" w:rsidRPr="008541FF" w14:paraId="4A73081D" w14:textId="77777777" w:rsidTr="00E110FB">
        <w:trPr>
          <w:tblCellSpacing w:w="0" w:type="dxa"/>
        </w:trPr>
        <w:tc>
          <w:tcPr>
            <w:tcW w:w="2499" w:type="pct"/>
            <w:hideMark/>
          </w:tcPr>
          <w:p w14:paraId="3D40D0E8" w14:textId="77777777" w:rsidR="00564D9B" w:rsidRPr="002E3042" w:rsidRDefault="00564D9B" w:rsidP="00F75370">
            <w:pPr>
              <w:rPr>
                <w:color w:val="000000"/>
                <w:szCs w:val="22"/>
              </w:rPr>
            </w:pPr>
            <w:r w:rsidRPr="002E3042">
              <w:rPr>
                <w:color w:val="000000"/>
                <w:szCs w:val="22"/>
              </w:rPr>
              <w:t>CR+PR</w:t>
            </w:r>
            <w:r w:rsidRPr="002E3042">
              <w:rPr>
                <w:color w:val="000000"/>
                <w:szCs w:val="22"/>
                <w:vertAlign w:val="superscript"/>
              </w:rPr>
              <w:t>f</w:t>
            </w:r>
          </w:p>
        </w:tc>
        <w:tc>
          <w:tcPr>
            <w:tcW w:w="1250" w:type="pct"/>
            <w:hideMark/>
          </w:tcPr>
          <w:p w14:paraId="7A9B2CEB" w14:textId="4FC89F8A" w:rsidR="00564D9B" w:rsidRPr="00260574" w:rsidRDefault="00564D9B" w:rsidP="00F75370">
            <w:pPr>
              <w:jc w:val="center"/>
              <w:rPr>
                <w:color w:val="000000"/>
                <w:szCs w:val="22"/>
              </w:rPr>
            </w:pPr>
            <w:r w:rsidRPr="002E3042">
              <w:rPr>
                <w:color w:val="000000"/>
                <w:szCs w:val="22"/>
              </w:rPr>
              <w:t>19,9 mes</w:t>
            </w:r>
            <w:r w:rsidR="00C247D0" w:rsidRPr="006D4CF8">
              <w:rPr>
                <w:color w:val="000000"/>
                <w:szCs w:val="22"/>
              </w:rPr>
              <w:t>iaca</w:t>
            </w:r>
          </w:p>
        </w:tc>
        <w:tc>
          <w:tcPr>
            <w:tcW w:w="1250" w:type="pct"/>
            <w:hideMark/>
          </w:tcPr>
          <w:p w14:paraId="2E172F01" w14:textId="5E9D4520" w:rsidR="00564D9B" w:rsidRPr="00260574" w:rsidRDefault="00564D9B" w:rsidP="00F75370">
            <w:pPr>
              <w:jc w:val="center"/>
              <w:rPr>
                <w:color w:val="000000"/>
                <w:szCs w:val="22"/>
              </w:rPr>
            </w:pPr>
            <w:r w:rsidRPr="00260574">
              <w:rPr>
                <w:color w:val="000000"/>
                <w:szCs w:val="22"/>
              </w:rPr>
              <w:t>13,1 mes</w:t>
            </w:r>
            <w:r w:rsidR="00C247D0" w:rsidRPr="00260574">
              <w:rPr>
                <w:color w:val="000000"/>
                <w:szCs w:val="22"/>
              </w:rPr>
              <w:t>iaca</w:t>
            </w:r>
          </w:p>
        </w:tc>
      </w:tr>
      <w:tr w:rsidR="00564D9B" w:rsidRPr="008541FF" w14:paraId="32383DFE" w14:textId="77777777" w:rsidTr="00E110FB">
        <w:trPr>
          <w:tblCellSpacing w:w="0" w:type="dxa"/>
        </w:trPr>
        <w:tc>
          <w:tcPr>
            <w:tcW w:w="2499" w:type="pct"/>
            <w:hideMark/>
          </w:tcPr>
          <w:p w14:paraId="3A0B16B4" w14:textId="77777777" w:rsidR="00564D9B" w:rsidRPr="008541FF" w:rsidRDefault="00564D9B" w:rsidP="00F75370">
            <w:pPr>
              <w:autoSpaceDE w:val="0"/>
              <w:autoSpaceDN w:val="0"/>
              <w:adjustRightInd w:val="0"/>
              <w:ind w:left="0" w:firstLine="0"/>
              <w:rPr>
                <w:rFonts w:eastAsia="TimesNewRoman,Bold"/>
                <w:b/>
                <w:bCs/>
                <w:szCs w:val="22"/>
                <w:lang w:eastAsia="en-US"/>
              </w:rPr>
            </w:pPr>
            <w:r w:rsidRPr="008541FF">
              <w:rPr>
                <w:rFonts w:eastAsia="TimesNewRoman,Bold"/>
                <w:b/>
                <w:bCs/>
                <w:szCs w:val="22"/>
                <w:lang w:eastAsia="en-US"/>
              </w:rPr>
              <w:t>Čas do ďalšej liečby</w:t>
            </w:r>
          </w:p>
          <w:p w14:paraId="5672CCE2" w14:textId="77777777" w:rsidR="00564D9B" w:rsidRPr="002E3042" w:rsidRDefault="00564D9B" w:rsidP="00F75370">
            <w:pPr>
              <w:rPr>
                <w:color w:val="000000"/>
                <w:szCs w:val="22"/>
              </w:rPr>
            </w:pPr>
            <w:r w:rsidRPr="008541FF">
              <w:rPr>
                <w:rFonts w:eastAsia="TimesNewRoman"/>
                <w:szCs w:val="22"/>
                <w:lang w:eastAsia="en-US"/>
              </w:rPr>
              <w:t>Udalosti n (%)</w:t>
            </w:r>
          </w:p>
        </w:tc>
        <w:tc>
          <w:tcPr>
            <w:tcW w:w="1250" w:type="pct"/>
            <w:hideMark/>
          </w:tcPr>
          <w:p w14:paraId="0D2ADD9C" w14:textId="77777777" w:rsidR="00564D9B" w:rsidRPr="006D4CF8" w:rsidRDefault="00564D9B" w:rsidP="00F75370">
            <w:pPr>
              <w:jc w:val="center"/>
              <w:rPr>
                <w:color w:val="000000"/>
                <w:szCs w:val="22"/>
              </w:rPr>
            </w:pPr>
            <w:r w:rsidRPr="002E3042">
              <w:rPr>
                <w:color w:val="000000"/>
                <w:szCs w:val="22"/>
              </w:rPr>
              <w:t>224 (65,1)</w:t>
            </w:r>
          </w:p>
        </w:tc>
        <w:tc>
          <w:tcPr>
            <w:tcW w:w="1250" w:type="pct"/>
            <w:hideMark/>
          </w:tcPr>
          <w:p w14:paraId="4084658A" w14:textId="77777777" w:rsidR="00564D9B" w:rsidRPr="00260574" w:rsidRDefault="00564D9B" w:rsidP="00F75370">
            <w:pPr>
              <w:jc w:val="center"/>
              <w:rPr>
                <w:color w:val="000000"/>
                <w:szCs w:val="22"/>
              </w:rPr>
            </w:pPr>
            <w:r w:rsidRPr="00260574">
              <w:rPr>
                <w:color w:val="000000"/>
                <w:szCs w:val="22"/>
              </w:rPr>
              <w:t>260 (76,9)</w:t>
            </w:r>
          </w:p>
        </w:tc>
      </w:tr>
      <w:tr w:rsidR="00564D9B" w:rsidRPr="008541FF" w14:paraId="7F1DFF45" w14:textId="77777777" w:rsidTr="00E110FB">
        <w:trPr>
          <w:tblCellSpacing w:w="0" w:type="dxa"/>
        </w:trPr>
        <w:tc>
          <w:tcPr>
            <w:tcW w:w="2499" w:type="pct"/>
            <w:hideMark/>
          </w:tcPr>
          <w:p w14:paraId="32AF1177" w14:textId="64125BEC" w:rsidR="00564D9B" w:rsidRPr="008541FF" w:rsidRDefault="00FF6F0E" w:rsidP="00FF6F0E">
            <w:pPr>
              <w:rPr>
                <w:color w:val="000000"/>
                <w:szCs w:val="22"/>
              </w:rPr>
            </w:pPr>
            <w:r w:rsidRPr="008541FF">
              <w:rPr>
                <w:rFonts w:eastAsia="TimesNewRoman"/>
                <w:szCs w:val="22"/>
                <w:lang w:eastAsia="en-US"/>
              </w:rPr>
              <w:t>Medián</w:t>
            </w:r>
            <w:r w:rsidRPr="00E110FB">
              <w:rPr>
                <w:rFonts w:eastAsia="TimesNewRoman"/>
                <w:szCs w:val="22"/>
                <w:vertAlign w:val="superscript"/>
                <w:lang w:eastAsia="en-US"/>
              </w:rPr>
              <w:t>a</w:t>
            </w:r>
            <w:r w:rsidR="00564D9B" w:rsidRPr="008541FF">
              <w:rPr>
                <w:rFonts w:eastAsia="TimesNewRoman"/>
                <w:szCs w:val="22"/>
                <w:lang w:eastAsia="en-US"/>
              </w:rPr>
              <w:t xml:space="preserve"> (95 % I</w:t>
            </w:r>
            <w:r w:rsidRPr="008541FF">
              <w:rPr>
                <w:rFonts w:eastAsia="TimesNewRoman"/>
                <w:szCs w:val="22"/>
                <w:lang w:eastAsia="en-US"/>
              </w:rPr>
              <w:t>S</w:t>
            </w:r>
            <w:r w:rsidR="00564D9B" w:rsidRPr="00EB3C3E">
              <w:rPr>
                <w:rFonts w:eastAsia="TimesNewRoman"/>
                <w:szCs w:val="22"/>
                <w:lang w:eastAsia="en-US"/>
              </w:rPr>
              <w:t>)</w:t>
            </w:r>
          </w:p>
        </w:tc>
        <w:tc>
          <w:tcPr>
            <w:tcW w:w="1250" w:type="pct"/>
            <w:hideMark/>
          </w:tcPr>
          <w:p w14:paraId="013DD40E" w14:textId="2F5D47A0" w:rsidR="00564D9B" w:rsidRPr="008541FF" w:rsidRDefault="00564D9B" w:rsidP="00F75370">
            <w:pPr>
              <w:jc w:val="center"/>
              <w:rPr>
                <w:color w:val="000000"/>
                <w:szCs w:val="22"/>
              </w:rPr>
            </w:pPr>
            <w:r w:rsidRPr="002E3042">
              <w:rPr>
                <w:color w:val="000000"/>
                <w:szCs w:val="22"/>
              </w:rPr>
              <w:t>27,0 mes</w:t>
            </w:r>
            <w:r w:rsidR="00C247D0" w:rsidRPr="002E3042">
              <w:rPr>
                <w:color w:val="000000"/>
                <w:szCs w:val="22"/>
              </w:rPr>
              <w:t>iac</w:t>
            </w:r>
            <w:r w:rsidR="008541FF">
              <w:rPr>
                <w:color w:val="000000"/>
                <w:szCs w:val="22"/>
              </w:rPr>
              <w:t>ov</w:t>
            </w:r>
          </w:p>
          <w:p w14:paraId="3BFCDE0D" w14:textId="77777777" w:rsidR="00564D9B" w:rsidRPr="002E3042" w:rsidRDefault="00564D9B" w:rsidP="00F75370">
            <w:pPr>
              <w:jc w:val="center"/>
              <w:rPr>
                <w:color w:val="000000"/>
                <w:szCs w:val="22"/>
              </w:rPr>
            </w:pPr>
            <w:r w:rsidRPr="002E3042">
              <w:rPr>
                <w:color w:val="000000"/>
                <w:szCs w:val="22"/>
              </w:rPr>
              <w:t>(24,7; 31,1)</w:t>
            </w:r>
          </w:p>
        </w:tc>
        <w:tc>
          <w:tcPr>
            <w:tcW w:w="1250" w:type="pct"/>
            <w:hideMark/>
          </w:tcPr>
          <w:p w14:paraId="6EDF5EB4" w14:textId="7300FBE7" w:rsidR="00564D9B" w:rsidRPr="00260574" w:rsidRDefault="00564D9B" w:rsidP="00F75370">
            <w:pPr>
              <w:jc w:val="center"/>
              <w:rPr>
                <w:color w:val="000000"/>
                <w:szCs w:val="22"/>
              </w:rPr>
            </w:pPr>
            <w:r w:rsidRPr="002E3042">
              <w:rPr>
                <w:color w:val="000000"/>
                <w:szCs w:val="22"/>
              </w:rPr>
              <w:t>19,2 mes</w:t>
            </w:r>
            <w:r w:rsidR="00C247D0" w:rsidRPr="006D4CF8">
              <w:rPr>
                <w:color w:val="000000"/>
                <w:szCs w:val="22"/>
              </w:rPr>
              <w:t>iaca</w:t>
            </w:r>
          </w:p>
          <w:p w14:paraId="0A411DB9" w14:textId="77777777" w:rsidR="00564D9B" w:rsidRPr="00260574" w:rsidRDefault="00564D9B" w:rsidP="00F75370">
            <w:pPr>
              <w:jc w:val="center"/>
              <w:rPr>
                <w:color w:val="000000"/>
                <w:szCs w:val="22"/>
              </w:rPr>
            </w:pPr>
            <w:r w:rsidRPr="00260574">
              <w:rPr>
                <w:color w:val="000000"/>
                <w:szCs w:val="22"/>
              </w:rPr>
              <w:t>(17,0; 21,0)</w:t>
            </w:r>
          </w:p>
        </w:tc>
      </w:tr>
      <w:tr w:rsidR="00564D9B" w:rsidRPr="008541FF" w14:paraId="32310073" w14:textId="77777777" w:rsidTr="00E110FB">
        <w:trPr>
          <w:tblCellSpacing w:w="0" w:type="dxa"/>
        </w:trPr>
        <w:tc>
          <w:tcPr>
            <w:tcW w:w="2499" w:type="pct"/>
            <w:hideMark/>
          </w:tcPr>
          <w:p w14:paraId="3CD6FBB1" w14:textId="71B247C2" w:rsidR="00564D9B" w:rsidRPr="008541FF" w:rsidRDefault="00C247D0" w:rsidP="00F75370">
            <w:pPr>
              <w:autoSpaceDE w:val="0"/>
              <w:autoSpaceDN w:val="0"/>
              <w:adjustRightInd w:val="0"/>
              <w:ind w:left="0" w:firstLine="0"/>
              <w:rPr>
                <w:rFonts w:eastAsia="TimesNewRoman"/>
                <w:szCs w:val="22"/>
                <w:lang w:eastAsia="en-US"/>
              </w:rPr>
            </w:pPr>
            <w:r w:rsidRPr="008541FF">
              <w:rPr>
                <w:rFonts w:eastAsia="TimesNewRoman"/>
                <w:szCs w:val="22"/>
                <w:lang w:eastAsia="en-US"/>
              </w:rPr>
              <w:t xml:space="preserve">Pomer </w:t>
            </w:r>
            <w:r w:rsidR="00564D9B" w:rsidRPr="008541FF">
              <w:rPr>
                <w:rFonts w:eastAsia="TimesNewRoman"/>
                <w:szCs w:val="22"/>
                <w:lang w:eastAsia="en-US"/>
              </w:rPr>
              <w:t>riz</w:t>
            </w:r>
            <w:r w:rsidR="00FF6F0E" w:rsidRPr="008541FF">
              <w:rPr>
                <w:rFonts w:eastAsia="TimesNewRoman"/>
                <w:szCs w:val="22"/>
                <w:lang w:eastAsia="en-US"/>
              </w:rPr>
              <w:t>ík</w:t>
            </w:r>
            <w:r w:rsidR="00564D9B" w:rsidRPr="008541FF">
              <w:rPr>
                <w:rFonts w:eastAsia="TimesNewRoman"/>
                <w:szCs w:val="22"/>
                <w:vertAlign w:val="superscript"/>
                <w:lang w:eastAsia="en-US"/>
              </w:rPr>
              <w:t>b</w:t>
            </w:r>
          </w:p>
          <w:p w14:paraId="1E82986F" w14:textId="5F77D74F" w:rsidR="00564D9B" w:rsidRPr="002E3042" w:rsidRDefault="00564D9B" w:rsidP="00F75370">
            <w:pPr>
              <w:rPr>
                <w:color w:val="000000"/>
                <w:szCs w:val="22"/>
              </w:rPr>
            </w:pPr>
            <w:r w:rsidRPr="008541FF">
              <w:rPr>
                <w:rFonts w:eastAsia="TimesNewRoman"/>
                <w:szCs w:val="22"/>
                <w:lang w:eastAsia="en-US"/>
              </w:rPr>
              <w:t>(95 % I</w:t>
            </w:r>
            <w:r w:rsidR="00C247D0" w:rsidRPr="008541FF">
              <w:rPr>
                <w:rFonts w:eastAsia="TimesNewRoman"/>
                <w:szCs w:val="22"/>
                <w:lang w:eastAsia="en-US"/>
              </w:rPr>
              <w:t>S</w:t>
            </w:r>
            <w:r w:rsidRPr="008541FF">
              <w:rPr>
                <w:rFonts w:eastAsia="TimesNewRoman"/>
                <w:szCs w:val="22"/>
                <w:lang w:eastAsia="en-US"/>
              </w:rPr>
              <w:t>)</w:t>
            </w:r>
          </w:p>
        </w:tc>
        <w:tc>
          <w:tcPr>
            <w:tcW w:w="2501" w:type="pct"/>
            <w:gridSpan w:val="2"/>
            <w:hideMark/>
          </w:tcPr>
          <w:p w14:paraId="131E99B7" w14:textId="77777777" w:rsidR="00564D9B" w:rsidRPr="006D4CF8" w:rsidRDefault="00564D9B" w:rsidP="00F75370">
            <w:pPr>
              <w:jc w:val="center"/>
              <w:rPr>
                <w:color w:val="000000"/>
                <w:szCs w:val="22"/>
              </w:rPr>
            </w:pPr>
            <w:r w:rsidRPr="002E3042">
              <w:rPr>
                <w:color w:val="000000"/>
                <w:szCs w:val="22"/>
              </w:rPr>
              <w:t>0,557</w:t>
            </w:r>
          </w:p>
          <w:p w14:paraId="17FBCE96" w14:textId="77777777" w:rsidR="00564D9B" w:rsidRPr="00260574" w:rsidRDefault="00564D9B" w:rsidP="00F75370">
            <w:pPr>
              <w:jc w:val="center"/>
              <w:rPr>
                <w:color w:val="000000"/>
                <w:szCs w:val="22"/>
              </w:rPr>
            </w:pPr>
            <w:r w:rsidRPr="00260574">
              <w:rPr>
                <w:color w:val="000000"/>
                <w:szCs w:val="22"/>
              </w:rPr>
              <w:t>(0,462; 0,671)</w:t>
            </w:r>
          </w:p>
        </w:tc>
      </w:tr>
      <w:tr w:rsidR="00564D9B" w:rsidRPr="008541FF" w14:paraId="66A155E9" w14:textId="77777777" w:rsidTr="00E110FB">
        <w:trPr>
          <w:tblCellSpacing w:w="0" w:type="dxa"/>
        </w:trPr>
        <w:tc>
          <w:tcPr>
            <w:tcW w:w="2499" w:type="pct"/>
            <w:hideMark/>
          </w:tcPr>
          <w:p w14:paraId="1CEAF8D9" w14:textId="77777777" w:rsidR="00564D9B" w:rsidRPr="002E3042" w:rsidRDefault="00564D9B" w:rsidP="00F75370">
            <w:pPr>
              <w:rPr>
                <w:color w:val="000000"/>
                <w:szCs w:val="22"/>
              </w:rPr>
            </w:pPr>
            <w:r w:rsidRPr="002E3042">
              <w:rPr>
                <w:color w:val="000000"/>
                <w:szCs w:val="22"/>
              </w:rPr>
              <w:t>p-hodnota</w:t>
            </w:r>
            <w:r w:rsidRPr="002E3042">
              <w:rPr>
                <w:color w:val="000000"/>
                <w:szCs w:val="22"/>
                <w:vertAlign w:val="superscript"/>
              </w:rPr>
              <w:t>c</w:t>
            </w:r>
          </w:p>
        </w:tc>
        <w:tc>
          <w:tcPr>
            <w:tcW w:w="2501" w:type="pct"/>
            <w:gridSpan w:val="2"/>
            <w:hideMark/>
          </w:tcPr>
          <w:p w14:paraId="7D5951BA" w14:textId="77777777" w:rsidR="00564D9B" w:rsidRPr="006D4CF8" w:rsidRDefault="00564D9B" w:rsidP="00F75370">
            <w:pPr>
              <w:jc w:val="center"/>
              <w:rPr>
                <w:color w:val="000000"/>
                <w:szCs w:val="22"/>
              </w:rPr>
            </w:pPr>
            <w:r w:rsidRPr="002E3042">
              <w:rPr>
                <w:color w:val="000000"/>
                <w:szCs w:val="22"/>
              </w:rPr>
              <w:t>&lt; 0,000001</w:t>
            </w:r>
          </w:p>
        </w:tc>
      </w:tr>
    </w:tbl>
    <w:p w14:paraId="5669C9E6"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a</w:t>
      </w:r>
      <w:r w:rsidRPr="00E110FB">
        <w:rPr>
          <w:rFonts w:eastAsia="TimesNewRoman"/>
          <w:sz w:val="18"/>
          <w:szCs w:val="18"/>
          <w:lang w:eastAsia="en-US"/>
        </w:rPr>
        <w:t xml:space="preserve"> Kaplanov-Meierov odhad</w:t>
      </w:r>
    </w:p>
    <w:p w14:paraId="444D85CC" w14:textId="134C3DEB" w:rsidR="003B0120"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b</w:t>
      </w:r>
      <w:r w:rsidRPr="00E110FB">
        <w:rPr>
          <w:rFonts w:eastAsia="TimesNewRoman"/>
          <w:sz w:val="18"/>
          <w:szCs w:val="18"/>
          <w:lang w:eastAsia="en-US"/>
        </w:rPr>
        <w:t xml:space="preserve"> Odhad </w:t>
      </w:r>
      <w:r w:rsidR="00295659">
        <w:rPr>
          <w:rFonts w:eastAsia="TimesNewRoman"/>
          <w:sz w:val="18"/>
          <w:szCs w:val="18"/>
          <w:lang w:eastAsia="en-US"/>
        </w:rPr>
        <w:t>pomeru</w:t>
      </w:r>
      <w:r w:rsidR="00295659" w:rsidRPr="00E110FB">
        <w:rPr>
          <w:rFonts w:eastAsia="TimesNewRoman"/>
          <w:sz w:val="18"/>
          <w:szCs w:val="18"/>
          <w:lang w:eastAsia="en-US"/>
        </w:rPr>
        <w:t xml:space="preserve"> </w:t>
      </w:r>
      <w:r w:rsidRPr="00E110FB">
        <w:rPr>
          <w:rFonts w:eastAsia="TimesNewRoman"/>
          <w:sz w:val="18"/>
          <w:szCs w:val="18"/>
          <w:lang w:eastAsia="en-US"/>
        </w:rPr>
        <w:t>riz</w:t>
      </w:r>
      <w:r w:rsidR="0068512B">
        <w:rPr>
          <w:rFonts w:eastAsia="TimesNewRoman"/>
          <w:sz w:val="18"/>
          <w:szCs w:val="18"/>
          <w:lang w:eastAsia="en-US"/>
        </w:rPr>
        <w:t>ík</w:t>
      </w:r>
      <w:r w:rsidRPr="00E110FB">
        <w:rPr>
          <w:rFonts w:eastAsia="TimesNewRoman"/>
          <w:sz w:val="18"/>
          <w:szCs w:val="18"/>
          <w:lang w:eastAsia="en-US"/>
        </w:rPr>
        <w:t xml:space="preserve"> je založený na Coxovom modeli proporcionálnych rizík upravenom pre stratifikačné faktory: ß</w:t>
      </w:r>
      <w:r w:rsidRPr="00E110FB">
        <w:rPr>
          <w:rFonts w:eastAsia="TimesNewRoman"/>
          <w:sz w:val="18"/>
          <w:szCs w:val="18"/>
          <w:vertAlign w:val="subscript"/>
          <w:lang w:eastAsia="en-US"/>
        </w:rPr>
        <w:t>2</w:t>
      </w:r>
      <w:r w:rsidRPr="00E110FB">
        <w:rPr>
          <w:rFonts w:eastAsia="TimesNewRoman"/>
          <w:sz w:val="18"/>
          <w:szCs w:val="18"/>
          <w:lang w:eastAsia="en-US"/>
        </w:rPr>
        <w:t xml:space="preserve">-mikroglobulín, albumín a región. </w:t>
      </w:r>
      <w:r w:rsidR="004922C0">
        <w:rPr>
          <w:rFonts w:eastAsia="TimesNewRoman"/>
          <w:sz w:val="18"/>
          <w:szCs w:val="18"/>
          <w:lang w:eastAsia="en-US"/>
        </w:rPr>
        <w:t>Pomer</w:t>
      </w:r>
      <w:r w:rsidR="004922C0" w:rsidRPr="00E110FB">
        <w:rPr>
          <w:rFonts w:eastAsia="TimesNewRoman"/>
          <w:sz w:val="18"/>
          <w:szCs w:val="18"/>
          <w:lang w:eastAsia="en-US"/>
        </w:rPr>
        <w:t xml:space="preserve"> </w:t>
      </w:r>
      <w:r w:rsidRPr="00E110FB">
        <w:rPr>
          <w:rFonts w:eastAsia="TimesNewRoman"/>
          <w:sz w:val="18"/>
          <w:szCs w:val="18"/>
          <w:lang w:eastAsia="en-US"/>
        </w:rPr>
        <w:t>riz</w:t>
      </w:r>
      <w:r w:rsidR="0068512B">
        <w:rPr>
          <w:rFonts w:eastAsia="TimesNewRoman"/>
          <w:sz w:val="18"/>
          <w:szCs w:val="18"/>
          <w:lang w:eastAsia="en-US"/>
        </w:rPr>
        <w:t>ík</w:t>
      </w:r>
      <w:r w:rsidRPr="00E110FB">
        <w:rPr>
          <w:rFonts w:eastAsia="TimesNewRoman"/>
          <w:sz w:val="18"/>
          <w:szCs w:val="18"/>
          <w:lang w:eastAsia="en-US"/>
        </w:rPr>
        <w:t xml:space="preserve"> menš</w:t>
      </w:r>
      <w:r w:rsidR="004922C0">
        <w:rPr>
          <w:rFonts w:eastAsia="TimesNewRoman"/>
          <w:sz w:val="18"/>
          <w:szCs w:val="18"/>
          <w:lang w:eastAsia="en-US"/>
        </w:rPr>
        <w:t>í</w:t>
      </w:r>
      <w:r w:rsidRPr="00E110FB">
        <w:rPr>
          <w:rFonts w:eastAsia="TimesNewRoman"/>
          <w:sz w:val="18"/>
          <w:szCs w:val="18"/>
          <w:lang w:eastAsia="en-US"/>
        </w:rPr>
        <w:t xml:space="preserve"> ako 1 znamená výhodu pre </w:t>
      </w:r>
      <w:r w:rsidR="004922C0">
        <w:rPr>
          <w:rFonts w:eastAsia="TimesNewRoman"/>
          <w:sz w:val="18"/>
          <w:szCs w:val="18"/>
          <w:lang w:eastAsia="en-US"/>
        </w:rPr>
        <w:t>B</w:t>
      </w:r>
      <w:r w:rsidRPr="00E110FB">
        <w:rPr>
          <w:rFonts w:eastAsia="TimesNewRoman"/>
          <w:sz w:val="18"/>
          <w:szCs w:val="18"/>
          <w:lang w:eastAsia="en-US"/>
        </w:rPr>
        <w:t>MP</w:t>
      </w:r>
    </w:p>
    <w:p w14:paraId="6B250E18" w14:textId="5CB8BE7D"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c</w:t>
      </w:r>
      <w:r w:rsidRPr="00E110FB">
        <w:rPr>
          <w:rFonts w:eastAsia="TimesNewRoman"/>
          <w:sz w:val="18"/>
          <w:szCs w:val="18"/>
          <w:lang w:eastAsia="en-US"/>
        </w:rPr>
        <w:t xml:space="preserve"> Nominálna p-hodnota založená na </w:t>
      </w:r>
      <w:r w:rsidR="00C1016C">
        <w:rPr>
          <w:rFonts w:eastAsia="TimesNewRoman"/>
          <w:sz w:val="18"/>
          <w:szCs w:val="18"/>
          <w:lang w:eastAsia="en-US"/>
        </w:rPr>
        <w:t>stratifikovanom</w:t>
      </w:r>
      <w:r w:rsidR="00C1016C" w:rsidRPr="00E110FB">
        <w:rPr>
          <w:rFonts w:eastAsia="TimesNewRoman"/>
          <w:sz w:val="18"/>
          <w:szCs w:val="18"/>
          <w:lang w:eastAsia="en-US"/>
        </w:rPr>
        <w:t xml:space="preserve"> </w:t>
      </w:r>
      <w:r w:rsidRPr="00E110FB">
        <w:rPr>
          <w:rFonts w:eastAsia="TimesNewRoman"/>
          <w:sz w:val="18"/>
          <w:szCs w:val="18"/>
          <w:lang w:eastAsia="en-US"/>
        </w:rPr>
        <w:t>log-rank teste upravenom pre stratifikačné faktory:</w:t>
      </w:r>
    </w:p>
    <w:p w14:paraId="079A9992"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color w:val="000000"/>
          <w:sz w:val="18"/>
          <w:szCs w:val="18"/>
        </w:rPr>
        <w:t>β</w:t>
      </w:r>
      <w:r w:rsidRPr="00E110FB">
        <w:rPr>
          <w:color w:val="000000"/>
          <w:sz w:val="18"/>
          <w:szCs w:val="18"/>
          <w:vertAlign w:val="subscript"/>
        </w:rPr>
        <w:t>2</w:t>
      </w:r>
      <w:r w:rsidRPr="00E110FB">
        <w:rPr>
          <w:rFonts w:eastAsia="TimesNewRoman"/>
          <w:sz w:val="18"/>
          <w:szCs w:val="18"/>
          <w:lang w:eastAsia="en-US"/>
        </w:rPr>
        <w:t>-mikroglobulín, albumín a región</w:t>
      </w:r>
    </w:p>
    <w:p w14:paraId="51022A6A" w14:textId="1951344E"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d</w:t>
      </w:r>
      <w:r w:rsidRPr="00E110FB">
        <w:rPr>
          <w:rFonts w:eastAsia="TimesNewRoman"/>
          <w:sz w:val="18"/>
          <w:szCs w:val="18"/>
          <w:lang w:eastAsia="en-US"/>
        </w:rPr>
        <w:t xml:space="preserve"> p-hodnota pre </w:t>
      </w:r>
      <w:r w:rsidR="00C1016C">
        <w:rPr>
          <w:rFonts w:eastAsia="TimesNewRoman"/>
          <w:sz w:val="18"/>
          <w:szCs w:val="18"/>
          <w:lang w:eastAsia="en-US"/>
        </w:rPr>
        <w:t>výskyt</w:t>
      </w:r>
      <w:r w:rsidR="00C1016C" w:rsidRPr="00E110FB">
        <w:rPr>
          <w:rFonts w:eastAsia="TimesNewRoman"/>
          <w:sz w:val="18"/>
          <w:szCs w:val="18"/>
          <w:lang w:eastAsia="en-US"/>
        </w:rPr>
        <w:t xml:space="preserve"> </w:t>
      </w:r>
      <w:r w:rsidRPr="00E110FB">
        <w:rPr>
          <w:rFonts w:eastAsia="TimesNewRoman"/>
          <w:sz w:val="18"/>
          <w:szCs w:val="18"/>
          <w:lang w:eastAsia="en-US"/>
        </w:rPr>
        <w:t>odpovede (CR+PR) z Cochranovho-Mantelovho-Haenszelovho chí-kvadr</w:t>
      </w:r>
      <w:r w:rsidR="00C1016C">
        <w:rPr>
          <w:rFonts w:eastAsia="TimesNewRoman"/>
          <w:sz w:val="18"/>
          <w:szCs w:val="18"/>
          <w:lang w:eastAsia="en-US"/>
        </w:rPr>
        <w:t>átového</w:t>
      </w:r>
      <w:r w:rsidRPr="00E110FB">
        <w:rPr>
          <w:rFonts w:eastAsia="TimesNewRoman"/>
          <w:sz w:val="18"/>
          <w:szCs w:val="18"/>
          <w:lang w:eastAsia="en-US"/>
        </w:rPr>
        <w:t xml:space="preserve"> testu upraveného pre stratifikačné faktory</w:t>
      </w:r>
    </w:p>
    <w:p w14:paraId="5B21FD12" w14:textId="5B504710"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e</w:t>
      </w:r>
      <w:r w:rsidRPr="00E110FB">
        <w:rPr>
          <w:rFonts w:eastAsia="TimesNewRoman"/>
          <w:sz w:val="18"/>
          <w:szCs w:val="18"/>
          <w:lang w:eastAsia="en-US"/>
        </w:rPr>
        <w:t xml:space="preserve"> Reagujúca populácia zahŕňa pacientov, ktorí mali na začiatku </w:t>
      </w:r>
      <w:r w:rsidR="00C1016C">
        <w:rPr>
          <w:rFonts w:eastAsia="TimesNewRoman"/>
          <w:sz w:val="18"/>
          <w:szCs w:val="18"/>
          <w:lang w:eastAsia="en-US"/>
        </w:rPr>
        <w:t>preukázané</w:t>
      </w:r>
      <w:r w:rsidR="00C1016C" w:rsidRPr="00E110FB">
        <w:rPr>
          <w:rFonts w:eastAsia="TimesNewRoman"/>
          <w:sz w:val="18"/>
          <w:szCs w:val="18"/>
          <w:lang w:eastAsia="en-US"/>
        </w:rPr>
        <w:t xml:space="preserve"> </w:t>
      </w:r>
      <w:r w:rsidRPr="00E110FB">
        <w:rPr>
          <w:rFonts w:eastAsia="TimesNewRoman"/>
          <w:sz w:val="18"/>
          <w:szCs w:val="18"/>
          <w:lang w:eastAsia="en-US"/>
        </w:rPr>
        <w:t>ochorenie</w:t>
      </w:r>
    </w:p>
    <w:p w14:paraId="41F69034"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f</w:t>
      </w:r>
      <w:r w:rsidRPr="00E110FB">
        <w:rPr>
          <w:rFonts w:eastAsia="TimesNewRoman"/>
          <w:sz w:val="18"/>
          <w:szCs w:val="18"/>
          <w:lang w:eastAsia="en-US"/>
        </w:rPr>
        <w:t xml:space="preserve"> CR = kompletná odpoveď (z angl. complete response); PR = čiastočná odpoveď (z angl. partial response). EBMT kritérium</w:t>
      </w:r>
    </w:p>
    <w:p w14:paraId="2B06ED9D" w14:textId="31C3098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g</w:t>
      </w:r>
      <w:r w:rsidRPr="00E110FB">
        <w:rPr>
          <w:rFonts w:eastAsia="TimesNewRoman"/>
          <w:sz w:val="18"/>
          <w:szCs w:val="18"/>
          <w:lang w:eastAsia="en-US"/>
        </w:rPr>
        <w:t xml:space="preserve"> Všetci randomizovaní pacienti s</w:t>
      </w:r>
      <w:r w:rsidR="00C1016C">
        <w:rPr>
          <w:rFonts w:eastAsia="TimesNewRoman"/>
          <w:sz w:val="18"/>
          <w:szCs w:val="18"/>
          <w:lang w:eastAsia="en-US"/>
        </w:rPr>
        <w:t>o sekretorickým</w:t>
      </w:r>
      <w:r w:rsidRPr="00E110FB">
        <w:rPr>
          <w:rFonts w:eastAsia="TimesNewRoman"/>
          <w:sz w:val="18"/>
          <w:szCs w:val="18"/>
          <w:lang w:eastAsia="en-US"/>
        </w:rPr>
        <w:t xml:space="preserve"> ochorením </w:t>
      </w:r>
    </w:p>
    <w:p w14:paraId="43D667E4" w14:textId="22515C48"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 xml:space="preserve">* Aktualizácia údajov o prežívaní na základe mediánu </w:t>
      </w:r>
      <w:r w:rsidR="00C1016C">
        <w:rPr>
          <w:rFonts w:eastAsia="TimesNewRoman"/>
          <w:sz w:val="18"/>
          <w:szCs w:val="18"/>
          <w:lang w:eastAsia="en-US"/>
        </w:rPr>
        <w:t xml:space="preserve">ďalšieho </w:t>
      </w:r>
      <w:r w:rsidRPr="00E110FB">
        <w:rPr>
          <w:rFonts w:eastAsia="TimesNewRoman"/>
          <w:sz w:val="18"/>
          <w:szCs w:val="18"/>
          <w:lang w:eastAsia="en-US"/>
        </w:rPr>
        <w:t>sledovania 60,1 mesiacov</w:t>
      </w:r>
    </w:p>
    <w:p w14:paraId="5D5157FD" w14:textId="197B35D3" w:rsidR="00564D9B" w:rsidRPr="00E110FB" w:rsidRDefault="00564D9B" w:rsidP="00564D9B">
      <w:pPr>
        <w:rPr>
          <w:color w:val="000000"/>
          <w:sz w:val="18"/>
          <w:szCs w:val="18"/>
        </w:rPr>
      </w:pPr>
      <w:r w:rsidRPr="00E110FB">
        <w:rPr>
          <w:rFonts w:eastAsia="TimesNewRoman"/>
          <w:sz w:val="18"/>
          <w:szCs w:val="18"/>
          <w:lang w:eastAsia="en-US"/>
        </w:rPr>
        <w:t>I</w:t>
      </w:r>
      <w:r w:rsidR="00C33852" w:rsidRPr="00E110FB">
        <w:rPr>
          <w:rFonts w:eastAsia="TimesNewRoman"/>
          <w:sz w:val="18"/>
          <w:szCs w:val="18"/>
          <w:lang w:eastAsia="en-US"/>
        </w:rPr>
        <w:t>S</w:t>
      </w:r>
      <w:r w:rsidRPr="00E110FB">
        <w:rPr>
          <w:rFonts w:eastAsia="TimesNewRoman"/>
          <w:sz w:val="18"/>
          <w:szCs w:val="18"/>
          <w:lang w:eastAsia="en-US"/>
        </w:rPr>
        <w:t xml:space="preserve"> = interval spoľahlivosti (z angl. confidence interval)</w:t>
      </w:r>
    </w:p>
    <w:p w14:paraId="14A96C50" w14:textId="77777777" w:rsidR="00564D9B" w:rsidRPr="00CC69EC" w:rsidRDefault="00564D9B" w:rsidP="00564D9B">
      <w:pPr>
        <w:ind w:left="0" w:firstLine="0"/>
        <w:rPr>
          <w:rFonts w:eastAsia="TimesNewRoman"/>
          <w:b/>
          <w:szCs w:val="22"/>
          <w:lang w:eastAsia="en-US"/>
        </w:rPr>
      </w:pPr>
    </w:p>
    <w:p w14:paraId="42AD0604"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Pacienti vhodní na transplantáciu kmeňových buniek</w:t>
      </w:r>
    </w:p>
    <w:p w14:paraId="02CC8FD7" w14:textId="26CC9381"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Vykonali sa dve randomizované, otvorené, multicentrické </w:t>
      </w:r>
      <w:r w:rsidR="004D02F4">
        <w:rPr>
          <w:rFonts w:eastAsia="TimesNewRoman"/>
          <w:szCs w:val="22"/>
          <w:lang w:eastAsia="en-US"/>
        </w:rPr>
        <w:t xml:space="preserve">skúšania </w:t>
      </w:r>
      <w:r w:rsidRPr="00CC69EC">
        <w:rPr>
          <w:rFonts w:eastAsia="TimesNewRoman"/>
          <w:szCs w:val="22"/>
          <w:lang w:eastAsia="en-US"/>
        </w:rPr>
        <w:t>fázy III (IFM-2005-01, MMY-3010), aby sa preukázala bezpečnosť a účinnosť bortezomibu v dvoj- a trojkombinácii s inými chemoterapeutickými látkami, ako indukčná liečba pred transplantáciou kmeňových buniek u pacientov s doteraz neliečeným mnohopočetným myelómom.</w:t>
      </w:r>
    </w:p>
    <w:p w14:paraId="7CB6CA0C" w14:textId="77777777" w:rsidR="00564D9B" w:rsidRPr="00CC69EC" w:rsidRDefault="00564D9B" w:rsidP="00564D9B">
      <w:pPr>
        <w:autoSpaceDE w:val="0"/>
        <w:autoSpaceDN w:val="0"/>
        <w:adjustRightInd w:val="0"/>
        <w:ind w:left="0" w:firstLine="0"/>
        <w:rPr>
          <w:rFonts w:eastAsia="TimesNewRoman"/>
          <w:szCs w:val="22"/>
          <w:lang w:eastAsia="en-US"/>
        </w:rPr>
      </w:pPr>
    </w:p>
    <w:p w14:paraId="0B722F3E"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štúdii IFM-2005-01 bol bortezomib kombinovaný s dexametazónom [BDx, n = 240] porovnávaný s vinkristínom-doxorubicínom-dexametazónom [VDDx, n = 242]. Pacienti v skupine s BDx dostali štyri 21-dňové cykly, každý pozostával z bortezomibu (1,3 mg/m</w:t>
      </w:r>
      <w:r w:rsidRPr="00CC69EC">
        <w:rPr>
          <w:rFonts w:eastAsia="TimesNewRoman"/>
          <w:szCs w:val="22"/>
          <w:vertAlign w:val="superscript"/>
          <w:lang w:eastAsia="en-US"/>
        </w:rPr>
        <w:t>2</w:t>
      </w:r>
      <w:r w:rsidRPr="00CC69EC">
        <w:rPr>
          <w:rFonts w:eastAsia="TimesNewRoman"/>
          <w:szCs w:val="22"/>
          <w:lang w:eastAsia="en-US"/>
        </w:rPr>
        <w:t xml:space="preserve"> podávaný intravenózne dvakrát týždenne v 1., 4., 8. a 11. deň) a dexametazónu podávaného perorálne (40 mg/deň v 1. až 4. deň a 9. až 12. deň, v 1. a 2. cy</w:t>
      </w:r>
      <w:r>
        <w:rPr>
          <w:rFonts w:eastAsia="TimesNewRoman"/>
          <w:szCs w:val="22"/>
          <w:lang w:eastAsia="en-US"/>
        </w:rPr>
        <w:t>k</w:t>
      </w:r>
      <w:r w:rsidRPr="00CC69EC">
        <w:rPr>
          <w:rFonts w:eastAsia="TimesNewRoman"/>
          <w:szCs w:val="22"/>
          <w:lang w:eastAsia="en-US"/>
        </w:rPr>
        <w:t>le a 1. až 4. deň v 3. a 4. cykle).</w:t>
      </w:r>
    </w:p>
    <w:p w14:paraId="368B11E6" w14:textId="11438A04"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Autológne transplantácie kmeňových buniek boli vykonané u 198 (82 %) pacientov v skupine s VDDx a u 208 (87 %) pacientov v skupine s BDx; väčšina pacientov podstúpila jednu transplantáciu. V oboch liečených skupinách bol podobný demografický profil pacientov ako aj východiskový charakter ochorenia. Priemerný vek pacientov v štúdii bol 57 rokov, 55 % bolo mužov a 48 % pacientov malo vysokorizikovú cytogenetiku. Priemerné trvanie liečby bolo 13 týždňov pre skupinu VDDx a 11 týždňov pre skupinu BDx. Priemerný počet cyklov podaných v oboch skupinách bol 4 cykly.</w:t>
      </w:r>
    </w:p>
    <w:p w14:paraId="103A7D20" w14:textId="02C6838D"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Primárny cieľ</w:t>
      </w:r>
      <w:r w:rsidR="004D02F4">
        <w:rPr>
          <w:rFonts w:eastAsia="TimesNewRoman"/>
          <w:szCs w:val="22"/>
          <w:lang w:eastAsia="en-US"/>
        </w:rPr>
        <w:t>ový ukazovateľ</w:t>
      </w:r>
      <w:r w:rsidRPr="00CC69EC">
        <w:rPr>
          <w:rFonts w:eastAsia="TimesNewRoman"/>
          <w:szCs w:val="22"/>
          <w:lang w:eastAsia="en-US"/>
        </w:rPr>
        <w:t xml:space="preserve"> účinnosti štúdie bola miera postindukčnej odpovede (CR+nCR). Štatisticky významné rozdiely CR+nCR boli pozorované v prospech skupiny s bortezomibom kombinovaným s dexametazónom. Sekundárne cie</w:t>
      </w:r>
      <w:r w:rsidR="004D02F4">
        <w:rPr>
          <w:rFonts w:eastAsia="TimesNewRoman"/>
          <w:szCs w:val="22"/>
          <w:lang w:eastAsia="en-US"/>
        </w:rPr>
        <w:t>ľové ukazovatele</w:t>
      </w:r>
      <w:r w:rsidR="002C0925">
        <w:rPr>
          <w:rFonts w:eastAsia="TimesNewRoman"/>
          <w:szCs w:val="22"/>
          <w:lang w:eastAsia="en-US"/>
        </w:rPr>
        <w:t xml:space="preserve"> </w:t>
      </w:r>
      <w:r w:rsidRPr="00CC69EC">
        <w:rPr>
          <w:rFonts w:eastAsia="TimesNewRoman"/>
          <w:szCs w:val="22"/>
          <w:lang w:eastAsia="en-US"/>
        </w:rPr>
        <w:t xml:space="preserve">účinnosti zahŕňali posttransplantačné miery odpovede (CR+nCR, CR+nCR+VGPR+PR), prežívanie bez progresie a celkové prežívanie. Hlavné výsledky účinnosti sú uvedené v </w:t>
      </w:r>
      <w:r w:rsidR="004D02F4">
        <w:rPr>
          <w:rFonts w:eastAsia="TimesNewRoman"/>
          <w:szCs w:val="22"/>
          <w:lang w:eastAsia="en-US"/>
        </w:rPr>
        <w:t>t</w:t>
      </w:r>
      <w:r w:rsidRPr="00CC69EC">
        <w:rPr>
          <w:rFonts w:eastAsia="TimesNewRoman"/>
          <w:szCs w:val="22"/>
          <w:lang w:eastAsia="en-US"/>
        </w:rPr>
        <w:t>abuľke 12.</w:t>
      </w:r>
    </w:p>
    <w:p w14:paraId="2EDEDC90" w14:textId="77777777" w:rsidR="00564D9B" w:rsidRPr="00CC69EC" w:rsidRDefault="00564D9B" w:rsidP="00564D9B">
      <w:pPr>
        <w:ind w:left="0" w:firstLine="0"/>
        <w:rPr>
          <w:rFonts w:eastAsia="TimesNewRoman"/>
          <w:szCs w:val="22"/>
          <w:lang w:eastAsia="en-US"/>
        </w:rPr>
      </w:pPr>
    </w:p>
    <w:p w14:paraId="36C05309" w14:textId="77777777" w:rsidR="00564D9B" w:rsidRPr="00CC69EC" w:rsidRDefault="00564D9B" w:rsidP="00564D9B">
      <w:pPr>
        <w:rPr>
          <w:color w:val="000000"/>
        </w:rPr>
      </w:pPr>
      <w:r w:rsidRPr="00CC69EC">
        <w:rPr>
          <w:rFonts w:eastAsia="TimesNewRoman,Italic"/>
          <w:i/>
          <w:iCs/>
          <w:szCs w:val="22"/>
          <w:lang w:eastAsia="en-US"/>
        </w:rPr>
        <w:t>Tabuľka 12: Výsledky účinnosti zo štúdie IFM-2005-01</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301"/>
        <w:gridCol w:w="2229"/>
        <w:gridCol w:w="2229"/>
        <w:gridCol w:w="2301"/>
      </w:tblGrid>
      <w:tr w:rsidR="00564D9B" w:rsidRPr="00CC69EC" w14:paraId="79B1A145" w14:textId="77777777" w:rsidTr="00E110FB">
        <w:trPr>
          <w:tblCellSpacing w:w="0" w:type="dxa"/>
        </w:trPr>
        <w:tc>
          <w:tcPr>
            <w:tcW w:w="1270" w:type="pct"/>
            <w:hideMark/>
          </w:tcPr>
          <w:p w14:paraId="0B3E4821" w14:textId="77777777" w:rsidR="00564D9B" w:rsidRPr="00CC69EC" w:rsidRDefault="00564D9B" w:rsidP="00F75370">
            <w:pPr>
              <w:rPr>
                <w:color w:val="000000"/>
              </w:rPr>
            </w:pPr>
            <w:r w:rsidRPr="00CC69EC">
              <w:rPr>
                <w:b/>
                <w:bCs/>
                <w:color w:val="000000"/>
              </w:rPr>
              <w:t>Koncové ukazovatele</w:t>
            </w:r>
          </w:p>
        </w:tc>
        <w:tc>
          <w:tcPr>
            <w:tcW w:w="1230" w:type="pct"/>
            <w:hideMark/>
          </w:tcPr>
          <w:p w14:paraId="6F61D4E1" w14:textId="77777777" w:rsidR="00564D9B" w:rsidRPr="00CC69EC" w:rsidRDefault="00564D9B" w:rsidP="00F75370">
            <w:pPr>
              <w:rPr>
                <w:color w:val="000000"/>
              </w:rPr>
            </w:pPr>
            <w:r w:rsidRPr="00CC69EC">
              <w:rPr>
                <w:b/>
                <w:bCs/>
                <w:color w:val="000000"/>
              </w:rPr>
              <w:t>BDx</w:t>
            </w:r>
          </w:p>
        </w:tc>
        <w:tc>
          <w:tcPr>
            <w:tcW w:w="1230" w:type="pct"/>
            <w:hideMark/>
          </w:tcPr>
          <w:p w14:paraId="1730B31A" w14:textId="77777777" w:rsidR="00564D9B" w:rsidRPr="00CC69EC" w:rsidRDefault="00564D9B" w:rsidP="00F75370">
            <w:pPr>
              <w:rPr>
                <w:color w:val="000000"/>
              </w:rPr>
            </w:pPr>
            <w:r w:rsidRPr="00CC69EC">
              <w:rPr>
                <w:b/>
                <w:bCs/>
                <w:color w:val="000000"/>
              </w:rPr>
              <w:t>VDDx</w:t>
            </w:r>
          </w:p>
        </w:tc>
        <w:tc>
          <w:tcPr>
            <w:tcW w:w="1270" w:type="pct"/>
            <w:hideMark/>
          </w:tcPr>
          <w:p w14:paraId="4253AD8F" w14:textId="50E4F73D" w:rsidR="00564D9B" w:rsidRPr="00CC69EC" w:rsidRDefault="00564D9B" w:rsidP="00F75370">
            <w:pPr>
              <w:rPr>
                <w:b/>
                <w:bCs/>
                <w:color w:val="000000"/>
              </w:rPr>
            </w:pPr>
            <w:r w:rsidRPr="00CC69EC">
              <w:rPr>
                <w:b/>
                <w:bCs/>
                <w:color w:val="000000"/>
              </w:rPr>
              <w:t>OR; 95 % I</w:t>
            </w:r>
            <w:r w:rsidR="00133BD5">
              <w:rPr>
                <w:b/>
                <w:bCs/>
                <w:color w:val="000000"/>
              </w:rPr>
              <w:t>S</w:t>
            </w:r>
            <w:r w:rsidRPr="00CC69EC">
              <w:rPr>
                <w:b/>
                <w:bCs/>
                <w:color w:val="000000"/>
              </w:rPr>
              <w:t>;</w:t>
            </w:r>
          </w:p>
          <w:p w14:paraId="1F361ADF" w14:textId="77777777" w:rsidR="00564D9B" w:rsidRPr="00CC69EC" w:rsidRDefault="00564D9B" w:rsidP="00F75370">
            <w:pPr>
              <w:rPr>
                <w:color w:val="000000"/>
              </w:rPr>
            </w:pPr>
            <w:r w:rsidRPr="00CC69EC">
              <w:rPr>
                <w:b/>
                <w:bCs/>
                <w:color w:val="000000"/>
              </w:rPr>
              <w:t xml:space="preserve"> p-hodnota</w:t>
            </w:r>
            <w:r w:rsidRPr="00CC69EC">
              <w:rPr>
                <w:b/>
                <w:bCs/>
                <w:color w:val="000000"/>
                <w:vertAlign w:val="superscript"/>
              </w:rPr>
              <w:t>a</w:t>
            </w:r>
          </w:p>
        </w:tc>
      </w:tr>
      <w:tr w:rsidR="00564D9B" w:rsidRPr="00CC69EC" w14:paraId="231B6F40" w14:textId="77777777" w:rsidTr="00E110FB">
        <w:trPr>
          <w:tblCellSpacing w:w="0" w:type="dxa"/>
        </w:trPr>
        <w:tc>
          <w:tcPr>
            <w:tcW w:w="1270" w:type="pct"/>
            <w:hideMark/>
          </w:tcPr>
          <w:p w14:paraId="2E84C01D" w14:textId="77777777" w:rsidR="00564D9B" w:rsidRPr="00CC69EC" w:rsidRDefault="00564D9B" w:rsidP="00F75370">
            <w:pPr>
              <w:rPr>
                <w:color w:val="000000"/>
              </w:rPr>
            </w:pPr>
            <w:r w:rsidRPr="00CC69EC">
              <w:rPr>
                <w:b/>
                <w:bCs/>
                <w:color w:val="000000"/>
              </w:rPr>
              <w:lastRenderedPageBreak/>
              <w:t>IFM-2005-01</w:t>
            </w:r>
          </w:p>
        </w:tc>
        <w:tc>
          <w:tcPr>
            <w:tcW w:w="1230" w:type="pct"/>
            <w:hideMark/>
          </w:tcPr>
          <w:p w14:paraId="35CAEFAD" w14:textId="77777777" w:rsidR="00564D9B" w:rsidRPr="00CC69EC" w:rsidRDefault="00564D9B" w:rsidP="00F75370">
            <w:pPr>
              <w:ind w:left="0" w:firstLine="0"/>
              <w:rPr>
                <w:color w:val="000000"/>
              </w:rPr>
            </w:pPr>
            <w:r w:rsidRPr="00CC69EC">
              <w:rPr>
                <w:color w:val="000000"/>
              </w:rPr>
              <w:t xml:space="preserve">n = 240 </w:t>
            </w:r>
          </w:p>
          <w:p w14:paraId="4559A334" w14:textId="77777777" w:rsidR="00564D9B" w:rsidRPr="00CC69EC" w:rsidRDefault="00564D9B" w:rsidP="00F75370">
            <w:pPr>
              <w:ind w:left="0" w:firstLine="0"/>
              <w:rPr>
                <w:color w:val="000000"/>
              </w:rPr>
            </w:pPr>
            <w:r w:rsidRPr="00CC69EC">
              <w:rPr>
                <w:color w:val="000000"/>
              </w:rPr>
              <w:t xml:space="preserve">(ITT populácia) </w:t>
            </w:r>
          </w:p>
        </w:tc>
        <w:tc>
          <w:tcPr>
            <w:tcW w:w="1230" w:type="pct"/>
            <w:hideMark/>
          </w:tcPr>
          <w:p w14:paraId="1AD6D630" w14:textId="77777777" w:rsidR="00564D9B" w:rsidRPr="00CC69EC" w:rsidRDefault="00564D9B" w:rsidP="00F75370">
            <w:pPr>
              <w:ind w:left="0" w:firstLine="0"/>
              <w:rPr>
                <w:color w:val="000000"/>
              </w:rPr>
            </w:pPr>
            <w:r w:rsidRPr="00CC69EC">
              <w:rPr>
                <w:color w:val="000000"/>
              </w:rPr>
              <w:t xml:space="preserve">n = 242 </w:t>
            </w:r>
          </w:p>
          <w:p w14:paraId="3EE3B02D" w14:textId="77777777" w:rsidR="00564D9B" w:rsidRPr="00CC69EC" w:rsidRDefault="00564D9B" w:rsidP="00F75370">
            <w:pPr>
              <w:ind w:left="0" w:firstLine="0"/>
              <w:rPr>
                <w:color w:val="000000"/>
              </w:rPr>
            </w:pPr>
            <w:r w:rsidRPr="00CC69EC">
              <w:rPr>
                <w:color w:val="000000"/>
              </w:rPr>
              <w:t xml:space="preserve">(ITT populácia) </w:t>
            </w:r>
          </w:p>
        </w:tc>
        <w:tc>
          <w:tcPr>
            <w:tcW w:w="1270" w:type="pct"/>
            <w:hideMark/>
          </w:tcPr>
          <w:p w14:paraId="3FEA85CA" w14:textId="77777777" w:rsidR="00564D9B" w:rsidRPr="00CC69EC" w:rsidRDefault="00564D9B" w:rsidP="00F75370">
            <w:pPr>
              <w:rPr>
                <w:color w:val="000000"/>
              </w:rPr>
            </w:pPr>
          </w:p>
        </w:tc>
      </w:tr>
      <w:tr w:rsidR="00564D9B" w:rsidRPr="00CC69EC" w14:paraId="49172530" w14:textId="77777777" w:rsidTr="00E110FB">
        <w:trPr>
          <w:tblCellSpacing w:w="0" w:type="dxa"/>
        </w:trPr>
        <w:tc>
          <w:tcPr>
            <w:tcW w:w="1270" w:type="pct"/>
            <w:hideMark/>
          </w:tcPr>
          <w:p w14:paraId="6E87AE0F" w14:textId="7AEDCEBA" w:rsidR="00564D9B" w:rsidRPr="00CC69EC" w:rsidRDefault="00564D9B" w:rsidP="00F75370">
            <w:pPr>
              <w:rPr>
                <w:color w:val="000000"/>
              </w:rPr>
            </w:pPr>
            <w:r w:rsidRPr="00CC69EC">
              <w:rPr>
                <w:i/>
                <w:iCs/>
                <w:color w:val="000000"/>
              </w:rPr>
              <w:t>RR (postindukčná)</w:t>
            </w:r>
            <w:r w:rsidRPr="00CC69EC">
              <w:rPr>
                <w:color w:val="000000"/>
              </w:rPr>
              <w:t xml:space="preserve"> </w:t>
            </w:r>
          </w:p>
          <w:p w14:paraId="662D5E0C" w14:textId="77777777" w:rsidR="00564D9B" w:rsidRPr="00CC69EC" w:rsidRDefault="00564D9B" w:rsidP="00F75370">
            <w:pPr>
              <w:rPr>
                <w:color w:val="000000"/>
              </w:rPr>
            </w:pPr>
            <w:r w:rsidRPr="00CC69EC">
              <w:rPr>
                <w:color w:val="000000"/>
              </w:rPr>
              <w:t xml:space="preserve">*CR+nCR </w:t>
            </w:r>
          </w:p>
          <w:p w14:paraId="757DE213" w14:textId="1020A12C" w:rsidR="00564D9B" w:rsidRPr="00CC69EC" w:rsidRDefault="00564D9B" w:rsidP="00F75370">
            <w:pPr>
              <w:ind w:left="0" w:firstLine="0"/>
              <w:rPr>
                <w:color w:val="000000"/>
              </w:rPr>
            </w:pPr>
            <w:r w:rsidRPr="00CC69EC">
              <w:rPr>
                <w:color w:val="000000"/>
              </w:rPr>
              <w:t>CR+nCR+VGPR+PR % (95 % I</w:t>
            </w:r>
            <w:r w:rsidR="00133BD5">
              <w:rPr>
                <w:color w:val="000000"/>
              </w:rPr>
              <w:t>S</w:t>
            </w:r>
            <w:r w:rsidRPr="00CC69EC">
              <w:rPr>
                <w:color w:val="000000"/>
              </w:rPr>
              <w:t xml:space="preserve">) </w:t>
            </w:r>
          </w:p>
        </w:tc>
        <w:tc>
          <w:tcPr>
            <w:tcW w:w="1230" w:type="pct"/>
            <w:hideMark/>
          </w:tcPr>
          <w:p w14:paraId="7956EC6F" w14:textId="77777777" w:rsidR="00564D9B" w:rsidRPr="00CC69EC" w:rsidRDefault="00564D9B" w:rsidP="00F75370">
            <w:pPr>
              <w:rPr>
                <w:color w:val="000000"/>
              </w:rPr>
            </w:pPr>
            <w:r w:rsidRPr="00CC69EC">
              <w:rPr>
                <w:color w:val="000000"/>
              </w:rPr>
              <w:t xml:space="preserve">14,6 (10,4; 19,7) </w:t>
            </w:r>
          </w:p>
          <w:p w14:paraId="16B95025" w14:textId="77777777" w:rsidR="00564D9B" w:rsidRPr="00CC69EC" w:rsidRDefault="00564D9B" w:rsidP="00F75370">
            <w:pPr>
              <w:rPr>
                <w:color w:val="000000"/>
              </w:rPr>
            </w:pPr>
            <w:r w:rsidRPr="00CC69EC">
              <w:rPr>
                <w:color w:val="000000"/>
              </w:rPr>
              <w:t xml:space="preserve">77,1 (71,2; 82,2) </w:t>
            </w:r>
          </w:p>
        </w:tc>
        <w:tc>
          <w:tcPr>
            <w:tcW w:w="1230" w:type="pct"/>
            <w:hideMark/>
          </w:tcPr>
          <w:p w14:paraId="5E444B9E" w14:textId="77777777" w:rsidR="00564D9B" w:rsidRPr="00CC69EC" w:rsidRDefault="00564D9B" w:rsidP="00F75370">
            <w:pPr>
              <w:rPr>
                <w:color w:val="000000"/>
              </w:rPr>
            </w:pPr>
            <w:r w:rsidRPr="00CC69EC">
              <w:rPr>
                <w:color w:val="000000"/>
              </w:rPr>
              <w:t xml:space="preserve">6,2 (3,5; 10,0) </w:t>
            </w:r>
          </w:p>
          <w:p w14:paraId="7D15E4BB" w14:textId="77777777" w:rsidR="00564D9B" w:rsidRPr="00CC69EC" w:rsidRDefault="00564D9B" w:rsidP="00F75370">
            <w:pPr>
              <w:rPr>
                <w:color w:val="000000"/>
              </w:rPr>
            </w:pPr>
            <w:r w:rsidRPr="00CC69EC">
              <w:rPr>
                <w:color w:val="000000"/>
              </w:rPr>
              <w:t xml:space="preserve">60,7 (54,3; 66,9) </w:t>
            </w:r>
          </w:p>
        </w:tc>
        <w:tc>
          <w:tcPr>
            <w:tcW w:w="1270" w:type="pct"/>
            <w:hideMark/>
          </w:tcPr>
          <w:p w14:paraId="4BF4CF32" w14:textId="77777777" w:rsidR="00564D9B" w:rsidRPr="00CC69EC" w:rsidRDefault="00564D9B" w:rsidP="00F75370">
            <w:pPr>
              <w:rPr>
                <w:color w:val="000000"/>
              </w:rPr>
            </w:pPr>
            <w:r w:rsidRPr="00CC69EC">
              <w:rPr>
                <w:color w:val="000000"/>
              </w:rPr>
              <w:t xml:space="preserve">2,58 (1,37; 4,85); 0,003 </w:t>
            </w:r>
          </w:p>
          <w:p w14:paraId="09BD9559" w14:textId="77777777" w:rsidR="00564D9B" w:rsidRPr="00CC69EC" w:rsidRDefault="00564D9B" w:rsidP="00F75370">
            <w:pPr>
              <w:rPr>
                <w:color w:val="000000"/>
              </w:rPr>
            </w:pPr>
            <w:r w:rsidRPr="00CC69EC">
              <w:rPr>
                <w:color w:val="000000"/>
              </w:rPr>
              <w:t xml:space="preserve">2,18 (1,46; 3,24); &lt; 0,001 </w:t>
            </w:r>
          </w:p>
        </w:tc>
      </w:tr>
      <w:tr w:rsidR="00564D9B" w:rsidRPr="00CC69EC" w14:paraId="50ED6041" w14:textId="77777777" w:rsidTr="00E110FB">
        <w:trPr>
          <w:tblCellSpacing w:w="0" w:type="dxa"/>
        </w:trPr>
        <w:tc>
          <w:tcPr>
            <w:tcW w:w="1270" w:type="pct"/>
            <w:hideMark/>
          </w:tcPr>
          <w:p w14:paraId="17FA8293" w14:textId="77777777" w:rsidR="00564D9B" w:rsidRPr="00CC69EC" w:rsidRDefault="00564D9B" w:rsidP="00F75370">
            <w:pPr>
              <w:rPr>
                <w:i/>
                <w:iCs/>
                <w:color w:val="000000"/>
              </w:rPr>
            </w:pPr>
            <w:r w:rsidRPr="00CC69EC">
              <w:rPr>
                <w:i/>
                <w:iCs/>
                <w:color w:val="000000"/>
              </w:rPr>
              <w:t>RR</w:t>
            </w:r>
          </w:p>
          <w:p w14:paraId="006FF69B" w14:textId="4ED3C22A" w:rsidR="00564D9B" w:rsidRPr="00CC69EC" w:rsidRDefault="00564D9B" w:rsidP="00F75370">
            <w:pPr>
              <w:rPr>
                <w:color w:val="000000"/>
              </w:rPr>
            </w:pPr>
            <w:r w:rsidRPr="00CC69EC">
              <w:rPr>
                <w:i/>
                <w:iCs/>
                <w:color w:val="000000"/>
              </w:rPr>
              <w:t>(posttransplantačná)</w:t>
            </w:r>
            <w:r w:rsidRPr="00CC69EC">
              <w:rPr>
                <w:i/>
                <w:iCs/>
                <w:color w:val="000000"/>
                <w:vertAlign w:val="superscript"/>
              </w:rPr>
              <w:t>b</w:t>
            </w:r>
            <w:r w:rsidRPr="00CC69EC">
              <w:rPr>
                <w:color w:val="000000"/>
              </w:rPr>
              <w:t xml:space="preserve"> </w:t>
            </w:r>
          </w:p>
          <w:p w14:paraId="62544A6F" w14:textId="77777777" w:rsidR="00564D9B" w:rsidRPr="00CC69EC" w:rsidRDefault="00564D9B" w:rsidP="00F75370">
            <w:pPr>
              <w:rPr>
                <w:color w:val="000000"/>
              </w:rPr>
            </w:pPr>
            <w:r w:rsidRPr="00CC69EC">
              <w:rPr>
                <w:color w:val="000000"/>
              </w:rPr>
              <w:t xml:space="preserve">CR+nCR </w:t>
            </w:r>
          </w:p>
          <w:p w14:paraId="56B87205" w14:textId="2CCCB367" w:rsidR="00564D9B" w:rsidRPr="00CC69EC" w:rsidRDefault="00564D9B" w:rsidP="00F75370">
            <w:pPr>
              <w:ind w:left="0" w:firstLine="0"/>
              <w:rPr>
                <w:color w:val="000000"/>
              </w:rPr>
            </w:pPr>
            <w:r w:rsidRPr="00CC69EC">
              <w:rPr>
                <w:color w:val="000000"/>
              </w:rPr>
              <w:t>CR+nCR+VGPR+PR % (95 % I</w:t>
            </w:r>
            <w:r w:rsidR="00133BD5">
              <w:rPr>
                <w:color w:val="000000"/>
              </w:rPr>
              <w:t>S</w:t>
            </w:r>
            <w:r w:rsidRPr="00CC69EC">
              <w:rPr>
                <w:color w:val="000000"/>
              </w:rPr>
              <w:t xml:space="preserve">) </w:t>
            </w:r>
          </w:p>
        </w:tc>
        <w:tc>
          <w:tcPr>
            <w:tcW w:w="1230" w:type="pct"/>
            <w:hideMark/>
          </w:tcPr>
          <w:p w14:paraId="7CFB0C1E" w14:textId="77777777" w:rsidR="00564D9B" w:rsidRPr="00CC69EC" w:rsidRDefault="00564D9B" w:rsidP="00F75370">
            <w:pPr>
              <w:rPr>
                <w:color w:val="000000"/>
              </w:rPr>
            </w:pPr>
            <w:r w:rsidRPr="00CC69EC">
              <w:rPr>
                <w:color w:val="000000"/>
              </w:rPr>
              <w:t xml:space="preserve">37,5 (31,4; 44,0) </w:t>
            </w:r>
          </w:p>
          <w:p w14:paraId="460CE717" w14:textId="77777777" w:rsidR="00564D9B" w:rsidRPr="00CC69EC" w:rsidRDefault="00564D9B" w:rsidP="00F75370">
            <w:pPr>
              <w:rPr>
                <w:color w:val="000000"/>
              </w:rPr>
            </w:pPr>
            <w:r w:rsidRPr="00CC69EC">
              <w:rPr>
                <w:color w:val="000000"/>
              </w:rPr>
              <w:t xml:space="preserve">79,6 (73,9; 84,5) </w:t>
            </w:r>
          </w:p>
        </w:tc>
        <w:tc>
          <w:tcPr>
            <w:tcW w:w="1230" w:type="pct"/>
            <w:hideMark/>
          </w:tcPr>
          <w:p w14:paraId="780A317F" w14:textId="77777777" w:rsidR="00564D9B" w:rsidRPr="00CC69EC" w:rsidRDefault="00564D9B" w:rsidP="00F75370">
            <w:pPr>
              <w:rPr>
                <w:color w:val="000000"/>
              </w:rPr>
            </w:pPr>
            <w:r w:rsidRPr="00CC69EC">
              <w:rPr>
                <w:color w:val="000000"/>
              </w:rPr>
              <w:t xml:space="preserve">23,1 (18,0; 29,0) </w:t>
            </w:r>
          </w:p>
          <w:p w14:paraId="3A19D4AA" w14:textId="77777777" w:rsidR="00564D9B" w:rsidRPr="00CC69EC" w:rsidRDefault="00564D9B" w:rsidP="00F75370">
            <w:pPr>
              <w:rPr>
                <w:color w:val="000000"/>
              </w:rPr>
            </w:pPr>
            <w:r w:rsidRPr="00CC69EC">
              <w:rPr>
                <w:color w:val="000000"/>
              </w:rPr>
              <w:t xml:space="preserve">74,4 (68,4; 79,8) </w:t>
            </w:r>
          </w:p>
        </w:tc>
        <w:tc>
          <w:tcPr>
            <w:tcW w:w="1270" w:type="pct"/>
            <w:hideMark/>
          </w:tcPr>
          <w:p w14:paraId="0C005D98" w14:textId="77777777" w:rsidR="00564D9B" w:rsidRPr="00CC69EC" w:rsidRDefault="00564D9B" w:rsidP="00F75370">
            <w:pPr>
              <w:rPr>
                <w:color w:val="000000"/>
              </w:rPr>
            </w:pPr>
            <w:r w:rsidRPr="00CC69EC">
              <w:rPr>
                <w:color w:val="000000"/>
              </w:rPr>
              <w:t xml:space="preserve">1,98 (1,33; 2,95); 0,001 </w:t>
            </w:r>
          </w:p>
          <w:p w14:paraId="05134FE9" w14:textId="77777777" w:rsidR="00564D9B" w:rsidRPr="00CC69EC" w:rsidRDefault="00564D9B" w:rsidP="00F75370">
            <w:pPr>
              <w:rPr>
                <w:color w:val="000000"/>
              </w:rPr>
            </w:pPr>
            <w:r w:rsidRPr="00CC69EC">
              <w:rPr>
                <w:color w:val="000000"/>
              </w:rPr>
              <w:t xml:space="preserve">1,34 (0,87; 2,05); 0,179 </w:t>
            </w:r>
          </w:p>
        </w:tc>
      </w:tr>
    </w:tbl>
    <w:p w14:paraId="3D9289CF" w14:textId="5DDBC609"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I</w:t>
      </w:r>
      <w:r w:rsidR="00133BD5" w:rsidRPr="00E110FB">
        <w:rPr>
          <w:rFonts w:eastAsia="TimesNewRoman"/>
          <w:sz w:val="18"/>
          <w:szCs w:val="18"/>
          <w:lang w:eastAsia="en-US"/>
        </w:rPr>
        <w:t>S</w:t>
      </w:r>
      <w:r w:rsidRPr="00E110FB">
        <w:rPr>
          <w:rFonts w:eastAsia="TimesNewRoman"/>
          <w:sz w:val="18"/>
          <w:szCs w:val="18"/>
          <w:lang w:eastAsia="en-US"/>
        </w:rPr>
        <w:t xml:space="preserve"> = interval spoľahlivosti; CR = kompletná odpoveď (z angl. complete response); nCR = takmer kompletná odpoveď (z angl. near complete response); ITT = s úmyslom liečby (z angl. intent to treat), RR = miera odpovede (z angl. response rate), B = bortezomib; BDx = bortezomib, dexametazón; VDDx = vinkristín, doxorubicín, dexametazón; VGPR = veľmi dobrá čiastočná odpoveď (z angl. very good partial response); PR = čiastočná odpoveď (z angl. partial response); OR = pomer </w:t>
      </w:r>
      <w:r w:rsidR="00133BD5" w:rsidRPr="00E110FB">
        <w:rPr>
          <w:rFonts w:eastAsia="TimesNewRoman"/>
          <w:sz w:val="18"/>
          <w:szCs w:val="18"/>
          <w:lang w:eastAsia="en-US"/>
        </w:rPr>
        <w:t xml:space="preserve">šancí </w:t>
      </w:r>
      <w:r w:rsidRPr="00E110FB">
        <w:rPr>
          <w:rFonts w:eastAsia="TimesNewRoman"/>
          <w:sz w:val="18"/>
          <w:szCs w:val="18"/>
          <w:lang w:eastAsia="en-US"/>
        </w:rPr>
        <w:t xml:space="preserve">(z angl. odds ratio); </w:t>
      </w:r>
    </w:p>
    <w:p w14:paraId="39BDAF21" w14:textId="53493E1B"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 xml:space="preserve">* primárny </w:t>
      </w:r>
      <w:r w:rsidR="00133BD5">
        <w:rPr>
          <w:rFonts w:eastAsia="TimesNewRoman"/>
          <w:sz w:val="18"/>
          <w:szCs w:val="18"/>
          <w:lang w:eastAsia="en-US"/>
        </w:rPr>
        <w:t>cieľový</w:t>
      </w:r>
      <w:r w:rsidR="00133BD5" w:rsidRPr="00E110FB">
        <w:rPr>
          <w:rFonts w:eastAsia="TimesNewRoman"/>
          <w:sz w:val="18"/>
          <w:szCs w:val="18"/>
          <w:lang w:eastAsia="en-US"/>
        </w:rPr>
        <w:t xml:space="preserve"> </w:t>
      </w:r>
      <w:r w:rsidRPr="00E110FB">
        <w:rPr>
          <w:rFonts w:eastAsia="TimesNewRoman"/>
          <w:sz w:val="18"/>
          <w:szCs w:val="18"/>
          <w:lang w:eastAsia="en-US"/>
        </w:rPr>
        <w:t>ukazovateľ</w:t>
      </w:r>
    </w:p>
    <w:p w14:paraId="3CF4522A" w14:textId="5A9C1D61"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a</w:t>
      </w:r>
      <w:r w:rsidRPr="00E110FB">
        <w:rPr>
          <w:rFonts w:eastAsia="TimesNewRoman"/>
          <w:sz w:val="18"/>
          <w:szCs w:val="18"/>
          <w:lang w:eastAsia="en-US"/>
        </w:rPr>
        <w:t xml:space="preserve"> OR pre </w:t>
      </w:r>
      <w:r w:rsidR="00133BD5">
        <w:rPr>
          <w:rFonts w:eastAsia="TimesNewRoman"/>
          <w:sz w:val="18"/>
          <w:szCs w:val="18"/>
          <w:lang w:eastAsia="en-US"/>
        </w:rPr>
        <w:t>výskyt</w:t>
      </w:r>
      <w:r w:rsidR="00133BD5" w:rsidRPr="00E110FB">
        <w:rPr>
          <w:rFonts w:eastAsia="TimesNewRoman"/>
          <w:sz w:val="18"/>
          <w:szCs w:val="18"/>
          <w:lang w:eastAsia="en-US"/>
        </w:rPr>
        <w:t xml:space="preserve"> </w:t>
      </w:r>
      <w:r w:rsidRPr="00E110FB">
        <w:rPr>
          <w:rFonts w:eastAsia="TimesNewRoman"/>
          <w:sz w:val="18"/>
          <w:szCs w:val="18"/>
          <w:lang w:eastAsia="en-US"/>
        </w:rPr>
        <w:t>odpovede založen</w:t>
      </w:r>
      <w:r w:rsidR="00133BD5">
        <w:rPr>
          <w:rFonts w:eastAsia="TimesNewRoman"/>
          <w:sz w:val="18"/>
          <w:szCs w:val="18"/>
          <w:lang w:eastAsia="en-US"/>
        </w:rPr>
        <w:t>ý</w:t>
      </w:r>
      <w:r w:rsidRPr="00E110FB">
        <w:rPr>
          <w:rFonts w:eastAsia="TimesNewRoman"/>
          <w:sz w:val="18"/>
          <w:szCs w:val="18"/>
          <w:lang w:eastAsia="en-US"/>
        </w:rPr>
        <w:t xml:space="preserve"> na Mantelovom-Haenszelovom </w:t>
      </w:r>
      <w:r w:rsidR="00133BD5">
        <w:rPr>
          <w:rFonts w:eastAsia="TimesNewRoman"/>
          <w:sz w:val="18"/>
          <w:szCs w:val="18"/>
          <w:lang w:eastAsia="en-US"/>
        </w:rPr>
        <w:t xml:space="preserve">stanovení pomeru </w:t>
      </w:r>
      <w:r w:rsidR="003C29B9">
        <w:rPr>
          <w:rFonts w:eastAsia="TimesNewRoman"/>
          <w:sz w:val="18"/>
          <w:szCs w:val="18"/>
          <w:lang w:eastAsia="en-US"/>
        </w:rPr>
        <w:t>šancí</w:t>
      </w:r>
      <w:r w:rsidR="00133BD5">
        <w:rPr>
          <w:rFonts w:eastAsia="TimesNewRoman"/>
          <w:sz w:val="18"/>
          <w:szCs w:val="18"/>
          <w:lang w:eastAsia="en-US"/>
        </w:rPr>
        <w:t xml:space="preserve"> pre</w:t>
      </w:r>
      <w:r w:rsidR="00133BD5" w:rsidRPr="00E110FB">
        <w:rPr>
          <w:rFonts w:eastAsia="TimesNewRoman"/>
          <w:sz w:val="18"/>
          <w:szCs w:val="18"/>
          <w:lang w:eastAsia="en-US"/>
        </w:rPr>
        <w:t xml:space="preserve"> </w:t>
      </w:r>
      <w:r w:rsidRPr="00E110FB">
        <w:rPr>
          <w:rFonts w:eastAsia="TimesNewRoman"/>
          <w:sz w:val="18"/>
          <w:szCs w:val="18"/>
          <w:lang w:eastAsia="en-US"/>
        </w:rPr>
        <w:t>stratifikované tabuľky; p-hodnota podľa Cochranovho-Mantelovho-Haenszelovho testu.</w:t>
      </w:r>
    </w:p>
    <w:p w14:paraId="0400F28C" w14:textId="3220082D"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b</w:t>
      </w:r>
      <w:r w:rsidRPr="00E110FB">
        <w:rPr>
          <w:rFonts w:eastAsia="TimesNewRoman"/>
          <w:sz w:val="18"/>
          <w:szCs w:val="18"/>
          <w:lang w:eastAsia="en-US"/>
        </w:rPr>
        <w:t xml:space="preserve"> Týka sa miery odpovede po druhej transplantácii u pacientov, ktorí dostali druhú transplantáciu (42/240 [18 %] v skupine s BDx a 52/242 [21 %] v skupine s</w:t>
      </w:r>
      <w:r w:rsidR="00EB3C3E">
        <w:rPr>
          <w:rFonts w:eastAsia="TimesNewRoman"/>
          <w:sz w:val="18"/>
          <w:szCs w:val="18"/>
          <w:lang w:eastAsia="en-US"/>
        </w:rPr>
        <w:t> </w:t>
      </w:r>
      <w:r w:rsidRPr="00E110FB">
        <w:rPr>
          <w:rFonts w:eastAsia="TimesNewRoman"/>
          <w:sz w:val="18"/>
          <w:szCs w:val="18"/>
          <w:lang w:eastAsia="en-US"/>
        </w:rPr>
        <w:t>VDDx</w:t>
      </w:r>
      <w:r w:rsidR="00EB3C3E">
        <w:rPr>
          <w:rFonts w:eastAsia="TimesNewRoman"/>
          <w:sz w:val="18"/>
          <w:szCs w:val="18"/>
          <w:lang w:eastAsia="en-US"/>
        </w:rPr>
        <w:t>)</w:t>
      </w:r>
      <w:r w:rsidRPr="00E110FB">
        <w:rPr>
          <w:rFonts w:eastAsia="TimesNewRoman"/>
          <w:sz w:val="18"/>
          <w:szCs w:val="18"/>
          <w:lang w:eastAsia="en-US"/>
        </w:rPr>
        <w:t>.</w:t>
      </w:r>
    </w:p>
    <w:p w14:paraId="33659DCE" w14:textId="11E67C72" w:rsidR="00564D9B" w:rsidRPr="00E110FB" w:rsidRDefault="00564D9B" w:rsidP="00564D9B">
      <w:pPr>
        <w:rPr>
          <w:color w:val="000000"/>
          <w:sz w:val="18"/>
          <w:szCs w:val="18"/>
        </w:rPr>
      </w:pPr>
      <w:r w:rsidRPr="00E110FB">
        <w:rPr>
          <w:rFonts w:eastAsia="TimesNewRoman"/>
          <w:sz w:val="18"/>
          <w:szCs w:val="18"/>
          <w:lang w:eastAsia="en-US"/>
        </w:rPr>
        <w:t xml:space="preserve">Poznámka: OR &gt; 1 naznačuje výhodu pre indukčnú liečbu obsahujúcu </w:t>
      </w:r>
      <w:r w:rsidR="00EB3C3E">
        <w:rPr>
          <w:rFonts w:eastAsia="TimesNewRoman"/>
          <w:sz w:val="18"/>
          <w:szCs w:val="18"/>
          <w:lang w:eastAsia="en-US"/>
        </w:rPr>
        <w:t>bortezomib</w:t>
      </w:r>
      <w:r w:rsidRPr="00E110FB">
        <w:rPr>
          <w:color w:val="000000"/>
          <w:sz w:val="18"/>
          <w:szCs w:val="18"/>
        </w:rPr>
        <w:t xml:space="preserve">. </w:t>
      </w:r>
    </w:p>
    <w:p w14:paraId="5C63C379" w14:textId="77777777" w:rsidR="00564D9B" w:rsidRPr="00455DD1" w:rsidRDefault="00564D9B" w:rsidP="00564D9B">
      <w:pPr>
        <w:ind w:left="0" w:firstLine="0"/>
        <w:rPr>
          <w:rFonts w:eastAsia="TimesNewRoman"/>
          <w:szCs w:val="22"/>
          <w:lang w:eastAsia="en-US"/>
        </w:rPr>
      </w:pPr>
    </w:p>
    <w:p w14:paraId="7A4ED86A" w14:textId="5240C993" w:rsidR="00564D9B" w:rsidRPr="00E1400F" w:rsidRDefault="00564D9B" w:rsidP="00564D9B">
      <w:pPr>
        <w:autoSpaceDE w:val="0"/>
        <w:autoSpaceDN w:val="0"/>
        <w:adjustRightInd w:val="0"/>
        <w:ind w:left="0" w:firstLine="0"/>
        <w:rPr>
          <w:rFonts w:eastAsia="TimesNewRoman"/>
          <w:szCs w:val="22"/>
          <w:lang w:eastAsia="en-US"/>
        </w:rPr>
      </w:pPr>
      <w:r w:rsidRPr="004903CD">
        <w:rPr>
          <w:rFonts w:eastAsia="TimesNewRoman"/>
          <w:szCs w:val="22"/>
          <w:lang w:eastAsia="en-US"/>
        </w:rPr>
        <w:t xml:space="preserve">V štúdii MMY-3010 bola indukčná liečba  </w:t>
      </w:r>
      <w:r w:rsidRPr="00EB2E64">
        <w:rPr>
          <w:rFonts w:eastAsia="TimesNewRoman"/>
          <w:szCs w:val="22"/>
          <w:lang w:eastAsia="en-US"/>
        </w:rPr>
        <w:t>bortezomibom kombinovaným s talidomidom</w:t>
      </w:r>
      <w:r w:rsidRPr="00E1400F">
        <w:rPr>
          <w:rFonts w:eastAsia="TimesNewRoman"/>
          <w:szCs w:val="22"/>
          <w:lang w:eastAsia="en-US"/>
        </w:rPr>
        <w:t xml:space="preserve"> a dexametazónom [BTDx, n = 130] porovnávaná s talidomidom-dexametazónom [TDx, n = 127]. Pacienti v skupine s BTDx dostali šesť 4-týždňových cyklov, každý pozostával z bortezomibu (1,3 mg/m</w:t>
      </w:r>
      <w:r w:rsidRPr="00E1400F">
        <w:rPr>
          <w:rFonts w:eastAsia="TimesNewRoman"/>
          <w:szCs w:val="22"/>
          <w:vertAlign w:val="superscript"/>
          <w:lang w:eastAsia="en-US"/>
        </w:rPr>
        <w:t>2</w:t>
      </w:r>
      <w:r w:rsidRPr="00E1400F">
        <w:rPr>
          <w:rFonts w:eastAsia="TimesNewRoman"/>
          <w:szCs w:val="22"/>
          <w:lang w:eastAsia="en-US"/>
        </w:rPr>
        <w:t xml:space="preserve"> podávaný dvakrát týždenne v 1., 4., 8. a 11. deň, po ktorom nasledovala 17-dňová prestávka od 12. do 28. dňa), dexametazónu (40 mg podávaných perorálne v 1. až 4. deň a 8. až 11. deň) a talidomidu (podávaný perorálne v dávke 50 mg denne v 1. - 14. deň, zvýšený na 100 mg v 15. </w:t>
      </w:r>
      <w:r w:rsidRPr="00E1400F">
        <w:rPr>
          <w:rFonts w:eastAsia="TimesNewRoman"/>
          <w:szCs w:val="22"/>
          <w:lang w:eastAsia="en-US"/>
        </w:rPr>
        <w:noBreakHyphen/>
        <w:t> 28. deň a potom na 200 mg denne).</w:t>
      </w:r>
    </w:p>
    <w:p w14:paraId="3DD14415" w14:textId="067B926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Jedna autológna transplantácia kmeňových buniek bola vykonaná u 105 (81 %) pacientov v skupine s BTDx a u 78 (61 %) pacientov v skupine s TDx. V oboch liečených skupinách bol podobný demografický profil pacientov ako aj východiskový charakter ochorenia. Pacienti v skupine s BTDx resp. TDx mali priemerný vek 57 resp. 56 rokov, 99 % resp. 98 % pacientov bolo </w:t>
      </w:r>
      <w:r w:rsidR="00D916C7">
        <w:rPr>
          <w:rFonts w:eastAsia="TimesNewRoman"/>
          <w:szCs w:val="22"/>
          <w:lang w:eastAsia="en-US"/>
        </w:rPr>
        <w:t>k</w:t>
      </w:r>
      <w:r w:rsidRPr="00CC69EC">
        <w:rPr>
          <w:rFonts w:eastAsia="TimesNewRoman"/>
          <w:szCs w:val="22"/>
          <w:lang w:eastAsia="en-US"/>
        </w:rPr>
        <w:t xml:space="preserve">aukazskej rasy a 58 % resp. 54 % bolo mužov. V skupine BTDx bolo 12 % pacientov klasifikovaných ako vysokorizikových z hľadiska cytogenetiky </w:t>
      </w:r>
      <w:r>
        <w:rPr>
          <w:rFonts w:eastAsia="TimesNewRoman"/>
          <w:szCs w:val="22"/>
          <w:lang w:eastAsia="en-US"/>
        </w:rPr>
        <w:t>oproti</w:t>
      </w:r>
      <w:r w:rsidRPr="00CC69EC">
        <w:rPr>
          <w:rFonts w:eastAsia="TimesNewRoman"/>
          <w:szCs w:val="22"/>
          <w:lang w:eastAsia="en-US"/>
        </w:rPr>
        <w:t xml:space="preserve"> 16 % pacientov v skupine TDx. Priemerná dĺžka liečby bola 24,0 týždňov a priemerný počet podaných liečebných cyklov bol 6,0 a bol zhodný vo všetkých liečených skupinách.</w:t>
      </w:r>
    </w:p>
    <w:p w14:paraId="202DB0EC" w14:textId="4AB500B9"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Primárne </w:t>
      </w:r>
      <w:r w:rsidR="00C555CC">
        <w:rPr>
          <w:rFonts w:eastAsia="TimesNewRoman"/>
          <w:szCs w:val="22"/>
          <w:lang w:eastAsia="en-US"/>
        </w:rPr>
        <w:t>cieľové ukazovatele</w:t>
      </w:r>
      <w:r w:rsidR="00C555CC" w:rsidRPr="00CC69EC">
        <w:rPr>
          <w:rFonts w:eastAsia="TimesNewRoman"/>
          <w:szCs w:val="22"/>
          <w:lang w:eastAsia="en-US"/>
        </w:rPr>
        <w:t xml:space="preserve"> </w:t>
      </w:r>
      <w:r w:rsidRPr="00CC69EC">
        <w:rPr>
          <w:rFonts w:eastAsia="TimesNewRoman"/>
          <w:szCs w:val="22"/>
          <w:lang w:eastAsia="en-US"/>
        </w:rPr>
        <w:t>účinnosti štúdie boli postindukčné a posttransplantačné miery odpovedí (CR+nCR). Štatisticky významný rozdiel v CR+nCR bol pozorovaný v prospech skupiny s bortezomibom kombinovaným s dexametazónom a talidomidom. Sekundárne cie</w:t>
      </w:r>
      <w:r w:rsidR="00022A77">
        <w:rPr>
          <w:rFonts w:eastAsia="TimesNewRoman"/>
          <w:szCs w:val="22"/>
          <w:lang w:eastAsia="en-US"/>
        </w:rPr>
        <w:t>ľové ukazovatele</w:t>
      </w:r>
      <w:r w:rsidRPr="00CC69EC">
        <w:rPr>
          <w:rFonts w:eastAsia="TimesNewRoman"/>
          <w:szCs w:val="22"/>
          <w:lang w:eastAsia="en-US"/>
        </w:rPr>
        <w:t xml:space="preserve"> účinnosti zahŕňali prežívanie bez progresie a celkové prežívanie. Hlavné výsledky účinnosti sú uvedené v </w:t>
      </w:r>
      <w:r w:rsidR="00022A77">
        <w:rPr>
          <w:rFonts w:eastAsia="TimesNewRoman"/>
          <w:szCs w:val="22"/>
          <w:lang w:eastAsia="en-US"/>
        </w:rPr>
        <w:t>t</w:t>
      </w:r>
      <w:r w:rsidRPr="00CC69EC">
        <w:rPr>
          <w:rFonts w:eastAsia="TimesNewRoman"/>
          <w:szCs w:val="22"/>
          <w:lang w:eastAsia="en-US"/>
        </w:rPr>
        <w:t>abuľke 13.</w:t>
      </w:r>
    </w:p>
    <w:p w14:paraId="13E918AA" w14:textId="77777777" w:rsidR="00564D9B" w:rsidRPr="00CC69EC" w:rsidRDefault="00564D9B" w:rsidP="00564D9B">
      <w:pPr>
        <w:ind w:left="0" w:firstLine="0"/>
        <w:rPr>
          <w:rFonts w:eastAsia="TimesNewRoman"/>
          <w:szCs w:val="22"/>
          <w:lang w:eastAsia="en-US"/>
        </w:rPr>
      </w:pPr>
    </w:p>
    <w:p w14:paraId="7063FDCF" w14:textId="77777777" w:rsidR="00564D9B" w:rsidRPr="00CC69EC" w:rsidRDefault="00564D9B" w:rsidP="00564D9B">
      <w:pPr>
        <w:rPr>
          <w:color w:val="000000"/>
        </w:rPr>
      </w:pPr>
      <w:r w:rsidRPr="00CC69EC">
        <w:rPr>
          <w:rFonts w:eastAsia="TimesNewRoman,Italic"/>
          <w:i/>
          <w:iCs/>
          <w:szCs w:val="22"/>
          <w:lang w:eastAsia="en-US"/>
        </w:rPr>
        <w:t>Tabuľka 13: Výsledky účinnosti zo štúdie MMY-3010</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263"/>
        <w:gridCol w:w="2173"/>
        <w:gridCol w:w="2173"/>
        <w:gridCol w:w="2445"/>
      </w:tblGrid>
      <w:tr w:rsidR="00564D9B" w:rsidRPr="00CC69EC" w14:paraId="77D90C80" w14:textId="77777777" w:rsidTr="00F75370">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470CD60D" w14:textId="1CE99359" w:rsidR="00564D9B" w:rsidRPr="00CC69EC" w:rsidRDefault="00FB7283" w:rsidP="00F75370">
            <w:pPr>
              <w:rPr>
                <w:color w:val="000000"/>
              </w:rPr>
            </w:pPr>
            <w:r>
              <w:rPr>
                <w:b/>
                <w:bCs/>
                <w:color w:val="000000"/>
              </w:rPr>
              <w:t>Cieľové</w:t>
            </w:r>
            <w:r w:rsidRPr="00CC69EC">
              <w:rPr>
                <w:b/>
                <w:bCs/>
                <w:color w:val="000000"/>
              </w:rPr>
              <w:t xml:space="preserve"> </w:t>
            </w:r>
            <w:r w:rsidR="00564D9B" w:rsidRPr="00CC69EC">
              <w:rPr>
                <w:b/>
                <w:bCs/>
                <w:color w:val="000000"/>
              </w:rPr>
              <w:t>ukazovatele</w:t>
            </w:r>
          </w:p>
        </w:tc>
        <w:tc>
          <w:tcPr>
            <w:tcW w:w="1200" w:type="pct"/>
            <w:tcBorders>
              <w:top w:val="outset" w:sz="6" w:space="0" w:color="auto"/>
              <w:left w:val="outset" w:sz="6" w:space="0" w:color="auto"/>
              <w:bottom w:val="outset" w:sz="6" w:space="0" w:color="auto"/>
              <w:right w:val="outset" w:sz="6" w:space="0" w:color="auto"/>
            </w:tcBorders>
            <w:hideMark/>
          </w:tcPr>
          <w:p w14:paraId="527C8145" w14:textId="77777777" w:rsidR="00564D9B" w:rsidRPr="00CC69EC" w:rsidRDefault="00564D9B" w:rsidP="00F75370">
            <w:pPr>
              <w:rPr>
                <w:color w:val="000000"/>
              </w:rPr>
            </w:pPr>
            <w:r w:rsidRPr="00CC69EC">
              <w:rPr>
                <w:b/>
                <w:bCs/>
                <w:color w:val="000000"/>
              </w:rPr>
              <w:t>BTDx</w:t>
            </w:r>
          </w:p>
        </w:tc>
        <w:tc>
          <w:tcPr>
            <w:tcW w:w="1200" w:type="pct"/>
            <w:tcBorders>
              <w:top w:val="outset" w:sz="6" w:space="0" w:color="auto"/>
              <w:left w:val="outset" w:sz="6" w:space="0" w:color="auto"/>
              <w:bottom w:val="outset" w:sz="6" w:space="0" w:color="auto"/>
              <w:right w:val="outset" w:sz="6" w:space="0" w:color="auto"/>
            </w:tcBorders>
            <w:hideMark/>
          </w:tcPr>
          <w:p w14:paraId="0D781806" w14:textId="77777777" w:rsidR="00564D9B" w:rsidRPr="00CC69EC" w:rsidRDefault="00564D9B" w:rsidP="00F75370">
            <w:pPr>
              <w:rPr>
                <w:color w:val="000000"/>
              </w:rPr>
            </w:pPr>
            <w:r w:rsidRPr="00CC69EC">
              <w:rPr>
                <w:b/>
                <w:bCs/>
                <w:color w:val="000000"/>
              </w:rPr>
              <w:t>TDx</w:t>
            </w:r>
          </w:p>
        </w:tc>
        <w:tc>
          <w:tcPr>
            <w:tcW w:w="1350" w:type="pct"/>
            <w:tcBorders>
              <w:top w:val="outset" w:sz="6" w:space="0" w:color="auto"/>
              <w:left w:val="outset" w:sz="6" w:space="0" w:color="auto"/>
              <w:bottom w:val="outset" w:sz="6" w:space="0" w:color="auto"/>
              <w:right w:val="outset" w:sz="6" w:space="0" w:color="auto"/>
            </w:tcBorders>
            <w:hideMark/>
          </w:tcPr>
          <w:p w14:paraId="533E5D7E" w14:textId="47C68484" w:rsidR="00564D9B" w:rsidRPr="00CC69EC" w:rsidRDefault="00564D9B" w:rsidP="00F75370">
            <w:pPr>
              <w:rPr>
                <w:b/>
                <w:bCs/>
                <w:color w:val="000000"/>
              </w:rPr>
            </w:pPr>
            <w:r w:rsidRPr="00CC69EC">
              <w:rPr>
                <w:b/>
                <w:bCs/>
                <w:color w:val="000000"/>
              </w:rPr>
              <w:t>OR; 95 % I</w:t>
            </w:r>
            <w:r w:rsidR="00FB7283">
              <w:rPr>
                <w:b/>
                <w:bCs/>
                <w:color w:val="000000"/>
              </w:rPr>
              <w:t>S</w:t>
            </w:r>
            <w:r w:rsidRPr="00CC69EC">
              <w:rPr>
                <w:b/>
                <w:bCs/>
                <w:color w:val="000000"/>
              </w:rPr>
              <w:t xml:space="preserve">; </w:t>
            </w:r>
          </w:p>
          <w:p w14:paraId="1A959746" w14:textId="77777777" w:rsidR="00564D9B" w:rsidRPr="00CC69EC" w:rsidRDefault="00564D9B" w:rsidP="00F75370">
            <w:pPr>
              <w:rPr>
                <w:color w:val="000000"/>
              </w:rPr>
            </w:pPr>
            <w:r w:rsidRPr="00CC69EC">
              <w:rPr>
                <w:b/>
                <w:bCs/>
                <w:color w:val="000000"/>
              </w:rPr>
              <w:t>p-hodnota</w:t>
            </w:r>
            <w:r w:rsidRPr="00CC69EC">
              <w:rPr>
                <w:b/>
                <w:bCs/>
                <w:color w:val="000000"/>
                <w:vertAlign w:val="superscript"/>
              </w:rPr>
              <w:t>a</w:t>
            </w:r>
          </w:p>
        </w:tc>
      </w:tr>
      <w:tr w:rsidR="00564D9B" w:rsidRPr="00CC69EC" w14:paraId="2EB4ACB6" w14:textId="77777777" w:rsidTr="00F75370">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5CC193EB" w14:textId="77777777" w:rsidR="00564D9B" w:rsidRPr="00CC69EC" w:rsidRDefault="00564D9B" w:rsidP="00F75370">
            <w:pPr>
              <w:rPr>
                <w:color w:val="000000"/>
              </w:rPr>
            </w:pPr>
            <w:r w:rsidRPr="00CC69EC">
              <w:rPr>
                <w:b/>
                <w:bCs/>
                <w:color w:val="000000"/>
              </w:rPr>
              <w:t>MMY-3010</w:t>
            </w:r>
          </w:p>
        </w:tc>
        <w:tc>
          <w:tcPr>
            <w:tcW w:w="1200" w:type="pct"/>
            <w:tcBorders>
              <w:top w:val="outset" w:sz="6" w:space="0" w:color="auto"/>
              <w:left w:val="outset" w:sz="6" w:space="0" w:color="auto"/>
              <w:bottom w:val="outset" w:sz="6" w:space="0" w:color="auto"/>
              <w:right w:val="outset" w:sz="6" w:space="0" w:color="auto"/>
            </w:tcBorders>
            <w:hideMark/>
          </w:tcPr>
          <w:p w14:paraId="09547D4F" w14:textId="77777777" w:rsidR="00564D9B" w:rsidRPr="00CC69EC" w:rsidRDefault="00564D9B" w:rsidP="00F75370">
            <w:pPr>
              <w:rPr>
                <w:color w:val="000000"/>
              </w:rPr>
            </w:pPr>
            <w:r w:rsidRPr="00CC69EC">
              <w:rPr>
                <w:color w:val="000000"/>
              </w:rPr>
              <w:t xml:space="preserve">n = 130 </w:t>
            </w:r>
          </w:p>
          <w:p w14:paraId="0957F880" w14:textId="77777777" w:rsidR="00564D9B" w:rsidRPr="00CC69EC" w:rsidRDefault="00564D9B" w:rsidP="00F75370">
            <w:pPr>
              <w:rPr>
                <w:color w:val="000000"/>
              </w:rPr>
            </w:pPr>
            <w:r w:rsidRPr="00CC69EC">
              <w:rPr>
                <w:color w:val="000000"/>
              </w:rPr>
              <w:t xml:space="preserve">(ITT populácia) </w:t>
            </w:r>
          </w:p>
        </w:tc>
        <w:tc>
          <w:tcPr>
            <w:tcW w:w="1200" w:type="pct"/>
            <w:tcBorders>
              <w:top w:val="outset" w:sz="6" w:space="0" w:color="auto"/>
              <w:left w:val="outset" w:sz="6" w:space="0" w:color="auto"/>
              <w:bottom w:val="outset" w:sz="6" w:space="0" w:color="auto"/>
              <w:right w:val="outset" w:sz="6" w:space="0" w:color="auto"/>
            </w:tcBorders>
            <w:hideMark/>
          </w:tcPr>
          <w:p w14:paraId="0EE4EDD7" w14:textId="77777777" w:rsidR="00564D9B" w:rsidRPr="00CC69EC" w:rsidRDefault="00564D9B" w:rsidP="00F75370">
            <w:pPr>
              <w:rPr>
                <w:color w:val="000000"/>
              </w:rPr>
            </w:pPr>
            <w:r w:rsidRPr="00CC69EC">
              <w:rPr>
                <w:color w:val="000000"/>
              </w:rPr>
              <w:t xml:space="preserve">n = 127 </w:t>
            </w:r>
          </w:p>
          <w:p w14:paraId="7F851270" w14:textId="77777777" w:rsidR="00564D9B" w:rsidRPr="00CC69EC" w:rsidRDefault="00564D9B" w:rsidP="00F75370">
            <w:pPr>
              <w:rPr>
                <w:color w:val="000000"/>
              </w:rPr>
            </w:pPr>
            <w:r w:rsidRPr="00CC69EC">
              <w:rPr>
                <w:color w:val="000000"/>
              </w:rPr>
              <w:t xml:space="preserve">(ITT populácia) </w:t>
            </w:r>
          </w:p>
        </w:tc>
        <w:tc>
          <w:tcPr>
            <w:tcW w:w="1350" w:type="pct"/>
            <w:tcBorders>
              <w:top w:val="outset" w:sz="6" w:space="0" w:color="auto"/>
              <w:left w:val="outset" w:sz="6" w:space="0" w:color="auto"/>
              <w:bottom w:val="outset" w:sz="6" w:space="0" w:color="auto"/>
              <w:right w:val="outset" w:sz="6" w:space="0" w:color="auto"/>
            </w:tcBorders>
            <w:hideMark/>
          </w:tcPr>
          <w:p w14:paraId="2F2161E0" w14:textId="77777777" w:rsidR="00564D9B" w:rsidRPr="00CC69EC" w:rsidRDefault="00564D9B" w:rsidP="00F75370">
            <w:pPr>
              <w:rPr>
                <w:color w:val="000000"/>
              </w:rPr>
            </w:pPr>
          </w:p>
        </w:tc>
      </w:tr>
      <w:tr w:rsidR="00564D9B" w:rsidRPr="00CC69EC" w14:paraId="70024139" w14:textId="77777777" w:rsidTr="00F75370">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64528FE4" w14:textId="25D684DC" w:rsidR="00564D9B" w:rsidRPr="00CC69EC" w:rsidRDefault="00564D9B" w:rsidP="00F75370">
            <w:pPr>
              <w:rPr>
                <w:color w:val="000000"/>
              </w:rPr>
            </w:pPr>
            <w:r w:rsidRPr="00CC69EC">
              <w:rPr>
                <w:i/>
                <w:iCs/>
                <w:color w:val="000000"/>
              </w:rPr>
              <w:t>*RR (postindukčná)</w:t>
            </w:r>
            <w:r w:rsidRPr="00CC69EC">
              <w:rPr>
                <w:color w:val="000000"/>
              </w:rPr>
              <w:t xml:space="preserve"> </w:t>
            </w:r>
          </w:p>
          <w:p w14:paraId="4E670C7F" w14:textId="77777777" w:rsidR="00564D9B" w:rsidRPr="00CC69EC" w:rsidRDefault="00564D9B" w:rsidP="00F75370">
            <w:pPr>
              <w:rPr>
                <w:color w:val="000000"/>
              </w:rPr>
            </w:pPr>
            <w:r w:rsidRPr="00CC69EC">
              <w:rPr>
                <w:color w:val="000000"/>
              </w:rPr>
              <w:t xml:space="preserve">CR+nCR </w:t>
            </w:r>
          </w:p>
          <w:p w14:paraId="625748D7" w14:textId="77777777" w:rsidR="00564D9B" w:rsidRPr="00CC69EC" w:rsidRDefault="00564D9B" w:rsidP="00F75370">
            <w:pPr>
              <w:rPr>
                <w:color w:val="000000"/>
              </w:rPr>
            </w:pPr>
            <w:r w:rsidRPr="00CC69EC">
              <w:rPr>
                <w:color w:val="000000"/>
              </w:rPr>
              <w:t>CR+nCR+PR %</w:t>
            </w:r>
          </w:p>
          <w:p w14:paraId="49923EBD" w14:textId="31B3BBA6" w:rsidR="00564D9B" w:rsidRPr="00CC69EC" w:rsidRDefault="00564D9B" w:rsidP="00F75370">
            <w:pPr>
              <w:rPr>
                <w:color w:val="000000"/>
              </w:rPr>
            </w:pPr>
            <w:r w:rsidRPr="00CC69EC">
              <w:rPr>
                <w:color w:val="000000"/>
              </w:rPr>
              <w:t>(95 % I</w:t>
            </w:r>
            <w:r w:rsidR="00FB7283">
              <w:rPr>
                <w:color w:val="000000"/>
              </w:rPr>
              <w:t>S</w:t>
            </w:r>
            <w:r w:rsidRPr="00CC69EC">
              <w:rPr>
                <w:color w:val="000000"/>
              </w:rPr>
              <w:t xml:space="preserve">) </w:t>
            </w:r>
          </w:p>
        </w:tc>
        <w:tc>
          <w:tcPr>
            <w:tcW w:w="1200" w:type="pct"/>
            <w:tcBorders>
              <w:top w:val="outset" w:sz="6" w:space="0" w:color="auto"/>
              <w:left w:val="outset" w:sz="6" w:space="0" w:color="auto"/>
              <w:bottom w:val="outset" w:sz="6" w:space="0" w:color="auto"/>
              <w:right w:val="outset" w:sz="6" w:space="0" w:color="auto"/>
            </w:tcBorders>
            <w:hideMark/>
          </w:tcPr>
          <w:p w14:paraId="0A7DC250" w14:textId="77777777" w:rsidR="00564D9B" w:rsidRPr="00CC69EC" w:rsidRDefault="00564D9B" w:rsidP="00F75370">
            <w:pPr>
              <w:rPr>
                <w:color w:val="000000"/>
              </w:rPr>
            </w:pPr>
            <w:r w:rsidRPr="00CC69EC">
              <w:rPr>
                <w:color w:val="000000"/>
              </w:rPr>
              <w:t xml:space="preserve">49,2 (40,4; 58,1) </w:t>
            </w:r>
          </w:p>
          <w:p w14:paraId="15942EE3" w14:textId="77777777" w:rsidR="00564D9B" w:rsidRPr="00CC69EC" w:rsidRDefault="00564D9B" w:rsidP="00F75370">
            <w:pPr>
              <w:rPr>
                <w:color w:val="000000"/>
              </w:rPr>
            </w:pPr>
            <w:r w:rsidRPr="00CC69EC">
              <w:rPr>
                <w:color w:val="000000"/>
              </w:rPr>
              <w:t xml:space="preserve">84,6 (77,2; 90,3) </w:t>
            </w:r>
          </w:p>
        </w:tc>
        <w:tc>
          <w:tcPr>
            <w:tcW w:w="1200" w:type="pct"/>
            <w:tcBorders>
              <w:top w:val="outset" w:sz="6" w:space="0" w:color="auto"/>
              <w:left w:val="outset" w:sz="6" w:space="0" w:color="auto"/>
              <w:bottom w:val="outset" w:sz="6" w:space="0" w:color="auto"/>
              <w:right w:val="outset" w:sz="6" w:space="0" w:color="auto"/>
            </w:tcBorders>
            <w:hideMark/>
          </w:tcPr>
          <w:p w14:paraId="70D77A4D" w14:textId="77777777" w:rsidR="00564D9B" w:rsidRPr="00CC69EC" w:rsidRDefault="00564D9B" w:rsidP="00F75370">
            <w:pPr>
              <w:rPr>
                <w:color w:val="000000"/>
              </w:rPr>
            </w:pPr>
            <w:r w:rsidRPr="00CC69EC">
              <w:rPr>
                <w:color w:val="000000"/>
              </w:rPr>
              <w:t xml:space="preserve">17,3 (11,2; 25,0) </w:t>
            </w:r>
          </w:p>
          <w:p w14:paraId="157BD2E3" w14:textId="77777777" w:rsidR="00564D9B" w:rsidRPr="00CC69EC" w:rsidRDefault="00564D9B" w:rsidP="00F75370">
            <w:pPr>
              <w:rPr>
                <w:color w:val="000000"/>
              </w:rPr>
            </w:pPr>
            <w:r w:rsidRPr="00CC69EC">
              <w:rPr>
                <w:color w:val="000000"/>
              </w:rPr>
              <w:t xml:space="preserve">61,4 (52,4; 69,9) </w:t>
            </w:r>
          </w:p>
        </w:tc>
        <w:tc>
          <w:tcPr>
            <w:tcW w:w="1350" w:type="pct"/>
            <w:tcBorders>
              <w:top w:val="outset" w:sz="6" w:space="0" w:color="auto"/>
              <w:left w:val="outset" w:sz="6" w:space="0" w:color="auto"/>
              <w:bottom w:val="outset" w:sz="6" w:space="0" w:color="auto"/>
              <w:right w:val="outset" w:sz="6" w:space="0" w:color="auto"/>
            </w:tcBorders>
            <w:hideMark/>
          </w:tcPr>
          <w:p w14:paraId="4A560C21" w14:textId="77777777" w:rsidR="00564D9B" w:rsidRPr="00CC69EC" w:rsidRDefault="00564D9B" w:rsidP="00F75370">
            <w:pPr>
              <w:rPr>
                <w:color w:val="000000"/>
              </w:rPr>
            </w:pPr>
            <w:r w:rsidRPr="00CC69EC">
              <w:rPr>
                <w:color w:val="000000"/>
              </w:rPr>
              <w:t>4,63 (2,61; 8,22); &lt; 0,001</w:t>
            </w:r>
            <w:r w:rsidRPr="00CC69EC">
              <w:rPr>
                <w:color w:val="000000"/>
                <w:vertAlign w:val="superscript"/>
              </w:rPr>
              <w:t>a</w:t>
            </w:r>
            <w:r w:rsidRPr="00CC69EC">
              <w:rPr>
                <w:color w:val="000000"/>
              </w:rPr>
              <w:t xml:space="preserve"> </w:t>
            </w:r>
          </w:p>
          <w:p w14:paraId="621C3AA2" w14:textId="77777777" w:rsidR="00564D9B" w:rsidRPr="00CC69EC" w:rsidRDefault="00564D9B" w:rsidP="00F75370">
            <w:pPr>
              <w:rPr>
                <w:color w:val="000000"/>
              </w:rPr>
            </w:pPr>
            <w:r w:rsidRPr="00CC69EC">
              <w:rPr>
                <w:color w:val="000000"/>
              </w:rPr>
              <w:t>3,46 (1,90; 6.27); &lt; 0,001</w:t>
            </w:r>
            <w:r w:rsidRPr="00CC69EC">
              <w:rPr>
                <w:color w:val="000000"/>
                <w:vertAlign w:val="superscript"/>
              </w:rPr>
              <w:t>a</w:t>
            </w:r>
          </w:p>
        </w:tc>
      </w:tr>
      <w:tr w:rsidR="00564D9B" w:rsidRPr="00CC69EC" w14:paraId="1601F70F" w14:textId="77777777" w:rsidTr="00F75370">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218D28E3" w14:textId="77777777" w:rsidR="00564D9B" w:rsidRPr="00CC69EC" w:rsidRDefault="00564D9B" w:rsidP="00F75370">
            <w:pPr>
              <w:rPr>
                <w:i/>
                <w:iCs/>
                <w:color w:val="000000"/>
              </w:rPr>
            </w:pPr>
            <w:r w:rsidRPr="00CC69EC">
              <w:rPr>
                <w:i/>
                <w:iCs/>
                <w:color w:val="000000"/>
              </w:rPr>
              <w:t xml:space="preserve">*RR </w:t>
            </w:r>
          </w:p>
          <w:p w14:paraId="3F6645A3" w14:textId="57328CF8" w:rsidR="00564D9B" w:rsidRPr="00CC69EC" w:rsidRDefault="00564D9B" w:rsidP="00F75370">
            <w:pPr>
              <w:rPr>
                <w:color w:val="000000"/>
              </w:rPr>
            </w:pPr>
            <w:r w:rsidRPr="00CC69EC">
              <w:rPr>
                <w:i/>
                <w:iCs/>
                <w:color w:val="000000"/>
              </w:rPr>
              <w:t>(post</w:t>
            </w:r>
            <w:r w:rsidR="00FB7283">
              <w:rPr>
                <w:i/>
                <w:iCs/>
                <w:color w:val="000000"/>
              </w:rPr>
              <w:t>t</w:t>
            </w:r>
            <w:r w:rsidRPr="00CC69EC">
              <w:rPr>
                <w:i/>
                <w:iCs/>
                <w:color w:val="000000"/>
              </w:rPr>
              <w:t xml:space="preserve">ransplantačná) </w:t>
            </w:r>
          </w:p>
          <w:p w14:paraId="518A4865" w14:textId="77777777" w:rsidR="00564D9B" w:rsidRPr="00CC69EC" w:rsidRDefault="00564D9B" w:rsidP="00F75370">
            <w:pPr>
              <w:rPr>
                <w:color w:val="000000"/>
              </w:rPr>
            </w:pPr>
            <w:r w:rsidRPr="00CC69EC">
              <w:rPr>
                <w:color w:val="000000"/>
              </w:rPr>
              <w:lastRenderedPageBreak/>
              <w:t xml:space="preserve">CR+nCR </w:t>
            </w:r>
          </w:p>
          <w:p w14:paraId="41081DCA" w14:textId="77777777" w:rsidR="00564D9B" w:rsidRPr="00CC69EC" w:rsidRDefault="00564D9B" w:rsidP="00F75370">
            <w:pPr>
              <w:rPr>
                <w:color w:val="000000"/>
              </w:rPr>
            </w:pPr>
            <w:r w:rsidRPr="00CC69EC">
              <w:rPr>
                <w:color w:val="000000"/>
              </w:rPr>
              <w:t>CR+nCR+PR %</w:t>
            </w:r>
          </w:p>
          <w:p w14:paraId="6F6B92B7" w14:textId="4956F2BD" w:rsidR="00564D9B" w:rsidRPr="00CC69EC" w:rsidRDefault="00564D9B" w:rsidP="00F75370">
            <w:pPr>
              <w:rPr>
                <w:color w:val="000000"/>
              </w:rPr>
            </w:pPr>
            <w:r w:rsidRPr="00CC69EC">
              <w:rPr>
                <w:color w:val="000000"/>
              </w:rPr>
              <w:t>(95 % I</w:t>
            </w:r>
            <w:r w:rsidR="000F4419">
              <w:rPr>
                <w:color w:val="000000"/>
              </w:rPr>
              <w:t>S</w:t>
            </w:r>
            <w:r w:rsidRPr="00CC69EC">
              <w:rPr>
                <w:color w:val="000000"/>
              </w:rPr>
              <w:t xml:space="preserve">) </w:t>
            </w:r>
          </w:p>
        </w:tc>
        <w:tc>
          <w:tcPr>
            <w:tcW w:w="1200" w:type="pct"/>
            <w:tcBorders>
              <w:top w:val="outset" w:sz="6" w:space="0" w:color="auto"/>
              <w:left w:val="outset" w:sz="6" w:space="0" w:color="auto"/>
              <w:bottom w:val="outset" w:sz="6" w:space="0" w:color="auto"/>
              <w:right w:val="outset" w:sz="6" w:space="0" w:color="auto"/>
            </w:tcBorders>
            <w:hideMark/>
          </w:tcPr>
          <w:p w14:paraId="0CE86980" w14:textId="77777777" w:rsidR="00564D9B" w:rsidRPr="00CC69EC" w:rsidRDefault="00564D9B" w:rsidP="00F75370">
            <w:pPr>
              <w:rPr>
                <w:color w:val="000000"/>
              </w:rPr>
            </w:pPr>
            <w:r w:rsidRPr="00CC69EC">
              <w:rPr>
                <w:color w:val="000000"/>
              </w:rPr>
              <w:lastRenderedPageBreak/>
              <w:t xml:space="preserve">55,4 (46,4; 64,1) </w:t>
            </w:r>
          </w:p>
          <w:p w14:paraId="4B240015" w14:textId="77777777" w:rsidR="00564D9B" w:rsidRPr="00CC69EC" w:rsidRDefault="00564D9B" w:rsidP="00F75370">
            <w:pPr>
              <w:rPr>
                <w:color w:val="000000"/>
              </w:rPr>
            </w:pPr>
            <w:r w:rsidRPr="00CC69EC">
              <w:rPr>
                <w:color w:val="000000"/>
              </w:rPr>
              <w:t xml:space="preserve">77,7 (69,6; 84,5) </w:t>
            </w:r>
          </w:p>
        </w:tc>
        <w:tc>
          <w:tcPr>
            <w:tcW w:w="1200" w:type="pct"/>
            <w:tcBorders>
              <w:top w:val="outset" w:sz="6" w:space="0" w:color="auto"/>
              <w:left w:val="outset" w:sz="6" w:space="0" w:color="auto"/>
              <w:bottom w:val="outset" w:sz="6" w:space="0" w:color="auto"/>
              <w:right w:val="outset" w:sz="6" w:space="0" w:color="auto"/>
            </w:tcBorders>
            <w:hideMark/>
          </w:tcPr>
          <w:p w14:paraId="3F240264" w14:textId="77777777" w:rsidR="00564D9B" w:rsidRPr="00CC69EC" w:rsidRDefault="00564D9B" w:rsidP="00F75370">
            <w:pPr>
              <w:rPr>
                <w:color w:val="000000"/>
              </w:rPr>
            </w:pPr>
            <w:r w:rsidRPr="00CC69EC">
              <w:rPr>
                <w:color w:val="000000"/>
              </w:rPr>
              <w:t xml:space="preserve">34,6 (26,4; 43,6) </w:t>
            </w:r>
          </w:p>
          <w:p w14:paraId="637C8B38" w14:textId="77777777" w:rsidR="00564D9B" w:rsidRPr="00CC69EC" w:rsidRDefault="00564D9B" w:rsidP="00F75370">
            <w:pPr>
              <w:rPr>
                <w:color w:val="000000"/>
              </w:rPr>
            </w:pPr>
            <w:r w:rsidRPr="00CC69EC">
              <w:rPr>
                <w:color w:val="000000"/>
              </w:rPr>
              <w:t xml:space="preserve">56,7 (47,6; 65,5) </w:t>
            </w:r>
          </w:p>
        </w:tc>
        <w:tc>
          <w:tcPr>
            <w:tcW w:w="1350" w:type="pct"/>
            <w:tcBorders>
              <w:top w:val="outset" w:sz="6" w:space="0" w:color="auto"/>
              <w:left w:val="outset" w:sz="6" w:space="0" w:color="auto"/>
              <w:bottom w:val="outset" w:sz="6" w:space="0" w:color="auto"/>
              <w:right w:val="outset" w:sz="6" w:space="0" w:color="auto"/>
            </w:tcBorders>
            <w:hideMark/>
          </w:tcPr>
          <w:p w14:paraId="3BF5DBD4" w14:textId="77777777" w:rsidR="00564D9B" w:rsidRPr="00CC69EC" w:rsidRDefault="00564D9B" w:rsidP="00F75370">
            <w:pPr>
              <w:rPr>
                <w:color w:val="000000"/>
              </w:rPr>
            </w:pPr>
            <w:r w:rsidRPr="00CC69EC">
              <w:rPr>
                <w:color w:val="000000"/>
              </w:rPr>
              <w:t>2,34 (1,42; 3,87); 0,001</w:t>
            </w:r>
            <w:r w:rsidRPr="00CC69EC">
              <w:rPr>
                <w:color w:val="000000"/>
                <w:vertAlign w:val="superscript"/>
              </w:rPr>
              <w:t>a</w:t>
            </w:r>
            <w:r w:rsidRPr="00CC69EC">
              <w:rPr>
                <w:color w:val="000000"/>
              </w:rPr>
              <w:t xml:space="preserve"> </w:t>
            </w:r>
          </w:p>
          <w:p w14:paraId="61FF30DA" w14:textId="77777777" w:rsidR="00564D9B" w:rsidRPr="00CC69EC" w:rsidRDefault="00564D9B" w:rsidP="00F75370">
            <w:pPr>
              <w:rPr>
                <w:color w:val="000000"/>
              </w:rPr>
            </w:pPr>
            <w:r w:rsidRPr="00CC69EC">
              <w:rPr>
                <w:color w:val="000000"/>
              </w:rPr>
              <w:lastRenderedPageBreak/>
              <w:t>2,66 (1,55; 4,57); &lt; 0,001</w:t>
            </w:r>
            <w:r w:rsidRPr="00CC69EC">
              <w:rPr>
                <w:color w:val="000000"/>
                <w:vertAlign w:val="superscript"/>
              </w:rPr>
              <w:t>a</w:t>
            </w:r>
          </w:p>
        </w:tc>
      </w:tr>
    </w:tbl>
    <w:p w14:paraId="646FC873" w14:textId="25A1F62A"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I</w:t>
      </w:r>
      <w:r w:rsidR="00E35AAE" w:rsidRPr="00E110FB">
        <w:rPr>
          <w:rFonts w:eastAsia="TimesNewRoman"/>
          <w:sz w:val="18"/>
          <w:szCs w:val="18"/>
          <w:lang w:eastAsia="en-US"/>
        </w:rPr>
        <w:t>S</w:t>
      </w:r>
      <w:r w:rsidRPr="00E110FB">
        <w:rPr>
          <w:rFonts w:eastAsia="TimesNewRoman"/>
          <w:sz w:val="18"/>
          <w:szCs w:val="18"/>
          <w:lang w:eastAsia="en-US"/>
        </w:rPr>
        <w:t xml:space="preserve"> = interval spoľahlivosti; CR = kompletná odpoveď (z angl. complete response); nCR = takmer kompletná odpoveď (z angl. near complete response); ITT = s úmyslom liečby (z angl. intent to treat), RR = miera odpovede (z angl. response rate), B = bortezomib; BTDx = bortezomib, talidomid, dexametazón; TDx = talidomid, dexametazón; PR = čiastočná odpoveď (z angl. partial response), OR = pomer </w:t>
      </w:r>
      <w:r w:rsidR="00E35AAE">
        <w:rPr>
          <w:rFonts w:eastAsia="TimesNewRoman"/>
          <w:sz w:val="18"/>
          <w:szCs w:val="18"/>
          <w:lang w:eastAsia="en-US"/>
        </w:rPr>
        <w:t>šancí</w:t>
      </w:r>
      <w:r w:rsidR="00E35AAE" w:rsidRPr="00E110FB">
        <w:rPr>
          <w:rFonts w:eastAsia="TimesNewRoman"/>
          <w:sz w:val="18"/>
          <w:szCs w:val="18"/>
          <w:lang w:eastAsia="en-US"/>
        </w:rPr>
        <w:t xml:space="preserve"> </w:t>
      </w:r>
      <w:r w:rsidRPr="00E110FB">
        <w:rPr>
          <w:rFonts w:eastAsia="TimesNewRoman"/>
          <w:sz w:val="18"/>
          <w:szCs w:val="18"/>
          <w:lang w:eastAsia="en-US"/>
        </w:rPr>
        <w:t>(z angl. odds ratio)</w:t>
      </w:r>
    </w:p>
    <w:p w14:paraId="2F69C0FD" w14:textId="516D7383"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 xml:space="preserve">* primárny </w:t>
      </w:r>
      <w:r w:rsidR="00E35AAE">
        <w:rPr>
          <w:rFonts w:eastAsia="TimesNewRoman"/>
          <w:sz w:val="18"/>
          <w:szCs w:val="18"/>
          <w:lang w:eastAsia="en-US"/>
        </w:rPr>
        <w:t>cieľový</w:t>
      </w:r>
      <w:r w:rsidR="00E35AAE" w:rsidRPr="00E110FB">
        <w:rPr>
          <w:rFonts w:eastAsia="TimesNewRoman"/>
          <w:sz w:val="18"/>
          <w:szCs w:val="18"/>
          <w:lang w:eastAsia="en-US"/>
        </w:rPr>
        <w:t xml:space="preserve"> </w:t>
      </w:r>
      <w:r w:rsidRPr="00E110FB">
        <w:rPr>
          <w:rFonts w:eastAsia="TimesNewRoman"/>
          <w:sz w:val="18"/>
          <w:szCs w:val="18"/>
          <w:lang w:eastAsia="en-US"/>
        </w:rPr>
        <w:t>ukazovateľ</w:t>
      </w:r>
    </w:p>
    <w:p w14:paraId="071D8241" w14:textId="0F6F483B"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 xml:space="preserve">a </w:t>
      </w:r>
      <w:r w:rsidRPr="00E110FB">
        <w:rPr>
          <w:rFonts w:eastAsia="TimesNewRoman"/>
          <w:sz w:val="18"/>
          <w:szCs w:val="18"/>
          <w:lang w:eastAsia="en-US"/>
        </w:rPr>
        <w:t>OR pre mieru odpovede založen</w:t>
      </w:r>
      <w:r w:rsidR="00E35AAE">
        <w:rPr>
          <w:rFonts w:eastAsia="TimesNewRoman"/>
          <w:sz w:val="18"/>
          <w:szCs w:val="18"/>
          <w:lang w:eastAsia="en-US"/>
        </w:rPr>
        <w:t>ý</w:t>
      </w:r>
      <w:r w:rsidRPr="00E110FB">
        <w:rPr>
          <w:rFonts w:eastAsia="TimesNewRoman"/>
          <w:sz w:val="18"/>
          <w:szCs w:val="18"/>
          <w:lang w:eastAsia="en-US"/>
        </w:rPr>
        <w:t xml:space="preserve"> na Mantelovom-Haenszelovom </w:t>
      </w:r>
      <w:r w:rsidR="00E35AAE">
        <w:rPr>
          <w:rFonts w:eastAsia="TimesNewRoman"/>
          <w:sz w:val="18"/>
          <w:szCs w:val="18"/>
          <w:lang w:eastAsia="en-US"/>
        </w:rPr>
        <w:t>stanovení pomeru šancí</w:t>
      </w:r>
      <w:r w:rsidR="00E35AAE" w:rsidRPr="00E110FB">
        <w:rPr>
          <w:rFonts w:eastAsia="TimesNewRoman"/>
          <w:sz w:val="18"/>
          <w:szCs w:val="18"/>
          <w:lang w:eastAsia="en-US"/>
        </w:rPr>
        <w:t xml:space="preserve"> </w:t>
      </w:r>
      <w:r w:rsidRPr="00E110FB">
        <w:rPr>
          <w:rFonts w:eastAsia="TimesNewRoman"/>
          <w:sz w:val="18"/>
          <w:szCs w:val="18"/>
          <w:lang w:eastAsia="en-US"/>
        </w:rPr>
        <w:t>pre stratifikované tabuľky; p-hodnota podľa Cochranovho-Mantelovho-Haenszelovho testu.</w:t>
      </w:r>
    </w:p>
    <w:p w14:paraId="121AB103" w14:textId="77777777" w:rsidR="00564D9B" w:rsidRPr="00E110FB" w:rsidRDefault="00564D9B" w:rsidP="00564D9B">
      <w:pPr>
        <w:rPr>
          <w:color w:val="000000"/>
          <w:sz w:val="18"/>
          <w:szCs w:val="18"/>
        </w:rPr>
      </w:pPr>
      <w:r w:rsidRPr="00E110FB">
        <w:rPr>
          <w:rFonts w:eastAsia="TimesNewRoman"/>
          <w:sz w:val="18"/>
          <w:szCs w:val="18"/>
          <w:lang w:eastAsia="en-US"/>
        </w:rPr>
        <w:t>Poznámka: OR &gt; 1 naznačuje výhodu pre indukčnú liečbu obsahujúcu B.</w:t>
      </w:r>
    </w:p>
    <w:p w14:paraId="250578D0" w14:textId="77777777" w:rsidR="00564D9B" w:rsidRPr="00455DD1" w:rsidRDefault="00564D9B" w:rsidP="00564D9B">
      <w:pPr>
        <w:rPr>
          <w:color w:val="000000"/>
          <w:szCs w:val="22"/>
          <w:u w:val="single"/>
        </w:rPr>
      </w:pPr>
    </w:p>
    <w:p w14:paraId="5DF88A4B" w14:textId="77777777" w:rsidR="00564D9B" w:rsidRPr="004903CD" w:rsidRDefault="00564D9B" w:rsidP="00564D9B">
      <w:pPr>
        <w:autoSpaceDE w:val="0"/>
        <w:autoSpaceDN w:val="0"/>
        <w:adjustRightInd w:val="0"/>
        <w:ind w:left="0" w:firstLine="0"/>
        <w:rPr>
          <w:rFonts w:eastAsia="TimesNewRoman"/>
          <w:szCs w:val="22"/>
          <w:u w:val="single"/>
          <w:lang w:eastAsia="en-US"/>
        </w:rPr>
      </w:pPr>
      <w:r w:rsidRPr="004903CD">
        <w:rPr>
          <w:rFonts w:eastAsia="TimesNewRoman"/>
          <w:szCs w:val="22"/>
          <w:u w:val="single"/>
          <w:lang w:eastAsia="en-US"/>
        </w:rPr>
        <w:t>Klinická účinnosť pri recidivujúcom alebo refraktérnom mnohopočetnom myelóme</w:t>
      </w:r>
    </w:p>
    <w:p w14:paraId="22DE4B12" w14:textId="3B32BC80" w:rsidR="00564D9B" w:rsidRPr="00CC69EC" w:rsidRDefault="00564D9B" w:rsidP="00564D9B">
      <w:pPr>
        <w:autoSpaceDE w:val="0"/>
        <w:autoSpaceDN w:val="0"/>
        <w:adjustRightInd w:val="0"/>
        <w:ind w:left="0" w:firstLine="0"/>
        <w:rPr>
          <w:rFonts w:eastAsia="TimesNewRoman"/>
          <w:szCs w:val="22"/>
          <w:lang w:eastAsia="en-US"/>
        </w:rPr>
      </w:pPr>
      <w:r w:rsidRPr="004903CD">
        <w:rPr>
          <w:rFonts w:eastAsia="TimesNewRoman"/>
          <w:szCs w:val="22"/>
          <w:lang w:eastAsia="en-US"/>
        </w:rPr>
        <w:t xml:space="preserve">Bezpečnosť a účinnosť </w:t>
      </w:r>
      <w:r w:rsidRPr="00EB2E64">
        <w:rPr>
          <w:rFonts w:eastAsia="TimesNewRoman"/>
          <w:szCs w:val="22"/>
          <w:lang w:eastAsia="en-US"/>
        </w:rPr>
        <w:t>bortezomibu (podávaný intravenózne) sa hodnotila v 2 štúdiách pri</w:t>
      </w:r>
      <w:r w:rsidRPr="00E1400F">
        <w:rPr>
          <w:rFonts w:eastAsia="TimesNewRoman"/>
          <w:szCs w:val="22"/>
          <w:lang w:eastAsia="en-US"/>
        </w:rPr>
        <w:t> odporúčanej dávke 1,3 mg/m</w:t>
      </w:r>
      <w:r w:rsidRPr="00E1400F">
        <w:rPr>
          <w:rFonts w:eastAsia="TimesNewRoman"/>
          <w:szCs w:val="22"/>
          <w:vertAlign w:val="superscript"/>
          <w:lang w:eastAsia="en-US"/>
        </w:rPr>
        <w:t>2</w:t>
      </w:r>
      <w:r w:rsidRPr="00E1400F">
        <w:rPr>
          <w:rFonts w:eastAsia="TimesNewRoman"/>
          <w:szCs w:val="22"/>
          <w:lang w:eastAsia="en-US"/>
        </w:rPr>
        <w:t>: v randomizovanej porovnávacej štúdii fázy III (APEX)</w:t>
      </w:r>
      <w:r w:rsidRPr="00CC69EC">
        <w:rPr>
          <w:rFonts w:eastAsia="TimesNewRoman"/>
          <w:szCs w:val="22"/>
          <w:lang w:eastAsia="en-US"/>
        </w:rPr>
        <w:t xml:space="preserve"> s dexametazónom (Dex) u 669 pacientov s recidivujúcim alebo refraktérnym mnohopočetným myelómom, ktorí už podstúpili 1 – 3 predchádzajúce liečby, a v štúdii </w:t>
      </w:r>
      <w:r w:rsidR="007712B6">
        <w:rPr>
          <w:rFonts w:eastAsia="TimesNewRoman"/>
          <w:szCs w:val="22"/>
          <w:lang w:eastAsia="en-US"/>
        </w:rPr>
        <w:t xml:space="preserve">s jednou skupinou </w:t>
      </w:r>
      <w:r w:rsidRPr="00CC69EC">
        <w:rPr>
          <w:rFonts w:eastAsia="TimesNewRoman"/>
          <w:szCs w:val="22"/>
          <w:lang w:eastAsia="en-US"/>
        </w:rPr>
        <w:t>fázy II u 202 pacientov s recidivujúcim a refraktérnym mnohopočetným myelómom, ktorí podstúpili najmenej 2 predchádzajúce liečby, a u ktorých došlo k progresii ochorenia po poslednej liečbe.</w:t>
      </w:r>
    </w:p>
    <w:p w14:paraId="44F2B3A0" w14:textId="77777777" w:rsidR="00564D9B" w:rsidRPr="00CC69EC" w:rsidRDefault="00564D9B" w:rsidP="00564D9B">
      <w:pPr>
        <w:ind w:left="0" w:firstLine="0"/>
        <w:rPr>
          <w:rFonts w:eastAsia="TimesNewRoman"/>
          <w:szCs w:val="22"/>
          <w:lang w:eastAsia="en-US"/>
        </w:rPr>
      </w:pPr>
    </w:p>
    <w:p w14:paraId="2DE1E2E8" w14:textId="5DC3454C"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V štúdii fázy III liečba bortezomibom viedla k signifikantne dlhšiemu času do progresie, k signifikantnému predĺženiu prežívania a k signifikantne vyššiemu počtu odpovedí v porovnaní s liečbou dexametazónom (pozri </w:t>
      </w:r>
      <w:r w:rsidR="007712B6">
        <w:rPr>
          <w:rFonts w:eastAsia="TimesNewRoman"/>
          <w:szCs w:val="22"/>
          <w:lang w:eastAsia="en-US"/>
        </w:rPr>
        <w:t>t</w:t>
      </w:r>
      <w:r w:rsidRPr="00CC69EC">
        <w:rPr>
          <w:rFonts w:eastAsia="TimesNewRoman"/>
          <w:szCs w:val="22"/>
          <w:lang w:eastAsia="en-US"/>
        </w:rPr>
        <w:t xml:space="preserve">abuľku 14), u všetkých pacientov, ako aj u pacientov, ktorí podstúpili 1 predchádzajúcu </w:t>
      </w:r>
      <w:r w:rsidR="007712B6">
        <w:rPr>
          <w:rFonts w:eastAsia="TimesNewRoman"/>
          <w:szCs w:val="22"/>
          <w:lang w:eastAsia="en-US"/>
        </w:rPr>
        <w:t>liečbu</w:t>
      </w:r>
      <w:r w:rsidRPr="00CC69EC">
        <w:rPr>
          <w:rFonts w:eastAsia="TimesNewRoman"/>
          <w:szCs w:val="22"/>
          <w:lang w:eastAsia="en-US"/>
        </w:rPr>
        <w:t xml:space="preserve">. Na základe výsledkov plánovanej predbežnej analýzy, bola liečba v dexametazónovej skupine podľa odporúčaní </w:t>
      </w:r>
      <w:r w:rsidR="00162059">
        <w:rPr>
          <w:rFonts w:eastAsia="TimesNewRoman"/>
          <w:szCs w:val="22"/>
          <w:lang w:eastAsia="en-US"/>
        </w:rPr>
        <w:t xml:space="preserve">monitorovacej </w:t>
      </w:r>
      <w:r w:rsidRPr="00CC69EC">
        <w:rPr>
          <w:rFonts w:eastAsia="TimesNewRoman"/>
          <w:szCs w:val="22"/>
          <w:lang w:eastAsia="en-US"/>
        </w:rPr>
        <w:t xml:space="preserve">komisie zastavená a všetkým pacientom randomizovaným na dexametazón bol potom poskytnutý bortezomib bez ohľadu na stav ich ochorenia. Kvôli tejto skorej zmene liečby </w:t>
      </w:r>
      <w:r w:rsidR="00346886">
        <w:rPr>
          <w:rFonts w:eastAsia="TimesNewRoman"/>
          <w:szCs w:val="22"/>
          <w:lang w:eastAsia="en-US"/>
        </w:rPr>
        <w:t>bol</w:t>
      </w:r>
      <w:r w:rsidRPr="00CC69EC">
        <w:rPr>
          <w:rFonts w:eastAsia="TimesNewRoman"/>
          <w:szCs w:val="22"/>
          <w:lang w:eastAsia="en-US"/>
        </w:rPr>
        <w:t xml:space="preserve"> </w:t>
      </w:r>
      <w:r w:rsidR="00346886">
        <w:rPr>
          <w:rFonts w:eastAsia="TimesNewRoman"/>
          <w:szCs w:val="22"/>
          <w:lang w:eastAsia="en-US"/>
        </w:rPr>
        <w:t>mediántrvania</w:t>
      </w:r>
      <w:r w:rsidRPr="00CC69EC">
        <w:rPr>
          <w:rFonts w:eastAsia="TimesNewRoman"/>
          <w:szCs w:val="22"/>
          <w:lang w:eastAsia="en-US"/>
        </w:rPr>
        <w:t xml:space="preserve"> </w:t>
      </w:r>
      <w:r w:rsidR="00346886">
        <w:rPr>
          <w:rFonts w:eastAsia="TimesNewRoman"/>
          <w:szCs w:val="22"/>
          <w:lang w:eastAsia="en-US"/>
        </w:rPr>
        <w:t>ďalšieho</w:t>
      </w:r>
      <w:r w:rsidR="00346886" w:rsidRPr="00CC69EC">
        <w:rPr>
          <w:rFonts w:eastAsia="TimesNewRoman"/>
          <w:szCs w:val="22"/>
          <w:lang w:eastAsia="en-US"/>
        </w:rPr>
        <w:t xml:space="preserve"> </w:t>
      </w:r>
      <w:r w:rsidRPr="00CC69EC">
        <w:rPr>
          <w:rFonts w:eastAsia="TimesNewRoman"/>
          <w:szCs w:val="22"/>
          <w:lang w:eastAsia="en-US"/>
        </w:rPr>
        <w:t>sledovania  prežívajúcich pacientov 8,3 mesiacov. U pacientov, ktorí nereagovali na svoju poslednú predchádzajúcu liečbu, ako aj u pacientov, ktorí na ňu reagovali, bola celková doba prežívania signifikantne dlhšia a počet odpovedí bol signifikantne vyšší v skupine s bortezomibom.</w:t>
      </w:r>
    </w:p>
    <w:p w14:paraId="4DCAB9B1" w14:textId="77777777" w:rsidR="00564D9B" w:rsidRPr="00CC69EC" w:rsidRDefault="00564D9B" w:rsidP="00564D9B">
      <w:pPr>
        <w:autoSpaceDE w:val="0"/>
        <w:autoSpaceDN w:val="0"/>
        <w:adjustRightInd w:val="0"/>
        <w:ind w:left="0" w:firstLine="0"/>
        <w:rPr>
          <w:rFonts w:eastAsia="TimesNewRoman"/>
          <w:szCs w:val="22"/>
          <w:lang w:eastAsia="en-US"/>
        </w:rPr>
      </w:pPr>
    </w:p>
    <w:p w14:paraId="7542AC37" w14:textId="27465831"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Zo 669 pacientov zahrnutých do štúdie bolo 245 (37 %) vo veku 65 rokov alebo starších. Parametre odpovede ako aj TTP boli nezávisle od veku aj naďalej signifikantne lepšie pre bortezomib. Bez ohľadu na</w:t>
      </w:r>
      <w:r>
        <w:rPr>
          <w:rFonts w:eastAsia="TimesNewRoman"/>
          <w:szCs w:val="22"/>
          <w:lang w:eastAsia="en-US"/>
        </w:rPr>
        <w:t xml:space="preserve"> </w:t>
      </w:r>
      <w:r w:rsidR="00346886">
        <w:rPr>
          <w:rFonts w:eastAsia="TimesNewRoman"/>
          <w:szCs w:val="22"/>
          <w:lang w:eastAsia="en-US"/>
        </w:rPr>
        <w:t>za</w:t>
      </w:r>
      <w:r w:rsidRPr="00CC69EC">
        <w:rPr>
          <w:rFonts w:eastAsia="TimesNewRoman"/>
          <w:szCs w:val="22"/>
          <w:lang w:eastAsia="en-US"/>
        </w:rPr>
        <w:t>čiatočné hladiny β</w:t>
      </w:r>
      <w:r w:rsidRPr="00CC69EC">
        <w:rPr>
          <w:rFonts w:eastAsia="TimesNewRoman"/>
          <w:szCs w:val="22"/>
          <w:vertAlign w:val="subscript"/>
          <w:lang w:eastAsia="en-US"/>
        </w:rPr>
        <w:t>2</w:t>
      </w:r>
      <w:r w:rsidRPr="00CC69EC">
        <w:rPr>
          <w:rFonts w:eastAsia="TimesNewRoman"/>
          <w:szCs w:val="22"/>
          <w:lang w:eastAsia="en-US"/>
        </w:rPr>
        <w:t>-mikroglobulínu, všetky parametre účinnosti (čas do progresie a</w:t>
      </w:r>
      <w:r>
        <w:rPr>
          <w:rFonts w:eastAsia="TimesNewRoman"/>
          <w:szCs w:val="22"/>
          <w:lang w:eastAsia="en-US"/>
        </w:rPr>
        <w:t> </w:t>
      </w:r>
      <w:r w:rsidRPr="00CC69EC">
        <w:rPr>
          <w:rFonts w:eastAsia="TimesNewRoman"/>
          <w:szCs w:val="22"/>
          <w:lang w:eastAsia="en-US"/>
        </w:rPr>
        <w:t>celkové</w:t>
      </w:r>
      <w:r>
        <w:rPr>
          <w:rFonts w:eastAsia="TimesNewRoman"/>
          <w:szCs w:val="22"/>
          <w:lang w:eastAsia="en-US"/>
        </w:rPr>
        <w:t xml:space="preserve"> </w:t>
      </w:r>
      <w:r w:rsidRPr="00CC69EC">
        <w:rPr>
          <w:rFonts w:eastAsia="TimesNewRoman"/>
          <w:szCs w:val="22"/>
          <w:lang w:eastAsia="en-US"/>
        </w:rPr>
        <w:t>prežívanie, ako aj počet odpovedí) boli výrazne zlepšené v skupine s bortezomibom.</w:t>
      </w:r>
    </w:p>
    <w:p w14:paraId="19D5AFEC" w14:textId="77777777" w:rsidR="00564D9B" w:rsidRPr="00CC69EC" w:rsidRDefault="00564D9B" w:rsidP="00564D9B">
      <w:pPr>
        <w:autoSpaceDE w:val="0"/>
        <w:autoSpaceDN w:val="0"/>
        <w:adjustRightInd w:val="0"/>
        <w:ind w:left="0" w:firstLine="0"/>
        <w:rPr>
          <w:rFonts w:eastAsia="TimesNewRoman"/>
          <w:szCs w:val="22"/>
          <w:lang w:eastAsia="en-US"/>
        </w:rPr>
      </w:pPr>
    </w:p>
    <w:p w14:paraId="35CAA09D" w14:textId="059AD478"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V refraktérnej populácii štúdie fázy II boli odpovede určované nezávislou hodnotiacou komisiou a kritériá odpovede boli podľa Európskej skupiny pre transplantáciu kostnej drene. Medián prežívania všetkých zahrnutých pacientov bol 17 mesiacov (rozpätie </w:t>
      </w:r>
      <w:r w:rsidRPr="00CC69EC">
        <w:rPr>
          <w:color w:val="000000"/>
        </w:rPr>
        <w:t>&lt; 1</w:t>
      </w:r>
      <w:r w:rsidRPr="00CC69EC">
        <w:rPr>
          <w:rFonts w:eastAsia="TimesNewRoman"/>
          <w:szCs w:val="22"/>
          <w:lang w:eastAsia="en-US"/>
        </w:rPr>
        <w:t xml:space="preserve"> až 36+ mesiacov). Toto prežívanie bolo vyššie ako medián šesťmesačného až deväťmesačného prežívania očakávaný konzultovanými </w:t>
      </w:r>
      <w:r w:rsidR="00346886">
        <w:rPr>
          <w:rFonts w:eastAsia="TimesNewRoman"/>
          <w:szCs w:val="22"/>
          <w:lang w:eastAsia="en-US"/>
        </w:rPr>
        <w:t>skúšajucími</w:t>
      </w:r>
      <w:r w:rsidR="00346886" w:rsidRPr="00CC69EC">
        <w:rPr>
          <w:rFonts w:eastAsia="TimesNewRoman"/>
          <w:szCs w:val="22"/>
          <w:lang w:eastAsia="en-US"/>
        </w:rPr>
        <w:t xml:space="preserve"> </w:t>
      </w:r>
      <w:r w:rsidRPr="00CC69EC">
        <w:rPr>
          <w:rFonts w:eastAsia="TimesNewRoman"/>
          <w:szCs w:val="22"/>
          <w:lang w:eastAsia="en-US"/>
        </w:rPr>
        <w:t xml:space="preserve">pre podobnú populáciu pacientov. </w:t>
      </w:r>
      <w:r w:rsidR="00346886">
        <w:rPr>
          <w:rFonts w:eastAsia="TimesNewRoman"/>
          <w:szCs w:val="22"/>
          <w:lang w:eastAsia="en-US"/>
        </w:rPr>
        <w:t>M</w:t>
      </w:r>
      <w:r w:rsidRPr="00CC69EC">
        <w:rPr>
          <w:rFonts w:eastAsia="TimesNewRoman"/>
          <w:szCs w:val="22"/>
          <w:lang w:eastAsia="en-US"/>
        </w:rPr>
        <w:t>ultivariačn</w:t>
      </w:r>
      <w:r w:rsidR="00346886">
        <w:rPr>
          <w:rFonts w:eastAsia="TimesNewRoman"/>
          <w:szCs w:val="22"/>
          <w:lang w:eastAsia="en-US"/>
        </w:rPr>
        <w:t>ou</w:t>
      </w:r>
      <w:r w:rsidRPr="00CC69EC">
        <w:rPr>
          <w:rFonts w:eastAsia="TimesNewRoman"/>
          <w:szCs w:val="22"/>
          <w:lang w:eastAsia="en-US"/>
        </w:rPr>
        <w:t xml:space="preserve"> analýz</w:t>
      </w:r>
      <w:r w:rsidR="00346886">
        <w:rPr>
          <w:rFonts w:eastAsia="TimesNewRoman"/>
          <w:szCs w:val="22"/>
          <w:lang w:eastAsia="en-US"/>
        </w:rPr>
        <w:t>ou sa zistilo, že pomer</w:t>
      </w:r>
      <w:r w:rsidRPr="00CC69EC">
        <w:rPr>
          <w:rFonts w:eastAsia="TimesNewRoman"/>
          <w:szCs w:val="22"/>
          <w:lang w:eastAsia="en-US"/>
        </w:rPr>
        <w:t xml:space="preserve"> odpovedí </w:t>
      </w:r>
      <w:r w:rsidR="00346886">
        <w:rPr>
          <w:rFonts w:eastAsia="TimesNewRoman"/>
          <w:szCs w:val="22"/>
          <w:lang w:eastAsia="en-US"/>
        </w:rPr>
        <w:t xml:space="preserve">bol </w:t>
      </w:r>
      <w:r w:rsidRPr="00CC69EC">
        <w:rPr>
          <w:rFonts w:eastAsia="TimesNewRoman"/>
          <w:szCs w:val="22"/>
          <w:lang w:eastAsia="en-US"/>
        </w:rPr>
        <w:t xml:space="preserve">nezávislý od typu myelómu, výkonnostného stavu, delécie </w:t>
      </w:r>
      <w:r w:rsidR="00346886">
        <w:rPr>
          <w:rFonts w:eastAsia="TimesNewRoman"/>
          <w:szCs w:val="22"/>
          <w:lang w:eastAsia="en-US"/>
        </w:rPr>
        <w:t xml:space="preserve">13. </w:t>
      </w:r>
      <w:r w:rsidRPr="00CC69EC">
        <w:rPr>
          <w:rFonts w:eastAsia="TimesNewRoman"/>
          <w:szCs w:val="22"/>
          <w:lang w:eastAsia="en-US"/>
        </w:rPr>
        <w:t>chromozómu  alebo od počtu a</w:t>
      </w:r>
      <w:r>
        <w:rPr>
          <w:rFonts w:eastAsia="TimesNewRoman"/>
          <w:szCs w:val="22"/>
          <w:lang w:eastAsia="en-US"/>
        </w:rPr>
        <w:t>lebo</w:t>
      </w:r>
      <w:r w:rsidRPr="00CC69EC">
        <w:rPr>
          <w:rFonts w:eastAsia="TimesNewRoman"/>
          <w:szCs w:val="22"/>
          <w:lang w:eastAsia="en-US"/>
        </w:rPr>
        <w:t xml:space="preserve"> typu predchádzajúcich terapií. Pacienti, ktorí absolvovali 2-3 predchádzajúce terapeutické schémy mali </w:t>
      </w:r>
      <w:r>
        <w:rPr>
          <w:rFonts w:eastAsia="TimesNewRoman"/>
          <w:szCs w:val="22"/>
          <w:lang w:eastAsia="en-US"/>
        </w:rPr>
        <w:t>mieru</w:t>
      </w:r>
      <w:r w:rsidRPr="00CC69EC">
        <w:rPr>
          <w:rFonts w:eastAsia="TimesNewRoman"/>
          <w:szCs w:val="22"/>
          <w:lang w:eastAsia="en-US"/>
        </w:rPr>
        <w:t xml:space="preserve"> odpovede 32 % (10/32) a pacienti, ktorí absolvovali viac ako 7 predchádzajúcich terapeutických schém mali mieru odpovede 31 % (21/67).</w:t>
      </w:r>
    </w:p>
    <w:p w14:paraId="3980837F" w14:textId="77777777" w:rsidR="00564D9B" w:rsidRPr="00CC69EC" w:rsidRDefault="00564D9B" w:rsidP="00564D9B">
      <w:pPr>
        <w:ind w:left="0" w:firstLine="0"/>
        <w:rPr>
          <w:rFonts w:eastAsia="TimesNewRoman"/>
          <w:szCs w:val="22"/>
          <w:lang w:eastAsia="en-US"/>
        </w:rPr>
      </w:pPr>
    </w:p>
    <w:p w14:paraId="12417E86" w14:textId="77777777" w:rsidR="00564D9B" w:rsidRPr="00CC69EC" w:rsidRDefault="00564D9B" w:rsidP="00564D9B">
      <w:pPr>
        <w:rPr>
          <w:color w:val="000000"/>
        </w:rPr>
      </w:pPr>
      <w:r w:rsidRPr="00CC69EC">
        <w:rPr>
          <w:rFonts w:eastAsia="TimesNewRoman,Italic"/>
          <w:i/>
          <w:iCs/>
          <w:szCs w:val="22"/>
          <w:lang w:eastAsia="en-US"/>
        </w:rPr>
        <w:t>Tabuľka 14: Súhrn výsledkov liečby zo štúdií fázy III (APEX) a fázy II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466"/>
        <w:gridCol w:w="975"/>
        <w:gridCol w:w="989"/>
        <w:gridCol w:w="893"/>
        <w:gridCol w:w="895"/>
        <w:gridCol w:w="955"/>
        <w:gridCol w:w="955"/>
        <w:gridCol w:w="1932"/>
      </w:tblGrid>
      <w:tr w:rsidR="00564D9B" w:rsidRPr="00CC69EC" w14:paraId="4FB0D44B" w14:textId="77777777" w:rsidTr="00E110FB">
        <w:trPr>
          <w:tblCellSpacing w:w="0" w:type="dxa"/>
        </w:trPr>
        <w:tc>
          <w:tcPr>
            <w:tcW w:w="809" w:type="pct"/>
            <w:hideMark/>
          </w:tcPr>
          <w:p w14:paraId="759F96EB" w14:textId="77777777" w:rsidR="00564D9B" w:rsidRPr="00CC69EC" w:rsidRDefault="00564D9B" w:rsidP="00F75370">
            <w:pPr>
              <w:rPr>
                <w:color w:val="000000"/>
              </w:rPr>
            </w:pPr>
          </w:p>
        </w:tc>
        <w:tc>
          <w:tcPr>
            <w:tcW w:w="1084" w:type="pct"/>
            <w:gridSpan w:val="2"/>
            <w:hideMark/>
          </w:tcPr>
          <w:p w14:paraId="066DB713" w14:textId="77777777" w:rsidR="00564D9B" w:rsidRPr="00CC69EC" w:rsidRDefault="00564D9B" w:rsidP="00F75370">
            <w:pPr>
              <w:jc w:val="center"/>
              <w:rPr>
                <w:color w:val="000000"/>
              </w:rPr>
            </w:pPr>
            <w:r w:rsidRPr="00CC69EC">
              <w:rPr>
                <w:b/>
                <w:bCs/>
                <w:color w:val="000000"/>
              </w:rPr>
              <w:t>fáza III</w:t>
            </w:r>
          </w:p>
        </w:tc>
        <w:tc>
          <w:tcPr>
            <w:tcW w:w="987" w:type="pct"/>
            <w:gridSpan w:val="2"/>
            <w:hideMark/>
          </w:tcPr>
          <w:p w14:paraId="3A151790" w14:textId="77777777" w:rsidR="00564D9B" w:rsidRPr="00CC69EC" w:rsidRDefault="00564D9B" w:rsidP="00F75370">
            <w:pPr>
              <w:jc w:val="center"/>
              <w:rPr>
                <w:color w:val="000000"/>
              </w:rPr>
            </w:pPr>
            <w:r w:rsidRPr="00CC69EC">
              <w:rPr>
                <w:b/>
                <w:bCs/>
                <w:color w:val="000000"/>
              </w:rPr>
              <w:t>fáza III</w:t>
            </w:r>
          </w:p>
        </w:tc>
        <w:tc>
          <w:tcPr>
            <w:tcW w:w="1054" w:type="pct"/>
            <w:gridSpan w:val="2"/>
            <w:hideMark/>
          </w:tcPr>
          <w:p w14:paraId="5635C9FA" w14:textId="77777777" w:rsidR="00564D9B" w:rsidRPr="00CC69EC" w:rsidRDefault="00564D9B" w:rsidP="00F75370">
            <w:pPr>
              <w:jc w:val="center"/>
              <w:rPr>
                <w:color w:val="000000"/>
              </w:rPr>
            </w:pPr>
            <w:r w:rsidRPr="00CC69EC">
              <w:rPr>
                <w:b/>
                <w:bCs/>
                <w:color w:val="000000"/>
              </w:rPr>
              <w:t>fáza III</w:t>
            </w:r>
          </w:p>
        </w:tc>
        <w:tc>
          <w:tcPr>
            <w:tcW w:w="1066" w:type="pct"/>
            <w:hideMark/>
          </w:tcPr>
          <w:p w14:paraId="68924D6A" w14:textId="77777777" w:rsidR="00564D9B" w:rsidRPr="00CC69EC" w:rsidRDefault="00564D9B" w:rsidP="00F75370">
            <w:pPr>
              <w:jc w:val="center"/>
              <w:rPr>
                <w:color w:val="000000"/>
              </w:rPr>
            </w:pPr>
            <w:r w:rsidRPr="00CC69EC">
              <w:rPr>
                <w:b/>
                <w:bCs/>
                <w:color w:val="000000"/>
              </w:rPr>
              <w:t>fáza II</w:t>
            </w:r>
          </w:p>
        </w:tc>
      </w:tr>
      <w:tr w:rsidR="00564D9B" w:rsidRPr="00CC69EC" w14:paraId="7B3F9979" w14:textId="77777777" w:rsidTr="00E110FB">
        <w:trPr>
          <w:tblCellSpacing w:w="0" w:type="dxa"/>
        </w:trPr>
        <w:tc>
          <w:tcPr>
            <w:tcW w:w="809" w:type="pct"/>
            <w:hideMark/>
          </w:tcPr>
          <w:p w14:paraId="4DCD1397" w14:textId="77777777" w:rsidR="00564D9B" w:rsidRPr="00CC69EC" w:rsidRDefault="00564D9B" w:rsidP="00F75370">
            <w:pPr>
              <w:rPr>
                <w:color w:val="000000"/>
              </w:rPr>
            </w:pPr>
          </w:p>
        </w:tc>
        <w:tc>
          <w:tcPr>
            <w:tcW w:w="1084" w:type="pct"/>
            <w:gridSpan w:val="2"/>
            <w:hideMark/>
          </w:tcPr>
          <w:p w14:paraId="4F757999" w14:textId="77777777" w:rsidR="00564D9B" w:rsidRPr="00CC69EC" w:rsidRDefault="00564D9B" w:rsidP="00E110FB">
            <w:pPr>
              <w:jc w:val="center"/>
              <w:rPr>
                <w:color w:val="000000"/>
                <w:szCs w:val="22"/>
              </w:rPr>
            </w:pPr>
            <w:r w:rsidRPr="00CC69EC">
              <w:rPr>
                <w:b/>
                <w:bCs/>
                <w:color w:val="000000"/>
                <w:szCs w:val="22"/>
              </w:rPr>
              <w:t>Všetci pacienti</w:t>
            </w:r>
          </w:p>
        </w:tc>
        <w:tc>
          <w:tcPr>
            <w:tcW w:w="987" w:type="pct"/>
            <w:gridSpan w:val="2"/>
            <w:hideMark/>
          </w:tcPr>
          <w:p w14:paraId="68C6B214" w14:textId="77777777" w:rsidR="00564D9B" w:rsidRPr="00CC69EC" w:rsidRDefault="00564D9B" w:rsidP="004109BE">
            <w:pPr>
              <w:autoSpaceDE w:val="0"/>
              <w:autoSpaceDN w:val="0"/>
              <w:adjustRightInd w:val="0"/>
              <w:ind w:left="0" w:firstLine="0"/>
              <w:jc w:val="center"/>
              <w:rPr>
                <w:rFonts w:eastAsia="TimesNewRoman,Bold"/>
                <w:b/>
                <w:bCs/>
                <w:szCs w:val="22"/>
                <w:lang w:eastAsia="en-US"/>
              </w:rPr>
            </w:pPr>
            <w:r w:rsidRPr="00CC69EC">
              <w:rPr>
                <w:rFonts w:eastAsia="TimesNewRoman,Bold"/>
                <w:b/>
                <w:bCs/>
                <w:szCs w:val="22"/>
                <w:lang w:eastAsia="en-US"/>
              </w:rPr>
              <w:t>1 predchádzajúca</w:t>
            </w:r>
          </w:p>
          <w:p w14:paraId="29AA9EC1" w14:textId="77777777" w:rsidR="00564D9B" w:rsidRPr="00CC69EC" w:rsidRDefault="00564D9B" w:rsidP="00DC44C0">
            <w:pPr>
              <w:jc w:val="center"/>
              <w:rPr>
                <w:color w:val="000000"/>
                <w:szCs w:val="22"/>
              </w:rPr>
            </w:pPr>
            <w:r w:rsidRPr="00CC69EC">
              <w:rPr>
                <w:rFonts w:eastAsia="TimesNewRoman,Bold"/>
                <w:b/>
                <w:bCs/>
                <w:szCs w:val="22"/>
                <w:lang w:eastAsia="en-US"/>
              </w:rPr>
              <w:t>liečba</w:t>
            </w:r>
          </w:p>
        </w:tc>
        <w:tc>
          <w:tcPr>
            <w:tcW w:w="1054" w:type="pct"/>
            <w:gridSpan w:val="2"/>
            <w:hideMark/>
          </w:tcPr>
          <w:p w14:paraId="119924C3" w14:textId="77777777" w:rsidR="00564D9B" w:rsidRPr="00CC69EC" w:rsidRDefault="00564D9B" w:rsidP="003A5A39">
            <w:pPr>
              <w:autoSpaceDE w:val="0"/>
              <w:autoSpaceDN w:val="0"/>
              <w:adjustRightInd w:val="0"/>
              <w:ind w:left="0" w:firstLine="0"/>
              <w:jc w:val="center"/>
              <w:rPr>
                <w:rFonts w:eastAsia="TimesNewRoman,Bold"/>
                <w:b/>
                <w:bCs/>
                <w:szCs w:val="22"/>
                <w:lang w:eastAsia="en-US"/>
              </w:rPr>
            </w:pPr>
            <w:r w:rsidRPr="00CC69EC">
              <w:rPr>
                <w:rFonts w:eastAsia="TimesNewRoman,Bold"/>
                <w:b/>
                <w:bCs/>
                <w:szCs w:val="22"/>
                <w:lang w:eastAsia="en-US"/>
              </w:rPr>
              <w:t>&gt;1 predchádzajúca</w:t>
            </w:r>
          </w:p>
          <w:p w14:paraId="3B240DBA" w14:textId="77777777" w:rsidR="00564D9B" w:rsidRPr="00CC69EC" w:rsidRDefault="00564D9B" w:rsidP="006B3925">
            <w:pPr>
              <w:jc w:val="center"/>
              <w:rPr>
                <w:color w:val="000000"/>
                <w:szCs w:val="22"/>
              </w:rPr>
            </w:pPr>
            <w:r w:rsidRPr="00CC69EC">
              <w:rPr>
                <w:rFonts w:eastAsia="TimesNewRoman,Bold"/>
                <w:b/>
                <w:bCs/>
                <w:szCs w:val="22"/>
                <w:lang w:eastAsia="en-US"/>
              </w:rPr>
              <w:t>liečba</w:t>
            </w:r>
          </w:p>
        </w:tc>
        <w:tc>
          <w:tcPr>
            <w:tcW w:w="1066" w:type="pct"/>
            <w:hideMark/>
          </w:tcPr>
          <w:p w14:paraId="712F7DF2" w14:textId="1FD5C0A2" w:rsidR="00564D9B" w:rsidRPr="00CC69EC" w:rsidRDefault="005B734D" w:rsidP="005C5CEA">
            <w:pPr>
              <w:autoSpaceDE w:val="0"/>
              <w:autoSpaceDN w:val="0"/>
              <w:adjustRightInd w:val="0"/>
              <w:ind w:left="0" w:firstLine="0"/>
              <w:jc w:val="center"/>
              <w:rPr>
                <w:rFonts w:eastAsia="TimesNewRoman,Bold"/>
                <w:b/>
                <w:bCs/>
                <w:szCs w:val="22"/>
                <w:lang w:eastAsia="en-US"/>
              </w:rPr>
            </w:pPr>
            <w:r w:rsidRPr="00F31BA8">
              <w:rPr>
                <w:b/>
                <w:bCs/>
                <w:szCs w:val="22"/>
              </w:rPr>
              <w:t>≥</w:t>
            </w:r>
            <w:r w:rsidR="00564D9B" w:rsidRPr="00CC69EC">
              <w:rPr>
                <w:rFonts w:eastAsia="TimesNewRoman,Bold"/>
                <w:b/>
                <w:bCs/>
                <w:szCs w:val="22"/>
                <w:lang w:eastAsia="en-US"/>
              </w:rPr>
              <w:t>2 predchádzajúce</w:t>
            </w:r>
          </w:p>
          <w:p w14:paraId="45FFA3E6" w14:textId="77777777" w:rsidR="00564D9B" w:rsidRPr="00CC69EC" w:rsidRDefault="00564D9B" w:rsidP="000F1D51">
            <w:pPr>
              <w:jc w:val="center"/>
              <w:rPr>
                <w:color w:val="000000"/>
                <w:szCs w:val="22"/>
              </w:rPr>
            </w:pPr>
            <w:r w:rsidRPr="00CC69EC">
              <w:rPr>
                <w:rFonts w:eastAsia="TimesNewRoman,Bold"/>
                <w:b/>
                <w:bCs/>
                <w:szCs w:val="22"/>
                <w:lang w:eastAsia="en-US"/>
              </w:rPr>
              <w:t>liečby</w:t>
            </w:r>
          </w:p>
        </w:tc>
      </w:tr>
      <w:tr w:rsidR="00564D9B" w:rsidRPr="00CC69EC" w14:paraId="5AA38CF8" w14:textId="77777777" w:rsidTr="00E110FB">
        <w:trPr>
          <w:tblCellSpacing w:w="0" w:type="dxa"/>
        </w:trPr>
        <w:tc>
          <w:tcPr>
            <w:tcW w:w="809" w:type="pct"/>
            <w:hideMark/>
          </w:tcPr>
          <w:p w14:paraId="51EFBEE0" w14:textId="77777777" w:rsidR="00564D9B" w:rsidRPr="00CC69EC" w:rsidRDefault="00564D9B" w:rsidP="00F75370">
            <w:pPr>
              <w:autoSpaceDE w:val="0"/>
              <w:autoSpaceDN w:val="0"/>
              <w:adjustRightInd w:val="0"/>
              <w:ind w:left="0" w:firstLine="0"/>
              <w:rPr>
                <w:rFonts w:eastAsia="TimesNewRoman,Bold"/>
                <w:b/>
                <w:bCs/>
                <w:szCs w:val="22"/>
                <w:lang w:eastAsia="en-US"/>
              </w:rPr>
            </w:pPr>
            <w:r w:rsidRPr="00CC69EC">
              <w:rPr>
                <w:rFonts w:eastAsia="TimesNewRoman,Bold"/>
                <w:b/>
                <w:bCs/>
                <w:szCs w:val="22"/>
                <w:lang w:eastAsia="en-US"/>
              </w:rPr>
              <w:t>Časovo závislé</w:t>
            </w:r>
          </w:p>
          <w:p w14:paraId="757A8465" w14:textId="77777777" w:rsidR="00564D9B" w:rsidRPr="00CC69EC" w:rsidRDefault="00564D9B" w:rsidP="00F75370">
            <w:pPr>
              <w:rPr>
                <w:color w:val="000000"/>
              </w:rPr>
            </w:pPr>
            <w:r w:rsidRPr="00CC69EC">
              <w:rPr>
                <w:rFonts w:eastAsia="TimesNewRoman,Bold"/>
                <w:b/>
                <w:bCs/>
                <w:szCs w:val="22"/>
                <w:lang w:eastAsia="en-US"/>
              </w:rPr>
              <w:t>udalosti</w:t>
            </w:r>
          </w:p>
        </w:tc>
        <w:tc>
          <w:tcPr>
            <w:tcW w:w="538" w:type="pct"/>
            <w:hideMark/>
          </w:tcPr>
          <w:p w14:paraId="7835FB8B" w14:textId="77777777" w:rsidR="00564D9B" w:rsidRPr="00CC69EC" w:rsidRDefault="00564D9B" w:rsidP="00F75370">
            <w:pPr>
              <w:jc w:val="center"/>
              <w:rPr>
                <w:color w:val="000000"/>
              </w:rPr>
            </w:pPr>
            <w:r w:rsidRPr="00CC69EC">
              <w:rPr>
                <w:b/>
                <w:bCs/>
                <w:color w:val="000000"/>
              </w:rPr>
              <w:t>B</w:t>
            </w:r>
          </w:p>
          <w:p w14:paraId="49FFF037" w14:textId="77777777" w:rsidR="00564D9B" w:rsidRPr="00CC69EC" w:rsidRDefault="00564D9B" w:rsidP="00F75370">
            <w:pPr>
              <w:jc w:val="center"/>
              <w:rPr>
                <w:color w:val="000000"/>
              </w:rPr>
            </w:pPr>
            <w:r w:rsidRPr="00CC69EC">
              <w:rPr>
                <w:b/>
                <w:bCs/>
                <w:color w:val="000000"/>
              </w:rPr>
              <w:t>n = 333</w:t>
            </w:r>
            <w:r w:rsidRPr="00CC69EC">
              <w:rPr>
                <w:b/>
                <w:bCs/>
                <w:color w:val="000000"/>
                <w:vertAlign w:val="superscript"/>
              </w:rPr>
              <w:t>a</w:t>
            </w:r>
          </w:p>
        </w:tc>
        <w:tc>
          <w:tcPr>
            <w:tcW w:w="546" w:type="pct"/>
            <w:hideMark/>
          </w:tcPr>
          <w:p w14:paraId="7AAF5D65" w14:textId="77777777" w:rsidR="00564D9B" w:rsidRPr="00CC69EC" w:rsidRDefault="00564D9B" w:rsidP="00F75370">
            <w:pPr>
              <w:jc w:val="center"/>
              <w:rPr>
                <w:color w:val="000000"/>
              </w:rPr>
            </w:pPr>
            <w:r w:rsidRPr="00CC69EC">
              <w:rPr>
                <w:b/>
                <w:bCs/>
                <w:color w:val="000000"/>
              </w:rPr>
              <w:t>Dex</w:t>
            </w:r>
          </w:p>
          <w:p w14:paraId="349EEFB7" w14:textId="77777777" w:rsidR="00564D9B" w:rsidRPr="00CC69EC" w:rsidRDefault="00564D9B" w:rsidP="00F75370">
            <w:pPr>
              <w:jc w:val="center"/>
              <w:rPr>
                <w:color w:val="000000"/>
              </w:rPr>
            </w:pPr>
            <w:r w:rsidRPr="00CC69EC">
              <w:rPr>
                <w:b/>
                <w:bCs/>
                <w:color w:val="000000"/>
              </w:rPr>
              <w:t>n = 336</w:t>
            </w:r>
            <w:r w:rsidRPr="00CC69EC">
              <w:rPr>
                <w:b/>
                <w:bCs/>
                <w:color w:val="000000"/>
                <w:vertAlign w:val="superscript"/>
              </w:rPr>
              <w:t>a</w:t>
            </w:r>
          </w:p>
        </w:tc>
        <w:tc>
          <w:tcPr>
            <w:tcW w:w="493" w:type="pct"/>
            <w:hideMark/>
          </w:tcPr>
          <w:p w14:paraId="505F1B6B" w14:textId="77777777" w:rsidR="00564D9B" w:rsidRPr="00CC69EC" w:rsidRDefault="00564D9B" w:rsidP="00F75370">
            <w:pPr>
              <w:jc w:val="center"/>
              <w:rPr>
                <w:color w:val="000000"/>
              </w:rPr>
            </w:pPr>
            <w:r w:rsidRPr="00CC69EC">
              <w:rPr>
                <w:b/>
                <w:bCs/>
                <w:color w:val="000000"/>
              </w:rPr>
              <w:t>B</w:t>
            </w:r>
          </w:p>
          <w:p w14:paraId="6BABACD6" w14:textId="77777777" w:rsidR="00564D9B" w:rsidRPr="00CC69EC" w:rsidRDefault="00564D9B" w:rsidP="00F75370">
            <w:pPr>
              <w:jc w:val="center"/>
              <w:rPr>
                <w:color w:val="000000"/>
              </w:rPr>
            </w:pPr>
            <w:r w:rsidRPr="00CC69EC">
              <w:rPr>
                <w:b/>
                <w:bCs/>
                <w:color w:val="000000"/>
              </w:rPr>
              <w:t>n = 132</w:t>
            </w:r>
            <w:r w:rsidRPr="00CC69EC">
              <w:rPr>
                <w:b/>
                <w:bCs/>
                <w:color w:val="000000"/>
                <w:vertAlign w:val="superscript"/>
              </w:rPr>
              <w:t>a</w:t>
            </w:r>
          </w:p>
        </w:tc>
        <w:tc>
          <w:tcPr>
            <w:tcW w:w="494" w:type="pct"/>
            <w:hideMark/>
          </w:tcPr>
          <w:p w14:paraId="34128D32" w14:textId="77777777" w:rsidR="00564D9B" w:rsidRPr="00CC69EC" w:rsidRDefault="00564D9B" w:rsidP="00F75370">
            <w:pPr>
              <w:jc w:val="center"/>
              <w:rPr>
                <w:color w:val="000000"/>
              </w:rPr>
            </w:pPr>
            <w:r w:rsidRPr="00CC69EC">
              <w:rPr>
                <w:b/>
                <w:bCs/>
                <w:color w:val="000000"/>
              </w:rPr>
              <w:t>Dex</w:t>
            </w:r>
          </w:p>
          <w:p w14:paraId="46BF8FF4" w14:textId="77777777" w:rsidR="00564D9B" w:rsidRPr="00CC69EC" w:rsidRDefault="00564D9B" w:rsidP="00F75370">
            <w:pPr>
              <w:jc w:val="center"/>
              <w:rPr>
                <w:color w:val="000000"/>
              </w:rPr>
            </w:pPr>
            <w:r w:rsidRPr="00CC69EC">
              <w:rPr>
                <w:b/>
                <w:bCs/>
                <w:color w:val="000000"/>
              </w:rPr>
              <w:t>n = 119</w:t>
            </w:r>
            <w:r w:rsidRPr="00CC69EC">
              <w:rPr>
                <w:b/>
                <w:bCs/>
                <w:color w:val="000000"/>
                <w:vertAlign w:val="superscript"/>
              </w:rPr>
              <w:t>a</w:t>
            </w:r>
          </w:p>
        </w:tc>
        <w:tc>
          <w:tcPr>
            <w:tcW w:w="527" w:type="pct"/>
            <w:hideMark/>
          </w:tcPr>
          <w:p w14:paraId="3E0266D9" w14:textId="77777777" w:rsidR="00564D9B" w:rsidRPr="00CC69EC" w:rsidRDefault="00564D9B" w:rsidP="00F75370">
            <w:pPr>
              <w:jc w:val="center"/>
              <w:rPr>
                <w:color w:val="000000"/>
              </w:rPr>
            </w:pPr>
            <w:r w:rsidRPr="00CC69EC">
              <w:rPr>
                <w:b/>
                <w:bCs/>
                <w:color w:val="000000"/>
              </w:rPr>
              <w:t>B</w:t>
            </w:r>
          </w:p>
          <w:p w14:paraId="7D305930" w14:textId="77777777" w:rsidR="00564D9B" w:rsidRPr="00CC69EC" w:rsidRDefault="00564D9B" w:rsidP="00F75370">
            <w:pPr>
              <w:jc w:val="center"/>
              <w:rPr>
                <w:color w:val="000000"/>
              </w:rPr>
            </w:pPr>
            <w:r w:rsidRPr="00CC69EC">
              <w:rPr>
                <w:b/>
                <w:bCs/>
                <w:color w:val="000000"/>
              </w:rPr>
              <w:t>n = 200</w:t>
            </w:r>
            <w:r w:rsidRPr="00CC69EC">
              <w:rPr>
                <w:b/>
                <w:bCs/>
                <w:color w:val="000000"/>
                <w:vertAlign w:val="superscript"/>
              </w:rPr>
              <w:t>a</w:t>
            </w:r>
          </w:p>
        </w:tc>
        <w:tc>
          <w:tcPr>
            <w:tcW w:w="527" w:type="pct"/>
            <w:hideMark/>
          </w:tcPr>
          <w:p w14:paraId="42DA75C8" w14:textId="77777777" w:rsidR="00564D9B" w:rsidRPr="00CC69EC" w:rsidRDefault="00564D9B" w:rsidP="00F75370">
            <w:pPr>
              <w:jc w:val="center"/>
              <w:rPr>
                <w:color w:val="000000"/>
              </w:rPr>
            </w:pPr>
            <w:r w:rsidRPr="00CC69EC">
              <w:rPr>
                <w:b/>
                <w:bCs/>
                <w:color w:val="000000"/>
              </w:rPr>
              <w:t>Dex</w:t>
            </w:r>
          </w:p>
          <w:p w14:paraId="51E5507F" w14:textId="77777777" w:rsidR="00564D9B" w:rsidRPr="00CC69EC" w:rsidRDefault="00564D9B" w:rsidP="00F75370">
            <w:pPr>
              <w:jc w:val="center"/>
              <w:rPr>
                <w:color w:val="000000"/>
              </w:rPr>
            </w:pPr>
            <w:r w:rsidRPr="00CC69EC">
              <w:rPr>
                <w:b/>
                <w:bCs/>
                <w:color w:val="000000"/>
              </w:rPr>
              <w:t>n = 217</w:t>
            </w:r>
            <w:r w:rsidRPr="00CC69EC">
              <w:rPr>
                <w:b/>
                <w:bCs/>
                <w:color w:val="000000"/>
                <w:vertAlign w:val="superscript"/>
              </w:rPr>
              <w:t>a</w:t>
            </w:r>
          </w:p>
        </w:tc>
        <w:tc>
          <w:tcPr>
            <w:tcW w:w="1066" w:type="pct"/>
            <w:hideMark/>
          </w:tcPr>
          <w:p w14:paraId="654E05FB" w14:textId="77777777" w:rsidR="00564D9B" w:rsidRPr="00CC69EC" w:rsidRDefault="00564D9B" w:rsidP="00F75370">
            <w:pPr>
              <w:jc w:val="center"/>
              <w:rPr>
                <w:color w:val="000000"/>
              </w:rPr>
            </w:pPr>
            <w:r w:rsidRPr="00CC69EC">
              <w:rPr>
                <w:b/>
                <w:bCs/>
                <w:color w:val="000000"/>
              </w:rPr>
              <w:t>B</w:t>
            </w:r>
          </w:p>
          <w:p w14:paraId="7D4852F5" w14:textId="77777777" w:rsidR="00564D9B" w:rsidRPr="00CC69EC" w:rsidRDefault="00564D9B" w:rsidP="00F75370">
            <w:pPr>
              <w:jc w:val="center"/>
              <w:rPr>
                <w:color w:val="000000"/>
              </w:rPr>
            </w:pPr>
            <w:r w:rsidRPr="00CC69EC">
              <w:rPr>
                <w:b/>
                <w:bCs/>
                <w:color w:val="000000"/>
              </w:rPr>
              <w:t>n = 202</w:t>
            </w:r>
            <w:r w:rsidRPr="00CC69EC">
              <w:rPr>
                <w:b/>
                <w:bCs/>
                <w:color w:val="000000"/>
                <w:vertAlign w:val="superscript"/>
              </w:rPr>
              <w:t>a</w:t>
            </w:r>
          </w:p>
        </w:tc>
      </w:tr>
      <w:tr w:rsidR="00564D9B" w:rsidRPr="00CC69EC" w14:paraId="5B62E540" w14:textId="77777777" w:rsidTr="00E110FB">
        <w:trPr>
          <w:tblCellSpacing w:w="0" w:type="dxa"/>
        </w:trPr>
        <w:tc>
          <w:tcPr>
            <w:tcW w:w="809" w:type="pct"/>
            <w:hideMark/>
          </w:tcPr>
          <w:p w14:paraId="4F63EB9F"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lastRenderedPageBreak/>
              <w:t>Čas do progresie (TTP), dni</w:t>
            </w:r>
          </w:p>
          <w:p w14:paraId="47531152" w14:textId="664BD3CD" w:rsidR="00564D9B" w:rsidRPr="00CC69EC" w:rsidRDefault="00564D9B" w:rsidP="00F75370">
            <w:pPr>
              <w:rPr>
                <w:color w:val="000000"/>
              </w:rPr>
            </w:pPr>
            <w:r w:rsidRPr="00CC69EC">
              <w:rPr>
                <w:rFonts w:eastAsia="TimesNewRoman"/>
                <w:szCs w:val="22"/>
                <w:lang w:eastAsia="en-US"/>
              </w:rPr>
              <w:t>[95 % I</w:t>
            </w:r>
            <w:r w:rsidR="004109BE">
              <w:rPr>
                <w:rFonts w:eastAsia="TimesNewRoman"/>
                <w:szCs w:val="22"/>
                <w:lang w:eastAsia="en-US"/>
              </w:rPr>
              <w:t>S</w:t>
            </w:r>
            <w:r w:rsidRPr="00CC69EC">
              <w:rPr>
                <w:rFonts w:eastAsia="TimesNewRoman"/>
                <w:szCs w:val="22"/>
                <w:lang w:eastAsia="en-US"/>
              </w:rPr>
              <w:t>]</w:t>
            </w:r>
          </w:p>
        </w:tc>
        <w:tc>
          <w:tcPr>
            <w:tcW w:w="538" w:type="pct"/>
            <w:hideMark/>
          </w:tcPr>
          <w:p w14:paraId="58CC5978" w14:textId="77777777" w:rsidR="00564D9B" w:rsidRPr="00CC69EC" w:rsidRDefault="00564D9B" w:rsidP="00F75370">
            <w:pPr>
              <w:jc w:val="center"/>
              <w:rPr>
                <w:color w:val="000000"/>
              </w:rPr>
            </w:pPr>
            <w:r w:rsidRPr="00CC69EC">
              <w:rPr>
                <w:color w:val="000000"/>
              </w:rPr>
              <w:t>189</w:t>
            </w:r>
            <w:r w:rsidRPr="00CC69EC">
              <w:rPr>
                <w:color w:val="000000"/>
                <w:vertAlign w:val="superscript"/>
              </w:rPr>
              <w:t>b</w:t>
            </w:r>
          </w:p>
          <w:p w14:paraId="329132E7" w14:textId="77777777" w:rsidR="00564D9B" w:rsidRPr="00CC69EC" w:rsidRDefault="00564D9B" w:rsidP="00F75370">
            <w:pPr>
              <w:ind w:left="12" w:hanging="12"/>
              <w:jc w:val="center"/>
              <w:rPr>
                <w:color w:val="000000"/>
              </w:rPr>
            </w:pPr>
            <w:r w:rsidRPr="00CC69EC">
              <w:rPr>
                <w:color w:val="000000"/>
              </w:rPr>
              <w:t>[148, 211]</w:t>
            </w:r>
          </w:p>
        </w:tc>
        <w:tc>
          <w:tcPr>
            <w:tcW w:w="546" w:type="pct"/>
            <w:hideMark/>
          </w:tcPr>
          <w:p w14:paraId="075A8763" w14:textId="77777777" w:rsidR="00564D9B" w:rsidRPr="00CC69EC" w:rsidRDefault="00564D9B" w:rsidP="00F75370">
            <w:pPr>
              <w:jc w:val="center"/>
              <w:rPr>
                <w:color w:val="000000"/>
              </w:rPr>
            </w:pPr>
            <w:r w:rsidRPr="00CC69EC">
              <w:rPr>
                <w:color w:val="000000"/>
              </w:rPr>
              <w:t>106</w:t>
            </w:r>
            <w:r w:rsidRPr="00CC69EC">
              <w:rPr>
                <w:color w:val="000000"/>
                <w:vertAlign w:val="superscript"/>
              </w:rPr>
              <w:t>b</w:t>
            </w:r>
          </w:p>
          <w:p w14:paraId="37088EAC" w14:textId="77777777" w:rsidR="00564D9B" w:rsidRPr="00CC69EC" w:rsidRDefault="00564D9B" w:rsidP="00F75370">
            <w:pPr>
              <w:ind w:left="8" w:hanging="8"/>
              <w:jc w:val="center"/>
              <w:rPr>
                <w:color w:val="000000"/>
              </w:rPr>
            </w:pPr>
            <w:r w:rsidRPr="00CC69EC">
              <w:rPr>
                <w:color w:val="000000"/>
              </w:rPr>
              <w:t>[86, 128]</w:t>
            </w:r>
          </w:p>
        </w:tc>
        <w:tc>
          <w:tcPr>
            <w:tcW w:w="493" w:type="pct"/>
            <w:hideMark/>
          </w:tcPr>
          <w:p w14:paraId="5E562EAE" w14:textId="77777777" w:rsidR="00564D9B" w:rsidRPr="00CC69EC" w:rsidRDefault="00564D9B" w:rsidP="00F75370">
            <w:pPr>
              <w:jc w:val="center"/>
              <w:rPr>
                <w:color w:val="000000"/>
              </w:rPr>
            </w:pPr>
            <w:r w:rsidRPr="00CC69EC">
              <w:rPr>
                <w:color w:val="000000"/>
              </w:rPr>
              <w:t>212</w:t>
            </w:r>
            <w:r w:rsidRPr="00CC69EC">
              <w:rPr>
                <w:color w:val="000000"/>
                <w:vertAlign w:val="superscript"/>
              </w:rPr>
              <w:t>d</w:t>
            </w:r>
          </w:p>
          <w:p w14:paraId="2B49AD04" w14:textId="77777777" w:rsidR="00564D9B" w:rsidRPr="00CC69EC" w:rsidRDefault="00564D9B" w:rsidP="00F75370">
            <w:pPr>
              <w:ind w:left="0" w:firstLine="0"/>
              <w:jc w:val="center"/>
              <w:rPr>
                <w:color w:val="000000"/>
              </w:rPr>
            </w:pPr>
            <w:r w:rsidRPr="00CC69EC">
              <w:rPr>
                <w:color w:val="000000"/>
              </w:rPr>
              <w:t>[188, 267]</w:t>
            </w:r>
          </w:p>
        </w:tc>
        <w:tc>
          <w:tcPr>
            <w:tcW w:w="494" w:type="pct"/>
            <w:hideMark/>
          </w:tcPr>
          <w:p w14:paraId="447F4A32" w14:textId="77777777" w:rsidR="00564D9B" w:rsidRPr="00CC69EC" w:rsidRDefault="00564D9B" w:rsidP="00F75370">
            <w:pPr>
              <w:jc w:val="center"/>
              <w:rPr>
                <w:color w:val="000000"/>
              </w:rPr>
            </w:pPr>
            <w:r w:rsidRPr="00CC69EC">
              <w:rPr>
                <w:color w:val="000000"/>
              </w:rPr>
              <w:t>169</w:t>
            </w:r>
            <w:r w:rsidRPr="00CC69EC">
              <w:rPr>
                <w:color w:val="000000"/>
                <w:vertAlign w:val="superscript"/>
              </w:rPr>
              <w:t>d</w:t>
            </w:r>
          </w:p>
          <w:p w14:paraId="624E2E8A" w14:textId="77777777" w:rsidR="00564D9B" w:rsidRPr="00CC69EC" w:rsidRDefault="00564D9B" w:rsidP="00F75370">
            <w:pPr>
              <w:ind w:left="0" w:firstLine="0"/>
              <w:jc w:val="center"/>
              <w:rPr>
                <w:color w:val="000000"/>
              </w:rPr>
            </w:pPr>
            <w:r w:rsidRPr="00CC69EC">
              <w:rPr>
                <w:color w:val="000000"/>
              </w:rPr>
              <w:t>[105, 191]</w:t>
            </w:r>
          </w:p>
        </w:tc>
        <w:tc>
          <w:tcPr>
            <w:tcW w:w="527" w:type="pct"/>
            <w:hideMark/>
          </w:tcPr>
          <w:p w14:paraId="6C5C3DD2" w14:textId="77777777" w:rsidR="00564D9B" w:rsidRPr="00CC69EC" w:rsidRDefault="00564D9B" w:rsidP="00F75370">
            <w:pPr>
              <w:jc w:val="center"/>
              <w:rPr>
                <w:color w:val="000000"/>
              </w:rPr>
            </w:pPr>
            <w:r w:rsidRPr="00CC69EC">
              <w:rPr>
                <w:color w:val="000000"/>
              </w:rPr>
              <w:t>148</w:t>
            </w:r>
            <w:r w:rsidRPr="00CC69EC">
              <w:rPr>
                <w:color w:val="000000"/>
                <w:vertAlign w:val="superscript"/>
              </w:rPr>
              <w:t>b</w:t>
            </w:r>
          </w:p>
          <w:p w14:paraId="29BC8B64" w14:textId="77777777" w:rsidR="00564D9B" w:rsidRPr="00CC69EC" w:rsidRDefault="00564D9B" w:rsidP="00F75370">
            <w:pPr>
              <w:ind w:left="25" w:hanging="25"/>
              <w:jc w:val="center"/>
              <w:rPr>
                <w:color w:val="000000"/>
              </w:rPr>
            </w:pPr>
            <w:r w:rsidRPr="00CC69EC">
              <w:rPr>
                <w:color w:val="000000"/>
              </w:rPr>
              <w:t>[129, 192]</w:t>
            </w:r>
          </w:p>
        </w:tc>
        <w:tc>
          <w:tcPr>
            <w:tcW w:w="527" w:type="pct"/>
            <w:hideMark/>
          </w:tcPr>
          <w:p w14:paraId="413C3699" w14:textId="77777777" w:rsidR="00564D9B" w:rsidRPr="00CC69EC" w:rsidRDefault="00564D9B" w:rsidP="00F75370">
            <w:pPr>
              <w:jc w:val="center"/>
              <w:rPr>
                <w:color w:val="000000"/>
              </w:rPr>
            </w:pPr>
            <w:r w:rsidRPr="00CC69EC">
              <w:rPr>
                <w:color w:val="000000"/>
              </w:rPr>
              <w:t>87</w:t>
            </w:r>
            <w:r w:rsidRPr="00CC69EC">
              <w:rPr>
                <w:color w:val="000000"/>
                <w:vertAlign w:val="superscript"/>
              </w:rPr>
              <w:t>b</w:t>
            </w:r>
          </w:p>
          <w:p w14:paraId="3E07590F" w14:textId="77777777" w:rsidR="00564D9B" w:rsidRPr="00CC69EC" w:rsidRDefault="00564D9B" w:rsidP="00F75370">
            <w:pPr>
              <w:jc w:val="center"/>
              <w:rPr>
                <w:color w:val="000000"/>
              </w:rPr>
            </w:pPr>
            <w:r w:rsidRPr="00CC69EC">
              <w:rPr>
                <w:color w:val="000000"/>
              </w:rPr>
              <w:t>[84, 107]</w:t>
            </w:r>
          </w:p>
        </w:tc>
        <w:tc>
          <w:tcPr>
            <w:tcW w:w="1066" w:type="pct"/>
            <w:hideMark/>
          </w:tcPr>
          <w:p w14:paraId="3AF0673F" w14:textId="77777777" w:rsidR="00564D9B" w:rsidRPr="00CC69EC" w:rsidRDefault="00564D9B" w:rsidP="00F75370">
            <w:pPr>
              <w:jc w:val="center"/>
              <w:rPr>
                <w:color w:val="000000"/>
              </w:rPr>
            </w:pPr>
            <w:r w:rsidRPr="00CC69EC">
              <w:rPr>
                <w:color w:val="000000"/>
              </w:rPr>
              <w:t>210</w:t>
            </w:r>
          </w:p>
          <w:p w14:paraId="33B5AAB6" w14:textId="77777777" w:rsidR="00564D9B" w:rsidRPr="00CC69EC" w:rsidRDefault="00564D9B" w:rsidP="00F75370">
            <w:pPr>
              <w:jc w:val="center"/>
              <w:rPr>
                <w:color w:val="000000"/>
              </w:rPr>
            </w:pPr>
            <w:r w:rsidRPr="00CC69EC">
              <w:rPr>
                <w:color w:val="000000"/>
              </w:rPr>
              <w:t>[154, 281]</w:t>
            </w:r>
          </w:p>
        </w:tc>
      </w:tr>
      <w:tr w:rsidR="00564D9B" w:rsidRPr="00CC69EC" w14:paraId="3AC1A752" w14:textId="77777777" w:rsidTr="00E110FB">
        <w:trPr>
          <w:tblCellSpacing w:w="0" w:type="dxa"/>
        </w:trPr>
        <w:tc>
          <w:tcPr>
            <w:tcW w:w="809" w:type="pct"/>
            <w:hideMark/>
          </w:tcPr>
          <w:p w14:paraId="7C01BFFB"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1 rok prežívania, %</w:t>
            </w:r>
          </w:p>
          <w:p w14:paraId="6A2F0A6D" w14:textId="06094E38" w:rsidR="00564D9B" w:rsidRPr="00CC69EC" w:rsidRDefault="00564D9B" w:rsidP="00F75370">
            <w:pPr>
              <w:rPr>
                <w:color w:val="000000"/>
              </w:rPr>
            </w:pPr>
            <w:r w:rsidRPr="00CC69EC">
              <w:rPr>
                <w:rFonts w:eastAsia="TimesNewRoman"/>
                <w:szCs w:val="22"/>
                <w:lang w:eastAsia="en-US"/>
              </w:rPr>
              <w:t>[95 % I</w:t>
            </w:r>
            <w:r w:rsidR="004109BE">
              <w:rPr>
                <w:rFonts w:eastAsia="TimesNewRoman"/>
                <w:szCs w:val="22"/>
                <w:lang w:eastAsia="en-US"/>
              </w:rPr>
              <w:t>S</w:t>
            </w:r>
            <w:r w:rsidRPr="00CC69EC">
              <w:rPr>
                <w:rFonts w:eastAsia="TimesNewRoman"/>
                <w:szCs w:val="22"/>
                <w:lang w:eastAsia="en-US"/>
              </w:rPr>
              <w:t>]</w:t>
            </w:r>
          </w:p>
        </w:tc>
        <w:tc>
          <w:tcPr>
            <w:tcW w:w="538" w:type="pct"/>
            <w:hideMark/>
          </w:tcPr>
          <w:p w14:paraId="29AFD662" w14:textId="77777777" w:rsidR="00564D9B" w:rsidRPr="00CC69EC" w:rsidRDefault="00564D9B" w:rsidP="00F75370">
            <w:pPr>
              <w:jc w:val="center"/>
              <w:rPr>
                <w:color w:val="000000"/>
              </w:rPr>
            </w:pPr>
            <w:r w:rsidRPr="00CC69EC">
              <w:rPr>
                <w:color w:val="000000"/>
              </w:rPr>
              <w:t>80</w:t>
            </w:r>
            <w:r w:rsidRPr="00CC69EC">
              <w:rPr>
                <w:color w:val="000000"/>
                <w:vertAlign w:val="superscript"/>
              </w:rPr>
              <w:t>d</w:t>
            </w:r>
          </w:p>
          <w:p w14:paraId="59C03ED3" w14:textId="77777777" w:rsidR="00564D9B" w:rsidRPr="00CC69EC" w:rsidRDefault="00564D9B" w:rsidP="00F75370">
            <w:pPr>
              <w:jc w:val="center"/>
              <w:rPr>
                <w:color w:val="000000"/>
              </w:rPr>
            </w:pPr>
            <w:r w:rsidRPr="00CC69EC">
              <w:rPr>
                <w:color w:val="000000"/>
              </w:rPr>
              <w:t>[74,85]</w:t>
            </w:r>
          </w:p>
        </w:tc>
        <w:tc>
          <w:tcPr>
            <w:tcW w:w="546" w:type="pct"/>
            <w:hideMark/>
          </w:tcPr>
          <w:p w14:paraId="3F36FA98" w14:textId="77777777" w:rsidR="00564D9B" w:rsidRPr="00CC69EC" w:rsidRDefault="00564D9B" w:rsidP="00F75370">
            <w:pPr>
              <w:jc w:val="center"/>
              <w:rPr>
                <w:color w:val="000000"/>
              </w:rPr>
            </w:pPr>
            <w:r w:rsidRPr="00CC69EC">
              <w:rPr>
                <w:color w:val="000000"/>
              </w:rPr>
              <w:t>66</w:t>
            </w:r>
            <w:r w:rsidRPr="00CC69EC">
              <w:rPr>
                <w:color w:val="000000"/>
                <w:vertAlign w:val="superscript"/>
              </w:rPr>
              <w:t>d</w:t>
            </w:r>
          </w:p>
          <w:p w14:paraId="3B38802C" w14:textId="77777777" w:rsidR="00564D9B" w:rsidRPr="00CC69EC" w:rsidRDefault="00564D9B" w:rsidP="00F75370">
            <w:pPr>
              <w:jc w:val="center"/>
              <w:rPr>
                <w:color w:val="000000"/>
              </w:rPr>
            </w:pPr>
            <w:r w:rsidRPr="00CC69EC">
              <w:rPr>
                <w:color w:val="000000"/>
              </w:rPr>
              <w:t>[59,72]</w:t>
            </w:r>
          </w:p>
        </w:tc>
        <w:tc>
          <w:tcPr>
            <w:tcW w:w="493" w:type="pct"/>
            <w:hideMark/>
          </w:tcPr>
          <w:p w14:paraId="0199E17E" w14:textId="77777777" w:rsidR="00564D9B" w:rsidRPr="00CC69EC" w:rsidRDefault="00564D9B" w:rsidP="00F75370">
            <w:pPr>
              <w:jc w:val="center"/>
              <w:rPr>
                <w:color w:val="000000"/>
              </w:rPr>
            </w:pPr>
            <w:r w:rsidRPr="00CC69EC">
              <w:rPr>
                <w:color w:val="000000"/>
              </w:rPr>
              <w:t>89</w:t>
            </w:r>
            <w:r w:rsidRPr="00CC69EC">
              <w:rPr>
                <w:color w:val="000000"/>
                <w:vertAlign w:val="superscript"/>
              </w:rPr>
              <w:t>d</w:t>
            </w:r>
          </w:p>
          <w:p w14:paraId="076C5985" w14:textId="77777777" w:rsidR="00564D9B" w:rsidRPr="00CC69EC" w:rsidRDefault="00564D9B" w:rsidP="00F75370">
            <w:pPr>
              <w:jc w:val="center"/>
              <w:rPr>
                <w:color w:val="000000"/>
              </w:rPr>
            </w:pPr>
            <w:r w:rsidRPr="00CC69EC">
              <w:rPr>
                <w:color w:val="000000"/>
              </w:rPr>
              <w:t>[82,95]</w:t>
            </w:r>
          </w:p>
        </w:tc>
        <w:tc>
          <w:tcPr>
            <w:tcW w:w="494" w:type="pct"/>
            <w:hideMark/>
          </w:tcPr>
          <w:p w14:paraId="62B30660" w14:textId="77777777" w:rsidR="00564D9B" w:rsidRPr="00CC69EC" w:rsidRDefault="00564D9B" w:rsidP="00F75370">
            <w:pPr>
              <w:jc w:val="center"/>
              <w:rPr>
                <w:color w:val="000000"/>
              </w:rPr>
            </w:pPr>
            <w:r w:rsidRPr="00CC69EC">
              <w:rPr>
                <w:color w:val="000000"/>
              </w:rPr>
              <w:t>72</w:t>
            </w:r>
            <w:r w:rsidRPr="00CC69EC">
              <w:rPr>
                <w:color w:val="000000"/>
                <w:vertAlign w:val="superscript"/>
              </w:rPr>
              <w:t>d</w:t>
            </w:r>
          </w:p>
          <w:p w14:paraId="09088C06" w14:textId="77777777" w:rsidR="00564D9B" w:rsidRPr="00CC69EC" w:rsidRDefault="00564D9B" w:rsidP="00F75370">
            <w:pPr>
              <w:jc w:val="center"/>
              <w:rPr>
                <w:color w:val="000000"/>
              </w:rPr>
            </w:pPr>
            <w:r w:rsidRPr="00CC69EC">
              <w:rPr>
                <w:color w:val="000000"/>
              </w:rPr>
              <w:t>[62,83]</w:t>
            </w:r>
          </w:p>
        </w:tc>
        <w:tc>
          <w:tcPr>
            <w:tcW w:w="527" w:type="pct"/>
            <w:hideMark/>
          </w:tcPr>
          <w:p w14:paraId="27F076A2" w14:textId="77777777" w:rsidR="00564D9B" w:rsidRPr="00CC69EC" w:rsidRDefault="00564D9B" w:rsidP="00F75370">
            <w:pPr>
              <w:jc w:val="center"/>
              <w:rPr>
                <w:color w:val="000000"/>
              </w:rPr>
            </w:pPr>
            <w:r w:rsidRPr="00CC69EC">
              <w:rPr>
                <w:color w:val="000000"/>
              </w:rPr>
              <w:t>73</w:t>
            </w:r>
          </w:p>
          <w:p w14:paraId="4F03DE05" w14:textId="77777777" w:rsidR="00564D9B" w:rsidRPr="00CC69EC" w:rsidRDefault="00564D9B" w:rsidP="00F75370">
            <w:pPr>
              <w:jc w:val="center"/>
              <w:rPr>
                <w:color w:val="000000"/>
              </w:rPr>
            </w:pPr>
            <w:r w:rsidRPr="00CC69EC">
              <w:rPr>
                <w:color w:val="000000"/>
              </w:rPr>
              <w:t>[64,82]</w:t>
            </w:r>
          </w:p>
        </w:tc>
        <w:tc>
          <w:tcPr>
            <w:tcW w:w="527" w:type="pct"/>
            <w:hideMark/>
          </w:tcPr>
          <w:p w14:paraId="6269565B" w14:textId="77777777" w:rsidR="00564D9B" w:rsidRPr="00CC69EC" w:rsidRDefault="00564D9B" w:rsidP="00F75370">
            <w:pPr>
              <w:jc w:val="center"/>
              <w:rPr>
                <w:color w:val="000000"/>
              </w:rPr>
            </w:pPr>
            <w:r w:rsidRPr="00CC69EC">
              <w:rPr>
                <w:color w:val="000000"/>
              </w:rPr>
              <w:t>62</w:t>
            </w:r>
          </w:p>
          <w:p w14:paraId="7E22DA84" w14:textId="77777777" w:rsidR="00564D9B" w:rsidRPr="00CC69EC" w:rsidRDefault="00564D9B" w:rsidP="00F75370">
            <w:pPr>
              <w:jc w:val="center"/>
              <w:rPr>
                <w:color w:val="000000"/>
              </w:rPr>
            </w:pPr>
            <w:r w:rsidRPr="00CC69EC">
              <w:rPr>
                <w:color w:val="000000"/>
              </w:rPr>
              <w:t>[53,71]</w:t>
            </w:r>
          </w:p>
        </w:tc>
        <w:tc>
          <w:tcPr>
            <w:tcW w:w="1066" w:type="pct"/>
            <w:hideMark/>
          </w:tcPr>
          <w:p w14:paraId="1A25E4A7" w14:textId="77777777" w:rsidR="00564D9B" w:rsidRPr="00CC69EC" w:rsidRDefault="00564D9B" w:rsidP="00F75370">
            <w:pPr>
              <w:jc w:val="center"/>
              <w:rPr>
                <w:color w:val="000000"/>
              </w:rPr>
            </w:pPr>
            <w:r w:rsidRPr="00CC69EC">
              <w:rPr>
                <w:color w:val="000000"/>
              </w:rPr>
              <w:t>60</w:t>
            </w:r>
          </w:p>
        </w:tc>
      </w:tr>
      <w:tr w:rsidR="00564D9B" w:rsidRPr="00CC69EC" w14:paraId="26C109BD" w14:textId="77777777" w:rsidTr="00E110FB">
        <w:trPr>
          <w:tblCellSpacing w:w="0" w:type="dxa"/>
        </w:trPr>
        <w:tc>
          <w:tcPr>
            <w:tcW w:w="809" w:type="pct"/>
            <w:hideMark/>
          </w:tcPr>
          <w:p w14:paraId="323CC7A9" w14:textId="77777777" w:rsidR="00564D9B" w:rsidRPr="00CC69EC" w:rsidRDefault="00564D9B" w:rsidP="00F75370">
            <w:pPr>
              <w:ind w:left="0" w:firstLine="0"/>
              <w:rPr>
                <w:color w:val="000000"/>
              </w:rPr>
            </w:pPr>
            <w:r w:rsidRPr="00CC69EC">
              <w:rPr>
                <w:b/>
                <w:bCs/>
                <w:color w:val="000000"/>
              </w:rPr>
              <w:t>Najlepšia odpoveď (%)</w:t>
            </w:r>
          </w:p>
        </w:tc>
        <w:tc>
          <w:tcPr>
            <w:tcW w:w="538" w:type="pct"/>
            <w:hideMark/>
          </w:tcPr>
          <w:p w14:paraId="60C47430" w14:textId="77777777" w:rsidR="00564D9B" w:rsidRPr="00CC69EC" w:rsidRDefault="00564D9B" w:rsidP="00F75370">
            <w:pPr>
              <w:jc w:val="center"/>
              <w:rPr>
                <w:color w:val="000000"/>
              </w:rPr>
            </w:pPr>
            <w:r w:rsidRPr="00CC69EC">
              <w:rPr>
                <w:b/>
                <w:bCs/>
                <w:color w:val="000000"/>
              </w:rPr>
              <w:t>B</w:t>
            </w:r>
          </w:p>
          <w:p w14:paraId="6BAA2E73" w14:textId="77777777" w:rsidR="00564D9B" w:rsidRPr="00CC69EC" w:rsidRDefault="00564D9B" w:rsidP="00F75370">
            <w:pPr>
              <w:jc w:val="center"/>
              <w:rPr>
                <w:color w:val="000000"/>
              </w:rPr>
            </w:pPr>
            <w:r w:rsidRPr="00CC69EC">
              <w:rPr>
                <w:b/>
                <w:bCs/>
                <w:color w:val="000000"/>
              </w:rPr>
              <w:t>n = 315</w:t>
            </w:r>
            <w:r w:rsidRPr="00CC69EC">
              <w:rPr>
                <w:color w:val="000000"/>
                <w:vertAlign w:val="superscript"/>
              </w:rPr>
              <w:t>c</w:t>
            </w:r>
          </w:p>
        </w:tc>
        <w:tc>
          <w:tcPr>
            <w:tcW w:w="546" w:type="pct"/>
            <w:hideMark/>
          </w:tcPr>
          <w:p w14:paraId="7AC4E9E2" w14:textId="77777777" w:rsidR="00564D9B" w:rsidRPr="00CC69EC" w:rsidRDefault="00564D9B" w:rsidP="00F75370">
            <w:pPr>
              <w:jc w:val="center"/>
              <w:rPr>
                <w:color w:val="000000"/>
              </w:rPr>
            </w:pPr>
            <w:r w:rsidRPr="00CC69EC">
              <w:rPr>
                <w:b/>
                <w:bCs/>
                <w:color w:val="000000"/>
              </w:rPr>
              <w:t>Dex</w:t>
            </w:r>
          </w:p>
          <w:p w14:paraId="6F4D89E5" w14:textId="77777777" w:rsidR="00564D9B" w:rsidRPr="00CC69EC" w:rsidRDefault="00564D9B" w:rsidP="00F75370">
            <w:pPr>
              <w:jc w:val="center"/>
              <w:rPr>
                <w:color w:val="000000"/>
              </w:rPr>
            </w:pPr>
            <w:r w:rsidRPr="00CC69EC">
              <w:rPr>
                <w:b/>
                <w:bCs/>
                <w:color w:val="000000"/>
              </w:rPr>
              <w:t>n = 312</w:t>
            </w:r>
            <w:r w:rsidRPr="00CC69EC">
              <w:rPr>
                <w:color w:val="000000"/>
                <w:vertAlign w:val="superscript"/>
              </w:rPr>
              <w:t>c</w:t>
            </w:r>
          </w:p>
        </w:tc>
        <w:tc>
          <w:tcPr>
            <w:tcW w:w="493" w:type="pct"/>
            <w:hideMark/>
          </w:tcPr>
          <w:p w14:paraId="0CB00DB5" w14:textId="77777777" w:rsidR="00564D9B" w:rsidRPr="00CC69EC" w:rsidRDefault="00564D9B" w:rsidP="00F75370">
            <w:pPr>
              <w:jc w:val="center"/>
              <w:rPr>
                <w:color w:val="000000"/>
              </w:rPr>
            </w:pPr>
            <w:r w:rsidRPr="00CC69EC">
              <w:rPr>
                <w:b/>
                <w:bCs/>
                <w:color w:val="000000"/>
              </w:rPr>
              <w:t>B</w:t>
            </w:r>
          </w:p>
          <w:p w14:paraId="590A8170" w14:textId="77777777" w:rsidR="00564D9B" w:rsidRPr="00CC69EC" w:rsidRDefault="00564D9B" w:rsidP="00F75370">
            <w:pPr>
              <w:jc w:val="center"/>
              <w:rPr>
                <w:color w:val="000000"/>
              </w:rPr>
            </w:pPr>
            <w:r w:rsidRPr="00CC69EC">
              <w:rPr>
                <w:b/>
                <w:bCs/>
                <w:color w:val="000000"/>
              </w:rPr>
              <w:t>n = 128</w:t>
            </w:r>
          </w:p>
        </w:tc>
        <w:tc>
          <w:tcPr>
            <w:tcW w:w="494" w:type="pct"/>
            <w:hideMark/>
          </w:tcPr>
          <w:p w14:paraId="031497BB" w14:textId="77777777" w:rsidR="00564D9B" w:rsidRPr="00CC69EC" w:rsidRDefault="00564D9B" w:rsidP="00F75370">
            <w:pPr>
              <w:jc w:val="center"/>
              <w:rPr>
                <w:color w:val="000000"/>
              </w:rPr>
            </w:pPr>
            <w:r w:rsidRPr="00CC69EC">
              <w:rPr>
                <w:b/>
                <w:bCs/>
                <w:color w:val="000000"/>
              </w:rPr>
              <w:t>Dex</w:t>
            </w:r>
          </w:p>
          <w:p w14:paraId="480DA5F1" w14:textId="77777777" w:rsidR="00564D9B" w:rsidRPr="00CC69EC" w:rsidRDefault="00564D9B" w:rsidP="00F75370">
            <w:pPr>
              <w:jc w:val="center"/>
              <w:rPr>
                <w:color w:val="000000"/>
              </w:rPr>
            </w:pPr>
            <w:r w:rsidRPr="00CC69EC">
              <w:rPr>
                <w:b/>
                <w:bCs/>
                <w:color w:val="000000"/>
              </w:rPr>
              <w:t>n = 110</w:t>
            </w:r>
          </w:p>
        </w:tc>
        <w:tc>
          <w:tcPr>
            <w:tcW w:w="527" w:type="pct"/>
            <w:hideMark/>
          </w:tcPr>
          <w:p w14:paraId="4EA3F38E" w14:textId="77777777" w:rsidR="00564D9B" w:rsidRPr="00CC69EC" w:rsidRDefault="00564D9B" w:rsidP="00F75370">
            <w:pPr>
              <w:jc w:val="center"/>
              <w:rPr>
                <w:color w:val="000000"/>
              </w:rPr>
            </w:pPr>
            <w:r w:rsidRPr="00CC69EC">
              <w:rPr>
                <w:b/>
                <w:bCs/>
                <w:color w:val="000000"/>
              </w:rPr>
              <w:t>B</w:t>
            </w:r>
          </w:p>
          <w:p w14:paraId="02C379BD" w14:textId="77777777" w:rsidR="00564D9B" w:rsidRPr="00CC69EC" w:rsidRDefault="00564D9B" w:rsidP="00F75370">
            <w:pPr>
              <w:jc w:val="center"/>
              <w:rPr>
                <w:color w:val="000000"/>
              </w:rPr>
            </w:pPr>
            <w:r w:rsidRPr="00CC69EC">
              <w:rPr>
                <w:b/>
                <w:bCs/>
                <w:color w:val="000000"/>
              </w:rPr>
              <w:t>n = 187</w:t>
            </w:r>
          </w:p>
        </w:tc>
        <w:tc>
          <w:tcPr>
            <w:tcW w:w="527" w:type="pct"/>
            <w:hideMark/>
          </w:tcPr>
          <w:p w14:paraId="2021F166" w14:textId="77777777" w:rsidR="00564D9B" w:rsidRPr="00CC69EC" w:rsidRDefault="00564D9B" w:rsidP="00F75370">
            <w:pPr>
              <w:jc w:val="center"/>
              <w:rPr>
                <w:color w:val="000000"/>
              </w:rPr>
            </w:pPr>
            <w:r w:rsidRPr="00CC69EC">
              <w:rPr>
                <w:b/>
                <w:bCs/>
                <w:color w:val="000000"/>
              </w:rPr>
              <w:t>Dex</w:t>
            </w:r>
          </w:p>
          <w:p w14:paraId="51369033" w14:textId="77777777" w:rsidR="00564D9B" w:rsidRPr="00CC69EC" w:rsidRDefault="00564D9B" w:rsidP="00F75370">
            <w:pPr>
              <w:jc w:val="center"/>
              <w:rPr>
                <w:color w:val="000000"/>
              </w:rPr>
            </w:pPr>
            <w:r w:rsidRPr="00CC69EC">
              <w:rPr>
                <w:b/>
                <w:bCs/>
                <w:color w:val="000000"/>
              </w:rPr>
              <w:t>n = 202</w:t>
            </w:r>
          </w:p>
        </w:tc>
        <w:tc>
          <w:tcPr>
            <w:tcW w:w="1066" w:type="pct"/>
            <w:hideMark/>
          </w:tcPr>
          <w:p w14:paraId="3546E392" w14:textId="77777777" w:rsidR="00564D9B" w:rsidRPr="00CC69EC" w:rsidRDefault="00564D9B" w:rsidP="00F75370">
            <w:pPr>
              <w:jc w:val="center"/>
              <w:rPr>
                <w:color w:val="000000"/>
              </w:rPr>
            </w:pPr>
            <w:r w:rsidRPr="00CC69EC">
              <w:rPr>
                <w:b/>
                <w:bCs/>
                <w:color w:val="000000"/>
              </w:rPr>
              <w:t>B</w:t>
            </w:r>
          </w:p>
          <w:p w14:paraId="7B953938" w14:textId="77777777" w:rsidR="00564D9B" w:rsidRPr="00CC69EC" w:rsidRDefault="00564D9B" w:rsidP="00F75370">
            <w:pPr>
              <w:jc w:val="center"/>
              <w:rPr>
                <w:color w:val="000000"/>
              </w:rPr>
            </w:pPr>
            <w:r w:rsidRPr="00CC69EC">
              <w:rPr>
                <w:b/>
                <w:bCs/>
                <w:color w:val="000000"/>
              </w:rPr>
              <w:t>n = 193</w:t>
            </w:r>
          </w:p>
        </w:tc>
      </w:tr>
      <w:tr w:rsidR="00564D9B" w:rsidRPr="00CC69EC" w14:paraId="216D65BA" w14:textId="77777777" w:rsidTr="00E110FB">
        <w:trPr>
          <w:tblCellSpacing w:w="0" w:type="dxa"/>
        </w:trPr>
        <w:tc>
          <w:tcPr>
            <w:tcW w:w="809" w:type="pct"/>
            <w:hideMark/>
          </w:tcPr>
          <w:p w14:paraId="569F5CD1" w14:textId="77777777" w:rsidR="00564D9B" w:rsidRPr="00CC69EC" w:rsidRDefault="00564D9B" w:rsidP="00F75370">
            <w:pPr>
              <w:rPr>
                <w:color w:val="000000"/>
              </w:rPr>
            </w:pPr>
            <w:r w:rsidRPr="00CC69EC">
              <w:rPr>
                <w:color w:val="000000"/>
              </w:rPr>
              <w:t xml:space="preserve">CR </w:t>
            </w:r>
          </w:p>
        </w:tc>
        <w:tc>
          <w:tcPr>
            <w:tcW w:w="538" w:type="pct"/>
            <w:hideMark/>
          </w:tcPr>
          <w:p w14:paraId="3AB8B0DE" w14:textId="77777777" w:rsidR="00564D9B" w:rsidRPr="00CC69EC" w:rsidRDefault="00564D9B" w:rsidP="00F75370">
            <w:pPr>
              <w:rPr>
                <w:color w:val="000000"/>
              </w:rPr>
            </w:pPr>
            <w:r w:rsidRPr="00CC69EC">
              <w:rPr>
                <w:color w:val="000000"/>
              </w:rPr>
              <w:t>20 (6)</w:t>
            </w:r>
            <w:r w:rsidRPr="00CC69EC">
              <w:rPr>
                <w:color w:val="000000"/>
                <w:vertAlign w:val="superscript"/>
              </w:rPr>
              <w:t>b</w:t>
            </w:r>
          </w:p>
        </w:tc>
        <w:tc>
          <w:tcPr>
            <w:tcW w:w="546" w:type="pct"/>
            <w:hideMark/>
          </w:tcPr>
          <w:p w14:paraId="5A66008D" w14:textId="77777777" w:rsidR="00564D9B" w:rsidRPr="00CC69EC" w:rsidRDefault="00564D9B" w:rsidP="00F75370">
            <w:pPr>
              <w:rPr>
                <w:color w:val="000000"/>
              </w:rPr>
            </w:pPr>
            <w:r w:rsidRPr="00CC69EC">
              <w:rPr>
                <w:color w:val="000000"/>
              </w:rPr>
              <w:t>2 (&lt; 1)</w:t>
            </w:r>
            <w:r w:rsidRPr="00CC69EC">
              <w:rPr>
                <w:color w:val="000000"/>
                <w:vertAlign w:val="superscript"/>
              </w:rPr>
              <w:t>b</w:t>
            </w:r>
          </w:p>
        </w:tc>
        <w:tc>
          <w:tcPr>
            <w:tcW w:w="493" w:type="pct"/>
            <w:hideMark/>
          </w:tcPr>
          <w:p w14:paraId="162FFB24" w14:textId="77777777" w:rsidR="00564D9B" w:rsidRPr="00CC69EC" w:rsidRDefault="00564D9B" w:rsidP="00F75370">
            <w:pPr>
              <w:rPr>
                <w:color w:val="000000"/>
              </w:rPr>
            </w:pPr>
            <w:r w:rsidRPr="00CC69EC">
              <w:rPr>
                <w:color w:val="000000"/>
              </w:rPr>
              <w:t xml:space="preserve">8 (6) </w:t>
            </w:r>
          </w:p>
        </w:tc>
        <w:tc>
          <w:tcPr>
            <w:tcW w:w="494" w:type="pct"/>
            <w:hideMark/>
          </w:tcPr>
          <w:p w14:paraId="49C2465B" w14:textId="77777777" w:rsidR="00564D9B" w:rsidRPr="00CC69EC" w:rsidRDefault="00564D9B" w:rsidP="00F75370">
            <w:pPr>
              <w:rPr>
                <w:color w:val="000000"/>
              </w:rPr>
            </w:pPr>
            <w:r w:rsidRPr="00CC69EC">
              <w:rPr>
                <w:color w:val="000000"/>
              </w:rPr>
              <w:t xml:space="preserve">2 (2) </w:t>
            </w:r>
          </w:p>
        </w:tc>
        <w:tc>
          <w:tcPr>
            <w:tcW w:w="527" w:type="pct"/>
            <w:hideMark/>
          </w:tcPr>
          <w:p w14:paraId="3D11E654" w14:textId="77777777" w:rsidR="00564D9B" w:rsidRPr="00CC69EC" w:rsidRDefault="00564D9B" w:rsidP="00F75370">
            <w:pPr>
              <w:rPr>
                <w:color w:val="000000"/>
              </w:rPr>
            </w:pPr>
            <w:r w:rsidRPr="00CC69EC">
              <w:rPr>
                <w:color w:val="000000"/>
              </w:rPr>
              <w:t xml:space="preserve">12 (6) </w:t>
            </w:r>
          </w:p>
        </w:tc>
        <w:tc>
          <w:tcPr>
            <w:tcW w:w="527" w:type="pct"/>
            <w:hideMark/>
          </w:tcPr>
          <w:p w14:paraId="72BDF31D" w14:textId="77777777" w:rsidR="00564D9B" w:rsidRPr="00CC69EC" w:rsidRDefault="00564D9B" w:rsidP="00F75370">
            <w:pPr>
              <w:rPr>
                <w:color w:val="000000"/>
              </w:rPr>
            </w:pPr>
            <w:r w:rsidRPr="00CC69EC">
              <w:rPr>
                <w:color w:val="000000"/>
              </w:rPr>
              <w:t xml:space="preserve">0 (0) </w:t>
            </w:r>
          </w:p>
        </w:tc>
        <w:tc>
          <w:tcPr>
            <w:tcW w:w="1066" w:type="pct"/>
            <w:hideMark/>
          </w:tcPr>
          <w:p w14:paraId="7C248E20" w14:textId="77777777" w:rsidR="00564D9B" w:rsidRPr="00CC69EC" w:rsidRDefault="00564D9B" w:rsidP="00F75370">
            <w:pPr>
              <w:rPr>
                <w:color w:val="000000"/>
              </w:rPr>
            </w:pPr>
            <w:r w:rsidRPr="00CC69EC">
              <w:rPr>
                <w:color w:val="000000"/>
              </w:rPr>
              <w:t xml:space="preserve">(4)** </w:t>
            </w:r>
          </w:p>
        </w:tc>
      </w:tr>
      <w:tr w:rsidR="00564D9B" w:rsidRPr="00CC69EC" w14:paraId="10E4E82C" w14:textId="77777777" w:rsidTr="00E110FB">
        <w:trPr>
          <w:tblCellSpacing w:w="0" w:type="dxa"/>
        </w:trPr>
        <w:tc>
          <w:tcPr>
            <w:tcW w:w="809" w:type="pct"/>
            <w:hideMark/>
          </w:tcPr>
          <w:p w14:paraId="7CE44D09" w14:textId="77777777" w:rsidR="00564D9B" w:rsidRPr="00CC69EC" w:rsidRDefault="00564D9B" w:rsidP="00F75370">
            <w:pPr>
              <w:rPr>
                <w:color w:val="000000"/>
              </w:rPr>
            </w:pPr>
            <w:r w:rsidRPr="00CC69EC">
              <w:rPr>
                <w:color w:val="000000"/>
              </w:rPr>
              <w:t xml:space="preserve">CR+nCR </w:t>
            </w:r>
          </w:p>
        </w:tc>
        <w:tc>
          <w:tcPr>
            <w:tcW w:w="538" w:type="pct"/>
            <w:hideMark/>
          </w:tcPr>
          <w:p w14:paraId="5D6C4283" w14:textId="77777777" w:rsidR="00564D9B" w:rsidRPr="00CC69EC" w:rsidRDefault="00564D9B" w:rsidP="00F75370">
            <w:pPr>
              <w:ind w:left="0" w:firstLine="0"/>
              <w:rPr>
                <w:color w:val="000000"/>
              </w:rPr>
            </w:pPr>
            <w:r w:rsidRPr="00CC69EC">
              <w:rPr>
                <w:color w:val="000000"/>
              </w:rPr>
              <w:t>41 (13)</w:t>
            </w:r>
            <w:r w:rsidRPr="00CC69EC">
              <w:rPr>
                <w:color w:val="000000"/>
                <w:vertAlign w:val="superscript"/>
              </w:rPr>
              <w:t>b</w:t>
            </w:r>
          </w:p>
        </w:tc>
        <w:tc>
          <w:tcPr>
            <w:tcW w:w="546" w:type="pct"/>
            <w:hideMark/>
          </w:tcPr>
          <w:p w14:paraId="1D407954" w14:textId="77777777" w:rsidR="00564D9B" w:rsidRPr="00CC69EC" w:rsidRDefault="00564D9B" w:rsidP="00F75370">
            <w:pPr>
              <w:rPr>
                <w:color w:val="000000"/>
              </w:rPr>
            </w:pPr>
            <w:r w:rsidRPr="00CC69EC">
              <w:rPr>
                <w:color w:val="000000"/>
              </w:rPr>
              <w:t>5 (2)</w:t>
            </w:r>
            <w:r w:rsidRPr="00CC69EC">
              <w:rPr>
                <w:color w:val="000000"/>
                <w:vertAlign w:val="superscript"/>
              </w:rPr>
              <w:t>b</w:t>
            </w:r>
          </w:p>
        </w:tc>
        <w:tc>
          <w:tcPr>
            <w:tcW w:w="493" w:type="pct"/>
            <w:hideMark/>
          </w:tcPr>
          <w:p w14:paraId="4D7B47E8" w14:textId="77777777" w:rsidR="00564D9B" w:rsidRPr="00CC69EC" w:rsidRDefault="00564D9B" w:rsidP="00F75370">
            <w:pPr>
              <w:rPr>
                <w:color w:val="000000"/>
              </w:rPr>
            </w:pPr>
            <w:r w:rsidRPr="00CC69EC">
              <w:rPr>
                <w:color w:val="000000"/>
              </w:rPr>
              <w:t xml:space="preserve">16 (13) </w:t>
            </w:r>
          </w:p>
        </w:tc>
        <w:tc>
          <w:tcPr>
            <w:tcW w:w="494" w:type="pct"/>
            <w:hideMark/>
          </w:tcPr>
          <w:p w14:paraId="0D82788F" w14:textId="77777777" w:rsidR="00564D9B" w:rsidRPr="00CC69EC" w:rsidRDefault="00564D9B" w:rsidP="00F75370">
            <w:pPr>
              <w:rPr>
                <w:color w:val="000000"/>
              </w:rPr>
            </w:pPr>
            <w:r w:rsidRPr="00CC69EC">
              <w:rPr>
                <w:color w:val="000000"/>
              </w:rPr>
              <w:t xml:space="preserve">4 (4) </w:t>
            </w:r>
          </w:p>
        </w:tc>
        <w:tc>
          <w:tcPr>
            <w:tcW w:w="527" w:type="pct"/>
            <w:hideMark/>
          </w:tcPr>
          <w:p w14:paraId="6157C14A" w14:textId="77777777" w:rsidR="00564D9B" w:rsidRPr="00CC69EC" w:rsidRDefault="00564D9B" w:rsidP="00F75370">
            <w:pPr>
              <w:rPr>
                <w:color w:val="000000"/>
              </w:rPr>
            </w:pPr>
            <w:r w:rsidRPr="00CC69EC">
              <w:rPr>
                <w:color w:val="000000"/>
              </w:rPr>
              <w:t xml:space="preserve">25 (13) </w:t>
            </w:r>
          </w:p>
        </w:tc>
        <w:tc>
          <w:tcPr>
            <w:tcW w:w="527" w:type="pct"/>
            <w:hideMark/>
          </w:tcPr>
          <w:p w14:paraId="7E9F2EB0" w14:textId="77777777" w:rsidR="00564D9B" w:rsidRPr="00CC69EC" w:rsidRDefault="00564D9B" w:rsidP="00F75370">
            <w:pPr>
              <w:rPr>
                <w:color w:val="000000"/>
              </w:rPr>
            </w:pPr>
            <w:r w:rsidRPr="00CC69EC">
              <w:rPr>
                <w:color w:val="000000"/>
              </w:rPr>
              <w:t xml:space="preserve">1 (&lt; 1) </w:t>
            </w:r>
          </w:p>
        </w:tc>
        <w:tc>
          <w:tcPr>
            <w:tcW w:w="1066" w:type="pct"/>
            <w:hideMark/>
          </w:tcPr>
          <w:p w14:paraId="3BCF0AFA" w14:textId="77777777" w:rsidR="00564D9B" w:rsidRPr="00CC69EC" w:rsidRDefault="00564D9B" w:rsidP="00F75370">
            <w:pPr>
              <w:rPr>
                <w:color w:val="000000"/>
              </w:rPr>
            </w:pPr>
            <w:r w:rsidRPr="00CC69EC">
              <w:rPr>
                <w:color w:val="000000"/>
              </w:rPr>
              <w:t xml:space="preserve">(10)** </w:t>
            </w:r>
          </w:p>
        </w:tc>
      </w:tr>
      <w:tr w:rsidR="00564D9B" w:rsidRPr="00CC69EC" w14:paraId="4ECC56A3" w14:textId="77777777" w:rsidTr="00E110FB">
        <w:trPr>
          <w:tblCellSpacing w:w="0" w:type="dxa"/>
        </w:trPr>
        <w:tc>
          <w:tcPr>
            <w:tcW w:w="809" w:type="pct"/>
            <w:hideMark/>
          </w:tcPr>
          <w:p w14:paraId="38ABA12C" w14:textId="77777777" w:rsidR="00564D9B" w:rsidRPr="00CC69EC" w:rsidRDefault="00564D9B" w:rsidP="00F75370">
            <w:pPr>
              <w:rPr>
                <w:color w:val="000000"/>
              </w:rPr>
            </w:pPr>
            <w:r w:rsidRPr="00CC69EC">
              <w:rPr>
                <w:color w:val="000000"/>
              </w:rPr>
              <w:t xml:space="preserve">CR+nCR+PR </w:t>
            </w:r>
          </w:p>
        </w:tc>
        <w:tc>
          <w:tcPr>
            <w:tcW w:w="538" w:type="pct"/>
            <w:hideMark/>
          </w:tcPr>
          <w:p w14:paraId="2B52EFE0" w14:textId="77777777" w:rsidR="00564D9B" w:rsidRPr="00CC69EC" w:rsidRDefault="00564D9B" w:rsidP="00F75370">
            <w:pPr>
              <w:ind w:left="12" w:hanging="12"/>
              <w:rPr>
                <w:color w:val="000000"/>
              </w:rPr>
            </w:pPr>
            <w:r w:rsidRPr="00CC69EC">
              <w:rPr>
                <w:color w:val="000000"/>
              </w:rPr>
              <w:t>121 (38)</w:t>
            </w:r>
            <w:r w:rsidRPr="00CC69EC">
              <w:rPr>
                <w:color w:val="000000"/>
                <w:vertAlign w:val="superscript"/>
              </w:rPr>
              <w:t>b</w:t>
            </w:r>
          </w:p>
        </w:tc>
        <w:tc>
          <w:tcPr>
            <w:tcW w:w="546" w:type="pct"/>
            <w:hideMark/>
          </w:tcPr>
          <w:p w14:paraId="27C92484" w14:textId="77777777" w:rsidR="00564D9B" w:rsidRPr="00CC69EC" w:rsidRDefault="00564D9B" w:rsidP="00F75370">
            <w:pPr>
              <w:ind w:left="0" w:firstLine="0"/>
              <w:rPr>
                <w:color w:val="000000"/>
              </w:rPr>
            </w:pPr>
            <w:r w:rsidRPr="00CC69EC">
              <w:rPr>
                <w:color w:val="000000"/>
              </w:rPr>
              <w:t>56 (18)</w:t>
            </w:r>
            <w:r w:rsidRPr="00CC69EC">
              <w:rPr>
                <w:color w:val="000000"/>
                <w:vertAlign w:val="superscript"/>
              </w:rPr>
              <w:t>b</w:t>
            </w:r>
          </w:p>
        </w:tc>
        <w:tc>
          <w:tcPr>
            <w:tcW w:w="493" w:type="pct"/>
            <w:hideMark/>
          </w:tcPr>
          <w:p w14:paraId="6A8AA202" w14:textId="77777777" w:rsidR="00564D9B" w:rsidRPr="00CC69EC" w:rsidRDefault="00564D9B" w:rsidP="00F75370">
            <w:pPr>
              <w:rPr>
                <w:color w:val="000000"/>
              </w:rPr>
            </w:pPr>
            <w:r w:rsidRPr="00CC69EC">
              <w:rPr>
                <w:color w:val="000000"/>
              </w:rPr>
              <w:t>57 (45)</w:t>
            </w:r>
            <w:r w:rsidRPr="00CC69EC">
              <w:rPr>
                <w:color w:val="000000"/>
                <w:vertAlign w:val="superscript"/>
              </w:rPr>
              <w:t>d</w:t>
            </w:r>
          </w:p>
        </w:tc>
        <w:tc>
          <w:tcPr>
            <w:tcW w:w="494" w:type="pct"/>
            <w:hideMark/>
          </w:tcPr>
          <w:p w14:paraId="6376208F" w14:textId="77777777" w:rsidR="00564D9B" w:rsidRPr="00CC69EC" w:rsidRDefault="00564D9B" w:rsidP="00F75370">
            <w:pPr>
              <w:rPr>
                <w:color w:val="000000"/>
              </w:rPr>
            </w:pPr>
            <w:r w:rsidRPr="00CC69EC">
              <w:rPr>
                <w:color w:val="000000"/>
              </w:rPr>
              <w:t>29 (26)</w:t>
            </w:r>
            <w:r w:rsidRPr="00CC69EC">
              <w:rPr>
                <w:color w:val="000000"/>
                <w:vertAlign w:val="superscript"/>
              </w:rPr>
              <w:t>d</w:t>
            </w:r>
          </w:p>
        </w:tc>
        <w:tc>
          <w:tcPr>
            <w:tcW w:w="527" w:type="pct"/>
            <w:hideMark/>
          </w:tcPr>
          <w:p w14:paraId="45CBF520" w14:textId="77777777" w:rsidR="00564D9B" w:rsidRPr="00CC69EC" w:rsidRDefault="00564D9B" w:rsidP="00F75370">
            <w:pPr>
              <w:rPr>
                <w:color w:val="000000"/>
              </w:rPr>
            </w:pPr>
            <w:r w:rsidRPr="00CC69EC">
              <w:rPr>
                <w:color w:val="000000"/>
              </w:rPr>
              <w:t>64 (34)</w:t>
            </w:r>
            <w:r w:rsidRPr="00CC69EC">
              <w:rPr>
                <w:color w:val="000000"/>
                <w:vertAlign w:val="superscript"/>
              </w:rPr>
              <w:t>b</w:t>
            </w:r>
          </w:p>
        </w:tc>
        <w:tc>
          <w:tcPr>
            <w:tcW w:w="527" w:type="pct"/>
            <w:hideMark/>
          </w:tcPr>
          <w:p w14:paraId="3C87AB09" w14:textId="77777777" w:rsidR="00564D9B" w:rsidRPr="00CC69EC" w:rsidRDefault="00564D9B" w:rsidP="00F75370">
            <w:pPr>
              <w:rPr>
                <w:color w:val="000000"/>
              </w:rPr>
            </w:pPr>
            <w:r w:rsidRPr="00CC69EC">
              <w:rPr>
                <w:color w:val="000000"/>
              </w:rPr>
              <w:t>27 (13)</w:t>
            </w:r>
            <w:r w:rsidRPr="00CC69EC">
              <w:rPr>
                <w:color w:val="000000"/>
                <w:vertAlign w:val="superscript"/>
              </w:rPr>
              <w:t>b</w:t>
            </w:r>
          </w:p>
        </w:tc>
        <w:tc>
          <w:tcPr>
            <w:tcW w:w="1066" w:type="pct"/>
            <w:hideMark/>
          </w:tcPr>
          <w:p w14:paraId="3BB94D04" w14:textId="77777777" w:rsidR="00564D9B" w:rsidRPr="00CC69EC" w:rsidRDefault="00564D9B" w:rsidP="00F75370">
            <w:pPr>
              <w:rPr>
                <w:color w:val="000000"/>
              </w:rPr>
            </w:pPr>
            <w:r w:rsidRPr="00CC69EC">
              <w:rPr>
                <w:color w:val="000000"/>
              </w:rPr>
              <w:t xml:space="preserve">(27)** </w:t>
            </w:r>
          </w:p>
        </w:tc>
      </w:tr>
      <w:tr w:rsidR="00564D9B" w:rsidRPr="00CC69EC" w14:paraId="22DF381C" w14:textId="77777777" w:rsidTr="00E110FB">
        <w:trPr>
          <w:tblCellSpacing w:w="0" w:type="dxa"/>
        </w:trPr>
        <w:tc>
          <w:tcPr>
            <w:tcW w:w="809" w:type="pct"/>
            <w:hideMark/>
          </w:tcPr>
          <w:p w14:paraId="1024904C" w14:textId="77777777" w:rsidR="00564D9B" w:rsidRPr="00CC69EC" w:rsidRDefault="00564D9B" w:rsidP="00F75370">
            <w:pPr>
              <w:rPr>
                <w:color w:val="000000"/>
              </w:rPr>
            </w:pPr>
            <w:r w:rsidRPr="00CC69EC">
              <w:rPr>
                <w:color w:val="000000"/>
              </w:rPr>
              <w:t xml:space="preserve">CR+nCR+PR+MR </w:t>
            </w:r>
          </w:p>
        </w:tc>
        <w:tc>
          <w:tcPr>
            <w:tcW w:w="538" w:type="pct"/>
            <w:hideMark/>
          </w:tcPr>
          <w:p w14:paraId="65C0685B" w14:textId="77777777" w:rsidR="00564D9B" w:rsidRPr="00CC69EC" w:rsidRDefault="00564D9B" w:rsidP="00F75370">
            <w:pPr>
              <w:ind w:left="12" w:hanging="12"/>
              <w:rPr>
                <w:color w:val="000000"/>
              </w:rPr>
            </w:pPr>
            <w:r w:rsidRPr="00CC69EC">
              <w:rPr>
                <w:color w:val="000000"/>
              </w:rPr>
              <w:t xml:space="preserve">146 (46) </w:t>
            </w:r>
          </w:p>
        </w:tc>
        <w:tc>
          <w:tcPr>
            <w:tcW w:w="546" w:type="pct"/>
            <w:hideMark/>
          </w:tcPr>
          <w:p w14:paraId="21706678" w14:textId="77777777" w:rsidR="00564D9B" w:rsidRPr="00CC69EC" w:rsidRDefault="00564D9B" w:rsidP="00F75370">
            <w:pPr>
              <w:ind w:left="8" w:hanging="8"/>
              <w:rPr>
                <w:color w:val="000000"/>
              </w:rPr>
            </w:pPr>
            <w:r w:rsidRPr="00CC69EC">
              <w:rPr>
                <w:color w:val="000000"/>
              </w:rPr>
              <w:t xml:space="preserve">108 (35) </w:t>
            </w:r>
          </w:p>
        </w:tc>
        <w:tc>
          <w:tcPr>
            <w:tcW w:w="493" w:type="pct"/>
            <w:hideMark/>
          </w:tcPr>
          <w:p w14:paraId="7017C349" w14:textId="77777777" w:rsidR="00564D9B" w:rsidRPr="00CC69EC" w:rsidRDefault="00564D9B" w:rsidP="00F75370">
            <w:pPr>
              <w:rPr>
                <w:color w:val="000000"/>
              </w:rPr>
            </w:pPr>
            <w:r w:rsidRPr="00CC69EC">
              <w:rPr>
                <w:color w:val="000000"/>
              </w:rPr>
              <w:t xml:space="preserve">66 (52) </w:t>
            </w:r>
          </w:p>
        </w:tc>
        <w:tc>
          <w:tcPr>
            <w:tcW w:w="494" w:type="pct"/>
            <w:hideMark/>
          </w:tcPr>
          <w:p w14:paraId="5AABC27A" w14:textId="77777777" w:rsidR="00564D9B" w:rsidRPr="00CC69EC" w:rsidRDefault="00564D9B" w:rsidP="00F75370">
            <w:pPr>
              <w:rPr>
                <w:color w:val="000000"/>
              </w:rPr>
            </w:pPr>
            <w:r w:rsidRPr="00CC69EC">
              <w:rPr>
                <w:color w:val="000000"/>
              </w:rPr>
              <w:t xml:space="preserve">45 (41) </w:t>
            </w:r>
          </w:p>
        </w:tc>
        <w:tc>
          <w:tcPr>
            <w:tcW w:w="527" w:type="pct"/>
            <w:hideMark/>
          </w:tcPr>
          <w:p w14:paraId="0A509F03" w14:textId="77777777" w:rsidR="00564D9B" w:rsidRPr="00CC69EC" w:rsidRDefault="00564D9B" w:rsidP="00F75370">
            <w:pPr>
              <w:rPr>
                <w:color w:val="000000"/>
              </w:rPr>
            </w:pPr>
            <w:r w:rsidRPr="00CC69EC">
              <w:rPr>
                <w:color w:val="000000"/>
              </w:rPr>
              <w:t xml:space="preserve">80 (43) </w:t>
            </w:r>
          </w:p>
        </w:tc>
        <w:tc>
          <w:tcPr>
            <w:tcW w:w="527" w:type="pct"/>
            <w:hideMark/>
          </w:tcPr>
          <w:p w14:paraId="51F0DDA7" w14:textId="77777777" w:rsidR="00564D9B" w:rsidRPr="00CC69EC" w:rsidRDefault="00564D9B" w:rsidP="00F75370">
            <w:pPr>
              <w:rPr>
                <w:color w:val="000000"/>
              </w:rPr>
            </w:pPr>
            <w:r w:rsidRPr="00CC69EC">
              <w:rPr>
                <w:color w:val="000000"/>
              </w:rPr>
              <w:t xml:space="preserve">63 (31) </w:t>
            </w:r>
          </w:p>
        </w:tc>
        <w:tc>
          <w:tcPr>
            <w:tcW w:w="1066" w:type="pct"/>
            <w:hideMark/>
          </w:tcPr>
          <w:p w14:paraId="207425EA" w14:textId="77777777" w:rsidR="00564D9B" w:rsidRPr="00CC69EC" w:rsidRDefault="00564D9B" w:rsidP="00F75370">
            <w:pPr>
              <w:rPr>
                <w:color w:val="000000"/>
              </w:rPr>
            </w:pPr>
            <w:r w:rsidRPr="00CC69EC">
              <w:rPr>
                <w:color w:val="000000"/>
              </w:rPr>
              <w:t xml:space="preserve">(35)** </w:t>
            </w:r>
          </w:p>
        </w:tc>
      </w:tr>
      <w:tr w:rsidR="00564D9B" w:rsidRPr="00CC69EC" w14:paraId="4B9FD9A7" w14:textId="77777777" w:rsidTr="00E110FB">
        <w:trPr>
          <w:tblCellSpacing w:w="0" w:type="dxa"/>
        </w:trPr>
        <w:tc>
          <w:tcPr>
            <w:tcW w:w="809" w:type="pct"/>
            <w:hideMark/>
          </w:tcPr>
          <w:p w14:paraId="68784331" w14:textId="2E0A7FA7" w:rsidR="00564D9B" w:rsidRPr="00CC69EC" w:rsidRDefault="00DC44C0" w:rsidP="00F75370">
            <w:pPr>
              <w:autoSpaceDE w:val="0"/>
              <w:autoSpaceDN w:val="0"/>
              <w:adjustRightInd w:val="0"/>
              <w:ind w:left="0" w:firstLine="0"/>
              <w:rPr>
                <w:rFonts w:eastAsia="TimesNewRoman,Bold"/>
                <w:b/>
                <w:bCs/>
                <w:szCs w:val="22"/>
                <w:lang w:eastAsia="en-US"/>
              </w:rPr>
            </w:pPr>
            <w:r>
              <w:rPr>
                <w:rFonts w:eastAsia="TimesNewRoman,Bold"/>
                <w:b/>
                <w:bCs/>
                <w:szCs w:val="22"/>
                <w:lang w:eastAsia="en-US"/>
              </w:rPr>
              <w:t>Medián</w:t>
            </w:r>
            <w:r w:rsidR="00564D9B" w:rsidRPr="00CC69EC">
              <w:rPr>
                <w:rFonts w:eastAsia="TimesNewRoman,Bold"/>
                <w:b/>
                <w:bCs/>
                <w:szCs w:val="22"/>
                <w:lang w:eastAsia="en-US"/>
              </w:rPr>
              <w:t xml:space="preserve"> trvania</w:t>
            </w:r>
          </w:p>
          <w:p w14:paraId="68B69167" w14:textId="77777777" w:rsidR="00564D9B" w:rsidRPr="00CC69EC" w:rsidRDefault="00564D9B" w:rsidP="00F75370">
            <w:pPr>
              <w:rPr>
                <w:color w:val="000000"/>
                <w:szCs w:val="22"/>
              </w:rPr>
            </w:pPr>
            <w:r w:rsidRPr="00CC69EC">
              <w:rPr>
                <w:rFonts w:eastAsia="TimesNewRoman"/>
                <w:szCs w:val="22"/>
                <w:lang w:eastAsia="en-US"/>
              </w:rPr>
              <w:t>Dni (mesiace)</w:t>
            </w:r>
          </w:p>
        </w:tc>
        <w:tc>
          <w:tcPr>
            <w:tcW w:w="538" w:type="pct"/>
            <w:hideMark/>
          </w:tcPr>
          <w:p w14:paraId="3EF51E1F" w14:textId="77777777" w:rsidR="00564D9B" w:rsidRPr="00CC69EC" w:rsidRDefault="00564D9B" w:rsidP="00F75370">
            <w:pPr>
              <w:ind w:left="12" w:hanging="12"/>
              <w:rPr>
                <w:color w:val="000000"/>
              </w:rPr>
            </w:pPr>
            <w:r w:rsidRPr="00CC69EC">
              <w:rPr>
                <w:color w:val="000000"/>
              </w:rPr>
              <w:t xml:space="preserve">242 (8,0) </w:t>
            </w:r>
          </w:p>
        </w:tc>
        <w:tc>
          <w:tcPr>
            <w:tcW w:w="546" w:type="pct"/>
            <w:hideMark/>
          </w:tcPr>
          <w:p w14:paraId="5C914ED8" w14:textId="77777777" w:rsidR="00564D9B" w:rsidRPr="00CC69EC" w:rsidRDefault="00564D9B" w:rsidP="00F75370">
            <w:pPr>
              <w:ind w:left="0" w:firstLine="0"/>
              <w:rPr>
                <w:color w:val="000000"/>
              </w:rPr>
            </w:pPr>
            <w:r w:rsidRPr="00CC69EC">
              <w:rPr>
                <w:color w:val="000000"/>
              </w:rPr>
              <w:t xml:space="preserve">169 (5,6) </w:t>
            </w:r>
          </w:p>
        </w:tc>
        <w:tc>
          <w:tcPr>
            <w:tcW w:w="493" w:type="pct"/>
            <w:hideMark/>
          </w:tcPr>
          <w:p w14:paraId="4D8AAE87" w14:textId="77777777" w:rsidR="00564D9B" w:rsidRPr="00CC69EC" w:rsidRDefault="00564D9B" w:rsidP="00F75370">
            <w:pPr>
              <w:ind w:left="0" w:firstLine="0"/>
              <w:rPr>
                <w:color w:val="000000"/>
              </w:rPr>
            </w:pPr>
            <w:r w:rsidRPr="00CC69EC">
              <w:rPr>
                <w:color w:val="000000"/>
              </w:rPr>
              <w:t xml:space="preserve">246 (8,1) </w:t>
            </w:r>
          </w:p>
        </w:tc>
        <w:tc>
          <w:tcPr>
            <w:tcW w:w="494" w:type="pct"/>
            <w:hideMark/>
          </w:tcPr>
          <w:p w14:paraId="5C5646C2" w14:textId="77777777" w:rsidR="00564D9B" w:rsidRPr="00CC69EC" w:rsidRDefault="00564D9B" w:rsidP="00F75370">
            <w:pPr>
              <w:ind w:left="0" w:firstLine="0"/>
              <w:rPr>
                <w:color w:val="000000"/>
              </w:rPr>
            </w:pPr>
            <w:r w:rsidRPr="00CC69EC">
              <w:rPr>
                <w:color w:val="000000"/>
              </w:rPr>
              <w:t xml:space="preserve">189 (6,2) </w:t>
            </w:r>
          </w:p>
        </w:tc>
        <w:tc>
          <w:tcPr>
            <w:tcW w:w="527" w:type="pct"/>
            <w:hideMark/>
          </w:tcPr>
          <w:p w14:paraId="74E578E2" w14:textId="77777777" w:rsidR="00564D9B" w:rsidRPr="00CC69EC" w:rsidRDefault="00564D9B" w:rsidP="00F75370">
            <w:pPr>
              <w:rPr>
                <w:color w:val="000000"/>
              </w:rPr>
            </w:pPr>
            <w:r w:rsidRPr="00CC69EC">
              <w:rPr>
                <w:color w:val="000000"/>
              </w:rPr>
              <w:t xml:space="preserve">238 (7,8) </w:t>
            </w:r>
          </w:p>
        </w:tc>
        <w:tc>
          <w:tcPr>
            <w:tcW w:w="527" w:type="pct"/>
            <w:hideMark/>
          </w:tcPr>
          <w:p w14:paraId="225B7256" w14:textId="77777777" w:rsidR="00564D9B" w:rsidRPr="00CC69EC" w:rsidRDefault="00564D9B" w:rsidP="00F75370">
            <w:pPr>
              <w:rPr>
                <w:color w:val="000000"/>
              </w:rPr>
            </w:pPr>
            <w:r w:rsidRPr="00CC69EC">
              <w:rPr>
                <w:color w:val="000000"/>
              </w:rPr>
              <w:t xml:space="preserve">126 (4,1) </w:t>
            </w:r>
          </w:p>
        </w:tc>
        <w:tc>
          <w:tcPr>
            <w:tcW w:w="1066" w:type="pct"/>
            <w:hideMark/>
          </w:tcPr>
          <w:p w14:paraId="293E0703" w14:textId="77777777" w:rsidR="00564D9B" w:rsidRPr="00CC69EC" w:rsidRDefault="00564D9B" w:rsidP="00F75370">
            <w:pPr>
              <w:rPr>
                <w:color w:val="000000"/>
              </w:rPr>
            </w:pPr>
            <w:r w:rsidRPr="00CC69EC">
              <w:rPr>
                <w:color w:val="000000"/>
              </w:rPr>
              <w:t xml:space="preserve">385* </w:t>
            </w:r>
          </w:p>
        </w:tc>
      </w:tr>
      <w:tr w:rsidR="00564D9B" w:rsidRPr="00CC69EC" w14:paraId="7816C4AB" w14:textId="77777777" w:rsidTr="00E110FB">
        <w:trPr>
          <w:tblCellSpacing w:w="0" w:type="dxa"/>
        </w:trPr>
        <w:tc>
          <w:tcPr>
            <w:tcW w:w="809" w:type="pct"/>
            <w:hideMark/>
          </w:tcPr>
          <w:p w14:paraId="4E6DB428" w14:textId="77777777" w:rsidR="00564D9B" w:rsidRPr="00CC69EC" w:rsidRDefault="00564D9B" w:rsidP="00F75370">
            <w:pPr>
              <w:autoSpaceDE w:val="0"/>
              <w:autoSpaceDN w:val="0"/>
              <w:adjustRightInd w:val="0"/>
              <w:ind w:left="0" w:firstLine="0"/>
              <w:rPr>
                <w:rFonts w:eastAsia="TimesNewRoman,Bold"/>
                <w:b/>
                <w:bCs/>
                <w:szCs w:val="22"/>
                <w:lang w:eastAsia="en-US"/>
              </w:rPr>
            </w:pPr>
            <w:r w:rsidRPr="00CC69EC">
              <w:rPr>
                <w:rFonts w:eastAsia="TimesNewRoman,Bold"/>
                <w:b/>
                <w:bCs/>
                <w:szCs w:val="22"/>
                <w:lang w:eastAsia="en-US"/>
              </w:rPr>
              <w:t>Čas do odpovede</w:t>
            </w:r>
          </w:p>
          <w:p w14:paraId="61A55039" w14:textId="77777777" w:rsidR="00564D9B" w:rsidRPr="00CC69EC" w:rsidRDefault="00564D9B" w:rsidP="00F75370">
            <w:pPr>
              <w:rPr>
                <w:color w:val="000000"/>
              </w:rPr>
            </w:pPr>
            <w:r w:rsidRPr="00CC69EC">
              <w:rPr>
                <w:rFonts w:eastAsia="TimesNewRoman"/>
                <w:szCs w:val="22"/>
                <w:lang w:eastAsia="en-US"/>
              </w:rPr>
              <w:t>CR+PR (dni)</w:t>
            </w:r>
          </w:p>
        </w:tc>
        <w:tc>
          <w:tcPr>
            <w:tcW w:w="538" w:type="pct"/>
            <w:hideMark/>
          </w:tcPr>
          <w:p w14:paraId="1E0397EA" w14:textId="77777777" w:rsidR="00564D9B" w:rsidRPr="00CC69EC" w:rsidRDefault="00564D9B" w:rsidP="00F75370">
            <w:pPr>
              <w:rPr>
                <w:color w:val="000000"/>
              </w:rPr>
            </w:pPr>
            <w:r w:rsidRPr="00CC69EC">
              <w:rPr>
                <w:color w:val="000000"/>
              </w:rPr>
              <w:t xml:space="preserve">43 </w:t>
            </w:r>
          </w:p>
        </w:tc>
        <w:tc>
          <w:tcPr>
            <w:tcW w:w="546" w:type="pct"/>
            <w:hideMark/>
          </w:tcPr>
          <w:p w14:paraId="0AE7B37E" w14:textId="77777777" w:rsidR="00564D9B" w:rsidRPr="00CC69EC" w:rsidRDefault="00564D9B" w:rsidP="00F75370">
            <w:pPr>
              <w:rPr>
                <w:color w:val="000000"/>
              </w:rPr>
            </w:pPr>
            <w:r w:rsidRPr="00CC69EC">
              <w:rPr>
                <w:color w:val="000000"/>
              </w:rPr>
              <w:t xml:space="preserve">43 </w:t>
            </w:r>
          </w:p>
        </w:tc>
        <w:tc>
          <w:tcPr>
            <w:tcW w:w="493" w:type="pct"/>
            <w:hideMark/>
          </w:tcPr>
          <w:p w14:paraId="75DDA730" w14:textId="77777777" w:rsidR="00564D9B" w:rsidRPr="00CC69EC" w:rsidRDefault="00564D9B" w:rsidP="00F75370">
            <w:pPr>
              <w:rPr>
                <w:color w:val="000000"/>
              </w:rPr>
            </w:pPr>
            <w:r w:rsidRPr="00CC69EC">
              <w:rPr>
                <w:color w:val="000000"/>
              </w:rPr>
              <w:t xml:space="preserve">44 </w:t>
            </w:r>
          </w:p>
        </w:tc>
        <w:tc>
          <w:tcPr>
            <w:tcW w:w="494" w:type="pct"/>
            <w:hideMark/>
          </w:tcPr>
          <w:p w14:paraId="5363C20A" w14:textId="77777777" w:rsidR="00564D9B" w:rsidRPr="00CC69EC" w:rsidRDefault="00564D9B" w:rsidP="00F75370">
            <w:pPr>
              <w:rPr>
                <w:color w:val="000000"/>
              </w:rPr>
            </w:pPr>
            <w:r w:rsidRPr="00CC69EC">
              <w:rPr>
                <w:color w:val="000000"/>
              </w:rPr>
              <w:t xml:space="preserve">46 </w:t>
            </w:r>
          </w:p>
        </w:tc>
        <w:tc>
          <w:tcPr>
            <w:tcW w:w="527" w:type="pct"/>
            <w:hideMark/>
          </w:tcPr>
          <w:p w14:paraId="3517DF29" w14:textId="77777777" w:rsidR="00564D9B" w:rsidRPr="00CC69EC" w:rsidRDefault="00564D9B" w:rsidP="00F75370">
            <w:pPr>
              <w:rPr>
                <w:color w:val="000000"/>
              </w:rPr>
            </w:pPr>
            <w:r w:rsidRPr="00CC69EC">
              <w:rPr>
                <w:color w:val="000000"/>
              </w:rPr>
              <w:t xml:space="preserve">41 </w:t>
            </w:r>
          </w:p>
        </w:tc>
        <w:tc>
          <w:tcPr>
            <w:tcW w:w="527" w:type="pct"/>
            <w:hideMark/>
          </w:tcPr>
          <w:p w14:paraId="6FD90674" w14:textId="77777777" w:rsidR="00564D9B" w:rsidRPr="00CC69EC" w:rsidRDefault="00564D9B" w:rsidP="00F75370">
            <w:pPr>
              <w:rPr>
                <w:color w:val="000000"/>
              </w:rPr>
            </w:pPr>
            <w:r w:rsidRPr="00CC69EC">
              <w:rPr>
                <w:color w:val="000000"/>
              </w:rPr>
              <w:t xml:space="preserve">27 </w:t>
            </w:r>
          </w:p>
        </w:tc>
        <w:tc>
          <w:tcPr>
            <w:tcW w:w="1066" w:type="pct"/>
            <w:hideMark/>
          </w:tcPr>
          <w:p w14:paraId="73D972D1" w14:textId="77777777" w:rsidR="00564D9B" w:rsidRPr="00CC69EC" w:rsidRDefault="00564D9B" w:rsidP="00F75370">
            <w:pPr>
              <w:rPr>
                <w:color w:val="000000"/>
              </w:rPr>
            </w:pPr>
            <w:r w:rsidRPr="00CC69EC">
              <w:rPr>
                <w:color w:val="000000"/>
              </w:rPr>
              <w:t xml:space="preserve">38* </w:t>
            </w:r>
          </w:p>
        </w:tc>
      </w:tr>
    </w:tbl>
    <w:p w14:paraId="1C83C0FF" w14:textId="3E3D42BC"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a</w:t>
      </w:r>
      <w:r w:rsidRPr="00E110FB">
        <w:rPr>
          <w:rFonts w:eastAsia="TimesNewRoman"/>
          <w:sz w:val="18"/>
          <w:szCs w:val="18"/>
          <w:lang w:eastAsia="en-US"/>
        </w:rPr>
        <w:t xml:space="preserve"> Populácia so zámerom</w:t>
      </w:r>
      <w:r w:rsidR="00DC44C0">
        <w:rPr>
          <w:rFonts w:eastAsia="TimesNewRoman"/>
          <w:sz w:val="18"/>
          <w:szCs w:val="18"/>
          <w:lang w:eastAsia="en-US"/>
        </w:rPr>
        <w:t>liečenia</w:t>
      </w:r>
      <w:r w:rsidRPr="00E110FB">
        <w:rPr>
          <w:rFonts w:eastAsia="TimesNewRoman"/>
          <w:sz w:val="18"/>
          <w:szCs w:val="18"/>
          <w:lang w:eastAsia="en-US"/>
        </w:rPr>
        <w:t xml:space="preserve"> (ITT – z angl. </w:t>
      </w:r>
      <w:r w:rsidR="00DC44C0">
        <w:rPr>
          <w:rFonts w:eastAsia="TimesNewRoman"/>
          <w:sz w:val="18"/>
          <w:szCs w:val="18"/>
          <w:lang w:eastAsia="en-US"/>
        </w:rPr>
        <w:t>I</w:t>
      </w:r>
      <w:r w:rsidRPr="00E110FB">
        <w:rPr>
          <w:rFonts w:eastAsia="TimesNewRoman"/>
          <w:sz w:val="18"/>
          <w:szCs w:val="18"/>
          <w:lang w:eastAsia="en-US"/>
        </w:rPr>
        <w:t>ntent to treat).</w:t>
      </w:r>
    </w:p>
    <w:p w14:paraId="058FA745" w14:textId="4F3600F6"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b</w:t>
      </w:r>
      <w:r w:rsidRPr="00E110FB">
        <w:rPr>
          <w:rFonts w:eastAsia="TimesNewRoman"/>
          <w:sz w:val="18"/>
          <w:szCs w:val="18"/>
          <w:lang w:eastAsia="en-US"/>
        </w:rPr>
        <w:t xml:space="preserve"> p-hodnota z</w:t>
      </w:r>
      <w:r w:rsidR="00DC44C0">
        <w:rPr>
          <w:rFonts w:eastAsia="TimesNewRoman"/>
          <w:sz w:val="18"/>
          <w:szCs w:val="18"/>
          <w:lang w:eastAsia="en-US"/>
        </w:rPr>
        <w:t>o</w:t>
      </w:r>
      <w:r w:rsidRPr="00E110FB">
        <w:rPr>
          <w:rFonts w:eastAsia="TimesNewRoman"/>
          <w:sz w:val="18"/>
          <w:szCs w:val="18"/>
          <w:lang w:eastAsia="en-US"/>
        </w:rPr>
        <w:t xml:space="preserve"> </w:t>
      </w:r>
      <w:r w:rsidR="00DC44C0">
        <w:rPr>
          <w:rFonts w:eastAsia="TimesNewRoman"/>
          <w:sz w:val="18"/>
          <w:szCs w:val="18"/>
          <w:lang w:eastAsia="en-US"/>
        </w:rPr>
        <w:t>stratifikovaného</w:t>
      </w:r>
      <w:r w:rsidR="00DC44C0" w:rsidRPr="00E110FB">
        <w:rPr>
          <w:rFonts w:eastAsia="TimesNewRoman"/>
          <w:sz w:val="18"/>
          <w:szCs w:val="18"/>
          <w:lang w:eastAsia="en-US"/>
        </w:rPr>
        <w:t xml:space="preserve"> </w:t>
      </w:r>
      <w:r w:rsidRPr="00E110FB">
        <w:rPr>
          <w:rFonts w:eastAsia="TimesNewRoman"/>
          <w:sz w:val="18"/>
          <w:szCs w:val="18"/>
          <w:lang w:eastAsia="en-US"/>
        </w:rPr>
        <w:t>log-rank testu; analýza podľa línie liečby s vylúčením stratifikácie podľa predchádzajúcej liečby; p &lt; 0,0001</w:t>
      </w:r>
    </w:p>
    <w:p w14:paraId="7310B11E" w14:textId="65CFAEF6"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c</w:t>
      </w:r>
      <w:r w:rsidRPr="00E110FB">
        <w:rPr>
          <w:rFonts w:eastAsia="TimesNewRoman"/>
          <w:sz w:val="18"/>
          <w:szCs w:val="18"/>
          <w:lang w:eastAsia="en-US"/>
        </w:rPr>
        <w:t xml:space="preserve"> Reagujúca populácia zahŕňajúca pacientov, ktorí mali </w:t>
      </w:r>
      <w:r w:rsidR="003A5A39" w:rsidRPr="003A5A39">
        <w:rPr>
          <w:rFonts w:eastAsia="TimesNewRoman"/>
          <w:sz w:val="18"/>
          <w:szCs w:val="18"/>
          <w:lang w:eastAsia="en-US"/>
        </w:rPr>
        <w:t>preukázané</w:t>
      </w:r>
      <w:r w:rsidR="003A5A39">
        <w:rPr>
          <w:rFonts w:eastAsia="TimesNewRoman"/>
          <w:sz w:val="18"/>
          <w:szCs w:val="18"/>
          <w:lang w:eastAsia="en-US"/>
        </w:rPr>
        <w:t xml:space="preserve"> </w:t>
      </w:r>
      <w:r w:rsidRPr="00E110FB">
        <w:rPr>
          <w:rFonts w:eastAsia="TimesNewRoman"/>
          <w:sz w:val="18"/>
          <w:szCs w:val="18"/>
          <w:lang w:eastAsia="en-US"/>
        </w:rPr>
        <w:t>ochorenie na začiatku liečby a dostali aspoň jednu dávku sledovaného lieku.</w:t>
      </w:r>
    </w:p>
    <w:p w14:paraId="6267CECC" w14:textId="6B780C26"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d</w:t>
      </w:r>
      <w:r w:rsidRPr="00E110FB">
        <w:rPr>
          <w:rFonts w:eastAsia="TimesNewRoman"/>
          <w:sz w:val="18"/>
          <w:szCs w:val="18"/>
          <w:lang w:eastAsia="en-US"/>
        </w:rPr>
        <w:t xml:space="preserve"> p-hodnota z Cochran</w:t>
      </w:r>
      <w:r w:rsidR="00DC44C0">
        <w:rPr>
          <w:rFonts w:eastAsia="TimesNewRoman"/>
          <w:sz w:val="18"/>
          <w:szCs w:val="18"/>
          <w:lang w:eastAsia="en-US"/>
        </w:rPr>
        <w:t>ovho</w:t>
      </w:r>
      <w:r w:rsidRPr="00E110FB">
        <w:rPr>
          <w:rFonts w:eastAsia="TimesNewRoman"/>
          <w:sz w:val="18"/>
          <w:szCs w:val="18"/>
          <w:lang w:eastAsia="en-US"/>
        </w:rPr>
        <w:t>-Mantel</w:t>
      </w:r>
      <w:r w:rsidR="00DC44C0">
        <w:rPr>
          <w:rFonts w:eastAsia="TimesNewRoman"/>
          <w:sz w:val="18"/>
          <w:szCs w:val="18"/>
          <w:lang w:eastAsia="en-US"/>
        </w:rPr>
        <w:t>ovho</w:t>
      </w:r>
      <w:r w:rsidRPr="00E110FB">
        <w:rPr>
          <w:rFonts w:eastAsia="TimesNewRoman"/>
          <w:sz w:val="18"/>
          <w:szCs w:val="18"/>
          <w:lang w:eastAsia="en-US"/>
        </w:rPr>
        <w:t>-Haenszelovho chi-kvadr</w:t>
      </w:r>
      <w:r w:rsidR="00DC44C0">
        <w:rPr>
          <w:rFonts w:eastAsia="TimesNewRoman"/>
          <w:sz w:val="18"/>
          <w:szCs w:val="18"/>
          <w:lang w:eastAsia="en-US"/>
        </w:rPr>
        <w:t>átového</w:t>
      </w:r>
      <w:r w:rsidRPr="00E110FB">
        <w:rPr>
          <w:rFonts w:eastAsia="TimesNewRoman"/>
          <w:sz w:val="18"/>
          <w:szCs w:val="18"/>
          <w:lang w:eastAsia="en-US"/>
        </w:rPr>
        <w:t xml:space="preserve"> testu prispôsobeného pre stratifikačné faktory, analýza podľa línie liečby s vylúčením stratifikácie podľa predchádzajúcej liečby.</w:t>
      </w:r>
    </w:p>
    <w:p w14:paraId="43754E89"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 CR+PR+MR **CR = CR, (IF-); nCR = CR (IF+)</w:t>
      </w:r>
    </w:p>
    <w:p w14:paraId="0652C33A" w14:textId="77770683"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NA = nevzťahuje sa, NE = nehodnot</w:t>
      </w:r>
      <w:r w:rsidR="003A5A39">
        <w:rPr>
          <w:rFonts w:eastAsia="TimesNewRoman"/>
          <w:sz w:val="18"/>
          <w:szCs w:val="18"/>
          <w:lang w:eastAsia="en-US"/>
        </w:rPr>
        <w:t>ené</w:t>
      </w:r>
    </w:p>
    <w:p w14:paraId="3018394D"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TTP - čas do progresie (z angl. Time to Progression)</w:t>
      </w:r>
    </w:p>
    <w:p w14:paraId="2C5AFF6A" w14:textId="71A58952"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I</w:t>
      </w:r>
      <w:r w:rsidR="003A5A39">
        <w:rPr>
          <w:rFonts w:eastAsia="TimesNewRoman"/>
          <w:sz w:val="18"/>
          <w:szCs w:val="18"/>
          <w:lang w:eastAsia="en-US"/>
        </w:rPr>
        <w:t>S</w:t>
      </w:r>
      <w:r w:rsidRPr="00E110FB">
        <w:rPr>
          <w:rFonts w:eastAsia="TimesNewRoman"/>
          <w:sz w:val="18"/>
          <w:szCs w:val="18"/>
          <w:lang w:eastAsia="en-US"/>
        </w:rPr>
        <w:t xml:space="preserve"> = interval spoľahlivosti </w:t>
      </w:r>
    </w:p>
    <w:p w14:paraId="3A054114"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B = bortezomib; Dex = dexametazón</w:t>
      </w:r>
    </w:p>
    <w:p w14:paraId="769E5F40"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CR = kompletná odpoveď (z angl. Complete Response); nCR = takmer kompletná odpoveď (z angl. near Complete response)</w:t>
      </w:r>
    </w:p>
    <w:p w14:paraId="34B902ED" w14:textId="77777777" w:rsidR="00564D9B" w:rsidRPr="00E110FB" w:rsidRDefault="00564D9B" w:rsidP="00564D9B">
      <w:pPr>
        <w:rPr>
          <w:color w:val="000000"/>
          <w:sz w:val="18"/>
          <w:szCs w:val="18"/>
        </w:rPr>
      </w:pPr>
      <w:r w:rsidRPr="00E110FB">
        <w:rPr>
          <w:rFonts w:eastAsia="TimesNewRoman"/>
          <w:sz w:val="18"/>
          <w:szCs w:val="18"/>
          <w:lang w:eastAsia="en-US"/>
        </w:rPr>
        <w:t>PR = čiastočná odpoveď (z angl. Partial Response); MR = minimálna odpoveď (z angl. Minimal response)</w:t>
      </w:r>
    </w:p>
    <w:p w14:paraId="38B20E7F" w14:textId="77777777" w:rsidR="00564D9B" w:rsidRPr="003E5FC8" w:rsidRDefault="00564D9B" w:rsidP="00564D9B">
      <w:pPr>
        <w:ind w:left="0" w:firstLine="0"/>
        <w:rPr>
          <w:rFonts w:eastAsia="TimesNewRoman"/>
          <w:szCs w:val="22"/>
          <w:lang w:eastAsia="en-US"/>
        </w:rPr>
      </w:pPr>
    </w:p>
    <w:p w14:paraId="21E2F428" w14:textId="77777777" w:rsidR="00564D9B" w:rsidRPr="00CC69EC" w:rsidRDefault="00564D9B" w:rsidP="00564D9B">
      <w:pPr>
        <w:autoSpaceDE w:val="0"/>
        <w:autoSpaceDN w:val="0"/>
        <w:adjustRightInd w:val="0"/>
        <w:ind w:left="0" w:firstLine="0"/>
        <w:rPr>
          <w:rFonts w:eastAsia="TimesNewRoman"/>
          <w:color w:val="000000"/>
          <w:szCs w:val="22"/>
          <w:lang w:eastAsia="en-US"/>
        </w:rPr>
      </w:pPr>
      <w:r w:rsidRPr="00CC69EC">
        <w:rPr>
          <w:rFonts w:eastAsia="TimesNewRoman"/>
          <w:color w:val="000000"/>
          <w:szCs w:val="22"/>
          <w:lang w:eastAsia="en-US"/>
        </w:rPr>
        <w:t>Pacienti v štúdii fázy II, ktorí nedosiahli optimálnu odpoveď na liečbu bortezomibom v monoterapii, mohli dostávať vysoké dávky dexametazónu spolu s bortezomibom. Protokol dovoľoval podávať dexametazón pacientom, u ktorých bola nižšia ako optimálna odpoveď na bortezomib v monoterapii.</w:t>
      </w:r>
    </w:p>
    <w:p w14:paraId="6F9BB9BD" w14:textId="6EF022E8" w:rsidR="00564D9B" w:rsidRPr="00CC69EC" w:rsidRDefault="00564D9B" w:rsidP="00564D9B">
      <w:pPr>
        <w:autoSpaceDE w:val="0"/>
        <w:autoSpaceDN w:val="0"/>
        <w:adjustRightInd w:val="0"/>
        <w:ind w:left="0" w:firstLine="0"/>
        <w:rPr>
          <w:rFonts w:eastAsia="TimesNewRoman"/>
          <w:color w:val="000000"/>
          <w:szCs w:val="22"/>
          <w:lang w:eastAsia="en-US"/>
        </w:rPr>
      </w:pPr>
      <w:r w:rsidRPr="00CC69EC">
        <w:rPr>
          <w:rFonts w:eastAsia="TimesNewRoman"/>
          <w:color w:val="000000"/>
          <w:szCs w:val="22"/>
          <w:lang w:eastAsia="en-US"/>
        </w:rPr>
        <w:t>Celkovo sa 74 hodnoteným pacientom podával dexametazón v kombinácii s bortezomibom. U osemnástich percent pacientov sa dosiahla odpoveď alebo sa zlepšila odpoveď [minimálna odpoveď-MR (11 %) alebo parciálna odpoveď-PR (7 %)] pri kombinovanej liečbe.</w:t>
      </w:r>
    </w:p>
    <w:p w14:paraId="3B166FA4" w14:textId="77777777" w:rsidR="00564D9B" w:rsidRPr="00CD3EC9" w:rsidRDefault="00564D9B" w:rsidP="00564D9B">
      <w:pPr>
        <w:rPr>
          <w:i/>
          <w:iCs/>
          <w:color w:val="000000"/>
          <w:szCs w:val="22"/>
        </w:rPr>
      </w:pPr>
    </w:p>
    <w:p w14:paraId="66C5C8A8" w14:textId="77777777" w:rsidR="00564D9B" w:rsidRPr="00CC69EC" w:rsidRDefault="00564D9B" w:rsidP="00564D9B">
      <w:pPr>
        <w:autoSpaceDE w:val="0"/>
        <w:autoSpaceDN w:val="0"/>
        <w:adjustRightInd w:val="0"/>
        <w:ind w:left="0" w:firstLine="0"/>
        <w:rPr>
          <w:rFonts w:eastAsia="TimesNewRoman,Italic"/>
          <w:i/>
          <w:iCs/>
          <w:color w:val="000000"/>
          <w:szCs w:val="22"/>
          <w:lang w:eastAsia="en-US"/>
        </w:rPr>
      </w:pPr>
      <w:r w:rsidRPr="00CC69EC">
        <w:rPr>
          <w:rFonts w:eastAsia="TimesNewRoman,Italic"/>
          <w:i/>
          <w:iCs/>
          <w:color w:val="000000"/>
          <w:szCs w:val="22"/>
          <w:lang w:eastAsia="en-US"/>
        </w:rPr>
        <w:t>Kombinovaná liečba bortezomibom a pegylovaným lipozomálnym doxorubicínom (štúdia DOXIL-MMY-3001)</w:t>
      </w:r>
    </w:p>
    <w:p w14:paraId="4CAFCC51" w14:textId="45271CF8" w:rsidR="00564D9B" w:rsidRPr="00CC69EC" w:rsidRDefault="00564D9B" w:rsidP="00564D9B">
      <w:pPr>
        <w:autoSpaceDE w:val="0"/>
        <w:autoSpaceDN w:val="0"/>
        <w:adjustRightInd w:val="0"/>
        <w:ind w:left="0" w:firstLine="0"/>
        <w:rPr>
          <w:rFonts w:eastAsia="TimesNewRoman"/>
          <w:color w:val="000000"/>
          <w:szCs w:val="22"/>
          <w:lang w:eastAsia="en-US"/>
        </w:rPr>
      </w:pPr>
      <w:r w:rsidRPr="00CC69EC">
        <w:rPr>
          <w:rFonts w:eastAsia="TimesNewRoman"/>
          <w:color w:val="000000"/>
          <w:szCs w:val="22"/>
          <w:lang w:eastAsia="en-US"/>
        </w:rPr>
        <w:t>U 646 pacientov sa vykonala randomizovaná, otvorená, multicentrická štúdia fázy III s paralelnou skupinou, ktorá porovnávala bezpečnosť a účinnosť bortezomibu a pegylovaného lipozomálneho doxorubicínu oproti monoterapii bortezomibom u pacientov s mnohopočetným myelómom, ktorí dostali aspoň 1 predchádzajúcu liečbu a ktorí neprogredovali počas liečby založenej na antracyklínoch. Primárny cieľ</w:t>
      </w:r>
      <w:r w:rsidR="00344AA9">
        <w:rPr>
          <w:rFonts w:eastAsia="TimesNewRoman"/>
          <w:color w:val="000000"/>
          <w:szCs w:val="22"/>
          <w:lang w:eastAsia="en-US"/>
        </w:rPr>
        <w:t>ový ukazovateľ</w:t>
      </w:r>
      <w:r w:rsidRPr="00CC69EC">
        <w:rPr>
          <w:rFonts w:eastAsia="TimesNewRoman"/>
          <w:color w:val="000000"/>
          <w:szCs w:val="22"/>
          <w:lang w:eastAsia="en-US"/>
        </w:rPr>
        <w:t xml:space="preserve"> účinnosti bol TTP, pokiaľ sekundárne c</w:t>
      </w:r>
      <w:r w:rsidR="00344AA9">
        <w:rPr>
          <w:rFonts w:eastAsia="TimesNewRoman"/>
          <w:color w:val="000000"/>
          <w:szCs w:val="22"/>
          <w:lang w:eastAsia="en-US"/>
        </w:rPr>
        <w:t>ieľové ukazovatele</w:t>
      </w:r>
      <w:r w:rsidRPr="00CC69EC">
        <w:rPr>
          <w:rFonts w:eastAsia="TimesNewRoman"/>
          <w:color w:val="000000"/>
          <w:szCs w:val="22"/>
          <w:lang w:eastAsia="en-US"/>
        </w:rPr>
        <w:t xml:space="preserve"> účinnosti boli OS a ORR (CR+PR), použitím kritérií Európskej skupiny pre transplantáciu krvi a kostnej drene </w:t>
      </w:r>
      <w:r w:rsidRPr="00CC69EC">
        <w:rPr>
          <w:rFonts w:eastAsia="TimesNewRoman"/>
          <w:color w:val="545454"/>
          <w:szCs w:val="22"/>
          <w:lang w:eastAsia="en-US"/>
        </w:rPr>
        <w:t>(</w:t>
      </w:r>
      <w:r w:rsidRPr="00CC69EC">
        <w:rPr>
          <w:rFonts w:eastAsia="TimesNewRoman"/>
          <w:color w:val="000000"/>
          <w:szCs w:val="22"/>
          <w:lang w:eastAsia="en-US"/>
        </w:rPr>
        <w:t>EBMT, z angl. European Group for Blood and Marrow Transplantation).</w:t>
      </w:r>
    </w:p>
    <w:p w14:paraId="0F3E1FDD" w14:textId="7185BC10" w:rsidR="00564D9B" w:rsidRPr="00CC69EC" w:rsidRDefault="00564D9B" w:rsidP="00564D9B">
      <w:pPr>
        <w:autoSpaceDE w:val="0"/>
        <w:autoSpaceDN w:val="0"/>
        <w:adjustRightInd w:val="0"/>
        <w:ind w:left="0" w:firstLine="0"/>
        <w:rPr>
          <w:rFonts w:eastAsia="TimesNewRoman"/>
          <w:color w:val="000000"/>
          <w:szCs w:val="22"/>
          <w:lang w:eastAsia="en-US"/>
        </w:rPr>
      </w:pPr>
      <w:r w:rsidRPr="00CC69EC">
        <w:rPr>
          <w:rFonts w:eastAsia="TimesNewRoman"/>
          <w:color w:val="000000"/>
          <w:szCs w:val="22"/>
          <w:lang w:eastAsia="en-US"/>
        </w:rPr>
        <w:t>V protokole definovaná predbežná analýza (na základe 249 prípadov TTP) vyvolala predčasné ukončenie štúdie z dôvodu účinnosti. Táto predbežná analýza preukázala zníženie rizika TTP o 45 % (95 % I</w:t>
      </w:r>
      <w:r w:rsidR="00344AA9">
        <w:rPr>
          <w:rFonts w:eastAsia="TimesNewRoman"/>
          <w:color w:val="000000"/>
          <w:szCs w:val="22"/>
          <w:lang w:eastAsia="en-US"/>
        </w:rPr>
        <w:t>S</w:t>
      </w:r>
      <w:r w:rsidRPr="00CC69EC">
        <w:rPr>
          <w:rFonts w:eastAsia="TimesNewRoman"/>
          <w:color w:val="000000"/>
          <w:szCs w:val="22"/>
          <w:lang w:eastAsia="en-US"/>
        </w:rPr>
        <w:t>; 29 –</w:t>
      </w:r>
      <w:r w:rsidRPr="00CC69EC">
        <w:rPr>
          <w:rFonts w:eastAsia="TimesNewRoman,Italic"/>
          <w:i/>
          <w:iCs/>
          <w:color w:val="000000"/>
          <w:szCs w:val="22"/>
          <w:lang w:eastAsia="en-US"/>
        </w:rPr>
        <w:t xml:space="preserve"> </w:t>
      </w:r>
      <w:r w:rsidRPr="00CC69EC">
        <w:rPr>
          <w:rFonts w:eastAsia="TimesNewRoman"/>
          <w:color w:val="000000"/>
          <w:szCs w:val="22"/>
          <w:lang w:eastAsia="en-US"/>
        </w:rPr>
        <w:t xml:space="preserve">57 %, p &lt; 0,0001) u pacientov liečených kombinovanou liečbou bortezomibom </w:t>
      </w:r>
      <w:r w:rsidRPr="00CC69EC">
        <w:rPr>
          <w:rFonts w:eastAsia="TimesNewRoman"/>
          <w:color w:val="000000"/>
          <w:szCs w:val="22"/>
          <w:lang w:eastAsia="en-US"/>
        </w:rPr>
        <w:lastRenderedPageBreak/>
        <w:t xml:space="preserve">a pegylovaným lipozomálnym doxorubicínom. </w:t>
      </w:r>
      <w:r w:rsidRPr="00F5270F">
        <w:rPr>
          <w:rFonts w:eastAsia="TimesNewRoman"/>
          <w:color w:val="000000"/>
          <w:szCs w:val="22"/>
          <w:lang w:eastAsia="en-US"/>
        </w:rPr>
        <w:t>Medián TTP</w:t>
      </w:r>
      <w:r w:rsidRPr="00CC69EC">
        <w:rPr>
          <w:rFonts w:eastAsia="TimesNewRoman"/>
          <w:color w:val="000000"/>
          <w:szCs w:val="22"/>
          <w:lang w:eastAsia="en-US"/>
        </w:rPr>
        <w:t xml:space="preserve"> bol 6,5 mesiaca u pacientov dostávajúcich monoterapiu bortezomibom v porovnaní s 9,3 mesiacmi u pacientov dostávajúcich kombinovanú liečbu bortezomibom a pegylovaným lipozomálnym doxorubicínom. Tieto výsledky, hoci </w:t>
      </w:r>
      <w:r w:rsidR="00344AA9">
        <w:rPr>
          <w:rFonts w:eastAsia="TimesNewRoman"/>
          <w:color w:val="000000"/>
          <w:szCs w:val="22"/>
          <w:lang w:eastAsia="en-US"/>
        </w:rPr>
        <w:t>predbežné</w:t>
      </w:r>
      <w:r w:rsidRPr="00CC69EC">
        <w:rPr>
          <w:rFonts w:eastAsia="TimesNewRoman"/>
          <w:color w:val="000000"/>
          <w:szCs w:val="22"/>
          <w:lang w:eastAsia="en-US"/>
        </w:rPr>
        <w:t xml:space="preserve">, predstavovali </w:t>
      </w:r>
      <w:r w:rsidR="005C5CEA">
        <w:rPr>
          <w:rFonts w:eastAsia="TimesNewRoman"/>
          <w:color w:val="000000"/>
          <w:szCs w:val="22"/>
          <w:lang w:eastAsia="en-US"/>
        </w:rPr>
        <w:t>finálnu analýzu definovanú protokolom.</w:t>
      </w:r>
    </w:p>
    <w:p w14:paraId="5D590BFE" w14:textId="5AF2110F" w:rsidR="00564D9B" w:rsidRPr="00CC69EC" w:rsidRDefault="00564D9B" w:rsidP="00564D9B">
      <w:pPr>
        <w:ind w:left="0" w:firstLine="0"/>
        <w:rPr>
          <w:szCs w:val="22"/>
        </w:rPr>
      </w:pPr>
      <w:r w:rsidRPr="00CC69EC">
        <w:rPr>
          <w:szCs w:val="22"/>
        </w:rPr>
        <w:t xml:space="preserve">Záverečná analýza OS vykonaná po mediáne </w:t>
      </w:r>
      <w:r>
        <w:rPr>
          <w:szCs w:val="22"/>
        </w:rPr>
        <w:t>sledovania</w:t>
      </w:r>
      <w:r w:rsidRPr="00CC69EC">
        <w:rPr>
          <w:szCs w:val="22"/>
        </w:rPr>
        <w:t xml:space="preserve"> 8,6 rokov nepreukázala žiadny významný rozdiel v OS medzi dvoma liečenými skupinami. Medián OS bol 30,8 mesiacov (95 % I</w:t>
      </w:r>
      <w:r w:rsidR="000F1D51">
        <w:rPr>
          <w:szCs w:val="22"/>
        </w:rPr>
        <w:t>S</w:t>
      </w:r>
      <w:r w:rsidRPr="00CC69EC">
        <w:rPr>
          <w:szCs w:val="22"/>
        </w:rPr>
        <w:t>; 25,2 – 36,5 mesiacov) u pacientov liečených bortezomibom v monoterapii a 33,0 mesiacov (95 % I</w:t>
      </w:r>
      <w:r w:rsidR="000F1D51">
        <w:rPr>
          <w:szCs w:val="22"/>
        </w:rPr>
        <w:t>S</w:t>
      </w:r>
      <w:r w:rsidRPr="00CC69EC">
        <w:rPr>
          <w:szCs w:val="22"/>
        </w:rPr>
        <w:t>; 28,9 – 37,1 mesiacov) u pacientov liečených kombinovanou liečbou bortezomib plus pegylovaný lipozomálny doxorubicín.</w:t>
      </w:r>
    </w:p>
    <w:p w14:paraId="3C2DFDA5" w14:textId="77777777" w:rsidR="00564D9B" w:rsidRPr="00CC69EC" w:rsidRDefault="00564D9B" w:rsidP="00564D9B">
      <w:pPr>
        <w:ind w:left="0" w:firstLine="0"/>
        <w:rPr>
          <w:rFonts w:eastAsia="TimesNewRoman"/>
          <w:color w:val="000000"/>
          <w:szCs w:val="22"/>
          <w:lang w:eastAsia="en-US"/>
        </w:rPr>
      </w:pPr>
    </w:p>
    <w:p w14:paraId="4B686BC5"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Kombinovaná liečba bortezomibom a dexametazónom</w:t>
      </w:r>
    </w:p>
    <w:p w14:paraId="7FFB53AE" w14:textId="13856264"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Pre absenciu akéhokoľvek priameho porovnania medzi bortezomibom a kombináciou bortezomibu s dexametazónom u pacientov s progresívnym mnohopočetným myelómom sa použila štatistická analýza</w:t>
      </w:r>
      <w:r w:rsidR="00476D88">
        <w:rPr>
          <w:rFonts w:eastAsia="TimesNewRoman"/>
          <w:szCs w:val="22"/>
          <w:lang w:eastAsia="en-US"/>
        </w:rPr>
        <w:t xml:space="preserve"> párovej zhody</w:t>
      </w:r>
      <w:r w:rsidRPr="00CC69EC">
        <w:rPr>
          <w:rFonts w:eastAsia="TimesNewRoman"/>
          <w:szCs w:val="22"/>
          <w:lang w:eastAsia="en-US"/>
        </w:rPr>
        <w:t xml:space="preserve"> (</w:t>
      </w:r>
      <w:r w:rsidRPr="00CC69EC">
        <w:rPr>
          <w:rFonts w:eastAsia="TimesNewRoman,Italic"/>
          <w:i/>
          <w:iCs/>
          <w:szCs w:val="22"/>
          <w:lang w:eastAsia="en-US"/>
        </w:rPr>
        <w:t>matched-pair analysis</w:t>
      </w:r>
      <w:r w:rsidRPr="00CC69EC">
        <w:rPr>
          <w:rFonts w:eastAsia="TimesNewRoman"/>
          <w:szCs w:val="22"/>
          <w:lang w:eastAsia="en-US"/>
        </w:rPr>
        <w:t>) na porovnanie výsledkov z nerandomizovanej skupiny s bortezomibom v kombinácii s dexametazónom (otvorená štúdia fázy II MMY-2045) s výsledkami získanými v skupine s bortezomibom v monoterapii z rôznych randomizovaných štúdií fázy III (M34101-039 [APEX] a DOXIL MMY-3001) v rovnakej indikácii.</w:t>
      </w:r>
    </w:p>
    <w:p w14:paraId="67C648B9" w14:textId="7F1C460E"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Analýza</w:t>
      </w:r>
      <w:r w:rsidR="00476D88">
        <w:rPr>
          <w:rFonts w:eastAsia="TimesNewRoman"/>
          <w:szCs w:val="22"/>
          <w:lang w:eastAsia="en-US"/>
        </w:rPr>
        <w:t xml:space="preserve"> párovej zhody</w:t>
      </w:r>
      <w:r w:rsidRPr="00CC69EC">
        <w:rPr>
          <w:rFonts w:eastAsia="TimesNewRoman"/>
          <w:szCs w:val="22"/>
          <w:lang w:eastAsia="en-US"/>
        </w:rPr>
        <w:t xml:space="preserve"> je štatistická metóda, v ktorej sú pacienti z liečenej skupiny (napr. bortezomib v kombinácii s dexametazónom) a pacienti z porovnávanej skupiny (napr. bortezomib) porovnávaní s ohľadom na súčasne pôsobiace faktory individuálnym spárovaním účastníkov skúšania. To minimalizuje pôsobenie pozorovaných súčasne pôsobiacich faktorov pri odhade účinku liečby pri použití nerandomizovaných údajov.</w:t>
      </w:r>
    </w:p>
    <w:p w14:paraId="3CE0CDA1" w14:textId="6C8DCED9"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Bolo identifikovaných stodvadsaťsedem párov</w:t>
      </w:r>
      <w:r w:rsidR="00FD30F2">
        <w:rPr>
          <w:rFonts w:eastAsia="TimesNewRoman"/>
          <w:szCs w:val="22"/>
          <w:lang w:eastAsia="en-US"/>
        </w:rPr>
        <w:t>ých zhôd</w:t>
      </w:r>
      <w:r w:rsidRPr="00CC69EC">
        <w:rPr>
          <w:rFonts w:eastAsia="TimesNewRoman"/>
          <w:szCs w:val="22"/>
          <w:lang w:eastAsia="en-US"/>
        </w:rPr>
        <w:t xml:space="preserve"> pacientov. Analýza preukázala zlepšenie ORR (CR+PR) (pomer </w:t>
      </w:r>
      <w:r w:rsidR="00FD30F2">
        <w:rPr>
          <w:rFonts w:eastAsia="TimesNewRoman"/>
          <w:szCs w:val="22"/>
          <w:lang w:eastAsia="en-US"/>
        </w:rPr>
        <w:t>šancí</w:t>
      </w:r>
      <w:r w:rsidR="00FD30F2" w:rsidRPr="00CC69EC">
        <w:rPr>
          <w:rFonts w:eastAsia="TimesNewRoman"/>
          <w:szCs w:val="22"/>
          <w:lang w:eastAsia="en-US"/>
        </w:rPr>
        <w:t xml:space="preserve"> </w:t>
      </w:r>
      <w:r w:rsidRPr="00CC69EC">
        <w:rPr>
          <w:rFonts w:eastAsia="TimesNewRoman"/>
          <w:szCs w:val="22"/>
          <w:lang w:eastAsia="en-US"/>
        </w:rPr>
        <w:t>3,769; 95 % I</w:t>
      </w:r>
      <w:r w:rsidR="00FD30F2">
        <w:rPr>
          <w:rFonts w:eastAsia="TimesNewRoman"/>
          <w:szCs w:val="22"/>
          <w:lang w:eastAsia="en-US"/>
        </w:rPr>
        <w:t>S</w:t>
      </w:r>
      <w:r w:rsidRPr="00CC69EC">
        <w:rPr>
          <w:rFonts w:eastAsia="TimesNewRoman"/>
          <w:szCs w:val="22"/>
          <w:lang w:eastAsia="en-US"/>
        </w:rPr>
        <w:t xml:space="preserve"> 2,045 – 6,947; p &lt; 0,001), PFS (</w:t>
      </w:r>
      <w:r w:rsidR="00FD30F2">
        <w:rPr>
          <w:rFonts w:eastAsia="TimesNewRoman"/>
          <w:szCs w:val="22"/>
          <w:lang w:eastAsia="en-US"/>
        </w:rPr>
        <w:t>pomer</w:t>
      </w:r>
      <w:r w:rsidR="00FD30F2" w:rsidRPr="00CC69EC">
        <w:rPr>
          <w:rFonts w:eastAsia="TimesNewRoman"/>
          <w:szCs w:val="22"/>
          <w:lang w:eastAsia="en-US"/>
        </w:rPr>
        <w:t xml:space="preserve"> </w:t>
      </w:r>
      <w:r w:rsidRPr="00CC69EC">
        <w:rPr>
          <w:rFonts w:eastAsia="TimesNewRoman"/>
          <w:szCs w:val="22"/>
          <w:lang w:eastAsia="en-US"/>
        </w:rPr>
        <w:t>riz</w:t>
      </w:r>
      <w:r w:rsidR="00FD30F2">
        <w:rPr>
          <w:rFonts w:eastAsia="TimesNewRoman"/>
          <w:szCs w:val="22"/>
          <w:lang w:eastAsia="en-US"/>
        </w:rPr>
        <w:t>ík</w:t>
      </w:r>
      <w:r w:rsidRPr="00CC69EC">
        <w:rPr>
          <w:rFonts w:eastAsia="TimesNewRoman"/>
          <w:szCs w:val="22"/>
          <w:lang w:eastAsia="en-US"/>
        </w:rPr>
        <w:t xml:space="preserve"> 0,511; 95 % I</w:t>
      </w:r>
      <w:r w:rsidR="00FD30F2">
        <w:rPr>
          <w:rFonts w:eastAsia="TimesNewRoman"/>
          <w:szCs w:val="22"/>
          <w:lang w:eastAsia="en-US"/>
        </w:rPr>
        <w:t>S</w:t>
      </w:r>
      <w:r w:rsidRPr="00CC69EC">
        <w:rPr>
          <w:rFonts w:eastAsia="TimesNewRoman"/>
          <w:szCs w:val="22"/>
          <w:lang w:eastAsia="en-US"/>
        </w:rPr>
        <w:t xml:space="preserve"> 0,309 – 0,845; p = 0,008), TTP (</w:t>
      </w:r>
      <w:r w:rsidR="00FD30F2">
        <w:rPr>
          <w:rFonts w:eastAsia="TimesNewRoman"/>
          <w:szCs w:val="22"/>
          <w:lang w:eastAsia="en-US"/>
        </w:rPr>
        <w:t>pomer</w:t>
      </w:r>
      <w:r w:rsidR="00FD30F2" w:rsidRPr="00CC69EC">
        <w:rPr>
          <w:rFonts w:eastAsia="TimesNewRoman"/>
          <w:szCs w:val="22"/>
          <w:lang w:eastAsia="en-US"/>
        </w:rPr>
        <w:t xml:space="preserve"> </w:t>
      </w:r>
      <w:r w:rsidRPr="00CC69EC">
        <w:rPr>
          <w:rFonts w:eastAsia="TimesNewRoman"/>
          <w:szCs w:val="22"/>
          <w:lang w:eastAsia="en-US"/>
        </w:rPr>
        <w:t>ri</w:t>
      </w:r>
      <w:r w:rsidR="00FD30F2">
        <w:rPr>
          <w:rFonts w:eastAsia="TimesNewRoman"/>
          <w:szCs w:val="22"/>
          <w:lang w:eastAsia="en-US"/>
        </w:rPr>
        <w:t>zík</w:t>
      </w:r>
      <w:r w:rsidRPr="00CC69EC">
        <w:rPr>
          <w:rFonts w:eastAsia="TimesNewRoman"/>
          <w:szCs w:val="22"/>
          <w:lang w:eastAsia="en-US"/>
        </w:rPr>
        <w:t xml:space="preserve"> 0,385; 95 % I</w:t>
      </w:r>
      <w:r w:rsidR="00FD30F2">
        <w:rPr>
          <w:rFonts w:eastAsia="TimesNewRoman"/>
          <w:szCs w:val="22"/>
          <w:lang w:eastAsia="en-US"/>
        </w:rPr>
        <w:t>S</w:t>
      </w:r>
      <w:r w:rsidRPr="00CC69EC">
        <w:rPr>
          <w:rFonts w:eastAsia="TimesNewRoman"/>
          <w:szCs w:val="22"/>
          <w:lang w:eastAsia="en-US"/>
        </w:rPr>
        <w:t xml:space="preserve"> 0,212 – 0,698; p = 0,001) pre bortezomib v kombinácii s dexametazónom oproti monoterapii bortezomibom.</w:t>
      </w:r>
    </w:p>
    <w:p w14:paraId="173D6CF6" w14:textId="77777777" w:rsidR="00564D9B" w:rsidRPr="00CC69EC" w:rsidRDefault="00564D9B" w:rsidP="00564D9B">
      <w:pPr>
        <w:autoSpaceDE w:val="0"/>
        <w:autoSpaceDN w:val="0"/>
        <w:adjustRightInd w:val="0"/>
        <w:ind w:left="0" w:firstLine="0"/>
        <w:rPr>
          <w:rFonts w:eastAsia="TimesNewRoman"/>
          <w:szCs w:val="22"/>
          <w:lang w:eastAsia="en-US"/>
        </w:rPr>
      </w:pPr>
    </w:p>
    <w:p w14:paraId="2A89DA2F"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Údaje o opakovanej liečbe bortezomibom pri relapse mnohopočetného myelómu sú obmedzené.</w:t>
      </w:r>
    </w:p>
    <w:p w14:paraId="0583F520" w14:textId="17453C51"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Štúdia fázy II MMY-2036 (RETRIEVE) bola  otvorená štúdia</w:t>
      </w:r>
      <w:r w:rsidR="00FD30F2">
        <w:rPr>
          <w:rFonts w:eastAsia="TimesNewRoman"/>
          <w:szCs w:val="22"/>
          <w:lang w:eastAsia="en-US"/>
        </w:rPr>
        <w:t xml:space="preserve"> s jedným ramenom</w:t>
      </w:r>
      <w:r w:rsidRPr="00CC69EC">
        <w:rPr>
          <w:rFonts w:eastAsia="TimesNewRoman"/>
          <w:szCs w:val="22"/>
          <w:lang w:eastAsia="en-US"/>
        </w:rPr>
        <w:t xml:space="preserve"> na stanovenie účinnosti a bezpečnosti opakovanej liečby bortezomibom. Stotridsať pacientov (vo veku ≥ 18 rokov) s mnohopočetným myelómom, ktorí aspoň čiastočne odpovedali na liečbu obsahujúcu bortezomib, bolo opakovane liečených po progresii. Najmenej 6 mesiacov po predchádzajúcej liečbe sa začal bortezomib podávať v poslednej tolerovanej dávke 1,3 mg/m</w:t>
      </w:r>
      <w:r w:rsidRPr="00CC69EC">
        <w:rPr>
          <w:rFonts w:eastAsia="TimesNewRoman"/>
          <w:szCs w:val="22"/>
          <w:vertAlign w:val="superscript"/>
          <w:lang w:eastAsia="en-US"/>
        </w:rPr>
        <w:t>2</w:t>
      </w:r>
      <w:r w:rsidRPr="00CC69EC">
        <w:rPr>
          <w:rFonts w:eastAsia="TimesNewRoman"/>
          <w:szCs w:val="22"/>
          <w:lang w:eastAsia="en-US"/>
        </w:rPr>
        <w:t xml:space="preserve"> (n = 93) alebo ≤ 1,0 mg/m</w:t>
      </w:r>
      <w:r w:rsidRPr="00CC69EC">
        <w:rPr>
          <w:rFonts w:eastAsia="TimesNewRoman"/>
          <w:szCs w:val="22"/>
          <w:vertAlign w:val="superscript"/>
          <w:lang w:eastAsia="en-US"/>
        </w:rPr>
        <w:t>2</w:t>
      </w:r>
      <w:r w:rsidRPr="00CC69EC">
        <w:rPr>
          <w:rFonts w:eastAsia="TimesNewRoman"/>
          <w:szCs w:val="22"/>
          <w:lang w:eastAsia="en-US"/>
        </w:rPr>
        <w:t xml:space="preserve"> (n = 37) v 1., 4., 8. a 11. deň každé 3 týždne maximálne 8 cyklov buď v monoterapii alebo spolu s dexametazónom v súlade s liečebným štandardom. Dexametazón sa podával v kombinácii s bortezomibom 83 pacientom v 1. cykle a ďalší 11 pacienti dostávali dexametazón počas opakovaných liečebných cyklov bortezomibom.</w:t>
      </w:r>
    </w:p>
    <w:p w14:paraId="325F7B02" w14:textId="4B72F4A3"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Primárnym </w:t>
      </w:r>
      <w:r w:rsidR="00291DFF">
        <w:rPr>
          <w:rFonts w:eastAsia="TimesNewRoman"/>
          <w:szCs w:val="22"/>
          <w:lang w:eastAsia="en-US"/>
        </w:rPr>
        <w:t>cieľovým</w:t>
      </w:r>
      <w:r w:rsidR="00291DFF" w:rsidRPr="00CC69EC">
        <w:rPr>
          <w:rFonts w:eastAsia="TimesNewRoman"/>
          <w:szCs w:val="22"/>
          <w:lang w:eastAsia="en-US"/>
        </w:rPr>
        <w:t xml:space="preserve"> </w:t>
      </w:r>
      <w:r w:rsidRPr="00CC69EC">
        <w:rPr>
          <w:rFonts w:eastAsia="TimesNewRoman"/>
          <w:szCs w:val="22"/>
          <w:lang w:eastAsia="en-US"/>
        </w:rPr>
        <w:t>ukazovateľom bola najlepšia potvrdená odpoveď na opakovanú liečbu podľa kritérií EBMT. Celková najlepšia miera odpovede (CR + PR) na opakovanú liečbu u 130 pacientov bola 38,5 % (95 % I</w:t>
      </w:r>
      <w:r w:rsidR="00291DFF">
        <w:rPr>
          <w:rFonts w:eastAsia="TimesNewRoman"/>
          <w:szCs w:val="22"/>
          <w:lang w:eastAsia="en-US"/>
        </w:rPr>
        <w:t>S</w:t>
      </w:r>
      <w:r w:rsidRPr="00CC69EC">
        <w:rPr>
          <w:rFonts w:eastAsia="TimesNewRoman"/>
          <w:szCs w:val="22"/>
          <w:lang w:eastAsia="en-US"/>
        </w:rPr>
        <w:t>: 30,1; 47,4).</w:t>
      </w:r>
    </w:p>
    <w:p w14:paraId="13FEBFEA" w14:textId="77777777" w:rsidR="00564D9B" w:rsidRPr="00CC69EC" w:rsidRDefault="00564D9B" w:rsidP="00564D9B">
      <w:pPr>
        <w:autoSpaceDE w:val="0"/>
        <w:autoSpaceDN w:val="0"/>
        <w:adjustRightInd w:val="0"/>
        <w:ind w:left="0" w:firstLine="0"/>
        <w:rPr>
          <w:rFonts w:eastAsia="TimesNewRoman"/>
          <w:szCs w:val="22"/>
          <w:lang w:eastAsia="en-US"/>
        </w:rPr>
      </w:pPr>
    </w:p>
    <w:p w14:paraId="2F1532B9"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Klinická účinnosť pri doteraz neliečenom lymfóme z plášťových buniek (MCL)</w:t>
      </w:r>
    </w:p>
    <w:p w14:paraId="5B47BE52" w14:textId="492799A0" w:rsidR="00564D9B" w:rsidRPr="00CC69EC" w:rsidRDefault="00564D9B" w:rsidP="00564D9B">
      <w:pPr>
        <w:autoSpaceDE w:val="0"/>
        <w:autoSpaceDN w:val="0"/>
        <w:adjustRightInd w:val="0"/>
        <w:ind w:left="0" w:firstLine="0"/>
        <w:rPr>
          <w:rFonts w:eastAsia="TimesNewRoman"/>
          <w:color w:val="000000"/>
          <w:szCs w:val="22"/>
          <w:lang w:eastAsia="en-US"/>
        </w:rPr>
      </w:pPr>
      <w:r w:rsidRPr="00CC69EC">
        <w:rPr>
          <w:rFonts w:eastAsia="TimesNewRoman"/>
          <w:szCs w:val="22"/>
          <w:lang w:eastAsia="en-US"/>
        </w:rPr>
        <w:t>Štúdia LYM-3002 bola randomizovaná</w:t>
      </w:r>
      <w:r w:rsidR="00291DFF">
        <w:rPr>
          <w:rFonts w:eastAsia="TimesNewRoman"/>
          <w:szCs w:val="22"/>
          <w:lang w:eastAsia="en-US"/>
        </w:rPr>
        <w:t>,</w:t>
      </w:r>
      <w:r w:rsidRPr="00CC69EC">
        <w:rPr>
          <w:rFonts w:eastAsia="TimesNewRoman"/>
          <w:szCs w:val="22"/>
          <w:lang w:eastAsia="en-US"/>
        </w:rPr>
        <w:t xml:space="preserve"> otvorená štúdia fázy III porovnávajúca účinnosť a bezpečnosť kombinácie bortezomibu, rituximabu, cyklofosfamidu, doxorubicínu a prednizónu (BR-CAP; n = 243) s rituximabom, cyklofosfamidom, doxorubicínom, vinkristínom a prednizónom (R-CHOP; n = 244) u dospelých pacientov s doteraz neliečeným MCL (štádium II, III alebo IV). Pacienti v liečenej skupine s BR-CAP dostávali bortezomib (1,3 mg/m</w:t>
      </w:r>
      <w:r w:rsidRPr="00CC69EC">
        <w:rPr>
          <w:rFonts w:eastAsia="TimesNewRoman"/>
          <w:szCs w:val="22"/>
          <w:vertAlign w:val="superscript"/>
          <w:lang w:eastAsia="en-US"/>
        </w:rPr>
        <w:t>2</w:t>
      </w:r>
      <w:r w:rsidRPr="00CC69EC">
        <w:rPr>
          <w:rFonts w:eastAsia="TimesNewRoman"/>
          <w:szCs w:val="22"/>
          <w:lang w:eastAsia="en-US"/>
        </w:rPr>
        <w:t>; v 1., 4., 8., 11. deň, prestávka v 12. – 21. deň), rituximab 375 mg/m</w:t>
      </w:r>
      <w:r w:rsidRPr="00CC69EC">
        <w:rPr>
          <w:rFonts w:eastAsia="TimesNewRoman"/>
          <w:szCs w:val="22"/>
          <w:vertAlign w:val="superscript"/>
          <w:lang w:eastAsia="en-US"/>
        </w:rPr>
        <w:t>2</w:t>
      </w:r>
      <w:r w:rsidRPr="00CC69EC">
        <w:rPr>
          <w:rFonts w:eastAsia="TimesNewRoman"/>
          <w:szCs w:val="22"/>
          <w:lang w:eastAsia="en-US"/>
        </w:rPr>
        <w:t xml:space="preserve"> i.v. v 1. deň; cyklofosfamid 750 mg/m</w:t>
      </w:r>
      <w:r w:rsidRPr="00CC69EC">
        <w:rPr>
          <w:rFonts w:eastAsia="TimesNewRoman"/>
          <w:szCs w:val="22"/>
          <w:vertAlign w:val="superscript"/>
          <w:lang w:eastAsia="en-US"/>
        </w:rPr>
        <w:t>2</w:t>
      </w:r>
      <w:r w:rsidRPr="00CC69EC">
        <w:rPr>
          <w:rFonts w:eastAsia="TimesNewRoman"/>
          <w:szCs w:val="22"/>
          <w:lang w:eastAsia="en-US"/>
        </w:rPr>
        <w:t xml:space="preserve"> i.v. v 1. deň; doxorubicín 50 mg/m</w:t>
      </w:r>
      <w:r w:rsidRPr="00CC69EC">
        <w:rPr>
          <w:rFonts w:eastAsia="TimesNewRoman"/>
          <w:szCs w:val="22"/>
          <w:vertAlign w:val="superscript"/>
          <w:lang w:eastAsia="en-US"/>
        </w:rPr>
        <w:t>2</w:t>
      </w:r>
      <w:r w:rsidRPr="00CC69EC">
        <w:rPr>
          <w:rFonts w:eastAsia="TimesNewRoman"/>
          <w:szCs w:val="22"/>
          <w:lang w:eastAsia="en-US"/>
        </w:rPr>
        <w:t xml:space="preserve"> i.v. v 1. deň a prednizón 100 mg/m</w:t>
      </w:r>
      <w:r w:rsidRPr="00CC69EC">
        <w:rPr>
          <w:rFonts w:eastAsia="TimesNewRoman"/>
          <w:szCs w:val="22"/>
          <w:vertAlign w:val="superscript"/>
          <w:lang w:eastAsia="en-US"/>
        </w:rPr>
        <w:t>2</w:t>
      </w:r>
      <w:r w:rsidRPr="00CC69EC">
        <w:rPr>
          <w:rFonts w:eastAsia="TimesNewRoman"/>
          <w:szCs w:val="22"/>
          <w:lang w:eastAsia="en-US"/>
        </w:rPr>
        <w:t xml:space="preserve"> perorálne v 1. až 5. deň 21-dňového terapeutického cyklu s bortezomibom. U pacientov s odpoveďou zaznamenanou po prvýkrát v 6. cykle boli podané dva ďalšie terapeutické cykly.</w:t>
      </w:r>
    </w:p>
    <w:p w14:paraId="6A5D24D5" w14:textId="13638811"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Primárnym</w:t>
      </w:r>
      <w:r w:rsidR="00291DFF">
        <w:rPr>
          <w:rFonts w:eastAsia="TimesNewRoman"/>
          <w:szCs w:val="22"/>
          <w:lang w:eastAsia="en-US"/>
        </w:rPr>
        <w:t xml:space="preserve"> cieľovým </w:t>
      </w:r>
      <w:r w:rsidRPr="00CC69EC">
        <w:rPr>
          <w:rFonts w:eastAsia="TimesNewRoman"/>
          <w:szCs w:val="22"/>
          <w:lang w:eastAsia="en-US"/>
        </w:rPr>
        <w:t xml:space="preserve">ukazovateľom účinnosti bolo prežívanie bez progresie založené na hodnotení </w:t>
      </w:r>
      <w:r w:rsidR="00EC06BF">
        <w:rPr>
          <w:rFonts w:eastAsia="TimesNewRoman"/>
          <w:szCs w:val="22"/>
          <w:lang w:eastAsia="en-US"/>
        </w:rPr>
        <w:t>n</w:t>
      </w:r>
      <w:r w:rsidRPr="00CC69EC">
        <w:rPr>
          <w:rFonts w:eastAsia="TimesNewRoman"/>
          <w:szCs w:val="22"/>
          <w:lang w:eastAsia="en-US"/>
        </w:rPr>
        <w:t>ezávislej hodnotiacej komisie (IRC). Sekundárne cie</w:t>
      </w:r>
      <w:r w:rsidR="00291DFF">
        <w:rPr>
          <w:rFonts w:eastAsia="TimesNewRoman"/>
          <w:szCs w:val="22"/>
          <w:lang w:eastAsia="en-US"/>
        </w:rPr>
        <w:t>ľové ukazovatele</w:t>
      </w:r>
      <w:r w:rsidRPr="00CC69EC">
        <w:rPr>
          <w:rFonts w:eastAsia="TimesNewRoman"/>
          <w:szCs w:val="22"/>
          <w:lang w:eastAsia="en-US"/>
        </w:rPr>
        <w:t xml:space="preserve"> zahŕňali čas do progresie (TTP), čas do ďalšej liečby lymfómu (TNT), trvanie intervalu bez liečby (TFI), celková miera odpovede (ORR) a miera kompletnej odpovede (CR/CRu), celkové prežívanie (OS) a trvanie odpovede.</w:t>
      </w:r>
    </w:p>
    <w:p w14:paraId="09505096" w14:textId="77777777" w:rsidR="00291DFF" w:rsidRPr="00CC69EC" w:rsidRDefault="00291DFF" w:rsidP="00564D9B">
      <w:pPr>
        <w:autoSpaceDE w:val="0"/>
        <w:autoSpaceDN w:val="0"/>
        <w:adjustRightInd w:val="0"/>
        <w:ind w:left="0" w:firstLine="0"/>
        <w:rPr>
          <w:rFonts w:eastAsia="TimesNewRoman"/>
          <w:szCs w:val="22"/>
          <w:lang w:eastAsia="en-US"/>
        </w:rPr>
      </w:pPr>
    </w:p>
    <w:p w14:paraId="125ADF71" w14:textId="0392E082"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lastRenderedPageBreak/>
        <w:t xml:space="preserve">Demografické a východiskové charakteristiky ochorenia boli vo všeobecnosti medzi oboma liečenými skupinami vyvážené: </w:t>
      </w:r>
      <w:r w:rsidR="00291DFF">
        <w:rPr>
          <w:rFonts w:eastAsia="TimesNewRoman"/>
          <w:szCs w:val="22"/>
          <w:lang w:eastAsia="en-US"/>
        </w:rPr>
        <w:t>priemerná</w:t>
      </w:r>
      <w:r w:rsidR="00291DFF" w:rsidRPr="00CC69EC">
        <w:rPr>
          <w:rFonts w:eastAsia="TimesNewRoman"/>
          <w:szCs w:val="22"/>
          <w:lang w:eastAsia="en-US"/>
        </w:rPr>
        <w:t xml:space="preserve"> </w:t>
      </w:r>
      <w:r w:rsidRPr="00CC69EC">
        <w:rPr>
          <w:rFonts w:eastAsia="TimesNewRoman"/>
          <w:szCs w:val="22"/>
          <w:lang w:eastAsia="en-US"/>
        </w:rPr>
        <w:t>hodnota veku pacienta bola 66 rokov, 74 % bolo mužov, 66 % bolo belochov a 32 % aziatov, 69 % pacientov malo pozitívny aspirát kostnej drene a/alebo biopsiu kostnej drene pozitívnu na MCL, 54 % pacientov malo skóre IPI (International Prognostic Index) ≥ 3 a 76 % malo ochorenie v štádiu IV. Trvanie liečby (</w:t>
      </w:r>
      <w:r w:rsidR="00291DFF">
        <w:rPr>
          <w:rFonts w:eastAsia="TimesNewRoman"/>
          <w:szCs w:val="22"/>
          <w:lang w:eastAsia="en-US"/>
        </w:rPr>
        <w:t>priemerná</w:t>
      </w:r>
      <w:r w:rsidRPr="00CC69EC">
        <w:rPr>
          <w:rFonts w:eastAsia="TimesNewRoman"/>
          <w:szCs w:val="22"/>
          <w:lang w:eastAsia="en-US"/>
        </w:rPr>
        <w:t xml:space="preserve"> hodnota = 17 týždňov) a trvanie </w:t>
      </w:r>
      <w:r>
        <w:rPr>
          <w:rFonts w:eastAsia="TimesNewRoman"/>
          <w:szCs w:val="22"/>
          <w:lang w:eastAsia="en-US"/>
        </w:rPr>
        <w:t>doby sledovania</w:t>
      </w:r>
      <w:r w:rsidRPr="00CC69EC">
        <w:rPr>
          <w:rFonts w:eastAsia="TimesNewRoman"/>
          <w:szCs w:val="22"/>
          <w:lang w:eastAsia="en-US"/>
        </w:rPr>
        <w:t xml:space="preserve"> (</w:t>
      </w:r>
      <w:r w:rsidR="00291DFF">
        <w:rPr>
          <w:rFonts w:eastAsia="TimesNewRoman"/>
          <w:szCs w:val="22"/>
          <w:lang w:eastAsia="en-US"/>
        </w:rPr>
        <w:t>priemerná</w:t>
      </w:r>
      <w:r w:rsidR="00291DFF" w:rsidRPr="00CC69EC">
        <w:rPr>
          <w:rFonts w:eastAsia="TimesNewRoman"/>
          <w:szCs w:val="22"/>
          <w:lang w:eastAsia="en-US"/>
        </w:rPr>
        <w:t xml:space="preserve"> </w:t>
      </w:r>
      <w:r w:rsidRPr="00CC69EC">
        <w:rPr>
          <w:rFonts w:eastAsia="TimesNewRoman"/>
          <w:szCs w:val="22"/>
          <w:lang w:eastAsia="en-US"/>
        </w:rPr>
        <w:t>hodnota = 40 mesiacov) bol</w:t>
      </w:r>
      <w:r>
        <w:rPr>
          <w:rFonts w:eastAsia="TimesNewRoman"/>
          <w:szCs w:val="22"/>
          <w:lang w:eastAsia="en-US"/>
        </w:rPr>
        <w:t>i</w:t>
      </w:r>
      <w:r w:rsidRPr="00CC69EC">
        <w:rPr>
          <w:rFonts w:eastAsia="TimesNewRoman"/>
          <w:szCs w:val="22"/>
          <w:lang w:eastAsia="en-US"/>
        </w:rPr>
        <w:t xml:space="preserve"> porovnateľné v oboch liečených skupinách. </w:t>
      </w:r>
      <w:r w:rsidR="00291DFF">
        <w:rPr>
          <w:rFonts w:eastAsia="TimesNewRoman"/>
          <w:szCs w:val="22"/>
          <w:lang w:eastAsia="en-US"/>
        </w:rPr>
        <w:t>P</w:t>
      </w:r>
      <w:r w:rsidRPr="00CC69EC">
        <w:rPr>
          <w:rFonts w:eastAsia="TimesNewRoman"/>
          <w:szCs w:val="22"/>
          <w:lang w:eastAsia="en-US"/>
        </w:rPr>
        <w:t>acient</w:t>
      </w:r>
      <w:r w:rsidR="00291DFF">
        <w:rPr>
          <w:rFonts w:eastAsia="TimesNewRoman"/>
          <w:szCs w:val="22"/>
          <w:lang w:eastAsia="en-US"/>
        </w:rPr>
        <w:t>i</w:t>
      </w:r>
      <w:r w:rsidRPr="00CC69EC">
        <w:rPr>
          <w:rFonts w:eastAsia="TimesNewRoman"/>
          <w:szCs w:val="22"/>
          <w:lang w:eastAsia="en-US"/>
        </w:rPr>
        <w:t>v oboch liečených skupinách</w:t>
      </w:r>
      <w:r w:rsidR="00291DFF">
        <w:rPr>
          <w:rFonts w:eastAsia="TimesNewRoman"/>
          <w:szCs w:val="22"/>
          <w:lang w:eastAsia="en-US"/>
        </w:rPr>
        <w:t xml:space="preserve"> dostali liečbu s mediánom 6 cyklov</w:t>
      </w:r>
      <w:r w:rsidRPr="00CC69EC">
        <w:rPr>
          <w:rFonts w:eastAsia="TimesNewRoman"/>
          <w:szCs w:val="22"/>
          <w:lang w:eastAsia="en-US"/>
        </w:rPr>
        <w:t xml:space="preserve">, pričom 14 % pacientov v skupine BR-CAP a 17 % pacientov v skupine R-CHOP dostalo ďalšie 2 cykly. Väčšina pacientov v oboch skupinách ukončila liečbu, 80 % v skupine BR-CAP a 82 % v skupine R-CHOP. Výsledky účinnosti sú uvedené v </w:t>
      </w:r>
      <w:r w:rsidR="00F75370">
        <w:rPr>
          <w:rFonts w:eastAsia="TimesNewRoman"/>
          <w:szCs w:val="22"/>
          <w:lang w:eastAsia="en-US"/>
        </w:rPr>
        <w:t>t</w:t>
      </w:r>
      <w:r w:rsidRPr="00CC69EC">
        <w:rPr>
          <w:rFonts w:eastAsia="TimesNewRoman"/>
          <w:szCs w:val="22"/>
          <w:lang w:eastAsia="en-US"/>
        </w:rPr>
        <w:t>abuľke 1</w:t>
      </w:r>
      <w:r w:rsidR="00510194">
        <w:rPr>
          <w:rFonts w:eastAsia="TimesNewRoman"/>
          <w:szCs w:val="22"/>
          <w:lang w:eastAsia="en-US"/>
        </w:rPr>
        <w:t>5</w:t>
      </w:r>
      <w:r w:rsidRPr="00CC69EC">
        <w:rPr>
          <w:rFonts w:eastAsia="TimesNewRoman"/>
          <w:szCs w:val="22"/>
          <w:lang w:eastAsia="en-US"/>
        </w:rPr>
        <w:t>:</w:t>
      </w:r>
    </w:p>
    <w:p w14:paraId="433AA048" w14:textId="77777777" w:rsidR="00564D9B" w:rsidRPr="00CC69EC" w:rsidRDefault="00564D9B" w:rsidP="00564D9B">
      <w:pPr>
        <w:ind w:left="0" w:firstLine="0"/>
        <w:rPr>
          <w:rFonts w:eastAsia="TimesNewRoman,Italic"/>
          <w:i/>
          <w:iCs/>
          <w:szCs w:val="22"/>
          <w:lang w:eastAsia="en-US"/>
        </w:rPr>
      </w:pPr>
    </w:p>
    <w:p w14:paraId="3B23C6C5" w14:textId="34BB8E67" w:rsidR="00564D9B" w:rsidRPr="00CC69EC" w:rsidRDefault="00564D9B" w:rsidP="00564D9B">
      <w:pPr>
        <w:ind w:left="0" w:firstLine="0"/>
        <w:rPr>
          <w:rFonts w:eastAsia="TimesNewRoman"/>
          <w:szCs w:val="22"/>
          <w:lang w:eastAsia="en-US"/>
        </w:rPr>
      </w:pPr>
      <w:r w:rsidRPr="005812BF">
        <w:rPr>
          <w:rFonts w:eastAsia="TimesNewRoman,Italic"/>
          <w:i/>
          <w:iCs/>
          <w:szCs w:val="22"/>
          <w:lang w:eastAsia="en-US"/>
        </w:rPr>
        <w:t>Tabuľka 1</w:t>
      </w:r>
      <w:r w:rsidR="00510194">
        <w:rPr>
          <w:rFonts w:eastAsia="TimesNewRoman,Italic"/>
          <w:i/>
          <w:iCs/>
          <w:szCs w:val="22"/>
          <w:lang w:eastAsia="en-US"/>
        </w:rPr>
        <w:t>5</w:t>
      </w:r>
      <w:r w:rsidRPr="005812BF">
        <w:rPr>
          <w:rFonts w:eastAsia="TimesNewRoman,Italic"/>
          <w:i/>
          <w:iCs/>
          <w:szCs w:val="22"/>
          <w:lang w:eastAsia="en-US"/>
        </w:rPr>
        <w:t>:</w:t>
      </w:r>
      <w:r w:rsidRPr="00E54149">
        <w:rPr>
          <w:rFonts w:eastAsia="TimesNewRoman,Italic"/>
          <w:i/>
          <w:iCs/>
          <w:szCs w:val="22"/>
          <w:lang w:eastAsia="en-US"/>
        </w:rPr>
        <w:t xml:space="preserve"> Výsledky</w:t>
      </w:r>
      <w:r w:rsidRPr="00CC69EC">
        <w:rPr>
          <w:rFonts w:eastAsia="TimesNewRoman,Italic"/>
          <w:i/>
          <w:iCs/>
          <w:szCs w:val="22"/>
          <w:lang w:eastAsia="en-US"/>
        </w:rPr>
        <w:t xml:space="preserve"> účinnosti zo štúdie LYM-3002</w:t>
      </w:r>
    </w:p>
    <w:tbl>
      <w:tblPr>
        <w:tblW w:w="897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593"/>
        <w:gridCol w:w="2590"/>
        <w:gridCol w:w="1808"/>
        <w:gridCol w:w="1985"/>
      </w:tblGrid>
      <w:tr w:rsidR="00564D9B" w:rsidRPr="00CC69EC" w14:paraId="4E81579E" w14:textId="77777777" w:rsidTr="00E110FB">
        <w:trPr>
          <w:tblCellSpacing w:w="0" w:type="dxa"/>
        </w:trPr>
        <w:tc>
          <w:tcPr>
            <w:tcW w:w="1444" w:type="pct"/>
            <w:hideMark/>
          </w:tcPr>
          <w:p w14:paraId="668D3A85" w14:textId="1A52E195" w:rsidR="00564D9B" w:rsidRPr="00CC69EC" w:rsidRDefault="00510194" w:rsidP="00F75370">
            <w:pPr>
              <w:ind w:left="0" w:firstLine="0"/>
              <w:rPr>
                <w:color w:val="000000"/>
                <w:lang w:eastAsia="de-AT"/>
              </w:rPr>
            </w:pPr>
            <w:r>
              <w:rPr>
                <w:b/>
                <w:bCs/>
                <w:color w:val="000000"/>
              </w:rPr>
              <w:t>Cieľové</w:t>
            </w:r>
            <w:r w:rsidRPr="00CC69EC">
              <w:rPr>
                <w:b/>
                <w:bCs/>
                <w:color w:val="000000"/>
              </w:rPr>
              <w:t xml:space="preserve"> </w:t>
            </w:r>
            <w:r w:rsidR="00564D9B" w:rsidRPr="00CC69EC">
              <w:rPr>
                <w:b/>
                <w:bCs/>
                <w:color w:val="000000"/>
              </w:rPr>
              <w:t>ukazovatele účinnosti</w:t>
            </w:r>
          </w:p>
        </w:tc>
        <w:tc>
          <w:tcPr>
            <w:tcW w:w="1443" w:type="pct"/>
            <w:hideMark/>
          </w:tcPr>
          <w:p w14:paraId="530B010B" w14:textId="77777777" w:rsidR="00564D9B" w:rsidRPr="00CC69EC" w:rsidRDefault="00564D9B" w:rsidP="00F75370">
            <w:pPr>
              <w:jc w:val="center"/>
              <w:rPr>
                <w:color w:val="000000"/>
                <w:lang w:eastAsia="de-AT"/>
              </w:rPr>
            </w:pPr>
            <w:r w:rsidRPr="00CC69EC">
              <w:rPr>
                <w:b/>
                <w:bCs/>
                <w:color w:val="000000"/>
                <w:lang w:eastAsia="de-AT"/>
              </w:rPr>
              <w:t>BR-CAP</w:t>
            </w:r>
          </w:p>
        </w:tc>
        <w:tc>
          <w:tcPr>
            <w:tcW w:w="1007" w:type="pct"/>
            <w:hideMark/>
          </w:tcPr>
          <w:p w14:paraId="6833DF15" w14:textId="77777777" w:rsidR="00564D9B" w:rsidRPr="00CC69EC" w:rsidRDefault="00564D9B" w:rsidP="00F75370">
            <w:pPr>
              <w:jc w:val="center"/>
              <w:rPr>
                <w:color w:val="000000"/>
                <w:lang w:eastAsia="de-AT"/>
              </w:rPr>
            </w:pPr>
            <w:r w:rsidRPr="00CC69EC">
              <w:rPr>
                <w:b/>
                <w:bCs/>
                <w:color w:val="000000"/>
                <w:lang w:eastAsia="de-AT"/>
              </w:rPr>
              <w:t>R-CHOP</w:t>
            </w:r>
          </w:p>
        </w:tc>
        <w:tc>
          <w:tcPr>
            <w:tcW w:w="1106" w:type="pct"/>
            <w:vMerge w:val="restart"/>
            <w:hideMark/>
          </w:tcPr>
          <w:p w14:paraId="29020B89" w14:textId="77777777" w:rsidR="00564D9B" w:rsidRPr="00CC69EC" w:rsidRDefault="00564D9B" w:rsidP="00F75370">
            <w:pPr>
              <w:rPr>
                <w:color w:val="000000"/>
                <w:lang w:eastAsia="de-AT"/>
              </w:rPr>
            </w:pPr>
          </w:p>
        </w:tc>
      </w:tr>
      <w:tr w:rsidR="00564D9B" w:rsidRPr="00CC69EC" w14:paraId="642D98A7" w14:textId="77777777" w:rsidTr="00E110FB">
        <w:trPr>
          <w:tblCellSpacing w:w="0" w:type="dxa"/>
        </w:trPr>
        <w:tc>
          <w:tcPr>
            <w:tcW w:w="1444" w:type="pct"/>
            <w:hideMark/>
          </w:tcPr>
          <w:p w14:paraId="530B21DD" w14:textId="77777777" w:rsidR="00564D9B" w:rsidRPr="00CC69EC" w:rsidRDefault="00564D9B" w:rsidP="00F75370">
            <w:pPr>
              <w:rPr>
                <w:color w:val="000000"/>
                <w:lang w:eastAsia="de-AT"/>
              </w:rPr>
            </w:pPr>
            <w:r w:rsidRPr="00CC69EC">
              <w:rPr>
                <w:color w:val="000000"/>
                <w:lang w:eastAsia="de-AT"/>
              </w:rPr>
              <w:t xml:space="preserve">n: pacienti ITT </w:t>
            </w:r>
          </w:p>
        </w:tc>
        <w:tc>
          <w:tcPr>
            <w:tcW w:w="1443" w:type="pct"/>
            <w:hideMark/>
          </w:tcPr>
          <w:p w14:paraId="6D1EF07A" w14:textId="77777777" w:rsidR="00564D9B" w:rsidRPr="00E110FB" w:rsidRDefault="00564D9B" w:rsidP="00F75370">
            <w:pPr>
              <w:jc w:val="center"/>
              <w:rPr>
                <w:color w:val="000000"/>
                <w:lang w:eastAsia="de-AT"/>
              </w:rPr>
            </w:pPr>
            <w:r w:rsidRPr="00E110FB">
              <w:rPr>
                <w:color w:val="000000"/>
                <w:lang w:eastAsia="de-AT"/>
              </w:rPr>
              <w:t>243</w:t>
            </w:r>
          </w:p>
        </w:tc>
        <w:tc>
          <w:tcPr>
            <w:tcW w:w="1007" w:type="pct"/>
            <w:hideMark/>
          </w:tcPr>
          <w:p w14:paraId="56FC6650" w14:textId="77777777" w:rsidR="00564D9B" w:rsidRPr="00CC69EC" w:rsidRDefault="00564D9B" w:rsidP="00F75370">
            <w:pPr>
              <w:jc w:val="center"/>
              <w:rPr>
                <w:color w:val="000000"/>
                <w:lang w:eastAsia="de-AT"/>
              </w:rPr>
            </w:pPr>
            <w:r w:rsidRPr="00CC69EC">
              <w:rPr>
                <w:color w:val="000000"/>
                <w:lang w:eastAsia="de-AT"/>
              </w:rPr>
              <w:t>244</w:t>
            </w:r>
          </w:p>
        </w:tc>
        <w:tc>
          <w:tcPr>
            <w:tcW w:w="1106" w:type="pct"/>
            <w:vMerge/>
            <w:hideMark/>
          </w:tcPr>
          <w:p w14:paraId="2BEDFDC7" w14:textId="77777777" w:rsidR="00564D9B" w:rsidRPr="00CC69EC" w:rsidRDefault="00564D9B" w:rsidP="00F75370">
            <w:pPr>
              <w:rPr>
                <w:color w:val="000000"/>
                <w:lang w:eastAsia="de-AT"/>
              </w:rPr>
            </w:pPr>
          </w:p>
        </w:tc>
      </w:tr>
      <w:tr w:rsidR="00564D9B" w:rsidRPr="00CC69EC" w14:paraId="52042F6E" w14:textId="77777777" w:rsidTr="00E110FB">
        <w:trPr>
          <w:tblCellSpacing w:w="0" w:type="dxa"/>
        </w:trPr>
        <w:tc>
          <w:tcPr>
            <w:tcW w:w="5000" w:type="pct"/>
            <w:gridSpan w:val="4"/>
            <w:hideMark/>
          </w:tcPr>
          <w:p w14:paraId="444624F2" w14:textId="77777777" w:rsidR="00564D9B" w:rsidRPr="00CC69EC" w:rsidRDefault="00564D9B" w:rsidP="00F75370">
            <w:pPr>
              <w:rPr>
                <w:color w:val="000000"/>
                <w:szCs w:val="22"/>
                <w:lang w:eastAsia="de-AT"/>
              </w:rPr>
            </w:pPr>
            <w:r w:rsidRPr="00CC69EC">
              <w:rPr>
                <w:rFonts w:eastAsia="TimesNewRoman,Bold"/>
                <w:b/>
                <w:bCs/>
                <w:szCs w:val="22"/>
                <w:lang w:eastAsia="en-US"/>
              </w:rPr>
              <w:t>Prežívanie bez progresie (IRC)</w:t>
            </w:r>
            <w:r w:rsidRPr="00CC69EC">
              <w:rPr>
                <w:rFonts w:eastAsia="TimesNewRoman,Bold"/>
                <w:b/>
                <w:bCs/>
                <w:szCs w:val="22"/>
                <w:vertAlign w:val="superscript"/>
                <w:lang w:eastAsia="en-US"/>
              </w:rPr>
              <w:t>a</w:t>
            </w:r>
          </w:p>
        </w:tc>
      </w:tr>
      <w:tr w:rsidR="00564D9B" w:rsidRPr="00CC69EC" w14:paraId="546A6F4E" w14:textId="77777777" w:rsidTr="00E110FB">
        <w:trPr>
          <w:tblCellSpacing w:w="0" w:type="dxa"/>
        </w:trPr>
        <w:tc>
          <w:tcPr>
            <w:tcW w:w="1444" w:type="pct"/>
            <w:hideMark/>
          </w:tcPr>
          <w:p w14:paraId="059C6ECC" w14:textId="77777777" w:rsidR="00564D9B" w:rsidRPr="00CC69EC" w:rsidRDefault="00564D9B" w:rsidP="00F75370">
            <w:pPr>
              <w:rPr>
                <w:color w:val="000000"/>
                <w:szCs w:val="22"/>
                <w:lang w:eastAsia="de-AT"/>
              </w:rPr>
            </w:pPr>
            <w:r w:rsidRPr="00CC69EC">
              <w:rPr>
                <w:rFonts w:eastAsia="TimesNewRoman"/>
                <w:szCs w:val="22"/>
                <w:lang w:eastAsia="en-US"/>
              </w:rPr>
              <w:t>Udalosti n (%)</w:t>
            </w:r>
          </w:p>
        </w:tc>
        <w:tc>
          <w:tcPr>
            <w:tcW w:w="1443" w:type="pct"/>
            <w:hideMark/>
          </w:tcPr>
          <w:p w14:paraId="5D5347CC" w14:textId="77777777" w:rsidR="00564D9B" w:rsidRPr="00CC69EC" w:rsidRDefault="00564D9B" w:rsidP="00F75370">
            <w:pPr>
              <w:jc w:val="center"/>
              <w:rPr>
                <w:color w:val="000000"/>
                <w:lang w:eastAsia="de-AT"/>
              </w:rPr>
            </w:pPr>
            <w:r w:rsidRPr="00CC69EC">
              <w:rPr>
                <w:color w:val="000000"/>
                <w:lang w:eastAsia="de-AT"/>
              </w:rPr>
              <w:t>133 (54,7 %)</w:t>
            </w:r>
          </w:p>
        </w:tc>
        <w:tc>
          <w:tcPr>
            <w:tcW w:w="1007" w:type="pct"/>
            <w:hideMark/>
          </w:tcPr>
          <w:p w14:paraId="5EF64615" w14:textId="77777777" w:rsidR="00564D9B" w:rsidRPr="00CC69EC" w:rsidRDefault="00564D9B" w:rsidP="00F75370">
            <w:pPr>
              <w:jc w:val="center"/>
              <w:rPr>
                <w:color w:val="000000"/>
                <w:lang w:eastAsia="de-AT"/>
              </w:rPr>
            </w:pPr>
            <w:r w:rsidRPr="00CC69EC">
              <w:rPr>
                <w:color w:val="000000"/>
                <w:lang w:eastAsia="de-AT"/>
              </w:rPr>
              <w:t>165 (67,6 %)</w:t>
            </w:r>
          </w:p>
        </w:tc>
        <w:tc>
          <w:tcPr>
            <w:tcW w:w="1106" w:type="pct"/>
            <w:vMerge w:val="restart"/>
            <w:hideMark/>
          </w:tcPr>
          <w:p w14:paraId="28EB7FD4" w14:textId="667E644D" w:rsidR="00564D9B" w:rsidRPr="00CC69EC" w:rsidRDefault="00564D9B" w:rsidP="00F75370">
            <w:pPr>
              <w:ind w:left="0" w:firstLine="0"/>
              <w:rPr>
                <w:color w:val="000000"/>
                <w:lang w:eastAsia="de-AT"/>
              </w:rPr>
            </w:pPr>
            <w:r w:rsidRPr="00CC69EC">
              <w:rPr>
                <w:color w:val="000000"/>
                <w:lang w:eastAsia="de-AT"/>
              </w:rPr>
              <w:t>HR</w:t>
            </w:r>
            <w:r w:rsidRPr="00CC69EC">
              <w:rPr>
                <w:color w:val="000000"/>
                <w:vertAlign w:val="superscript"/>
                <w:lang w:eastAsia="de-AT"/>
              </w:rPr>
              <w:t>b</w:t>
            </w:r>
            <w:r w:rsidRPr="00CC69EC">
              <w:rPr>
                <w:color w:val="000000"/>
                <w:lang w:eastAsia="de-AT"/>
              </w:rPr>
              <w:t xml:space="preserve"> (95 % </w:t>
            </w:r>
            <w:r w:rsidR="00510194">
              <w:rPr>
                <w:color w:val="000000"/>
                <w:lang w:eastAsia="de-AT"/>
              </w:rPr>
              <w:t>IS</w:t>
            </w:r>
            <w:r w:rsidRPr="00CC69EC">
              <w:rPr>
                <w:color w:val="000000"/>
                <w:lang w:eastAsia="de-AT"/>
              </w:rPr>
              <w:t xml:space="preserve">) = 0,63 (0,50; 0,79) </w:t>
            </w:r>
          </w:p>
          <w:p w14:paraId="6D93A694" w14:textId="77777777" w:rsidR="00564D9B" w:rsidRPr="00CC69EC" w:rsidRDefault="00564D9B" w:rsidP="00F75370">
            <w:pPr>
              <w:rPr>
                <w:color w:val="000000"/>
                <w:lang w:eastAsia="de-AT"/>
              </w:rPr>
            </w:pPr>
            <w:r w:rsidRPr="00CC69EC">
              <w:rPr>
                <w:color w:val="000000"/>
                <w:lang w:eastAsia="de-AT"/>
              </w:rPr>
              <w:t>p-hodnota</w:t>
            </w:r>
            <w:r w:rsidRPr="00CC69EC">
              <w:rPr>
                <w:color w:val="000000"/>
                <w:vertAlign w:val="superscript"/>
                <w:lang w:eastAsia="de-AT"/>
              </w:rPr>
              <w:t xml:space="preserve">d </w:t>
            </w:r>
            <w:r w:rsidRPr="00CC69EC">
              <w:rPr>
                <w:color w:val="000000"/>
                <w:lang w:eastAsia="de-AT"/>
              </w:rPr>
              <w:t xml:space="preserve">&lt; 0,001 </w:t>
            </w:r>
          </w:p>
        </w:tc>
      </w:tr>
      <w:tr w:rsidR="00564D9B" w:rsidRPr="00CC69EC" w14:paraId="334A5D26" w14:textId="77777777" w:rsidTr="00E110FB">
        <w:trPr>
          <w:tblCellSpacing w:w="0" w:type="dxa"/>
        </w:trPr>
        <w:tc>
          <w:tcPr>
            <w:tcW w:w="1444" w:type="pct"/>
            <w:hideMark/>
          </w:tcPr>
          <w:p w14:paraId="123CE0C6" w14:textId="5D473734" w:rsidR="00564D9B" w:rsidRPr="00CC69EC" w:rsidRDefault="00250C25" w:rsidP="00F75370">
            <w:pPr>
              <w:ind w:left="0" w:firstLine="0"/>
              <w:rPr>
                <w:color w:val="000000"/>
                <w:lang w:eastAsia="de-AT"/>
              </w:rPr>
            </w:pPr>
            <w:r>
              <w:rPr>
                <w:color w:val="000000"/>
                <w:lang w:eastAsia="de-AT"/>
              </w:rPr>
              <w:t>Medián</w:t>
            </w:r>
            <w:r w:rsidR="00564D9B" w:rsidRPr="00CC69EC">
              <w:rPr>
                <w:color w:val="000000"/>
                <w:vertAlign w:val="superscript"/>
                <w:lang w:eastAsia="de-AT"/>
              </w:rPr>
              <w:t xml:space="preserve">c </w:t>
            </w:r>
            <w:r w:rsidR="00564D9B" w:rsidRPr="00CC69EC">
              <w:rPr>
                <w:color w:val="000000"/>
                <w:lang w:eastAsia="de-AT"/>
              </w:rPr>
              <w:t>(95% I</w:t>
            </w:r>
            <w:r w:rsidR="00510194">
              <w:rPr>
                <w:color w:val="000000"/>
                <w:lang w:eastAsia="de-AT"/>
              </w:rPr>
              <w:t>S</w:t>
            </w:r>
            <w:r w:rsidR="00564D9B" w:rsidRPr="00CC69EC">
              <w:rPr>
                <w:color w:val="000000"/>
                <w:lang w:eastAsia="de-AT"/>
              </w:rPr>
              <w:t xml:space="preserve">) (mesiace) </w:t>
            </w:r>
          </w:p>
        </w:tc>
        <w:tc>
          <w:tcPr>
            <w:tcW w:w="1443" w:type="pct"/>
            <w:hideMark/>
          </w:tcPr>
          <w:p w14:paraId="4487D2D0" w14:textId="77777777" w:rsidR="00564D9B" w:rsidRPr="00CC69EC" w:rsidRDefault="00564D9B" w:rsidP="00F75370">
            <w:pPr>
              <w:jc w:val="center"/>
              <w:rPr>
                <w:color w:val="000000"/>
                <w:lang w:eastAsia="de-AT"/>
              </w:rPr>
            </w:pPr>
            <w:r w:rsidRPr="00CC69EC">
              <w:rPr>
                <w:color w:val="000000"/>
                <w:lang w:eastAsia="de-AT"/>
              </w:rPr>
              <w:t>24,7 (19,8; 31,8)</w:t>
            </w:r>
          </w:p>
        </w:tc>
        <w:tc>
          <w:tcPr>
            <w:tcW w:w="1007" w:type="pct"/>
            <w:hideMark/>
          </w:tcPr>
          <w:p w14:paraId="29AF48F6" w14:textId="77777777" w:rsidR="00564D9B" w:rsidRPr="00CC69EC" w:rsidRDefault="00564D9B" w:rsidP="00F75370">
            <w:pPr>
              <w:jc w:val="center"/>
              <w:rPr>
                <w:color w:val="000000"/>
                <w:lang w:eastAsia="de-AT"/>
              </w:rPr>
            </w:pPr>
            <w:r w:rsidRPr="00CC69EC">
              <w:rPr>
                <w:color w:val="000000"/>
                <w:lang w:eastAsia="de-AT"/>
              </w:rPr>
              <w:t>14,4 (12; 16,9)</w:t>
            </w:r>
          </w:p>
        </w:tc>
        <w:tc>
          <w:tcPr>
            <w:tcW w:w="1106" w:type="pct"/>
            <w:vMerge/>
            <w:hideMark/>
          </w:tcPr>
          <w:p w14:paraId="448EBF36" w14:textId="77777777" w:rsidR="00564D9B" w:rsidRPr="00CC69EC" w:rsidRDefault="00564D9B" w:rsidP="00F75370">
            <w:pPr>
              <w:rPr>
                <w:color w:val="000000"/>
                <w:lang w:eastAsia="de-AT"/>
              </w:rPr>
            </w:pPr>
          </w:p>
        </w:tc>
      </w:tr>
      <w:tr w:rsidR="00564D9B" w:rsidRPr="00CC69EC" w14:paraId="3FBE390E" w14:textId="77777777" w:rsidTr="00E110FB">
        <w:trPr>
          <w:tblCellSpacing w:w="0" w:type="dxa"/>
        </w:trPr>
        <w:tc>
          <w:tcPr>
            <w:tcW w:w="5000" w:type="pct"/>
            <w:gridSpan w:val="4"/>
            <w:hideMark/>
          </w:tcPr>
          <w:p w14:paraId="46E44F2D" w14:textId="77777777" w:rsidR="00564D9B" w:rsidRPr="00CC69EC" w:rsidRDefault="00564D9B" w:rsidP="00F75370">
            <w:pPr>
              <w:rPr>
                <w:color w:val="000000"/>
                <w:lang w:eastAsia="de-AT"/>
              </w:rPr>
            </w:pPr>
            <w:r w:rsidRPr="00CC69EC">
              <w:rPr>
                <w:b/>
                <w:bCs/>
                <w:color w:val="000000"/>
                <w:lang w:eastAsia="de-AT"/>
              </w:rPr>
              <w:t>Miera odpovede</w:t>
            </w:r>
          </w:p>
        </w:tc>
      </w:tr>
      <w:tr w:rsidR="00564D9B" w:rsidRPr="00CC69EC" w14:paraId="67F9FAF9" w14:textId="77777777" w:rsidTr="00E110FB">
        <w:trPr>
          <w:tblCellSpacing w:w="0" w:type="dxa"/>
        </w:trPr>
        <w:tc>
          <w:tcPr>
            <w:tcW w:w="1444" w:type="pct"/>
            <w:hideMark/>
          </w:tcPr>
          <w:p w14:paraId="7F9FA167" w14:textId="77777777" w:rsidR="00564D9B" w:rsidRPr="00CC69EC" w:rsidRDefault="00564D9B" w:rsidP="00F75370">
            <w:pPr>
              <w:autoSpaceDE w:val="0"/>
              <w:autoSpaceDN w:val="0"/>
              <w:adjustRightInd w:val="0"/>
              <w:ind w:left="0" w:firstLine="0"/>
              <w:rPr>
                <w:color w:val="000000"/>
                <w:szCs w:val="22"/>
                <w:lang w:eastAsia="de-AT"/>
              </w:rPr>
            </w:pPr>
            <w:r w:rsidRPr="00CC69EC">
              <w:rPr>
                <w:rFonts w:eastAsia="TimesNewRoman"/>
                <w:szCs w:val="22"/>
                <w:lang w:eastAsia="en-US"/>
              </w:rPr>
              <w:t>n: pacienti s hodnotiteľnou odpoveďou</w:t>
            </w:r>
          </w:p>
        </w:tc>
        <w:tc>
          <w:tcPr>
            <w:tcW w:w="1443" w:type="pct"/>
            <w:hideMark/>
          </w:tcPr>
          <w:p w14:paraId="29FFEC06" w14:textId="77777777" w:rsidR="00564D9B" w:rsidRPr="00CC69EC" w:rsidRDefault="00564D9B" w:rsidP="00F75370">
            <w:pPr>
              <w:jc w:val="center"/>
              <w:rPr>
                <w:color w:val="000000"/>
                <w:lang w:eastAsia="de-AT"/>
              </w:rPr>
            </w:pPr>
            <w:r w:rsidRPr="00CC69EC">
              <w:rPr>
                <w:color w:val="000000"/>
                <w:lang w:eastAsia="de-AT"/>
              </w:rPr>
              <w:t>229</w:t>
            </w:r>
          </w:p>
        </w:tc>
        <w:tc>
          <w:tcPr>
            <w:tcW w:w="1007" w:type="pct"/>
            <w:hideMark/>
          </w:tcPr>
          <w:p w14:paraId="5A0E628B" w14:textId="77777777" w:rsidR="00564D9B" w:rsidRPr="00CC69EC" w:rsidRDefault="00564D9B" w:rsidP="00F75370">
            <w:pPr>
              <w:jc w:val="center"/>
              <w:rPr>
                <w:color w:val="000000"/>
                <w:lang w:eastAsia="de-AT"/>
              </w:rPr>
            </w:pPr>
            <w:r w:rsidRPr="00CC69EC">
              <w:rPr>
                <w:color w:val="000000"/>
                <w:lang w:eastAsia="de-AT"/>
              </w:rPr>
              <w:t>228</w:t>
            </w:r>
          </w:p>
        </w:tc>
        <w:tc>
          <w:tcPr>
            <w:tcW w:w="1106" w:type="pct"/>
            <w:hideMark/>
          </w:tcPr>
          <w:p w14:paraId="74E74975" w14:textId="77777777" w:rsidR="00564D9B" w:rsidRPr="00CC69EC" w:rsidRDefault="00564D9B" w:rsidP="00F75370">
            <w:pPr>
              <w:rPr>
                <w:color w:val="000000"/>
                <w:lang w:eastAsia="de-AT"/>
              </w:rPr>
            </w:pPr>
          </w:p>
        </w:tc>
      </w:tr>
      <w:tr w:rsidR="00564D9B" w:rsidRPr="00CC69EC" w14:paraId="10F409A3" w14:textId="77777777" w:rsidTr="00E110FB">
        <w:trPr>
          <w:tblCellSpacing w:w="0" w:type="dxa"/>
        </w:trPr>
        <w:tc>
          <w:tcPr>
            <w:tcW w:w="1444" w:type="pct"/>
            <w:hideMark/>
          </w:tcPr>
          <w:p w14:paraId="7C1E0AD4" w14:textId="77777777" w:rsidR="00564D9B" w:rsidRPr="00CC69EC" w:rsidRDefault="00564D9B" w:rsidP="00F75370">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Celková kompletná odpoveď</w:t>
            </w:r>
          </w:p>
          <w:p w14:paraId="27926832" w14:textId="77777777" w:rsidR="00564D9B" w:rsidRPr="00CC69EC" w:rsidRDefault="00564D9B" w:rsidP="00F75370">
            <w:pPr>
              <w:rPr>
                <w:color w:val="000000"/>
                <w:szCs w:val="22"/>
                <w:lang w:eastAsia="de-AT"/>
              </w:rPr>
            </w:pPr>
            <w:r w:rsidRPr="00CC69EC">
              <w:rPr>
                <w:rFonts w:eastAsia="TimesNewRoman,Italic"/>
                <w:i/>
                <w:iCs/>
                <w:szCs w:val="22"/>
                <w:lang w:eastAsia="en-US"/>
              </w:rPr>
              <w:t>(CR+CRu)</w:t>
            </w:r>
            <w:r w:rsidRPr="00CC69EC">
              <w:rPr>
                <w:rFonts w:eastAsia="TimesNewRoman,Italic"/>
                <w:i/>
                <w:iCs/>
                <w:szCs w:val="22"/>
                <w:vertAlign w:val="superscript"/>
                <w:lang w:eastAsia="en-US"/>
              </w:rPr>
              <w:t>f</w:t>
            </w:r>
            <w:r w:rsidRPr="00CC69EC">
              <w:rPr>
                <w:rFonts w:eastAsia="TimesNewRoman,Italic"/>
                <w:i/>
                <w:iCs/>
                <w:szCs w:val="22"/>
                <w:lang w:eastAsia="en-US"/>
              </w:rPr>
              <w:t xml:space="preserve"> n(%)</w:t>
            </w:r>
          </w:p>
        </w:tc>
        <w:tc>
          <w:tcPr>
            <w:tcW w:w="1443" w:type="pct"/>
            <w:hideMark/>
          </w:tcPr>
          <w:p w14:paraId="36B3FF56" w14:textId="77777777" w:rsidR="00564D9B" w:rsidRPr="00CC69EC" w:rsidRDefault="00564D9B" w:rsidP="00F75370">
            <w:pPr>
              <w:jc w:val="center"/>
              <w:rPr>
                <w:color w:val="000000"/>
                <w:lang w:eastAsia="de-AT"/>
              </w:rPr>
            </w:pPr>
            <w:r w:rsidRPr="00CC69EC">
              <w:rPr>
                <w:color w:val="000000"/>
                <w:lang w:eastAsia="de-AT"/>
              </w:rPr>
              <w:t>122 (53,3 %)</w:t>
            </w:r>
          </w:p>
        </w:tc>
        <w:tc>
          <w:tcPr>
            <w:tcW w:w="1007" w:type="pct"/>
            <w:hideMark/>
          </w:tcPr>
          <w:p w14:paraId="3257506C" w14:textId="77777777" w:rsidR="00564D9B" w:rsidRPr="00CC69EC" w:rsidRDefault="00564D9B" w:rsidP="00F75370">
            <w:pPr>
              <w:jc w:val="center"/>
              <w:rPr>
                <w:color w:val="000000"/>
                <w:lang w:eastAsia="de-AT"/>
              </w:rPr>
            </w:pPr>
            <w:r w:rsidRPr="00CC69EC">
              <w:rPr>
                <w:color w:val="000000"/>
                <w:lang w:eastAsia="de-AT"/>
              </w:rPr>
              <w:t>95 (41,7 %)</w:t>
            </w:r>
          </w:p>
        </w:tc>
        <w:tc>
          <w:tcPr>
            <w:tcW w:w="1106" w:type="pct"/>
            <w:hideMark/>
          </w:tcPr>
          <w:p w14:paraId="5AB51254" w14:textId="101DBA8F" w:rsidR="00564D9B" w:rsidRPr="00CC69EC" w:rsidRDefault="00564D9B" w:rsidP="00F75370">
            <w:pPr>
              <w:ind w:left="0" w:firstLine="0"/>
              <w:rPr>
                <w:color w:val="000000"/>
                <w:lang w:eastAsia="de-AT"/>
              </w:rPr>
            </w:pPr>
            <w:r w:rsidRPr="00CC69EC">
              <w:rPr>
                <w:color w:val="000000"/>
                <w:lang w:eastAsia="de-AT"/>
              </w:rPr>
              <w:t>OR</w:t>
            </w:r>
            <w:r w:rsidRPr="00CC69EC">
              <w:rPr>
                <w:color w:val="000000"/>
                <w:vertAlign w:val="superscript"/>
                <w:lang w:eastAsia="de-AT"/>
              </w:rPr>
              <w:t>e</w:t>
            </w:r>
            <w:r w:rsidRPr="00CC69EC">
              <w:rPr>
                <w:color w:val="000000"/>
                <w:lang w:eastAsia="de-AT"/>
              </w:rPr>
              <w:t xml:space="preserve"> (95% I</w:t>
            </w:r>
            <w:r w:rsidR="00EC06BF">
              <w:rPr>
                <w:color w:val="000000"/>
                <w:lang w:eastAsia="de-AT"/>
              </w:rPr>
              <w:t>S</w:t>
            </w:r>
            <w:r w:rsidRPr="00CC69EC">
              <w:rPr>
                <w:color w:val="000000"/>
                <w:lang w:eastAsia="de-AT"/>
              </w:rPr>
              <w:t xml:space="preserve">) = 1,688 (1,148; 2,481) </w:t>
            </w:r>
          </w:p>
          <w:p w14:paraId="6F8D0B36" w14:textId="77777777" w:rsidR="00564D9B" w:rsidRPr="00CC69EC" w:rsidRDefault="00564D9B" w:rsidP="00F75370">
            <w:pPr>
              <w:rPr>
                <w:color w:val="000000"/>
                <w:lang w:eastAsia="de-AT"/>
              </w:rPr>
            </w:pPr>
            <w:r w:rsidRPr="00CC69EC">
              <w:rPr>
                <w:color w:val="000000"/>
                <w:lang w:eastAsia="de-AT"/>
              </w:rPr>
              <w:t>p-hodnota</w:t>
            </w:r>
            <w:r w:rsidRPr="00CC69EC">
              <w:rPr>
                <w:color w:val="000000"/>
                <w:vertAlign w:val="superscript"/>
                <w:lang w:eastAsia="de-AT"/>
              </w:rPr>
              <w:t xml:space="preserve">g </w:t>
            </w:r>
            <w:r w:rsidRPr="00CC69EC">
              <w:rPr>
                <w:color w:val="000000"/>
                <w:lang w:eastAsia="de-AT"/>
              </w:rPr>
              <w:t xml:space="preserve">= 0,007 </w:t>
            </w:r>
          </w:p>
        </w:tc>
      </w:tr>
      <w:tr w:rsidR="00564D9B" w:rsidRPr="00CC69EC" w14:paraId="09906710" w14:textId="77777777" w:rsidTr="00E110FB">
        <w:trPr>
          <w:tblCellSpacing w:w="0" w:type="dxa"/>
        </w:trPr>
        <w:tc>
          <w:tcPr>
            <w:tcW w:w="1444" w:type="pct"/>
            <w:hideMark/>
          </w:tcPr>
          <w:p w14:paraId="7D225ECB" w14:textId="77777777" w:rsidR="00564D9B" w:rsidRPr="00CC69EC" w:rsidRDefault="00564D9B" w:rsidP="00F75370">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Celková odpoveď</w:t>
            </w:r>
          </w:p>
          <w:p w14:paraId="2A9B94DF" w14:textId="77777777" w:rsidR="00564D9B" w:rsidRPr="00CC69EC" w:rsidRDefault="00564D9B" w:rsidP="00F75370">
            <w:pPr>
              <w:rPr>
                <w:color w:val="000000"/>
                <w:szCs w:val="22"/>
                <w:lang w:eastAsia="de-AT"/>
              </w:rPr>
            </w:pPr>
            <w:r w:rsidRPr="00CC69EC">
              <w:rPr>
                <w:rFonts w:eastAsia="TimesNewRoman,Italic"/>
                <w:i/>
                <w:iCs/>
                <w:szCs w:val="22"/>
                <w:lang w:eastAsia="en-US"/>
              </w:rPr>
              <w:t>(CR+CRu+PR)</w:t>
            </w:r>
            <w:r w:rsidRPr="00CC69EC">
              <w:rPr>
                <w:rFonts w:eastAsia="TimesNewRoman,Italic"/>
                <w:i/>
                <w:iCs/>
                <w:szCs w:val="22"/>
                <w:vertAlign w:val="superscript"/>
                <w:lang w:eastAsia="en-US"/>
              </w:rPr>
              <w:t>h</w:t>
            </w:r>
            <w:r w:rsidRPr="00CC69EC">
              <w:rPr>
                <w:rFonts w:eastAsia="TimesNewRoman,Italic"/>
                <w:i/>
                <w:iCs/>
                <w:szCs w:val="22"/>
                <w:lang w:eastAsia="en-US"/>
              </w:rPr>
              <w:t xml:space="preserve"> n(%)</w:t>
            </w:r>
          </w:p>
        </w:tc>
        <w:tc>
          <w:tcPr>
            <w:tcW w:w="1443" w:type="pct"/>
            <w:hideMark/>
          </w:tcPr>
          <w:p w14:paraId="2DAB040F" w14:textId="77777777" w:rsidR="00564D9B" w:rsidRPr="00CC69EC" w:rsidRDefault="00564D9B" w:rsidP="00F75370">
            <w:pPr>
              <w:jc w:val="center"/>
              <w:rPr>
                <w:color w:val="000000"/>
                <w:lang w:eastAsia="de-AT"/>
              </w:rPr>
            </w:pPr>
            <w:r w:rsidRPr="00CC69EC">
              <w:rPr>
                <w:color w:val="000000"/>
                <w:lang w:eastAsia="de-AT"/>
              </w:rPr>
              <w:t>211 (92,1 %)</w:t>
            </w:r>
          </w:p>
        </w:tc>
        <w:tc>
          <w:tcPr>
            <w:tcW w:w="1007" w:type="pct"/>
            <w:hideMark/>
          </w:tcPr>
          <w:p w14:paraId="14C76D26" w14:textId="77777777" w:rsidR="00564D9B" w:rsidRPr="00CC69EC" w:rsidRDefault="00564D9B" w:rsidP="00F75370">
            <w:pPr>
              <w:jc w:val="center"/>
              <w:rPr>
                <w:color w:val="000000"/>
                <w:lang w:eastAsia="de-AT"/>
              </w:rPr>
            </w:pPr>
            <w:r w:rsidRPr="00CC69EC">
              <w:rPr>
                <w:color w:val="000000"/>
                <w:lang w:eastAsia="de-AT"/>
              </w:rPr>
              <w:t>204 (89,5 %)</w:t>
            </w:r>
          </w:p>
        </w:tc>
        <w:tc>
          <w:tcPr>
            <w:tcW w:w="1106" w:type="pct"/>
            <w:hideMark/>
          </w:tcPr>
          <w:p w14:paraId="41B2F909" w14:textId="5F8AAC4E" w:rsidR="00564D9B" w:rsidRPr="00CC69EC" w:rsidRDefault="00564D9B" w:rsidP="00F75370">
            <w:pPr>
              <w:ind w:left="0" w:firstLine="0"/>
              <w:rPr>
                <w:color w:val="000000"/>
                <w:lang w:eastAsia="de-AT"/>
              </w:rPr>
            </w:pPr>
            <w:r w:rsidRPr="00CC69EC">
              <w:rPr>
                <w:color w:val="000000"/>
                <w:lang w:eastAsia="de-AT"/>
              </w:rPr>
              <w:t>OR</w:t>
            </w:r>
            <w:r w:rsidRPr="00CC69EC">
              <w:rPr>
                <w:color w:val="000000"/>
                <w:vertAlign w:val="superscript"/>
                <w:lang w:eastAsia="de-AT"/>
              </w:rPr>
              <w:t xml:space="preserve">e </w:t>
            </w:r>
            <w:r w:rsidRPr="00CC69EC">
              <w:rPr>
                <w:color w:val="000000"/>
                <w:lang w:eastAsia="de-AT"/>
              </w:rPr>
              <w:t>(95% I</w:t>
            </w:r>
            <w:r w:rsidR="00EC06BF">
              <w:rPr>
                <w:color w:val="000000"/>
                <w:lang w:eastAsia="de-AT"/>
              </w:rPr>
              <w:t>S</w:t>
            </w:r>
            <w:r w:rsidRPr="00CC69EC">
              <w:rPr>
                <w:color w:val="000000"/>
                <w:lang w:eastAsia="de-AT"/>
              </w:rPr>
              <w:t xml:space="preserve">) </w:t>
            </w:r>
            <w:r w:rsidRPr="00CC69EC">
              <w:rPr>
                <w:b/>
                <w:bCs/>
                <w:color w:val="000000"/>
                <w:lang w:eastAsia="de-AT"/>
              </w:rPr>
              <w:t xml:space="preserve">= </w:t>
            </w:r>
            <w:r w:rsidRPr="00CC69EC">
              <w:rPr>
                <w:color w:val="000000"/>
                <w:lang w:eastAsia="de-AT"/>
              </w:rPr>
              <w:t xml:space="preserve">1,428 (0,749; 2,722) </w:t>
            </w:r>
          </w:p>
          <w:p w14:paraId="0A08AAE2" w14:textId="77777777" w:rsidR="00564D9B" w:rsidRPr="00CC69EC" w:rsidRDefault="00564D9B" w:rsidP="00F75370">
            <w:pPr>
              <w:rPr>
                <w:color w:val="000000"/>
                <w:lang w:eastAsia="de-AT"/>
              </w:rPr>
            </w:pPr>
            <w:r w:rsidRPr="00CC69EC">
              <w:rPr>
                <w:color w:val="000000"/>
                <w:lang w:eastAsia="de-AT"/>
              </w:rPr>
              <w:t>p-hodnota</w:t>
            </w:r>
            <w:r w:rsidRPr="00CC69EC">
              <w:rPr>
                <w:color w:val="000000"/>
                <w:vertAlign w:val="superscript"/>
                <w:lang w:eastAsia="de-AT"/>
              </w:rPr>
              <w:t xml:space="preserve">g </w:t>
            </w:r>
            <w:r w:rsidRPr="00CC69EC">
              <w:rPr>
                <w:b/>
                <w:bCs/>
                <w:color w:val="000000"/>
                <w:lang w:eastAsia="de-AT"/>
              </w:rPr>
              <w:t xml:space="preserve">= </w:t>
            </w:r>
            <w:r w:rsidRPr="00CC69EC">
              <w:rPr>
                <w:color w:val="000000"/>
                <w:lang w:eastAsia="de-AT"/>
              </w:rPr>
              <w:t xml:space="preserve">0,275 </w:t>
            </w:r>
          </w:p>
        </w:tc>
      </w:tr>
    </w:tbl>
    <w:p w14:paraId="03CE84D1" w14:textId="66011A8E"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a</w:t>
      </w:r>
      <w:r w:rsidRPr="00E110FB">
        <w:rPr>
          <w:rFonts w:eastAsia="TimesNewRoman"/>
          <w:sz w:val="18"/>
          <w:szCs w:val="18"/>
          <w:lang w:eastAsia="en-US"/>
        </w:rPr>
        <w:t xml:space="preserve"> Na základe hodnotenia </w:t>
      </w:r>
      <w:r w:rsidR="00EC06BF">
        <w:rPr>
          <w:rFonts w:eastAsia="TimesNewRoman"/>
          <w:sz w:val="18"/>
          <w:szCs w:val="18"/>
          <w:lang w:eastAsia="en-US"/>
        </w:rPr>
        <w:t>n</w:t>
      </w:r>
      <w:r w:rsidRPr="00E110FB">
        <w:rPr>
          <w:rFonts w:eastAsia="TimesNewRoman"/>
          <w:sz w:val="18"/>
          <w:szCs w:val="18"/>
          <w:lang w:eastAsia="en-US"/>
        </w:rPr>
        <w:t>ezávislou hodnotiacou komisiou (IRC) (len rádiografické údaje).</w:t>
      </w:r>
    </w:p>
    <w:p w14:paraId="24C9FBA7" w14:textId="6FAB48CD"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b</w:t>
      </w:r>
      <w:r w:rsidRPr="00E110FB">
        <w:rPr>
          <w:rFonts w:eastAsia="TimesNewRoman"/>
          <w:sz w:val="18"/>
          <w:szCs w:val="18"/>
          <w:lang w:eastAsia="en-US"/>
        </w:rPr>
        <w:t xml:space="preserve"> Odhad </w:t>
      </w:r>
      <w:r w:rsidR="002A4BF1">
        <w:rPr>
          <w:rFonts w:eastAsia="TimesNewRoman"/>
          <w:sz w:val="18"/>
          <w:szCs w:val="18"/>
          <w:lang w:eastAsia="en-US"/>
        </w:rPr>
        <w:t>pomeru</w:t>
      </w:r>
      <w:r w:rsidRPr="00E110FB">
        <w:rPr>
          <w:rFonts w:eastAsia="TimesNewRoman"/>
          <w:sz w:val="18"/>
          <w:szCs w:val="18"/>
          <w:lang w:eastAsia="en-US"/>
        </w:rPr>
        <w:t>riz</w:t>
      </w:r>
      <w:r w:rsidR="002A4BF1">
        <w:rPr>
          <w:rFonts w:eastAsia="TimesNewRoman"/>
          <w:sz w:val="18"/>
          <w:szCs w:val="18"/>
          <w:lang w:eastAsia="en-US"/>
        </w:rPr>
        <w:t>ík</w:t>
      </w:r>
      <w:r w:rsidRPr="00E110FB">
        <w:rPr>
          <w:rFonts w:eastAsia="TimesNewRoman"/>
          <w:sz w:val="18"/>
          <w:szCs w:val="18"/>
          <w:lang w:eastAsia="en-US"/>
        </w:rPr>
        <w:t xml:space="preserve"> je založený na Coxovom modeli stratifikovanom podľa rizika IPI a štádia ochorenia. </w:t>
      </w:r>
      <w:r w:rsidR="002A4BF1">
        <w:rPr>
          <w:rFonts w:eastAsia="TimesNewRoman"/>
          <w:sz w:val="18"/>
          <w:szCs w:val="18"/>
          <w:lang w:eastAsia="en-US"/>
        </w:rPr>
        <w:t>Pomer</w:t>
      </w:r>
      <w:r w:rsidRPr="00E110FB">
        <w:rPr>
          <w:rFonts w:eastAsia="TimesNewRoman"/>
          <w:sz w:val="18"/>
          <w:szCs w:val="18"/>
          <w:lang w:eastAsia="en-US"/>
        </w:rPr>
        <w:t xml:space="preserve"> riz</w:t>
      </w:r>
      <w:r w:rsidR="002A4BF1">
        <w:rPr>
          <w:rFonts w:eastAsia="TimesNewRoman"/>
          <w:sz w:val="18"/>
          <w:szCs w:val="18"/>
          <w:lang w:eastAsia="en-US"/>
        </w:rPr>
        <w:t>ík</w:t>
      </w:r>
      <w:r w:rsidRPr="00E110FB">
        <w:rPr>
          <w:rFonts w:eastAsia="TimesNewRoman"/>
          <w:sz w:val="18"/>
          <w:szCs w:val="18"/>
          <w:lang w:eastAsia="en-US"/>
        </w:rPr>
        <w:t xml:space="preserve"> &lt; 1 naznačuje výhodu pre BR-CAP.</w:t>
      </w:r>
    </w:p>
    <w:p w14:paraId="73C7F235"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 xml:space="preserve">c </w:t>
      </w:r>
      <w:r w:rsidRPr="00E110FB">
        <w:rPr>
          <w:rFonts w:eastAsia="TimesNewRoman"/>
          <w:sz w:val="18"/>
          <w:szCs w:val="18"/>
          <w:lang w:eastAsia="en-US"/>
        </w:rPr>
        <w:t>Na základe Kaplanovho-Meierovho odhadu funkcie prežitia.</w:t>
      </w:r>
    </w:p>
    <w:p w14:paraId="58A3D277"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d</w:t>
      </w:r>
      <w:r w:rsidRPr="00E110FB">
        <w:rPr>
          <w:rFonts w:eastAsia="TimesNewRoman"/>
          <w:sz w:val="18"/>
          <w:szCs w:val="18"/>
          <w:lang w:eastAsia="en-US"/>
        </w:rPr>
        <w:t xml:space="preserve"> Na základe log rank testu stratifikovanom podľa rizika IPI a štádia ochorenia.</w:t>
      </w:r>
    </w:p>
    <w:p w14:paraId="1FCDF8C6" w14:textId="1914CF38"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e</w:t>
      </w:r>
      <w:r w:rsidRPr="00E110FB">
        <w:rPr>
          <w:rFonts w:eastAsia="TimesNewRoman"/>
          <w:sz w:val="18"/>
          <w:szCs w:val="18"/>
          <w:lang w:eastAsia="en-US"/>
        </w:rPr>
        <w:t xml:space="preserve"> Použil sa Mantelov-Haenszelov odhad bežného pomeru </w:t>
      </w:r>
      <w:r w:rsidR="002A4BF1">
        <w:rPr>
          <w:rFonts w:eastAsia="TimesNewRoman"/>
          <w:sz w:val="18"/>
          <w:szCs w:val="18"/>
          <w:lang w:eastAsia="en-US"/>
        </w:rPr>
        <w:t>šancí</w:t>
      </w:r>
      <w:r w:rsidR="002A4BF1" w:rsidRPr="00E110FB">
        <w:rPr>
          <w:rFonts w:eastAsia="TimesNewRoman"/>
          <w:sz w:val="18"/>
          <w:szCs w:val="18"/>
          <w:lang w:eastAsia="en-US"/>
        </w:rPr>
        <w:t xml:space="preserve"> </w:t>
      </w:r>
      <w:r w:rsidRPr="00E110FB">
        <w:rPr>
          <w:rFonts w:eastAsia="TimesNewRoman"/>
          <w:sz w:val="18"/>
          <w:szCs w:val="18"/>
          <w:lang w:eastAsia="en-US"/>
        </w:rPr>
        <w:t>pre stratifikované tabuľky, s IPI rizikom a štádiom ochorenia ako stratifikačnými faktormi. (OR) &gt; 1 naznačuje výhodu pre BR-CAP.</w:t>
      </w:r>
    </w:p>
    <w:p w14:paraId="3BCD79BB"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f</w:t>
      </w:r>
      <w:r w:rsidRPr="00E110FB">
        <w:rPr>
          <w:rFonts w:eastAsia="TimesNewRoman"/>
          <w:sz w:val="18"/>
          <w:szCs w:val="18"/>
          <w:lang w:eastAsia="en-US"/>
        </w:rPr>
        <w:t xml:space="preserve"> Zahŕňa všetky CR + CRu, podľa IRC, kostnej drene a LDH.</w:t>
      </w:r>
    </w:p>
    <w:p w14:paraId="54C3BE71" w14:textId="49CB9B84"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 xml:space="preserve">g </w:t>
      </w:r>
      <w:r w:rsidR="002A4BF1">
        <w:rPr>
          <w:rFonts w:eastAsia="TimesNewRoman"/>
          <w:sz w:val="18"/>
          <w:szCs w:val="18"/>
          <w:lang w:eastAsia="en-US"/>
        </w:rPr>
        <w:t>H</w:t>
      </w:r>
      <w:r w:rsidRPr="00E110FB">
        <w:rPr>
          <w:rFonts w:eastAsia="TimesNewRoman"/>
          <w:sz w:val="18"/>
          <w:szCs w:val="18"/>
          <w:lang w:eastAsia="en-US"/>
        </w:rPr>
        <w:t>odnota</w:t>
      </w:r>
      <w:r w:rsidR="002A4BF1">
        <w:rPr>
          <w:rFonts w:eastAsia="TimesNewRoman"/>
          <w:sz w:val="18"/>
          <w:szCs w:val="18"/>
          <w:lang w:eastAsia="en-US"/>
        </w:rPr>
        <w:t xml:space="preserve"> p</w:t>
      </w:r>
      <w:r w:rsidRPr="00E110FB">
        <w:rPr>
          <w:rFonts w:eastAsia="TimesNewRoman"/>
          <w:sz w:val="18"/>
          <w:szCs w:val="18"/>
          <w:lang w:eastAsia="en-US"/>
        </w:rPr>
        <w:t xml:space="preserve"> z Cochranovho Mantelovho-Haenszelovho chí-kvadr</w:t>
      </w:r>
      <w:r w:rsidR="002A4BF1">
        <w:rPr>
          <w:rFonts w:eastAsia="TimesNewRoman"/>
          <w:sz w:val="18"/>
          <w:szCs w:val="18"/>
          <w:lang w:eastAsia="en-US"/>
        </w:rPr>
        <w:t>átového</w:t>
      </w:r>
      <w:r w:rsidRPr="00E110FB">
        <w:rPr>
          <w:rFonts w:eastAsia="TimesNewRoman"/>
          <w:sz w:val="18"/>
          <w:szCs w:val="18"/>
          <w:lang w:eastAsia="en-US"/>
        </w:rPr>
        <w:t xml:space="preserve"> testu, s IPI rizikom a štádiom ochorenia ako stratifikačnými faktormi.</w:t>
      </w:r>
    </w:p>
    <w:p w14:paraId="746DE823" w14:textId="3573CAB4"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h</w:t>
      </w:r>
      <w:r w:rsidRPr="00E110FB">
        <w:rPr>
          <w:rFonts w:eastAsia="TimesNewRoman"/>
          <w:sz w:val="18"/>
          <w:szCs w:val="18"/>
          <w:lang w:eastAsia="en-US"/>
        </w:rPr>
        <w:t xml:space="preserve"> Zahŕňa všetky rádiografické CR+CRu+PR podľa IRC bez ohľadu na </w:t>
      </w:r>
      <w:r w:rsidR="002A4BF1">
        <w:rPr>
          <w:rFonts w:eastAsia="TimesNewRoman"/>
          <w:sz w:val="18"/>
          <w:szCs w:val="18"/>
          <w:lang w:eastAsia="en-US"/>
        </w:rPr>
        <w:t>verifikáciu</w:t>
      </w:r>
      <w:r w:rsidR="002A4BF1" w:rsidRPr="00E110FB">
        <w:rPr>
          <w:rFonts w:eastAsia="TimesNewRoman"/>
          <w:sz w:val="18"/>
          <w:szCs w:val="18"/>
          <w:lang w:eastAsia="en-US"/>
        </w:rPr>
        <w:t xml:space="preserve"> </w:t>
      </w:r>
      <w:r w:rsidR="002A4BF1">
        <w:rPr>
          <w:rFonts w:eastAsia="TimesNewRoman"/>
          <w:sz w:val="18"/>
          <w:szCs w:val="18"/>
          <w:lang w:eastAsia="en-US"/>
        </w:rPr>
        <w:t>z</w:t>
      </w:r>
      <w:r w:rsidR="002A4BF1" w:rsidRPr="00E110FB">
        <w:rPr>
          <w:rFonts w:eastAsia="TimesNewRoman"/>
          <w:sz w:val="18"/>
          <w:szCs w:val="18"/>
          <w:lang w:eastAsia="en-US"/>
        </w:rPr>
        <w:t xml:space="preserve"> </w:t>
      </w:r>
      <w:r w:rsidRPr="00E110FB">
        <w:rPr>
          <w:rFonts w:eastAsia="TimesNewRoman"/>
          <w:sz w:val="18"/>
          <w:szCs w:val="18"/>
          <w:lang w:eastAsia="en-US"/>
        </w:rPr>
        <w:t>kostnej drene a LDH.</w:t>
      </w:r>
    </w:p>
    <w:p w14:paraId="376F86EB"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 xml:space="preserve">CR = kompletná odpoveď; CRu = kompletná odpoveď nepotvrdená; PR = čiastočná odpoveď; </w:t>
      </w:r>
    </w:p>
    <w:p w14:paraId="4C97B71E" w14:textId="0E9271FA" w:rsidR="00564D9B" w:rsidRPr="00E110FB" w:rsidRDefault="00390513" w:rsidP="00564D9B">
      <w:pPr>
        <w:autoSpaceDE w:val="0"/>
        <w:autoSpaceDN w:val="0"/>
        <w:adjustRightInd w:val="0"/>
        <w:ind w:left="0" w:firstLine="0"/>
        <w:rPr>
          <w:rFonts w:eastAsia="TimesNewRoman"/>
          <w:sz w:val="18"/>
          <w:szCs w:val="18"/>
          <w:lang w:eastAsia="en-US"/>
        </w:rPr>
      </w:pPr>
      <w:r>
        <w:rPr>
          <w:rFonts w:eastAsia="TimesNewRoman"/>
          <w:sz w:val="18"/>
          <w:szCs w:val="18"/>
          <w:lang w:eastAsia="en-US"/>
        </w:rPr>
        <w:t>IS</w:t>
      </w:r>
      <w:r w:rsidR="00564D9B" w:rsidRPr="00E110FB">
        <w:rPr>
          <w:rFonts w:eastAsia="TimesNewRoman"/>
          <w:sz w:val="18"/>
          <w:szCs w:val="18"/>
          <w:lang w:eastAsia="en-US"/>
        </w:rPr>
        <w:t xml:space="preserve"> = interval spoľahlivosti, HR = </w:t>
      </w:r>
      <w:r w:rsidR="002A4BF1">
        <w:rPr>
          <w:rFonts w:eastAsia="TimesNewRoman"/>
          <w:sz w:val="18"/>
          <w:szCs w:val="18"/>
          <w:lang w:eastAsia="en-US"/>
        </w:rPr>
        <w:t>pomer</w:t>
      </w:r>
      <w:r w:rsidR="002A4BF1" w:rsidRPr="00E110FB">
        <w:rPr>
          <w:rFonts w:eastAsia="TimesNewRoman"/>
          <w:sz w:val="18"/>
          <w:szCs w:val="18"/>
          <w:lang w:eastAsia="en-US"/>
        </w:rPr>
        <w:t xml:space="preserve"> </w:t>
      </w:r>
      <w:r w:rsidR="00564D9B" w:rsidRPr="00E110FB">
        <w:rPr>
          <w:rFonts w:eastAsia="TimesNewRoman"/>
          <w:sz w:val="18"/>
          <w:szCs w:val="18"/>
          <w:lang w:eastAsia="en-US"/>
        </w:rPr>
        <w:t>riz</w:t>
      </w:r>
      <w:r w:rsidR="002A4BF1">
        <w:rPr>
          <w:rFonts w:eastAsia="TimesNewRoman"/>
          <w:sz w:val="18"/>
          <w:szCs w:val="18"/>
          <w:lang w:eastAsia="en-US"/>
        </w:rPr>
        <w:t>ík</w:t>
      </w:r>
      <w:r w:rsidR="00564D9B" w:rsidRPr="00E110FB">
        <w:rPr>
          <w:rFonts w:eastAsia="TimesNewRoman"/>
          <w:sz w:val="18"/>
          <w:szCs w:val="18"/>
          <w:lang w:eastAsia="en-US"/>
        </w:rPr>
        <w:t xml:space="preserve"> (z angl. hazard ratio); OR = pomer </w:t>
      </w:r>
      <w:r w:rsidR="002A4BF1">
        <w:rPr>
          <w:rFonts w:eastAsia="TimesNewRoman"/>
          <w:sz w:val="18"/>
          <w:szCs w:val="18"/>
          <w:lang w:eastAsia="en-US"/>
        </w:rPr>
        <w:t>šancí</w:t>
      </w:r>
      <w:r w:rsidR="002A4BF1" w:rsidRPr="00E110FB">
        <w:rPr>
          <w:rFonts w:eastAsia="TimesNewRoman"/>
          <w:sz w:val="18"/>
          <w:szCs w:val="18"/>
          <w:lang w:eastAsia="en-US"/>
        </w:rPr>
        <w:t xml:space="preserve"> </w:t>
      </w:r>
      <w:r w:rsidR="00564D9B" w:rsidRPr="00E110FB">
        <w:rPr>
          <w:rFonts w:eastAsia="TimesNewRoman"/>
          <w:sz w:val="18"/>
          <w:szCs w:val="18"/>
          <w:lang w:eastAsia="en-US"/>
        </w:rPr>
        <w:t>(z angl. odds ratio); ITT = s úmyslom liečby (z angl. intention to treat)</w:t>
      </w:r>
    </w:p>
    <w:p w14:paraId="7358DA41" w14:textId="77777777" w:rsidR="00564D9B" w:rsidRPr="00CC69EC" w:rsidRDefault="00564D9B" w:rsidP="00564D9B">
      <w:pPr>
        <w:autoSpaceDE w:val="0"/>
        <w:autoSpaceDN w:val="0"/>
        <w:adjustRightInd w:val="0"/>
        <w:ind w:left="0" w:firstLine="0"/>
        <w:rPr>
          <w:b/>
          <w:szCs w:val="22"/>
          <w:u w:val="single"/>
        </w:rPr>
      </w:pPr>
    </w:p>
    <w:p w14:paraId="1FD651D5" w14:textId="38E0A8F1" w:rsidR="00564D9B" w:rsidRPr="00CC69EC" w:rsidRDefault="00F606E0" w:rsidP="00564D9B">
      <w:pPr>
        <w:autoSpaceDE w:val="0"/>
        <w:autoSpaceDN w:val="0"/>
        <w:adjustRightInd w:val="0"/>
        <w:ind w:left="0" w:firstLine="0"/>
        <w:rPr>
          <w:rFonts w:eastAsia="TimesNewRoman"/>
          <w:szCs w:val="22"/>
          <w:lang w:eastAsia="en-US"/>
        </w:rPr>
      </w:pPr>
      <w:r>
        <w:rPr>
          <w:rFonts w:eastAsia="TimesNewRoman"/>
          <w:szCs w:val="22"/>
          <w:lang w:eastAsia="en-US"/>
        </w:rPr>
        <w:t>Medián</w:t>
      </w:r>
      <w:r w:rsidR="00564D9B" w:rsidRPr="00CC69EC">
        <w:rPr>
          <w:rFonts w:eastAsia="TimesNewRoman"/>
          <w:szCs w:val="22"/>
          <w:lang w:eastAsia="en-US"/>
        </w:rPr>
        <w:t xml:space="preserve"> PFS bola podľa posúdenia skúšajúceho 30,7 mesiacov v skupine BR-CAP a 16,1 mesiacov v skupine R-CHOP (</w:t>
      </w:r>
      <w:r>
        <w:rPr>
          <w:rFonts w:eastAsia="TimesNewRoman"/>
          <w:szCs w:val="22"/>
          <w:lang w:eastAsia="en-US"/>
        </w:rPr>
        <w:t>pomer</w:t>
      </w:r>
      <w:r w:rsidRPr="00CC69EC">
        <w:rPr>
          <w:rFonts w:eastAsia="TimesNewRoman"/>
          <w:szCs w:val="22"/>
          <w:lang w:eastAsia="en-US"/>
        </w:rPr>
        <w:t xml:space="preserve"> </w:t>
      </w:r>
      <w:r w:rsidR="00564D9B" w:rsidRPr="00CC69EC">
        <w:rPr>
          <w:rFonts w:eastAsia="TimesNewRoman"/>
          <w:szCs w:val="22"/>
          <w:lang w:eastAsia="en-US"/>
        </w:rPr>
        <w:t>riz</w:t>
      </w:r>
      <w:r>
        <w:rPr>
          <w:rFonts w:eastAsia="TimesNewRoman"/>
          <w:szCs w:val="22"/>
          <w:lang w:eastAsia="en-US"/>
        </w:rPr>
        <w:t>ík</w:t>
      </w:r>
      <w:r w:rsidR="00564D9B" w:rsidRPr="00CC69EC">
        <w:rPr>
          <w:rFonts w:eastAsia="TimesNewRoman"/>
          <w:szCs w:val="22"/>
          <w:lang w:eastAsia="en-US"/>
        </w:rPr>
        <w:t xml:space="preserve"> [HR] = 0,51; p &lt; 0,001). Štatisticky významný prínos (p &lt; 0,001) v prospech skupiny liečenej BR-CAP v porovnaní so skupinou R-CHOP bol pozorovaný pre TTP (</w:t>
      </w:r>
      <w:r>
        <w:rPr>
          <w:rFonts w:eastAsia="TimesNewRoman"/>
          <w:szCs w:val="22"/>
          <w:lang w:eastAsia="en-US"/>
        </w:rPr>
        <w:t>medián</w:t>
      </w:r>
      <w:r w:rsidR="00564D9B" w:rsidRPr="00CC69EC">
        <w:rPr>
          <w:rFonts w:eastAsia="TimesNewRoman"/>
          <w:szCs w:val="22"/>
          <w:lang w:eastAsia="en-US"/>
        </w:rPr>
        <w:t xml:space="preserve"> 30,5 oproti 16,1 mesiacov), TNT (</w:t>
      </w:r>
      <w:r>
        <w:rPr>
          <w:rFonts w:eastAsia="TimesNewRoman"/>
          <w:szCs w:val="22"/>
          <w:lang w:eastAsia="en-US"/>
        </w:rPr>
        <w:t>medián</w:t>
      </w:r>
      <w:r w:rsidR="00564D9B" w:rsidRPr="00CC69EC">
        <w:rPr>
          <w:rFonts w:eastAsia="TimesNewRoman"/>
          <w:szCs w:val="22"/>
          <w:lang w:eastAsia="en-US"/>
        </w:rPr>
        <w:t xml:space="preserve"> 44,5 oproti 24,8 mesiacov) a TFI (</w:t>
      </w:r>
      <w:r>
        <w:rPr>
          <w:rFonts w:eastAsia="TimesNewRoman"/>
          <w:szCs w:val="22"/>
          <w:lang w:eastAsia="en-US"/>
        </w:rPr>
        <w:t>medián</w:t>
      </w:r>
      <w:r w:rsidR="00564D9B" w:rsidRPr="00CC69EC">
        <w:rPr>
          <w:rFonts w:eastAsia="TimesNewRoman"/>
          <w:szCs w:val="22"/>
          <w:lang w:eastAsia="en-US"/>
        </w:rPr>
        <w:t xml:space="preserve"> 40,6 oproti 20,5 mesiacov). </w:t>
      </w:r>
      <w:r>
        <w:rPr>
          <w:rFonts w:eastAsia="TimesNewRoman"/>
          <w:szCs w:val="22"/>
          <w:lang w:eastAsia="en-US"/>
        </w:rPr>
        <w:t>Medián</w:t>
      </w:r>
      <w:r w:rsidR="00564D9B" w:rsidRPr="00CC69EC">
        <w:rPr>
          <w:rFonts w:eastAsia="TimesNewRoman"/>
          <w:szCs w:val="22"/>
          <w:lang w:eastAsia="en-US"/>
        </w:rPr>
        <w:t xml:space="preserve"> trvania kompletnej odpovede bol 42,1 mesiacov v skupine BR-CAP v porovnaní s 18 mesiacmi v skupine R</w:t>
      </w:r>
      <w:r w:rsidR="00564D9B" w:rsidRPr="00CC69EC">
        <w:rPr>
          <w:rFonts w:eastAsia="TimesNewRoman"/>
          <w:szCs w:val="22"/>
          <w:lang w:eastAsia="en-US"/>
        </w:rPr>
        <w:noBreakHyphen/>
        <w:t>CHOP. Trvanie celkovej odpovede bolo o 21,4 mesiacov dlhšie v skupine BR-CAP (</w:t>
      </w:r>
      <w:r>
        <w:rPr>
          <w:rFonts w:eastAsia="TimesNewRoman"/>
          <w:szCs w:val="22"/>
          <w:lang w:eastAsia="en-US"/>
        </w:rPr>
        <w:t>medián</w:t>
      </w:r>
      <w:r w:rsidR="00564D9B" w:rsidRPr="00CC69EC">
        <w:rPr>
          <w:rFonts w:eastAsia="TimesNewRoman"/>
          <w:szCs w:val="22"/>
          <w:lang w:eastAsia="en-US"/>
        </w:rPr>
        <w:t xml:space="preserve"> 36,5 mesiacov oproti 15,1 mesiacov v skupine R-CHOP). </w:t>
      </w:r>
      <w:r w:rsidR="00030E94">
        <w:rPr>
          <w:rFonts w:eastAsia="TimesNewRoman"/>
          <w:szCs w:val="22"/>
          <w:lang w:eastAsia="en-US"/>
        </w:rPr>
        <w:t xml:space="preserve">Výsledná analýza OS </w:t>
      </w:r>
      <w:r w:rsidR="00030E94" w:rsidRPr="0006503D">
        <w:rPr>
          <w:rFonts w:eastAsia="TimesNewRoman"/>
          <w:szCs w:val="22"/>
          <w:lang w:eastAsia="en-US"/>
        </w:rPr>
        <w:t xml:space="preserve">bola vykonaná po </w:t>
      </w:r>
      <w:r w:rsidR="00030E94">
        <w:rPr>
          <w:rFonts w:eastAsia="TimesNewRoman"/>
          <w:szCs w:val="22"/>
          <w:lang w:eastAsia="en-US"/>
        </w:rPr>
        <w:t>následnom sledovaní s mediánom</w:t>
      </w:r>
      <w:r w:rsidR="00030E94" w:rsidRPr="0006503D">
        <w:rPr>
          <w:rFonts w:eastAsia="TimesNewRoman"/>
          <w:szCs w:val="22"/>
          <w:lang w:eastAsia="en-US"/>
        </w:rPr>
        <w:t xml:space="preserve"> </w:t>
      </w:r>
      <w:r w:rsidR="00030E94">
        <w:rPr>
          <w:rFonts w:eastAsia="TimesNewRoman"/>
          <w:szCs w:val="22"/>
          <w:lang w:eastAsia="en-US"/>
        </w:rPr>
        <w:t xml:space="preserve">trvania </w:t>
      </w:r>
      <w:r w:rsidR="00030E94" w:rsidRPr="0006503D">
        <w:rPr>
          <w:rFonts w:eastAsia="TimesNewRoman"/>
          <w:szCs w:val="22"/>
          <w:lang w:eastAsia="en-US"/>
        </w:rPr>
        <w:t xml:space="preserve">82 mesiacov. Medián OS bol 90,7 mesiaca pre skupinu BzR-CAP </w:t>
      </w:r>
      <w:r w:rsidR="00030E94">
        <w:rPr>
          <w:rFonts w:eastAsia="TimesNewRoman"/>
          <w:szCs w:val="22"/>
          <w:lang w:eastAsia="en-US"/>
        </w:rPr>
        <w:t>a</w:t>
      </w:r>
      <w:r w:rsidR="00030E94" w:rsidRPr="0006503D">
        <w:rPr>
          <w:rFonts w:eastAsia="TimesNewRoman"/>
          <w:szCs w:val="22"/>
          <w:lang w:eastAsia="en-US"/>
        </w:rPr>
        <w:t xml:space="preserve"> 55,7 mesiac</w:t>
      </w:r>
      <w:r w:rsidR="00030E94">
        <w:rPr>
          <w:rFonts w:eastAsia="TimesNewRoman"/>
          <w:szCs w:val="22"/>
          <w:lang w:eastAsia="en-US"/>
        </w:rPr>
        <w:t>a</w:t>
      </w:r>
      <w:r w:rsidR="00030E94" w:rsidRPr="0006503D">
        <w:rPr>
          <w:rFonts w:eastAsia="TimesNewRoman"/>
          <w:szCs w:val="22"/>
          <w:lang w:eastAsia="en-US"/>
        </w:rPr>
        <w:t xml:space="preserve"> pre skupinu R-CHOP (HR = 0,66; p = 0,001). Pozorovaný </w:t>
      </w:r>
      <w:r w:rsidR="00030E94">
        <w:rPr>
          <w:rFonts w:eastAsia="TimesNewRoman"/>
          <w:szCs w:val="22"/>
          <w:lang w:eastAsia="en-US"/>
        </w:rPr>
        <w:t xml:space="preserve">finálny rozdiel mediánu OS medzi dvomi liečebnými </w:t>
      </w:r>
      <w:r w:rsidR="00030E94" w:rsidRPr="0006503D">
        <w:rPr>
          <w:rFonts w:eastAsia="TimesNewRoman"/>
          <w:szCs w:val="22"/>
          <w:lang w:eastAsia="en-US"/>
        </w:rPr>
        <w:t>skupinami bol 35 mesiacov.</w:t>
      </w:r>
    </w:p>
    <w:p w14:paraId="7C0E27CD" w14:textId="659DFFC0"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 xml:space="preserve">Pacienti, u ktorých bola predtým liečená amyloidóza </w:t>
      </w:r>
      <w:r w:rsidR="00F606E0">
        <w:rPr>
          <w:rFonts w:eastAsia="TimesNewRoman"/>
          <w:szCs w:val="22"/>
          <w:u w:val="single"/>
          <w:lang w:eastAsia="en-US"/>
        </w:rPr>
        <w:t xml:space="preserve">s produkciou </w:t>
      </w:r>
      <w:r w:rsidRPr="00CC69EC">
        <w:rPr>
          <w:rFonts w:eastAsia="TimesNewRoman"/>
          <w:szCs w:val="22"/>
          <w:u w:val="single"/>
          <w:lang w:eastAsia="en-US"/>
        </w:rPr>
        <w:t>ľahkých reťazcov (AL - light-chain)</w:t>
      </w:r>
    </w:p>
    <w:p w14:paraId="4619D1FE" w14:textId="7CDC84FA"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Vykonala sa otvorená</w:t>
      </w:r>
      <w:r w:rsidR="00F606E0">
        <w:rPr>
          <w:rFonts w:eastAsia="TimesNewRoman"/>
          <w:szCs w:val="22"/>
          <w:lang w:eastAsia="en-US"/>
        </w:rPr>
        <w:t>,</w:t>
      </w:r>
      <w:r w:rsidRPr="00CC69EC">
        <w:rPr>
          <w:rFonts w:eastAsia="TimesNewRoman"/>
          <w:szCs w:val="22"/>
          <w:lang w:eastAsia="en-US"/>
        </w:rPr>
        <w:t xml:space="preserve"> nerandomizovaná klinická štúdia fázy I/II na stanovenie bezpečnosti a účinnosti bortezomibu u pacientov, u ktorých bola predtým liečená amyloidóza</w:t>
      </w:r>
      <w:r w:rsidR="00F606E0">
        <w:rPr>
          <w:rFonts w:eastAsia="TimesNewRoman"/>
          <w:szCs w:val="22"/>
          <w:lang w:eastAsia="en-US"/>
        </w:rPr>
        <w:t xml:space="preserve"> s produkciou</w:t>
      </w:r>
      <w:r w:rsidRPr="00CC69EC">
        <w:rPr>
          <w:rFonts w:eastAsia="TimesNewRoman"/>
          <w:szCs w:val="22"/>
          <w:lang w:eastAsia="en-US"/>
        </w:rPr>
        <w:t xml:space="preserve"> ľahkých </w:t>
      </w:r>
      <w:r w:rsidRPr="00CC69EC">
        <w:rPr>
          <w:rFonts w:eastAsia="TimesNewRoman"/>
          <w:szCs w:val="22"/>
          <w:lang w:eastAsia="en-US"/>
        </w:rPr>
        <w:lastRenderedPageBreak/>
        <w:t xml:space="preserve">reťazcov (AL - light-chain). Počas štúdie sa nepozorovali žiadne nové bezpečnostné riziká a hlavne bortezomib nezhoršoval poškodenie cieľového orgánu (srdce, obličky a pečeň). </w:t>
      </w:r>
      <w:r>
        <w:rPr>
          <w:rFonts w:eastAsia="TimesNewRoman"/>
          <w:szCs w:val="22"/>
          <w:lang w:eastAsia="en-US"/>
        </w:rPr>
        <w:t>V exploračnej analýze účinnosti u</w:t>
      </w:r>
      <w:r w:rsidRPr="00CC69EC">
        <w:rPr>
          <w:rFonts w:eastAsia="TimesNewRoman"/>
          <w:szCs w:val="22"/>
          <w:lang w:eastAsia="en-US"/>
        </w:rPr>
        <w:t xml:space="preserve"> 49 hodnotených pacientov, ktorým sa podávala maximálna povolená dávka 1,6 mg/m</w:t>
      </w:r>
      <w:r w:rsidRPr="00CC69EC">
        <w:rPr>
          <w:rFonts w:eastAsia="TimesNewRoman"/>
          <w:szCs w:val="22"/>
          <w:vertAlign w:val="superscript"/>
          <w:lang w:eastAsia="en-US"/>
        </w:rPr>
        <w:t>2</w:t>
      </w:r>
      <w:r w:rsidRPr="00CC69EC">
        <w:rPr>
          <w:rFonts w:eastAsia="TimesNewRoman"/>
          <w:szCs w:val="22"/>
          <w:lang w:eastAsia="en-US"/>
        </w:rPr>
        <w:t xml:space="preserve"> jedenkrát za týždeň a 1,3 mg/m</w:t>
      </w:r>
      <w:r w:rsidRPr="00CC69EC">
        <w:rPr>
          <w:rFonts w:eastAsia="TimesNewRoman"/>
          <w:szCs w:val="22"/>
          <w:vertAlign w:val="superscript"/>
          <w:lang w:eastAsia="en-US"/>
        </w:rPr>
        <w:t>2</w:t>
      </w:r>
      <w:r w:rsidRPr="00CC69EC">
        <w:rPr>
          <w:rFonts w:eastAsia="TimesNewRoman"/>
          <w:szCs w:val="22"/>
          <w:lang w:eastAsia="en-US"/>
        </w:rPr>
        <w:t xml:space="preserve"> dvakrát za týždeň, bola dosiahnutá 67,3 % celková odpoveď (vrátane 28,6 % kompletnej remisie (CR)) na základe merania hematologickej odpovede (M-proteín). Pri týchto dávkach bol</w:t>
      </w:r>
      <w:r w:rsidR="004C784C">
        <w:rPr>
          <w:rFonts w:eastAsia="TimesNewRoman"/>
          <w:szCs w:val="22"/>
          <w:lang w:eastAsia="en-US"/>
        </w:rPr>
        <w:t>a</w:t>
      </w:r>
      <w:r w:rsidRPr="00CC69EC">
        <w:rPr>
          <w:rFonts w:eastAsia="TimesNewRoman"/>
          <w:szCs w:val="22"/>
          <w:lang w:eastAsia="en-US"/>
        </w:rPr>
        <w:t xml:space="preserve"> kombinovan</w:t>
      </w:r>
      <w:r w:rsidR="004C784C">
        <w:rPr>
          <w:rFonts w:eastAsia="TimesNewRoman"/>
          <w:szCs w:val="22"/>
          <w:lang w:eastAsia="en-US"/>
        </w:rPr>
        <w:t>á početnosť</w:t>
      </w:r>
      <w:r w:rsidRPr="00CC69EC">
        <w:rPr>
          <w:rFonts w:eastAsia="TimesNewRoman"/>
          <w:szCs w:val="22"/>
          <w:lang w:eastAsia="en-US"/>
        </w:rPr>
        <w:t xml:space="preserve"> 1-ročné</w:t>
      </w:r>
      <w:r w:rsidR="004C784C">
        <w:rPr>
          <w:rFonts w:eastAsia="TimesNewRoman"/>
          <w:szCs w:val="22"/>
          <w:lang w:eastAsia="en-US"/>
        </w:rPr>
        <w:t>ho</w:t>
      </w:r>
      <w:r w:rsidRPr="00CC69EC">
        <w:rPr>
          <w:rFonts w:eastAsia="TimesNewRoman"/>
          <w:szCs w:val="22"/>
          <w:lang w:eastAsia="en-US"/>
        </w:rPr>
        <w:t xml:space="preserve"> prežívani</w:t>
      </w:r>
      <w:r w:rsidR="004C784C">
        <w:rPr>
          <w:rFonts w:eastAsia="TimesNewRoman"/>
          <w:szCs w:val="22"/>
          <w:lang w:eastAsia="en-US"/>
        </w:rPr>
        <w:t>a</w:t>
      </w:r>
      <w:r w:rsidRPr="00CC69EC">
        <w:rPr>
          <w:rFonts w:eastAsia="TimesNewRoman"/>
          <w:szCs w:val="22"/>
          <w:lang w:eastAsia="en-US"/>
        </w:rPr>
        <w:t xml:space="preserve"> 88,1 %.</w:t>
      </w:r>
    </w:p>
    <w:p w14:paraId="6799D41D" w14:textId="77777777" w:rsidR="00564D9B" w:rsidRPr="00CC69EC" w:rsidRDefault="00564D9B" w:rsidP="00564D9B">
      <w:pPr>
        <w:autoSpaceDE w:val="0"/>
        <w:autoSpaceDN w:val="0"/>
        <w:adjustRightInd w:val="0"/>
        <w:ind w:left="0" w:firstLine="0"/>
        <w:rPr>
          <w:rFonts w:eastAsia="TimesNewRoman"/>
          <w:szCs w:val="22"/>
          <w:lang w:eastAsia="en-US"/>
        </w:rPr>
      </w:pPr>
    </w:p>
    <w:p w14:paraId="136B4A62"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Pediatrická populácia</w:t>
      </w:r>
    </w:p>
    <w:p w14:paraId="31378F0F" w14:textId="77777777" w:rsidR="00564D9B" w:rsidRPr="00CC69EC" w:rsidRDefault="00564D9B" w:rsidP="00564D9B">
      <w:pPr>
        <w:autoSpaceDE w:val="0"/>
        <w:autoSpaceDN w:val="0"/>
        <w:adjustRightInd w:val="0"/>
        <w:ind w:left="0" w:firstLine="0"/>
        <w:rPr>
          <w:rFonts w:eastAsia="TimesNewRoman"/>
          <w:szCs w:val="22"/>
          <w:lang w:eastAsia="en-US"/>
        </w:rPr>
      </w:pPr>
    </w:p>
    <w:p w14:paraId="3B77F19D" w14:textId="54E1D5E3" w:rsidR="00564D9B" w:rsidRPr="00CC69EC" w:rsidRDefault="00564D9B" w:rsidP="00564D9B">
      <w:pPr>
        <w:autoSpaceDE w:val="0"/>
        <w:autoSpaceDN w:val="0"/>
        <w:adjustRightInd w:val="0"/>
        <w:ind w:left="0" w:firstLine="0"/>
        <w:rPr>
          <w:color w:val="000000"/>
          <w:szCs w:val="22"/>
        </w:rPr>
      </w:pPr>
      <w:r w:rsidRPr="00CC69EC">
        <w:rPr>
          <w:color w:val="000000"/>
          <w:szCs w:val="22"/>
        </w:rPr>
        <w:t xml:space="preserve">Štúdia fázy II s jednou skupinou sledujúca aktivitu, bezpečnosť a farmakokinetiku, ktorú vykonala Children’s Oncology Group, hodnotila </w:t>
      </w:r>
      <w:r w:rsidR="00374C3C">
        <w:rPr>
          <w:color w:val="000000"/>
          <w:szCs w:val="22"/>
        </w:rPr>
        <w:t>účinnosť</w:t>
      </w:r>
      <w:r w:rsidR="00374C3C" w:rsidRPr="00CC69EC">
        <w:rPr>
          <w:color w:val="000000"/>
          <w:szCs w:val="22"/>
        </w:rPr>
        <w:t xml:space="preserve"> </w:t>
      </w:r>
      <w:r w:rsidRPr="00CC69EC">
        <w:rPr>
          <w:color w:val="000000"/>
          <w:szCs w:val="22"/>
        </w:rPr>
        <w:t xml:space="preserve">spôsobenú pridaním bortezomibu </w:t>
      </w:r>
      <w:r w:rsidR="00374C3C">
        <w:rPr>
          <w:color w:val="000000"/>
          <w:szCs w:val="22"/>
        </w:rPr>
        <w:t>ku</w:t>
      </w:r>
      <w:r w:rsidRPr="00CC69EC">
        <w:rPr>
          <w:color w:val="000000"/>
          <w:szCs w:val="22"/>
        </w:rPr>
        <w:t xml:space="preserve">  </w:t>
      </w:r>
      <w:r w:rsidR="00374C3C">
        <w:rPr>
          <w:color w:val="000000"/>
          <w:szCs w:val="22"/>
        </w:rPr>
        <w:t>kombinovanej re</w:t>
      </w:r>
      <w:r w:rsidRPr="00CC69EC">
        <w:rPr>
          <w:color w:val="000000"/>
          <w:szCs w:val="22"/>
        </w:rPr>
        <w:t xml:space="preserve">indukčnej chemoterapii u pediatrických a </w:t>
      </w:r>
      <w:r w:rsidR="00374C3C">
        <w:rPr>
          <w:color w:val="000000"/>
          <w:szCs w:val="22"/>
        </w:rPr>
        <w:t>dospievajúcich</w:t>
      </w:r>
      <w:r w:rsidRPr="00CC69EC">
        <w:rPr>
          <w:color w:val="000000"/>
          <w:szCs w:val="22"/>
        </w:rPr>
        <w:t xml:space="preserve"> pacientov s</w:t>
      </w:r>
      <w:r w:rsidR="00374C3C">
        <w:rPr>
          <w:color w:val="000000"/>
          <w:szCs w:val="22"/>
        </w:rPr>
        <w:t> </w:t>
      </w:r>
      <w:r w:rsidRPr="00CC69EC">
        <w:rPr>
          <w:color w:val="000000"/>
          <w:szCs w:val="22"/>
        </w:rPr>
        <w:t>lymf</w:t>
      </w:r>
      <w:r w:rsidR="00374C3C">
        <w:rPr>
          <w:color w:val="000000"/>
          <w:szCs w:val="22"/>
        </w:rPr>
        <w:t>oidnými</w:t>
      </w:r>
      <w:r w:rsidRPr="00CC69EC">
        <w:rPr>
          <w:color w:val="000000"/>
          <w:szCs w:val="22"/>
        </w:rPr>
        <w:t xml:space="preserve"> malignitami (pre-B bunková </w:t>
      </w:r>
      <w:r w:rsidR="00374C3C">
        <w:rPr>
          <w:color w:val="000000"/>
          <w:szCs w:val="22"/>
        </w:rPr>
        <w:t xml:space="preserve">forma </w:t>
      </w:r>
      <w:r w:rsidRPr="00CC69EC">
        <w:rPr>
          <w:color w:val="000000"/>
          <w:szCs w:val="22"/>
        </w:rPr>
        <w:t>akútn</w:t>
      </w:r>
      <w:r w:rsidR="00374C3C">
        <w:rPr>
          <w:color w:val="000000"/>
          <w:szCs w:val="22"/>
        </w:rPr>
        <w:t>ej</w:t>
      </w:r>
      <w:r w:rsidRPr="00CC69EC">
        <w:rPr>
          <w:color w:val="000000"/>
          <w:szCs w:val="22"/>
        </w:rPr>
        <w:t xml:space="preserve"> lymfoblastick</w:t>
      </w:r>
      <w:r w:rsidR="00374C3C">
        <w:rPr>
          <w:color w:val="000000"/>
          <w:szCs w:val="22"/>
        </w:rPr>
        <w:t>ej</w:t>
      </w:r>
      <w:r w:rsidRPr="00CC69EC">
        <w:rPr>
          <w:color w:val="000000"/>
          <w:szCs w:val="22"/>
        </w:rPr>
        <w:t xml:space="preserve"> leukémi</w:t>
      </w:r>
      <w:r w:rsidR="00374C3C">
        <w:rPr>
          <w:color w:val="000000"/>
          <w:szCs w:val="22"/>
        </w:rPr>
        <w:t>e</w:t>
      </w:r>
      <w:r w:rsidRPr="00CC69EC">
        <w:rPr>
          <w:color w:val="000000"/>
          <w:szCs w:val="22"/>
        </w:rPr>
        <w:t xml:space="preserve"> [ALL], T-bunková ALL a T-bunkový lymfoblastický lymfóm [LL]). Účinn</w:t>
      </w:r>
      <w:r w:rsidR="00374C3C">
        <w:rPr>
          <w:color w:val="000000"/>
          <w:szCs w:val="22"/>
        </w:rPr>
        <w:t>ý</w:t>
      </w:r>
      <w:r w:rsidRPr="00CC69EC">
        <w:rPr>
          <w:color w:val="000000"/>
          <w:szCs w:val="22"/>
        </w:rPr>
        <w:t xml:space="preserve">  </w:t>
      </w:r>
      <w:r w:rsidR="00374C3C">
        <w:rPr>
          <w:color w:val="000000"/>
          <w:szCs w:val="22"/>
        </w:rPr>
        <w:t>re</w:t>
      </w:r>
      <w:r w:rsidRPr="00CC69EC">
        <w:rPr>
          <w:color w:val="000000"/>
          <w:szCs w:val="22"/>
        </w:rPr>
        <w:t>indukčn</w:t>
      </w:r>
      <w:r w:rsidR="00374C3C">
        <w:rPr>
          <w:color w:val="000000"/>
          <w:szCs w:val="22"/>
        </w:rPr>
        <w:t>ý</w:t>
      </w:r>
      <w:r w:rsidRPr="00CC69EC">
        <w:rPr>
          <w:color w:val="000000"/>
          <w:szCs w:val="22"/>
        </w:rPr>
        <w:t xml:space="preserve"> </w:t>
      </w:r>
      <w:r w:rsidR="00374C3C">
        <w:rPr>
          <w:color w:val="000000"/>
          <w:szCs w:val="22"/>
        </w:rPr>
        <w:t>kombinovaný chemoterapeutický režim</w:t>
      </w:r>
      <w:r w:rsidRPr="00CC69EC">
        <w:rPr>
          <w:color w:val="000000"/>
          <w:szCs w:val="22"/>
        </w:rPr>
        <w:t xml:space="preserve"> bol podávan</w:t>
      </w:r>
      <w:r w:rsidR="00374C3C">
        <w:rPr>
          <w:color w:val="000000"/>
          <w:szCs w:val="22"/>
        </w:rPr>
        <w:t>ý</w:t>
      </w:r>
      <w:r w:rsidRPr="00CC69EC">
        <w:rPr>
          <w:color w:val="000000"/>
          <w:szCs w:val="22"/>
        </w:rPr>
        <w:t xml:space="preserve"> v 3 blokoch. Bortezomib bol podávaný iba v </w:t>
      </w:r>
      <w:r w:rsidR="00FD0797">
        <w:rPr>
          <w:color w:val="000000"/>
          <w:szCs w:val="22"/>
        </w:rPr>
        <w:t>b</w:t>
      </w:r>
      <w:r w:rsidRPr="00CC69EC">
        <w:rPr>
          <w:color w:val="000000"/>
          <w:szCs w:val="22"/>
        </w:rPr>
        <w:t xml:space="preserve">lokoch 1 a 2, aby sa predišlo potenciálnemu prekrytiu toxicít so súčasne podávanými liekmi v </w:t>
      </w:r>
      <w:r w:rsidR="00374C3C">
        <w:rPr>
          <w:color w:val="000000"/>
          <w:szCs w:val="22"/>
        </w:rPr>
        <w:t>b</w:t>
      </w:r>
      <w:r w:rsidRPr="00CC69EC">
        <w:rPr>
          <w:color w:val="000000"/>
          <w:szCs w:val="22"/>
        </w:rPr>
        <w:t>loku 3.</w:t>
      </w:r>
    </w:p>
    <w:p w14:paraId="037CF299" w14:textId="77777777" w:rsidR="00564D9B" w:rsidRPr="00CC69EC" w:rsidRDefault="00564D9B" w:rsidP="00564D9B">
      <w:pPr>
        <w:autoSpaceDE w:val="0"/>
        <w:autoSpaceDN w:val="0"/>
        <w:adjustRightInd w:val="0"/>
        <w:ind w:left="0" w:firstLine="0"/>
        <w:rPr>
          <w:color w:val="000000"/>
          <w:szCs w:val="22"/>
        </w:rPr>
      </w:pPr>
    </w:p>
    <w:p w14:paraId="6B7393E6" w14:textId="47CBD185" w:rsidR="00564D9B" w:rsidRPr="00CC69EC" w:rsidRDefault="00564D9B" w:rsidP="00564D9B">
      <w:pPr>
        <w:autoSpaceDE w:val="0"/>
        <w:autoSpaceDN w:val="0"/>
        <w:adjustRightInd w:val="0"/>
        <w:ind w:left="0" w:firstLine="0"/>
        <w:rPr>
          <w:color w:val="000000"/>
          <w:szCs w:val="22"/>
        </w:rPr>
      </w:pPr>
      <w:r w:rsidRPr="00CC69EC">
        <w:rPr>
          <w:color w:val="000000"/>
          <w:szCs w:val="22"/>
        </w:rPr>
        <w:t xml:space="preserve">Kompletná odpoveď (CR) bola hodnotená na konci </w:t>
      </w:r>
      <w:r w:rsidR="00402842">
        <w:rPr>
          <w:color w:val="000000"/>
          <w:szCs w:val="22"/>
        </w:rPr>
        <w:t>b</w:t>
      </w:r>
      <w:r w:rsidRPr="00CC69EC">
        <w:rPr>
          <w:color w:val="000000"/>
          <w:szCs w:val="22"/>
        </w:rPr>
        <w:t>loku 1. U pacientov s B-ALL s relapsom do 18 mesiacov od diagnózy (n = 27) bola miera CR 67 % (95 % I</w:t>
      </w:r>
      <w:r w:rsidR="00402842">
        <w:rPr>
          <w:color w:val="000000"/>
          <w:szCs w:val="22"/>
        </w:rPr>
        <w:t>S</w:t>
      </w:r>
      <w:r w:rsidRPr="00CC69EC">
        <w:rPr>
          <w:color w:val="000000"/>
          <w:szCs w:val="22"/>
        </w:rPr>
        <w:t xml:space="preserve">: 46, 84); miera 4-mesačného prežívania bez ochorenia bola 44 % (95% </w:t>
      </w:r>
      <w:r w:rsidR="00402842">
        <w:rPr>
          <w:color w:val="000000"/>
          <w:szCs w:val="22"/>
        </w:rPr>
        <w:t>IS</w:t>
      </w:r>
      <w:r w:rsidRPr="00CC69EC">
        <w:rPr>
          <w:color w:val="000000"/>
          <w:szCs w:val="22"/>
        </w:rPr>
        <w:t>: 26, 62). U pacientov s B-ALL s relapsom 18 – 36 mesiacov od diagnózy (n = 33) bola miera CR 79 % (95 % I</w:t>
      </w:r>
      <w:r w:rsidR="00402842">
        <w:rPr>
          <w:color w:val="000000"/>
          <w:szCs w:val="22"/>
        </w:rPr>
        <w:t>S</w:t>
      </w:r>
      <w:r w:rsidRPr="00CC69EC">
        <w:rPr>
          <w:color w:val="000000"/>
          <w:szCs w:val="22"/>
        </w:rPr>
        <w:t>: 61, 91) a miera 4-mesačného prežívania bez ochorenia bola 73 % (95 % I</w:t>
      </w:r>
      <w:r w:rsidR="00402842">
        <w:rPr>
          <w:color w:val="000000"/>
          <w:szCs w:val="22"/>
        </w:rPr>
        <w:t>S</w:t>
      </w:r>
      <w:r w:rsidRPr="00CC69EC">
        <w:rPr>
          <w:color w:val="000000"/>
          <w:szCs w:val="22"/>
        </w:rPr>
        <w:t>: 54, 85). Miera CR u pacientov s prvým relapsom T-bunkovej ALL (n = 22) bola 68 % (95 % I</w:t>
      </w:r>
      <w:r w:rsidR="00402842">
        <w:rPr>
          <w:color w:val="000000"/>
          <w:szCs w:val="22"/>
        </w:rPr>
        <w:t>S</w:t>
      </w:r>
      <w:r w:rsidRPr="00CC69EC">
        <w:rPr>
          <w:color w:val="000000"/>
          <w:szCs w:val="22"/>
        </w:rPr>
        <w:t>: 45, 86) a miera 4-mesačného prežívania bez ochorenia bola 67 % (95 % I</w:t>
      </w:r>
      <w:r w:rsidR="00402842">
        <w:rPr>
          <w:color w:val="000000"/>
          <w:szCs w:val="22"/>
        </w:rPr>
        <w:t>S</w:t>
      </w:r>
      <w:r w:rsidRPr="00CC69EC">
        <w:rPr>
          <w:color w:val="000000"/>
          <w:szCs w:val="22"/>
        </w:rPr>
        <w:t xml:space="preserve">: 42, 83). Hlásené údaje o účinnosti sa považujú za </w:t>
      </w:r>
      <w:r w:rsidR="001164F7">
        <w:rPr>
          <w:color w:val="000000"/>
          <w:szCs w:val="22"/>
        </w:rPr>
        <w:t>nepresvedčivé</w:t>
      </w:r>
      <w:r w:rsidR="001164F7" w:rsidRPr="00CC69EC">
        <w:rPr>
          <w:color w:val="000000"/>
          <w:szCs w:val="22"/>
        </w:rPr>
        <w:t xml:space="preserve"> </w:t>
      </w:r>
      <w:r w:rsidRPr="00CC69EC">
        <w:rPr>
          <w:color w:val="000000"/>
          <w:szCs w:val="22"/>
        </w:rPr>
        <w:t>(pozri časť 4.2).</w:t>
      </w:r>
    </w:p>
    <w:p w14:paraId="4BFDC0DC" w14:textId="77777777" w:rsidR="00564D9B" w:rsidRPr="00CC69EC" w:rsidRDefault="00564D9B" w:rsidP="00564D9B">
      <w:pPr>
        <w:autoSpaceDE w:val="0"/>
        <w:autoSpaceDN w:val="0"/>
        <w:adjustRightInd w:val="0"/>
        <w:ind w:left="0" w:firstLine="0"/>
        <w:rPr>
          <w:color w:val="000000"/>
          <w:szCs w:val="22"/>
        </w:rPr>
      </w:pPr>
    </w:p>
    <w:p w14:paraId="60DC9DBF" w14:textId="5D4A31E4" w:rsidR="00564D9B" w:rsidRPr="00CC69EC" w:rsidRDefault="00564D9B" w:rsidP="00564D9B">
      <w:pPr>
        <w:ind w:left="0" w:firstLine="0"/>
        <w:rPr>
          <w:color w:val="000000"/>
          <w:szCs w:val="22"/>
        </w:rPr>
      </w:pPr>
      <w:r w:rsidRPr="00CC69EC">
        <w:rPr>
          <w:color w:val="000000"/>
          <w:szCs w:val="22"/>
        </w:rPr>
        <w:t xml:space="preserve">140 pacientov s ALL alebo LL bolo zaradených a hodnotených z hľadiska bezpečnosti; medián veku 10 rokov (rozpätie 1 až 26). Neboli pozorované žiadne nové bezpečnostné riziká, keď sa bortezomib pridal k štandardnému pediatrickému základnému režimu chemoterapie pre pre-B bunkovú ALL. Nasledovné nežiaduce reakcie (≥ 3. stupňa) boli pozorované s vyššou incidenciou v liečebnom režime obsahujúcom bortezomib v porovnaní s historickou kontrolnou štúdiou, v ktorej sa základný režim podával samostatne: v </w:t>
      </w:r>
      <w:r w:rsidR="000817AF">
        <w:rPr>
          <w:color w:val="000000"/>
          <w:szCs w:val="22"/>
        </w:rPr>
        <w:t>b</w:t>
      </w:r>
      <w:r w:rsidRPr="00CC69EC">
        <w:rPr>
          <w:color w:val="000000"/>
          <w:szCs w:val="22"/>
        </w:rPr>
        <w:t xml:space="preserve">loku 1 periférna senzorická neuropatia (3 % oproti 0 %); ileus (2,1 % oproti 0 %); hypoxia (8 % oproti 2 %). V tejto štúdii neboli k dispozícii žiadne informácie o možných následkoch alebo mierach vymiznutia periférnej neuropatie. Vyššie incidencie boli tiež zaznamenané v prípade infekcií s neutropéniou ≥ 3. stupňa (24 % oproti 19 % v </w:t>
      </w:r>
      <w:r w:rsidR="000817AF">
        <w:rPr>
          <w:color w:val="000000"/>
          <w:szCs w:val="22"/>
        </w:rPr>
        <w:t>b</w:t>
      </w:r>
      <w:r w:rsidRPr="00CC69EC">
        <w:rPr>
          <w:color w:val="000000"/>
          <w:szCs w:val="22"/>
        </w:rPr>
        <w:t xml:space="preserve">loku 1 a 22 % oproti 11 % v </w:t>
      </w:r>
      <w:r w:rsidR="000817AF">
        <w:rPr>
          <w:color w:val="000000"/>
          <w:szCs w:val="22"/>
        </w:rPr>
        <w:t>b</w:t>
      </w:r>
      <w:r w:rsidRPr="00CC69EC">
        <w:rPr>
          <w:color w:val="000000"/>
          <w:szCs w:val="22"/>
        </w:rPr>
        <w:t xml:space="preserve">loku 2), zvýšenia ALT (17 % oproti 8 % v </w:t>
      </w:r>
      <w:r w:rsidR="000817AF">
        <w:rPr>
          <w:color w:val="000000"/>
          <w:szCs w:val="22"/>
        </w:rPr>
        <w:t>b</w:t>
      </w:r>
      <w:r w:rsidRPr="00CC69EC">
        <w:rPr>
          <w:color w:val="000000"/>
          <w:szCs w:val="22"/>
        </w:rPr>
        <w:t xml:space="preserve">loku 2), hypokaliémie (18 % oproti 6 % v </w:t>
      </w:r>
      <w:r w:rsidR="000817AF">
        <w:rPr>
          <w:color w:val="000000"/>
          <w:szCs w:val="22"/>
        </w:rPr>
        <w:t>b</w:t>
      </w:r>
      <w:r w:rsidRPr="00CC69EC">
        <w:rPr>
          <w:color w:val="000000"/>
          <w:szCs w:val="22"/>
        </w:rPr>
        <w:t xml:space="preserve">loku 1 a 21 % oproti 12 % v </w:t>
      </w:r>
      <w:r w:rsidR="000817AF">
        <w:rPr>
          <w:color w:val="000000"/>
          <w:szCs w:val="22"/>
        </w:rPr>
        <w:t>b</w:t>
      </w:r>
      <w:r w:rsidRPr="00CC69EC">
        <w:rPr>
          <w:color w:val="000000"/>
          <w:szCs w:val="22"/>
        </w:rPr>
        <w:t xml:space="preserve">loku 2) a hyponatrémie (12 % oproti 5 % v </w:t>
      </w:r>
      <w:r w:rsidR="000817AF">
        <w:rPr>
          <w:color w:val="000000"/>
          <w:szCs w:val="22"/>
        </w:rPr>
        <w:t>b</w:t>
      </w:r>
      <w:r w:rsidRPr="00CC69EC">
        <w:rPr>
          <w:color w:val="000000"/>
          <w:szCs w:val="22"/>
        </w:rPr>
        <w:t xml:space="preserve">loku 1 a 4 % oproti 0 v </w:t>
      </w:r>
      <w:r w:rsidR="000817AF">
        <w:rPr>
          <w:color w:val="000000"/>
          <w:szCs w:val="22"/>
        </w:rPr>
        <w:t>b</w:t>
      </w:r>
      <w:r w:rsidRPr="00CC69EC">
        <w:rPr>
          <w:color w:val="000000"/>
          <w:szCs w:val="22"/>
        </w:rPr>
        <w:t xml:space="preserve">loku 2). </w:t>
      </w:r>
    </w:p>
    <w:p w14:paraId="0A9CA2D3" w14:textId="77777777" w:rsidR="00564D9B" w:rsidRPr="00CC69EC" w:rsidRDefault="00564D9B" w:rsidP="00564D9B">
      <w:pPr>
        <w:ind w:left="0" w:firstLine="0"/>
        <w:rPr>
          <w:color w:val="000000"/>
          <w:szCs w:val="22"/>
        </w:rPr>
      </w:pPr>
    </w:p>
    <w:p w14:paraId="361F247D" w14:textId="77777777" w:rsidR="00564D9B" w:rsidRPr="00CC69EC" w:rsidRDefault="00564D9B" w:rsidP="00564D9B">
      <w:pPr>
        <w:rPr>
          <w:b/>
        </w:rPr>
      </w:pPr>
      <w:r w:rsidRPr="00CC69EC">
        <w:rPr>
          <w:b/>
        </w:rPr>
        <w:t>5.2</w:t>
      </w:r>
      <w:r w:rsidRPr="00CC69EC">
        <w:rPr>
          <w:b/>
        </w:rPr>
        <w:tab/>
        <w:t>Farmakokinetické vlastnosti</w:t>
      </w:r>
    </w:p>
    <w:p w14:paraId="63C78CD9" w14:textId="77777777" w:rsidR="00564D9B" w:rsidRPr="00CC69EC" w:rsidRDefault="00564D9B" w:rsidP="00564D9B">
      <w:pPr>
        <w:ind w:left="0" w:firstLine="0"/>
        <w:rPr>
          <w:i/>
        </w:rPr>
      </w:pPr>
    </w:p>
    <w:p w14:paraId="79735EEF"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Absorpcia</w:t>
      </w:r>
    </w:p>
    <w:p w14:paraId="6312CD26" w14:textId="42D212E6"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Po intravenóznom boluse </w:t>
      </w:r>
      <w:r w:rsidR="00DE1435">
        <w:rPr>
          <w:rFonts w:eastAsia="TimesNewRoman"/>
          <w:szCs w:val="22"/>
          <w:lang w:eastAsia="en-US"/>
        </w:rPr>
        <w:t>dávok</w:t>
      </w:r>
      <w:r w:rsidR="00DD3176">
        <w:rPr>
          <w:rFonts w:eastAsia="TimesNewRoman"/>
          <w:szCs w:val="22"/>
          <w:lang w:eastAsia="en-US"/>
        </w:rPr>
        <w:t xml:space="preserve"> </w:t>
      </w:r>
      <w:r w:rsidRPr="00CC69EC">
        <w:rPr>
          <w:rFonts w:eastAsia="TimesNewRoman"/>
          <w:szCs w:val="22"/>
          <w:lang w:eastAsia="en-US"/>
        </w:rPr>
        <w:t>1,0 mg/m</w:t>
      </w:r>
      <w:r w:rsidRPr="00CC69EC">
        <w:rPr>
          <w:rFonts w:eastAsia="TimesNewRoman"/>
          <w:szCs w:val="22"/>
          <w:vertAlign w:val="superscript"/>
          <w:lang w:eastAsia="en-US"/>
        </w:rPr>
        <w:t xml:space="preserve">2 </w:t>
      </w:r>
      <w:r w:rsidRPr="00CC69EC">
        <w:rPr>
          <w:rFonts w:eastAsia="TimesNewRoman"/>
          <w:szCs w:val="22"/>
          <w:lang w:eastAsia="en-US"/>
        </w:rPr>
        <w:t>a 1,3 mg/m</w:t>
      </w:r>
      <w:r w:rsidRPr="00CC69EC">
        <w:rPr>
          <w:rFonts w:eastAsia="TimesNewRoman"/>
          <w:szCs w:val="22"/>
          <w:vertAlign w:val="superscript"/>
          <w:lang w:eastAsia="en-US"/>
        </w:rPr>
        <w:t>2</w:t>
      </w:r>
      <w:r w:rsidRPr="00CC69EC">
        <w:rPr>
          <w:rFonts w:eastAsia="TimesNewRoman"/>
          <w:szCs w:val="22"/>
          <w:lang w:eastAsia="en-US"/>
        </w:rPr>
        <w:t xml:space="preserve">  11 pacientom s mnohopočetným myelómom a hodnotami klírensu kreatinínu vyššími ako 50 ml/min, boli priemerné maximálne </w:t>
      </w:r>
      <w:r w:rsidR="00DD3176">
        <w:rPr>
          <w:rFonts w:eastAsia="TimesNewRoman"/>
          <w:szCs w:val="22"/>
          <w:lang w:eastAsia="en-US"/>
        </w:rPr>
        <w:t xml:space="preserve">plazmatické </w:t>
      </w:r>
      <w:r w:rsidRPr="00CC69EC">
        <w:rPr>
          <w:rFonts w:eastAsia="TimesNewRoman"/>
          <w:szCs w:val="22"/>
          <w:lang w:eastAsia="en-US"/>
        </w:rPr>
        <w:t xml:space="preserve">koncentrácie bortezomibu po prvej dávke 57 a 112 ng/ml. Po nasledujúcich dávkach sa priemerné pozorované maximálne </w:t>
      </w:r>
      <w:r w:rsidR="00DD3176">
        <w:rPr>
          <w:rFonts w:eastAsia="TimesNewRoman"/>
          <w:szCs w:val="22"/>
          <w:lang w:eastAsia="en-US"/>
        </w:rPr>
        <w:t xml:space="preserve">plazmatické </w:t>
      </w:r>
      <w:r w:rsidRPr="00CC69EC">
        <w:rPr>
          <w:rFonts w:eastAsia="TimesNewRoman"/>
          <w:szCs w:val="22"/>
          <w:lang w:eastAsia="en-US"/>
        </w:rPr>
        <w:t>koncentrácie pohybovali od 67 do 106 ng/ml pri dávke 1,0 mg/m</w:t>
      </w:r>
      <w:r w:rsidRPr="00CC69EC">
        <w:rPr>
          <w:rFonts w:eastAsia="TimesNewRoman"/>
          <w:szCs w:val="22"/>
          <w:vertAlign w:val="superscript"/>
          <w:lang w:eastAsia="en-US"/>
        </w:rPr>
        <w:t>2</w:t>
      </w:r>
      <w:r w:rsidRPr="00CC69EC">
        <w:rPr>
          <w:rFonts w:eastAsia="TimesNewRoman"/>
          <w:szCs w:val="22"/>
          <w:lang w:eastAsia="en-US"/>
        </w:rPr>
        <w:t xml:space="preserve"> a od 89 do 120 ng/ml pri dávke 1,3 mg/m</w:t>
      </w:r>
      <w:r w:rsidRPr="00CC69EC">
        <w:rPr>
          <w:rFonts w:eastAsia="TimesNewRoman"/>
          <w:szCs w:val="22"/>
          <w:vertAlign w:val="superscript"/>
          <w:lang w:eastAsia="en-US"/>
        </w:rPr>
        <w:t>2</w:t>
      </w:r>
      <w:r w:rsidRPr="00CC69EC">
        <w:rPr>
          <w:rFonts w:eastAsia="TimesNewRoman"/>
          <w:szCs w:val="22"/>
          <w:lang w:eastAsia="en-US"/>
        </w:rPr>
        <w:t>.</w:t>
      </w:r>
    </w:p>
    <w:p w14:paraId="54266B7E" w14:textId="77777777" w:rsidR="00564D9B" w:rsidRPr="00CC69EC" w:rsidRDefault="00564D9B" w:rsidP="00564D9B">
      <w:pPr>
        <w:autoSpaceDE w:val="0"/>
        <w:autoSpaceDN w:val="0"/>
        <w:adjustRightInd w:val="0"/>
        <w:ind w:left="0" w:firstLine="0"/>
        <w:rPr>
          <w:rFonts w:eastAsia="TimesNewRoman"/>
          <w:szCs w:val="22"/>
          <w:lang w:eastAsia="en-US"/>
        </w:rPr>
      </w:pPr>
    </w:p>
    <w:p w14:paraId="60F6B55C"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Distribúcia</w:t>
      </w:r>
    </w:p>
    <w:p w14:paraId="73987C89"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Priemerný distribučný objem (V</w:t>
      </w:r>
      <w:r w:rsidRPr="00CC69EC">
        <w:rPr>
          <w:rFonts w:eastAsia="TimesNewRoman"/>
          <w:szCs w:val="22"/>
          <w:vertAlign w:val="subscript"/>
          <w:lang w:eastAsia="en-US"/>
        </w:rPr>
        <w:t>d</w:t>
      </w:r>
      <w:r w:rsidRPr="00CC69EC">
        <w:rPr>
          <w:rFonts w:eastAsia="TimesNewRoman"/>
          <w:szCs w:val="22"/>
          <w:lang w:eastAsia="en-US"/>
        </w:rPr>
        <w:t>) bortezomibu sa pohyboval v rozmedzí od 1 659 l do 3 294 l po jednorazovom alebo opakovanom intravenóznom podaní 1,0 mg/m</w:t>
      </w:r>
      <w:r w:rsidRPr="00CC69EC">
        <w:rPr>
          <w:rFonts w:eastAsia="TimesNewRoman"/>
          <w:szCs w:val="22"/>
          <w:vertAlign w:val="superscript"/>
          <w:lang w:eastAsia="en-US"/>
        </w:rPr>
        <w:t>2</w:t>
      </w:r>
      <w:r w:rsidRPr="00CC69EC">
        <w:rPr>
          <w:rFonts w:eastAsia="TimesNewRoman"/>
          <w:szCs w:val="22"/>
          <w:lang w:eastAsia="en-US"/>
        </w:rPr>
        <w:t xml:space="preserve"> alebo 1,3 mg/m</w:t>
      </w:r>
      <w:r w:rsidRPr="00CC69EC">
        <w:rPr>
          <w:rFonts w:eastAsia="TimesNewRoman"/>
          <w:szCs w:val="22"/>
          <w:vertAlign w:val="superscript"/>
          <w:lang w:eastAsia="en-US"/>
        </w:rPr>
        <w:t>2</w:t>
      </w:r>
      <w:r w:rsidRPr="00CC69EC">
        <w:rPr>
          <w:rFonts w:eastAsia="TimesNewRoman"/>
          <w:szCs w:val="22"/>
          <w:lang w:eastAsia="en-US"/>
        </w:rPr>
        <w:t xml:space="preserve"> pacientom s mnohopočetným myelómom. To svedčí o tom, že sa bortezomib výrazne distribuuje do periférnych tkanív. V koncentračnom rozmedzí bortezomibu od 0,01 do 1,0 μg/ml bola väzba na ľudské plazmatické proteíny </w:t>
      </w:r>
      <w:r w:rsidRPr="00CC69EC">
        <w:rPr>
          <w:rFonts w:eastAsia="TimesNewRoman"/>
          <w:i/>
          <w:szCs w:val="22"/>
          <w:lang w:eastAsia="en-US"/>
        </w:rPr>
        <w:t>in vitro</w:t>
      </w:r>
      <w:r w:rsidRPr="00CC69EC">
        <w:rPr>
          <w:rFonts w:eastAsia="TimesNewRoman"/>
          <w:szCs w:val="22"/>
          <w:lang w:eastAsia="en-US"/>
        </w:rPr>
        <w:t xml:space="preserve"> priemerne 82,9 %. Časť bortezomibu naviazaného na plazmatické proteíny nezávisela od koncentrácie.</w:t>
      </w:r>
    </w:p>
    <w:p w14:paraId="3BEE861C" w14:textId="77777777" w:rsidR="00564D9B" w:rsidRPr="00CC69EC" w:rsidRDefault="00564D9B" w:rsidP="00564D9B">
      <w:pPr>
        <w:autoSpaceDE w:val="0"/>
        <w:autoSpaceDN w:val="0"/>
        <w:adjustRightInd w:val="0"/>
        <w:ind w:left="0" w:firstLine="0"/>
        <w:rPr>
          <w:rFonts w:eastAsia="TimesNewRoman"/>
          <w:szCs w:val="22"/>
          <w:lang w:eastAsia="en-US"/>
        </w:rPr>
      </w:pPr>
    </w:p>
    <w:p w14:paraId="489BC134"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Biotransformácia</w:t>
      </w:r>
    </w:p>
    <w:p w14:paraId="1A4FCA59" w14:textId="4D8A6AD0"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Italic"/>
          <w:i/>
          <w:iCs/>
          <w:szCs w:val="22"/>
          <w:lang w:eastAsia="en-US"/>
        </w:rPr>
        <w:t xml:space="preserve">In vitro </w:t>
      </w:r>
      <w:r w:rsidRPr="00CC69EC">
        <w:rPr>
          <w:rFonts w:eastAsia="TimesNewRoman"/>
          <w:szCs w:val="22"/>
          <w:lang w:eastAsia="en-US"/>
        </w:rPr>
        <w:t xml:space="preserve">štúdie </w:t>
      </w:r>
      <w:r w:rsidR="00DD3176">
        <w:rPr>
          <w:rFonts w:eastAsia="TimesNewRoman"/>
          <w:szCs w:val="22"/>
          <w:lang w:eastAsia="en-US"/>
        </w:rPr>
        <w:t>s</w:t>
      </w:r>
      <w:r w:rsidRPr="00CC69EC">
        <w:rPr>
          <w:rFonts w:eastAsia="TimesNewRoman"/>
          <w:szCs w:val="22"/>
          <w:lang w:eastAsia="en-US"/>
        </w:rPr>
        <w:t xml:space="preserve"> mikrozóm</w:t>
      </w:r>
      <w:r w:rsidR="00DD3176">
        <w:rPr>
          <w:rFonts w:eastAsia="TimesNewRoman"/>
          <w:szCs w:val="22"/>
          <w:lang w:eastAsia="en-US"/>
        </w:rPr>
        <w:t>ami</w:t>
      </w:r>
      <w:r w:rsidRPr="00CC69EC">
        <w:rPr>
          <w:rFonts w:eastAsia="TimesNewRoman"/>
          <w:szCs w:val="22"/>
          <w:lang w:eastAsia="en-US"/>
        </w:rPr>
        <w:t xml:space="preserve"> ľudskej pečene a ľudsk</w:t>
      </w:r>
      <w:r w:rsidR="00DD3176">
        <w:rPr>
          <w:rFonts w:eastAsia="TimesNewRoman"/>
          <w:szCs w:val="22"/>
          <w:lang w:eastAsia="en-US"/>
        </w:rPr>
        <w:t>ými</w:t>
      </w:r>
      <w:r w:rsidR="00707C37">
        <w:rPr>
          <w:rFonts w:eastAsia="TimesNewRoman"/>
          <w:szCs w:val="22"/>
          <w:lang w:eastAsia="en-US"/>
        </w:rPr>
        <w:t xml:space="preserve"> </w:t>
      </w:r>
      <w:r w:rsidRPr="00CC69EC">
        <w:rPr>
          <w:rFonts w:eastAsia="TimesNewRoman"/>
          <w:szCs w:val="22"/>
          <w:lang w:eastAsia="en-US"/>
        </w:rPr>
        <w:t>izoenzým</w:t>
      </w:r>
      <w:r w:rsidR="00DD3176">
        <w:rPr>
          <w:rFonts w:eastAsia="TimesNewRoman"/>
          <w:szCs w:val="22"/>
          <w:lang w:eastAsia="en-US"/>
        </w:rPr>
        <w:t>ami</w:t>
      </w:r>
      <w:r w:rsidR="00707C37">
        <w:rPr>
          <w:rFonts w:eastAsia="TimesNewRoman"/>
          <w:szCs w:val="22"/>
          <w:lang w:eastAsia="en-US"/>
        </w:rPr>
        <w:t xml:space="preserve"> </w:t>
      </w:r>
      <w:r w:rsidRPr="00CC69EC">
        <w:rPr>
          <w:rFonts w:eastAsia="TimesNewRoman"/>
          <w:szCs w:val="22"/>
          <w:lang w:eastAsia="en-US"/>
        </w:rPr>
        <w:t>cytrochrómu P450</w:t>
      </w:r>
      <w:r w:rsidR="00DD3176">
        <w:rPr>
          <w:rFonts w:eastAsia="TimesNewRoman"/>
          <w:szCs w:val="22"/>
          <w:lang w:eastAsia="en-US"/>
        </w:rPr>
        <w:t xml:space="preserve"> vzniknutými expresiou cDNA</w:t>
      </w:r>
      <w:r w:rsidRPr="00CC69EC">
        <w:rPr>
          <w:rFonts w:eastAsia="TimesNewRoman"/>
          <w:szCs w:val="22"/>
          <w:lang w:eastAsia="en-US"/>
        </w:rPr>
        <w:t xml:space="preserve"> naznačujú, že bortezomib je metabolizovaný </w:t>
      </w:r>
      <w:r w:rsidR="004816A8">
        <w:rPr>
          <w:rFonts w:eastAsia="TimesNewRoman"/>
          <w:szCs w:val="22"/>
          <w:lang w:eastAsia="en-US"/>
        </w:rPr>
        <w:t xml:space="preserve">hlavne </w:t>
      </w:r>
      <w:r w:rsidRPr="00CC69EC">
        <w:rPr>
          <w:rFonts w:eastAsia="TimesNewRoman"/>
          <w:szCs w:val="22"/>
          <w:lang w:eastAsia="en-US"/>
        </w:rPr>
        <w:t xml:space="preserve">oxidáciou </w:t>
      </w:r>
      <w:r w:rsidRPr="00CC69EC">
        <w:rPr>
          <w:rFonts w:eastAsia="TimesNewRoman"/>
          <w:szCs w:val="22"/>
          <w:lang w:eastAsia="en-US"/>
        </w:rPr>
        <w:lastRenderedPageBreak/>
        <w:t xml:space="preserve">prostredníctvom </w:t>
      </w:r>
      <w:r w:rsidR="004816A8">
        <w:rPr>
          <w:rFonts w:eastAsia="TimesNewRoman"/>
          <w:szCs w:val="22"/>
          <w:lang w:eastAsia="en-US"/>
        </w:rPr>
        <w:t>izo</w:t>
      </w:r>
      <w:r w:rsidRPr="00CC69EC">
        <w:rPr>
          <w:rFonts w:eastAsia="TimesNewRoman"/>
          <w:szCs w:val="22"/>
          <w:lang w:eastAsia="en-US"/>
        </w:rPr>
        <w:t>enzýmov 3A4, 2C19 a 1A2</w:t>
      </w:r>
      <w:r w:rsidR="004816A8">
        <w:rPr>
          <w:rFonts w:eastAsia="TimesNewRoman"/>
          <w:szCs w:val="22"/>
          <w:lang w:eastAsia="en-US"/>
        </w:rPr>
        <w:t xml:space="preserve"> </w:t>
      </w:r>
      <w:r w:rsidR="004816A8" w:rsidRPr="00CC69EC">
        <w:rPr>
          <w:rFonts w:eastAsia="TimesNewRoman"/>
          <w:szCs w:val="22"/>
          <w:lang w:eastAsia="en-US"/>
        </w:rPr>
        <w:t>cytochrómu P450</w:t>
      </w:r>
      <w:r w:rsidRPr="00CC69EC">
        <w:rPr>
          <w:rFonts w:eastAsia="TimesNewRoman"/>
          <w:szCs w:val="22"/>
          <w:lang w:eastAsia="en-US"/>
        </w:rPr>
        <w:t xml:space="preserve">. Hlavnou metabolickou cestou </w:t>
      </w:r>
      <w:r w:rsidRPr="00EB6DAD">
        <w:rPr>
          <w:rFonts w:eastAsia="TimesNewRoman"/>
          <w:szCs w:val="22"/>
          <w:lang w:eastAsia="en-US"/>
        </w:rPr>
        <w:t xml:space="preserve">je </w:t>
      </w:r>
      <w:r w:rsidRPr="00BC1F6E">
        <w:rPr>
          <w:rFonts w:eastAsia="TimesNewRoman"/>
          <w:szCs w:val="22"/>
          <w:lang w:eastAsia="en-US"/>
        </w:rPr>
        <w:t>debor</w:t>
      </w:r>
      <w:r w:rsidR="00395660" w:rsidRPr="00E110FB">
        <w:rPr>
          <w:rFonts w:eastAsia="TimesNewRoman"/>
          <w:szCs w:val="22"/>
          <w:lang w:eastAsia="en-US"/>
        </w:rPr>
        <w:t>ácia</w:t>
      </w:r>
      <w:r w:rsidRPr="00BC1F6E">
        <w:rPr>
          <w:rFonts w:eastAsia="TimesNewRoman"/>
          <w:szCs w:val="22"/>
          <w:lang w:eastAsia="en-US"/>
        </w:rPr>
        <w:t xml:space="preserve"> na dva deboro</w:t>
      </w:r>
      <w:r w:rsidR="00EB6DAD" w:rsidRPr="00E110FB">
        <w:rPr>
          <w:rFonts w:eastAsia="TimesNewRoman"/>
          <w:szCs w:val="22"/>
          <w:lang w:eastAsia="en-US"/>
        </w:rPr>
        <w:t>vané</w:t>
      </w:r>
      <w:r w:rsidRPr="00BC1F6E">
        <w:rPr>
          <w:rFonts w:eastAsia="TimesNewRoman"/>
          <w:szCs w:val="22"/>
          <w:lang w:eastAsia="en-US"/>
        </w:rPr>
        <w:t xml:space="preserve"> metabolity</w:t>
      </w:r>
      <w:r w:rsidRPr="00B91859">
        <w:rPr>
          <w:rFonts w:eastAsia="TimesNewRoman"/>
          <w:szCs w:val="22"/>
          <w:lang w:eastAsia="en-US"/>
        </w:rPr>
        <w:t xml:space="preserve">, ktoré </w:t>
      </w:r>
      <w:r w:rsidR="004816A8" w:rsidRPr="00B91859">
        <w:rPr>
          <w:rFonts w:eastAsia="TimesNewRoman"/>
          <w:szCs w:val="22"/>
          <w:lang w:eastAsia="en-US"/>
        </w:rPr>
        <w:t>následne podliehaj</w:t>
      </w:r>
      <w:r w:rsidR="004816A8" w:rsidRPr="00F83E10">
        <w:rPr>
          <w:rFonts w:eastAsia="TimesNewRoman"/>
          <w:szCs w:val="22"/>
          <w:lang w:eastAsia="en-US"/>
        </w:rPr>
        <w:t>ú</w:t>
      </w:r>
      <w:r w:rsidR="0065255E">
        <w:rPr>
          <w:rFonts w:eastAsia="TimesNewRoman"/>
          <w:szCs w:val="22"/>
          <w:lang w:eastAsia="en-US"/>
        </w:rPr>
        <w:t xml:space="preserve"> </w:t>
      </w:r>
      <w:r w:rsidRPr="00771FEF">
        <w:rPr>
          <w:rFonts w:eastAsia="TimesNewRoman"/>
          <w:szCs w:val="22"/>
          <w:lang w:eastAsia="en-US"/>
        </w:rPr>
        <w:t>hydroxyl</w:t>
      </w:r>
      <w:r w:rsidR="004816A8" w:rsidRPr="00771FEF">
        <w:rPr>
          <w:rFonts w:eastAsia="TimesNewRoman"/>
          <w:szCs w:val="22"/>
          <w:lang w:eastAsia="en-US"/>
        </w:rPr>
        <w:t>ácii</w:t>
      </w:r>
      <w:r w:rsidRPr="002A65AC">
        <w:rPr>
          <w:rFonts w:eastAsia="TimesNewRoman"/>
          <w:szCs w:val="22"/>
          <w:lang w:eastAsia="en-US"/>
        </w:rPr>
        <w:t xml:space="preserve"> na niekoľko metabolitov. Deboro</w:t>
      </w:r>
      <w:r w:rsidR="00EB6DAD" w:rsidRPr="00E110FB">
        <w:rPr>
          <w:rFonts w:eastAsia="TimesNewRoman"/>
          <w:szCs w:val="22"/>
          <w:lang w:eastAsia="en-US"/>
        </w:rPr>
        <w:t>vané</w:t>
      </w:r>
      <w:r w:rsidRPr="00BC1F6E">
        <w:rPr>
          <w:rFonts w:eastAsia="TimesNewRoman"/>
          <w:szCs w:val="22"/>
          <w:lang w:eastAsia="en-US"/>
        </w:rPr>
        <w:t xml:space="preserve"> metabolity</w:t>
      </w:r>
      <w:r w:rsidRPr="00CC69EC">
        <w:rPr>
          <w:rFonts w:eastAsia="TimesNewRoman"/>
          <w:szCs w:val="22"/>
          <w:lang w:eastAsia="en-US"/>
        </w:rPr>
        <w:t xml:space="preserve"> bortezomibu nevykazujú aktivitu ako inhibítory proteazómu 26S.</w:t>
      </w:r>
    </w:p>
    <w:p w14:paraId="021285BD" w14:textId="77777777" w:rsidR="00564D9B" w:rsidRPr="00CC69EC" w:rsidRDefault="00564D9B" w:rsidP="00564D9B">
      <w:pPr>
        <w:autoSpaceDE w:val="0"/>
        <w:autoSpaceDN w:val="0"/>
        <w:adjustRightInd w:val="0"/>
        <w:ind w:left="0" w:firstLine="0"/>
        <w:rPr>
          <w:rFonts w:eastAsia="TimesNewRoman"/>
          <w:szCs w:val="22"/>
          <w:lang w:eastAsia="en-US"/>
        </w:rPr>
      </w:pPr>
    </w:p>
    <w:p w14:paraId="1BA14920"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Eliminácia</w:t>
      </w:r>
    </w:p>
    <w:p w14:paraId="157F2393" w14:textId="2C94DF8D" w:rsidR="00564D9B" w:rsidRPr="00CC69EC" w:rsidRDefault="00564D9B" w:rsidP="00564D9B">
      <w:pPr>
        <w:autoSpaceDE w:val="0"/>
        <w:autoSpaceDN w:val="0"/>
        <w:adjustRightInd w:val="0"/>
        <w:ind w:left="0" w:firstLine="0"/>
        <w:rPr>
          <w:i/>
          <w:szCs w:val="22"/>
        </w:rPr>
      </w:pPr>
      <w:r w:rsidRPr="00CC69EC">
        <w:rPr>
          <w:rFonts w:eastAsia="TimesNewRoman"/>
          <w:szCs w:val="22"/>
          <w:lang w:eastAsia="en-US"/>
        </w:rPr>
        <w:t xml:space="preserve">Priemerný </w:t>
      </w:r>
      <w:r w:rsidR="006B459F">
        <w:rPr>
          <w:rFonts w:eastAsia="TimesNewRoman"/>
          <w:szCs w:val="22"/>
          <w:lang w:eastAsia="en-US"/>
        </w:rPr>
        <w:t xml:space="preserve">eliminačný </w:t>
      </w:r>
      <w:r w:rsidRPr="00CC69EC">
        <w:rPr>
          <w:rFonts w:eastAsia="TimesNewRoman"/>
          <w:szCs w:val="22"/>
          <w:lang w:eastAsia="en-US"/>
        </w:rPr>
        <w:t>polčas (t</w:t>
      </w:r>
      <w:r w:rsidRPr="00CC69EC">
        <w:rPr>
          <w:rFonts w:eastAsia="TimesNewRoman"/>
          <w:szCs w:val="22"/>
          <w:vertAlign w:val="subscript"/>
          <w:lang w:eastAsia="en-US"/>
        </w:rPr>
        <w:t>1/2</w:t>
      </w:r>
      <w:r w:rsidRPr="00CC69EC">
        <w:rPr>
          <w:rFonts w:eastAsia="TimesNewRoman"/>
          <w:szCs w:val="22"/>
          <w:lang w:eastAsia="en-US"/>
        </w:rPr>
        <w:t xml:space="preserve">) bortezomibu sa po </w:t>
      </w:r>
      <w:r w:rsidR="006B459F">
        <w:rPr>
          <w:rFonts w:eastAsia="TimesNewRoman"/>
          <w:szCs w:val="22"/>
          <w:lang w:eastAsia="en-US"/>
        </w:rPr>
        <w:t>opakovaných</w:t>
      </w:r>
      <w:r w:rsidR="006B459F" w:rsidRPr="00CC69EC">
        <w:rPr>
          <w:rFonts w:eastAsia="TimesNewRoman"/>
          <w:szCs w:val="22"/>
          <w:lang w:eastAsia="en-US"/>
        </w:rPr>
        <w:t xml:space="preserve"> </w:t>
      </w:r>
      <w:r w:rsidRPr="00CC69EC">
        <w:rPr>
          <w:rFonts w:eastAsia="TimesNewRoman"/>
          <w:szCs w:val="22"/>
          <w:lang w:eastAsia="en-US"/>
        </w:rPr>
        <w:t>dávk</w:t>
      </w:r>
      <w:r w:rsidR="006B459F">
        <w:rPr>
          <w:rFonts w:eastAsia="TimesNewRoman"/>
          <w:szCs w:val="22"/>
          <w:lang w:eastAsia="en-US"/>
        </w:rPr>
        <w:t>ach</w:t>
      </w:r>
      <w:r w:rsidRPr="00CC69EC">
        <w:rPr>
          <w:rFonts w:eastAsia="TimesNewRoman"/>
          <w:szCs w:val="22"/>
          <w:lang w:eastAsia="en-US"/>
        </w:rPr>
        <w:t xml:space="preserve"> pohyboval medzi 40 –193 hodinami. Bortezomib je eliminovaný rýchlejšie po prvej dávke v porovnaní s nasledujúcimi dávkami. Priemerný celkový telesný klírens po prvej dávke bol 102 l/h pre dávku 1,0 mg/m</w:t>
      </w:r>
      <w:r w:rsidRPr="00CC69EC">
        <w:rPr>
          <w:rFonts w:eastAsia="TimesNewRoman"/>
          <w:szCs w:val="22"/>
          <w:vertAlign w:val="superscript"/>
          <w:lang w:eastAsia="en-US"/>
        </w:rPr>
        <w:t>2</w:t>
      </w:r>
      <w:r w:rsidRPr="00CC69EC">
        <w:rPr>
          <w:rFonts w:eastAsia="TimesNewRoman"/>
          <w:szCs w:val="22"/>
          <w:lang w:eastAsia="en-US"/>
        </w:rPr>
        <w:t xml:space="preserve"> a 112 l/h pre dávku 1,3 mg/m</w:t>
      </w:r>
      <w:r w:rsidRPr="00CC69EC">
        <w:rPr>
          <w:rFonts w:eastAsia="TimesNewRoman"/>
          <w:szCs w:val="22"/>
          <w:vertAlign w:val="superscript"/>
          <w:lang w:eastAsia="en-US"/>
        </w:rPr>
        <w:t>2</w:t>
      </w:r>
      <w:r w:rsidRPr="00CC69EC">
        <w:rPr>
          <w:rFonts w:eastAsia="TimesNewRoman"/>
          <w:szCs w:val="22"/>
          <w:lang w:eastAsia="en-US"/>
        </w:rPr>
        <w:t xml:space="preserve"> a pohyboval sa v rozpätí od 15 do 32 l/h po opakovaných dávkach 1,0 mg/m</w:t>
      </w:r>
      <w:r w:rsidRPr="00CC69EC">
        <w:rPr>
          <w:rFonts w:eastAsia="TimesNewRoman"/>
          <w:szCs w:val="22"/>
          <w:vertAlign w:val="superscript"/>
          <w:lang w:eastAsia="en-US"/>
        </w:rPr>
        <w:t>2</w:t>
      </w:r>
      <w:r w:rsidRPr="00CC69EC">
        <w:rPr>
          <w:rFonts w:eastAsia="TimesNewRoman"/>
          <w:szCs w:val="22"/>
          <w:lang w:eastAsia="en-US"/>
        </w:rPr>
        <w:t xml:space="preserve"> a od 18 do 32 l/h po opakovaných dávkach 1,3 mg/m</w:t>
      </w:r>
      <w:r w:rsidRPr="00CC69EC">
        <w:rPr>
          <w:rFonts w:eastAsia="TimesNewRoman"/>
          <w:szCs w:val="22"/>
          <w:vertAlign w:val="superscript"/>
          <w:lang w:eastAsia="en-US"/>
        </w:rPr>
        <w:t>2</w:t>
      </w:r>
      <w:r w:rsidRPr="00CC69EC">
        <w:rPr>
          <w:rFonts w:eastAsia="TimesNewRoman"/>
          <w:szCs w:val="22"/>
          <w:lang w:eastAsia="en-US"/>
        </w:rPr>
        <w:t>.</w:t>
      </w:r>
    </w:p>
    <w:p w14:paraId="49848BCE" w14:textId="77777777" w:rsidR="00564D9B" w:rsidRPr="00CC69EC" w:rsidRDefault="00564D9B" w:rsidP="00564D9B">
      <w:pPr>
        <w:ind w:left="0" w:firstLine="0"/>
        <w:rPr>
          <w:i/>
          <w:szCs w:val="22"/>
        </w:rPr>
      </w:pPr>
    </w:p>
    <w:p w14:paraId="7CF429A9"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A8389E">
        <w:rPr>
          <w:rFonts w:eastAsia="TimesNewRoman"/>
          <w:szCs w:val="22"/>
          <w:u w:val="single"/>
          <w:lang w:eastAsia="en-US"/>
        </w:rPr>
        <w:t>Osobitné skupiny pacientov</w:t>
      </w:r>
    </w:p>
    <w:p w14:paraId="3DEF31B4"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Porucha funkcie pečene</w:t>
      </w:r>
    </w:p>
    <w:p w14:paraId="1C52A33B"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Účinok poruchy funkcie pečene na farmakokinetiku bortezomibu bol sledovaný v štúdii fázy I počas prvého liečebného cyklu, ktorá zahŕňala 61 pacientov najmä so solídnymi tumormi a s rôznymi stupňami poruchy funkcie pečene s dávkami bortezomibu v rozsahu od 0,5 do 1,3 mg/m</w:t>
      </w:r>
      <w:r w:rsidRPr="00CC69EC">
        <w:rPr>
          <w:rFonts w:eastAsia="TimesNewRoman"/>
          <w:szCs w:val="22"/>
          <w:vertAlign w:val="superscript"/>
          <w:lang w:eastAsia="en-US"/>
        </w:rPr>
        <w:t>2</w:t>
      </w:r>
      <w:r w:rsidRPr="00CC69EC">
        <w:rPr>
          <w:rFonts w:eastAsia="TimesNewRoman"/>
          <w:szCs w:val="22"/>
          <w:lang w:eastAsia="en-US"/>
        </w:rPr>
        <w:t>.</w:t>
      </w:r>
    </w:p>
    <w:p w14:paraId="294CC3EF" w14:textId="77777777" w:rsidR="00564D9B" w:rsidRPr="00CC69EC" w:rsidRDefault="00564D9B" w:rsidP="00564D9B">
      <w:pPr>
        <w:autoSpaceDE w:val="0"/>
        <w:autoSpaceDN w:val="0"/>
        <w:adjustRightInd w:val="0"/>
        <w:ind w:left="0" w:firstLine="0"/>
        <w:rPr>
          <w:rFonts w:eastAsia="TimesNewRoman"/>
          <w:szCs w:val="22"/>
          <w:lang w:eastAsia="en-US"/>
        </w:rPr>
      </w:pPr>
    </w:p>
    <w:p w14:paraId="010575D4" w14:textId="49A2313F"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Pri porovnaní s pacientmi s normálnou funkciou pečene, </w:t>
      </w:r>
      <w:r w:rsidR="00955C8A">
        <w:rPr>
          <w:rFonts w:eastAsia="TimesNewRoman"/>
          <w:szCs w:val="22"/>
          <w:lang w:eastAsia="en-US"/>
        </w:rPr>
        <w:t xml:space="preserve">nezmenila </w:t>
      </w:r>
      <w:r w:rsidRPr="00CC69EC">
        <w:rPr>
          <w:rFonts w:eastAsia="TimesNewRoman"/>
          <w:szCs w:val="22"/>
          <w:lang w:eastAsia="en-US"/>
        </w:rPr>
        <w:t>mierna porucha funkcie pečene AUC bortezomibu</w:t>
      </w:r>
      <w:r w:rsidR="00955C8A">
        <w:rPr>
          <w:rFonts w:eastAsia="TimesNewRoman"/>
          <w:szCs w:val="22"/>
          <w:lang w:eastAsia="en-US"/>
        </w:rPr>
        <w:t xml:space="preserve"> pri normalizovanej dávke</w:t>
      </w:r>
      <w:r w:rsidRPr="00CC69EC">
        <w:rPr>
          <w:rFonts w:eastAsia="TimesNewRoman"/>
          <w:szCs w:val="22"/>
          <w:lang w:eastAsia="en-US"/>
        </w:rPr>
        <w:t>. Hodnoty AUC</w:t>
      </w:r>
      <w:r w:rsidR="005C231B">
        <w:rPr>
          <w:rFonts w:eastAsia="TimesNewRoman"/>
          <w:szCs w:val="22"/>
          <w:lang w:eastAsia="en-US"/>
        </w:rPr>
        <w:t xml:space="preserve"> pri normalizovanej dávke</w:t>
      </w:r>
      <w:r w:rsidRPr="00CC69EC">
        <w:rPr>
          <w:rFonts w:eastAsia="TimesNewRoman"/>
          <w:szCs w:val="22"/>
          <w:lang w:eastAsia="en-US"/>
        </w:rPr>
        <w:t xml:space="preserve"> však boli zvýšené o približne 60 % u pacientov so stredne závažnou alebo závažnou poruchou funkcie pečene. U pacientov so stredne závažnou alebo závažnou poruchou funkcie pečene sa odporúča nižšia </w:t>
      </w:r>
      <w:r>
        <w:rPr>
          <w:rFonts w:eastAsia="TimesNewRoman"/>
          <w:szCs w:val="22"/>
          <w:lang w:eastAsia="en-US"/>
        </w:rPr>
        <w:t>začiatočná</w:t>
      </w:r>
      <w:r w:rsidRPr="00CC69EC">
        <w:rPr>
          <w:rFonts w:eastAsia="TimesNewRoman"/>
          <w:szCs w:val="22"/>
          <w:lang w:eastAsia="en-US"/>
        </w:rPr>
        <w:t xml:space="preserve"> dávka a týchto pacientov</w:t>
      </w:r>
      <w:r w:rsidR="005C231B">
        <w:rPr>
          <w:rFonts w:eastAsia="TimesNewRoman"/>
          <w:szCs w:val="22"/>
          <w:lang w:eastAsia="en-US"/>
        </w:rPr>
        <w:t xml:space="preserve"> je po</w:t>
      </w:r>
      <w:r w:rsidRPr="00CC69EC">
        <w:rPr>
          <w:rFonts w:eastAsia="TimesNewRoman"/>
          <w:szCs w:val="22"/>
          <w:lang w:eastAsia="en-US"/>
        </w:rPr>
        <w:t>treb</w:t>
      </w:r>
      <w:r w:rsidR="005C231B">
        <w:rPr>
          <w:rFonts w:eastAsia="TimesNewRoman"/>
          <w:szCs w:val="22"/>
          <w:lang w:eastAsia="en-US"/>
        </w:rPr>
        <w:t>né</w:t>
      </w:r>
      <w:r w:rsidRPr="00CC69EC">
        <w:rPr>
          <w:rFonts w:eastAsia="TimesNewRoman"/>
          <w:szCs w:val="22"/>
          <w:lang w:eastAsia="en-US"/>
        </w:rPr>
        <w:t xml:space="preserve"> starostlivo sledovať (pozri časť 4.2, </w:t>
      </w:r>
      <w:r w:rsidR="005A5572">
        <w:rPr>
          <w:rFonts w:eastAsia="TimesNewRoman"/>
          <w:szCs w:val="22"/>
          <w:lang w:eastAsia="en-US"/>
        </w:rPr>
        <w:t>t</w:t>
      </w:r>
      <w:r w:rsidRPr="00CC69EC">
        <w:rPr>
          <w:rFonts w:eastAsia="TimesNewRoman"/>
          <w:szCs w:val="22"/>
          <w:lang w:eastAsia="en-US"/>
        </w:rPr>
        <w:t>abuľku 6).</w:t>
      </w:r>
    </w:p>
    <w:p w14:paraId="4985FCDD"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344282A1"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Porucha funkcie obličiek</w:t>
      </w:r>
    </w:p>
    <w:p w14:paraId="769A1F58" w14:textId="5D2DBE7A" w:rsidR="00564D9B" w:rsidRPr="00CC69EC" w:rsidRDefault="00564D9B" w:rsidP="00564D9B">
      <w:pPr>
        <w:autoSpaceDE w:val="0"/>
        <w:autoSpaceDN w:val="0"/>
        <w:adjustRightInd w:val="0"/>
        <w:ind w:left="0" w:firstLine="0"/>
        <w:rPr>
          <w:i/>
          <w:szCs w:val="22"/>
        </w:rPr>
      </w:pPr>
      <w:r w:rsidRPr="00CC69EC">
        <w:rPr>
          <w:rFonts w:eastAsia="TimesNewRoman"/>
          <w:szCs w:val="22"/>
          <w:lang w:eastAsia="en-US"/>
        </w:rPr>
        <w:t>Vykonala sa štúdia farmakokinetiky u pacientov s rôznymi stupňami poruchy funkcie obličiek, ktorí boli zaradení podľa ich hodnôt klírensu kreatinínu (CrCL) do nasledovných skupín: normálne (CrCL ≥ 60 ml/min/1,73 m</w:t>
      </w:r>
      <w:r w:rsidRPr="00CC69EC">
        <w:rPr>
          <w:rFonts w:eastAsia="TimesNewRoman"/>
          <w:szCs w:val="22"/>
          <w:vertAlign w:val="superscript"/>
          <w:lang w:eastAsia="en-US"/>
        </w:rPr>
        <w:t>2</w:t>
      </w:r>
      <w:r w:rsidRPr="00CC69EC">
        <w:rPr>
          <w:rFonts w:eastAsia="TimesNewRoman"/>
          <w:szCs w:val="22"/>
          <w:lang w:eastAsia="en-US"/>
        </w:rPr>
        <w:t>, n = 12), mierne (CrCL = 40 – 59 ml/min/1,73 m</w:t>
      </w:r>
      <w:r w:rsidRPr="00CC69EC">
        <w:rPr>
          <w:rFonts w:eastAsia="TimesNewRoman"/>
          <w:szCs w:val="22"/>
          <w:vertAlign w:val="superscript"/>
          <w:lang w:eastAsia="en-US"/>
        </w:rPr>
        <w:t>2</w:t>
      </w:r>
      <w:r w:rsidRPr="00CC69EC">
        <w:rPr>
          <w:rFonts w:eastAsia="TimesNewRoman"/>
          <w:szCs w:val="22"/>
          <w:lang w:eastAsia="en-US"/>
        </w:rPr>
        <w:t>, n = 10), stredn</w:t>
      </w:r>
      <w:r w:rsidR="00996CA3">
        <w:rPr>
          <w:rFonts w:eastAsia="TimesNewRoman"/>
          <w:szCs w:val="22"/>
          <w:lang w:eastAsia="en-US"/>
        </w:rPr>
        <w:t>e závažné</w:t>
      </w:r>
      <w:r w:rsidRPr="00CC69EC">
        <w:rPr>
          <w:rFonts w:eastAsia="TimesNewRoman"/>
          <w:szCs w:val="22"/>
          <w:lang w:eastAsia="en-US"/>
        </w:rPr>
        <w:t xml:space="preserve"> (CrCL = 20 – 39 ml/min/1,73 m</w:t>
      </w:r>
      <w:r w:rsidRPr="00CC69EC">
        <w:rPr>
          <w:rFonts w:eastAsia="TimesNewRoman"/>
          <w:szCs w:val="22"/>
          <w:vertAlign w:val="superscript"/>
          <w:lang w:eastAsia="en-US"/>
        </w:rPr>
        <w:t>2</w:t>
      </w:r>
      <w:r w:rsidRPr="00CC69EC">
        <w:rPr>
          <w:rFonts w:eastAsia="TimesNewRoman"/>
          <w:szCs w:val="22"/>
          <w:lang w:eastAsia="en-US"/>
        </w:rPr>
        <w:t>, n = 9) a závažné (CrCL &lt; 20 ml/min/1,73 m</w:t>
      </w:r>
      <w:r w:rsidRPr="00CC69EC">
        <w:rPr>
          <w:rFonts w:eastAsia="TimesNewRoman"/>
          <w:szCs w:val="22"/>
          <w:vertAlign w:val="superscript"/>
          <w:lang w:eastAsia="en-US"/>
        </w:rPr>
        <w:t>2</w:t>
      </w:r>
      <w:r w:rsidRPr="00CC69EC">
        <w:rPr>
          <w:rFonts w:eastAsia="TimesNewRoman"/>
          <w:szCs w:val="22"/>
          <w:lang w:eastAsia="en-US"/>
        </w:rPr>
        <w:t>, n = 3). Do štúdie bola tiež zaradená skupina  pacientov</w:t>
      </w:r>
      <w:r w:rsidR="00996CA3">
        <w:rPr>
          <w:rFonts w:eastAsia="TimesNewRoman"/>
          <w:szCs w:val="22"/>
          <w:lang w:eastAsia="en-US"/>
        </w:rPr>
        <w:t xml:space="preserve"> podstupujúcich dialýzu</w:t>
      </w:r>
      <w:r w:rsidRPr="00CC69EC">
        <w:rPr>
          <w:rFonts w:eastAsia="TimesNewRoman"/>
          <w:szCs w:val="22"/>
          <w:lang w:eastAsia="en-US"/>
        </w:rPr>
        <w:t xml:space="preserve"> (n = 8), ktorí dostali dávku po dialýze. Pacienti dostávali intravenózne dávky 0,7 až 1,3 mg/m</w:t>
      </w:r>
      <w:r w:rsidRPr="00CC69EC">
        <w:rPr>
          <w:rFonts w:eastAsia="TimesNewRoman"/>
          <w:szCs w:val="22"/>
          <w:vertAlign w:val="superscript"/>
          <w:lang w:eastAsia="en-US"/>
        </w:rPr>
        <w:t>2</w:t>
      </w:r>
      <w:r w:rsidRPr="00CC69EC">
        <w:rPr>
          <w:rFonts w:eastAsia="TimesNewRoman"/>
          <w:szCs w:val="22"/>
          <w:lang w:eastAsia="en-US"/>
        </w:rPr>
        <w:t xml:space="preserve"> bortezomibu dvakrát týždenne. Expozícia bortezomibu (dávkou normalizovaná AUC a C</w:t>
      </w:r>
      <w:r w:rsidRPr="00CC69EC">
        <w:rPr>
          <w:rFonts w:eastAsia="TimesNewRoman"/>
          <w:szCs w:val="22"/>
          <w:vertAlign w:val="subscript"/>
          <w:lang w:eastAsia="en-US"/>
        </w:rPr>
        <w:t>max</w:t>
      </w:r>
      <w:r w:rsidRPr="00CC69EC">
        <w:rPr>
          <w:rFonts w:eastAsia="TimesNewRoman"/>
          <w:szCs w:val="22"/>
          <w:lang w:eastAsia="en-US"/>
        </w:rPr>
        <w:t>) bola porovnateľná vo všetkých skupinách (pozri časť 4.2).</w:t>
      </w:r>
    </w:p>
    <w:p w14:paraId="11B17067" w14:textId="77777777" w:rsidR="00564D9B" w:rsidRPr="00CC69EC" w:rsidRDefault="00564D9B" w:rsidP="00564D9B">
      <w:pPr>
        <w:ind w:left="0" w:firstLine="0"/>
        <w:rPr>
          <w:i/>
        </w:rPr>
      </w:pPr>
    </w:p>
    <w:p w14:paraId="5F31D597" w14:textId="77777777" w:rsidR="00564D9B" w:rsidRPr="00CC69EC" w:rsidRDefault="00564D9B" w:rsidP="00564D9B">
      <w:pPr>
        <w:autoSpaceDE w:val="0"/>
        <w:autoSpaceDN w:val="0"/>
        <w:adjustRightInd w:val="0"/>
        <w:ind w:left="0" w:firstLine="0"/>
        <w:rPr>
          <w:i/>
          <w:iCs/>
          <w:szCs w:val="22"/>
        </w:rPr>
      </w:pPr>
      <w:r w:rsidRPr="00CC69EC">
        <w:rPr>
          <w:i/>
          <w:iCs/>
          <w:szCs w:val="22"/>
        </w:rPr>
        <w:t>Vek</w:t>
      </w:r>
    </w:p>
    <w:p w14:paraId="15DBE836" w14:textId="1AE66864" w:rsidR="00564D9B" w:rsidRPr="00CC69EC" w:rsidRDefault="00564D9B" w:rsidP="00564D9B">
      <w:pPr>
        <w:autoSpaceDE w:val="0"/>
        <w:autoSpaceDN w:val="0"/>
        <w:adjustRightInd w:val="0"/>
        <w:ind w:left="0" w:firstLine="0"/>
        <w:rPr>
          <w:szCs w:val="22"/>
        </w:rPr>
      </w:pPr>
      <w:r w:rsidRPr="00CC69EC">
        <w:rPr>
          <w:szCs w:val="22"/>
        </w:rPr>
        <w:t>Farmakokinetika bortezomibu bola sledovaná po intravenóznom bolusovom podaní dávok 1,3 mg/m</w:t>
      </w:r>
      <w:r w:rsidRPr="00CC69EC">
        <w:rPr>
          <w:szCs w:val="22"/>
          <w:vertAlign w:val="superscript"/>
        </w:rPr>
        <w:t xml:space="preserve">2 </w:t>
      </w:r>
      <w:r w:rsidRPr="00CC69EC">
        <w:rPr>
          <w:szCs w:val="22"/>
        </w:rPr>
        <w:t>dvakrát týždenne 104 pediatrickým pacientom (vo veku 2 – 16 rokov) s akútnou lymfoblastickou leukémiou (ALL) alebo akútnou myeloidnou leukémiou (AML). Na základe analýzy farmakokinetiky podľa populácie sa klírens bortezomibu zvyšoval so zvyšujúc</w:t>
      </w:r>
      <w:r w:rsidR="00911430">
        <w:rPr>
          <w:szCs w:val="22"/>
        </w:rPr>
        <w:t>ou sa plochou</w:t>
      </w:r>
      <w:r w:rsidRPr="00CC69EC">
        <w:rPr>
          <w:szCs w:val="22"/>
        </w:rPr>
        <w:t xml:space="preserve">  povrch</w:t>
      </w:r>
      <w:r w:rsidR="00911430">
        <w:rPr>
          <w:szCs w:val="22"/>
        </w:rPr>
        <w:t>u</w:t>
      </w:r>
      <w:r w:rsidRPr="00CC69EC">
        <w:rPr>
          <w:szCs w:val="22"/>
        </w:rPr>
        <w:t xml:space="preserve"> tela (BSA, z angl. body surface area). Geometrický priemer (% CV) klírensu bol 7,79 (25 %) l/h/m</w:t>
      </w:r>
      <w:r w:rsidRPr="00CC69EC">
        <w:rPr>
          <w:szCs w:val="22"/>
          <w:vertAlign w:val="superscript"/>
        </w:rPr>
        <w:t>2</w:t>
      </w:r>
      <w:r w:rsidRPr="00CC69EC">
        <w:rPr>
          <w:szCs w:val="22"/>
        </w:rPr>
        <w:t>, distribučný objem v ustálenom stave bol 834 (39 %) l/m</w:t>
      </w:r>
      <w:r w:rsidRPr="00CC69EC">
        <w:rPr>
          <w:szCs w:val="22"/>
          <w:vertAlign w:val="superscript"/>
        </w:rPr>
        <w:t>2</w:t>
      </w:r>
      <w:r w:rsidRPr="00CC69EC">
        <w:rPr>
          <w:szCs w:val="22"/>
        </w:rPr>
        <w:t xml:space="preserve"> a</w:t>
      </w:r>
      <w:r w:rsidR="00911430">
        <w:rPr>
          <w:szCs w:val="22"/>
        </w:rPr>
        <w:t xml:space="preserve"> eliminačný </w:t>
      </w:r>
      <w:r w:rsidRPr="00CC69EC">
        <w:rPr>
          <w:szCs w:val="22"/>
        </w:rPr>
        <w:t xml:space="preserve">polčas  bol 100 (44 %) hodín. Po korekcii vplyvu BSA nemali ďalšie demografické ukazovatele ako vek, telesná hmotnosť a pohlavie klinicky významný vplyv na klírens bortezomibu. </w:t>
      </w:r>
      <w:r w:rsidR="00911430">
        <w:rPr>
          <w:szCs w:val="22"/>
        </w:rPr>
        <w:t>N</w:t>
      </w:r>
      <w:r w:rsidRPr="00CC69EC">
        <w:rPr>
          <w:szCs w:val="22"/>
        </w:rPr>
        <w:t xml:space="preserve">ormalizovaný klírens </w:t>
      </w:r>
      <w:r w:rsidR="00911430">
        <w:rPr>
          <w:szCs w:val="22"/>
        </w:rPr>
        <w:t xml:space="preserve">BSA </w:t>
      </w:r>
      <w:r w:rsidRPr="00CC69EC">
        <w:rPr>
          <w:szCs w:val="22"/>
        </w:rPr>
        <w:t>bortezomibu u pediatrických pacientov bol podobný ako klírens pozorovaný u dospelých.</w:t>
      </w:r>
    </w:p>
    <w:p w14:paraId="306817BD" w14:textId="77777777" w:rsidR="00564D9B" w:rsidRPr="00CC69EC" w:rsidRDefault="00564D9B" w:rsidP="00564D9B">
      <w:pPr>
        <w:ind w:left="0" w:firstLine="0"/>
        <w:rPr>
          <w:i/>
        </w:rPr>
      </w:pPr>
    </w:p>
    <w:p w14:paraId="24638960" w14:textId="77777777" w:rsidR="00564D9B" w:rsidRPr="00CC69EC" w:rsidRDefault="00564D9B" w:rsidP="00564D9B">
      <w:pPr>
        <w:rPr>
          <w:b/>
        </w:rPr>
      </w:pPr>
      <w:r w:rsidRPr="00CC69EC">
        <w:rPr>
          <w:b/>
        </w:rPr>
        <w:t>5.3</w:t>
      </w:r>
      <w:r w:rsidRPr="00CC69EC">
        <w:rPr>
          <w:b/>
        </w:rPr>
        <w:tab/>
        <w:t>Predklinické údaje o bezpečnosti</w:t>
      </w:r>
    </w:p>
    <w:p w14:paraId="1999E7F1" w14:textId="77777777" w:rsidR="00564D9B" w:rsidRPr="00CC69EC" w:rsidRDefault="00564D9B" w:rsidP="00564D9B">
      <w:pPr>
        <w:ind w:left="0" w:firstLine="0"/>
        <w:rPr>
          <w:szCs w:val="22"/>
          <w:u w:val="single"/>
        </w:rPr>
      </w:pPr>
    </w:p>
    <w:p w14:paraId="4063C7A4" w14:textId="40DE095D"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mal pozitívnu klastogénnu aktivitu (štrukturálne chromozómové aberácie) v </w:t>
      </w:r>
      <w:r w:rsidRPr="00CC69EC">
        <w:rPr>
          <w:rFonts w:eastAsia="TimesNewRoman,Italic"/>
          <w:i/>
          <w:iCs/>
          <w:szCs w:val="22"/>
          <w:lang w:eastAsia="en-US"/>
        </w:rPr>
        <w:t xml:space="preserve">in vitro </w:t>
      </w:r>
      <w:r w:rsidRPr="00CC69EC">
        <w:rPr>
          <w:rFonts w:eastAsia="TimesNewRoman"/>
          <w:szCs w:val="22"/>
          <w:lang w:eastAsia="en-US"/>
        </w:rPr>
        <w:t>štúdiách hodnotiacich chromozómové aberácie ovariálnych buniek čínskych škrečkov (CHO, z angl. Chinese hamster ovary) p</w:t>
      </w:r>
      <w:r w:rsidR="00D3338C">
        <w:rPr>
          <w:rFonts w:eastAsia="TimesNewRoman"/>
          <w:szCs w:val="22"/>
          <w:lang w:eastAsia="en-US"/>
        </w:rPr>
        <w:t>ri nízkych koncentráciách ako</w:t>
      </w:r>
      <w:r w:rsidRPr="00CC69EC">
        <w:rPr>
          <w:rFonts w:eastAsia="TimesNewRoman"/>
          <w:szCs w:val="22"/>
          <w:lang w:eastAsia="en-US"/>
        </w:rPr>
        <w:t xml:space="preserve"> 3,125 μg/ml, čo bola najnižšia hodnotená koncentrácia. Bortezomib nebol genotoxický </w:t>
      </w:r>
      <w:r w:rsidR="00911430">
        <w:rPr>
          <w:rFonts w:eastAsia="TimesNewRoman"/>
          <w:szCs w:val="22"/>
          <w:lang w:eastAsia="en-US"/>
        </w:rPr>
        <w:t>v</w:t>
      </w:r>
      <w:r w:rsidRPr="00CC69EC">
        <w:rPr>
          <w:rFonts w:eastAsia="TimesNewRoman"/>
          <w:szCs w:val="22"/>
          <w:lang w:eastAsia="en-US"/>
        </w:rPr>
        <w:t xml:space="preserve"> </w:t>
      </w:r>
      <w:r w:rsidRPr="00CC69EC">
        <w:rPr>
          <w:rFonts w:eastAsia="TimesNewRoman,Italic"/>
          <w:i/>
          <w:iCs/>
          <w:szCs w:val="22"/>
          <w:lang w:eastAsia="en-US"/>
        </w:rPr>
        <w:t xml:space="preserve">in vitro </w:t>
      </w:r>
      <w:r w:rsidRPr="00CC69EC">
        <w:rPr>
          <w:rFonts w:eastAsia="TimesNewRoman"/>
          <w:szCs w:val="22"/>
          <w:lang w:eastAsia="en-US"/>
        </w:rPr>
        <w:t>test</w:t>
      </w:r>
      <w:r w:rsidR="00911430">
        <w:rPr>
          <w:rFonts w:eastAsia="TimesNewRoman"/>
          <w:szCs w:val="22"/>
          <w:lang w:eastAsia="en-US"/>
        </w:rPr>
        <w:t>e</w:t>
      </w:r>
      <w:r w:rsidRPr="00CC69EC">
        <w:rPr>
          <w:rFonts w:eastAsia="TimesNewRoman"/>
          <w:szCs w:val="22"/>
          <w:lang w:eastAsia="en-US"/>
        </w:rPr>
        <w:t xml:space="preserve"> mutagenit</w:t>
      </w:r>
      <w:r w:rsidR="00911430">
        <w:rPr>
          <w:rFonts w:eastAsia="TimesNewRoman"/>
          <w:szCs w:val="22"/>
          <w:lang w:eastAsia="en-US"/>
        </w:rPr>
        <w:t>y</w:t>
      </w:r>
      <w:r w:rsidRPr="00CC69EC">
        <w:rPr>
          <w:rFonts w:eastAsia="TimesNewRoman"/>
          <w:szCs w:val="22"/>
          <w:lang w:eastAsia="en-US"/>
        </w:rPr>
        <w:t xml:space="preserve"> (Amesov test) a </w:t>
      </w:r>
      <w:r w:rsidR="00911430">
        <w:rPr>
          <w:rFonts w:eastAsia="TimesNewRoman"/>
          <w:szCs w:val="22"/>
          <w:lang w:eastAsia="en-US"/>
        </w:rPr>
        <w:t>v</w:t>
      </w:r>
      <w:r w:rsidRPr="00CC69EC">
        <w:rPr>
          <w:rFonts w:eastAsia="TimesNewRoman"/>
          <w:szCs w:val="22"/>
          <w:lang w:eastAsia="en-US"/>
        </w:rPr>
        <w:t> </w:t>
      </w:r>
      <w:r w:rsidRPr="00CC69EC">
        <w:rPr>
          <w:rFonts w:eastAsia="TimesNewRoman,Italic"/>
          <w:i/>
          <w:iCs/>
          <w:szCs w:val="22"/>
          <w:lang w:eastAsia="en-US"/>
        </w:rPr>
        <w:t xml:space="preserve">in vivo </w:t>
      </w:r>
      <w:r w:rsidR="00911430" w:rsidRPr="00E110FB">
        <w:rPr>
          <w:rFonts w:eastAsia="TimesNewRoman,Italic"/>
          <w:iCs/>
          <w:szCs w:val="22"/>
          <w:lang w:eastAsia="en-US"/>
        </w:rPr>
        <w:t>mikronukleárnom</w:t>
      </w:r>
      <w:r w:rsidR="00911430" w:rsidRPr="00911430">
        <w:rPr>
          <w:rFonts w:eastAsia="TimesNewRoman"/>
          <w:szCs w:val="22"/>
          <w:lang w:eastAsia="en-US"/>
        </w:rPr>
        <w:t xml:space="preserve"> </w:t>
      </w:r>
      <w:r w:rsidR="00911430">
        <w:rPr>
          <w:rFonts w:eastAsia="TimesNewRoman"/>
          <w:szCs w:val="22"/>
          <w:lang w:eastAsia="en-US"/>
        </w:rPr>
        <w:t>teste</w:t>
      </w:r>
      <w:r w:rsidRPr="00CC69EC">
        <w:rPr>
          <w:rFonts w:eastAsia="TimesNewRoman"/>
          <w:szCs w:val="22"/>
          <w:lang w:eastAsia="en-US"/>
        </w:rPr>
        <w:t xml:space="preserve"> na myšiach.</w:t>
      </w:r>
    </w:p>
    <w:p w14:paraId="4EEEB62B" w14:textId="77777777" w:rsidR="00564D9B" w:rsidRPr="00CC69EC" w:rsidRDefault="00564D9B" w:rsidP="00564D9B">
      <w:pPr>
        <w:autoSpaceDE w:val="0"/>
        <w:autoSpaceDN w:val="0"/>
        <w:adjustRightInd w:val="0"/>
        <w:ind w:left="0" w:firstLine="0"/>
        <w:rPr>
          <w:rFonts w:eastAsia="TimesNewRoman"/>
          <w:szCs w:val="22"/>
          <w:lang w:eastAsia="en-US"/>
        </w:rPr>
      </w:pPr>
    </w:p>
    <w:p w14:paraId="36CF766C" w14:textId="1105B8CA"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Štúdie </w:t>
      </w:r>
      <w:r w:rsidR="00911430" w:rsidRPr="00CC69EC">
        <w:rPr>
          <w:rFonts w:eastAsia="TimesNewRoman"/>
          <w:szCs w:val="22"/>
          <w:lang w:eastAsia="en-US"/>
        </w:rPr>
        <w:t>výv</w:t>
      </w:r>
      <w:r w:rsidR="00911430">
        <w:rPr>
          <w:rFonts w:eastAsia="TimesNewRoman"/>
          <w:szCs w:val="22"/>
          <w:lang w:eastAsia="en-US"/>
        </w:rPr>
        <w:t xml:space="preserve">inovej </w:t>
      </w:r>
      <w:r w:rsidRPr="00CC69EC">
        <w:rPr>
          <w:rFonts w:eastAsia="TimesNewRoman"/>
          <w:szCs w:val="22"/>
          <w:lang w:eastAsia="en-US"/>
        </w:rPr>
        <w:t>toxicity na potkanoch a králikoch ukázali embryo-fetálnu letalitu pri dávkach</w:t>
      </w:r>
      <w:r w:rsidR="00911430">
        <w:rPr>
          <w:rFonts w:eastAsia="TimesNewRoman"/>
          <w:szCs w:val="22"/>
          <w:lang w:eastAsia="en-US"/>
        </w:rPr>
        <w:t xml:space="preserve"> toxických pre matku</w:t>
      </w:r>
      <w:r w:rsidRPr="00CC69EC">
        <w:rPr>
          <w:rFonts w:eastAsia="TimesNewRoman"/>
          <w:szCs w:val="22"/>
          <w:lang w:eastAsia="en-US"/>
        </w:rPr>
        <w:t>, ale nezistila sa priama embryo-fetálna toxicita pri dávkach nižších ako toxických</w:t>
      </w:r>
      <w:r w:rsidR="00911430">
        <w:rPr>
          <w:rFonts w:eastAsia="TimesNewRoman"/>
          <w:szCs w:val="22"/>
          <w:lang w:eastAsia="en-US"/>
        </w:rPr>
        <w:t xml:space="preserve"> pre matku</w:t>
      </w:r>
      <w:r w:rsidRPr="00CC69EC">
        <w:rPr>
          <w:rFonts w:eastAsia="TimesNewRoman"/>
          <w:szCs w:val="22"/>
          <w:lang w:eastAsia="en-US"/>
        </w:rPr>
        <w:t xml:space="preserve">. </w:t>
      </w:r>
      <w:r>
        <w:rPr>
          <w:rFonts w:eastAsia="TimesNewRoman"/>
          <w:szCs w:val="22"/>
          <w:lang w:eastAsia="en-US"/>
        </w:rPr>
        <w:t>Neuskutočnili</w:t>
      </w:r>
      <w:r w:rsidRPr="00CC69EC">
        <w:rPr>
          <w:rFonts w:eastAsia="TimesNewRoman"/>
          <w:szCs w:val="22"/>
          <w:lang w:eastAsia="en-US"/>
        </w:rPr>
        <w:t xml:space="preserve"> sa štúdie zamerané na plodnosť, ale sledovanie reprodukčného tkaniva sa </w:t>
      </w:r>
      <w:r>
        <w:rPr>
          <w:rFonts w:eastAsia="TimesNewRoman"/>
          <w:szCs w:val="22"/>
          <w:lang w:eastAsia="en-US"/>
        </w:rPr>
        <w:t>uskutočnilo</w:t>
      </w:r>
      <w:r w:rsidRPr="00CC69EC">
        <w:rPr>
          <w:rFonts w:eastAsia="TimesNewRoman"/>
          <w:szCs w:val="22"/>
          <w:lang w:eastAsia="en-US"/>
        </w:rPr>
        <w:t xml:space="preserve"> pri štúdiách celkovej toxicity. V 6-mesačnej štúdii na potkanoch boli pozorované degeneratívne účinky na semenníkoch aj vaječníkoch. Preto je pravdepodobné, že bortezomib by </w:t>
      </w:r>
      <w:r w:rsidRPr="00CC69EC">
        <w:rPr>
          <w:rFonts w:eastAsia="TimesNewRoman"/>
          <w:szCs w:val="22"/>
          <w:lang w:eastAsia="en-US"/>
        </w:rPr>
        <w:lastRenderedPageBreak/>
        <w:t>mohol mať potenciálny účinok, buď na mužskú alebo ženskú plodnosť. Peri- a postnatálne v</w:t>
      </w:r>
      <w:r w:rsidR="00FA570D">
        <w:rPr>
          <w:rFonts w:eastAsia="TimesNewRoman"/>
          <w:szCs w:val="22"/>
          <w:lang w:eastAsia="en-US"/>
        </w:rPr>
        <w:t>ývinové</w:t>
      </w:r>
      <w:r w:rsidRPr="00CC69EC">
        <w:rPr>
          <w:rFonts w:eastAsia="TimesNewRoman"/>
          <w:szCs w:val="22"/>
          <w:lang w:eastAsia="en-US"/>
        </w:rPr>
        <w:t xml:space="preserve"> štúdie </w:t>
      </w:r>
      <w:r>
        <w:rPr>
          <w:rFonts w:eastAsia="TimesNewRoman"/>
          <w:szCs w:val="22"/>
          <w:lang w:eastAsia="en-US"/>
        </w:rPr>
        <w:t>neboli vykonané.</w:t>
      </w:r>
    </w:p>
    <w:p w14:paraId="4FFEEF2A" w14:textId="77777777" w:rsidR="00564D9B" w:rsidRPr="00CC69EC" w:rsidRDefault="00564D9B" w:rsidP="00564D9B">
      <w:pPr>
        <w:autoSpaceDE w:val="0"/>
        <w:autoSpaceDN w:val="0"/>
        <w:adjustRightInd w:val="0"/>
        <w:ind w:left="0" w:firstLine="0"/>
        <w:rPr>
          <w:rFonts w:eastAsia="TimesNewRoman"/>
          <w:szCs w:val="22"/>
          <w:lang w:eastAsia="en-US"/>
        </w:rPr>
      </w:pPr>
    </w:p>
    <w:p w14:paraId="022A079C" w14:textId="32A27D82"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V štúdiách celkovej toxicity </w:t>
      </w:r>
      <w:r w:rsidR="00FA570D">
        <w:rPr>
          <w:rFonts w:eastAsia="TimesNewRoman"/>
          <w:szCs w:val="22"/>
          <w:lang w:eastAsia="en-US"/>
        </w:rPr>
        <w:t xml:space="preserve">po opakovanom podaní </w:t>
      </w:r>
      <w:r w:rsidRPr="00CC69EC">
        <w:rPr>
          <w:rFonts w:eastAsia="TimesNewRoman"/>
          <w:szCs w:val="22"/>
          <w:lang w:eastAsia="en-US"/>
        </w:rPr>
        <w:t xml:space="preserve">vykonaných na potkanoch a opiciach patrili k hlavným cieľovým orgánom tráviaci systém s prejavmi vracania a/alebo </w:t>
      </w:r>
      <w:r w:rsidR="00FA570D">
        <w:rPr>
          <w:rFonts w:eastAsia="TimesNewRoman"/>
          <w:szCs w:val="22"/>
          <w:lang w:eastAsia="en-US"/>
        </w:rPr>
        <w:t>hnačky</w:t>
      </w:r>
      <w:r w:rsidRPr="00CC69EC">
        <w:rPr>
          <w:rFonts w:eastAsia="TimesNewRoman"/>
          <w:szCs w:val="22"/>
          <w:lang w:eastAsia="en-US"/>
        </w:rPr>
        <w:t xml:space="preserve">; hematopoetické a lymfatické tkanivo s prejavom cytopénie </w:t>
      </w:r>
      <w:r w:rsidR="00FA570D">
        <w:rPr>
          <w:rFonts w:eastAsia="TimesNewRoman"/>
          <w:szCs w:val="22"/>
          <w:lang w:eastAsia="en-US"/>
        </w:rPr>
        <w:t xml:space="preserve">v </w:t>
      </w:r>
      <w:r w:rsidRPr="00CC69EC">
        <w:rPr>
          <w:rFonts w:eastAsia="TimesNewRoman"/>
          <w:szCs w:val="22"/>
          <w:lang w:eastAsia="en-US"/>
        </w:rPr>
        <w:t>periférnej krvi, atrofi</w:t>
      </w:r>
      <w:r w:rsidR="00FA570D">
        <w:rPr>
          <w:rFonts w:eastAsia="TimesNewRoman"/>
          <w:szCs w:val="22"/>
          <w:lang w:eastAsia="en-US"/>
        </w:rPr>
        <w:t>ou</w:t>
      </w:r>
      <w:r w:rsidRPr="00CC69EC">
        <w:rPr>
          <w:rFonts w:eastAsia="TimesNewRoman"/>
          <w:szCs w:val="22"/>
          <w:lang w:eastAsia="en-US"/>
        </w:rPr>
        <w:t xml:space="preserve"> lymfatického tkaniva a hematopoetickou hypocelularitou kostnej drene; periférna neuropatia (pozorovaná na opiciach, myšiach a psoch) zahŕňajúca senzitívne nervové axóny a mierne zmeny na obličkách. Po ukončení liečby bolo možné u všetkých týchto cieľových orgánov pozorovať </w:t>
      </w:r>
      <w:r w:rsidR="00FA570D">
        <w:rPr>
          <w:rFonts w:eastAsia="TimesNewRoman"/>
          <w:szCs w:val="22"/>
          <w:lang w:eastAsia="en-US"/>
        </w:rPr>
        <w:t>čiastočnú</w:t>
      </w:r>
      <w:r w:rsidR="00FA570D" w:rsidRPr="00CC69EC">
        <w:rPr>
          <w:rFonts w:eastAsia="TimesNewRoman"/>
          <w:szCs w:val="22"/>
          <w:lang w:eastAsia="en-US"/>
        </w:rPr>
        <w:t xml:space="preserve"> </w:t>
      </w:r>
      <w:r w:rsidRPr="00CC69EC">
        <w:rPr>
          <w:rFonts w:eastAsia="TimesNewRoman"/>
          <w:szCs w:val="22"/>
          <w:lang w:eastAsia="en-US"/>
        </w:rPr>
        <w:t xml:space="preserve">až kompletnú </w:t>
      </w:r>
      <w:r w:rsidR="00FA570D">
        <w:rPr>
          <w:rFonts w:eastAsia="TimesNewRoman"/>
          <w:szCs w:val="22"/>
          <w:lang w:eastAsia="en-US"/>
        </w:rPr>
        <w:t>regeneráciu</w:t>
      </w:r>
      <w:r w:rsidRPr="00CC69EC">
        <w:rPr>
          <w:rFonts w:eastAsia="TimesNewRoman"/>
          <w:szCs w:val="22"/>
          <w:lang w:eastAsia="en-US"/>
        </w:rPr>
        <w:t>.</w:t>
      </w:r>
    </w:p>
    <w:p w14:paraId="2172ADFC" w14:textId="77777777" w:rsidR="00564D9B" w:rsidRPr="00CC69EC" w:rsidRDefault="00564D9B" w:rsidP="00564D9B">
      <w:pPr>
        <w:autoSpaceDE w:val="0"/>
        <w:autoSpaceDN w:val="0"/>
        <w:adjustRightInd w:val="0"/>
        <w:ind w:left="0" w:firstLine="0"/>
        <w:rPr>
          <w:rFonts w:eastAsia="TimesNewRoman"/>
          <w:szCs w:val="22"/>
          <w:lang w:eastAsia="en-US"/>
        </w:rPr>
      </w:pPr>
    </w:p>
    <w:p w14:paraId="47896CDF" w14:textId="3D1B65EB"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Na základe štúdií na zvieratách sa </w:t>
      </w:r>
      <w:r w:rsidR="00FA570D">
        <w:rPr>
          <w:rFonts w:eastAsia="TimesNewRoman"/>
          <w:szCs w:val="22"/>
          <w:lang w:eastAsia="en-US"/>
        </w:rPr>
        <w:t>predpokladá</w:t>
      </w:r>
      <w:r w:rsidRPr="00CC69EC">
        <w:rPr>
          <w:rFonts w:eastAsia="TimesNewRoman"/>
          <w:szCs w:val="22"/>
          <w:lang w:eastAsia="en-US"/>
        </w:rPr>
        <w:t>, že prienik bortezomibu hematoencefalickou bariérou je obmedzený, ak k nemu vôbec d</w:t>
      </w:r>
      <w:r w:rsidR="00FA570D">
        <w:rPr>
          <w:rFonts w:eastAsia="TimesNewRoman"/>
          <w:szCs w:val="22"/>
          <w:lang w:eastAsia="en-US"/>
        </w:rPr>
        <w:t>ochádza</w:t>
      </w:r>
      <w:r w:rsidRPr="00CC69EC">
        <w:rPr>
          <w:rFonts w:eastAsia="TimesNewRoman"/>
          <w:szCs w:val="22"/>
          <w:lang w:eastAsia="en-US"/>
        </w:rPr>
        <w:t>, možná relevancia pre ľudí nie je známa.</w:t>
      </w:r>
    </w:p>
    <w:p w14:paraId="7E228D10" w14:textId="77777777" w:rsidR="00564D9B" w:rsidRPr="00CC69EC" w:rsidRDefault="00564D9B" w:rsidP="00564D9B">
      <w:pPr>
        <w:autoSpaceDE w:val="0"/>
        <w:autoSpaceDN w:val="0"/>
        <w:adjustRightInd w:val="0"/>
        <w:ind w:left="0" w:firstLine="0"/>
        <w:rPr>
          <w:rFonts w:eastAsia="TimesNewRoman"/>
          <w:szCs w:val="22"/>
          <w:lang w:eastAsia="en-US"/>
        </w:rPr>
      </w:pPr>
    </w:p>
    <w:p w14:paraId="0E8A87CA" w14:textId="5ECF0E10" w:rsidR="00564D9B" w:rsidRPr="00CC69EC" w:rsidRDefault="00564D9B" w:rsidP="00564D9B">
      <w:pPr>
        <w:autoSpaceDE w:val="0"/>
        <w:autoSpaceDN w:val="0"/>
        <w:adjustRightInd w:val="0"/>
        <w:ind w:left="0" w:firstLine="0"/>
        <w:rPr>
          <w:i/>
          <w:szCs w:val="22"/>
        </w:rPr>
      </w:pPr>
      <w:r w:rsidRPr="00CC69EC">
        <w:rPr>
          <w:rFonts w:eastAsia="TimesNewRoman"/>
          <w:szCs w:val="22"/>
          <w:lang w:eastAsia="en-US"/>
        </w:rPr>
        <w:t xml:space="preserve">Farmakologické štúdie kardiovaskulárnej bezpečnosti </w:t>
      </w:r>
      <w:r>
        <w:rPr>
          <w:rFonts w:eastAsia="TimesNewRoman"/>
          <w:szCs w:val="22"/>
          <w:lang w:eastAsia="en-US"/>
        </w:rPr>
        <w:t>na opiciach</w:t>
      </w:r>
      <w:r w:rsidRPr="00CC69EC">
        <w:rPr>
          <w:rFonts w:eastAsia="TimesNewRoman"/>
          <w:szCs w:val="22"/>
          <w:lang w:eastAsia="en-US"/>
        </w:rPr>
        <w:t xml:space="preserve"> a pso</w:t>
      </w:r>
      <w:r>
        <w:rPr>
          <w:rFonts w:eastAsia="TimesNewRoman"/>
          <w:szCs w:val="22"/>
          <w:lang w:eastAsia="en-US"/>
        </w:rPr>
        <w:t>ch</w:t>
      </w:r>
      <w:r w:rsidRPr="00CC69EC">
        <w:rPr>
          <w:rFonts w:eastAsia="TimesNewRoman"/>
          <w:szCs w:val="22"/>
          <w:lang w:eastAsia="en-US"/>
        </w:rPr>
        <w:t xml:space="preserve"> ukázali, že po intravenóznych dávkach približne dvoj</w:t>
      </w:r>
      <w:r w:rsidR="00FA570D">
        <w:rPr>
          <w:rFonts w:eastAsia="TimesNewRoman"/>
          <w:szCs w:val="22"/>
          <w:lang w:eastAsia="en-US"/>
        </w:rPr>
        <w:t>-</w:t>
      </w:r>
      <w:r w:rsidRPr="00CC69EC">
        <w:rPr>
          <w:rFonts w:eastAsia="TimesNewRoman"/>
          <w:szCs w:val="22"/>
          <w:lang w:eastAsia="en-US"/>
        </w:rPr>
        <w:t xml:space="preserve"> až trojnásobne vyšších ako odporúčaná klinická dávka v mg/m</w:t>
      </w:r>
      <w:r w:rsidRPr="00CC69EC">
        <w:rPr>
          <w:rFonts w:eastAsia="TimesNewRoman"/>
          <w:szCs w:val="22"/>
          <w:vertAlign w:val="superscript"/>
          <w:lang w:eastAsia="en-US"/>
        </w:rPr>
        <w:t>2</w:t>
      </w:r>
      <w:r w:rsidRPr="00CC69EC">
        <w:rPr>
          <w:rFonts w:eastAsia="TimesNewRoman"/>
          <w:szCs w:val="22"/>
          <w:lang w:eastAsia="en-US"/>
        </w:rPr>
        <w:t xml:space="preserve"> sú spojené so zvýšením srdcovej frekvencie, znížením kontraktility, hypotenziou a úmrtím. </w:t>
      </w:r>
      <w:r w:rsidR="00FA570D">
        <w:rPr>
          <w:rFonts w:eastAsia="TimesNewRoman"/>
          <w:szCs w:val="22"/>
          <w:lang w:eastAsia="en-US"/>
        </w:rPr>
        <w:t>Z</w:t>
      </w:r>
      <w:r w:rsidRPr="00CC69EC">
        <w:rPr>
          <w:rFonts w:eastAsia="TimesNewRoman"/>
          <w:szCs w:val="22"/>
          <w:lang w:eastAsia="en-US"/>
        </w:rPr>
        <w:t xml:space="preserve">nížená srdcová kontraktilita a </w:t>
      </w:r>
      <w:r w:rsidR="00FA570D" w:rsidRPr="00CC69EC">
        <w:rPr>
          <w:rFonts w:eastAsia="TimesNewRoman"/>
          <w:szCs w:val="22"/>
          <w:lang w:eastAsia="en-US"/>
        </w:rPr>
        <w:t>hypotenzi</w:t>
      </w:r>
      <w:r w:rsidR="00964E83">
        <w:rPr>
          <w:rFonts w:eastAsia="TimesNewRoman"/>
          <w:szCs w:val="22"/>
          <w:lang w:eastAsia="en-US"/>
        </w:rPr>
        <w:t>a</w:t>
      </w:r>
      <w:r w:rsidR="00FA570D">
        <w:rPr>
          <w:rFonts w:eastAsia="TimesNewRoman"/>
          <w:szCs w:val="22"/>
          <w:lang w:eastAsia="en-US"/>
        </w:rPr>
        <w:t xml:space="preserve"> u psov</w:t>
      </w:r>
      <w:r w:rsidR="00FA570D" w:rsidRPr="00CC69EC">
        <w:rPr>
          <w:rFonts w:eastAsia="TimesNewRoman"/>
          <w:szCs w:val="22"/>
          <w:lang w:eastAsia="en-US"/>
        </w:rPr>
        <w:t xml:space="preserve"> </w:t>
      </w:r>
      <w:r w:rsidR="00FA570D">
        <w:rPr>
          <w:rFonts w:eastAsia="TimesNewRoman"/>
          <w:szCs w:val="22"/>
          <w:lang w:eastAsia="en-US"/>
        </w:rPr>
        <w:t>odpovedali na akútnu liečbu</w:t>
      </w:r>
      <w:r w:rsidRPr="00CC69EC">
        <w:rPr>
          <w:rFonts w:eastAsia="TimesNewRoman"/>
          <w:szCs w:val="22"/>
          <w:lang w:eastAsia="en-US"/>
        </w:rPr>
        <w:t>pozitívne inotropný</w:t>
      </w:r>
      <w:r w:rsidR="00FA570D">
        <w:rPr>
          <w:rFonts w:eastAsia="TimesNewRoman"/>
          <w:szCs w:val="22"/>
          <w:lang w:eastAsia="en-US"/>
        </w:rPr>
        <w:t>mi</w:t>
      </w:r>
      <w:r w:rsidRPr="00CC69EC">
        <w:rPr>
          <w:rFonts w:eastAsia="TimesNewRoman"/>
          <w:szCs w:val="22"/>
          <w:lang w:eastAsia="en-US"/>
        </w:rPr>
        <w:t xml:space="preserve"> alebo presorický</w:t>
      </w:r>
      <w:r w:rsidR="00FA570D">
        <w:rPr>
          <w:rFonts w:eastAsia="TimesNewRoman"/>
          <w:szCs w:val="22"/>
          <w:lang w:eastAsia="en-US"/>
        </w:rPr>
        <w:t>mi</w:t>
      </w:r>
      <w:r w:rsidRPr="00CC69EC">
        <w:rPr>
          <w:rFonts w:eastAsia="TimesNewRoman"/>
          <w:szCs w:val="22"/>
          <w:lang w:eastAsia="en-US"/>
        </w:rPr>
        <w:t xml:space="preserve"> l</w:t>
      </w:r>
      <w:r w:rsidR="002332FE">
        <w:rPr>
          <w:rFonts w:eastAsia="TimesNewRoman"/>
          <w:szCs w:val="22"/>
          <w:lang w:eastAsia="en-US"/>
        </w:rPr>
        <w:t>iečivami</w:t>
      </w:r>
      <w:r w:rsidRPr="00CC69EC">
        <w:rPr>
          <w:rFonts w:eastAsia="TimesNewRoman"/>
          <w:szCs w:val="22"/>
          <w:lang w:eastAsia="en-US"/>
        </w:rPr>
        <w:t xml:space="preserve">. Okrem toho, v štúdiách </w:t>
      </w:r>
      <w:r>
        <w:rPr>
          <w:rFonts w:eastAsia="TimesNewRoman"/>
          <w:szCs w:val="22"/>
          <w:lang w:eastAsia="en-US"/>
        </w:rPr>
        <w:t>na psoch</w:t>
      </w:r>
      <w:r w:rsidRPr="00CC69EC">
        <w:rPr>
          <w:rFonts w:eastAsia="TimesNewRoman"/>
          <w:szCs w:val="22"/>
          <w:lang w:eastAsia="en-US"/>
        </w:rPr>
        <w:t xml:space="preserve"> bolo pozorované mierne </w:t>
      </w:r>
      <w:r w:rsidR="002332FE">
        <w:rPr>
          <w:rFonts w:eastAsia="TimesNewRoman"/>
          <w:szCs w:val="22"/>
          <w:lang w:eastAsia="en-US"/>
        </w:rPr>
        <w:t>predĺženie</w:t>
      </w:r>
      <w:r w:rsidR="002332FE" w:rsidRPr="00CC69EC">
        <w:rPr>
          <w:rFonts w:eastAsia="TimesNewRoman"/>
          <w:szCs w:val="22"/>
          <w:lang w:eastAsia="en-US"/>
        </w:rPr>
        <w:t xml:space="preserve"> </w:t>
      </w:r>
      <w:r w:rsidR="002332FE">
        <w:rPr>
          <w:rFonts w:eastAsia="TimesNewRoman"/>
          <w:szCs w:val="22"/>
          <w:lang w:eastAsia="en-US"/>
        </w:rPr>
        <w:t>korigovaného</w:t>
      </w:r>
      <w:r w:rsidR="002332FE" w:rsidRPr="00CC69EC">
        <w:rPr>
          <w:rFonts w:eastAsia="TimesNewRoman"/>
          <w:szCs w:val="22"/>
          <w:lang w:eastAsia="en-US"/>
        </w:rPr>
        <w:t xml:space="preserve"> </w:t>
      </w:r>
      <w:r w:rsidRPr="00CC69EC">
        <w:rPr>
          <w:rFonts w:eastAsia="TimesNewRoman"/>
          <w:szCs w:val="22"/>
          <w:lang w:eastAsia="en-US"/>
        </w:rPr>
        <w:t>QT intervalu.</w:t>
      </w:r>
    </w:p>
    <w:p w14:paraId="7388164A" w14:textId="77777777" w:rsidR="00564D9B" w:rsidRPr="00CC69EC" w:rsidRDefault="00564D9B" w:rsidP="00564D9B">
      <w:pPr>
        <w:ind w:left="0" w:firstLine="0"/>
        <w:rPr>
          <w:i/>
          <w:szCs w:val="22"/>
        </w:rPr>
      </w:pPr>
    </w:p>
    <w:p w14:paraId="46CC00C8" w14:textId="77777777" w:rsidR="00564D9B" w:rsidRPr="00CC69EC" w:rsidRDefault="00564D9B" w:rsidP="00564D9B">
      <w:pPr>
        <w:ind w:left="0" w:firstLine="0"/>
        <w:rPr>
          <w:b/>
          <w:szCs w:val="22"/>
        </w:rPr>
      </w:pPr>
    </w:p>
    <w:p w14:paraId="1B46C1B7" w14:textId="77777777" w:rsidR="00564D9B" w:rsidRPr="00CC69EC" w:rsidRDefault="00564D9B" w:rsidP="00564D9B">
      <w:pPr>
        <w:rPr>
          <w:b/>
          <w:szCs w:val="22"/>
        </w:rPr>
      </w:pPr>
      <w:r w:rsidRPr="00CC69EC">
        <w:rPr>
          <w:b/>
          <w:szCs w:val="22"/>
        </w:rPr>
        <w:t>6.</w:t>
      </w:r>
      <w:r w:rsidRPr="00CC69EC">
        <w:rPr>
          <w:b/>
          <w:szCs w:val="22"/>
        </w:rPr>
        <w:tab/>
        <w:t>FARMACEUTICKÉ INFORMÁCIE</w:t>
      </w:r>
    </w:p>
    <w:p w14:paraId="048240C8" w14:textId="77777777" w:rsidR="00564D9B" w:rsidRPr="00CC69EC" w:rsidRDefault="00564D9B" w:rsidP="00564D9B">
      <w:pPr>
        <w:rPr>
          <w:szCs w:val="22"/>
        </w:rPr>
      </w:pPr>
    </w:p>
    <w:p w14:paraId="13FBEE15" w14:textId="77777777" w:rsidR="00564D9B" w:rsidRPr="00CC69EC" w:rsidRDefault="00564D9B" w:rsidP="00564D9B">
      <w:pPr>
        <w:rPr>
          <w:szCs w:val="22"/>
        </w:rPr>
      </w:pPr>
      <w:r w:rsidRPr="00CC69EC">
        <w:rPr>
          <w:b/>
          <w:szCs w:val="22"/>
        </w:rPr>
        <w:t>6.1</w:t>
      </w:r>
      <w:r w:rsidRPr="00CC69EC">
        <w:rPr>
          <w:b/>
          <w:szCs w:val="22"/>
        </w:rPr>
        <w:tab/>
        <w:t>Zoznam pomocných látok</w:t>
      </w:r>
    </w:p>
    <w:p w14:paraId="42E962A9" w14:textId="77777777" w:rsidR="00564D9B" w:rsidRPr="00CC69EC" w:rsidRDefault="00564D9B" w:rsidP="00564D9B"/>
    <w:p w14:paraId="0E7ACEBB" w14:textId="77777777"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Manitol (E 421)</w:t>
      </w:r>
    </w:p>
    <w:p w14:paraId="18598D8A" w14:textId="77777777" w:rsidR="00F75370" w:rsidRPr="00BA0441" w:rsidRDefault="00F75370" w:rsidP="00F75370">
      <w:pPr>
        <w:pStyle w:val="Zkladntext"/>
        <w:widowControl w:val="0"/>
        <w:rPr>
          <w:szCs w:val="22"/>
          <w:lang w:val="en-GB"/>
        </w:rPr>
      </w:pPr>
      <w:r w:rsidRPr="00BA0441">
        <w:rPr>
          <w:szCs w:val="22"/>
          <w:lang w:val="en-GB"/>
        </w:rPr>
        <w:t>Dusík*</w:t>
      </w:r>
    </w:p>
    <w:p w14:paraId="3E97A40D" w14:textId="77777777" w:rsidR="00F75370" w:rsidRPr="00BA0441" w:rsidRDefault="00F75370" w:rsidP="00F75370">
      <w:pPr>
        <w:pStyle w:val="Zkladntext"/>
        <w:widowControl w:val="0"/>
        <w:rPr>
          <w:szCs w:val="22"/>
          <w:lang w:val="en-GB"/>
        </w:rPr>
      </w:pPr>
    </w:p>
    <w:p w14:paraId="5A7D540C" w14:textId="74BAC4C6" w:rsidR="00F75370" w:rsidRPr="00030CED" w:rsidRDefault="00F75370" w:rsidP="00F75370">
      <w:pPr>
        <w:autoSpaceDE w:val="0"/>
        <w:autoSpaceDN w:val="0"/>
        <w:adjustRightInd w:val="0"/>
        <w:ind w:left="0" w:firstLine="0"/>
        <w:rPr>
          <w:noProof/>
          <w:szCs w:val="22"/>
          <w:lang w:val="en-GB" w:eastAsia="en-US"/>
        </w:rPr>
      </w:pPr>
      <w:r w:rsidRPr="00BA0441">
        <w:rPr>
          <w:szCs w:val="22"/>
        </w:rPr>
        <w:t>*</w:t>
      </w:r>
      <w:r>
        <w:rPr>
          <w:szCs w:val="22"/>
        </w:rPr>
        <w:t>Dusí</w:t>
      </w:r>
      <w:r w:rsidRPr="00BA0441">
        <w:rPr>
          <w:szCs w:val="22"/>
        </w:rPr>
        <w:t>k sa nachádza v</w:t>
      </w:r>
      <w:r w:rsidR="00D26804">
        <w:rPr>
          <w:szCs w:val="22"/>
        </w:rPr>
        <w:t>o finálnom</w:t>
      </w:r>
      <w:r w:rsidRPr="00BA0441">
        <w:rPr>
          <w:szCs w:val="22"/>
        </w:rPr>
        <w:t xml:space="preserve"> </w:t>
      </w:r>
      <w:r w:rsidR="00D26804">
        <w:rPr>
          <w:szCs w:val="22"/>
        </w:rPr>
        <w:t>lieku</w:t>
      </w:r>
      <w:r w:rsidRPr="00BA0441">
        <w:rPr>
          <w:szCs w:val="22"/>
        </w:rPr>
        <w:t xml:space="preserve"> (vo vrchnej časti injekčnej liekovky) ale nie je prítomn</w:t>
      </w:r>
      <w:r>
        <w:rPr>
          <w:szCs w:val="22"/>
        </w:rPr>
        <w:t>ý</w:t>
      </w:r>
      <w:r w:rsidRPr="00BA0441">
        <w:rPr>
          <w:szCs w:val="22"/>
        </w:rPr>
        <w:t xml:space="preserve"> v </w:t>
      </w:r>
      <w:r w:rsidR="00D26804">
        <w:rPr>
          <w:szCs w:val="22"/>
        </w:rPr>
        <w:t>lieku</w:t>
      </w:r>
      <w:r w:rsidRPr="00BA0441">
        <w:rPr>
          <w:szCs w:val="22"/>
        </w:rPr>
        <w:t>, ktorý sa podáva pacientovi (v roztoku po rekon</w:t>
      </w:r>
      <w:r>
        <w:rPr>
          <w:szCs w:val="22"/>
        </w:rPr>
        <w:t>š</w:t>
      </w:r>
      <w:r w:rsidRPr="00BA0441">
        <w:rPr>
          <w:szCs w:val="22"/>
        </w:rPr>
        <w:t>titúcii).</w:t>
      </w:r>
    </w:p>
    <w:p w14:paraId="150E3B96" w14:textId="77777777" w:rsidR="00F75370" w:rsidRPr="00CC69EC" w:rsidRDefault="00F75370" w:rsidP="00564D9B">
      <w:pPr>
        <w:rPr>
          <w:b/>
          <w:szCs w:val="22"/>
        </w:rPr>
      </w:pPr>
    </w:p>
    <w:p w14:paraId="5E109A32" w14:textId="77777777" w:rsidR="00564D9B" w:rsidRPr="00CC69EC" w:rsidRDefault="00564D9B" w:rsidP="00564D9B">
      <w:pPr>
        <w:rPr>
          <w:szCs w:val="22"/>
        </w:rPr>
      </w:pPr>
      <w:r w:rsidRPr="00CC69EC">
        <w:rPr>
          <w:b/>
          <w:szCs w:val="22"/>
        </w:rPr>
        <w:t>6.2</w:t>
      </w:r>
      <w:r w:rsidRPr="00CC69EC">
        <w:rPr>
          <w:b/>
          <w:szCs w:val="22"/>
        </w:rPr>
        <w:tab/>
        <w:t>Inkompatibility</w:t>
      </w:r>
    </w:p>
    <w:p w14:paraId="3DF84C8D" w14:textId="77777777" w:rsidR="00564D9B" w:rsidRPr="00CC69EC" w:rsidRDefault="00564D9B" w:rsidP="00564D9B">
      <w:pPr>
        <w:rPr>
          <w:szCs w:val="22"/>
        </w:rPr>
      </w:pPr>
    </w:p>
    <w:p w14:paraId="799D95A3" w14:textId="77777777" w:rsidR="00564D9B" w:rsidRPr="00CC69EC" w:rsidRDefault="00564D9B" w:rsidP="00564D9B">
      <w:pPr>
        <w:ind w:left="0" w:firstLine="0"/>
        <w:rPr>
          <w:rFonts w:eastAsia="TimesNewRoman"/>
          <w:szCs w:val="22"/>
          <w:lang w:eastAsia="en-US"/>
        </w:rPr>
      </w:pPr>
      <w:r w:rsidRPr="00CC69EC">
        <w:rPr>
          <w:rFonts w:eastAsia="TimesNewRoman"/>
          <w:szCs w:val="22"/>
          <w:lang w:eastAsia="en-US"/>
        </w:rPr>
        <w:t>Tento liek sa nesmie miešať s inými liekmi okrem tých, ktoré sú uvedené v časti 6.6.</w:t>
      </w:r>
    </w:p>
    <w:p w14:paraId="2D8274F1" w14:textId="77777777" w:rsidR="00564D9B" w:rsidRPr="00CC69EC" w:rsidRDefault="00564D9B" w:rsidP="00564D9B">
      <w:pPr>
        <w:ind w:left="0" w:firstLine="0"/>
        <w:rPr>
          <w:szCs w:val="22"/>
        </w:rPr>
      </w:pPr>
    </w:p>
    <w:p w14:paraId="00CD1C98" w14:textId="77777777" w:rsidR="00564D9B" w:rsidRPr="00CC69EC" w:rsidRDefault="00564D9B" w:rsidP="00564D9B">
      <w:pPr>
        <w:rPr>
          <w:szCs w:val="22"/>
        </w:rPr>
      </w:pPr>
      <w:r w:rsidRPr="00CC69EC">
        <w:rPr>
          <w:b/>
          <w:szCs w:val="22"/>
        </w:rPr>
        <w:t>6.3</w:t>
      </w:r>
      <w:r w:rsidRPr="00CC69EC">
        <w:rPr>
          <w:b/>
          <w:szCs w:val="22"/>
        </w:rPr>
        <w:tab/>
        <w:t>Čas použiteľnosti</w:t>
      </w:r>
    </w:p>
    <w:p w14:paraId="57CE9AEE" w14:textId="77777777" w:rsidR="00564D9B" w:rsidRPr="00CC69EC" w:rsidRDefault="00564D9B" w:rsidP="00564D9B">
      <w:pPr>
        <w:rPr>
          <w:szCs w:val="22"/>
        </w:rPr>
      </w:pPr>
    </w:p>
    <w:p w14:paraId="2C1A80A5"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Neotvorená injekčná liekovka:</w:t>
      </w:r>
    </w:p>
    <w:p w14:paraId="0FC5F344" w14:textId="77777777" w:rsidR="00564D9B" w:rsidRPr="00CC69EC" w:rsidRDefault="00F75370" w:rsidP="00564D9B">
      <w:pPr>
        <w:autoSpaceDE w:val="0"/>
        <w:autoSpaceDN w:val="0"/>
        <w:adjustRightInd w:val="0"/>
        <w:ind w:left="0" w:firstLine="0"/>
        <w:rPr>
          <w:rFonts w:eastAsia="TimesNewRoman"/>
          <w:szCs w:val="22"/>
          <w:lang w:eastAsia="en-US"/>
        </w:rPr>
      </w:pPr>
      <w:r>
        <w:rPr>
          <w:rFonts w:eastAsia="TimesNewRoman"/>
          <w:szCs w:val="22"/>
          <w:lang w:eastAsia="en-US"/>
        </w:rPr>
        <w:t>2</w:t>
      </w:r>
      <w:r w:rsidR="00564D9B" w:rsidRPr="00CC69EC">
        <w:rPr>
          <w:rFonts w:eastAsia="TimesNewRoman"/>
          <w:szCs w:val="22"/>
          <w:lang w:eastAsia="en-US"/>
        </w:rPr>
        <w:t xml:space="preserve"> roky</w:t>
      </w:r>
    </w:p>
    <w:p w14:paraId="38122975" w14:textId="77777777" w:rsidR="00564D9B" w:rsidRPr="00CC69EC" w:rsidRDefault="00564D9B" w:rsidP="00564D9B">
      <w:pPr>
        <w:autoSpaceDE w:val="0"/>
        <w:autoSpaceDN w:val="0"/>
        <w:adjustRightInd w:val="0"/>
        <w:ind w:left="0" w:firstLine="0"/>
        <w:rPr>
          <w:rFonts w:eastAsia="TimesNewRoman"/>
          <w:szCs w:val="22"/>
          <w:lang w:eastAsia="en-US"/>
        </w:rPr>
      </w:pPr>
    </w:p>
    <w:p w14:paraId="2BCD385C"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Rekonštituovaný roztok</w:t>
      </w:r>
    </w:p>
    <w:p w14:paraId="7AF7E681" w14:textId="3C1BDC9C" w:rsidR="00F75370" w:rsidRPr="005C7928" w:rsidRDefault="00F75370" w:rsidP="00F75370">
      <w:pPr>
        <w:autoSpaceDE w:val="0"/>
        <w:autoSpaceDN w:val="0"/>
        <w:adjustRightInd w:val="0"/>
        <w:ind w:left="0" w:firstLine="0"/>
        <w:rPr>
          <w:rFonts w:eastAsia="TimesNewRoman"/>
          <w:szCs w:val="22"/>
          <w:lang w:eastAsia="en-US"/>
        </w:rPr>
      </w:pPr>
      <w:r w:rsidRPr="005C7928">
        <w:rPr>
          <w:rFonts w:eastAsia="TimesNewRoman"/>
          <w:szCs w:val="22"/>
          <w:lang w:eastAsia="en-US"/>
        </w:rPr>
        <w:t>Chemická a fyzikálna stabilita rekonštituovaného roztoku počas používania bola preukázaná počas 8 hodín pri teplote 25</w:t>
      </w:r>
      <w:r w:rsidR="00082963">
        <w:rPr>
          <w:rFonts w:eastAsia="TimesNewRoman"/>
          <w:szCs w:val="22"/>
          <w:lang w:eastAsia="en-US"/>
        </w:rPr>
        <w:t xml:space="preserve"> </w:t>
      </w:r>
      <w:r w:rsidRPr="005C7928">
        <w:rPr>
          <w:rFonts w:eastAsia="TimesNewRoman"/>
          <w:szCs w:val="22"/>
          <w:lang w:eastAsia="en-US"/>
        </w:rPr>
        <w:t>°C uchovávan</w:t>
      </w:r>
      <w:r w:rsidR="00082963">
        <w:rPr>
          <w:rFonts w:eastAsia="TimesNewRoman"/>
          <w:szCs w:val="22"/>
          <w:lang w:eastAsia="en-US"/>
        </w:rPr>
        <w:t>ého</w:t>
      </w:r>
      <w:r w:rsidRPr="005C7928">
        <w:rPr>
          <w:rFonts w:eastAsia="TimesNewRoman"/>
          <w:szCs w:val="22"/>
          <w:lang w:eastAsia="en-US"/>
        </w:rPr>
        <w:t xml:space="preserve"> v pôvodnej injekčnej liekovke.</w:t>
      </w:r>
    </w:p>
    <w:p w14:paraId="1352CED7" w14:textId="40A130B5" w:rsidR="00F75370" w:rsidRDefault="00F75370" w:rsidP="00F75370">
      <w:pPr>
        <w:pStyle w:val="Zarkazkladnhotextu"/>
        <w:widowControl w:val="0"/>
        <w:spacing w:after="0"/>
        <w:ind w:left="0"/>
        <w:rPr>
          <w:sz w:val="22"/>
          <w:szCs w:val="22"/>
          <w:lang w:val="sk-SK"/>
        </w:rPr>
      </w:pPr>
      <w:r w:rsidRPr="007B7F2C">
        <w:rPr>
          <w:rFonts w:eastAsia="TimesNewRoman"/>
          <w:sz w:val="22"/>
          <w:szCs w:val="22"/>
          <w:lang w:val="sk-SK" w:eastAsia="sk-SK"/>
        </w:rPr>
        <w:t>Z mikrobiologického</w:t>
      </w:r>
      <w:r w:rsidRPr="007B7F2C">
        <w:rPr>
          <w:sz w:val="22"/>
          <w:szCs w:val="22"/>
          <w:lang w:val="sk-SK"/>
        </w:rPr>
        <w:t xml:space="preserve"> hľadiska</w:t>
      </w:r>
      <w:r>
        <w:rPr>
          <w:sz w:val="22"/>
          <w:szCs w:val="22"/>
          <w:lang w:val="sk-SK"/>
        </w:rPr>
        <w:t xml:space="preserve"> sa má liek použiť ihneď</w:t>
      </w:r>
      <w:r w:rsidRPr="007B7F2C">
        <w:rPr>
          <w:sz w:val="22"/>
          <w:szCs w:val="22"/>
          <w:lang w:val="sk-SK"/>
        </w:rPr>
        <w:t>, pokiaľ spôsob</w:t>
      </w:r>
      <w:r w:rsidR="00082963">
        <w:rPr>
          <w:sz w:val="22"/>
          <w:szCs w:val="22"/>
          <w:lang w:val="sk-SK"/>
        </w:rPr>
        <w:t xml:space="preserve"> otvorenia/</w:t>
      </w:r>
      <w:r w:rsidRPr="007B7F2C">
        <w:rPr>
          <w:sz w:val="22"/>
          <w:szCs w:val="22"/>
          <w:lang w:val="sk-SK"/>
        </w:rPr>
        <w:t>rekonštitúcie nevylučuje riziko mikrobiálnej kontaminácie</w:t>
      </w:r>
      <w:r>
        <w:rPr>
          <w:sz w:val="22"/>
          <w:szCs w:val="22"/>
          <w:lang w:val="sk-SK"/>
        </w:rPr>
        <w:t xml:space="preserve">. </w:t>
      </w:r>
    </w:p>
    <w:p w14:paraId="6AD5B7D7" w14:textId="77777777" w:rsidR="00F75370" w:rsidRPr="007B7F2C" w:rsidRDefault="00F75370" w:rsidP="00F75370">
      <w:pPr>
        <w:pStyle w:val="Zarkazkladnhotextu"/>
        <w:widowControl w:val="0"/>
        <w:spacing w:after="0"/>
        <w:ind w:left="0"/>
        <w:rPr>
          <w:sz w:val="22"/>
          <w:szCs w:val="22"/>
          <w:lang w:val="sk-SK"/>
        </w:rPr>
      </w:pPr>
      <w:r w:rsidRPr="007B7F2C">
        <w:rPr>
          <w:sz w:val="22"/>
          <w:szCs w:val="22"/>
          <w:lang w:val="sk-SK"/>
        </w:rPr>
        <w:t xml:space="preserve">Ak sa nepoužije </w:t>
      </w:r>
      <w:r>
        <w:rPr>
          <w:sz w:val="22"/>
          <w:szCs w:val="22"/>
          <w:lang w:val="sk-SK"/>
        </w:rPr>
        <w:t>ihneď</w:t>
      </w:r>
      <w:r w:rsidRPr="007B7F2C">
        <w:rPr>
          <w:sz w:val="22"/>
          <w:szCs w:val="22"/>
          <w:lang w:val="sk-SK"/>
        </w:rPr>
        <w:t>, za dobu a</w:t>
      </w:r>
      <w:r>
        <w:rPr>
          <w:sz w:val="22"/>
          <w:szCs w:val="22"/>
          <w:lang w:val="sk-SK"/>
        </w:rPr>
        <w:t> </w:t>
      </w:r>
      <w:r w:rsidRPr="007B7F2C">
        <w:rPr>
          <w:sz w:val="22"/>
          <w:szCs w:val="22"/>
          <w:lang w:val="sk-SK"/>
        </w:rPr>
        <w:t xml:space="preserve">podmienky uchovávania lieku pred jeho použitím </w:t>
      </w:r>
      <w:r>
        <w:rPr>
          <w:sz w:val="22"/>
          <w:szCs w:val="22"/>
          <w:lang w:val="sk-SK"/>
        </w:rPr>
        <w:t>je zodpovedný</w:t>
      </w:r>
      <w:r w:rsidRPr="007B7F2C">
        <w:rPr>
          <w:sz w:val="22"/>
          <w:szCs w:val="22"/>
          <w:lang w:val="sk-SK"/>
        </w:rPr>
        <w:t xml:space="preserve"> používateľ</w:t>
      </w:r>
      <w:r>
        <w:rPr>
          <w:sz w:val="22"/>
          <w:szCs w:val="22"/>
          <w:lang w:val="sk-SK"/>
        </w:rPr>
        <w:t>.</w:t>
      </w:r>
    </w:p>
    <w:p w14:paraId="23FA939D" w14:textId="77777777" w:rsidR="00F75370" w:rsidRPr="00213061" w:rsidRDefault="00F75370" w:rsidP="00F75370">
      <w:pPr>
        <w:autoSpaceDE w:val="0"/>
        <w:autoSpaceDN w:val="0"/>
        <w:adjustRightInd w:val="0"/>
        <w:rPr>
          <w:szCs w:val="22"/>
        </w:rPr>
      </w:pPr>
      <w:r w:rsidRPr="00213061">
        <w:rPr>
          <w:szCs w:val="22"/>
        </w:rPr>
        <w:t>Celkový čas uchovávania rekonštituovaného lieku pred podaním nemá presiahnuť 8 hodín.</w:t>
      </w:r>
    </w:p>
    <w:p w14:paraId="5EFDC613" w14:textId="77777777" w:rsidR="00564D9B" w:rsidRPr="00CC69EC" w:rsidRDefault="00564D9B" w:rsidP="00564D9B">
      <w:pPr>
        <w:autoSpaceDE w:val="0"/>
        <w:autoSpaceDN w:val="0"/>
        <w:adjustRightInd w:val="0"/>
        <w:ind w:left="0" w:firstLine="0"/>
        <w:rPr>
          <w:rFonts w:eastAsia="TimesNewRoman"/>
          <w:szCs w:val="22"/>
          <w:lang w:eastAsia="en-US"/>
        </w:rPr>
      </w:pPr>
    </w:p>
    <w:p w14:paraId="48A4B127" w14:textId="77777777" w:rsidR="00564D9B" w:rsidRPr="00CC69EC" w:rsidRDefault="00564D9B" w:rsidP="00564D9B">
      <w:pPr>
        <w:rPr>
          <w:szCs w:val="22"/>
        </w:rPr>
      </w:pPr>
      <w:r w:rsidRPr="00CC69EC">
        <w:rPr>
          <w:b/>
          <w:szCs w:val="22"/>
        </w:rPr>
        <w:t>6.4</w:t>
      </w:r>
      <w:r w:rsidRPr="00CC69EC">
        <w:rPr>
          <w:b/>
          <w:szCs w:val="22"/>
        </w:rPr>
        <w:tab/>
        <w:t>Špeciálne upozornenia na uchovávanie</w:t>
      </w:r>
    </w:p>
    <w:p w14:paraId="712CEE5F" w14:textId="77777777" w:rsidR="00564D9B" w:rsidRPr="00CC69EC" w:rsidRDefault="00564D9B" w:rsidP="00564D9B">
      <w:pPr>
        <w:autoSpaceDE w:val="0"/>
        <w:autoSpaceDN w:val="0"/>
        <w:adjustRightInd w:val="0"/>
        <w:ind w:left="0" w:firstLine="0"/>
      </w:pPr>
    </w:p>
    <w:p w14:paraId="63C19E1B" w14:textId="77777777" w:rsidR="00F75370" w:rsidRPr="0021319D" w:rsidRDefault="00F75370" w:rsidP="00F75370">
      <w:pPr>
        <w:widowControl w:val="0"/>
        <w:tabs>
          <w:tab w:val="left" w:pos="567"/>
        </w:tabs>
        <w:rPr>
          <w:szCs w:val="22"/>
          <w:u w:val="single"/>
          <w:lang w:val="en-GB" w:eastAsia="en-US"/>
        </w:rPr>
      </w:pPr>
      <w:r w:rsidRPr="0021319D">
        <w:rPr>
          <w:szCs w:val="22"/>
          <w:u w:val="single"/>
          <w:lang w:val="en-GB" w:eastAsia="en-US"/>
        </w:rPr>
        <w:t>Neotvorená injekčná liekovka:</w:t>
      </w:r>
    </w:p>
    <w:p w14:paraId="15DB6BB8" w14:textId="5F46F210" w:rsidR="00F75370" w:rsidRPr="0021319D" w:rsidRDefault="00F75370" w:rsidP="00F75370">
      <w:pPr>
        <w:widowControl w:val="0"/>
        <w:tabs>
          <w:tab w:val="left" w:pos="567"/>
        </w:tabs>
        <w:rPr>
          <w:szCs w:val="22"/>
          <w:lang w:val="en-GB" w:eastAsia="en-US"/>
        </w:rPr>
      </w:pPr>
      <w:r w:rsidRPr="0021319D">
        <w:rPr>
          <w:szCs w:val="22"/>
          <w:lang w:val="en-GB" w:eastAsia="en-US"/>
        </w:rPr>
        <w:t>Uchovávajte pri teplote neprevyšujúcej 30</w:t>
      </w:r>
      <w:r w:rsidR="00082963">
        <w:rPr>
          <w:szCs w:val="22"/>
          <w:lang w:val="en-GB" w:eastAsia="en-US"/>
        </w:rPr>
        <w:t xml:space="preserve"> </w:t>
      </w:r>
      <w:r w:rsidRPr="0021319D">
        <w:rPr>
          <w:szCs w:val="22"/>
          <w:lang w:val="en-GB" w:eastAsia="en-US"/>
        </w:rPr>
        <w:sym w:font="Symbol" w:char="F0B0"/>
      </w:r>
      <w:r w:rsidRPr="0021319D">
        <w:rPr>
          <w:szCs w:val="22"/>
          <w:lang w:val="en-GB" w:eastAsia="en-US"/>
        </w:rPr>
        <w:t>C.</w:t>
      </w:r>
    </w:p>
    <w:p w14:paraId="1DC039A1" w14:textId="77777777" w:rsidR="00F75370" w:rsidRPr="0021319D" w:rsidRDefault="00F75370" w:rsidP="00F75370">
      <w:pPr>
        <w:widowControl w:val="0"/>
        <w:tabs>
          <w:tab w:val="left" w:pos="567"/>
        </w:tabs>
        <w:rPr>
          <w:szCs w:val="22"/>
          <w:lang w:val="en-GB" w:eastAsia="en-US"/>
        </w:rPr>
      </w:pPr>
      <w:r w:rsidRPr="0021319D">
        <w:rPr>
          <w:szCs w:val="22"/>
          <w:lang w:val="en-GB" w:eastAsia="en-US"/>
        </w:rPr>
        <w:t>Injekčnú liekovku uchovávajte vo vonkajšom obale na ochranu pred svetlom.</w:t>
      </w:r>
    </w:p>
    <w:p w14:paraId="726F8969" w14:textId="77777777" w:rsidR="00F75370" w:rsidRPr="00030CED" w:rsidRDefault="00F75370" w:rsidP="00F75370">
      <w:pPr>
        <w:widowControl w:val="0"/>
        <w:rPr>
          <w:noProof/>
          <w:szCs w:val="22"/>
        </w:rPr>
      </w:pPr>
    </w:p>
    <w:p w14:paraId="3BF77CA0" w14:textId="77777777" w:rsidR="00F75370" w:rsidRPr="00030CED" w:rsidRDefault="00F75370" w:rsidP="00F75370">
      <w:pPr>
        <w:widowControl w:val="0"/>
        <w:rPr>
          <w:noProof/>
          <w:szCs w:val="22"/>
          <w:u w:val="single"/>
        </w:rPr>
      </w:pPr>
      <w:r w:rsidRPr="0021319D">
        <w:rPr>
          <w:iCs/>
          <w:szCs w:val="22"/>
          <w:u w:val="single"/>
          <w:lang w:val="en-GB" w:eastAsia="en-US"/>
        </w:rPr>
        <w:t>Rekonštituovaný roztok:</w:t>
      </w:r>
    </w:p>
    <w:p w14:paraId="2074ED27" w14:textId="77777777" w:rsidR="00F75370" w:rsidRPr="007B7F2C" w:rsidRDefault="00F75370" w:rsidP="00F75370">
      <w:pPr>
        <w:widowControl w:val="0"/>
        <w:rPr>
          <w:szCs w:val="22"/>
        </w:rPr>
      </w:pPr>
      <w:r w:rsidRPr="007B7F2C">
        <w:rPr>
          <w:szCs w:val="22"/>
        </w:rPr>
        <w:lastRenderedPageBreak/>
        <w:t>Podmienky na uchovávanie po rekonštitúcii lieku, pozri časť 6.3.</w:t>
      </w:r>
    </w:p>
    <w:p w14:paraId="40BAC1A4" w14:textId="77777777" w:rsidR="00564D9B" w:rsidRPr="00CC69EC" w:rsidRDefault="00564D9B" w:rsidP="00564D9B">
      <w:pPr>
        <w:autoSpaceDE w:val="0"/>
        <w:autoSpaceDN w:val="0"/>
        <w:adjustRightInd w:val="0"/>
        <w:ind w:left="0" w:firstLine="0"/>
      </w:pPr>
    </w:p>
    <w:p w14:paraId="57A38D90" w14:textId="77777777" w:rsidR="00564D9B" w:rsidRPr="00CC69EC" w:rsidRDefault="00564D9B" w:rsidP="00564D9B">
      <w:pPr>
        <w:rPr>
          <w:szCs w:val="22"/>
        </w:rPr>
      </w:pPr>
      <w:r w:rsidRPr="00CC69EC">
        <w:rPr>
          <w:b/>
          <w:szCs w:val="22"/>
        </w:rPr>
        <w:t>6.5</w:t>
      </w:r>
      <w:r w:rsidRPr="00CC69EC">
        <w:rPr>
          <w:b/>
          <w:szCs w:val="22"/>
        </w:rPr>
        <w:tab/>
        <w:t>Druh obalu a obsah balenia</w:t>
      </w:r>
      <w:r w:rsidRPr="00CC69EC">
        <w:rPr>
          <w:b/>
          <w:color w:val="0000FF"/>
          <w:szCs w:val="22"/>
        </w:rPr>
        <w:t xml:space="preserve"> </w:t>
      </w:r>
    </w:p>
    <w:p w14:paraId="387AB71D" w14:textId="77777777" w:rsidR="00564D9B" w:rsidRPr="00CC69EC" w:rsidRDefault="00564D9B" w:rsidP="00564D9B">
      <w:pPr>
        <w:rPr>
          <w:szCs w:val="22"/>
        </w:rPr>
      </w:pPr>
    </w:p>
    <w:p w14:paraId="56CF994B" w14:textId="71FC7713" w:rsidR="00F75370" w:rsidRDefault="00F75370" w:rsidP="00F75370">
      <w:pPr>
        <w:widowControl w:val="0"/>
        <w:tabs>
          <w:tab w:val="left" w:pos="0"/>
        </w:tabs>
        <w:ind w:left="0" w:firstLine="0"/>
        <w:rPr>
          <w:szCs w:val="22"/>
          <w:lang w:val="en-GB" w:eastAsia="en-US"/>
        </w:rPr>
      </w:pPr>
      <w:r w:rsidRPr="00053D9C">
        <w:rPr>
          <w:szCs w:val="22"/>
          <w:lang w:val="en-GB" w:eastAsia="en-US"/>
        </w:rPr>
        <w:t xml:space="preserve">5 ml injekčná liekovka </w:t>
      </w:r>
      <w:r w:rsidR="00082963">
        <w:rPr>
          <w:szCs w:val="22"/>
          <w:lang w:val="en-GB" w:eastAsia="en-US"/>
        </w:rPr>
        <w:t xml:space="preserve">zo skla </w:t>
      </w:r>
      <w:r w:rsidRPr="00053D9C">
        <w:rPr>
          <w:szCs w:val="22"/>
          <w:lang w:val="en-GB" w:eastAsia="en-US"/>
        </w:rPr>
        <w:t>typu I</w:t>
      </w:r>
      <w:r w:rsidR="00082963">
        <w:rPr>
          <w:szCs w:val="22"/>
          <w:lang w:val="en-GB" w:eastAsia="en-US"/>
        </w:rPr>
        <w:t>,</w:t>
      </w:r>
      <w:r w:rsidRPr="00053D9C">
        <w:rPr>
          <w:szCs w:val="22"/>
          <w:lang w:val="en-GB" w:eastAsia="en-US"/>
        </w:rPr>
        <w:t xml:space="preserve"> so siv</w:t>
      </w:r>
      <w:r w:rsidR="00082963">
        <w:rPr>
          <w:szCs w:val="22"/>
          <w:lang w:val="en-GB" w:eastAsia="en-US"/>
        </w:rPr>
        <w:t>ou</w:t>
      </w:r>
      <w:r w:rsidRPr="00053D9C">
        <w:rPr>
          <w:szCs w:val="22"/>
          <w:lang w:val="en-GB" w:eastAsia="en-US"/>
        </w:rPr>
        <w:t xml:space="preserve"> brómbutylov</w:t>
      </w:r>
      <w:r w:rsidR="00082963">
        <w:rPr>
          <w:szCs w:val="22"/>
          <w:lang w:val="en-GB" w:eastAsia="en-US"/>
        </w:rPr>
        <w:t>ou</w:t>
      </w:r>
      <w:r>
        <w:rPr>
          <w:szCs w:val="22"/>
          <w:lang w:val="en-GB" w:eastAsia="en-US"/>
        </w:rPr>
        <w:t xml:space="preserve"> gumov</w:t>
      </w:r>
      <w:r w:rsidR="00082963">
        <w:rPr>
          <w:szCs w:val="22"/>
          <w:lang w:val="en-GB" w:eastAsia="en-US"/>
        </w:rPr>
        <w:t>ou</w:t>
      </w:r>
      <w:r w:rsidRPr="00053D9C">
        <w:rPr>
          <w:szCs w:val="22"/>
          <w:lang w:val="en-GB" w:eastAsia="en-US"/>
        </w:rPr>
        <w:t xml:space="preserve"> </w:t>
      </w:r>
      <w:r w:rsidR="00082963">
        <w:rPr>
          <w:szCs w:val="22"/>
          <w:lang w:val="en-GB" w:eastAsia="en-US"/>
        </w:rPr>
        <w:t>zátkou</w:t>
      </w:r>
      <w:r w:rsidR="0065255E">
        <w:rPr>
          <w:szCs w:val="22"/>
          <w:lang w:val="en-GB" w:eastAsia="en-US"/>
        </w:rPr>
        <w:t xml:space="preserve"> </w:t>
      </w:r>
      <w:r w:rsidRPr="00053D9C">
        <w:rPr>
          <w:szCs w:val="22"/>
          <w:lang w:val="en-GB" w:eastAsia="en-US"/>
        </w:rPr>
        <w:t>a</w:t>
      </w:r>
      <w:r w:rsidR="00082963">
        <w:rPr>
          <w:szCs w:val="22"/>
          <w:lang w:val="en-GB" w:eastAsia="en-US"/>
        </w:rPr>
        <w:t> </w:t>
      </w:r>
      <w:r>
        <w:rPr>
          <w:rStyle w:val="tlid-translation"/>
        </w:rPr>
        <w:t>hliníkovo</w:t>
      </w:r>
      <w:r w:rsidR="00082963">
        <w:rPr>
          <w:rStyle w:val="tlid-translation"/>
        </w:rPr>
        <w:t>-</w:t>
      </w:r>
      <w:r>
        <w:rPr>
          <w:rStyle w:val="tlid-translation"/>
        </w:rPr>
        <w:t xml:space="preserve">plastovým </w:t>
      </w:r>
      <w:r w:rsidR="00082963">
        <w:rPr>
          <w:rStyle w:val="tlid-translation"/>
        </w:rPr>
        <w:t>viečkom</w:t>
      </w:r>
      <w:r>
        <w:rPr>
          <w:rStyle w:val="tlid-translation"/>
        </w:rPr>
        <w:t xml:space="preserve"> s</w:t>
      </w:r>
      <w:r w:rsidR="00082963">
        <w:rPr>
          <w:rStyle w:val="tlid-translation"/>
        </w:rPr>
        <w:t>o zelenou</w:t>
      </w:r>
      <w:r w:rsidRPr="00053D9C">
        <w:rPr>
          <w:rStyle w:val="tlid-translation"/>
        </w:rPr>
        <w:t xml:space="preserve"> plastov</w:t>
      </w:r>
      <w:r w:rsidR="00082963">
        <w:rPr>
          <w:rStyle w:val="tlid-translation"/>
        </w:rPr>
        <w:t>ou</w:t>
      </w:r>
      <w:r w:rsidRPr="00053D9C">
        <w:rPr>
          <w:rStyle w:val="tlid-translation"/>
        </w:rPr>
        <w:t xml:space="preserve"> odklápac</w:t>
      </w:r>
      <w:r w:rsidR="00082963">
        <w:rPr>
          <w:rStyle w:val="tlid-translation"/>
        </w:rPr>
        <w:t>ou</w:t>
      </w:r>
      <w:r w:rsidRPr="00053D9C">
        <w:rPr>
          <w:rStyle w:val="tlid-translation"/>
        </w:rPr>
        <w:t xml:space="preserve"> </w:t>
      </w:r>
      <w:r w:rsidR="00082963">
        <w:rPr>
          <w:rStyle w:val="tlid-translation"/>
        </w:rPr>
        <w:t>časťou</w:t>
      </w:r>
      <w:r w:rsidRPr="00053D9C">
        <w:rPr>
          <w:szCs w:val="22"/>
          <w:lang w:val="en-GB" w:eastAsia="en-US"/>
        </w:rPr>
        <w:t xml:space="preserve">, obsahujúca </w:t>
      </w:r>
      <w:r>
        <w:rPr>
          <w:szCs w:val="22"/>
          <w:lang w:val="en-GB" w:eastAsia="en-US"/>
        </w:rPr>
        <w:t>1</w:t>
      </w:r>
      <w:r w:rsidR="00082963">
        <w:rPr>
          <w:szCs w:val="22"/>
          <w:lang w:val="en-GB" w:eastAsia="en-US"/>
        </w:rPr>
        <w:t xml:space="preserve"> </w:t>
      </w:r>
      <w:r w:rsidRPr="00053D9C">
        <w:rPr>
          <w:szCs w:val="22"/>
          <w:lang w:val="en-GB" w:eastAsia="en-US"/>
        </w:rPr>
        <w:t>mg bortezomibu.</w:t>
      </w:r>
    </w:p>
    <w:p w14:paraId="7538B034" w14:textId="77777777" w:rsidR="00F75370" w:rsidRDefault="00F75370" w:rsidP="00564D9B">
      <w:pPr>
        <w:autoSpaceDE w:val="0"/>
        <w:autoSpaceDN w:val="0"/>
        <w:adjustRightInd w:val="0"/>
        <w:ind w:left="0" w:firstLine="0"/>
        <w:rPr>
          <w:szCs w:val="22"/>
        </w:rPr>
      </w:pPr>
    </w:p>
    <w:p w14:paraId="1ACCB28E" w14:textId="77777777" w:rsidR="00F75370" w:rsidRPr="00053D9C" w:rsidRDefault="00F75370" w:rsidP="00F75370">
      <w:pPr>
        <w:widowControl w:val="0"/>
        <w:rPr>
          <w:szCs w:val="22"/>
          <w:lang w:val="en-GB" w:eastAsia="en-GB"/>
        </w:rPr>
      </w:pPr>
      <w:r w:rsidRPr="00053D9C">
        <w:rPr>
          <w:szCs w:val="22"/>
          <w:lang w:val="en-GB" w:eastAsia="en-GB"/>
        </w:rPr>
        <w:t>Veľkosti balenia: 1, 5 a 10 injekčných liekoviek.</w:t>
      </w:r>
    </w:p>
    <w:p w14:paraId="39EAA836" w14:textId="77777777" w:rsidR="00F75370" w:rsidRPr="00030CED" w:rsidRDefault="00F75370" w:rsidP="00F75370">
      <w:pPr>
        <w:widowControl w:val="0"/>
        <w:tabs>
          <w:tab w:val="left" w:pos="567"/>
        </w:tabs>
        <w:rPr>
          <w:szCs w:val="22"/>
          <w:highlight w:val="yellow"/>
          <w:lang w:val="en-GB" w:eastAsia="en-US"/>
        </w:rPr>
      </w:pPr>
    </w:p>
    <w:p w14:paraId="7A43E30D" w14:textId="77777777" w:rsidR="00F75370" w:rsidRPr="00030CED" w:rsidRDefault="00F75370" w:rsidP="00F75370">
      <w:pPr>
        <w:widowControl w:val="0"/>
        <w:tabs>
          <w:tab w:val="left" w:pos="567"/>
        </w:tabs>
        <w:rPr>
          <w:szCs w:val="22"/>
          <w:lang w:val="en-GB" w:eastAsia="en-US"/>
        </w:rPr>
      </w:pPr>
      <w:r w:rsidRPr="00030CED">
        <w:rPr>
          <w:szCs w:val="22"/>
          <w:lang w:val="en-GB" w:eastAsia="en-US"/>
        </w:rPr>
        <w:t>N</w:t>
      </w:r>
      <w:r>
        <w:rPr>
          <w:szCs w:val="22"/>
          <w:lang w:val="en-GB" w:eastAsia="en-US"/>
        </w:rPr>
        <w:t>a trh nemusia byť uvedené všetky veľkosti balenia</w:t>
      </w:r>
      <w:r w:rsidRPr="00030CED">
        <w:rPr>
          <w:szCs w:val="22"/>
          <w:lang w:val="en-GB" w:eastAsia="en-US"/>
        </w:rPr>
        <w:t>.</w:t>
      </w:r>
    </w:p>
    <w:p w14:paraId="1F6C1D82" w14:textId="77777777" w:rsidR="00564D9B" w:rsidRDefault="00564D9B" w:rsidP="002749E3">
      <w:pPr>
        <w:ind w:left="0" w:firstLine="0"/>
        <w:rPr>
          <w:b/>
          <w:szCs w:val="22"/>
        </w:rPr>
      </w:pPr>
    </w:p>
    <w:p w14:paraId="11B4B622" w14:textId="77777777" w:rsidR="00564D9B" w:rsidRPr="00CC69EC" w:rsidRDefault="00564D9B" w:rsidP="00564D9B">
      <w:pPr>
        <w:rPr>
          <w:b/>
          <w:bCs/>
          <w:noProof/>
        </w:rPr>
      </w:pPr>
      <w:r w:rsidRPr="00CC69EC">
        <w:rPr>
          <w:b/>
          <w:szCs w:val="22"/>
        </w:rPr>
        <w:t>6.6</w:t>
      </w:r>
      <w:r w:rsidRPr="00CC69EC">
        <w:rPr>
          <w:b/>
          <w:szCs w:val="22"/>
        </w:rPr>
        <w:tab/>
      </w:r>
      <w:r w:rsidRPr="00CC69EC">
        <w:rPr>
          <w:b/>
          <w:bCs/>
          <w:noProof/>
        </w:rPr>
        <w:t>Špeciálne opatrenia na likvidáciu a iné zaobchádzanie s liekom</w:t>
      </w:r>
    </w:p>
    <w:p w14:paraId="5CBBE8C7" w14:textId="77777777" w:rsidR="00564D9B" w:rsidRPr="00CC69EC" w:rsidRDefault="00564D9B" w:rsidP="00564D9B">
      <w:pPr>
        <w:rPr>
          <w:b/>
          <w:bCs/>
          <w:noProof/>
        </w:rPr>
      </w:pPr>
    </w:p>
    <w:p w14:paraId="2FDDFD80"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Všeobecné opatrenia</w:t>
      </w:r>
    </w:p>
    <w:p w14:paraId="7252DDDB" w14:textId="77777777"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je cytotoxická látka. Preto buďte opatrní pri manipulácii a príprave Bortezomibu </w:t>
      </w:r>
      <w:r w:rsidR="00A04027">
        <w:rPr>
          <w:rFonts w:eastAsia="TimesNewRoman"/>
          <w:szCs w:val="22"/>
          <w:lang w:eastAsia="en-US"/>
        </w:rPr>
        <w:t>Krka</w:t>
      </w:r>
      <w:r w:rsidRPr="00CC69EC">
        <w:rPr>
          <w:rFonts w:eastAsia="TimesNewRoman"/>
          <w:szCs w:val="22"/>
          <w:lang w:eastAsia="en-US"/>
        </w:rPr>
        <w:t>. Na ochranu pred kontaktom s kožou používajte rukavice a iný ochranný odev.</w:t>
      </w:r>
    </w:p>
    <w:p w14:paraId="037B576A" w14:textId="77777777" w:rsidR="006D4CF8" w:rsidRPr="00030CED" w:rsidRDefault="006D4CF8" w:rsidP="006D4CF8">
      <w:pPr>
        <w:widowControl w:val="0"/>
        <w:ind w:right="-20"/>
        <w:rPr>
          <w:szCs w:val="22"/>
          <w:lang w:val="en-US" w:eastAsia="en-US"/>
        </w:rPr>
      </w:pPr>
      <w:r w:rsidRPr="00053D9C">
        <w:rPr>
          <w:szCs w:val="22"/>
          <w:lang w:val="en-US" w:eastAsia="en-US"/>
        </w:rPr>
        <w:t>Tehotné ženy nesmú manipulovať s Bortezomibom Krka.</w:t>
      </w:r>
    </w:p>
    <w:p w14:paraId="701609E6" w14:textId="77777777" w:rsidR="00564D9B" w:rsidRPr="00CC69EC" w:rsidRDefault="00564D9B" w:rsidP="00564D9B">
      <w:pPr>
        <w:autoSpaceDE w:val="0"/>
        <w:autoSpaceDN w:val="0"/>
        <w:adjustRightInd w:val="0"/>
        <w:ind w:left="0" w:firstLine="0"/>
        <w:rPr>
          <w:rFonts w:eastAsia="TimesNewRoman"/>
          <w:szCs w:val="22"/>
          <w:lang w:eastAsia="en-US"/>
        </w:rPr>
      </w:pPr>
    </w:p>
    <w:p w14:paraId="1886B9C3" w14:textId="0897B0C2" w:rsidR="00564D9B" w:rsidRPr="00CC69EC" w:rsidRDefault="00F83E10" w:rsidP="00564D9B">
      <w:pPr>
        <w:autoSpaceDE w:val="0"/>
        <w:autoSpaceDN w:val="0"/>
        <w:adjustRightInd w:val="0"/>
        <w:ind w:left="0" w:firstLine="0"/>
        <w:rPr>
          <w:rFonts w:eastAsia="TimesNewRoman"/>
          <w:szCs w:val="22"/>
          <w:lang w:eastAsia="en-US"/>
        </w:rPr>
      </w:pPr>
      <w:r>
        <w:rPr>
          <w:rFonts w:eastAsia="TimesNewRoman"/>
          <w:szCs w:val="22"/>
          <w:lang w:eastAsia="en-US"/>
        </w:rPr>
        <w:t>P</w:t>
      </w:r>
      <w:r w:rsidR="00564D9B" w:rsidRPr="00CC69EC">
        <w:rPr>
          <w:rFonts w:eastAsia="TimesNewRoman"/>
          <w:szCs w:val="22"/>
          <w:lang w:eastAsia="en-US"/>
        </w:rPr>
        <w:t xml:space="preserve">ri zaobchádzaní s Bortezomibom </w:t>
      </w:r>
      <w:r w:rsidR="00A04027">
        <w:rPr>
          <w:rFonts w:eastAsia="TimesNewRoman"/>
          <w:szCs w:val="22"/>
          <w:lang w:eastAsia="en-US"/>
        </w:rPr>
        <w:t>Krka</w:t>
      </w:r>
      <w:r>
        <w:rPr>
          <w:rFonts w:eastAsia="TimesNewRoman"/>
          <w:szCs w:val="22"/>
          <w:lang w:eastAsia="en-US"/>
        </w:rPr>
        <w:t xml:space="preserve"> sa musia prísne dodržiavať </w:t>
      </w:r>
      <w:r w:rsidRPr="00E110FB">
        <w:rPr>
          <w:rFonts w:eastAsia="TimesNewRoman"/>
          <w:b/>
          <w:szCs w:val="22"/>
          <w:lang w:eastAsia="en-US"/>
        </w:rPr>
        <w:t>aseptické techniky</w:t>
      </w:r>
      <w:r w:rsidR="00564D9B" w:rsidRPr="00CC69EC">
        <w:rPr>
          <w:rFonts w:eastAsia="TimesNewRoman"/>
          <w:szCs w:val="22"/>
          <w:lang w:eastAsia="en-US"/>
        </w:rPr>
        <w:t>, pretože liek neobsahuje žiadnu konzervačnú látku.</w:t>
      </w:r>
    </w:p>
    <w:p w14:paraId="03913566" w14:textId="77777777" w:rsidR="00564D9B" w:rsidRPr="00CC69EC" w:rsidRDefault="00564D9B" w:rsidP="00564D9B">
      <w:pPr>
        <w:autoSpaceDE w:val="0"/>
        <w:autoSpaceDN w:val="0"/>
        <w:adjustRightInd w:val="0"/>
        <w:ind w:left="0" w:firstLine="0"/>
        <w:rPr>
          <w:rFonts w:eastAsia="TimesNewRoman"/>
          <w:szCs w:val="22"/>
          <w:lang w:eastAsia="en-US"/>
        </w:rPr>
      </w:pPr>
    </w:p>
    <w:p w14:paraId="74BA4F6F" w14:textId="77777777" w:rsidR="00A04027" w:rsidRDefault="00A04027" w:rsidP="00A04027">
      <w:pPr>
        <w:widowControl w:val="0"/>
        <w:adjustRightInd w:val="0"/>
        <w:snapToGrid w:val="0"/>
        <w:rPr>
          <w:szCs w:val="22"/>
        </w:rPr>
      </w:pPr>
      <w:r w:rsidRPr="004F7A06">
        <w:rPr>
          <w:szCs w:val="22"/>
        </w:rPr>
        <w:t xml:space="preserve">Po neúmyselnom podaní </w:t>
      </w:r>
      <w:r>
        <w:rPr>
          <w:szCs w:val="22"/>
        </w:rPr>
        <w:t>b</w:t>
      </w:r>
      <w:r w:rsidRPr="004F7A06">
        <w:rPr>
          <w:szCs w:val="22"/>
        </w:rPr>
        <w:t xml:space="preserve">ortezomibu intratekálne boli zaznamenané prípady úmrtia. </w:t>
      </w:r>
    </w:p>
    <w:p w14:paraId="2A865D2C" w14:textId="77777777" w:rsidR="00A04027" w:rsidRPr="007B7F2C" w:rsidRDefault="00A04027" w:rsidP="00A04027">
      <w:pPr>
        <w:widowControl w:val="0"/>
        <w:adjustRightInd w:val="0"/>
        <w:snapToGrid w:val="0"/>
        <w:ind w:left="0" w:firstLine="0"/>
        <w:rPr>
          <w:szCs w:val="22"/>
        </w:rPr>
      </w:pPr>
      <w:r w:rsidRPr="004F7A06">
        <w:rPr>
          <w:szCs w:val="22"/>
        </w:rPr>
        <w:t xml:space="preserve">Bortezomib </w:t>
      </w:r>
      <w:r>
        <w:rPr>
          <w:szCs w:val="22"/>
        </w:rPr>
        <w:t xml:space="preserve">Krka 1 mg prášok na injekčný roztok </w:t>
      </w:r>
      <w:r w:rsidRPr="004F7A06">
        <w:rPr>
          <w:szCs w:val="22"/>
        </w:rPr>
        <w:t xml:space="preserve">je určený </w:t>
      </w:r>
      <w:r>
        <w:rPr>
          <w:szCs w:val="22"/>
        </w:rPr>
        <w:t xml:space="preserve">len </w:t>
      </w:r>
      <w:r w:rsidRPr="004F7A06">
        <w:rPr>
          <w:szCs w:val="22"/>
        </w:rPr>
        <w:t>na intravenózne použitie</w:t>
      </w:r>
      <w:r>
        <w:rPr>
          <w:szCs w:val="22"/>
        </w:rPr>
        <w:t>, zatiaľ čo Bortezomib Krka 3,5 mg prášok na injekčný roztok je určený na intravenózne alebo subkutánne použitie</w:t>
      </w:r>
      <w:r w:rsidRPr="004F7A06">
        <w:rPr>
          <w:szCs w:val="22"/>
        </w:rPr>
        <w:t>. Bo</w:t>
      </w:r>
      <w:r>
        <w:rPr>
          <w:szCs w:val="22"/>
        </w:rPr>
        <w:t>rtezomib Krka</w:t>
      </w:r>
      <w:r w:rsidRPr="004F7A06">
        <w:rPr>
          <w:szCs w:val="22"/>
        </w:rPr>
        <w:t xml:space="preserve"> sa nesmie podávať intratekálne.</w:t>
      </w:r>
    </w:p>
    <w:p w14:paraId="7FB12098" w14:textId="77777777" w:rsidR="00564D9B" w:rsidRPr="00CC69EC" w:rsidRDefault="00564D9B" w:rsidP="00564D9B">
      <w:pPr>
        <w:autoSpaceDE w:val="0"/>
        <w:autoSpaceDN w:val="0"/>
        <w:adjustRightInd w:val="0"/>
        <w:ind w:left="0" w:firstLine="0"/>
        <w:rPr>
          <w:rFonts w:eastAsia="TimesNewRoman"/>
          <w:szCs w:val="22"/>
          <w:lang w:eastAsia="en-US"/>
        </w:rPr>
      </w:pPr>
    </w:p>
    <w:p w14:paraId="493C6F97"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Pokyny na rekonštitúciu</w:t>
      </w:r>
    </w:p>
    <w:p w14:paraId="2E91BDD0"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A04027">
        <w:rPr>
          <w:rFonts w:eastAsia="TimesNewRoman"/>
          <w:szCs w:val="22"/>
          <w:lang w:eastAsia="en-US"/>
        </w:rPr>
        <w:t>Krka</w:t>
      </w:r>
      <w:r w:rsidRPr="00CC69EC">
        <w:rPr>
          <w:rFonts w:eastAsia="TimesNewRoman"/>
          <w:szCs w:val="22"/>
          <w:lang w:eastAsia="en-US"/>
        </w:rPr>
        <w:t xml:space="preserve"> musí rekonštituovať zdravotnícky pracovník.</w:t>
      </w:r>
    </w:p>
    <w:p w14:paraId="282B92C1" w14:textId="7C4CC6C8" w:rsidR="00A04027" w:rsidRPr="00213061" w:rsidRDefault="00A04027" w:rsidP="00A04027">
      <w:pPr>
        <w:autoSpaceDE w:val="0"/>
        <w:autoSpaceDN w:val="0"/>
        <w:adjustRightInd w:val="0"/>
        <w:ind w:left="0" w:firstLine="0"/>
        <w:rPr>
          <w:szCs w:val="22"/>
        </w:rPr>
      </w:pPr>
      <w:r w:rsidRPr="00213061">
        <w:rPr>
          <w:szCs w:val="22"/>
        </w:rPr>
        <w:t>Každá 5 ml injekčná liekovka Bortezomib</w:t>
      </w:r>
      <w:r w:rsidR="00F83E10" w:rsidRPr="00213061">
        <w:rPr>
          <w:szCs w:val="22"/>
        </w:rPr>
        <w:t>u</w:t>
      </w:r>
      <w:r w:rsidRPr="00213061">
        <w:rPr>
          <w:szCs w:val="22"/>
        </w:rPr>
        <w:t xml:space="preserve"> Krka sa musí opatrne rekonštituovať s </w:t>
      </w:r>
      <w:r w:rsidR="00F83E10" w:rsidRPr="00213061">
        <w:rPr>
          <w:szCs w:val="22"/>
        </w:rPr>
        <w:t>1</w:t>
      </w:r>
      <w:r w:rsidRPr="00213061">
        <w:rPr>
          <w:szCs w:val="22"/>
        </w:rPr>
        <w:t xml:space="preserve"> ml injekčného roztoku chloridu sodného</w:t>
      </w:r>
      <w:r w:rsidR="00954469" w:rsidRPr="00213061">
        <w:rPr>
          <w:szCs w:val="22"/>
        </w:rPr>
        <w:t xml:space="preserve"> s koncentráciou</w:t>
      </w:r>
      <w:r w:rsidRPr="00213061">
        <w:rPr>
          <w:szCs w:val="22"/>
        </w:rPr>
        <w:t xml:space="preserve"> 9 mg/ml (0,9 %) použitím</w:t>
      </w:r>
      <w:r w:rsidR="00EA6190" w:rsidRPr="00213061">
        <w:rPr>
          <w:szCs w:val="22"/>
        </w:rPr>
        <w:t xml:space="preserve"> 1-mililitrovej</w:t>
      </w:r>
      <w:r w:rsidRPr="00213061">
        <w:rPr>
          <w:szCs w:val="22"/>
        </w:rPr>
        <w:t xml:space="preserve"> </w:t>
      </w:r>
      <w:r w:rsidR="00954469" w:rsidRPr="00213061">
        <w:rPr>
          <w:szCs w:val="22"/>
        </w:rPr>
        <w:t xml:space="preserve">injekčnej </w:t>
      </w:r>
      <w:r w:rsidRPr="00213061">
        <w:rPr>
          <w:szCs w:val="22"/>
        </w:rPr>
        <w:t xml:space="preserve">striekačky bez odstránenia </w:t>
      </w:r>
      <w:r w:rsidR="00EA6190" w:rsidRPr="00213061">
        <w:rPr>
          <w:szCs w:val="22"/>
        </w:rPr>
        <w:t xml:space="preserve">zátky na </w:t>
      </w:r>
      <w:r w:rsidRPr="00213061">
        <w:rPr>
          <w:szCs w:val="22"/>
        </w:rPr>
        <w:t>injekčnej liekovk</w:t>
      </w:r>
      <w:r w:rsidR="00EA6190" w:rsidRPr="00213061">
        <w:rPr>
          <w:szCs w:val="22"/>
        </w:rPr>
        <w:t>e</w:t>
      </w:r>
      <w:r w:rsidRPr="00213061">
        <w:rPr>
          <w:szCs w:val="22"/>
        </w:rPr>
        <w:t xml:space="preserve">.  </w:t>
      </w:r>
      <w:r w:rsidR="00EA6190" w:rsidRPr="00213061">
        <w:rPr>
          <w:szCs w:val="22"/>
        </w:rPr>
        <w:t>L</w:t>
      </w:r>
      <w:r w:rsidRPr="00213061">
        <w:rPr>
          <w:szCs w:val="22"/>
        </w:rPr>
        <w:t>yofilizovan</w:t>
      </w:r>
      <w:r w:rsidR="00EA6190" w:rsidRPr="00213061">
        <w:rPr>
          <w:szCs w:val="22"/>
        </w:rPr>
        <w:t>ý</w:t>
      </w:r>
      <w:r w:rsidRPr="00213061">
        <w:rPr>
          <w:szCs w:val="22"/>
        </w:rPr>
        <w:t xml:space="preserve"> práš</w:t>
      </w:r>
      <w:r w:rsidR="00EA6190" w:rsidRPr="00213061">
        <w:rPr>
          <w:szCs w:val="22"/>
        </w:rPr>
        <w:t>ok sa rozpustí</w:t>
      </w:r>
      <w:r w:rsidRPr="00213061">
        <w:rPr>
          <w:szCs w:val="22"/>
        </w:rPr>
        <w:t xml:space="preserve"> za menej ako 2 minúty.</w:t>
      </w:r>
    </w:p>
    <w:p w14:paraId="2AA9C6D0" w14:textId="5A65BF39" w:rsidR="00A04027" w:rsidRPr="00213061" w:rsidRDefault="00954469" w:rsidP="00A04027">
      <w:pPr>
        <w:autoSpaceDE w:val="0"/>
        <w:autoSpaceDN w:val="0"/>
        <w:adjustRightInd w:val="0"/>
        <w:ind w:left="0" w:firstLine="0"/>
        <w:rPr>
          <w:szCs w:val="22"/>
        </w:rPr>
      </w:pPr>
      <w:r w:rsidRPr="00213061">
        <w:rPr>
          <w:szCs w:val="22"/>
        </w:rPr>
        <w:t>K</w:t>
      </w:r>
      <w:r w:rsidR="00771FEF" w:rsidRPr="00213061">
        <w:rPr>
          <w:szCs w:val="22"/>
        </w:rPr>
        <w:t>aždý</w:t>
      </w:r>
      <w:r w:rsidR="00A04027" w:rsidRPr="00213061">
        <w:rPr>
          <w:szCs w:val="22"/>
        </w:rPr>
        <w:t xml:space="preserve"> ml roztoku obsahuje </w:t>
      </w:r>
      <w:r w:rsidRPr="00213061">
        <w:rPr>
          <w:szCs w:val="22"/>
        </w:rPr>
        <w:t xml:space="preserve">po rekonštitúcii </w:t>
      </w:r>
      <w:r w:rsidR="00A04027" w:rsidRPr="00213061">
        <w:rPr>
          <w:szCs w:val="22"/>
        </w:rPr>
        <w:t>1 mg bortezomibu. Rekonštituovaný roztok je číry a bezfarebný s výsledným pH od 4 do 7.</w:t>
      </w:r>
    </w:p>
    <w:p w14:paraId="4E3CE517" w14:textId="77777777" w:rsidR="00A04027" w:rsidRPr="00213061" w:rsidRDefault="00A04027" w:rsidP="00A04027">
      <w:pPr>
        <w:autoSpaceDE w:val="0"/>
        <w:autoSpaceDN w:val="0"/>
        <w:adjustRightInd w:val="0"/>
        <w:ind w:left="0" w:firstLine="0"/>
        <w:rPr>
          <w:szCs w:val="22"/>
        </w:rPr>
      </w:pPr>
      <w:r w:rsidRPr="00213061">
        <w:rPr>
          <w:szCs w:val="22"/>
        </w:rPr>
        <w:t>Rekonštituovaný roztok sa musí pred podaním opticky skontrolovať, či neobsahuje nerozpustené častice a či nie je sfarbený. Ak je</w:t>
      </w:r>
      <w:r w:rsidRPr="00030E94">
        <w:rPr>
          <w:szCs w:val="22"/>
          <w:lang w:val="en-US" w:eastAsia="en-US"/>
        </w:rPr>
        <w:t xml:space="preserve"> </w:t>
      </w:r>
      <w:r w:rsidRPr="00213061">
        <w:rPr>
          <w:szCs w:val="22"/>
        </w:rPr>
        <w:t>zafarbený, alebo pozorujete prítomnosť častíc, rekonštituovaný roztok sa musí zlikvidovať.</w:t>
      </w:r>
      <w:r w:rsidRPr="00030E94">
        <w:rPr>
          <w:szCs w:val="22"/>
          <w:lang w:val="en-US" w:eastAsia="en-US"/>
        </w:rPr>
        <w:t xml:space="preserve"> </w:t>
      </w:r>
    </w:p>
    <w:p w14:paraId="112D80CB" w14:textId="77777777" w:rsidR="00A04027" w:rsidRDefault="00A04027" w:rsidP="00564D9B">
      <w:pPr>
        <w:autoSpaceDE w:val="0"/>
        <w:autoSpaceDN w:val="0"/>
        <w:adjustRightInd w:val="0"/>
        <w:ind w:left="0" w:firstLine="0"/>
        <w:rPr>
          <w:rFonts w:eastAsia="TimesNewRoman"/>
          <w:szCs w:val="22"/>
          <w:u w:val="single"/>
          <w:lang w:eastAsia="en-US"/>
        </w:rPr>
      </w:pPr>
    </w:p>
    <w:p w14:paraId="19B2B2A2"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Likvidácia</w:t>
      </w:r>
    </w:p>
    <w:p w14:paraId="777B9DE1" w14:textId="77777777" w:rsidR="00A04027" w:rsidRPr="007B7F2C" w:rsidRDefault="00A04027" w:rsidP="00A04027">
      <w:pPr>
        <w:widowControl w:val="0"/>
        <w:adjustRightInd w:val="0"/>
        <w:snapToGrid w:val="0"/>
        <w:ind w:left="0" w:firstLine="0"/>
        <w:rPr>
          <w:rFonts w:eastAsia="TimesNewRoman"/>
          <w:szCs w:val="22"/>
        </w:rPr>
      </w:pPr>
      <w:r>
        <w:rPr>
          <w:szCs w:val="22"/>
        </w:rPr>
        <w:t>Bortezomib Krka</w:t>
      </w:r>
      <w:r w:rsidRPr="007B7F2C">
        <w:rPr>
          <w:szCs w:val="22"/>
        </w:rPr>
        <w:t xml:space="preserve"> je určený len na jednorazové použitie.</w:t>
      </w:r>
      <w:r>
        <w:rPr>
          <w:rFonts w:eastAsia="TimesNewRoman"/>
          <w:szCs w:val="22"/>
        </w:rPr>
        <w:t xml:space="preserve"> </w:t>
      </w:r>
      <w:r w:rsidRPr="007B7F2C">
        <w:rPr>
          <w:rFonts w:eastAsia="TimesNewRoman"/>
          <w:szCs w:val="22"/>
        </w:rPr>
        <w:t>Všetok nepoužitý liek alebo odpad vzniknutý z</w:t>
      </w:r>
      <w:r>
        <w:rPr>
          <w:rFonts w:eastAsia="TimesNewRoman"/>
          <w:szCs w:val="22"/>
        </w:rPr>
        <w:t> </w:t>
      </w:r>
      <w:r w:rsidRPr="007B7F2C">
        <w:rPr>
          <w:rFonts w:eastAsia="TimesNewRoman"/>
          <w:szCs w:val="22"/>
        </w:rPr>
        <w:t>lieku sa má zlikvidovať v súlade s národnými požiadavkami</w:t>
      </w:r>
      <w:r>
        <w:rPr>
          <w:rFonts w:eastAsia="TimesNewRoman"/>
          <w:szCs w:val="22"/>
        </w:rPr>
        <w:t xml:space="preserve"> pre cytotoxické látky</w:t>
      </w:r>
      <w:r w:rsidRPr="007B7F2C">
        <w:rPr>
          <w:rFonts w:eastAsia="TimesNewRoman"/>
          <w:szCs w:val="22"/>
        </w:rPr>
        <w:t>.</w:t>
      </w:r>
    </w:p>
    <w:p w14:paraId="5C64C74F" w14:textId="77777777" w:rsidR="00564D9B" w:rsidRPr="00CC69EC" w:rsidRDefault="00564D9B" w:rsidP="00564D9B">
      <w:pPr>
        <w:rPr>
          <w:szCs w:val="22"/>
        </w:rPr>
      </w:pPr>
    </w:p>
    <w:p w14:paraId="213F043B" w14:textId="77777777" w:rsidR="00564D9B" w:rsidRPr="00CC69EC" w:rsidRDefault="00564D9B" w:rsidP="00564D9B">
      <w:pPr>
        <w:rPr>
          <w:szCs w:val="22"/>
        </w:rPr>
      </w:pPr>
    </w:p>
    <w:p w14:paraId="09921FCE" w14:textId="77777777" w:rsidR="00564D9B" w:rsidRPr="00CC69EC" w:rsidRDefault="00564D9B" w:rsidP="00564D9B">
      <w:pPr>
        <w:rPr>
          <w:b/>
          <w:szCs w:val="22"/>
        </w:rPr>
      </w:pPr>
      <w:r w:rsidRPr="00CC69EC">
        <w:rPr>
          <w:b/>
          <w:szCs w:val="22"/>
        </w:rPr>
        <w:t>7.</w:t>
      </w:r>
      <w:r w:rsidRPr="00CC69EC">
        <w:rPr>
          <w:b/>
          <w:szCs w:val="22"/>
        </w:rPr>
        <w:tab/>
        <w:t>DRŽ</w:t>
      </w:r>
      <w:smartTag w:uri="urn:schemas-microsoft-com:office:smarttags" w:element="PersonName">
        <w:r w:rsidRPr="00CC69EC">
          <w:rPr>
            <w:b/>
            <w:szCs w:val="22"/>
          </w:rPr>
          <w:t>IT</w:t>
        </w:r>
      </w:smartTag>
      <w:r w:rsidRPr="00CC69EC">
        <w:rPr>
          <w:b/>
          <w:szCs w:val="22"/>
        </w:rPr>
        <w:t>EĽ ROZHODNUTIA O REGISTRÁCII</w:t>
      </w:r>
    </w:p>
    <w:p w14:paraId="45DAE98B" w14:textId="77777777" w:rsidR="00564D9B" w:rsidRPr="00CC69EC" w:rsidRDefault="00564D9B" w:rsidP="00564D9B">
      <w:pPr>
        <w:rPr>
          <w:szCs w:val="22"/>
        </w:rPr>
      </w:pPr>
    </w:p>
    <w:p w14:paraId="6308F7F2" w14:textId="1DBDE744" w:rsidR="002749E3" w:rsidRPr="00246FA7" w:rsidRDefault="000E02DE" w:rsidP="002749E3">
      <w:pPr>
        <w:rPr>
          <w:szCs w:val="22"/>
        </w:rPr>
      </w:pPr>
      <w:r>
        <w:rPr>
          <w:szCs w:val="22"/>
        </w:rPr>
        <w:t>KRKA,</w:t>
      </w:r>
      <w:r w:rsidR="002749E3" w:rsidRPr="00246FA7">
        <w:rPr>
          <w:szCs w:val="22"/>
        </w:rPr>
        <w:t xml:space="preserve"> d.d., Novo mesto, Šmarješka cesta 6,</w:t>
      </w:r>
      <w:r w:rsidR="002749E3">
        <w:rPr>
          <w:szCs w:val="22"/>
        </w:rPr>
        <w:t xml:space="preserve"> </w:t>
      </w:r>
      <w:r w:rsidR="002749E3" w:rsidRPr="00246FA7">
        <w:rPr>
          <w:szCs w:val="22"/>
        </w:rPr>
        <w:t>8501 Novo mesto, Slovinsko</w:t>
      </w:r>
    </w:p>
    <w:p w14:paraId="7A3E4CD0" w14:textId="77777777" w:rsidR="00564D9B" w:rsidRPr="00CC69EC" w:rsidRDefault="00564D9B" w:rsidP="00564D9B">
      <w:pPr>
        <w:ind w:left="0" w:firstLine="0"/>
        <w:rPr>
          <w:szCs w:val="22"/>
        </w:rPr>
      </w:pPr>
    </w:p>
    <w:p w14:paraId="4315C72A" w14:textId="77777777" w:rsidR="00564D9B" w:rsidRPr="00CC69EC" w:rsidRDefault="00564D9B" w:rsidP="00564D9B">
      <w:pPr>
        <w:rPr>
          <w:szCs w:val="22"/>
        </w:rPr>
      </w:pPr>
    </w:p>
    <w:p w14:paraId="35867CFC" w14:textId="77777777" w:rsidR="00564D9B" w:rsidRPr="00CC69EC" w:rsidRDefault="00564D9B" w:rsidP="00564D9B">
      <w:pPr>
        <w:rPr>
          <w:b/>
          <w:szCs w:val="22"/>
        </w:rPr>
      </w:pPr>
      <w:r w:rsidRPr="00CC69EC">
        <w:rPr>
          <w:b/>
          <w:szCs w:val="22"/>
        </w:rPr>
        <w:t>8.</w:t>
      </w:r>
      <w:r w:rsidRPr="00CC69EC">
        <w:rPr>
          <w:b/>
          <w:szCs w:val="22"/>
        </w:rPr>
        <w:tab/>
        <w:t>REGISTRAČNÉ ČÍSLO</w:t>
      </w:r>
    </w:p>
    <w:p w14:paraId="0375AA84" w14:textId="77777777" w:rsidR="00564D9B" w:rsidRPr="00CC69EC" w:rsidRDefault="00564D9B" w:rsidP="00564D9B"/>
    <w:p w14:paraId="541B2AB2" w14:textId="17F1B631" w:rsidR="00564D9B" w:rsidRDefault="00A06B35" w:rsidP="00564D9B">
      <w:pPr>
        <w:rPr>
          <w:szCs w:val="22"/>
        </w:rPr>
      </w:pPr>
      <w:r w:rsidRPr="00A06B35">
        <w:rPr>
          <w:szCs w:val="22"/>
        </w:rPr>
        <w:t>44/0215/19-S</w:t>
      </w:r>
    </w:p>
    <w:p w14:paraId="5FD63C2A" w14:textId="77777777" w:rsidR="00F434B9" w:rsidRDefault="00F434B9" w:rsidP="00564D9B">
      <w:pPr>
        <w:rPr>
          <w:szCs w:val="22"/>
        </w:rPr>
      </w:pPr>
    </w:p>
    <w:p w14:paraId="3141D6F7" w14:textId="77777777" w:rsidR="00564D9B" w:rsidRPr="00CC69EC" w:rsidRDefault="00564D9B" w:rsidP="00564D9B">
      <w:pPr>
        <w:rPr>
          <w:szCs w:val="22"/>
        </w:rPr>
      </w:pPr>
    </w:p>
    <w:p w14:paraId="45E09593" w14:textId="77777777" w:rsidR="00564D9B" w:rsidRPr="00CC69EC" w:rsidRDefault="00564D9B" w:rsidP="00564D9B">
      <w:pPr>
        <w:rPr>
          <w:b/>
          <w:szCs w:val="22"/>
        </w:rPr>
      </w:pPr>
      <w:r w:rsidRPr="00CC69EC">
        <w:rPr>
          <w:b/>
          <w:szCs w:val="22"/>
        </w:rPr>
        <w:t>9.</w:t>
      </w:r>
      <w:r w:rsidRPr="00CC69EC">
        <w:rPr>
          <w:b/>
          <w:szCs w:val="22"/>
        </w:rPr>
        <w:tab/>
        <w:t>DÁTUM PRVEJ REGISTRÁCIE/PREDĹŽENIA REGISTRÁCIE</w:t>
      </w:r>
    </w:p>
    <w:p w14:paraId="53D70C0E" w14:textId="77777777" w:rsidR="00564D9B" w:rsidRPr="00CC69EC" w:rsidRDefault="00564D9B" w:rsidP="00564D9B">
      <w:pPr>
        <w:ind w:left="0" w:firstLine="0"/>
        <w:rPr>
          <w:szCs w:val="22"/>
        </w:rPr>
      </w:pPr>
    </w:p>
    <w:p w14:paraId="7BF66540" w14:textId="3C80E4C1" w:rsidR="00564D9B" w:rsidRPr="00CC69EC" w:rsidRDefault="00564D9B" w:rsidP="00564D9B">
      <w:pPr>
        <w:ind w:left="0" w:firstLine="0"/>
        <w:rPr>
          <w:szCs w:val="22"/>
        </w:rPr>
      </w:pPr>
      <w:r w:rsidRPr="00CC69EC">
        <w:rPr>
          <w:szCs w:val="22"/>
        </w:rPr>
        <w:t xml:space="preserve">Dátum prvej registrácie: </w:t>
      </w:r>
      <w:r w:rsidR="00A619E0">
        <w:rPr>
          <w:szCs w:val="22"/>
        </w:rPr>
        <w:t>17.07.2019</w:t>
      </w:r>
    </w:p>
    <w:p w14:paraId="3697453B" w14:textId="77777777" w:rsidR="00564D9B" w:rsidRPr="00CC69EC" w:rsidRDefault="00564D9B" w:rsidP="00564D9B">
      <w:pPr>
        <w:ind w:left="0" w:firstLine="0"/>
        <w:rPr>
          <w:szCs w:val="22"/>
        </w:rPr>
      </w:pPr>
    </w:p>
    <w:p w14:paraId="6447C15F" w14:textId="77777777" w:rsidR="00564D9B" w:rsidRPr="00CC69EC" w:rsidRDefault="00564D9B" w:rsidP="00564D9B">
      <w:pPr>
        <w:rPr>
          <w:szCs w:val="22"/>
        </w:rPr>
      </w:pPr>
    </w:p>
    <w:p w14:paraId="2FD24AA8" w14:textId="77777777" w:rsidR="00564D9B" w:rsidRDefault="00564D9B" w:rsidP="00564D9B">
      <w:pPr>
        <w:rPr>
          <w:b/>
          <w:szCs w:val="22"/>
        </w:rPr>
      </w:pPr>
      <w:r w:rsidRPr="00CC69EC">
        <w:rPr>
          <w:b/>
          <w:szCs w:val="22"/>
        </w:rPr>
        <w:t>10.</w:t>
      </w:r>
      <w:r w:rsidRPr="00CC69EC">
        <w:rPr>
          <w:b/>
          <w:szCs w:val="22"/>
        </w:rPr>
        <w:tab/>
        <w:t>DÁTUM REVÍZIE TEXTU</w:t>
      </w:r>
    </w:p>
    <w:p w14:paraId="3186CD26" w14:textId="77777777" w:rsidR="00564D9B" w:rsidRPr="00CC69EC" w:rsidRDefault="00564D9B" w:rsidP="00564D9B">
      <w:pPr>
        <w:rPr>
          <w:szCs w:val="22"/>
        </w:rPr>
      </w:pPr>
    </w:p>
    <w:p w14:paraId="0A49FB6C" w14:textId="195DDAA5" w:rsidR="002402B6" w:rsidRDefault="00A619E0">
      <w:r>
        <w:rPr>
          <w:szCs w:val="22"/>
        </w:rPr>
        <w:t>07/2019</w:t>
      </w:r>
    </w:p>
    <w:sectPr w:rsidR="002402B6" w:rsidSect="00B3579C">
      <w:headerReference w:type="default" r:id="rId9"/>
      <w:footerReference w:type="default" r:id="rId10"/>
      <w:headerReference w:type="first" r:id="rId11"/>
      <w:footerReference w:type="firs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07D25" w14:textId="77777777" w:rsidR="002D21FF" w:rsidRDefault="002D21FF" w:rsidP="00564D9B">
      <w:r>
        <w:separator/>
      </w:r>
    </w:p>
  </w:endnote>
  <w:endnote w:type="continuationSeparator" w:id="0">
    <w:p w14:paraId="03C03694" w14:textId="77777777" w:rsidR="002D21FF" w:rsidRDefault="002D21FF" w:rsidP="0056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Italic">
    <w:altName w:val="Times New Roman"/>
    <w:panose1 w:val="00000000000000000000"/>
    <w:charset w:val="00"/>
    <w:family w:val="roman"/>
    <w:notTrueType/>
    <w:pitch w:val="default"/>
    <w:sig w:usb0="00000003" w:usb1="08070000" w:usb2="00000010" w:usb3="00000000" w:csb0="00020001"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ED4B8" w14:textId="398470FF" w:rsidR="00A619E0" w:rsidRPr="007950D7" w:rsidRDefault="00A619E0">
    <w:pPr>
      <w:pStyle w:val="Pta"/>
      <w:jc w:val="center"/>
      <w:rPr>
        <w:sz w:val="18"/>
        <w:szCs w:val="18"/>
      </w:rPr>
    </w:pPr>
    <w:r w:rsidRPr="007950D7">
      <w:rPr>
        <w:sz w:val="18"/>
        <w:szCs w:val="18"/>
      </w:rPr>
      <w:fldChar w:fldCharType="begin"/>
    </w:r>
    <w:r w:rsidRPr="007950D7">
      <w:rPr>
        <w:sz w:val="18"/>
        <w:szCs w:val="18"/>
      </w:rPr>
      <w:instrText xml:space="preserve"> PAGE   \* MERGEFORMAT </w:instrText>
    </w:r>
    <w:r w:rsidRPr="007950D7">
      <w:rPr>
        <w:sz w:val="18"/>
        <w:szCs w:val="18"/>
      </w:rPr>
      <w:fldChar w:fldCharType="separate"/>
    </w:r>
    <w:r w:rsidR="00213061">
      <w:rPr>
        <w:noProof/>
        <w:sz w:val="18"/>
        <w:szCs w:val="18"/>
      </w:rPr>
      <w:t>19</w:t>
    </w:r>
    <w:r w:rsidRPr="007950D7">
      <w:rPr>
        <w:noProof/>
        <w:sz w:val="18"/>
        <w:szCs w:val="18"/>
      </w:rPr>
      <w:fldChar w:fldCharType="end"/>
    </w:r>
  </w:p>
  <w:p w14:paraId="6C734586" w14:textId="77777777" w:rsidR="00A619E0" w:rsidRDefault="00A619E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1F5CF" w14:textId="77777777" w:rsidR="00A619E0" w:rsidRPr="0056175F" w:rsidRDefault="00A619E0">
    <w:pPr>
      <w:pStyle w:val="Pta"/>
      <w:jc w:val="center"/>
      <w:rPr>
        <w:sz w:val="18"/>
        <w:szCs w:val="18"/>
      </w:rPr>
    </w:pPr>
    <w:r w:rsidRPr="0056175F">
      <w:rPr>
        <w:sz w:val="18"/>
        <w:szCs w:val="18"/>
      </w:rPr>
      <w:fldChar w:fldCharType="begin"/>
    </w:r>
    <w:r w:rsidRPr="0056175F">
      <w:rPr>
        <w:sz w:val="18"/>
        <w:szCs w:val="18"/>
      </w:rPr>
      <w:instrText xml:space="preserve"> PAGE   \* MERGEFORMAT </w:instrText>
    </w:r>
    <w:r w:rsidRPr="0056175F">
      <w:rPr>
        <w:sz w:val="18"/>
        <w:szCs w:val="18"/>
      </w:rPr>
      <w:fldChar w:fldCharType="separate"/>
    </w:r>
    <w:r>
      <w:rPr>
        <w:noProof/>
        <w:sz w:val="18"/>
        <w:szCs w:val="18"/>
      </w:rPr>
      <w:t>1</w:t>
    </w:r>
    <w:r w:rsidRPr="0056175F">
      <w:rPr>
        <w:sz w:val="18"/>
        <w:szCs w:val="18"/>
      </w:rPr>
      <w:fldChar w:fldCharType="end"/>
    </w:r>
  </w:p>
  <w:p w14:paraId="316FE150" w14:textId="77777777" w:rsidR="00A619E0" w:rsidRDefault="00A619E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C3AC1" w14:textId="77777777" w:rsidR="002D21FF" w:rsidRDefault="002D21FF" w:rsidP="00564D9B">
      <w:r>
        <w:separator/>
      </w:r>
    </w:p>
  </w:footnote>
  <w:footnote w:type="continuationSeparator" w:id="0">
    <w:p w14:paraId="0BAD5C6A" w14:textId="77777777" w:rsidR="002D21FF" w:rsidRDefault="002D21FF" w:rsidP="0056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BFDDD" w14:textId="494B4E8C" w:rsidR="00A619E0" w:rsidRPr="00464E47" w:rsidRDefault="00A619E0" w:rsidP="00030E94">
    <w:pPr>
      <w:pStyle w:val="Hlavika"/>
      <w:rPr>
        <w:sz w:val="18"/>
        <w:szCs w:val="18"/>
      </w:rPr>
    </w:pPr>
    <w:r>
      <w:rPr>
        <w:sz w:val="18"/>
        <w:szCs w:val="18"/>
      </w:rPr>
      <w:t>Príloha č. 1</w:t>
    </w:r>
    <w:r w:rsidRPr="00464E47">
      <w:rPr>
        <w:sz w:val="18"/>
        <w:szCs w:val="18"/>
      </w:rPr>
      <w:t xml:space="preserve"> k rozhodnutiu o </w:t>
    </w:r>
    <w:r>
      <w:rPr>
        <w:sz w:val="18"/>
        <w:szCs w:val="18"/>
      </w:rPr>
      <w:t>zmene</w:t>
    </w:r>
    <w:r w:rsidRPr="00464E47">
      <w:rPr>
        <w:sz w:val="18"/>
        <w:szCs w:val="18"/>
      </w:rPr>
      <w:t>, ev.</w:t>
    </w:r>
    <w:r>
      <w:rPr>
        <w:sz w:val="18"/>
        <w:szCs w:val="18"/>
      </w:rPr>
      <w:t xml:space="preserve"> </w:t>
    </w:r>
    <w:r w:rsidRPr="00464E47">
      <w:rPr>
        <w:sz w:val="18"/>
        <w:szCs w:val="18"/>
      </w:rPr>
      <w:t>č.</w:t>
    </w:r>
    <w:r>
      <w:rPr>
        <w:sz w:val="18"/>
        <w:szCs w:val="18"/>
      </w:rPr>
      <w:t xml:space="preserve">: </w:t>
    </w:r>
    <w:r w:rsidRPr="00030E94">
      <w:rPr>
        <w:sz w:val="18"/>
        <w:szCs w:val="18"/>
      </w:rPr>
      <w:t>2019/02416-Z1B</w:t>
    </w:r>
  </w:p>
  <w:p w14:paraId="19AF71A7" w14:textId="01BC8748" w:rsidR="00A619E0" w:rsidRPr="00464E47" w:rsidRDefault="00A619E0">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BF868" w14:textId="77777777" w:rsidR="00A619E0" w:rsidRDefault="00A619E0" w:rsidP="00F75370">
    <w:pP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809F9"/>
    <w:multiLevelType w:val="hybridMultilevel"/>
    <w:tmpl w:val="7590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733DD"/>
    <w:multiLevelType w:val="hybridMultilevel"/>
    <w:tmpl w:val="968E5C1C"/>
    <w:lvl w:ilvl="0" w:tplc="041B000B">
      <w:start w:val="103"/>
      <w:numFmt w:val="bullet"/>
      <w:lvlText w:val=""/>
      <w:lvlJc w:val="left"/>
      <w:pPr>
        <w:ind w:left="720" w:hanging="360"/>
      </w:pPr>
      <w:rPr>
        <w:rFonts w:ascii="Wingdings" w:eastAsia="Times New Roman" w:hAnsi="Wingding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EC65934"/>
    <w:multiLevelType w:val="hybridMultilevel"/>
    <w:tmpl w:val="CBAAB6FA"/>
    <w:lvl w:ilvl="0" w:tplc="61D6DA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F5848"/>
    <w:multiLevelType w:val="hybridMultilevel"/>
    <w:tmpl w:val="0C92AEA0"/>
    <w:lvl w:ilvl="0" w:tplc="45E24A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A3417"/>
    <w:multiLevelType w:val="hybridMultilevel"/>
    <w:tmpl w:val="4BFA3D9C"/>
    <w:lvl w:ilvl="0" w:tplc="8CBC7664">
      <w:numFmt w:val="bullet"/>
      <w:lvlText w:val="-"/>
      <w:lvlJc w:val="left"/>
      <w:pPr>
        <w:tabs>
          <w:tab w:val="num" w:pos="720"/>
        </w:tabs>
        <w:ind w:left="720" w:hanging="360"/>
      </w:pPr>
      <w:rPr>
        <w:rFonts w:ascii="Times New Roman" w:eastAsia="MS Mincho"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272C6E0D"/>
    <w:multiLevelType w:val="hybridMultilevel"/>
    <w:tmpl w:val="4D7C1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450FC"/>
    <w:multiLevelType w:val="multilevel"/>
    <w:tmpl w:val="335C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2A5231"/>
    <w:multiLevelType w:val="hybridMultilevel"/>
    <w:tmpl w:val="92D2244C"/>
    <w:lvl w:ilvl="0" w:tplc="2D50C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830AE"/>
    <w:multiLevelType w:val="hybridMultilevel"/>
    <w:tmpl w:val="E0D04E6E"/>
    <w:lvl w:ilvl="0" w:tplc="040C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393043"/>
    <w:multiLevelType w:val="hybridMultilevel"/>
    <w:tmpl w:val="AEA0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1691B"/>
    <w:multiLevelType w:val="hybridMultilevel"/>
    <w:tmpl w:val="80DCF726"/>
    <w:lvl w:ilvl="0" w:tplc="2BDC1E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28433C"/>
    <w:multiLevelType w:val="hybridMultilevel"/>
    <w:tmpl w:val="1BA02B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4"/>
  </w:num>
  <w:num w:numId="5">
    <w:abstractNumId w:val="8"/>
  </w:num>
  <w:num w:numId="6">
    <w:abstractNumId w:val="6"/>
  </w:num>
  <w:num w:numId="7">
    <w:abstractNumId w:val="5"/>
  </w:num>
  <w:num w:numId="8">
    <w:abstractNumId w:val="0"/>
  </w:num>
  <w:num w:numId="9">
    <w:abstractNumId w:val="11"/>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9B"/>
    <w:rsid w:val="00011C9E"/>
    <w:rsid w:val="00022A77"/>
    <w:rsid w:val="000233A8"/>
    <w:rsid w:val="00030E94"/>
    <w:rsid w:val="0006402D"/>
    <w:rsid w:val="00076B13"/>
    <w:rsid w:val="000817AF"/>
    <w:rsid w:val="00082963"/>
    <w:rsid w:val="000A47FC"/>
    <w:rsid w:val="000B194C"/>
    <w:rsid w:val="000B6A88"/>
    <w:rsid w:val="000C428F"/>
    <w:rsid w:val="000D6696"/>
    <w:rsid w:val="000E02DE"/>
    <w:rsid w:val="000E062C"/>
    <w:rsid w:val="000E7D2D"/>
    <w:rsid w:val="000F1D51"/>
    <w:rsid w:val="000F4419"/>
    <w:rsid w:val="00110A92"/>
    <w:rsid w:val="001164F7"/>
    <w:rsid w:val="00133BD5"/>
    <w:rsid w:val="00147983"/>
    <w:rsid w:val="00162059"/>
    <w:rsid w:val="00175AB2"/>
    <w:rsid w:val="00176F0F"/>
    <w:rsid w:val="001A5C23"/>
    <w:rsid w:val="001A642E"/>
    <w:rsid w:val="001C34DA"/>
    <w:rsid w:val="001D2345"/>
    <w:rsid w:val="001D2720"/>
    <w:rsid w:val="001E0A51"/>
    <w:rsid w:val="001E37B0"/>
    <w:rsid w:val="00213061"/>
    <w:rsid w:val="00231AD1"/>
    <w:rsid w:val="002332FE"/>
    <w:rsid w:val="0023619C"/>
    <w:rsid w:val="002361A0"/>
    <w:rsid w:val="00237680"/>
    <w:rsid w:val="002402B6"/>
    <w:rsid w:val="00250C25"/>
    <w:rsid w:val="00253235"/>
    <w:rsid w:val="00260574"/>
    <w:rsid w:val="00267017"/>
    <w:rsid w:val="002749E3"/>
    <w:rsid w:val="00291DFF"/>
    <w:rsid w:val="0029301D"/>
    <w:rsid w:val="00295659"/>
    <w:rsid w:val="002A4BF1"/>
    <w:rsid w:val="002A65AC"/>
    <w:rsid w:val="002B20A8"/>
    <w:rsid w:val="002C0925"/>
    <w:rsid w:val="002D21FF"/>
    <w:rsid w:val="002E1FF2"/>
    <w:rsid w:val="002E3042"/>
    <w:rsid w:val="002F3267"/>
    <w:rsid w:val="00305411"/>
    <w:rsid w:val="003275A9"/>
    <w:rsid w:val="00332DD1"/>
    <w:rsid w:val="00344AA9"/>
    <w:rsid w:val="00346886"/>
    <w:rsid w:val="00370D0F"/>
    <w:rsid w:val="00374C3C"/>
    <w:rsid w:val="00381692"/>
    <w:rsid w:val="00390513"/>
    <w:rsid w:val="00395660"/>
    <w:rsid w:val="003A5A39"/>
    <w:rsid w:val="003B0120"/>
    <w:rsid w:val="003C29B9"/>
    <w:rsid w:val="003F1A9E"/>
    <w:rsid w:val="00402842"/>
    <w:rsid w:val="004109BE"/>
    <w:rsid w:val="004125BC"/>
    <w:rsid w:val="0042709F"/>
    <w:rsid w:val="004344D6"/>
    <w:rsid w:val="00455CB9"/>
    <w:rsid w:val="00473B76"/>
    <w:rsid w:val="00476D88"/>
    <w:rsid w:val="00477F8A"/>
    <w:rsid w:val="004816A8"/>
    <w:rsid w:val="004827C3"/>
    <w:rsid w:val="004922C0"/>
    <w:rsid w:val="004A2AAD"/>
    <w:rsid w:val="004A55E2"/>
    <w:rsid w:val="004A7AA3"/>
    <w:rsid w:val="004B7719"/>
    <w:rsid w:val="004C784C"/>
    <w:rsid w:val="004D02F4"/>
    <w:rsid w:val="004E1518"/>
    <w:rsid w:val="004E7719"/>
    <w:rsid w:val="004F70BD"/>
    <w:rsid w:val="00510194"/>
    <w:rsid w:val="00511923"/>
    <w:rsid w:val="00517090"/>
    <w:rsid w:val="00541CAD"/>
    <w:rsid w:val="0055599D"/>
    <w:rsid w:val="00564D9B"/>
    <w:rsid w:val="005749DB"/>
    <w:rsid w:val="005A5572"/>
    <w:rsid w:val="005B734D"/>
    <w:rsid w:val="005B74DD"/>
    <w:rsid w:val="005C231B"/>
    <w:rsid w:val="005C5CEA"/>
    <w:rsid w:val="006110E5"/>
    <w:rsid w:val="0063096F"/>
    <w:rsid w:val="006318A6"/>
    <w:rsid w:val="0065255E"/>
    <w:rsid w:val="006533F8"/>
    <w:rsid w:val="006623EB"/>
    <w:rsid w:val="0066331E"/>
    <w:rsid w:val="006722D3"/>
    <w:rsid w:val="0068512B"/>
    <w:rsid w:val="00687977"/>
    <w:rsid w:val="00690F95"/>
    <w:rsid w:val="00693194"/>
    <w:rsid w:val="006B3925"/>
    <w:rsid w:val="006B459F"/>
    <w:rsid w:val="006B6CFD"/>
    <w:rsid w:val="006D4CF8"/>
    <w:rsid w:val="00700353"/>
    <w:rsid w:val="00707C37"/>
    <w:rsid w:val="00717D9C"/>
    <w:rsid w:val="007311CD"/>
    <w:rsid w:val="00753AC5"/>
    <w:rsid w:val="007712B6"/>
    <w:rsid w:val="00771FEF"/>
    <w:rsid w:val="007A24D6"/>
    <w:rsid w:val="007D20FD"/>
    <w:rsid w:val="007E231E"/>
    <w:rsid w:val="007F1434"/>
    <w:rsid w:val="007F4DA1"/>
    <w:rsid w:val="007F5B70"/>
    <w:rsid w:val="008204FB"/>
    <w:rsid w:val="00834B2D"/>
    <w:rsid w:val="00847D92"/>
    <w:rsid w:val="008541FF"/>
    <w:rsid w:val="00867F06"/>
    <w:rsid w:val="008811B2"/>
    <w:rsid w:val="008A4085"/>
    <w:rsid w:val="008A5742"/>
    <w:rsid w:val="008B5E1B"/>
    <w:rsid w:val="008B6B2A"/>
    <w:rsid w:val="008D6FF9"/>
    <w:rsid w:val="008F0872"/>
    <w:rsid w:val="008F7B96"/>
    <w:rsid w:val="00907EEB"/>
    <w:rsid w:val="00911430"/>
    <w:rsid w:val="00936B2F"/>
    <w:rsid w:val="009422AF"/>
    <w:rsid w:val="009529B3"/>
    <w:rsid w:val="009540CA"/>
    <w:rsid w:val="00954469"/>
    <w:rsid w:val="00955C8A"/>
    <w:rsid w:val="00956061"/>
    <w:rsid w:val="00964E83"/>
    <w:rsid w:val="00996CA3"/>
    <w:rsid w:val="009A0659"/>
    <w:rsid w:val="009F2084"/>
    <w:rsid w:val="00A04027"/>
    <w:rsid w:val="00A06B35"/>
    <w:rsid w:val="00A16964"/>
    <w:rsid w:val="00A20F3D"/>
    <w:rsid w:val="00A619E0"/>
    <w:rsid w:val="00A67236"/>
    <w:rsid w:val="00A7138A"/>
    <w:rsid w:val="00AA0CF7"/>
    <w:rsid w:val="00AA6F71"/>
    <w:rsid w:val="00AC010F"/>
    <w:rsid w:val="00AC2B3F"/>
    <w:rsid w:val="00AC4F13"/>
    <w:rsid w:val="00AF46F6"/>
    <w:rsid w:val="00B35224"/>
    <w:rsid w:val="00B3579C"/>
    <w:rsid w:val="00B75E24"/>
    <w:rsid w:val="00B76999"/>
    <w:rsid w:val="00B84EA4"/>
    <w:rsid w:val="00B8779B"/>
    <w:rsid w:val="00B91859"/>
    <w:rsid w:val="00BB41F2"/>
    <w:rsid w:val="00BC1F6E"/>
    <w:rsid w:val="00BE6E7F"/>
    <w:rsid w:val="00C1016C"/>
    <w:rsid w:val="00C21F27"/>
    <w:rsid w:val="00C247D0"/>
    <w:rsid w:val="00C31464"/>
    <w:rsid w:val="00C33852"/>
    <w:rsid w:val="00C3536F"/>
    <w:rsid w:val="00C377DC"/>
    <w:rsid w:val="00C555CC"/>
    <w:rsid w:val="00C947A2"/>
    <w:rsid w:val="00CC5681"/>
    <w:rsid w:val="00CC794B"/>
    <w:rsid w:val="00CE5E50"/>
    <w:rsid w:val="00D01F99"/>
    <w:rsid w:val="00D0373F"/>
    <w:rsid w:val="00D26267"/>
    <w:rsid w:val="00D26804"/>
    <w:rsid w:val="00D3338C"/>
    <w:rsid w:val="00D409D0"/>
    <w:rsid w:val="00D47688"/>
    <w:rsid w:val="00D57AC1"/>
    <w:rsid w:val="00D876ED"/>
    <w:rsid w:val="00D916C7"/>
    <w:rsid w:val="00D92F1A"/>
    <w:rsid w:val="00DA6D78"/>
    <w:rsid w:val="00DC44C0"/>
    <w:rsid w:val="00DC765A"/>
    <w:rsid w:val="00DD3176"/>
    <w:rsid w:val="00DE1435"/>
    <w:rsid w:val="00DE16C8"/>
    <w:rsid w:val="00E106E8"/>
    <w:rsid w:val="00E110FB"/>
    <w:rsid w:val="00E146DF"/>
    <w:rsid w:val="00E27A0B"/>
    <w:rsid w:val="00E35AAE"/>
    <w:rsid w:val="00E54AC9"/>
    <w:rsid w:val="00E61AB1"/>
    <w:rsid w:val="00E72302"/>
    <w:rsid w:val="00EA6190"/>
    <w:rsid w:val="00EB3773"/>
    <w:rsid w:val="00EB39CD"/>
    <w:rsid w:val="00EB3C3E"/>
    <w:rsid w:val="00EB62AB"/>
    <w:rsid w:val="00EB6DAD"/>
    <w:rsid w:val="00EC06BF"/>
    <w:rsid w:val="00EE2547"/>
    <w:rsid w:val="00EF3B49"/>
    <w:rsid w:val="00F0213E"/>
    <w:rsid w:val="00F27387"/>
    <w:rsid w:val="00F33540"/>
    <w:rsid w:val="00F434B9"/>
    <w:rsid w:val="00F56C25"/>
    <w:rsid w:val="00F606E0"/>
    <w:rsid w:val="00F7299F"/>
    <w:rsid w:val="00F75370"/>
    <w:rsid w:val="00F76041"/>
    <w:rsid w:val="00F83E10"/>
    <w:rsid w:val="00FA570D"/>
    <w:rsid w:val="00FB6A8F"/>
    <w:rsid w:val="00FB7283"/>
    <w:rsid w:val="00FC7D89"/>
    <w:rsid w:val="00FD0797"/>
    <w:rsid w:val="00FD30F2"/>
    <w:rsid w:val="00FD4B5D"/>
    <w:rsid w:val="00FD6602"/>
    <w:rsid w:val="00FD710B"/>
    <w:rsid w:val="00FE5CB3"/>
    <w:rsid w:val="00FF5683"/>
    <w:rsid w:val="00FF6F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6BC8A35"/>
  <w15:docId w15:val="{F1300A2C-B863-493E-A1C4-6AB8E4B9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64D9B"/>
    <w:pPr>
      <w:spacing w:after="0" w:line="240" w:lineRule="auto"/>
      <w:ind w:left="567" w:hanging="567"/>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564D9B"/>
    <w:rPr>
      <w:color w:val="0000FF"/>
      <w:u w:val="single"/>
    </w:rPr>
  </w:style>
  <w:style w:type="paragraph" w:styleId="Zkladntext">
    <w:name w:val="Body Text"/>
    <w:basedOn w:val="Normlny"/>
    <w:link w:val="ZkladntextChar"/>
    <w:rsid w:val="00564D9B"/>
    <w:pPr>
      <w:ind w:left="0" w:firstLine="0"/>
    </w:pPr>
  </w:style>
  <w:style w:type="character" w:customStyle="1" w:styleId="ZkladntextChar">
    <w:name w:val="Základný text Char"/>
    <w:basedOn w:val="Predvolenpsmoodseku"/>
    <w:link w:val="Zkladntext"/>
    <w:rsid w:val="00564D9B"/>
    <w:rPr>
      <w:rFonts w:ascii="Times New Roman" w:eastAsia="Times New Roman" w:hAnsi="Times New Roman" w:cs="Times New Roman"/>
      <w:szCs w:val="24"/>
      <w:lang w:eastAsia="sk-SK"/>
    </w:rPr>
  </w:style>
  <w:style w:type="paragraph" w:customStyle="1" w:styleId="EMEAEnBodyText">
    <w:name w:val="EMEA En Body Text"/>
    <w:basedOn w:val="Normlny"/>
    <w:rsid w:val="00564D9B"/>
    <w:pPr>
      <w:spacing w:before="120" w:after="120"/>
      <w:ind w:left="0" w:firstLine="0"/>
      <w:jc w:val="both"/>
    </w:pPr>
    <w:rPr>
      <w:szCs w:val="20"/>
      <w:lang w:val="en-US" w:eastAsia="en-US"/>
    </w:rPr>
  </w:style>
  <w:style w:type="character" w:styleId="Odkaznakomentr">
    <w:name w:val="annotation reference"/>
    <w:semiHidden/>
    <w:rsid w:val="00564D9B"/>
    <w:rPr>
      <w:sz w:val="16"/>
      <w:szCs w:val="16"/>
    </w:rPr>
  </w:style>
  <w:style w:type="paragraph" w:styleId="Textkomentra">
    <w:name w:val="annotation text"/>
    <w:basedOn w:val="Normlny"/>
    <w:link w:val="TextkomentraChar"/>
    <w:semiHidden/>
    <w:rsid w:val="00564D9B"/>
    <w:rPr>
      <w:sz w:val="20"/>
      <w:szCs w:val="20"/>
    </w:rPr>
  </w:style>
  <w:style w:type="character" w:customStyle="1" w:styleId="TextkomentraChar">
    <w:name w:val="Text komentára Char"/>
    <w:basedOn w:val="Predvolenpsmoodseku"/>
    <w:link w:val="Textkomentra"/>
    <w:semiHidden/>
    <w:rsid w:val="00564D9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564D9B"/>
    <w:rPr>
      <w:b/>
      <w:bCs/>
    </w:rPr>
  </w:style>
  <w:style w:type="character" w:customStyle="1" w:styleId="PredmetkomentraChar">
    <w:name w:val="Predmet komentára Char"/>
    <w:basedOn w:val="TextkomentraChar"/>
    <w:link w:val="Predmetkomentra"/>
    <w:semiHidden/>
    <w:rsid w:val="00564D9B"/>
    <w:rPr>
      <w:rFonts w:ascii="Times New Roman" w:eastAsia="Times New Roman" w:hAnsi="Times New Roman" w:cs="Times New Roman"/>
      <w:b/>
      <w:bCs/>
      <w:sz w:val="20"/>
      <w:szCs w:val="20"/>
      <w:lang w:eastAsia="sk-SK"/>
    </w:rPr>
  </w:style>
  <w:style w:type="paragraph" w:styleId="Textbubliny">
    <w:name w:val="Balloon Text"/>
    <w:basedOn w:val="Normlny"/>
    <w:link w:val="TextbublinyChar"/>
    <w:semiHidden/>
    <w:rsid w:val="00564D9B"/>
    <w:rPr>
      <w:rFonts w:ascii="Tahoma" w:hAnsi="Tahoma" w:cs="Tahoma"/>
      <w:sz w:val="16"/>
      <w:szCs w:val="16"/>
    </w:rPr>
  </w:style>
  <w:style w:type="character" w:customStyle="1" w:styleId="TextbublinyChar">
    <w:name w:val="Text bubliny Char"/>
    <w:basedOn w:val="Predvolenpsmoodseku"/>
    <w:link w:val="Textbubliny"/>
    <w:semiHidden/>
    <w:rsid w:val="00564D9B"/>
    <w:rPr>
      <w:rFonts w:ascii="Tahoma" w:eastAsia="Times New Roman" w:hAnsi="Tahoma" w:cs="Tahoma"/>
      <w:sz w:val="16"/>
      <w:szCs w:val="16"/>
      <w:lang w:eastAsia="sk-SK"/>
    </w:rPr>
  </w:style>
  <w:style w:type="character" w:customStyle="1" w:styleId="st1">
    <w:name w:val="st1"/>
    <w:rsid w:val="00564D9B"/>
  </w:style>
  <w:style w:type="character" w:styleId="Zvraznenie">
    <w:name w:val="Emphasis"/>
    <w:uiPriority w:val="20"/>
    <w:qFormat/>
    <w:rsid w:val="00564D9B"/>
    <w:rPr>
      <w:i/>
      <w:iCs/>
    </w:rPr>
  </w:style>
  <w:style w:type="paragraph" w:styleId="Normlnywebov">
    <w:name w:val="Normal (Web)"/>
    <w:basedOn w:val="Normlny"/>
    <w:uiPriority w:val="99"/>
    <w:unhideWhenUsed/>
    <w:rsid w:val="00564D9B"/>
    <w:pPr>
      <w:spacing w:after="100" w:afterAutospacing="1" w:line="336" w:lineRule="auto"/>
      <w:ind w:left="0" w:firstLine="0"/>
    </w:pPr>
    <w:rPr>
      <w:sz w:val="24"/>
      <w:lang w:val="en-US" w:eastAsia="en-US"/>
    </w:rPr>
  </w:style>
  <w:style w:type="paragraph" w:customStyle="1" w:styleId="Default">
    <w:name w:val="Default"/>
    <w:rsid w:val="00564D9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lavika">
    <w:name w:val="header"/>
    <w:basedOn w:val="Normlny"/>
    <w:link w:val="HlavikaChar"/>
    <w:uiPriority w:val="99"/>
    <w:unhideWhenUsed/>
    <w:rsid w:val="00564D9B"/>
    <w:pPr>
      <w:tabs>
        <w:tab w:val="center" w:pos="4703"/>
        <w:tab w:val="right" w:pos="9406"/>
      </w:tabs>
    </w:pPr>
  </w:style>
  <w:style w:type="character" w:customStyle="1" w:styleId="HlavikaChar">
    <w:name w:val="Hlavička Char"/>
    <w:basedOn w:val="Predvolenpsmoodseku"/>
    <w:link w:val="Hlavika"/>
    <w:uiPriority w:val="99"/>
    <w:rsid w:val="00564D9B"/>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564D9B"/>
    <w:pPr>
      <w:tabs>
        <w:tab w:val="center" w:pos="4703"/>
        <w:tab w:val="right" w:pos="9406"/>
      </w:tabs>
    </w:pPr>
  </w:style>
  <w:style w:type="character" w:customStyle="1" w:styleId="PtaChar">
    <w:name w:val="Päta Char"/>
    <w:basedOn w:val="Predvolenpsmoodseku"/>
    <w:link w:val="Pta"/>
    <w:uiPriority w:val="99"/>
    <w:rsid w:val="00564D9B"/>
    <w:rPr>
      <w:rFonts w:ascii="Times New Roman" w:eastAsia="Times New Roman" w:hAnsi="Times New Roman" w:cs="Times New Roman"/>
      <w:szCs w:val="24"/>
      <w:lang w:eastAsia="sk-SK"/>
    </w:rPr>
  </w:style>
  <w:style w:type="table" w:styleId="Mriekatabuky">
    <w:name w:val="Table Grid"/>
    <w:basedOn w:val="Normlnatabuka"/>
    <w:uiPriority w:val="59"/>
    <w:rsid w:val="00564D9B"/>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uiPriority w:val="99"/>
    <w:semiHidden/>
    <w:unhideWhenUsed/>
    <w:rsid w:val="00564D9B"/>
    <w:rPr>
      <w:color w:val="800080"/>
      <w:u w:val="single"/>
    </w:rPr>
  </w:style>
  <w:style w:type="paragraph" w:styleId="Revzia">
    <w:name w:val="Revision"/>
    <w:hidden/>
    <w:uiPriority w:val="99"/>
    <w:semiHidden/>
    <w:rsid w:val="00564D9B"/>
    <w:pPr>
      <w:spacing w:after="0" w:line="240" w:lineRule="auto"/>
    </w:pPr>
    <w:rPr>
      <w:rFonts w:ascii="Times New Roman" w:eastAsia="Times New Roman" w:hAnsi="Times New Roman" w:cs="Times New Roman"/>
      <w:szCs w:val="24"/>
      <w:lang w:eastAsia="sk-SK"/>
    </w:rPr>
  </w:style>
  <w:style w:type="paragraph" w:styleId="Odsekzoznamu">
    <w:name w:val="List Paragraph"/>
    <w:basedOn w:val="Normlny"/>
    <w:uiPriority w:val="34"/>
    <w:qFormat/>
    <w:rsid w:val="00B35224"/>
    <w:pPr>
      <w:ind w:left="720"/>
      <w:contextualSpacing/>
    </w:pPr>
  </w:style>
  <w:style w:type="paragraph" w:styleId="Zarkazkladnhotextu">
    <w:name w:val="Body Text Indent"/>
    <w:basedOn w:val="Normlny"/>
    <w:link w:val="ZarkazkladnhotextuChar"/>
    <w:rsid w:val="00F75370"/>
    <w:pPr>
      <w:spacing w:after="120"/>
      <w:ind w:left="283" w:firstLine="0"/>
    </w:pPr>
    <w:rPr>
      <w:sz w:val="24"/>
      <w:szCs w:val="20"/>
      <w:lang w:val="sl-SI" w:eastAsia="sl-SI"/>
    </w:rPr>
  </w:style>
  <w:style w:type="character" w:customStyle="1" w:styleId="ZarkazkladnhotextuChar">
    <w:name w:val="Zarážka základného textu Char"/>
    <w:basedOn w:val="Predvolenpsmoodseku"/>
    <w:link w:val="Zarkazkladnhotextu"/>
    <w:rsid w:val="00F75370"/>
    <w:rPr>
      <w:rFonts w:ascii="Times New Roman" w:eastAsia="Times New Roman" w:hAnsi="Times New Roman" w:cs="Times New Roman"/>
      <w:sz w:val="24"/>
      <w:szCs w:val="20"/>
      <w:lang w:val="sl-SI" w:eastAsia="sl-SI"/>
    </w:rPr>
  </w:style>
  <w:style w:type="character" w:customStyle="1" w:styleId="tlid-translation">
    <w:name w:val="tlid-translation"/>
    <w:rsid w:val="00F75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A0B36-1B0D-42AF-B60B-F88BEF325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15438</Words>
  <Characters>88002</Characters>
  <Application>Microsoft Office Word</Application>
  <DocSecurity>0</DocSecurity>
  <Lines>733</Lines>
  <Paragraphs>206</Paragraphs>
  <ScaleCrop>false</ScaleCrop>
  <HeadingPairs>
    <vt:vector size="2" baseType="variant">
      <vt:variant>
        <vt:lpstr>Názov</vt:lpstr>
      </vt:variant>
      <vt:variant>
        <vt:i4>1</vt:i4>
      </vt:variant>
    </vt:vector>
  </HeadingPairs>
  <TitlesOfParts>
    <vt:vector size="1" baseType="lpstr">
      <vt:lpstr/>
    </vt:vector>
  </TitlesOfParts>
  <Company>Krka, d.d.</Company>
  <LinksUpToDate>false</LinksUpToDate>
  <CharactersWithSpaces>103234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Drobkova, Tatiana</dc:creator>
  <cp:lastModifiedBy>Bolebruchová Monika</cp:lastModifiedBy>
  <cp:revision>2</cp:revision>
  <cp:lastPrinted>2019-07-25T08:27:00Z</cp:lastPrinted>
  <dcterms:created xsi:type="dcterms:W3CDTF">2019-07-25T08:27:00Z</dcterms:created>
  <dcterms:modified xsi:type="dcterms:W3CDTF">2019-07-25T08:27:00Z</dcterms:modified>
</cp:coreProperties>
</file>