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CE8F8" w14:textId="77777777" w:rsidR="00731B12" w:rsidRPr="002E6863" w:rsidRDefault="00731B12" w:rsidP="002E6863">
      <w:pPr>
        <w:pStyle w:val="Nagwek1"/>
        <w:jc w:val="both"/>
        <w:rPr>
          <w:sz w:val="22"/>
          <w:szCs w:val="22"/>
        </w:rPr>
      </w:pPr>
    </w:p>
    <w:p w14:paraId="0BB2336F" w14:textId="77777777" w:rsidR="00731B12" w:rsidRPr="002E6863" w:rsidRDefault="00AB2620" w:rsidP="002E6863">
      <w:pPr>
        <w:pStyle w:val="Nagwek1"/>
        <w:jc w:val="center"/>
        <w:rPr>
          <w:sz w:val="22"/>
          <w:szCs w:val="22"/>
        </w:rPr>
      </w:pPr>
      <w:r>
        <w:rPr>
          <w:b/>
          <w:sz w:val="22"/>
          <w:szCs w:val="22"/>
        </w:rPr>
        <w:t xml:space="preserve">SÚHRN CHARAKTERISTICKÝCH </w:t>
      </w:r>
      <w:r w:rsidR="00731B12" w:rsidRPr="002E6863">
        <w:rPr>
          <w:b/>
          <w:sz w:val="22"/>
          <w:szCs w:val="22"/>
        </w:rPr>
        <w:t>VLASTNOSTÍ LIEKU</w:t>
      </w:r>
    </w:p>
    <w:p w14:paraId="4E6BEBC9" w14:textId="77777777" w:rsidR="00731B12" w:rsidRPr="00EA37D1" w:rsidRDefault="00731B12" w:rsidP="002E6863">
      <w:pPr>
        <w:tabs>
          <w:tab w:val="left" w:pos="360"/>
        </w:tabs>
        <w:jc w:val="both"/>
        <w:rPr>
          <w:sz w:val="22"/>
          <w:szCs w:val="22"/>
        </w:rPr>
      </w:pPr>
    </w:p>
    <w:p w14:paraId="1D415C48" w14:textId="77777777" w:rsidR="008D293E" w:rsidRPr="00EA37D1" w:rsidRDefault="008D293E" w:rsidP="002E6863">
      <w:pPr>
        <w:tabs>
          <w:tab w:val="left" w:pos="360"/>
        </w:tabs>
        <w:jc w:val="both"/>
        <w:rPr>
          <w:sz w:val="22"/>
          <w:szCs w:val="22"/>
        </w:rPr>
      </w:pPr>
    </w:p>
    <w:p w14:paraId="6F7DFCF6" w14:textId="77777777" w:rsidR="00731B12" w:rsidRPr="002E6863" w:rsidRDefault="00EA37D1" w:rsidP="002E6863">
      <w:pPr>
        <w:tabs>
          <w:tab w:val="left" w:pos="567"/>
        </w:tabs>
        <w:jc w:val="both"/>
        <w:rPr>
          <w:b/>
          <w:sz w:val="22"/>
          <w:szCs w:val="22"/>
        </w:rPr>
      </w:pPr>
      <w:r>
        <w:rPr>
          <w:b/>
          <w:sz w:val="22"/>
          <w:szCs w:val="22"/>
        </w:rPr>
        <w:t>1.</w:t>
      </w:r>
      <w:r w:rsidR="008D293E" w:rsidRPr="002E6863">
        <w:rPr>
          <w:b/>
          <w:sz w:val="22"/>
          <w:szCs w:val="22"/>
        </w:rPr>
        <w:tab/>
      </w:r>
      <w:r w:rsidR="00731B12" w:rsidRPr="002E6863">
        <w:rPr>
          <w:b/>
          <w:sz w:val="22"/>
          <w:szCs w:val="22"/>
        </w:rPr>
        <w:t>NÁZOV LIEKU</w:t>
      </w:r>
    </w:p>
    <w:p w14:paraId="4F5E5C28" w14:textId="77777777" w:rsidR="008D293E" w:rsidRPr="0079702A" w:rsidRDefault="008D293E" w:rsidP="002E6863">
      <w:pPr>
        <w:numPr>
          <w:ilvl w:val="12"/>
          <w:numId w:val="0"/>
        </w:numPr>
        <w:jc w:val="both"/>
        <w:rPr>
          <w:sz w:val="22"/>
          <w:szCs w:val="22"/>
        </w:rPr>
      </w:pPr>
    </w:p>
    <w:p w14:paraId="72024EDC" w14:textId="77777777" w:rsidR="00C65BEB" w:rsidRPr="00A33C03" w:rsidRDefault="008D722D" w:rsidP="002E6863">
      <w:pPr>
        <w:numPr>
          <w:ilvl w:val="12"/>
          <w:numId w:val="0"/>
        </w:numPr>
        <w:jc w:val="both"/>
        <w:rPr>
          <w:sz w:val="22"/>
          <w:szCs w:val="22"/>
        </w:rPr>
      </w:pPr>
      <w:r w:rsidRPr="00A33C03">
        <w:rPr>
          <w:sz w:val="22"/>
          <w:szCs w:val="22"/>
        </w:rPr>
        <w:t>BISEPTOL 480</w:t>
      </w:r>
      <w:r w:rsidR="008D293E" w:rsidRPr="00A33C03">
        <w:rPr>
          <w:sz w:val="22"/>
          <w:szCs w:val="22"/>
        </w:rPr>
        <w:t xml:space="preserve"> </w:t>
      </w:r>
    </w:p>
    <w:p w14:paraId="5D983014" w14:textId="77777777" w:rsidR="00731B12" w:rsidRPr="002E6863" w:rsidRDefault="00A33C03" w:rsidP="002E6863">
      <w:pPr>
        <w:numPr>
          <w:ilvl w:val="12"/>
          <w:numId w:val="0"/>
        </w:numPr>
        <w:jc w:val="both"/>
        <w:rPr>
          <w:sz w:val="22"/>
          <w:szCs w:val="22"/>
        </w:rPr>
      </w:pPr>
      <w:r>
        <w:rPr>
          <w:sz w:val="22"/>
          <w:szCs w:val="22"/>
        </w:rPr>
        <w:t>80 mg/</w:t>
      </w:r>
      <w:r w:rsidR="00893F0F">
        <w:rPr>
          <w:sz w:val="22"/>
          <w:szCs w:val="22"/>
        </w:rPr>
        <w:t>ml +</w:t>
      </w:r>
      <w:r>
        <w:rPr>
          <w:sz w:val="22"/>
          <w:szCs w:val="22"/>
        </w:rPr>
        <w:t>16 mg</w:t>
      </w:r>
      <w:r w:rsidR="00893F0F">
        <w:rPr>
          <w:sz w:val="22"/>
          <w:szCs w:val="22"/>
        </w:rPr>
        <w:t>/ml</w:t>
      </w:r>
      <w:r>
        <w:rPr>
          <w:sz w:val="22"/>
          <w:szCs w:val="22"/>
        </w:rPr>
        <w:t xml:space="preserve">, </w:t>
      </w:r>
      <w:r w:rsidR="00731B12" w:rsidRPr="002E6863">
        <w:rPr>
          <w:sz w:val="22"/>
          <w:szCs w:val="22"/>
        </w:rPr>
        <w:t xml:space="preserve">infúzny koncentrát </w:t>
      </w:r>
    </w:p>
    <w:p w14:paraId="3279474F" w14:textId="77777777" w:rsidR="008D293E" w:rsidRPr="0079702A" w:rsidRDefault="008D293E" w:rsidP="002E6863">
      <w:pPr>
        <w:tabs>
          <w:tab w:val="left" w:pos="360"/>
        </w:tabs>
        <w:jc w:val="both"/>
        <w:rPr>
          <w:sz w:val="22"/>
          <w:szCs w:val="22"/>
        </w:rPr>
      </w:pPr>
    </w:p>
    <w:p w14:paraId="71B16595" w14:textId="77777777" w:rsidR="00963B52" w:rsidRPr="0079702A" w:rsidRDefault="00963B52" w:rsidP="002E6863">
      <w:pPr>
        <w:tabs>
          <w:tab w:val="left" w:pos="360"/>
        </w:tabs>
        <w:jc w:val="both"/>
        <w:rPr>
          <w:sz w:val="22"/>
          <w:szCs w:val="22"/>
        </w:rPr>
      </w:pPr>
    </w:p>
    <w:p w14:paraId="3D92F4B3" w14:textId="77777777" w:rsidR="00731B12" w:rsidRPr="002E6863" w:rsidRDefault="00EA37D1" w:rsidP="002E6863">
      <w:pPr>
        <w:tabs>
          <w:tab w:val="left" w:pos="567"/>
        </w:tabs>
        <w:jc w:val="both"/>
        <w:rPr>
          <w:b/>
          <w:sz w:val="22"/>
          <w:szCs w:val="22"/>
        </w:rPr>
      </w:pPr>
      <w:r>
        <w:rPr>
          <w:b/>
          <w:sz w:val="22"/>
          <w:szCs w:val="22"/>
        </w:rPr>
        <w:t>2.</w:t>
      </w:r>
      <w:r w:rsidR="008D293E" w:rsidRPr="002E6863">
        <w:rPr>
          <w:b/>
          <w:sz w:val="22"/>
          <w:szCs w:val="22"/>
        </w:rPr>
        <w:tab/>
      </w:r>
      <w:r w:rsidR="00731B12" w:rsidRPr="002E6863">
        <w:rPr>
          <w:b/>
          <w:sz w:val="22"/>
          <w:szCs w:val="22"/>
        </w:rPr>
        <w:t>KVALITATÍVNE A KVANTITATÍVNE ZLOŽENIE</w:t>
      </w:r>
    </w:p>
    <w:p w14:paraId="49C23C56" w14:textId="77777777" w:rsidR="008D293E" w:rsidRPr="002E6863" w:rsidRDefault="008D293E" w:rsidP="002E6863">
      <w:pPr>
        <w:numPr>
          <w:ilvl w:val="12"/>
          <w:numId w:val="0"/>
        </w:numPr>
        <w:jc w:val="both"/>
        <w:rPr>
          <w:sz w:val="22"/>
          <w:szCs w:val="22"/>
        </w:rPr>
      </w:pPr>
    </w:p>
    <w:p w14:paraId="3B9189C2" w14:textId="61E01B4C" w:rsidR="00731B12" w:rsidRPr="002E6863" w:rsidRDefault="00731B12" w:rsidP="00EA37D1">
      <w:pPr>
        <w:numPr>
          <w:ilvl w:val="12"/>
          <w:numId w:val="0"/>
        </w:numPr>
        <w:rPr>
          <w:sz w:val="22"/>
          <w:szCs w:val="22"/>
        </w:rPr>
      </w:pPr>
      <w:r w:rsidRPr="002E6863">
        <w:rPr>
          <w:sz w:val="22"/>
          <w:szCs w:val="22"/>
        </w:rPr>
        <w:t xml:space="preserve">1 ml </w:t>
      </w:r>
      <w:r w:rsidR="007329FE">
        <w:rPr>
          <w:sz w:val="22"/>
          <w:szCs w:val="22"/>
        </w:rPr>
        <w:t>koncentrátu</w:t>
      </w:r>
      <w:r w:rsidRPr="002E6863">
        <w:rPr>
          <w:sz w:val="22"/>
          <w:szCs w:val="22"/>
        </w:rPr>
        <w:t xml:space="preserve"> obsahuje 80 mg </w:t>
      </w:r>
      <w:r w:rsidR="008D293E" w:rsidRPr="002E6863">
        <w:rPr>
          <w:sz w:val="22"/>
          <w:szCs w:val="22"/>
        </w:rPr>
        <w:t xml:space="preserve">sulfametoxazolu a </w:t>
      </w:r>
      <w:r w:rsidR="00AB2620">
        <w:rPr>
          <w:sz w:val="22"/>
          <w:szCs w:val="22"/>
        </w:rPr>
        <w:t xml:space="preserve">16 mg </w:t>
      </w:r>
      <w:r w:rsidR="008D293E" w:rsidRPr="002E6863">
        <w:rPr>
          <w:sz w:val="22"/>
          <w:szCs w:val="22"/>
        </w:rPr>
        <w:t>trimetoprimu</w:t>
      </w:r>
      <w:r w:rsidR="008D293E" w:rsidRPr="002E6863">
        <w:rPr>
          <w:i/>
          <w:sz w:val="22"/>
          <w:szCs w:val="22"/>
        </w:rPr>
        <w:t xml:space="preserve">, </w:t>
      </w:r>
      <w:r w:rsidR="008D293E" w:rsidRPr="002E6863">
        <w:rPr>
          <w:sz w:val="22"/>
          <w:szCs w:val="22"/>
        </w:rPr>
        <w:t>t</w:t>
      </w:r>
      <w:r w:rsidR="00F00777">
        <w:rPr>
          <w:sz w:val="22"/>
          <w:szCs w:val="22"/>
        </w:rPr>
        <w:t>.</w:t>
      </w:r>
      <w:r w:rsidR="008D293E" w:rsidRPr="002E6863">
        <w:rPr>
          <w:sz w:val="22"/>
          <w:szCs w:val="22"/>
        </w:rPr>
        <w:t>j.</w:t>
      </w:r>
      <w:r w:rsidRPr="002E6863">
        <w:rPr>
          <w:sz w:val="22"/>
          <w:szCs w:val="22"/>
        </w:rPr>
        <w:t xml:space="preserve"> 96 mg </w:t>
      </w:r>
      <w:r w:rsidR="008D293E" w:rsidRPr="002E6863">
        <w:rPr>
          <w:sz w:val="22"/>
          <w:szCs w:val="22"/>
        </w:rPr>
        <w:t>kotrimoxazolu</w:t>
      </w:r>
      <w:r w:rsidR="00D3510B" w:rsidRPr="002E6863">
        <w:rPr>
          <w:sz w:val="22"/>
          <w:szCs w:val="22"/>
        </w:rPr>
        <w:t>.</w:t>
      </w:r>
    </w:p>
    <w:p w14:paraId="595E9B23" w14:textId="77777777" w:rsidR="008D293E" w:rsidRPr="002E6863" w:rsidRDefault="008D293E" w:rsidP="00EA37D1">
      <w:pPr>
        <w:numPr>
          <w:ilvl w:val="12"/>
          <w:numId w:val="0"/>
        </w:numPr>
        <w:rPr>
          <w:sz w:val="22"/>
          <w:szCs w:val="22"/>
        </w:rPr>
      </w:pPr>
    </w:p>
    <w:p w14:paraId="1D726861" w14:textId="77777777" w:rsidR="007329FE" w:rsidRPr="00787C8E" w:rsidRDefault="008D722D" w:rsidP="00EA37D1">
      <w:pPr>
        <w:numPr>
          <w:ilvl w:val="12"/>
          <w:numId w:val="0"/>
        </w:numPr>
        <w:rPr>
          <w:sz w:val="22"/>
          <w:szCs w:val="22"/>
          <w:u w:val="single"/>
        </w:rPr>
      </w:pPr>
      <w:r w:rsidRPr="000C7D6A">
        <w:rPr>
          <w:sz w:val="22"/>
          <w:szCs w:val="22"/>
          <w:u w:val="single"/>
        </w:rPr>
        <w:t>Pomocné látky</w:t>
      </w:r>
      <w:r w:rsidR="002E6863" w:rsidRPr="00787C8E">
        <w:rPr>
          <w:sz w:val="22"/>
          <w:szCs w:val="22"/>
          <w:u w:val="single"/>
        </w:rPr>
        <w:t xml:space="preserve"> so známym účinkom</w:t>
      </w:r>
      <w:r w:rsidR="008D293E" w:rsidRPr="00787C8E">
        <w:rPr>
          <w:sz w:val="22"/>
          <w:szCs w:val="22"/>
          <w:u w:val="single"/>
        </w:rPr>
        <w:t xml:space="preserve">: </w:t>
      </w:r>
    </w:p>
    <w:p w14:paraId="491B22D6" w14:textId="466EE9F1" w:rsidR="008D293E" w:rsidRPr="002E6863" w:rsidRDefault="007329FE" w:rsidP="00EA37D1">
      <w:pPr>
        <w:numPr>
          <w:ilvl w:val="12"/>
          <w:numId w:val="0"/>
        </w:numPr>
        <w:rPr>
          <w:sz w:val="22"/>
          <w:szCs w:val="22"/>
        </w:rPr>
      </w:pPr>
      <w:r w:rsidRPr="00787C8E">
        <w:rPr>
          <w:sz w:val="22"/>
          <w:szCs w:val="22"/>
        </w:rPr>
        <w:t xml:space="preserve">Tento liek obsahuje v 1 ml: propylénglykol (400 mg), </w:t>
      </w:r>
      <w:r w:rsidR="008D293E" w:rsidRPr="00787C8E">
        <w:rPr>
          <w:sz w:val="22"/>
          <w:szCs w:val="22"/>
        </w:rPr>
        <w:t>benzyla</w:t>
      </w:r>
      <w:r w:rsidR="006C2B04" w:rsidRPr="00787C8E">
        <w:rPr>
          <w:sz w:val="22"/>
          <w:szCs w:val="22"/>
        </w:rPr>
        <w:t>l</w:t>
      </w:r>
      <w:r w:rsidR="008D293E" w:rsidRPr="00787C8E">
        <w:rPr>
          <w:sz w:val="22"/>
          <w:szCs w:val="22"/>
        </w:rPr>
        <w:t xml:space="preserve">kohol </w:t>
      </w:r>
      <w:r w:rsidRPr="00787C8E">
        <w:rPr>
          <w:sz w:val="22"/>
          <w:szCs w:val="22"/>
        </w:rPr>
        <w:t>(</w:t>
      </w:r>
      <w:r w:rsidR="008D293E" w:rsidRPr="00787C8E">
        <w:rPr>
          <w:sz w:val="22"/>
          <w:szCs w:val="22"/>
        </w:rPr>
        <w:t>15 mg</w:t>
      </w:r>
      <w:r w:rsidRPr="00787C8E">
        <w:rPr>
          <w:sz w:val="22"/>
          <w:szCs w:val="22"/>
        </w:rPr>
        <w:t>)</w:t>
      </w:r>
      <w:r w:rsidR="008D293E" w:rsidRPr="00787C8E">
        <w:rPr>
          <w:sz w:val="22"/>
          <w:szCs w:val="22"/>
        </w:rPr>
        <w:t xml:space="preserve">, disiričitan sodný </w:t>
      </w:r>
      <w:r w:rsidRPr="00787C8E">
        <w:rPr>
          <w:sz w:val="22"/>
          <w:szCs w:val="22"/>
        </w:rPr>
        <w:t>(E</w:t>
      </w:r>
      <w:r w:rsidR="00AB2620" w:rsidRPr="00787C8E">
        <w:rPr>
          <w:sz w:val="22"/>
          <w:szCs w:val="22"/>
        </w:rPr>
        <w:t> </w:t>
      </w:r>
      <w:r w:rsidRPr="00787C8E">
        <w:rPr>
          <w:sz w:val="22"/>
          <w:szCs w:val="22"/>
        </w:rPr>
        <w:t>223) (</w:t>
      </w:r>
      <w:r w:rsidR="008D293E" w:rsidRPr="00787C8E">
        <w:rPr>
          <w:sz w:val="22"/>
          <w:szCs w:val="22"/>
        </w:rPr>
        <w:t>1 mg</w:t>
      </w:r>
      <w:r w:rsidRPr="000C7D6A">
        <w:rPr>
          <w:sz w:val="22"/>
          <w:szCs w:val="22"/>
        </w:rPr>
        <w:t>), etanol 96 % (100 mg), sodík (0,3</w:t>
      </w:r>
      <w:r w:rsidR="00777E63">
        <w:rPr>
          <w:sz w:val="22"/>
          <w:szCs w:val="22"/>
        </w:rPr>
        <w:t>4</w:t>
      </w:r>
      <w:r w:rsidRPr="000C7D6A">
        <w:rPr>
          <w:sz w:val="22"/>
          <w:szCs w:val="22"/>
        </w:rPr>
        <w:t xml:space="preserve"> mmol) (7,</w:t>
      </w:r>
      <w:r w:rsidR="00777E63">
        <w:rPr>
          <w:sz w:val="22"/>
          <w:szCs w:val="22"/>
        </w:rPr>
        <w:t>8</w:t>
      </w:r>
      <w:r w:rsidRPr="000C7D6A">
        <w:rPr>
          <w:sz w:val="22"/>
          <w:szCs w:val="22"/>
        </w:rPr>
        <w:t xml:space="preserve"> mg)</w:t>
      </w:r>
      <w:r w:rsidR="008D293E" w:rsidRPr="000C7D6A">
        <w:rPr>
          <w:sz w:val="22"/>
          <w:szCs w:val="22"/>
        </w:rPr>
        <w:t>.</w:t>
      </w:r>
    </w:p>
    <w:p w14:paraId="31143E2A" w14:textId="77777777" w:rsidR="008D293E" w:rsidRPr="002E6863" w:rsidRDefault="008D293E" w:rsidP="00EA37D1">
      <w:pPr>
        <w:numPr>
          <w:ilvl w:val="12"/>
          <w:numId w:val="0"/>
        </w:numPr>
        <w:rPr>
          <w:sz w:val="22"/>
          <w:szCs w:val="22"/>
        </w:rPr>
      </w:pPr>
    </w:p>
    <w:p w14:paraId="70A1A39A" w14:textId="77777777" w:rsidR="00731B12" w:rsidRPr="001C19B1" w:rsidRDefault="008D293E" w:rsidP="002E6863">
      <w:pPr>
        <w:numPr>
          <w:ilvl w:val="12"/>
          <w:numId w:val="0"/>
        </w:numPr>
        <w:jc w:val="both"/>
        <w:rPr>
          <w:sz w:val="22"/>
          <w:szCs w:val="22"/>
        </w:rPr>
      </w:pPr>
      <w:r w:rsidRPr="001C19B1">
        <w:rPr>
          <w:sz w:val="22"/>
          <w:szCs w:val="22"/>
        </w:rPr>
        <w:t>Úplný zoznam pomocných látok,</w:t>
      </w:r>
      <w:r w:rsidR="008D722D" w:rsidRPr="001C19B1">
        <w:rPr>
          <w:sz w:val="22"/>
          <w:szCs w:val="22"/>
        </w:rPr>
        <w:t xml:space="preserve"> pozri</w:t>
      </w:r>
      <w:r w:rsidR="00731B12" w:rsidRPr="001C19B1">
        <w:rPr>
          <w:sz w:val="22"/>
          <w:szCs w:val="22"/>
        </w:rPr>
        <w:t xml:space="preserve"> časť 6.1.</w:t>
      </w:r>
    </w:p>
    <w:p w14:paraId="040E3CB1" w14:textId="77777777" w:rsidR="00731B12" w:rsidRPr="00EA37D1" w:rsidRDefault="00731B12" w:rsidP="002E6863">
      <w:pPr>
        <w:tabs>
          <w:tab w:val="left" w:pos="360"/>
        </w:tabs>
        <w:jc w:val="both"/>
        <w:rPr>
          <w:sz w:val="22"/>
          <w:szCs w:val="22"/>
        </w:rPr>
      </w:pPr>
    </w:p>
    <w:p w14:paraId="313AFB96" w14:textId="77777777" w:rsidR="008D293E" w:rsidRPr="00EA37D1" w:rsidRDefault="008D293E" w:rsidP="002E6863">
      <w:pPr>
        <w:tabs>
          <w:tab w:val="left" w:pos="360"/>
        </w:tabs>
        <w:jc w:val="both"/>
        <w:rPr>
          <w:sz w:val="22"/>
          <w:szCs w:val="22"/>
        </w:rPr>
      </w:pPr>
    </w:p>
    <w:p w14:paraId="3ED2868E" w14:textId="77777777" w:rsidR="00731B12" w:rsidRPr="002E6863" w:rsidRDefault="00EA37D1" w:rsidP="002E6863">
      <w:pPr>
        <w:tabs>
          <w:tab w:val="left" w:pos="567"/>
        </w:tabs>
        <w:jc w:val="both"/>
        <w:rPr>
          <w:b/>
          <w:sz w:val="22"/>
          <w:szCs w:val="22"/>
        </w:rPr>
      </w:pPr>
      <w:r>
        <w:rPr>
          <w:b/>
          <w:sz w:val="22"/>
          <w:szCs w:val="22"/>
        </w:rPr>
        <w:t>3.</w:t>
      </w:r>
      <w:r w:rsidR="008D293E" w:rsidRPr="002E6863">
        <w:rPr>
          <w:b/>
          <w:sz w:val="22"/>
          <w:szCs w:val="22"/>
        </w:rPr>
        <w:tab/>
      </w:r>
      <w:r w:rsidR="00731B12" w:rsidRPr="002E6863">
        <w:rPr>
          <w:b/>
          <w:sz w:val="22"/>
          <w:szCs w:val="22"/>
        </w:rPr>
        <w:t>LIEKOVÁ FORMA</w:t>
      </w:r>
    </w:p>
    <w:p w14:paraId="2D80BFFE" w14:textId="77777777" w:rsidR="008D293E" w:rsidRPr="002E6863" w:rsidRDefault="008D293E" w:rsidP="002E6863">
      <w:pPr>
        <w:numPr>
          <w:ilvl w:val="12"/>
          <w:numId w:val="0"/>
        </w:numPr>
        <w:jc w:val="both"/>
        <w:rPr>
          <w:sz w:val="22"/>
          <w:szCs w:val="22"/>
        </w:rPr>
      </w:pPr>
    </w:p>
    <w:p w14:paraId="3F5234E9" w14:textId="77777777" w:rsidR="00731B12" w:rsidRPr="002E6863" w:rsidRDefault="008D722D" w:rsidP="002E6863">
      <w:pPr>
        <w:numPr>
          <w:ilvl w:val="12"/>
          <w:numId w:val="0"/>
        </w:numPr>
        <w:jc w:val="both"/>
        <w:rPr>
          <w:sz w:val="22"/>
          <w:szCs w:val="22"/>
        </w:rPr>
      </w:pPr>
      <w:r w:rsidRPr="002E6863">
        <w:rPr>
          <w:sz w:val="22"/>
          <w:szCs w:val="22"/>
        </w:rPr>
        <w:t>Infúzny koncentrát</w:t>
      </w:r>
    </w:p>
    <w:p w14:paraId="4FC4ACFB" w14:textId="77777777" w:rsidR="005E7435" w:rsidRPr="002E6863" w:rsidRDefault="005E7435" w:rsidP="002E6863">
      <w:pPr>
        <w:numPr>
          <w:ilvl w:val="12"/>
          <w:numId w:val="0"/>
        </w:numPr>
        <w:jc w:val="both"/>
        <w:rPr>
          <w:sz w:val="22"/>
          <w:szCs w:val="22"/>
        </w:rPr>
      </w:pPr>
    </w:p>
    <w:p w14:paraId="472CE6F6" w14:textId="77777777" w:rsidR="00731B12" w:rsidRPr="002E6863" w:rsidRDefault="005E7435" w:rsidP="002E6863">
      <w:pPr>
        <w:numPr>
          <w:ilvl w:val="12"/>
          <w:numId w:val="0"/>
        </w:numPr>
        <w:jc w:val="both"/>
        <w:rPr>
          <w:sz w:val="22"/>
          <w:szCs w:val="22"/>
        </w:rPr>
      </w:pPr>
      <w:r w:rsidRPr="002E6863">
        <w:rPr>
          <w:sz w:val="22"/>
          <w:szCs w:val="22"/>
        </w:rPr>
        <w:t>B</w:t>
      </w:r>
      <w:r w:rsidR="006C2B04" w:rsidRPr="002E6863">
        <w:rPr>
          <w:sz w:val="22"/>
          <w:szCs w:val="22"/>
        </w:rPr>
        <w:t xml:space="preserve">ezfarebný </w:t>
      </w:r>
      <w:r w:rsidR="00C86CFE" w:rsidRPr="002E6863">
        <w:rPr>
          <w:sz w:val="22"/>
          <w:szCs w:val="22"/>
        </w:rPr>
        <w:t>alebo</w:t>
      </w:r>
      <w:r w:rsidR="006C2B04" w:rsidRPr="002E6863">
        <w:rPr>
          <w:sz w:val="22"/>
          <w:szCs w:val="22"/>
        </w:rPr>
        <w:t xml:space="preserve"> slabo žltkastý roztok</w:t>
      </w:r>
    </w:p>
    <w:p w14:paraId="20A533AD" w14:textId="77777777" w:rsidR="008D293E" w:rsidRPr="002E6863" w:rsidRDefault="008D293E" w:rsidP="002E6863">
      <w:pPr>
        <w:numPr>
          <w:ilvl w:val="12"/>
          <w:numId w:val="0"/>
        </w:numPr>
        <w:jc w:val="both"/>
        <w:rPr>
          <w:sz w:val="22"/>
          <w:szCs w:val="22"/>
        </w:rPr>
      </w:pPr>
    </w:p>
    <w:p w14:paraId="7CBC322F" w14:textId="77777777" w:rsidR="00C70A38" w:rsidRPr="002E6863" w:rsidRDefault="00C70A38" w:rsidP="002E6863">
      <w:pPr>
        <w:numPr>
          <w:ilvl w:val="12"/>
          <w:numId w:val="0"/>
        </w:numPr>
        <w:jc w:val="both"/>
        <w:rPr>
          <w:sz w:val="22"/>
          <w:szCs w:val="22"/>
        </w:rPr>
      </w:pPr>
    </w:p>
    <w:p w14:paraId="5ADE3A12" w14:textId="77777777" w:rsidR="00731B12" w:rsidRPr="002E6863" w:rsidRDefault="00EA37D1" w:rsidP="002E6863">
      <w:pPr>
        <w:tabs>
          <w:tab w:val="left" w:pos="567"/>
        </w:tabs>
        <w:jc w:val="both"/>
        <w:rPr>
          <w:b/>
          <w:sz w:val="22"/>
          <w:szCs w:val="22"/>
        </w:rPr>
      </w:pPr>
      <w:r>
        <w:rPr>
          <w:b/>
          <w:sz w:val="22"/>
          <w:szCs w:val="22"/>
        </w:rPr>
        <w:t>4.</w:t>
      </w:r>
      <w:r w:rsidR="008D293E" w:rsidRPr="002E6863">
        <w:rPr>
          <w:b/>
          <w:sz w:val="22"/>
          <w:szCs w:val="22"/>
        </w:rPr>
        <w:tab/>
      </w:r>
      <w:r w:rsidR="00731B12" w:rsidRPr="002E6863">
        <w:rPr>
          <w:b/>
          <w:sz w:val="22"/>
          <w:szCs w:val="22"/>
        </w:rPr>
        <w:t>KLINICKÉ ÚDAJE</w:t>
      </w:r>
    </w:p>
    <w:p w14:paraId="1A66AE44" w14:textId="77777777" w:rsidR="008D293E" w:rsidRPr="00A90137" w:rsidRDefault="008D293E" w:rsidP="002E6863">
      <w:pPr>
        <w:tabs>
          <w:tab w:val="left" w:pos="420"/>
        </w:tabs>
        <w:jc w:val="both"/>
        <w:rPr>
          <w:bCs/>
          <w:sz w:val="22"/>
          <w:szCs w:val="22"/>
        </w:rPr>
      </w:pPr>
    </w:p>
    <w:p w14:paraId="7038257E" w14:textId="6D840C4C" w:rsidR="00731B12" w:rsidRPr="002E6863" w:rsidRDefault="008D293E" w:rsidP="002E6863">
      <w:pPr>
        <w:tabs>
          <w:tab w:val="left" w:pos="567"/>
        </w:tabs>
        <w:jc w:val="both"/>
        <w:rPr>
          <w:b/>
          <w:sz w:val="22"/>
          <w:szCs w:val="22"/>
        </w:rPr>
      </w:pPr>
      <w:r w:rsidRPr="002E6863">
        <w:rPr>
          <w:b/>
          <w:sz w:val="22"/>
          <w:szCs w:val="22"/>
        </w:rPr>
        <w:t>4.1</w:t>
      </w:r>
      <w:r w:rsidRPr="002E6863">
        <w:rPr>
          <w:b/>
          <w:sz w:val="22"/>
          <w:szCs w:val="22"/>
        </w:rPr>
        <w:tab/>
      </w:r>
      <w:r w:rsidR="00EA37D1">
        <w:rPr>
          <w:b/>
          <w:sz w:val="22"/>
          <w:szCs w:val="22"/>
        </w:rPr>
        <w:t xml:space="preserve">Terapeutické </w:t>
      </w:r>
      <w:r w:rsidR="00731B12" w:rsidRPr="002E6863">
        <w:rPr>
          <w:b/>
          <w:sz w:val="22"/>
          <w:szCs w:val="22"/>
        </w:rPr>
        <w:t>indikácie</w:t>
      </w:r>
    </w:p>
    <w:p w14:paraId="350334DB" w14:textId="77777777" w:rsidR="008D293E" w:rsidRPr="00A90137" w:rsidRDefault="008D293E" w:rsidP="002E6863">
      <w:pPr>
        <w:tabs>
          <w:tab w:val="left" w:pos="567"/>
        </w:tabs>
        <w:jc w:val="both"/>
        <w:rPr>
          <w:bCs/>
          <w:sz w:val="22"/>
          <w:szCs w:val="22"/>
        </w:rPr>
      </w:pPr>
    </w:p>
    <w:p w14:paraId="570F868E" w14:textId="77777777" w:rsidR="007329FE" w:rsidRDefault="00DA2F6F" w:rsidP="00A90137">
      <w:pPr>
        <w:numPr>
          <w:ilvl w:val="12"/>
          <w:numId w:val="0"/>
        </w:numPr>
        <w:rPr>
          <w:sz w:val="22"/>
          <w:szCs w:val="22"/>
        </w:rPr>
      </w:pPr>
      <w:r>
        <w:rPr>
          <w:sz w:val="22"/>
          <w:szCs w:val="22"/>
        </w:rPr>
        <w:t>BISEPTOL</w:t>
      </w:r>
      <w:r w:rsidR="007329FE">
        <w:rPr>
          <w:sz w:val="22"/>
          <w:szCs w:val="22"/>
        </w:rPr>
        <w:t xml:space="preserve"> 480 je indikovaný na liečbu nasledovných infekcií </w:t>
      </w:r>
      <w:r w:rsidR="00517409">
        <w:rPr>
          <w:sz w:val="22"/>
          <w:szCs w:val="22"/>
        </w:rPr>
        <w:t>vyvolaných citli</w:t>
      </w:r>
      <w:r w:rsidR="007165EF">
        <w:rPr>
          <w:sz w:val="22"/>
          <w:szCs w:val="22"/>
        </w:rPr>
        <w:t>v</w:t>
      </w:r>
      <w:r w:rsidR="00517409">
        <w:rPr>
          <w:sz w:val="22"/>
          <w:szCs w:val="22"/>
        </w:rPr>
        <w:t>ý</w:t>
      </w:r>
      <w:r w:rsidR="007165EF">
        <w:rPr>
          <w:sz w:val="22"/>
          <w:szCs w:val="22"/>
        </w:rPr>
        <w:t>mi organizmami (pozri časť 5.1)</w:t>
      </w:r>
      <w:r>
        <w:rPr>
          <w:sz w:val="22"/>
          <w:szCs w:val="22"/>
        </w:rPr>
        <w:t>.</w:t>
      </w:r>
    </w:p>
    <w:p w14:paraId="09A9DCFE" w14:textId="77777777" w:rsidR="008D205A" w:rsidRPr="00042E21" w:rsidRDefault="00DA2F6F" w:rsidP="001C19B1">
      <w:pPr>
        <w:rPr>
          <w:sz w:val="22"/>
          <w:szCs w:val="22"/>
        </w:rPr>
      </w:pPr>
      <w:r>
        <w:rPr>
          <w:sz w:val="22"/>
          <w:szCs w:val="22"/>
        </w:rPr>
        <w:t>BISEPTOL</w:t>
      </w:r>
      <w:r w:rsidR="008D205A">
        <w:rPr>
          <w:sz w:val="22"/>
          <w:szCs w:val="22"/>
        </w:rPr>
        <w:t xml:space="preserve"> 480 je indikovaný dospelým, dospievajúcim</w:t>
      </w:r>
      <w:r w:rsidR="00F77ED3">
        <w:rPr>
          <w:sz w:val="22"/>
          <w:szCs w:val="22"/>
        </w:rPr>
        <w:t xml:space="preserve"> od 12 do 18 rokov</w:t>
      </w:r>
      <w:r w:rsidR="008D205A">
        <w:rPr>
          <w:sz w:val="22"/>
          <w:szCs w:val="22"/>
        </w:rPr>
        <w:t>, deťom a </w:t>
      </w:r>
      <w:r w:rsidR="007D2C77">
        <w:rPr>
          <w:sz w:val="22"/>
          <w:szCs w:val="22"/>
        </w:rPr>
        <w:t>dojčatám</w:t>
      </w:r>
      <w:r w:rsidR="008D205A">
        <w:rPr>
          <w:sz w:val="22"/>
          <w:szCs w:val="22"/>
        </w:rPr>
        <w:t xml:space="preserve"> starším ako 6 týždňov.</w:t>
      </w:r>
    </w:p>
    <w:p w14:paraId="548FA2DC" w14:textId="77777777" w:rsidR="007165EF" w:rsidRDefault="007165EF" w:rsidP="00A90137">
      <w:pPr>
        <w:numPr>
          <w:ilvl w:val="12"/>
          <w:numId w:val="0"/>
        </w:numPr>
        <w:rPr>
          <w:sz w:val="22"/>
          <w:szCs w:val="22"/>
        </w:rPr>
      </w:pPr>
    </w:p>
    <w:p w14:paraId="2567C0AB" w14:textId="77777777" w:rsidR="007165EF" w:rsidRPr="007165EF" w:rsidRDefault="007165EF" w:rsidP="00A90137">
      <w:pPr>
        <w:numPr>
          <w:ilvl w:val="0"/>
          <w:numId w:val="13"/>
        </w:numPr>
        <w:ind w:left="567" w:hanging="567"/>
        <w:rPr>
          <w:sz w:val="22"/>
          <w:szCs w:val="22"/>
        </w:rPr>
      </w:pPr>
      <w:r w:rsidRPr="007165EF">
        <w:rPr>
          <w:sz w:val="22"/>
          <w:szCs w:val="22"/>
        </w:rPr>
        <w:t>Akútne nekomplikované infekcie močového traktu</w:t>
      </w:r>
      <w:r>
        <w:rPr>
          <w:sz w:val="22"/>
          <w:szCs w:val="22"/>
        </w:rPr>
        <w:t>.</w:t>
      </w:r>
    </w:p>
    <w:p w14:paraId="1857256F" w14:textId="77777777" w:rsidR="00731B12" w:rsidRPr="002E6863" w:rsidRDefault="00216D8A" w:rsidP="00A90137">
      <w:pPr>
        <w:ind w:left="567"/>
        <w:rPr>
          <w:i/>
          <w:sz w:val="22"/>
          <w:szCs w:val="22"/>
        </w:rPr>
      </w:pPr>
      <w:r w:rsidRPr="002E6863">
        <w:rPr>
          <w:sz w:val="22"/>
          <w:szCs w:val="22"/>
        </w:rPr>
        <w:t xml:space="preserve">Odporúča sa, aby sa prvé prípady nekomplikovaných infekcií močových ciest radšej </w:t>
      </w:r>
      <w:r w:rsidR="00C42771">
        <w:rPr>
          <w:sz w:val="22"/>
          <w:szCs w:val="22"/>
        </w:rPr>
        <w:t xml:space="preserve">liečili </w:t>
      </w:r>
      <w:r w:rsidRPr="002E6863">
        <w:rPr>
          <w:sz w:val="22"/>
          <w:szCs w:val="22"/>
        </w:rPr>
        <w:t>jednou účinnou antibakteriálnou látkou</w:t>
      </w:r>
      <w:r w:rsidR="007165EF">
        <w:rPr>
          <w:sz w:val="22"/>
          <w:szCs w:val="22"/>
        </w:rPr>
        <w:t xml:space="preserve"> ako kombináciou ako</w:t>
      </w:r>
      <w:r w:rsidR="00C42771">
        <w:rPr>
          <w:sz w:val="22"/>
          <w:szCs w:val="22"/>
        </w:rPr>
        <w:t>u</w:t>
      </w:r>
      <w:r w:rsidR="007165EF">
        <w:rPr>
          <w:sz w:val="22"/>
          <w:szCs w:val="22"/>
        </w:rPr>
        <w:t xml:space="preserve"> je </w:t>
      </w:r>
      <w:r w:rsidR="00DA2F6F">
        <w:rPr>
          <w:sz w:val="22"/>
          <w:szCs w:val="22"/>
        </w:rPr>
        <w:t>BISEPTOL</w:t>
      </w:r>
      <w:r w:rsidR="007165EF">
        <w:rPr>
          <w:sz w:val="22"/>
          <w:szCs w:val="22"/>
        </w:rPr>
        <w:t xml:space="preserve"> 480</w:t>
      </w:r>
      <w:r w:rsidRPr="002E6863">
        <w:rPr>
          <w:sz w:val="22"/>
          <w:szCs w:val="22"/>
        </w:rPr>
        <w:t>.</w:t>
      </w:r>
    </w:p>
    <w:p w14:paraId="6243C779" w14:textId="7DD8A9B4" w:rsidR="00731B12" w:rsidRPr="002E6863" w:rsidRDefault="007165EF" w:rsidP="00A90137">
      <w:pPr>
        <w:pStyle w:val="Tekstpodstawowy"/>
        <w:numPr>
          <w:ilvl w:val="0"/>
          <w:numId w:val="2"/>
        </w:numPr>
        <w:spacing w:line="240" w:lineRule="auto"/>
        <w:ind w:left="567" w:hanging="501"/>
        <w:jc w:val="left"/>
        <w:rPr>
          <w:sz w:val="22"/>
          <w:szCs w:val="22"/>
        </w:rPr>
      </w:pPr>
      <w:r>
        <w:rPr>
          <w:sz w:val="22"/>
          <w:szCs w:val="22"/>
        </w:rPr>
        <w:t>L</w:t>
      </w:r>
      <w:r w:rsidR="00216D8A" w:rsidRPr="002E6863">
        <w:rPr>
          <w:sz w:val="22"/>
          <w:szCs w:val="22"/>
        </w:rPr>
        <w:t xml:space="preserve">iečba a prevencia pneumónie spôsobenej </w:t>
      </w:r>
      <w:r w:rsidR="00216D8A" w:rsidRPr="002E6863">
        <w:rPr>
          <w:i/>
          <w:sz w:val="22"/>
          <w:szCs w:val="22"/>
        </w:rPr>
        <w:t xml:space="preserve">Pneumocystis jiroveci </w:t>
      </w:r>
      <w:r w:rsidR="00216D8A" w:rsidRPr="002E6863">
        <w:rPr>
          <w:sz w:val="22"/>
          <w:szCs w:val="22"/>
        </w:rPr>
        <w:t>(P</w:t>
      </w:r>
      <w:r w:rsidR="007042B1">
        <w:rPr>
          <w:sz w:val="22"/>
          <w:szCs w:val="22"/>
        </w:rPr>
        <w:t>J</w:t>
      </w:r>
      <w:r w:rsidR="00216D8A" w:rsidRPr="002E6863">
        <w:rPr>
          <w:sz w:val="22"/>
          <w:szCs w:val="22"/>
        </w:rPr>
        <w:t>P</w:t>
      </w:r>
      <w:r w:rsidR="007631F7" w:rsidRPr="007631F7">
        <w:rPr>
          <w:i/>
          <w:iCs/>
          <w:sz w:val="22"/>
          <w:szCs w:val="22"/>
        </w:rPr>
        <w:t xml:space="preserve"> </w:t>
      </w:r>
      <w:r w:rsidR="007631F7" w:rsidRPr="00DF6040">
        <w:rPr>
          <w:i/>
          <w:iCs/>
          <w:sz w:val="22"/>
          <w:szCs w:val="22"/>
        </w:rPr>
        <w:t>Pneumocystis jirovecii pneumonitis</w:t>
      </w:r>
      <w:r w:rsidR="00216D8A" w:rsidRPr="002E6863">
        <w:rPr>
          <w:sz w:val="22"/>
          <w:szCs w:val="22"/>
        </w:rPr>
        <w:t>)</w:t>
      </w:r>
      <w:r w:rsidR="00DA2F6F">
        <w:rPr>
          <w:sz w:val="22"/>
          <w:szCs w:val="22"/>
        </w:rPr>
        <w:t>.</w:t>
      </w:r>
      <w:r w:rsidR="00216D8A" w:rsidRPr="002E6863">
        <w:rPr>
          <w:sz w:val="22"/>
          <w:szCs w:val="22"/>
        </w:rPr>
        <w:t xml:space="preserve"> </w:t>
      </w:r>
    </w:p>
    <w:p w14:paraId="5D4856FB" w14:textId="77777777" w:rsidR="00731B12" w:rsidRDefault="007165EF" w:rsidP="00A90137">
      <w:pPr>
        <w:numPr>
          <w:ilvl w:val="0"/>
          <w:numId w:val="2"/>
        </w:numPr>
        <w:ind w:left="567" w:hanging="501"/>
        <w:rPr>
          <w:sz w:val="22"/>
          <w:szCs w:val="22"/>
        </w:rPr>
      </w:pPr>
      <w:r>
        <w:rPr>
          <w:sz w:val="22"/>
          <w:szCs w:val="22"/>
        </w:rPr>
        <w:t>L</w:t>
      </w:r>
      <w:r w:rsidR="00216D8A" w:rsidRPr="002E6863">
        <w:rPr>
          <w:sz w:val="22"/>
          <w:szCs w:val="22"/>
        </w:rPr>
        <w:t xml:space="preserve">iečba a prevencia </w:t>
      </w:r>
      <w:r w:rsidR="00731B12" w:rsidRPr="002E6863">
        <w:rPr>
          <w:sz w:val="22"/>
          <w:szCs w:val="22"/>
        </w:rPr>
        <w:t>toxoplazmóz</w:t>
      </w:r>
      <w:r w:rsidR="00216D8A" w:rsidRPr="002E6863">
        <w:rPr>
          <w:sz w:val="22"/>
          <w:szCs w:val="22"/>
        </w:rPr>
        <w:t>y.</w:t>
      </w:r>
    </w:p>
    <w:p w14:paraId="3B3DB5D9" w14:textId="77777777" w:rsidR="005678FB" w:rsidRPr="00CC24E2" w:rsidRDefault="007165EF" w:rsidP="00A90137">
      <w:pPr>
        <w:numPr>
          <w:ilvl w:val="0"/>
          <w:numId w:val="2"/>
        </w:numPr>
        <w:ind w:left="567" w:hanging="501"/>
        <w:rPr>
          <w:sz w:val="22"/>
          <w:szCs w:val="22"/>
        </w:rPr>
      </w:pPr>
      <w:r w:rsidRPr="00CC24E2">
        <w:rPr>
          <w:sz w:val="22"/>
          <w:szCs w:val="22"/>
        </w:rPr>
        <w:t>Liečba nokardiózy.</w:t>
      </w:r>
    </w:p>
    <w:p w14:paraId="4976176E" w14:textId="77777777" w:rsidR="007165EF" w:rsidRDefault="007165EF" w:rsidP="00A90137">
      <w:pPr>
        <w:pStyle w:val="Tekstpodstawowy"/>
        <w:spacing w:line="240" w:lineRule="auto"/>
        <w:jc w:val="left"/>
        <w:rPr>
          <w:sz w:val="22"/>
          <w:szCs w:val="22"/>
        </w:rPr>
      </w:pPr>
    </w:p>
    <w:p w14:paraId="526DA962" w14:textId="77777777" w:rsidR="007165EF" w:rsidRPr="002E6863" w:rsidRDefault="007165EF" w:rsidP="00A90137">
      <w:pPr>
        <w:pStyle w:val="Tekstpodstawowy"/>
        <w:spacing w:line="240" w:lineRule="auto"/>
        <w:jc w:val="left"/>
        <w:rPr>
          <w:sz w:val="22"/>
          <w:szCs w:val="22"/>
        </w:rPr>
      </w:pPr>
      <w:r>
        <w:rPr>
          <w:sz w:val="22"/>
          <w:szCs w:val="22"/>
        </w:rPr>
        <w:t xml:space="preserve">Vo všeobecnosti sú indikácie používané pre </w:t>
      </w:r>
      <w:r w:rsidR="00DA2F6F">
        <w:rPr>
          <w:sz w:val="22"/>
          <w:szCs w:val="22"/>
        </w:rPr>
        <w:t>BISEPTOL</w:t>
      </w:r>
      <w:r>
        <w:rPr>
          <w:sz w:val="22"/>
          <w:szCs w:val="22"/>
        </w:rPr>
        <w:t xml:space="preserve"> 480 rovnaké ako pri perorálnych liekoch.</w:t>
      </w:r>
    </w:p>
    <w:p w14:paraId="5407E6F2" w14:textId="77777777" w:rsidR="00731B12" w:rsidRDefault="00731B12" w:rsidP="002E6863">
      <w:pPr>
        <w:numPr>
          <w:ilvl w:val="12"/>
          <w:numId w:val="0"/>
        </w:numPr>
        <w:jc w:val="both"/>
        <w:rPr>
          <w:sz w:val="22"/>
          <w:szCs w:val="22"/>
        </w:rPr>
      </w:pPr>
    </w:p>
    <w:p w14:paraId="4E33C3A8" w14:textId="77777777" w:rsidR="008D205A" w:rsidRDefault="008D205A" w:rsidP="008D205A">
      <w:pPr>
        <w:numPr>
          <w:ilvl w:val="12"/>
          <w:numId w:val="0"/>
        </w:numPr>
        <w:jc w:val="both"/>
        <w:rPr>
          <w:sz w:val="22"/>
          <w:szCs w:val="22"/>
        </w:rPr>
      </w:pPr>
      <w:r>
        <w:rPr>
          <w:sz w:val="22"/>
          <w:szCs w:val="22"/>
        </w:rPr>
        <w:t>Do úvahy treba vziať oficiálne národné odporúčania pre používanie antibakteriálnych látok.</w:t>
      </w:r>
    </w:p>
    <w:p w14:paraId="32E5D388" w14:textId="77777777" w:rsidR="003C36F0" w:rsidRPr="002E6863" w:rsidRDefault="003C36F0" w:rsidP="002E6863">
      <w:pPr>
        <w:numPr>
          <w:ilvl w:val="12"/>
          <w:numId w:val="0"/>
        </w:numPr>
        <w:jc w:val="both"/>
        <w:rPr>
          <w:sz w:val="22"/>
          <w:szCs w:val="22"/>
        </w:rPr>
      </w:pPr>
    </w:p>
    <w:p w14:paraId="35F0D788" w14:textId="77777777" w:rsidR="00731B12" w:rsidRPr="002E6863" w:rsidRDefault="00EA37D1" w:rsidP="002E6863">
      <w:pPr>
        <w:tabs>
          <w:tab w:val="left" w:pos="567"/>
        </w:tabs>
        <w:jc w:val="both"/>
        <w:rPr>
          <w:b/>
          <w:sz w:val="22"/>
          <w:szCs w:val="22"/>
        </w:rPr>
      </w:pPr>
      <w:r>
        <w:rPr>
          <w:b/>
          <w:sz w:val="22"/>
          <w:szCs w:val="22"/>
        </w:rPr>
        <w:t>4.2</w:t>
      </w:r>
      <w:r w:rsidR="00216D8A" w:rsidRPr="002E6863">
        <w:rPr>
          <w:b/>
          <w:sz w:val="22"/>
          <w:szCs w:val="22"/>
        </w:rPr>
        <w:tab/>
      </w:r>
      <w:r w:rsidR="00731B12" w:rsidRPr="002E6863">
        <w:rPr>
          <w:b/>
          <w:sz w:val="22"/>
          <w:szCs w:val="22"/>
        </w:rPr>
        <w:t>Dávkovanie a spôsob podávania</w:t>
      </w:r>
    </w:p>
    <w:p w14:paraId="73894F0D" w14:textId="77777777" w:rsidR="00216D8A" w:rsidRPr="00A90137" w:rsidRDefault="00216D8A" w:rsidP="002E6863">
      <w:pPr>
        <w:tabs>
          <w:tab w:val="left" w:pos="567"/>
        </w:tabs>
        <w:jc w:val="both"/>
        <w:rPr>
          <w:bCs/>
          <w:sz w:val="22"/>
          <w:szCs w:val="22"/>
        </w:rPr>
      </w:pPr>
    </w:p>
    <w:p w14:paraId="75AA8CF9" w14:textId="77777777" w:rsidR="003E139A" w:rsidRPr="003E139A" w:rsidRDefault="003E139A" w:rsidP="00F94AD1">
      <w:pPr>
        <w:rPr>
          <w:sz w:val="22"/>
          <w:szCs w:val="22"/>
          <w:u w:val="single"/>
        </w:rPr>
      </w:pPr>
      <w:r w:rsidRPr="003E139A">
        <w:rPr>
          <w:sz w:val="22"/>
          <w:szCs w:val="22"/>
          <w:u w:val="single"/>
        </w:rPr>
        <w:t>Dávkovanie</w:t>
      </w:r>
    </w:p>
    <w:p w14:paraId="2AEF11FD" w14:textId="77777777" w:rsidR="003E139A" w:rsidRPr="00EA37D1" w:rsidRDefault="003E139A" w:rsidP="00A90137">
      <w:pPr>
        <w:rPr>
          <w:sz w:val="22"/>
          <w:szCs w:val="22"/>
          <w:u w:val="single"/>
        </w:rPr>
      </w:pPr>
    </w:p>
    <w:p w14:paraId="3091CF2F" w14:textId="77777777" w:rsidR="003E139A" w:rsidRPr="00EA37D1" w:rsidRDefault="003E139A" w:rsidP="00C93CB5">
      <w:pPr>
        <w:rPr>
          <w:sz w:val="22"/>
          <w:szCs w:val="22"/>
          <w:u w:val="single"/>
        </w:rPr>
      </w:pPr>
      <w:r w:rsidRPr="00EA37D1">
        <w:rPr>
          <w:sz w:val="22"/>
          <w:szCs w:val="22"/>
          <w:u w:val="single"/>
        </w:rPr>
        <w:t>Štandardné odporúčané schémy dávkovania</w:t>
      </w:r>
      <w:r w:rsidR="00AB2620">
        <w:rPr>
          <w:sz w:val="22"/>
          <w:szCs w:val="22"/>
          <w:u w:val="single"/>
        </w:rPr>
        <w:t xml:space="preserve"> </w:t>
      </w:r>
      <w:r w:rsidR="00AB2620" w:rsidRPr="00061A57">
        <w:rPr>
          <w:sz w:val="22"/>
          <w:szCs w:val="22"/>
          <w:u w:val="single"/>
        </w:rPr>
        <w:t>pre akútne infekcie</w:t>
      </w:r>
    </w:p>
    <w:p w14:paraId="64C6015C" w14:textId="77777777" w:rsidR="00731B12" w:rsidRPr="002E6863" w:rsidRDefault="00731B12" w:rsidP="002E6863">
      <w:pPr>
        <w:numPr>
          <w:ilvl w:val="12"/>
          <w:numId w:val="0"/>
        </w:numPr>
        <w:jc w:val="both"/>
        <w:rPr>
          <w:i/>
          <w:sz w:val="22"/>
          <w:szCs w:val="22"/>
        </w:rPr>
      </w:pPr>
      <w:r w:rsidRPr="002E6863">
        <w:rPr>
          <w:i/>
          <w:sz w:val="22"/>
          <w:szCs w:val="22"/>
        </w:rPr>
        <w:t>Dospelí a deti staršie ako 12 rokov:</w:t>
      </w:r>
    </w:p>
    <w:p w14:paraId="1B2F049C" w14:textId="77777777" w:rsidR="00F94AD1" w:rsidRDefault="00731B12" w:rsidP="00EA37D1">
      <w:pPr>
        <w:numPr>
          <w:ilvl w:val="12"/>
          <w:numId w:val="0"/>
        </w:numPr>
        <w:rPr>
          <w:sz w:val="22"/>
          <w:szCs w:val="22"/>
        </w:rPr>
      </w:pPr>
      <w:r w:rsidRPr="002E6863">
        <w:rPr>
          <w:sz w:val="22"/>
          <w:szCs w:val="22"/>
        </w:rPr>
        <w:lastRenderedPageBreak/>
        <w:t>2 ampulky (10 ml) každých 12 hodín.</w:t>
      </w:r>
    </w:p>
    <w:p w14:paraId="75D09482" w14:textId="77777777" w:rsidR="00591040" w:rsidRDefault="00591040" w:rsidP="00EA37D1">
      <w:pPr>
        <w:numPr>
          <w:ilvl w:val="12"/>
          <w:numId w:val="0"/>
        </w:numPr>
        <w:rPr>
          <w:i/>
          <w:sz w:val="22"/>
          <w:szCs w:val="22"/>
        </w:rPr>
      </w:pPr>
    </w:p>
    <w:p w14:paraId="5DDE3623" w14:textId="77777777" w:rsidR="00731B12" w:rsidRPr="00F94AD1" w:rsidRDefault="00731B12" w:rsidP="00EA37D1">
      <w:pPr>
        <w:numPr>
          <w:ilvl w:val="12"/>
          <w:numId w:val="0"/>
        </w:numPr>
        <w:rPr>
          <w:sz w:val="22"/>
          <w:szCs w:val="22"/>
        </w:rPr>
      </w:pPr>
      <w:r w:rsidRPr="002E6863">
        <w:rPr>
          <w:i/>
          <w:sz w:val="22"/>
          <w:szCs w:val="22"/>
        </w:rPr>
        <w:t xml:space="preserve">Deti </w:t>
      </w:r>
      <w:r w:rsidR="00C42771">
        <w:rPr>
          <w:i/>
          <w:sz w:val="22"/>
          <w:szCs w:val="22"/>
        </w:rPr>
        <w:t xml:space="preserve">vo veku 12 rokov a </w:t>
      </w:r>
      <w:r w:rsidRPr="002E6863">
        <w:rPr>
          <w:i/>
          <w:sz w:val="22"/>
          <w:szCs w:val="22"/>
        </w:rPr>
        <w:t>mladšie:</w:t>
      </w:r>
    </w:p>
    <w:p w14:paraId="30CFC0BF" w14:textId="77777777" w:rsidR="00731B12" w:rsidRDefault="003E139A" w:rsidP="00EA37D1">
      <w:pPr>
        <w:numPr>
          <w:ilvl w:val="12"/>
          <w:numId w:val="0"/>
        </w:numPr>
        <w:rPr>
          <w:sz w:val="22"/>
          <w:szCs w:val="22"/>
        </w:rPr>
      </w:pPr>
      <w:r>
        <w:rPr>
          <w:sz w:val="22"/>
          <w:szCs w:val="22"/>
        </w:rPr>
        <w:t xml:space="preserve">Odporúčané dávkovanie je približne </w:t>
      </w:r>
      <w:r w:rsidR="00AB2620">
        <w:rPr>
          <w:sz w:val="22"/>
          <w:szCs w:val="22"/>
        </w:rPr>
        <w:t xml:space="preserve">30 mg </w:t>
      </w:r>
      <w:r w:rsidR="00731B12" w:rsidRPr="002E6863">
        <w:rPr>
          <w:sz w:val="22"/>
          <w:szCs w:val="22"/>
        </w:rPr>
        <w:t xml:space="preserve">sulfametoxazolu a 6 mg trimetoprimu na kg telesnej hmotnosti </w:t>
      </w:r>
      <w:r>
        <w:rPr>
          <w:sz w:val="22"/>
          <w:szCs w:val="22"/>
        </w:rPr>
        <w:t>za 24 hodín</w:t>
      </w:r>
      <w:r w:rsidR="0053160C" w:rsidRPr="002E6863">
        <w:rPr>
          <w:sz w:val="22"/>
          <w:szCs w:val="22"/>
        </w:rPr>
        <w:t xml:space="preserve"> podávaných rozdelene </w:t>
      </w:r>
      <w:r w:rsidR="00731B12" w:rsidRPr="002E6863">
        <w:rPr>
          <w:sz w:val="22"/>
          <w:szCs w:val="22"/>
        </w:rPr>
        <w:t xml:space="preserve">v dvoch </w:t>
      </w:r>
      <w:r>
        <w:rPr>
          <w:sz w:val="22"/>
          <w:szCs w:val="22"/>
        </w:rPr>
        <w:t xml:space="preserve">rovnakých </w:t>
      </w:r>
      <w:r w:rsidR="00731B12" w:rsidRPr="002E6863">
        <w:rPr>
          <w:sz w:val="22"/>
          <w:szCs w:val="22"/>
        </w:rPr>
        <w:t xml:space="preserve">dávkach. </w:t>
      </w:r>
      <w:r>
        <w:rPr>
          <w:sz w:val="22"/>
          <w:szCs w:val="22"/>
        </w:rPr>
        <w:t>Návo</w:t>
      </w:r>
      <w:r w:rsidR="00C42771">
        <w:rPr>
          <w:sz w:val="22"/>
          <w:szCs w:val="22"/>
        </w:rPr>
        <w:t>dy na riedenie sú uvedené ďalej</w:t>
      </w:r>
      <w:r>
        <w:rPr>
          <w:sz w:val="22"/>
          <w:szCs w:val="22"/>
        </w:rPr>
        <w:t>.</w:t>
      </w:r>
    </w:p>
    <w:p w14:paraId="2D2225AC" w14:textId="77777777" w:rsidR="00734A69" w:rsidRDefault="00734A69" w:rsidP="00EA37D1">
      <w:pPr>
        <w:numPr>
          <w:ilvl w:val="12"/>
          <w:numId w:val="0"/>
        </w:numPr>
        <w:rPr>
          <w:sz w:val="22"/>
          <w:szCs w:val="22"/>
        </w:rPr>
      </w:pPr>
      <w:r>
        <w:rPr>
          <w:sz w:val="22"/>
          <w:szCs w:val="22"/>
        </w:rPr>
        <w:t>Dávkovanie podľa veku:</w:t>
      </w:r>
    </w:p>
    <w:p w14:paraId="120BF980" w14:textId="77777777" w:rsidR="00734A69" w:rsidRPr="002E6863" w:rsidRDefault="00734A69" w:rsidP="00EA37D1">
      <w:pPr>
        <w:numPr>
          <w:ilvl w:val="12"/>
          <w:numId w:val="0"/>
        </w:numPr>
        <w:rPr>
          <w:sz w:val="22"/>
          <w:szCs w:val="22"/>
        </w:rPr>
      </w:pPr>
      <w:r>
        <w:rPr>
          <w:sz w:val="22"/>
          <w:szCs w:val="22"/>
        </w:rPr>
        <w:t>Dávkovacie schémy pre deti, podľa veku dieťaťa sú uvedené nižšie:</w:t>
      </w:r>
    </w:p>
    <w:p w14:paraId="706F57F2" w14:textId="77777777" w:rsidR="003E139A" w:rsidRDefault="003E139A" w:rsidP="002E6863">
      <w:pPr>
        <w:numPr>
          <w:ilvl w:val="12"/>
          <w:numId w:val="0"/>
        </w:numPr>
        <w:jc w:val="both"/>
        <w:rPr>
          <w:sz w:val="22"/>
          <w:szCs w:val="22"/>
        </w:rPr>
      </w:pPr>
    </w:p>
    <w:p w14:paraId="7A8DE4CF" w14:textId="77777777" w:rsidR="003E139A" w:rsidRDefault="003E139A" w:rsidP="002E6863">
      <w:pPr>
        <w:numPr>
          <w:ilvl w:val="12"/>
          <w:numId w:val="0"/>
        </w:numPr>
        <w:jc w:val="both"/>
        <w:rPr>
          <w:sz w:val="22"/>
          <w:szCs w:val="22"/>
        </w:rPr>
      </w:pPr>
      <w:r>
        <w:rPr>
          <w:sz w:val="22"/>
          <w:szCs w:val="22"/>
        </w:rPr>
        <w:t>6 týždňov až 5 mesiacov: 1,25 ml každých 12 hodín.</w:t>
      </w:r>
    </w:p>
    <w:p w14:paraId="308FC9D1" w14:textId="77777777" w:rsidR="00731B12" w:rsidRPr="002E6863" w:rsidRDefault="00731B12" w:rsidP="00EA37D1">
      <w:pPr>
        <w:numPr>
          <w:ilvl w:val="12"/>
          <w:numId w:val="0"/>
        </w:numPr>
        <w:rPr>
          <w:sz w:val="22"/>
          <w:szCs w:val="22"/>
        </w:rPr>
      </w:pPr>
      <w:r w:rsidRPr="002E6863">
        <w:rPr>
          <w:sz w:val="22"/>
          <w:szCs w:val="22"/>
        </w:rPr>
        <w:t>6 mesiacov do 5 rokov: 2,5 ml každých 12 hodín.</w:t>
      </w:r>
    </w:p>
    <w:p w14:paraId="173E3111" w14:textId="77777777" w:rsidR="00731B12" w:rsidRPr="002E6863" w:rsidRDefault="00731B12" w:rsidP="00EA37D1">
      <w:pPr>
        <w:numPr>
          <w:ilvl w:val="12"/>
          <w:numId w:val="0"/>
        </w:numPr>
        <w:rPr>
          <w:sz w:val="22"/>
          <w:szCs w:val="22"/>
        </w:rPr>
      </w:pPr>
      <w:r w:rsidRPr="002E6863">
        <w:rPr>
          <w:sz w:val="22"/>
          <w:szCs w:val="22"/>
        </w:rPr>
        <w:t>6 rokov do 12 rokov: 5 ml každých 12 hodín.</w:t>
      </w:r>
    </w:p>
    <w:p w14:paraId="47ED205C" w14:textId="77777777" w:rsidR="00731B12" w:rsidRPr="002E6863" w:rsidRDefault="00731B12" w:rsidP="00EA37D1">
      <w:pPr>
        <w:numPr>
          <w:ilvl w:val="12"/>
          <w:numId w:val="0"/>
        </w:numPr>
        <w:rPr>
          <w:sz w:val="22"/>
          <w:szCs w:val="22"/>
        </w:rPr>
      </w:pPr>
      <w:r w:rsidRPr="002E6863">
        <w:rPr>
          <w:sz w:val="22"/>
          <w:szCs w:val="22"/>
        </w:rPr>
        <w:t>V prípa</w:t>
      </w:r>
      <w:r w:rsidR="008D722D" w:rsidRPr="002E6863">
        <w:rPr>
          <w:sz w:val="22"/>
          <w:szCs w:val="22"/>
        </w:rPr>
        <w:t>de mimoriadne ťažkých</w:t>
      </w:r>
      <w:r w:rsidRPr="002E6863">
        <w:rPr>
          <w:sz w:val="22"/>
          <w:szCs w:val="22"/>
        </w:rPr>
        <w:t xml:space="preserve"> infekcií môžu byť dávky </w:t>
      </w:r>
      <w:r w:rsidR="0053160C" w:rsidRPr="002E6863">
        <w:rPr>
          <w:sz w:val="22"/>
          <w:szCs w:val="22"/>
        </w:rPr>
        <w:t xml:space="preserve">pre všetky vekové kategórie </w:t>
      </w:r>
      <w:r w:rsidRPr="002E6863">
        <w:rPr>
          <w:sz w:val="22"/>
          <w:szCs w:val="22"/>
        </w:rPr>
        <w:t>zvýšené o</w:t>
      </w:r>
      <w:r w:rsidR="00EA3E23" w:rsidRPr="002E6863">
        <w:rPr>
          <w:sz w:val="22"/>
          <w:szCs w:val="22"/>
        </w:rPr>
        <w:t> </w:t>
      </w:r>
      <w:r w:rsidRPr="002E6863">
        <w:rPr>
          <w:sz w:val="22"/>
          <w:szCs w:val="22"/>
        </w:rPr>
        <w:t>50</w:t>
      </w:r>
      <w:r w:rsidR="00EA3E23" w:rsidRPr="002E6863">
        <w:rPr>
          <w:sz w:val="22"/>
          <w:szCs w:val="22"/>
        </w:rPr>
        <w:t> </w:t>
      </w:r>
      <w:r w:rsidRPr="002E6863">
        <w:rPr>
          <w:sz w:val="22"/>
          <w:szCs w:val="22"/>
        </w:rPr>
        <w:t>%.</w:t>
      </w:r>
    </w:p>
    <w:p w14:paraId="6EFF3253" w14:textId="77777777" w:rsidR="00096ABF" w:rsidRDefault="003E139A" w:rsidP="00EA37D1">
      <w:pPr>
        <w:pStyle w:val="Nagwek4"/>
        <w:numPr>
          <w:ilvl w:val="12"/>
          <w:numId w:val="0"/>
        </w:numPr>
        <w:spacing w:line="240" w:lineRule="auto"/>
        <w:jc w:val="left"/>
        <w:rPr>
          <w:sz w:val="22"/>
          <w:szCs w:val="22"/>
          <w:u w:val="none"/>
        </w:rPr>
      </w:pPr>
      <w:r>
        <w:rPr>
          <w:sz w:val="22"/>
          <w:szCs w:val="22"/>
          <w:u w:val="none"/>
        </w:rPr>
        <w:t xml:space="preserve">Liečba má trvať dovtedy, pokým pacient nie je bez </w:t>
      </w:r>
      <w:r w:rsidR="00FA780B">
        <w:rPr>
          <w:sz w:val="22"/>
          <w:szCs w:val="22"/>
          <w:u w:val="none"/>
        </w:rPr>
        <w:t xml:space="preserve">príznakov </w:t>
      </w:r>
      <w:r>
        <w:rPr>
          <w:sz w:val="22"/>
          <w:szCs w:val="22"/>
          <w:u w:val="none"/>
        </w:rPr>
        <w:t>počas 2 dní; väčšinou je potrebných najmenej 5 dní liečby.</w:t>
      </w:r>
    </w:p>
    <w:p w14:paraId="4F3A903D" w14:textId="77777777" w:rsidR="003E139A" w:rsidRDefault="003E139A" w:rsidP="00EA37D1"/>
    <w:p w14:paraId="14BC5831" w14:textId="77777777" w:rsidR="003E139A" w:rsidRPr="009C55A0" w:rsidRDefault="003E139A" w:rsidP="00EA37D1">
      <w:pPr>
        <w:rPr>
          <w:sz w:val="22"/>
          <w:szCs w:val="22"/>
          <w:u w:val="single"/>
        </w:rPr>
      </w:pPr>
      <w:r w:rsidRPr="009C55A0">
        <w:rPr>
          <w:sz w:val="22"/>
          <w:szCs w:val="22"/>
          <w:u w:val="single"/>
        </w:rPr>
        <w:t>Starší pacienti</w:t>
      </w:r>
    </w:p>
    <w:p w14:paraId="18901616" w14:textId="77777777" w:rsidR="003E139A" w:rsidRDefault="003E139A" w:rsidP="00EA37D1">
      <w:pPr>
        <w:rPr>
          <w:sz w:val="22"/>
          <w:szCs w:val="22"/>
        </w:rPr>
      </w:pPr>
      <w:r>
        <w:rPr>
          <w:sz w:val="22"/>
          <w:szCs w:val="22"/>
        </w:rPr>
        <w:t>Pozr</w:t>
      </w:r>
      <w:r w:rsidRPr="003E139A">
        <w:rPr>
          <w:sz w:val="22"/>
          <w:szCs w:val="22"/>
        </w:rPr>
        <w:t>i</w:t>
      </w:r>
      <w:r w:rsidR="009B4FDE">
        <w:rPr>
          <w:sz w:val="22"/>
          <w:szCs w:val="22"/>
        </w:rPr>
        <w:t xml:space="preserve"> Osobitné upozornenia a opatrenia pri používaní.</w:t>
      </w:r>
    </w:p>
    <w:p w14:paraId="6AAC0C00" w14:textId="77777777" w:rsidR="009B4FDE" w:rsidRDefault="009B4FDE" w:rsidP="00EA37D1">
      <w:pPr>
        <w:rPr>
          <w:sz w:val="22"/>
          <w:szCs w:val="22"/>
        </w:rPr>
      </w:pPr>
    </w:p>
    <w:p w14:paraId="65555D2D" w14:textId="77777777" w:rsidR="009B4FDE" w:rsidRPr="009C55A0" w:rsidRDefault="00D01B52" w:rsidP="00EA37D1">
      <w:pPr>
        <w:rPr>
          <w:sz w:val="22"/>
          <w:szCs w:val="22"/>
          <w:u w:val="single"/>
        </w:rPr>
      </w:pPr>
      <w:r w:rsidRPr="009C55A0">
        <w:rPr>
          <w:sz w:val="22"/>
          <w:szCs w:val="22"/>
          <w:u w:val="single"/>
        </w:rPr>
        <w:t>Po</w:t>
      </w:r>
      <w:r w:rsidR="00FA780B">
        <w:rPr>
          <w:sz w:val="22"/>
          <w:szCs w:val="22"/>
          <w:u w:val="single"/>
        </w:rPr>
        <w:t>rucha</w:t>
      </w:r>
      <w:r w:rsidR="009B4FDE" w:rsidRPr="009C55A0">
        <w:rPr>
          <w:sz w:val="22"/>
          <w:szCs w:val="22"/>
          <w:u w:val="single"/>
        </w:rPr>
        <w:t xml:space="preserve"> </w:t>
      </w:r>
      <w:r w:rsidRPr="009C55A0">
        <w:rPr>
          <w:sz w:val="22"/>
          <w:szCs w:val="22"/>
          <w:u w:val="single"/>
        </w:rPr>
        <w:t>funkci</w:t>
      </w:r>
      <w:r w:rsidR="00FA780B">
        <w:rPr>
          <w:sz w:val="22"/>
          <w:szCs w:val="22"/>
          <w:u w:val="single"/>
        </w:rPr>
        <w:t>e</w:t>
      </w:r>
      <w:r w:rsidR="009B4FDE" w:rsidRPr="009C55A0">
        <w:rPr>
          <w:sz w:val="22"/>
          <w:szCs w:val="22"/>
          <w:u w:val="single"/>
        </w:rPr>
        <w:t xml:space="preserve"> p</w:t>
      </w:r>
      <w:r w:rsidRPr="009C55A0">
        <w:rPr>
          <w:sz w:val="22"/>
          <w:szCs w:val="22"/>
          <w:u w:val="single"/>
        </w:rPr>
        <w:t>ečene</w:t>
      </w:r>
    </w:p>
    <w:p w14:paraId="16E466E2" w14:textId="3CCA31F3" w:rsidR="00D01B52" w:rsidRDefault="00D01B52" w:rsidP="00EA37D1">
      <w:pPr>
        <w:rPr>
          <w:sz w:val="22"/>
          <w:szCs w:val="22"/>
        </w:rPr>
      </w:pPr>
      <w:r>
        <w:rPr>
          <w:sz w:val="22"/>
          <w:szCs w:val="22"/>
        </w:rPr>
        <w:t>Nie sú dostupné údaje v súvislosti s dávkovaním u pacientov s poruchou funkcie pečene.</w:t>
      </w:r>
      <w:r w:rsidR="003665A7">
        <w:rPr>
          <w:sz w:val="22"/>
          <w:szCs w:val="22"/>
        </w:rPr>
        <w:t xml:space="preserve"> </w:t>
      </w:r>
      <w:r w:rsidR="00387E1A">
        <w:rPr>
          <w:sz w:val="22"/>
          <w:szCs w:val="22"/>
        </w:rPr>
        <w:t>Pri liečbe</w:t>
      </w:r>
      <w:r w:rsidR="003665A7">
        <w:rPr>
          <w:sz w:val="22"/>
          <w:szCs w:val="22"/>
        </w:rPr>
        <w:t xml:space="preserve"> pacientov so závažnou poruchou funkcie pečene sa má postupovať s opatrnosťou</w:t>
      </w:r>
      <w:r w:rsidR="00387E1A">
        <w:rPr>
          <w:sz w:val="22"/>
          <w:szCs w:val="22"/>
        </w:rPr>
        <w:t xml:space="preserve"> (pozri časť 5.2).</w:t>
      </w:r>
    </w:p>
    <w:p w14:paraId="534BB648" w14:textId="77777777" w:rsidR="00D01B52" w:rsidRDefault="00D01B52" w:rsidP="00EA37D1">
      <w:pPr>
        <w:rPr>
          <w:sz w:val="22"/>
          <w:szCs w:val="22"/>
        </w:rPr>
      </w:pPr>
    </w:p>
    <w:p w14:paraId="1A9CBB41" w14:textId="77777777" w:rsidR="00D01B52" w:rsidRPr="009C55A0" w:rsidRDefault="00D01B52" w:rsidP="00EA37D1">
      <w:pPr>
        <w:rPr>
          <w:sz w:val="22"/>
          <w:szCs w:val="22"/>
          <w:u w:val="single"/>
        </w:rPr>
      </w:pPr>
      <w:r w:rsidRPr="009C55A0">
        <w:rPr>
          <w:sz w:val="22"/>
          <w:szCs w:val="22"/>
          <w:u w:val="single"/>
        </w:rPr>
        <w:t>Špeciálne odporúčania pre dávkovanie</w:t>
      </w:r>
    </w:p>
    <w:p w14:paraId="09C870F4" w14:textId="77777777" w:rsidR="00D01B52" w:rsidRDefault="00D01B52" w:rsidP="00EA37D1">
      <w:pPr>
        <w:rPr>
          <w:sz w:val="22"/>
          <w:szCs w:val="22"/>
        </w:rPr>
      </w:pPr>
      <w:r>
        <w:rPr>
          <w:sz w:val="22"/>
          <w:szCs w:val="22"/>
        </w:rPr>
        <w:t>(</w:t>
      </w:r>
      <w:r w:rsidR="00C42771">
        <w:rPr>
          <w:sz w:val="22"/>
          <w:szCs w:val="22"/>
        </w:rPr>
        <w:t>Používa sa štandardné dávkovanie,</w:t>
      </w:r>
      <w:r>
        <w:rPr>
          <w:sz w:val="22"/>
          <w:szCs w:val="22"/>
        </w:rPr>
        <w:t xml:space="preserve"> pokiaľ nie je špecifikované iné).</w:t>
      </w:r>
    </w:p>
    <w:p w14:paraId="69A1E6ED" w14:textId="77777777" w:rsidR="00D01B52" w:rsidRDefault="00D01B52" w:rsidP="00EA37D1">
      <w:pPr>
        <w:rPr>
          <w:sz w:val="22"/>
          <w:szCs w:val="22"/>
        </w:rPr>
      </w:pPr>
    </w:p>
    <w:p w14:paraId="03250B56" w14:textId="77777777" w:rsidR="00D01B52" w:rsidRPr="009C55A0" w:rsidRDefault="00D01B52" w:rsidP="00EA37D1">
      <w:pPr>
        <w:rPr>
          <w:sz w:val="22"/>
          <w:szCs w:val="22"/>
          <w:u w:val="single"/>
        </w:rPr>
      </w:pPr>
      <w:r w:rsidRPr="009C55A0">
        <w:rPr>
          <w:sz w:val="22"/>
          <w:szCs w:val="22"/>
          <w:u w:val="single"/>
        </w:rPr>
        <w:t>Po</w:t>
      </w:r>
      <w:r w:rsidR="00FA780B">
        <w:rPr>
          <w:sz w:val="22"/>
          <w:szCs w:val="22"/>
          <w:u w:val="single"/>
        </w:rPr>
        <w:t>rucha</w:t>
      </w:r>
      <w:r w:rsidRPr="009C55A0">
        <w:rPr>
          <w:sz w:val="22"/>
          <w:szCs w:val="22"/>
          <w:u w:val="single"/>
        </w:rPr>
        <w:t xml:space="preserve"> funkci</w:t>
      </w:r>
      <w:r w:rsidR="00FA780B">
        <w:rPr>
          <w:sz w:val="22"/>
          <w:szCs w:val="22"/>
          <w:u w:val="single"/>
        </w:rPr>
        <w:t>e</w:t>
      </w:r>
      <w:r w:rsidRPr="009C55A0">
        <w:rPr>
          <w:sz w:val="22"/>
          <w:szCs w:val="22"/>
          <w:u w:val="single"/>
        </w:rPr>
        <w:t xml:space="preserve"> obličiek</w:t>
      </w:r>
    </w:p>
    <w:p w14:paraId="3F3091AC" w14:textId="77777777" w:rsidR="00D01B52" w:rsidRPr="003E139A" w:rsidRDefault="00D01B52" w:rsidP="00EA37D1">
      <w:pPr>
        <w:rPr>
          <w:sz w:val="22"/>
          <w:szCs w:val="22"/>
        </w:rPr>
      </w:pPr>
      <w:r>
        <w:rPr>
          <w:sz w:val="22"/>
          <w:szCs w:val="22"/>
        </w:rPr>
        <w:t>Dospelí a deti staršie ako 12 rokov (nie sú dostupné informácie pre deti mladšie ako 12 rokov):</w:t>
      </w:r>
    </w:p>
    <w:p w14:paraId="45514C80" w14:textId="77777777" w:rsidR="00731B12" w:rsidRPr="002E6863" w:rsidRDefault="00731B12" w:rsidP="002E6863">
      <w:pPr>
        <w:numPr>
          <w:ilvl w:val="12"/>
          <w:numId w:val="0"/>
        </w:numPr>
        <w:jc w:val="both"/>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731B12" w:rsidRPr="002E6863" w14:paraId="6EBF206C" w14:textId="77777777" w:rsidTr="004B26E0">
        <w:tc>
          <w:tcPr>
            <w:tcW w:w="4606" w:type="dxa"/>
            <w:tcBorders>
              <w:top w:val="single" w:sz="6" w:space="0" w:color="auto"/>
              <w:left w:val="single" w:sz="6" w:space="0" w:color="auto"/>
              <w:bottom w:val="single" w:sz="6" w:space="0" w:color="auto"/>
              <w:right w:val="single" w:sz="6" w:space="0" w:color="auto"/>
            </w:tcBorders>
          </w:tcPr>
          <w:p w14:paraId="5AF0B340" w14:textId="77777777" w:rsidR="00731B12" w:rsidRPr="002E6863" w:rsidRDefault="008D722D" w:rsidP="002E6863">
            <w:pPr>
              <w:numPr>
                <w:ilvl w:val="12"/>
                <w:numId w:val="0"/>
              </w:numPr>
              <w:jc w:val="both"/>
              <w:rPr>
                <w:b/>
                <w:sz w:val="22"/>
                <w:szCs w:val="22"/>
              </w:rPr>
            </w:pPr>
            <w:r w:rsidRPr="002E6863">
              <w:rPr>
                <w:b/>
                <w:sz w:val="22"/>
                <w:szCs w:val="22"/>
              </w:rPr>
              <w:t>Klírens</w:t>
            </w:r>
            <w:r w:rsidR="00731B12" w:rsidRPr="002E6863">
              <w:rPr>
                <w:b/>
                <w:sz w:val="22"/>
                <w:szCs w:val="22"/>
              </w:rPr>
              <w:t xml:space="preserve"> kreatinínu (ml/min)</w:t>
            </w:r>
          </w:p>
        </w:tc>
        <w:tc>
          <w:tcPr>
            <w:tcW w:w="4606" w:type="dxa"/>
            <w:tcBorders>
              <w:top w:val="single" w:sz="6" w:space="0" w:color="auto"/>
              <w:left w:val="single" w:sz="6" w:space="0" w:color="auto"/>
              <w:bottom w:val="single" w:sz="6" w:space="0" w:color="auto"/>
              <w:right w:val="single" w:sz="6" w:space="0" w:color="auto"/>
            </w:tcBorders>
          </w:tcPr>
          <w:p w14:paraId="5F19758A" w14:textId="77777777" w:rsidR="00731B12" w:rsidRPr="002E6863" w:rsidRDefault="00731B12" w:rsidP="002E6863">
            <w:pPr>
              <w:pStyle w:val="Nagwek3"/>
              <w:numPr>
                <w:ilvl w:val="12"/>
                <w:numId w:val="0"/>
              </w:numPr>
              <w:spacing w:line="240" w:lineRule="auto"/>
              <w:rPr>
                <w:sz w:val="22"/>
                <w:szCs w:val="22"/>
              </w:rPr>
            </w:pPr>
            <w:r w:rsidRPr="002E6863">
              <w:rPr>
                <w:sz w:val="22"/>
                <w:szCs w:val="22"/>
              </w:rPr>
              <w:t>Odporúčané dávkovanie</w:t>
            </w:r>
          </w:p>
        </w:tc>
      </w:tr>
      <w:tr w:rsidR="00731B12" w:rsidRPr="002E6863" w14:paraId="5876DFCC" w14:textId="77777777" w:rsidTr="004B26E0">
        <w:tc>
          <w:tcPr>
            <w:tcW w:w="4606" w:type="dxa"/>
            <w:tcBorders>
              <w:top w:val="single" w:sz="6" w:space="0" w:color="auto"/>
              <w:left w:val="single" w:sz="6" w:space="0" w:color="auto"/>
              <w:bottom w:val="single" w:sz="6" w:space="0" w:color="auto"/>
              <w:right w:val="single" w:sz="6" w:space="0" w:color="auto"/>
            </w:tcBorders>
          </w:tcPr>
          <w:p w14:paraId="354BC1A7" w14:textId="77777777" w:rsidR="00731B12" w:rsidRPr="002E6863" w:rsidRDefault="006C2B04" w:rsidP="002E6863">
            <w:pPr>
              <w:numPr>
                <w:ilvl w:val="12"/>
                <w:numId w:val="0"/>
              </w:numPr>
              <w:jc w:val="both"/>
              <w:rPr>
                <w:sz w:val="22"/>
                <w:szCs w:val="22"/>
              </w:rPr>
            </w:pPr>
            <w:r w:rsidRPr="002E6863">
              <w:rPr>
                <w:sz w:val="22"/>
                <w:szCs w:val="22"/>
              </w:rPr>
              <w:t>v</w:t>
            </w:r>
            <w:r w:rsidR="00BC09CD" w:rsidRPr="002E6863">
              <w:rPr>
                <w:sz w:val="22"/>
                <w:szCs w:val="22"/>
              </w:rPr>
              <w:t xml:space="preserve">iac ako </w:t>
            </w:r>
            <w:r w:rsidR="00731B12" w:rsidRPr="002E6863">
              <w:rPr>
                <w:sz w:val="22"/>
                <w:szCs w:val="22"/>
              </w:rPr>
              <w:t xml:space="preserve">30 </w:t>
            </w:r>
          </w:p>
        </w:tc>
        <w:tc>
          <w:tcPr>
            <w:tcW w:w="4606" w:type="dxa"/>
            <w:tcBorders>
              <w:top w:val="single" w:sz="6" w:space="0" w:color="auto"/>
              <w:left w:val="single" w:sz="6" w:space="0" w:color="auto"/>
              <w:bottom w:val="single" w:sz="6" w:space="0" w:color="auto"/>
              <w:right w:val="single" w:sz="6" w:space="0" w:color="auto"/>
            </w:tcBorders>
          </w:tcPr>
          <w:p w14:paraId="3650E53B" w14:textId="77777777" w:rsidR="00731B12" w:rsidRPr="002E6863" w:rsidRDefault="00D01B52" w:rsidP="002E6863">
            <w:pPr>
              <w:numPr>
                <w:ilvl w:val="12"/>
                <w:numId w:val="0"/>
              </w:numPr>
              <w:jc w:val="both"/>
              <w:rPr>
                <w:sz w:val="22"/>
                <w:szCs w:val="22"/>
              </w:rPr>
            </w:pPr>
            <w:r>
              <w:rPr>
                <w:sz w:val="22"/>
                <w:szCs w:val="22"/>
              </w:rPr>
              <w:t>štandardná</w:t>
            </w:r>
            <w:r w:rsidR="00731B12" w:rsidRPr="002E6863">
              <w:rPr>
                <w:sz w:val="22"/>
                <w:szCs w:val="22"/>
              </w:rPr>
              <w:t xml:space="preserve"> dávka</w:t>
            </w:r>
          </w:p>
        </w:tc>
      </w:tr>
      <w:tr w:rsidR="00731B12" w:rsidRPr="002E6863" w14:paraId="4C220047" w14:textId="77777777" w:rsidTr="004B26E0">
        <w:tc>
          <w:tcPr>
            <w:tcW w:w="4606" w:type="dxa"/>
            <w:tcBorders>
              <w:top w:val="single" w:sz="6" w:space="0" w:color="auto"/>
              <w:left w:val="single" w:sz="6" w:space="0" w:color="auto"/>
              <w:bottom w:val="single" w:sz="6" w:space="0" w:color="auto"/>
              <w:right w:val="single" w:sz="6" w:space="0" w:color="auto"/>
            </w:tcBorders>
          </w:tcPr>
          <w:p w14:paraId="63748D5E" w14:textId="77777777" w:rsidR="00731B12" w:rsidRPr="002E6863" w:rsidRDefault="00731B12" w:rsidP="002E6863">
            <w:pPr>
              <w:numPr>
                <w:ilvl w:val="12"/>
                <w:numId w:val="0"/>
              </w:numPr>
              <w:jc w:val="both"/>
              <w:rPr>
                <w:sz w:val="22"/>
                <w:szCs w:val="22"/>
              </w:rPr>
            </w:pPr>
            <w:r w:rsidRPr="002E6863">
              <w:rPr>
                <w:sz w:val="22"/>
                <w:szCs w:val="22"/>
              </w:rPr>
              <w:t>15</w:t>
            </w:r>
            <w:r w:rsidR="00BC09CD" w:rsidRPr="002E6863">
              <w:rPr>
                <w:sz w:val="22"/>
                <w:szCs w:val="22"/>
              </w:rPr>
              <w:t>-</w:t>
            </w:r>
            <w:r w:rsidRPr="002E6863">
              <w:rPr>
                <w:sz w:val="22"/>
                <w:szCs w:val="22"/>
              </w:rPr>
              <w:t xml:space="preserve"> 30 </w:t>
            </w:r>
          </w:p>
        </w:tc>
        <w:tc>
          <w:tcPr>
            <w:tcW w:w="4606" w:type="dxa"/>
            <w:tcBorders>
              <w:top w:val="single" w:sz="6" w:space="0" w:color="auto"/>
              <w:left w:val="single" w:sz="6" w:space="0" w:color="auto"/>
              <w:bottom w:val="single" w:sz="6" w:space="0" w:color="auto"/>
              <w:right w:val="single" w:sz="6" w:space="0" w:color="auto"/>
            </w:tcBorders>
          </w:tcPr>
          <w:p w14:paraId="09603D72" w14:textId="77777777" w:rsidR="00731B12" w:rsidRPr="002E6863" w:rsidRDefault="008D722D" w:rsidP="002E6863">
            <w:pPr>
              <w:numPr>
                <w:ilvl w:val="12"/>
                <w:numId w:val="0"/>
              </w:numPr>
              <w:jc w:val="both"/>
              <w:rPr>
                <w:sz w:val="22"/>
                <w:szCs w:val="22"/>
              </w:rPr>
            </w:pPr>
            <w:r w:rsidRPr="002E6863">
              <w:rPr>
                <w:sz w:val="22"/>
                <w:szCs w:val="22"/>
              </w:rPr>
              <w:t xml:space="preserve">½ </w:t>
            </w:r>
            <w:r w:rsidR="00D01B52">
              <w:rPr>
                <w:sz w:val="22"/>
                <w:szCs w:val="22"/>
              </w:rPr>
              <w:t>štandardnej</w:t>
            </w:r>
            <w:r w:rsidR="00731B12" w:rsidRPr="002E6863">
              <w:rPr>
                <w:sz w:val="22"/>
                <w:szCs w:val="22"/>
              </w:rPr>
              <w:t xml:space="preserve"> dávky </w:t>
            </w:r>
          </w:p>
        </w:tc>
      </w:tr>
      <w:tr w:rsidR="00731B12" w:rsidRPr="002E6863" w14:paraId="5FF93BFC" w14:textId="77777777" w:rsidTr="004B26E0">
        <w:tc>
          <w:tcPr>
            <w:tcW w:w="4606" w:type="dxa"/>
            <w:tcBorders>
              <w:top w:val="single" w:sz="6" w:space="0" w:color="auto"/>
              <w:left w:val="single" w:sz="6" w:space="0" w:color="auto"/>
              <w:bottom w:val="single" w:sz="6" w:space="0" w:color="auto"/>
              <w:right w:val="single" w:sz="6" w:space="0" w:color="auto"/>
            </w:tcBorders>
          </w:tcPr>
          <w:p w14:paraId="4F7170AB" w14:textId="77777777" w:rsidR="00731B12" w:rsidRPr="002E6863" w:rsidRDefault="006C2B04" w:rsidP="002E6863">
            <w:pPr>
              <w:numPr>
                <w:ilvl w:val="12"/>
                <w:numId w:val="0"/>
              </w:numPr>
              <w:jc w:val="both"/>
              <w:rPr>
                <w:sz w:val="22"/>
                <w:szCs w:val="22"/>
              </w:rPr>
            </w:pPr>
            <w:r w:rsidRPr="002E6863">
              <w:rPr>
                <w:sz w:val="22"/>
                <w:szCs w:val="22"/>
              </w:rPr>
              <w:t>m</w:t>
            </w:r>
            <w:r w:rsidR="00BC09CD" w:rsidRPr="002E6863">
              <w:rPr>
                <w:sz w:val="22"/>
                <w:szCs w:val="22"/>
              </w:rPr>
              <w:t xml:space="preserve">enej ako </w:t>
            </w:r>
            <w:r w:rsidR="00731B12" w:rsidRPr="002E6863">
              <w:rPr>
                <w:sz w:val="22"/>
                <w:szCs w:val="22"/>
              </w:rPr>
              <w:t xml:space="preserve">15 </w:t>
            </w:r>
          </w:p>
        </w:tc>
        <w:tc>
          <w:tcPr>
            <w:tcW w:w="4606" w:type="dxa"/>
            <w:tcBorders>
              <w:top w:val="single" w:sz="6" w:space="0" w:color="auto"/>
              <w:left w:val="single" w:sz="6" w:space="0" w:color="auto"/>
              <w:bottom w:val="single" w:sz="6" w:space="0" w:color="auto"/>
              <w:right w:val="single" w:sz="6" w:space="0" w:color="auto"/>
            </w:tcBorders>
          </w:tcPr>
          <w:p w14:paraId="4DFC37E5" w14:textId="77777777" w:rsidR="00731B12" w:rsidRPr="002E6863" w:rsidRDefault="00731B12" w:rsidP="002E6863">
            <w:pPr>
              <w:numPr>
                <w:ilvl w:val="12"/>
                <w:numId w:val="0"/>
              </w:numPr>
              <w:jc w:val="both"/>
              <w:rPr>
                <w:sz w:val="22"/>
                <w:szCs w:val="22"/>
              </w:rPr>
            </w:pPr>
            <w:r w:rsidRPr="002E6863">
              <w:rPr>
                <w:sz w:val="22"/>
                <w:szCs w:val="22"/>
              </w:rPr>
              <w:t>neodporúča</w:t>
            </w:r>
            <w:r w:rsidR="00D01B52">
              <w:rPr>
                <w:sz w:val="22"/>
                <w:szCs w:val="22"/>
              </w:rPr>
              <w:t xml:space="preserve"> sa</w:t>
            </w:r>
          </w:p>
        </w:tc>
      </w:tr>
    </w:tbl>
    <w:p w14:paraId="777F0CAF" w14:textId="77777777" w:rsidR="00731B12" w:rsidRPr="002E6863" w:rsidRDefault="00731B12" w:rsidP="002E6863">
      <w:pPr>
        <w:numPr>
          <w:ilvl w:val="12"/>
          <w:numId w:val="0"/>
        </w:numPr>
        <w:jc w:val="both"/>
        <w:rPr>
          <w:sz w:val="22"/>
          <w:szCs w:val="22"/>
        </w:rPr>
      </w:pPr>
    </w:p>
    <w:p w14:paraId="6016831E" w14:textId="77777777" w:rsidR="00D01B52" w:rsidRDefault="00D01B52" w:rsidP="00EA37D1">
      <w:pPr>
        <w:pStyle w:val="Nagwek5"/>
        <w:numPr>
          <w:ilvl w:val="12"/>
          <w:numId w:val="0"/>
        </w:numPr>
        <w:spacing w:line="240" w:lineRule="auto"/>
        <w:jc w:val="left"/>
        <w:rPr>
          <w:b w:val="0"/>
          <w:i w:val="0"/>
          <w:sz w:val="22"/>
          <w:szCs w:val="22"/>
        </w:rPr>
      </w:pPr>
      <w:r w:rsidRPr="002E6863">
        <w:rPr>
          <w:b w:val="0"/>
          <w:i w:val="0"/>
          <w:sz w:val="22"/>
          <w:szCs w:val="22"/>
        </w:rPr>
        <w:t>Odporúča</w:t>
      </w:r>
      <w:r>
        <w:rPr>
          <w:b w:val="0"/>
          <w:i w:val="0"/>
          <w:sz w:val="22"/>
          <w:szCs w:val="22"/>
        </w:rPr>
        <w:t xml:space="preserve">jú sa merania plazmatickej koncentrácie sulfametoxazolu v intervaloch 2 až 3 dni vo vzorkách získaných počas 12 hodín po podaní </w:t>
      </w:r>
      <w:r w:rsidR="00DA2F6F">
        <w:rPr>
          <w:b w:val="0"/>
          <w:i w:val="0"/>
          <w:sz w:val="22"/>
          <w:szCs w:val="22"/>
        </w:rPr>
        <w:t>BISEPTOLU</w:t>
      </w:r>
      <w:r>
        <w:rPr>
          <w:b w:val="0"/>
          <w:i w:val="0"/>
          <w:sz w:val="22"/>
          <w:szCs w:val="22"/>
        </w:rPr>
        <w:t xml:space="preserve"> 480.</w:t>
      </w:r>
    </w:p>
    <w:p w14:paraId="5AB10551" w14:textId="77777777" w:rsidR="00D01B52" w:rsidRDefault="00D01B52" w:rsidP="00EA37D1">
      <w:pPr>
        <w:pStyle w:val="Nagwek5"/>
        <w:numPr>
          <w:ilvl w:val="12"/>
          <w:numId w:val="0"/>
        </w:numPr>
        <w:spacing w:line="240" w:lineRule="auto"/>
        <w:jc w:val="left"/>
        <w:rPr>
          <w:b w:val="0"/>
          <w:i w:val="0"/>
          <w:sz w:val="22"/>
          <w:szCs w:val="22"/>
        </w:rPr>
      </w:pPr>
    </w:p>
    <w:p w14:paraId="5425D216" w14:textId="77777777" w:rsidR="00BC09CD" w:rsidRPr="002E6863" w:rsidRDefault="00BC09CD" w:rsidP="00EA37D1">
      <w:pPr>
        <w:pStyle w:val="Nagwek5"/>
        <w:numPr>
          <w:ilvl w:val="12"/>
          <w:numId w:val="0"/>
        </w:numPr>
        <w:spacing w:line="240" w:lineRule="auto"/>
        <w:jc w:val="left"/>
        <w:rPr>
          <w:b w:val="0"/>
          <w:i w:val="0"/>
          <w:sz w:val="22"/>
          <w:szCs w:val="22"/>
        </w:rPr>
      </w:pPr>
      <w:r w:rsidRPr="002E6863">
        <w:rPr>
          <w:b w:val="0"/>
          <w:i w:val="0"/>
          <w:sz w:val="22"/>
          <w:szCs w:val="22"/>
        </w:rPr>
        <w:t xml:space="preserve">Ak koncentrácia </w:t>
      </w:r>
      <w:r w:rsidR="009C55A0">
        <w:rPr>
          <w:b w:val="0"/>
          <w:i w:val="0"/>
          <w:sz w:val="22"/>
          <w:szCs w:val="22"/>
        </w:rPr>
        <w:t xml:space="preserve">celkového </w:t>
      </w:r>
      <w:r w:rsidRPr="002E6863">
        <w:rPr>
          <w:b w:val="0"/>
          <w:i w:val="0"/>
          <w:sz w:val="22"/>
          <w:szCs w:val="22"/>
        </w:rPr>
        <w:t>sulfametoxazolu prekr</w:t>
      </w:r>
      <w:r w:rsidR="009C55A0">
        <w:rPr>
          <w:b w:val="0"/>
          <w:i w:val="0"/>
          <w:sz w:val="22"/>
          <w:szCs w:val="22"/>
        </w:rPr>
        <w:t>očí</w:t>
      </w:r>
      <w:r w:rsidRPr="002E6863">
        <w:rPr>
          <w:b w:val="0"/>
          <w:i w:val="0"/>
          <w:sz w:val="22"/>
          <w:szCs w:val="22"/>
        </w:rPr>
        <w:t xml:space="preserve"> 150 mikrogramov/ml, </w:t>
      </w:r>
      <w:r w:rsidR="009C55A0">
        <w:rPr>
          <w:b w:val="0"/>
          <w:i w:val="0"/>
          <w:sz w:val="22"/>
          <w:szCs w:val="22"/>
        </w:rPr>
        <w:t>potom</w:t>
      </w:r>
      <w:r w:rsidRPr="002E6863">
        <w:rPr>
          <w:b w:val="0"/>
          <w:i w:val="0"/>
          <w:sz w:val="22"/>
          <w:szCs w:val="22"/>
        </w:rPr>
        <w:t xml:space="preserve"> sa </w:t>
      </w:r>
      <w:r w:rsidR="009C55A0">
        <w:rPr>
          <w:b w:val="0"/>
          <w:i w:val="0"/>
          <w:sz w:val="22"/>
          <w:szCs w:val="22"/>
        </w:rPr>
        <w:t xml:space="preserve">má </w:t>
      </w:r>
      <w:r w:rsidRPr="002E6863">
        <w:rPr>
          <w:b w:val="0"/>
          <w:i w:val="0"/>
          <w:sz w:val="22"/>
          <w:szCs w:val="22"/>
        </w:rPr>
        <w:t xml:space="preserve">liečba prerušiť dovtedy, kým koncentrácia neklesne </w:t>
      </w:r>
      <w:r w:rsidR="009C55A0">
        <w:rPr>
          <w:b w:val="0"/>
          <w:i w:val="0"/>
          <w:sz w:val="22"/>
          <w:szCs w:val="22"/>
        </w:rPr>
        <w:t>pod</w:t>
      </w:r>
      <w:r w:rsidRPr="002E6863">
        <w:rPr>
          <w:b w:val="0"/>
          <w:i w:val="0"/>
          <w:sz w:val="22"/>
          <w:szCs w:val="22"/>
        </w:rPr>
        <w:t xml:space="preserve"> 120 mikrogramov/ml.</w:t>
      </w:r>
    </w:p>
    <w:p w14:paraId="49F971C7" w14:textId="77777777" w:rsidR="00BC09CD" w:rsidRPr="002E6863" w:rsidRDefault="00BC09CD" w:rsidP="00EA37D1">
      <w:pPr>
        <w:pStyle w:val="Nagwek5"/>
        <w:numPr>
          <w:ilvl w:val="12"/>
          <w:numId w:val="0"/>
        </w:numPr>
        <w:spacing w:line="240" w:lineRule="auto"/>
        <w:jc w:val="left"/>
        <w:rPr>
          <w:b w:val="0"/>
          <w:i w:val="0"/>
          <w:sz w:val="22"/>
          <w:szCs w:val="22"/>
        </w:rPr>
      </w:pPr>
    </w:p>
    <w:p w14:paraId="018ECCB1" w14:textId="43ABB184" w:rsidR="00731B12" w:rsidRPr="00B01D0A" w:rsidRDefault="00BC09CD" w:rsidP="00EA37D1">
      <w:pPr>
        <w:pStyle w:val="Nagwek5"/>
        <w:numPr>
          <w:ilvl w:val="12"/>
          <w:numId w:val="0"/>
        </w:numPr>
        <w:spacing w:line="240" w:lineRule="auto"/>
        <w:jc w:val="left"/>
        <w:rPr>
          <w:b w:val="0"/>
          <w:sz w:val="22"/>
          <w:szCs w:val="22"/>
          <w:u w:val="single"/>
        </w:rPr>
      </w:pPr>
      <w:r w:rsidRPr="009C55A0">
        <w:rPr>
          <w:b w:val="0"/>
          <w:i w:val="0"/>
          <w:sz w:val="22"/>
          <w:szCs w:val="22"/>
          <w:u w:val="single"/>
        </w:rPr>
        <w:t xml:space="preserve">Pneumónia spôsobená </w:t>
      </w:r>
      <w:r w:rsidRPr="009C55A0">
        <w:rPr>
          <w:b w:val="0"/>
          <w:sz w:val="22"/>
          <w:szCs w:val="22"/>
          <w:u w:val="single"/>
        </w:rPr>
        <w:t>Pneumocystis jiroveci</w:t>
      </w:r>
    </w:p>
    <w:p w14:paraId="5E4F5D45" w14:textId="77777777" w:rsidR="00824B90" w:rsidRPr="00656B0D" w:rsidRDefault="00824B90" w:rsidP="00EA37D1">
      <w:pPr>
        <w:pStyle w:val="Tekstpodstawowy"/>
        <w:numPr>
          <w:ilvl w:val="12"/>
          <w:numId w:val="0"/>
        </w:numPr>
        <w:spacing w:line="240" w:lineRule="auto"/>
        <w:jc w:val="left"/>
        <w:rPr>
          <w:i/>
          <w:sz w:val="22"/>
          <w:szCs w:val="22"/>
        </w:rPr>
      </w:pPr>
    </w:p>
    <w:p w14:paraId="25B9F809" w14:textId="77777777" w:rsidR="00BC09CD" w:rsidRPr="002E6863" w:rsidRDefault="00BC09CD" w:rsidP="00EA37D1">
      <w:pPr>
        <w:pStyle w:val="Tekstpodstawowy"/>
        <w:numPr>
          <w:ilvl w:val="12"/>
          <w:numId w:val="0"/>
        </w:numPr>
        <w:spacing w:line="240" w:lineRule="auto"/>
        <w:jc w:val="left"/>
        <w:rPr>
          <w:i/>
          <w:sz w:val="22"/>
          <w:szCs w:val="22"/>
        </w:rPr>
      </w:pPr>
      <w:r w:rsidRPr="002E6863">
        <w:rPr>
          <w:i/>
          <w:sz w:val="22"/>
          <w:szCs w:val="22"/>
        </w:rPr>
        <w:t>Liečba:</w:t>
      </w:r>
    </w:p>
    <w:p w14:paraId="6A6D39A6" w14:textId="77777777" w:rsidR="00731B12" w:rsidRPr="002E6863" w:rsidRDefault="00731B12" w:rsidP="00EA37D1">
      <w:pPr>
        <w:pStyle w:val="Tekstpodstawowy"/>
        <w:numPr>
          <w:ilvl w:val="12"/>
          <w:numId w:val="0"/>
        </w:numPr>
        <w:spacing w:line="240" w:lineRule="auto"/>
        <w:jc w:val="left"/>
        <w:rPr>
          <w:sz w:val="22"/>
          <w:szCs w:val="22"/>
        </w:rPr>
      </w:pPr>
      <w:r w:rsidRPr="002E6863">
        <w:rPr>
          <w:sz w:val="22"/>
          <w:szCs w:val="22"/>
        </w:rPr>
        <w:t>100 mg sulfametoxazolu a 20 mg trimetoprim</w:t>
      </w:r>
      <w:r w:rsidR="00096ABF" w:rsidRPr="002E6863">
        <w:rPr>
          <w:sz w:val="22"/>
          <w:szCs w:val="22"/>
        </w:rPr>
        <w:t>u</w:t>
      </w:r>
      <w:r w:rsidR="00515F04">
        <w:rPr>
          <w:sz w:val="22"/>
          <w:szCs w:val="22"/>
        </w:rPr>
        <w:t xml:space="preserve"> na</w:t>
      </w:r>
      <w:r w:rsidR="00096ABF" w:rsidRPr="002E6863">
        <w:rPr>
          <w:sz w:val="22"/>
          <w:szCs w:val="22"/>
        </w:rPr>
        <w:t xml:space="preserve"> </w:t>
      </w:r>
      <w:r w:rsidRPr="002E6863">
        <w:rPr>
          <w:sz w:val="22"/>
          <w:szCs w:val="22"/>
        </w:rPr>
        <w:t xml:space="preserve">kg telesnej hmotnosti denne </w:t>
      </w:r>
      <w:r w:rsidR="008450E1" w:rsidRPr="002E6863">
        <w:rPr>
          <w:sz w:val="22"/>
          <w:szCs w:val="22"/>
        </w:rPr>
        <w:t xml:space="preserve">podávaných </w:t>
      </w:r>
      <w:r w:rsidR="009C55A0">
        <w:rPr>
          <w:sz w:val="22"/>
          <w:szCs w:val="22"/>
        </w:rPr>
        <w:t xml:space="preserve">v dvoch alebo viacerých rozdelených </w:t>
      </w:r>
      <w:r w:rsidRPr="002E6863">
        <w:rPr>
          <w:sz w:val="22"/>
          <w:szCs w:val="22"/>
        </w:rPr>
        <w:t>dávkach</w:t>
      </w:r>
      <w:r w:rsidR="008450E1" w:rsidRPr="002E6863">
        <w:rPr>
          <w:sz w:val="22"/>
          <w:szCs w:val="22"/>
        </w:rPr>
        <w:t>.</w:t>
      </w:r>
      <w:r w:rsidRPr="002E6863">
        <w:rPr>
          <w:sz w:val="22"/>
          <w:szCs w:val="22"/>
        </w:rPr>
        <w:t xml:space="preserve"> </w:t>
      </w:r>
      <w:r w:rsidR="009C55A0">
        <w:rPr>
          <w:sz w:val="22"/>
          <w:szCs w:val="22"/>
        </w:rPr>
        <w:t>Hneď ako je to možné, liečba sa má zmeniť na perorálnu a má trvať počas dvoch týždňov. Snahou je dosiahnuť maximálne plazmatické alebo sérové hladiny trimetoprimu vyššie alebo rovné 5 mikrogramom/ml (</w:t>
      </w:r>
      <w:r w:rsidR="009E799F">
        <w:rPr>
          <w:sz w:val="22"/>
          <w:szCs w:val="22"/>
        </w:rPr>
        <w:t>potvrdené</w:t>
      </w:r>
      <w:r w:rsidR="009C55A0">
        <w:rPr>
          <w:sz w:val="22"/>
          <w:szCs w:val="22"/>
        </w:rPr>
        <w:t xml:space="preserve"> u pacientov dostávajúcich 1-hodinovú i</w:t>
      </w:r>
      <w:r w:rsidR="00154EB4">
        <w:rPr>
          <w:sz w:val="22"/>
          <w:szCs w:val="22"/>
        </w:rPr>
        <w:t xml:space="preserve">ntravenóznu infúziu </w:t>
      </w:r>
      <w:r w:rsidR="00DA2F6F">
        <w:rPr>
          <w:sz w:val="22"/>
          <w:szCs w:val="22"/>
        </w:rPr>
        <w:t>BISEPTOLU</w:t>
      </w:r>
      <w:r w:rsidR="00154EB4">
        <w:rPr>
          <w:sz w:val="22"/>
          <w:szCs w:val="22"/>
        </w:rPr>
        <w:t xml:space="preserve"> 48</w:t>
      </w:r>
      <w:r w:rsidR="009C55A0">
        <w:rPr>
          <w:sz w:val="22"/>
          <w:szCs w:val="22"/>
        </w:rPr>
        <w:t>0 (pozri časť 4.8</w:t>
      </w:r>
      <w:r w:rsidR="00FA780B">
        <w:rPr>
          <w:sz w:val="22"/>
          <w:szCs w:val="22"/>
        </w:rPr>
        <w:t xml:space="preserve"> Nežiaduce účinky</w:t>
      </w:r>
      <w:r w:rsidR="009C55A0">
        <w:rPr>
          <w:sz w:val="22"/>
          <w:szCs w:val="22"/>
        </w:rPr>
        <w:t>).</w:t>
      </w:r>
    </w:p>
    <w:p w14:paraId="7B4980F9" w14:textId="77777777" w:rsidR="00C70A38" w:rsidRPr="002E6863" w:rsidRDefault="00C70A38" w:rsidP="00EA37D1">
      <w:pPr>
        <w:numPr>
          <w:ilvl w:val="12"/>
          <w:numId w:val="0"/>
        </w:numPr>
        <w:rPr>
          <w:sz w:val="22"/>
          <w:szCs w:val="22"/>
        </w:rPr>
      </w:pPr>
    </w:p>
    <w:p w14:paraId="4DE5D155" w14:textId="77777777" w:rsidR="008450E1" w:rsidRPr="002E6863" w:rsidRDefault="008450E1" w:rsidP="00EA37D1">
      <w:pPr>
        <w:numPr>
          <w:ilvl w:val="12"/>
          <w:numId w:val="0"/>
        </w:numPr>
        <w:rPr>
          <w:i/>
          <w:sz w:val="22"/>
          <w:szCs w:val="22"/>
        </w:rPr>
      </w:pPr>
      <w:r w:rsidRPr="002E6863">
        <w:rPr>
          <w:i/>
          <w:sz w:val="22"/>
          <w:szCs w:val="22"/>
        </w:rPr>
        <w:t>Prevencia:</w:t>
      </w:r>
    </w:p>
    <w:p w14:paraId="049C93E8" w14:textId="0AE14E7E" w:rsidR="008450E1" w:rsidRPr="002E6863" w:rsidRDefault="00535A2E" w:rsidP="00EA37D1">
      <w:pPr>
        <w:numPr>
          <w:ilvl w:val="12"/>
          <w:numId w:val="0"/>
        </w:numPr>
        <w:rPr>
          <w:sz w:val="22"/>
          <w:szCs w:val="22"/>
        </w:rPr>
      </w:pPr>
      <w:r>
        <w:rPr>
          <w:sz w:val="22"/>
          <w:szCs w:val="22"/>
        </w:rPr>
        <w:t>Štandardn</w:t>
      </w:r>
      <w:r w:rsidRPr="002E6863">
        <w:rPr>
          <w:sz w:val="22"/>
          <w:szCs w:val="22"/>
        </w:rPr>
        <w:t xml:space="preserve">é </w:t>
      </w:r>
      <w:r w:rsidR="008450E1" w:rsidRPr="002E6863">
        <w:rPr>
          <w:sz w:val="22"/>
          <w:szCs w:val="22"/>
        </w:rPr>
        <w:t xml:space="preserve">dávkovanie </w:t>
      </w:r>
      <w:r w:rsidR="00B01D0A">
        <w:rPr>
          <w:sz w:val="22"/>
          <w:szCs w:val="22"/>
        </w:rPr>
        <w:t xml:space="preserve">ako v prípade </w:t>
      </w:r>
      <w:r>
        <w:rPr>
          <w:sz w:val="22"/>
          <w:szCs w:val="22"/>
        </w:rPr>
        <w:t>akútnych infekcií</w:t>
      </w:r>
      <w:r w:rsidR="00B01D0A">
        <w:rPr>
          <w:sz w:val="22"/>
          <w:szCs w:val="22"/>
        </w:rPr>
        <w:t xml:space="preserve"> </w:t>
      </w:r>
      <w:r w:rsidR="008450E1" w:rsidRPr="002E6863">
        <w:rPr>
          <w:sz w:val="22"/>
          <w:szCs w:val="22"/>
        </w:rPr>
        <w:t>počas trvania rizika.</w:t>
      </w:r>
    </w:p>
    <w:p w14:paraId="05E2DF96" w14:textId="77777777" w:rsidR="008450E1" w:rsidRDefault="008450E1" w:rsidP="00EA37D1">
      <w:pPr>
        <w:numPr>
          <w:ilvl w:val="12"/>
          <w:numId w:val="0"/>
        </w:numPr>
        <w:rPr>
          <w:sz w:val="22"/>
          <w:szCs w:val="22"/>
        </w:rPr>
      </w:pPr>
    </w:p>
    <w:p w14:paraId="6BA828B9" w14:textId="77777777" w:rsidR="009C55A0" w:rsidRPr="009C55A0" w:rsidRDefault="009C55A0" w:rsidP="00EA37D1">
      <w:pPr>
        <w:numPr>
          <w:ilvl w:val="12"/>
          <w:numId w:val="0"/>
        </w:numPr>
        <w:rPr>
          <w:sz w:val="22"/>
          <w:szCs w:val="22"/>
          <w:u w:val="single"/>
        </w:rPr>
      </w:pPr>
      <w:r w:rsidRPr="009C55A0">
        <w:rPr>
          <w:sz w:val="22"/>
          <w:szCs w:val="22"/>
          <w:u w:val="single"/>
        </w:rPr>
        <w:t>Nokardióza:</w:t>
      </w:r>
    </w:p>
    <w:p w14:paraId="2D2F39FE" w14:textId="008CDE11" w:rsidR="009C55A0" w:rsidRDefault="00606360" w:rsidP="00EA37D1">
      <w:pPr>
        <w:numPr>
          <w:ilvl w:val="12"/>
          <w:numId w:val="0"/>
        </w:numPr>
        <w:rPr>
          <w:sz w:val="22"/>
          <w:szCs w:val="22"/>
        </w:rPr>
      </w:pPr>
      <w:r>
        <w:rPr>
          <w:sz w:val="22"/>
          <w:szCs w:val="22"/>
        </w:rPr>
        <w:lastRenderedPageBreak/>
        <w:t>O najvodnejšom dávkovaní neexistuje zhoda názorov</w:t>
      </w:r>
      <w:r w:rsidR="009C55A0">
        <w:rPr>
          <w:sz w:val="22"/>
          <w:szCs w:val="22"/>
        </w:rPr>
        <w:t xml:space="preserve">. Dospelým sa podávali dávky </w:t>
      </w:r>
      <w:r w:rsidR="00CB4B15">
        <w:rPr>
          <w:sz w:val="22"/>
          <w:szCs w:val="22"/>
        </w:rPr>
        <w:t>480 mg trimetoprimu /2 400 mg sulfametoxazolu až 640 mg</w:t>
      </w:r>
      <w:r w:rsidR="009C55A0">
        <w:rPr>
          <w:sz w:val="22"/>
          <w:szCs w:val="22"/>
        </w:rPr>
        <w:t xml:space="preserve"> </w:t>
      </w:r>
      <w:r w:rsidR="00CB4B15">
        <w:rPr>
          <w:sz w:val="22"/>
          <w:szCs w:val="22"/>
        </w:rPr>
        <w:t xml:space="preserve">trimetoprimu / 3 200 mg sulfametoxazolu </w:t>
      </w:r>
      <w:r w:rsidR="009C55A0">
        <w:rPr>
          <w:sz w:val="22"/>
          <w:szCs w:val="22"/>
        </w:rPr>
        <w:t>den</w:t>
      </w:r>
      <w:r w:rsidR="004E76AE">
        <w:rPr>
          <w:sz w:val="22"/>
          <w:szCs w:val="22"/>
        </w:rPr>
        <w:t>n</w:t>
      </w:r>
      <w:r w:rsidR="009C55A0">
        <w:rPr>
          <w:sz w:val="22"/>
          <w:szCs w:val="22"/>
        </w:rPr>
        <w:t>e až do 3 mesiacov (jedna tableta obsahuje 400 mg sulfametoxazolu a 80 mg trimetoprimu).</w:t>
      </w:r>
    </w:p>
    <w:p w14:paraId="07D097A0" w14:textId="77777777" w:rsidR="009C55A0" w:rsidRPr="002E6863" w:rsidRDefault="009C55A0" w:rsidP="00EA37D1">
      <w:pPr>
        <w:numPr>
          <w:ilvl w:val="12"/>
          <w:numId w:val="0"/>
        </w:numPr>
        <w:rPr>
          <w:sz w:val="22"/>
          <w:szCs w:val="22"/>
        </w:rPr>
      </w:pPr>
    </w:p>
    <w:p w14:paraId="68557A23" w14:textId="77777777" w:rsidR="008450E1" w:rsidRPr="009C55A0" w:rsidRDefault="008450E1" w:rsidP="00EA37D1">
      <w:pPr>
        <w:numPr>
          <w:ilvl w:val="12"/>
          <w:numId w:val="0"/>
        </w:numPr>
        <w:rPr>
          <w:sz w:val="22"/>
          <w:szCs w:val="22"/>
          <w:u w:val="single"/>
        </w:rPr>
      </w:pPr>
      <w:r w:rsidRPr="009C55A0">
        <w:rPr>
          <w:sz w:val="22"/>
          <w:szCs w:val="22"/>
          <w:u w:val="single"/>
        </w:rPr>
        <w:t>Toxoplazmóza</w:t>
      </w:r>
    </w:p>
    <w:p w14:paraId="323B8694" w14:textId="77777777" w:rsidR="008450E1" w:rsidRPr="002E6863" w:rsidRDefault="008450E1" w:rsidP="00EA37D1">
      <w:pPr>
        <w:pStyle w:val="Nagwek4"/>
        <w:numPr>
          <w:ilvl w:val="12"/>
          <w:numId w:val="0"/>
        </w:numPr>
        <w:spacing w:line="240" w:lineRule="auto"/>
        <w:jc w:val="left"/>
        <w:rPr>
          <w:sz w:val="22"/>
          <w:szCs w:val="22"/>
          <w:u w:val="none"/>
        </w:rPr>
      </w:pPr>
      <w:r w:rsidRPr="002E6863">
        <w:rPr>
          <w:sz w:val="22"/>
          <w:szCs w:val="22"/>
          <w:u w:val="none"/>
        </w:rPr>
        <w:t>O najvhodnejšom dávkovaní na liečbu a</w:t>
      </w:r>
      <w:r w:rsidR="009E799F">
        <w:rPr>
          <w:sz w:val="22"/>
          <w:szCs w:val="22"/>
          <w:u w:val="none"/>
        </w:rPr>
        <w:t>lebo</w:t>
      </w:r>
      <w:r w:rsidRPr="002E6863">
        <w:rPr>
          <w:sz w:val="22"/>
          <w:szCs w:val="22"/>
          <w:u w:val="none"/>
        </w:rPr>
        <w:t xml:space="preserve"> prevenciu toxoplazmózy neexistuje zhoda názorov. Rozhodnutie je založené na klinických skúsenostiach. </w:t>
      </w:r>
    </w:p>
    <w:p w14:paraId="069E70CF" w14:textId="372FDEAF" w:rsidR="00F059DB" w:rsidRDefault="00E30345" w:rsidP="00EA37D1">
      <w:pPr>
        <w:rPr>
          <w:sz w:val="22"/>
          <w:szCs w:val="22"/>
        </w:rPr>
      </w:pPr>
      <w:r w:rsidRPr="002E6863">
        <w:rPr>
          <w:sz w:val="22"/>
          <w:szCs w:val="22"/>
        </w:rPr>
        <w:t xml:space="preserve">Na prevenciu </w:t>
      </w:r>
      <w:r w:rsidR="00154EB4">
        <w:rPr>
          <w:sz w:val="22"/>
          <w:szCs w:val="22"/>
        </w:rPr>
        <w:t>sa</w:t>
      </w:r>
      <w:r w:rsidRPr="002E6863">
        <w:rPr>
          <w:sz w:val="22"/>
          <w:szCs w:val="22"/>
        </w:rPr>
        <w:t xml:space="preserve"> odporúča </w:t>
      </w:r>
      <w:r w:rsidR="00154EB4">
        <w:rPr>
          <w:sz w:val="22"/>
          <w:szCs w:val="22"/>
        </w:rPr>
        <w:t xml:space="preserve">použiť navrhnuté </w:t>
      </w:r>
      <w:r w:rsidRPr="002E6863">
        <w:rPr>
          <w:sz w:val="22"/>
          <w:szCs w:val="22"/>
        </w:rPr>
        <w:t xml:space="preserve">dávkovanie používané na prevenciu pneumónie spôsobenej </w:t>
      </w:r>
      <w:r w:rsidRPr="002E6863">
        <w:rPr>
          <w:i/>
          <w:sz w:val="22"/>
          <w:szCs w:val="22"/>
        </w:rPr>
        <w:t xml:space="preserve">Pneumocystis jiroveci </w:t>
      </w:r>
      <w:r w:rsidRPr="002E6863">
        <w:rPr>
          <w:sz w:val="22"/>
          <w:szCs w:val="22"/>
        </w:rPr>
        <w:t>(P</w:t>
      </w:r>
      <w:r w:rsidR="007042B1">
        <w:rPr>
          <w:sz w:val="22"/>
          <w:szCs w:val="22"/>
        </w:rPr>
        <w:t>J</w:t>
      </w:r>
      <w:r w:rsidRPr="002E6863">
        <w:rPr>
          <w:sz w:val="22"/>
          <w:szCs w:val="22"/>
        </w:rPr>
        <w:t>P).</w:t>
      </w:r>
      <w:r w:rsidR="00CB4B15">
        <w:rPr>
          <w:sz w:val="22"/>
          <w:szCs w:val="22"/>
        </w:rPr>
        <w:t xml:space="preserve"> </w:t>
      </w:r>
    </w:p>
    <w:p w14:paraId="0BE79F79" w14:textId="77777777" w:rsidR="005D7E72" w:rsidRDefault="00F059DB" w:rsidP="00EA37D1">
      <w:pPr>
        <w:rPr>
          <w:sz w:val="22"/>
          <w:szCs w:val="22"/>
        </w:rPr>
      </w:pPr>
      <w:r>
        <w:rPr>
          <w:sz w:val="22"/>
          <w:szCs w:val="22"/>
        </w:rPr>
        <w:t xml:space="preserve">Na prevenciu </w:t>
      </w:r>
      <w:r w:rsidR="005B1B2E">
        <w:rPr>
          <w:sz w:val="22"/>
          <w:szCs w:val="22"/>
        </w:rPr>
        <w:t xml:space="preserve">toxoplazmózy u </w:t>
      </w:r>
      <w:r>
        <w:rPr>
          <w:sz w:val="22"/>
          <w:szCs w:val="22"/>
        </w:rPr>
        <w:t xml:space="preserve"> pacientov s HIV boli </w:t>
      </w:r>
      <w:r w:rsidR="005B1B2E">
        <w:rPr>
          <w:sz w:val="22"/>
          <w:szCs w:val="22"/>
        </w:rPr>
        <w:t>použité d</w:t>
      </w:r>
      <w:r w:rsidR="00CB4B15">
        <w:rPr>
          <w:sz w:val="22"/>
          <w:szCs w:val="22"/>
        </w:rPr>
        <w:t>ávky 480 mg alebo 960 mg trimetoprimu/sulfametoxazolu</w:t>
      </w:r>
      <w:r>
        <w:rPr>
          <w:sz w:val="22"/>
          <w:szCs w:val="22"/>
        </w:rPr>
        <w:t xml:space="preserve"> podávané dvakrát denne po dobu 3 mesiacov</w:t>
      </w:r>
      <w:r w:rsidR="005D7E72">
        <w:rPr>
          <w:sz w:val="22"/>
          <w:szCs w:val="22"/>
        </w:rPr>
        <w:t>.</w:t>
      </w:r>
      <w:r w:rsidR="005B1B2E">
        <w:rPr>
          <w:sz w:val="22"/>
          <w:szCs w:val="22"/>
        </w:rPr>
        <w:t xml:space="preserve"> </w:t>
      </w:r>
    </w:p>
    <w:p w14:paraId="41F0AB5D" w14:textId="2CC5EECB" w:rsidR="005D7E72" w:rsidRDefault="005D7E72" w:rsidP="00EA37D1">
      <w:pPr>
        <w:rPr>
          <w:sz w:val="22"/>
          <w:szCs w:val="22"/>
        </w:rPr>
      </w:pPr>
      <w:r>
        <w:rPr>
          <w:sz w:val="22"/>
          <w:szCs w:val="22"/>
        </w:rPr>
        <w:t>N</w:t>
      </w:r>
      <w:r w:rsidR="005B1B2E">
        <w:rPr>
          <w:sz w:val="22"/>
          <w:szCs w:val="22"/>
        </w:rPr>
        <w:t>a liečbu</w:t>
      </w:r>
      <w:r w:rsidR="00F059DB">
        <w:rPr>
          <w:sz w:val="22"/>
          <w:szCs w:val="22"/>
        </w:rPr>
        <w:t xml:space="preserve"> </w:t>
      </w:r>
      <w:r>
        <w:rPr>
          <w:sz w:val="22"/>
          <w:szCs w:val="22"/>
        </w:rPr>
        <w:t>toxoplazmózy u </w:t>
      </w:r>
      <w:r w:rsidR="005B1B2E">
        <w:rPr>
          <w:sz w:val="22"/>
          <w:szCs w:val="22"/>
        </w:rPr>
        <w:t>pacientov</w:t>
      </w:r>
      <w:r>
        <w:rPr>
          <w:sz w:val="22"/>
          <w:szCs w:val="22"/>
        </w:rPr>
        <w:t xml:space="preserve"> s HIV</w:t>
      </w:r>
      <w:r w:rsidR="005B1B2E">
        <w:rPr>
          <w:sz w:val="22"/>
          <w:szCs w:val="22"/>
        </w:rPr>
        <w:t xml:space="preserve"> boli použité </w:t>
      </w:r>
      <w:r w:rsidR="00F059DB">
        <w:rPr>
          <w:sz w:val="22"/>
          <w:szCs w:val="22"/>
        </w:rPr>
        <w:t xml:space="preserve">dávky </w:t>
      </w:r>
      <w:r>
        <w:rPr>
          <w:sz w:val="22"/>
          <w:szCs w:val="22"/>
        </w:rPr>
        <w:t>trimetoprimu/sulfametoxazolu:</w:t>
      </w:r>
    </w:p>
    <w:p w14:paraId="30A6AAE4" w14:textId="4066B36B" w:rsidR="00E30345" w:rsidRPr="002E6863" w:rsidRDefault="00F059DB" w:rsidP="00EA37D1">
      <w:pPr>
        <w:rPr>
          <w:sz w:val="22"/>
          <w:szCs w:val="22"/>
        </w:rPr>
      </w:pPr>
      <w:r>
        <w:rPr>
          <w:sz w:val="22"/>
          <w:szCs w:val="22"/>
        </w:rPr>
        <w:t xml:space="preserve">40 mg/kg telesnej hmotnosti a deň </w:t>
      </w:r>
      <w:r w:rsidR="005D7E72">
        <w:rPr>
          <w:sz w:val="22"/>
          <w:szCs w:val="22"/>
        </w:rPr>
        <w:t>alebo 120 mg/kg telesnej hmotnosti a deň, počas 25 dní (priemerná doba trvania liečby).</w:t>
      </w:r>
    </w:p>
    <w:p w14:paraId="04F6BF7A" w14:textId="77777777" w:rsidR="008450E1" w:rsidRPr="002E6863" w:rsidRDefault="008450E1" w:rsidP="00EA37D1">
      <w:pPr>
        <w:pStyle w:val="Nagwek4"/>
        <w:numPr>
          <w:ilvl w:val="12"/>
          <w:numId w:val="0"/>
        </w:numPr>
        <w:spacing w:line="240" w:lineRule="auto"/>
        <w:jc w:val="left"/>
        <w:rPr>
          <w:sz w:val="22"/>
          <w:szCs w:val="22"/>
        </w:rPr>
      </w:pPr>
    </w:p>
    <w:p w14:paraId="091C6C36" w14:textId="77777777" w:rsidR="00731B12" w:rsidRDefault="00606360" w:rsidP="00EA37D1">
      <w:pPr>
        <w:tabs>
          <w:tab w:val="left" w:pos="420"/>
        </w:tabs>
        <w:rPr>
          <w:sz w:val="22"/>
          <w:szCs w:val="22"/>
          <w:u w:val="single"/>
        </w:rPr>
      </w:pPr>
      <w:r>
        <w:rPr>
          <w:sz w:val="22"/>
          <w:szCs w:val="22"/>
          <w:u w:val="single"/>
        </w:rPr>
        <w:t>Spôsob podávania</w:t>
      </w:r>
    </w:p>
    <w:p w14:paraId="227012A2" w14:textId="77777777" w:rsidR="00C42771" w:rsidRDefault="00C42771" w:rsidP="00EA37D1">
      <w:pPr>
        <w:tabs>
          <w:tab w:val="left" w:pos="420"/>
        </w:tabs>
        <w:rPr>
          <w:sz w:val="22"/>
          <w:szCs w:val="22"/>
        </w:rPr>
      </w:pPr>
    </w:p>
    <w:p w14:paraId="4087A17A" w14:textId="77777777" w:rsidR="00606360" w:rsidRDefault="00DA2F6F" w:rsidP="00EA37D1">
      <w:pPr>
        <w:tabs>
          <w:tab w:val="left" w:pos="420"/>
        </w:tabs>
        <w:rPr>
          <w:sz w:val="22"/>
          <w:szCs w:val="22"/>
        </w:rPr>
      </w:pPr>
      <w:r>
        <w:rPr>
          <w:sz w:val="22"/>
          <w:szCs w:val="22"/>
        </w:rPr>
        <w:t xml:space="preserve">BISEPTOL </w:t>
      </w:r>
      <w:r w:rsidR="00606360">
        <w:rPr>
          <w:sz w:val="22"/>
          <w:szCs w:val="22"/>
        </w:rPr>
        <w:t>480 koncentrát na infúzny roztok je určený výhradne na intravenózne podávanie a pred sa podaním sa musí riediť.</w:t>
      </w:r>
    </w:p>
    <w:p w14:paraId="2E4A89E2" w14:textId="77777777" w:rsidR="00606360" w:rsidRDefault="00606360" w:rsidP="00EA37D1">
      <w:pPr>
        <w:tabs>
          <w:tab w:val="left" w:pos="420"/>
        </w:tabs>
        <w:rPr>
          <w:sz w:val="22"/>
          <w:szCs w:val="22"/>
        </w:rPr>
      </w:pPr>
    </w:p>
    <w:p w14:paraId="7C985E4B" w14:textId="77777777" w:rsidR="00606360" w:rsidRDefault="00DA2F6F" w:rsidP="00EA37D1">
      <w:pPr>
        <w:tabs>
          <w:tab w:val="left" w:pos="420"/>
        </w:tabs>
        <w:rPr>
          <w:sz w:val="22"/>
          <w:szCs w:val="22"/>
        </w:rPr>
      </w:pPr>
      <w:r>
        <w:rPr>
          <w:sz w:val="22"/>
          <w:szCs w:val="22"/>
        </w:rPr>
        <w:t xml:space="preserve">BISEPTOL </w:t>
      </w:r>
      <w:r w:rsidR="00606360">
        <w:rPr>
          <w:sz w:val="22"/>
          <w:szCs w:val="22"/>
        </w:rPr>
        <w:t xml:space="preserve">480 je určený len na podávanie počas obdobia, kedy pacient nie je schopný perorálnej liečby, keď začiatok liečby je zvlášť urgentný alebo pre pohodlie pacienta, ak pacient zároveň dostáva intravenózne tekutiny. Hoci </w:t>
      </w:r>
      <w:r>
        <w:rPr>
          <w:sz w:val="22"/>
          <w:szCs w:val="22"/>
        </w:rPr>
        <w:t>BISEPTOL</w:t>
      </w:r>
      <w:r w:rsidR="00606360">
        <w:rPr>
          <w:sz w:val="22"/>
          <w:szCs w:val="22"/>
        </w:rPr>
        <w:t xml:space="preserve"> 480 sa používa u kriticky chorých pacientov, nemožno očakávať terapeutickú výhodu v porovnaní s perorálnymi liekmi.</w:t>
      </w:r>
    </w:p>
    <w:p w14:paraId="7C66501D" w14:textId="77777777" w:rsidR="00606360" w:rsidRDefault="00606360" w:rsidP="00EA37D1">
      <w:pPr>
        <w:tabs>
          <w:tab w:val="left" w:pos="420"/>
        </w:tabs>
        <w:rPr>
          <w:sz w:val="22"/>
          <w:szCs w:val="22"/>
        </w:rPr>
      </w:pPr>
    </w:p>
    <w:p w14:paraId="7C1C65E3" w14:textId="77777777" w:rsidR="00606360" w:rsidRDefault="00606360" w:rsidP="00EA37D1">
      <w:pPr>
        <w:tabs>
          <w:tab w:val="left" w:pos="420"/>
        </w:tabs>
        <w:rPr>
          <w:sz w:val="22"/>
          <w:szCs w:val="22"/>
        </w:rPr>
      </w:pPr>
      <w:r>
        <w:rPr>
          <w:sz w:val="22"/>
          <w:szCs w:val="22"/>
        </w:rPr>
        <w:t>Pokyny na riedenie lieku pred podaním, pozri časť 6.6.</w:t>
      </w:r>
    </w:p>
    <w:p w14:paraId="687DB152" w14:textId="77777777" w:rsidR="00606360" w:rsidRPr="00606360" w:rsidRDefault="00606360" w:rsidP="002E6863">
      <w:pPr>
        <w:tabs>
          <w:tab w:val="left" w:pos="420"/>
        </w:tabs>
        <w:jc w:val="both"/>
        <w:rPr>
          <w:sz w:val="22"/>
          <w:szCs w:val="22"/>
        </w:rPr>
      </w:pPr>
    </w:p>
    <w:p w14:paraId="39087A5F" w14:textId="77777777" w:rsidR="00731B12" w:rsidRPr="002E6863" w:rsidRDefault="00EA37D1" w:rsidP="00EA37D1">
      <w:pPr>
        <w:tabs>
          <w:tab w:val="left" w:pos="567"/>
        </w:tabs>
        <w:rPr>
          <w:b/>
          <w:sz w:val="22"/>
          <w:szCs w:val="22"/>
        </w:rPr>
      </w:pPr>
      <w:r>
        <w:rPr>
          <w:b/>
          <w:sz w:val="22"/>
          <w:szCs w:val="22"/>
        </w:rPr>
        <w:t>4.3</w:t>
      </w:r>
      <w:r w:rsidR="00E30345" w:rsidRPr="002E6863">
        <w:rPr>
          <w:b/>
          <w:sz w:val="22"/>
          <w:szCs w:val="22"/>
        </w:rPr>
        <w:tab/>
      </w:r>
      <w:r w:rsidR="00731B12" w:rsidRPr="002E6863">
        <w:rPr>
          <w:b/>
          <w:sz w:val="22"/>
          <w:szCs w:val="22"/>
        </w:rPr>
        <w:t>Kontraindikácie</w:t>
      </w:r>
    </w:p>
    <w:p w14:paraId="154B515A" w14:textId="77777777" w:rsidR="00E30345" w:rsidRPr="00AB2620" w:rsidRDefault="00E30345" w:rsidP="00EA37D1">
      <w:pPr>
        <w:tabs>
          <w:tab w:val="left" w:pos="567"/>
        </w:tabs>
        <w:rPr>
          <w:sz w:val="22"/>
          <w:szCs w:val="22"/>
        </w:rPr>
      </w:pPr>
    </w:p>
    <w:p w14:paraId="057C9E13" w14:textId="412AD938" w:rsidR="00731B12" w:rsidRPr="002E6863" w:rsidRDefault="007042B1" w:rsidP="00EA37D1">
      <w:pPr>
        <w:numPr>
          <w:ilvl w:val="0"/>
          <w:numId w:val="6"/>
        </w:numPr>
        <w:ind w:left="426"/>
        <w:rPr>
          <w:sz w:val="22"/>
          <w:szCs w:val="22"/>
        </w:rPr>
      </w:pPr>
      <w:r>
        <w:rPr>
          <w:sz w:val="22"/>
          <w:szCs w:val="22"/>
        </w:rPr>
        <w:t>P</w:t>
      </w:r>
      <w:r w:rsidR="00731B12" w:rsidRPr="002E6863">
        <w:rPr>
          <w:sz w:val="22"/>
          <w:szCs w:val="22"/>
        </w:rPr>
        <w:t xml:space="preserve">recitlivenosť na </w:t>
      </w:r>
      <w:r>
        <w:rPr>
          <w:sz w:val="22"/>
          <w:szCs w:val="22"/>
        </w:rPr>
        <w:t xml:space="preserve">liečivo (liečivá) </w:t>
      </w:r>
      <w:r w:rsidR="00FD0546" w:rsidRPr="002E6863">
        <w:rPr>
          <w:sz w:val="22"/>
          <w:szCs w:val="22"/>
        </w:rPr>
        <w:t>sulfónamidy</w:t>
      </w:r>
      <w:r w:rsidR="00731B12" w:rsidRPr="002E6863">
        <w:rPr>
          <w:sz w:val="22"/>
          <w:szCs w:val="22"/>
        </w:rPr>
        <w:t>, trimetoprim</w:t>
      </w:r>
      <w:r w:rsidR="00E30345" w:rsidRPr="002E6863">
        <w:rPr>
          <w:sz w:val="22"/>
          <w:szCs w:val="22"/>
        </w:rPr>
        <w:t>, kotrimoxazol</w:t>
      </w:r>
      <w:r w:rsidR="00731B12" w:rsidRPr="002E6863">
        <w:rPr>
          <w:sz w:val="22"/>
          <w:szCs w:val="22"/>
        </w:rPr>
        <w:t xml:space="preserve"> alebo </w:t>
      </w:r>
      <w:r w:rsidR="003C3226">
        <w:rPr>
          <w:sz w:val="22"/>
          <w:szCs w:val="22"/>
        </w:rPr>
        <w:t xml:space="preserve">na ktorúkoľvek z </w:t>
      </w:r>
      <w:r w:rsidR="00731B12" w:rsidRPr="002E6863">
        <w:rPr>
          <w:sz w:val="22"/>
          <w:szCs w:val="22"/>
        </w:rPr>
        <w:t>pomocn</w:t>
      </w:r>
      <w:r w:rsidR="003C3226">
        <w:rPr>
          <w:sz w:val="22"/>
          <w:szCs w:val="22"/>
        </w:rPr>
        <w:t>ých</w:t>
      </w:r>
      <w:r w:rsidR="00731B12" w:rsidRPr="002E6863">
        <w:rPr>
          <w:sz w:val="22"/>
          <w:szCs w:val="22"/>
        </w:rPr>
        <w:t xml:space="preserve"> lát</w:t>
      </w:r>
      <w:r w:rsidR="003C3226">
        <w:rPr>
          <w:sz w:val="22"/>
          <w:szCs w:val="22"/>
        </w:rPr>
        <w:t>o</w:t>
      </w:r>
      <w:r w:rsidR="00731B12" w:rsidRPr="002E6863">
        <w:rPr>
          <w:sz w:val="22"/>
          <w:szCs w:val="22"/>
        </w:rPr>
        <w:t xml:space="preserve">k </w:t>
      </w:r>
      <w:r w:rsidR="003C3226">
        <w:rPr>
          <w:sz w:val="22"/>
          <w:szCs w:val="22"/>
        </w:rPr>
        <w:t>uvedených v časti 6.1</w:t>
      </w:r>
      <w:r w:rsidR="00731B12" w:rsidRPr="002E6863">
        <w:rPr>
          <w:sz w:val="22"/>
          <w:szCs w:val="22"/>
        </w:rPr>
        <w:t>.</w:t>
      </w:r>
    </w:p>
    <w:p w14:paraId="18C8F11B" w14:textId="3EFDE943" w:rsidR="00E30345" w:rsidRPr="002E6863" w:rsidRDefault="00856EFB" w:rsidP="00EA37D1">
      <w:pPr>
        <w:numPr>
          <w:ilvl w:val="0"/>
          <w:numId w:val="6"/>
        </w:numPr>
        <w:ind w:left="426"/>
        <w:rPr>
          <w:sz w:val="22"/>
          <w:szCs w:val="22"/>
        </w:rPr>
      </w:pPr>
      <w:r>
        <w:rPr>
          <w:sz w:val="22"/>
          <w:szCs w:val="22"/>
        </w:rPr>
        <w:t>Z</w:t>
      </w:r>
      <w:r w:rsidR="00612D39">
        <w:rPr>
          <w:sz w:val="22"/>
          <w:szCs w:val="22"/>
        </w:rPr>
        <w:t>ávažná porucha funkcie</w:t>
      </w:r>
      <w:r w:rsidR="00E30345" w:rsidRPr="002E6863">
        <w:rPr>
          <w:sz w:val="22"/>
          <w:szCs w:val="22"/>
        </w:rPr>
        <w:t xml:space="preserve"> pečene.</w:t>
      </w:r>
    </w:p>
    <w:p w14:paraId="6FD6671B" w14:textId="2DEA7D91" w:rsidR="00DA2F6F" w:rsidRDefault="00856EFB" w:rsidP="00DA2F6F">
      <w:pPr>
        <w:numPr>
          <w:ilvl w:val="0"/>
          <w:numId w:val="6"/>
        </w:numPr>
        <w:ind w:left="426"/>
        <w:rPr>
          <w:sz w:val="22"/>
          <w:szCs w:val="22"/>
        </w:rPr>
      </w:pPr>
      <w:r>
        <w:rPr>
          <w:sz w:val="22"/>
          <w:szCs w:val="22"/>
        </w:rPr>
        <w:t>Z</w:t>
      </w:r>
      <w:r w:rsidR="00612D39">
        <w:rPr>
          <w:sz w:val="22"/>
          <w:szCs w:val="22"/>
        </w:rPr>
        <w:t xml:space="preserve">ávažná </w:t>
      </w:r>
      <w:r w:rsidR="00E30345" w:rsidRPr="002E6863">
        <w:rPr>
          <w:sz w:val="22"/>
          <w:szCs w:val="22"/>
        </w:rPr>
        <w:t>nedostatočnos</w:t>
      </w:r>
      <w:r w:rsidR="007042B1">
        <w:rPr>
          <w:sz w:val="22"/>
          <w:szCs w:val="22"/>
        </w:rPr>
        <w:t>ti</w:t>
      </w:r>
      <w:r w:rsidR="00731B12" w:rsidRPr="002E6863">
        <w:rPr>
          <w:sz w:val="22"/>
          <w:szCs w:val="22"/>
        </w:rPr>
        <w:t xml:space="preserve"> obličiek</w:t>
      </w:r>
      <w:r w:rsidR="00E30345" w:rsidRPr="002E6863">
        <w:rPr>
          <w:sz w:val="22"/>
          <w:szCs w:val="22"/>
        </w:rPr>
        <w:t xml:space="preserve"> v prípade</w:t>
      </w:r>
      <w:r w:rsidR="00731B12" w:rsidRPr="002E6863">
        <w:rPr>
          <w:sz w:val="22"/>
          <w:szCs w:val="22"/>
        </w:rPr>
        <w:t xml:space="preserve">, ak nie je možné </w:t>
      </w:r>
      <w:r w:rsidR="00E30345" w:rsidRPr="002E6863">
        <w:rPr>
          <w:sz w:val="22"/>
          <w:szCs w:val="22"/>
        </w:rPr>
        <w:t xml:space="preserve">vykonať opakované meranie </w:t>
      </w:r>
      <w:r w:rsidR="00A44A8F">
        <w:rPr>
          <w:sz w:val="22"/>
          <w:szCs w:val="22"/>
        </w:rPr>
        <w:t xml:space="preserve">plazmatickej </w:t>
      </w:r>
      <w:r w:rsidR="00731B12" w:rsidRPr="002E6863">
        <w:rPr>
          <w:sz w:val="22"/>
          <w:szCs w:val="22"/>
        </w:rPr>
        <w:t>koncentráci</w:t>
      </w:r>
      <w:r w:rsidR="00E30345" w:rsidRPr="002E6863">
        <w:rPr>
          <w:sz w:val="22"/>
          <w:szCs w:val="22"/>
        </w:rPr>
        <w:t>e</w:t>
      </w:r>
      <w:r w:rsidR="00612D39">
        <w:rPr>
          <w:sz w:val="22"/>
          <w:szCs w:val="22"/>
        </w:rPr>
        <w:t xml:space="preserve"> liečiv</w:t>
      </w:r>
      <w:r w:rsidR="00E30345" w:rsidRPr="002E6863">
        <w:rPr>
          <w:sz w:val="22"/>
          <w:szCs w:val="22"/>
        </w:rPr>
        <w:t>.</w:t>
      </w:r>
    </w:p>
    <w:p w14:paraId="0F3E6FE5" w14:textId="17DFEF6E" w:rsidR="007042B1" w:rsidRDefault="00856EFB" w:rsidP="00DA2F6F">
      <w:pPr>
        <w:numPr>
          <w:ilvl w:val="0"/>
          <w:numId w:val="6"/>
        </w:numPr>
        <w:ind w:left="426"/>
        <w:rPr>
          <w:sz w:val="22"/>
          <w:szCs w:val="22"/>
        </w:rPr>
      </w:pPr>
      <w:r>
        <w:rPr>
          <w:sz w:val="22"/>
          <w:szCs w:val="22"/>
        </w:rPr>
        <w:t>A</w:t>
      </w:r>
      <w:r w:rsidR="007042B1">
        <w:rPr>
          <w:sz w:val="22"/>
          <w:szCs w:val="22"/>
        </w:rPr>
        <w:t>namnéz</w:t>
      </w:r>
      <w:r w:rsidR="00612D39">
        <w:rPr>
          <w:sz w:val="22"/>
          <w:szCs w:val="22"/>
        </w:rPr>
        <w:t>a</w:t>
      </w:r>
      <w:r w:rsidR="007042B1">
        <w:rPr>
          <w:sz w:val="22"/>
          <w:szCs w:val="22"/>
        </w:rPr>
        <w:t xml:space="preserve"> imunitnej trombocytopénie vyvolanej liekmi </w:t>
      </w:r>
      <w:r w:rsidR="00612D39">
        <w:rPr>
          <w:sz w:val="22"/>
          <w:szCs w:val="22"/>
        </w:rPr>
        <w:t>po</w:t>
      </w:r>
      <w:r w:rsidR="007042B1">
        <w:rPr>
          <w:sz w:val="22"/>
          <w:szCs w:val="22"/>
        </w:rPr>
        <w:t> použití trimetoprimu a/alebo sulfónamidov.</w:t>
      </w:r>
    </w:p>
    <w:p w14:paraId="69576C0C" w14:textId="04F11AF1" w:rsidR="00353EB0" w:rsidRDefault="00353EB0" w:rsidP="00DA2F6F">
      <w:pPr>
        <w:numPr>
          <w:ilvl w:val="0"/>
          <w:numId w:val="6"/>
        </w:numPr>
        <w:ind w:left="426"/>
        <w:rPr>
          <w:sz w:val="22"/>
          <w:szCs w:val="22"/>
        </w:rPr>
      </w:pPr>
      <w:r>
        <w:rPr>
          <w:sz w:val="22"/>
          <w:szCs w:val="22"/>
        </w:rPr>
        <w:t> </w:t>
      </w:r>
      <w:r w:rsidR="00856EFB">
        <w:rPr>
          <w:sz w:val="22"/>
          <w:szCs w:val="22"/>
        </w:rPr>
        <w:t>A</w:t>
      </w:r>
      <w:r>
        <w:rPr>
          <w:sz w:val="22"/>
          <w:szCs w:val="22"/>
        </w:rPr>
        <w:t>kútn</w:t>
      </w:r>
      <w:r w:rsidR="00612D39">
        <w:rPr>
          <w:sz w:val="22"/>
          <w:szCs w:val="22"/>
        </w:rPr>
        <w:t>a</w:t>
      </w:r>
      <w:r>
        <w:rPr>
          <w:sz w:val="22"/>
          <w:szCs w:val="22"/>
        </w:rPr>
        <w:t xml:space="preserve"> porfýri</w:t>
      </w:r>
      <w:r w:rsidR="00612D39">
        <w:rPr>
          <w:sz w:val="22"/>
          <w:szCs w:val="22"/>
        </w:rPr>
        <w:t>a</w:t>
      </w:r>
      <w:r>
        <w:rPr>
          <w:sz w:val="22"/>
          <w:szCs w:val="22"/>
        </w:rPr>
        <w:t>.</w:t>
      </w:r>
    </w:p>
    <w:p w14:paraId="59D8E99D" w14:textId="19A96BF2" w:rsidR="00A93DAC" w:rsidRPr="00DA2F6F" w:rsidRDefault="00353EB0" w:rsidP="00DA2F6F">
      <w:pPr>
        <w:numPr>
          <w:ilvl w:val="0"/>
          <w:numId w:val="6"/>
        </w:numPr>
        <w:ind w:left="426"/>
        <w:rPr>
          <w:sz w:val="22"/>
          <w:szCs w:val="22"/>
        </w:rPr>
      </w:pPr>
      <w:r>
        <w:rPr>
          <w:sz w:val="22"/>
          <w:szCs w:val="22"/>
        </w:rPr>
        <w:t>BISEPTOL 480</w:t>
      </w:r>
      <w:r w:rsidR="008D205A" w:rsidRPr="00DA2F6F">
        <w:rPr>
          <w:sz w:val="22"/>
          <w:szCs w:val="22"/>
        </w:rPr>
        <w:t xml:space="preserve"> sa nesmie používať u </w:t>
      </w:r>
      <w:r w:rsidR="002A5282">
        <w:rPr>
          <w:sz w:val="22"/>
          <w:szCs w:val="22"/>
        </w:rPr>
        <w:t>detí</w:t>
      </w:r>
      <w:r w:rsidR="008D205A" w:rsidRPr="00DA2F6F">
        <w:rPr>
          <w:sz w:val="22"/>
          <w:szCs w:val="22"/>
        </w:rPr>
        <w:t xml:space="preserve"> mladších ako 6 týždňov.</w:t>
      </w:r>
    </w:p>
    <w:p w14:paraId="71872365" w14:textId="77777777" w:rsidR="00731B12" w:rsidRPr="002E6863" w:rsidRDefault="00731B12" w:rsidP="00EA37D1">
      <w:pPr>
        <w:numPr>
          <w:ilvl w:val="12"/>
          <w:numId w:val="0"/>
        </w:numPr>
        <w:rPr>
          <w:sz w:val="22"/>
          <w:szCs w:val="22"/>
        </w:rPr>
      </w:pPr>
    </w:p>
    <w:p w14:paraId="6865C117" w14:textId="77777777" w:rsidR="00731B12" w:rsidRPr="002E6863" w:rsidRDefault="007B787A" w:rsidP="00EA37D1">
      <w:pPr>
        <w:tabs>
          <w:tab w:val="left" w:pos="567"/>
        </w:tabs>
        <w:rPr>
          <w:b/>
          <w:sz w:val="22"/>
          <w:szCs w:val="22"/>
        </w:rPr>
      </w:pPr>
      <w:r w:rsidRPr="002E6863">
        <w:rPr>
          <w:b/>
          <w:sz w:val="22"/>
          <w:szCs w:val="22"/>
        </w:rPr>
        <w:t>4.4</w:t>
      </w:r>
      <w:r w:rsidRPr="002E6863">
        <w:rPr>
          <w:b/>
          <w:sz w:val="22"/>
          <w:szCs w:val="22"/>
        </w:rPr>
        <w:tab/>
        <w:t xml:space="preserve">Osobitné </w:t>
      </w:r>
      <w:r w:rsidR="00731B12" w:rsidRPr="002E6863">
        <w:rPr>
          <w:b/>
          <w:sz w:val="22"/>
          <w:szCs w:val="22"/>
        </w:rPr>
        <w:t>upozornenia</w:t>
      </w:r>
      <w:r w:rsidRPr="002E6863">
        <w:rPr>
          <w:b/>
          <w:sz w:val="22"/>
          <w:szCs w:val="22"/>
        </w:rPr>
        <w:t xml:space="preserve"> a opatrenia pri používaní</w:t>
      </w:r>
    </w:p>
    <w:p w14:paraId="22AD82AC" w14:textId="77777777" w:rsidR="007B787A" w:rsidRPr="002E6863" w:rsidRDefault="007B787A" w:rsidP="00EA37D1">
      <w:pPr>
        <w:rPr>
          <w:sz w:val="22"/>
          <w:szCs w:val="22"/>
        </w:rPr>
      </w:pPr>
    </w:p>
    <w:p w14:paraId="1B44840B" w14:textId="035D6910" w:rsidR="00612D39" w:rsidRPr="00F00777" w:rsidRDefault="00612D39" w:rsidP="00EA37D1">
      <w:pPr>
        <w:rPr>
          <w:sz w:val="22"/>
          <w:szCs w:val="22"/>
          <w:u w:val="single"/>
        </w:rPr>
      </w:pPr>
      <w:r w:rsidRPr="00F00777">
        <w:rPr>
          <w:sz w:val="22"/>
          <w:szCs w:val="22"/>
          <w:u w:val="single"/>
        </w:rPr>
        <w:t>Život ohrozujúce nežiad</w:t>
      </w:r>
      <w:r w:rsidR="00F00777">
        <w:rPr>
          <w:sz w:val="22"/>
          <w:szCs w:val="22"/>
          <w:u w:val="single"/>
        </w:rPr>
        <w:t>u</w:t>
      </w:r>
      <w:r w:rsidRPr="00F00777">
        <w:rPr>
          <w:sz w:val="22"/>
          <w:szCs w:val="22"/>
          <w:u w:val="single"/>
        </w:rPr>
        <w:t xml:space="preserve">ce </w:t>
      </w:r>
      <w:r w:rsidR="00F00777">
        <w:rPr>
          <w:sz w:val="22"/>
          <w:szCs w:val="22"/>
          <w:u w:val="single"/>
        </w:rPr>
        <w:t>ú</w:t>
      </w:r>
      <w:r w:rsidRPr="00F00777">
        <w:rPr>
          <w:sz w:val="22"/>
          <w:szCs w:val="22"/>
          <w:u w:val="single"/>
        </w:rPr>
        <w:t>činky</w:t>
      </w:r>
    </w:p>
    <w:p w14:paraId="757AC8DD" w14:textId="31943A18" w:rsidR="00731B12" w:rsidRPr="002E6863" w:rsidRDefault="00A44A8F" w:rsidP="00EA37D1">
      <w:pPr>
        <w:rPr>
          <w:sz w:val="22"/>
          <w:szCs w:val="22"/>
        </w:rPr>
      </w:pPr>
      <w:r>
        <w:rPr>
          <w:sz w:val="22"/>
          <w:szCs w:val="22"/>
        </w:rPr>
        <w:t>Fatálne, hoci veľmi</w:t>
      </w:r>
      <w:r w:rsidR="007B787A" w:rsidRPr="002E6863">
        <w:rPr>
          <w:sz w:val="22"/>
          <w:szCs w:val="22"/>
        </w:rPr>
        <w:t xml:space="preserve"> </w:t>
      </w:r>
      <w:r w:rsidR="00731B12" w:rsidRPr="002E6863">
        <w:rPr>
          <w:sz w:val="22"/>
          <w:szCs w:val="22"/>
        </w:rPr>
        <w:t xml:space="preserve">zriedkavé prípady </w:t>
      </w:r>
      <w:r>
        <w:rPr>
          <w:sz w:val="22"/>
          <w:szCs w:val="22"/>
        </w:rPr>
        <w:t xml:space="preserve">sa vyskytli v dôsledku závažných reakcií </w:t>
      </w:r>
      <w:r w:rsidR="00731B12" w:rsidRPr="002E6863">
        <w:rPr>
          <w:sz w:val="22"/>
          <w:szCs w:val="22"/>
        </w:rPr>
        <w:t>zahrňujúc</w:t>
      </w:r>
      <w:r>
        <w:rPr>
          <w:sz w:val="22"/>
          <w:szCs w:val="22"/>
        </w:rPr>
        <w:t>ich</w:t>
      </w:r>
      <w:r w:rsidR="00731B12" w:rsidRPr="002E6863">
        <w:rPr>
          <w:sz w:val="22"/>
          <w:szCs w:val="22"/>
        </w:rPr>
        <w:t xml:space="preserve"> </w:t>
      </w:r>
      <w:r w:rsidR="00353EB0">
        <w:rPr>
          <w:sz w:val="22"/>
          <w:szCs w:val="22"/>
        </w:rPr>
        <w:t xml:space="preserve">Stevensov-Johnsonov syndróm, toxickú epidermálnu nekrolýzu, </w:t>
      </w:r>
      <w:r w:rsidR="0038455F">
        <w:rPr>
          <w:sz w:val="22"/>
          <w:szCs w:val="22"/>
        </w:rPr>
        <w:t>fulmina</w:t>
      </w:r>
      <w:r>
        <w:rPr>
          <w:sz w:val="22"/>
          <w:szCs w:val="22"/>
        </w:rPr>
        <w:t xml:space="preserve">ntnú </w:t>
      </w:r>
      <w:r w:rsidR="00731B12" w:rsidRPr="002E6863">
        <w:rPr>
          <w:sz w:val="22"/>
          <w:szCs w:val="22"/>
        </w:rPr>
        <w:t>hepat</w:t>
      </w:r>
      <w:r w:rsidR="00D42437" w:rsidRPr="002E6863">
        <w:rPr>
          <w:sz w:val="22"/>
          <w:szCs w:val="22"/>
        </w:rPr>
        <w:t>álnu</w:t>
      </w:r>
      <w:r w:rsidR="00731B12" w:rsidRPr="002E6863">
        <w:rPr>
          <w:sz w:val="22"/>
          <w:szCs w:val="22"/>
        </w:rPr>
        <w:t xml:space="preserve"> nekróz</w:t>
      </w:r>
      <w:r w:rsidR="00D42437" w:rsidRPr="002E6863">
        <w:rPr>
          <w:sz w:val="22"/>
          <w:szCs w:val="22"/>
        </w:rPr>
        <w:t>u</w:t>
      </w:r>
      <w:r w:rsidR="00731B12" w:rsidRPr="002E6863">
        <w:rPr>
          <w:sz w:val="22"/>
          <w:szCs w:val="22"/>
        </w:rPr>
        <w:t xml:space="preserve">, </w:t>
      </w:r>
      <w:r w:rsidR="007B787A" w:rsidRPr="002E6863">
        <w:rPr>
          <w:sz w:val="22"/>
          <w:szCs w:val="22"/>
        </w:rPr>
        <w:t>agranulocytóz</w:t>
      </w:r>
      <w:r w:rsidR="00D42437" w:rsidRPr="002E6863">
        <w:rPr>
          <w:sz w:val="22"/>
          <w:szCs w:val="22"/>
        </w:rPr>
        <w:t>u</w:t>
      </w:r>
      <w:r w:rsidR="007B787A" w:rsidRPr="002E6863">
        <w:rPr>
          <w:sz w:val="22"/>
          <w:szCs w:val="22"/>
        </w:rPr>
        <w:t>, apla</w:t>
      </w:r>
      <w:r w:rsidR="00731B12" w:rsidRPr="002E6863">
        <w:rPr>
          <w:sz w:val="22"/>
          <w:szCs w:val="22"/>
        </w:rPr>
        <w:t>stick</w:t>
      </w:r>
      <w:r w:rsidR="00D42437" w:rsidRPr="002E6863">
        <w:rPr>
          <w:sz w:val="22"/>
          <w:szCs w:val="22"/>
        </w:rPr>
        <w:t>ú</w:t>
      </w:r>
      <w:r w:rsidR="00731B12" w:rsidRPr="002E6863">
        <w:rPr>
          <w:sz w:val="22"/>
          <w:szCs w:val="22"/>
        </w:rPr>
        <w:t xml:space="preserve"> anémi</w:t>
      </w:r>
      <w:r w:rsidR="00D42437" w:rsidRPr="002E6863">
        <w:rPr>
          <w:sz w:val="22"/>
          <w:szCs w:val="22"/>
        </w:rPr>
        <w:t>u</w:t>
      </w:r>
      <w:r w:rsidR="00731B12" w:rsidRPr="002E6863">
        <w:rPr>
          <w:sz w:val="22"/>
          <w:szCs w:val="22"/>
        </w:rPr>
        <w:t xml:space="preserve">, iné </w:t>
      </w:r>
      <w:r>
        <w:rPr>
          <w:sz w:val="22"/>
          <w:szCs w:val="22"/>
        </w:rPr>
        <w:t xml:space="preserve">krvné dyskrázie </w:t>
      </w:r>
      <w:r w:rsidR="00731B12" w:rsidRPr="002E6863">
        <w:rPr>
          <w:sz w:val="22"/>
          <w:szCs w:val="22"/>
        </w:rPr>
        <w:t>a respiračn</w:t>
      </w:r>
      <w:r w:rsidR="00D42437" w:rsidRPr="002E6863">
        <w:rPr>
          <w:sz w:val="22"/>
          <w:szCs w:val="22"/>
        </w:rPr>
        <w:t>ú</w:t>
      </w:r>
      <w:r w:rsidR="00731B12" w:rsidRPr="002E6863">
        <w:rPr>
          <w:sz w:val="22"/>
          <w:szCs w:val="22"/>
        </w:rPr>
        <w:t xml:space="preserve"> hypersenzitivit</w:t>
      </w:r>
      <w:r w:rsidR="00D42437" w:rsidRPr="002E6863">
        <w:rPr>
          <w:sz w:val="22"/>
          <w:szCs w:val="22"/>
        </w:rPr>
        <w:t>u</w:t>
      </w:r>
      <w:r w:rsidR="00731B12" w:rsidRPr="002E6863">
        <w:rPr>
          <w:sz w:val="22"/>
          <w:szCs w:val="22"/>
        </w:rPr>
        <w:t>.</w:t>
      </w:r>
    </w:p>
    <w:p w14:paraId="0278B1F6" w14:textId="77777777" w:rsidR="007B787A" w:rsidRPr="001C4800" w:rsidRDefault="007B787A" w:rsidP="00EA37D1">
      <w:pPr>
        <w:rPr>
          <w:sz w:val="22"/>
          <w:szCs w:val="22"/>
        </w:rPr>
      </w:pPr>
    </w:p>
    <w:p w14:paraId="6B4FDE97" w14:textId="77777777" w:rsidR="007E2985" w:rsidRPr="00787C8E" w:rsidRDefault="00D77BED" w:rsidP="00CC24E2">
      <w:pPr>
        <w:numPr>
          <w:ilvl w:val="0"/>
          <w:numId w:val="10"/>
        </w:numPr>
        <w:ind w:left="567" w:hanging="425"/>
        <w:rPr>
          <w:sz w:val="22"/>
          <w:szCs w:val="22"/>
        </w:rPr>
      </w:pPr>
      <w:r w:rsidRPr="007B45E7">
        <w:rPr>
          <w:sz w:val="22"/>
          <w:szCs w:val="22"/>
        </w:rPr>
        <w:t xml:space="preserve">Boli hlásené život ohrozujúce kožné reakcie - Stevensov-Johnsonov syndróm </w:t>
      </w:r>
      <w:r w:rsidR="00A44A8F" w:rsidRPr="007B45E7">
        <w:rPr>
          <w:sz w:val="22"/>
          <w:szCs w:val="22"/>
        </w:rPr>
        <w:t xml:space="preserve">(SJS) </w:t>
      </w:r>
      <w:r w:rsidRPr="007B45E7">
        <w:rPr>
          <w:sz w:val="22"/>
          <w:szCs w:val="22"/>
        </w:rPr>
        <w:t>a toxická epidermálna nekrolýza (</w:t>
      </w:r>
      <w:r w:rsidR="00F90AAE" w:rsidRPr="00787C8E">
        <w:rPr>
          <w:sz w:val="22"/>
          <w:szCs w:val="22"/>
        </w:rPr>
        <w:t>TEN</w:t>
      </w:r>
      <w:r w:rsidRPr="00787C8E">
        <w:rPr>
          <w:sz w:val="22"/>
          <w:szCs w:val="22"/>
        </w:rPr>
        <w:t>)</w:t>
      </w:r>
      <w:r w:rsidR="00F90AAE" w:rsidRPr="00787C8E">
        <w:rPr>
          <w:sz w:val="22"/>
          <w:szCs w:val="22"/>
        </w:rPr>
        <w:t xml:space="preserve"> pri použití kotrimoxazolu</w:t>
      </w:r>
      <w:r w:rsidRPr="00787C8E">
        <w:rPr>
          <w:sz w:val="22"/>
          <w:szCs w:val="22"/>
        </w:rPr>
        <w:t xml:space="preserve">. </w:t>
      </w:r>
    </w:p>
    <w:p w14:paraId="721B37D9" w14:textId="77777777" w:rsidR="00D77BED" w:rsidRPr="001C4800" w:rsidRDefault="00D77BED" w:rsidP="00EA37D1">
      <w:pPr>
        <w:numPr>
          <w:ilvl w:val="0"/>
          <w:numId w:val="9"/>
        </w:numPr>
        <w:ind w:left="567"/>
        <w:rPr>
          <w:sz w:val="22"/>
          <w:szCs w:val="22"/>
        </w:rPr>
      </w:pPr>
      <w:r w:rsidRPr="001C4800">
        <w:rPr>
          <w:sz w:val="22"/>
          <w:szCs w:val="22"/>
        </w:rPr>
        <w:t>Pacientov treba upozorniť na</w:t>
      </w:r>
      <w:r w:rsidR="009E799F" w:rsidRPr="001C4800">
        <w:rPr>
          <w:sz w:val="22"/>
          <w:szCs w:val="22"/>
        </w:rPr>
        <w:t xml:space="preserve"> prejavy a</w:t>
      </w:r>
      <w:r w:rsidRPr="001C4800">
        <w:rPr>
          <w:sz w:val="22"/>
          <w:szCs w:val="22"/>
        </w:rPr>
        <w:t xml:space="preserve"> príznaky týchto závažných kožných reakcií a dôkladne sledova</w:t>
      </w:r>
      <w:r w:rsidR="004E64DE" w:rsidRPr="001C4800">
        <w:rPr>
          <w:sz w:val="22"/>
          <w:szCs w:val="22"/>
        </w:rPr>
        <w:t>ť</w:t>
      </w:r>
      <w:r w:rsidRPr="001C4800">
        <w:rPr>
          <w:sz w:val="22"/>
          <w:szCs w:val="22"/>
        </w:rPr>
        <w:t xml:space="preserve"> s ohľadom na možný výskyt kožných reakcií. </w:t>
      </w:r>
      <w:r w:rsidR="00F90AAE" w:rsidRPr="001C4800">
        <w:rPr>
          <w:sz w:val="22"/>
          <w:szCs w:val="22"/>
        </w:rPr>
        <w:t>Najvyššie riziko výskytu SJS alebo TEN je počas prvých týždňov liečby.</w:t>
      </w:r>
    </w:p>
    <w:p w14:paraId="193A6D74" w14:textId="22485210" w:rsidR="00446AAC" w:rsidRPr="001C4800" w:rsidRDefault="007E2985" w:rsidP="00EA37D1">
      <w:pPr>
        <w:numPr>
          <w:ilvl w:val="0"/>
          <w:numId w:val="9"/>
        </w:numPr>
        <w:ind w:left="567"/>
        <w:rPr>
          <w:sz w:val="22"/>
          <w:szCs w:val="22"/>
        </w:rPr>
      </w:pPr>
      <w:r w:rsidRPr="001C4800">
        <w:rPr>
          <w:sz w:val="22"/>
          <w:szCs w:val="22"/>
        </w:rPr>
        <w:t xml:space="preserve">Ak sa </w:t>
      </w:r>
      <w:r w:rsidR="00F90AAE" w:rsidRPr="001C4800">
        <w:rPr>
          <w:sz w:val="22"/>
          <w:szCs w:val="22"/>
        </w:rPr>
        <w:t xml:space="preserve">objavia </w:t>
      </w:r>
      <w:r w:rsidRPr="001C4800">
        <w:rPr>
          <w:sz w:val="22"/>
          <w:szCs w:val="22"/>
        </w:rPr>
        <w:t xml:space="preserve">príznaky </w:t>
      </w:r>
      <w:r w:rsidR="00F90AAE" w:rsidRPr="001C4800">
        <w:rPr>
          <w:sz w:val="22"/>
          <w:szCs w:val="22"/>
        </w:rPr>
        <w:t xml:space="preserve">SJS alebo TEN </w:t>
      </w:r>
      <w:r w:rsidRPr="001C4800">
        <w:rPr>
          <w:sz w:val="22"/>
          <w:szCs w:val="22"/>
        </w:rPr>
        <w:t xml:space="preserve">(napr. zhoršujúca sa kožná vyrážka, často s pľuzgiermi alebo léziami slizníc), liečbu </w:t>
      </w:r>
      <w:r w:rsidR="00DA2F6F" w:rsidRPr="001C4800">
        <w:rPr>
          <w:sz w:val="22"/>
          <w:szCs w:val="22"/>
        </w:rPr>
        <w:t>BISEPTOLOM</w:t>
      </w:r>
      <w:r w:rsidRPr="001C4800">
        <w:rPr>
          <w:sz w:val="22"/>
          <w:szCs w:val="22"/>
        </w:rPr>
        <w:t xml:space="preserve"> </w:t>
      </w:r>
      <w:r w:rsidR="00446AAC" w:rsidRPr="001C4800">
        <w:rPr>
          <w:sz w:val="22"/>
          <w:szCs w:val="22"/>
        </w:rPr>
        <w:t xml:space="preserve">480 </w:t>
      </w:r>
      <w:r w:rsidR="00D42437" w:rsidRPr="001C4800">
        <w:rPr>
          <w:sz w:val="22"/>
          <w:szCs w:val="22"/>
        </w:rPr>
        <w:t xml:space="preserve">je potrebné </w:t>
      </w:r>
      <w:r w:rsidR="00612D39">
        <w:rPr>
          <w:sz w:val="22"/>
          <w:szCs w:val="22"/>
        </w:rPr>
        <w:t>ukonč</w:t>
      </w:r>
      <w:r w:rsidR="00612D39" w:rsidRPr="001C4800">
        <w:rPr>
          <w:sz w:val="22"/>
          <w:szCs w:val="22"/>
        </w:rPr>
        <w:t xml:space="preserve">iť </w:t>
      </w:r>
      <w:r w:rsidR="00446AAC" w:rsidRPr="001C4800">
        <w:rPr>
          <w:sz w:val="22"/>
          <w:szCs w:val="22"/>
        </w:rPr>
        <w:t>(pozri časť 4.8</w:t>
      </w:r>
      <w:r w:rsidR="009E799F" w:rsidRPr="001C4800">
        <w:rPr>
          <w:sz w:val="22"/>
          <w:szCs w:val="22"/>
        </w:rPr>
        <w:t xml:space="preserve"> Nežiaduce účinky</w:t>
      </w:r>
      <w:r w:rsidR="00446AAC" w:rsidRPr="001C4800">
        <w:rPr>
          <w:sz w:val="22"/>
          <w:szCs w:val="22"/>
        </w:rPr>
        <w:t>)</w:t>
      </w:r>
      <w:r w:rsidRPr="001C4800">
        <w:rPr>
          <w:sz w:val="22"/>
          <w:szCs w:val="22"/>
        </w:rPr>
        <w:t>.</w:t>
      </w:r>
      <w:r w:rsidR="00D42437" w:rsidRPr="001C4800">
        <w:rPr>
          <w:sz w:val="22"/>
          <w:szCs w:val="22"/>
        </w:rPr>
        <w:t xml:space="preserve"> </w:t>
      </w:r>
    </w:p>
    <w:p w14:paraId="7185CB16" w14:textId="77777777" w:rsidR="007E2985" w:rsidRPr="001C4800" w:rsidRDefault="007E2985" w:rsidP="00EA37D1">
      <w:pPr>
        <w:numPr>
          <w:ilvl w:val="0"/>
          <w:numId w:val="9"/>
        </w:numPr>
        <w:ind w:left="567"/>
        <w:rPr>
          <w:sz w:val="22"/>
          <w:szCs w:val="22"/>
        </w:rPr>
      </w:pPr>
      <w:r w:rsidRPr="001C4800">
        <w:rPr>
          <w:sz w:val="22"/>
          <w:szCs w:val="22"/>
        </w:rPr>
        <w:lastRenderedPageBreak/>
        <w:t>Najlepš</w:t>
      </w:r>
      <w:r w:rsidR="009E799F" w:rsidRPr="001C4800">
        <w:rPr>
          <w:sz w:val="22"/>
          <w:szCs w:val="22"/>
        </w:rPr>
        <w:t>ie</w:t>
      </w:r>
      <w:r w:rsidRPr="001C4800">
        <w:rPr>
          <w:sz w:val="22"/>
          <w:szCs w:val="22"/>
        </w:rPr>
        <w:t xml:space="preserve"> výsledk</w:t>
      </w:r>
      <w:r w:rsidR="009E799F" w:rsidRPr="001C4800">
        <w:rPr>
          <w:sz w:val="22"/>
          <w:szCs w:val="22"/>
        </w:rPr>
        <w:t>y</w:t>
      </w:r>
      <w:r w:rsidRPr="001C4800">
        <w:rPr>
          <w:sz w:val="22"/>
          <w:szCs w:val="22"/>
        </w:rPr>
        <w:t xml:space="preserve"> pri zvládaní </w:t>
      </w:r>
      <w:r w:rsidR="00446AAC" w:rsidRPr="001C4800">
        <w:rPr>
          <w:sz w:val="22"/>
          <w:szCs w:val="22"/>
        </w:rPr>
        <w:t>SJS alebo TEN</w:t>
      </w:r>
      <w:r w:rsidRPr="001C4800">
        <w:rPr>
          <w:sz w:val="22"/>
          <w:szCs w:val="22"/>
        </w:rPr>
        <w:t xml:space="preserve"> je možné dosiahnuť včasným určením diagnózy a okamžitým vysadením suspektných liekov. Skoré ukončenie liečby je spojené s lepšou prognózou.</w:t>
      </w:r>
    </w:p>
    <w:p w14:paraId="34CD03ED" w14:textId="77777777" w:rsidR="007E2985" w:rsidRPr="001C4800" w:rsidRDefault="007E2985" w:rsidP="00EA37D1">
      <w:pPr>
        <w:numPr>
          <w:ilvl w:val="0"/>
          <w:numId w:val="9"/>
        </w:numPr>
        <w:ind w:left="567"/>
        <w:rPr>
          <w:sz w:val="22"/>
          <w:szCs w:val="22"/>
        </w:rPr>
      </w:pPr>
      <w:r w:rsidRPr="001C4800">
        <w:rPr>
          <w:sz w:val="22"/>
          <w:szCs w:val="22"/>
        </w:rPr>
        <w:t>Ak po použit</w:t>
      </w:r>
      <w:r w:rsidR="00446AAC" w:rsidRPr="001C4800">
        <w:rPr>
          <w:sz w:val="22"/>
          <w:szCs w:val="22"/>
        </w:rPr>
        <w:t>í</w:t>
      </w:r>
      <w:r w:rsidRPr="001C4800">
        <w:rPr>
          <w:sz w:val="22"/>
          <w:szCs w:val="22"/>
        </w:rPr>
        <w:t xml:space="preserve"> </w:t>
      </w:r>
      <w:r w:rsidR="00DA2F6F" w:rsidRPr="001C4800">
        <w:rPr>
          <w:sz w:val="22"/>
          <w:szCs w:val="22"/>
        </w:rPr>
        <w:t>BISEPTOLU</w:t>
      </w:r>
      <w:r w:rsidRPr="001C4800">
        <w:rPr>
          <w:sz w:val="22"/>
          <w:szCs w:val="22"/>
        </w:rPr>
        <w:t xml:space="preserve"> </w:t>
      </w:r>
      <w:r w:rsidR="00446AAC" w:rsidRPr="001C4800">
        <w:rPr>
          <w:sz w:val="22"/>
          <w:szCs w:val="22"/>
        </w:rPr>
        <w:t xml:space="preserve">480 </w:t>
      </w:r>
      <w:r w:rsidRPr="001C4800">
        <w:rPr>
          <w:sz w:val="22"/>
          <w:szCs w:val="22"/>
        </w:rPr>
        <w:t xml:space="preserve">dôjde u pacienta k rozvoju </w:t>
      </w:r>
      <w:r w:rsidR="00446AAC" w:rsidRPr="001C4800">
        <w:rPr>
          <w:sz w:val="22"/>
          <w:szCs w:val="22"/>
        </w:rPr>
        <w:t>SJS alebo TEN,</w:t>
      </w:r>
      <w:r w:rsidRPr="001C4800">
        <w:rPr>
          <w:sz w:val="22"/>
          <w:szCs w:val="22"/>
        </w:rPr>
        <w:t xml:space="preserve"> </w:t>
      </w:r>
      <w:r w:rsidR="00DA2F6F" w:rsidRPr="001C4800">
        <w:rPr>
          <w:sz w:val="22"/>
          <w:szCs w:val="22"/>
        </w:rPr>
        <w:t xml:space="preserve">BISEPTOL </w:t>
      </w:r>
      <w:r w:rsidR="00446AAC" w:rsidRPr="001C4800">
        <w:rPr>
          <w:sz w:val="22"/>
          <w:szCs w:val="22"/>
        </w:rPr>
        <w:t xml:space="preserve">480 </w:t>
      </w:r>
      <w:r w:rsidRPr="001C4800">
        <w:rPr>
          <w:sz w:val="22"/>
          <w:szCs w:val="22"/>
        </w:rPr>
        <w:t xml:space="preserve">nesmie byť u pacienta </w:t>
      </w:r>
      <w:r w:rsidR="00446AAC" w:rsidRPr="001C4800">
        <w:rPr>
          <w:sz w:val="22"/>
          <w:szCs w:val="22"/>
        </w:rPr>
        <w:t xml:space="preserve">už </w:t>
      </w:r>
      <w:r w:rsidRPr="001C4800">
        <w:rPr>
          <w:sz w:val="22"/>
          <w:szCs w:val="22"/>
        </w:rPr>
        <w:t>nikdy znovu použitý.</w:t>
      </w:r>
    </w:p>
    <w:p w14:paraId="381C7B88" w14:textId="77777777" w:rsidR="00D42437" w:rsidRPr="001C4800" w:rsidRDefault="00D42437" w:rsidP="00EA37D1">
      <w:pPr>
        <w:rPr>
          <w:sz w:val="22"/>
          <w:szCs w:val="22"/>
        </w:rPr>
      </w:pPr>
    </w:p>
    <w:p w14:paraId="5FBC9366" w14:textId="77777777" w:rsidR="00F02BDA" w:rsidRPr="00541A28" w:rsidRDefault="00F02BDA" w:rsidP="00F02BDA">
      <w:pPr>
        <w:rPr>
          <w:sz w:val="22"/>
          <w:szCs w:val="22"/>
          <w:u w:val="single"/>
        </w:rPr>
      </w:pPr>
      <w:r w:rsidRPr="00541A28">
        <w:rPr>
          <w:sz w:val="22"/>
          <w:szCs w:val="22"/>
          <w:u w:val="single"/>
        </w:rPr>
        <w:t>Starší pacienti</w:t>
      </w:r>
    </w:p>
    <w:p w14:paraId="606F8745" w14:textId="77777777" w:rsidR="00F02BDA" w:rsidRDefault="00F02BDA" w:rsidP="00F02BDA">
      <w:pPr>
        <w:rPr>
          <w:sz w:val="22"/>
          <w:szCs w:val="22"/>
        </w:rPr>
      </w:pPr>
      <w:r w:rsidRPr="002E6863">
        <w:rPr>
          <w:sz w:val="22"/>
          <w:szCs w:val="22"/>
        </w:rPr>
        <w:t xml:space="preserve">Zvláštna </w:t>
      </w:r>
      <w:r>
        <w:rPr>
          <w:sz w:val="22"/>
          <w:szCs w:val="22"/>
        </w:rPr>
        <w:t>starostlivosť</w:t>
      </w:r>
      <w:r w:rsidRPr="002E6863">
        <w:rPr>
          <w:sz w:val="22"/>
          <w:szCs w:val="22"/>
        </w:rPr>
        <w:t xml:space="preserve"> sa </w:t>
      </w:r>
      <w:r>
        <w:rPr>
          <w:sz w:val="22"/>
          <w:szCs w:val="22"/>
        </w:rPr>
        <w:t xml:space="preserve">vždy </w:t>
      </w:r>
      <w:r w:rsidRPr="002E6863">
        <w:rPr>
          <w:sz w:val="22"/>
          <w:szCs w:val="22"/>
        </w:rPr>
        <w:t xml:space="preserve">odporúča pri liečbe  starších pacientov, pretože </w:t>
      </w:r>
      <w:r>
        <w:rPr>
          <w:sz w:val="22"/>
          <w:szCs w:val="22"/>
        </w:rPr>
        <w:t xml:space="preserve">ako skupina </w:t>
      </w:r>
      <w:r w:rsidRPr="002E6863">
        <w:rPr>
          <w:sz w:val="22"/>
          <w:szCs w:val="22"/>
        </w:rPr>
        <w:t xml:space="preserve">sú náchylnejší k nežiaducim účinkom a častejšie trpia vážnymi </w:t>
      </w:r>
      <w:r>
        <w:rPr>
          <w:sz w:val="22"/>
          <w:szCs w:val="22"/>
        </w:rPr>
        <w:t>nežiaducimi</w:t>
      </w:r>
      <w:r w:rsidRPr="002E6863">
        <w:rPr>
          <w:sz w:val="22"/>
          <w:szCs w:val="22"/>
        </w:rPr>
        <w:t xml:space="preserve"> reakciami, najmä pri výskyte </w:t>
      </w:r>
      <w:r>
        <w:rPr>
          <w:sz w:val="22"/>
          <w:szCs w:val="22"/>
        </w:rPr>
        <w:t>komplikujúcich stavov</w:t>
      </w:r>
      <w:r w:rsidRPr="002E6863">
        <w:rPr>
          <w:sz w:val="22"/>
          <w:szCs w:val="22"/>
        </w:rPr>
        <w:t>, napr. poruch</w:t>
      </w:r>
      <w:r>
        <w:rPr>
          <w:sz w:val="22"/>
          <w:szCs w:val="22"/>
        </w:rPr>
        <w:t>a</w:t>
      </w:r>
      <w:r w:rsidRPr="002E6863">
        <w:rPr>
          <w:sz w:val="22"/>
          <w:szCs w:val="22"/>
        </w:rPr>
        <w:t xml:space="preserve"> funkcie obličiek a/alebo pečene, </w:t>
      </w:r>
      <w:r>
        <w:rPr>
          <w:sz w:val="22"/>
          <w:szCs w:val="22"/>
        </w:rPr>
        <w:t>a/</w:t>
      </w:r>
      <w:r w:rsidRPr="002E6863">
        <w:rPr>
          <w:sz w:val="22"/>
          <w:szCs w:val="22"/>
        </w:rPr>
        <w:t xml:space="preserve">alebo pri súbežnom použití iných liekov. </w:t>
      </w:r>
    </w:p>
    <w:p w14:paraId="629257C2" w14:textId="77777777" w:rsidR="00F02BDA" w:rsidRDefault="00F02BDA" w:rsidP="00F02BDA">
      <w:pPr>
        <w:rPr>
          <w:sz w:val="22"/>
          <w:szCs w:val="22"/>
        </w:rPr>
      </w:pPr>
    </w:p>
    <w:p w14:paraId="233D8E83" w14:textId="0B90F3B0" w:rsidR="00F02BDA" w:rsidRPr="00A90137" w:rsidRDefault="00F02BDA" w:rsidP="00F02BDA">
      <w:pPr>
        <w:rPr>
          <w:sz w:val="22"/>
          <w:szCs w:val="22"/>
          <w:u w:val="single"/>
        </w:rPr>
      </w:pPr>
      <w:r w:rsidRPr="00A90137">
        <w:rPr>
          <w:sz w:val="22"/>
          <w:szCs w:val="22"/>
          <w:u w:val="single"/>
        </w:rPr>
        <w:t>Porucha funkcie obličiek</w:t>
      </w:r>
    </w:p>
    <w:p w14:paraId="35965046" w14:textId="77777777" w:rsidR="00F02BDA" w:rsidRPr="001C4800" w:rsidRDefault="00F02BDA" w:rsidP="00F02BDA">
      <w:pPr>
        <w:rPr>
          <w:sz w:val="22"/>
          <w:szCs w:val="22"/>
        </w:rPr>
      </w:pPr>
      <w:r w:rsidRPr="001C4800">
        <w:rPr>
          <w:sz w:val="22"/>
          <w:szCs w:val="22"/>
        </w:rPr>
        <w:t xml:space="preserve">U pacientov so známou poruchou funkcie obličiek treba prijať zvláštne opatrenia (pozri časť 4.2 Dávkovanie a spôsob podávania). </w:t>
      </w:r>
    </w:p>
    <w:p w14:paraId="0B8CF857" w14:textId="77777777" w:rsidR="005339C5" w:rsidRDefault="005339C5" w:rsidP="00EA37D1">
      <w:pPr>
        <w:rPr>
          <w:sz w:val="22"/>
          <w:szCs w:val="22"/>
        </w:rPr>
      </w:pPr>
    </w:p>
    <w:p w14:paraId="37BBE17B" w14:textId="77777777" w:rsidR="00446AAC" w:rsidRPr="001C4800" w:rsidRDefault="003D3A2A" w:rsidP="00EA37D1">
      <w:pPr>
        <w:rPr>
          <w:sz w:val="22"/>
          <w:szCs w:val="22"/>
        </w:rPr>
      </w:pPr>
      <w:r w:rsidRPr="001C4800">
        <w:rPr>
          <w:sz w:val="22"/>
          <w:szCs w:val="22"/>
        </w:rPr>
        <w:t>Najmä v prípadoch, kde sa podávajú veľmi vysoké dávky pacientom so základným kardiovaskulárnym alebo pľúcnym o</w:t>
      </w:r>
      <w:r w:rsidR="00710D6B" w:rsidRPr="001C4800">
        <w:rPr>
          <w:sz w:val="22"/>
          <w:szCs w:val="22"/>
        </w:rPr>
        <w:t>chor</w:t>
      </w:r>
      <w:r w:rsidRPr="001C4800">
        <w:rPr>
          <w:sz w:val="22"/>
          <w:szCs w:val="22"/>
        </w:rPr>
        <w:t>ením, je možn</w:t>
      </w:r>
      <w:r w:rsidR="00710D6B" w:rsidRPr="001C4800">
        <w:rPr>
          <w:sz w:val="22"/>
          <w:szCs w:val="22"/>
        </w:rPr>
        <w:t>á</w:t>
      </w:r>
      <w:r w:rsidRPr="001C4800">
        <w:rPr>
          <w:sz w:val="22"/>
          <w:szCs w:val="22"/>
        </w:rPr>
        <w:t xml:space="preserve"> </w:t>
      </w:r>
      <w:r w:rsidR="00710D6B" w:rsidRPr="001C4800">
        <w:rPr>
          <w:sz w:val="22"/>
          <w:szCs w:val="22"/>
        </w:rPr>
        <w:t>tvorba edémov</w:t>
      </w:r>
      <w:r w:rsidRPr="001C4800">
        <w:rPr>
          <w:sz w:val="22"/>
          <w:szCs w:val="22"/>
        </w:rPr>
        <w:t xml:space="preserve">. </w:t>
      </w:r>
    </w:p>
    <w:p w14:paraId="3DC5F3B1" w14:textId="77777777" w:rsidR="00446AAC" w:rsidRPr="001C4800" w:rsidRDefault="00446AAC" w:rsidP="00EA37D1">
      <w:pPr>
        <w:rPr>
          <w:sz w:val="22"/>
          <w:szCs w:val="22"/>
        </w:rPr>
      </w:pPr>
    </w:p>
    <w:p w14:paraId="6E229621" w14:textId="0773AB39" w:rsidR="003D3A2A" w:rsidRPr="001C4800" w:rsidRDefault="003D3A2A" w:rsidP="00EA37D1">
      <w:pPr>
        <w:rPr>
          <w:sz w:val="22"/>
          <w:szCs w:val="22"/>
        </w:rPr>
      </w:pPr>
      <w:r w:rsidRPr="001C4800">
        <w:rPr>
          <w:sz w:val="22"/>
          <w:szCs w:val="22"/>
        </w:rPr>
        <w:t xml:space="preserve">Vždy je </w:t>
      </w:r>
      <w:r w:rsidR="00710D6B" w:rsidRPr="001C4800">
        <w:rPr>
          <w:sz w:val="22"/>
          <w:szCs w:val="22"/>
        </w:rPr>
        <w:t>po</w:t>
      </w:r>
      <w:r w:rsidRPr="001C4800">
        <w:rPr>
          <w:sz w:val="22"/>
          <w:szCs w:val="22"/>
        </w:rPr>
        <w:t>treb</w:t>
      </w:r>
      <w:r w:rsidR="00710D6B" w:rsidRPr="001C4800">
        <w:rPr>
          <w:sz w:val="22"/>
          <w:szCs w:val="22"/>
        </w:rPr>
        <w:t>né</w:t>
      </w:r>
      <w:r w:rsidRPr="001C4800">
        <w:rPr>
          <w:sz w:val="22"/>
          <w:szCs w:val="22"/>
        </w:rPr>
        <w:t xml:space="preserve"> udržiavať dostatočn</w:t>
      </w:r>
      <w:r w:rsidR="00710D6B" w:rsidRPr="001C4800">
        <w:rPr>
          <w:sz w:val="22"/>
          <w:szCs w:val="22"/>
        </w:rPr>
        <w:t>ú</w:t>
      </w:r>
      <w:r w:rsidRPr="001C4800">
        <w:rPr>
          <w:sz w:val="22"/>
          <w:szCs w:val="22"/>
        </w:rPr>
        <w:t xml:space="preserve"> </w:t>
      </w:r>
      <w:r w:rsidR="00710D6B" w:rsidRPr="001C4800">
        <w:rPr>
          <w:sz w:val="22"/>
          <w:szCs w:val="22"/>
        </w:rPr>
        <w:t xml:space="preserve">tvorbu </w:t>
      </w:r>
      <w:r w:rsidRPr="001C4800">
        <w:rPr>
          <w:sz w:val="22"/>
          <w:szCs w:val="22"/>
        </w:rPr>
        <w:t>moč</w:t>
      </w:r>
      <w:r w:rsidR="00710D6B" w:rsidRPr="001C4800">
        <w:rPr>
          <w:sz w:val="22"/>
          <w:szCs w:val="22"/>
        </w:rPr>
        <w:t>u</w:t>
      </w:r>
      <w:r w:rsidRPr="001C4800">
        <w:rPr>
          <w:sz w:val="22"/>
          <w:szCs w:val="22"/>
        </w:rPr>
        <w:t xml:space="preserve">. Prejavy kryštalúrie </w:t>
      </w:r>
      <w:r w:rsidRPr="001C4800">
        <w:rPr>
          <w:i/>
          <w:sz w:val="22"/>
          <w:szCs w:val="22"/>
        </w:rPr>
        <w:t>in vivo</w:t>
      </w:r>
      <w:r w:rsidRPr="001C4800">
        <w:rPr>
          <w:sz w:val="22"/>
          <w:szCs w:val="22"/>
        </w:rPr>
        <w:t xml:space="preserve"> sú zriedkavé, hoci </w:t>
      </w:r>
      <w:r w:rsidR="00E86F1B" w:rsidRPr="001C4800">
        <w:rPr>
          <w:sz w:val="22"/>
          <w:szCs w:val="22"/>
        </w:rPr>
        <w:t xml:space="preserve">v chladenom moči liečených pacientov boli nájdené </w:t>
      </w:r>
      <w:r w:rsidRPr="001C4800">
        <w:rPr>
          <w:sz w:val="22"/>
          <w:szCs w:val="22"/>
        </w:rPr>
        <w:t xml:space="preserve">kryštály </w:t>
      </w:r>
      <w:r w:rsidR="001021AE" w:rsidRPr="001C4800">
        <w:rPr>
          <w:sz w:val="22"/>
          <w:szCs w:val="22"/>
        </w:rPr>
        <w:t>sulf</w:t>
      </w:r>
      <w:r w:rsidR="006C2B04" w:rsidRPr="001C4800">
        <w:rPr>
          <w:sz w:val="22"/>
          <w:szCs w:val="22"/>
        </w:rPr>
        <w:t>ó</w:t>
      </w:r>
      <w:r w:rsidR="00096ABF" w:rsidRPr="001C4800">
        <w:rPr>
          <w:sz w:val="22"/>
          <w:szCs w:val="22"/>
        </w:rPr>
        <w:t>namidu</w:t>
      </w:r>
      <w:r w:rsidRPr="001C4800">
        <w:rPr>
          <w:sz w:val="22"/>
          <w:szCs w:val="22"/>
        </w:rPr>
        <w:t>.</w:t>
      </w:r>
      <w:r w:rsidR="00E86F1B" w:rsidRPr="001C4800">
        <w:rPr>
          <w:sz w:val="22"/>
          <w:szCs w:val="22"/>
        </w:rPr>
        <w:t xml:space="preserve"> Riziko môže byť zvýšené u pacientov trpiacich podvýživou</w:t>
      </w:r>
      <w:r w:rsidR="00916341">
        <w:rPr>
          <w:sz w:val="22"/>
          <w:szCs w:val="22"/>
        </w:rPr>
        <w:t xml:space="preserve"> (hypoalbuminémiou)</w:t>
      </w:r>
      <w:r w:rsidR="00E86F1B" w:rsidRPr="001C4800">
        <w:rPr>
          <w:sz w:val="22"/>
          <w:szCs w:val="22"/>
        </w:rPr>
        <w:t>.</w:t>
      </w:r>
    </w:p>
    <w:p w14:paraId="682A1703" w14:textId="77777777" w:rsidR="00F02BDA" w:rsidRDefault="00F02BDA" w:rsidP="00EA37D1">
      <w:pPr>
        <w:rPr>
          <w:sz w:val="22"/>
          <w:szCs w:val="22"/>
        </w:rPr>
      </w:pPr>
    </w:p>
    <w:p w14:paraId="03DB770A" w14:textId="5F8FDDE4" w:rsidR="00E86F1B" w:rsidRPr="00F00777" w:rsidRDefault="00E24BEE" w:rsidP="00EA37D1">
      <w:pPr>
        <w:rPr>
          <w:sz w:val="22"/>
          <w:szCs w:val="22"/>
          <w:u w:val="single"/>
        </w:rPr>
      </w:pPr>
      <w:commentRangeStart w:id="0"/>
      <w:commentRangeEnd w:id="0"/>
      <w:r w:rsidRPr="00F00777">
        <w:rPr>
          <w:sz w:val="22"/>
          <w:szCs w:val="22"/>
          <w:u w:val="single"/>
        </w:rPr>
        <w:t>Kyselina listová</w:t>
      </w:r>
    </w:p>
    <w:p w14:paraId="7DF10F11" w14:textId="200DD366" w:rsidR="000C5E15" w:rsidRPr="00856EFB" w:rsidRDefault="00446AAC" w:rsidP="00EA37D1">
      <w:pPr>
        <w:pStyle w:val="Tekstpodstawowy"/>
        <w:spacing w:line="240" w:lineRule="auto"/>
        <w:jc w:val="left"/>
        <w:rPr>
          <w:sz w:val="22"/>
          <w:szCs w:val="22"/>
        </w:rPr>
      </w:pPr>
      <w:r w:rsidRPr="00856EFB">
        <w:rPr>
          <w:sz w:val="22"/>
          <w:szCs w:val="22"/>
        </w:rPr>
        <w:t>O</w:t>
      </w:r>
      <w:r w:rsidR="00E86F1B" w:rsidRPr="00856EFB">
        <w:rPr>
          <w:sz w:val="22"/>
          <w:szCs w:val="22"/>
        </w:rPr>
        <w:t>dporúča sa pravidelné mesačné sledovanie krvného obrazu,</w:t>
      </w:r>
      <w:r w:rsidRPr="00856EFB">
        <w:rPr>
          <w:sz w:val="22"/>
          <w:szCs w:val="22"/>
        </w:rPr>
        <w:t xml:space="preserve"> ak sa </w:t>
      </w:r>
      <w:r w:rsidR="00DA2F6F" w:rsidRPr="00856EFB">
        <w:rPr>
          <w:sz w:val="22"/>
          <w:szCs w:val="22"/>
        </w:rPr>
        <w:t xml:space="preserve">BISEPTOL </w:t>
      </w:r>
      <w:r w:rsidRPr="00856EFB">
        <w:rPr>
          <w:sz w:val="22"/>
          <w:szCs w:val="22"/>
        </w:rPr>
        <w:t xml:space="preserve">480 podáva dlhodobo, alebo ak sa podáva pacientom s deficitom </w:t>
      </w:r>
      <w:r w:rsidR="00DA53D0" w:rsidRPr="00BC56B3">
        <w:rPr>
          <w:sz w:val="22"/>
          <w:szCs w:val="22"/>
        </w:rPr>
        <w:t>kyseliny listovej</w:t>
      </w:r>
      <w:r w:rsidRPr="00BC56B3">
        <w:rPr>
          <w:sz w:val="22"/>
          <w:szCs w:val="22"/>
        </w:rPr>
        <w:t>, alebo starším pacientom, keďže tu existuje možnosť asymptomatických zmien</w:t>
      </w:r>
      <w:r w:rsidR="00E86F1B" w:rsidRPr="00856EFB">
        <w:rPr>
          <w:sz w:val="22"/>
          <w:szCs w:val="22"/>
        </w:rPr>
        <w:t xml:space="preserve"> </w:t>
      </w:r>
      <w:r w:rsidR="00DA53D0" w:rsidRPr="00856EFB">
        <w:rPr>
          <w:sz w:val="22"/>
          <w:szCs w:val="22"/>
        </w:rPr>
        <w:t>v hematologických laboratórnych parametroch indikujúcich nedostatok kyseliny listovej.</w:t>
      </w:r>
      <w:r w:rsidR="00E86F1B" w:rsidRPr="00856EFB">
        <w:rPr>
          <w:sz w:val="22"/>
          <w:szCs w:val="22"/>
        </w:rPr>
        <w:t xml:space="preserve"> </w:t>
      </w:r>
      <w:r w:rsidR="00353EB0" w:rsidRPr="00A90137">
        <w:rPr>
          <w:sz w:val="22"/>
          <w:szCs w:val="22"/>
          <w:shd w:val="clear" w:color="auto" w:fill="FFFFFF"/>
        </w:rPr>
        <w:t>Počas liečby sa môže zvážiť podávanie kyseliny listovej, ale táto liečba sa má začať opatrne kvôli možnej interferencii s antimikrobiálnou účinnosťou (pozri časť 4.5).</w:t>
      </w:r>
      <w:r w:rsidR="00353EB0" w:rsidRPr="00856EFB" w:rsidDel="00353EB0">
        <w:rPr>
          <w:sz w:val="22"/>
          <w:szCs w:val="22"/>
        </w:rPr>
        <w:t xml:space="preserve"> </w:t>
      </w:r>
      <w:commentRangeStart w:id="1"/>
      <w:commentRangeEnd w:id="1"/>
    </w:p>
    <w:p w14:paraId="1B8878CA" w14:textId="77777777" w:rsidR="00F00777" w:rsidRDefault="00F00777" w:rsidP="00824B90">
      <w:pPr>
        <w:pStyle w:val="Tekstpodstawowy"/>
        <w:spacing w:line="240" w:lineRule="auto"/>
        <w:jc w:val="left"/>
        <w:rPr>
          <w:sz w:val="22"/>
          <w:szCs w:val="22"/>
          <w:u w:val="single"/>
        </w:rPr>
      </w:pPr>
    </w:p>
    <w:p w14:paraId="1942F1C8" w14:textId="61389E66" w:rsidR="00E24BEE" w:rsidRPr="00F00777" w:rsidRDefault="00E24BEE" w:rsidP="00824B90">
      <w:pPr>
        <w:pStyle w:val="Tekstpodstawowy"/>
        <w:spacing w:line="240" w:lineRule="auto"/>
        <w:jc w:val="left"/>
        <w:rPr>
          <w:sz w:val="22"/>
          <w:szCs w:val="22"/>
          <w:u w:val="single"/>
        </w:rPr>
      </w:pPr>
      <w:r w:rsidRPr="00F00777">
        <w:rPr>
          <w:sz w:val="22"/>
          <w:szCs w:val="22"/>
          <w:u w:val="single"/>
        </w:rPr>
        <w:t>Pacienti s deficitom glukózo-6-fosfát-dehydrogenázy</w:t>
      </w:r>
    </w:p>
    <w:p w14:paraId="23DBECB9" w14:textId="77777777" w:rsidR="000C5E15" w:rsidRPr="007B45E7" w:rsidRDefault="000C5E15" w:rsidP="00824B90">
      <w:pPr>
        <w:pStyle w:val="Tekstpodstawowy"/>
        <w:spacing w:line="240" w:lineRule="auto"/>
        <w:jc w:val="left"/>
        <w:rPr>
          <w:sz w:val="22"/>
          <w:szCs w:val="22"/>
        </w:rPr>
      </w:pPr>
      <w:r w:rsidRPr="007B45E7">
        <w:rPr>
          <w:sz w:val="22"/>
          <w:szCs w:val="22"/>
        </w:rPr>
        <w:t>U pacientov s deficitom glukózo-6-fosfát-dehydrogenázy (G-6-PD) sa môže objaviť hemolýza.</w:t>
      </w:r>
    </w:p>
    <w:p w14:paraId="47153E43" w14:textId="77777777" w:rsidR="00260F3D" w:rsidRPr="00787C8E" w:rsidRDefault="00260F3D" w:rsidP="002C55AC">
      <w:pPr>
        <w:pStyle w:val="Tekstpodstawowy"/>
        <w:spacing w:line="240" w:lineRule="auto"/>
        <w:jc w:val="left"/>
        <w:rPr>
          <w:sz w:val="22"/>
          <w:szCs w:val="22"/>
        </w:rPr>
      </w:pPr>
    </w:p>
    <w:p w14:paraId="7947DD2C" w14:textId="54FCC995" w:rsidR="00E24BEE" w:rsidRPr="00A90137" w:rsidRDefault="00E24BEE" w:rsidP="00824B90">
      <w:pPr>
        <w:pStyle w:val="Tekstpodstawowy"/>
        <w:spacing w:line="240" w:lineRule="auto"/>
        <w:jc w:val="left"/>
        <w:rPr>
          <w:sz w:val="22"/>
          <w:szCs w:val="22"/>
          <w:u w:val="single"/>
        </w:rPr>
      </w:pPr>
      <w:r w:rsidRPr="00A90137">
        <w:rPr>
          <w:sz w:val="22"/>
          <w:szCs w:val="22"/>
          <w:u w:val="single"/>
        </w:rPr>
        <w:t>Pacienti so závažnou alergiou alebo astmou</w:t>
      </w:r>
    </w:p>
    <w:p w14:paraId="15026E01" w14:textId="4D73A3C1" w:rsidR="000C5E15" w:rsidRPr="00787C8E" w:rsidRDefault="000C5E15" w:rsidP="00824B90">
      <w:pPr>
        <w:pStyle w:val="Tekstpodstawowy"/>
        <w:spacing w:line="240" w:lineRule="auto"/>
        <w:jc w:val="left"/>
        <w:rPr>
          <w:sz w:val="22"/>
          <w:szCs w:val="22"/>
        </w:rPr>
      </w:pPr>
      <w:r w:rsidRPr="00787C8E">
        <w:rPr>
          <w:sz w:val="22"/>
          <w:szCs w:val="22"/>
        </w:rPr>
        <w:t>Pacientom s </w:t>
      </w:r>
      <w:r w:rsidR="00E24BEE">
        <w:rPr>
          <w:sz w:val="22"/>
          <w:szCs w:val="22"/>
        </w:rPr>
        <w:t>zá</w:t>
      </w:r>
      <w:r w:rsidRPr="00787C8E">
        <w:rPr>
          <w:sz w:val="22"/>
          <w:szCs w:val="22"/>
        </w:rPr>
        <w:t>v</w:t>
      </w:r>
      <w:r w:rsidR="00E24BEE">
        <w:rPr>
          <w:sz w:val="22"/>
          <w:szCs w:val="22"/>
        </w:rPr>
        <w:t>a</w:t>
      </w:r>
      <w:r w:rsidRPr="00787C8E">
        <w:rPr>
          <w:sz w:val="22"/>
          <w:szCs w:val="22"/>
        </w:rPr>
        <w:t xml:space="preserve">žnou alergiou alebo bronchiálnou astmou sa má </w:t>
      </w:r>
      <w:r w:rsidR="00DA2F6F" w:rsidRPr="00787C8E">
        <w:rPr>
          <w:sz w:val="22"/>
          <w:szCs w:val="22"/>
        </w:rPr>
        <w:t>BISEPTOL</w:t>
      </w:r>
      <w:r w:rsidRPr="00787C8E">
        <w:rPr>
          <w:sz w:val="22"/>
          <w:szCs w:val="22"/>
        </w:rPr>
        <w:t xml:space="preserve"> 480 podávať s opatrnosťou.</w:t>
      </w:r>
    </w:p>
    <w:p w14:paraId="1942D1CA" w14:textId="77777777" w:rsidR="00260F3D" w:rsidRPr="00787C8E" w:rsidRDefault="00260F3D" w:rsidP="00A33C03">
      <w:pPr>
        <w:pStyle w:val="Tekstpodstawowy"/>
        <w:spacing w:line="240" w:lineRule="auto"/>
        <w:jc w:val="left"/>
        <w:rPr>
          <w:sz w:val="22"/>
          <w:szCs w:val="22"/>
        </w:rPr>
      </w:pPr>
    </w:p>
    <w:p w14:paraId="00CE48DA" w14:textId="3C6602C5" w:rsidR="00E24BEE" w:rsidRPr="00F00777" w:rsidRDefault="00E24BEE" w:rsidP="0012525F">
      <w:pPr>
        <w:pStyle w:val="Tekstpodstawowy"/>
        <w:spacing w:line="240" w:lineRule="auto"/>
        <w:jc w:val="left"/>
        <w:rPr>
          <w:sz w:val="22"/>
          <w:szCs w:val="22"/>
          <w:u w:val="single"/>
        </w:rPr>
      </w:pPr>
      <w:r w:rsidRPr="00F00777">
        <w:rPr>
          <w:sz w:val="22"/>
          <w:szCs w:val="22"/>
          <w:u w:val="single"/>
        </w:rPr>
        <w:t>Liečba streptokokovej faryngitídy spôsobenej betahemolytickými streptokokmi skupiny A</w:t>
      </w:r>
    </w:p>
    <w:p w14:paraId="3376F96A" w14:textId="77777777" w:rsidR="00640A49" w:rsidRPr="001C4800" w:rsidRDefault="00DA2F6F" w:rsidP="0012525F">
      <w:pPr>
        <w:pStyle w:val="Tekstpodstawowy"/>
        <w:spacing w:line="240" w:lineRule="auto"/>
        <w:jc w:val="left"/>
        <w:rPr>
          <w:sz w:val="22"/>
          <w:szCs w:val="22"/>
        </w:rPr>
      </w:pPr>
      <w:r w:rsidRPr="001C4800">
        <w:rPr>
          <w:sz w:val="22"/>
          <w:szCs w:val="22"/>
        </w:rPr>
        <w:t xml:space="preserve">BISEPTOL </w:t>
      </w:r>
      <w:r w:rsidR="00640A49" w:rsidRPr="001C4800">
        <w:rPr>
          <w:sz w:val="22"/>
          <w:szCs w:val="22"/>
        </w:rPr>
        <w:t xml:space="preserve">480 sa nemá používať na liečbu streptokokovej faryngitídy spôsobenej betahemolytickými streptokokmi skupiny A. Odstránenie </w:t>
      </w:r>
      <w:r w:rsidR="005D08B0" w:rsidRPr="001C4800">
        <w:rPr>
          <w:sz w:val="22"/>
          <w:szCs w:val="22"/>
        </w:rPr>
        <w:t>týchto mikroorganizmov z orofaryn</w:t>
      </w:r>
      <w:r w:rsidR="006C2B04" w:rsidRPr="001C4800">
        <w:rPr>
          <w:sz w:val="22"/>
          <w:szCs w:val="22"/>
        </w:rPr>
        <w:t>g</w:t>
      </w:r>
      <w:r w:rsidR="005D08B0" w:rsidRPr="001C4800">
        <w:rPr>
          <w:sz w:val="22"/>
          <w:szCs w:val="22"/>
        </w:rPr>
        <w:t xml:space="preserve">u je menej účinné ako pri penicilíne. </w:t>
      </w:r>
    </w:p>
    <w:p w14:paraId="764B38D6" w14:textId="77777777" w:rsidR="00260F3D" w:rsidRPr="001C4800" w:rsidRDefault="00260F3D" w:rsidP="002D3214">
      <w:pPr>
        <w:pStyle w:val="Tekstpodstawowy"/>
        <w:spacing w:line="240" w:lineRule="auto"/>
        <w:jc w:val="left"/>
        <w:rPr>
          <w:sz w:val="22"/>
          <w:szCs w:val="22"/>
        </w:rPr>
      </w:pPr>
    </w:p>
    <w:p w14:paraId="3085100A" w14:textId="7F82BF3C" w:rsidR="00E24BEE" w:rsidRPr="00F00777" w:rsidRDefault="00E24BEE" w:rsidP="0052759C">
      <w:pPr>
        <w:pStyle w:val="Tekstpodstawowy"/>
        <w:spacing w:line="240" w:lineRule="auto"/>
        <w:jc w:val="left"/>
        <w:rPr>
          <w:sz w:val="22"/>
          <w:szCs w:val="22"/>
          <w:u w:val="single"/>
        </w:rPr>
      </w:pPr>
      <w:r w:rsidRPr="00F00777">
        <w:rPr>
          <w:sz w:val="22"/>
          <w:szCs w:val="22"/>
          <w:u w:val="single"/>
        </w:rPr>
        <w:t>Metabolizmus</w:t>
      </w:r>
      <w:r w:rsidR="004E3ACE" w:rsidRPr="004E3ACE">
        <w:rPr>
          <w:sz w:val="22"/>
          <w:szCs w:val="22"/>
          <w:u w:val="single"/>
        </w:rPr>
        <w:t xml:space="preserve"> fenylal</w:t>
      </w:r>
      <w:r w:rsidR="004E3ACE" w:rsidRPr="00BB515C">
        <w:rPr>
          <w:sz w:val="22"/>
          <w:szCs w:val="22"/>
          <w:u w:val="single"/>
        </w:rPr>
        <w:t>an</w:t>
      </w:r>
      <w:r w:rsidRPr="00F00777">
        <w:rPr>
          <w:sz w:val="22"/>
          <w:szCs w:val="22"/>
          <w:u w:val="single"/>
        </w:rPr>
        <w:t xml:space="preserve">ínu </w:t>
      </w:r>
    </w:p>
    <w:p w14:paraId="3ED06812" w14:textId="77777777" w:rsidR="005D08B0" w:rsidRPr="001C4800" w:rsidRDefault="005D08B0" w:rsidP="0052759C">
      <w:pPr>
        <w:pStyle w:val="Tekstpodstawowy"/>
        <w:spacing w:line="240" w:lineRule="auto"/>
        <w:jc w:val="left"/>
        <w:rPr>
          <w:sz w:val="22"/>
          <w:szCs w:val="22"/>
        </w:rPr>
      </w:pPr>
      <w:r w:rsidRPr="001C4800">
        <w:rPr>
          <w:sz w:val="22"/>
          <w:szCs w:val="22"/>
        </w:rPr>
        <w:t>U trimetoprimu sa zistilo, že zhoršuje metabolizmus fenylanalínu, ale toto nemá v</w:t>
      </w:r>
      <w:r w:rsidR="00A23598" w:rsidRPr="001C4800">
        <w:rPr>
          <w:sz w:val="22"/>
          <w:szCs w:val="22"/>
        </w:rPr>
        <w:t>ý</w:t>
      </w:r>
      <w:r w:rsidRPr="001C4800">
        <w:rPr>
          <w:sz w:val="22"/>
          <w:szCs w:val="22"/>
        </w:rPr>
        <w:t>z</w:t>
      </w:r>
      <w:r w:rsidR="00A23598" w:rsidRPr="001C4800">
        <w:rPr>
          <w:sz w:val="22"/>
          <w:szCs w:val="22"/>
        </w:rPr>
        <w:t xml:space="preserve">nam u pacientov s fenylketonúriou s vhodným diétnym opatrením. </w:t>
      </w:r>
    </w:p>
    <w:p w14:paraId="5C355DF8" w14:textId="77777777" w:rsidR="00260F3D" w:rsidRDefault="00260F3D" w:rsidP="00803E26">
      <w:pPr>
        <w:pStyle w:val="Tekstpodstawowy"/>
        <w:spacing w:line="240" w:lineRule="auto"/>
        <w:jc w:val="left"/>
        <w:rPr>
          <w:sz w:val="22"/>
          <w:szCs w:val="22"/>
        </w:rPr>
      </w:pPr>
    </w:p>
    <w:p w14:paraId="0E7EDC7A" w14:textId="1A530268" w:rsidR="00933E97" w:rsidRPr="00F00777" w:rsidRDefault="00933E97" w:rsidP="00803E26">
      <w:pPr>
        <w:pStyle w:val="Tekstpodstawowy"/>
        <w:spacing w:line="240" w:lineRule="auto"/>
        <w:jc w:val="left"/>
        <w:rPr>
          <w:sz w:val="22"/>
          <w:szCs w:val="22"/>
          <w:u w:val="single"/>
        </w:rPr>
      </w:pPr>
      <w:r w:rsidRPr="00F00777">
        <w:rPr>
          <w:sz w:val="22"/>
          <w:szCs w:val="22"/>
          <w:u w:val="single"/>
        </w:rPr>
        <w:t>Pacienti s porfýriou alebo s rizikom vzniku porfýrie</w:t>
      </w:r>
    </w:p>
    <w:p w14:paraId="0662CE5C" w14:textId="5D8EAD55" w:rsidR="00A23598" w:rsidRPr="001C4800" w:rsidRDefault="00A23598" w:rsidP="00CF66A3">
      <w:pPr>
        <w:pStyle w:val="Tekstpodstawowy"/>
        <w:spacing w:line="240" w:lineRule="auto"/>
        <w:jc w:val="left"/>
        <w:rPr>
          <w:sz w:val="22"/>
          <w:szCs w:val="22"/>
        </w:rPr>
      </w:pPr>
      <w:r w:rsidRPr="001C4800">
        <w:rPr>
          <w:sz w:val="22"/>
          <w:szCs w:val="22"/>
        </w:rPr>
        <w:t xml:space="preserve">Je treba sa vyhnúť podávaniu </w:t>
      </w:r>
      <w:r w:rsidR="00DA2F6F" w:rsidRPr="001C4800">
        <w:rPr>
          <w:sz w:val="22"/>
          <w:szCs w:val="22"/>
        </w:rPr>
        <w:t>BISEPTOLU</w:t>
      </w:r>
      <w:r w:rsidRPr="001C4800">
        <w:rPr>
          <w:sz w:val="22"/>
          <w:szCs w:val="22"/>
        </w:rPr>
        <w:t xml:space="preserve"> 480 pacientom so známou porfýriou alebo s</w:t>
      </w:r>
      <w:r w:rsidR="00933E97">
        <w:rPr>
          <w:sz w:val="22"/>
          <w:szCs w:val="22"/>
        </w:rPr>
        <w:t> podozrením na riziko vzniku tohto</w:t>
      </w:r>
      <w:r w:rsidRPr="001C4800">
        <w:rPr>
          <w:sz w:val="22"/>
          <w:szCs w:val="22"/>
        </w:rPr>
        <w:t xml:space="preserve"> ochoreni</w:t>
      </w:r>
      <w:r w:rsidR="00933E97">
        <w:rPr>
          <w:sz w:val="22"/>
          <w:szCs w:val="22"/>
        </w:rPr>
        <w:t>a</w:t>
      </w:r>
      <w:r w:rsidRPr="001C4800">
        <w:rPr>
          <w:sz w:val="22"/>
          <w:szCs w:val="22"/>
        </w:rPr>
        <w:t>. Aj trimetoprim</w:t>
      </w:r>
      <w:r w:rsidR="00F00777">
        <w:rPr>
          <w:sz w:val="22"/>
          <w:szCs w:val="22"/>
        </w:rPr>
        <w:t>,</w:t>
      </w:r>
      <w:r w:rsidRPr="001C4800">
        <w:rPr>
          <w:sz w:val="22"/>
          <w:szCs w:val="22"/>
        </w:rPr>
        <w:t xml:space="preserve"> aj sulf</w:t>
      </w:r>
      <w:r w:rsidR="006C2B04" w:rsidRPr="001C4800">
        <w:rPr>
          <w:sz w:val="22"/>
          <w:szCs w:val="22"/>
        </w:rPr>
        <w:t>ó</w:t>
      </w:r>
      <w:r w:rsidRPr="001C4800">
        <w:rPr>
          <w:sz w:val="22"/>
          <w:szCs w:val="22"/>
        </w:rPr>
        <w:t xml:space="preserve">namidy (hoci nie konkrétne sulfametoxazol) boli spájané </w:t>
      </w:r>
      <w:r w:rsidR="00FD0546" w:rsidRPr="001C4800">
        <w:rPr>
          <w:sz w:val="22"/>
          <w:szCs w:val="22"/>
        </w:rPr>
        <w:t>s klinickým</w:t>
      </w:r>
      <w:r w:rsidRPr="001C4800">
        <w:rPr>
          <w:sz w:val="22"/>
          <w:szCs w:val="22"/>
        </w:rPr>
        <w:t xml:space="preserve"> zhoršením porfýrie. </w:t>
      </w:r>
    </w:p>
    <w:p w14:paraId="7D90213A" w14:textId="77777777" w:rsidR="00933E97" w:rsidRDefault="00933E97" w:rsidP="00EA37D1">
      <w:pPr>
        <w:pStyle w:val="Tekstpodstawowy"/>
        <w:spacing w:line="240" w:lineRule="auto"/>
        <w:jc w:val="left"/>
        <w:rPr>
          <w:sz w:val="22"/>
          <w:szCs w:val="22"/>
        </w:rPr>
      </w:pPr>
    </w:p>
    <w:p w14:paraId="0FA1F03F" w14:textId="55EF5A8E" w:rsidR="00933E97" w:rsidRPr="00F00777" w:rsidRDefault="00933E97" w:rsidP="00EA37D1">
      <w:pPr>
        <w:pStyle w:val="Tekstpodstawowy"/>
        <w:spacing w:line="240" w:lineRule="auto"/>
        <w:jc w:val="left"/>
        <w:rPr>
          <w:sz w:val="22"/>
          <w:szCs w:val="22"/>
          <w:u w:val="single"/>
        </w:rPr>
      </w:pPr>
      <w:r w:rsidRPr="00F00777">
        <w:rPr>
          <w:sz w:val="22"/>
          <w:szCs w:val="22"/>
          <w:u w:val="single"/>
        </w:rPr>
        <w:t>Pacienti s hypokaliémoiu a hyponatrémoiu</w:t>
      </w:r>
    </w:p>
    <w:p w14:paraId="0B3EC374" w14:textId="0527E281" w:rsidR="00430C08" w:rsidRPr="000C7D6A" w:rsidRDefault="00B711B7" w:rsidP="00EA37D1">
      <w:pPr>
        <w:pStyle w:val="Tekstpodstawowy"/>
        <w:spacing w:line="240" w:lineRule="auto"/>
        <w:jc w:val="left"/>
        <w:rPr>
          <w:sz w:val="22"/>
          <w:szCs w:val="22"/>
        </w:rPr>
      </w:pPr>
      <w:r w:rsidRPr="001C4800">
        <w:rPr>
          <w:sz w:val="22"/>
          <w:szCs w:val="22"/>
        </w:rPr>
        <w:t xml:space="preserve">Starostlivé sledovanie sérových hladín draslíka a sodíka sa odporúča u pacientov s </w:t>
      </w:r>
      <w:r w:rsidR="00430C08" w:rsidRPr="001C4800">
        <w:rPr>
          <w:sz w:val="22"/>
          <w:szCs w:val="22"/>
        </w:rPr>
        <w:t>rizik</w:t>
      </w:r>
      <w:r w:rsidRPr="001C4800">
        <w:rPr>
          <w:sz w:val="22"/>
          <w:szCs w:val="22"/>
        </w:rPr>
        <w:t>om</w:t>
      </w:r>
      <w:r w:rsidR="00430C08" w:rsidRPr="001C4800">
        <w:rPr>
          <w:sz w:val="22"/>
          <w:szCs w:val="22"/>
        </w:rPr>
        <w:t xml:space="preserve"> hyperkal</w:t>
      </w:r>
      <w:r w:rsidR="00EC21C1" w:rsidRPr="007B45E7">
        <w:rPr>
          <w:sz w:val="22"/>
          <w:szCs w:val="22"/>
        </w:rPr>
        <w:t>i</w:t>
      </w:r>
      <w:r w:rsidR="00430C08" w:rsidRPr="007B45E7">
        <w:rPr>
          <w:sz w:val="22"/>
          <w:szCs w:val="22"/>
        </w:rPr>
        <w:t xml:space="preserve">émie </w:t>
      </w:r>
      <w:r w:rsidR="0038455F" w:rsidRPr="007B45E7">
        <w:rPr>
          <w:sz w:val="22"/>
          <w:szCs w:val="22"/>
        </w:rPr>
        <w:t>a hypo</w:t>
      </w:r>
      <w:r w:rsidRPr="007B45E7">
        <w:rPr>
          <w:sz w:val="22"/>
          <w:szCs w:val="22"/>
        </w:rPr>
        <w:t xml:space="preserve">rnatrémie. </w:t>
      </w:r>
    </w:p>
    <w:p w14:paraId="01DCE820" w14:textId="77777777" w:rsidR="00260F3D" w:rsidRDefault="00260F3D" w:rsidP="00EA37D1">
      <w:pPr>
        <w:pStyle w:val="Tekstpodstawowy"/>
        <w:spacing w:line="240" w:lineRule="auto"/>
        <w:jc w:val="left"/>
        <w:rPr>
          <w:sz w:val="22"/>
          <w:szCs w:val="22"/>
        </w:rPr>
      </w:pPr>
    </w:p>
    <w:p w14:paraId="090002F8" w14:textId="73EB4950" w:rsidR="00933E97" w:rsidRPr="00F00777" w:rsidRDefault="00933E97" w:rsidP="00353EB0">
      <w:pPr>
        <w:pStyle w:val="HTML-wstpniesformatowany"/>
        <w:shd w:val="clear" w:color="auto" w:fill="FFFFFF"/>
        <w:rPr>
          <w:rFonts w:ascii="Times New Roman" w:hAnsi="Times New Roman" w:cs="Times New Roman"/>
          <w:color w:val="212121"/>
          <w:sz w:val="22"/>
          <w:szCs w:val="22"/>
          <w:u w:val="single"/>
        </w:rPr>
      </w:pPr>
      <w:r w:rsidRPr="00F00777">
        <w:rPr>
          <w:rFonts w:ascii="Times New Roman" w:hAnsi="Times New Roman" w:cs="Times New Roman"/>
          <w:color w:val="212121"/>
          <w:sz w:val="22"/>
          <w:szCs w:val="22"/>
          <w:u w:val="single"/>
        </w:rPr>
        <w:lastRenderedPageBreak/>
        <w:t>Metabolická acidóza</w:t>
      </w:r>
    </w:p>
    <w:p w14:paraId="12C1C2D5" w14:textId="77777777" w:rsidR="00353EB0" w:rsidRPr="00353EB0" w:rsidRDefault="00353EB0" w:rsidP="00353EB0">
      <w:pPr>
        <w:pStyle w:val="HTML-wstpniesformatowany"/>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t>Ko</w:t>
      </w:r>
      <w:r w:rsidRPr="00353EB0">
        <w:rPr>
          <w:rFonts w:ascii="Times New Roman" w:hAnsi="Times New Roman" w:cs="Times New Roman"/>
          <w:color w:val="212121"/>
          <w:sz w:val="22"/>
          <w:szCs w:val="22"/>
        </w:rPr>
        <w:t>trimoxazol sa spájal s metabolickou acidózou, keď boli vylúčené iné možné príčiny. Pri podozrení na metabolickú acidózu sa vždy odporúča starostlivé sledovanie.</w:t>
      </w:r>
    </w:p>
    <w:p w14:paraId="2E5C297E" w14:textId="77777777" w:rsidR="00353EB0" w:rsidRPr="00353EB0" w:rsidRDefault="00353EB0" w:rsidP="00EA37D1">
      <w:pPr>
        <w:pStyle w:val="Tekstpodstawowy"/>
        <w:spacing w:line="240" w:lineRule="auto"/>
        <w:jc w:val="left"/>
        <w:rPr>
          <w:sz w:val="22"/>
          <w:szCs w:val="22"/>
        </w:rPr>
      </w:pPr>
    </w:p>
    <w:p w14:paraId="246868CB" w14:textId="23494550" w:rsidR="00933E97" w:rsidRPr="00856EFB" w:rsidRDefault="00933E97" w:rsidP="00EA37D1">
      <w:pPr>
        <w:pStyle w:val="Tekstpodstawowy"/>
        <w:spacing w:line="240" w:lineRule="auto"/>
        <w:jc w:val="left"/>
        <w:rPr>
          <w:sz w:val="22"/>
          <w:szCs w:val="22"/>
          <w:u w:val="single"/>
        </w:rPr>
      </w:pPr>
      <w:r w:rsidRPr="00856EFB">
        <w:rPr>
          <w:sz w:val="22"/>
          <w:szCs w:val="22"/>
          <w:u w:val="single"/>
        </w:rPr>
        <w:t>Pacienti so závažnými hematologickými poruchami</w:t>
      </w:r>
    </w:p>
    <w:p w14:paraId="20B09586" w14:textId="5464A646" w:rsidR="00B711B7" w:rsidRPr="00856EFB" w:rsidRDefault="00933E97" w:rsidP="00EA37D1">
      <w:pPr>
        <w:pStyle w:val="Tekstpodstawowy"/>
        <w:spacing w:line="240" w:lineRule="auto"/>
        <w:jc w:val="left"/>
        <w:rPr>
          <w:sz w:val="22"/>
          <w:szCs w:val="22"/>
        </w:rPr>
      </w:pPr>
      <w:r w:rsidRPr="00BC56B3">
        <w:rPr>
          <w:sz w:val="22"/>
          <w:szCs w:val="22"/>
        </w:rPr>
        <w:t>Bez</w:t>
      </w:r>
      <w:r w:rsidR="00B711B7" w:rsidRPr="00BC56B3">
        <w:rPr>
          <w:sz w:val="22"/>
          <w:szCs w:val="22"/>
        </w:rPr>
        <w:t xml:space="preserve"> starostlivého dohľadu, </w:t>
      </w:r>
      <w:r w:rsidRPr="00BC56B3">
        <w:rPr>
          <w:sz w:val="22"/>
          <w:szCs w:val="22"/>
        </w:rPr>
        <w:t xml:space="preserve">sa </w:t>
      </w:r>
      <w:r w:rsidR="0042020D" w:rsidRPr="00BC56B3">
        <w:rPr>
          <w:sz w:val="22"/>
          <w:szCs w:val="22"/>
        </w:rPr>
        <w:t>BISEPTOL</w:t>
      </w:r>
      <w:r w:rsidR="00B711B7" w:rsidRPr="00BC56B3">
        <w:rPr>
          <w:sz w:val="22"/>
          <w:szCs w:val="22"/>
        </w:rPr>
        <w:t xml:space="preserve"> 480 nemá podávať pacientov so závažnými hematologic</w:t>
      </w:r>
      <w:r w:rsidR="00B711B7" w:rsidRPr="00856EFB">
        <w:rPr>
          <w:sz w:val="22"/>
          <w:szCs w:val="22"/>
        </w:rPr>
        <w:t>kými poruchami (pozri časť 4.8 Nežiaduce účinky). Kotrimoxazol sa podával pacientom dostávajúcim cytotoxickú liečbu s malým alebo žiadnym aditívnym účinkom na kostnú dreň alebo periférnu krv.</w:t>
      </w:r>
    </w:p>
    <w:p w14:paraId="31650BD9" w14:textId="77777777" w:rsidR="00B711B7" w:rsidRPr="00856EFB" w:rsidRDefault="00B711B7" w:rsidP="00EA37D1">
      <w:pPr>
        <w:pStyle w:val="Tekstpodstawowy"/>
        <w:spacing w:line="240" w:lineRule="auto"/>
        <w:jc w:val="left"/>
        <w:rPr>
          <w:sz w:val="22"/>
          <w:szCs w:val="22"/>
        </w:rPr>
      </w:pPr>
    </w:p>
    <w:p w14:paraId="0C845954" w14:textId="77777777" w:rsidR="00B711B7" w:rsidRPr="00856EFB" w:rsidRDefault="00B711B7" w:rsidP="00EA37D1">
      <w:pPr>
        <w:pStyle w:val="Tekstpodstawowy"/>
        <w:spacing w:line="240" w:lineRule="auto"/>
        <w:jc w:val="left"/>
        <w:rPr>
          <w:sz w:val="22"/>
          <w:szCs w:val="22"/>
        </w:rPr>
      </w:pPr>
      <w:r w:rsidRPr="00856EFB">
        <w:rPr>
          <w:sz w:val="22"/>
          <w:szCs w:val="22"/>
        </w:rPr>
        <w:t>Kombinácia antibiotík v </w:t>
      </w:r>
      <w:r w:rsidR="0042020D" w:rsidRPr="00856EFB">
        <w:rPr>
          <w:sz w:val="22"/>
          <w:szCs w:val="22"/>
        </w:rPr>
        <w:t>BISEPTOLE</w:t>
      </w:r>
      <w:r w:rsidRPr="00856EFB">
        <w:rPr>
          <w:sz w:val="22"/>
          <w:szCs w:val="22"/>
        </w:rPr>
        <w:t xml:space="preserve"> 480 sa má podávať, ak lekár posúdi prínos liečby nad možnými rizikami; do úvahy treba vziať použitie liečby jedným antibiotikom. </w:t>
      </w:r>
    </w:p>
    <w:p w14:paraId="4C63A8A8" w14:textId="77777777" w:rsidR="00B711B7" w:rsidRPr="00856EFB" w:rsidRDefault="00B711B7" w:rsidP="00EA37D1">
      <w:pPr>
        <w:pStyle w:val="Tekstpodstawowy"/>
        <w:spacing w:line="240" w:lineRule="auto"/>
        <w:jc w:val="left"/>
        <w:rPr>
          <w:sz w:val="22"/>
          <w:szCs w:val="22"/>
        </w:rPr>
      </w:pPr>
    </w:p>
    <w:p w14:paraId="264A1744" w14:textId="025824AA" w:rsidR="0038455F" w:rsidRPr="00856EFB" w:rsidRDefault="0042020D" w:rsidP="00EA37D1">
      <w:pPr>
        <w:pStyle w:val="Tekstpodstawowy"/>
        <w:spacing w:line="240" w:lineRule="auto"/>
        <w:jc w:val="left"/>
        <w:rPr>
          <w:sz w:val="22"/>
          <w:szCs w:val="22"/>
        </w:rPr>
      </w:pPr>
      <w:r w:rsidRPr="00856EFB">
        <w:rPr>
          <w:sz w:val="22"/>
          <w:szCs w:val="22"/>
        </w:rPr>
        <w:t>BISEPTOL</w:t>
      </w:r>
      <w:r w:rsidR="0038455F" w:rsidRPr="00856EFB">
        <w:rPr>
          <w:sz w:val="22"/>
          <w:szCs w:val="22"/>
        </w:rPr>
        <w:t xml:space="preserve"> 480 obsahuje 400 mg propylénglykolu v</w:t>
      </w:r>
      <w:r w:rsidR="00353EB0" w:rsidRPr="00856EFB">
        <w:rPr>
          <w:sz w:val="22"/>
          <w:szCs w:val="22"/>
        </w:rPr>
        <w:t> každom</w:t>
      </w:r>
      <w:r w:rsidR="0038455F" w:rsidRPr="00856EFB">
        <w:rPr>
          <w:sz w:val="22"/>
          <w:szCs w:val="22"/>
        </w:rPr>
        <w:t xml:space="preserve"> ml</w:t>
      </w:r>
      <w:r w:rsidR="00353EB0" w:rsidRPr="00856EFB">
        <w:rPr>
          <w:sz w:val="22"/>
          <w:szCs w:val="22"/>
        </w:rPr>
        <w:t>, čo je ekvivalentné 2000 mg/5 ml.</w:t>
      </w:r>
      <w:r w:rsidR="0038455F" w:rsidRPr="00856EFB">
        <w:rPr>
          <w:sz w:val="22"/>
          <w:szCs w:val="22"/>
        </w:rPr>
        <w:t xml:space="preserve"> </w:t>
      </w:r>
    </w:p>
    <w:p w14:paraId="036B4434" w14:textId="0104ED1A" w:rsidR="00D744A4" w:rsidRPr="00A90137" w:rsidRDefault="00D744A4" w:rsidP="00D744A4">
      <w:pPr>
        <w:pStyle w:val="HTML-wstpniesformatowany"/>
        <w:shd w:val="clear" w:color="auto" w:fill="FFFFFF"/>
        <w:rPr>
          <w:rFonts w:ascii="Times New Roman" w:hAnsi="Times New Roman" w:cs="Times New Roman"/>
          <w:sz w:val="22"/>
          <w:szCs w:val="22"/>
        </w:rPr>
      </w:pPr>
      <w:r w:rsidRPr="00A90137">
        <w:rPr>
          <w:rFonts w:ascii="Times New Roman" w:hAnsi="Times New Roman" w:cs="Times New Roman"/>
          <w:sz w:val="22"/>
          <w:szCs w:val="22"/>
        </w:rPr>
        <w:t xml:space="preserve">Súbežné podanie </w:t>
      </w:r>
      <w:r w:rsidR="00F54C84" w:rsidRPr="00A90137">
        <w:rPr>
          <w:rFonts w:ascii="Times New Roman" w:hAnsi="Times New Roman" w:cs="Times New Roman"/>
          <w:sz w:val="22"/>
          <w:szCs w:val="22"/>
        </w:rPr>
        <w:t xml:space="preserve">s </w:t>
      </w:r>
      <w:r w:rsidRPr="00A90137">
        <w:rPr>
          <w:rFonts w:ascii="Times New Roman" w:hAnsi="Times New Roman" w:cs="Times New Roman"/>
          <w:sz w:val="22"/>
          <w:szCs w:val="22"/>
        </w:rPr>
        <w:t>ak</w:t>
      </w:r>
      <w:r w:rsidR="00F54C84" w:rsidRPr="00A90137">
        <w:rPr>
          <w:rFonts w:ascii="Times New Roman" w:hAnsi="Times New Roman" w:cs="Times New Roman"/>
          <w:sz w:val="22"/>
          <w:szCs w:val="22"/>
        </w:rPr>
        <w:t>ým</w:t>
      </w:r>
      <w:r w:rsidRPr="00A90137">
        <w:rPr>
          <w:rFonts w:ascii="Times New Roman" w:hAnsi="Times New Roman" w:cs="Times New Roman"/>
          <w:sz w:val="22"/>
          <w:szCs w:val="22"/>
        </w:rPr>
        <w:t>koľvek substrát</w:t>
      </w:r>
      <w:r w:rsidR="00F54C84" w:rsidRPr="00A90137">
        <w:rPr>
          <w:rFonts w:ascii="Times New Roman" w:hAnsi="Times New Roman" w:cs="Times New Roman"/>
          <w:sz w:val="22"/>
          <w:szCs w:val="22"/>
        </w:rPr>
        <w:t>om</w:t>
      </w:r>
      <w:r w:rsidRPr="00A90137">
        <w:rPr>
          <w:rFonts w:ascii="Times New Roman" w:hAnsi="Times New Roman" w:cs="Times New Roman"/>
          <w:sz w:val="22"/>
          <w:szCs w:val="22"/>
        </w:rPr>
        <w:t xml:space="preserve"> alkoholdehydrogenáz</w:t>
      </w:r>
      <w:r w:rsidR="00F54C84" w:rsidRPr="00A90137">
        <w:rPr>
          <w:rFonts w:ascii="Times New Roman" w:hAnsi="Times New Roman" w:cs="Times New Roman"/>
          <w:sz w:val="22"/>
          <w:szCs w:val="22"/>
        </w:rPr>
        <w:t>y</w:t>
      </w:r>
      <w:r w:rsidRPr="00A90137">
        <w:rPr>
          <w:rFonts w:ascii="Times New Roman" w:hAnsi="Times New Roman" w:cs="Times New Roman"/>
          <w:sz w:val="22"/>
          <w:szCs w:val="22"/>
        </w:rPr>
        <w:t xml:space="preserve">, ako </w:t>
      </w:r>
      <w:r w:rsidR="00F54C84" w:rsidRPr="00A90137">
        <w:rPr>
          <w:rFonts w:ascii="Times New Roman" w:hAnsi="Times New Roman" w:cs="Times New Roman"/>
          <w:sz w:val="22"/>
          <w:szCs w:val="22"/>
        </w:rPr>
        <w:t xml:space="preserve">napríklad s </w:t>
      </w:r>
      <w:r w:rsidRPr="00A90137">
        <w:rPr>
          <w:rFonts w:ascii="Times New Roman" w:hAnsi="Times New Roman" w:cs="Times New Roman"/>
          <w:sz w:val="22"/>
          <w:szCs w:val="22"/>
        </w:rPr>
        <w:t>etanol</w:t>
      </w:r>
      <w:r w:rsidR="00F54C84" w:rsidRPr="00A90137">
        <w:rPr>
          <w:rFonts w:ascii="Times New Roman" w:hAnsi="Times New Roman" w:cs="Times New Roman"/>
          <w:sz w:val="22"/>
          <w:szCs w:val="22"/>
        </w:rPr>
        <w:t>om</w:t>
      </w:r>
      <w:r w:rsidRPr="00A90137">
        <w:rPr>
          <w:rFonts w:ascii="Times New Roman" w:hAnsi="Times New Roman" w:cs="Times New Roman"/>
          <w:sz w:val="22"/>
          <w:szCs w:val="22"/>
        </w:rPr>
        <w:t xml:space="preserve">, môže </w:t>
      </w:r>
      <w:r w:rsidR="00FD53B5" w:rsidRPr="00A90137">
        <w:rPr>
          <w:rFonts w:ascii="Times New Roman" w:hAnsi="Times New Roman" w:cs="Times New Roman"/>
          <w:sz w:val="22"/>
          <w:szCs w:val="22"/>
        </w:rPr>
        <w:t xml:space="preserve">u detí mladších ako 5 rokov </w:t>
      </w:r>
      <w:r w:rsidRPr="00A90137">
        <w:rPr>
          <w:rFonts w:ascii="Times New Roman" w:hAnsi="Times New Roman" w:cs="Times New Roman"/>
          <w:sz w:val="22"/>
          <w:szCs w:val="22"/>
        </w:rPr>
        <w:t xml:space="preserve">vyvolať </w:t>
      </w:r>
      <w:r w:rsidR="00FD53B5" w:rsidRPr="00A90137">
        <w:rPr>
          <w:rFonts w:ascii="Times New Roman" w:hAnsi="Times New Roman" w:cs="Times New Roman"/>
          <w:sz w:val="22"/>
          <w:szCs w:val="22"/>
        </w:rPr>
        <w:t xml:space="preserve">závažné </w:t>
      </w:r>
      <w:r w:rsidRPr="00A90137">
        <w:rPr>
          <w:rFonts w:ascii="Times New Roman" w:hAnsi="Times New Roman" w:cs="Times New Roman"/>
          <w:sz w:val="22"/>
          <w:szCs w:val="22"/>
        </w:rPr>
        <w:t>nežiaduce účinky.</w:t>
      </w:r>
    </w:p>
    <w:p w14:paraId="452430B8" w14:textId="110D6849" w:rsidR="00D744A4" w:rsidRPr="00A90137" w:rsidRDefault="00EB3442" w:rsidP="00D744A4">
      <w:pPr>
        <w:pStyle w:val="HTML-wstpniesformatowany"/>
        <w:shd w:val="clear" w:color="auto" w:fill="FFFFFF"/>
        <w:rPr>
          <w:rFonts w:ascii="Times New Roman" w:hAnsi="Times New Roman" w:cs="Times New Roman"/>
          <w:sz w:val="22"/>
          <w:szCs w:val="22"/>
        </w:rPr>
      </w:pPr>
      <w:r w:rsidRPr="00856EFB">
        <w:rPr>
          <w:rFonts w:ascii="Times New Roman" w:hAnsi="Times New Roman" w:cs="Times New Roman"/>
          <w:sz w:val="22"/>
          <w:szCs w:val="22"/>
        </w:rPr>
        <w:t>Hoci sa na zvieratách a u ľudí nepreukázalo, že propylénglykol spôsobuje reprodukčnú a vývinovú toxicitu</w:t>
      </w:r>
      <w:r w:rsidR="00D744A4" w:rsidRPr="00A90137">
        <w:rPr>
          <w:rFonts w:ascii="Times New Roman" w:hAnsi="Times New Roman" w:cs="Times New Roman"/>
          <w:sz w:val="22"/>
          <w:szCs w:val="22"/>
        </w:rPr>
        <w:t>, môže sa dostať do plodu a nachádza sa v</w:t>
      </w:r>
      <w:r w:rsidRPr="00A90137">
        <w:rPr>
          <w:rFonts w:ascii="Times New Roman" w:hAnsi="Times New Roman" w:cs="Times New Roman"/>
          <w:sz w:val="22"/>
          <w:szCs w:val="22"/>
        </w:rPr>
        <w:t xml:space="preserve"> materskom </w:t>
      </w:r>
      <w:r w:rsidR="00D744A4" w:rsidRPr="00A90137">
        <w:rPr>
          <w:rFonts w:ascii="Times New Roman" w:hAnsi="Times New Roman" w:cs="Times New Roman"/>
          <w:sz w:val="22"/>
          <w:szCs w:val="22"/>
        </w:rPr>
        <w:t xml:space="preserve">mlieku. </w:t>
      </w:r>
      <w:r w:rsidRPr="00856EFB">
        <w:rPr>
          <w:rFonts w:ascii="Times New Roman" w:hAnsi="Times New Roman" w:cs="Times New Roman"/>
          <w:sz w:val="22"/>
          <w:szCs w:val="22"/>
        </w:rPr>
        <w:t>Podávanie propylénglykolu tehotným alebo dojčiacim pacientkam sa preto musí zvážiť individuálne.</w:t>
      </w:r>
    </w:p>
    <w:p w14:paraId="186DD4AB" w14:textId="5801B385" w:rsidR="00D744A4" w:rsidRPr="00A90137" w:rsidRDefault="00D744A4" w:rsidP="00D744A4">
      <w:pPr>
        <w:pStyle w:val="HTML-wstpniesformatowany"/>
        <w:shd w:val="clear" w:color="auto" w:fill="FFFFFF"/>
        <w:rPr>
          <w:rFonts w:ascii="Times New Roman" w:hAnsi="Times New Roman" w:cs="Times New Roman"/>
          <w:sz w:val="22"/>
          <w:szCs w:val="22"/>
        </w:rPr>
      </w:pPr>
      <w:r w:rsidRPr="00A90137">
        <w:rPr>
          <w:rFonts w:ascii="Times New Roman" w:hAnsi="Times New Roman" w:cs="Times New Roman"/>
          <w:sz w:val="22"/>
          <w:szCs w:val="22"/>
        </w:rPr>
        <w:t>Lekárske monitorovanie sa vyžaduje u pacientov s po</w:t>
      </w:r>
      <w:r w:rsidR="00EB3442" w:rsidRPr="00A90137">
        <w:rPr>
          <w:rFonts w:ascii="Times New Roman" w:hAnsi="Times New Roman" w:cs="Times New Roman"/>
          <w:sz w:val="22"/>
          <w:szCs w:val="22"/>
        </w:rPr>
        <w:t>ruchou</w:t>
      </w:r>
      <w:r w:rsidRPr="00A90137">
        <w:rPr>
          <w:rFonts w:ascii="Times New Roman" w:hAnsi="Times New Roman" w:cs="Times New Roman"/>
          <w:sz w:val="22"/>
          <w:szCs w:val="22"/>
        </w:rPr>
        <w:t xml:space="preserve"> funkcie obličiek alebo pečene, pretože boli hlásené rôzne nežiaduce </w:t>
      </w:r>
      <w:r w:rsidR="00EB3442" w:rsidRPr="00A90137">
        <w:rPr>
          <w:rFonts w:ascii="Times New Roman" w:hAnsi="Times New Roman" w:cs="Times New Roman"/>
          <w:sz w:val="22"/>
          <w:szCs w:val="22"/>
        </w:rPr>
        <w:t>udalosti</w:t>
      </w:r>
      <w:r w:rsidRPr="00A90137">
        <w:rPr>
          <w:rFonts w:ascii="Times New Roman" w:hAnsi="Times New Roman" w:cs="Times New Roman"/>
          <w:sz w:val="22"/>
          <w:szCs w:val="22"/>
        </w:rPr>
        <w:t xml:space="preserve"> pripisované propylénglykolu, ako je renálna dysfunkcia (akútna tubulárna nekróza), akútne renálne zlyhanie a dysfunkcia pečene.</w:t>
      </w:r>
    </w:p>
    <w:p w14:paraId="1A26C2FA" w14:textId="77777777" w:rsidR="0038455F" w:rsidRPr="000C7D6A" w:rsidRDefault="0038455F" w:rsidP="00EA37D1">
      <w:pPr>
        <w:pStyle w:val="Tekstpodstawowy"/>
        <w:spacing w:line="240" w:lineRule="auto"/>
        <w:jc w:val="left"/>
        <w:rPr>
          <w:sz w:val="22"/>
          <w:szCs w:val="22"/>
        </w:rPr>
      </w:pPr>
    </w:p>
    <w:p w14:paraId="55F5DE16" w14:textId="65EEDDAB" w:rsidR="00D744A4" w:rsidRPr="00D744A4" w:rsidRDefault="00D744A4" w:rsidP="00D744A4">
      <w:pPr>
        <w:pStyle w:val="HTML-wstpniesformatowany"/>
        <w:shd w:val="clear" w:color="auto" w:fill="FFFFFF"/>
        <w:rPr>
          <w:rFonts w:ascii="Times New Roman" w:hAnsi="Times New Roman" w:cs="Times New Roman"/>
          <w:color w:val="212121"/>
          <w:sz w:val="22"/>
          <w:szCs w:val="22"/>
        </w:rPr>
      </w:pPr>
      <w:r w:rsidRPr="00D744A4">
        <w:rPr>
          <w:rFonts w:ascii="Times New Roman" w:hAnsi="Times New Roman" w:cs="Times New Roman"/>
          <w:color w:val="212121"/>
          <w:sz w:val="22"/>
          <w:szCs w:val="22"/>
        </w:rPr>
        <w:t>Tento liek obsahuje 15 mg benzylalkoholu v každom ml, čo zodpovedá 75 mg/5 ml.</w:t>
      </w:r>
    </w:p>
    <w:p w14:paraId="221A52DD" w14:textId="7711D848" w:rsidR="00EB3442" w:rsidRDefault="00D744A4" w:rsidP="00D744A4">
      <w:pPr>
        <w:pStyle w:val="HTML-wstpniesformatowany"/>
        <w:shd w:val="clear" w:color="auto" w:fill="FFFFFF"/>
        <w:rPr>
          <w:rFonts w:ascii="Times New Roman" w:hAnsi="Times New Roman" w:cs="Times New Roman"/>
          <w:color w:val="212121"/>
          <w:sz w:val="22"/>
          <w:szCs w:val="22"/>
        </w:rPr>
      </w:pPr>
      <w:r w:rsidRPr="00D744A4">
        <w:rPr>
          <w:rFonts w:ascii="Times New Roman" w:hAnsi="Times New Roman" w:cs="Times New Roman"/>
          <w:color w:val="212121"/>
          <w:sz w:val="22"/>
          <w:szCs w:val="22"/>
        </w:rPr>
        <w:t xml:space="preserve">Benzylalkohol môže spôsobiť alergické reakcie. </w:t>
      </w:r>
      <w:commentRangeStart w:id="2"/>
      <w:commentRangeEnd w:id="2"/>
    </w:p>
    <w:p w14:paraId="5455D007" w14:textId="2A7BD273" w:rsidR="00D744A4" w:rsidRPr="00D744A4" w:rsidRDefault="00EB3442" w:rsidP="00D744A4">
      <w:pPr>
        <w:pStyle w:val="HTML-wstpniesformatowany"/>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t>Vysoké množstvá</w:t>
      </w:r>
      <w:r w:rsidR="00D744A4" w:rsidRPr="00D744A4">
        <w:rPr>
          <w:rFonts w:ascii="Times New Roman" w:hAnsi="Times New Roman" w:cs="Times New Roman"/>
          <w:color w:val="212121"/>
          <w:sz w:val="22"/>
          <w:szCs w:val="22"/>
        </w:rPr>
        <w:t xml:space="preserve"> sa majú používať s opatrnosťou a </w:t>
      </w:r>
      <w:r w:rsidR="003802D1">
        <w:rPr>
          <w:rFonts w:ascii="Times New Roman" w:hAnsi="Times New Roman" w:cs="Times New Roman"/>
          <w:color w:val="212121"/>
          <w:sz w:val="22"/>
          <w:szCs w:val="22"/>
        </w:rPr>
        <w:t>len ak je to nevyhnutné</w:t>
      </w:r>
      <w:r w:rsidR="00D744A4" w:rsidRPr="00D744A4">
        <w:rPr>
          <w:rFonts w:ascii="Times New Roman" w:hAnsi="Times New Roman" w:cs="Times New Roman"/>
          <w:color w:val="212121"/>
          <w:sz w:val="22"/>
          <w:szCs w:val="22"/>
        </w:rPr>
        <w:t>, najmä u osôb s po</w:t>
      </w:r>
      <w:r w:rsidR="005339C5">
        <w:rPr>
          <w:rFonts w:ascii="Times New Roman" w:hAnsi="Times New Roman" w:cs="Times New Roman"/>
          <w:color w:val="212121"/>
          <w:sz w:val="22"/>
          <w:szCs w:val="22"/>
        </w:rPr>
        <w:t>ruchou</w:t>
      </w:r>
      <w:r w:rsidR="00D744A4" w:rsidRPr="00D744A4">
        <w:rPr>
          <w:rFonts w:ascii="Times New Roman" w:hAnsi="Times New Roman" w:cs="Times New Roman"/>
          <w:color w:val="212121"/>
          <w:sz w:val="22"/>
          <w:szCs w:val="22"/>
        </w:rPr>
        <w:t xml:space="preserve"> funkcie pečene alebo obličiek</w:t>
      </w:r>
      <w:r w:rsidR="00607470">
        <w:rPr>
          <w:rFonts w:ascii="Times New Roman" w:hAnsi="Times New Roman" w:cs="Times New Roman"/>
          <w:color w:val="212121"/>
          <w:sz w:val="22"/>
          <w:szCs w:val="22"/>
        </w:rPr>
        <w:t>.</w:t>
      </w:r>
      <w:r w:rsidR="00A55ABC">
        <w:rPr>
          <w:rFonts w:ascii="Times New Roman" w:hAnsi="Times New Roman" w:cs="Times New Roman"/>
          <w:color w:val="212121"/>
          <w:sz w:val="22"/>
          <w:szCs w:val="22"/>
        </w:rPr>
        <w:t xml:space="preserve"> Zvýšené riziko je u</w:t>
      </w:r>
      <w:r w:rsidR="00A55ABC" w:rsidRPr="00D744A4">
        <w:rPr>
          <w:rFonts w:ascii="Times New Roman" w:hAnsi="Times New Roman" w:cs="Times New Roman"/>
          <w:color w:val="212121"/>
          <w:sz w:val="22"/>
          <w:szCs w:val="22"/>
        </w:rPr>
        <w:t xml:space="preserve"> tehotných alebo dojčiacich žien</w:t>
      </w:r>
      <w:r w:rsidR="00A55ABC">
        <w:rPr>
          <w:rFonts w:ascii="Times New Roman" w:hAnsi="Times New Roman" w:cs="Times New Roman"/>
          <w:color w:val="212121"/>
          <w:sz w:val="22"/>
          <w:szCs w:val="22"/>
        </w:rPr>
        <w:t xml:space="preserve"> a u malých detí (do 3 rokov)</w:t>
      </w:r>
      <w:r w:rsidR="003802D1">
        <w:rPr>
          <w:rFonts w:ascii="Times New Roman" w:hAnsi="Times New Roman" w:cs="Times New Roman"/>
          <w:color w:val="212121"/>
          <w:sz w:val="22"/>
          <w:szCs w:val="22"/>
        </w:rPr>
        <w:t xml:space="preserve">. </w:t>
      </w:r>
      <w:r w:rsidR="00D744A4" w:rsidRPr="00D744A4">
        <w:rPr>
          <w:rFonts w:ascii="Times New Roman" w:hAnsi="Times New Roman" w:cs="Times New Roman"/>
          <w:color w:val="212121"/>
          <w:sz w:val="22"/>
          <w:szCs w:val="22"/>
        </w:rPr>
        <w:t>z dôvodu rizika akumulácie a toxicity (metabolická acidóza).</w:t>
      </w:r>
      <w:r w:rsidR="00A55ABC">
        <w:rPr>
          <w:rFonts w:ascii="Times New Roman" w:hAnsi="Times New Roman" w:cs="Times New Roman"/>
          <w:color w:val="212121"/>
          <w:sz w:val="22"/>
          <w:szCs w:val="22"/>
        </w:rPr>
        <w:t xml:space="preserve"> </w:t>
      </w:r>
    </w:p>
    <w:p w14:paraId="7B1A74CE" w14:textId="77777777" w:rsidR="00260F3D" w:rsidRPr="00787C8E" w:rsidRDefault="00260F3D" w:rsidP="00EA37D1">
      <w:pPr>
        <w:pStyle w:val="Tekstpodstawowy"/>
        <w:spacing w:line="240" w:lineRule="auto"/>
        <w:jc w:val="left"/>
        <w:rPr>
          <w:sz w:val="22"/>
          <w:szCs w:val="22"/>
        </w:rPr>
      </w:pPr>
    </w:p>
    <w:p w14:paraId="410001FD" w14:textId="3A1FD8E7" w:rsidR="00731B12" w:rsidRPr="000C7D6A" w:rsidRDefault="00430C08" w:rsidP="00EA37D1">
      <w:pPr>
        <w:pStyle w:val="Tekstpodstawowy"/>
        <w:spacing w:line="240" w:lineRule="auto"/>
        <w:jc w:val="left"/>
        <w:rPr>
          <w:sz w:val="22"/>
          <w:szCs w:val="22"/>
        </w:rPr>
      </w:pPr>
      <w:r w:rsidRPr="00787C8E">
        <w:rPr>
          <w:sz w:val="22"/>
          <w:szCs w:val="22"/>
        </w:rPr>
        <w:t xml:space="preserve">Kvôli obsahu disiričitanu sodného môže liek zriedkavo </w:t>
      </w:r>
      <w:r w:rsidR="00DF67D4" w:rsidRPr="00787C8E">
        <w:rPr>
          <w:sz w:val="22"/>
          <w:szCs w:val="22"/>
        </w:rPr>
        <w:t>spôsobiť</w:t>
      </w:r>
      <w:r w:rsidRPr="00787C8E">
        <w:rPr>
          <w:sz w:val="22"/>
          <w:szCs w:val="22"/>
        </w:rPr>
        <w:t xml:space="preserve"> závažné reakcie </w:t>
      </w:r>
      <w:r w:rsidR="005339C5">
        <w:rPr>
          <w:sz w:val="22"/>
          <w:szCs w:val="22"/>
        </w:rPr>
        <w:t xml:space="preserve">z </w:t>
      </w:r>
      <w:r w:rsidRPr="00787C8E">
        <w:rPr>
          <w:sz w:val="22"/>
          <w:szCs w:val="22"/>
        </w:rPr>
        <w:t>precitlivenosti a bronchospazmus.</w:t>
      </w:r>
    </w:p>
    <w:p w14:paraId="38592A31" w14:textId="77777777" w:rsidR="00731B12" w:rsidRPr="00A90137" w:rsidRDefault="00731B12" w:rsidP="00EA37D1">
      <w:pPr>
        <w:rPr>
          <w:bCs/>
          <w:sz w:val="22"/>
          <w:szCs w:val="22"/>
        </w:rPr>
      </w:pPr>
    </w:p>
    <w:p w14:paraId="4FB46720" w14:textId="2D25E681" w:rsidR="00D744A4" w:rsidRPr="00D744A4" w:rsidRDefault="00B711B7" w:rsidP="00D744A4">
      <w:pPr>
        <w:pStyle w:val="HTML-wstpniesformatowany"/>
        <w:shd w:val="clear" w:color="auto" w:fill="FFFFFF"/>
        <w:rPr>
          <w:rFonts w:ascii="Times New Roman" w:hAnsi="Times New Roman" w:cs="Times New Roman"/>
          <w:color w:val="212121"/>
          <w:sz w:val="22"/>
          <w:szCs w:val="22"/>
        </w:rPr>
      </w:pPr>
      <w:r w:rsidRPr="00D744A4">
        <w:rPr>
          <w:rFonts w:ascii="Times New Roman" w:hAnsi="Times New Roman" w:cs="Times New Roman"/>
          <w:sz w:val="22"/>
          <w:szCs w:val="22"/>
        </w:rPr>
        <w:t xml:space="preserve">Tento liek obsahuje </w:t>
      </w:r>
      <w:r w:rsidR="00D744A4" w:rsidRPr="00D744A4">
        <w:rPr>
          <w:rFonts w:ascii="Times New Roman" w:hAnsi="Times New Roman" w:cs="Times New Roman"/>
          <w:color w:val="212121"/>
          <w:sz w:val="22"/>
          <w:szCs w:val="22"/>
        </w:rPr>
        <w:t xml:space="preserve">12,4% obj./obj. etanolu (alkohol), to znamená do 500 mg na </w:t>
      </w:r>
      <w:r w:rsidR="005339C5">
        <w:rPr>
          <w:rFonts w:ascii="Times New Roman" w:hAnsi="Times New Roman" w:cs="Times New Roman"/>
          <w:color w:val="212121"/>
          <w:sz w:val="22"/>
          <w:szCs w:val="22"/>
        </w:rPr>
        <w:t>ampulku</w:t>
      </w:r>
      <w:r w:rsidR="00D744A4" w:rsidRPr="00D744A4">
        <w:rPr>
          <w:rFonts w:ascii="Times New Roman" w:hAnsi="Times New Roman" w:cs="Times New Roman"/>
          <w:color w:val="212121"/>
          <w:sz w:val="22"/>
          <w:szCs w:val="22"/>
        </w:rPr>
        <w:t xml:space="preserve"> (5 ml), čo zodpovedá 11,88 ml piva a 4,95 ml vína na </w:t>
      </w:r>
      <w:r w:rsidR="005339C5">
        <w:rPr>
          <w:rFonts w:ascii="Times New Roman" w:hAnsi="Times New Roman" w:cs="Times New Roman"/>
          <w:color w:val="212121"/>
          <w:sz w:val="22"/>
          <w:szCs w:val="22"/>
        </w:rPr>
        <w:t>ampulku</w:t>
      </w:r>
      <w:r w:rsidR="00D744A4" w:rsidRPr="00D744A4">
        <w:rPr>
          <w:rFonts w:ascii="Times New Roman" w:hAnsi="Times New Roman" w:cs="Times New Roman"/>
          <w:color w:val="212121"/>
          <w:sz w:val="22"/>
          <w:szCs w:val="22"/>
        </w:rPr>
        <w:t xml:space="preserve"> (5 ml).</w:t>
      </w:r>
    </w:p>
    <w:p w14:paraId="56E521D9" w14:textId="69D05CF0" w:rsidR="00B711B7" w:rsidRPr="00787C8E" w:rsidRDefault="00B711B7" w:rsidP="00EA37D1">
      <w:pPr>
        <w:rPr>
          <w:sz w:val="22"/>
          <w:szCs w:val="22"/>
        </w:rPr>
      </w:pPr>
      <w:r w:rsidRPr="000C7D6A">
        <w:rPr>
          <w:sz w:val="22"/>
          <w:szCs w:val="22"/>
        </w:rPr>
        <w:t xml:space="preserve">Je škodlivý </w:t>
      </w:r>
      <w:r w:rsidR="000C7D6A" w:rsidRPr="000C7D6A">
        <w:rPr>
          <w:sz w:val="22"/>
          <w:szCs w:val="22"/>
        </w:rPr>
        <w:t>pre</w:t>
      </w:r>
      <w:r w:rsidRPr="00787C8E">
        <w:rPr>
          <w:sz w:val="22"/>
          <w:szCs w:val="22"/>
        </w:rPr>
        <w:t xml:space="preserve"> alkoholikov. Potrebné je to vziať do úvahy aj u tehotných a dojčiacich žien, detí a vysokorizikových </w:t>
      </w:r>
      <w:r w:rsidR="000C7D6A" w:rsidRPr="000C7D6A">
        <w:rPr>
          <w:sz w:val="22"/>
          <w:szCs w:val="22"/>
        </w:rPr>
        <w:t>skupín</w:t>
      </w:r>
      <w:r w:rsidRPr="00787C8E">
        <w:rPr>
          <w:sz w:val="22"/>
          <w:szCs w:val="22"/>
        </w:rPr>
        <w:t xml:space="preserve"> ako sú pacienti s</w:t>
      </w:r>
      <w:r w:rsidR="000C7D6A" w:rsidRPr="000C7D6A">
        <w:rPr>
          <w:sz w:val="22"/>
          <w:szCs w:val="22"/>
        </w:rPr>
        <w:t> p</w:t>
      </w:r>
      <w:r w:rsidRPr="000C7D6A">
        <w:rPr>
          <w:sz w:val="22"/>
          <w:szCs w:val="22"/>
        </w:rPr>
        <w:t>o</w:t>
      </w:r>
      <w:r w:rsidRPr="00787C8E">
        <w:rPr>
          <w:sz w:val="22"/>
          <w:szCs w:val="22"/>
        </w:rPr>
        <w:t>r</w:t>
      </w:r>
      <w:r w:rsidR="000C7D6A" w:rsidRPr="000C7D6A">
        <w:rPr>
          <w:sz w:val="22"/>
          <w:szCs w:val="22"/>
        </w:rPr>
        <w:t>uchou funkcie</w:t>
      </w:r>
      <w:r w:rsidRPr="000C7D6A">
        <w:rPr>
          <w:sz w:val="22"/>
          <w:szCs w:val="22"/>
        </w:rPr>
        <w:t xml:space="preserve"> pečene alebo s</w:t>
      </w:r>
      <w:r w:rsidRPr="00787C8E">
        <w:rPr>
          <w:sz w:val="22"/>
          <w:szCs w:val="22"/>
        </w:rPr>
        <w:t> epilepsiou.</w:t>
      </w:r>
    </w:p>
    <w:p w14:paraId="2F5058E6" w14:textId="77777777" w:rsidR="00B711B7" w:rsidRPr="00787C8E" w:rsidRDefault="00B711B7" w:rsidP="00EA37D1">
      <w:pPr>
        <w:rPr>
          <w:sz w:val="22"/>
          <w:szCs w:val="22"/>
        </w:rPr>
      </w:pPr>
    </w:p>
    <w:p w14:paraId="20C134F8" w14:textId="3FDB9970" w:rsidR="0007669D" w:rsidRDefault="0007669D" w:rsidP="0007669D">
      <w:pPr>
        <w:pStyle w:val="HTML-wstpniesformatowany"/>
        <w:shd w:val="clear" w:color="auto" w:fill="FFFFFF"/>
        <w:rPr>
          <w:rFonts w:ascii="Times New Roman" w:hAnsi="Times New Roman" w:cs="Times New Roman"/>
          <w:color w:val="212121"/>
          <w:sz w:val="22"/>
          <w:szCs w:val="22"/>
        </w:rPr>
      </w:pPr>
      <w:r w:rsidRPr="0007669D">
        <w:rPr>
          <w:rFonts w:ascii="Times New Roman" w:hAnsi="Times New Roman" w:cs="Times New Roman"/>
          <w:color w:val="212121"/>
          <w:sz w:val="22"/>
          <w:szCs w:val="22"/>
        </w:rPr>
        <w:t xml:space="preserve">Tento liek obsahuje 39 mg sodíka na </w:t>
      </w:r>
      <w:r w:rsidR="005309E6">
        <w:rPr>
          <w:rFonts w:ascii="Times New Roman" w:hAnsi="Times New Roman" w:cs="Times New Roman"/>
          <w:color w:val="212121"/>
          <w:sz w:val="22"/>
          <w:szCs w:val="22"/>
        </w:rPr>
        <w:t>ampulku (</w:t>
      </w:r>
      <w:r w:rsidRPr="0007669D">
        <w:rPr>
          <w:rFonts w:ascii="Times New Roman" w:hAnsi="Times New Roman" w:cs="Times New Roman"/>
          <w:color w:val="212121"/>
          <w:sz w:val="22"/>
          <w:szCs w:val="22"/>
        </w:rPr>
        <w:t>5 ml</w:t>
      </w:r>
      <w:r w:rsidR="005309E6">
        <w:rPr>
          <w:rFonts w:ascii="Times New Roman" w:hAnsi="Times New Roman" w:cs="Times New Roman"/>
          <w:color w:val="212121"/>
          <w:sz w:val="22"/>
          <w:szCs w:val="22"/>
        </w:rPr>
        <w:t>)</w:t>
      </w:r>
      <w:r w:rsidRPr="0007669D">
        <w:rPr>
          <w:rFonts w:ascii="Times New Roman" w:hAnsi="Times New Roman" w:cs="Times New Roman"/>
          <w:color w:val="212121"/>
          <w:sz w:val="22"/>
          <w:szCs w:val="22"/>
        </w:rPr>
        <w:t>, čo zodpovedá 1,95% WHO odporúčan</w:t>
      </w:r>
      <w:r w:rsidR="005309E6">
        <w:rPr>
          <w:rFonts w:ascii="Times New Roman" w:hAnsi="Times New Roman" w:cs="Times New Roman"/>
          <w:color w:val="212121"/>
          <w:sz w:val="22"/>
          <w:szCs w:val="22"/>
        </w:rPr>
        <w:t>ého maximálneho</w:t>
      </w:r>
      <w:r w:rsidRPr="0007669D">
        <w:rPr>
          <w:rFonts w:ascii="Times New Roman" w:hAnsi="Times New Roman" w:cs="Times New Roman"/>
          <w:color w:val="212121"/>
          <w:sz w:val="22"/>
          <w:szCs w:val="22"/>
        </w:rPr>
        <w:t xml:space="preserve"> denn</w:t>
      </w:r>
      <w:r w:rsidR="005309E6">
        <w:rPr>
          <w:rFonts w:ascii="Times New Roman" w:hAnsi="Times New Roman" w:cs="Times New Roman"/>
          <w:color w:val="212121"/>
          <w:sz w:val="22"/>
          <w:szCs w:val="22"/>
        </w:rPr>
        <w:t>ého</w:t>
      </w:r>
      <w:r w:rsidRPr="0007669D">
        <w:rPr>
          <w:rFonts w:ascii="Times New Roman" w:hAnsi="Times New Roman" w:cs="Times New Roman"/>
          <w:color w:val="212121"/>
          <w:sz w:val="22"/>
          <w:szCs w:val="22"/>
        </w:rPr>
        <w:t xml:space="preserve"> </w:t>
      </w:r>
      <w:r w:rsidR="005309E6">
        <w:rPr>
          <w:rFonts w:ascii="Times New Roman" w:hAnsi="Times New Roman" w:cs="Times New Roman"/>
          <w:color w:val="212121"/>
          <w:sz w:val="22"/>
          <w:szCs w:val="22"/>
        </w:rPr>
        <w:t>príjmu</w:t>
      </w:r>
      <w:r w:rsidRPr="0007669D">
        <w:rPr>
          <w:rFonts w:ascii="Times New Roman" w:hAnsi="Times New Roman" w:cs="Times New Roman"/>
          <w:color w:val="212121"/>
          <w:sz w:val="22"/>
          <w:szCs w:val="22"/>
        </w:rPr>
        <w:t xml:space="preserve"> 2 g sodíka pre dospel</w:t>
      </w:r>
      <w:r w:rsidR="005309E6">
        <w:rPr>
          <w:rFonts w:ascii="Times New Roman" w:hAnsi="Times New Roman" w:cs="Times New Roman"/>
          <w:color w:val="212121"/>
          <w:sz w:val="22"/>
          <w:szCs w:val="22"/>
        </w:rPr>
        <w:t>ú osobu</w:t>
      </w:r>
      <w:r w:rsidRPr="0007669D">
        <w:rPr>
          <w:rFonts w:ascii="Times New Roman" w:hAnsi="Times New Roman" w:cs="Times New Roman"/>
          <w:color w:val="212121"/>
          <w:sz w:val="22"/>
          <w:szCs w:val="22"/>
        </w:rPr>
        <w:t>.</w:t>
      </w:r>
    </w:p>
    <w:p w14:paraId="44A1BFE8" w14:textId="77777777" w:rsidR="00607470" w:rsidRDefault="00607470" w:rsidP="00607470">
      <w:pPr>
        <w:rPr>
          <w:color w:val="212121"/>
          <w:sz w:val="22"/>
          <w:szCs w:val="22"/>
        </w:rPr>
      </w:pPr>
      <w:r w:rsidRPr="00905AF5">
        <w:rPr>
          <w:color w:val="212121"/>
          <w:sz w:val="22"/>
          <w:szCs w:val="22"/>
        </w:rPr>
        <w:t>Tento liek sa musí pred podaním zriediť (pozri časť 6.6). Pri výpočte celkového obsahu sodíka v pripravenom riedení by sa mal brať do úvahy akýkoľvek sodík prítomný v  riediacom roztoku. Podrobné informácie o obsahu sodíka v riediacom roztoku nájdete v Písomnej informácii, ktoré poskytuje výrobca</w:t>
      </w:r>
      <w:r w:rsidRPr="00F00777">
        <w:rPr>
          <w:color w:val="212121"/>
          <w:sz w:val="22"/>
          <w:szCs w:val="22"/>
        </w:rPr>
        <w:t>.</w:t>
      </w:r>
    </w:p>
    <w:p w14:paraId="459C7F74" w14:textId="77777777" w:rsidR="00F00777" w:rsidRPr="0007669D" w:rsidRDefault="00F00777" w:rsidP="0007669D">
      <w:pPr>
        <w:pStyle w:val="HTML-wstpniesformatowany"/>
        <w:shd w:val="clear" w:color="auto" w:fill="FFFFFF"/>
        <w:rPr>
          <w:rFonts w:ascii="Times New Roman" w:hAnsi="Times New Roman" w:cs="Times New Roman"/>
          <w:color w:val="212121"/>
          <w:sz w:val="22"/>
          <w:szCs w:val="22"/>
        </w:rPr>
      </w:pPr>
    </w:p>
    <w:p w14:paraId="2F19CE75" w14:textId="041409B0" w:rsidR="0007669D" w:rsidRPr="00F00777" w:rsidRDefault="00BB515C" w:rsidP="0007669D">
      <w:pPr>
        <w:pStyle w:val="HTML-wstpniesformatowany"/>
        <w:shd w:val="clear" w:color="auto" w:fill="FFFFFF"/>
        <w:rPr>
          <w:rFonts w:ascii="Times New Roman" w:hAnsi="Times New Roman" w:cs="Times New Roman"/>
          <w:color w:val="212121"/>
          <w:sz w:val="22"/>
          <w:szCs w:val="22"/>
          <w:u w:val="single"/>
        </w:rPr>
      </w:pPr>
      <w:r w:rsidRPr="00F00777">
        <w:rPr>
          <w:rFonts w:ascii="Times New Roman" w:hAnsi="Times New Roman" w:cs="Times New Roman"/>
          <w:color w:val="212121"/>
          <w:sz w:val="22"/>
          <w:szCs w:val="22"/>
          <w:u w:val="single"/>
        </w:rPr>
        <w:t>Preťaženie obehu tekutinami</w:t>
      </w:r>
    </w:p>
    <w:p w14:paraId="0FC4689A" w14:textId="472EE2DC" w:rsidR="00BB515C" w:rsidRDefault="00BB515C" w:rsidP="0007669D">
      <w:pPr>
        <w:pStyle w:val="HTML-wstpniesformatowany"/>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t>Môže dôjsť k preťaženiu obehu tekutinami, najmä ak sa podávajú veľmi vysoké dávky pacientom so základným srdcovo-cievnym ochorením.</w:t>
      </w:r>
    </w:p>
    <w:p w14:paraId="1FD25C5C" w14:textId="77777777" w:rsidR="00F00777" w:rsidRPr="00B711B7" w:rsidRDefault="00F00777" w:rsidP="002E6863">
      <w:pPr>
        <w:jc w:val="both"/>
        <w:rPr>
          <w:sz w:val="22"/>
          <w:szCs w:val="22"/>
        </w:rPr>
      </w:pPr>
    </w:p>
    <w:p w14:paraId="7B83F653" w14:textId="77777777" w:rsidR="00731B12" w:rsidRPr="002E6863" w:rsidRDefault="00EA37D1" w:rsidP="002E6863">
      <w:pPr>
        <w:tabs>
          <w:tab w:val="left" w:pos="567"/>
        </w:tabs>
        <w:jc w:val="both"/>
        <w:rPr>
          <w:b/>
          <w:sz w:val="22"/>
          <w:szCs w:val="22"/>
        </w:rPr>
      </w:pPr>
      <w:r>
        <w:rPr>
          <w:b/>
          <w:sz w:val="22"/>
          <w:szCs w:val="22"/>
        </w:rPr>
        <w:t>4.5</w:t>
      </w:r>
      <w:r w:rsidR="00430C08" w:rsidRPr="002E6863">
        <w:rPr>
          <w:b/>
          <w:sz w:val="22"/>
          <w:szCs w:val="22"/>
        </w:rPr>
        <w:tab/>
      </w:r>
      <w:r w:rsidR="00731B12" w:rsidRPr="002E6863">
        <w:rPr>
          <w:b/>
          <w:sz w:val="22"/>
          <w:szCs w:val="22"/>
        </w:rPr>
        <w:t>Liekové a iné interakcie</w:t>
      </w:r>
    </w:p>
    <w:p w14:paraId="01AE52DE" w14:textId="27184EA8" w:rsidR="00150C8F" w:rsidRPr="001208E5" w:rsidRDefault="00150C8F" w:rsidP="00150C8F">
      <w:pPr>
        <w:overflowPunct/>
        <w:textAlignment w:val="auto"/>
        <w:rPr>
          <w:sz w:val="22"/>
          <w:szCs w:val="22"/>
        </w:rPr>
      </w:pPr>
      <w:commentRangeStart w:id="3"/>
      <w:commentRangeEnd w:id="3"/>
    </w:p>
    <w:p w14:paraId="3197B50C" w14:textId="230B0644" w:rsidR="00482F7F" w:rsidRPr="001208E5" w:rsidRDefault="004E3ACE" w:rsidP="00F00777">
      <w:pPr>
        <w:overflowPunct/>
        <w:textAlignment w:val="auto"/>
        <w:rPr>
          <w:sz w:val="22"/>
          <w:szCs w:val="22"/>
        </w:rPr>
      </w:pPr>
      <w:r w:rsidRPr="001208E5">
        <w:rPr>
          <w:sz w:val="22"/>
          <w:szCs w:val="22"/>
        </w:rPr>
        <w:t>Tento liek sa má používať s opatrnosťou u pacientov súbežne užívajúcich liečivá so silnou väzbou na plazmatické bielkoviny</w:t>
      </w:r>
      <w:r w:rsidR="008E1AD7" w:rsidRPr="001208E5">
        <w:rPr>
          <w:sz w:val="22"/>
          <w:szCs w:val="22"/>
        </w:rPr>
        <w:t xml:space="preserve">, vrátane </w:t>
      </w:r>
      <w:r w:rsidR="008E1AD7" w:rsidRPr="00A90137">
        <w:rPr>
          <w:b/>
          <w:bCs/>
          <w:sz w:val="22"/>
          <w:szCs w:val="22"/>
        </w:rPr>
        <w:t xml:space="preserve">perorálnych antidiabetík </w:t>
      </w:r>
      <w:r w:rsidR="008E1AD7" w:rsidRPr="001208E5">
        <w:rPr>
          <w:sz w:val="22"/>
          <w:szCs w:val="22"/>
        </w:rPr>
        <w:t xml:space="preserve">a </w:t>
      </w:r>
      <w:r w:rsidR="008E1AD7" w:rsidRPr="00A90137">
        <w:rPr>
          <w:b/>
          <w:bCs/>
          <w:sz w:val="22"/>
          <w:szCs w:val="22"/>
        </w:rPr>
        <w:t>antikoagulancií</w:t>
      </w:r>
      <w:r w:rsidR="00150C8F" w:rsidRPr="00A90137">
        <w:rPr>
          <w:b/>
          <w:bCs/>
          <w:sz w:val="22"/>
          <w:szCs w:val="22"/>
        </w:rPr>
        <w:t>.</w:t>
      </w:r>
    </w:p>
    <w:p w14:paraId="17ADAF05" w14:textId="77777777" w:rsidR="00150C8F" w:rsidRPr="00BC56B3" w:rsidRDefault="00150C8F" w:rsidP="000F0AA6">
      <w:pPr>
        <w:rPr>
          <w:i/>
          <w:sz w:val="22"/>
          <w:szCs w:val="22"/>
        </w:rPr>
      </w:pPr>
    </w:p>
    <w:p w14:paraId="240966AD" w14:textId="77777777" w:rsidR="0007669D" w:rsidRPr="00A90137" w:rsidRDefault="0007669D" w:rsidP="000F0AA6">
      <w:pPr>
        <w:rPr>
          <w:b/>
          <w:i/>
          <w:sz w:val="22"/>
          <w:szCs w:val="22"/>
        </w:rPr>
      </w:pPr>
      <w:r w:rsidRPr="00A90137">
        <w:rPr>
          <w:b/>
          <w:i/>
          <w:color w:val="000000" w:themeColor="text1"/>
          <w:sz w:val="22"/>
          <w:szCs w:val="22"/>
        </w:rPr>
        <w:t>Zidovudín</w:t>
      </w:r>
    </w:p>
    <w:p w14:paraId="19415C72" w14:textId="138DD448" w:rsidR="00150C8F" w:rsidRDefault="000F0AA6" w:rsidP="000F0AA6">
      <w:pPr>
        <w:rPr>
          <w:sz w:val="22"/>
          <w:szCs w:val="22"/>
        </w:rPr>
      </w:pPr>
      <w:r w:rsidRPr="001208E5">
        <w:rPr>
          <w:sz w:val="22"/>
          <w:szCs w:val="22"/>
        </w:rPr>
        <w:lastRenderedPageBreak/>
        <w:t>Súbežná liečba so zidovudínom v niektorých situáciách môže zvyšovať riziko hematologických</w:t>
      </w:r>
      <w:r w:rsidRPr="002E6863">
        <w:rPr>
          <w:sz w:val="22"/>
          <w:szCs w:val="22"/>
        </w:rPr>
        <w:t xml:space="preserve"> nežiaducich reakcií na kotrimoxazol. Ak je súbežná liečba nevyhnutná, treba venovať pozornosť sledovaniu hematologických parametrov.</w:t>
      </w:r>
    </w:p>
    <w:p w14:paraId="0C8755B0" w14:textId="77777777" w:rsidR="000F0AA6" w:rsidRPr="002E6863" w:rsidRDefault="000F0AA6" w:rsidP="000F0AA6">
      <w:pPr>
        <w:rPr>
          <w:sz w:val="22"/>
          <w:szCs w:val="22"/>
        </w:rPr>
      </w:pPr>
    </w:p>
    <w:p w14:paraId="3EEEE62D" w14:textId="77777777" w:rsidR="0007669D" w:rsidRPr="00A90137" w:rsidRDefault="0007669D" w:rsidP="001F35F3">
      <w:pPr>
        <w:rPr>
          <w:b/>
          <w:i/>
          <w:sz w:val="22"/>
          <w:szCs w:val="22"/>
        </w:rPr>
      </w:pPr>
      <w:r w:rsidRPr="00A90137">
        <w:rPr>
          <w:b/>
          <w:i/>
          <w:sz w:val="22"/>
          <w:szCs w:val="22"/>
        </w:rPr>
        <w:t>Cyklosporín</w:t>
      </w:r>
    </w:p>
    <w:p w14:paraId="6E0130C0" w14:textId="1B804E66" w:rsidR="001F35F3" w:rsidRDefault="001F35F3" w:rsidP="001F35F3">
      <w:pPr>
        <w:rPr>
          <w:sz w:val="22"/>
          <w:szCs w:val="22"/>
        </w:rPr>
      </w:pPr>
      <w:r w:rsidRPr="002E6863">
        <w:rPr>
          <w:sz w:val="22"/>
          <w:szCs w:val="22"/>
        </w:rPr>
        <w:t xml:space="preserve">U pacientov </w:t>
      </w:r>
      <w:r w:rsidR="00150C8F">
        <w:rPr>
          <w:sz w:val="22"/>
          <w:szCs w:val="22"/>
        </w:rPr>
        <w:t xml:space="preserve">súbežne </w:t>
      </w:r>
      <w:r w:rsidRPr="002E6863">
        <w:rPr>
          <w:sz w:val="22"/>
          <w:szCs w:val="22"/>
        </w:rPr>
        <w:t xml:space="preserve">liečených kotrimoxazolom a cyklosporínom (po transplantácii obličiek) bolo pozorované </w:t>
      </w:r>
      <w:r>
        <w:rPr>
          <w:sz w:val="22"/>
          <w:szCs w:val="22"/>
        </w:rPr>
        <w:t>reverzibilné</w:t>
      </w:r>
      <w:r w:rsidRPr="002E6863">
        <w:rPr>
          <w:sz w:val="22"/>
          <w:szCs w:val="22"/>
        </w:rPr>
        <w:t xml:space="preserve"> zhoršenie funkcie obličiek.</w:t>
      </w:r>
    </w:p>
    <w:p w14:paraId="3EB81EE0" w14:textId="77777777" w:rsidR="001F35F3" w:rsidRDefault="001F35F3" w:rsidP="001F35F3">
      <w:pPr>
        <w:rPr>
          <w:sz w:val="22"/>
          <w:szCs w:val="22"/>
        </w:rPr>
      </w:pPr>
    </w:p>
    <w:p w14:paraId="38854B38" w14:textId="77777777" w:rsidR="0007669D" w:rsidRPr="00A90137" w:rsidRDefault="0007669D" w:rsidP="001F35F3">
      <w:pPr>
        <w:rPr>
          <w:b/>
          <w:i/>
          <w:sz w:val="22"/>
          <w:szCs w:val="22"/>
        </w:rPr>
      </w:pPr>
      <w:r w:rsidRPr="00A90137">
        <w:rPr>
          <w:b/>
          <w:i/>
          <w:sz w:val="22"/>
          <w:szCs w:val="22"/>
        </w:rPr>
        <w:t>Rifampicín</w:t>
      </w:r>
    </w:p>
    <w:p w14:paraId="6CA386FF" w14:textId="77777777" w:rsidR="001F35F3" w:rsidRPr="002E6863" w:rsidRDefault="001F35F3" w:rsidP="001F35F3">
      <w:pPr>
        <w:rPr>
          <w:sz w:val="22"/>
          <w:szCs w:val="22"/>
        </w:rPr>
      </w:pPr>
      <w:r>
        <w:rPr>
          <w:sz w:val="22"/>
          <w:szCs w:val="22"/>
        </w:rPr>
        <w:t>S</w:t>
      </w:r>
      <w:r w:rsidRPr="002E6863">
        <w:rPr>
          <w:sz w:val="22"/>
          <w:szCs w:val="22"/>
        </w:rPr>
        <w:t>úbežné podávanie kotrimoxazolu a rifampicínu po dobu 1 týždňa m</w:t>
      </w:r>
      <w:r>
        <w:rPr>
          <w:sz w:val="22"/>
          <w:szCs w:val="22"/>
        </w:rPr>
        <w:t>alo</w:t>
      </w:r>
      <w:r w:rsidRPr="002E6863">
        <w:rPr>
          <w:sz w:val="22"/>
          <w:szCs w:val="22"/>
        </w:rPr>
        <w:t xml:space="preserve"> za následok skrátený plazmatický polčas trimetoprimu. Toto má však malý klinický význam.</w:t>
      </w:r>
    </w:p>
    <w:p w14:paraId="587ED4CE" w14:textId="77777777" w:rsidR="001F35F3" w:rsidRDefault="001F35F3" w:rsidP="001F35F3">
      <w:pPr>
        <w:rPr>
          <w:sz w:val="22"/>
          <w:szCs w:val="22"/>
        </w:rPr>
      </w:pPr>
    </w:p>
    <w:p w14:paraId="14B6B988" w14:textId="2AB454EF" w:rsidR="001F35F3" w:rsidRPr="002E6863" w:rsidRDefault="001F35F3" w:rsidP="001F35F3">
      <w:pPr>
        <w:rPr>
          <w:sz w:val="22"/>
          <w:szCs w:val="22"/>
        </w:rPr>
      </w:pPr>
      <w:r w:rsidRPr="002E6863">
        <w:rPr>
          <w:sz w:val="22"/>
          <w:szCs w:val="22"/>
        </w:rPr>
        <w:t>P</w:t>
      </w:r>
      <w:r w:rsidR="00993BDE">
        <w:rPr>
          <w:sz w:val="22"/>
          <w:szCs w:val="22"/>
        </w:rPr>
        <w:t>ri p</w:t>
      </w:r>
      <w:r w:rsidRPr="002E6863">
        <w:rPr>
          <w:sz w:val="22"/>
          <w:szCs w:val="22"/>
        </w:rPr>
        <w:t>odávan</w:t>
      </w:r>
      <w:r w:rsidR="00993BDE">
        <w:rPr>
          <w:sz w:val="22"/>
          <w:szCs w:val="22"/>
        </w:rPr>
        <w:t>í</w:t>
      </w:r>
      <w:r w:rsidRPr="002E6863">
        <w:rPr>
          <w:sz w:val="22"/>
          <w:szCs w:val="22"/>
        </w:rPr>
        <w:t xml:space="preserve"> trimetoprimu súbežne s liekmi, ktoré </w:t>
      </w:r>
      <w:r w:rsidR="00993BDE">
        <w:rPr>
          <w:sz w:val="22"/>
          <w:szCs w:val="22"/>
        </w:rPr>
        <w:t>tvoria</w:t>
      </w:r>
      <w:r w:rsidR="00993BDE" w:rsidRPr="002E6863">
        <w:rPr>
          <w:sz w:val="22"/>
          <w:szCs w:val="22"/>
        </w:rPr>
        <w:t xml:space="preserve"> </w:t>
      </w:r>
      <w:r w:rsidRPr="002E6863">
        <w:rPr>
          <w:sz w:val="22"/>
          <w:szCs w:val="22"/>
        </w:rPr>
        <w:t xml:space="preserve">katióny pri fyziologickom pH a sú čiastočne vylučované aktívnou sekréciou obličkami (napr. </w:t>
      </w:r>
      <w:r w:rsidRPr="00A90137">
        <w:rPr>
          <w:b/>
          <w:sz w:val="22"/>
          <w:szCs w:val="22"/>
        </w:rPr>
        <w:t>prokaínamid, amantadín</w:t>
      </w:r>
      <w:r>
        <w:rPr>
          <w:sz w:val="22"/>
          <w:szCs w:val="22"/>
        </w:rPr>
        <w:t xml:space="preserve">) môže </w:t>
      </w:r>
      <w:r w:rsidR="00993BDE">
        <w:rPr>
          <w:sz w:val="22"/>
          <w:szCs w:val="22"/>
        </w:rPr>
        <w:t>dôjsť ku kompetitívnej</w:t>
      </w:r>
      <w:r w:rsidR="00993BDE" w:rsidRPr="002E6863">
        <w:rPr>
          <w:sz w:val="22"/>
          <w:szCs w:val="22"/>
        </w:rPr>
        <w:t xml:space="preserve"> </w:t>
      </w:r>
      <w:r w:rsidRPr="002E6863">
        <w:rPr>
          <w:sz w:val="22"/>
          <w:szCs w:val="22"/>
        </w:rPr>
        <w:t>inhibíci</w:t>
      </w:r>
      <w:r w:rsidR="00993BDE">
        <w:rPr>
          <w:sz w:val="22"/>
          <w:szCs w:val="22"/>
        </w:rPr>
        <w:t>i</w:t>
      </w:r>
      <w:r w:rsidRPr="002E6863">
        <w:rPr>
          <w:sz w:val="22"/>
          <w:szCs w:val="22"/>
        </w:rPr>
        <w:t xml:space="preserve"> tohto procesu, čo môže viesť ku zvýšeniu plazmatickej koncentrácie jedného alebo oboch liekov.</w:t>
      </w:r>
    </w:p>
    <w:p w14:paraId="40F84FF4" w14:textId="77777777" w:rsidR="001F35F3" w:rsidRPr="002E6863" w:rsidRDefault="001F35F3" w:rsidP="001F35F3">
      <w:pPr>
        <w:rPr>
          <w:sz w:val="22"/>
          <w:szCs w:val="22"/>
        </w:rPr>
      </w:pPr>
    </w:p>
    <w:p w14:paraId="11200A4D" w14:textId="77777777" w:rsidR="0007669D" w:rsidRPr="0007669D" w:rsidRDefault="0007669D" w:rsidP="00EA37D1">
      <w:pPr>
        <w:rPr>
          <w:i/>
          <w:sz w:val="22"/>
          <w:szCs w:val="22"/>
        </w:rPr>
      </w:pPr>
      <w:r w:rsidRPr="00A90137">
        <w:rPr>
          <w:i/>
          <w:sz w:val="22"/>
          <w:szCs w:val="22"/>
        </w:rPr>
        <w:t>Diuretiká (tiazidy)</w:t>
      </w:r>
    </w:p>
    <w:p w14:paraId="1537EA77" w14:textId="77777777" w:rsidR="00731B12" w:rsidRPr="002E6863" w:rsidRDefault="00482F7F" w:rsidP="00EA37D1">
      <w:pPr>
        <w:rPr>
          <w:sz w:val="22"/>
          <w:szCs w:val="22"/>
        </w:rPr>
      </w:pPr>
      <w:r>
        <w:rPr>
          <w:sz w:val="22"/>
          <w:szCs w:val="22"/>
        </w:rPr>
        <w:t>U</w:t>
      </w:r>
      <w:r w:rsidR="00731B12" w:rsidRPr="002E6863">
        <w:rPr>
          <w:sz w:val="22"/>
          <w:szCs w:val="22"/>
        </w:rPr>
        <w:t> starších pacientov sú</w:t>
      </w:r>
      <w:r w:rsidR="00430C08" w:rsidRPr="002E6863">
        <w:rPr>
          <w:sz w:val="22"/>
          <w:szCs w:val="22"/>
        </w:rPr>
        <w:t xml:space="preserve">bežne </w:t>
      </w:r>
      <w:r>
        <w:rPr>
          <w:sz w:val="22"/>
          <w:szCs w:val="22"/>
        </w:rPr>
        <w:t xml:space="preserve">užívajúcich </w:t>
      </w:r>
      <w:r w:rsidR="00430C08" w:rsidRPr="002E6863">
        <w:rPr>
          <w:sz w:val="22"/>
          <w:szCs w:val="22"/>
        </w:rPr>
        <w:t>niektor</w:t>
      </w:r>
      <w:r>
        <w:rPr>
          <w:sz w:val="22"/>
          <w:szCs w:val="22"/>
        </w:rPr>
        <w:t>é</w:t>
      </w:r>
      <w:r w:rsidR="00430C08" w:rsidRPr="002E6863">
        <w:rPr>
          <w:sz w:val="22"/>
          <w:szCs w:val="22"/>
        </w:rPr>
        <w:t xml:space="preserve"> </w:t>
      </w:r>
      <w:r w:rsidR="00731B12" w:rsidRPr="002E6863">
        <w:rPr>
          <w:sz w:val="22"/>
          <w:szCs w:val="22"/>
        </w:rPr>
        <w:t>diuret</w:t>
      </w:r>
      <w:r w:rsidR="00430C08" w:rsidRPr="002E6863">
        <w:rPr>
          <w:sz w:val="22"/>
          <w:szCs w:val="22"/>
        </w:rPr>
        <w:t>i</w:t>
      </w:r>
      <w:r w:rsidR="00731B12" w:rsidRPr="002E6863">
        <w:rPr>
          <w:sz w:val="22"/>
          <w:szCs w:val="22"/>
        </w:rPr>
        <w:t>k</w:t>
      </w:r>
      <w:r>
        <w:rPr>
          <w:sz w:val="22"/>
          <w:szCs w:val="22"/>
        </w:rPr>
        <w:t>á</w:t>
      </w:r>
      <w:r w:rsidR="00731B12" w:rsidRPr="002E6863">
        <w:rPr>
          <w:sz w:val="22"/>
          <w:szCs w:val="22"/>
        </w:rPr>
        <w:t>, najmä tiazid</w:t>
      </w:r>
      <w:r>
        <w:rPr>
          <w:sz w:val="22"/>
          <w:szCs w:val="22"/>
        </w:rPr>
        <w:t>y</w:t>
      </w:r>
      <w:r w:rsidR="00731B12" w:rsidRPr="002E6863">
        <w:rPr>
          <w:sz w:val="22"/>
          <w:szCs w:val="22"/>
        </w:rPr>
        <w:t xml:space="preserve">, </w:t>
      </w:r>
      <w:r>
        <w:rPr>
          <w:sz w:val="22"/>
          <w:szCs w:val="22"/>
        </w:rPr>
        <w:t xml:space="preserve">sa javí zvýšené </w:t>
      </w:r>
      <w:r w:rsidR="00731B12" w:rsidRPr="002E6863">
        <w:rPr>
          <w:sz w:val="22"/>
          <w:szCs w:val="22"/>
        </w:rPr>
        <w:t xml:space="preserve"> riziko trombocytopénie</w:t>
      </w:r>
      <w:r w:rsidR="00430C08" w:rsidRPr="002E6863">
        <w:rPr>
          <w:sz w:val="22"/>
          <w:szCs w:val="22"/>
        </w:rPr>
        <w:t xml:space="preserve"> s purpurou alebo bez nej</w:t>
      </w:r>
      <w:r w:rsidR="00731B12" w:rsidRPr="002E6863">
        <w:rPr>
          <w:sz w:val="22"/>
          <w:szCs w:val="22"/>
        </w:rPr>
        <w:t>.</w:t>
      </w:r>
    </w:p>
    <w:p w14:paraId="1D2A9D71" w14:textId="77777777" w:rsidR="00260F3D" w:rsidRPr="002E6863" w:rsidRDefault="00260F3D" w:rsidP="00EA37D1">
      <w:pPr>
        <w:rPr>
          <w:sz w:val="22"/>
          <w:szCs w:val="22"/>
        </w:rPr>
      </w:pPr>
    </w:p>
    <w:p w14:paraId="06E6B319" w14:textId="632B224C" w:rsidR="0007669D" w:rsidRPr="00A90137" w:rsidRDefault="0007669D" w:rsidP="00EA37D1">
      <w:pPr>
        <w:rPr>
          <w:b/>
          <w:i/>
          <w:sz w:val="22"/>
          <w:szCs w:val="22"/>
        </w:rPr>
      </w:pPr>
      <w:r w:rsidRPr="00A90137">
        <w:rPr>
          <w:b/>
          <w:i/>
          <w:sz w:val="22"/>
          <w:szCs w:val="22"/>
        </w:rPr>
        <w:t>Pyrimeta</w:t>
      </w:r>
      <w:r w:rsidR="00993BDE" w:rsidRPr="00A90137">
        <w:rPr>
          <w:b/>
          <w:i/>
          <w:sz w:val="22"/>
          <w:szCs w:val="22"/>
        </w:rPr>
        <w:t>mín</w:t>
      </w:r>
    </w:p>
    <w:p w14:paraId="5B717EA7" w14:textId="5E7EC659" w:rsidR="003C2D82" w:rsidRPr="0038455F" w:rsidRDefault="003C2D82" w:rsidP="00EA37D1">
      <w:pPr>
        <w:rPr>
          <w:sz w:val="22"/>
          <w:szCs w:val="22"/>
        </w:rPr>
      </w:pPr>
      <w:r w:rsidRPr="00A90137">
        <w:rPr>
          <w:sz w:val="22"/>
          <w:szCs w:val="22"/>
        </w:rPr>
        <w:t xml:space="preserve">V </w:t>
      </w:r>
      <w:r w:rsidR="00430C08" w:rsidRPr="00A90137">
        <w:rPr>
          <w:sz w:val="22"/>
          <w:szCs w:val="22"/>
        </w:rPr>
        <w:t>ojedinel</w:t>
      </w:r>
      <w:r w:rsidRPr="00A90137">
        <w:rPr>
          <w:sz w:val="22"/>
          <w:szCs w:val="22"/>
        </w:rPr>
        <w:t>ých</w:t>
      </w:r>
      <w:r w:rsidR="00430C08" w:rsidRPr="0038455F">
        <w:rPr>
          <w:sz w:val="22"/>
          <w:szCs w:val="22"/>
        </w:rPr>
        <w:t xml:space="preserve"> </w:t>
      </w:r>
      <w:r w:rsidR="00FD0546" w:rsidRPr="0038455F">
        <w:rPr>
          <w:sz w:val="22"/>
          <w:szCs w:val="22"/>
        </w:rPr>
        <w:t>prípadoch</w:t>
      </w:r>
      <w:r w:rsidR="00FD0546">
        <w:rPr>
          <w:sz w:val="22"/>
          <w:szCs w:val="22"/>
        </w:rPr>
        <w:t xml:space="preserve">, </w:t>
      </w:r>
      <w:r w:rsidR="00FD0546" w:rsidRPr="0038455F">
        <w:rPr>
          <w:sz w:val="22"/>
          <w:szCs w:val="22"/>
        </w:rPr>
        <w:t>kedy</w:t>
      </w:r>
      <w:r w:rsidR="00430C08" w:rsidRPr="0038455F">
        <w:rPr>
          <w:sz w:val="22"/>
          <w:szCs w:val="22"/>
        </w:rPr>
        <w:t> </w:t>
      </w:r>
      <w:r w:rsidR="00FD0546" w:rsidRPr="0038455F">
        <w:rPr>
          <w:sz w:val="22"/>
          <w:szCs w:val="22"/>
        </w:rPr>
        <w:t>pacienti dostávali</w:t>
      </w:r>
      <w:r w:rsidR="00430C08" w:rsidRPr="0038455F">
        <w:rPr>
          <w:sz w:val="22"/>
          <w:szCs w:val="22"/>
        </w:rPr>
        <w:t xml:space="preserve">  pyrimetam</w:t>
      </w:r>
      <w:r w:rsidR="00993BDE">
        <w:rPr>
          <w:sz w:val="22"/>
          <w:szCs w:val="22"/>
        </w:rPr>
        <w:t>ín</w:t>
      </w:r>
      <w:r w:rsidR="00430C08" w:rsidRPr="0038455F">
        <w:rPr>
          <w:sz w:val="22"/>
          <w:szCs w:val="22"/>
        </w:rPr>
        <w:t xml:space="preserve"> (liek proti malárii) v dávkach vyšších ako 25 mg za týždeň</w:t>
      </w:r>
      <w:r w:rsidR="0038455F">
        <w:rPr>
          <w:sz w:val="22"/>
          <w:szCs w:val="22"/>
        </w:rPr>
        <w:t xml:space="preserve"> spolu s kotrimoxazolom, viedlo to </w:t>
      </w:r>
      <w:r w:rsidR="00430C08" w:rsidRPr="0038455F">
        <w:rPr>
          <w:sz w:val="22"/>
          <w:szCs w:val="22"/>
        </w:rPr>
        <w:t xml:space="preserve"> </w:t>
      </w:r>
      <w:r w:rsidRPr="0038455F">
        <w:rPr>
          <w:sz w:val="22"/>
          <w:szCs w:val="22"/>
        </w:rPr>
        <w:t xml:space="preserve">k </w:t>
      </w:r>
      <w:r w:rsidR="00430C08" w:rsidRPr="0038455F">
        <w:rPr>
          <w:sz w:val="22"/>
          <w:szCs w:val="22"/>
        </w:rPr>
        <w:t>megaloblastick</w:t>
      </w:r>
      <w:r w:rsidRPr="0038455F">
        <w:rPr>
          <w:sz w:val="22"/>
          <w:szCs w:val="22"/>
        </w:rPr>
        <w:t>ej</w:t>
      </w:r>
      <w:r w:rsidR="00430C08" w:rsidRPr="0038455F">
        <w:rPr>
          <w:sz w:val="22"/>
          <w:szCs w:val="22"/>
        </w:rPr>
        <w:t xml:space="preserve"> anémi</w:t>
      </w:r>
      <w:r w:rsidR="0038455F">
        <w:rPr>
          <w:sz w:val="22"/>
          <w:szCs w:val="22"/>
        </w:rPr>
        <w:t>i</w:t>
      </w:r>
      <w:r w:rsidR="00430C08" w:rsidRPr="0038455F">
        <w:rPr>
          <w:sz w:val="22"/>
          <w:szCs w:val="22"/>
        </w:rPr>
        <w:t>.</w:t>
      </w:r>
      <w:r w:rsidR="00B32768" w:rsidRPr="0038455F">
        <w:rPr>
          <w:sz w:val="22"/>
          <w:szCs w:val="22"/>
        </w:rPr>
        <w:t xml:space="preserve"> </w:t>
      </w:r>
    </w:p>
    <w:p w14:paraId="2C14ABD4" w14:textId="77777777" w:rsidR="00430C08" w:rsidRPr="002E6863" w:rsidRDefault="00430C08" w:rsidP="00EA37D1">
      <w:pPr>
        <w:rPr>
          <w:sz w:val="22"/>
          <w:szCs w:val="22"/>
        </w:rPr>
      </w:pPr>
    </w:p>
    <w:p w14:paraId="3010B1B8" w14:textId="77777777" w:rsidR="0007669D" w:rsidRPr="00A90137" w:rsidRDefault="0007669D" w:rsidP="00EA37D1">
      <w:pPr>
        <w:rPr>
          <w:b/>
          <w:i/>
          <w:sz w:val="22"/>
          <w:szCs w:val="22"/>
        </w:rPr>
      </w:pPr>
      <w:r w:rsidRPr="00A90137">
        <w:rPr>
          <w:b/>
          <w:i/>
          <w:sz w:val="22"/>
          <w:szCs w:val="22"/>
        </w:rPr>
        <w:t>Warfarín</w:t>
      </w:r>
    </w:p>
    <w:p w14:paraId="0B7EA12F" w14:textId="77777777" w:rsidR="00260F3D" w:rsidRPr="002E6863" w:rsidRDefault="003C2D82" w:rsidP="00EA37D1">
      <w:pPr>
        <w:rPr>
          <w:sz w:val="22"/>
          <w:szCs w:val="22"/>
        </w:rPr>
      </w:pPr>
      <w:r>
        <w:rPr>
          <w:sz w:val="22"/>
          <w:szCs w:val="22"/>
        </w:rPr>
        <w:t>Ukázalo sa, že k</w:t>
      </w:r>
      <w:r w:rsidR="00731B12" w:rsidRPr="002E6863">
        <w:rPr>
          <w:sz w:val="22"/>
          <w:szCs w:val="22"/>
        </w:rPr>
        <w:t>otrimoxazol môže zvýšiť aktivitu antikoagulan</w:t>
      </w:r>
      <w:r w:rsidR="00B32768" w:rsidRPr="002E6863">
        <w:rPr>
          <w:sz w:val="22"/>
          <w:szCs w:val="22"/>
        </w:rPr>
        <w:t>čn</w:t>
      </w:r>
      <w:r>
        <w:rPr>
          <w:sz w:val="22"/>
          <w:szCs w:val="22"/>
        </w:rPr>
        <w:t>ú</w:t>
      </w:r>
      <w:r w:rsidR="00B32768" w:rsidRPr="002E6863">
        <w:rPr>
          <w:sz w:val="22"/>
          <w:szCs w:val="22"/>
        </w:rPr>
        <w:t xml:space="preserve"> </w:t>
      </w:r>
      <w:r>
        <w:rPr>
          <w:sz w:val="22"/>
          <w:szCs w:val="22"/>
        </w:rPr>
        <w:t>aktivitu</w:t>
      </w:r>
      <w:r w:rsidR="00B32768" w:rsidRPr="002E6863">
        <w:rPr>
          <w:sz w:val="22"/>
          <w:szCs w:val="22"/>
        </w:rPr>
        <w:t xml:space="preserve"> warfarín</w:t>
      </w:r>
      <w:r>
        <w:rPr>
          <w:sz w:val="22"/>
          <w:szCs w:val="22"/>
        </w:rPr>
        <w:t>u prostredníctvom stereoselektívnej inhibície jeho metabolizmu</w:t>
      </w:r>
      <w:r w:rsidR="00A14C80">
        <w:rPr>
          <w:sz w:val="22"/>
          <w:szCs w:val="22"/>
        </w:rPr>
        <w:t xml:space="preserve">. Sulfametoxazol môže vytesniť warfarín </w:t>
      </w:r>
      <w:r w:rsidR="00687FEE">
        <w:rPr>
          <w:sz w:val="22"/>
          <w:szCs w:val="22"/>
        </w:rPr>
        <w:t>z väzobných miest</w:t>
      </w:r>
      <w:r w:rsidR="00A14C80">
        <w:rPr>
          <w:sz w:val="22"/>
          <w:szCs w:val="22"/>
        </w:rPr>
        <w:t xml:space="preserve"> albumínových proteínov v plazme </w:t>
      </w:r>
      <w:r w:rsidR="00A14C80" w:rsidRPr="00A14C80">
        <w:rPr>
          <w:i/>
          <w:sz w:val="22"/>
          <w:szCs w:val="22"/>
        </w:rPr>
        <w:t>in vitro</w:t>
      </w:r>
      <w:r w:rsidR="00A14C80">
        <w:rPr>
          <w:sz w:val="22"/>
          <w:szCs w:val="22"/>
        </w:rPr>
        <w:t xml:space="preserve">. Odporúča sa starostlivá kontrola antikoagulačnej terapie počas liečby </w:t>
      </w:r>
      <w:r w:rsidR="0042020D">
        <w:rPr>
          <w:sz w:val="22"/>
          <w:szCs w:val="22"/>
        </w:rPr>
        <w:t>BISEPTOLOM</w:t>
      </w:r>
      <w:r w:rsidR="00A14C80">
        <w:rPr>
          <w:sz w:val="22"/>
          <w:szCs w:val="22"/>
        </w:rPr>
        <w:t xml:space="preserve"> 480.</w:t>
      </w:r>
      <w:r w:rsidR="00731B12" w:rsidRPr="002E6863">
        <w:rPr>
          <w:sz w:val="22"/>
          <w:szCs w:val="22"/>
        </w:rPr>
        <w:t xml:space="preserve"> </w:t>
      </w:r>
    </w:p>
    <w:p w14:paraId="13FA4A8A" w14:textId="77777777" w:rsidR="0007669D" w:rsidRDefault="0007669D" w:rsidP="001F35F3">
      <w:pPr>
        <w:rPr>
          <w:sz w:val="22"/>
          <w:szCs w:val="22"/>
        </w:rPr>
      </w:pPr>
    </w:p>
    <w:p w14:paraId="040A4809" w14:textId="77777777" w:rsidR="0007669D" w:rsidRPr="00A90137" w:rsidRDefault="0007669D" w:rsidP="001F35F3">
      <w:pPr>
        <w:rPr>
          <w:b/>
          <w:i/>
          <w:sz w:val="22"/>
          <w:szCs w:val="22"/>
        </w:rPr>
      </w:pPr>
      <w:r w:rsidRPr="00A90137">
        <w:rPr>
          <w:b/>
          <w:i/>
          <w:sz w:val="22"/>
          <w:szCs w:val="22"/>
        </w:rPr>
        <w:t>Fenytoín</w:t>
      </w:r>
    </w:p>
    <w:p w14:paraId="197A21B7" w14:textId="50684377" w:rsidR="001F35F3" w:rsidRDefault="00A14C80" w:rsidP="001F35F3">
      <w:pPr>
        <w:rPr>
          <w:sz w:val="22"/>
          <w:szCs w:val="22"/>
        </w:rPr>
      </w:pPr>
      <w:r>
        <w:rPr>
          <w:sz w:val="22"/>
          <w:szCs w:val="22"/>
        </w:rPr>
        <w:t>Kotrimoxazol</w:t>
      </w:r>
      <w:r w:rsidR="00731B12" w:rsidRPr="002E6863">
        <w:rPr>
          <w:sz w:val="22"/>
          <w:szCs w:val="22"/>
        </w:rPr>
        <w:t xml:space="preserve"> </w:t>
      </w:r>
      <w:r w:rsidR="001E23E0">
        <w:rPr>
          <w:sz w:val="22"/>
          <w:szCs w:val="22"/>
        </w:rPr>
        <w:t xml:space="preserve">inhibuje metabolizmus </w:t>
      </w:r>
      <w:r w:rsidR="00731B12" w:rsidRPr="002E6863">
        <w:rPr>
          <w:sz w:val="22"/>
          <w:szCs w:val="22"/>
        </w:rPr>
        <w:t>fenyto</w:t>
      </w:r>
      <w:r w:rsidR="005A726F" w:rsidRPr="002E6863">
        <w:rPr>
          <w:sz w:val="22"/>
          <w:szCs w:val="22"/>
        </w:rPr>
        <w:t>í</w:t>
      </w:r>
      <w:r w:rsidR="00731B12" w:rsidRPr="002E6863">
        <w:rPr>
          <w:sz w:val="22"/>
          <w:szCs w:val="22"/>
        </w:rPr>
        <w:t xml:space="preserve">nu </w:t>
      </w:r>
      <w:r w:rsidR="001E23E0">
        <w:rPr>
          <w:sz w:val="22"/>
          <w:szCs w:val="22"/>
        </w:rPr>
        <w:t xml:space="preserve">v pečeni </w:t>
      </w:r>
      <w:r w:rsidR="00731B12" w:rsidRPr="002E6863">
        <w:rPr>
          <w:sz w:val="22"/>
          <w:szCs w:val="22"/>
        </w:rPr>
        <w:t>a</w:t>
      </w:r>
      <w:r>
        <w:rPr>
          <w:sz w:val="22"/>
          <w:szCs w:val="22"/>
        </w:rPr>
        <w:t xml:space="preserve"> a ak sa odporúča jeho súbežné podanie, treba pamätať na nadmerný účinok fenytoínu. Odporúča sa starostlivé sledovanie stavu pacienta a hladín sérového fenytoínu. </w:t>
      </w:r>
    </w:p>
    <w:p w14:paraId="7D6C35E7" w14:textId="77777777" w:rsidR="0007669D" w:rsidRDefault="0007669D" w:rsidP="001F35F3">
      <w:pPr>
        <w:rPr>
          <w:sz w:val="22"/>
          <w:szCs w:val="22"/>
        </w:rPr>
      </w:pPr>
    </w:p>
    <w:p w14:paraId="3B5CE99C" w14:textId="77777777" w:rsidR="0007669D" w:rsidRPr="00A90137" w:rsidRDefault="0007669D" w:rsidP="001F35F3">
      <w:pPr>
        <w:rPr>
          <w:b/>
          <w:i/>
          <w:sz w:val="22"/>
          <w:szCs w:val="22"/>
        </w:rPr>
      </w:pPr>
      <w:r w:rsidRPr="00A90137">
        <w:rPr>
          <w:b/>
          <w:i/>
          <w:sz w:val="22"/>
          <w:szCs w:val="22"/>
        </w:rPr>
        <w:t>Digoxín</w:t>
      </w:r>
    </w:p>
    <w:p w14:paraId="767AE7E6" w14:textId="77777777" w:rsidR="001F35F3" w:rsidRPr="002E6863" w:rsidRDefault="001F35F3" w:rsidP="001F35F3">
      <w:pPr>
        <w:rPr>
          <w:sz w:val="22"/>
          <w:szCs w:val="22"/>
        </w:rPr>
      </w:pPr>
      <w:r>
        <w:rPr>
          <w:sz w:val="22"/>
          <w:szCs w:val="22"/>
        </w:rPr>
        <w:t>S</w:t>
      </w:r>
      <w:r w:rsidRPr="002E6863">
        <w:rPr>
          <w:sz w:val="22"/>
          <w:szCs w:val="22"/>
        </w:rPr>
        <w:t xml:space="preserve">úbežné podávanie trimetoprimu spolu s digoxínom </w:t>
      </w:r>
      <w:r>
        <w:rPr>
          <w:sz w:val="22"/>
          <w:szCs w:val="22"/>
        </w:rPr>
        <w:t xml:space="preserve">ukázalo </w:t>
      </w:r>
      <w:r w:rsidRPr="002E6863">
        <w:rPr>
          <w:sz w:val="22"/>
          <w:szCs w:val="22"/>
        </w:rPr>
        <w:t>zvýš</w:t>
      </w:r>
      <w:r>
        <w:rPr>
          <w:sz w:val="22"/>
          <w:szCs w:val="22"/>
        </w:rPr>
        <w:t>enie</w:t>
      </w:r>
      <w:r w:rsidRPr="002E6863">
        <w:rPr>
          <w:sz w:val="22"/>
          <w:szCs w:val="22"/>
        </w:rPr>
        <w:t xml:space="preserve"> plazmatick</w:t>
      </w:r>
      <w:r>
        <w:rPr>
          <w:sz w:val="22"/>
          <w:szCs w:val="22"/>
        </w:rPr>
        <w:t>ých</w:t>
      </w:r>
      <w:r w:rsidRPr="002E6863">
        <w:rPr>
          <w:sz w:val="22"/>
          <w:szCs w:val="22"/>
        </w:rPr>
        <w:t xml:space="preserve"> hlad</w:t>
      </w:r>
      <w:r>
        <w:rPr>
          <w:sz w:val="22"/>
          <w:szCs w:val="22"/>
        </w:rPr>
        <w:t xml:space="preserve">ín </w:t>
      </w:r>
      <w:r w:rsidRPr="002E6863">
        <w:rPr>
          <w:sz w:val="22"/>
          <w:szCs w:val="22"/>
        </w:rPr>
        <w:t xml:space="preserve"> digoxínu</w:t>
      </w:r>
      <w:r>
        <w:rPr>
          <w:sz w:val="22"/>
          <w:szCs w:val="22"/>
        </w:rPr>
        <w:t xml:space="preserve"> u starších pacientov</w:t>
      </w:r>
      <w:r w:rsidRPr="002E6863">
        <w:rPr>
          <w:sz w:val="22"/>
          <w:szCs w:val="22"/>
        </w:rPr>
        <w:t>.</w:t>
      </w:r>
    </w:p>
    <w:p w14:paraId="641F67C6" w14:textId="77777777" w:rsidR="001049D6" w:rsidRDefault="001049D6" w:rsidP="001049D6">
      <w:pPr>
        <w:rPr>
          <w:sz w:val="22"/>
          <w:szCs w:val="22"/>
        </w:rPr>
      </w:pPr>
    </w:p>
    <w:p w14:paraId="23DD15A3" w14:textId="77777777" w:rsidR="0007669D" w:rsidRPr="00A90137" w:rsidRDefault="0007669D" w:rsidP="001049D6">
      <w:pPr>
        <w:rPr>
          <w:b/>
          <w:i/>
          <w:sz w:val="22"/>
          <w:szCs w:val="22"/>
        </w:rPr>
      </w:pPr>
      <w:r w:rsidRPr="00A90137">
        <w:rPr>
          <w:b/>
          <w:i/>
          <w:sz w:val="22"/>
          <w:szCs w:val="22"/>
        </w:rPr>
        <w:t>Metotrexát</w:t>
      </w:r>
    </w:p>
    <w:p w14:paraId="7393C79B" w14:textId="70611D46" w:rsidR="0007669D" w:rsidRDefault="001049D6" w:rsidP="001049D6">
      <w:pPr>
        <w:rPr>
          <w:color w:val="212121"/>
          <w:sz w:val="22"/>
          <w:szCs w:val="22"/>
          <w:shd w:val="clear" w:color="auto" w:fill="FFFFFF"/>
        </w:rPr>
      </w:pPr>
      <w:r w:rsidRPr="0007669D">
        <w:rPr>
          <w:sz w:val="22"/>
          <w:szCs w:val="22"/>
        </w:rPr>
        <w:t>Kotrimoxazol môže zvyšovať plazmatické hladiny metotrexátu</w:t>
      </w:r>
      <w:r w:rsidR="001E23E0">
        <w:rPr>
          <w:sz w:val="22"/>
          <w:szCs w:val="22"/>
        </w:rPr>
        <w:t xml:space="preserve"> vytesním z väzby na plazmatické bielkoviny a kompetíciou s renálnym transportom metotrexátu</w:t>
      </w:r>
      <w:r w:rsidRPr="0007669D">
        <w:rPr>
          <w:sz w:val="22"/>
          <w:szCs w:val="22"/>
        </w:rPr>
        <w:t>.</w:t>
      </w:r>
      <w:r w:rsidR="0042020D" w:rsidRPr="0007669D">
        <w:rPr>
          <w:sz w:val="22"/>
          <w:szCs w:val="22"/>
        </w:rPr>
        <w:t xml:space="preserve"> </w:t>
      </w:r>
      <w:r w:rsidR="0007669D" w:rsidRPr="0007669D">
        <w:rPr>
          <w:color w:val="212121"/>
          <w:sz w:val="22"/>
          <w:szCs w:val="22"/>
          <w:shd w:val="clear" w:color="auto" w:fill="FFFFFF"/>
        </w:rPr>
        <w:t>Ak sa kotrimoxazol považuje za vhodnú liečbu u pacientov užívajúcich iné antifoláty, ako je metotrexát, treba zvážiť doplnenie folátu (pozri časť 4.4).</w:t>
      </w:r>
      <w:r w:rsidR="0007669D">
        <w:rPr>
          <w:color w:val="212121"/>
          <w:sz w:val="22"/>
          <w:szCs w:val="22"/>
          <w:shd w:val="clear" w:color="auto" w:fill="FFFFFF"/>
        </w:rPr>
        <w:t xml:space="preserve"> </w:t>
      </w:r>
    </w:p>
    <w:p w14:paraId="7CD4EBF1" w14:textId="7C0C4363" w:rsidR="00260F3D" w:rsidRPr="002E6863" w:rsidRDefault="00260F3D" w:rsidP="00EA37D1">
      <w:pPr>
        <w:rPr>
          <w:sz w:val="22"/>
          <w:szCs w:val="22"/>
        </w:rPr>
      </w:pPr>
      <w:commentRangeStart w:id="4"/>
      <w:commentRangeEnd w:id="4"/>
    </w:p>
    <w:p w14:paraId="0F6C873F" w14:textId="77777777" w:rsidR="0007669D" w:rsidRPr="00A90137" w:rsidRDefault="0007669D" w:rsidP="001F35F3">
      <w:pPr>
        <w:rPr>
          <w:b/>
          <w:i/>
          <w:sz w:val="22"/>
          <w:szCs w:val="22"/>
        </w:rPr>
      </w:pPr>
      <w:r w:rsidRPr="00A90137">
        <w:rPr>
          <w:b/>
          <w:i/>
          <w:sz w:val="22"/>
          <w:szCs w:val="22"/>
        </w:rPr>
        <w:t>Lamivudín</w:t>
      </w:r>
    </w:p>
    <w:p w14:paraId="518D37C1" w14:textId="77777777" w:rsidR="001F35F3" w:rsidRPr="002E6863" w:rsidRDefault="001F35F3" w:rsidP="001F35F3">
      <w:pPr>
        <w:rPr>
          <w:sz w:val="22"/>
          <w:szCs w:val="22"/>
        </w:rPr>
      </w:pPr>
      <w:r w:rsidRPr="002E6863">
        <w:rPr>
          <w:sz w:val="22"/>
          <w:szCs w:val="22"/>
        </w:rPr>
        <w:t xml:space="preserve">Podávanie trimetoprim/sulfametoxazolu </w:t>
      </w:r>
      <w:r>
        <w:rPr>
          <w:sz w:val="22"/>
          <w:szCs w:val="22"/>
        </w:rPr>
        <w:t>160 mg/800 mg (kotrimoxazolu)</w:t>
      </w:r>
      <w:r w:rsidRPr="002E6863">
        <w:rPr>
          <w:sz w:val="22"/>
          <w:szCs w:val="22"/>
        </w:rPr>
        <w:t xml:space="preserve"> spôsobuje 40 % zvýšenie expozície lamivudínu kvôli </w:t>
      </w:r>
      <w:r>
        <w:rPr>
          <w:sz w:val="22"/>
          <w:szCs w:val="22"/>
        </w:rPr>
        <w:t>zložke</w:t>
      </w:r>
      <w:r w:rsidRPr="002E6863">
        <w:rPr>
          <w:sz w:val="22"/>
          <w:szCs w:val="22"/>
        </w:rPr>
        <w:t xml:space="preserve"> trimetoprimu. Lamivudín nemá na farmakokinetiku trimetoprimu alebo sulfametoxazolu vplyv.</w:t>
      </w:r>
    </w:p>
    <w:p w14:paraId="31A0C5F9" w14:textId="77777777" w:rsidR="001049D6" w:rsidRDefault="001049D6" w:rsidP="00EA37D1">
      <w:pPr>
        <w:rPr>
          <w:sz w:val="22"/>
          <w:szCs w:val="22"/>
        </w:rPr>
      </w:pPr>
    </w:p>
    <w:p w14:paraId="7FD7B9A5" w14:textId="7D822E4A" w:rsidR="0007669D" w:rsidRPr="00A90137" w:rsidRDefault="008E1AD7" w:rsidP="00EA37D1">
      <w:pPr>
        <w:rPr>
          <w:b/>
          <w:i/>
          <w:sz w:val="22"/>
          <w:szCs w:val="22"/>
        </w:rPr>
      </w:pPr>
      <w:r w:rsidRPr="00A90137">
        <w:rPr>
          <w:b/>
          <w:i/>
          <w:sz w:val="22"/>
          <w:szCs w:val="22"/>
        </w:rPr>
        <w:t>Antidiabetiká</w:t>
      </w:r>
      <w:r w:rsidR="0007669D" w:rsidRPr="00A90137">
        <w:rPr>
          <w:b/>
          <w:i/>
          <w:sz w:val="22"/>
          <w:szCs w:val="22"/>
        </w:rPr>
        <w:t xml:space="preserve"> sulfonylmočovinového typu</w:t>
      </w:r>
    </w:p>
    <w:p w14:paraId="11F9E721" w14:textId="261AE533" w:rsidR="00260F3D" w:rsidRPr="002E6863" w:rsidRDefault="001049D6" w:rsidP="00F00777">
      <w:pPr>
        <w:overflowPunct/>
        <w:textAlignment w:val="auto"/>
        <w:rPr>
          <w:sz w:val="22"/>
          <w:szCs w:val="22"/>
        </w:rPr>
      </w:pPr>
      <w:r>
        <w:rPr>
          <w:sz w:val="22"/>
          <w:szCs w:val="22"/>
        </w:rPr>
        <w:t>Interakcia s </w:t>
      </w:r>
      <w:r w:rsidR="008E1AD7">
        <w:rPr>
          <w:sz w:val="22"/>
          <w:szCs w:val="22"/>
        </w:rPr>
        <w:t>antidiabet</w:t>
      </w:r>
      <w:r>
        <w:rPr>
          <w:sz w:val="22"/>
          <w:szCs w:val="22"/>
        </w:rPr>
        <w:t>ikami sulfonylmočovinového typu je menej čast</w:t>
      </w:r>
      <w:r w:rsidR="0042020D">
        <w:rPr>
          <w:sz w:val="22"/>
          <w:szCs w:val="22"/>
        </w:rPr>
        <w:t xml:space="preserve">á, ale </w:t>
      </w:r>
      <w:r w:rsidR="008E1AD7">
        <w:rPr>
          <w:sz w:val="22"/>
          <w:szCs w:val="22"/>
        </w:rPr>
        <w:t>bolo hlásené zosilnenie ich účinku.</w:t>
      </w:r>
      <w:commentRangeStart w:id="5"/>
      <w:commentRangeEnd w:id="5"/>
      <w:r w:rsidR="008E1AD7">
        <w:rPr>
          <w:sz w:val="22"/>
          <w:szCs w:val="22"/>
        </w:rPr>
        <w:t xml:space="preserve"> BISEPTOL sa má preto používať s opatrnosťou u pacientov súbežne liečených týmito liekmi.</w:t>
      </w:r>
    </w:p>
    <w:p w14:paraId="3B249DF4" w14:textId="77777777" w:rsidR="00260F3D" w:rsidRPr="002E6863" w:rsidRDefault="00260F3D" w:rsidP="00EA37D1">
      <w:pPr>
        <w:rPr>
          <w:sz w:val="22"/>
          <w:szCs w:val="22"/>
        </w:rPr>
      </w:pPr>
    </w:p>
    <w:p w14:paraId="06CC5FA1" w14:textId="77777777" w:rsidR="00EA3474" w:rsidRPr="00A90137" w:rsidRDefault="00EA3474" w:rsidP="00EA37D1">
      <w:pPr>
        <w:pStyle w:val="Nagwek4"/>
        <w:spacing w:line="240" w:lineRule="auto"/>
        <w:jc w:val="left"/>
        <w:rPr>
          <w:b/>
          <w:i/>
          <w:sz w:val="22"/>
          <w:szCs w:val="22"/>
          <w:u w:val="none"/>
        </w:rPr>
      </w:pPr>
      <w:r w:rsidRPr="00A90137">
        <w:rPr>
          <w:b/>
          <w:i/>
          <w:sz w:val="22"/>
          <w:szCs w:val="22"/>
          <w:u w:val="none"/>
        </w:rPr>
        <w:t>Hyperkaliémia</w:t>
      </w:r>
    </w:p>
    <w:p w14:paraId="697D49A0" w14:textId="5DE32A5B" w:rsidR="005B5697" w:rsidRPr="006437B8" w:rsidRDefault="005B5697" w:rsidP="00EA37D1">
      <w:pPr>
        <w:pStyle w:val="Nagwek4"/>
        <w:spacing w:line="240" w:lineRule="auto"/>
        <w:jc w:val="left"/>
        <w:rPr>
          <w:sz w:val="22"/>
          <w:szCs w:val="22"/>
          <w:u w:val="none"/>
        </w:rPr>
      </w:pPr>
      <w:r w:rsidRPr="006437B8">
        <w:rPr>
          <w:sz w:val="22"/>
          <w:szCs w:val="22"/>
          <w:u w:val="none"/>
        </w:rPr>
        <w:t>Pozornosť treba venovať pacientom užívajúcim iné lieky, ktoré môžu spôsobovať hyperkaliémiu</w:t>
      </w:r>
      <w:r w:rsidR="00EA3474" w:rsidRPr="006437B8">
        <w:rPr>
          <w:sz w:val="22"/>
          <w:szCs w:val="22"/>
          <w:u w:val="none"/>
        </w:rPr>
        <w:t xml:space="preserve">, </w:t>
      </w:r>
      <w:r w:rsidR="00EA3474" w:rsidRPr="006437B8">
        <w:rPr>
          <w:color w:val="212121"/>
          <w:sz w:val="22"/>
          <w:szCs w:val="22"/>
          <w:u w:val="none"/>
          <w:shd w:val="clear" w:color="auto" w:fill="FFFFFF"/>
        </w:rPr>
        <w:t xml:space="preserve">napríklad inhibítory ACE, blokátory angiotenzínového receptora a draslík šetriace diuretiká, ako je spironolaktón. Súbežné užívanie trimetoprim-sulfametoxazolu (kotrimoxazolu) </w:t>
      </w:r>
      <w:r w:rsidR="007B53C3">
        <w:rPr>
          <w:color w:val="212121"/>
          <w:sz w:val="22"/>
          <w:szCs w:val="22"/>
          <w:u w:val="none"/>
          <w:shd w:val="clear" w:color="auto" w:fill="FFFFFF"/>
        </w:rPr>
        <w:t xml:space="preserve">so spironolaktónom </w:t>
      </w:r>
      <w:r w:rsidR="00EA3474" w:rsidRPr="006437B8">
        <w:rPr>
          <w:color w:val="212121"/>
          <w:sz w:val="22"/>
          <w:szCs w:val="22"/>
          <w:u w:val="none"/>
          <w:shd w:val="clear" w:color="auto" w:fill="FFFFFF"/>
        </w:rPr>
        <w:t xml:space="preserve">môže </w:t>
      </w:r>
      <w:r w:rsidR="007B53C3">
        <w:rPr>
          <w:color w:val="212121"/>
          <w:sz w:val="22"/>
          <w:szCs w:val="22"/>
          <w:u w:val="none"/>
          <w:shd w:val="clear" w:color="auto" w:fill="FFFFFF"/>
        </w:rPr>
        <w:t>viesť ku</w:t>
      </w:r>
      <w:r w:rsidR="00EA3474" w:rsidRPr="006437B8">
        <w:rPr>
          <w:color w:val="212121"/>
          <w:sz w:val="22"/>
          <w:szCs w:val="22"/>
          <w:u w:val="none"/>
          <w:shd w:val="clear" w:color="auto" w:fill="FFFFFF"/>
        </w:rPr>
        <w:t xml:space="preserve"> klinicky významnej hyperkaliémi</w:t>
      </w:r>
      <w:r w:rsidR="007B53C3">
        <w:rPr>
          <w:color w:val="212121"/>
          <w:sz w:val="22"/>
          <w:szCs w:val="22"/>
          <w:u w:val="none"/>
          <w:shd w:val="clear" w:color="auto" w:fill="FFFFFF"/>
        </w:rPr>
        <w:t>i</w:t>
      </w:r>
      <w:r w:rsidR="00EA3474" w:rsidRPr="006437B8">
        <w:rPr>
          <w:color w:val="212121"/>
          <w:sz w:val="22"/>
          <w:szCs w:val="22"/>
          <w:u w:val="none"/>
          <w:shd w:val="clear" w:color="auto" w:fill="FFFFFF"/>
        </w:rPr>
        <w:t>.</w:t>
      </w:r>
    </w:p>
    <w:p w14:paraId="067E6A6D" w14:textId="77777777" w:rsidR="00260F3D" w:rsidRDefault="00260F3D" w:rsidP="00EA37D1">
      <w:pPr>
        <w:rPr>
          <w:sz w:val="22"/>
          <w:szCs w:val="22"/>
        </w:rPr>
      </w:pPr>
    </w:p>
    <w:p w14:paraId="3AC58F45" w14:textId="77777777" w:rsidR="00EA3474" w:rsidRPr="00A90137" w:rsidRDefault="00EA3474" w:rsidP="00EA3474">
      <w:pPr>
        <w:pStyle w:val="HTML-wstpniesformatowany"/>
        <w:shd w:val="clear" w:color="auto" w:fill="FFFFFF"/>
        <w:rPr>
          <w:rFonts w:ascii="Times New Roman" w:hAnsi="Times New Roman" w:cs="Times New Roman"/>
          <w:b/>
          <w:i/>
          <w:color w:val="212121"/>
          <w:sz w:val="22"/>
          <w:szCs w:val="22"/>
        </w:rPr>
      </w:pPr>
      <w:r w:rsidRPr="00A90137">
        <w:rPr>
          <w:rFonts w:ascii="Times New Roman" w:hAnsi="Times New Roman" w:cs="Times New Roman"/>
          <w:b/>
          <w:i/>
          <w:color w:val="212121"/>
          <w:sz w:val="22"/>
          <w:szCs w:val="22"/>
        </w:rPr>
        <w:t>Repaglinid</w:t>
      </w:r>
    </w:p>
    <w:p w14:paraId="48162255" w14:textId="77777777" w:rsidR="00EA3474" w:rsidRPr="00EA3474" w:rsidRDefault="00EA3474" w:rsidP="00EA3474">
      <w:pPr>
        <w:pStyle w:val="HTML-wstpniesformatowany"/>
        <w:shd w:val="clear" w:color="auto" w:fill="FFFFFF"/>
        <w:rPr>
          <w:rFonts w:ascii="Times New Roman" w:hAnsi="Times New Roman" w:cs="Times New Roman"/>
          <w:color w:val="212121"/>
          <w:sz w:val="22"/>
          <w:szCs w:val="22"/>
        </w:rPr>
      </w:pPr>
      <w:r w:rsidRPr="00EA3474">
        <w:rPr>
          <w:rFonts w:ascii="Times New Roman" w:hAnsi="Times New Roman" w:cs="Times New Roman"/>
          <w:color w:val="212121"/>
          <w:sz w:val="22"/>
          <w:szCs w:val="22"/>
        </w:rPr>
        <w:t>Trimetoprim môže zvýšiť expozíciu repaglinidu, čo môže viesť k hypoglykémii.</w:t>
      </w:r>
    </w:p>
    <w:p w14:paraId="142FEFAC" w14:textId="77777777" w:rsidR="00EA3474" w:rsidRPr="00EA3474" w:rsidRDefault="00EA3474" w:rsidP="00EA3474">
      <w:pPr>
        <w:pStyle w:val="HTML-wstpniesformatowany"/>
        <w:shd w:val="clear" w:color="auto" w:fill="FFFFFF"/>
        <w:rPr>
          <w:rFonts w:ascii="Times New Roman" w:hAnsi="Times New Roman" w:cs="Times New Roman"/>
          <w:color w:val="212121"/>
          <w:sz w:val="22"/>
          <w:szCs w:val="22"/>
        </w:rPr>
      </w:pPr>
    </w:p>
    <w:p w14:paraId="0E0A5654" w14:textId="77777777" w:rsidR="00EA3474" w:rsidRPr="00A90137" w:rsidRDefault="00EA3474" w:rsidP="00EA3474">
      <w:pPr>
        <w:pStyle w:val="HTML-wstpniesformatowany"/>
        <w:shd w:val="clear" w:color="auto" w:fill="FFFFFF"/>
        <w:rPr>
          <w:rFonts w:ascii="Times New Roman" w:hAnsi="Times New Roman" w:cs="Times New Roman"/>
          <w:b/>
          <w:i/>
          <w:color w:val="212121"/>
          <w:sz w:val="22"/>
          <w:szCs w:val="22"/>
        </w:rPr>
      </w:pPr>
      <w:r w:rsidRPr="00A90137">
        <w:rPr>
          <w:rFonts w:ascii="Times New Roman" w:hAnsi="Times New Roman" w:cs="Times New Roman"/>
          <w:b/>
          <w:i/>
          <w:color w:val="212121"/>
          <w:sz w:val="22"/>
          <w:szCs w:val="22"/>
        </w:rPr>
        <w:t>Kyselina listová</w:t>
      </w:r>
    </w:p>
    <w:p w14:paraId="3D9E9AE0" w14:textId="7521AC66" w:rsidR="00EA3474" w:rsidRPr="00EA3474" w:rsidRDefault="00EA3474" w:rsidP="00EA3474">
      <w:pPr>
        <w:pStyle w:val="HTML-wstpniesformatowany"/>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t>Ukázalo sa, že suplementácia kyselinou listovou</w:t>
      </w:r>
      <w:r w:rsidRPr="00EA3474">
        <w:rPr>
          <w:rFonts w:ascii="Times New Roman" w:hAnsi="Times New Roman" w:cs="Times New Roman"/>
          <w:color w:val="212121"/>
          <w:sz w:val="22"/>
          <w:szCs w:val="22"/>
        </w:rPr>
        <w:t xml:space="preserve"> interferuje s antimikrobiálnou účinnosťou trimet</w:t>
      </w:r>
      <w:r>
        <w:rPr>
          <w:rFonts w:ascii="Times New Roman" w:hAnsi="Times New Roman" w:cs="Times New Roman"/>
          <w:color w:val="212121"/>
          <w:sz w:val="22"/>
          <w:szCs w:val="22"/>
        </w:rPr>
        <w:t>oprim-sulfametoxazolu. P</w:t>
      </w:r>
      <w:r w:rsidRPr="00EA3474">
        <w:rPr>
          <w:rFonts w:ascii="Times New Roman" w:hAnsi="Times New Roman" w:cs="Times New Roman"/>
          <w:color w:val="212121"/>
          <w:sz w:val="22"/>
          <w:szCs w:val="22"/>
        </w:rPr>
        <w:t xml:space="preserve">ozorovalo </w:t>
      </w:r>
      <w:r>
        <w:rPr>
          <w:rFonts w:ascii="Times New Roman" w:hAnsi="Times New Roman" w:cs="Times New Roman"/>
          <w:color w:val="212121"/>
          <w:sz w:val="22"/>
          <w:szCs w:val="22"/>
        </w:rPr>
        <w:t xml:space="preserve">sa to </w:t>
      </w:r>
      <w:r w:rsidRPr="00EA3474">
        <w:rPr>
          <w:rFonts w:ascii="Times New Roman" w:hAnsi="Times New Roman" w:cs="Times New Roman"/>
          <w:color w:val="212121"/>
          <w:sz w:val="22"/>
          <w:szCs w:val="22"/>
        </w:rPr>
        <w:t xml:space="preserve">pri profylaxii a liečbe </w:t>
      </w:r>
      <w:r w:rsidR="0078226A" w:rsidRPr="00EA3474">
        <w:rPr>
          <w:rFonts w:ascii="Times New Roman" w:hAnsi="Times New Roman" w:cs="Times New Roman"/>
          <w:color w:val="212121"/>
          <w:sz w:val="22"/>
          <w:szCs w:val="22"/>
        </w:rPr>
        <w:t>pneumónie</w:t>
      </w:r>
      <w:r w:rsidR="0078226A" w:rsidRPr="00EA3474">
        <w:rPr>
          <w:rFonts w:ascii="Times New Roman" w:hAnsi="Times New Roman" w:cs="Times New Roman"/>
          <w:i/>
          <w:color w:val="212121"/>
          <w:sz w:val="22"/>
          <w:szCs w:val="22"/>
        </w:rPr>
        <w:t xml:space="preserve"> </w:t>
      </w:r>
      <w:r w:rsidR="0078226A" w:rsidRPr="00F00777">
        <w:rPr>
          <w:rFonts w:ascii="Times New Roman" w:hAnsi="Times New Roman" w:cs="Times New Roman"/>
          <w:color w:val="212121"/>
          <w:sz w:val="22"/>
          <w:szCs w:val="22"/>
        </w:rPr>
        <w:t xml:space="preserve">vyvolanej </w:t>
      </w:r>
      <w:r w:rsidRPr="00EA3474">
        <w:rPr>
          <w:rFonts w:ascii="Times New Roman" w:hAnsi="Times New Roman" w:cs="Times New Roman"/>
          <w:i/>
          <w:color w:val="212121"/>
          <w:sz w:val="22"/>
          <w:szCs w:val="22"/>
        </w:rPr>
        <w:t>Pneumocystis jirovecii</w:t>
      </w:r>
      <w:r w:rsidRPr="00EA3474">
        <w:rPr>
          <w:rFonts w:ascii="Times New Roman" w:hAnsi="Times New Roman" w:cs="Times New Roman"/>
          <w:color w:val="212121"/>
          <w:sz w:val="22"/>
          <w:szCs w:val="22"/>
        </w:rPr>
        <w:t>.</w:t>
      </w:r>
    </w:p>
    <w:p w14:paraId="0C8C880E" w14:textId="77777777" w:rsidR="00EA3474" w:rsidRPr="00EA3474" w:rsidRDefault="00EA3474" w:rsidP="00EA3474">
      <w:pPr>
        <w:pStyle w:val="HTML-wstpniesformatowany"/>
        <w:shd w:val="clear" w:color="auto" w:fill="FFFFFF"/>
        <w:rPr>
          <w:rFonts w:ascii="Times New Roman" w:hAnsi="Times New Roman" w:cs="Times New Roman"/>
          <w:color w:val="212121"/>
          <w:sz w:val="22"/>
          <w:szCs w:val="22"/>
        </w:rPr>
      </w:pPr>
    </w:p>
    <w:p w14:paraId="064C3F94" w14:textId="77777777" w:rsidR="00EA3474" w:rsidRPr="00A90137" w:rsidRDefault="00EA3474" w:rsidP="00EA3474">
      <w:pPr>
        <w:pStyle w:val="HTML-wstpniesformatowany"/>
        <w:shd w:val="clear" w:color="auto" w:fill="FFFFFF"/>
        <w:rPr>
          <w:rFonts w:ascii="Times New Roman" w:hAnsi="Times New Roman" w:cs="Times New Roman"/>
          <w:b/>
          <w:i/>
          <w:color w:val="212121"/>
          <w:sz w:val="22"/>
          <w:szCs w:val="22"/>
        </w:rPr>
      </w:pPr>
      <w:r w:rsidRPr="00A90137">
        <w:rPr>
          <w:rFonts w:ascii="Times New Roman" w:hAnsi="Times New Roman" w:cs="Times New Roman"/>
          <w:b/>
          <w:i/>
          <w:color w:val="212121"/>
          <w:sz w:val="22"/>
          <w:szCs w:val="22"/>
        </w:rPr>
        <w:t>Azatioprin</w:t>
      </w:r>
    </w:p>
    <w:p w14:paraId="362FD6F9" w14:textId="77777777" w:rsidR="00EA3474" w:rsidRPr="00EA3474" w:rsidRDefault="00EA3474" w:rsidP="00EA3474">
      <w:pPr>
        <w:pStyle w:val="HTML-wstpniesformatowany"/>
        <w:shd w:val="clear" w:color="auto" w:fill="FFFFFF"/>
        <w:rPr>
          <w:rFonts w:ascii="Times New Roman" w:hAnsi="Times New Roman" w:cs="Times New Roman"/>
          <w:color w:val="212121"/>
          <w:sz w:val="22"/>
          <w:szCs w:val="22"/>
        </w:rPr>
      </w:pPr>
      <w:r w:rsidRPr="00EA3474">
        <w:rPr>
          <w:rFonts w:ascii="Times New Roman" w:hAnsi="Times New Roman" w:cs="Times New Roman"/>
          <w:color w:val="212121"/>
          <w:sz w:val="22"/>
          <w:szCs w:val="22"/>
        </w:rPr>
        <w:t>Existujú protichodné klinické správy o interakciách medzi azatioprinom a</w:t>
      </w:r>
      <w:r>
        <w:rPr>
          <w:rFonts w:ascii="Times New Roman" w:hAnsi="Times New Roman" w:cs="Times New Roman"/>
          <w:color w:val="212121"/>
          <w:sz w:val="22"/>
          <w:szCs w:val="22"/>
        </w:rPr>
        <w:t> </w:t>
      </w:r>
      <w:r w:rsidRPr="00EA3474">
        <w:rPr>
          <w:rFonts w:ascii="Times New Roman" w:hAnsi="Times New Roman" w:cs="Times New Roman"/>
          <w:color w:val="212121"/>
          <w:sz w:val="22"/>
          <w:szCs w:val="22"/>
        </w:rPr>
        <w:t>trim</w:t>
      </w:r>
      <w:r>
        <w:rPr>
          <w:rFonts w:ascii="Times New Roman" w:hAnsi="Times New Roman" w:cs="Times New Roman"/>
          <w:color w:val="212121"/>
          <w:sz w:val="22"/>
          <w:szCs w:val="22"/>
        </w:rPr>
        <w:t>etoprim-sulfametoxazolom, ktoré viedli</w:t>
      </w:r>
      <w:r w:rsidRPr="00EA3474">
        <w:rPr>
          <w:rFonts w:ascii="Times New Roman" w:hAnsi="Times New Roman" w:cs="Times New Roman"/>
          <w:color w:val="212121"/>
          <w:sz w:val="22"/>
          <w:szCs w:val="22"/>
        </w:rPr>
        <w:t xml:space="preserve"> k závažným hematologickým abnormalitám.</w:t>
      </w:r>
    </w:p>
    <w:p w14:paraId="6456EFDD" w14:textId="77777777" w:rsidR="00EA3474" w:rsidRPr="002E6863" w:rsidRDefault="00EA3474" w:rsidP="00EA37D1">
      <w:pPr>
        <w:rPr>
          <w:sz w:val="22"/>
          <w:szCs w:val="22"/>
        </w:rPr>
      </w:pPr>
    </w:p>
    <w:p w14:paraId="531AC262" w14:textId="77777777" w:rsidR="00C348CC" w:rsidRPr="00A90137" w:rsidRDefault="00C348CC" w:rsidP="00C348CC">
      <w:pPr>
        <w:rPr>
          <w:i/>
          <w:sz w:val="22"/>
          <w:szCs w:val="22"/>
          <w:u w:val="single"/>
        </w:rPr>
      </w:pPr>
      <w:r w:rsidRPr="00A90137">
        <w:rPr>
          <w:i/>
          <w:sz w:val="22"/>
          <w:szCs w:val="22"/>
          <w:u w:val="single"/>
        </w:rPr>
        <w:t>Interakcie s laboratórnymi testami</w:t>
      </w:r>
    </w:p>
    <w:p w14:paraId="11D6A1F4" w14:textId="6EDCC15E" w:rsidR="00C348CC" w:rsidRPr="002E6863" w:rsidRDefault="00C348CC" w:rsidP="00C348CC">
      <w:pPr>
        <w:rPr>
          <w:sz w:val="22"/>
          <w:szCs w:val="22"/>
        </w:rPr>
      </w:pPr>
      <w:r w:rsidRPr="0007669D">
        <w:rPr>
          <w:sz w:val="22"/>
          <w:szCs w:val="22"/>
        </w:rPr>
        <w:t>Trimetoprim</w:t>
      </w:r>
      <w:r>
        <w:rPr>
          <w:sz w:val="22"/>
          <w:szCs w:val="22"/>
        </w:rPr>
        <w:t xml:space="preserve"> interferuje so stanoveniami na sérový metotrexát, ak sa používa na skúšku dihydrofolátreduktáza z </w:t>
      </w:r>
      <w:r w:rsidRPr="00687FEE">
        <w:rPr>
          <w:i/>
          <w:sz w:val="22"/>
          <w:szCs w:val="22"/>
        </w:rPr>
        <w:t>Lactobacillus casei</w:t>
      </w:r>
      <w:r>
        <w:rPr>
          <w:sz w:val="22"/>
          <w:szCs w:val="22"/>
        </w:rPr>
        <w:t>. Interferencie nie sú známe, ak sa metotrexát meria pomocou rádioimunologických metód.</w:t>
      </w:r>
    </w:p>
    <w:p w14:paraId="678C70F7" w14:textId="77777777" w:rsidR="00C348CC" w:rsidRPr="00F00777" w:rsidRDefault="00C348CC" w:rsidP="00C348CC">
      <w:pPr>
        <w:rPr>
          <w:sz w:val="22"/>
          <w:szCs w:val="22"/>
        </w:rPr>
      </w:pPr>
    </w:p>
    <w:p w14:paraId="44A007B6" w14:textId="77777777" w:rsidR="00C348CC" w:rsidRDefault="00C348CC" w:rsidP="00C348CC">
      <w:pPr>
        <w:rPr>
          <w:sz w:val="22"/>
          <w:szCs w:val="22"/>
        </w:rPr>
      </w:pPr>
      <w:r>
        <w:rPr>
          <w:sz w:val="22"/>
          <w:szCs w:val="22"/>
        </w:rPr>
        <w:t>Trimetoprim môže interferovať pri stanovení sérového/plazmatického kreatinínu, ak sa používa reakcia s alkalickým pikrátom. Môže to viesť k zvýšeniu výsledku sérového/plazmatického kreatinínu o 10 %. Klírens kreatinínu je znížený: renálna tubulárna sekrécia kreatinínu je znížená od 23 % do 9 %, zatiaľ čo glomerulárna filtrácia zostáva nezmenená.</w:t>
      </w:r>
    </w:p>
    <w:p w14:paraId="160CD381" w14:textId="77777777" w:rsidR="000D5BFB" w:rsidRPr="002E6863" w:rsidRDefault="000D5BFB" w:rsidP="00EA37D1">
      <w:pPr>
        <w:rPr>
          <w:sz w:val="22"/>
          <w:szCs w:val="22"/>
        </w:rPr>
      </w:pPr>
    </w:p>
    <w:p w14:paraId="051AC9B8" w14:textId="77777777" w:rsidR="00731B12" w:rsidRPr="002E6863" w:rsidRDefault="00E0729F" w:rsidP="00EA37D1">
      <w:pPr>
        <w:tabs>
          <w:tab w:val="left" w:pos="567"/>
        </w:tabs>
        <w:rPr>
          <w:b/>
          <w:sz w:val="22"/>
          <w:szCs w:val="22"/>
        </w:rPr>
      </w:pPr>
      <w:r w:rsidRPr="002E6863">
        <w:rPr>
          <w:b/>
          <w:sz w:val="22"/>
          <w:szCs w:val="22"/>
        </w:rPr>
        <w:t>4.6</w:t>
      </w:r>
      <w:r w:rsidRPr="002E6863">
        <w:rPr>
          <w:b/>
          <w:sz w:val="22"/>
          <w:szCs w:val="22"/>
        </w:rPr>
        <w:tab/>
        <w:t xml:space="preserve">Fertilita, </w:t>
      </w:r>
      <w:r w:rsidR="00731B12" w:rsidRPr="002E6863">
        <w:rPr>
          <w:b/>
          <w:sz w:val="22"/>
          <w:szCs w:val="22"/>
        </w:rPr>
        <w:t>gravidit</w:t>
      </w:r>
      <w:r w:rsidRPr="002E6863">
        <w:rPr>
          <w:b/>
          <w:sz w:val="22"/>
          <w:szCs w:val="22"/>
        </w:rPr>
        <w:t>a</w:t>
      </w:r>
      <w:r w:rsidR="00731B12" w:rsidRPr="002E6863">
        <w:rPr>
          <w:b/>
          <w:sz w:val="22"/>
          <w:szCs w:val="22"/>
        </w:rPr>
        <w:t xml:space="preserve"> a laktáci</w:t>
      </w:r>
      <w:r w:rsidRPr="002E6863">
        <w:rPr>
          <w:b/>
          <w:sz w:val="22"/>
          <w:szCs w:val="22"/>
        </w:rPr>
        <w:t>a</w:t>
      </w:r>
    </w:p>
    <w:p w14:paraId="6FB940C1" w14:textId="77777777" w:rsidR="00E0729F" w:rsidRPr="002E6863" w:rsidRDefault="00E0729F" w:rsidP="00EA37D1">
      <w:pPr>
        <w:numPr>
          <w:ilvl w:val="12"/>
          <w:numId w:val="0"/>
        </w:numPr>
        <w:rPr>
          <w:sz w:val="22"/>
          <w:szCs w:val="22"/>
        </w:rPr>
      </w:pPr>
    </w:p>
    <w:p w14:paraId="451660F5" w14:textId="77777777" w:rsidR="00BC56B3" w:rsidRDefault="0093572A" w:rsidP="00EA37D1">
      <w:pPr>
        <w:numPr>
          <w:ilvl w:val="12"/>
          <w:numId w:val="0"/>
        </w:numPr>
        <w:rPr>
          <w:sz w:val="22"/>
          <w:szCs w:val="22"/>
          <w:u w:val="single"/>
        </w:rPr>
      </w:pPr>
      <w:r w:rsidRPr="0093572A">
        <w:rPr>
          <w:sz w:val="22"/>
          <w:szCs w:val="22"/>
          <w:u w:val="single"/>
        </w:rPr>
        <w:t>Gravidita</w:t>
      </w:r>
    </w:p>
    <w:p w14:paraId="6A51E7BF" w14:textId="4CC88EAD" w:rsidR="0093572A" w:rsidRPr="00BC56B3" w:rsidRDefault="00EA3474" w:rsidP="00EA37D1">
      <w:pPr>
        <w:numPr>
          <w:ilvl w:val="12"/>
          <w:numId w:val="0"/>
        </w:numPr>
        <w:rPr>
          <w:sz w:val="22"/>
          <w:szCs w:val="22"/>
          <w:u w:val="single"/>
        </w:rPr>
      </w:pPr>
      <w:r w:rsidRPr="00EA3474">
        <w:rPr>
          <w:color w:val="212121"/>
          <w:sz w:val="22"/>
          <w:szCs w:val="22"/>
          <w:shd w:val="clear" w:color="auto" w:fill="FFFFFF"/>
        </w:rPr>
        <w:t>Trimethoprim a sulfametoxazol prechádzajú cez placentu a ich bezpečnosť u tehotných žien nebola stanovená.</w:t>
      </w:r>
      <w:r>
        <w:rPr>
          <w:color w:val="212121"/>
          <w:sz w:val="22"/>
          <w:szCs w:val="22"/>
          <w:shd w:val="clear" w:color="auto" w:fill="FFFFFF"/>
        </w:rPr>
        <w:t xml:space="preserve"> </w:t>
      </w:r>
      <w:r w:rsidR="004B0B45" w:rsidRPr="00EA3474">
        <w:rPr>
          <w:sz w:val="22"/>
          <w:szCs w:val="22"/>
        </w:rPr>
        <w:t>Prípadové kontrolované štúdie ukázali na možnú spojitosť medzi expozíciou na</w:t>
      </w:r>
      <w:r w:rsidR="004B0B45">
        <w:rPr>
          <w:sz w:val="22"/>
          <w:szCs w:val="22"/>
        </w:rPr>
        <w:t xml:space="preserve"> antagonistov kyseliny listovej a vrodenými malformáciami u ľudí.</w:t>
      </w:r>
    </w:p>
    <w:p w14:paraId="6334777B" w14:textId="77777777" w:rsidR="004B0B45" w:rsidRDefault="004B0B45" w:rsidP="002E6863">
      <w:pPr>
        <w:numPr>
          <w:ilvl w:val="12"/>
          <w:numId w:val="0"/>
        </w:numPr>
        <w:jc w:val="both"/>
        <w:rPr>
          <w:sz w:val="22"/>
          <w:szCs w:val="22"/>
        </w:rPr>
      </w:pPr>
    </w:p>
    <w:p w14:paraId="6ED89581" w14:textId="77777777" w:rsidR="004B0B45" w:rsidRDefault="004B0B45" w:rsidP="00EA37D1">
      <w:pPr>
        <w:numPr>
          <w:ilvl w:val="12"/>
          <w:numId w:val="0"/>
        </w:numPr>
        <w:rPr>
          <w:sz w:val="22"/>
          <w:szCs w:val="22"/>
        </w:rPr>
      </w:pPr>
      <w:r>
        <w:rPr>
          <w:sz w:val="22"/>
          <w:szCs w:val="22"/>
        </w:rPr>
        <w:t>Trimetoprim je antagonista kyseliny listovej a v štúdiách na zvieratách sa ukázalo, že obe zložky spôsobujú abnormality plodu (pozri časť 5.3</w:t>
      </w:r>
      <w:r w:rsidR="00AC79CB">
        <w:rPr>
          <w:sz w:val="22"/>
          <w:szCs w:val="22"/>
        </w:rPr>
        <w:t xml:space="preserve"> Predklinické údaje o bezpečnosti</w:t>
      </w:r>
      <w:r>
        <w:rPr>
          <w:sz w:val="22"/>
          <w:szCs w:val="22"/>
        </w:rPr>
        <w:t>).</w:t>
      </w:r>
    </w:p>
    <w:p w14:paraId="05EC5E51" w14:textId="77777777" w:rsidR="004B0B45" w:rsidRDefault="004B0B45" w:rsidP="00EA37D1">
      <w:pPr>
        <w:numPr>
          <w:ilvl w:val="12"/>
          <w:numId w:val="0"/>
        </w:numPr>
        <w:rPr>
          <w:sz w:val="22"/>
          <w:szCs w:val="22"/>
        </w:rPr>
      </w:pPr>
    </w:p>
    <w:p w14:paraId="57EB04FE" w14:textId="7A8045B0" w:rsidR="004B0B45" w:rsidRDefault="0042020D" w:rsidP="00EA37D1">
      <w:pPr>
        <w:numPr>
          <w:ilvl w:val="12"/>
          <w:numId w:val="0"/>
        </w:numPr>
        <w:rPr>
          <w:sz w:val="22"/>
          <w:szCs w:val="22"/>
        </w:rPr>
      </w:pPr>
      <w:r>
        <w:rPr>
          <w:sz w:val="22"/>
          <w:szCs w:val="22"/>
        </w:rPr>
        <w:t xml:space="preserve">BISEPTOL </w:t>
      </w:r>
      <w:r w:rsidR="004B0B45">
        <w:rPr>
          <w:sz w:val="22"/>
          <w:szCs w:val="22"/>
        </w:rPr>
        <w:t xml:space="preserve">480 sa nesmie používať počas gravidity, zvlášť počas prvého trimestra, pokiaľ </w:t>
      </w:r>
      <w:r w:rsidR="00D166C4">
        <w:rPr>
          <w:sz w:val="22"/>
          <w:szCs w:val="22"/>
        </w:rPr>
        <w:t>potenciálny prínos pre matku nepreváži možné riziko pre plod</w:t>
      </w:r>
      <w:r w:rsidR="004B0B45">
        <w:rPr>
          <w:sz w:val="22"/>
          <w:szCs w:val="22"/>
        </w:rPr>
        <w:t xml:space="preserve">. Ak sa </w:t>
      </w:r>
      <w:r>
        <w:rPr>
          <w:sz w:val="22"/>
          <w:szCs w:val="22"/>
        </w:rPr>
        <w:t>BISEPTOL</w:t>
      </w:r>
      <w:r w:rsidR="004B0B45">
        <w:rPr>
          <w:sz w:val="22"/>
          <w:szCs w:val="22"/>
        </w:rPr>
        <w:t xml:space="preserve"> 480 používa počas gravidity, potrebné je zvážiť podávanie kyseliny listovej. </w:t>
      </w:r>
    </w:p>
    <w:p w14:paraId="6E2B6D9F" w14:textId="77777777" w:rsidR="004B0B45" w:rsidRDefault="004B0B45" w:rsidP="00EA37D1">
      <w:pPr>
        <w:numPr>
          <w:ilvl w:val="12"/>
          <w:numId w:val="0"/>
        </w:numPr>
        <w:rPr>
          <w:sz w:val="22"/>
          <w:szCs w:val="22"/>
        </w:rPr>
      </w:pPr>
    </w:p>
    <w:p w14:paraId="13195571" w14:textId="77777777" w:rsidR="009A53E1" w:rsidRPr="002E6863" w:rsidRDefault="009A53E1" w:rsidP="00EA37D1">
      <w:pPr>
        <w:numPr>
          <w:ilvl w:val="12"/>
          <w:numId w:val="0"/>
        </w:numPr>
        <w:rPr>
          <w:sz w:val="22"/>
          <w:szCs w:val="22"/>
        </w:rPr>
      </w:pPr>
      <w:r w:rsidRPr="002E6863">
        <w:rPr>
          <w:sz w:val="22"/>
          <w:szCs w:val="22"/>
        </w:rPr>
        <w:t xml:space="preserve">Sulfametoxazol </w:t>
      </w:r>
      <w:r w:rsidR="00AC79CB" w:rsidRPr="002E6863">
        <w:rPr>
          <w:sz w:val="22"/>
          <w:szCs w:val="22"/>
        </w:rPr>
        <w:t xml:space="preserve">konkuruje bilirubínu </w:t>
      </w:r>
      <w:r w:rsidRPr="002E6863">
        <w:rPr>
          <w:sz w:val="22"/>
          <w:szCs w:val="22"/>
        </w:rPr>
        <w:t xml:space="preserve">vo </w:t>
      </w:r>
      <w:r w:rsidR="003652A2" w:rsidRPr="002E6863">
        <w:rPr>
          <w:sz w:val="22"/>
          <w:szCs w:val="22"/>
        </w:rPr>
        <w:t>väzbe</w:t>
      </w:r>
      <w:r w:rsidRPr="002E6863">
        <w:rPr>
          <w:sz w:val="22"/>
          <w:szCs w:val="22"/>
        </w:rPr>
        <w:t xml:space="preserve"> na plazmatické albumíny. Keďže výrazné hladiny lieku </w:t>
      </w:r>
      <w:r w:rsidR="00AC79CB">
        <w:rPr>
          <w:sz w:val="22"/>
          <w:szCs w:val="22"/>
        </w:rPr>
        <w:t>podávané</w:t>
      </w:r>
      <w:r w:rsidRPr="002E6863">
        <w:rPr>
          <w:sz w:val="22"/>
          <w:szCs w:val="22"/>
        </w:rPr>
        <w:t xml:space="preserve"> matk</w:t>
      </w:r>
      <w:r w:rsidR="00AC79CB">
        <w:rPr>
          <w:sz w:val="22"/>
          <w:szCs w:val="22"/>
        </w:rPr>
        <w:t>ám</w:t>
      </w:r>
      <w:r w:rsidRPr="002E6863">
        <w:rPr>
          <w:sz w:val="22"/>
          <w:szCs w:val="22"/>
        </w:rPr>
        <w:t xml:space="preserve"> pretrvávajú u novorodenca niekoľko dní, môže existovať riziko </w:t>
      </w:r>
      <w:r w:rsidR="004E76AE">
        <w:rPr>
          <w:sz w:val="22"/>
          <w:szCs w:val="22"/>
        </w:rPr>
        <w:t xml:space="preserve">precipitácie alebo </w:t>
      </w:r>
      <w:r w:rsidRPr="002E6863">
        <w:rPr>
          <w:sz w:val="22"/>
          <w:szCs w:val="22"/>
        </w:rPr>
        <w:t xml:space="preserve">zhoršenia hyperbilirubinémie novorodencov so súvisiacim teoretickým rizikom kernikteru (jadrového ikteru), ak sa liek podáva matke v dobe blízkej dobe pôrodu. </w:t>
      </w:r>
      <w:r w:rsidR="006F4812" w:rsidRPr="002E6863">
        <w:rPr>
          <w:sz w:val="22"/>
          <w:szCs w:val="22"/>
        </w:rPr>
        <w:t>Toto teoretické riziko je osobitne dôležité u dojčiat so zvýšeným rizikom hyperbilirubinémie, napr. dojčiat narodených predčasne a dojčiat s deficitom glukózo-6-fosfát-hydrogenázy.</w:t>
      </w:r>
    </w:p>
    <w:p w14:paraId="4DEF7A16" w14:textId="77777777" w:rsidR="003A4E73" w:rsidRPr="002E6863" w:rsidRDefault="003A4E73" w:rsidP="00EA37D1">
      <w:pPr>
        <w:numPr>
          <w:ilvl w:val="12"/>
          <w:numId w:val="0"/>
        </w:numPr>
        <w:rPr>
          <w:sz w:val="22"/>
          <w:szCs w:val="22"/>
        </w:rPr>
      </w:pPr>
    </w:p>
    <w:p w14:paraId="772B7402" w14:textId="77777777" w:rsidR="004E76AE" w:rsidRPr="00CF52BC" w:rsidRDefault="008D205A" w:rsidP="00EA37D1">
      <w:pPr>
        <w:numPr>
          <w:ilvl w:val="12"/>
          <w:numId w:val="0"/>
        </w:numPr>
        <w:rPr>
          <w:sz w:val="22"/>
          <w:szCs w:val="22"/>
          <w:u w:val="single"/>
        </w:rPr>
      </w:pPr>
      <w:r>
        <w:rPr>
          <w:sz w:val="22"/>
          <w:szCs w:val="22"/>
          <w:u w:val="single"/>
        </w:rPr>
        <w:t>Dojčenie</w:t>
      </w:r>
    </w:p>
    <w:p w14:paraId="590E5EA5" w14:textId="011AA7CF" w:rsidR="004E76AE" w:rsidRPr="00EA3474" w:rsidRDefault="004E76AE" w:rsidP="00EA37D1">
      <w:pPr>
        <w:numPr>
          <w:ilvl w:val="12"/>
          <w:numId w:val="0"/>
        </w:numPr>
        <w:rPr>
          <w:sz w:val="22"/>
          <w:szCs w:val="22"/>
        </w:rPr>
      </w:pPr>
      <w:r>
        <w:rPr>
          <w:sz w:val="22"/>
          <w:szCs w:val="22"/>
        </w:rPr>
        <w:t xml:space="preserve">Zložky </w:t>
      </w:r>
      <w:r w:rsidR="0042020D">
        <w:rPr>
          <w:sz w:val="22"/>
          <w:szCs w:val="22"/>
        </w:rPr>
        <w:t>BISEPTOLU</w:t>
      </w:r>
      <w:r>
        <w:rPr>
          <w:sz w:val="22"/>
          <w:szCs w:val="22"/>
        </w:rPr>
        <w:t xml:space="preserve"> 480 (</w:t>
      </w:r>
      <w:r w:rsidR="00AC79CB">
        <w:rPr>
          <w:sz w:val="22"/>
          <w:szCs w:val="22"/>
        </w:rPr>
        <w:t xml:space="preserve">sulfametoxazol a </w:t>
      </w:r>
      <w:r>
        <w:rPr>
          <w:sz w:val="22"/>
          <w:szCs w:val="22"/>
        </w:rPr>
        <w:t>trimetoprim) sa vylučujú</w:t>
      </w:r>
      <w:r w:rsidR="00687FEE">
        <w:rPr>
          <w:sz w:val="22"/>
          <w:szCs w:val="22"/>
        </w:rPr>
        <w:t xml:space="preserve"> do materského mlieka. Podávaniu</w:t>
      </w:r>
      <w:r>
        <w:rPr>
          <w:sz w:val="22"/>
          <w:szCs w:val="22"/>
        </w:rPr>
        <w:t xml:space="preserve"> </w:t>
      </w:r>
      <w:r w:rsidR="0042020D">
        <w:rPr>
          <w:sz w:val="22"/>
          <w:szCs w:val="22"/>
        </w:rPr>
        <w:t>BISEPTOLU</w:t>
      </w:r>
      <w:r>
        <w:rPr>
          <w:sz w:val="22"/>
          <w:szCs w:val="22"/>
        </w:rPr>
        <w:t xml:space="preserve"> 480 je po</w:t>
      </w:r>
      <w:r w:rsidR="00687FEE">
        <w:rPr>
          <w:sz w:val="22"/>
          <w:szCs w:val="22"/>
        </w:rPr>
        <w:t>t</w:t>
      </w:r>
      <w:r>
        <w:rPr>
          <w:sz w:val="22"/>
          <w:szCs w:val="22"/>
        </w:rPr>
        <w:t>rebné sa vyhnúť v neskorej fáze gravidity a u dojčiacich matiek, kde matka alebo dojča</w:t>
      </w:r>
      <w:r w:rsidR="00687FEE">
        <w:rPr>
          <w:sz w:val="22"/>
          <w:szCs w:val="22"/>
        </w:rPr>
        <w:t xml:space="preserve"> majú alebo sú rizikoví na rozvo</w:t>
      </w:r>
      <w:r>
        <w:rPr>
          <w:sz w:val="22"/>
          <w:szCs w:val="22"/>
        </w:rPr>
        <w:t xml:space="preserve">j hyperbilirubinémie. Okrem toho podávaniu </w:t>
      </w:r>
      <w:r w:rsidR="0042020D">
        <w:rPr>
          <w:sz w:val="22"/>
          <w:szCs w:val="22"/>
        </w:rPr>
        <w:lastRenderedPageBreak/>
        <w:t>BISEPTOLU</w:t>
      </w:r>
      <w:r>
        <w:rPr>
          <w:sz w:val="22"/>
          <w:szCs w:val="22"/>
        </w:rPr>
        <w:t xml:space="preserve"> 480 sa odporúča </w:t>
      </w:r>
      <w:r w:rsidR="00926D67">
        <w:rPr>
          <w:sz w:val="22"/>
          <w:szCs w:val="22"/>
        </w:rPr>
        <w:t xml:space="preserve">vyhnúť </w:t>
      </w:r>
      <w:r>
        <w:rPr>
          <w:sz w:val="22"/>
          <w:szCs w:val="22"/>
        </w:rPr>
        <w:t>u dojčiat mladších ako osem týždňov</w:t>
      </w:r>
      <w:r w:rsidR="00687FEE">
        <w:rPr>
          <w:sz w:val="22"/>
          <w:szCs w:val="22"/>
        </w:rPr>
        <w:t xml:space="preserve"> s ohľadom na </w:t>
      </w:r>
      <w:r w:rsidR="00FD0546" w:rsidRPr="00EA3474">
        <w:rPr>
          <w:sz w:val="22"/>
          <w:szCs w:val="22"/>
        </w:rPr>
        <w:t>predispozíciu</w:t>
      </w:r>
      <w:r w:rsidRPr="00EA3474">
        <w:rPr>
          <w:sz w:val="22"/>
          <w:szCs w:val="22"/>
        </w:rPr>
        <w:t xml:space="preserve"> hype</w:t>
      </w:r>
      <w:r w:rsidR="00687FEE" w:rsidRPr="00EA3474">
        <w:rPr>
          <w:sz w:val="22"/>
          <w:szCs w:val="22"/>
        </w:rPr>
        <w:t>rbilirubinémie u malých dojčiat.</w:t>
      </w:r>
    </w:p>
    <w:p w14:paraId="1751CBC4" w14:textId="77777777" w:rsidR="00EA3474" w:rsidRPr="00EA3474" w:rsidRDefault="00EA3474" w:rsidP="00EA37D1">
      <w:pPr>
        <w:numPr>
          <w:ilvl w:val="12"/>
          <w:numId w:val="0"/>
        </w:numPr>
        <w:rPr>
          <w:sz w:val="22"/>
          <w:szCs w:val="22"/>
        </w:rPr>
      </w:pPr>
    </w:p>
    <w:p w14:paraId="3802E04A" w14:textId="77777777" w:rsidR="00EA3474" w:rsidRPr="00EA3474" w:rsidRDefault="00EA3474" w:rsidP="00EA37D1">
      <w:pPr>
        <w:numPr>
          <w:ilvl w:val="12"/>
          <w:numId w:val="0"/>
        </w:numPr>
        <w:rPr>
          <w:sz w:val="22"/>
          <w:szCs w:val="22"/>
        </w:rPr>
      </w:pPr>
      <w:r w:rsidRPr="00EA3474">
        <w:rPr>
          <w:color w:val="212121"/>
          <w:sz w:val="22"/>
          <w:szCs w:val="22"/>
          <w:shd w:val="clear" w:color="auto" w:fill="FFFFFF"/>
        </w:rPr>
        <w:t>Ďalšie informácie o obsahu etanolu nájdete v časti 4.4.</w:t>
      </w:r>
    </w:p>
    <w:p w14:paraId="616358AA" w14:textId="77777777" w:rsidR="004E76AE" w:rsidRDefault="004E76AE" w:rsidP="00EA37D1">
      <w:pPr>
        <w:numPr>
          <w:ilvl w:val="12"/>
          <w:numId w:val="0"/>
        </w:numPr>
        <w:rPr>
          <w:sz w:val="22"/>
          <w:szCs w:val="22"/>
        </w:rPr>
      </w:pPr>
    </w:p>
    <w:p w14:paraId="3B4D4D2C" w14:textId="77777777" w:rsidR="00731B12" w:rsidRPr="002E6863" w:rsidRDefault="00CF52BC" w:rsidP="002E6863">
      <w:pPr>
        <w:tabs>
          <w:tab w:val="left" w:pos="567"/>
        </w:tabs>
        <w:jc w:val="both"/>
        <w:rPr>
          <w:b/>
          <w:sz w:val="22"/>
          <w:szCs w:val="22"/>
        </w:rPr>
      </w:pPr>
      <w:r>
        <w:rPr>
          <w:b/>
          <w:sz w:val="22"/>
          <w:szCs w:val="22"/>
        </w:rPr>
        <w:t>4.7</w:t>
      </w:r>
      <w:r w:rsidR="00F01B19" w:rsidRPr="002E6863">
        <w:rPr>
          <w:b/>
          <w:sz w:val="22"/>
          <w:szCs w:val="22"/>
        </w:rPr>
        <w:tab/>
      </w:r>
      <w:r w:rsidR="00731B12" w:rsidRPr="002E6863">
        <w:rPr>
          <w:b/>
          <w:sz w:val="22"/>
          <w:szCs w:val="22"/>
        </w:rPr>
        <w:t>Ovplyvnenie schopnosti viesť vozidlá a obsluhovať stroje</w:t>
      </w:r>
    </w:p>
    <w:p w14:paraId="1F965B8A" w14:textId="77777777" w:rsidR="00F01B19" w:rsidRPr="002E6863" w:rsidRDefault="00F01B19" w:rsidP="002E6863">
      <w:pPr>
        <w:numPr>
          <w:ilvl w:val="12"/>
          <w:numId w:val="0"/>
        </w:numPr>
        <w:jc w:val="both"/>
        <w:rPr>
          <w:sz w:val="22"/>
          <w:szCs w:val="22"/>
        </w:rPr>
      </w:pPr>
    </w:p>
    <w:p w14:paraId="66428CB4" w14:textId="0692763E" w:rsidR="004E76AE" w:rsidRPr="00273458" w:rsidRDefault="00273458" w:rsidP="00F00777">
      <w:pPr>
        <w:numPr>
          <w:ilvl w:val="12"/>
          <w:numId w:val="0"/>
        </w:numPr>
        <w:rPr>
          <w:sz w:val="22"/>
          <w:szCs w:val="22"/>
        </w:rPr>
      </w:pPr>
      <w:r w:rsidRPr="00273458">
        <w:rPr>
          <w:color w:val="212121"/>
          <w:sz w:val="22"/>
          <w:szCs w:val="22"/>
          <w:shd w:val="clear" w:color="auto" w:fill="FFFFFF"/>
        </w:rPr>
        <w:t>Neuskutočnili sa žiad</w:t>
      </w:r>
      <w:r>
        <w:rPr>
          <w:color w:val="212121"/>
          <w:sz w:val="22"/>
          <w:szCs w:val="22"/>
          <w:shd w:val="clear" w:color="auto" w:fill="FFFFFF"/>
        </w:rPr>
        <w:t xml:space="preserve">ne štúdie na skúmanie účinku kotrimoxazolu na schopnosť viesť vozidlá alebo </w:t>
      </w:r>
      <w:r w:rsidRPr="00273458">
        <w:rPr>
          <w:color w:val="212121"/>
          <w:sz w:val="22"/>
          <w:szCs w:val="22"/>
          <w:shd w:val="clear" w:color="auto" w:fill="FFFFFF"/>
        </w:rPr>
        <w:t xml:space="preserve">obsluhovať stroje. </w:t>
      </w:r>
      <w:r w:rsidRPr="000B707C">
        <w:rPr>
          <w:color w:val="212121"/>
          <w:sz w:val="22"/>
          <w:szCs w:val="22"/>
          <w:shd w:val="clear" w:color="auto" w:fill="FFFFFF"/>
        </w:rPr>
        <w:t xml:space="preserve">Ďalej škodlivý účinok na tieto aktivity nemožno predpovedať z farmakológie liečiva. Napriek tomu by sa mal brať do úvahy klinický stav pacienta a </w:t>
      </w:r>
      <w:r w:rsidR="00A57CCC" w:rsidRPr="000B707C">
        <w:rPr>
          <w:color w:val="212121"/>
          <w:sz w:val="22"/>
          <w:szCs w:val="22"/>
          <w:shd w:val="clear" w:color="auto" w:fill="FFFFFF"/>
        </w:rPr>
        <w:t>profil nežiaducich účinkov ko</w:t>
      </w:r>
      <w:r w:rsidRPr="000B707C">
        <w:rPr>
          <w:color w:val="212121"/>
          <w:sz w:val="22"/>
          <w:szCs w:val="22"/>
          <w:shd w:val="clear" w:color="auto" w:fill="FFFFFF"/>
        </w:rPr>
        <w:t>trim</w:t>
      </w:r>
      <w:r w:rsidR="00A57CCC" w:rsidRPr="000B707C">
        <w:rPr>
          <w:color w:val="212121"/>
          <w:sz w:val="22"/>
          <w:szCs w:val="22"/>
          <w:shd w:val="clear" w:color="auto" w:fill="FFFFFF"/>
        </w:rPr>
        <w:t>oxazolu, pri posudzovaní schopnosti</w:t>
      </w:r>
      <w:r w:rsidRPr="000B707C">
        <w:rPr>
          <w:color w:val="212121"/>
          <w:sz w:val="22"/>
          <w:szCs w:val="22"/>
          <w:shd w:val="clear" w:color="auto" w:fill="FFFFFF"/>
        </w:rPr>
        <w:t xml:space="preserve"> pacientov obsluhovať stroje.</w:t>
      </w:r>
    </w:p>
    <w:p w14:paraId="221CD1D9" w14:textId="77777777" w:rsidR="00731B12" w:rsidRPr="002E6863" w:rsidRDefault="00731B12" w:rsidP="002E6863">
      <w:pPr>
        <w:numPr>
          <w:ilvl w:val="12"/>
          <w:numId w:val="0"/>
        </w:numPr>
        <w:jc w:val="both"/>
        <w:rPr>
          <w:sz w:val="22"/>
          <w:szCs w:val="22"/>
        </w:rPr>
      </w:pPr>
    </w:p>
    <w:p w14:paraId="46AB405B" w14:textId="77777777" w:rsidR="00731B12" w:rsidRPr="002E6863" w:rsidRDefault="00F01B19" w:rsidP="00EA37D1">
      <w:pPr>
        <w:tabs>
          <w:tab w:val="left" w:pos="567"/>
        </w:tabs>
        <w:rPr>
          <w:b/>
          <w:sz w:val="22"/>
          <w:szCs w:val="22"/>
        </w:rPr>
      </w:pPr>
      <w:r w:rsidRPr="002E6863">
        <w:rPr>
          <w:b/>
          <w:sz w:val="22"/>
          <w:szCs w:val="22"/>
        </w:rPr>
        <w:t>4.8</w:t>
      </w:r>
      <w:r w:rsidRPr="002E6863">
        <w:rPr>
          <w:b/>
          <w:sz w:val="22"/>
          <w:szCs w:val="22"/>
        </w:rPr>
        <w:tab/>
      </w:r>
      <w:r w:rsidR="00731B12" w:rsidRPr="002E6863">
        <w:rPr>
          <w:b/>
          <w:sz w:val="22"/>
          <w:szCs w:val="22"/>
        </w:rPr>
        <w:t>Nežiaduce účinky</w:t>
      </w:r>
    </w:p>
    <w:p w14:paraId="32D0CAB0" w14:textId="77777777" w:rsidR="00F01B19" w:rsidRPr="002E6863" w:rsidRDefault="00F01B19" w:rsidP="00EA37D1">
      <w:pPr>
        <w:numPr>
          <w:ilvl w:val="12"/>
          <w:numId w:val="0"/>
        </w:numPr>
        <w:rPr>
          <w:sz w:val="22"/>
          <w:szCs w:val="22"/>
        </w:rPr>
      </w:pPr>
    </w:p>
    <w:p w14:paraId="0EFC7D6F" w14:textId="76A46791" w:rsidR="00D64310" w:rsidRDefault="00D64310" w:rsidP="00EA37D1">
      <w:pPr>
        <w:numPr>
          <w:ilvl w:val="12"/>
          <w:numId w:val="0"/>
        </w:numPr>
        <w:rPr>
          <w:sz w:val="22"/>
          <w:szCs w:val="22"/>
        </w:rPr>
      </w:pPr>
      <w:r w:rsidRPr="00BA633B">
        <w:rPr>
          <w:sz w:val="22"/>
          <w:szCs w:val="22"/>
        </w:rPr>
        <w:t xml:space="preserve">Keďže kotrimoxazol obsahuje </w:t>
      </w:r>
      <w:r w:rsidR="00067EE3" w:rsidRPr="00BA633B">
        <w:rPr>
          <w:sz w:val="22"/>
          <w:szCs w:val="22"/>
        </w:rPr>
        <w:t>sulf</w:t>
      </w:r>
      <w:r w:rsidR="007B45E7" w:rsidRPr="00046135">
        <w:rPr>
          <w:sz w:val="22"/>
          <w:szCs w:val="22"/>
        </w:rPr>
        <w:t>ametoxazol</w:t>
      </w:r>
      <w:r w:rsidR="00067EE3" w:rsidRPr="00046135">
        <w:rPr>
          <w:sz w:val="22"/>
          <w:szCs w:val="22"/>
        </w:rPr>
        <w:t xml:space="preserve"> a </w:t>
      </w:r>
      <w:r w:rsidRPr="00297FC2">
        <w:rPr>
          <w:sz w:val="22"/>
          <w:szCs w:val="22"/>
        </w:rPr>
        <w:t>trimetoprim, predpokladá sa,</w:t>
      </w:r>
      <w:r w:rsidR="00067EE3" w:rsidRPr="00297FC2">
        <w:rPr>
          <w:sz w:val="22"/>
          <w:szCs w:val="22"/>
        </w:rPr>
        <w:t xml:space="preserve"> že</w:t>
      </w:r>
      <w:r w:rsidRPr="006E3A47">
        <w:rPr>
          <w:sz w:val="22"/>
          <w:szCs w:val="22"/>
        </w:rPr>
        <w:t xml:space="preserve"> druh a frekvencia nežiaducich reakcií</w:t>
      </w:r>
      <w:r w:rsidR="00687FEE" w:rsidRPr="00D60E7B">
        <w:rPr>
          <w:sz w:val="22"/>
          <w:szCs w:val="22"/>
        </w:rPr>
        <w:t xml:space="preserve"> </w:t>
      </w:r>
      <w:r w:rsidR="00687FEE" w:rsidRPr="007B53C3">
        <w:rPr>
          <w:sz w:val="22"/>
          <w:szCs w:val="22"/>
        </w:rPr>
        <w:t>spojen</w:t>
      </w:r>
      <w:r w:rsidR="00926D67" w:rsidRPr="007B53C3">
        <w:rPr>
          <w:sz w:val="22"/>
          <w:szCs w:val="22"/>
        </w:rPr>
        <w:t>ých</w:t>
      </w:r>
      <w:r w:rsidR="00687FEE" w:rsidRPr="007B53C3">
        <w:rPr>
          <w:sz w:val="22"/>
          <w:szCs w:val="22"/>
        </w:rPr>
        <w:t xml:space="preserve"> s obo</w:t>
      </w:r>
      <w:r w:rsidRPr="007B53C3">
        <w:rPr>
          <w:sz w:val="22"/>
          <w:szCs w:val="22"/>
        </w:rPr>
        <w:t xml:space="preserve">ma zložkami </w:t>
      </w:r>
      <w:r w:rsidR="00926D67" w:rsidRPr="009E687D">
        <w:rPr>
          <w:sz w:val="22"/>
          <w:szCs w:val="22"/>
        </w:rPr>
        <w:t>bude v </w:t>
      </w:r>
      <w:r w:rsidR="00926D67" w:rsidRPr="00BA633B">
        <w:rPr>
          <w:sz w:val="22"/>
          <w:szCs w:val="22"/>
        </w:rPr>
        <w:t>súlade s</w:t>
      </w:r>
      <w:r w:rsidRPr="00BA633B">
        <w:rPr>
          <w:sz w:val="22"/>
          <w:szCs w:val="22"/>
        </w:rPr>
        <w:t> rozsiahly</w:t>
      </w:r>
      <w:r w:rsidR="00926D67" w:rsidRPr="00BA633B">
        <w:rPr>
          <w:sz w:val="22"/>
          <w:szCs w:val="22"/>
        </w:rPr>
        <w:t>mi</w:t>
      </w:r>
      <w:r w:rsidRPr="00BA633B">
        <w:rPr>
          <w:sz w:val="22"/>
          <w:szCs w:val="22"/>
        </w:rPr>
        <w:t xml:space="preserve"> skúsenos</w:t>
      </w:r>
      <w:r w:rsidR="00926D67" w:rsidRPr="00BA633B">
        <w:rPr>
          <w:sz w:val="22"/>
          <w:szCs w:val="22"/>
        </w:rPr>
        <w:t>ťami</w:t>
      </w:r>
      <w:r w:rsidRPr="00BA633B">
        <w:rPr>
          <w:sz w:val="22"/>
          <w:szCs w:val="22"/>
        </w:rPr>
        <w:t xml:space="preserve"> z minulosti.</w:t>
      </w:r>
    </w:p>
    <w:p w14:paraId="0764C758" w14:textId="77777777" w:rsidR="00D64310" w:rsidRDefault="00D64310" w:rsidP="00EA37D1">
      <w:pPr>
        <w:numPr>
          <w:ilvl w:val="12"/>
          <w:numId w:val="0"/>
        </w:numPr>
        <w:rPr>
          <w:sz w:val="22"/>
          <w:szCs w:val="22"/>
        </w:rPr>
      </w:pPr>
    </w:p>
    <w:p w14:paraId="40404167" w14:textId="77777777" w:rsidR="00D64310" w:rsidRDefault="00D64310" w:rsidP="00EA37D1">
      <w:pPr>
        <w:numPr>
          <w:ilvl w:val="12"/>
          <w:numId w:val="0"/>
        </w:numPr>
        <w:rPr>
          <w:sz w:val="22"/>
          <w:szCs w:val="22"/>
        </w:rPr>
      </w:pPr>
      <w:r>
        <w:rPr>
          <w:sz w:val="22"/>
          <w:szCs w:val="22"/>
        </w:rPr>
        <w:t>Údaje z veľkých publikovaných klinických štúdií sa použili na stanovenie frekvencie veľmi č</w:t>
      </w:r>
      <w:r w:rsidR="00687FEE">
        <w:rPr>
          <w:sz w:val="22"/>
          <w:szCs w:val="22"/>
        </w:rPr>
        <w:t>a</w:t>
      </w:r>
      <w:r>
        <w:rPr>
          <w:sz w:val="22"/>
          <w:szCs w:val="22"/>
        </w:rPr>
        <w:t>stých až zriedkavých nežiaducich účinkov.</w:t>
      </w:r>
    </w:p>
    <w:p w14:paraId="7C19DC5D" w14:textId="77777777" w:rsidR="00D64310" w:rsidRDefault="00D64310" w:rsidP="00EA37D1">
      <w:pPr>
        <w:numPr>
          <w:ilvl w:val="12"/>
          <w:numId w:val="0"/>
        </w:numPr>
        <w:rPr>
          <w:sz w:val="22"/>
          <w:szCs w:val="22"/>
        </w:rPr>
      </w:pPr>
    </w:p>
    <w:p w14:paraId="0727D4B9" w14:textId="77777777" w:rsidR="00D64310" w:rsidRDefault="00D64310" w:rsidP="00EA37D1">
      <w:pPr>
        <w:numPr>
          <w:ilvl w:val="12"/>
          <w:numId w:val="0"/>
        </w:numPr>
        <w:rPr>
          <w:sz w:val="22"/>
          <w:szCs w:val="22"/>
        </w:rPr>
      </w:pPr>
      <w:r>
        <w:rPr>
          <w:sz w:val="22"/>
          <w:szCs w:val="22"/>
        </w:rPr>
        <w:t xml:space="preserve">Veľmi zriedkavé nežiaduce účinky boli </w:t>
      </w:r>
      <w:r w:rsidR="00687FEE">
        <w:rPr>
          <w:sz w:val="22"/>
          <w:szCs w:val="22"/>
        </w:rPr>
        <w:t>určené predovšetkým</w:t>
      </w:r>
      <w:r>
        <w:rPr>
          <w:sz w:val="22"/>
          <w:szCs w:val="22"/>
        </w:rPr>
        <w:t xml:space="preserve"> z údajov z postmarketingových skúseností, a preto sa vzťahujú skôr na vykazovanie miery, ako na „skutočnú“ frekvenciu.</w:t>
      </w:r>
    </w:p>
    <w:p w14:paraId="1E187747" w14:textId="77777777" w:rsidR="00D64310" w:rsidRDefault="00D64310" w:rsidP="00EA37D1">
      <w:pPr>
        <w:numPr>
          <w:ilvl w:val="12"/>
          <w:numId w:val="0"/>
        </w:numPr>
        <w:rPr>
          <w:sz w:val="22"/>
          <w:szCs w:val="22"/>
        </w:rPr>
      </w:pPr>
      <w:r w:rsidRPr="00D64310">
        <w:rPr>
          <w:sz w:val="22"/>
          <w:szCs w:val="22"/>
        </w:rPr>
        <w:t>Okrem toho nežiaduce účinky sa môžu líšiť v ich výskyte v závislosti od indikácie.</w:t>
      </w:r>
    </w:p>
    <w:p w14:paraId="2BA4AFDE" w14:textId="77777777" w:rsidR="00D64310" w:rsidRDefault="00D64310" w:rsidP="00EA37D1">
      <w:pPr>
        <w:numPr>
          <w:ilvl w:val="12"/>
          <w:numId w:val="0"/>
        </w:numPr>
        <w:rPr>
          <w:sz w:val="22"/>
          <w:szCs w:val="22"/>
        </w:rPr>
      </w:pPr>
    </w:p>
    <w:p w14:paraId="67FB9FA7" w14:textId="77777777" w:rsidR="00F024FA" w:rsidRDefault="00E20F20" w:rsidP="00EA37D1">
      <w:pPr>
        <w:numPr>
          <w:ilvl w:val="12"/>
          <w:numId w:val="0"/>
        </w:numPr>
        <w:tabs>
          <w:tab w:val="left" w:pos="1843"/>
        </w:tabs>
        <w:rPr>
          <w:sz w:val="22"/>
          <w:szCs w:val="22"/>
        </w:rPr>
      </w:pPr>
      <w:r>
        <w:rPr>
          <w:sz w:val="22"/>
          <w:szCs w:val="22"/>
        </w:rPr>
        <w:t>Nasledovná konvencia bola použitá na klasifikáciu nežiaducich účinkov z hľadiska frekvencie:</w:t>
      </w:r>
    </w:p>
    <w:p w14:paraId="2448BF0B" w14:textId="6757D7A7" w:rsidR="00E20F20" w:rsidRDefault="00E20F20" w:rsidP="00EA37D1">
      <w:pPr>
        <w:numPr>
          <w:ilvl w:val="12"/>
          <w:numId w:val="0"/>
        </w:numPr>
        <w:tabs>
          <w:tab w:val="left" w:pos="1843"/>
        </w:tabs>
        <w:rPr>
          <w:sz w:val="22"/>
          <w:szCs w:val="22"/>
        </w:rPr>
      </w:pPr>
      <w:r>
        <w:rPr>
          <w:sz w:val="22"/>
          <w:szCs w:val="22"/>
        </w:rPr>
        <w:t>veľmi časté (≥ 1/10); časté (≥ 1/100 až &lt; 1/10); menej časté ( ≥1/1 000 až &lt; 1/100); zriedkavé (≥ 1/10</w:t>
      </w:r>
      <w:r w:rsidR="000B707C">
        <w:rPr>
          <w:sz w:val="22"/>
          <w:szCs w:val="22"/>
        </w:rPr>
        <w:t> </w:t>
      </w:r>
      <w:r>
        <w:rPr>
          <w:sz w:val="22"/>
          <w:szCs w:val="22"/>
        </w:rPr>
        <w:t>000 až &lt; 1/1 000), veľmi zriedkavé (&lt; 1/10 000)</w:t>
      </w:r>
      <w:r w:rsidR="007D10F3">
        <w:rPr>
          <w:sz w:val="22"/>
          <w:szCs w:val="22"/>
        </w:rPr>
        <w:t>, neznáme (</w:t>
      </w:r>
      <w:r w:rsidR="00D25892">
        <w:rPr>
          <w:sz w:val="22"/>
          <w:szCs w:val="22"/>
        </w:rPr>
        <w:t xml:space="preserve">frekvenciu </w:t>
      </w:r>
      <w:r w:rsidR="007D10F3">
        <w:rPr>
          <w:sz w:val="22"/>
          <w:szCs w:val="22"/>
        </w:rPr>
        <w:t>nemožno odhadnúť z dostupných údajov)</w:t>
      </w:r>
      <w:r>
        <w:rPr>
          <w:sz w:val="22"/>
          <w:szCs w:val="22"/>
        </w:rPr>
        <w:t>.</w:t>
      </w:r>
    </w:p>
    <w:p w14:paraId="15D5CAC9" w14:textId="77777777" w:rsidR="00E20F20" w:rsidRPr="002E6863" w:rsidRDefault="00E20F20" w:rsidP="00EA37D1">
      <w:pPr>
        <w:numPr>
          <w:ilvl w:val="12"/>
          <w:numId w:val="0"/>
        </w:numPr>
        <w:tabs>
          <w:tab w:val="left" w:pos="1843"/>
        </w:tabs>
        <w:rPr>
          <w:sz w:val="22"/>
          <w:szCs w:val="22"/>
        </w:rPr>
      </w:pPr>
    </w:p>
    <w:p w14:paraId="45D146ED" w14:textId="77777777" w:rsidR="00F024FA" w:rsidRPr="002E6863" w:rsidRDefault="00F024FA" w:rsidP="00EA37D1">
      <w:pPr>
        <w:numPr>
          <w:ilvl w:val="12"/>
          <w:numId w:val="0"/>
        </w:numPr>
        <w:tabs>
          <w:tab w:val="left" w:pos="1843"/>
        </w:tabs>
        <w:rPr>
          <w:sz w:val="22"/>
          <w:szCs w:val="22"/>
        </w:rPr>
      </w:pPr>
      <w:r w:rsidRPr="002E6863">
        <w:rPr>
          <w:i/>
          <w:sz w:val="22"/>
          <w:szCs w:val="22"/>
        </w:rPr>
        <w:t>Infekcie a nákazy</w:t>
      </w:r>
    </w:p>
    <w:p w14:paraId="089ADE00" w14:textId="005A0037" w:rsidR="00F024FA" w:rsidRDefault="00EA37D1" w:rsidP="00EA37D1">
      <w:pPr>
        <w:numPr>
          <w:ilvl w:val="12"/>
          <w:numId w:val="0"/>
        </w:numPr>
        <w:tabs>
          <w:tab w:val="left" w:pos="1843"/>
        </w:tabs>
        <w:rPr>
          <w:sz w:val="22"/>
          <w:szCs w:val="22"/>
        </w:rPr>
      </w:pPr>
      <w:r>
        <w:rPr>
          <w:sz w:val="22"/>
          <w:szCs w:val="22"/>
        </w:rPr>
        <w:t>Časté:</w:t>
      </w:r>
      <w:r w:rsidR="00F024FA" w:rsidRPr="002E6863">
        <w:rPr>
          <w:sz w:val="22"/>
          <w:szCs w:val="22"/>
        </w:rPr>
        <w:tab/>
      </w:r>
      <w:r w:rsidR="00E20F20">
        <w:rPr>
          <w:sz w:val="22"/>
          <w:szCs w:val="22"/>
        </w:rPr>
        <w:t xml:space="preserve">prerastanie </w:t>
      </w:r>
      <w:r w:rsidR="007D10F3">
        <w:rPr>
          <w:sz w:val="22"/>
          <w:szCs w:val="22"/>
        </w:rPr>
        <w:t>húb</w:t>
      </w:r>
    </w:p>
    <w:p w14:paraId="384348B1" w14:textId="77777777" w:rsidR="007D10F3" w:rsidRPr="002E6863" w:rsidRDefault="007D10F3" w:rsidP="00EA37D1">
      <w:pPr>
        <w:numPr>
          <w:ilvl w:val="12"/>
          <w:numId w:val="0"/>
        </w:numPr>
        <w:tabs>
          <w:tab w:val="left" w:pos="1843"/>
        </w:tabs>
        <w:rPr>
          <w:sz w:val="22"/>
          <w:szCs w:val="22"/>
        </w:rPr>
      </w:pPr>
      <w:r>
        <w:rPr>
          <w:sz w:val="22"/>
          <w:szCs w:val="22"/>
        </w:rPr>
        <w:t>Veľmi zriedkavé:</w:t>
      </w:r>
      <w:r>
        <w:rPr>
          <w:sz w:val="22"/>
          <w:szCs w:val="22"/>
        </w:rPr>
        <w:tab/>
        <w:t>pseudomembranózna kolitída</w:t>
      </w:r>
    </w:p>
    <w:p w14:paraId="08488BF7" w14:textId="77777777" w:rsidR="00F024FA" w:rsidRPr="002E6863" w:rsidRDefault="00F024FA" w:rsidP="00EA37D1">
      <w:pPr>
        <w:numPr>
          <w:ilvl w:val="12"/>
          <w:numId w:val="0"/>
        </w:numPr>
        <w:tabs>
          <w:tab w:val="left" w:pos="1843"/>
        </w:tabs>
        <w:rPr>
          <w:sz w:val="22"/>
          <w:szCs w:val="22"/>
        </w:rPr>
      </w:pPr>
    </w:p>
    <w:p w14:paraId="622E3827" w14:textId="77777777" w:rsidR="00F024FA" w:rsidRPr="002E6863" w:rsidRDefault="00F024FA" w:rsidP="00EA37D1">
      <w:pPr>
        <w:numPr>
          <w:ilvl w:val="12"/>
          <w:numId w:val="0"/>
        </w:numPr>
        <w:tabs>
          <w:tab w:val="left" w:pos="1843"/>
        </w:tabs>
        <w:rPr>
          <w:sz w:val="22"/>
          <w:szCs w:val="22"/>
        </w:rPr>
      </w:pPr>
      <w:r w:rsidRPr="002E6863">
        <w:rPr>
          <w:i/>
          <w:sz w:val="22"/>
          <w:szCs w:val="22"/>
        </w:rPr>
        <w:t>Poruchy krvi a lymfatického systému</w:t>
      </w:r>
    </w:p>
    <w:p w14:paraId="222D1D91" w14:textId="77777777" w:rsidR="00F024FA" w:rsidRPr="002E6863" w:rsidRDefault="00F6551F" w:rsidP="00EA37D1">
      <w:pPr>
        <w:numPr>
          <w:ilvl w:val="12"/>
          <w:numId w:val="0"/>
        </w:numPr>
        <w:tabs>
          <w:tab w:val="left" w:pos="1843"/>
        </w:tabs>
        <w:ind w:left="1843" w:hanging="1843"/>
        <w:rPr>
          <w:sz w:val="22"/>
          <w:szCs w:val="22"/>
        </w:rPr>
      </w:pPr>
      <w:r w:rsidRPr="002E6863">
        <w:rPr>
          <w:sz w:val="22"/>
          <w:szCs w:val="22"/>
        </w:rPr>
        <w:t>Veľmi zriedkavé:</w:t>
      </w:r>
      <w:r w:rsidRPr="002E6863">
        <w:rPr>
          <w:sz w:val="22"/>
          <w:szCs w:val="22"/>
        </w:rPr>
        <w:tab/>
        <w:t>leukopénia, neutropénia, trombocytopénia, agranulocytóza, megaloblastická</w:t>
      </w:r>
      <w:r w:rsidR="00EA37D1">
        <w:rPr>
          <w:sz w:val="22"/>
          <w:szCs w:val="22"/>
        </w:rPr>
        <w:t xml:space="preserve"> </w:t>
      </w:r>
      <w:r w:rsidRPr="002E6863">
        <w:rPr>
          <w:sz w:val="22"/>
          <w:szCs w:val="22"/>
        </w:rPr>
        <w:t>anémia, aplastická anémia, hemolytická anémia, methemoglobinémia, eozinofília,</w:t>
      </w:r>
      <w:r w:rsidR="00EA37D1">
        <w:rPr>
          <w:sz w:val="22"/>
          <w:szCs w:val="22"/>
        </w:rPr>
        <w:t xml:space="preserve"> </w:t>
      </w:r>
      <w:r w:rsidRPr="002E6863">
        <w:rPr>
          <w:sz w:val="22"/>
          <w:szCs w:val="22"/>
        </w:rPr>
        <w:t>purpura, hemolýza u určitých citlivých pacientov s deficitom G-6-PD</w:t>
      </w:r>
    </w:p>
    <w:p w14:paraId="37D3FEA5" w14:textId="77777777" w:rsidR="00D4035F" w:rsidRPr="002E6863" w:rsidRDefault="00D4035F" w:rsidP="00EA37D1">
      <w:pPr>
        <w:numPr>
          <w:ilvl w:val="12"/>
          <w:numId w:val="0"/>
        </w:numPr>
        <w:tabs>
          <w:tab w:val="left" w:pos="1843"/>
        </w:tabs>
        <w:rPr>
          <w:sz w:val="22"/>
          <w:szCs w:val="22"/>
        </w:rPr>
      </w:pPr>
    </w:p>
    <w:p w14:paraId="5ADCD7E8" w14:textId="77777777" w:rsidR="00D4035F" w:rsidRPr="002E6863" w:rsidRDefault="00D4035F" w:rsidP="00EA37D1">
      <w:pPr>
        <w:numPr>
          <w:ilvl w:val="12"/>
          <w:numId w:val="0"/>
        </w:numPr>
        <w:tabs>
          <w:tab w:val="left" w:pos="1843"/>
        </w:tabs>
        <w:rPr>
          <w:sz w:val="22"/>
          <w:szCs w:val="22"/>
        </w:rPr>
      </w:pPr>
      <w:r w:rsidRPr="002E6863">
        <w:rPr>
          <w:i/>
          <w:sz w:val="22"/>
          <w:szCs w:val="22"/>
        </w:rPr>
        <w:t>Poruchy imunitného systému</w:t>
      </w:r>
    </w:p>
    <w:p w14:paraId="29E07855" w14:textId="77777777" w:rsidR="00BC56B3" w:rsidRDefault="00D4035F" w:rsidP="00EA37D1">
      <w:pPr>
        <w:numPr>
          <w:ilvl w:val="12"/>
          <w:numId w:val="0"/>
        </w:numPr>
        <w:tabs>
          <w:tab w:val="left" w:pos="1843"/>
        </w:tabs>
        <w:ind w:left="1843" w:hanging="1843"/>
        <w:rPr>
          <w:sz w:val="22"/>
          <w:szCs w:val="22"/>
        </w:rPr>
      </w:pPr>
      <w:r w:rsidRPr="002E6863">
        <w:rPr>
          <w:sz w:val="22"/>
          <w:szCs w:val="22"/>
        </w:rPr>
        <w:t>Veľmi zriedkavé:</w:t>
      </w:r>
      <w:r w:rsidRPr="002E6863">
        <w:rPr>
          <w:sz w:val="22"/>
          <w:szCs w:val="22"/>
        </w:rPr>
        <w:tab/>
        <w:t xml:space="preserve">sérová choroba, anafylaxia, alergická myokarditída, </w:t>
      </w:r>
      <w:r w:rsidR="007D10F3">
        <w:rPr>
          <w:sz w:val="22"/>
          <w:szCs w:val="22"/>
        </w:rPr>
        <w:t>hypersenzitívna</w:t>
      </w:r>
      <w:r w:rsidRPr="002E6863">
        <w:rPr>
          <w:sz w:val="22"/>
          <w:szCs w:val="22"/>
        </w:rPr>
        <w:t xml:space="preserve"> vaskulitída pripomínajúca Henoch</w:t>
      </w:r>
      <w:r w:rsidR="006C2B04" w:rsidRPr="002E6863">
        <w:rPr>
          <w:sz w:val="22"/>
          <w:szCs w:val="22"/>
        </w:rPr>
        <w:t>ovu</w:t>
      </w:r>
      <w:r w:rsidRPr="002E6863">
        <w:rPr>
          <w:sz w:val="22"/>
          <w:szCs w:val="22"/>
        </w:rPr>
        <w:t>-Schönlein</w:t>
      </w:r>
      <w:r w:rsidR="006C2B04" w:rsidRPr="002E6863">
        <w:rPr>
          <w:sz w:val="22"/>
          <w:szCs w:val="22"/>
        </w:rPr>
        <w:t>ovu</w:t>
      </w:r>
      <w:r w:rsidR="00EA37D1">
        <w:rPr>
          <w:sz w:val="22"/>
          <w:szCs w:val="22"/>
        </w:rPr>
        <w:t xml:space="preserve"> </w:t>
      </w:r>
      <w:r w:rsidRPr="002E6863">
        <w:rPr>
          <w:sz w:val="22"/>
          <w:szCs w:val="22"/>
        </w:rPr>
        <w:t xml:space="preserve">purpuru, </w:t>
      </w:r>
      <w:r w:rsidR="006C2B04" w:rsidRPr="002E6863">
        <w:rPr>
          <w:sz w:val="22"/>
          <w:szCs w:val="22"/>
        </w:rPr>
        <w:t xml:space="preserve">nodózna </w:t>
      </w:r>
      <w:r w:rsidRPr="002E6863">
        <w:rPr>
          <w:sz w:val="22"/>
          <w:szCs w:val="22"/>
        </w:rPr>
        <w:t>periarterit</w:t>
      </w:r>
      <w:r w:rsidR="006C2B04" w:rsidRPr="002E6863">
        <w:rPr>
          <w:sz w:val="22"/>
          <w:szCs w:val="22"/>
        </w:rPr>
        <w:t>ída</w:t>
      </w:r>
      <w:r w:rsidRPr="002E6863">
        <w:rPr>
          <w:sz w:val="22"/>
          <w:szCs w:val="22"/>
        </w:rPr>
        <w:t>, systémový lupus erythematosus</w:t>
      </w:r>
      <w:r w:rsidR="007D10F3">
        <w:rPr>
          <w:sz w:val="22"/>
          <w:szCs w:val="22"/>
        </w:rPr>
        <w:t>.</w:t>
      </w:r>
    </w:p>
    <w:p w14:paraId="6553C28F" w14:textId="5FDEEDEA" w:rsidR="00D4035F" w:rsidRPr="007D10F3" w:rsidRDefault="007D10F3" w:rsidP="00BC56B3">
      <w:pPr>
        <w:numPr>
          <w:ilvl w:val="12"/>
          <w:numId w:val="0"/>
        </w:numPr>
        <w:tabs>
          <w:tab w:val="left" w:pos="1843"/>
        </w:tabs>
        <w:ind w:left="1843"/>
        <w:rPr>
          <w:sz w:val="22"/>
          <w:szCs w:val="22"/>
        </w:rPr>
      </w:pPr>
      <w:r w:rsidRPr="007D10F3">
        <w:rPr>
          <w:color w:val="212121"/>
          <w:sz w:val="22"/>
          <w:szCs w:val="22"/>
          <w:shd w:val="clear" w:color="auto" w:fill="FFFFFF"/>
        </w:rPr>
        <w:t xml:space="preserve">Ťažké </w:t>
      </w:r>
      <w:r>
        <w:rPr>
          <w:color w:val="212121"/>
          <w:sz w:val="22"/>
          <w:szCs w:val="22"/>
          <w:shd w:val="clear" w:color="auto" w:fill="FFFFFF"/>
        </w:rPr>
        <w:t xml:space="preserve">hypersenzitívne </w:t>
      </w:r>
      <w:r w:rsidRPr="007D10F3">
        <w:rPr>
          <w:color w:val="212121"/>
          <w:sz w:val="22"/>
          <w:szCs w:val="22"/>
          <w:shd w:val="clear" w:color="auto" w:fill="FFFFFF"/>
        </w:rPr>
        <w:t>reakcie spojené s PJP *</w:t>
      </w:r>
      <w:r w:rsidR="00D25892">
        <w:rPr>
          <w:color w:val="212121"/>
          <w:sz w:val="22"/>
          <w:szCs w:val="22"/>
          <w:shd w:val="clear" w:color="auto" w:fill="FFFFFF"/>
        </w:rPr>
        <w:t>vrátane</w:t>
      </w:r>
      <w:r w:rsidRPr="007D10F3">
        <w:rPr>
          <w:color w:val="212121"/>
          <w:sz w:val="22"/>
          <w:szCs w:val="22"/>
          <w:shd w:val="clear" w:color="auto" w:fill="FFFFFF"/>
        </w:rPr>
        <w:t xml:space="preserve"> vyrážk</w:t>
      </w:r>
      <w:r w:rsidR="00D25892">
        <w:rPr>
          <w:color w:val="212121"/>
          <w:sz w:val="22"/>
          <w:szCs w:val="22"/>
          <w:shd w:val="clear" w:color="auto" w:fill="FFFFFF"/>
        </w:rPr>
        <w:t>y</w:t>
      </w:r>
      <w:r w:rsidRPr="007D10F3">
        <w:rPr>
          <w:color w:val="212121"/>
          <w:sz w:val="22"/>
          <w:szCs w:val="22"/>
          <w:shd w:val="clear" w:color="auto" w:fill="FFFFFF"/>
        </w:rPr>
        <w:t>, pyrexi</w:t>
      </w:r>
      <w:r w:rsidR="00D25892">
        <w:rPr>
          <w:color w:val="212121"/>
          <w:sz w:val="22"/>
          <w:szCs w:val="22"/>
          <w:shd w:val="clear" w:color="auto" w:fill="FFFFFF"/>
        </w:rPr>
        <w:t>e</w:t>
      </w:r>
      <w:r w:rsidRPr="007D10F3">
        <w:rPr>
          <w:color w:val="212121"/>
          <w:sz w:val="22"/>
          <w:szCs w:val="22"/>
          <w:shd w:val="clear" w:color="auto" w:fill="FFFFFF"/>
        </w:rPr>
        <w:t>, neutropéni</w:t>
      </w:r>
      <w:r w:rsidR="00D25892">
        <w:rPr>
          <w:color w:val="212121"/>
          <w:sz w:val="22"/>
          <w:szCs w:val="22"/>
          <w:shd w:val="clear" w:color="auto" w:fill="FFFFFF"/>
        </w:rPr>
        <w:t>e</w:t>
      </w:r>
      <w:r w:rsidRPr="007D10F3">
        <w:rPr>
          <w:color w:val="212121"/>
          <w:sz w:val="22"/>
          <w:szCs w:val="22"/>
          <w:shd w:val="clear" w:color="auto" w:fill="FFFFFF"/>
        </w:rPr>
        <w:t>, trombocytopéni</w:t>
      </w:r>
      <w:r w:rsidR="00D25892">
        <w:rPr>
          <w:color w:val="212121"/>
          <w:sz w:val="22"/>
          <w:szCs w:val="22"/>
          <w:shd w:val="clear" w:color="auto" w:fill="FFFFFF"/>
        </w:rPr>
        <w:t>e</w:t>
      </w:r>
      <w:r w:rsidRPr="007D10F3">
        <w:rPr>
          <w:color w:val="212121"/>
          <w:sz w:val="22"/>
          <w:szCs w:val="22"/>
          <w:shd w:val="clear" w:color="auto" w:fill="FFFFFF"/>
        </w:rPr>
        <w:t>, zvýšen</w:t>
      </w:r>
      <w:r w:rsidR="00D25892">
        <w:rPr>
          <w:color w:val="212121"/>
          <w:sz w:val="22"/>
          <w:szCs w:val="22"/>
          <w:shd w:val="clear" w:color="auto" w:fill="FFFFFF"/>
        </w:rPr>
        <w:t>ej</w:t>
      </w:r>
      <w:r w:rsidRPr="007D10F3">
        <w:rPr>
          <w:color w:val="212121"/>
          <w:sz w:val="22"/>
          <w:szCs w:val="22"/>
          <w:shd w:val="clear" w:color="auto" w:fill="FFFFFF"/>
        </w:rPr>
        <w:t xml:space="preserve"> hladin</w:t>
      </w:r>
      <w:r w:rsidR="00D25892">
        <w:rPr>
          <w:color w:val="212121"/>
          <w:sz w:val="22"/>
          <w:szCs w:val="22"/>
          <w:shd w:val="clear" w:color="auto" w:fill="FFFFFF"/>
        </w:rPr>
        <w:t>y</w:t>
      </w:r>
      <w:r w:rsidRPr="007D10F3">
        <w:rPr>
          <w:color w:val="212121"/>
          <w:sz w:val="22"/>
          <w:szCs w:val="22"/>
          <w:shd w:val="clear" w:color="auto" w:fill="FFFFFF"/>
        </w:rPr>
        <w:t xml:space="preserve"> pečeňových enzýmov, hyperkaliémi</w:t>
      </w:r>
      <w:r w:rsidR="00D25892">
        <w:rPr>
          <w:color w:val="212121"/>
          <w:sz w:val="22"/>
          <w:szCs w:val="22"/>
          <w:shd w:val="clear" w:color="auto" w:fill="FFFFFF"/>
        </w:rPr>
        <w:t>e</w:t>
      </w:r>
      <w:r w:rsidRPr="007D10F3">
        <w:rPr>
          <w:color w:val="212121"/>
          <w:sz w:val="22"/>
          <w:szCs w:val="22"/>
          <w:shd w:val="clear" w:color="auto" w:fill="FFFFFF"/>
        </w:rPr>
        <w:t>, hyponatr</w:t>
      </w:r>
      <w:r>
        <w:rPr>
          <w:color w:val="212121"/>
          <w:sz w:val="22"/>
          <w:szCs w:val="22"/>
          <w:shd w:val="clear" w:color="auto" w:fill="FFFFFF"/>
        </w:rPr>
        <w:t>i</w:t>
      </w:r>
      <w:r w:rsidRPr="007D10F3">
        <w:rPr>
          <w:color w:val="212121"/>
          <w:sz w:val="22"/>
          <w:szCs w:val="22"/>
          <w:shd w:val="clear" w:color="auto" w:fill="FFFFFF"/>
        </w:rPr>
        <w:t>émi</w:t>
      </w:r>
      <w:r w:rsidR="00D25892">
        <w:rPr>
          <w:color w:val="212121"/>
          <w:sz w:val="22"/>
          <w:szCs w:val="22"/>
          <w:shd w:val="clear" w:color="auto" w:fill="FFFFFF"/>
        </w:rPr>
        <w:t>e</w:t>
      </w:r>
      <w:r w:rsidRPr="007D10F3">
        <w:rPr>
          <w:color w:val="212121"/>
          <w:sz w:val="22"/>
          <w:szCs w:val="22"/>
          <w:shd w:val="clear" w:color="auto" w:fill="FFFFFF"/>
        </w:rPr>
        <w:t>, rabdomyolýz</w:t>
      </w:r>
      <w:r w:rsidR="00D25892">
        <w:rPr>
          <w:color w:val="212121"/>
          <w:sz w:val="22"/>
          <w:szCs w:val="22"/>
          <w:shd w:val="clear" w:color="auto" w:fill="FFFFFF"/>
        </w:rPr>
        <w:t>y</w:t>
      </w:r>
      <w:r w:rsidRPr="007D10F3">
        <w:rPr>
          <w:color w:val="212121"/>
          <w:sz w:val="22"/>
          <w:szCs w:val="22"/>
          <w:shd w:val="clear" w:color="auto" w:fill="FFFFFF"/>
        </w:rPr>
        <w:t>.</w:t>
      </w:r>
    </w:p>
    <w:p w14:paraId="595BDBA3" w14:textId="77777777" w:rsidR="00D4035F" w:rsidRPr="002E6863" w:rsidRDefault="00D4035F" w:rsidP="002E6863">
      <w:pPr>
        <w:numPr>
          <w:ilvl w:val="12"/>
          <w:numId w:val="0"/>
        </w:numPr>
        <w:tabs>
          <w:tab w:val="left" w:pos="1843"/>
        </w:tabs>
        <w:jc w:val="both"/>
        <w:rPr>
          <w:sz w:val="22"/>
          <w:szCs w:val="22"/>
        </w:rPr>
      </w:pPr>
    </w:p>
    <w:p w14:paraId="3405E770" w14:textId="77777777" w:rsidR="00D4035F" w:rsidRPr="002E6863" w:rsidRDefault="00D4035F" w:rsidP="002E6863">
      <w:pPr>
        <w:numPr>
          <w:ilvl w:val="12"/>
          <w:numId w:val="0"/>
        </w:numPr>
        <w:tabs>
          <w:tab w:val="left" w:pos="1843"/>
        </w:tabs>
        <w:jc w:val="both"/>
        <w:rPr>
          <w:sz w:val="22"/>
          <w:szCs w:val="22"/>
        </w:rPr>
      </w:pPr>
      <w:r w:rsidRPr="002E6863">
        <w:rPr>
          <w:i/>
          <w:sz w:val="22"/>
          <w:szCs w:val="22"/>
        </w:rPr>
        <w:t>Poruchy metabolizmu a výživy</w:t>
      </w:r>
    </w:p>
    <w:p w14:paraId="618C8AC1" w14:textId="77777777" w:rsidR="00D4035F" w:rsidRPr="002E6863" w:rsidRDefault="00D4035F" w:rsidP="002E6863">
      <w:pPr>
        <w:numPr>
          <w:ilvl w:val="12"/>
          <w:numId w:val="0"/>
        </w:numPr>
        <w:tabs>
          <w:tab w:val="left" w:pos="1843"/>
        </w:tabs>
        <w:jc w:val="both"/>
        <w:rPr>
          <w:sz w:val="22"/>
          <w:szCs w:val="22"/>
        </w:rPr>
      </w:pPr>
      <w:r w:rsidRPr="002E6863">
        <w:rPr>
          <w:sz w:val="22"/>
          <w:szCs w:val="22"/>
        </w:rPr>
        <w:t>Veľmi časté:</w:t>
      </w:r>
      <w:r w:rsidRPr="002E6863">
        <w:rPr>
          <w:sz w:val="22"/>
          <w:szCs w:val="22"/>
        </w:rPr>
        <w:tab/>
        <w:t>hyperkal</w:t>
      </w:r>
      <w:r w:rsidR="00EC21C1" w:rsidRPr="002E6863">
        <w:rPr>
          <w:sz w:val="22"/>
          <w:szCs w:val="22"/>
        </w:rPr>
        <w:t>i</w:t>
      </w:r>
      <w:r w:rsidRPr="002E6863">
        <w:rPr>
          <w:sz w:val="22"/>
          <w:szCs w:val="22"/>
        </w:rPr>
        <w:t>émia</w:t>
      </w:r>
    </w:p>
    <w:p w14:paraId="67B3EA7F" w14:textId="2C61AAB8" w:rsidR="00D4035F" w:rsidRPr="002E6863" w:rsidRDefault="00D4035F" w:rsidP="007D10F3">
      <w:pPr>
        <w:numPr>
          <w:ilvl w:val="12"/>
          <w:numId w:val="0"/>
        </w:numPr>
        <w:tabs>
          <w:tab w:val="left" w:pos="1843"/>
        </w:tabs>
        <w:ind w:left="1843" w:hanging="1843"/>
        <w:rPr>
          <w:sz w:val="22"/>
          <w:szCs w:val="22"/>
        </w:rPr>
      </w:pPr>
      <w:r w:rsidRPr="002E6863">
        <w:rPr>
          <w:sz w:val="22"/>
          <w:szCs w:val="22"/>
        </w:rPr>
        <w:t>Veľmi zriedkavé:</w:t>
      </w:r>
      <w:r w:rsidRPr="002E6863">
        <w:rPr>
          <w:sz w:val="22"/>
          <w:szCs w:val="22"/>
        </w:rPr>
        <w:tab/>
        <w:t xml:space="preserve">hypoglykémia, hyponatriémia, </w:t>
      </w:r>
      <w:r w:rsidR="007D10F3">
        <w:rPr>
          <w:sz w:val="22"/>
          <w:szCs w:val="22"/>
        </w:rPr>
        <w:t>znížená chuť do jedla, metabolická acidóza</w:t>
      </w:r>
    </w:p>
    <w:p w14:paraId="7C3808E9" w14:textId="77777777" w:rsidR="003C5DCB" w:rsidRPr="002E6863" w:rsidRDefault="003C5DCB" w:rsidP="00EA37D1">
      <w:pPr>
        <w:numPr>
          <w:ilvl w:val="12"/>
          <w:numId w:val="0"/>
        </w:numPr>
        <w:tabs>
          <w:tab w:val="left" w:pos="1843"/>
        </w:tabs>
        <w:rPr>
          <w:sz w:val="22"/>
          <w:szCs w:val="22"/>
        </w:rPr>
      </w:pPr>
    </w:p>
    <w:p w14:paraId="0CBADFBD" w14:textId="77777777" w:rsidR="003C5DCB" w:rsidRPr="002E6863" w:rsidRDefault="003C5DCB" w:rsidP="00EA37D1">
      <w:pPr>
        <w:numPr>
          <w:ilvl w:val="12"/>
          <w:numId w:val="0"/>
        </w:numPr>
        <w:tabs>
          <w:tab w:val="left" w:pos="1843"/>
        </w:tabs>
        <w:rPr>
          <w:sz w:val="22"/>
          <w:szCs w:val="22"/>
        </w:rPr>
      </w:pPr>
      <w:r w:rsidRPr="002E6863">
        <w:rPr>
          <w:i/>
          <w:sz w:val="22"/>
          <w:szCs w:val="22"/>
        </w:rPr>
        <w:t>Psychické poruchy</w:t>
      </w:r>
    </w:p>
    <w:p w14:paraId="78260A55" w14:textId="77777777" w:rsidR="003C5DCB" w:rsidRDefault="003C5DCB" w:rsidP="00EA37D1">
      <w:pPr>
        <w:numPr>
          <w:ilvl w:val="12"/>
          <w:numId w:val="0"/>
        </w:numPr>
        <w:tabs>
          <w:tab w:val="left" w:pos="1843"/>
        </w:tabs>
        <w:rPr>
          <w:sz w:val="22"/>
          <w:szCs w:val="22"/>
        </w:rPr>
      </w:pPr>
      <w:r w:rsidRPr="002E6863">
        <w:rPr>
          <w:sz w:val="22"/>
          <w:szCs w:val="22"/>
        </w:rPr>
        <w:t>Veľmi zriedkavé:</w:t>
      </w:r>
      <w:r w:rsidRPr="002E6863">
        <w:rPr>
          <w:sz w:val="22"/>
          <w:szCs w:val="22"/>
        </w:rPr>
        <w:tab/>
        <w:t>depresia, halucinácie</w:t>
      </w:r>
    </w:p>
    <w:p w14:paraId="66675351" w14:textId="39DF2970" w:rsidR="00BC61B1" w:rsidRPr="002E6863" w:rsidRDefault="00BC61B1" w:rsidP="00EA37D1">
      <w:pPr>
        <w:numPr>
          <w:ilvl w:val="12"/>
          <w:numId w:val="0"/>
        </w:numPr>
        <w:tabs>
          <w:tab w:val="left" w:pos="1843"/>
        </w:tabs>
        <w:rPr>
          <w:sz w:val="22"/>
          <w:szCs w:val="22"/>
        </w:rPr>
      </w:pPr>
      <w:r>
        <w:rPr>
          <w:sz w:val="22"/>
          <w:szCs w:val="22"/>
        </w:rPr>
        <w:t>Neznáme:</w:t>
      </w:r>
      <w:r>
        <w:rPr>
          <w:sz w:val="22"/>
          <w:szCs w:val="22"/>
        </w:rPr>
        <w:tab/>
        <w:t>psych</w:t>
      </w:r>
      <w:r w:rsidR="00C3199F">
        <w:rPr>
          <w:sz w:val="22"/>
          <w:szCs w:val="22"/>
        </w:rPr>
        <w:t>oti</w:t>
      </w:r>
      <w:r>
        <w:rPr>
          <w:sz w:val="22"/>
          <w:szCs w:val="22"/>
        </w:rPr>
        <w:t>cké poruchy</w:t>
      </w:r>
    </w:p>
    <w:p w14:paraId="24F42EC2" w14:textId="77777777" w:rsidR="003C5DCB" w:rsidRPr="002E6863" w:rsidRDefault="003C5DCB" w:rsidP="00EA37D1">
      <w:pPr>
        <w:numPr>
          <w:ilvl w:val="12"/>
          <w:numId w:val="0"/>
        </w:numPr>
        <w:tabs>
          <w:tab w:val="left" w:pos="1843"/>
        </w:tabs>
        <w:rPr>
          <w:sz w:val="22"/>
          <w:szCs w:val="22"/>
        </w:rPr>
      </w:pPr>
    </w:p>
    <w:p w14:paraId="46B28445" w14:textId="77777777" w:rsidR="003C5DCB" w:rsidRPr="002E6863" w:rsidRDefault="003C5DCB" w:rsidP="00EA37D1">
      <w:pPr>
        <w:numPr>
          <w:ilvl w:val="12"/>
          <w:numId w:val="0"/>
        </w:numPr>
        <w:tabs>
          <w:tab w:val="left" w:pos="1843"/>
        </w:tabs>
        <w:rPr>
          <w:sz w:val="22"/>
          <w:szCs w:val="22"/>
        </w:rPr>
      </w:pPr>
      <w:r w:rsidRPr="002E6863">
        <w:rPr>
          <w:i/>
          <w:sz w:val="22"/>
          <w:szCs w:val="22"/>
        </w:rPr>
        <w:lastRenderedPageBreak/>
        <w:t>Poruchy nervového systému</w:t>
      </w:r>
    </w:p>
    <w:p w14:paraId="498922F5" w14:textId="77777777" w:rsidR="003C5DCB" w:rsidRPr="002E6863" w:rsidRDefault="003C5DCB" w:rsidP="00EA37D1">
      <w:pPr>
        <w:numPr>
          <w:ilvl w:val="12"/>
          <w:numId w:val="0"/>
        </w:numPr>
        <w:tabs>
          <w:tab w:val="left" w:pos="1843"/>
        </w:tabs>
        <w:rPr>
          <w:sz w:val="22"/>
          <w:szCs w:val="22"/>
        </w:rPr>
      </w:pPr>
      <w:r w:rsidRPr="002E6863">
        <w:rPr>
          <w:sz w:val="22"/>
          <w:szCs w:val="22"/>
        </w:rPr>
        <w:t xml:space="preserve">Časté: </w:t>
      </w:r>
      <w:r w:rsidRPr="002E6863">
        <w:rPr>
          <w:sz w:val="22"/>
          <w:szCs w:val="22"/>
        </w:rPr>
        <w:tab/>
        <w:t>bolesti hlavy</w:t>
      </w:r>
    </w:p>
    <w:p w14:paraId="30B30DE0" w14:textId="1C262ECC" w:rsidR="003C5DCB" w:rsidRPr="002E6863" w:rsidRDefault="003C5DCB" w:rsidP="00EA37D1">
      <w:pPr>
        <w:numPr>
          <w:ilvl w:val="12"/>
          <w:numId w:val="0"/>
        </w:numPr>
        <w:tabs>
          <w:tab w:val="left" w:pos="1843"/>
        </w:tabs>
        <w:rPr>
          <w:sz w:val="22"/>
          <w:szCs w:val="22"/>
        </w:rPr>
      </w:pPr>
      <w:r w:rsidRPr="002E6863">
        <w:rPr>
          <w:sz w:val="22"/>
          <w:szCs w:val="22"/>
        </w:rPr>
        <w:t>Veľmi zriedkavé:</w:t>
      </w:r>
      <w:r w:rsidRPr="002E6863">
        <w:rPr>
          <w:sz w:val="22"/>
          <w:szCs w:val="22"/>
        </w:rPr>
        <w:tab/>
        <w:t>aseptická meningitída</w:t>
      </w:r>
      <w:r w:rsidR="00E60A8C">
        <w:rPr>
          <w:sz w:val="22"/>
          <w:szCs w:val="22"/>
        </w:rPr>
        <w:t>*</w:t>
      </w:r>
      <w:r w:rsidRPr="002E6863">
        <w:rPr>
          <w:sz w:val="22"/>
          <w:szCs w:val="22"/>
        </w:rPr>
        <w:t xml:space="preserve">, </w:t>
      </w:r>
      <w:r w:rsidR="00E60A8C">
        <w:rPr>
          <w:sz w:val="22"/>
          <w:szCs w:val="22"/>
        </w:rPr>
        <w:t>záchvaty</w:t>
      </w:r>
      <w:r w:rsidRPr="002E6863">
        <w:rPr>
          <w:sz w:val="22"/>
          <w:szCs w:val="22"/>
        </w:rPr>
        <w:t>, periférna neuritída, ataxia,</w:t>
      </w:r>
      <w:r w:rsidR="00E20F20">
        <w:rPr>
          <w:sz w:val="22"/>
          <w:szCs w:val="22"/>
        </w:rPr>
        <w:t xml:space="preserve"> </w:t>
      </w:r>
      <w:r w:rsidRPr="002E6863">
        <w:rPr>
          <w:sz w:val="22"/>
          <w:szCs w:val="22"/>
        </w:rPr>
        <w:t>závrat</w:t>
      </w:r>
    </w:p>
    <w:p w14:paraId="60280EDC" w14:textId="77777777" w:rsidR="003C5DCB" w:rsidRPr="002E6863" w:rsidRDefault="003C5DCB" w:rsidP="00EA37D1">
      <w:pPr>
        <w:numPr>
          <w:ilvl w:val="12"/>
          <w:numId w:val="0"/>
        </w:numPr>
        <w:tabs>
          <w:tab w:val="left" w:pos="1843"/>
        </w:tabs>
        <w:rPr>
          <w:sz w:val="22"/>
          <w:szCs w:val="22"/>
        </w:rPr>
      </w:pPr>
    </w:p>
    <w:p w14:paraId="7BCEE882" w14:textId="77777777" w:rsidR="00E60A8C" w:rsidRDefault="00E60A8C" w:rsidP="00EA37D1">
      <w:pPr>
        <w:numPr>
          <w:ilvl w:val="12"/>
          <w:numId w:val="0"/>
        </w:numPr>
        <w:tabs>
          <w:tab w:val="left" w:pos="1843"/>
        </w:tabs>
        <w:rPr>
          <w:i/>
          <w:sz w:val="22"/>
          <w:szCs w:val="22"/>
        </w:rPr>
      </w:pPr>
      <w:r>
        <w:rPr>
          <w:i/>
          <w:sz w:val="22"/>
          <w:szCs w:val="22"/>
        </w:rPr>
        <w:t>Poruchy oka</w:t>
      </w:r>
    </w:p>
    <w:p w14:paraId="4BBAB438" w14:textId="77777777" w:rsidR="00E60A8C" w:rsidRPr="00E60A8C" w:rsidRDefault="00E60A8C" w:rsidP="00EA37D1">
      <w:pPr>
        <w:numPr>
          <w:ilvl w:val="12"/>
          <w:numId w:val="0"/>
        </w:numPr>
        <w:tabs>
          <w:tab w:val="left" w:pos="1843"/>
        </w:tabs>
        <w:rPr>
          <w:sz w:val="22"/>
          <w:szCs w:val="22"/>
        </w:rPr>
      </w:pPr>
      <w:r>
        <w:rPr>
          <w:sz w:val="22"/>
          <w:szCs w:val="22"/>
        </w:rPr>
        <w:t>Veľmi zriedkavé:</w:t>
      </w:r>
      <w:r>
        <w:rPr>
          <w:sz w:val="22"/>
          <w:szCs w:val="22"/>
        </w:rPr>
        <w:tab/>
        <w:t>uveitída</w:t>
      </w:r>
    </w:p>
    <w:p w14:paraId="54A09EE3" w14:textId="77777777" w:rsidR="00E60A8C" w:rsidRDefault="00E60A8C" w:rsidP="00EA37D1">
      <w:pPr>
        <w:numPr>
          <w:ilvl w:val="12"/>
          <w:numId w:val="0"/>
        </w:numPr>
        <w:tabs>
          <w:tab w:val="left" w:pos="1843"/>
        </w:tabs>
        <w:rPr>
          <w:i/>
          <w:sz w:val="22"/>
          <w:szCs w:val="22"/>
        </w:rPr>
      </w:pPr>
    </w:p>
    <w:p w14:paraId="30FC3C70" w14:textId="77777777" w:rsidR="00E60A8C" w:rsidRDefault="00E60A8C" w:rsidP="00EA37D1">
      <w:pPr>
        <w:numPr>
          <w:ilvl w:val="12"/>
          <w:numId w:val="0"/>
        </w:numPr>
        <w:tabs>
          <w:tab w:val="left" w:pos="1843"/>
        </w:tabs>
        <w:rPr>
          <w:i/>
          <w:sz w:val="22"/>
          <w:szCs w:val="22"/>
        </w:rPr>
      </w:pPr>
      <w:r>
        <w:rPr>
          <w:i/>
          <w:sz w:val="22"/>
          <w:szCs w:val="22"/>
        </w:rPr>
        <w:t>Poruchy ucha a labyrintu</w:t>
      </w:r>
    </w:p>
    <w:p w14:paraId="57A76396" w14:textId="77777777" w:rsidR="00E60A8C" w:rsidRDefault="00E60A8C" w:rsidP="00EA37D1">
      <w:pPr>
        <w:numPr>
          <w:ilvl w:val="12"/>
          <w:numId w:val="0"/>
        </w:numPr>
        <w:tabs>
          <w:tab w:val="left" w:pos="1843"/>
        </w:tabs>
        <w:rPr>
          <w:sz w:val="22"/>
          <w:szCs w:val="22"/>
        </w:rPr>
      </w:pPr>
      <w:r>
        <w:rPr>
          <w:sz w:val="22"/>
          <w:szCs w:val="22"/>
        </w:rPr>
        <w:t>Veľmi zriedkavé:</w:t>
      </w:r>
      <w:r>
        <w:rPr>
          <w:sz w:val="22"/>
          <w:szCs w:val="22"/>
        </w:rPr>
        <w:tab/>
        <w:t>vertigo, tinnitus</w:t>
      </w:r>
    </w:p>
    <w:p w14:paraId="4BA45599" w14:textId="77777777" w:rsidR="00E60A8C" w:rsidRPr="00E60A8C" w:rsidRDefault="00E60A8C" w:rsidP="00EA37D1">
      <w:pPr>
        <w:numPr>
          <w:ilvl w:val="12"/>
          <w:numId w:val="0"/>
        </w:numPr>
        <w:tabs>
          <w:tab w:val="left" w:pos="1843"/>
        </w:tabs>
        <w:rPr>
          <w:sz w:val="22"/>
          <w:szCs w:val="22"/>
        </w:rPr>
      </w:pPr>
    </w:p>
    <w:p w14:paraId="7A749BD4" w14:textId="77777777" w:rsidR="003C5DCB" w:rsidRPr="002E6863" w:rsidRDefault="003C5DCB" w:rsidP="00EA37D1">
      <w:pPr>
        <w:numPr>
          <w:ilvl w:val="12"/>
          <w:numId w:val="0"/>
        </w:numPr>
        <w:tabs>
          <w:tab w:val="left" w:pos="1843"/>
        </w:tabs>
        <w:rPr>
          <w:sz w:val="22"/>
          <w:szCs w:val="22"/>
        </w:rPr>
      </w:pPr>
      <w:r w:rsidRPr="002E6863">
        <w:rPr>
          <w:i/>
          <w:sz w:val="22"/>
          <w:szCs w:val="22"/>
        </w:rPr>
        <w:t>Poruchy dýchacej sústavy, hrudníka a mediastína</w:t>
      </w:r>
    </w:p>
    <w:p w14:paraId="668B1EA2" w14:textId="217B1ED9" w:rsidR="003C5DCB" w:rsidRPr="002E6863" w:rsidRDefault="003C5DCB" w:rsidP="00EA37D1">
      <w:pPr>
        <w:numPr>
          <w:ilvl w:val="12"/>
          <w:numId w:val="0"/>
        </w:numPr>
        <w:tabs>
          <w:tab w:val="left" w:pos="1843"/>
        </w:tabs>
        <w:rPr>
          <w:sz w:val="22"/>
          <w:szCs w:val="22"/>
        </w:rPr>
      </w:pPr>
      <w:r w:rsidRPr="002E6863">
        <w:rPr>
          <w:sz w:val="22"/>
          <w:szCs w:val="22"/>
        </w:rPr>
        <w:t>Veľmi zriedkavé:</w:t>
      </w:r>
      <w:r w:rsidRPr="002E6863">
        <w:rPr>
          <w:sz w:val="22"/>
          <w:szCs w:val="22"/>
        </w:rPr>
        <w:tab/>
        <w:t>kašeľ</w:t>
      </w:r>
      <w:r w:rsidR="00E60A8C">
        <w:rPr>
          <w:sz w:val="22"/>
          <w:szCs w:val="22"/>
        </w:rPr>
        <w:t>*</w:t>
      </w:r>
      <w:r w:rsidRPr="002E6863">
        <w:rPr>
          <w:sz w:val="22"/>
          <w:szCs w:val="22"/>
        </w:rPr>
        <w:t xml:space="preserve">, </w:t>
      </w:r>
      <w:r w:rsidR="00E60A8C">
        <w:rPr>
          <w:sz w:val="22"/>
          <w:szCs w:val="22"/>
        </w:rPr>
        <w:t>dyspnoe*</w:t>
      </w:r>
      <w:r w:rsidRPr="002E6863">
        <w:rPr>
          <w:sz w:val="22"/>
          <w:szCs w:val="22"/>
        </w:rPr>
        <w:t>, pľúcne infiltráty</w:t>
      </w:r>
      <w:r w:rsidR="00E60A8C">
        <w:rPr>
          <w:sz w:val="22"/>
          <w:szCs w:val="22"/>
        </w:rPr>
        <w:t>*</w:t>
      </w:r>
    </w:p>
    <w:p w14:paraId="02230831" w14:textId="00E124B4" w:rsidR="003C5DCB" w:rsidRPr="002E6863" w:rsidRDefault="00EC21C1" w:rsidP="00EA37D1">
      <w:pPr>
        <w:numPr>
          <w:ilvl w:val="12"/>
          <w:numId w:val="0"/>
        </w:numPr>
        <w:tabs>
          <w:tab w:val="left" w:pos="1843"/>
        </w:tabs>
        <w:rPr>
          <w:sz w:val="22"/>
          <w:szCs w:val="22"/>
        </w:rPr>
      </w:pPr>
      <w:r w:rsidRPr="002E6863">
        <w:rPr>
          <w:sz w:val="22"/>
          <w:szCs w:val="22"/>
        </w:rPr>
        <w:t xml:space="preserve"> </w:t>
      </w:r>
    </w:p>
    <w:p w14:paraId="14FE0364" w14:textId="77777777" w:rsidR="003C5DCB" w:rsidRPr="002E6863" w:rsidRDefault="003C5DCB" w:rsidP="002E6863">
      <w:pPr>
        <w:numPr>
          <w:ilvl w:val="12"/>
          <w:numId w:val="0"/>
        </w:numPr>
        <w:tabs>
          <w:tab w:val="left" w:pos="1843"/>
        </w:tabs>
        <w:jc w:val="both"/>
        <w:rPr>
          <w:sz w:val="22"/>
          <w:szCs w:val="22"/>
        </w:rPr>
      </w:pPr>
    </w:p>
    <w:p w14:paraId="6FD4C0A9" w14:textId="77777777" w:rsidR="003C5DCB" w:rsidRPr="002E6863" w:rsidRDefault="003C5DCB" w:rsidP="00EA37D1">
      <w:pPr>
        <w:numPr>
          <w:ilvl w:val="12"/>
          <w:numId w:val="0"/>
        </w:numPr>
        <w:tabs>
          <w:tab w:val="left" w:pos="1843"/>
        </w:tabs>
        <w:rPr>
          <w:sz w:val="22"/>
          <w:szCs w:val="22"/>
        </w:rPr>
      </w:pPr>
      <w:r w:rsidRPr="002E6863">
        <w:rPr>
          <w:i/>
          <w:sz w:val="22"/>
          <w:szCs w:val="22"/>
        </w:rPr>
        <w:t>Poruchy gastrointestinálneho traktu</w:t>
      </w:r>
    </w:p>
    <w:p w14:paraId="4FF0001D" w14:textId="77777777" w:rsidR="003C5DCB" w:rsidRPr="002E6863" w:rsidRDefault="003C5DCB" w:rsidP="00EA37D1">
      <w:pPr>
        <w:numPr>
          <w:ilvl w:val="12"/>
          <w:numId w:val="0"/>
        </w:numPr>
        <w:tabs>
          <w:tab w:val="left" w:pos="1843"/>
        </w:tabs>
        <w:rPr>
          <w:sz w:val="22"/>
          <w:szCs w:val="22"/>
        </w:rPr>
      </w:pPr>
      <w:r w:rsidRPr="002E6863">
        <w:rPr>
          <w:sz w:val="22"/>
          <w:szCs w:val="22"/>
        </w:rPr>
        <w:t>Časté:</w:t>
      </w:r>
      <w:r w:rsidRPr="002E6863">
        <w:rPr>
          <w:sz w:val="22"/>
          <w:szCs w:val="22"/>
        </w:rPr>
        <w:tab/>
        <w:t>nevoľnosť, hnačka</w:t>
      </w:r>
    </w:p>
    <w:p w14:paraId="454147F4" w14:textId="77777777" w:rsidR="003C5DCB" w:rsidRPr="002E6863" w:rsidRDefault="003C5DCB" w:rsidP="00EA37D1">
      <w:pPr>
        <w:numPr>
          <w:ilvl w:val="12"/>
          <w:numId w:val="0"/>
        </w:numPr>
        <w:tabs>
          <w:tab w:val="left" w:pos="1843"/>
        </w:tabs>
        <w:rPr>
          <w:sz w:val="22"/>
          <w:szCs w:val="22"/>
        </w:rPr>
      </w:pPr>
      <w:r w:rsidRPr="002E6863">
        <w:rPr>
          <w:sz w:val="22"/>
          <w:szCs w:val="22"/>
        </w:rPr>
        <w:t>Menej časté:</w:t>
      </w:r>
      <w:r w:rsidRPr="002E6863">
        <w:rPr>
          <w:sz w:val="22"/>
          <w:szCs w:val="22"/>
        </w:rPr>
        <w:tab/>
        <w:t>vracanie</w:t>
      </w:r>
    </w:p>
    <w:p w14:paraId="7472394C" w14:textId="49E3134D" w:rsidR="003C5DCB" w:rsidRPr="002E6863" w:rsidRDefault="003C5DCB" w:rsidP="00EA37D1">
      <w:pPr>
        <w:numPr>
          <w:ilvl w:val="12"/>
          <w:numId w:val="0"/>
        </w:numPr>
        <w:tabs>
          <w:tab w:val="left" w:pos="1843"/>
        </w:tabs>
        <w:rPr>
          <w:sz w:val="22"/>
          <w:szCs w:val="22"/>
        </w:rPr>
      </w:pPr>
      <w:r w:rsidRPr="002E6863">
        <w:rPr>
          <w:sz w:val="22"/>
          <w:szCs w:val="22"/>
        </w:rPr>
        <w:t>Veľmi zriedkavé:</w:t>
      </w:r>
      <w:r w:rsidRPr="002E6863">
        <w:rPr>
          <w:sz w:val="22"/>
          <w:szCs w:val="22"/>
        </w:rPr>
        <w:tab/>
      </w:r>
      <w:r w:rsidR="00E20F20">
        <w:rPr>
          <w:sz w:val="22"/>
          <w:szCs w:val="22"/>
        </w:rPr>
        <w:t xml:space="preserve">glositída, </w:t>
      </w:r>
      <w:r w:rsidRPr="002E6863">
        <w:rPr>
          <w:sz w:val="22"/>
          <w:szCs w:val="22"/>
        </w:rPr>
        <w:t>stomatitída</w:t>
      </w:r>
      <w:r w:rsidR="003A4E73" w:rsidRPr="002E6863">
        <w:rPr>
          <w:sz w:val="22"/>
          <w:szCs w:val="22"/>
        </w:rPr>
        <w:t>,</w:t>
      </w:r>
      <w:r w:rsidRPr="002E6863">
        <w:rPr>
          <w:sz w:val="22"/>
          <w:szCs w:val="22"/>
        </w:rPr>
        <w:t xml:space="preserve"> </w:t>
      </w:r>
      <w:r w:rsidR="006539F9">
        <w:rPr>
          <w:sz w:val="22"/>
          <w:szCs w:val="22"/>
        </w:rPr>
        <w:t xml:space="preserve"> pankreatitída</w:t>
      </w:r>
    </w:p>
    <w:p w14:paraId="5A47C6D3" w14:textId="77777777" w:rsidR="00E20F20" w:rsidRPr="00E20F20" w:rsidRDefault="00E20F20" w:rsidP="00EA37D1">
      <w:pPr>
        <w:numPr>
          <w:ilvl w:val="12"/>
          <w:numId w:val="0"/>
        </w:numPr>
        <w:tabs>
          <w:tab w:val="left" w:pos="1843"/>
        </w:tabs>
        <w:rPr>
          <w:sz w:val="22"/>
          <w:szCs w:val="22"/>
        </w:rPr>
      </w:pPr>
    </w:p>
    <w:p w14:paraId="0EA3704F" w14:textId="77777777" w:rsidR="003C5DCB" w:rsidRPr="002E6863" w:rsidRDefault="00B861EA" w:rsidP="00EA37D1">
      <w:pPr>
        <w:numPr>
          <w:ilvl w:val="12"/>
          <w:numId w:val="0"/>
        </w:numPr>
        <w:tabs>
          <w:tab w:val="left" w:pos="1843"/>
        </w:tabs>
        <w:rPr>
          <w:sz w:val="22"/>
          <w:szCs w:val="22"/>
        </w:rPr>
      </w:pPr>
      <w:r w:rsidRPr="002E6863">
        <w:rPr>
          <w:i/>
          <w:sz w:val="22"/>
          <w:szCs w:val="22"/>
        </w:rPr>
        <w:t>Poruchy</w:t>
      </w:r>
      <w:r w:rsidR="003C5DCB" w:rsidRPr="002E6863">
        <w:rPr>
          <w:i/>
          <w:sz w:val="22"/>
          <w:szCs w:val="22"/>
        </w:rPr>
        <w:t xml:space="preserve"> pečene a žlčových ciest</w:t>
      </w:r>
    </w:p>
    <w:p w14:paraId="2F185081" w14:textId="2A363321" w:rsidR="003C5DCB" w:rsidRPr="002E6863" w:rsidRDefault="003C5DCB" w:rsidP="00EA37D1">
      <w:pPr>
        <w:numPr>
          <w:ilvl w:val="12"/>
          <w:numId w:val="0"/>
        </w:numPr>
        <w:tabs>
          <w:tab w:val="left" w:pos="1843"/>
        </w:tabs>
        <w:ind w:left="1843" w:hanging="1843"/>
        <w:rPr>
          <w:sz w:val="22"/>
          <w:szCs w:val="22"/>
        </w:rPr>
      </w:pPr>
      <w:r w:rsidRPr="002E6863">
        <w:rPr>
          <w:sz w:val="22"/>
          <w:szCs w:val="22"/>
        </w:rPr>
        <w:t xml:space="preserve">Veľmi zriedkavé: </w:t>
      </w:r>
      <w:r w:rsidRPr="002E6863">
        <w:rPr>
          <w:sz w:val="22"/>
          <w:szCs w:val="22"/>
        </w:rPr>
        <w:tab/>
      </w:r>
      <w:r w:rsidR="00E60A8C">
        <w:rPr>
          <w:sz w:val="22"/>
          <w:szCs w:val="22"/>
        </w:rPr>
        <w:t xml:space="preserve">cholestatická žltačka*, pečeňová nekróza*, </w:t>
      </w:r>
      <w:r w:rsidRPr="002E6863">
        <w:rPr>
          <w:sz w:val="22"/>
          <w:szCs w:val="22"/>
        </w:rPr>
        <w:t>zvýšen</w:t>
      </w:r>
      <w:r w:rsidR="00E60A8C">
        <w:rPr>
          <w:sz w:val="22"/>
          <w:szCs w:val="22"/>
        </w:rPr>
        <w:t>é</w:t>
      </w:r>
      <w:r w:rsidRPr="002E6863">
        <w:rPr>
          <w:sz w:val="22"/>
          <w:szCs w:val="22"/>
        </w:rPr>
        <w:t xml:space="preserve"> transamináz</w:t>
      </w:r>
      <w:r w:rsidR="00E60A8C">
        <w:rPr>
          <w:sz w:val="22"/>
          <w:szCs w:val="22"/>
        </w:rPr>
        <w:t>y</w:t>
      </w:r>
      <w:r w:rsidRPr="002E6863">
        <w:rPr>
          <w:sz w:val="22"/>
          <w:szCs w:val="22"/>
        </w:rPr>
        <w:t>, zvýšen</w:t>
      </w:r>
      <w:r w:rsidR="00E60A8C">
        <w:rPr>
          <w:sz w:val="22"/>
          <w:szCs w:val="22"/>
        </w:rPr>
        <w:t>ý</w:t>
      </w:r>
      <w:r w:rsidRPr="002E6863">
        <w:rPr>
          <w:sz w:val="22"/>
          <w:szCs w:val="22"/>
        </w:rPr>
        <w:t xml:space="preserve">bilirubín  </w:t>
      </w:r>
    </w:p>
    <w:p w14:paraId="5957B69F" w14:textId="77777777" w:rsidR="003C5DCB" w:rsidRPr="002E6863" w:rsidRDefault="003C5DCB" w:rsidP="00EA37D1">
      <w:pPr>
        <w:numPr>
          <w:ilvl w:val="12"/>
          <w:numId w:val="0"/>
        </w:numPr>
        <w:tabs>
          <w:tab w:val="left" w:pos="1843"/>
        </w:tabs>
        <w:rPr>
          <w:sz w:val="22"/>
          <w:szCs w:val="22"/>
        </w:rPr>
      </w:pPr>
    </w:p>
    <w:p w14:paraId="1505E2E8" w14:textId="77777777" w:rsidR="005E7890" w:rsidRPr="002E6863" w:rsidRDefault="005E7890" w:rsidP="00EA37D1">
      <w:pPr>
        <w:rPr>
          <w:i/>
          <w:sz w:val="22"/>
          <w:szCs w:val="22"/>
        </w:rPr>
      </w:pPr>
      <w:r w:rsidRPr="002E6863">
        <w:rPr>
          <w:i/>
          <w:sz w:val="22"/>
          <w:szCs w:val="22"/>
        </w:rPr>
        <w:t>Poruchy kože a podkožného tkaniva</w:t>
      </w:r>
    </w:p>
    <w:p w14:paraId="1DDE9C66" w14:textId="48F4CC75" w:rsidR="005E7890" w:rsidRPr="002E6863" w:rsidRDefault="005E7890" w:rsidP="00EA37D1">
      <w:pPr>
        <w:numPr>
          <w:ilvl w:val="12"/>
          <w:numId w:val="0"/>
        </w:numPr>
        <w:tabs>
          <w:tab w:val="left" w:pos="1843"/>
        </w:tabs>
        <w:rPr>
          <w:sz w:val="22"/>
          <w:szCs w:val="22"/>
        </w:rPr>
      </w:pPr>
      <w:r w:rsidRPr="002E6863">
        <w:rPr>
          <w:sz w:val="22"/>
          <w:szCs w:val="22"/>
        </w:rPr>
        <w:t>Časté:</w:t>
      </w:r>
      <w:r w:rsidRPr="002E6863">
        <w:rPr>
          <w:sz w:val="22"/>
          <w:szCs w:val="22"/>
        </w:rPr>
        <w:tab/>
        <w:t>vyrážka</w:t>
      </w:r>
    </w:p>
    <w:p w14:paraId="0022BECA" w14:textId="2D26D729" w:rsidR="005E7890" w:rsidRPr="002E6863" w:rsidRDefault="005E7890" w:rsidP="00EA37D1">
      <w:pPr>
        <w:numPr>
          <w:ilvl w:val="12"/>
          <w:numId w:val="0"/>
        </w:numPr>
        <w:tabs>
          <w:tab w:val="left" w:pos="1843"/>
        </w:tabs>
        <w:rPr>
          <w:sz w:val="22"/>
          <w:szCs w:val="22"/>
        </w:rPr>
      </w:pPr>
    </w:p>
    <w:p w14:paraId="4FFDF4AB" w14:textId="322397A9" w:rsidR="00F120F9" w:rsidRPr="002E6863" w:rsidRDefault="005E7890" w:rsidP="00EA37D1">
      <w:pPr>
        <w:numPr>
          <w:ilvl w:val="12"/>
          <w:numId w:val="0"/>
        </w:numPr>
        <w:ind w:left="1843" w:hanging="1843"/>
        <w:rPr>
          <w:sz w:val="22"/>
          <w:szCs w:val="22"/>
        </w:rPr>
      </w:pPr>
      <w:r w:rsidRPr="002E6863">
        <w:rPr>
          <w:sz w:val="22"/>
          <w:szCs w:val="22"/>
        </w:rPr>
        <w:t>Veľmi zriedkavé:</w:t>
      </w:r>
      <w:r w:rsidRPr="002E6863">
        <w:rPr>
          <w:sz w:val="22"/>
          <w:szCs w:val="22"/>
        </w:rPr>
        <w:tab/>
      </w:r>
      <w:r w:rsidR="00E60A8C">
        <w:rPr>
          <w:sz w:val="22"/>
          <w:szCs w:val="22"/>
        </w:rPr>
        <w:t>fotosenzitívna reakcia</w:t>
      </w:r>
      <w:r w:rsidRPr="002E6863">
        <w:rPr>
          <w:sz w:val="22"/>
          <w:szCs w:val="22"/>
        </w:rPr>
        <w:t>, exfo</w:t>
      </w:r>
      <w:r w:rsidR="003963A3" w:rsidRPr="002E6863">
        <w:rPr>
          <w:sz w:val="22"/>
          <w:szCs w:val="22"/>
        </w:rPr>
        <w:t>lia</w:t>
      </w:r>
      <w:r w:rsidR="006539F9">
        <w:rPr>
          <w:sz w:val="22"/>
          <w:szCs w:val="22"/>
        </w:rPr>
        <w:t>tívna</w:t>
      </w:r>
      <w:r w:rsidR="003963A3" w:rsidRPr="002E6863">
        <w:rPr>
          <w:sz w:val="22"/>
          <w:szCs w:val="22"/>
        </w:rPr>
        <w:t xml:space="preserve"> derma</w:t>
      </w:r>
      <w:r w:rsidRPr="002E6863">
        <w:rPr>
          <w:sz w:val="22"/>
          <w:szCs w:val="22"/>
        </w:rPr>
        <w:t xml:space="preserve">titída, </w:t>
      </w:r>
      <w:r w:rsidR="00E60A8C">
        <w:rPr>
          <w:sz w:val="22"/>
          <w:szCs w:val="22"/>
        </w:rPr>
        <w:t xml:space="preserve">angioedém, </w:t>
      </w:r>
      <w:r w:rsidRPr="002E6863">
        <w:rPr>
          <w:sz w:val="22"/>
          <w:szCs w:val="22"/>
        </w:rPr>
        <w:t xml:space="preserve">stála vyrážka po podaní lieku, </w:t>
      </w:r>
      <w:r w:rsidR="006C2B04" w:rsidRPr="002E6863">
        <w:rPr>
          <w:sz w:val="22"/>
          <w:szCs w:val="22"/>
        </w:rPr>
        <w:t xml:space="preserve">multiformný </w:t>
      </w:r>
      <w:r w:rsidRPr="002E6863">
        <w:rPr>
          <w:sz w:val="22"/>
          <w:szCs w:val="22"/>
        </w:rPr>
        <w:t>eryt</w:t>
      </w:r>
      <w:r w:rsidR="006C2B04" w:rsidRPr="002E6863">
        <w:rPr>
          <w:sz w:val="22"/>
          <w:szCs w:val="22"/>
        </w:rPr>
        <w:t>ém</w:t>
      </w:r>
      <w:r w:rsidR="00E20F20">
        <w:rPr>
          <w:sz w:val="22"/>
          <w:szCs w:val="22"/>
        </w:rPr>
        <w:t>,</w:t>
      </w:r>
      <w:r w:rsidR="00F120F9" w:rsidRPr="002E6863">
        <w:rPr>
          <w:sz w:val="22"/>
          <w:szCs w:val="22"/>
        </w:rPr>
        <w:t xml:space="preserve"> Stevensov-Johnsonov syndróm </w:t>
      </w:r>
      <w:r w:rsidR="00E20F20">
        <w:rPr>
          <w:sz w:val="22"/>
          <w:szCs w:val="22"/>
        </w:rPr>
        <w:t>(SJS)</w:t>
      </w:r>
      <w:r w:rsidR="001D0B77">
        <w:rPr>
          <w:sz w:val="22"/>
          <w:szCs w:val="22"/>
        </w:rPr>
        <w:t>*</w:t>
      </w:r>
      <w:r w:rsidR="00E20F20">
        <w:rPr>
          <w:sz w:val="22"/>
          <w:szCs w:val="22"/>
        </w:rPr>
        <w:t xml:space="preserve"> </w:t>
      </w:r>
      <w:r w:rsidR="00F120F9" w:rsidRPr="002E6863">
        <w:rPr>
          <w:sz w:val="22"/>
          <w:szCs w:val="22"/>
        </w:rPr>
        <w:t>a toxická epidermálna nekrolýza (</w:t>
      </w:r>
      <w:r w:rsidR="00E20F20">
        <w:rPr>
          <w:sz w:val="22"/>
          <w:szCs w:val="22"/>
        </w:rPr>
        <w:t>TEN</w:t>
      </w:r>
      <w:r w:rsidR="00F120F9" w:rsidRPr="002E6863">
        <w:rPr>
          <w:sz w:val="22"/>
          <w:szCs w:val="22"/>
        </w:rPr>
        <w:t>)</w:t>
      </w:r>
      <w:r w:rsidR="001D0B77">
        <w:rPr>
          <w:sz w:val="22"/>
          <w:szCs w:val="22"/>
        </w:rPr>
        <w:t>*</w:t>
      </w:r>
      <w:r w:rsidR="00E20F20">
        <w:rPr>
          <w:sz w:val="22"/>
          <w:szCs w:val="22"/>
        </w:rPr>
        <w:t>(</w:t>
      </w:r>
      <w:r w:rsidR="00F120F9" w:rsidRPr="002E6863">
        <w:rPr>
          <w:sz w:val="22"/>
          <w:szCs w:val="22"/>
        </w:rPr>
        <w:t>pozri časť 4.4</w:t>
      </w:r>
      <w:r w:rsidR="00E20F20">
        <w:rPr>
          <w:sz w:val="22"/>
          <w:szCs w:val="22"/>
        </w:rPr>
        <w:t>)</w:t>
      </w:r>
      <w:r w:rsidR="00F120F9" w:rsidRPr="002E6863">
        <w:rPr>
          <w:sz w:val="22"/>
          <w:szCs w:val="22"/>
        </w:rPr>
        <w:t xml:space="preserve">. </w:t>
      </w:r>
    </w:p>
    <w:p w14:paraId="5CA0212F" w14:textId="77777777" w:rsidR="005E7890" w:rsidRPr="002E6863" w:rsidRDefault="005E7890" w:rsidP="00EA37D1">
      <w:pPr>
        <w:numPr>
          <w:ilvl w:val="12"/>
          <w:numId w:val="0"/>
        </w:numPr>
        <w:tabs>
          <w:tab w:val="left" w:pos="1843"/>
        </w:tabs>
        <w:rPr>
          <w:sz w:val="22"/>
          <w:szCs w:val="22"/>
        </w:rPr>
      </w:pPr>
    </w:p>
    <w:p w14:paraId="0625E0DE" w14:textId="77777777" w:rsidR="005E7890" w:rsidRPr="002E6863" w:rsidRDefault="005E7890" w:rsidP="00EA37D1">
      <w:pPr>
        <w:numPr>
          <w:ilvl w:val="12"/>
          <w:numId w:val="0"/>
        </w:numPr>
        <w:tabs>
          <w:tab w:val="left" w:pos="1843"/>
        </w:tabs>
        <w:rPr>
          <w:i/>
          <w:sz w:val="22"/>
          <w:szCs w:val="22"/>
        </w:rPr>
      </w:pPr>
      <w:r w:rsidRPr="002E6863">
        <w:rPr>
          <w:i/>
          <w:sz w:val="22"/>
          <w:szCs w:val="22"/>
        </w:rPr>
        <w:t>Poruchy kostrovej a svalovej sústavy a spojivového tkaniva</w:t>
      </w:r>
    </w:p>
    <w:p w14:paraId="7630617D" w14:textId="77777777" w:rsidR="005E7890" w:rsidRPr="002E6863" w:rsidRDefault="005E7890" w:rsidP="00EA37D1">
      <w:pPr>
        <w:numPr>
          <w:ilvl w:val="12"/>
          <w:numId w:val="0"/>
        </w:numPr>
        <w:tabs>
          <w:tab w:val="left" w:pos="1843"/>
        </w:tabs>
        <w:rPr>
          <w:sz w:val="22"/>
          <w:szCs w:val="22"/>
        </w:rPr>
      </w:pPr>
      <w:r w:rsidRPr="002E6863">
        <w:rPr>
          <w:sz w:val="22"/>
          <w:szCs w:val="22"/>
        </w:rPr>
        <w:t>Veľmi zriedkavé:</w:t>
      </w:r>
      <w:r w:rsidRPr="002E6863">
        <w:rPr>
          <w:sz w:val="22"/>
          <w:szCs w:val="22"/>
        </w:rPr>
        <w:tab/>
        <w:t>artralgia, myalgia</w:t>
      </w:r>
    </w:p>
    <w:p w14:paraId="3918E522" w14:textId="77777777" w:rsidR="000D5BFB" w:rsidRPr="002E6863" w:rsidRDefault="000D5BFB" w:rsidP="00EA37D1">
      <w:pPr>
        <w:numPr>
          <w:ilvl w:val="12"/>
          <w:numId w:val="0"/>
        </w:numPr>
        <w:tabs>
          <w:tab w:val="left" w:pos="1843"/>
        </w:tabs>
        <w:rPr>
          <w:sz w:val="22"/>
          <w:szCs w:val="22"/>
        </w:rPr>
      </w:pPr>
    </w:p>
    <w:p w14:paraId="0B1B1269" w14:textId="77777777" w:rsidR="005E7890" w:rsidRPr="002E6863" w:rsidRDefault="005E7890" w:rsidP="00EA37D1">
      <w:pPr>
        <w:numPr>
          <w:ilvl w:val="12"/>
          <w:numId w:val="0"/>
        </w:numPr>
        <w:tabs>
          <w:tab w:val="left" w:pos="1843"/>
        </w:tabs>
        <w:rPr>
          <w:sz w:val="22"/>
          <w:szCs w:val="22"/>
        </w:rPr>
      </w:pPr>
      <w:r w:rsidRPr="002E6863">
        <w:rPr>
          <w:i/>
          <w:sz w:val="22"/>
          <w:szCs w:val="22"/>
        </w:rPr>
        <w:t>Poruchy obličiek a močových ciest</w:t>
      </w:r>
    </w:p>
    <w:p w14:paraId="289DFD72" w14:textId="7FDE168E" w:rsidR="005E7890" w:rsidRPr="002E6863" w:rsidRDefault="005E7890" w:rsidP="00EA37D1">
      <w:pPr>
        <w:numPr>
          <w:ilvl w:val="12"/>
          <w:numId w:val="0"/>
        </w:numPr>
        <w:tabs>
          <w:tab w:val="left" w:pos="1843"/>
        </w:tabs>
        <w:ind w:left="1843" w:hanging="1843"/>
        <w:rPr>
          <w:sz w:val="22"/>
          <w:szCs w:val="22"/>
        </w:rPr>
      </w:pPr>
      <w:r w:rsidRPr="002E6863">
        <w:rPr>
          <w:sz w:val="22"/>
          <w:szCs w:val="22"/>
        </w:rPr>
        <w:t>Veľmi zriedkavé:</w:t>
      </w:r>
      <w:r w:rsidRPr="002E6863">
        <w:rPr>
          <w:sz w:val="22"/>
          <w:szCs w:val="22"/>
        </w:rPr>
        <w:tab/>
      </w:r>
      <w:r w:rsidR="001D0B77">
        <w:rPr>
          <w:sz w:val="22"/>
          <w:szCs w:val="22"/>
        </w:rPr>
        <w:t xml:space="preserve">renálna </w:t>
      </w:r>
      <w:r w:rsidRPr="002E6863">
        <w:rPr>
          <w:sz w:val="22"/>
          <w:szCs w:val="22"/>
        </w:rPr>
        <w:t xml:space="preserve">porucha (niekedy hlásená ako zlyhávanie obličiek), </w:t>
      </w:r>
      <w:r w:rsidR="00BA633B">
        <w:rPr>
          <w:sz w:val="22"/>
          <w:szCs w:val="22"/>
        </w:rPr>
        <w:t xml:space="preserve">syndróm </w:t>
      </w:r>
      <w:r w:rsidR="001D0B77">
        <w:rPr>
          <w:sz w:val="22"/>
          <w:szCs w:val="22"/>
        </w:rPr>
        <w:t>tubulo</w:t>
      </w:r>
      <w:r w:rsidRPr="002E6863">
        <w:rPr>
          <w:sz w:val="22"/>
          <w:szCs w:val="22"/>
        </w:rPr>
        <w:t>intersticiáln</w:t>
      </w:r>
      <w:r w:rsidR="00BA633B">
        <w:rPr>
          <w:sz w:val="22"/>
          <w:szCs w:val="22"/>
        </w:rPr>
        <w:t>ej</w:t>
      </w:r>
      <w:r w:rsidR="00EA37D1">
        <w:rPr>
          <w:sz w:val="22"/>
          <w:szCs w:val="22"/>
        </w:rPr>
        <w:t xml:space="preserve"> </w:t>
      </w:r>
      <w:r w:rsidR="003A4E73" w:rsidRPr="002E6863">
        <w:rPr>
          <w:sz w:val="22"/>
          <w:szCs w:val="22"/>
        </w:rPr>
        <w:t>n</w:t>
      </w:r>
      <w:r w:rsidRPr="002E6863">
        <w:rPr>
          <w:sz w:val="22"/>
          <w:szCs w:val="22"/>
        </w:rPr>
        <w:t>efritíd</w:t>
      </w:r>
      <w:r w:rsidR="00BA633B">
        <w:rPr>
          <w:sz w:val="22"/>
          <w:szCs w:val="22"/>
        </w:rPr>
        <w:t>y</w:t>
      </w:r>
      <w:r w:rsidR="001D0B77">
        <w:rPr>
          <w:sz w:val="22"/>
          <w:szCs w:val="22"/>
        </w:rPr>
        <w:t xml:space="preserve"> </w:t>
      </w:r>
      <w:r w:rsidR="00BA633B">
        <w:rPr>
          <w:sz w:val="22"/>
          <w:szCs w:val="22"/>
        </w:rPr>
        <w:t xml:space="preserve"> s </w:t>
      </w:r>
      <w:r w:rsidR="001D0B77">
        <w:rPr>
          <w:sz w:val="22"/>
          <w:szCs w:val="22"/>
        </w:rPr>
        <w:t>uveitíd</w:t>
      </w:r>
      <w:r w:rsidR="00BA633B">
        <w:rPr>
          <w:sz w:val="22"/>
          <w:szCs w:val="22"/>
        </w:rPr>
        <w:t>ou</w:t>
      </w:r>
      <w:r w:rsidR="001D0B77">
        <w:rPr>
          <w:sz w:val="22"/>
          <w:szCs w:val="22"/>
        </w:rPr>
        <w:t>, renálna tubulárna acidóza</w:t>
      </w:r>
    </w:p>
    <w:p w14:paraId="5010B3D6" w14:textId="77777777" w:rsidR="001D0B77" w:rsidRDefault="001D0B77" w:rsidP="001D0B77">
      <w:pPr>
        <w:tabs>
          <w:tab w:val="left" w:pos="1843"/>
        </w:tabs>
        <w:rPr>
          <w:sz w:val="22"/>
          <w:szCs w:val="22"/>
          <w:u w:val="single"/>
        </w:rPr>
      </w:pPr>
    </w:p>
    <w:p w14:paraId="2BD00624" w14:textId="77777777" w:rsidR="001D0B77" w:rsidRPr="006437B8" w:rsidRDefault="001D0B77" w:rsidP="00EA37D1">
      <w:pPr>
        <w:numPr>
          <w:ilvl w:val="12"/>
          <w:numId w:val="0"/>
        </w:numPr>
        <w:tabs>
          <w:tab w:val="left" w:pos="1843"/>
        </w:tabs>
        <w:rPr>
          <w:sz w:val="22"/>
          <w:szCs w:val="22"/>
        </w:rPr>
      </w:pPr>
      <w:r w:rsidRPr="006437B8">
        <w:rPr>
          <w:sz w:val="22"/>
          <w:szCs w:val="22"/>
        </w:rPr>
        <w:t>* pozri opis vybraných nežiaducich reakcií</w:t>
      </w:r>
    </w:p>
    <w:p w14:paraId="66884E0B" w14:textId="77777777" w:rsidR="001D0B77" w:rsidRPr="001D0B77" w:rsidRDefault="001D0B77" w:rsidP="00EA37D1">
      <w:pPr>
        <w:numPr>
          <w:ilvl w:val="12"/>
          <w:numId w:val="0"/>
        </w:numPr>
        <w:tabs>
          <w:tab w:val="left" w:pos="1843"/>
        </w:tabs>
        <w:rPr>
          <w:sz w:val="22"/>
          <w:szCs w:val="22"/>
          <w:u w:val="single"/>
        </w:rPr>
      </w:pPr>
    </w:p>
    <w:p w14:paraId="1626FA54" w14:textId="77777777" w:rsidR="001D0B77" w:rsidRPr="001D0B77" w:rsidRDefault="001D0B77" w:rsidP="00BC56B3">
      <w:pPr>
        <w:pStyle w:val="HTML-wstpniesformatowany"/>
        <w:keepNext/>
        <w:shd w:val="clear" w:color="auto" w:fill="FFFFFF"/>
        <w:rPr>
          <w:rFonts w:ascii="Times New Roman" w:hAnsi="Times New Roman" w:cs="Times New Roman"/>
          <w:color w:val="212121"/>
          <w:sz w:val="22"/>
          <w:szCs w:val="22"/>
        </w:rPr>
      </w:pPr>
      <w:r w:rsidRPr="001D0B77">
        <w:rPr>
          <w:rFonts w:ascii="Times New Roman" w:hAnsi="Times New Roman" w:cs="Times New Roman"/>
          <w:color w:val="212121"/>
          <w:sz w:val="22"/>
          <w:szCs w:val="22"/>
        </w:rPr>
        <w:t>Opis vybraných nežiaducich reakcií</w:t>
      </w:r>
    </w:p>
    <w:p w14:paraId="705E256E" w14:textId="77777777" w:rsidR="001D0B77" w:rsidRPr="001D0B77" w:rsidRDefault="001D0B77" w:rsidP="00BC56B3">
      <w:pPr>
        <w:pStyle w:val="HTML-wstpniesformatowany"/>
        <w:keepNext/>
        <w:shd w:val="clear" w:color="auto" w:fill="FFFFFF"/>
        <w:rPr>
          <w:rFonts w:ascii="Times New Roman" w:hAnsi="Times New Roman" w:cs="Times New Roman"/>
          <w:color w:val="212121"/>
          <w:sz w:val="22"/>
          <w:szCs w:val="22"/>
        </w:rPr>
      </w:pPr>
    </w:p>
    <w:p w14:paraId="66CEE0A6" w14:textId="77777777" w:rsidR="001D0B77" w:rsidRPr="001D0B77" w:rsidRDefault="001D0B77" w:rsidP="00BC56B3">
      <w:pPr>
        <w:pStyle w:val="HTML-wstpniesformatowany"/>
        <w:keepNext/>
        <w:shd w:val="clear" w:color="auto" w:fill="FFFFFF"/>
        <w:rPr>
          <w:rFonts w:ascii="Times New Roman" w:hAnsi="Times New Roman" w:cs="Times New Roman"/>
          <w:i/>
          <w:color w:val="212121"/>
          <w:sz w:val="22"/>
          <w:szCs w:val="22"/>
        </w:rPr>
      </w:pPr>
      <w:r w:rsidRPr="001D0B77">
        <w:rPr>
          <w:rFonts w:ascii="Times New Roman" w:hAnsi="Times New Roman" w:cs="Times New Roman"/>
          <w:i/>
          <w:color w:val="212121"/>
          <w:sz w:val="22"/>
          <w:szCs w:val="22"/>
        </w:rPr>
        <w:t>Aseptická meningitída</w:t>
      </w:r>
    </w:p>
    <w:p w14:paraId="298D2B87" w14:textId="77777777" w:rsidR="001D0B77" w:rsidRPr="001D0B77" w:rsidRDefault="001D0B77" w:rsidP="001D0B77">
      <w:pPr>
        <w:pStyle w:val="HTML-wstpniesformatowany"/>
        <w:shd w:val="clear" w:color="auto" w:fill="FFFFFF"/>
        <w:rPr>
          <w:rFonts w:ascii="Times New Roman" w:hAnsi="Times New Roman" w:cs="Times New Roman"/>
          <w:color w:val="212121"/>
          <w:sz w:val="22"/>
          <w:szCs w:val="22"/>
        </w:rPr>
      </w:pPr>
      <w:r w:rsidRPr="00F00777">
        <w:rPr>
          <w:rFonts w:ascii="Times New Roman" w:hAnsi="Times New Roman" w:cs="Times New Roman"/>
          <w:color w:val="212121"/>
          <w:sz w:val="22"/>
          <w:szCs w:val="22"/>
        </w:rPr>
        <w:t>Aseptick</w:t>
      </w:r>
      <w:r w:rsidRPr="00F00777">
        <w:rPr>
          <w:rFonts w:ascii="Times New Roman" w:hAnsi="Times New Roman" w:cs="Times New Roman" w:hint="eastAsia"/>
          <w:color w:val="212121"/>
          <w:sz w:val="22"/>
          <w:szCs w:val="22"/>
        </w:rPr>
        <w:t>á</w:t>
      </w:r>
      <w:r w:rsidRPr="00F00777">
        <w:rPr>
          <w:rFonts w:ascii="Times New Roman" w:hAnsi="Times New Roman" w:cs="Times New Roman"/>
          <w:color w:val="212121"/>
          <w:sz w:val="22"/>
          <w:szCs w:val="22"/>
        </w:rPr>
        <w:t xml:space="preserve"> meningit</w:t>
      </w:r>
      <w:r w:rsidRPr="00F00777">
        <w:rPr>
          <w:rFonts w:ascii="Times New Roman" w:hAnsi="Times New Roman" w:cs="Times New Roman" w:hint="eastAsia"/>
          <w:color w:val="212121"/>
          <w:sz w:val="22"/>
          <w:szCs w:val="22"/>
        </w:rPr>
        <w:t>í</w:t>
      </w:r>
      <w:r w:rsidRPr="00F00777">
        <w:rPr>
          <w:rFonts w:ascii="Times New Roman" w:hAnsi="Times New Roman" w:cs="Times New Roman"/>
          <w:color w:val="212121"/>
          <w:sz w:val="22"/>
          <w:szCs w:val="22"/>
        </w:rPr>
        <w:t>da bola r</w:t>
      </w:r>
      <w:r w:rsidRPr="00F00777">
        <w:rPr>
          <w:rFonts w:ascii="Times New Roman" w:hAnsi="Times New Roman" w:cs="Times New Roman" w:hint="eastAsia"/>
          <w:color w:val="212121"/>
          <w:sz w:val="22"/>
          <w:szCs w:val="22"/>
        </w:rPr>
        <w:t>ý</w:t>
      </w:r>
      <w:r w:rsidRPr="00F00777">
        <w:rPr>
          <w:rFonts w:ascii="Times New Roman" w:hAnsi="Times New Roman" w:cs="Times New Roman"/>
          <w:color w:val="212121"/>
          <w:sz w:val="22"/>
          <w:szCs w:val="22"/>
        </w:rPr>
        <w:t>chlo reverzibiln</w:t>
      </w:r>
      <w:r w:rsidRPr="00F00777">
        <w:rPr>
          <w:rFonts w:ascii="Times New Roman" w:hAnsi="Times New Roman" w:cs="Times New Roman" w:hint="eastAsia"/>
          <w:color w:val="212121"/>
          <w:sz w:val="22"/>
          <w:szCs w:val="22"/>
        </w:rPr>
        <w:t>á</w:t>
      </w:r>
      <w:r w:rsidRPr="00F00777">
        <w:rPr>
          <w:rFonts w:ascii="Times New Roman" w:hAnsi="Times New Roman" w:cs="Times New Roman"/>
          <w:color w:val="212121"/>
          <w:sz w:val="22"/>
          <w:szCs w:val="22"/>
        </w:rPr>
        <w:t xml:space="preserve"> po vysaden</w:t>
      </w:r>
      <w:r w:rsidRPr="00F00777">
        <w:rPr>
          <w:rFonts w:ascii="Times New Roman" w:hAnsi="Times New Roman" w:cs="Times New Roman" w:hint="eastAsia"/>
          <w:color w:val="212121"/>
          <w:sz w:val="22"/>
          <w:szCs w:val="22"/>
        </w:rPr>
        <w:t>í</w:t>
      </w:r>
      <w:r w:rsidRPr="00F00777">
        <w:rPr>
          <w:rFonts w:ascii="Times New Roman" w:hAnsi="Times New Roman" w:cs="Times New Roman"/>
          <w:color w:val="212121"/>
          <w:sz w:val="22"/>
          <w:szCs w:val="22"/>
        </w:rPr>
        <w:t xml:space="preserve"> lieku, av</w:t>
      </w:r>
      <w:r w:rsidRPr="00F00777">
        <w:rPr>
          <w:rFonts w:ascii="Times New Roman" w:hAnsi="Times New Roman" w:cs="Times New Roman" w:hint="eastAsia"/>
          <w:color w:val="212121"/>
          <w:sz w:val="22"/>
          <w:szCs w:val="22"/>
        </w:rPr>
        <w:t>š</w:t>
      </w:r>
      <w:r w:rsidRPr="00F00777">
        <w:rPr>
          <w:rFonts w:ascii="Times New Roman" w:hAnsi="Times New Roman" w:cs="Times New Roman"/>
          <w:color w:val="212121"/>
          <w:sz w:val="22"/>
          <w:szCs w:val="22"/>
        </w:rPr>
        <w:t>ak v mnoh</w:t>
      </w:r>
      <w:r w:rsidRPr="00F00777">
        <w:rPr>
          <w:rFonts w:ascii="Times New Roman" w:hAnsi="Times New Roman" w:cs="Times New Roman" w:hint="eastAsia"/>
          <w:color w:val="212121"/>
          <w:sz w:val="22"/>
          <w:szCs w:val="22"/>
        </w:rPr>
        <w:t>ý</w:t>
      </w:r>
      <w:r w:rsidRPr="00F00777">
        <w:rPr>
          <w:rFonts w:ascii="Times New Roman" w:hAnsi="Times New Roman" w:cs="Times New Roman"/>
          <w:color w:val="212121"/>
          <w:sz w:val="22"/>
          <w:szCs w:val="22"/>
        </w:rPr>
        <w:t>ch pr</w:t>
      </w:r>
      <w:r w:rsidRPr="00F00777">
        <w:rPr>
          <w:rFonts w:ascii="Times New Roman" w:hAnsi="Times New Roman" w:cs="Times New Roman" w:hint="eastAsia"/>
          <w:color w:val="212121"/>
          <w:sz w:val="22"/>
          <w:szCs w:val="22"/>
        </w:rPr>
        <w:t>í</w:t>
      </w:r>
      <w:r w:rsidRPr="00F00777">
        <w:rPr>
          <w:rFonts w:ascii="Times New Roman" w:hAnsi="Times New Roman" w:cs="Times New Roman"/>
          <w:color w:val="212121"/>
          <w:sz w:val="22"/>
          <w:szCs w:val="22"/>
        </w:rPr>
        <w:t>padoch sa opakoval</w:t>
      </w:r>
      <w:r w:rsidRPr="001D0B77">
        <w:rPr>
          <w:rFonts w:ascii="Times New Roman" w:hAnsi="Times New Roman" w:cs="Times New Roman"/>
          <w:color w:val="212121"/>
          <w:sz w:val="22"/>
          <w:szCs w:val="22"/>
        </w:rPr>
        <w:t>a po opätovnom vystavení buď kotrimoxazolu alebo samotnému trimetoprimu.</w:t>
      </w:r>
    </w:p>
    <w:p w14:paraId="27CBB11D" w14:textId="77777777" w:rsidR="001D0B77" w:rsidRPr="001D0B77" w:rsidRDefault="001D0B77" w:rsidP="001D0B77">
      <w:pPr>
        <w:pStyle w:val="HTML-wstpniesformatowany"/>
        <w:shd w:val="clear" w:color="auto" w:fill="FFFFFF"/>
        <w:rPr>
          <w:rFonts w:ascii="Times New Roman" w:hAnsi="Times New Roman" w:cs="Times New Roman"/>
          <w:color w:val="212121"/>
          <w:sz w:val="22"/>
          <w:szCs w:val="22"/>
        </w:rPr>
      </w:pPr>
    </w:p>
    <w:p w14:paraId="4C565B8F" w14:textId="77777777" w:rsidR="001D0B77" w:rsidRPr="001D0B77" w:rsidRDefault="001D0B77" w:rsidP="001D0B77">
      <w:pPr>
        <w:pStyle w:val="HTML-wstpniesformatowany"/>
        <w:shd w:val="clear" w:color="auto" w:fill="FFFFFF"/>
        <w:rPr>
          <w:rFonts w:ascii="Times New Roman" w:hAnsi="Times New Roman" w:cs="Times New Roman"/>
          <w:i/>
          <w:color w:val="212121"/>
          <w:sz w:val="22"/>
          <w:szCs w:val="22"/>
        </w:rPr>
      </w:pPr>
      <w:r w:rsidRPr="001D0B77">
        <w:rPr>
          <w:rFonts w:ascii="Times New Roman" w:hAnsi="Times New Roman" w:cs="Times New Roman"/>
          <w:i/>
          <w:color w:val="212121"/>
          <w:sz w:val="22"/>
          <w:szCs w:val="22"/>
        </w:rPr>
        <w:t>Pľúcne hypersenzitívne reakcie</w:t>
      </w:r>
    </w:p>
    <w:p w14:paraId="2803555E" w14:textId="77777777" w:rsidR="001D0B77" w:rsidRPr="001D0B77" w:rsidRDefault="001D0B77" w:rsidP="001D0B77">
      <w:pPr>
        <w:pStyle w:val="HTML-wstpniesformatowany"/>
        <w:shd w:val="clear" w:color="auto" w:fill="FFFFFF"/>
        <w:rPr>
          <w:rFonts w:ascii="Times New Roman" w:hAnsi="Times New Roman" w:cs="Times New Roman"/>
          <w:color w:val="212121"/>
          <w:sz w:val="22"/>
          <w:szCs w:val="22"/>
        </w:rPr>
      </w:pPr>
      <w:r w:rsidRPr="001D0B77">
        <w:rPr>
          <w:rFonts w:ascii="Times New Roman" w:hAnsi="Times New Roman" w:cs="Times New Roman"/>
          <w:color w:val="212121"/>
          <w:sz w:val="22"/>
          <w:szCs w:val="22"/>
        </w:rPr>
        <w:t xml:space="preserve">Kašeľ, dyspnoe a pľúcna infiltrácia môžu byť </w:t>
      </w:r>
      <w:r>
        <w:rPr>
          <w:rFonts w:ascii="Times New Roman" w:hAnsi="Times New Roman" w:cs="Times New Roman"/>
          <w:color w:val="212121"/>
          <w:sz w:val="22"/>
          <w:szCs w:val="22"/>
        </w:rPr>
        <w:t>včasnými</w:t>
      </w:r>
      <w:r w:rsidRPr="001D0B77">
        <w:rPr>
          <w:rFonts w:ascii="Times New Roman" w:hAnsi="Times New Roman" w:cs="Times New Roman"/>
          <w:color w:val="212121"/>
          <w:sz w:val="22"/>
          <w:szCs w:val="22"/>
        </w:rPr>
        <w:t xml:space="preserve"> indikátormi</w:t>
      </w:r>
      <w:r>
        <w:rPr>
          <w:rFonts w:ascii="Times New Roman" w:hAnsi="Times New Roman" w:cs="Times New Roman"/>
          <w:color w:val="212121"/>
          <w:sz w:val="22"/>
          <w:szCs w:val="22"/>
        </w:rPr>
        <w:t xml:space="preserve"> pľúcnej hypersenzitivity</w:t>
      </w:r>
      <w:r w:rsidRPr="001D0B77">
        <w:rPr>
          <w:rFonts w:ascii="Times New Roman" w:hAnsi="Times New Roman" w:cs="Times New Roman"/>
          <w:color w:val="212121"/>
          <w:sz w:val="22"/>
          <w:szCs w:val="22"/>
        </w:rPr>
        <w:t>, ktorá bola síce ve</w:t>
      </w:r>
      <w:r>
        <w:rPr>
          <w:rFonts w:ascii="Times New Roman" w:hAnsi="Times New Roman" w:cs="Times New Roman"/>
          <w:color w:val="212121"/>
          <w:sz w:val="22"/>
          <w:szCs w:val="22"/>
        </w:rPr>
        <w:t>ľmi zriedkavá, ale bola fatálna</w:t>
      </w:r>
      <w:r w:rsidRPr="001D0B77">
        <w:rPr>
          <w:rFonts w:ascii="Times New Roman" w:hAnsi="Times New Roman" w:cs="Times New Roman"/>
          <w:color w:val="212121"/>
          <w:sz w:val="22"/>
          <w:szCs w:val="22"/>
        </w:rPr>
        <w:t>.</w:t>
      </w:r>
    </w:p>
    <w:p w14:paraId="22EEB784" w14:textId="77777777" w:rsidR="001D0B77" w:rsidRPr="001D0B77" w:rsidRDefault="001D0B77" w:rsidP="001D0B77">
      <w:pPr>
        <w:pStyle w:val="HTML-wstpniesformatowany"/>
        <w:shd w:val="clear" w:color="auto" w:fill="FFFFFF"/>
        <w:rPr>
          <w:rFonts w:ascii="Times New Roman" w:hAnsi="Times New Roman" w:cs="Times New Roman"/>
          <w:color w:val="212121"/>
          <w:sz w:val="22"/>
          <w:szCs w:val="22"/>
        </w:rPr>
      </w:pPr>
    </w:p>
    <w:p w14:paraId="3B02F78E" w14:textId="77777777" w:rsidR="001D0B77" w:rsidRPr="001D0B77" w:rsidRDefault="001D0B77" w:rsidP="001D0B77">
      <w:pPr>
        <w:pStyle w:val="HTML-wstpniesformatowany"/>
        <w:shd w:val="clear" w:color="auto" w:fill="FFFFFF"/>
        <w:rPr>
          <w:rFonts w:ascii="Times New Roman" w:hAnsi="Times New Roman" w:cs="Times New Roman"/>
          <w:i/>
          <w:color w:val="212121"/>
          <w:sz w:val="22"/>
          <w:szCs w:val="22"/>
        </w:rPr>
      </w:pPr>
      <w:r w:rsidRPr="001D0B77">
        <w:rPr>
          <w:rFonts w:ascii="Times New Roman" w:hAnsi="Times New Roman" w:cs="Times New Roman"/>
          <w:i/>
          <w:color w:val="212121"/>
          <w:sz w:val="22"/>
          <w:szCs w:val="22"/>
        </w:rPr>
        <w:t>Poruchy pečene a žlčových ciest</w:t>
      </w:r>
    </w:p>
    <w:p w14:paraId="7BDFC9B1" w14:textId="77777777" w:rsidR="001D0B77" w:rsidRPr="001D0B77" w:rsidRDefault="001D0B77" w:rsidP="001D0B77">
      <w:pPr>
        <w:pStyle w:val="HTML-wstpniesformatowany"/>
        <w:shd w:val="clear" w:color="auto" w:fill="FFFFFF"/>
        <w:rPr>
          <w:rFonts w:ascii="Times New Roman" w:hAnsi="Times New Roman" w:cs="Times New Roman"/>
          <w:color w:val="212121"/>
          <w:sz w:val="22"/>
          <w:szCs w:val="22"/>
        </w:rPr>
      </w:pPr>
      <w:r>
        <w:rPr>
          <w:rFonts w:ascii="Times New Roman" w:hAnsi="Times New Roman" w:cs="Times New Roman"/>
          <w:color w:val="212121"/>
          <w:sz w:val="22"/>
          <w:szCs w:val="22"/>
        </w:rPr>
        <w:t>C</w:t>
      </w:r>
      <w:r w:rsidRPr="001D0B77">
        <w:rPr>
          <w:rFonts w:ascii="Times New Roman" w:hAnsi="Times New Roman" w:cs="Times New Roman"/>
          <w:color w:val="212121"/>
          <w:sz w:val="22"/>
          <w:szCs w:val="22"/>
        </w:rPr>
        <w:t xml:space="preserve">holestatická </w:t>
      </w:r>
      <w:r>
        <w:rPr>
          <w:rFonts w:ascii="Times New Roman" w:hAnsi="Times New Roman" w:cs="Times New Roman"/>
          <w:color w:val="212121"/>
          <w:sz w:val="22"/>
          <w:szCs w:val="22"/>
        </w:rPr>
        <w:t>žltačka a hepatálna nekróza môžu byť fatálne</w:t>
      </w:r>
      <w:r w:rsidRPr="001D0B77">
        <w:rPr>
          <w:rFonts w:ascii="Times New Roman" w:hAnsi="Times New Roman" w:cs="Times New Roman"/>
          <w:color w:val="212121"/>
          <w:sz w:val="22"/>
          <w:szCs w:val="22"/>
        </w:rPr>
        <w:t>.</w:t>
      </w:r>
    </w:p>
    <w:p w14:paraId="5349739A" w14:textId="77777777" w:rsidR="001D0B77" w:rsidRPr="001D0B77" w:rsidRDefault="001D0B77" w:rsidP="001D0B77">
      <w:pPr>
        <w:pStyle w:val="HTML-wstpniesformatowany"/>
        <w:shd w:val="clear" w:color="auto" w:fill="FFFFFF"/>
        <w:rPr>
          <w:rFonts w:ascii="Times New Roman" w:hAnsi="Times New Roman" w:cs="Times New Roman"/>
          <w:color w:val="212121"/>
          <w:sz w:val="22"/>
          <w:szCs w:val="22"/>
        </w:rPr>
      </w:pPr>
    </w:p>
    <w:p w14:paraId="43E4AECA" w14:textId="77777777" w:rsidR="001D0B77" w:rsidRPr="001D0B77" w:rsidRDefault="001D0B77" w:rsidP="001D0B77">
      <w:pPr>
        <w:pStyle w:val="HTML-wstpniesformatowany"/>
        <w:shd w:val="clear" w:color="auto" w:fill="FFFFFF"/>
        <w:rPr>
          <w:rFonts w:ascii="Times New Roman" w:hAnsi="Times New Roman" w:cs="Times New Roman"/>
          <w:i/>
          <w:color w:val="212121"/>
          <w:sz w:val="22"/>
          <w:szCs w:val="22"/>
        </w:rPr>
      </w:pPr>
      <w:r w:rsidRPr="001D0B77">
        <w:rPr>
          <w:rFonts w:ascii="Times New Roman" w:hAnsi="Times New Roman" w:cs="Times New Roman"/>
          <w:i/>
          <w:color w:val="212121"/>
          <w:sz w:val="22"/>
          <w:szCs w:val="22"/>
        </w:rPr>
        <w:t>Závažné kožné nežiaduce reakcie (SCAR)</w:t>
      </w:r>
    </w:p>
    <w:p w14:paraId="37125F0A" w14:textId="17C1BBE5" w:rsidR="001D0B77" w:rsidRPr="001D0B77" w:rsidRDefault="001D0B77" w:rsidP="001D0B77">
      <w:pPr>
        <w:pStyle w:val="HTML-wstpniesformatowany"/>
        <w:shd w:val="clear" w:color="auto" w:fill="FFFFFF"/>
        <w:rPr>
          <w:rFonts w:ascii="Times New Roman" w:hAnsi="Times New Roman" w:cs="Times New Roman"/>
          <w:color w:val="212121"/>
          <w:sz w:val="22"/>
          <w:szCs w:val="22"/>
        </w:rPr>
      </w:pPr>
      <w:r w:rsidRPr="001D0B77">
        <w:rPr>
          <w:rFonts w:ascii="Times New Roman" w:hAnsi="Times New Roman" w:cs="Times New Roman"/>
          <w:color w:val="212121"/>
          <w:sz w:val="22"/>
          <w:szCs w:val="22"/>
        </w:rPr>
        <w:t>Boli hlásené Stevens</w:t>
      </w:r>
      <w:r>
        <w:rPr>
          <w:rFonts w:ascii="Times New Roman" w:hAnsi="Times New Roman" w:cs="Times New Roman"/>
          <w:color w:val="212121"/>
          <w:sz w:val="22"/>
          <w:szCs w:val="22"/>
        </w:rPr>
        <w:t>ov</w:t>
      </w:r>
      <w:r w:rsidRPr="001D0B77">
        <w:rPr>
          <w:rFonts w:ascii="Times New Roman" w:hAnsi="Times New Roman" w:cs="Times New Roman"/>
          <w:color w:val="212121"/>
          <w:sz w:val="22"/>
          <w:szCs w:val="22"/>
        </w:rPr>
        <w:t>-Johnsonov syndróm (SJS) a toxická epidermálna nekrolýza (TEN) (pozri časť 4.4).</w:t>
      </w:r>
      <w:r w:rsidR="00046135">
        <w:rPr>
          <w:rFonts w:ascii="Times New Roman" w:hAnsi="Times New Roman" w:cs="Times New Roman"/>
          <w:color w:val="212121"/>
          <w:sz w:val="22"/>
          <w:szCs w:val="22"/>
        </w:rPr>
        <w:t xml:space="preserve"> Úmrtnosť v prípade TEN býva vysoká.</w:t>
      </w:r>
    </w:p>
    <w:p w14:paraId="56D4CC70" w14:textId="77777777" w:rsidR="001D0B77" w:rsidRPr="001D0B77" w:rsidRDefault="001D0B77" w:rsidP="00EA37D1">
      <w:pPr>
        <w:numPr>
          <w:ilvl w:val="12"/>
          <w:numId w:val="0"/>
        </w:numPr>
        <w:tabs>
          <w:tab w:val="left" w:pos="1843"/>
        </w:tabs>
        <w:rPr>
          <w:sz w:val="22"/>
          <w:szCs w:val="22"/>
          <w:u w:val="single"/>
        </w:rPr>
      </w:pPr>
    </w:p>
    <w:p w14:paraId="76840692" w14:textId="14DC0A51" w:rsidR="002121AA" w:rsidRDefault="005E7890" w:rsidP="00EA37D1">
      <w:pPr>
        <w:numPr>
          <w:ilvl w:val="12"/>
          <w:numId w:val="0"/>
        </w:numPr>
        <w:tabs>
          <w:tab w:val="left" w:pos="1843"/>
        </w:tabs>
        <w:rPr>
          <w:sz w:val="22"/>
          <w:szCs w:val="22"/>
        </w:rPr>
      </w:pPr>
      <w:r w:rsidRPr="001D0B77">
        <w:rPr>
          <w:sz w:val="22"/>
          <w:szCs w:val="22"/>
          <w:u w:val="single"/>
        </w:rPr>
        <w:t>Účinky súvisiace</w:t>
      </w:r>
      <w:r w:rsidRPr="002E6863">
        <w:rPr>
          <w:sz w:val="22"/>
          <w:szCs w:val="22"/>
          <w:u w:val="single"/>
        </w:rPr>
        <w:t xml:space="preserve"> s liečbou pneumónie </w:t>
      </w:r>
      <w:r w:rsidR="002121AA">
        <w:rPr>
          <w:sz w:val="22"/>
          <w:szCs w:val="22"/>
          <w:u w:val="single"/>
        </w:rPr>
        <w:t xml:space="preserve">vyvolanej </w:t>
      </w:r>
      <w:r w:rsidR="002121AA" w:rsidRPr="002121AA">
        <w:rPr>
          <w:i/>
          <w:sz w:val="22"/>
          <w:szCs w:val="22"/>
          <w:u w:val="single"/>
        </w:rPr>
        <w:t>Pneumocystis jiroveci</w:t>
      </w:r>
      <w:r w:rsidR="002121AA">
        <w:rPr>
          <w:i/>
          <w:sz w:val="22"/>
          <w:szCs w:val="22"/>
          <w:u w:val="single"/>
        </w:rPr>
        <w:t xml:space="preserve"> </w:t>
      </w:r>
      <w:r w:rsidRPr="002E6863">
        <w:rPr>
          <w:sz w:val="22"/>
          <w:szCs w:val="22"/>
          <w:u w:val="single"/>
        </w:rPr>
        <w:t>(P</w:t>
      </w:r>
      <w:r w:rsidR="001D0B77">
        <w:rPr>
          <w:sz w:val="22"/>
          <w:szCs w:val="22"/>
          <w:u w:val="single"/>
        </w:rPr>
        <w:t>J</w:t>
      </w:r>
      <w:r w:rsidRPr="002E6863">
        <w:rPr>
          <w:sz w:val="22"/>
          <w:szCs w:val="22"/>
          <w:u w:val="single"/>
        </w:rPr>
        <w:t>P)</w:t>
      </w:r>
    </w:p>
    <w:p w14:paraId="41FCF385" w14:textId="0A241CF3" w:rsidR="009F49D2" w:rsidRPr="002E6863" w:rsidRDefault="009F49D2" w:rsidP="00EA37D1">
      <w:pPr>
        <w:numPr>
          <w:ilvl w:val="12"/>
          <w:numId w:val="0"/>
        </w:numPr>
        <w:tabs>
          <w:tab w:val="left" w:pos="1843"/>
        </w:tabs>
        <w:rPr>
          <w:sz w:val="22"/>
          <w:szCs w:val="22"/>
        </w:rPr>
      </w:pPr>
      <w:r w:rsidRPr="002E6863">
        <w:rPr>
          <w:sz w:val="22"/>
          <w:szCs w:val="22"/>
        </w:rPr>
        <w:t>Pri vysokých dávkach použitých na liečbu P</w:t>
      </w:r>
      <w:r w:rsidR="001D0B77">
        <w:rPr>
          <w:sz w:val="22"/>
          <w:szCs w:val="22"/>
        </w:rPr>
        <w:t>J</w:t>
      </w:r>
      <w:r w:rsidRPr="002E6863">
        <w:rPr>
          <w:sz w:val="22"/>
          <w:szCs w:val="22"/>
        </w:rPr>
        <w:t xml:space="preserve">P boli hlásené </w:t>
      </w:r>
      <w:r w:rsidR="003F5427">
        <w:rPr>
          <w:sz w:val="22"/>
          <w:szCs w:val="22"/>
        </w:rPr>
        <w:t>zá</w:t>
      </w:r>
      <w:r w:rsidRPr="002E6863">
        <w:rPr>
          <w:sz w:val="22"/>
          <w:szCs w:val="22"/>
        </w:rPr>
        <w:t>v</w:t>
      </w:r>
      <w:r w:rsidR="003F5427">
        <w:rPr>
          <w:sz w:val="22"/>
          <w:szCs w:val="22"/>
        </w:rPr>
        <w:t>a</w:t>
      </w:r>
      <w:r w:rsidRPr="002E6863">
        <w:rPr>
          <w:sz w:val="22"/>
          <w:szCs w:val="22"/>
        </w:rPr>
        <w:t xml:space="preserve">žne reakcie precitlivenosti, ktoré vyžadujú zastavenie liečby. </w:t>
      </w:r>
    </w:p>
    <w:p w14:paraId="2016FF20" w14:textId="2C0263B2" w:rsidR="009F49D2" w:rsidRPr="002E6863" w:rsidDel="009F49D2" w:rsidRDefault="003F5427" w:rsidP="00EA37D1">
      <w:pPr>
        <w:numPr>
          <w:ilvl w:val="12"/>
          <w:numId w:val="0"/>
        </w:numPr>
        <w:tabs>
          <w:tab w:val="left" w:pos="1843"/>
        </w:tabs>
        <w:rPr>
          <w:sz w:val="22"/>
          <w:szCs w:val="22"/>
        </w:rPr>
      </w:pPr>
      <w:r>
        <w:rPr>
          <w:sz w:val="22"/>
          <w:szCs w:val="22"/>
        </w:rPr>
        <w:t>Záva</w:t>
      </w:r>
      <w:r w:rsidR="009F49D2" w:rsidRPr="002E6863">
        <w:rPr>
          <w:sz w:val="22"/>
          <w:szCs w:val="22"/>
        </w:rPr>
        <w:t>žn</w:t>
      </w:r>
      <w:r>
        <w:rPr>
          <w:sz w:val="22"/>
          <w:szCs w:val="22"/>
        </w:rPr>
        <w:t>é</w:t>
      </w:r>
      <w:r w:rsidR="009F49D2" w:rsidRPr="002E6863">
        <w:rPr>
          <w:sz w:val="22"/>
          <w:szCs w:val="22"/>
        </w:rPr>
        <w:t xml:space="preserve"> reakcie precitlivenosti boli hlásené u pacientov s P</w:t>
      </w:r>
      <w:r w:rsidR="001D0B77">
        <w:rPr>
          <w:sz w:val="22"/>
          <w:szCs w:val="22"/>
        </w:rPr>
        <w:t>J</w:t>
      </w:r>
      <w:r w:rsidR="009F49D2" w:rsidRPr="002E6863">
        <w:rPr>
          <w:sz w:val="22"/>
          <w:szCs w:val="22"/>
        </w:rPr>
        <w:t>P pri opakovanej expozícii kotrimoxazolu, niekedy po intervale dávkovaní niekoľkých dní.</w:t>
      </w:r>
      <w:r w:rsidR="002121AA">
        <w:rPr>
          <w:sz w:val="22"/>
          <w:szCs w:val="22"/>
        </w:rPr>
        <w:t xml:space="preserve"> Rabdomyolýza sa hlásila u HIV pozitívnych pacientov, ktorí dostávali </w:t>
      </w:r>
      <w:r w:rsidR="0012718D">
        <w:rPr>
          <w:sz w:val="22"/>
          <w:szCs w:val="22"/>
        </w:rPr>
        <w:t>trimetoprim-sulfametoxazol</w:t>
      </w:r>
      <w:r w:rsidR="002121AA">
        <w:rPr>
          <w:sz w:val="22"/>
          <w:szCs w:val="22"/>
        </w:rPr>
        <w:t xml:space="preserve"> na prevenciu alebo liečbu P</w:t>
      </w:r>
      <w:r w:rsidR="0012718D">
        <w:rPr>
          <w:sz w:val="22"/>
          <w:szCs w:val="22"/>
        </w:rPr>
        <w:t>J</w:t>
      </w:r>
      <w:r w:rsidR="002121AA">
        <w:rPr>
          <w:sz w:val="22"/>
          <w:szCs w:val="22"/>
        </w:rPr>
        <w:t>P.</w:t>
      </w:r>
    </w:p>
    <w:p w14:paraId="2D461EE1" w14:textId="77777777" w:rsidR="00772DAC" w:rsidRDefault="00772DAC" w:rsidP="00EA37D1">
      <w:pPr>
        <w:numPr>
          <w:ilvl w:val="12"/>
          <w:numId w:val="0"/>
        </w:numPr>
        <w:rPr>
          <w:color w:val="212121"/>
          <w:sz w:val="22"/>
          <w:szCs w:val="22"/>
          <w:shd w:val="clear" w:color="auto" w:fill="FFFFFF"/>
        </w:rPr>
      </w:pPr>
    </w:p>
    <w:p w14:paraId="761B76AD" w14:textId="77777777" w:rsidR="0012718D" w:rsidRPr="0012718D" w:rsidRDefault="0012718D" w:rsidP="00EA37D1">
      <w:pPr>
        <w:numPr>
          <w:ilvl w:val="12"/>
          <w:numId w:val="0"/>
        </w:numPr>
        <w:rPr>
          <w:color w:val="212121"/>
          <w:sz w:val="22"/>
          <w:szCs w:val="22"/>
          <w:shd w:val="clear" w:color="auto" w:fill="FFFFFF"/>
        </w:rPr>
      </w:pPr>
      <w:r w:rsidRPr="0012718D">
        <w:rPr>
          <w:color w:val="212121"/>
          <w:sz w:val="22"/>
          <w:szCs w:val="22"/>
          <w:shd w:val="clear" w:color="auto" w:fill="FFFFFF"/>
        </w:rPr>
        <w:t xml:space="preserve">Na zvládnutie </w:t>
      </w:r>
      <w:r>
        <w:rPr>
          <w:color w:val="212121"/>
          <w:sz w:val="22"/>
          <w:szCs w:val="22"/>
          <w:shd w:val="clear" w:color="auto" w:fill="FFFFFF"/>
        </w:rPr>
        <w:t xml:space="preserve">hypersenzitívnych </w:t>
      </w:r>
      <w:r w:rsidRPr="0012718D">
        <w:rPr>
          <w:color w:val="212121"/>
          <w:sz w:val="22"/>
          <w:szCs w:val="22"/>
          <w:shd w:val="clear" w:color="auto" w:fill="FFFFFF"/>
        </w:rPr>
        <w:t>reakcií spojených s terapiou kotrimoxazolom môže súbežné podávanie intravenózneho difenhydramínu dovoliť pokračovať v infúzii, keď sa kotrimoxazol používa na liečbu PJP.</w:t>
      </w:r>
    </w:p>
    <w:p w14:paraId="45B834D2" w14:textId="77777777" w:rsidR="0012718D" w:rsidRPr="00B06F19" w:rsidRDefault="0012718D" w:rsidP="00432377">
      <w:pPr>
        <w:rPr>
          <w:sz w:val="22"/>
          <w:lang w:eastAsia="zh-CN"/>
        </w:rPr>
      </w:pPr>
    </w:p>
    <w:p w14:paraId="46CF39CD" w14:textId="77777777" w:rsidR="0012718D" w:rsidRPr="001270C6" w:rsidRDefault="0012718D" w:rsidP="0012718D">
      <w:pPr>
        <w:suppressLineNumbers/>
        <w:rPr>
          <w:sz w:val="22"/>
          <w:szCs w:val="22"/>
          <w:u w:val="single"/>
        </w:rPr>
      </w:pPr>
      <w:r w:rsidRPr="001270C6">
        <w:rPr>
          <w:noProof/>
          <w:sz w:val="22"/>
          <w:szCs w:val="22"/>
          <w:u w:val="single"/>
        </w:rPr>
        <w:t>Hlásenie podozrení na nežiaduce reakcie</w:t>
      </w:r>
    </w:p>
    <w:p w14:paraId="16E93B53" w14:textId="77777777" w:rsidR="0012718D" w:rsidRPr="001270C6" w:rsidRDefault="0012718D" w:rsidP="0012718D">
      <w:pPr>
        <w:suppressLineNumbers/>
        <w:rPr>
          <w:noProof/>
          <w:sz w:val="22"/>
          <w:szCs w:val="22"/>
        </w:rPr>
      </w:pPr>
      <w:r w:rsidRPr="001270C6">
        <w:rPr>
          <w:noProof/>
          <w:sz w:val="22"/>
          <w:szCs w:val="22"/>
        </w:rPr>
        <w:t>Hlásenie podozrení na nežiaduce reakcie po registrácii lieku je dôležité.</w:t>
      </w:r>
      <w:r w:rsidRPr="001270C6">
        <w:rPr>
          <w:sz w:val="22"/>
          <w:szCs w:val="22"/>
        </w:rPr>
        <w:t xml:space="preserve"> </w:t>
      </w:r>
      <w:r w:rsidRPr="001270C6">
        <w:rPr>
          <w:noProof/>
          <w:sz w:val="22"/>
          <w:szCs w:val="22"/>
        </w:rPr>
        <w:t>Umožňuje priebežné monitorovanie pomeru prínosu a rizika lieku.</w:t>
      </w:r>
      <w:r w:rsidRPr="001270C6">
        <w:rPr>
          <w:sz w:val="22"/>
          <w:szCs w:val="22"/>
        </w:rPr>
        <w:t xml:space="preserve"> Od </w:t>
      </w:r>
      <w:r w:rsidRPr="001270C6">
        <w:rPr>
          <w:noProof/>
          <w:sz w:val="22"/>
          <w:szCs w:val="22"/>
        </w:rPr>
        <w:t xml:space="preserve">zdravotníckych pracovníkov sa vyžaduje, aby hlásili akékoľvek podozrenia na nežiaduce reakcie na </w:t>
      </w:r>
      <w:r w:rsidRPr="00580F06">
        <w:rPr>
          <w:noProof/>
          <w:sz w:val="22"/>
          <w:szCs w:val="22"/>
          <w:highlight w:val="lightGray"/>
        </w:rPr>
        <w:t>národné centrum hlásenia uvedené v </w:t>
      </w:r>
      <w:hyperlink r:id="rId10" w:history="1">
        <w:r w:rsidRPr="00580F06">
          <w:rPr>
            <w:rStyle w:val="Hipercze"/>
            <w:noProof/>
            <w:sz w:val="22"/>
            <w:szCs w:val="22"/>
            <w:highlight w:val="lightGray"/>
          </w:rPr>
          <w:t>Prílohe V</w:t>
        </w:r>
      </w:hyperlink>
      <w:r w:rsidRPr="001270C6">
        <w:rPr>
          <w:noProof/>
          <w:sz w:val="22"/>
          <w:szCs w:val="22"/>
        </w:rPr>
        <w:t>.</w:t>
      </w:r>
    </w:p>
    <w:p w14:paraId="0C95AE6E" w14:textId="77777777" w:rsidR="003042B1" w:rsidRPr="002E6863" w:rsidRDefault="003042B1" w:rsidP="002E6863">
      <w:pPr>
        <w:numPr>
          <w:ilvl w:val="12"/>
          <w:numId w:val="0"/>
        </w:numPr>
        <w:jc w:val="both"/>
        <w:rPr>
          <w:sz w:val="22"/>
          <w:szCs w:val="22"/>
        </w:rPr>
      </w:pPr>
    </w:p>
    <w:p w14:paraId="65516C2E" w14:textId="77777777" w:rsidR="00731B12" w:rsidRPr="002E6863" w:rsidRDefault="00EA37D1" w:rsidP="002E6863">
      <w:pPr>
        <w:tabs>
          <w:tab w:val="left" w:pos="567"/>
        </w:tabs>
        <w:jc w:val="both"/>
        <w:rPr>
          <w:b/>
          <w:sz w:val="22"/>
          <w:szCs w:val="22"/>
        </w:rPr>
      </w:pPr>
      <w:r>
        <w:rPr>
          <w:b/>
          <w:sz w:val="22"/>
          <w:szCs w:val="22"/>
        </w:rPr>
        <w:t>4.9</w:t>
      </w:r>
      <w:r w:rsidR="009F49D2" w:rsidRPr="002E6863">
        <w:rPr>
          <w:b/>
          <w:sz w:val="22"/>
          <w:szCs w:val="22"/>
        </w:rPr>
        <w:tab/>
      </w:r>
      <w:r w:rsidR="00731B12" w:rsidRPr="002E6863">
        <w:rPr>
          <w:b/>
          <w:sz w:val="22"/>
          <w:szCs w:val="22"/>
        </w:rPr>
        <w:t>Predávkovanie</w:t>
      </w:r>
    </w:p>
    <w:p w14:paraId="7FAFFFB7" w14:textId="77777777" w:rsidR="009F49D2" w:rsidRPr="002E6863" w:rsidRDefault="009F49D2" w:rsidP="002E6863">
      <w:pPr>
        <w:numPr>
          <w:ilvl w:val="12"/>
          <w:numId w:val="0"/>
        </w:numPr>
        <w:jc w:val="both"/>
        <w:rPr>
          <w:sz w:val="22"/>
          <w:szCs w:val="22"/>
        </w:rPr>
      </w:pPr>
    </w:p>
    <w:p w14:paraId="1DF21BF9" w14:textId="06144C9C" w:rsidR="0012718D" w:rsidRPr="0012718D" w:rsidRDefault="00A3220B" w:rsidP="002E6863">
      <w:pPr>
        <w:numPr>
          <w:ilvl w:val="12"/>
          <w:numId w:val="0"/>
        </w:numPr>
        <w:jc w:val="both"/>
        <w:rPr>
          <w:sz w:val="22"/>
          <w:szCs w:val="22"/>
          <w:u w:val="single"/>
        </w:rPr>
      </w:pPr>
      <w:r>
        <w:rPr>
          <w:sz w:val="22"/>
          <w:szCs w:val="22"/>
          <w:u w:val="single"/>
        </w:rPr>
        <w:t>P</w:t>
      </w:r>
      <w:r w:rsidR="0012718D" w:rsidRPr="0012718D">
        <w:rPr>
          <w:sz w:val="22"/>
          <w:szCs w:val="22"/>
          <w:u w:val="single"/>
        </w:rPr>
        <w:t>ríznaky</w:t>
      </w:r>
    </w:p>
    <w:p w14:paraId="6C27E91C" w14:textId="53CBBC6F" w:rsidR="00731B12" w:rsidRPr="002E6863" w:rsidRDefault="00731B12" w:rsidP="002E6863">
      <w:pPr>
        <w:numPr>
          <w:ilvl w:val="12"/>
          <w:numId w:val="0"/>
        </w:numPr>
        <w:jc w:val="both"/>
        <w:rPr>
          <w:sz w:val="22"/>
          <w:szCs w:val="22"/>
        </w:rPr>
      </w:pPr>
    </w:p>
    <w:p w14:paraId="348F0D50" w14:textId="77777777" w:rsidR="00731B12" w:rsidRPr="002E6863" w:rsidRDefault="00FD0546" w:rsidP="00EA37D1">
      <w:pPr>
        <w:numPr>
          <w:ilvl w:val="12"/>
          <w:numId w:val="0"/>
        </w:numPr>
        <w:rPr>
          <w:sz w:val="22"/>
          <w:szCs w:val="22"/>
        </w:rPr>
      </w:pPr>
      <w:r>
        <w:rPr>
          <w:sz w:val="22"/>
          <w:szCs w:val="22"/>
        </w:rPr>
        <w:t>N</w:t>
      </w:r>
      <w:r w:rsidRPr="002E6863">
        <w:rPr>
          <w:sz w:val="22"/>
          <w:szCs w:val="22"/>
        </w:rPr>
        <w:t>evoľnosť</w:t>
      </w:r>
      <w:r w:rsidR="00731B12" w:rsidRPr="002E6863">
        <w:rPr>
          <w:sz w:val="22"/>
          <w:szCs w:val="22"/>
        </w:rPr>
        <w:t xml:space="preserve">, vracanie, závrat </w:t>
      </w:r>
      <w:r w:rsidR="002121AA">
        <w:rPr>
          <w:sz w:val="22"/>
          <w:szCs w:val="22"/>
        </w:rPr>
        <w:t>a</w:t>
      </w:r>
      <w:r w:rsidR="00731B12" w:rsidRPr="002E6863">
        <w:rPr>
          <w:sz w:val="22"/>
          <w:szCs w:val="22"/>
        </w:rPr>
        <w:t xml:space="preserve"> </w:t>
      </w:r>
      <w:r w:rsidR="009F49D2" w:rsidRPr="002E6863">
        <w:rPr>
          <w:sz w:val="22"/>
          <w:szCs w:val="22"/>
        </w:rPr>
        <w:t>zmätenosť</w:t>
      </w:r>
      <w:r w:rsidR="002121AA">
        <w:rPr>
          <w:sz w:val="22"/>
          <w:szCs w:val="22"/>
        </w:rPr>
        <w:t xml:space="preserve"> sú pravdepodobné </w:t>
      </w:r>
      <w:r w:rsidR="009024DE">
        <w:rPr>
          <w:sz w:val="22"/>
          <w:szCs w:val="22"/>
        </w:rPr>
        <w:t>príznaky</w:t>
      </w:r>
      <w:r w:rsidR="002121AA">
        <w:rPr>
          <w:sz w:val="22"/>
          <w:szCs w:val="22"/>
        </w:rPr>
        <w:t xml:space="preserve"> predávkovania</w:t>
      </w:r>
      <w:r w:rsidR="00731B12" w:rsidRPr="002E6863">
        <w:rPr>
          <w:sz w:val="22"/>
          <w:szCs w:val="22"/>
        </w:rPr>
        <w:t>.</w:t>
      </w:r>
    </w:p>
    <w:p w14:paraId="6EFE8E07" w14:textId="77777777" w:rsidR="0012718D" w:rsidRPr="0012718D" w:rsidRDefault="0012718D" w:rsidP="0012718D">
      <w:pPr>
        <w:numPr>
          <w:ilvl w:val="12"/>
          <w:numId w:val="0"/>
        </w:numPr>
        <w:rPr>
          <w:sz w:val="22"/>
          <w:szCs w:val="22"/>
        </w:rPr>
      </w:pPr>
      <w:r w:rsidRPr="0012718D">
        <w:rPr>
          <w:sz w:val="22"/>
          <w:szCs w:val="22"/>
        </w:rPr>
        <w:t xml:space="preserve">Po akútnom predávkovaní trimetoprimom bola zaznamenaná depresia kostnej drene. </w:t>
      </w:r>
    </w:p>
    <w:p w14:paraId="369B85D3" w14:textId="54131613" w:rsidR="00772DAC" w:rsidRDefault="00976567" w:rsidP="00EA37D1">
      <w:pPr>
        <w:numPr>
          <w:ilvl w:val="12"/>
          <w:numId w:val="0"/>
        </w:numPr>
        <w:rPr>
          <w:color w:val="212121"/>
          <w:sz w:val="22"/>
          <w:szCs w:val="22"/>
          <w:u w:val="single"/>
          <w:shd w:val="clear" w:color="auto" w:fill="FFFFFF"/>
        </w:rPr>
      </w:pPr>
      <w:r>
        <w:rPr>
          <w:sz w:val="22"/>
          <w:szCs w:val="22"/>
        </w:rPr>
        <w:t xml:space="preserve">Maximálna tolerovaná </w:t>
      </w:r>
      <w:r w:rsidRPr="002E6863">
        <w:rPr>
          <w:sz w:val="22"/>
          <w:szCs w:val="22"/>
        </w:rPr>
        <w:t>dávka u ľudí nebola stanovená</w:t>
      </w:r>
    </w:p>
    <w:p w14:paraId="7B42B59C" w14:textId="77777777" w:rsidR="00976567" w:rsidRDefault="00976567" w:rsidP="00EA37D1">
      <w:pPr>
        <w:numPr>
          <w:ilvl w:val="12"/>
          <w:numId w:val="0"/>
        </w:numPr>
        <w:rPr>
          <w:color w:val="212121"/>
          <w:sz w:val="22"/>
          <w:szCs w:val="22"/>
          <w:u w:val="single"/>
          <w:shd w:val="clear" w:color="auto" w:fill="FFFFFF"/>
        </w:rPr>
      </w:pPr>
    </w:p>
    <w:p w14:paraId="0769BD0F" w14:textId="77777777" w:rsidR="0012718D" w:rsidRPr="0012718D" w:rsidRDefault="0012718D" w:rsidP="00EA37D1">
      <w:pPr>
        <w:numPr>
          <w:ilvl w:val="12"/>
          <w:numId w:val="0"/>
        </w:numPr>
        <w:rPr>
          <w:color w:val="212121"/>
          <w:sz w:val="22"/>
          <w:szCs w:val="22"/>
          <w:u w:val="single"/>
          <w:shd w:val="clear" w:color="auto" w:fill="FFFFFF"/>
        </w:rPr>
      </w:pPr>
      <w:r w:rsidRPr="0012718D">
        <w:rPr>
          <w:color w:val="212121"/>
          <w:sz w:val="22"/>
          <w:szCs w:val="22"/>
          <w:u w:val="single"/>
          <w:shd w:val="clear" w:color="auto" w:fill="FFFFFF"/>
        </w:rPr>
        <w:t xml:space="preserve">Liečba </w:t>
      </w:r>
    </w:p>
    <w:p w14:paraId="7E868DE9" w14:textId="3C595FCD" w:rsidR="0012718D" w:rsidRDefault="0012718D" w:rsidP="00EA37D1">
      <w:pPr>
        <w:numPr>
          <w:ilvl w:val="12"/>
          <w:numId w:val="0"/>
        </w:numPr>
        <w:rPr>
          <w:color w:val="212121"/>
          <w:sz w:val="22"/>
          <w:szCs w:val="22"/>
          <w:shd w:val="clear" w:color="auto" w:fill="FFFFFF"/>
        </w:rPr>
      </w:pPr>
      <w:r w:rsidRPr="0012718D">
        <w:rPr>
          <w:color w:val="212121"/>
          <w:sz w:val="22"/>
          <w:szCs w:val="22"/>
          <w:shd w:val="clear" w:color="auto" w:fill="FFFFFF"/>
        </w:rPr>
        <w:t>V závislosti od stavu renálnej funkcie sa odporúča</w:t>
      </w:r>
      <w:r>
        <w:rPr>
          <w:color w:val="212121"/>
          <w:sz w:val="22"/>
          <w:szCs w:val="22"/>
          <w:shd w:val="clear" w:color="auto" w:fill="FFFFFF"/>
        </w:rPr>
        <w:t xml:space="preserve"> podávanie tekutín, ak je výdaj moču nízky. T</w:t>
      </w:r>
      <w:r w:rsidRPr="0012718D">
        <w:rPr>
          <w:color w:val="212121"/>
          <w:sz w:val="22"/>
          <w:szCs w:val="22"/>
          <w:shd w:val="clear" w:color="auto" w:fill="FFFFFF"/>
        </w:rPr>
        <w:t>rimetoprim, ako aj aktívny sulfametoxazol</w:t>
      </w:r>
      <w:r>
        <w:rPr>
          <w:color w:val="212121"/>
          <w:sz w:val="22"/>
          <w:szCs w:val="22"/>
          <w:shd w:val="clear" w:color="auto" w:fill="FFFFFF"/>
        </w:rPr>
        <w:t>,</w:t>
      </w:r>
      <w:r w:rsidRPr="0012718D">
        <w:rPr>
          <w:color w:val="212121"/>
          <w:sz w:val="22"/>
          <w:szCs w:val="22"/>
          <w:shd w:val="clear" w:color="auto" w:fill="FFFFFF"/>
        </w:rPr>
        <w:t xml:space="preserve"> sú dialýzovateľné </w:t>
      </w:r>
      <w:r w:rsidR="00976567">
        <w:rPr>
          <w:color w:val="212121"/>
          <w:sz w:val="22"/>
          <w:szCs w:val="22"/>
          <w:shd w:val="clear" w:color="auto" w:fill="FFFFFF"/>
        </w:rPr>
        <w:t>hemo</w:t>
      </w:r>
      <w:r>
        <w:rPr>
          <w:color w:val="212121"/>
          <w:sz w:val="22"/>
          <w:szCs w:val="22"/>
          <w:shd w:val="clear" w:color="auto" w:fill="FFFFFF"/>
        </w:rPr>
        <w:t>dialýzou</w:t>
      </w:r>
      <w:r w:rsidRPr="0012718D">
        <w:rPr>
          <w:color w:val="212121"/>
          <w:sz w:val="22"/>
          <w:szCs w:val="22"/>
          <w:shd w:val="clear" w:color="auto" w:fill="FFFFFF"/>
        </w:rPr>
        <w:t>. Peritoneálna dialýza nie je účinná.</w:t>
      </w:r>
    </w:p>
    <w:p w14:paraId="0AFF1CF5" w14:textId="77777777" w:rsidR="009F49D2" w:rsidRPr="0012718D" w:rsidRDefault="009F49D2" w:rsidP="00EA37D1">
      <w:pPr>
        <w:numPr>
          <w:ilvl w:val="12"/>
          <w:numId w:val="0"/>
        </w:numPr>
        <w:rPr>
          <w:sz w:val="22"/>
          <w:szCs w:val="22"/>
        </w:rPr>
      </w:pPr>
    </w:p>
    <w:p w14:paraId="78069979" w14:textId="77777777" w:rsidR="008C6FC6" w:rsidRPr="002E6863" w:rsidRDefault="009F49D2" w:rsidP="00EA37D1">
      <w:pPr>
        <w:numPr>
          <w:ilvl w:val="12"/>
          <w:numId w:val="0"/>
        </w:numPr>
        <w:rPr>
          <w:sz w:val="22"/>
          <w:szCs w:val="22"/>
        </w:rPr>
      </w:pPr>
      <w:r w:rsidRPr="002E6863">
        <w:rPr>
          <w:sz w:val="22"/>
          <w:szCs w:val="22"/>
        </w:rPr>
        <w:t xml:space="preserve">V prípade známeho, možného alebo </w:t>
      </w:r>
      <w:r w:rsidR="003A4E73" w:rsidRPr="002E6863">
        <w:rPr>
          <w:sz w:val="22"/>
          <w:szCs w:val="22"/>
        </w:rPr>
        <w:t>náhodného</w:t>
      </w:r>
      <w:r w:rsidRPr="002E6863">
        <w:rPr>
          <w:sz w:val="22"/>
          <w:szCs w:val="22"/>
        </w:rPr>
        <w:t xml:space="preserve"> predávkovania </w:t>
      </w:r>
      <w:r w:rsidR="002121AA">
        <w:rPr>
          <w:sz w:val="22"/>
          <w:szCs w:val="22"/>
        </w:rPr>
        <w:t xml:space="preserve">liečbu prerušte. </w:t>
      </w:r>
    </w:p>
    <w:p w14:paraId="303AB92F" w14:textId="77777777" w:rsidR="00772DAC" w:rsidRDefault="00772DAC" w:rsidP="00EA37D1">
      <w:pPr>
        <w:numPr>
          <w:ilvl w:val="12"/>
          <w:numId w:val="0"/>
        </w:numPr>
      </w:pPr>
    </w:p>
    <w:p w14:paraId="57DF0E39" w14:textId="2DCC256E" w:rsidR="00765315" w:rsidRPr="006F0598" w:rsidRDefault="00765315" w:rsidP="00EA37D1">
      <w:pPr>
        <w:numPr>
          <w:ilvl w:val="12"/>
          <w:numId w:val="0"/>
        </w:numPr>
        <w:rPr>
          <w:color w:val="212121"/>
          <w:sz w:val="22"/>
          <w:szCs w:val="22"/>
          <w:shd w:val="clear" w:color="auto" w:fill="FFFFFF"/>
        </w:rPr>
      </w:pPr>
      <w:r w:rsidRPr="00765315">
        <w:rPr>
          <w:color w:val="212121"/>
          <w:sz w:val="22"/>
          <w:szCs w:val="22"/>
          <w:shd w:val="clear" w:color="auto" w:fill="FFFFFF"/>
        </w:rPr>
        <w:t xml:space="preserve">Okyslenie moču zvýši elimináciu trimetoprimu. Indukcia diurézy a alkalizácia moču zvýši elimináciu sulfametoxazolu. Alkalizácia zníži rýchlosť eliminácie trimetoprimu. Kalciumfolinát </w:t>
      </w:r>
      <w:r w:rsidR="00976567">
        <w:rPr>
          <w:color w:val="212121"/>
          <w:sz w:val="22"/>
          <w:szCs w:val="22"/>
          <w:shd w:val="clear" w:color="auto" w:fill="FFFFFF"/>
        </w:rPr>
        <w:t xml:space="preserve">(v dávke </w:t>
      </w:r>
      <w:r w:rsidR="006F0598">
        <w:rPr>
          <w:color w:val="212121"/>
          <w:sz w:val="22"/>
          <w:szCs w:val="22"/>
          <w:shd w:val="clear" w:color="auto" w:fill="FFFFFF"/>
        </w:rPr>
        <w:t> </w:t>
      </w:r>
      <w:r w:rsidR="00976567">
        <w:rPr>
          <w:color w:val="212121"/>
          <w:sz w:val="22"/>
          <w:szCs w:val="22"/>
          <w:shd w:val="clear" w:color="auto" w:fill="FFFFFF"/>
        </w:rPr>
        <w:t>5 – 10</w:t>
      </w:r>
      <w:r w:rsidR="006F0598">
        <w:rPr>
          <w:color w:val="212121"/>
          <w:sz w:val="22"/>
          <w:szCs w:val="22"/>
          <w:shd w:val="clear" w:color="auto" w:fill="FFFFFF"/>
        </w:rPr>
        <w:t> </w:t>
      </w:r>
      <w:r w:rsidR="00976567">
        <w:rPr>
          <w:color w:val="212121"/>
          <w:sz w:val="22"/>
          <w:szCs w:val="22"/>
          <w:shd w:val="clear" w:color="auto" w:fill="FFFFFF"/>
        </w:rPr>
        <w:t xml:space="preserve">mg na deň) </w:t>
      </w:r>
      <w:r w:rsidRPr="00765315">
        <w:rPr>
          <w:color w:val="212121"/>
          <w:sz w:val="22"/>
          <w:szCs w:val="22"/>
          <w:shd w:val="clear" w:color="auto" w:fill="FFFFFF"/>
        </w:rPr>
        <w:t>zmierni akýkoľvek účinok trimetopr</w:t>
      </w:r>
      <w:r>
        <w:rPr>
          <w:color w:val="212121"/>
          <w:sz w:val="22"/>
          <w:szCs w:val="22"/>
          <w:shd w:val="clear" w:color="auto" w:fill="FFFFFF"/>
        </w:rPr>
        <w:t>imu na kostnú dreň</w:t>
      </w:r>
      <w:r w:rsidRPr="00765315">
        <w:rPr>
          <w:color w:val="212121"/>
          <w:sz w:val="22"/>
          <w:szCs w:val="22"/>
          <w:shd w:val="clear" w:color="auto" w:fill="FFFFFF"/>
        </w:rPr>
        <w:t>. Odporúčajú sa všeobecné podporné opatrenia.</w:t>
      </w:r>
    </w:p>
    <w:p w14:paraId="23318BDB" w14:textId="00833321" w:rsidR="00731B12" w:rsidRDefault="00731B12" w:rsidP="00EA37D1">
      <w:pPr>
        <w:numPr>
          <w:ilvl w:val="12"/>
          <w:numId w:val="0"/>
        </w:numPr>
        <w:rPr>
          <w:sz w:val="22"/>
          <w:szCs w:val="22"/>
        </w:rPr>
      </w:pPr>
    </w:p>
    <w:p w14:paraId="444D3B99" w14:textId="77777777" w:rsidR="00AE7E49" w:rsidRPr="002E6863" w:rsidRDefault="00AE7E49" w:rsidP="00EA37D1">
      <w:pPr>
        <w:numPr>
          <w:ilvl w:val="12"/>
          <w:numId w:val="0"/>
        </w:numPr>
        <w:rPr>
          <w:sz w:val="22"/>
          <w:szCs w:val="22"/>
        </w:rPr>
      </w:pPr>
    </w:p>
    <w:p w14:paraId="3ECF20A8" w14:textId="77777777" w:rsidR="00731B12" w:rsidRPr="002E6863" w:rsidRDefault="00EA37D1" w:rsidP="00EA37D1">
      <w:pPr>
        <w:tabs>
          <w:tab w:val="left" w:pos="567"/>
        </w:tabs>
        <w:rPr>
          <w:b/>
          <w:sz w:val="22"/>
          <w:szCs w:val="22"/>
        </w:rPr>
      </w:pPr>
      <w:r>
        <w:rPr>
          <w:b/>
          <w:sz w:val="22"/>
          <w:szCs w:val="22"/>
        </w:rPr>
        <w:t>5.</w:t>
      </w:r>
      <w:r w:rsidR="008C6FC6" w:rsidRPr="002E6863">
        <w:rPr>
          <w:b/>
          <w:sz w:val="22"/>
          <w:szCs w:val="22"/>
        </w:rPr>
        <w:tab/>
      </w:r>
      <w:r w:rsidR="00731B12" w:rsidRPr="002E6863">
        <w:rPr>
          <w:b/>
          <w:sz w:val="22"/>
          <w:szCs w:val="22"/>
        </w:rPr>
        <w:t>FARMAKOLOGICKÉ VLASTNOSTI</w:t>
      </w:r>
    </w:p>
    <w:p w14:paraId="2B24AD8A" w14:textId="77777777" w:rsidR="00A31C69" w:rsidRPr="002E6863" w:rsidRDefault="00A31C69" w:rsidP="00EA37D1">
      <w:pPr>
        <w:tabs>
          <w:tab w:val="left" w:pos="360"/>
        </w:tabs>
        <w:rPr>
          <w:sz w:val="22"/>
          <w:szCs w:val="22"/>
        </w:rPr>
      </w:pPr>
    </w:p>
    <w:p w14:paraId="39225F2D" w14:textId="77777777" w:rsidR="00731B12" w:rsidRPr="002E6863" w:rsidRDefault="008C6FC6" w:rsidP="00EA37D1">
      <w:pPr>
        <w:tabs>
          <w:tab w:val="left" w:pos="567"/>
        </w:tabs>
        <w:rPr>
          <w:sz w:val="22"/>
          <w:szCs w:val="22"/>
        </w:rPr>
      </w:pPr>
      <w:r w:rsidRPr="002E6863">
        <w:rPr>
          <w:b/>
          <w:sz w:val="22"/>
          <w:szCs w:val="22"/>
        </w:rPr>
        <w:t>5.1</w:t>
      </w:r>
      <w:r w:rsidRPr="002E6863">
        <w:rPr>
          <w:b/>
          <w:sz w:val="22"/>
          <w:szCs w:val="22"/>
        </w:rPr>
        <w:tab/>
      </w:r>
      <w:r w:rsidR="00731B12" w:rsidRPr="002E6863">
        <w:rPr>
          <w:b/>
          <w:sz w:val="22"/>
          <w:szCs w:val="22"/>
        </w:rPr>
        <w:t>Farmakodynamické vlastnosti</w:t>
      </w:r>
      <w:r w:rsidR="00731B12" w:rsidRPr="002E6863">
        <w:rPr>
          <w:sz w:val="22"/>
          <w:szCs w:val="22"/>
        </w:rPr>
        <w:t xml:space="preserve"> </w:t>
      </w:r>
    </w:p>
    <w:p w14:paraId="76AA053B" w14:textId="77777777" w:rsidR="008C6FC6" w:rsidRPr="002E6863" w:rsidRDefault="008C6FC6" w:rsidP="00EA37D1">
      <w:pPr>
        <w:rPr>
          <w:sz w:val="22"/>
          <w:szCs w:val="22"/>
        </w:rPr>
      </w:pPr>
    </w:p>
    <w:p w14:paraId="73979800" w14:textId="77777777" w:rsidR="00075CE7" w:rsidRPr="002E6863" w:rsidRDefault="00731B12" w:rsidP="00EA37D1">
      <w:pPr>
        <w:rPr>
          <w:sz w:val="22"/>
          <w:szCs w:val="22"/>
        </w:rPr>
      </w:pPr>
      <w:r w:rsidRPr="002E6863">
        <w:rPr>
          <w:sz w:val="22"/>
          <w:szCs w:val="22"/>
        </w:rPr>
        <w:t>Farmakoterapeutic</w:t>
      </w:r>
      <w:r w:rsidR="00075CE7" w:rsidRPr="002E6863">
        <w:rPr>
          <w:sz w:val="22"/>
          <w:szCs w:val="22"/>
        </w:rPr>
        <w:t>ká</w:t>
      </w:r>
      <w:r w:rsidR="00EA37D1">
        <w:rPr>
          <w:sz w:val="22"/>
          <w:szCs w:val="22"/>
        </w:rPr>
        <w:t xml:space="preserve"> skupina</w:t>
      </w:r>
      <w:r w:rsidR="00075CE7" w:rsidRPr="002E6863">
        <w:rPr>
          <w:sz w:val="22"/>
          <w:szCs w:val="22"/>
        </w:rPr>
        <w:t xml:space="preserve">: </w:t>
      </w:r>
      <w:r w:rsidR="00A2302E">
        <w:rPr>
          <w:sz w:val="22"/>
          <w:szCs w:val="22"/>
        </w:rPr>
        <w:t>Antib</w:t>
      </w:r>
      <w:r w:rsidR="00FE4313">
        <w:rPr>
          <w:sz w:val="22"/>
          <w:szCs w:val="22"/>
        </w:rPr>
        <w:t>iotiká</w:t>
      </w:r>
      <w:r w:rsidR="00A2302E">
        <w:rPr>
          <w:sz w:val="22"/>
          <w:szCs w:val="22"/>
        </w:rPr>
        <w:t xml:space="preserve"> na systémové použitie</w:t>
      </w:r>
      <w:r w:rsidR="00FE4313">
        <w:rPr>
          <w:sz w:val="22"/>
          <w:szCs w:val="22"/>
        </w:rPr>
        <w:t>,</w:t>
      </w:r>
      <w:r w:rsidR="00A2302E">
        <w:rPr>
          <w:sz w:val="22"/>
          <w:szCs w:val="22"/>
        </w:rPr>
        <w:t xml:space="preserve"> kombinácie sulfónamidov a trimetoprimu, vrátane derivátov</w:t>
      </w:r>
      <w:r w:rsidR="00FE4313">
        <w:rPr>
          <w:sz w:val="22"/>
          <w:szCs w:val="22"/>
        </w:rPr>
        <w:t>,</w:t>
      </w:r>
    </w:p>
    <w:p w14:paraId="19AF23AD" w14:textId="77777777" w:rsidR="00731B12" w:rsidRPr="006F0598" w:rsidRDefault="00075CE7" w:rsidP="00EA37D1">
      <w:pPr>
        <w:rPr>
          <w:bCs/>
          <w:sz w:val="22"/>
          <w:szCs w:val="22"/>
        </w:rPr>
      </w:pPr>
      <w:r w:rsidRPr="002E6863">
        <w:rPr>
          <w:sz w:val="22"/>
          <w:szCs w:val="22"/>
        </w:rPr>
        <w:t>ATC kód</w:t>
      </w:r>
      <w:r w:rsidR="008C6FC6" w:rsidRPr="002E6863">
        <w:rPr>
          <w:sz w:val="22"/>
          <w:szCs w:val="22"/>
        </w:rPr>
        <w:t xml:space="preserve">: </w:t>
      </w:r>
      <w:r w:rsidRPr="002E6863">
        <w:rPr>
          <w:sz w:val="22"/>
          <w:szCs w:val="22"/>
        </w:rPr>
        <w:t>J01</w:t>
      </w:r>
      <w:r w:rsidR="00731B12" w:rsidRPr="002E6863">
        <w:rPr>
          <w:sz w:val="22"/>
          <w:szCs w:val="22"/>
        </w:rPr>
        <w:t>EE01</w:t>
      </w:r>
    </w:p>
    <w:p w14:paraId="6EF85812" w14:textId="77777777" w:rsidR="008C6FC6" w:rsidRPr="002E6863" w:rsidRDefault="008C6FC6" w:rsidP="00EA37D1">
      <w:pPr>
        <w:numPr>
          <w:ilvl w:val="12"/>
          <w:numId w:val="0"/>
        </w:numPr>
        <w:rPr>
          <w:sz w:val="22"/>
          <w:szCs w:val="22"/>
        </w:rPr>
      </w:pPr>
    </w:p>
    <w:p w14:paraId="48579B88" w14:textId="77777777" w:rsidR="00FE4313" w:rsidRPr="006F0455" w:rsidRDefault="00FE4313" w:rsidP="00EA37D1">
      <w:pPr>
        <w:numPr>
          <w:ilvl w:val="12"/>
          <w:numId w:val="0"/>
        </w:numPr>
        <w:rPr>
          <w:sz w:val="22"/>
          <w:szCs w:val="22"/>
          <w:u w:val="single"/>
        </w:rPr>
      </w:pPr>
      <w:r w:rsidRPr="006F0455">
        <w:rPr>
          <w:sz w:val="22"/>
          <w:szCs w:val="22"/>
          <w:u w:val="single"/>
        </w:rPr>
        <w:t>Mechanizmus účinku</w:t>
      </w:r>
    </w:p>
    <w:p w14:paraId="63F686F2" w14:textId="3190DC98" w:rsidR="00517409" w:rsidRPr="00BC56B3" w:rsidRDefault="00E63FF1" w:rsidP="00EA37D1">
      <w:pPr>
        <w:numPr>
          <w:ilvl w:val="12"/>
          <w:numId w:val="0"/>
        </w:numPr>
        <w:rPr>
          <w:sz w:val="22"/>
          <w:szCs w:val="22"/>
        </w:rPr>
      </w:pPr>
      <w:r>
        <w:rPr>
          <w:sz w:val="22"/>
          <w:szCs w:val="22"/>
        </w:rPr>
        <w:t>BISEPTOL</w:t>
      </w:r>
      <w:r w:rsidR="00812C87">
        <w:rPr>
          <w:sz w:val="22"/>
          <w:szCs w:val="22"/>
        </w:rPr>
        <w:t xml:space="preserve"> 480 je antib</w:t>
      </w:r>
      <w:r w:rsidR="002D3214">
        <w:rPr>
          <w:sz w:val="22"/>
          <w:szCs w:val="22"/>
        </w:rPr>
        <w:t>iotikum</w:t>
      </w:r>
      <w:r w:rsidR="00812C87">
        <w:rPr>
          <w:sz w:val="22"/>
          <w:szCs w:val="22"/>
        </w:rPr>
        <w:t xml:space="preserve"> zložen</w:t>
      </w:r>
      <w:r w:rsidR="002D3214">
        <w:rPr>
          <w:sz w:val="22"/>
          <w:szCs w:val="22"/>
        </w:rPr>
        <w:t>é</w:t>
      </w:r>
      <w:r w:rsidR="00517409">
        <w:rPr>
          <w:sz w:val="22"/>
          <w:szCs w:val="22"/>
        </w:rPr>
        <w:t xml:space="preserve"> z dvoch účinných látok, sulfametoxazolu a trimetoprimu. Sulfametoxazol je kompetitívny </w:t>
      </w:r>
      <w:r w:rsidR="00FD0546">
        <w:rPr>
          <w:sz w:val="22"/>
          <w:szCs w:val="22"/>
        </w:rPr>
        <w:t>inhibítor</w:t>
      </w:r>
      <w:r w:rsidR="00517409">
        <w:rPr>
          <w:sz w:val="22"/>
          <w:szCs w:val="22"/>
        </w:rPr>
        <w:t xml:space="preserve"> enzýmu dihydropteroátsyntetáza. Sulfametoxazol</w:t>
      </w:r>
      <w:r w:rsidR="00812C87">
        <w:rPr>
          <w:sz w:val="22"/>
          <w:szCs w:val="22"/>
        </w:rPr>
        <w:t xml:space="preserve"> </w:t>
      </w:r>
      <w:r w:rsidR="00517409" w:rsidRPr="00BC56B3">
        <w:rPr>
          <w:sz w:val="22"/>
          <w:szCs w:val="22"/>
        </w:rPr>
        <w:t xml:space="preserve">kompetitívne inhibuje utilizáciu </w:t>
      </w:r>
      <w:r w:rsidR="00FD0546" w:rsidRPr="00BC56B3">
        <w:rPr>
          <w:sz w:val="22"/>
          <w:szCs w:val="22"/>
        </w:rPr>
        <w:t>kyseliny</w:t>
      </w:r>
      <w:r w:rsidR="00517409" w:rsidRPr="00BC56B3">
        <w:rPr>
          <w:sz w:val="22"/>
          <w:szCs w:val="22"/>
        </w:rPr>
        <w:t xml:space="preserve"> paraaminobenzoovej (PABA) v syntéze dihydrofolátu </w:t>
      </w:r>
      <w:r w:rsidR="00D74FAF" w:rsidRPr="00BC56B3">
        <w:rPr>
          <w:sz w:val="22"/>
          <w:szCs w:val="22"/>
        </w:rPr>
        <w:t xml:space="preserve">v </w:t>
      </w:r>
      <w:r w:rsidR="00517409" w:rsidRPr="00BC56B3">
        <w:rPr>
          <w:sz w:val="22"/>
          <w:szCs w:val="22"/>
        </w:rPr>
        <w:t>bakteriálnych bunkových st</w:t>
      </w:r>
      <w:r w:rsidR="00D74FAF" w:rsidRPr="00BC56B3">
        <w:rPr>
          <w:sz w:val="22"/>
          <w:szCs w:val="22"/>
        </w:rPr>
        <w:t>enách, čo má za následok</w:t>
      </w:r>
      <w:r w:rsidR="00517409" w:rsidRPr="00BC56B3">
        <w:rPr>
          <w:sz w:val="22"/>
          <w:szCs w:val="22"/>
        </w:rPr>
        <w:t xml:space="preserve"> bakteriostáz</w:t>
      </w:r>
      <w:r w:rsidR="00D74FAF" w:rsidRPr="00BC56B3">
        <w:rPr>
          <w:sz w:val="22"/>
          <w:szCs w:val="22"/>
        </w:rPr>
        <w:t>u</w:t>
      </w:r>
      <w:r w:rsidR="00517409" w:rsidRPr="00BC56B3">
        <w:rPr>
          <w:sz w:val="22"/>
          <w:szCs w:val="22"/>
        </w:rPr>
        <w:t>.</w:t>
      </w:r>
    </w:p>
    <w:p w14:paraId="03A3EA41" w14:textId="77777777" w:rsidR="00812C87" w:rsidRPr="00BC56B3" w:rsidRDefault="00517409" w:rsidP="00EA37D1">
      <w:pPr>
        <w:numPr>
          <w:ilvl w:val="12"/>
          <w:numId w:val="0"/>
        </w:numPr>
        <w:rPr>
          <w:sz w:val="22"/>
          <w:szCs w:val="22"/>
        </w:rPr>
      </w:pPr>
      <w:r w:rsidRPr="00BC56B3">
        <w:rPr>
          <w:sz w:val="22"/>
          <w:szCs w:val="22"/>
        </w:rPr>
        <w:t>Trimetoprim viaže a reverzibilne inhibuje bakteriálnu dihydrofolátreduktázu (DHF</w:t>
      </w:r>
      <w:r w:rsidR="00E12A50" w:rsidRPr="00BC56B3">
        <w:rPr>
          <w:sz w:val="22"/>
          <w:szCs w:val="22"/>
        </w:rPr>
        <w:t>R</w:t>
      </w:r>
      <w:r w:rsidRPr="00BC56B3">
        <w:rPr>
          <w:sz w:val="22"/>
          <w:szCs w:val="22"/>
        </w:rPr>
        <w:t>) a bl</w:t>
      </w:r>
      <w:r w:rsidR="0042020D" w:rsidRPr="00BC56B3">
        <w:rPr>
          <w:sz w:val="22"/>
          <w:szCs w:val="22"/>
        </w:rPr>
        <w:t>okuje tvorbu tetrahydrofolátu.</w:t>
      </w:r>
    </w:p>
    <w:p w14:paraId="425E6826" w14:textId="7E8E1E38" w:rsidR="008C6FC6" w:rsidRPr="00BC56B3" w:rsidRDefault="008C6FC6" w:rsidP="00EA37D1">
      <w:pPr>
        <w:numPr>
          <w:ilvl w:val="12"/>
          <w:numId w:val="0"/>
        </w:numPr>
        <w:rPr>
          <w:sz w:val="22"/>
          <w:szCs w:val="22"/>
        </w:rPr>
      </w:pPr>
      <w:r w:rsidRPr="00BC56B3">
        <w:rPr>
          <w:sz w:val="22"/>
          <w:szCs w:val="22"/>
        </w:rPr>
        <w:t xml:space="preserve">V závislosti od podmienok môže byť jeho účinok baktericídny alebo bakteriostatický. Takto trimetoprim a sulfametoxazol blokujú dva po sebe idúce kroky v biosyntéze purínov a tým aj </w:t>
      </w:r>
      <w:r w:rsidRPr="00BC56B3">
        <w:rPr>
          <w:sz w:val="22"/>
          <w:szCs w:val="22"/>
        </w:rPr>
        <w:lastRenderedPageBreak/>
        <w:t>nukleov</w:t>
      </w:r>
      <w:r w:rsidR="00D74FAF" w:rsidRPr="00BC56B3">
        <w:rPr>
          <w:sz w:val="22"/>
          <w:szCs w:val="22"/>
        </w:rPr>
        <w:t>ých</w:t>
      </w:r>
      <w:r w:rsidRPr="00BC56B3">
        <w:rPr>
          <w:sz w:val="22"/>
          <w:szCs w:val="22"/>
        </w:rPr>
        <w:t xml:space="preserve"> kysel</w:t>
      </w:r>
      <w:r w:rsidR="00D74FAF" w:rsidRPr="00BC56B3">
        <w:rPr>
          <w:sz w:val="22"/>
          <w:szCs w:val="22"/>
        </w:rPr>
        <w:t>í</w:t>
      </w:r>
      <w:r w:rsidRPr="00BC56B3">
        <w:rPr>
          <w:sz w:val="22"/>
          <w:szCs w:val="22"/>
        </w:rPr>
        <w:t>n esenciáln</w:t>
      </w:r>
      <w:r w:rsidR="00D74FAF" w:rsidRPr="00BC56B3">
        <w:rPr>
          <w:sz w:val="22"/>
          <w:szCs w:val="22"/>
        </w:rPr>
        <w:t>ych</w:t>
      </w:r>
      <w:r w:rsidRPr="00BC56B3">
        <w:rPr>
          <w:sz w:val="22"/>
          <w:szCs w:val="22"/>
        </w:rPr>
        <w:t xml:space="preserve"> pre mnohé baktérie. Toto</w:t>
      </w:r>
      <w:r w:rsidR="00296590" w:rsidRPr="00BC56B3">
        <w:rPr>
          <w:sz w:val="22"/>
          <w:szCs w:val="22"/>
        </w:rPr>
        <w:t xml:space="preserve"> pôsobenie vytvára výrazné posilnenie aktivity </w:t>
      </w:r>
      <w:r w:rsidR="00296590" w:rsidRPr="00BC56B3">
        <w:rPr>
          <w:i/>
          <w:sz w:val="22"/>
          <w:szCs w:val="22"/>
        </w:rPr>
        <w:t>in vitro</w:t>
      </w:r>
      <w:r w:rsidR="00296590" w:rsidRPr="00BC56B3">
        <w:rPr>
          <w:sz w:val="22"/>
          <w:szCs w:val="22"/>
        </w:rPr>
        <w:t xml:space="preserve"> medzi týmito dvoma liekmi.</w:t>
      </w:r>
    </w:p>
    <w:p w14:paraId="3ACE5DE9" w14:textId="77777777" w:rsidR="003963A3" w:rsidRPr="00BC56B3" w:rsidRDefault="003963A3" w:rsidP="00EA37D1">
      <w:pPr>
        <w:numPr>
          <w:ilvl w:val="12"/>
          <w:numId w:val="0"/>
        </w:numPr>
        <w:rPr>
          <w:sz w:val="22"/>
          <w:szCs w:val="22"/>
        </w:rPr>
      </w:pPr>
    </w:p>
    <w:p w14:paraId="19F580E6" w14:textId="77777777" w:rsidR="00972AFF" w:rsidRPr="00A90137" w:rsidRDefault="00972AFF" w:rsidP="00972AFF">
      <w:pPr>
        <w:pStyle w:val="HTML-wstpniesformatowany"/>
        <w:shd w:val="clear" w:color="auto" w:fill="FFFFFF"/>
        <w:rPr>
          <w:rFonts w:ascii="Times New Roman" w:hAnsi="Times New Roman" w:cs="Times New Roman"/>
          <w:sz w:val="22"/>
          <w:szCs w:val="22"/>
        </w:rPr>
      </w:pPr>
      <w:r w:rsidRPr="00A90137">
        <w:rPr>
          <w:rFonts w:ascii="Times New Roman" w:hAnsi="Times New Roman" w:cs="Times New Roman"/>
          <w:sz w:val="22"/>
          <w:szCs w:val="22"/>
        </w:rPr>
        <w:t>Trimetoprim sa viaže na plazmodiálnu DHFR, ale menej pevne ako na bakteriálny enzým. Jeho afinita k DHFR u cicavcov je približne 50 000 krát nižšia ako pre zodpovedajúci bakteriálny enzým.</w:t>
      </w:r>
    </w:p>
    <w:p w14:paraId="7A5EB571" w14:textId="77777777" w:rsidR="00972AFF" w:rsidRPr="00BC56B3" w:rsidRDefault="00972AFF" w:rsidP="00EA37D1">
      <w:pPr>
        <w:numPr>
          <w:ilvl w:val="12"/>
          <w:numId w:val="0"/>
        </w:numPr>
        <w:rPr>
          <w:sz w:val="22"/>
          <w:szCs w:val="22"/>
        </w:rPr>
      </w:pPr>
    </w:p>
    <w:p w14:paraId="1E63B19B" w14:textId="471695AA" w:rsidR="00517409" w:rsidRPr="00BC56B3" w:rsidRDefault="00972AFF" w:rsidP="00EA37D1">
      <w:pPr>
        <w:numPr>
          <w:ilvl w:val="12"/>
          <w:numId w:val="0"/>
        </w:numPr>
        <w:rPr>
          <w:sz w:val="22"/>
          <w:szCs w:val="22"/>
          <w:u w:val="single"/>
        </w:rPr>
      </w:pPr>
      <w:r w:rsidRPr="00BC56B3">
        <w:rPr>
          <w:sz w:val="22"/>
          <w:szCs w:val="22"/>
          <w:u w:val="single"/>
        </w:rPr>
        <w:t>R</w:t>
      </w:r>
      <w:r w:rsidR="00517409" w:rsidRPr="00BC56B3">
        <w:rPr>
          <w:sz w:val="22"/>
          <w:szCs w:val="22"/>
          <w:u w:val="single"/>
        </w:rPr>
        <w:t>ezistenci</w:t>
      </w:r>
      <w:r w:rsidRPr="00BC56B3">
        <w:rPr>
          <w:sz w:val="22"/>
          <w:szCs w:val="22"/>
          <w:u w:val="single"/>
        </w:rPr>
        <w:t>a</w:t>
      </w:r>
      <w:r w:rsidR="00517409" w:rsidRPr="00BC56B3">
        <w:rPr>
          <w:sz w:val="22"/>
          <w:szCs w:val="22"/>
          <w:u w:val="single"/>
        </w:rPr>
        <w:t xml:space="preserve"> </w:t>
      </w:r>
    </w:p>
    <w:p w14:paraId="71A13D08" w14:textId="487865B0" w:rsidR="00517409" w:rsidRPr="00BC56B3" w:rsidRDefault="00517409" w:rsidP="00EA37D1">
      <w:pPr>
        <w:numPr>
          <w:ilvl w:val="12"/>
          <w:numId w:val="0"/>
        </w:numPr>
        <w:rPr>
          <w:sz w:val="22"/>
          <w:szCs w:val="22"/>
        </w:rPr>
      </w:pPr>
      <w:r w:rsidRPr="00BC56B3">
        <w:rPr>
          <w:i/>
          <w:sz w:val="22"/>
          <w:szCs w:val="22"/>
        </w:rPr>
        <w:t>In vitro</w:t>
      </w:r>
      <w:r w:rsidRPr="00BC56B3">
        <w:rPr>
          <w:sz w:val="22"/>
          <w:szCs w:val="22"/>
        </w:rPr>
        <w:t xml:space="preserve"> štúdie ukázali, že bakteriálna rezistencia sa môž</w:t>
      </w:r>
      <w:r w:rsidR="00D74FAF" w:rsidRPr="00BC56B3">
        <w:rPr>
          <w:sz w:val="22"/>
          <w:szCs w:val="22"/>
        </w:rPr>
        <w:t>e</w:t>
      </w:r>
      <w:r w:rsidRPr="00BC56B3">
        <w:rPr>
          <w:sz w:val="22"/>
          <w:szCs w:val="22"/>
        </w:rPr>
        <w:t xml:space="preserve"> vyvinúť pomalšie pri kombinácii sulfametoxazolu a trimetoprimu, ako pri podávaní sulfametoxazolu alebo trimetoprimu samostatne.</w:t>
      </w:r>
    </w:p>
    <w:p w14:paraId="51AF3ED0" w14:textId="77777777" w:rsidR="00517409" w:rsidRDefault="00517409" w:rsidP="00EA37D1">
      <w:pPr>
        <w:numPr>
          <w:ilvl w:val="12"/>
          <w:numId w:val="0"/>
        </w:numPr>
        <w:rPr>
          <w:sz w:val="22"/>
          <w:szCs w:val="22"/>
        </w:rPr>
      </w:pPr>
    </w:p>
    <w:p w14:paraId="4B098269" w14:textId="77777777" w:rsidR="00517409" w:rsidRDefault="00517409" w:rsidP="00EA37D1">
      <w:pPr>
        <w:numPr>
          <w:ilvl w:val="12"/>
          <w:numId w:val="0"/>
        </w:numPr>
        <w:rPr>
          <w:sz w:val="22"/>
          <w:szCs w:val="22"/>
        </w:rPr>
      </w:pPr>
      <w:r>
        <w:rPr>
          <w:sz w:val="22"/>
          <w:szCs w:val="22"/>
        </w:rPr>
        <w:t>Rezistencia na s</w:t>
      </w:r>
      <w:r w:rsidR="00D209BD">
        <w:rPr>
          <w:sz w:val="22"/>
          <w:szCs w:val="22"/>
        </w:rPr>
        <w:t>ulfametoxazol sa môže objaviť rô</w:t>
      </w:r>
      <w:r>
        <w:rPr>
          <w:sz w:val="22"/>
          <w:szCs w:val="22"/>
        </w:rPr>
        <w:t>znymi mechanizmami. Bakteriálne mutácie spôsobujú zvýšenie koncentrácie PABA</w:t>
      </w:r>
      <w:r w:rsidR="008A197E">
        <w:rPr>
          <w:sz w:val="22"/>
          <w:szCs w:val="22"/>
        </w:rPr>
        <w:t>,</w:t>
      </w:r>
      <w:r>
        <w:rPr>
          <w:sz w:val="22"/>
          <w:szCs w:val="22"/>
        </w:rPr>
        <w:t xml:space="preserve"> a</w:t>
      </w:r>
      <w:r w:rsidR="008A197E">
        <w:rPr>
          <w:sz w:val="22"/>
          <w:szCs w:val="22"/>
        </w:rPr>
        <w:t> </w:t>
      </w:r>
      <w:r>
        <w:rPr>
          <w:sz w:val="22"/>
          <w:szCs w:val="22"/>
        </w:rPr>
        <w:t>tým</w:t>
      </w:r>
      <w:r w:rsidR="008A197E">
        <w:rPr>
          <w:sz w:val="22"/>
          <w:szCs w:val="22"/>
        </w:rPr>
        <w:t xml:space="preserve"> nemôže sulfametoxazol súťažiť</w:t>
      </w:r>
      <w:r w:rsidR="00661072">
        <w:rPr>
          <w:sz w:val="22"/>
          <w:szCs w:val="22"/>
        </w:rPr>
        <w:t xml:space="preserve"> o väzobné miesto</w:t>
      </w:r>
      <w:r w:rsidR="008A197E">
        <w:rPr>
          <w:sz w:val="22"/>
          <w:szCs w:val="22"/>
        </w:rPr>
        <w:t>, čo vedie k zníženiu inhibičného účinku enzýmu dihydropteroátsyntetáza.</w:t>
      </w:r>
      <w:r>
        <w:rPr>
          <w:sz w:val="22"/>
          <w:szCs w:val="22"/>
        </w:rPr>
        <w:t xml:space="preserve"> </w:t>
      </w:r>
      <w:r w:rsidR="008A197E">
        <w:rPr>
          <w:sz w:val="22"/>
          <w:szCs w:val="22"/>
        </w:rPr>
        <w:t xml:space="preserve">Ďalším mechanizmom </w:t>
      </w:r>
      <w:r w:rsidR="00D209BD">
        <w:rPr>
          <w:sz w:val="22"/>
          <w:szCs w:val="22"/>
        </w:rPr>
        <w:t>je plazmid</w:t>
      </w:r>
      <w:r w:rsidR="008A197E">
        <w:rPr>
          <w:sz w:val="22"/>
          <w:szCs w:val="22"/>
        </w:rPr>
        <w:t>om sprostredkovaná rezistencia a vychádza z tvorby pozmeneného enzýmu dihydropteroátsyntetáza, ktorá znižuje afinitu sulfametoxazolu v porovnaní s nepozmenený</w:t>
      </w:r>
      <w:r w:rsidR="00E12A50">
        <w:rPr>
          <w:sz w:val="22"/>
          <w:szCs w:val="22"/>
        </w:rPr>
        <w:t>m</w:t>
      </w:r>
      <w:r w:rsidR="008A197E">
        <w:rPr>
          <w:sz w:val="22"/>
          <w:szCs w:val="22"/>
        </w:rPr>
        <w:t xml:space="preserve"> typom enzýmu.</w:t>
      </w:r>
    </w:p>
    <w:p w14:paraId="46DCCF9C" w14:textId="77777777" w:rsidR="008A197E" w:rsidRDefault="008A197E" w:rsidP="00EA37D1">
      <w:pPr>
        <w:numPr>
          <w:ilvl w:val="12"/>
          <w:numId w:val="0"/>
        </w:numPr>
        <w:rPr>
          <w:sz w:val="22"/>
          <w:szCs w:val="22"/>
        </w:rPr>
      </w:pPr>
    </w:p>
    <w:p w14:paraId="201568DE" w14:textId="77777777" w:rsidR="008A197E" w:rsidRDefault="00FD0546" w:rsidP="00EA37D1">
      <w:pPr>
        <w:numPr>
          <w:ilvl w:val="12"/>
          <w:numId w:val="0"/>
        </w:numPr>
        <w:rPr>
          <w:sz w:val="22"/>
          <w:szCs w:val="22"/>
        </w:rPr>
      </w:pPr>
      <w:r>
        <w:rPr>
          <w:sz w:val="22"/>
          <w:szCs w:val="22"/>
        </w:rPr>
        <w:t>Rezistencia</w:t>
      </w:r>
      <w:r w:rsidR="008A197E">
        <w:rPr>
          <w:sz w:val="22"/>
          <w:szCs w:val="22"/>
        </w:rPr>
        <w:t xml:space="preserve"> na trimetoprim sa ob</w:t>
      </w:r>
      <w:r w:rsidR="00D209BD">
        <w:rPr>
          <w:sz w:val="22"/>
          <w:szCs w:val="22"/>
        </w:rPr>
        <w:t>javuje prostredníctvom plazmidom</w:t>
      </w:r>
      <w:r w:rsidR="008A197E">
        <w:rPr>
          <w:sz w:val="22"/>
          <w:szCs w:val="22"/>
        </w:rPr>
        <w:t xml:space="preserve"> sprostredkovanej mutácie, čo má za následok tvorbu pozmeneného enzýmu dihydrofolá</w:t>
      </w:r>
      <w:r w:rsidR="00661072">
        <w:rPr>
          <w:sz w:val="22"/>
          <w:szCs w:val="22"/>
        </w:rPr>
        <w:t>t</w:t>
      </w:r>
      <w:r w:rsidR="008A197E">
        <w:rPr>
          <w:sz w:val="22"/>
          <w:szCs w:val="22"/>
        </w:rPr>
        <w:t>reduktáza, ktorá znižuje afinitu trimetoprimu v porovnaní s nepozmenený</w:t>
      </w:r>
      <w:r w:rsidR="00661072">
        <w:rPr>
          <w:sz w:val="22"/>
          <w:szCs w:val="22"/>
        </w:rPr>
        <w:t>m</w:t>
      </w:r>
      <w:r w:rsidR="008A197E">
        <w:rPr>
          <w:sz w:val="22"/>
          <w:szCs w:val="22"/>
        </w:rPr>
        <w:t xml:space="preserve"> typom enzýmu.</w:t>
      </w:r>
    </w:p>
    <w:p w14:paraId="3439F0AA" w14:textId="2F120D8A" w:rsidR="00731B12" w:rsidRDefault="00731B12" w:rsidP="002E6863">
      <w:pPr>
        <w:numPr>
          <w:ilvl w:val="12"/>
          <w:numId w:val="0"/>
        </w:numPr>
        <w:jc w:val="both"/>
        <w:rPr>
          <w:sz w:val="22"/>
          <w:szCs w:val="22"/>
        </w:rPr>
      </w:pPr>
      <w:commentRangeStart w:id="6"/>
      <w:commentRangeEnd w:id="6"/>
    </w:p>
    <w:p w14:paraId="2DD28C4A" w14:textId="629E30C9" w:rsidR="00B241F6" w:rsidRPr="00072A31" w:rsidRDefault="00972AFF" w:rsidP="00EA37D1">
      <w:pPr>
        <w:rPr>
          <w:sz w:val="22"/>
          <w:szCs w:val="22"/>
          <w:u w:val="single"/>
        </w:rPr>
      </w:pPr>
      <w:r>
        <w:rPr>
          <w:sz w:val="22"/>
          <w:szCs w:val="22"/>
          <w:u w:val="single"/>
        </w:rPr>
        <w:t>Testovanie</w:t>
      </w:r>
      <w:r w:rsidR="00BE759D" w:rsidRPr="00072A31">
        <w:rPr>
          <w:sz w:val="22"/>
          <w:szCs w:val="22"/>
          <w:u w:val="single"/>
        </w:rPr>
        <w:t xml:space="preserve"> citlivosti</w:t>
      </w:r>
    </w:p>
    <w:p w14:paraId="196C7478" w14:textId="77777777" w:rsidR="00B241F6" w:rsidRDefault="00B241F6" w:rsidP="00EA37D1">
      <w:pPr>
        <w:numPr>
          <w:ilvl w:val="12"/>
          <w:numId w:val="0"/>
        </w:numPr>
        <w:rPr>
          <w:sz w:val="22"/>
          <w:szCs w:val="22"/>
        </w:rPr>
      </w:pPr>
    </w:p>
    <w:p w14:paraId="70BCE25A" w14:textId="77777777" w:rsidR="00B241F6" w:rsidRPr="00072A31" w:rsidRDefault="00B241F6" w:rsidP="00EA37D1">
      <w:pPr>
        <w:numPr>
          <w:ilvl w:val="12"/>
          <w:numId w:val="0"/>
        </w:numPr>
        <w:rPr>
          <w:sz w:val="22"/>
          <w:szCs w:val="22"/>
          <w:u w:val="single"/>
        </w:rPr>
      </w:pPr>
      <w:r w:rsidRPr="00072A31">
        <w:rPr>
          <w:sz w:val="22"/>
          <w:szCs w:val="22"/>
          <w:u w:val="single"/>
        </w:rPr>
        <w:t>Antibakteriálne spektrum</w:t>
      </w:r>
    </w:p>
    <w:p w14:paraId="194490D5" w14:textId="77777777" w:rsidR="00E726E2" w:rsidRDefault="00B241F6" w:rsidP="00EA37D1">
      <w:pPr>
        <w:numPr>
          <w:ilvl w:val="12"/>
          <w:numId w:val="0"/>
        </w:numPr>
        <w:rPr>
          <w:sz w:val="22"/>
          <w:szCs w:val="22"/>
        </w:rPr>
      </w:pPr>
      <w:r>
        <w:rPr>
          <w:sz w:val="22"/>
          <w:szCs w:val="22"/>
        </w:rPr>
        <w:t xml:space="preserve">Prevalencia rezistencie sa môže meniť geograficky a s časom na </w:t>
      </w:r>
      <w:r w:rsidR="00B271BA">
        <w:rPr>
          <w:sz w:val="22"/>
          <w:szCs w:val="22"/>
        </w:rPr>
        <w:t>vybrané</w:t>
      </w:r>
      <w:r>
        <w:rPr>
          <w:sz w:val="22"/>
          <w:szCs w:val="22"/>
        </w:rPr>
        <w:t xml:space="preserve"> druh</w:t>
      </w:r>
      <w:r w:rsidR="00B271BA">
        <w:rPr>
          <w:sz w:val="22"/>
          <w:szCs w:val="22"/>
        </w:rPr>
        <w:t>y</w:t>
      </w:r>
      <w:r>
        <w:rPr>
          <w:sz w:val="22"/>
          <w:szCs w:val="22"/>
        </w:rPr>
        <w:t xml:space="preserve"> a žiaduce sú lokálne informácie o</w:t>
      </w:r>
      <w:r w:rsidR="00E726E2">
        <w:rPr>
          <w:sz w:val="22"/>
          <w:szCs w:val="22"/>
        </w:rPr>
        <w:t> </w:t>
      </w:r>
      <w:r>
        <w:rPr>
          <w:sz w:val="22"/>
          <w:szCs w:val="22"/>
        </w:rPr>
        <w:t>rezistencii</w:t>
      </w:r>
      <w:r w:rsidR="00E726E2">
        <w:rPr>
          <w:sz w:val="22"/>
          <w:szCs w:val="22"/>
        </w:rPr>
        <w:t xml:space="preserve">, zvlášť ak sa liečia závažné infekcie. Ak je potrebné, treba zvážiť názor experta, ak lokálna </w:t>
      </w:r>
      <w:r w:rsidR="00FD0546">
        <w:rPr>
          <w:sz w:val="22"/>
          <w:szCs w:val="22"/>
        </w:rPr>
        <w:t>prevalencia</w:t>
      </w:r>
      <w:r w:rsidR="00E726E2">
        <w:rPr>
          <w:sz w:val="22"/>
          <w:szCs w:val="22"/>
        </w:rPr>
        <w:t xml:space="preserve"> rezistencie je taká, že použitie</w:t>
      </w:r>
      <w:r w:rsidR="00D209BD">
        <w:rPr>
          <w:sz w:val="22"/>
          <w:szCs w:val="22"/>
        </w:rPr>
        <w:t xml:space="preserve"> účinnej látky je prinajmenšom u</w:t>
      </w:r>
      <w:r w:rsidR="00E726E2">
        <w:rPr>
          <w:sz w:val="22"/>
          <w:szCs w:val="22"/>
        </w:rPr>
        <w:t xml:space="preserve"> niektorých typov infekcií sporné. </w:t>
      </w:r>
    </w:p>
    <w:p w14:paraId="7674F1D9" w14:textId="77777777" w:rsidR="00E726E2" w:rsidRDefault="00E726E2" w:rsidP="00EA37D1">
      <w:pPr>
        <w:numPr>
          <w:ilvl w:val="12"/>
          <w:numId w:val="0"/>
        </w:numPr>
        <w:rPr>
          <w:sz w:val="22"/>
          <w:szCs w:val="22"/>
        </w:rPr>
      </w:pPr>
      <w:r>
        <w:rPr>
          <w:sz w:val="22"/>
          <w:szCs w:val="22"/>
        </w:rPr>
        <w:t>Tieto informácie dávajú len orientačnú schému pravdepodobnosti, či mikroorganizmy budú citlivé na sulfametoxazol/trimetoprim alebo nie.</w:t>
      </w:r>
    </w:p>
    <w:p w14:paraId="4EF3EBB0" w14:textId="77777777" w:rsidR="00BC56B3" w:rsidRDefault="00BC56B3" w:rsidP="00EA37D1">
      <w:pPr>
        <w:numPr>
          <w:ilvl w:val="12"/>
          <w:numId w:val="0"/>
        </w:numPr>
        <w:rPr>
          <w:sz w:val="22"/>
          <w:szCs w:val="22"/>
        </w:rPr>
      </w:pPr>
    </w:p>
    <w:p w14:paraId="63615199" w14:textId="7CEDEEED" w:rsidR="00E726E2" w:rsidRDefault="00E726E2" w:rsidP="00EA37D1">
      <w:pPr>
        <w:numPr>
          <w:ilvl w:val="12"/>
          <w:numId w:val="0"/>
        </w:numPr>
        <w:rPr>
          <w:sz w:val="22"/>
          <w:szCs w:val="22"/>
        </w:rPr>
      </w:pPr>
      <w:r>
        <w:rPr>
          <w:sz w:val="22"/>
          <w:szCs w:val="22"/>
        </w:rPr>
        <w:t>Citlivosť sulfametoxazolu/trimetoprimu proti rôznym baktériám je uvedená v nasledovnej tabuľke:</w:t>
      </w:r>
    </w:p>
    <w:p w14:paraId="2388F629" w14:textId="77777777" w:rsidR="0031447E" w:rsidRPr="007E42E9" w:rsidRDefault="0031447E" w:rsidP="0031447E">
      <w:pPr>
        <w:numPr>
          <w:ilvl w:val="12"/>
          <w:numId w:val="0"/>
        </w:numPr>
        <w:rPr>
          <w:sz w:val="22"/>
          <w:szCs w:val="22"/>
        </w:rPr>
      </w:pPr>
      <w:r w:rsidRPr="007E42E9">
        <w:rPr>
          <w:sz w:val="22"/>
          <w:szCs w:val="22"/>
        </w:rPr>
        <w:t>Testovanie trimetoprimu - sulfametoxazolu sa uskutočnilo s použitím bežných riediacich sérií na stanovenie minimálnej inhibičnej koncentrácie (MIC). Medzné hodnoty MIC pre rezistenciu sú tie, ktoré odporúča CLSI (Institute of Clinical and Laboratory Standards Institute - predtým Národný výbor pre klinické laboratórne štandardy (NCCLS) a usmernenia EUCAST.</w:t>
      </w:r>
    </w:p>
    <w:p w14:paraId="585839BE" w14:textId="77777777" w:rsidR="0031447E" w:rsidRPr="007E42E9" w:rsidRDefault="0031447E" w:rsidP="0031447E">
      <w:pPr>
        <w:numPr>
          <w:ilvl w:val="12"/>
          <w:numId w:val="0"/>
        </w:numPr>
        <w:rPr>
          <w:sz w:val="22"/>
          <w:szCs w:val="22"/>
        </w:rPr>
      </w:pPr>
    </w:p>
    <w:p w14:paraId="4BAC065D" w14:textId="77777777" w:rsidR="0031447E" w:rsidRPr="005362A7" w:rsidRDefault="0031447E" w:rsidP="0031447E">
      <w:pPr>
        <w:numPr>
          <w:ilvl w:val="12"/>
          <w:numId w:val="0"/>
        </w:numPr>
        <w:rPr>
          <w:sz w:val="22"/>
          <w:szCs w:val="22"/>
          <w:u w:val="single"/>
        </w:rPr>
      </w:pPr>
      <w:r w:rsidRPr="005362A7">
        <w:rPr>
          <w:sz w:val="22"/>
          <w:szCs w:val="22"/>
          <w:u w:val="single"/>
        </w:rPr>
        <w:t>Farmakodynamické účinky</w:t>
      </w:r>
    </w:p>
    <w:p w14:paraId="217CFD8C" w14:textId="77777777" w:rsidR="0031447E" w:rsidRDefault="0031447E" w:rsidP="0031447E">
      <w:pPr>
        <w:numPr>
          <w:ilvl w:val="12"/>
          <w:numId w:val="0"/>
        </w:numPr>
        <w:rPr>
          <w:sz w:val="22"/>
          <w:szCs w:val="22"/>
        </w:rPr>
      </w:pPr>
      <w:r w:rsidRPr="007E42E9">
        <w:rPr>
          <w:sz w:val="22"/>
          <w:szCs w:val="22"/>
        </w:rPr>
        <w:t xml:space="preserve">Väčšina bežných patogénnych baktérií je citlivá </w:t>
      </w:r>
      <w:r w:rsidRPr="005362A7">
        <w:rPr>
          <w:i/>
          <w:sz w:val="22"/>
          <w:szCs w:val="22"/>
        </w:rPr>
        <w:t>in vitro</w:t>
      </w:r>
      <w:r w:rsidRPr="007E42E9">
        <w:rPr>
          <w:sz w:val="22"/>
          <w:szCs w:val="22"/>
        </w:rPr>
        <w:t xml:space="preserve"> na trimetoprim a sulfametoxazol v koncentráciách, ktoré sú výrazne nižšie ako v krvi, tkanivových tekutinách a moči po podaní odporúčaných dávok. Spolu s inými antimikrobiálnymi látkami </w:t>
      </w:r>
      <w:r w:rsidRPr="005362A7">
        <w:rPr>
          <w:i/>
          <w:sz w:val="22"/>
          <w:szCs w:val="22"/>
        </w:rPr>
        <w:t>in vitro</w:t>
      </w:r>
      <w:r w:rsidRPr="007E42E9">
        <w:rPr>
          <w:sz w:val="22"/>
          <w:szCs w:val="22"/>
        </w:rPr>
        <w:t xml:space="preserve"> aktivita nevyhnutne neznamená, že bola preukázaná klinická účinnosť. Tieto organizmy zahŕňajú:</w:t>
      </w:r>
    </w:p>
    <w:p w14:paraId="53179C94" w14:textId="77777777" w:rsidR="0031447E" w:rsidRDefault="0031447E" w:rsidP="0031447E">
      <w:pPr>
        <w:pStyle w:val="FR1"/>
        <w:spacing w:before="0"/>
        <w:jc w:val="both"/>
        <w:rPr>
          <w:rFonts w:ascii="Times New Roman" w:hAnsi="Times New Roman" w:cs="Times New Roman"/>
          <w:b w:val="0"/>
          <w:sz w:val="22"/>
          <w:szCs w:val="22"/>
          <w:lang w:val="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D351C8" w14:paraId="3C7FD1BF" w14:textId="77777777" w:rsidTr="00D351C8">
        <w:tc>
          <w:tcPr>
            <w:tcW w:w="9288" w:type="dxa"/>
            <w:shd w:val="clear" w:color="auto" w:fill="auto"/>
          </w:tcPr>
          <w:p w14:paraId="4BDEC6DC" w14:textId="77777777" w:rsidR="0031447E" w:rsidRPr="00D351C8" w:rsidRDefault="0031447E" w:rsidP="00D351C8">
            <w:pPr>
              <w:pStyle w:val="FR1"/>
              <w:spacing w:before="0"/>
              <w:jc w:val="both"/>
              <w:rPr>
                <w:rFonts w:ascii="Times New Roman" w:hAnsi="Times New Roman" w:cs="Times New Roman"/>
                <w:bCs w:val="0"/>
                <w:sz w:val="22"/>
                <w:szCs w:val="22"/>
                <w:lang w:val="sk-SK"/>
              </w:rPr>
            </w:pPr>
            <w:r w:rsidRPr="00D351C8">
              <w:rPr>
                <w:rFonts w:ascii="Times New Roman" w:hAnsi="Times New Roman" w:cs="Times New Roman"/>
                <w:bCs w:val="0"/>
                <w:sz w:val="22"/>
                <w:szCs w:val="22"/>
                <w:lang w:val="es-ES_tradnl"/>
              </w:rPr>
              <w:t>Gram-negatívne</w:t>
            </w:r>
          </w:p>
        </w:tc>
      </w:tr>
      <w:tr w:rsidR="00D351C8" w14:paraId="752EED63" w14:textId="77777777" w:rsidTr="00D351C8">
        <w:tc>
          <w:tcPr>
            <w:tcW w:w="9288" w:type="dxa"/>
            <w:shd w:val="clear" w:color="auto" w:fill="auto"/>
          </w:tcPr>
          <w:p w14:paraId="0E9E4E7A" w14:textId="77777777" w:rsidR="0031447E" w:rsidRPr="00D351C8" w:rsidRDefault="0031447E" w:rsidP="00D351C8">
            <w:pPr>
              <w:pStyle w:val="FR1"/>
              <w:spacing w:before="0"/>
              <w:jc w:val="both"/>
              <w:rPr>
                <w:rFonts w:ascii="Times New Roman" w:hAnsi="Times New Roman" w:cs="Times New Roman"/>
                <w:b w:val="0"/>
                <w:i/>
                <w:iCs/>
                <w:sz w:val="22"/>
                <w:szCs w:val="22"/>
                <w:lang w:val="sk-SK"/>
              </w:rPr>
            </w:pPr>
            <w:r w:rsidRPr="00D351C8">
              <w:rPr>
                <w:rFonts w:ascii="Times New Roman" w:hAnsi="Times New Roman" w:cs="Times New Roman"/>
                <w:b w:val="0"/>
                <w:i/>
                <w:iCs/>
                <w:sz w:val="22"/>
                <w:szCs w:val="22"/>
                <w:lang w:val="sk-SK"/>
              </w:rPr>
              <w:t>Brucella spp.</w:t>
            </w:r>
          </w:p>
          <w:p w14:paraId="6A3559BC" w14:textId="77777777" w:rsidR="0031447E" w:rsidRPr="00D351C8" w:rsidRDefault="0031447E" w:rsidP="00CB4B15">
            <w:pPr>
              <w:rPr>
                <w:sz w:val="22"/>
                <w:szCs w:val="22"/>
              </w:rPr>
            </w:pPr>
            <w:r w:rsidRPr="00D351C8">
              <w:rPr>
                <w:i/>
                <w:iCs/>
                <w:sz w:val="22"/>
                <w:szCs w:val="22"/>
                <w:lang w:bidi="he-IL"/>
              </w:rPr>
              <w:t xml:space="preserve">Citrobacter </w:t>
            </w:r>
            <w:r w:rsidRPr="00D351C8">
              <w:rPr>
                <w:i/>
                <w:iCs/>
                <w:sz w:val="22"/>
                <w:szCs w:val="22"/>
              </w:rPr>
              <w:t>spp.</w:t>
            </w:r>
          </w:p>
          <w:p w14:paraId="1BC08313" w14:textId="77777777" w:rsidR="0031447E" w:rsidRPr="00D351C8" w:rsidRDefault="0031447E" w:rsidP="00CB4B15">
            <w:pPr>
              <w:rPr>
                <w:i/>
                <w:iCs/>
                <w:sz w:val="22"/>
                <w:szCs w:val="22"/>
                <w:lang w:val="es-ES_tradnl" w:bidi="he-IL"/>
              </w:rPr>
            </w:pPr>
            <w:r w:rsidRPr="00D351C8">
              <w:rPr>
                <w:i/>
                <w:iCs/>
                <w:sz w:val="22"/>
                <w:szCs w:val="22"/>
                <w:lang w:val="es-ES_tradnl" w:bidi="he-IL"/>
              </w:rPr>
              <w:t xml:space="preserve">Escherichia coli </w:t>
            </w:r>
            <w:r w:rsidRPr="00A90137">
              <w:rPr>
                <w:iCs/>
                <w:sz w:val="22"/>
                <w:szCs w:val="22"/>
                <w:lang w:val="es-ES_tradnl" w:bidi="he-IL"/>
              </w:rPr>
              <w:t>(vrátane kmeňov rezistentných na ampicilín)</w:t>
            </w:r>
          </w:p>
          <w:p w14:paraId="43713A75" w14:textId="77777777" w:rsidR="0031447E" w:rsidRPr="00D351C8" w:rsidRDefault="0031447E" w:rsidP="00CB4B15">
            <w:pPr>
              <w:rPr>
                <w:i/>
                <w:iCs/>
                <w:sz w:val="22"/>
                <w:szCs w:val="22"/>
                <w:lang w:val="es-ES_tradnl" w:bidi="he-IL"/>
              </w:rPr>
            </w:pPr>
            <w:r w:rsidRPr="00D351C8">
              <w:rPr>
                <w:i/>
                <w:iCs/>
                <w:sz w:val="22"/>
                <w:szCs w:val="22"/>
                <w:lang w:val="es-ES_tradnl" w:bidi="he-IL"/>
              </w:rPr>
              <w:t>Haemophilus ducreyi</w:t>
            </w:r>
          </w:p>
          <w:p w14:paraId="69DC6A13" w14:textId="77777777" w:rsidR="0031447E" w:rsidRPr="00D351C8" w:rsidRDefault="0031447E" w:rsidP="00CB4B15">
            <w:pPr>
              <w:rPr>
                <w:i/>
                <w:iCs/>
                <w:sz w:val="22"/>
                <w:szCs w:val="22"/>
                <w:lang w:val="es-ES_tradnl" w:bidi="he-IL"/>
              </w:rPr>
            </w:pPr>
            <w:r w:rsidRPr="00D351C8">
              <w:rPr>
                <w:i/>
                <w:iCs/>
                <w:sz w:val="22"/>
                <w:szCs w:val="22"/>
                <w:lang w:val="es-ES_tradnl" w:bidi="he-IL"/>
              </w:rPr>
              <w:t xml:space="preserve">Haemophilus influenzae </w:t>
            </w:r>
            <w:r w:rsidRPr="00A90137">
              <w:rPr>
                <w:iCs/>
                <w:sz w:val="22"/>
                <w:szCs w:val="22"/>
                <w:lang w:val="es-ES_tradnl" w:bidi="he-IL"/>
              </w:rPr>
              <w:t>(vrátane kmeňov rezistentných na ampicilín)</w:t>
            </w:r>
          </w:p>
          <w:p w14:paraId="47DE575C" w14:textId="77777777" w:rsidR="0031447E" w:rsidRPr="00D351C8" w:rsidRDefault="0031447E" w:rsidP="00CB4B15">
            <w:pPr>
              <w:rPr>
                <w:i/>
                <w:iCs/>
                <w:sz w:val="22"/>
                <w:szCs w:val="22"/>
                <w:lang w:val="es-ES_tradnl" w:bidi="he-IL"/>
              </w:rPr>
            </w:pPr>
            <w:r w:rsidRPr="00D351C8">
              <w:rPr>
                <w:i/>
                <w:iCs/>
                <w:sz w:val="22"/>
                <w:szCs w:val="22"/>
                <w:lang w:val="es-ES_tradnl" w:bidi="he-IL"/>
              </w:rPr>
              <w:t>Klebsiella/Enterobacter spp.</w:t>
            </w:r>
          </w:p>
          <w:p w14:paraId="37CA32F3" w14:textId="77777777" w:rsidR="0031447E" w:rsidRPr="00D351C8" w:rsidRDefault="0031447E" w:rsidP="00CB4B15">
            <w:pPr>
              <w:rPr>
                <w:i/>
                <w:iCs/>
                <w:sz w:val="22"/>
                <w:szCs w:val="22"/>
                <w:lang w:val="es-ES_tradnl" w:bidi="he-IL"/>
              </w:rPr>
            </w:pPr>
            <w:r w:rsidRPr="00D351C8">
              <w:rPr>
                <w:i/>
                <w:iCs/>
                <w:sz w:val="22"/>
                <w:szCs w:val="22"/>
                <w:lang w:val="es-ES_tradnl" w:bidi="he-IL"/>
              </w:rPr>
              <w:t>Legionella pneumophila</w:t>
            </w:r>
          </w:p>
          <w:p w14:paraId="6311558A" w14:textId="77777777" w:rsidR="0031447E" w:rsidRPr="00D351C8" w:rsidRDefault="0031447E" w:rsidP="00CB4B15">
            <w:pPr>
              <w:rPr>
                <w:i/>
                <w:iCs/>
                <w:sz w:val="22"/>
                <w:szCs w:val="22"/>
                <w:lang w:val="es-ES_tradnl" w:bidi="he-IL"/>
              </w:rPr>
            </w:pPr>
            <w:r w:rsidRPr="00D351C8">
              <w:rPr>
                <w:i/>
                <w:iCs/>
                <w:sz w:val="22"/>
                <w:szCs w:val="22"/>
                <w:lang w:val="es-ES_tradnl" w:bidi="he-IL"/>
              </w:rPr>
              <w:t>Morganella morgani (</w:t>
            </w:r>
            <w:r w:rsidRPr="00A90137">
              <w:rPr>
                <w:iCs/>
                <w:sz w:val="22"/>
                <w:szCs w:val="22"/>
                <w:lang w:val="es-ES_tradnl" w:bidi="he-IL"/>
              </w:rPr>
              <w:t>skôr</w:t>
            </w:r>
            <w:r w:rsidRPr="00D351C8">
              <w:rPr>
                <w:i/>
                <w:iCs/>
                <w:sz w:val="22"/>
                <w:szCs w:val="22"/>
                <w:lang w:val="es-ES_tradnl" w:bidi="he-IL"/>
              </w:rPr>
              <w:t xml:space="preserve"> Proteus morgani)</w:t>
            </w:r>
          </w:p>
          <w:p w14:paraId="2B0B70FE" w14:textId="77777777" w:rsidR="0031447E" w:rsidRPr="00D351C8" w:rsidRDefault="0031447E" w:rsidP="00CB4B15">
            <w:pPr>
              <w:rPr>
                <w:i/>
                <w:iCs/>
                <w:sz w:val="22"/>
                <w:szCs w:val="22"/>
                <w:lang w:val="es-ES_tradnl" w:bidi="he-IL"/>
              </w:rPr>
            </w:pPr>
            <w:r w:rsidRPr="00D351C8">
              <w:rPr>
                <w:i/>
                <w:iCs/>
                <w:sz w:val="22"/>
                <w:szCs w:val="22"/>
                <w:lang w:val="es-ES_tradnl" w:bidi="he-IL"/>
              </w:rPr>
              <w:t>Neisseria spp.</w:t>
            </w:r>
          </w:p>
          <w:p w14:paraId="70FA7C4A" w14:textId="77777777" w:rsidR="0031447E" w:rsidRPr="00D351C8" w:rsidRDefault="0031447E" w:rsidP="00CB4B15">
            <w:pPr>
              <w:rPr>
                <w:i/>
                <w:iCs/>
                <w:sz w:val="22"/>
                <w:szCs w:val="22"/>
                <w:lang w:val="es-ES_tradnl" w:bidi="he-IL"/>
              </w:rPr>
            </w:pPr>
            <w:r w:rsidRPr="00D351C8">
              <w:rPr>
                <w:i/>
                <w:iCs/>
                <w:sz w:val="22"/>
                <w:szCs w:val="22"/>
                <w:lang w:val="es-ES_tradnl" w:bidi="he-IL"/>
              </w:rPr>
              <w:t>Proteus spp.</w:t>
            </w:r>
          </w:p>
          <w:p w14:paraId="547F0FAE" w14:textId="77777777" w:rsidR="0031447E" w:rsidRPr="00D351C8" w:rsidRDefault="0031447E" w:rsidP="00CB4B15">
            <w:pPr>
              <w:rPr>
                <w:sz w:val="22"/>
                <w:szCs w:val="22"/>
                <w:lang w:val="es-ES_tradnl"/>
              </w:rPr>
            </w:pPr>
            <w:r w:rsidRPr="00D351C8">
              <w:rPr>
                <w:i/>
                <w:iCs/>
                <w:sz w:val="22"/>
                <w:szCs w:val="22"/>
                <w:lang w:val="es-ES_tradnl" w:bidi="he-IL"/>
              </w:rPr>
              <w:t xml:space="preserve">Providencia </w:t>
            </w:r>
            <w:r w:rsidRPr="00D351C8">
              <w:rPr>
                <w:i/>
                <w:iCs/>
                <w:sz w:val="22"/>
                <w:szCs w:val="22"/>
                <w:lang w:val="es-ES_tradnl"/>
              </w:rPr>
              <w:t>spp. (</w:t>
            </w:r>
            <w:r w:rsidRPr="00A90137">
              <w:rPr>
                <w:iCs/>
                <w:sz w:val="22"/>
                <w:szCs w:val="22"/>
                <w:lang w:val="es-ES_tradnl"/>
              </w:rPr>
              <w:t>v</w:t>
            </w:r>
            <w:r w:rsidRPr="00A90137">
              <w:rPr>
                <w:iCs/>
                <w:sz w:val="22"/>
                <w:szCs w:val="22"/>
                <w:lang w:val="es-ES_tradnl" w:bidi="he-IL"/>
              </w:rPr>
              <w:t>rátane skôr</w:t>
            </w:r>
            <w:r w:rsidRPr="00D351C8">
              <w:rPr>
                <w:i/>
                <w:iCs/>
                <w:sz w:val="22"/>
                <w:szCs w:val="22"/>
                <w:lang w:val="es-ES_tradnl" w:bidi="he-IL"/>
              </w:rPr>
              <w:t xml:space="preserve"> Proteus rettgeri)</w:t>
            </w:r>
          </w:p>
          <w:p w14:paraId="29895629" w14:textId="446EEB8F" w:rsidR="0031447E" w:rsidRPr="00D351C8" w:rsidRDefault="00D37CBE" w:rsidP="00CB4B15">
            <w:pPr>
              <w:rPr>
                <w:i/>
                <w:iCs/>
                <w:sz w:val="22"/>
                <w:szCs w:val="22"/>
                <w:lang w:val="es-ES_tradnl" w:bidi="he-IL"/>
              </w:rPr>
            </w:pPr>
            <w:r>
              <w:rPr>
                <w:i/>
                <w:iCs/>
                <w:sz w:val="22"/>
                <w:szCs w:val="22"/>
                <w:lang w:val="es-ES_tradnl" w:bidi="he-IL"/>
              </w:rPr>
              <w:lastRenderedPageBreak/>
              <w:t>Určité</w:t>
            </w:r>
            <w:r w:rsidR="0031447E" w:rsidRPr="00D351C8">
              <w:rPr>
                <w:i/>
                <w:iCs/>
                <w:sz w:val="22"/>
                <w:szCs w:val="22"/>
                <w:lang w:val="es-ES_tradnl" w:bidi="he-IL"/>
              </w:rPr>
              <w:t xml:space="preserve"> Pseudomonas spp. </w:t>
            </w:r>
            <w:r w:rsidR="0031447E" w:rsidRPr="00A90137">
              <w:rPr>
                <w:iCs/>
                <w:sz w:val="22"/>
                <w:szCs w:val="22"/>
                <w:lang w:val="es-ES_tradnl" w:bidi="he-IL"/>
              </w:rPr>
              <w:t>okrem</w:t>
            </w:r>
            <w:r w:rsidR="0031447E" w:rsidRPr="00D351C8">
              <w:rPr>
                <w:i/>
                <w:iCs/>
                <w:sz w:val="22"/>
                <w:szCs w:val="22"/>
                <w:lang w:val="es-ES_tradnl" w:bidi="he-IL"/>
              </w:rPr>
              <w:t xml:space="preserve"> aeruginosa</w:t>
            </w:r>
          </w:p>
          <w:p w14:paraId="14BB3578" w14:textId="77777777" w:rsidR="0031447E" w:rsidRPr="00D351C8" w:rsidRDefault="0031447E" w:rsidP="00CB4B15">
            <w:pPr>
              <w:rPr>
                <w:i/>
                <w:iCs/>
                <w:sz w:val="22"/>
                <w:szCs w:val="22"/>
              </w:rPr>
            </w:pPr>
            <w:r w:rsidRPr="00D351C8">
              <w:rPr>
                <w:i/>
                <w:iCs/>
                <w:sz w:val="22"/>
                <w:szCs w:val="22"/>
                <w:lang w:bidi="he-IL"/>
              </w:rPr>
              <w:t xml:space="preserve">Salmonella </w:t>
            </w:r>
            <w:r w:rsidRPr="00D351C8">
              <w:rPr>
                <w:i/>
                <w:iCs/>
                <w:sz w:val="22"/>
                <w:szCs w:val="22"/>
              </w:rPr>
              <w:t xml:space="preserve">spp. </w:t>
            </w:r>
            <w:r w:rsidRPr="00A90137">
              <w:rPr>
                <w:iCs/>
                <w:sz w:val="22"/>
                <w:szCs w:val="22"/>
                <w:lang w:val="es-ES_tradnl"/>
              </w:rPr>
              <w:t>v</w:t>
            </w:r>
            <w:r w:rsidRPr="00A90137">
              <w:rPr>
                <w:iCs/>
                <w:sz w:val="22"/>
                <w:szCs w:val="22"/>
                <w:lang w:val="es-ES_tradnl" w:bidi="he-IL"/>
              </w:rPr>
              <w:t>rátane</w:t>
            </w:r>
            <w:r w:rsidRPr="00D351C8">
              <w:rPr>
                <w:i/>
                <w:iCs/>
                <w:sz w:val="22"/>
                <w:szCs w:val="22"/>
                <w:lang w:val="es-ES_tradnl" w:bidi="he-IL"/>
              </w:rPr>
              <w:t xml:space="preserve"> S. typhi and paratyphi</w:t>
            </w:r>
          </w:p>
          <w:p w14:paraId="6CFEF683" w14:textId="77777777" w:rsidR="0031447E" w:rsidRPr="00D351C8" w:rsidRDefault="0031447E" w:rsidP="00CB4B15">
            <w:pPr>
              <w:rPr>
                <w:bCs/>
                <w:i/>
                <w:iCs/>
                <w:sz w:val="22"/>
                <w:szCs w:val="22"/>
                <w:lang w:bidi="he-IL"/>
              </w:rPr>
            </w:pPr>
            <w:r w:rsidRPr="00D351C8">
              <w:rPr>
                <w:bCs/>
                <w:i/>
                <w:iCs/>
                <w:sz w:val="22"/>
                <w:szCs w:val="22"/>
                <w:lang w:bidi="he-IL"/>
              </w:rPr>
              <w:t>Serratia marcescens</w:t>
            </w:r>
          </w:p>
          <w:p w14:paraId="0C43E918" w14:textId="77777777" w:rsidR="0031447E" w:rsidRPr="00D351C8" w:rsidRDefault="0031447E" w:rsidP="00CB4B15">
            <w:pPr>
              <w:rPr>
                <w:i/>
                <w:iCs/>
                <w:sz w:val="22"/>
                <w:szCs w:val="22"/>
                <w:lang w:val="es-ES_tradnl" w:bidi="he-IL"/>
              </w:rPr>
            </w:pPr>
            <w:r w:rsidRPr="00D351C8">
              <w:rPr>
                <w:i/>
                <w:iCs/>
                <w:sz w:val="22"/>
                <w:szCs w:val="22"/>
                <w:lang w:val="es-ES_tradnl" w:bidi="he-IL"/>
              </w:rPr>
              <w:t xml:space="preserve">Shigella </w:t>
            </w:r>
            <w:r w:rsidRPr="00D351C8">
              <w:rPr>
                <w:i/>
                <w:iCs/>
                <w:sz w:val="22"/>
                <w:szCs w:val="22"/>
                <w:lang w:val="es-ES_tradnl"/>
              </w:rPr>
              <w:t>spp</w:t>
            </w:r>
            <w:r w:rsidRPr="00D351C8">
              <w:rPr>
                <w:i/>
                <w:iCs/>
                <w:sz w:val="22"/>
                <w:szCs w:val="22"/>
                <w:lang w:val="es-ES_tradnl" w:bidi="he-IL"/>
              </w:rPr>
              <w:t>.</w:t>
            </w:r>
          </w:p>
          <w:p w14:paraId="2451E79B" w14:textId="77777777" w:rsidR="0031447E" w:rsidRPr="00D351C8" w:rsidRDefault="0031447E" w:rsidP="00D351C8">
            <w:pPr>
              <w:rPr>
                <w:b/>
                <w:i/>
                <w:iCs/>
                <w:sz w:val="22"/>
                <w:szCs w:val="22"/>
                <w:lang w:val="es-ES_tradnl" w:bidi="he-IL"/>
              </w:rPr>
            </w:pPr>
            <w:r w:rsidRPr="00D351C8">
              <w:rPr>
                <w:bCs/>
                <w:i/>
                <w:iCs/>
                <w:sz w:val="22"/>
                <w:szCs w:val="22"/>
                <w:lang w:bidi="he-IL"/>
              </w:rPr>
              <w:t>Vibrio cholerae</w:t>
            </w:r>
          </w:p>
        </w:tc>
      </w:tr>
      <w:tr w:rsidR="00D351C8" w14:paraId="0E43E7B3" w14:textId="77777777" w:rsidTr="00D351C8">
        <w:tc>
          <w:tcPr>
            <w:tcW w:w="9288" w:type="dxa"/>
            <w:shd w:val="clear" w:color="auto" w:fill="auto"/>
          </w:tcPr>
          <w:p w14:paraId="2455E521" w14:textId="77777777" w:rsidR="0031447E" w:rsidRPr="00D351C8" w:rsidRDefault="0031447E" w:rsidP="00D351C8">
            <w:pPr>
              <w:rPr>
                <w:b/>
                <w:i/>
                <w:iCs/>
                <w:sz w:val="22"/>
                <w:szCs w:val="22"/>
                <w:lang w:val="es-ES_tradnl" w:bidi="he-IL"/>
              </w:rPr>
            </w:pPr>
            <w:r w:rsidRPr="00D351C8">
              <w:rPr>
                <w:i/>
                <w:iCs/>
                <w:sz w:val="22"/>
                <w:szCs w:val="22"/>
                <w:lang w:val="es-ES_tradnl" w:bidi="he-IL"/>
              </w:rPr>
              <w:lastRenderedPageBreak/>
              <w:t>Yersinia spp.</w:t>
            </w:r>
          </w:p>
        </w:tc>
      </w:tr>
      <w:tr w:rsidR="00D351C8" w14:paraId="0779EE2A" w14:textId="77777777" w:rsidTr="00D351C8">
        <w:tc>
          <w:tcPr>
            <w:tcW w:w="9288" w:type="dxa"/>
            <w:shd w:val="clear" w:color="auto" w:fill="auto"/>
          </w:tcPr>
          <w:p w14:paraId="5E1C8728" w14:textId="77777777" w:rsidR="0031447E" w:rsidRPr="00D351C8" w:rsidRDefault="0031447E" w:rsidP="00D351C8">
            <w:pPr>
              <w:pStyle w:val="FR1"/>
              <w:spacing w:before="0"/>
              <w:jc w:val="both"/>
              <w:rPr>
                <w:rFonts w:ascii="Times New Roman" w:hAnsi="Times New Roman" w:cs="Times New Roman"/>
                <w:bCs w:val="0"/>
                <w:sz w:val="22"/>
                <w:szCs w:val="22"/>
                <w:lang w:val="sk-SK"/>
              </w:rPr>
            </w:pPr>
            <w:r w:rsidRPr="00D351C8">
              <w:rPr>
                <w:rFonts w:ascii="Times New Roman" w:hAnsi="Times New Roman" w:cs="Times New Roman"/>
                <w:bCs w:val="0"/>
                <w:sz w:val="22"/>
                <w:szCs w:val="22"/>
                <w:lang w:val="en-US"/>
              </w:rPr>
              <w:t>Gram-</w:t>
            </w:r>
            <w:proofErr w:type="spellStart"/>
            <w:r w:rsidRPr="00D351C8">
              <w:rPr>
                <w:rFonts w:ascii="Times New Roman" w:hAnsi="Times New Roman" w:cs="Times New Roman"/>
                <w:bCs w:val="0"/>
                <w:sz w:val="22"/>
                <w:szCs w:val="22"/>
                <w:lang w:val="en-US"/>
              </w:rPr>
              <w:t>pozitívne</w:t>
            </w:r>
            <w:proofErr w:type="spellEnd"/>
          </w:p>
        </w:tc>
      </w:tr>
      <w:tr w:rsidR="00D351C8" w14:paraId="06ABE944" w14:textId="77777777" w:rsidTr="00D351C8">
        <w:tc>
          <w:tcPr>
            <w:tcW w:w="9288" w:type="dxa"/>
            <w:shd w:val="clear" w:color="auto" w:fill="auto"/>
          </w:tcPr>
          <w:p w14:paraId="6BB2728F" w14:textId="77777777" w:rsidR="0031447E" w:rsidRPr="00D351C8" w:rsidRDefault="0031447E" w:rsidP="00D351C8">
            <w:pPr>
              <w:pStyle w:val="FR1"/>
              <w:spacing w:before="0"/>
              <w:jc w:val="both"/>
              <w:rPr>
                <w:rFonts w:ascii="Times New Roman" w:hAnsi="Times New Roman" w:cs="Times New Roman"/>
                <w:b w:val="0"/>
                <w:i/>
                <w:iCs/>
                <w:sz w:val="22"/>
                <w:szCs w:val="22"/>
                <w:lang w:val="sk-SK"/>
              </w:rPr>
            </w:pPr>
            <w:r w:rsidRPr="00D351C8">
              <w:rPr>
                <w:rFonts w:ascii="Times New Roman" w:hAnsi="Times New Roman" w:cs="Times New Roman"/>
                <w:b w:val="0"/>
                <w:i/>
                <w:iCs/>
                <w:sz w:val="22"/>
                <w:szCs w:val="22"/>
                <w:lang w:val="sk-SK"/>
              </w:rPr>
              <w:t>Listeria monocytogenes</w:t>
            </w:r>
          </w:p>
          <w:p w14:paraId="37E1C5B8" w14:textId="77777777" w:rsidR="0031447E" w:rsidRPr="00D351C8" w:rsidRDefault="0031447E" w:rsidP="00D351C8">
            <w:pPr>
              <w:pStyle w:val="FR1"/>
              <w:spacing w:before="0"/>
              <w:jc w:val="both"/>
              <w:rPr>
                <w:rFonts w:ascii="Times New Roman" w:hAnsi="Times New Roman" w:cs="Times New Roman"/>
                <w:b w:val="0"/>
                <w:i/>
                <w:iCs/>
                <w:sz w:val="22"/>
                <w:szCs w:val="22"/>
                <w:lang w:val="sk-SK"/>
              </w:rPr>
            </w:pPr>
            <w:r w:rsidRPr="00D351C8">
              <w:rPr>
                <w:rFonts w:ascii="Times New Roman" w:hAnsi="Times New Roman" w:cs="Times New Roman"/>
                <w:b w:val="0"/>
                <w:i/>
                <w:iCs/>
                <w:sz w:val="22"/>
                <w:szCs w:val="22"/>
                <w:lang w:val="sk-SK"/>
              </w:rPr>
              <w:t>Nocardia spp.</w:t>
            </w:r>
          </w:p>
          <w:p w14:paraId="6B6B01BA" w14:textId="77777777" w:rsidR="0031447E" w:rsidRPr="00D351C8" w:rsidRDefault="0031447E" w:rsidP="00D351C8">
            <w:pPr>
              <w:pStyle w:val="FR1"/>
              <w:spacing w:before="0"/>
              <w:jc w:val="both"/>
              <w:rPr>
                <w:rFonts w:ascii="Times New Roman" w:hAnsi="Times New Roman" w:cs="Times New Roman"/>
                <w:b w:val="0"/>
                <w:i/>
                <w:iCs/>
                <w:sz w:val="22"/>
                <w:szCs w:val="22"/>
                <w:lang w:val="sk-SK"/>
              </w:rPr>
            </w:pPr>
            <w:r w:rsidRPr="00D351C8">
              <w:rPr>
                <w:rFonts w:ascii="Times New Roman" w:hAnsi="Times New Roman" w:cs="Times New Roman"/>
                <w:b w:val="0"/>
                <w:i/>
                <w:iCs/>
                <w:sz w:val="22"/>
                <w:szCs w:val="22"/>
                <w:lang w:val="sk-SK"/>
              </w:rPr>
              <w:t>Staphylolococcus aureus</w:t>
            </w:r>
          </w:p>
          <w:p w14:paraId="032E2D44" w14:textId="77777777" w:rsidR="0031447E" w:rsidRPr="00D351C8" w:rsidRDefault="0031447E" w:rsidP="00D351C8">
            <w:pPr>
              <w:pStyle w:val="FR1"/>
              <w:spacing w:before="0"/>
              <w:jc w:val="both"/>
              <w:rPr>
                <w:rFonts w:ascii="Times New Roman" w:hAnsi="Times New Roman" w:cs="Times New Roman"/>
                <w:b w:val="0"/>
                <w:i/>
                <w:iCs/>
                <w:sz w:val="22"/>
                <w:szCs w:val="22"/>
                <w:lang w:val="sk-SK"/>
              </w:rPr>
            </w:pPr>
            <w:r w:rsidRPr="00D351C8">
              <w:rPr>
                <w:rFonts w:ascii="Times New Roman" w:hAnsi="Times New Roman" w:cs="Times New Roman"/>
                <w:b w:val="0"/>
                <w:i/>
                <w:iCs/>
                <w:sz w:val="22"/>
                <w:szCs w:val="22"/>
                <w:lang w:val="sk-SK"/>
              </w:rPr>
              <w:t xml:space="preserve">Staphylococcus epidermidis </w:t>
            </w:r>
            <w:r w:rsidRPr="00A90137">
              <w:rPr>
                <w:rFonts w:ascii="Times New Roman" w:hAnsi="Times New Roman" w:cs="Times New Roman"/>
                <w:b w:val="0"/>
                <w:iCs/>
                <w:sz w:val="22"/>
                <w:szCs w:val="22"/>
                <w:lang w:val="sk-SK"/>
              </w:rPr>
              <w:t>a</w:t>
            </w:r>
            <w:r w:rsidRPr="00D351C8">
              <w:rPr>
                <w:rFonts w:ascii="Times New Roman" w:hAnsi="Times New Roman" w:cs="Times New Roman"/>
                <w:b w:val="0"/>
                <w:i/>
                <w:iCs/>
                <w:sz w:val="22"/>
                <w:szCs w:val="22"/>
                <w:lang w:val="sk-SK"/>
              </w:rPr>
              <w:t> saprophyticus</w:t>
            </w:r>
          </w:p>
          <w:p w14:paraId="1D8B4460" w14:textId="77777777" w:rsidR="0031447E" w:rsidRPr="00D351C8" w:rsidRDefault="0031447E" w:rsidP="00D351C8">
            <w:pPr>
              <w:pStyle w:val="FR1"/>
              <w:spacing w:before="0"/>
              <w:jc w:val="both"/>
              <w:rPr>
                <w:rFonts w:ascii="Times New Roman" w:hAnsi="Times New Roman" w:cs="Times New Roman"/>
                <w:b w:val="0"/>
                <w:i/>
                <w:iCs/>
                <w:sz w:val="22"/>
                <w:szCs w:val="22"/>
                <w:lang w:val="sk-SK"/>
              </w:rPr>
            </w:pPr>
            <w:r w:rsidRPr="00D351C8">
              <w:rPr>
                <w:rFonts w:ascii="Times New Roman" w:hAnsi="Times New Roman" w:cs="Times New Roman"/>
                <w:b w:val="0"/>
                <w:i/>
                <w:iCs/>
                <w:sz w:val="22"/>
                <w:szCs w:val="22"/>
                <w:lang w:val="sk-SK"/>
              </w:rPr>
              <w:t>Enterococcus faecalis</w:t>
            </w:r>
          </w:p>
          <w:p w14:paraId="02CAD2F9" w14:textId="77777777" w:rsidR="0031447E" w:rsidRPr="00D351C8" w:rsidRDefault="0031447E" w:rsidP="00D351C8">
            <w:pPr>
              <w:pStyle w:val="FR1"/>
              <w:spacing w:before="0"/>
              <w:jc w:val="both"/>
              <w:rPr>
                <w:rFonts w:ascii="Times New Roman" w:hAnsi="Times New Roman" w:cs="Times New Roman"/>
                <w:b w:val="0"/>
                <w:i/>
                <w:iCs/>
                <w:sz w:val="22"/>
                <w:szCs w:val="22"/>
                <w:lang w:val="sk-SK"/>
              </w:rPr>
            </w:pPr>
            <w:r w:rsidRPr="00D351C8">
              <w:rPr>
                <w:rFonts w:ascii="Times New Roman" w:hAnsi="Times New Roman" w:cs="Times New Roman"/>
                <w:b w:val="0"/>
                <w:i/>
                <w:iCs/>
                <w:sz w:val="22"/>
                <w:szCs w:val="22"/>
                <w:lang w:val="sk-SK"/>
              </w:rPr>
              <w:t>Streptococcus pneumoniae</w:t>
            </w:r>
          </w:p>
          <w:p w14:paraId="3A0C5880" w14:textId="77777777" w:rsidR="0031447E" w:rsidRPr="00D351C8" w:rsidRDefault="0031447E" w:rsidP="00D351C8">
            <w:pPr>
              <w:pStyle w:val="FR1"/>
              <w:spacing w:before="0"/>
              <w:jc w:val="both"/>
              <w:rPr>
                <w:rFonts w:ascii="Times New Roman" w:hAnsi="Times New Roman" w:cs="Times New Roman"/>
                <w:b w:val="0"/>
                <w:sz w:val="22"/>
                <w:szCs w:val="22"/>
                <w:lang w:val="sk-SK"/>
              </w:rPr>
            </w:pPr>
            <w:r w:rsidRPr="00D351C8">
              <w:rPr>
                <w:rFonts w:ascii="Times New Roman" w:hAnsi="Times New Roman" w:cs="Times New Roman"/>
                <w:b w:val="0"/>
                <w:i/>
                <w:iCs/>
                <w:sz w:val="22"/>
                <w:szCs w:val="22"/>
                <w:lang w:val="sk-SK"/>
              </w:rPr>
              <w:t>Streptococcus viridans</w:t>
            </w:r>
          </w:p>
        </w:tc>
      </w:tr>
    </w:tbl>
    <w:p w14:paraId="2D4E9200" w14:textId="77777777" w:rsidR="00972AFF" w:rsidRDefault="00972AFF" w:rsidP="00EA37D1">
      <w:pPr>
        <w:numPr>
          <w:ilvl w:val="12"/>
          <w:numId w:val="0"/>
        </w:numPr>
        <w:rPr>
          <w:color w:val="212121"/>
          <w:sz w:val="22"/>
          <w:szCs w:val="22"/>
          <w:shd w:val="clear" w:color="auto" w:fill="FFFFFF"/>
        </w:rPr>
      </w:pPr>
    </w:p>
    <w:p w14:paraId="3A43E6C3" w14:textId="77777777" w:rsidR="00972AFF" w:rsidRPr="00972AFF" w:rsidRDefault="00972AFF" w:rsidP="00EA37D1">
      <w:pPr>
        <w:numPr>
          <w:ilvl w:val="12"/>
          <w:numId w:val="0"/>
        </w:numPr>
        <w:rPr>
          <w:color w:val="212121"/>
          <w:sz w:val="22"/>
          <w:szCs w:val="22"/>
          <w:shd w:val="clear" w:color="auto" w:fill="FFFFFF"/>
        </w:rPr>
      </w:pPr>
      <w:r w:rsidRPr="00972AFF">
        <w:rPr>
          <w:color w:val="212121"/>
          <w:sz w:val="22"/>
          <w:szCs w:val="22"/>
          <w:shd w:val="clear" w:color="auto" w:fill="FFFFFF"/>
        </w:rPr>
        <w:t>Uspokojivé testovanie citlivosti sa dosahuje len pri odporúčaných médiách bez inhibičných látok, najmä tymidínu a tymínu.</w:t>
      </w:r>
    </w:p>
    <w:p w14:paraId="59F89BBB" w14:textId="77777777" w:rsidR="00972AFF" w:rsidRPr="00E726E2" w:rsidRDefault="00972AFF" w:rsidP="00EA37D1">
      <w:pPr>
        <w:numPr>
          <w:ilvl w:val="12"/>
          <w:numId w:val="0"/>
        </w:numPr>
        <w:rPr>
          <w:sz w:val="22"/>
          <w:szCs w:val="22"/>
        </w:rPr>
      </w:pPr>
    </w:p>
    <w:p w14:paraId="317B4D6B" w14:textId="77777777" w:rsidR="00731B12" w:rsidRPr="002E6863" w:rsidRDefault="00EA37D1" w:rsidP="00EA37D1">
      <w:pPr>
        <w:tabs>
          <w:tab w:val="left" w:pos="567"/>
        </w:tabs>
        <w:rPr>
          <w:b/>
          <w:sz w:val="22"/>
          <w:szCs w:val="22"/>
        </w:rPr>
      </w:pPr>
      <w:r>
        <w:rPr>
          <w:b/>
          <w:sz w:val="22"/>
          <w:szCs w:val="22"/>
        </w:rPr>
        <w:t>5.2</w:t>
      </w:r>
      <w:r w:rsidR="00F10458" w:rsidRPr="002E6863">
        <w:rPr>
          <w:b/>
          <w:sz w:val="22"/>
          <w:szCs w:val="22"/>
        </w:rPr>
        <w:tab/>
      </w:r>
      <w:r w:rsidR="00731B12" w:rsidRPr="002E6863">
        <w:rPr>
          <w:b/>
          <w:sz w:val="22"/>
          <w:szCs w:val="22"/>
        </w:rPr>
        <w:t>Farmakokinetické vlastnosti</w:t>
      </w:r>
    </w:p>
    <w:p w14:paraId="6255DEB5" w14:textId="77777777" w:rsidR="00F10458" w:rsidRPr="002E6863" w:rsidRDefault="00F10458" w:rsidP="00EA37D1">
      <w:pPr>
        <w:numPr>
          <w:ilvl w:val="12"/>
          <w:numId w:val="0"/>
        </w:numPr>
        <w:rPr>
          <w:sz w:val="22"/>
          <w:szCs w:val="22"/>
        </w:rPr>
      </w:pPr>
    </w:p>
    <w:p w14:paraId="134DA19E" w14:textId="77777777" w:rsidR="00972AFF" w:rsidRPr="00972AFF" w:rsidRDefault="00972AFF" w:rsidP="00EA37D1">
      <w:pPr>
        <w:numPr>
          <w:ilvl w:val="12"/>
          <w:numId w:val="0"/>
        </w:numPr>
        <w:rPr>
          <w:sz w:val="22"/>
          <w:szCs w:val="22"/>
          <w:u w:val="single"/>
        </w:rPr>
      </w:pPr>
      <w:r w:rsidRPr="00972AFF">
        <w:rPr>
          <w:sz w:val="22"/>
          <w:szCs w:val="22"/>
          <w:u w:val="single"/>
        </w:rPr>
        <w:t>Absorpcia</w:t>
      </w:r>
    </w:p>
    <w:p w14:paraId="243DF867" w14:textId="0BC4A6F5" w:rsidR="00F10458" w:rsidRPr="002E6863" w:rsidRDefault="00F10458" w:rsidP="00EA37D1">
      <w:pPr>
        <w:numPr>
          <w:ilvl w:val="12"/>
          <w:numId w:val="0"/>
        </w:numPr>
        <w:rPr>
          <w:sz w:val="22"/>
          <w:szCs w:val="22"/>
        </w:rPr>
      </w:pPr>
      <w:r w:rsidRPr="002E6863">
        <w:rPr>
          <w:sz w:val="22"/>
          <w:szCs w:val="22"/>
        </w:rPr>
        <w:t>Maximálne plazmatické hladiny trimetoprimu a sulfametoxazolu sú vyššie a dosahované rýchlejšie po</w:t>
      </w:r>
      <w:r w:rsidR="0024423C" w:rsidRPr="002E6863">
        <w:rPr>
          <w:sz w:val="22"/>
          <w:szCs w:val="22"/>
        </w:rPr>
        <w:t> </w:t>
      </w:r>
      <w:r w:rsidRPr="002E6863">
        <w:rPr>
          <w:sz w:val="22"/>
          <w:szCs w:val="22"/>
        </w:rPr>
        <w:t xml:space="preserve">jednej hodine od intravenóznej infúzie </w:t>
      </w:r>
      <w:r w:rsidR="00304403">
        <w:rPr>
          <w:sz w:val="22"/>
          <w:szCs w:val="22"/>
        </w:rPr>
        <w:t>kotrimoxazolu 80 mg/16 mg</w:t>
      </w:r>
      <w:r w:rsidR="00BF3D02">
        <w:rPr>
          <w:sz w:val="22"/>
          <w:szCs w:val="22"/>
        </w:rPr>
        <w:t>/</w:t>
      </w:r>
      <w:r w:rsidR="00304403">
        <w:rPr>
          <w:sz w:val="22"/>
          <w:szCs w:val="22"/>
        </w:rPr>
        <w:t xml:space="preserve">ml </w:t>
      </w:r>
      <w:r w:rsidRPr="002E6863">
        <w:rPr>
          <w:sz w:val="22"/>
          <w:szCs w:val="22"/>
        </w:rPr>
        <w:t>ako po podaní</w:t>
      </w:r>
      <w:r w:rsidR="00304403">
        <w:rPr>
          <w:sz w:val="22"/>
          <w:szCs w:val="22"/>
        </w:rPr>
        <w:t xml:space="preserve"> ekvivalentnej dávky kotrimoxazolu v perorálnej forme</w:t>
      </w:r>
      <w:r w:rsidRPr="002E6863">
        <w:rPr>
          <w:sz w:val="22"/>
          <w:szCs w:val="22"/>
        </w:rPr>
        <w:t>. Plazmatické koncentrácie, eliminačný polčas a rýchlosť vylučovania močom neukazujú závažné rozdiely po perorálnej ani po</w:t>
      </w:r>
      <w:r w:rsidR="0024423C" w:rsidRPr="002E6863">
        <w:rPr>
          <w:sz w:val="22"/>
          <w:szCs w:val="22"/>
        </w:rPr>
        <w:t> </w:t>
      </w:r>
      <w:r w:rsidRPr="002E6863">
        <w:rPr>
          <w:sz w:val="22"/>
          <w:szCs w:val="22"/>
        </w:rPr>
        <w:t>intravenóznej metóde podávania.</w:t>
      </w:r>
    </w:p>
    <w:p w14:paraId="786F3E43" w14:textId="77777777" w:rsidR="005702DE" w:rsidRPr="002E6863" w:rsidRDefault="005702DE" w:rsidP="00EA37D1">
      <w:pPr>
        <w:numPr>
          <w:ilvl w:val="12"/>
          <w:numId w:val="0"/>
        </w:numPr>
        <w:rPr>
          <w:sz w:val="22"/>
          <w:szCs w:val="22"/>
        </w:rPr>
      </w:pPr>
    </w:p>
    <w:p w14:paraId="5EB48F0B" w14:textId="77777777" w:rsidR="00972AFF" w:rsidRDefault="00972AFF" w:rsidP="00EA37D1">
      <w:pPr>
        <w:numPr>
          <w:ilvl w:val="12"/>
          <w:numId w:val="0"/>
        </w:numPr>
        <w:rPr>
          <w:sz w:val="22"/>
          <w:szCs w:val="22"/>
          <w:u w:val="single"/>
        </w:rPr>
      </w:pPr>
      <w:r w:rsidRPr="00972AFF">
        <w:rPr>
          <w:sz w:val="22"/>
          <w:szCs w:val="22"/>
          <w:u w:val="single"/>
        </w:rPr>
        <w:t>Distribúcia</w:t>
      </w:r>
    </w:p>
    <w:p w14:paraId="4FE078D4" w14:textId="77777777" w:rsidR="00972AFF" w:rsidRPr="00972AFF" w:rsidRDefault="00972AFF" w:rsidP="00972AFF">
      <w:pPr>
        <w:pStyle w:val="HTML-wstpniesformatowany"/>
        <w:shd w:val="clear" w:color="auto" w:fill="FFFFFF"/>
        <w:rPr>
          <w:rFonts w:ascii="Times New Roman" w:hAnsi="Times New Roman" w:cs="Times New Roman"/>
          <w:color w:val="212121"/>
          <w:sz w:val="22"/>
          <w:szCs w:val="22"/>
        </w:rPr>
      </w:pPr>
      <w:r w:rsidRPr="00972AFF">
        <w:rPr>
          <w:rFonts w:ascii="Times New Roman" w:hAnsi="Times New Roman" w:cs="Times New Roman"/>
          <w:color w:val="212121"/>
          <w:sz w:val="22"/>
          <w:szCs w:val="22"/>
        </w:rPr>
        <w:t>Približne 50% trimetoprimu v plazme je viazané na proteíny.</w:t>
      </w:r>
    </w:p>
    <w:p w14:paraId="71884311" w14:textId="77777777" w:rsidR="00972AFF" w:rsidRPr="00972AFF" w:rsidRDefault="00972AFF" w:rsidP="00EA37D1">
      <w:pPr>
        <w:numPr>
          <w:ilvl w:val="12"/>
          <w:numId w:val="0"/>
        </w:numPr>
        <w:rPr>
          <w:sz w:val="22"/>
          <w:szCs w:val="22"/>
          <w:u w:val="single"/>
        </w:rPr>
      </w:pPr>
    </w:p>
    <w:p w14:paraId="1381CC27" w14:textId="76886E3B" w:rsidR="00F10458" w:rsidRPr="002E6863" w:rsidRDefault="00F10458" w:rsidP="00EA37D1">
      <w:pPr>
        <w:numPr>
          <w:ilvl w:val="12"/>
          <w:numId w:val="0"/>
        </w:numPr>
        <w:rPr>
          <w:sz w:val="22"/>
          <w:szCs w:val="22"/>
        </w:rPr>
      </w:pPr>
      <w:r w:rsidRPr="002E6863">
        <w:rPr>
          <w:sz w:val="22"/>
          <w:szCs w:val="22"/>
        </w:rPr>
        <w:t>Tkanivové hladiny trimetoprimu sú celkovo vyššie ako zodpovedajúce hladiny v plazme, obzvlášť vysoké koncentrácie vykazujú pľúca a obličky.</w:t>
      </w:r>
    </w:p>
    <w:p w14:paraId="7581BA13" w14:textId="0F3EA841" w:rsidR="00F10458" w:rsidRPr="002E6863" w:rsidRDefault="00F10458" w:rsidP="00EA37D1">
      <w:pPr>
        <w:numPr>
          <w:ilvl w:val="12"/>
          <w:numId w:val="0"/>
        </w:numPr>
        <w:rPr>
          <w:sz w:val="22"/>
          <w:szCs w:val="22"/>
        </w:rPr>
      </w:pPr>
      <w:r w:rsidRPr="002E6863">
        <w:rPr>
          <w:sz w:val="22"/>
          <w:szCs w:val="22"/>
        </w:rPr>
        <w:t>Koncentrácie trimetoprimu presahujú koncentrácie v plazme v prípade žlč</w:t>
      </w:r>
      <w:r w:rsidR="009942DE">
        <w:rPr>
          <w:sz w:val="22"/>
          <w:szCs w:val="22"/>
        </w:rPr>
        <w:t>e</w:t>
      </w:r>
      <w:r w:rsidRPr="002E6863">
        <w:rPr>
          <w:sz w:val="22"/>
          <w:szCs w:val="22"/>
        </w:rPr>
        <w:t xml:space="preserve">, </w:t>
      </w:r>
      <w:r w:rsidR="009942DE">
        <w:rPr>
          <w:sz w:val="22"/>
          <w:szCs w:val="22"/>
        </w:rPr>
        <w:t xml:space="preserve">prostatickej </w:t>
      </w:r>
      <w:r w:rsidRPr="002E6863">
        <w:rPr>
          <w:sz w:val="22"/>
          <w:szCs w:val="22"/>
        </w:rPr>
        <w:t>tekutiny a tkaniva prostaty, spúta a vaginálnych sekrétov. Hladiny v</w:t>
      </w:r>
      <w:r w:rsidR="00D54B08">
        <w:rPr>
          <w:sz w:val="22"/>
          <w:szCs w:val="22"/>
        </w:rPr>
        <w:t xml:space="preserve"> komorovom moku, </w:t>
      </w:r>
      <w:r w:rsidRPr="002E6863">
        <w:rPr>
          <w:sz w:val="22"/>
          <w:szCs w:val="22"/>
        </w:rPr>
        <w:t xml:space="preserve">materskom </w:t>
      </w:r>
      <w:r w:rsidR="006E3A47">
        <w:rPr>
          <w:sz w:val="22"/>
          <w:szCs w:val="22"/>
        </w:rPr>
        <w:t>m</w:t>
      </w:r>
      <w:r w:rsidRPr="002E6863">
        <w:rPr>
          <w:sz w:val="22"/>
          <w:szCs w:val="22"/>
        </w:rPr>
        <w:t>lieku, cerebrospinálnej tekutine, tekutine v strednom uchu, synoviálnej tekutine a tkanivovej (intertesciálnej) tekutine sú dostatočné na</w:t>
      </w:r>
      <w:r w:rsidR="0024423C" w:rsidRPr="002E6863">
        <w:rPr>
          <w:sz w:val="22"/>
          <w:szCs w:val="22"/>
        </w:rPr>
        <w:t> </w:t>
      </w:r>
      <w:r w:rsidRPr="002E6863">
        <w:rPr>
          <w:sz w:val="22"/>
          <w:szCs w:val="22"/>
        </w:rPr>
        <w:t>antibakteriálnu aktivitu.</w:t>
      </w:r>
      <w:r w:rsidR="00A14313" w:rsidRPr="002E6863">
        <w:rPr>
          <w:sz w:val="22"/>
          <w:szCs w:val="22"/>
        </w:rPr>
        <w:t xml:space="preserve"> Trimetoprim prechádza do amniotickej tekutiny a tkanív plodu, pričom dosahuje koncentrácie </w:t>
      </w:r>
      <w:r w:rsidR="006E3A47">
        <w:rPr>
          <w:sz w:val="22"/>
          <w:szCs w:val="22"/>
        </w:rPr>
        <w:t>blížiace sa</w:t>
      </w:r>
      <w:r w:rsidR="00A14313" w:rsidRPr="002E6863">
        <w:rPr>
          <w:sz w:val="22"/>
          <w:szCs w:val="22"/>
        </w:rPr>
        <w:t xml:space="preserve"> koncentráciám materského séra. </w:t>
      </w:r>
    </w:p>
    <w:p w14:paraId="0CCC56CD" w14:textId="77777777" w:rsidR="00772DAC" w:rsidRDefault="00772DAC" w:rsidP="00EA37D1">
      <w:pPr>
        <w:numPr>
          <w:ilvl w:val="12"/>
          <w:numId w:val="0"/>
        </w:numPr>
        <w:rPr>
          <w:color w:val="212121"/>
          <w:sz w:val="22"/>
          <w:szCs w:val="22"/>
          <w:shd w:val="clear" w:color="auto" w:fill="FFFFFF"/>
        </w:rPr>
      </w:pPr>
    </w:p>
    <w:p w14:paraId="162ABF88" w14:textId="1B27314D" w:rsidR="00972AFF" w:rsidRPr="00A90137" w:rsidRDefault="00972AFF" w:rsidP="00EA37D1">
      <w:pPr>
        <w:numPr>
          <w:ilvl w:val="12"/>
          <w:numId w:val="0"/>
        </w:numPr>
        <w:rPr>
          <w:sz w:val="22"/>
          <w:szCs w:val="22"/>
          <w:shd w:val="clear" w:color="auto" w:fill="FFFFFF"/>
        </w:rPr>
      </w:pPr>
      <w:r w:rsidRPr="00972AFF">
        <w:rPr>
          <w:color w:val="212121"/>
          <w:sz w:val="22"/>
          <w:szCs w:val="22"/>
          <w:shd w:val="clear" w:color="auto" w:fill="FFFFFF"/>
        </w:rPr>
        <w:t>Približne</w:t>
      </w:r>
      <w:r>
        <w:rPr>
          <w:color w:val="212121"/>
          <w:sz w:val="22"/>
          <w:szCs w:val="22"/>
          <w:shd w:val="clear" w:color="auto" w:fill="FFFFFF"/>
        </w:rPr>
        <w:t xml:space="preserve"> 66% sulfametoxazolu v plazme sa viaže</w:t>
      </w:r>
      <w:r w:rsidRPr="00972AFF">
        <w:rPr>
          <w:color w:val="212121"/>
          <w:sz w:val="22"/>
          <w:szCs w:val="22"/>
          <w:shd w:val="clear" w:color="auto" w:fill="FFFFFF"/>
        </w:rPr>
        <w:t xml:space="preserve"> na bielkoviny. Koncentrácia aktívneho sulfametoxazolu v </w:t>
      </w:r>
      <w:r w:rsidR="006E3A47" w:rsidRPr="002E6863">
        <w:rPr>
          <w:sz w:val="22"/>
          <w:szCs w:val="22"/>
        </w:rPr>
        <w:t>amniotickej tekutiny</w:t>
      </w:r>
      <w:r>
        <w:rPr>
          <w:color w:val="212121"/>
          <w:sz w:val="22"/>
          <w:szCs w:val="22"/>
          <w:shd w:val="clear" w:color="auto" w:fill="FFFFFF"/>
        </w:rPr>
        <w:t xml:space="preserve">, </w:t>
      </w:r>
      <w:r w:rsidR="006E3A47">
        <w:rPr>
          <w:sz w:val="22"/>
          <w:szCs w:val="22"/>
        </w:rPr>
        <w:t>komorovom moku</w:t>
      </w:r>
      <w:r w:rsidRPr="00972AFF">
        <w:rPr>
          <w:color w:val="212121"/>
          <w:sz w:val="22"/>
          <w:szCs w:val="22"/>
          <w:shd w:val="clear" w:color="auto" w:fill="FFFFFF"/>
        </w:rPr>
        <w:t xml:space="preserve">, žlči, cerebrospinálnej tekutine, tekutine stredného ucha, </w:t>
      </w:r>
      <w:r w:rsidR="006E3A47">
        <w:rPr>
          <w:color w:val="212121"/>
          <w:sz w:val="22"/>
          <w:szCs w:val="22"/>
          <w:shd w:val="clear" w:color="auto" w:fill="FFFFFF"/>
        </w:rPr>
        <w:t>spúta</w:t>
      </w:r>
      <w:r w:rsidRPr="00972AFF">
        <w:rPr>
          <w:color w:val="212121"/>
          <w:sz w:val="22"/>
          <w:szCs w:val="22"/>
          <w:shd w:val="clear" w:color="auto" w:fill="FFFFFF"/>
        </w:rPr>
        <w:t xml:space="preserve">, synoviálnej tekutine a tkanivovej (intersticiálnej) tekutine je rádovo 20 až 50% </w:t>
      </w:r>
      <w:r w:rsidRPr="00A90137">
        <w:rPr>
          <w:sz w:val="22"/>
          <w:szCs w:val="22"/>
          <w:shd w:val="clear" w:color="auto" w:fill="FFFFFF"/>
        </w:rPr>
        <w:t>koncentrácie v plazme.</w:t>
      </w:r>
    </w:p>
    <w:p w14:paraId="01027BB5" w14:textId="77777777" w:rsidR="00972AFF" w:rsidRPr="00A90137" w:rsidRDefault="00972AFF" w:rsidP="00EA37D1">
      <w:pPr>
        <w:numPr>
          <w:ilvl w:val="12"/>
          <w:numId w:val="0"/>
        </w:numPr>
        <w:rPr>
          <w:sz w:val="22"/>
          <w:szCs w:val="22"/>
          <w:shd w:val="clear" w:color="auto" w:fill="FFFFFF"/>
        </w:rPr>
      </w:pPr>
    </w:p>
    <w:p w14:paraId="42A590A2" w14:textId="5143BEC7" w:rsidR="006E3A47" w:rsidRPr="00A90137" w:rsidRDefault="006E3A47" w:rsidP="00EA37D1">
      <w:pPr>
        <w:numPr>
          <w:ilvl w:val="12"/>
          <w:numId w:val="0"/>
        </w:numPr>
        <w:rPr>
          <w:sz w:val="22"/>
          <w:szCs w:val="22"/>
          <w:shd w:val="clear" w:color="auto" w:fill="FFFFFF"/>
        </w:rPr>
      </w:pPr>
      <w:r w:rsidRPr="00A90137">
        <w:rPr>
          <w:sz w:val="22"/>
          <w:szCs w:val="22"/>
          <w:shd w:val="clear" w:color="auto" w:fill="FFFFFF"/>
        </w:rPr>
        <w:t>Koncentrácie sulfametoxazolu a trimetoprimu v plazme alebo sére sa môžu stanoviť pomocou vysokoúčinnej kvapalinovej chromatografie (z angl. high-performance </w:t>
      </w:r>
      <w:r w:rsidRPr="00A90137">
        <w:rPr>
          <w:rStyle w:val="Uwydatnienie"/>
          <w:bCs/>
          <w:i w:val="0"/>
          <w:iCs w:val="0"/>
          <w:sz w:val="22"/>
          <w:szCs w:val="22"/>
          <w:shd w:val="clear" w:color="auto" w:fill="FFFFFF"/>
        </w:rPr>
        <w:t>liquid chromatography</w:t>
      </w:r>
      <w:r w:rsidRPr="00A90137">
        <w:rPr>
          <w:sz w:val="22"/>
          <w:szCs w:val="22"/>
          <w:shd w:val="clear" w:color="auto" w:fill="FFFFFF"/>
        </w:rPr>
        <w:t>)</w:t>
      </w:r>
    </w:p>
    <w:p w14:paraId="7B7B1368" w14:textId="77777777" w:rsidR="006E3A47" w:rsidRDefault="006E3A47" w:rsidP="00EA37D1">
      <w:pPr>
        <w:numPr>
          <w:ilvl w:val="12"/>
          <w:numId w:val="0"/>
        </w:numPr>
        <w:rPr>
          <w:color w:val="212121"/>
          <w:sz w:val="22"/>
          <w:szCs w:val="22"/>
          <w:u w:val="single"/>
          <w:shd w:val="clear" w:color="auto" w:fill="FFFFFF"/>
        </w:rPr>
      </w:pPr>
    </w:p>
    <w:p w14:paraId="5750842D" w14:textId="1245CF1C" w:rsidR="00972AFF" w:rsidRPr="00972AFF" w:rsidRDefault="00972AFF" w:rsidP="00EA37D1">
      <w:pPr>
        <w:numPr>
          <w:ilvl w:val="12"/>
          <w:numId w:val="0"/>
        </w:numPr>
        <w:rPr>
          <w:color w:val="212121"/>
          <w:sz w:val="22"/>
          <w:szCs w:val="22"/>
          <w:u w:val="single"/>
          <w:shd w:val="clear" w:color="auto" w:fill="FFFFFF"/>
        </w:rPr>
      </w:pPr>
      <w:r w:rsidRPr="00972AFF">
        <w:rPr>
          <w:color w:val="212121"/>
          <w:sz w:val="22"/>
          <w:szCs w:val="22"/>
          <w:u w:val="single"/>
          <w:shd w:val="clear" w:color="auto" w:fill="FFFFFF"/>
        </w:rPr>
        <w:t>Biotransformácia</w:t>
      </w:r>
    </w:p>
    <w:p w14:paraId="46EB9FBE" w14:textId="1B96D3F8" w:rsidR="00972AFF" w:rsidRDefault="00972AFF" w:rsidP="00EA37D1">
      <w:pPr>
        <w:numPr>
          <w:ilvl w:val="12"/>
          <w:numId w:val="0"/>
        </w:numPr>
        <w:rPr>
          <w:color w:val="212121"/>
          <w:sz w:val="22"/>
          <w:szCs w:val="22"/>
          <w:shd w:val="clear" w:color="auto" w:fill="FFFFFF"/>
        </w:rPr>
      </w:pPr>
      <w:r w:rsidRPr="00972AFF">
        <w:rPr>
          <w:color w:val="212121"/>
          <w:sz w:val="22"/>
          <w:szCs w:val="22"/>
          <w:shd w:val="clear" w:color="auto" w:fill="FFFFFF"/>
        </w:rPr>
        <w:t xml:space="preserve">Trimetoprim </w:t>
      </w:r>
      <w:r w:rsidR="00DD7849">
        <w:rPr>
          <w:color w:val="212121"/>
          <w:sz w:val="22"/>
          <w:szCs w:val="22"/>
          <w:shd w:val="clear" w:color="auto" w:fill="FFFFFF"/>
        </w:rPr>
        <w:t>neindukuje</w:t>
      </w:r>
      <w:r w:rsidRPr="00972AFF">
        <w:rPr>
          <w:color w:val="212121"/>
          <w:sz w:val="22"/>
          <w:szCs w:val="22"/>
          <w:shd w:val="clear" w:color="auto" w:fill="FFFFFF"/>
        </w:rPr>
        <w:t xml:space="preserve"> </w:t>
      </w:r>
      <w:r w:rsidR="00DD7849">
        <w:rPr>
          <w:color w:val="212121"/>
          <w:sz w:val="22"/>
          <w:szCs w:val="22"/>
          <w:shd w:val="clear" w:color="auto" w:fill="FFFFFF"/>
        </w:rPr>
        <w:t>svoj</w:t>
      </w:r>
      <w:r>
        <w:rPr>
          <w:color w:val="212121"/>
          <w:sz w:val="22"/>
          <w:szCs w:val="22"/>
          <w:shd w:val="clear" w:color="auto" w:fill="FFFFFF"/>
        </w:rPr>
        <w:t xml:space="preserve"> </w:t>
      </w:r>
      <w:r w:rsidRPr="00972AFF">
        <w:rPr>
          <w:color w:val="212121"/>
          <w:sz w:val="22"/>
          <w:szCs w:val="22"/>
          <w:shd w:val="clear" w:color="auto" w:fill="FFFFFF"/>
        </w:rPr>
        <w:t xml:space="preserve">vlastný metabolizmus, a preto sa počas dlhodobej liečby </w:t>
      </w:r>
      <w:r w:rsidR="00DD7849">
        <w:rPr>
          <w:color w:val="212121"/>
          <w:sz w:val="22"/>
          <w:szCs w:val="22"/>
          <w:shd w:val="clear" w:color="auto" w:fill="FFFFFF"/>
        </w:rPr>
        <w:t>z s ohľadom na to</w:t>
      </w:r>
      <w:r w:rsidRPr="00972AFF">
        <w:rPr>
          <w:color w:val="212121"/>
          <w:sz w:val="22"/>
          <w:szCs w:val="22"/>
          <w:shd w:val="clear" w:color="auto" w:fill="FFFFFF"/>
        </w:rPr>
        <w:t xml:space="preserve"> nevyžaduje úprava dávky.</w:t>
      </w:r>
    </w:p>
    <w:p w14:paraId="585C28D1" w14:textId="77777777" w:rsidR="00972AFF" w:rsidRPr="00972AFF" w:rsidRDefault="00972AFF" w:rsidP="00EA37D1">
      <w:pPr>
        <w:numPr>
          <w:ilvl w:val="12"/>
          <w:numId w:val="0"/>
        </w:numPr>
        <w:rPr>
          <w:sz w:val="22"/>
          <w:szCs w:val="22"/>
        </w:rPr>
      </w:pPr>
    </w:p>
    <w:p w14:paraId="6296D03C" w14:textId="77777777" w:rsidR="00972AFF" w:rsidRPr="00972AFF" w:rsidRDefault="00972AFF" w:rsidP="00EA37D1">
      <w:pPr>
        <w:numPr>
          <w:ilvl w:val="12"/>
          <w:numId w:val="0"/>
        </w:numPr>
        <w:rPr>
          <w:sz w:val="22"/>
          <w:szCs w:val="22"/>
          <w:u w:val="single"/>
        </w:rPr>
      </w:pPr>
      <w:r w:rsidRPr="00972AFF">
        <w:rPr>
          <w:sz w:val="22"/>
          <w:szCs w:val="22"/>
          <w:u w:val="single"/>
        </w:rPr>
        <w:t>Eliminácia</w:t>
      </w:r>
    </w:p>
    <w:p w14:paraId="4EBF86BB" w14:textId="4C9CBFE2" w:rsidR="00731B12" w:rsidRPr="002E6863" w:rsidRDefault="00D60E7B" w:rsidP="00EA37D1">
      <w:pPr>
        <w:numPr>
          <w:ilvl w:val="12"/>
          <w:numId w:val="0"/>
        </w:numPr>
        <w:rPr>
          <w:sz w:val="22"/>
          <w:szCs w:val="22"/>
        </w:rPr>
      </w:pPr>
      <w:r>
        <w:rPr>
          <w:sz w:val="22"/>
          <w:szCs w:val="22"/>
        </w:rPr>
        <w:t>Biologický p</w:t>
      </w:r>
      <w:r w:rsidR="00A14313" w:rsidRPr="002E6863">
        <w:rPr>
          <w:sz w:val="22"/>
          <w:szCs w:val="22"/>
        </w:rPr>
        <w:t xml:space="preserve">olčas u osôb s normálnou funkciou obličiek je v rozsahu 8,6 až 17 hodín. </w:t>
      </w:r>
      <w:r w:rsidR="00D54B08">
        <w:rPr>
          <w:sz w:val="22"/>
          <w:szCs w:val="22"/>
        </w:rPr>
        <w:t>Zvýšený je 1,5 až 3-násobne, ak je klíren</w:t>
      </w:r>
      <w:r w:rsidR="00D209BD">
        <w:rPr>
          <w:sz w:val="22"/>
          <w:szCs w:val="22"/>
        </w:rPr>
        <w:t>s</w:t>
      </w:r>
      <w:r w:rsidR="00D54B08">
        <w:rPr>
          <w:sz w:val="22"/>
          <w:szCs w:val="22"/>
        </w:rPr>
        <w:t xml:space="preserve"> kreatinínu nižší ako 10 ml/min. Zdá sa, že u</w:t>
      </w:r>
      <w:r w:rsidR="00A14313" w:rsidRPr="002E6863">
        <w:rPr>
          <w:sz w:val="22"/>
          <w:szCs w:val="22"/>
        </w:rPr>
        <w:t> starších osôb v</w:t>
      </w:r>
      <w:r w:rsidR="00A93E11">
        <w:rPr>
          <w:sz w:val="22"/>
          <w:szCs w:val="22"/>
        </w:rPr>
        <w:t> porovnaní s mladšími pacientmi</w:t>
      </w:r>
      <w:r w:rsidR="00A14313" w:rsidRPr="002E6863">
        <w:rPr>
          <w:sz w:val="22"/>
          <w:szCs w:val="22"/>
        </w:rPr>
        <w:t xml:space="preserve"> </w:t>
      </w:r>
      <w:r w:rsidR="00D54B08">
        <w:rPr>
          <w:sz w:val="22"/>
          <w:szCs w:val="22"/>
        </w:rPr>
        <w:t>nie sú</w:t>
      </w:r>
      <w:r w:rsidR="00A14313" w:rsidRPr="002E6863">
        <w:rPr>
          <w:sz w:val="22"/>
          <w:szCs w:val="22"/>
        </w:rPr>
        <w:t xml:space="preserve"> žiadne závažné rozdiely.</w:t>
      </w:r>
    </w:p>
    <w:p w14:paraId="24A09438" w14:textId="77777777" w:rsidR="005702DE" w:rsidRPr="002E6863" w:rsidRDefault="005702DE" w:rsidP="00EA37D1">
      <w:pPr>
        <w:numPr>
          <w:ilvl w:val="12"/>
          <w:numId w:val="0"/>
        </w:numPr>
        <w:rPr>
          <w:sz w:val="22"/>
          <w:szCs w:val="22"/>
        </w:rPr>
      </w:pPr>
    </w:p>
    <w:p w14:paraId="3F62EB7B" w14:textId="77777777" w:rsidR="00A14313" w:rsidRPr="002E6863" w:rsidRDefault="00D54B08" w:rsidP="00092470">
      <w:pPr>
        <w:numPr>
          <w:ilvl w:val="12"/>
          <w:numId w:val="0"/>
        </w:numPr>
        <w:rPr>
          <w:sz w:val="22"/>
          <w:szCs w:val="22"/>
        </w:rPr>
      </w:pPr>
      <w:r>
        <w:rPr>
          <w:sz w:val="22"/>
          <w:szCs w:val="22"/>
        </w:rPr>
        <w:lastRenderedPageBreak/>
        <w:t>Hlavnou cestou vylučovania t</w:t>
      </w:r>
      <w:r w:rsidR="00A14313" w:rsidRPr="002E6863">
        <w:rPr>
          <w:sz w:val="22"/>
          <w:szCs w:val="22"/>
        </w:rPr>
        <w:t>rimetoprim</w:t>
      </w:r>
      <w:r>
        <w:rPr>
          <w:sz w:val="22"/>
          <w:szCs w:val="22"/>
        </w:rPr>
        <w:t xml:space="preserve">u je renálna cesta a približne </w:t>
      </w:r>
      <w:r w:rsidR="00A14313" w:rsidRPr="002E6863">
        <w:rPr>
          <w:sz w:val="22"/>
          <w:szCs w:val="22"/>
        </w:rPr>
        <w:t>50</w:t>
      </w:r>
      <w:r w:rsidR="00EA3E23" w:rsidRPr="002E6863">
        <w:rPr>
          <w:sz w:val="22"/>
          <w:szCs w:val="22"/>
        </w:rPr>
        <w:t> </w:t>
      </w:r>
      <w:r w:rsidR="00A14313" w:rsidRPr="002E6863">
        <w:rPr>
          <w:sz w:val="22"/>
          <w:szCs w:val="22"/>
        </w:rPr>
        <w:t xml:space="preserve">% </w:t>
      </w:r>
      <w:r>
        <w:rPr>
          <w:sz w:val="22"/>
          <w:szCs w:val="22"/>
        </w:rPr>
        <w:t xml:space="preserve">dávky sa vylúči do 24 hodín </w:t>
      </w:r>
      <w:r w:rsidR="00A14313" w:rsidRPr="002E6863">
        <w:rPr>
          <w:sz w:val="22"/>
          <w:szCs w:val="22"/>
        </w:rPr>
        <w:t>v nezmenenej forme moč</w:t>
      </w:r>
      <w:r>
        <w:rPr>
          <w:sz w:val="22"/>
          <w:szCs w:val="22"/>
        </w:rPr>
        <w:t>om</w:t>
      </w:r>
      <w:r w:rsidR="00A14313" w:rsidRPr="002E6863">
        <w:rPr>
          <w:sz w:val="22"/>
          <w:szCs w:val="22"/>
        </w:rPr>
        <w:t>. V moči bolo identifikovaných niekoľko metabolitov trimetoprimu.</w:t>
      </w:r>
      <w:r>
        <w:rPr>
          <w:sz w:val="22"/>
          <w:szCs w:val="22"/>
        </w:rPr>
        <w:t xml:space="preserve"> </w:t>
      </w:r>
      <w:r w:rsidR="00C54890">
        <w:rPr>
          <w:sz w:val="22"/>
          <w:szCs w:val="22"/>
        </w:rPr>
        <w:t>K</w:t>
      </w:r>
      <w:r>
        <w:rPr>
          <w:sz w:val="22"/>
          <w:szCs w:val="22"/>
        </w:rPr>
        <w:t>oncentrácie trimetoprimu</w:t>
      </w:r>
      <w:r w:rsidR="00C54890">
        <w:rPr>
          <w:sz w:val="22"/>
          <w:szCs w:val="22"/>
        </w:rPr>
        <w:t xml:space="preserve"> v moči</w:t>
      </w:r>
      <w:r>
        <w:rPr>
          <w:sz w:val="22"/>
          <w:szCs w:val="22"/>
        </w:rPr>
        <w:t xml:space="preserve"> sa veľmi líšia.</w:t>
      </w:r>
    </w:p>
    <w:p w14:paraId="33FF43A7" w14:textId="77777777" w:rsidR="00BC56B3" w:rsidRDefault="00BC56B3" w:rsidP="00092470">
      <w:pPr>
        <w:numPr>
          <w:ilvl w:val="12"/>
          <w:numId w:val="0"/>
        </w:numPr>
        <w:rPr>
          <w:sz w:val="22"/>
          <w:szCs w:val="22"/>
        </w:rPr>
      </w:pPr>
    </w:p>
    <w:p w14:paraId="230B1744" w14:textId="7EA5A6DC" w:rsidR="00A14313" w:rsidRPr="002E6863" w:rsidRDefault="00D60E7B" w:rsidP="00092470">
      <w:pPr>
        <w:numPr>
          <w:ilvl w:val="12"/>
          <w:numId w:val="0"/>
        </w:numPr>
        <w:rPr>
          <w:sz w:val="22"/>
          <w:szCs w:val="22"/>
        </w:rPr>
      </w:pPr>
      <w:r>
        <w:rPr>
          <w:sz w:val="22"/>
          <w:szCs w:val="22"/>
        </w:rPr>
        <w:t>Biologický p</w:t>
      </w:r>
      <w:r w:rsidR="00A14313" w:rsidRPr="002E6863">
        <w:rPr>
          <w:sz w:val="22"/>
          <w:szCs w:val="22"/>
        </w:rPr>
        <w:t xml:space="preserve">olčas </w:t>
      </w:r>
      <w:r w:rsidRPr="002E6863">
        <w:rPr>
          <w:sz w:val="22"/>
          <w:szCs w:val="22"/>
        </w:rPr>
        <w:t xml:space="preserve">sulfametoxazolu </w:t>
      </w:r>
      <w:r w:rsidR="00A14313" w:rsidRPr="002E6863">
        <w:rPr>
          <w:sz w:val="22"/>
          <w:szCs w:val="22"/>
        </w:rPr>
        <w:t xml:space="preserve">u osôb s normálnou funkciou obličiek je </w:t>
      </w:r>
      <w:r w:rsidR="00551453">
        <w:rPr>
          <w:sz w:val="22"/>
          <w:szCs w:val="22"/>
        </w:rPr>
        <w:t xml:space="preserve"> približne </w:t>
      </w:r>
      <w:r w:rsidR="00A14313" w:rsidRPr="002E6863">
        <w:rPr>
          <w:sz w:val="22"/>
          <w:szCs w:val="22"/>
        </w:rPr>
        <w:t xml:space="preserve">9 až 11 hodín. Poklesom funkcie obličiek nedochádza k zmene polčasu aktívneho sulfametoxazolu, ale predĺži sa polčas </w:t>
      </w:r>
      <w:r>
        <w:rPr>
          <w:sz w:val="22"/>
          <w:szCs w:val="22"/>
        </w:rPr>
        <w:t>hlavn</w:t>
      </w:r>
      <w:r w:rsidRPr="002E6863">
        <w:rPr>
          <w:sz w:val="22"/>
          <w:szCs w:val="22"/>
        </w:rPr>
        <w:t xml:space="preserve">ého </w:t>
      </w:r>
      <w:r w:rsidR="00A14313" w:rsidRPr="002E6863">
        <w:rPr>
          <w:sz w:val="22"/>
          <w:szCs w:val="22"/>
        </w:rPr>
        <w:t xml:space="preserve">acetylovaného metabolitu, ak je klírens </w:t>
      </w:r>
      <w:r w:rsidR="00BE02A5" w:rsidRPr="002E6863">
        <w:rPr>
          <w:sz w:val="22"/>
          <w:szCs w:val="22"/>
        </w:rPr>
        <w:t>kreatinínu nižší ako 25 ml/min.</w:t>
      </w:r>
    </w:p>
    <w:p w14:paraId="7B884DDD" w14:textId="77777777" w:rsidR="005702DE" w:rsidRPr="002E6863" w:rsidRDefault="005702DE" w:rsidP="00092470">
      <w:pPr>
        <w:numPr>
          <w:ilvl w:val="12"/>
          <w:numId w:val="0"/>
        </w:numPr>
        <w:rPr>
          <w:sz w:val="22"/>
          <w:szCs w:val="22"/>
        </w:rPr>
      </w:pPr>
    </w:p>
    <w:p w14:paraId="37200009" w14:textId="7E8581A3" w:rsidR="00731B12" w:rsidRPr="002E6863" w:rsidRDefault="00551453" w:rsidP="00092470">
      <w:pPr>
        <w:numPr>
          <w:ilvl w:val="12"/>
          <w:numId w:val="0"/>
        </w:numPr>
        <w:rPr>
          <w:sz w:val="22"/>
          <w:szCs w:val="22"/>
        </w:rPr>
      </w:pPr>
      <w:r>
        <w:rPr>
          <w:sz w:val="22"/>
          <w:szCs w:val="22"/>
        </w:rPr>
        <w:t>Hlavnou cestou vylučovania s</w:t>
      </w:r>
      <w:r w:rsidR="00BE02A5" w:rsidRPr="002E6863">
        <w:rPr>
          <w:sz w:val="22"/>
          <w:szCs w:val="22"/>
        </w:rPr>
        <w:t>ulfametoxazol</w:t>
      </w:r>
      <w:r>
        <w:rPr>
          <w:sz w:val="22"/>
          <w:szCs w:val="22"/>
        </w:rPr>
        <w:t>u je renálna cesta;</w:t>
      </w:r>
      <w:r w:rsidR="0042020D">
        <w:rPr>
          <w:sz w:val="22"/>
          <w:szCs w:val="22"/>
        </w:rPr>
        <w:t xml:space="preserve"> </w:t>
      </w:r>
      <w:r w:rsidR="00BE02A5" w:rsidRPr="002E6863">
        <w:rPr>
          <w:sz w:val="22"/>
          <w:szCs w:val="22"/>
        </w:rPr>
        <w:t>15 až 30</w:t>
      </w:r>
      <w:r w:rsidR="00EA3E23" w:rsidRPr="002E6863">
        <w:rPr>
          <w:sz w:val="22"/>
          <w:szCs w:val="22"/>
        </w:rPr>
        <w:t> </w:t>
      </w:r>
      <w:r w:rsidR="0042020D">
        <w:rPr>
          <w:sz w:val="22"/>
          <w:szCs w:val="22"/>
        </w:rPr>
        <w:t xml:space="preserve">% dávky </w:t>
      </w:r>
      <w:r w:rsidR="00D60E7B">
        <w:rPr>
          <w:sz w:val="22"/>
          <w:szCs w:val="22"/>
        </w:rPr>
        <w:t> vylúčenej močom</w:t>
      </w:r>
      <w:r w:rsidR="00BE02A5" w:rsidRPr="002E6863">
        <w:rPr>
          <w:sz w:val="22"/>
          <w:szCs w:val="22"/>
        </w:rPr>
        <w:t xml:space="preserve"> </w:t>
      </w:r>
      <w:r>
        <w:rPr>
          <w:sz w:val="22"/>
          <w:szCs w:val="22"/>
        </w:rPr>
        <w:t xml:space="preserve">je </w:t>
      </w:r>
      <w:r w:rsidR="00BE02A5" w:rsidRPr="002E6863">
        <w:rPr>
          <w:sz w:val="22"/>
          <w:szCs w:val="22"/>
        </w:rPr>
        <w:t>v aktívnej forme. U starších pacientov je znížený renálny klírens sulfametoxazolu</w:t>
      </w:r>
      <w:r w:rsidR="003A4E73" w:rsidRPr="002E6863">
        <w:rPr>
          <w:sz w:val="22"/>
          <w:szCs w:val="22"/>
        </w:rPr>
        <w:t>.</w:t>
      </w:r>
    </w:p>
    <w:p w14:paraId="61AE30B6" w14:textId="77777777" w:rsidR="008D205A" w:rsidRPr="00F00777" w:rsidRDefault="008D205A" w:rsidP="00092470">
      <w:pPr>
        <w:numPr>
          <w:ilvl w:val="12"/>
          <w:numId w:val="0"/>
        </w:numPr>
        <w:rPr>
          <w:sz w:val="22"/>
          <w:szCs w:val="22"/>
        </w:rPr>
      </w:pPr>
    </w:p>
    <w:p w14:paraId="728F8EFB" w14:textId="77777777" w:rsidR="002227C3" w:rsidRPr="00BC56B3" w:rsidRDefault="002227C3" w:rsidP="00092470">
      <w:pPr>
        <w:numPr>
          <w:ilvl w:val="12"/>
          <w:numId w:val="0"/>
        </w:numPr>
        <w:rPr>
          <w:sz w:val="22"/>
          <w:szCs w:val="22"/>
        </w:rPr>
      </w:pPr>
      <w:r w:rsidRPr="00BC56B3">
        <w:rPr>
          <w:sz w:val="22"/>
          <w:szCs w:val="22"/>
        </w:rPr>
        <w:t>Špeciálne populácie pacientov</w:t>
      </w:r>
    </w:p>
    <w:p w14:paraId="086D1D5C" w14:textId="77777777" w:rsidR="002227C3" w:rsidRPr="00BC56B3" w:rsidRDefault="002227C3" w:rsidP="00092470">
      <w:pPr>
        <w:numPr>
          <w:ilvl w:val="12"/>
          <w:numId w:val="0"/>
        </w:numPr>
        <w:rPr>
          <w:sz w:val="22"/>
          <w:szCs w:val="22"/>
        </w:rPr>
      </w:pPr>
    </w:p>
    <w:p w14:paraId="5D0C14BB" w14:textId="62CB5907" w:rsidR="002227C3" w:rsidRPr="00BC56B3" w:rsidRDefault="002227C3" w:rsidP="002227C3">
      <w:pPr>
        <w:pStyle w:val="HTML-wstpniesformatowany"/>
        <w:shd w:val="clear" w:color="auto" w:fill="FFFFFF"/>
        <w:rPr>
          <w:rFonts w:ascii="Times New Roman" w:hAnsi="Times New Roman" w:cs="Times New Roman"/>
          <w:i/>
          <w:sz w:val="22"/>
          <w:szCs w:val="22"/>
        </w:rPr>
      </w:pPr>
      <w:r w:rsidRPr="00BC56B3">
        <w:rPr>
          <w:rFonts w:ascii="Times New Roman" w:hAnsi="Times New Roman" w:cs="Times New Roman"/>
          <w:i/>
          <w:sz w:val="22"/>
          <w:szCs w:val="22"/>
        </w:rPr>
        <w:t>Po</w:t>
      </w:r>
      <w:r w:rsidR="00D60E7B" w:rsidRPr="00BC56B3">
        <w:rPr>
          <w:rFonts w:ascii="Times New Roman" w:hAnsi="Times New Roman" w:cs="Times New Roman"/>
          <w:i/>
          <w:sz w:val="22"/>
          <w:szCs w:val="22"/>
        </w:rPr>
        <w:t>rucha</w:t>
      </w:r>
      <w:r w:rsidRPr="00BC56B3">
        <w:rPr>
          <w:rFonts w:ascii="Times New Roman" w:hAnsi="Times New Roman" w:cs="Times New Roman"/>
          <w:i/>
          <w:sz w:val="22"/>
          <w:szCs w:val="22"/>
        </w:rPr>
        <w:t xml:space="preserve"> funkcie obličiek</w:t>
      </w:r>
    </w:p>
    <w:p w14:paraId="3384409F" w14:textId="2EFABD99" w:rsidR="002227C3" w:rsidRPr="00BC56B3" w:rsidRDefault="002227C3" w:rsidP="002227C3">
      <w:pPr>
        <w:pStyle w:val="HTML-wstpniesformatowany"/>
        <w:shd w:val="clear" w:color="auto" w:fill="FFFFFF"/>
        <w:rPr>
          <w:rFonts w:ascii="Times New Roman" w:hAnsi="Times New Roman" w:cs="Times New Roman"/>
          <w:sz w:val="22"/>
          <w:szCs w:val="22"/>
        </w:rPr>
      </w:pPr>
      <w:commentRangeStart w:id="7"/>
      <w:commentRangeEnd w:id="7"/>
      <w:r w:rsidRPr="00BC56B3">
        <w:rPr>
          <w:rFonts w:ascii="Times New Roman" w:hAnsi="Times New Roman" w:cs="Times New Roman"/>
          <w:sz w:val="22"/>
          <w:szCs w:val="22"/>
        </w:rPr>
        <w:t>Keď klírens kreatinínu klesne pod 30 ml /min, dávka kotrimoxazolu sa má znížiť (pozri časť 4.2).</w:t>
      </w:r>
    </w:p>
    <w:p w14:paraId="73AFE2CF" w14:textId="77777777" w:rsidR="002227C3" w:rsidRPr="00BC56B3" w:rsidRDefault="002227C3" w:rsidP="002227C3">
      <w:pPr>
        <w:pStyle w:val="HTML-wstpniesformatowany"/>
        <w:shd w:val="clear" w:color="auto" w:fill="FFFFFF"/>
        <w:rPr>
          <w:rFonts w:ascii="Times New Roman" w:hAnsi="Times New Roman" w:cs="Times New Roman"/>
          <w:sz w:val="22"/>
          <w:szCs w:val="22"/>
        </w:rPr>
      </w:pPr>
    </w:p>
    <w:p w14:paraId="3D9D113E" w14:textId="2C2E8580" w:rsidR="002227C3" w:rsidRPr="00BC56B3" w:rsidRDefault="002227C3" w:rsidP="002227C3">
      <w:pPr>
        <w:pStyle w:val="HTML-wstpniesformatowany"/>
        <w:shd w:val="clear" w:color="auto" w:fill="FFFFFF"/>
        <w:rPr>
          <w:rFonts w:ascii="Times New Roman" w:hAnsi="Times New Roman" w:cs="Times New Roman"/>
          <w:i/>
          <w:sz w:val="22"/>
          <w:szCs w:val="22"/>
        </w:rPr>
      </w:pPr>
      <w:r w:rsidRPr="00BC56B3">
        <w:rPr>
          <w:rFonts w:ascii="Times New Roman" w:hAnsi="Times New Roman" w:cs="Times New Roman"/>
          <w:i/>
          <w:sz w:val="22"/>
          <w:szCs w:val="22"/>
        </w:rPr>
        <w:t>Po</w:t>
      </w:r>
      <w:r w:rsidR="00DD1E01" w:rsidRPr="00BC56B3">
        <w:rPr>
          <w:rFonts w:ascii="Times New Roman" w:hAnsi="Times New Roman" w:cs="Times New Roman"/>
          <w:i/>
          <w:sz w:val="22"/>
          <w:szCs w:val="22"/>
        </w:rPr>
        <w:t>rucha</w:t>
      </w:r>
      <w:r w:rsidRPr="00BC56B3">
        <w:rPr>
          <w:rFonts w:ascii="Times New Roman" w:hAnsi="Times New Roman" w:cs="Times New Roman"/>
          <w:i/>
          <w:sz w:val="22"/>
          <w:szCs w:val="22"/>
        </w:rPr>
        <w:t xml:space="preserve"> funkcie pečene</w:t>
      </w:r>
    </w:p>
    <w:p w14:paraId="4DAB3CAF" w14:textId="0FC43E25" w:rsidR="002227C3" w:rsidRPr="00BC56B3" w:rsidRDefault="002227C3" w:rsidP="002227C3">
      <w:pPr>
        <w:pStyle w:val="HTML-wstpniesformatowany"/>
        <w:shd w:val="clear" w:color="auto" w:fill="FFFFFF"/>
        <w:rPr>
          <w:rFonts w:ascii="Times New Roman" w:hAnsi="Times New Roman" w:cs="Times New Roman"/>
          <w:sz w:val="22"/>
          <w:szCs w:val="22"/>
        </w:rPr>
      </w:pPr>
      <w:r w:rsidRPr="00BC56B3">
        <w:rPr>
          <w:rFonts w:ascii="Times New Roman" w:hAnsi="Times New Roman" w:cs="Times New Roman"/>
          <w:sz w:val="22"/>
          <w:szCs w:val="22"/>
        </w:rPr>
        <w:t>Opatrnosť je potrebná pri liečbe pacientov s</w:t>
      </w:r>
      <w:r w:rsidR="00DD1E01" w:rsidRPr="00BC56B3">
        <w:rPr>
          <w:rFonts w:ascii="Times New Roman" w:hAnsi="Times New Roman" w:cs="Times New Roman"/>
          <w:sz w:val="22"/>
          <w:szCs w:val="22"/>
        </w:rPr>
        <w:t>o</w:t>
      </w:r>
      <w:r w:rsidRPr="00BC56B3">
        <w:rPr>
          <w:rFonts w:ascii="Times New Roman" w:hAnsi="Times New Roman" w:cs="Times New Roman"/>
          <w:sz w:val="22"/>
          <w:szCs w:val="22"/>
        </w:rPr>
        <w:t xml:space="preserve"> </w:t>
      </w:r>
      <w:r w:rsidR="00DD1E01" w:rsidRPr="00BC56B3">
        <w:rPr>
          <w:rFonts w:ascii="Times New Roman" w:hAnsi="Times New Roman" w:cs="Times New Roman"/>
          <w:sz w:val="22"/>
          <w:szCs w:val="22"/>
        </w:rPr>
        <w:t>závaž</w:t>
      </w:r>
      <w:r w:rsidR="001C692E" w:rsidRPr="00BC56B3">
        <w:rPr>
          <w:rFonts w:ascii="Times New Roman" w:hAnsi="Times New Roman" w:cs="Times New Roman"/>
          <w:sz w:val="22"/>
          <w:szCs w:val="22"/>
        </w:rPr>
        <w:t>n</w:t>
      </w:r>
      <w:r w:rsidRPr="00BC56B3">
        <w:rPr>
          <w:rFonts w:ascii="Times New Roman" w:hAnsi="Times New Roman" w:cs="Times New Roman"/>
          <w:sz w:val="22"/>
          <w:szCs w:val="22"/>
        </w:rPr>
        <w:t>ým poškodením pečene, pretože môžu nastať zmeny v absorpcii a biotransformácii trimetoprimu a sulfametoxazolu.</w:t>
      </w:r>
    </w:p>
    <w:p w14:paraId="3D43D227" w14:textId="77777777" w:rsidR="002227C3" w:rsidRPr="002227C3" w:rsidRDefault="002227C3" w:rsidP="002227C3">
      <w:pPr>
        <w:pStyle w:val="HTML-wstpniesformatowany"/>
        <w:shd w:val="clear" w:color="auto" w:fill="FFFFFF"/>
        <w:rPr>
          <w:rFonts w:ascii="Times New Roman" w:hAnsi="Times New Roman" w:cs="Times New Roman"/>
          <w:color w:val="212121"/>
          <w:sz w:val="22"/>
          <w:szCs w:val="22"/>
        </w:rPr>
      </w:pPr>
    </w:p>
    <w:p w14:paraId="6DE1EE11" w14:textId="77777777" w:rsidR="002227C3" w:rsidRPr="002227C3" w:rsidRDefault="002227C3" w:rsidP="002227C3">
      <w:pPr>
        <w:pStyle w:val="HTML-wstpniesformatowany"/>
        <w:shd w:val="clear" w:color="auto" w:fill="FFFFFF"/>
        <w:rPr>
          <w:rFonts w:ascii="Times New Roman" w:hAnsi="Times New Roman" w:cs="Times New Roman"/>
          <w:i/>
          <w:color w:val="212121"/>
          <w:sz w:val="22"/>
          <w:szCs w:val="22"/>
        </w:rPr>
      </w:pPr>
      <w:r w:rsidRPr="002227C3">
        <w:rPr>
          <w:rFonts w:ascii="Times New Roman" w:hAnsi="Times New Roman" w:cs="Times New Roman"/>
          <w:i/>
          <w:color w:val="212121"/>
          <w:sz w:val="22"/>
          <w:szCs w:val="22"/>
        </w:rPr>
        <w:t>Starší pacienti</w:t>
      </w:r>
    </w:p>
    <w:p w14:paraId="0F770275" w14:textId="77777777" w:rsidR="002227C3" w:rsidRPr="002227C3" w:rsidRDefault="002227C3" w:rsidP="002227C3">
      <w:pPr>
        <w:pStyle w:val="HTML-wstpniesformatowany"/>
        <w:shd w:val="clear" w:color="auto" w:fill="FFFFFF"/>
        <w:rPr>
          <w:rFonts w:ascii="Times New Roman" w:hAnsi="Times New Roman" w:cs="Times New Roman"/>
          <w:color w:val="212121"/>
          <w:sz w:val="22"/>
          <w:szCs w:val="22"/>
        </w:rPr>
      </w:pPr>
      <w:r w:rsidRPr="002227C3">
        <w:rPr>
          <w:rFonts w:ascii="Times New Roman" w:hAnsi="Times New Roman" w:cs="Times New Roman"/>
          <w:color w:val="212121"/>
          <w:sz w:val="22"/>
          <w:szCs w:val="22"/>
        </w:rPr>
        <w:t>U starších pacientov sa pozorovalo mierne zníženie renálneho klírensu sulfametoxazolu, ale nie trimetoprimu.</w:t>
      </w:r>
    </w:p>
    <w:p w14:paraId="63A5F4C7" w14:textId="77777777" w:rsidR="002227C3" w:rsidRPr="00F00777" w:rsidRDefault="002227C3" w:rsidP="00092470">
      <w:pPr>
        <w:numPr>
          <w:ilvl w:val="12"/>
          <w:numId w:val="0"/>
        </w:numPr>
        <w:rPr>
          <w:sz w:val="22"/>
          <w:szCs w:val="22"/>
        </w:rPr>
      </w:pPr>
    </w:p>
    <w:p w14:paraId="70AC71EC" w14:textId="77777777" w:rsidR="000D5BFB" w:rsidRPr="00F00777" w:rsidRDefault="008D205A" w:rsidP="00092470">
      <w:pPr>
        <w:numPr>
          <w:ilvl w:val="12"/>
          <w:numId w:val="0"/>
        </w:numPr>
        <w:rPr>
          <w:i/>
          <w:sz w:val="22"/>
          <w:szCs w:val="22"/>
        </w:rPr>
      </w:pPr>
      <w:r w:rsidRPr="00F00777">
        <w:rPr>
          <w:i/>
          <w:sz w:val="22"/>
          <w:szCs w:val="22"/>
        </w:rPr>
        <w:t>Pediatrická populácia</w:t>
      </w:r>
    </w:p>
    <w:p w14:paraId="229B5FB3" w14:textId="77777777" w:rsidR="008D205A" w:rsidRPr="00F00777" w:rsidRDefault="008D205A" w:rsidP="00092470">
      <w:pPr>
        <w:numPr>
          <w:ilvl w:val="12"/>
          <w:numId w:val="0"/>
        </w:numPr>
        <w:rPr>
          <w:sz w:val="22"/>
          <w:szCs w:val="22"/>
        </w:rPr>
      </w:pPr>
      <w:r w:rsidRPr="00F00777">
        <w:rPr>
          <w:sz w:val="22"/>
          <w:szCs w:val="22"/>
        </w:rPr>
        <w:t>Farmakokinetika u pediatrickej populácie</w:t>
      </w:r>
      <w:r w:rsidR="00230DCD" w:rsidRPr="00F00777">
        <w:rPr>
          <w:sz w:val="22"/>
          <w:szCs w:val="22"/>
        </w:rPr>
        <w:t xml:space="preserve"> s normálnou renálnou funkciou pre obidve zložky </w:t>
      </w:r>
      <w:r w:rsidR="0042020D" w:rsidRPr="00F00777">
        <w:rPr>
          <w:sz w:val="22"/>
          <w:szCs w:val="22"/>
        </w:rPr>
        <w:t>BISEPTOLU</w:t>
      </w:r>
      <w:r w:rsidR="00230DCD" w:rsidRPr="00F00777">
        <w:rPr>
          <w:sz w:val="22"/>
          <w:szCs w:val="22"/>
        </w:rPr>
        <w:t xml:space="preserve"> 480, TMP a SMZ, je závislá od veku. </w:t>
      </w:r>
      <w:r w:rsidR="00384620" w:rsidRPr="00F00777">
        <w:rPr>
          <w:sz w:val="22"/>
          <w:szCs w:val="22"/>
        </w:rPr>
        <w:t xml:space="preserve">Eliminácia </w:t>
      </w:r>
      <w:r w:rsidR="00766ECC" w:rsidRPr="00F00777">
        <w:rPr>
          <w:sz w:val="22"/>
          <w:szCs w:val="22"/>
        </w:rPr>
        <w:t>TMP -</w:t>
      </w:r>
      <w:r w:rsidR="00384620" w:rsidRPr="00F00777">
        <w:rPr>
          <w:sz w:val="22"/>
          <w:szCs w:val="22"/>
        </w:rPr>
        <w:t xml:space="preserve"> SM</w:t>
      </w:r>
      <w:r w:rsidR="00766ECC" w:rsidRPr="00F00777">
        <w:rPr>
          <w:sz w:val="22"/>
          <w:szCs w:val="22"/>
        </w:rPr>
        <w:t>Z je znížená</w:t>
      </w:r>
      <w:r w:rsidR="00230DCD" w:rsidRPr="00F00777">
        <w:rPr>
          <w:sz w:val="22"/>
          <w:szCs w:val="22"/>
        </w:rPr>
        <w:t xml:space="preserve"> </w:t>
      </w:r>
      <w:r w:rsidR="00766ECC" w:rsidRPr="00F00777">
        <w:rPr>
          <w:sz w:val="22"/>
          <w:szCs w:val="22"/>
        </w:rPr>
        <w:t>u novorodencov, počas prv</w:t>
      </w:r>
      <w:r w:rsidR="006E73A7" w:rsidRPr="00F00777">
        <w:rPr>
          <w:sz w:val="22"/>
          <w:szCs w:val="22"/>
        </w:rPr>
        <w:t>ých dvoch</w:t>
      </w:r>
      <w:r w:rsidR="00766ECC" w:rsidRPr="00F00777">
        <w:rPr>
          <w:sz w:val="22"/>
          <w:szCs w:val="22"/>
        </w:rPr>
        <w:t xml:space="preserve"> mesiac</w:t>
      </w:r>
      <w:r w:rsidR="006E73A7" w:rsidRPr="00F00777">
        <w:rPr>
          <w:sz w:val="22"/>
          <w:szCs w:val="22"/>
        </w:rPr>
        <w:t>ov</w:t>
      </w:r>
      <w:r w:rsidR="00766ECC" w:rsidRPr="00F00777">
        <w:rPr>
          <w:sz w:val="22"/>
          <w:szCs w:val="22"/>
        </w:rPr>
        <w:t xml:space="preserve"> života, </w:t>
      </w:r>
      <w:r w:rsidR="006E73A7" w:rsidRPr="00F00777">
        <w:rPr>
          <w:sz w:val="22"/>
          <w:szCs w:val="22"/>
        </w:rPr>
        <w:t>potom</w:t>
      </w:r>
      <w:r w:rsidR="00766ECC" w:rsidRPr="00F00777">
        <w:rPr>
          <w:sz w:val="22"/>
          <w:szCs w:val="22"/>
        </w:rPr>
        <w:t xml:space="preserve"> obidve zložky TMP a SMT vykazujú zvýšenú elimináciu</w:t>
      </w:r>
      <w:r w:rsidR="001A3380" w:rsidRPr="00F00777">
        <w:rPr>
          <w:sz w:val="22"/>
          <w:szCs w:val="22"/>
        </w:rPr>
        <w:t xml:space="preserve"> s vyšším</w:t>
      </w:r>
      <w:r w:rsidR="00766ECC" w:rsidRPr="00F00777">
        <w:rPr>
          <w:sz w:val="22"/>
          <w:szCs w:val="22"/>
        </w:rPr>
        <w:t xml:space="preserve"> klírensom a kratším polčasom eliminácie.</w:t>
      </w:r>
      <w:r w:rsidR="001A3380" w:rsidRPr="00F00777">
        <w:rPr>
          <w:sz w:val="22"/>
          <w:szCs w:val="22"/>
        </w:rPr>
        <w:t xml:space="preserve"> Rozdiely sú </w:t>
      </w:r>
      <w:r w:rsidR="006E73A7" w:rsidRPr="00F00777">
        <w:rPr>
          <w:sz w:val="22"/>
          <w:szCs w:val="22"/>
        </w:rPr>
        <w:t>najvýraznejšie</w:t>
      </w:r>
      <w:r w:rsidR="001A3380" w:rsidRPr="00F00777">
        <w:rPr>
          <w:sz w:val="22"/>
          <w:szCs w:val="22"/>
        </w:rPr>
        <w:t xml:space="preserve"> u</w:t>
      </w:r>
      <w:r w:rsidR="003C0588" w:rsidRPr="00F00777">
        <w:rPr>
          <w:sz w:val="22"/>
          <w:szCs w:val="22"/>
        </w:rPr>
        <w:t xml:space="preserve"> dojčiat </w:t>
      </w:r>
      <w:r w:rsidR="001A3380" w:rsidRPr="00F00777">
        <w:rPr>
          <w:sz w:val="22"/>
          <w:szCs w:val="22"/>
        </w:rPr>
        <w:t>(&gt;1.7 mesiaca do 24 mesiacov) a klesajú so zvyšujúcim sa vekom, v porovnaní s malými deťmi (1 rok až 3,6 roka), deťmi (7,5 roka až &lt; 10 rokov) a dospelými (pozri časť 4.2).</w:t>
      </w:r>
    </w:p>
    <w:p w14:paraId="3DB31E55" w14:textId="77777777" w:rsidR="001A3380" w:rsidRPr="00F00777" w:rsidRDefault="001A3380" w:rsidP="00092470">
      <w:pPr>
        <w:numPr>
          <w:ilvl w:val="12"/>
          <w:numId w:val="0"/>
        </w:numPr>
        <w:rPr>
          <w:sz w:val="22"/>
          <w:szCs w:val="22"/>
        </w:rPr>
      </w:pPr>
    </w:p>
    <w:p w14:paraId="1B9F8796" w14:textId="77777777" w:rsidR="00731B12" w:rsidRPr="002E6863" w:rsidRDefault="00092470" w:rsidP="00092470">
      <w:pPr>
        <w:tabs>
          <w:tab w:val="left" w:pos="567"/>
        </w:tabs>
        <w:rPr>
          <w:b/>
          <w:sz w:val="22"/>
          <w:szCs w:val="22"/>
        </w:rPr>
      </w:pPr>
      <w:r>
        <w:rPr>
          <w:b/>
          <w:sz w:val="22"/>
          <w:szCs w:val="22"/>
        </w:rPr>
        <w:t>5.3</w:t>
      </w:r>
      <w:r w:rsidR="00BE02A5" w:rsidRPr="002E6863">
        <w:rPr>
          <w:b/>
          <w:sz w:val="22"/>
          <w:szCs w:val="22"/>
        </w:rPr>
        <w:tab/>
      </w:r>
      <w:r w:rsidR="00731B12" w:rsidRPr="002E6863">
        <w:rPr>
          <w:b/>
          <w:sz w:val="22"/>
          <w:szCs w:val="22"/>
        </w:rPr>
        <w:t>Predklinické údaje o bezpečnosti</w:t>
      </w:r>
    </w:p>
    <w:p w14:paraId="52213DC3" w14:textId="77777777" w:rsidR="00BE02A5" w:rsidRPr="002E6863" w:rsidRDefault="00BE02A5" w:rsidP="00092470">
      <w:pPr>
        <w:numPr>
          <w:ilvl w:val="12"/>
          <w:numId w:val="0"/>
        </w:numPr>
        <w:rPr>
          <w:sz w:val="22"/>
          <w:szCs w:val="22"/>
        </w:rPr>
      </w:pPr>
    </w:p>
    <w:p w14:paraId="604B4B7D" w14:textId="499B1F6E" w:rsidR="00BE02A5" w:rsidRPr="002E6863" w:rsidDel="00BE02A5" w:rsidRDefault="00BE02A5" w:rsidP="00092470">
      <w:pPr>
        <w:numPr>
          <w:ilvl w:val="12"/>
          <w:numId w:val="0"/>
        </w:numPr>
        <w:rPr>
          <w:sz w:val="22"/>
          <w:szCs w:val="22"/>
        </w:rPr>
      </w:pPr>
      <w:r w:rsidRPr="002E6863">
        <w:rPr>
          <w:sz w:val="22"/>
          <w:szCs w:val="22"/>
        </w:rPr>
        <w:t>Pri dávkach</w:t>
      </w:r>
      <w:r w:rsidR="00551453">
        <w:rPr>
          <w:sz w:val="22"/>
          <w:szCs w:val="22"/>
        </w:rPr>
        <w:t>,</w:t>
      </w:r>
      <w:r w:rsidR="00FD0546">
        <w:rPr>
          <w:sz w:val="22"/>
          <w:szCs w:val="22"/>
        </w:rPr>
        <w:t xml:space="preserve"> </w:t>
      </w:r>
      <w:r w:rsidR="00551453">
        <w:rPr>
          <w:sz w:val="22"/>
          <w:szCs w:val="22"/>
        </w:rPr>
        <w:t>ktoré prekračujú odporúčané</w:t>
      </w:r>
      <w:r w:rsidRPr="002E6863">
        <w:rPr>
          <w:sz w:val="22"/>
          <w:szCs w:val="22"/>
        </w:rPr>
        <w:t xml:space="preserve"> </w:t>
      </w:r>
      <w:r w:rsidR="00551453">
        <w:rPr>
          <w:sz w:val="22"/>
          <w:szCs w:val="22"/>
        </w:rPr>
        <w:t xml:space="preserve">terapeutické </w:t>
      </w:r>
      <w:r w:rsidRPr="002E6863">
        <w:rPr>
          <w:sz w:val="22"/>
          <w:szCs w:val="22"/>
        </w:rPr>
        <w:t>dávky používané u</w:t>
      </w:r>
      <w:r w:rsidR="00551453">
        <w:rPr>
          <w:sz w:val="22"/>
          <w:szCs w:val="22"/>
        </w:rPr>
        <w:t> </w:t>
      </w:r>
      <w:r w:rsidRPr="002E6863">
        <w:rPr>
          <w:sz w:val="22"/>
          <w:szCs w:val="22"/>
        </w:rPr>
        <w:t>ľudí</w:t>
      </w:r>
      <w:r w:rsidR="00551453">
        <w:rPr>
          <w:sz w:val="22"/>
          <w:szCs w:val="22"/>
        </w:rPr>
        <w:t>,</w:t>
      </w:r>
      <w:r w:rsidRPr="002E6863">
        <w:rPr>
          <w:sz w:val="22"/>
          <w:szCs w:val="22"/>
        </w:rPr>
        <w:t xml:space="preserve"> boli u trimetoprimu a sulfametoxazolu hlásené r</w:t>
      </w:r>
      <w:r w:rsidR="00DD1E01">
        <w:rPr>
          <w:sz w:val="22"/>
          <w:szCs w:val="22"/>
        </w:rPr>
        <w:t>á</w:t>
      </w:r>
      <w:r w:rsidRPr="002E6863">
        <w:rPr>
          <w:sz w:val="22"/>
          <w:szCs w:val="22"/>
        </w:rPr>
        <w:t>zštep podnebia a iné abnormality plodu u potkanov, nálezy typické pre antagonistov kyseliny listovej. Účinkom trimetoprimu sa dalo zabrániť podávan</w:t>
      </w:r>
      <w:r w:rsidR="00092470">
        <w:rPr>
          <w:sz w:val="22"/>
          <w:szCs w:val="22"/>
        </w:rPr>
        <w:t xml:space="preserve">ím kyseliny listovej v strave. </w:t>
      </w:r>
      <w:r w:rsidRPr="002E6863">
        <w:rPr>
          <w:sz w:val="22"/>
          <w:szCs w:val="22"/>
        </w:rPr>
        <w:t>U králikov bol</w:t>
      </w:r>
      <w:r w:rsidR="00DD1E01">
        <w:rPr>
          <w:sz w:val="22"/>
          <w:szCs w:val="22"/>
        </w:rPr>
        <w:t>i</w:t>
      </w:r>
      <w:r w:rsidRPr="002E6863">
        <w:rPr>
          <w:sz w:val="22"/>
          <w:szCs w:val="22"/>
        </w:rPr>
        <w:t xml:space="preserve"> pozorovan</w:t>
      </w:r>
      <w:r w:rsidR="00DD1E01">
        <w:rPr>
          <w:sz w:val="22"/>
          <w:szCs w:val="22"/>
        </w:rPr>
        <w:t>é</w:t>
      </w:r>
      <w:r w:rsidRPr="002E6863">
        <w:rPr>
          <w:sz w:val="22"/>
          <w:szCs w:val="22"/>
        </w:rPr>
        <w:t xml:space="preserve"> </w:t>
      </w:r>
      <w:r w:rsidR="00DD1E01">
        <w:rPr>
          <w:sz w:val="22"/>
          <w:szCs w:val="22"/>
        </w:rPr>
        <w:t>potraty</w:t>
      </w:r>
      <w:r w:rsidRPr="002E6863">
        <w:rPr>
          <w:sz w:val="22"/>
          <w:szCs w:val="22"/>
        </w:rPr>
        <w:t xml:space="preserve"> pri dávkach trimetoprimu vyšších ako ľudské terapeutické dávky.</w:t>
      </w:r>
    </w:p>
    <w:p w14:paraId="439BD898" w14:textId="77777777" w:rsidR="00731B12" w:rsidRPr="002E6863" w:rsidRDefault="00731B12" w:rsidP="00092470">
      <w:pPr>
        <w:numPr>
          <w:ilvl w:val="12"/>
          <w:numId w:val="0"/>
        </w:numPr>
        <w:rPr>
          <w:sz w:val="22"/>
          <w:szCs w:val="22"/>
        </w:rPr>
      </w:pPr>
    </w:p>
    <w:p w14:paraId="4CD1256C" w14:textId="77777777" w:rsidR="00731B12" w:rsidRPr="002E6863" w:rsidRDefault="00731B12" w:rsidP="002E6863">
      <w:pPr>
        <w:numPr>
          <w:ilvl w:val="12"/>
          <w:numId w:val="0"/>
        </w:numPr>
        <w:jc w:val="both"/>
        <w:rPr>
          <w:sz w:val="22"/>
          <w:szCs w:val="22"/>
        </w:rPr>
      </w:pPr>
    </w:p>
    <w:p w14:paraId="0E9570C9" w14:textId="77777777" w:rsidR="00731B12" w:rsidRPr="002E6863" w:rsidRDefault="00092470" w:rsidP="002E6863">
      <w:pPr>
        <w:tabs>
          <w:tab w:val="left" w:pos="567"/>
        </w:tabs>
        <w:jc w:val="both"/>
        <w:rPr>
          <w:b/>
          <w:sz w:val="22"/>
          <w:szCs w:val="22"/>
        </w:rPr>
      </w:pPr>
      <w:r>
        <w:rPr>
          <w:b/>
          <w:sz w:val="22"/>
          <w:szCs w:val="22"/>
        </w:rPr>
        <w:t>6.</w:t>
      </w:r>
      <w:r w:rsidR="00BE02A5" w:rsidRPr="002E6863">
        <w:rPr>
          <w:b/>
          <w:sz w:val="22"/>
          <w:szCs w:val="22"/>
        </w:rPr>
        <w:tab/>
      </w:r>
      <w:r w:rsidR="00731B12" w:rsidRPr="002E6863">
        <w:rPr>
          <w:b/>
          <w:sz w:val="22"/>
          <w:szCs w:val="22"/>
        </w:rPr>
        <w:t>FARMACEUTICKÉ INFORMÁCIE</w:t>
      </w:r>
    </w:p>
    <w:p w14:paraId="16148C9D" w14:textId="77777777" w:rsidR="00075CE7" w:rsidRPr="00BB3347" w:rsidRDefault="00075CE7" w:rsidP="002E6863">
      <w:pPr>
        <w:tabs>
          <w:tab w:val="left" w:pos="360"/>
        </w:tabs>
        <w:jc w:val="both"/>
        <w:rPr>
          <w:sz w:val="22"/>
          <w:szCs w:val="22"/>
        </w:rPr>
      </w:pPr>
    </w:p>
    <w:p w14:paraId="2D63225A" w14:textId="77777777" w:rsidR="00731B12" w:rsidRPr="002E6863" w:rsidRDefault="00BE02A5" w:rsidP="002E6863">
      <w:pPr>
        <w:tabs>
          <w:tab w:val="left" w:pos="567"/>
        </w:tabs>
        <w:jc w:val="both"/>
        <w:rPr>
          <w:b/>
          <w:sz w:val="22"/>
          <w:szCs w:val="22"/>
        </w:rPr>
      </w:pPr>
      <w:r w:rsidRPr="002E6863">
        <w:rPr>
          <w:b/>
          <w:sz w:val="22"/>
          <w:szCs w:val="22"/>
        </w:rPr>
        <w:t>6.1</w:t>
      </w:r>
      <w:r w:rsidRPr="002E6863">
        <w:rPr>
          <w:b/>
          <w:sz w:val="22"/>
          <w:szCs w:val="22"/>
        </w:rPr>
        <w:tab/>
      </w:r>
      <w:r w:rsidR="00731B12" w:rsidRPr="002E6863">
        <w:rPr>
          <w:b/>
          <w:sz w:val="22"/>
          <w:szCs w:val="22"/>
        </w:rPr>
        <w:t>Zoznam pomocných látok</w:t>
      </w:r>
    </w:p>
    <w:p w14:paraId="4F299CD4" w14:textId="77777777" w:rsidR="00BE02A5" w:rsidRPr="002E6863" w:rsidRDefault="00BE02A5" w:rsidP="002E6863">
      <w:pPr>
        <w:tabs>
          <w:tab w:val="left" w:pos="3119"/>
          <w:tab w:val="left" w:pos="4962"/>
          <w:tab w:val="left" w:pos="6804"/>
        </w:tabs>
        <w:jc w:val="both"/>
        <w:rPr>
          <w:sz w:val="22"/>
          <w:szCs w:val="22"/>
        </w:rPr>
      </w:pPr>
    </w:p>
    <w:p w14:paraId="0A724B75" w14:textId="77777777" w:rsidR="00731B12" w:rsidRPr="00787C8E" w:rsidRDefault="00731B12" w:rsidP="002E6863">
      <w:pPr>
        <w:tabs>
          <w:tab w:val="left" w:pos="3119"/>
          <w:tab w:val="left" w:pos="4962"/>
          <w:tab w:val="left" w:pos="6804"/>
        </w:tabs>
        <w:jc w:val="both"/>
        <w:rPr>
          <w:sz w:val="22"/>
          <w:szCs w:val="22"/>
        </w:rPr>
      </w:pPr>
      <w:r w:rsidRPr="00787C8E">
        <w:rPr>
          <w:sz w:val="22"/>
          <w:szCs w:val="22"/>
        </w:rPr>
        <w:t>Propyl</w:t>
      </w:r>
      <w:r w:rsidR="00AF4E8F" w:rsidRPr="00787C8E">
        <w:rPr>
          <w:sz w:val="22"/>
          <w:szCs w:val="22"/>
        </w:rPr>
        <w:t>é</w:t>
      </w:r>
      <w:r w:rsidRPr="00787C8E">
        <w:rPr>
          <w:sz w:val="22"/>
          <w:szCs w:val="22"/>
        </w:rPr>
        <w:t>ngly</w:t>
      </w:r>
      <w:r w:rsidR="00BE02A5" w:rsidRPr="00787C8E">
        <w:rPr>
          <w:sz w:val="22"/>
          <w:szCs w:val="22"/>
        </w:rPr>
        <w:t>kol</w:t>
      </w:r>
    </w:p>
    <w:p w14:paraId="5DC58432" w14:textId="77777777" w:rsidR="00731B12" w:rsidRPr="00787C8E" w:rsidRDefault="00731B12" w:rsidP="002E6863">
      <w:pPr>
        <w:tabs>
          <w:tab w:val="left" w:pos="3119"/>
          <w:tab w:val="left" w:pos="4962"/>
          <w:tab w:val="left" w:pos="6804"/>
        </w:tabs>
        <w:jc w:val="both"/>
        <w:rPr>
          <w:sz w:val="22"/>
          <w:szCs w:val="22"/>
        </w:rPr>
      </w:pPr>
      <w:r w:rsidRPr="00787C8E">
        <w:rPr>
          <w:sz w:val="22"/>
          <w:szCs w:val="22"/>
        </w:rPr>
        <w:t>Etanol 96</w:t>
      </w:r>
      <w:r w:rsidR="00EA3E23" w:rsidRPr="00787C8E">
        <w:rPr>
          <w:sz w:val="22"/>
          <w:szCs w:val="22"/>
        </w:rPr>
        <w:t> </w:t>
      </w:r>
      <w:r w:rsidRPr="00787C8E">
        <w:rPr>
          <w:sz w:val="22"/>
          <w:szCs w:val="22"/>
        </w:rPr>
        <w:t xml:space="preserve">% </w:t>
      </w:r>
    </w:p>
    <w:p w14:paraId="7D6D50F2" w14:textId="77777777" w:rsidR="00731B12" w:rsidRPr="00787C8E" w:rsidRDefault="00BE02A5" w:rsidP="002E6863">
      <w:pPr>
        <w:tabs>
          <w:tab w:val="left" w:pos="3119"/>
          <w:tab w:val="left" w:pos="4962"/>
          <w:tab w:val="left" w:pos="6804"/>
        </w:tabs>
        <w:jc w:val="both"/>
        <w:rPr>
          <w:sz w:val="22"/>
          <w:szCs w:val="22"/>
        </w:rPr>
      </w:pPr>
      <w:r w:rsidRPr="00787C8E">
        <w:rPr>
          <w:sz w:val="22"/>
          <w:szCs w:val="22"/>
        </w:rPr>
        <w:t>Benzylalkohol</w:t>
      </w:r>
    </w:p>
    <w:p w14:paraId="65C74B7F" w14:textId="77777777" w:rsidR="00731B12" w:rsidRPr="00787C8E" w:rsidRDefault="00BE02A5" w:rsidP="002E6863">
      <w:pPr>
        <w:tabs>
          <w:tab w:val="left" w:pos="3119"/>
          <w:tab w:val="left" w:pos="4962"/>
          <w:tab w:val="left" w:pos="6804"/>
        </w:tabs>
        <w:jc w:val="both"/>
        <w:rPr>
          <w:sz w:val="22"/>
          <w:szCs w:val="22"/>
        </w:rPr>
      </w:pPr>
      <w:r w:rsidRPr="00787C8E">
        <w:rPr>
          <w:sz w:val="22"/>
          <w:szCs w:val="22"/>
        </w:rPr>
        <w:t>Disiričitan sodný (E223)</w:t>
      </w:r>
    </w:p>
    <w:p w14:paraId="29A84372" w14:textId="77777777" w:rsidR="00731B12" w:rsidRPr="00787C8E" w:rsidRDefault="00BE02A5" w:rsidP="002E6863">
      <w:pPr>
        <w:tabs>
          <w:tab w:val="left" w:pos="3119"/>
          <w:tab w:val="left" w:pos="4962"/>
          <w:tab w:val="left" w:pos="6804"/>
        </w:tabs>
        <w:jc w:val="both"/>
        <w:rPr>
          <w:sz w:val="22"/>
          <w:szCs w:val="22"/>
        </w:rPr>
      </w:pPr>
      <w:r w:rsidRPr="00787C8E">
        <w:rPr>
          <w:sz w:val="22"/>
          <w:szCs w:val="22"/>
        </w:rPr>
        <w:t>Hydroxid sodný</w:t>
      </w:r>
    </w:p>
    <w:p w14:paraId="37302D01" w14:textId="77777777" w:rsidR="00BE02A5" w:rsidRPr="00787C8E" w:rsidRDefault="00BE02A5" w:rsidP="002E6863">
      <w:pPr>
        <w:tabs>
          <w:tab w:val="left" w:pos="3119"/>
          <w:tab w:val="left" w:pos="4962"/>
          <w:tab w:val="left" w:pos="6804"/>
        </w:tabs>
        <w:jc w:val="both"/>
        <w:rPr>
          <w:sz w:val="22"/>
          <w:szCs w:val="22"/>
        </w:rPr>
      </w:pPr>
      <w:r w:rsidRPr="00787C8E">
        <w:rPr>
          <w:sz w:val="22"/>
          <w:szCs w:val="22"/>
        </w:rPr>
        <w:t>Hydroxi</w:t>
      </w:r>
      <w:r w:rsidR="003A4E73" w:rsidRPr="00787C8E">
        <w:rPr>
          <w:sz w:val="22"/>
          <w:szCs w:val="22"/>
        </w:rPr>
        <w:t>d</w:t>
      </w:r>
      <w:r w:rsidRPr="00787C8E">
        <w:rPr>
          <w:sz w:val="22"/>
          <w:szCs w:val="22"/>
        </w:rPr>
        <w:t xml:space="preserve"> sodný 10</w:t>
      </w:r>
      <w:r w:rsidR="00EA3E23" w:rsidRPr="00787C8E">
        <w:rPr>
          <w:sz w:val="22"/>
          <w:szCs w:val="22"/>
        </w:rPr>
        <w:t> </w:t>
      </w:r>
      <w:r w:rsidRPr="00787C8E">
        <w:rPr>
          <w:sz w:val="22"/>
          <w:szCs w:val="22"/>
        </w:rPr>
        <w:t>% (na úpravu pH)</w:t>
      </w:r>
    </w:p>
    <w:p w14:paraId="4E3B48DE" w14:textId="77777777" w:rsidR="00731B12" w:rsidRPr="002E6863" w:rsidRDefault="00BE02A5" w:rsidP="002E6863">
      <w:pPr>
        <w:tabs>
          <w:tab w:val="left" w:pos="3119"/>
          <w:tab w:val="left" w:pos="4962"/>
          <w:tab w:val="left" w:pos="6804"/>
        </w:tabs>
        <w:jc w:val="both"/>
        <w:rPr>
          <w:sz w:val="22"/>
          <w:szCs w:val="22"/>
        </w:rPr>
      </w:pPr>
      <w:r w:rsidRPr="00787C8E">
        <w:rPr>
          <w:sz w:val="22"/>
          <w:szCs w:val="22"/>
        </w:rPr>
        <w:t>Voda na injekci</w:t>
      </w:r>
      <w:r w:rsidR="00E1776D" w:rsidRPr="00787C8E">
        <w:rPr>
          <w:sz w:val="22"/>
          <w:szCs w:val="22"/>
        </w:rPr>
        <w:t>u</w:t>
      </w:r>
    </w:p>
    <w:p w14:paraId="53674DC1" w14:textId="77777777" w:rsidR="00731B12" w:rsidRPr="002E6863" w:rsidRDefault="00731B12" w:rsidP="002E6863">
      <w:pPr>
        <w:jc w:val="both"/>
        <w:rPr>
          <w:sz w:val="22"/>
          <w:szCs w:val="22"/>
        </w:rPr>
      </w:pPr>
    </w:p>
    <w:p w14:paraId="3D1ECE8A" w14:textId="77777777" w:rsidR="00731B12" w:rsidRPr="002E6863" w:rsidRDefault="00092470" w:rsidP="002E6863">
      <w:pPr>
        <w:tabs>
          <w:tab w:val="left" w:pos="567"/>
        </w:tabs>
        <w:jc w:val="both"/>
        <w:rPr>
          <w:b/>
          <w:sz w:val="22"/>
          <w:szCs w:val="22"/>
        </w:rPr>
      </w:pPr>
      <w:r>
        <w:rPr>
          <w:b/>
          <w:sz w:val="22"/>
          <w:szCs w:val="22"/>
        </w:rPr>
        <w:t>6.2</w:t>
      </w:r>
      <w:r w:rsidR="00BE02A5" w:rsidRPr="002E6863">
        <w:rPr>
          <w:b/>
          <w:sz w:val="22"/>
          <w:szCs w:val="22"/>
        </w:rPr>
        <w:tab/>
      </w:r>
      <w:r w:rsidR="00731B12" w:rsidRPr="002E6863">
        <w:rPr>
          <w:b/>
          <w:sz w:val="22"/>
          <w:szCs w:val="22"/>
        </w:rPr>
        <w:t>Inkompatibility</w:t>
      </w:r>
    </w:p>
    <w:p w14:paraId="61E64D69" w14:textId="77777777" w:rsidR="00BE02A5" w:rsidRPr="002E6863" w:rsidRDefault="00BE02A5" w:rsidP="00092470">
      <w:pPr>
        <w:numPr>
          <w:ilvl w:val="12"/>
          <w:numId w:val="0"/>
        </w:numPr>
        <w:rPr>
          <w:sz w:val="22"/>
          <w:szCs w:val="22"/>
        </w:rPr>
      </w:pPr>
    </w:p>
    <w:p w14:paraId="5B34A7B5" w14:textId="77777777" w:rsidR="00731B12" w:rsidRPr="002E6863" w:rsidRDefault="00BE02A5" w:rsidP="00092470">
      <w:pPr>
        <w:numPr>
          <w:ilvl w:val="12"/>
          <w:numId w:val="0"/>
        </w:numPr>
        <w:rPr>
          <w:sz w:val="22"/>
          <w:szCs w:val="22"/>
        </w:rPr>
      </w:pPr>
      <w:r w:rsidRPr="002E6863">
        <w:rPr>
          <w:sz w:val="22"/>
          <w:szCs w:val="22"/>
        </w:rPr>
        <w:lastRenderedPageBreak/>
        <w:t xml:space="preserve">Pripravený infúzny roztok </w:t>
      </w:r>
      <w:r w:rsidR="00BB3347" w:rsidRPr="002E6863">
        <w:rPr>
          <w:sz w:val="22"/>
          <w:szCs w:val="22"/>
        </w:rPr>
        <w:t xml:space="preserve">BISEPTOLU </w:t>
      </w:r>
      <w:r w:rsidRPr="002E6863">
        <w:rPr>
          <w:sz w:val="22"/>
          <w:szCs w:val="22"/>
        </w:rPr>
        <w:t>480 sa nemá miešať s inými liekmi alebo infúznym</w:t>
      </w:r>
      <w:r w:rsidR="00487A90" w:rsidRPr="002E6863">
        <w:rPr>
          <w:sz w:val="22"/>
          <w:szCs w:val="22"/>
        </w:rPr>
        <w:t>i</w:t>
      </w:r>
      <w:r w:rsidRPr="002E6863">
        <w:rPr>
          <w:sz w:val="22"/>
          <w:szCs w:val="22"/>
        </w:rPr>
        <w:t xml:space="preserve"> roztokmi </w:t>
      </w:r>
      <w:r w:rsidR="003E4C2B">
        <w:rPr>
          <w:sz w:val="22"/>
          <w:szCs w:val="22"/>
        </w:rPr>
        <w:t>okrem tých, ktoré</w:t>
      </w:r>
      <w:r w:rsidRPr="002E6863">
        <w:rPr>
          <w:sz w:val="22"/>
          <w:szCs w:val="22"/>
        </w:rPr>
        <w:t xml:space="preserve"> sú uvedené v časti 6.6.</w:t>
      </w:r>
    </w:p>
    <w:p w14:paraId="0E12C08B" w14:textId="77777777" w:rsidR="00487A90" w:rsidRPr="002E6863" w:rsidRDefault="00487A90" w:rsidP="002E6863">
      <w:pPr>
        <w:numPr>
          <w:ilvl w:val="12"/>
          <w:numId w:val="0"/>
        </w:numPr>
        <w:jc w:val="both"/>
        <w:rPr>
          <w:sz w:val="22"/>
          <w:szCs w:val="22"/>
        </w:rPr>
      </w:pPr>
    </w:p>
    <w:p w14:paraId="00715CA8" w14:textId="77777777" w:rsidR="00731B12" w:rsidRPr="002E6863" w:rsidRDefault="00092470" w:rsidP="002E6863">
      <w:pPr>
        <w:numPr>
          <w:ilvl w:val="12"/>
          <w:numId w:val="0"/>
        </w:numPr>
        <w:tabs>
          <w:tab w:val="left" w:pos="567"/>
        </w:tabs>
        <w:jc w:val="both"/>
        <w:rPr>
          <w:b/>
          <w:sz w:val="22"/>
          <w:szCs w:val="22"/>
        </w:rPr>
      </w:pPr>
      <w:r>
        <w:rPr>
          <w:b/>
          <w:sz w:val="22"/>
          <w:szCs w:val="22"/>
        </w:rPr>
        <w:t>6.3</w:t>
      </w:r>
      <w:r w:rsidR="00487A90" w:rsidRPr="002E6863">
        <w:rPr>
          <w:b/>
          <w:sz w:val="22"/>
          <w:szCs w:val="22"/>
        </w:rPr>
        <w:tab/>
      </w:r>
      <w:r w:rsidR="00731B12" w:rsidRPr="002E6863">
        <w:rPr>
          <w:b/>
          <w:sz w:val="22"/>
          <w:szCs w:val="22"/>
        </w:rPr>
        <w:t>Čas použiteľnosti</w:t>
      </w:r>
    </w:p>
    <w:p w14:paraId="17FC4970" w14:textId="77777777" w:rsidR="00487A90" w:rsidRPr="002E6863" w:rsidRDefault="00487A90" w:rsidP="002E6863">
      <w:pPr>
        <w:numPr>
          <w:ilvl w:val="12"/>
          <w:numId w:val="0"/>
        </w:numPr>
        <w:jc w:val="both"/>
        <w:rPr>
          <w:sz w:val="22"/>
          <w:szCs w:val="22"/>
        </w:rPr>
      </w:pPr>
    </w:p>
    <w:p w14:paraId="449A0E34" w14:textId="77777777" w:rsidR="00731B12" w:rsidRPr="002E6863" w:rsidRDefault="00731B12" w:rsidP="002E6863">
      <w:pPr>
        <w:numPr>
          <w:ilvl w:val="12"/>
          <w:numId w:val="0"/>
        </w:numPr>
        <w:jc w:val="both"/>
        <w:rPr>
          <w:sz w:val="22"/>
          <w:szCs w:val="22"/>
        </w:rPr>
      </w:pPr>
      <w:r w:rsidRPr="002E6863">
        <w:rPr>
          <w:sz w:val="22"/>
          <w:szCs w:val="22"/>
        </w:rPr>
        <w:t>5 rokov</w:t>
      </w:r>
    </w:p>
    <w:p w14:paraId="651FAEED" w14:textId="77777777" w:rsidR="00731B12" w:rsidRPr="002E6863" w:rsidRDefault="00731B12" w:rsidP="002E6863">
      <w:pPr>
        <w:numPr>
          <w:ilvl w:val="12"/>
          <w:numId w:val="0"/>
        </w:numPr>
        <w:jc w:val="both"/>
        <w:rPr>
          <w:sz w:val="22"/>
          <w:szCs w:val="22"/>
        </w:rPr>
      </w:pPr>
    </w:p>
    <w:p w14:paraId="0B86ADF1" w14:textId="77777777" w:rsidR="00731B12" w:rsidRPr="002E6863" w:rsidRDefault="00092470" w:rsidP="002E6863">
      <w:pPr>
        <w:numPr>
          <w:ilvl w:val="12"/>
          <w:numId w:val="0"/>
        </w:numPr>
        <w:tabs>
          <w:tab w:val="left" w:pos="567"/>
        </w:tabs>
        <w:jc w:val="both"/>
        <w:rPr>
          <w:b/>
          <w:sz w:val="22"/>
          <w:szCs w:val="22"/>
        </w:rPr>
      </w:pPr>
      <w:r>
        <w:rPr>
          <w:b/>
          <w:sz w:val="22"/>
          <w:szCs w:val="22"/>
        </w:rPr>
        <w:t>6.4</w:t>
      </w:r>
      <w:r w:rsidR="00487A90" w:rsidRPr="002E6863">
        <w:rPr>
          <w:b/>
          <w:sz w:val="22"/>
          <w:szCs w:val="22"/>
        </w:rPr>
        <w:tab/>
        <w:t>Špeciálne upozornenia na uchovávanie</w:t>
      </w:r>
    </w:p>
    <w:p w14:paraId="48CBA2FC" w14:textId="77777777" w:rsidR="00487A90" w:rsidRPr="002E6863" w:rsidRDefault="00487A90" w:rsidP="002E6863">
      <w:pPr>
        <w:numPr>
          <w:ilvl w:val="12"/>
          <w:numId w:val="0"/>
        </w:numPr>
        <w:jc w:val="both"/>
        <w:rPr>
          <w:sz w:val="22"/>
          <w:szCs w:val="22"/>
        </w:rPr>
      </w:pPr>
    </w:p>
    <w:p w14:paraId="47386C5F" w14:textId="77777777" w:rsidR="00731B12" w:rsidRPr="002E6863" w:rsidRDefault="00731B12" w:rsidP="002C55AC">
      <w:pPr>
        <w:numPr>
          <w:ilvl w:val="12"/>
          <w:numId w:val="0"/>
        </w:numPr>
        <w:rPr>
          <w:sz w:val="22"/>
          <w:szCs w:val="22"/>
        </w:rPr>
      </w:pPr>
      <w:r w:rsidRPr="002E6863">
        <w:rPr>
          <w:sz w:val="22"/>
          <w:szCs w:val="22"/>
        </w:rPr>
        <w:t xml:space="preserve">Uchovávajte pri teplote do </w:t>
      </w:r>
      <w:smartTag w:uri="urn:schemas-microsoft-com:office:smarttags" w:element="metricconverter">
        <w:smartTagPr>
          <w:attr w:name="ProductID" w:val="25 ﾰC"/>
        </w:smartTagPr>
        <w:r w:rsidRPr="002E6863">
          <w:rPr>
            <w:sz w:val="22"/>
            <w:szCs w:val="22"/>
          </w:rPr>
          <w:t>25</w:t>
        </w:r>
        <w:r w:rsidR="003A4E73" w:rsidRPr="002E6863">
          <w:rPr>
            <w:sz w:val="22"/>
            <w:szCs w:val="22"/>
          </w:rPr>
          <w:t xml:space="preserve"> °</w:t>
        </w:r>
        <w:r w:rsidRPr="002E6863">
          <w:rPr>
            <w:sz w:val="22"/>
            <w:szCs w:val="22"/>
          </w:rPr>
          <w:t>C</w:t>
        </w:r>
      </w:smartTag>
      <w:r w:rsidRPr="002E6863">
        <w:rPr>
          <w:sz w:val="22"/>
          <w:szCs w:val="22"/>
        </w:rPr>
        <w:t xml:space="preserve">. </w:t>
      </w:r>
      <w:r w:rsidR="002C55AC">
        <w:rPr>
          <w:sz w:val="22"/>
          <w:szCs w:val="22"/>
        </w:rPr>
        <w:t>Ampulky uchovávajte vo vonkajšom obale na ochranu pred svetlom. Ne</w:t>
      </w:r>
      <w:r w:rsidR="003E4C2B">
        <w:rPr>
          <w:sz w:val="22"/>
          <w:szCs w:val="22"/>
        </w:rPr>
        <w:t xml:space="preserve">uchovávajte v </w:t>
      </w:r>
      <w:r w:rsidR="002C55AC">
        <w:rPr>
          <w:sz w:val="22"/>
          <w:szCs w:val="22"/>
        </w:rPr>
        <w:t>mraz</w:t>
      </w:r>
      <w:r w:rsidR="003E4C2B">
        <w:rPr>
          <w:sz w:val="22"/>
          <w:szCs w:val="22"/>
        </w:rPr>
        <w:t>ničk</w:t>
      </w:r>
      <w:r w:rsidR="002C55AC">
        <w:rPr>
          <w:sz w:val="22"/>
          <w:szCs w:val="22"/>
        </w:rPr>
        <w:t>e.</w:t>
      </w:r>
    </w:p>
    <w:p w14:paraId="5AA255A5" w14:textId="77777777" w:rsidR="00731B12" w:rsidRPr="002E6863" w:rsidRDefault="00731B12" w:rsidP="002E6863">
      <w:pPr>
        <w:numPr>
          <w:ilvl w:val="12"/>
          <w:numId w:val="0"/>
        </w:numPr>
        <w:jc w:val="both"/>
        <w:rPr>
          <w:sz w:val="22"/>
          <w:szCs w:val="22"/>
        </w:rPr>
      </w:pPr>
    </w:p>
    <w:p w14:paraId="20BC92AE" w14:textId="77777777" w:rsidR="00731B12" w:rsidRPr="002E6863" w:rsidRDefault="00487A90" w:rsidP="002E6863">
      <w:pPr>
        <w:numPr>
          <w:ilvl w:val="12"/>
          <w:numId w:val="0"/>
        </w:numPr>
        <w:tabs>
          <w:tab w:val="left" w:pos="567"/>
        </w:tabs>
        <w:jc w:val="both"/>
        <w:rPr>
          <w:b/>
          <w:sz w:val="22"/>
          <w:szCs w:val="22"/>
        </w:rPr>
      </w:pPr>
      <w:r w:rsidRPr="002E6863">
        <w:rPr>
          <w:b/>
          <w:sz w:val="22"/>
          <w:szCs w:val="22"/>
        </w:rPr>
        <w:t>6.5</w:t>
      </w:r>
      <w:r w:rsidRPr="002E6863">
        <w:rPr>
          <w:b/>
          <w:sz w:val="22"/>
          <w:szCs w:val="22"/>
        </w:rPr>
        <w:tab/>
        <w:t>Druh</w:t>
      </w:r>
      <w:r w:rsidR="00731B12" w:rsidRPr="002E6863">
        <w:rPr>
          <w:b/>
          <w:sz w:val="22"/>
          <w:szCs w:val="22"/>
        </w:rPr>
        <w:t xml:space="preserve"> obalu</w:t>
      </w:r>
      <w:r w:rsidRPr="002E6863">
        <w:rPr>
          <w:b/>
          <w:sz w:val="22"/>
          <w:szCs w:val="22"/>
        </w:rPr>
        <w:t xml:space="preserve"> a obsah balenia</w:t>
      </w:r>
    </w:p>
    <w:p w14:paraId="7D53DAB9" w14:textId="77777777" w:rsidR="00487A90" w:rsidRPr="00BB3347" w:rsidRDefault="00487A90" w:rsidP="002E6863">
      <w:pPr>
        <w:numPr>
          <w:ilvl w:val="12"/>
          <w:numId w:val="0"/>
        </w:numPr>
        <w:tabs>
          <w:tab w:val="left" w:pos="567"/>
        </w:tabs>
        <w:jc w:val="both"/>
        <w:rPr>
          <w:sz w:val="22"/>
          <w:szCs w:val="22"/>
        </w:rPr>
      </w:pPr>
    </w:p>
    <w:p w14:paraId="14FAF048" w14:textId="77777777" w:rsidR="00487A90" w:rsidRPr="002E6863" w:rsidRDefault="00487A90" w:rsidP="002E6863">
      <w:pPr>
        <w:numPr>
          <w:ilvl w:val="12"/>
          <w:numId w:val="0"/>
        </w:numPr>
        <w:jc w:val="both"/>
        <w:rPr>
          <w:sz w:val="22"/>
          <w:szCs w:val="22"/>
        </w:rPr>
      </w:pPr>
      <w:r w:rsidRPr="002E6863">
        <w:rPr>
          <w:sz w:val="22"/>
          <w:szCs w:val="22"/>
        </w:rPr>
        <w:t>Bezfarebné sklenené ampulky v kartónovej škatuľke</w:t>
      </w:r>
      <w:r w:rsidR="003A4E73" w:rsidRPr="002E6863">
        <w:rPr>
          <w:sz w:val="22"/>
          <w:szCs w:val="22"/>
        </w:rPr>
        <w:t>.</w:t>
      </w:r>
    </w:p>
    <w:p w14:paraId="79E0C468" w14:textId="77777777" w:rsidR="00731B12" w:rsidRPr="002E6863" w:rsidRDefault="00731B12" w:rsidP="002E6863">
      <w:pPr>
        <w:numPr>
          <w:ilvl w:val="12"/>
          <w:numId w:val="0"/>
        </w:numPr>
        <w:jc w:val="both"/>
        <w:rPr>
          <w:sz w:val="22"/>
          <w:szCs w:val="22"/>
        </w:rPr>
      </w:pPr>
      <w:r w:rsidRPr="002E6863">
        <w:rPr>
          <w:sz w:val="22"/>
          <w:szCs w:val="22"/>
        </w:rPr>
        <w:t>10 ampúl</w:t>
      </w:r>
      <w:r w:rsidR="00075CE7" w:rsidRPr="002E6863">
        <w:rPr>
          <w:sz w:val="22"/>
          <w:szCs w:val="22"/>
        </w:rPr>
        <w:t xml:space="preserve"> po 5 ml</w:t>
      </w:r>
      <w:r w:rsidR="005702DE" w:rsidRPr="002E6863">
        <w:rPr>
          <w:sz w:val="22"/>
          <w:szCs w:val="22"/>
        </w:rPr>
        <w:t>.</w:t>
      </w:r>
    </w:p>
    <w:p w14:paraId="3EDBCA35" w14:textId="77777777" w:rsidR="00731B12" w:rsidRPr="002E6863" w:rsidRDefault="00731B12" w:rsidP="002E6863">
      <w:pPr>
        <w:numPr>
          <w:ilvl w:val="12"/>
          <w:numId w:val="0"/>
        </w:numPr>
        <w:jc w:val="both"/>
        <w:rPr>
          <w:sz w:val="22"/>
          <w:szCs w:val="22"/>
        </w:rPr>
      </w:pPr>
    </w:p>
    <w:p w14:paraId="10E939FC" w14:textId="77777777" w:rsidR="00731B12" w:rsidRPr="002E6863" w:rsidRDefault="00487A90" w:rsidP="002E6863">
      <w:pPr>
        <w:numPr>
          <w:ilvl w:val="12"/>
          <w:numId w:val="0"/>
        </w:numPr>
        <w:tabs>
          <w:tab w:val="left" w:pos="567"/>
        </w:tabs>
        <w:jc w:val="both"/>
        <w:rPr>
          <w:b/>
          <w:sz w:val="22"/>
          <w:szCs w:val="22"/>
        </w:rPr>
      </w:pPr>
      <w:r w:rsidRPr="002E6863">
        <w:rPr>
          <w:b/>
          <w:sz w:val="22"/>
          <w:szCs w:val="22"/>
        </w:rPr>
        <w:t>6.6</w:t>
      </w:r>
      <w:r w:rsidRPr="002E6863">
        <w:rPr>
          <w:b/>
          <w:sz w:val="22"/>
          <w:szCs w:val="22"/>
        </w:rPr>
        <w:tab/>
        <w:t>Špeciálne opatrenia na likvidáciu a iné</w:t>
      </w:r>
      <w:r w:rsidR="00731B12" w:rsidRPr="002E6863">
        <w:rPr>
          <w:b/>
          <w:sz w:val="22"/>
          <w:szCs w:val="22"/>
        </w:rPr>
        <w:t> zaobchádzani</w:t>
      </w:r>
      <w:r w:rsidRPr="002E6863">
        <w:rPr>
          <w:b/>
          <w:sz w:val="22"/>
          <w:szCs w:val="22"/>
        </w:rPr>
        <w:t>e</w:t>
      </w:r>
      <w:r w:rsidR="00731B12" w:rsidRPr="002E6863">
        <w:rPr>
          <w:b/>
          <w:sz w:val="22"/>
          <w:szCs w:val="22"/>
        </w:rPr>
        <w:t xml:space="preserve"> s liekom</w:t>
      </w:r>
    </w:p>
    <w:p w14:paraId="5E622D25" w14:textId="77777777" w:rsidR="00487A90" w:rsidRPr="002E6863" w:rsidRDefault="00487A90" w:rsidP="002E6863">
      <w:pPr>
        <w:numPr>
          <w:ilvl w:val="12"/>
          <w:numId w:val="0"/>
        </w:numPr>
        <w:jc w:val="both"/>
        <w:rPr>
          <w:sz w:val="22"/>
          <w:szCs w:val="22"/>
        </w:rPr>
      </w:pPr>
    </w:p>
    <w:p w14:paraId="776AD1E9" w14:textId="77777777" w:rsidR="009705DE" w:rsidRPr="002E6863" w:rsidRDefault="00BB3347" w:rsidP="00092470">
      <w:pPr>
        <w:numPr>
          <w:ilvl w:val="12"/>
          <w:numId w:val="0"/>
        </w:numPr>
        <w:rPr>
          <w:sz w:val="22"/>
          <w:szCs w:val="22"/>
        </w:rPr>
      </w:pPr>
      <w:r w:rsidRPr="002E6863">
        <w:rPr>
          <w:sz w:val="22"/>
          <w:szCs w:val="22"/>
        </w:rPr>
        <w:t>BISEPTOL</w:t>
      </w:r>
      <w:r w:rsidR="00487A90" w:rsidRPr="002E6863">
        <w:rPr>
          <w:sz w:val="22"/>
          <w:szCs w:val="22"/>
        </w:rPr>
        <w:t xml:space="preserve"> 480, koncentrát na infúzny roztok, je určený len na intravenózne použitie a</w:t>
      </w:r>
      <w:r w:rsidR="003A4E73" w:rsidRPr="002E6863">
        <w:rPr>
          <w:sz w:val="22"/>
          <w:szCs w:val="22"/>
        </w:rPr>
        <w:t xml:space="preserve"> </w:t>
      </w:r>
      <w:r w:rsidR="00487A90" w:rsidRPr="002E6863">
        <w:rPr>
          <w:sz w:val="22"/>
          <w:szCs w:val="22"/>
        </w:rPr>
        <w:t xml:space="preserve">pred podávaním sa musí riediť. </w:t>
      </w:r>
    </w:p>
    <w:p w14:paraId="5803BFF2" w14:textId="77777777" w:rsidR="009705DE" w:rsidRPr="002E6863" w:rsidRDefault="009705DE" w:rsidP="00092470">
      <w:pPr>
        <w:numPr>
          <w:ilvl w:val="12"/>
          <w:numId w:val="0"/>
        </w:numPr>
        <w:rPr>
          <w:sz w:val="22"/>
          <w:szCs w:val="22"/>
        </w:rPr>
      </w:pPr>
    </w:p>
    <w:p w14:paraId="22E77AC3" w14:textId="77777777" w:rsidR="00731B12" w:rsidRPr="002E6863" w:rsidRDefault="00BB3347" w:rsidP="00092470">
      <w:pPr>
        <w:numPr>
          <w:ilvl w:val="12"/>
          <w:numId w:val="0"/>
        </w:numPr>
        <w:rPr>
          <w:sz w:val="22"/>
          <w:szCs w:val="22"/>
        </w:rPr>
      </w:pPr>
      <w:r w:rsidRPr="002E6863">
        <w:rPr>
          <w:sz w:val="22"/>
          <w:szCs w:val="22"/>
        </w:rPr>
        <w:t xml:space="preserve">BISEPTOL </w:t>
      </w:r>
      <w:r w:rsidR="00487A90" w:rsidRPr="002E6863">
        <w:rPr>
          <w:sz w:val="22"/>
          <w:szCs w:val="22"/>
        </w:rPr>
        <w:t xml:space="preserve">480 musí byť riedený bezprostredne pred použitím. Po pridaní lieku </w:t>
      </w:r>
      <w:r w:rsidRPr="002E6863">
        <w:rPr>
          <w:sz w:val="22"/>
          <w:szCs w:val="22"/>
        </w:rPr>
        <w:t>BISEPTOL</w:t>
      </w:r>
      <w:r w:rsidR="00487A90" w:rsidRPr="002E6863">
        <w:rPr>
          <w:sz w:val="22"/>
          <w:szCs w:val="22"/>
        </w:rPr>
        <w:t xml:space="preserve"> 480 k infúznemu roztoku pripravenú zmes dôkladné pretrepte, aby ste zaistili úplné premiešanie.</w:t>
      </w:r>
      <w:r w:rsidR="00E75B9F" w:rsidRPr="002E6863">
        <w:rPr>
          <w:sz w:val="22"/>
          <w:szCs w:val="22"/>
        </w:rPr>
        <w:t xml:space="preserve"> </w:t>
      </w:r>
      <w:r w:rsidR="00487A90" w:rsidRPr="002E6863">
        <w:rPr>
          <w:sz w:val="22"/>
          <w:szCs w:val="22"/>
        </w:rPr>
        <w:t xml:space="preserve">Ak sa pred infúziou alebo počas nej objaví viditeľný zákal alebo kryštalizácia, zmes sa má zlikvidovať a má sa pripraviť nová. </w:t>
      </w:r>
    </w:p>
    <w:p w14:paraId="255D4822" w14:textId="77777777" w:rsidR="00096ABF" w:rsidRPr="002E6863" w:rsidRDefault="00096ABF" w:rsidP="00092470">
      <w:pPr>
        <w:numPr>
          <w:ilvl w:val="12"/>
          <w:numId w:val="0"/>
        </w:numPr>
        <w:rPr>
          <w:sz w:val="22"/>
          <w:szCs w:val="22"/>
        </w:rPr>
      </w:pPr>
    </w:p>
    <w:p w14:paraId="06A50A29" w14:textId="77777777" w:rsidR="00731B12" w:rsidRPr="002E6863" w:rsidRDefault="00BB3347" w:rsidP="00092470">
      <w:pPr>
        <w:numPr>
          <w:ilvl w:val="12"/>
          <w:numId w:val="0"/>
        </w:numPr>
        <w:rPr>
          <w:sz w:val="22"/>
          <w:szCs w:val="22"/>
        </w:rPr>
      </w:pPr>
      <w:r w:rsidRPr="002E6863">
        <w:rPr>
          <w:sz w:val="22"/>
          <w:szCs w:val="22"/>
        </w:rPr>
        <w:t>BISEPTOL</w:t>
      </w:r>
      <w:r w:rsidR="00487A90" w:rsidRPr="002E6863">
        <w:rPr>
          <w:sz w:val="22"/>
          <w:szCs w:val="22"/>
        </w:rPr>
        <w:t xml:space="preserve"> 480 je odporúčané </w:t>
      </w:r>
      <w:r w:rsidR="00731B12" w:rsidRPr="002E6863">
        <w:rPr>
          <w:sz w:val="22"/>
          <w:szCs w:val="22"/>
        </w:rPr>
        <w:t>ried</w:t>
      </w:r>
      <w:r w:rsidR="00487A90" w:rsidRPr="002E6863">
        <w:rPr>
          <w:sz w:val="22"/>
          <w:szCs w:val="22"/>
        </w:rPr>
        <w:t>iť</w:t>
      </w:r>
      <w:r w:rsidR="00731B12" w:rsidRPr="002E6863">
        <w:rPr>
          <w:sz w:val="22"/>
          <w:szCs w:val="22"/>
        </w:rPr>
        <w:t xml:space="preserve"> </w:t>
      </w:r>
      <w:r w:rsidR="005D792F" w:rsidRPr="002E6863">
        <w:rPr>
          <w:sz w:val="22"/>
          <w:szCs w:val="22"/>
        </w:rPr>
        <w:t xml:space="preserve">podľa </w:t>
      </w:r>
      <w:r w:rsidR="00731B12" w:rsidRPr="002E6863">
        <w:rPr>
          <w:sz w:val="22"/>
          <w:szCs w:val="22"/>
        </w:rPr>
        <w:t>nasledujúci</w:t>
      </w:r>
      <w:r w:rsidR="005D792F" w:rsidRPr="002E6863">
        <w:rPr>
          <w:sz w:val="22"/>
          <w:szCs w:val="22"/>
        </w:rPr>
        <w:t>ch</w:t>
      </w:r>
      <w:r w:rsidR="00731B12" w:rsidRPr="002E6863">
        <w:rPr>
          <w:sz w:val="22"/>
          <w:szCs w:val="22"/>
        </w:rPr>
        <w:t xml:space="preserve"> </w:t>
      </w:r>
      <w:r w:rsidR="005D792F" w:rsidRPr="002E6863">
        <w:rPr>
          <w:sz w:val="22"/>
          <w:szCs w:val="22"/>
        </w:rPr>
        <w:t>schém</w:t>
      </w:r>
      <w:r w:rsidR="00731B12" w:rsidRPr="002E6863">
        <w:rPr>
          <w:sz w:val="22"/>
          <w:szCs w:val="22"/>
        </w:rPr>
        <w:t>:</w:t>
      </w:r>
    </w:p>
    <w:p w14:paraId="04837727" w14:textId="77777777" w:rsidR="00731B12" w:rsidRPr="002E6863" w:rsidRDefault="00731B12" w:rsidP="00092470">
      <w:pPr>
        <w:numPr>
          <w:ilvl w:val="0"/>
          <w:numId w:val="8"/>
        </w:numPr>
        <w:ind w:left="426"/>
        <w:rPr>
          <w:sz w:val="22"/>
          <w:szCs w:val="22"/>
        </w:rPr>
      </w:pPr>
      <w:r w:rsidRPr="002E6863">
        <w:rPr>
          <w:sz w:val="22"/>
          <w:szCs w:val="22"/>
        </w:rPr>
        <w:t>1 ampul</w:t>
      </w:r>
      <w:r w:rsidR="005D792F" w:rsidRPr="002E6863">
        <w:rPr>
          <w:sz w:val="22"/>
          <w:szCs w:val="22"/>
        </w:rPr>
        <w:t>k</w:t>
      </w:r>
      <w:r w:rsidRPr="002E6863">
        <w:rPr>
          <w:sz w:val="22"/>
          <w:szCs w:val="22"/>
        </w:rPr>
        <w:t xml:space="preserve">a (5 ml) </w:t>
      </w:r>
      <w:r w:rsidR="00272985" w:rsidRPr="002E6863">
        <w:rPr>
          <w:sz w:val="22"/>
          <w:szCs w:val="22"/>
        </w:rPr>
        <w:t xml:space="preserve">BISEPTOLU </w:t>
      </w:r>
      <w:r w:rsidR="005D792F" w:rsidRPr="002E6863">
        <w:rPr>
          <w:sz w:val="22"/>
          <w:szCs w:val="22"/>
        </w:rPr>
        <w:t xml:space="preserve">480 </w:t>
      </w:r>
      <w:r w:rsidRPr="002E6863">
        <w:rPr>
          <w:sz w:val="22"/>
          <w:szCs w:val="22"/>
        </w:rPr>
        <w:t xml:space="preserve">v 125 ml </w:t>
      </w:r>
      <w:r w:rsidR="005D792F" w:rsidRPr="002E6863">
        <w:rPr>
          <w:sz w:val="22"/>
          <w:szCs w:val="22"/>
        </w:rPr>
        <w:t xml:space="preserve">infúzneho </w:t>
      </w:r>
      <w:r w:rsidRPr="002E6863">
        <w:rPr>
          <w:sz w:val="22"/>
          <w:szCs w:val="22"/>
        </w:rPr>
        <w:t>roztoku</w:t>
      </w:r>
    </w:p>
    <w:p w14:paraId="427EC5BF" w14:textId="77777777" w:rsidR="00731B12" w:rsidRPr="002E6863" w:rsidRDefault="00731B12" w:rsidP="00092470">
      <w:pPr>
        <w:numPr>
          <w:ilvl w:val="0"/>
          <w:numId w:val="8"/>
        </w:numPr>
        <w:ind w:left="426"/>
        <w:rPr>
          <w:sz w:val="22"/>
          <w:szCs w:val="22"/>
        </w:rPr>
      </w:pPr>
      <w:r w:rsidRPr="002E6863">
        <w:rPr>
          <w:sz w:val="22"/>
          <w:szCs w:val="22"/>
        </w:rPr>
        <w:t>2 ampul</w:t>
      </w:r>
      <w:r w:rsidR="005D792F" w:rsidRPr="002E6863">
        <w:rPr>
          <w:sz w:val="22"/>
          <w:szCs w:val="22"/>
        </w:rPr>
        <w:t>k</w:t>
      </w:r>
      <w:r w:rsidRPr="002E6863">
        <w:rPr>
          <w:sz w:val="22"/>
          <w:szCs w:val="22"/>
        </w:rPr>
        <w:t>y (10 m</w:t>
      </w:r>
      <w:r w:rsidR="005D792F" w:rsidRPr="002E6863">
        <w:rPr>
          <w:sz w:val="22"/>
          <w:szCs w:val="22"/>
        </w:rPr>
        <w:t>l</w:t>
      </w:r>
      <w:r w:rsidRPr="002E6863">
        <w:rPr>
          <w:sz w:val="22"/>
          <w:szCs w:val="22"/>
        </w:rPr>
        <w:t xml:space="preserve">) </w:t>
      </w:r>
      <w:r w:rsidR="00272985" w:rsidRPr="002E6863">
        <w:rPr>
          <w:sz w:val="22"/>
          <w:szCs w:val="22"/>
        </w:rPr>
        <w:t>BISEPTOLU</w:t>
      </w:r>
      <w:r w:rsidR="005D792F" w:rsidRPr="002E6863">
        <w:rPr>
          <w:sz w:val="22"/>
          <w:szCs w:val="22"/>
        </w:rPr>
        <w:t xml:space="preserve"> 480 </w:t>
      </w:r>
      <w:r w:rsidRPr="002E6863">
        <w:rPr>
          <w:sz w:val="22"/>
          <w:szCs w:val="22"/>
        </w:rPr>
        <w:t xml:space="preserve">v 250 ml </w:t>
      </w:r>
      <w:r w:rsidR="005D792F" w:rsidRPr="002E6863">
        <w:rPr>
          <w:sz w:val="22"/>
          <w:szCs w:val="22"/>
        </w:rPr>
        <w:t xml:space="preserve">infúzneho </w:t>
      </w:r>
      <w:r w:rsidRPr="002E6863">
        <w:rPr>
          <w:sz w:val="22"/>
          <w:szCs w:val="22"/>
        </w:rPr>
        <w:t>roztoku</w:t>
      </w:r>
    </w:p>
    <w:p w14:paraId="1474FB2B" w14:textId="77777777" w:rsidR="005D792F" w:rsidRPr="002E6863" w:rsidRDefault="005D792F" w:rsidP="00092470">
      <w:pPr>
        <w:numPr>
          <w:ilvl w:val="0"/>
          <w:numId w:val="8"/>
        </w:numPr>
        <w:ind w:left="426"/>
        <w:rPr>
          <w:sz w:val="22"/>
          <w:szCs w:val="22"/>
        </w:rPr>
      </w:pPr>
      <w:r w:rsidRPr="002E6863">
        <w:rPr>
          <w:sz w:val="22"/>
          <w:szCs w:val="22"/>
        </w:rPr>
        <w:t xml:space="preserve">3 ampulky (15 ml) </w:t>
      </w:r>
      <w:r w:rsidR="00272985" w:rsidRPr="002E6863">
        <w:rPr>
          <w:sz w:val="22"/>
          <w:szCs w:val="22"/>
        </w:rPr>
        <w:t xml:space="preserve">BISEPTOLU 480 </w:t>
      </w:r>
      <w:r w:rsidRPr="002E6863">
        <w:rPr>
          <w:sz w:val="22"/>
          <w:szCs w:val="22"/>
        </w:rPr>
        <w:t>v 500 ml infúzneho roztoku</w:t>
      </w:r>
    </w:p>
    <w:p w14:paraId="66D45EBC" w14:textId="77777777" w:rsidR="00096ABF" w:rsidRPr="002E6863" w:rsidRDefault="00096ABF" w:rsidP="00092470">
      <w:pPr>
        <w:numPr>
          <w:ilvl w:val="12"/>
          <w:numId w:val="0"/>
        </w:numPr>
        <w:rPr>
          <w:sz w:val="22"/>
          <w:szCs w:val="22"/>
        </w:rPr>
      </w:pPr>
    </w:p>
    <w:p w14:paraId="7C434263" w14:textId="77777777" w:rsidR="00731B12" w:rsidRPr="002E6863" w:rsidRDefault="005D792F" w:rsidP="00092470">
      <w:pPr>
        <w:numPr>
          <w:ilvl w:val="12"/>
          <w:numId w:val="0"/>
        </w:numPr>
        <w:rPr>
          <w:sz w:val="22"/>
          <w:szCs w:val="22"/>
        </w:rPr>
      </w:pPr>
      <w:r w:rsidRPr="002E6863">
        <w:rPr>
          <w:sz w:val="22"/>
          <w:szCs w:val="22"/>
        </w:rPr>
        <w:t xml:space="preserve">Na zriedenie lieku </w:t>
      </w:r>
      <w:r w:rsidR="00BB3347" w:rsidRPr="002E6863">
        <w:rPr>
          <w:sz w:val="22"/>
          <w:szCs w:val="22"/>
        </w:rPr>
        <w:t>BISEP</w:t>
      </w:r>
      <w:bookmarkStart w:id="8" w:name="_GoBack"/>
      <w:bookmarkEnd w:id="8"/>
      <w:r w:rsidR="00BB3347" w:rsidRPr="002E6863">
        <w:rPr>
          <w:sz w:val="22"/>
          <w:szCs w:val="22"/>
        </w:rPr>
        <w:t xml:space="preserve">TOL </w:t>
      </w:r>
      <w:r w:rsidRPr="002E6863">
        <w:rPr>
          <w:sz w:val="22"/>
          <w:szCs w:val="22"/>
        </w:rPr>
        <w:t>480 je povolené použiť</w:t>
      </w:r>
      <w:r w:rsidR="00731B12" w:rsidRPr="002E6863">
        <w:rPr>
          <w:sz w:val="22"/>
          <w:szCs w:val="22"/>
        </w:rPr>
        <w:t xml:space="preserve"> nasledujúce roztoky:</w:t>
      </w:r>
    </w:p>
    <w:p w14:paraId="3B56C5FA" w14:textId="77777777" w:rsidR="00731B12" w:rsidRPr="002E6863" w:rsidRDefault="00731B12" w:rsidP="00092470">
      <w:pPr>
        <w:numPr>
          <w:ilvl w:val="0"/>
          <w:numId w:val="7"/>
        </w:numPr>
        <w:ind w:left="426"/>
        <w:rPr>
          <w:sz w:val="22"/>
          <w:szCs w:val="22"/>
        </w:rPr>
      </w:pPr>
      <w:r w:rsidRPr="002E6863">
        <w:rPr>
          <w:sz w:val="22"/>
          <w:szCs w:val="22"/>
        </w:rPr>
        <w:t>5</w:t>
      </w:r>
      <w:r w:rsidR="00EA3E23" w:rsidRPr="002E6863">
        <w:rPr>
          <w:sz w:val="22"/>
          <w:szCs w:val="22"/>
        </w:rPr>
        <w:t> </w:t>
      </w:r>
      <w:r w:rsidRPr="002E6863">
        <w:rPr>
          <w:sz w:val="22"/>
          <w:szCs w:val="22"/>
        </w:rPr>
        <w:t>% a</w:t>
      </w:r>
      <w:r w:rsidR="00EA3E23" w:rsidRPr="002E6863">
        <w:rPr>
          <w:sz w:val="22"/>
          <w:szCs w:val="22"/>
        </w:rPr>
        <w:t> </w:t>
      </w:r>
      <w:r w:rsidRPr="002E6863">
        <w:rPr>
          <w:sz w:val="22"/>
          <w:szCs w:val="22"/>
        </w:rPr>
        <w:t>10</w:t>
      </w:r>
      <w:r w:rsidR="00EA3E23" w:rsidRPr="002E6863">
        <w:rPr>
          <w:sz w:val="22"/>
          <w:szCs w:val="22"/>
        </w:rPr>
        <w:t> </w:t>
      </w:r>
      <w:r w:rsidRPr="002E6863">
        <w:rPr>
          <w:sz w:val="22"/>
          <w:szCs w:val="22"/>
        </w:rPr>
        <w:t>% roztok glukózy</w:t>
      </w:r>
    </w:p>
    <w:p w14:paraId="0AF5E4F6" w14:textId="77777777" w:rsidR="00731B12" w:rsidRPr="002E6863" w:rsidRDefault="00731B12" w:rsidP="00092470">
      <w:pPr>
        <w:numPr>
          <w:ilvl w:val="0"/>
          <w:numId w:val="7"/>
        </w:numPr>
        <w:ind w:left="426"/>
        <w:rPr>
          <w:sz w:val="22"/>
          <w:szCs w:val="22"/>
        </w:rPr>
      </w:pPr>
      <w:r w:rsidRPr="002E6863">
        <w:rPr>
          <w:sz w:val="22"/>
          <w:szCs w:val="22"/>
        </w:rPr>
        <w:t>0,9</w:t>
      </w:r>
      <w:r w:rsidR="00EA3E23" w:rsidRPr="002E6863">
        <w:rPr>
          <w:sz w:val="22"/>
          <w:szCs w:val="22"/>
        </w:rPr>
        <w:t> </w:t>
      </w:r>
      <w:r w:rsidRPr="002E6863">
        <w:rPr>
          <w:sz w:val="22"/>
          <w:szCs w:val="22"/>
        </w:rPr>
        <w:t xml:space="preserve">% roztok chloridu sodného </w:t>
      </w:r>
    </w:p>
    <w:p w14:paraId="165D5C61" w14:textId="77777777" w:rsidR="00731B12" w:rsidRPr="002E6863" w:rsidRDefault="00731B12" w:rsidP="002E6863">
      <w:pPr>
        <w:numPr>
          <w:ilvl w:val="0"/>
          <w:numId w:val="7"/>
        </w:numPr>
        <w:ind w:left="426"/>
        <w:jc w:val="both"/>
        <w:rPr>
          <w:sz w:val="22"/>
          <w:szCs w:val="22"/>
        </w:rPr>
      </w:pPr>
      <w:r w:rsidRPr="002E6863">
        <w:rPr>
          <w:sz w:val="22"/>
          <w:szCs w:val="22"/>
        </w:rPr>
        <w:t xml:space="preserve">Ringerov roztok </w:t>
      </w:r>
    </w:p>
    <w:p w14:paraId="16ADB2C2" w14:textId="77777777" w:rsidR="00731B12" w:rsidRPr="002E6863" w:rsidRDefault="00731B12" w:rsidP="00BB3347">
      <w:pPr>
        <w:numPr>
          <w:ilvl w:val="0"/>
          <w:numId w:val="7"/>
        </w:numPr>
        <w:ind w:left="426"/>
        <w:rPr>
          <w:sz w:val="22"/>
          <w:szCs w:val="22"/>
        </w:rPr>
      </w:pPr>
      <w:r w:rsidRPr="002E6863">
        <w:rPr>
          <w:sz w:val="22"/>
          <w:szCs w:val="22"/>
        </w:rPr>
        <w:t>0,45</w:t>
      </w:r>
      <w:r w:rsidR="00EA3E23" w:rsidRPr="002E6863">
        <w:rPr>
          <w:sz w:val="22"/>
          <w:szCs w:val="22"/>
        </w:rPr>
        <w:t> </w:t>
      </w:r>
      <w:r w:rsidRPr="002E6863">
        <w:rPr>
          <w:sz w:val="22"/>
          <w:szCs w:val="22"/>
        </w:rPr>
        <w:t>% roztok chloridu sodného s 2,5</w:t>
      </w:r>
      <w:r w:rsidR="00EA3E23" w:rsidRPr="002E6863">
        <w:rPr>
          <w:sz w:val="22"/>
          <w:szCs w:val="22"/>
        </w:rPr>
        <w:t> </w:t>
      </w:r>
      <w:r w:rsidRPr="002E6863">
        <w:rPr>
          <w:sz w:val="22"/>
          <w:szCs w:val="22"/>
        </w:rPr>
        <w:t>% roztokom glukózy</w:t>
      </w:r>
    </w:p>
    <w:p w14:paraId="20AF74D3" w14:textId="77777777" w:rsidR="003A4E73" w:rsidRPr="002E6863" w:rsidRDefault="003A4E73" w:rsidP="00BB3347">
      <w:pPr>
        <w:numPr>
          <w:ilvl w:val="12"/>
          <w:numId w:val="0"/>
        </w:numPr>
        <w:rPr>
          <w:sz w:val="22"/>
          <w:szCs w:val="22"/>
        </w:rPr>
      </w:pPr>
    </w:p>
    <w:p w14:paraId="06218CE9" w14:textId="77777777" w:rsidR="00731B12" w:rsidRPr="002E6863" w:rsidRDefault="005D792F" w:rsidP="00BB3347">
      <w:pPr>
        <w:numPr>
          <w:ilvl w:val="12"/>
          <w:numId w:val="0"/>
        </w:numPr>
        <w:rPr>
          <w:sz w:val="22"/>
          <w:szCs w:val="22"/>
        </w:rPr>
      </w:pPr>
      <w:r w:rsidRPr="002E6863">
        <w:rPr>
          <w:sz w:val="22"/>
          <w:szCs w:val="22"/>
        </w:rPr>
        <w:t xml:space="preserve">Pripravený roztok </w:t>
      </w:r>
      <w:r w:rsidR="00BB3347" w:rsidRPr="002E6863">
        <w:rPr>
          <w:sz w:val="22"/>
          <w:szCs w:val="22"/>
        </w:rPr>
        <w:t>BISEPTOLU</w:t>
      </w:r>
      <w:r w:rsidRPr="002E6863">
        <w:rPr>
          <w:sz w:val="22"/>
          <w:szCs w:val="22"/>
        </w:rPr>
        <w:t xml:space="preserve"> 480 sa nemá miešať s inými liekmi alebo inými infúznymi roztokmi než sú uvedené vyššie. </w:t>
      </w:r>
    </w:p>
    <w:p w14:paraId="50277A58" w14:textId="77777777" w:rsidR="000633E7" w:rsidRPr="002E6863" w:rsidRDefault="000633E7" w:rsidP="002E6863">
      <w:pPr>
        <w:numPr>
          <w:ilvl w:val="12"/>
          <w:numId w:val="0"/>
        </w:numPr>
        <w:jc w:val="both"/>
        <w:rPr>
          <w:sz w:val="22"/>
          <w:szCs w:val="22"/>
        </w:rPr>
      </w:pPr>
    </w:p>
    <w:p w14:paraId="158D688C" w14:textId="77777777" w:rsidR="005D792F" w:rsidRPr="002E6863" w:rsidRDefault="003A4E73" w:rsidP="00BB3347">
      <w:pPr>
        <w:numPr>
          <w:ilvl w:val="12"/>
          <w:numId w:val="0"/>
        </w:numPr>
        <w:rPr>
          <w:sz w:val="22"/>
          <w:szCs w:val="22"/>
        </w:rPr>
      </w:pPr>
      <w:r w:rsidRPr="002E6863">
        <w:rPr>
          <w:sz w:val="22"/>
          <w:szCs w:val="22"/>
        </w:rPr>
        <w:t>Dĺžka</w:t>
      </w:r>
      <w:r w:rsidR="005D792F" w:rsidRPr="002E6863">
        <w:rPr>
          <w:sz w:val="22"/>
          <w:szCs w:val="22"/>
        </w:rPr>
        <w:t xml:space="preserve"> trvania infúzie má byť približne 60 až 90 minút, ale </w:t>
      </w:r>
      <w:r w:rsidR="00EA0903" w:rsidRPr="002E6863">
        <w:rPr>
          <w:sz w:val="22"/>
          <w:szCs w:val="22"/>
        </w:rPr>
        <w:t>odvisí</w:t>
      </w:r>
      <w:r w:rsidR="005D792F" w:rsidRPr="002E6863">
        <w:rPr>
          <w:sz w:val="22"/>
          <w:szCs w:val="22"/>
        </w:rPr>
        <w:t xml:space="preserve"> </w:t>
      </w:r>
      <w:r w:rsidR="00092470">
        <w:rPr>
          <w:sz w:val="22"/>
          <w:szCs w:val="22"/>
        </w:rPr>
        <w:t>od hladiny hydratácie pacienta.</w:t>
      </w:r>
    </w:p>
    <w:p w14:paraId="6CF08FE2" w14:textId="77777777" w:rsidR="000633E7" w:rsidRPr="002E6863" w:rsidRDefault="000633E7" w:rsidP="00BB3347">
      <w:pPr>
        <w:numPr>
          <w:ilvl w:val="12"/>
          <w:numId w:val="0"/>
        </w:numPr>
        <w:rPr>
          <w:sz w:val="22"/>
          <w:szCs w:val="22"/>
        </w:rPr>
      </w:pPr>
    </w:p>
    <w:p w14:paraId="63CCC6D0" w14:textId="77777777" w:rsidR="00731B12" w:rsidRPr="002E6863" w:rsidRDefault="005D792F" w:rsidP="00BB3347">
      <w:pPr>
        <w:numPr>
          <w:ilvl w:val="12"/>
          <w:numId w:val="0"/>
        </w:numPr>
        <w:rPr>
          <w:sz w:val="22"/>
          <w:szCs w:val="22"/>
        </w:rPr>
      </w:pPr>
      <w:r w:rsidRPr="002E6863">
        <w:rPr>
          <w:sz w:val="22"/>
          <w:szCs w:val="22"/>
        </w:rPr>
        <w:t xml:space="preserve">Ak je potrebné obmedziť tekutiny, je povolené </w:t>
      </w:r>
      <w:r w:rsidR="00731B12" w:rsidRPr="002E6863">
        <w:rPr>
          <w:sz w:val="22"/>
          <w:szCs w:val="22"/>
        </w:rPr>
        <w:t>použitie vyšš</w:t>
      </w:r>
      <w:r w:rsidRPr="002E6863">
        <w:rPr>
          <w:sz w:val="22"/>
          <w:szCs w:val="22"/>
        </w:rPr>
        <w:t>ej</w:t>
      </w:r>
      <w:r w:rsidR="00731B12" w:rsidRPr="002E6863">
        <w:rPr>
          <w:sz w:val="22"/>
          <w:szCs w:val="22"/>
        </w:rPr>
        <w:t xml:space="preserve"> koncentráci</w:t>
      </w:r>
      <w:r w:rsidRPr="002E6863">
        <w:rPr>
          <w:sz w:val="22"/>
          <w:szCs w:val="22"/>
        </w:rPr>
        <w:t>e</w:t>
      </w:r>
      <w:r w:rsidR="00731B12" w:rsidRPr="002E6863">
        <w:rPr>
          <w:sz w:val="22"/>
          <w:szCs w:val="22"/>
        </w:rPr>
        <w:t xml:space="preserve"> </w:t>
      </w:r>
      <w:r w:rsidRPr="002E6863">
        <w:rPr>
          <w:sz w:val="22"/>
          <w:szCs w:val="22"/>
        </w:rPr>
        <w:t>k</w:t>
      </w:r>
      <w:r w:rsidR="00731B12" w:rsidRPr="002E6863">
        <w:rPr>
          <w:sz w:val="22"/>
          <w:szCs w:val="22"/>
        </w:rPr>
        <w:t>otrimoxazolu – 5 ml v</w:t>
      </w:r>
      <w:r w:rsidR="005678FB" w:rsidRPr="002E6863">
        <w:rPr>
          <w:sz w:val="22"/>
          <w:szCs w:val="22"/>
        </w:rPr>
        <w:t> </w:t>
      </w:r>
      <w:r w:rsidR="00731B12" w:rsidRPr="002E6863">
        <w:rPr>
          <w:sz w:val="22"/>
          <w:szCs w:val="22"/>
        </w:rPr>
        <w:t>75</w:t>
      </w:r>
      <w:r w:rsidR="005678FB" w:rsidRPr="002E6863">
        <w:rPr>
          <w:sz w:val="22"/>
          <w:szCs w:val="22"/>
        </w:rPr>
        <w:t> </w:t>
      </w:r>
      <w:r w:rsidR="00731B12" w:rsidRPr="002E6863">
        <w:rPr>
          <w:sz w:val="22"/>
          <w:szCs w:val="22"/>
        </w:rPr>
        <w:t>ml 5</w:t>
      </w:r>
      <w:r w:rsidR="00EA3E23" w:rsidRPr="002E6863">
        <w:rPr>
          <w:sz w:val="22"/>
          <w:szCs w:val="22"/>
        </w:rPr>
        <w:t> </w:t>
      </w:r>
      <w:r w:rsidR="00731B12" w:rsidRPr="002E6863">
        <w:rPr>
          <w:sz w:val="22"/>
          <w:szCs w:val="22"/>
        </w:rPr>
        <w:t>% glukózy.</w:t>
      </w:r>
      <w:r w:rsidRPr="002E6863">
        <w:rPr>
          <w:sz w:val="22"/>
          <w:szCs w:val="22"/>
        </w:rPr>
        <w:t xml:space="preserve"> Infúzia pripraveného roztoku sa nemá podávať viac ako jednu hodinu.</w:t>
      </w:r>
    </w:p>
    <w:p w14:paraId="41F40130" w14:textId="77777777" w:rsidR="000633E7" w:rsidRPr="002E6863" w:rsidRDefault="000633E7" w:rsidP="00BB3347">
      <w:pPr>
        <w:numPr>
          <w:ilvl w:val="12"/>
          <w:numId w:val="0"/>
        </w:numPr>
        <w:rPr>
          <w:sz w:val="22"/>
          <w:szCs w:val="22"/>
        </w:rPr>
      </w:pPr>
    </w:p>
    <w:p w14:paraId="48DE704B" w14:textId="77777777" w:rsidR="00731B12" w:rsidRPr="002E6863" w:rsidRDefault="000C7D6A" w:rsidP="00BB3347">
      <w:pPr>
        <w:numPr>
          <w:ilvl w:val="12"/>
          <w:numId w:val="0"/>
        </w:numPr>
        <w:rPr>
          <w:sz w:val="22"/>
          <w:szCs w:val="22"/>
        </w:rPr>
      </w:pPr>
      <w:r>
        <w:rPr>
          <w:sz w:val="22"/>
          <w:szCs w:val="22"/>
        </w:rPr>
        <w:t>Všetok n</w:t>
      </w:r>
      <w:r w:rsidR="00DA6411">
        <w:rPr>
          <w:sz w:val="22"/>
          <w:szCs w:val="22"/>
        </w:rPr>
        <w:t xml:space="preserve">epoužitý liek alebo odpad vzniknutý z lieku </w:t>
      </w:r>
      <w:r>
        <w:rPr>
          <w:sz w:val="22"/>
          <w:szCs w:val="22"/>
        </w:rPr>
        <w:t xml:space="preserve">sa má </w:t>
      </w:r>
      <w:r w:rsidR="00DA6411">
        <w:rPr>
          <w:sz w:val="22"/>
          <w:szCs w:val="22"/>
        </w:rPr>
        <w:t>zlikvid</w:t>
      </w:r>
      <w:r>
        <w:rPr>
          <w:sz w:val="22"/>
          <w:szCs w:val="22"/>
        </w:rPr>
        <w:t>ovať</w:t>
      </w:r>
      <w:r w:rsidR="00DA6411">
        <w:rPr>
          <w:sz w:val="22"/>
          <w:szCs w:val="22"/>
        </w:rPr>
        <w:t xml:space="preserve"> v súlade s národnými požiadavkami. </w:t>
      </w:r>
    </w:p>
    <w:p w14:paraId="1886CFA1" w14:textId="77777777" w:rsidR="005D792F" w:rsidRDefault="005D792F" w:rsidP="002E6863">
      <w:pPr>
        <w:numPr>
          <w:ilvl w:val="12"/>
          <w:numId w:val="0"/>
        </w:numPr>
        <w:jc w:val="both"/>
        <w:rPr>
          <w:sz w:val="22"/>
          <w:szCs w:val="22"/>
        </w:rPr>
      </w:pPr>
    </w:p>
    <w:p w14:paraId="06D819ED" w14:textId="77777777" w:rsidR="00CC24E2" w:rsidRPr="002E6863" w:rsidRDefault="00CC24E2" w:rsidP="002E6863">
      <w:pPr>
        <w:numPr>
          <w:ilvl w:val="12"/>
          <w:numId w:val="0"/>
        </w:numPr>
        <w:jc w:val="both"/>
        <w:rPr>
          <w:sz w:val="22"/>
          <w:szCs w:val="22"/>
        </w:rPr>
      </w:pPr>
    </w:p>
    <w:p w14:paraId="2B6742AF" w14:textId="77777777" w:rsidR="00731B12" w:rsidRPr="002E6863" w:rsidRDefault="00092470" w:rsidP="002E6863">
      <w:pPr>
        <w:tabs>
          <w:tab w:val="left" w:pos="567"/>
        </w:tabs>
        <w:jc w:val="both"/>
        <w:rPr>
          <w:b/>
          <w:sz w:val="22"/>
          <w:szCs w:val="22"/>
        </w:rPr>
      </w:pPr>
      <w:r>
        <w:rPr>
          <w:b/>
          <w:sz w:val="22"/>
          <w:szCs w:val="22"/>
        </w:rPr>
        <w:t>7.</w:t>
      </w:r>
      <w:r w:rsidR="005D792F" w:rsidRPr="002E6863">
        <w:rPr>
          <w:b/>
          <w:sz w:val="22"/>
          <w:szCs w:val="22"/>
        </w:rPr>
        <w:tab/>
      </w:r>
      <w:r>
        <w:rPr>
          <w:b/>
          <w:sz w:val="22"/>
          <w:szCs w:val="22"/>
        </w:rPr>
        <w:t xml:space="preserve">DRŽITEĽ </w:t>
      </w:r>
      <w:r w:rsidR="00731B12" w:rsidRPr="002E6863">
        <w:rPr>
          <w:b/>
          <w:sz w:val="22"/>
          <w:szCs w:val="22"/>
        </w:rPr>
        <w:t>ROZHODNUTIA O</w:t>
      </w:r>
      <w:r w:rsidR="005D792F" w:rsidRPr="002E6863">
        <w:rPr>
          <w:b/>
          <w:sz w:val="22"/>
          <w:szCs w:val="22"/>
        </w:rPr>
        <w:t> </w:t>
      </w:r>
      <w:r w:rsidR="00731B12" w:rsidRPr="002E6863">
        <w:rPr>
          <w:b/>
          <w:sz w:val="22"/>
          <w:szCs w:val="22"/>
        </w:rPr>
        <w:t>REGISTRÁCII</w:t>
      </w:r>
    </w:p>
    <w:p w14:paraId="33760625" w14:textId="77777777" w:rsidR="005D792F" w:rsidRPr="00092470" w:rsidRDefault="005D792F" w:rsidP="002E6863">
      <w:pPr>
        <w:tabs>
          <w:tab w:val="left" w:pos="567"/>
        </w:tabs>
        <w:jc w:val="both"/>
        <w:rPr>
          <w:sz w:val="22"/>
          <w:szCs w:val="22"/>
        </w:rPr>
      </w:pPr>
    </w:p>
    <w:p w14:paraId="51D699B9" w14:textId="77777777" w:rsidR="00731B12" w:rsidRPr="002E6863" w:rsidRDefault="00731B12" w:rsidP="002E6863">
      <w:pPr>
        <w:numPr>
          <w:ilvl w:val="12"/>
          <w:numId w:val="0"/>
        </w:numPr>
        <w:jc w:val="both"/>
        <w:rPr>
          <w:sz w:val="22"/>
          <w:szCs w:val="22"/>
        </w:rPr>
      </w:pPr>
      <w:r w:rsidRPr="002E6863">
        <w:rPr>
          <w:sz w:val="22"/>
          <w:szCs w:val="22"/>
        </w:rPr>
        <w:t>Warszawskie Zakłady Farmaceutyczne Polfa</w:t>
      </w:r>
      <w:r w:rsidR="00D81968" w:rsidRPr="002E6863">
        <w:rPr>
          <w:sz w:val="22"/>
          <w:szCs w:val="22"/>
        </w:rPr>
        <w:t xml:space="preserve"> S.A.</w:t>
      </w:r>
    </w:p>
    <w:p w14:paraId="30D437B5" w14:textId="77777777" w:rsidR="00731B12" w:rsidRPr="002E6863" w:rsidRDefault="00731B12" w:rsidP="002E6863">
      <w:pPr>
        <w:numPr>
          <w:ilvl w:val="12"/>
          <w:numId w:val="0"/>
        </w:numPr>
        <w:jc w:val="both"/>
        <w:rPr>
          <w:sz w:val="22"/>
          <w:szCs w:val="22"/>
        </w:rPr>
      </w:pPr>
      <w:r w:rsidRPr="002E6863">
        <w:rPr>
          <w:sz w:val="22"/>
          <w:szCs w:val="22"/>
        </w:rPr>
        <w:t>Karolkowa 22/24</w:t>
      </w:r>
      <w:r w:rsidR="000633E7" w:rsidRPr="002E6863">
        <w:rPr>
          <w:sz w:val="22"/>
          <w:szCs w:val="22"/>
        </w:rPr>
        <w:t>,</w:t>
      </w:r>
      <w:r w:rsidRPr="002E6863">
        <w:rPr>
          <w:sz w:val="22"/>
          <w:szCs w:val="22"/>
        </w:rPr>
        <w:t xml:space="preserve"> 01-207 Warszawa, Poľsko</w:t>
      </w:r>
    </w:p>
    <w:p w14:paraId="5869EB00" w14:textId="77777777" w:rsidR="00731B12" w:rsidRPr="00092470" w:rsidRDefault="00731B12" w:rsidP="002E6863">
      <w:pPr>
        <w:numPr>
          <w:ilvl w:val="12"/>
          <w:numId w:val="0"/>
        </w:numPr>
        <w:jc w:val="both"/>
        <w:rPr>
          <w:sz w:val="22"/>
          <w:szCs w:val="22"/>
        </w:rPr>
      </w:pPr>
    </w:p>
    <w:p w14:paraId="72694D71" w14:textId="77777777" w:rsidR="005D792F" w:rsidRPr="00092470" w:rsidRDefault="005D792F" w:rsidP="002E6863">
      <w:pPr>
        <w:numPr>
          <w:ilvl w:val="12"/>
          <w:numId w:val="0"/>
        </w:numPr>
        <w:jc w:val="both"/>
        <w:rPr>
          <w:sz w:val="22"/>
          <w:szCs w:val="22"/>
        </w:rPr>
      </w:pPr>
    </w:p>
    <w:p w14:paraId="4CCCDE36" w14:textId="603AF2E6" w:rsidR="00731B12" w:rsidRPr="002E6863" w:rsidRDefault="00731B12" w:rsidP="002E6863">
      <w:pPr>
        <w:tabs>
          <w:tab w:val="left" w:pos="567"/>
        </w:tabs>
        <w:jc w:val="both"/>
        <w:rPr>
          <w:b/>
          <w:sz w:val="22"/>
          <w:szCs w:val="22"/>
        </w:rPr>
      </w:pPr>
      <w:r w:rsidRPr="002E6863">
        <w:rPr>
          <w:b/>
          <w:sz w:val="22"/>
          <w:szCs w:val="22"/>
        </w:rPr>
        <w:t>8.</w:t>
      </w:r>
      <w:r w:rsidR="005D792F" w:rsidRPr="002E6863">
        <w:rPr>
          <w:b/>
          <w:sz w:val="22"/>
          <w:szCs w:val="22"/>
        </w:rPr>
        <w:tab/>
      </w:r>
      <w:r w:rsidRPr="002E6863">
        <w:rPr>
          <w:b/>
          <w:sz w:val="22"/>
          <w:szCs w:val="22"/>
        </w:rPr>
        <w:t xml:space="preserve">REGISTRAČNÉ ČÍSLO </w:t>
      </w:r>
    </w:p>
    <w:p w14:paraId="6A75A8B0" w14:textId="77777777" w:rsidR="005D792F" w:rsidRPr="00092470" w:rsidRDefault="005D792F" w:rsidP="002E6863">
      <w:pPr>
        <w:tabs>
          <w:tab w:val="left" w:pos="567"/>
        </w:tabs>
        <w:jc w:val="both"/>
        <w:rPr>
          <w:sz w:val="22"/>
          <w:szCs w:val="22"/>
        </w:rPr>
      </w:pPr>
    </w:p>
    <w:p w14:paraId="3ED5576E" w14:textId="77777777" w:rsidR="00731B12" w:rsidRPr="002E6863" w:rsidRDefault="00075CE7" w:rsidP="002E6863">
      <w:pPr>
        <w:tabs>
          <w:tab w:val="left" w:pos="360"/>
        </w:tabs>
        <w:jc w:val="both"/>
        <w:rPr>
          <w:sz w:val="22"/>
          <w:szCs w:val="22"/>
        </w:rPr>
      </w:pPr>
      <w:r w:rsidRPr="002E6863">
        <w:rPr>
          <w:sz w:val="22"/>
          <w:szCs w:val="22"/>
        </w:rPr>
        <w:t>42/0002/89-S</w:t>
      </w:r>
    </w:p>
    <w:p w14:paraId="1987FB98" w14:textId="77777777" w:rsidR="00075CE7" w:rsidRPr="002E6863" w:rsidRDefault="00075CE7" w:rsidP="002E6863">
      <w:pPr>
        <w:tabs>
          <w:tab w:val="left" w:pos="360"/>
        </w:tabs>
        <w:jc w:val="both"/>
        <w:rPr>
          <w:sz w:val="22"/>
          <w:szCs w:val="22"/>
        </w:rPr>
      </w:pPr>
    </w:p>
    <w:p w14:paraId="10CBA786" w14:textId="77777777" w:rsidR="005D792F" w:rsidRPr="002E6863" w:rsidRDefault="005D792F" w:rsidP="002E6863">
      <w:pPr>
        <w:tabs>
          <w:tab w:val="left" w:pos="360"/>
        </w:tabs>
        <w:jc w:val="both"/>
        <w:rPr>
          <w:sz w:val="22"/>
          <w:szCs w:val="22"/>
        </w:rPr>
      </w:pPr>
    </w:p>
    <w:p w14:paraId="6FE68715" w14:textId="77777777" w:rsidR="00731B12" w:rsidRPr="002E6863" w:rsidRDefault="00092470" w:rsidP="002E6863">
      <w:pPr>
        <w:tabs>
          <w:tab w:val="left" w:pos="567"/>
        </w:tabs>
        <w:jc w:val="both"/>
        <w:rPr>
          <w:b/>
          <w:sz w:val="22"/>
          <w:szCs w:val="22"/>
        </w:rPr>
      </w:pPr>
      <w:r>
        <w:rPr>
          <w:b/>
          <w:sz w:val="22"/>
          <w:szCs w:val="22"/>
        </w:rPr>
        <w:t>9.</w:t>
      </w:r>
      <w:r w:rsidR="005D792F" w:rsidRPr="002E6863">
        <w:rPr>
          <w:b/>
          <w:sz w:val="22"/>
          <w:szCs w:val="22"/>
        </w:rPr>
        <w:tab/>
      </w:r>
      <w:r>
        <w:rPr>
          <w:b/>
          <w:sz w:val="22"/>
          <w:szCs w:val="22"/>
        </w:rPr>
        <w:t xml:space="preserve">DÁTUM </w:t>
      </w:r>
      <w:r w:rsidR="005D792F" w:rsidRPr="002E6863">
        <w:rPr>
          <w:b/>
          <w:sz w:val="22"/>
          <w:szCs w:val="22"/>
        </w:rPr>
        <w:t xml:space="preserve">PRVEJ </w:t>
      </w:r>
      <w:r w:rsidR="00075CE7" w:rsidRPr="002E6863">
        <w:rPr>
          <w:b/>
          <w:sz w:val="22"/>
          <w:szCs w:val="22"/>
        </w:rPr>
        <w:t>REGISTRÁCIE/</w:t>
      </w:r>
      <w:r w:rsidR="00731B12" w:rsidRPr="002E6863">
        <w:rPr>
          <w:b/>
          <w:sz w:val="22"/>
          <w:szCs w:val="22"/>
        </w:rPr>
        <w:t>PREDĹŽENIA REGISTRÁCIE</w:t>
      </w:r>
    </w:p>
    <w:p w14:paraId="79D934CD" w14:textId="77777777" w:rsidR="005D792F" w:rsidRPr="002E6863" w:rsidRDefault="005D792F" w:rsidP="002E6863">
      <w:pPr>
        <w:jc w:val="both"/>
        <w:rPr>
          <w:sz w:val="22"/>
          <w:szCs w:val="22"/>
        </w:rPr>
      </w:pPr>
    </w:p>
    <w:p w14:paraId="1CCB8633" w14:textId="77777777" w:rsidR="00731B12" w:rsidRDefault="00803E26" w:rsidP="002E6863">
      <w:pPr>
        <w:jc w:val="both"/>
        <w:rPr>
          <w:sz w:val="22"/>
          <w:szCs w:val="22"/>
        </w:rPr>
      </w:pPr>
      <w:r>
        <w:rPr>
          <w:sz w:val="22"/>
          <w:szCs w:val="22"/>
        </w:rPr>
        <w:t xml:space="preserve">Dátum prvej registrácie: </w:t>
      </w:r>
      <w:r w:rsidR="00075CE7" w:rsidRPr="002E6863">
        <w:rPr>
          <w:sz w:val="22"/>
          <w:szCs w:val="22"/>
        </w:rPr>
        <w:t>14.</w:t>
      </w:r>
      <w:r>
        <w:rPr>
          <w:sz w:val="22"/>
          <w:szCs w:val="22"/>
        </w:rPr>
        <w:t xml:space="preserve"> februára </w:t>
      </w:r>
      <w:r w:rsidR="00075CE7" w:rsidRPr="002E6863">
        <w:rPr>
          <w:sz w:val="22"/>
          <w:szCs w:val="22"/>
        </w:rPr>
        <w:t>1989</w:t>
      </w:r>
    </w:p>
    <w:p w14:paraId="46E81164" w14:textId="77777777" w:rsidR="00803E26" w:rsidRPr="002E6863" w:rsidRDefault="00803E26" w:rsidP="002E6863">
      <w:pPr>
        <w:jc w:val="both"/>
        <w:rPr>
          <w:sz w:val="22"/>
          <w:szCs w:val="22"/>
        </w:rPr>
      </w:pPr>
      <w:r>
        <w:rPr>
          <w:sz w:val="22"/>
          <w:szCs w:val="22"/>
        </w:rPr>
        <w:t>Dátum posledného predĺženia registrácie: 12. marca 2008</w:t>
      </w:r>
    </w:p>
    <w:p w14:paraId="4FF01260" w14:textId="77777777" w:rsidR="00D81968" w:rsidRPr="002E6863" w:rsidRDefault="00D81968" w:rsidP="002E6863">
      <w:pPr>
        <w:jc w:val="both"/>
        <w:rPr>
          <w:sz w:val="22"/>
          <w:szCs w:val="22"/>
        </w:rPr>
      </w:pPr>
    </w:p>
    <w:p w14:paraId="47FDE00A" w14:textId="77777777" w:rsidR="00BD01AD" w:rsidRPr="002E6863" w:rsidRDefault="00BD01AD" w:rsidP="002E6863">
      <w:pPr>
        <w:jc w:val="both"/>
        <w:rPr>
          <w:sz w:val="22"/>
          <w:szCs w:val="22"/>
        </w:rPr>
      </w:pPr>
    </w:p>
    <w:p w14:paraId="7188C070" w14:textId="77777777" w:rsidR="00731B12" w:rsidRPr="002E6863" w:rsidRDefault="00BB3347" w:rsidP="002E6863">
      <w:pPr>
        <w:tabs>
          <w:tab w:val="left" w:pos="567"/>
        </w:tabs>
        <w:jc w:val="both"/>
        <w:rPr>
          <w:b/>
          <w:sz w:val="22"/>
          <w:szCs w:val="22"/>
        </w:rPr>
      </w:pPr>
      <w:r>
        <w:rPr>
          <w:b/>
          <w:sz w:val="22"/>
          <w:szCs w:val="22"/>
        </w:rPr>
        <w:t>10.</w:t>
      </w:r>
      <w:r w:rsidR="005D792F" w:rsidRPr="002E6863">
        <w:rPr>
          <w:b/>
          <w:sz w:val="22"/>
          <w:szCs w:val="22"/>
        </w:rPr>
        <w:tab/>
      </w:r>
      <w:r w:rsidR="00731B12" w:rsidRPr="002E6863">
        <w:rPr>
          <w:b/>
          <w:sz w:val="22"/>
          <w:szCs w:val="22"/>
        </w:rPr>
        <w:t>DÁTUM REVÍZIE TEXTU</w:t>
      </w:r>
    </w:p>
    <w:p w14:paraId="264B7C9A" w14:textId="77777777" w:rsidR="00CC24E2" w:rsidRDefault="00CC24E2" w:rsidP="002E6863">
      <w:pPr>
        <w:jc w:val="both"/>
        <w:rPr>
          <w:sz w:val="22"/>
          <w:szCs w:val="22"/>
        </w:rPr>
      </w:pPr>
    </w:p>
    <w:p w14:paraId="38F7F9C9" w14:textId="6448603C" w:rsidR="00014396" w:rsidRPr="002E6863" w:rsidRDefault="00F77ED3" w:rsidP="002E6863">
      <w:pPr>
        <w:jc w:val="both"/>
        <w:rPr>
          <w:sz w:val="22"/>
          <w:szCs w:val="22"/>
        </w:rPr>
      </w:pPr>
      <w:r>
        <w:rPr>
          <w:sz w:val="22"/>
          <w:szCs w:val="22"/>
        </w:rPr>
        <w:t>0</w:t>
      </w:r>
      <w:r w:rsidR="00DF7B92">
        <w:rPr>
          <w:sz w:val="22"/>
          <w:szCs w:val="22"/>
        </w:rPr>
        <w:t>7</w:t>
      </w:r>
      <w:r>
        <w:rPr>
          <w:sz w:val="22"/>
          <w:szCs w:val="22"/>
        </w:rPr>
        <w:t>/2019</w:t>
      </w:r>
    </w:p>
    <w:sectPr w:rsidR="00014396" w:rsidRPr="002E6863" w:rsidSect="00F00777">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0AB58" w14:textId="77777777" w:rsidR="006F0598" w:rsidRDefault="006F0598">
      <w:r>
        <w:separator/>
      </w:r>
    </w:p>
  </w:endnote>
  <w:endnote w:type="continuationSeparator" w:id="0">
    <w:p w14:paraId="3D17008E" w14:textId="77777777" w:rsidR="006F0598" w:rsidRDefault="006F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31595" w14:textId="77777777" w:rsidR="006F0598" w:rsidRDefault="006F059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64FECB6" w14:textId="77777777" w:rsidR="006F0598" w:rsidRDefault="006F05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55C2F" w14:textId="77777777" w:rsidR="006F0598" w:rsidRPr="00787C8E" w:rsidRDefault="006F0598">
    <w:pPr>
      <w:pStyle w:val="Stopka"/>
      <w:jc w:val="center"/>
      <w:rPr>
        <w:sz w:val="18"/>
      </w:rPr>
    </w:pPr>
    <w:r w:rsidRPr="00787C8E">
      <w:rPr>
        <w:sz w:val="18"/>
      </w:rPr>
      <w:fldChar w:fldCharType="begin"/>
    </w:r>
    <w:r w:rsidRPr="00787C8E">
      <w:rPr>
        <w:sz w:val="18"/>
      </w:rPr>
      <w:instrText>PAGE   \* MERGEFORMAT</w:instrText>
    </w:r>
    <w:r w:rsidRPr="00787C8E">
      <w:rPr>
        <w:sz w:val="18"/>
      </w:rPr>
      <w:fldChar w:fldCharType="separate"/>
    </w:r>
    <w:r>
      <w:rPr>
        <w:noProof/>
        <w:sz w:val="18"/>
      </w:rPr>
      <w:t>15</w:t>
    </w:r>
    <w:r w:rsidRPr="00787C8E">
      <w:rPr>
        <w:sz w:val="18"/>
      </w:rPr>
      <w:fldChar w:fldCharType="end"/>
    </w:r>
  </w:p>
  <w:p w14:paraId="032E66F2" w14:textId="77777777" w:rsidR="006F0598" w:rsidRDefault="006F059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8891" w14:textId="77777777" w:rsidR="006F0598" w:rsidRPr="00787C8E" w:rsidRDefault="006F0598">
    <w:pPr>
      <w:pStyle w:val="Stopka"/>
      <w:jc w:val="center"/>
      <w:rPr>
        <w:sz w:val="18"/>
      </w:rPr>
    </w:pPr>
    <w:r w:rsidRPr="00787C8E">
      <w:rPr>
        <w:sz w:val="18"/>
      </w:rPr>
      <w:fldChar w:fldCharType="begin"/>
    </w:r>
    <w:r w:rsidRPr="00787C8E">
      <w:rPr>
        <w:sz w:val="18"/>
      </w:rPr>
      <w:instrText>PAGE   \* MERGEFORMAT</w:instrText>
    </w:r>
    <w:r w:rsidRPr="00787C8E">
      <w:rPr>
        <w:sz w:val="18"/>
      </w:rPr>
      <w:fldChar w:fldCharType="separate"/>
    </w:r>
    <w:r>
      <w:rPr>
        <w:noProof/>
        <w:sz w:val="18"/>
      </w:rPr>
      <w:t>1</w:t>
    </w:r>
    <w:r w:rsidRPr="00787C8E">
      <w:rPr>
        <w:sz w:val="18"/>
      </w:rPr>
      <w:fldChar w:fldCharType="end"/>
    </w:r>
  </w:p>
  <w:p w14:paraId="6D01EAD4" w14:textId="77777777" w:rsidR="006F0598" w:rsidRDefault="006F05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0DDC" w14:textId="77777777" w:rsidR="006F0598" w:rsidRDefault="006F0598">
      <w:r>
        <w:separator/>
      </w:r>
    </w:p>
  </w:footnote>
  <w:footnote w:type="continuationSeparator" w:id="0">
    <w:p w14:paraId="72D97E4D" w14:textId="77777777" w:rsidR="006F0598" w:rsidRDefault="006F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807F" w14:textId="77777777" w:rsidR="006F0598" w:rsidRPr="00C511C2" w:rsidRDefault="006F0598">
    <w:pPr>
      <w:pStyle w:val="Nagwek"/>
    </w:pPr>
    <w:r w:rsidRPr="00F00777">
      <w:rPr>
        <w:sz w:val="18"/>
        <w:szCs w:val="18"/>
      </w:rPr>
      <w:t>Príloha č.1 k notifikácii o zmene, ev. č. : 2019/00473-Z1B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D2CA" w14:textId="222D2D4F" w:rsidR="006F0598" w:rsidRDefault="006F0598">
    <w:pPr>
      <w:pStyle w:val="Nagwek"/>
    </w:pPr>
    <w:r>
      <w:rPr>
        <w:sz w:val="18"/>
        <w:szCs w:val="18"/>
      </w:rPr>
      <w:t>Príloha č.1 k notifikácii o zmene, ev. č. : 2019/00473-Z1B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404B"/>
    <w:multiLevelType w:val="hybridMultilevel"/>
    <w:tmpl w:val="88000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F6173C"/>
    <w:multiLevelType w:val="hybridMultilevel"/>
    <w:tmpl w:val="FC3AF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7C400F"/>
    <w:multiLevelType w:val="hybridMultilevel"/>
    <w:tmpl w:val="1E1A2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135A1B"/>
    <w:multiLevelType w:val="hybridMultilevel"/>
    <w:tmpl w:val="21900AF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4" w15:restartNumberingAfterBreak="0">
    <w:nsid w:val="18507703"/>
    <w:multiLevelType w:val="multilevel"/>
    <w:tmpl w:val="FFD8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685D88"/>
    <w:multiLevelType w:val="hybridMultilevel"/>
    <w:tmpl w:val="D132E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843EC0"/>
    <w:multiLevelType w:val="hybridMultilevel"/>
    <w:tmpl w:val="3B34A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02218E"/>
    <w:multiLevelType w:val="hybridMultilevel"/>
    <w:tmpl w:val="F580F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AD3BB8"/>
    <w:multiLevelType w:val="hybridMultilevel"/>
    <w:tmpl w:val="717039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38F345F"/>
    <w:multiLevelType w:val="singleLevel"/>
    <w:tmpl w:val="BEAEBF3A"/>
    <w:lvl w:ilvl="0">
      <w:start w:val="1"/>
      <w:numFmt w:val="decimal"/>
      <w:lvlText w:val="6.%1. "/>
      <w:legacy w:legacy="1" w:legacySpace="0" w:legacyIndent="283"/>
      <w:lvlJc w:val="left"/>
      <w:pPr>
        <w:ind w:left="283" w:hanging="283"/>
      </w:pPr>
      <w:rPr>
        <w:rFonts w:ascii="Arial" w:hAnsi="Arial" w:cs="Arial" w:hint="default"/>
        <w:b/>
        <w:i w:val="0"/>
        <w:sz w:val="20"/>
        <w:u w:val="none"/>
      </w:rPr>
    </w:lvl>
  </w:abstractNum>
  <w:abstractNum w:abstractNumId="10" w15:restartNumberingAfterBreak="0">
    <w:nsid w:val="6AB86ECD"/>
    <w:multiLevelType w:val="hybridMultilevel"/>
    <w:tmpl w:val="07D00D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ECA1BF4"/>
    <w:multiLevelType w:val="hybridMultilevel"/>
    <w:tmpl w:val="3D5E897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194AB4"/>
    <w:multiLevelType w:val="hybridMultilevel"/>
    <w:tmpl w:val="380444C4"/>
    <w:lvl w:ilvl="0" w:tplc="040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E67EDE"/>
    <w:multiLevelType w:val="hybridMultilevel"/>
    <w:tmpl w:val="C12AFD60"/>
    <w:lvl w:ilvl="0" w:tplc="04050001">
      <w:start w:val="1"/>
      <w:numFmt w:val="bullet"/>
      <w:lvlText w:val=""/>
      <w:lvlJc w:val="left"/>
      <w:pPr>
        <w:ind w:left="720" w:hanging="360"/>
      </w:pPr>
      <w:rPr>
        <w:rFonts w:ascii="Symbol" w:hAnsi="Symbol" w:hint="default"/>
      </w:rPr>
    </w:lvl>
    <w:lvl w:ilvl="1" w:tplc="4E8A89EC">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EA19C1"/>
    <w:multiLevelType w:val="hybridMultilevel"/>
    <w:tmpl w:val="CDFCB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1"/>
  </w:num>
  <w:num w:numId="4">
    <w:abstractNumId w:val="14"/>
  </w:num>
  <w:num w:numId="5">
    <w:abstractNumId w:val="8"/>
  </w:num>
  <w:num w:numId="6">
    <w:abstractNumId w:val="7"/>
  </w:num>
  <w:num w:numId="7">
    <w:abstractNumId w:val="1"/>
  </w:num>
  <w:num w:numId="8">
    <w:abstractNumId w:val="0"/>
  </w:num>
  <w:num w:numId="9">
    <w:abstractNumId w:val="2"/>
  </w:num>
  <w:num w:numId="10">
    <w:abstractNumId w:val="3"/>
  </w:num>
  <w:num w:numId="11">
    <w:abstractNumId w:val="10"/>
  </w:num>
  <w:num w:numId="12">
    <w:abstractNumId w:val="6"/>
  </w:num>
  <w:num w:numId="13">
    <w:abstractNumId w:val="5"/>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12"/>
    <w:rsid w:val="00004AD0"/>
    <w:rsid w:val="00010FE4"/>
    <w:rsid w:val="00014396"/>
    <w:rsid w:val="0003690C"/>
    <w:rsid w:val="0003713C"/>
    <w:rsid w:val="00046135"/>
    <w:rsid w:val="00047B54"/>
    <w:rsid w:val="000539BC"/>
    <w:rsid w:val="00061A57"/>
    <w:rsid w:val="000633E7"/>
    <w:rsid w:val="00063F48"/>
    <w:rsid w:val="00067EE3"/>
    <w:rsid w:val="00072A31"/>
    <w:rsid w:val="00075CE7"/>
    <w:rsid w:val="0007669D"/>
    <w:rsid w:val="00091A29"/>
    <w:rsid w:val="00092470"/>
    <w:rsid w:val="00096ABF"/>
    <w:rsid w:val="000B65D3"/>
    <w:rsid w:val="000B707C"/>
    <w:rsid w:val="000C5E15"/>
    <w:rsid w:val="000C7D6A"/>
    <w:rsid w:val="000D5BFB"/>
    <w:rsid w:val="000E55D3"/>
    <w:rsid w:val="000F0AA6"/>
    <w:rsid w:val="000F10D2"/>
    <w:rsid w:val="001021AE"/>
    <w:rsid w:val="001049D6"/>
    <w:rsid w:val="00106A95"/>
    <w:rsid w:val="001205D3"/>
    <w:rsid w:val="001208E5"/>
    <w:rsid w:val="0012525F"/>
    <w:rsid w:val="0012718D"/>
    <w:rsid w:val="001328FA"/>
    <w:rsid w:val="00150C8F"/>
    <w:rsid w:val="001533C4"/>
    <w:rsid w:val="00154EB4"/>
    <w:rsid w:val="00157775"/>
    <w:rsid w:val="001879D1"/>
    <w:rsid w:val="001A3380"/>
    <w:rsid w:val="001B721B"/>
    <w:rsid w:val="001C19B1"/>
    <w:rsid w:val="001C4800"/>
    <w:rsid w:val="001C692E"/>
    <w:rsid w:val="001D0B77"/>
    <w:rsid w:val="001E23E0"/>
    <w:rsid w:val="001F35F3"/>
    <w:rsid w:val="00207158"/>
    <w:rsid w:val="002121AA"/>
    <w:rsid w:val="00216D8A"/>
    <w:rsid w:val="002202DC"/>
    <w:rsid w:val="002227C3"/>
    <w:rsid w:val="00230DCD"/>
    <w:rsid w:val="0024423C"/>
    <w:rsid w:val="002539B6"/>
    <w:rsid w:val="002559CF"/>
    <w:rsid w:val="00260F3D"/>
    <w:rsid w:val="00264A43"/>
    <w:rsid w:val="00272985"/>
    <w:rsid w:val="002730B1"/>
    <w:rsid w:val="00273458"/>
    <w:rsid w:val="00285B1E"/>
    <w:rsid w:val="00296590"/>
    <w:rsid w:val="00297FC2"/>
    <w:rsid w:val="002A4319"/>
    <w:rsid w:val="002A5282"/>
    <w:rsid w:val="002B5A0A"/>
    <w:rsid w:val="002C55AC"/>
    <w:rsid w:val="002D3214"/>
    <w:rsid w:val="002D37DB"/>
    <w:rsid w:val="002D740F"/>
    <w:rsid w:val="002E177F"/>
    <w:rsid w:val="002E6335"/>
    <w:rsid w:val="002E6863"/>
    <w:rsid w:val="003042B1"/>
    <w:rsid w:val="00304403"/>
    <w:rsid w:val="0031447E"/>
    <w:rsid w:val="0034629A"/>
    <w:rsid w:val="00353EB0"/>
    <w:rsid w:val="003652A2"/>
    <w:rsid w:val="003665A7"/>
    <w:rsid w:val="003802D1"/>
    <w:rsid w:val="00381286"/>
    <w:rsid w:val="0038455F"/>
    <w:rsid w:val="00384620"/>
    <w:rsid w:val="00387E1A"/>
    <w:rsid w:val="003963A3"/>
    <w:rsid w:val="003A4E73"/>
    <w:rsid w:val="003C0588"/>
    <w:rsid w:val="003C2D82"/>
    <w:rsid w:val="003C3226"/>
    <w:rsid w:val="003C36F0"/>
    <w:rsid w:val="003C5DCB"/>
    <w:rsid w:val="003D1EB2"/>
    <w:rsid w:val="003D3A2A"/>
    <w:rsid w:val="003E139A"/>
    <w:rsid w:val="003E159D"/>
    <w:rsid w:val="003E269D"/>
    <w:rsid w:val="003E4C2B"/>
    <w:rsid w:val="003F0944"/>
    <w:rsid w:val="003F0AE7"/>
    <w:rsid w:val="003F5427"/>
    <w:rsid w:val="003F7792"/>
    <w:rsid w:val="0042020D"/>
    <w:rsid w:val="00430C08"/>
    <w:rsid w:val="00432377"/>
    <w:rsid w:val="00434175"/>
    <w:rsid w:val="0044193D"/>
    <w:rsid w:val="00446AAC"/>
    <w:rsid w:val="00465751"/>
    <w:rsid w:val="0047231E"/>
    <w:rsid w:val="00480B6B"/>
    <w:rsid w:val="00482F7F"/>
    <w:rsid w:val="00487A90"/>
    <w:rsid w:val="004B0B45"/>
    <w:rsid w:val="004B26E0"/>
    <w:rsid w:val="004D57CA"/>
    <w:rsid w:val="004E3ACE"/>
    <w:rsid w:val="004E64DE"/>
    <w:rsid w:val="004E76AE"/>
    <w:rsid w:val="005062FB"/>
    <w:rsid w:val="00510E9C"/>
    <w:rsid w:val="00515F04"/>
    <w:rsid w:val="00517409"/>
    <w:rsid w:val="00523A32"/>
    <w:rsid w:val="0052759C"/>
    <w:rsid w:val="005309E6"/>
    <w:rsid w:val="00530E56"/>
    <w:rsid w:val="0053160C"/>
    <w:rsid w:val="0053170A"/>
    <w:rsid w:val="005339C5"/>
    <w:rsid w:val="00535A2E"/>
    <w:rsid w:val="00551453"/>
    <w:rsid w:val="00557B15"/>
    <w:rsid w:val="005678FB"/>
    <w:rsid w:val="005702DE"/>
    <w:rsid w:val="00580F06"/>
    <w:rsid w:val="00591040"/>
    <w:rsid w:val="00591A11"/>
    <w:rsid w:val="00596E75"/>
    <w:rsid w:val="005A1819"/>
    <w:rsid w:val="005A442F"/>
    <w:rsid w:val="005A638D"/>
    <w:rsid w:val="005A726F"/>
    <w:rsid w:val="005B1B2E"/>
    <w:rsid w:val="005B333A"/>
    <w:rsid w:val="005B5697"/>
    <w:rsid w:val="005D08B0"/>
    <w:rsid w:val="005D34FA"/>
    <w:rsid w:val="005D792F"/>
    <w:rsid w:val="005D7E72"/>
    <w:rsid w:val="005E48A3"/>
    <w:rsid w:val="005E5CF8"/>
    <w:rsid w:val="005E7435"/>
    <w:rsid w:val="005E7890"/>
    <w:rsid w:val="005F392B"/>
    <w:rsid w:val="005F48A2"/>
    <w:rsid w:val="00606360"/>
    <w:rsid w:val="00607470"/>
    <w:rsid w:val="00612D39"/>
    <w:rsid w:val="00640A49"/>
    <w:rsid w:val="006437B8"/>
    <w:rsid w:val="006539F9"/>
    <w:rsid w:val="00656B0D"/>
    <w:rsid w:val="00661072"/>
    <w:rsid w:val="00687FEE"/>
    <w:rsid w:val="006A218B"/>
    <w:rsid w:val="006A29EC"/>
    <w:rsid w:val="006A432F"/>
    <w:rsid w:val="006A6F53"/>
    <w:rsid w:val="006C2B04"/>
    <w:rsid w:val="006C38F3"/>
    <w:rsid w:val="006C67F6"/>
    <w:rsid w:val="006D3A36"/>
    <w:rsid w:val="006E3A47"/>
    <w:rsid w:val="006E73A7"/>
    <w:rsid w:val="006F0455"/>
    <w:rsid w:val="006F0598"/>
    <w:rsid w:val="006F4812"/>
    <w:rsid w:val="007042B1"/>
    <w:rsid w:val="00710D6B"/>
    <w:rsid w:val="00714D2A"/>
    <w:rsid w:val="007165EF"/>
    <w:rsid w:val="00724BCA"/>
    <w:rsid w:val="00731B12"/>
    <w:rsid w:val="00731F16"/>
    <w:rsid w:val="007329FE"/>
    <w:rsid w:val="00734A69"/>
    <w:rsid w:val="00736921"/>
    <w:rsid w:val="00747942"/>
    <w:rsid w:val="00761B27"/>
    <w:rsid w:val="007631F7"/>
    <w:rsid w:val="00764300"/>
    <w:rsid w:val="00765315"/>
    <w:rsid w:val="00766ECC"/>
    <w:rsid w:val="00771296"/>
    <w:rsid w:val="00772DAC"/>
    <w:rsid w:val="00777075"/>
    <w:rsid w:val="007770A0"/>
    <w:rsid w:val="00777E63"/>
    <w:rsid w:val="0078226A"/>
    <w:rsid w:val="00782478"/>
    <w:rsid w:val="007841AE"/>
    <w:rsid w:val="00787C8E"/>
    <w:rsid w:val="00793A0B"/>
    <w:rsid w:val="0079702A"/>
    <w:rsid w:val="00797BA2"/>
    <w:rsid w:val="007A3056"/>
    <w:rsid w:val="007B45E7"/>
    <w:rsid w:val="007B53C3"/>
    <w:rsid w:val="007B787A"/>
    <w:rsid w:val="007B7A7A"/>
    <w:rsid w:val="007C577B"/>
    <w:rsid w:val="007D10F3"/>
    <w:rsid w:val="007D2C77"/>
    <w:rsid w:val="007D2EE7"/>
    <w:rsid w:val="007E2985"/>
    <w:rsid w:val="007E4AC3"/>
    <w:rsid w:val="00803E26"/>
    <w:rsid w:val="00811948"/>
    <w:rsid w:val="00812C87"/>
    <w:rsid w:val="008209A0"/>
    <w:rsid w:val="00824B90"/>
    <w:rsid w:val="00827956"/>
    <w:rsid w:val="008378F5"/>
    <w:rsid w:val="008450E1"/>
    <w:rsid w:val="00853425"/>
    <w:rsid w:val="00856EFB"/>
    <w:rsid w:val="008667BF"/>
    <w:rsid w:val="00872EAF"/>
    <w:rsid w:val="00893F0F"/>
    <w:rsid w:val="008A197E"/>
    <w:rsid w:val="008A73BA"/>
    <w:rsid w:val="008B7D83"/>
    <w:rsid w:val="008C6FC6"/>
    <w:rsid w:val="008D205A"/>
    <w:rsid w:val="008D293E"/>
    <w:rsid w:val="008D6F09"/>
    <w:rsid w:val="008D722D"/>
    <w:rsid w:val="008E1AD7"/>
    <w:rsid w:val="008E3863"/>
    <w:rsid w:val="008E648E"/>
    <w:rsid w:val="008F214C"/>
    <w:rsid w:val="00900DF4"/>
    <w:rsid w:val="009024DE"/>
    <w:rsid w:val="00916341"/>
    <w:rsid w:val="00926D67"/>
    <w:rsid w:val="00933E97"/>
    <w:rsid w:val="0093572A"/>
    <w:rsid w:val="00935837"/>
    <w:rsid w:val="00963B52"/>
    <w:rsid w:val="009705DE"/>
    <w:rsid w:val="00970AD5"/>
    <w:rsid w:val="00972AFF"/>
    <w:rsid w:val="00976567"/>
    <w:rsid w:val="0097776E"/>
    <w:rsid w:val="00977943"/>
    <w:rsid w:val="0099141E"/>
    <w:rsid w:val="00993BDE"/>
    <w:rsid w:val="009942DE"/>
    <w:rsid w:val="009958D0"/>
    <w:rsid w:val="009A53E1"/>
    <w:rsid w:val="009B4FDE"/>
    <w:rsid w:val="009B651C"/>
    <w:rsid w:val="009C4BDA"/>
    <w:rsid w:val="009C55A0"/>
    <w:rsid w:val="009E1364"/>
    <w:rsid w:val="009E28E7"/>
    <w:rsid w:val="009E4BE0"/>
    <w:rsid w:val="009E687D"/>
    <w:rsid w:val="009E799F"/>
    <w:rsid w:val="009F49D2"/>
    <w:rsid w:val="00A1357D"/>
    <w:rsid w:val="00A14313"/>
    <w:rsid w:val="00A14C80"/>
    <w:rsid w:val="00A17506"/>
    <w:rsid w:val="00A2302E"/>
    <w:rsid w:val="00A231E7"/>
    <w:rsid w:val="00A23598"/>
    <w:rsid w:val="00A31C69"/>
    <w:rsid w:val="00A3220B"/>
    <w:rsid w:val="00A33C03"/>
    <w:rsid w:val="00A34787"/>
    <w:rsid w:val="00A40412"/>
    <w:rsid w:val="00A44A8F"/>
    <w:rsid w:val="00A5140C"/>
    <w:rsid w:val="00A53113"/>
    <w:rsid w:val="00A531CA"/>
    <w:rsid w:val="00A531E3"/>
    <w:rsid w:val="00A55556"/>
    <w:rsid w:val="00A55ABC"/>
    <w:rsid w:val="00A57CCC"/>
    <w:rsid w:val="00A76425"/>
    <w:rsid w:val="00A77C30"/>
    <w:rsid w:val="00A90137"/>
    <w:rsid w:val="00A93DAC"/>
    <w:rsid w:val="00A93E11"/>
    <w:rsid w:val="00AB2620"/>
    <w:rsid w:val="00AC79CB"/>
    <w:rsid w:val="00AD5B4D"/>
    <w:rsid w:val="00AE369F"/>
    <w:rsid w:val="00AE7E49"/>
    <w:rsid w:val="00AF4E8F"/>
    <w:rsid w:val="00AF518D"/>
    <w:rsid w:val="00B016A3"/>
    <w:rsid w:val="00B01D0A"/>
    <w:rsid w:val="00B241F6"/>
    <w:rsid w:val="00B271BA"/>
    <w:rsid w:val="00B32768"/>
    <w:rsid w:val="00B43617"/>
    <w:rsid w:val="00B62B30"/>
    <w:rsid w:val="00B649EB"/>
    <w:rsid w:val="00B711B7"/>
    <w:rsid w:val="00B76393"/>
    <w:rsid w:val="00B83F5E"/>
    <w:rsid w:val="00B861EA"/>
    <w:rsid w:val="00BA137F"/>
    <w:rsid w:val="00BA633B"/>
    <w:rsid w:val="00BB3347"/>
    <w:rsid w:val="00BB515C"/>
    <w:rsid w:val="00BB54CC"/>
    <w:rsid w:val="00BC09CD"/>
    <w:rsid w:val="00BC56B3"/>
    <w:rsid w:val="00BC61B1"/>
    <w:rsid w:val="00BD01AD"/>
    <w:rsid w:val="00BE02A5"/>
    <w:rsid w:val="00BE759D"/>
    <w:rsid w:val="00BF3D02"/>
    <w:rsid w:val="00C0133F"/>
    <w:rsid w:val="00C20722"/>
    <w:rsid w:val="00C24D14"/>
    <w:rsid w:val="00C3199F"/>
    <w:rsid w:val="00C348CC"/>
    <w:rsid w:val="00C42771"/>
    <w:rsid w:val="00C511C2"/>
    <w:rsid w:val="00C54890"/>
    <w:rsid w:val="00C65BEB"/>
    <w:rsid w:val="00C70A38"/>
    <w:rsid w:val="00C7110C"/>
    <w:rsid w:val="00C77179"/>
    <w:rsid w:val="00C7750F"/>
    <w:rsid w:val="00C80447"/>
    <w:rsid w:val="00C86CFE"/>
    <w:rsid w:val="00C93CB5"/>
    <w:rsid w:val="00CA0316"/>
    <w:rsid w:val="00CB001B"/>
    <w:rsid w:val="00CB4737"/>
    <w:rsid w:val="00CB4B15"/>
    <w:rsid w:val="00CB69C6"/>
    <w:rsid w:val="00CC24E2"/>
    <w:rsid w:val="00CD6631"/>
    <w:rsid w:val="00CE7B10"/>
    <w:rsid w:val="00CF52BC"/>
    <w:rsid w:val="00CF66A3"/>
    <w:rsid w:val="00D01B52"/>
    <w:rsid w:val="00D166C4"/>
    <w:rsid w:val="00D209BD"/>
    <w:rsid w:val="00D25892"/>
    <w:rsid w:val="00D3510B"/>
    <w:rsid w:val="00D351C8"/>
    <w:rsid w:val="00D37CBE"/>
    <w:rsid w:val="00D4035F"/>
    <w:rsid w:val="00D42437"/>
    <w:rsid w:val="00D515CC"/>
    <w:rsid w:val="00D54B08"/>
    <w:rsid w:val="00D60CD3"/>
    <w:rsid w:val="00D60E7B"/>
    <w:rsid w:val="00D64310"/>
    <w:rsid w:val="00D66280"/>
    <w:rsid w:val="00D70193"/>
    <w:rsid w:val="00D744A4"/>
    <w:rsid w:val="00D74FAF"/>
    <w:rsid w:val="00D77BED"/>
    <w:rsid w:val="00D81968"/>
    <w:rsid w:val="00D87927"/>
    <w:rsid w:val="00D962C8"/>
    <w:rsid w:val="00DA2F6F"/>
    <w:rsid w:val="00DA53D0"/>
    <w:rsid w:val="00DA6411"/>
    <w:rsid w:val="00DB6273"/>
    <w:rsid w:val="00DC4F9E"/>
    <w:rsid w:val="00DD1E01"/>
    <w:rsid w:val="00DD7849"/>
    <w:rsid w:val="00DE06F7"/>
    <w:rsid w:val="00DE0D59"/>
    <w:rsid w:val="00DE19AB"/>
    <w:rsid w:val="00DF331F"/>
    <w:rsid w:val="00DF460D"/>
    <w:rsid w:val="00DF46BE"/>
    <w:rsid w:val="00DF67D4"/>
    <w:rsid w:val="00DF7B92"/>
    <w:rsid w:val="00E0729F"/>
    <w:rsid w:val="00E12A50"/>
    <w:rsid w:val="00E154CA"/>
    <w:rsid w:val="00E1776D"/>
    <w:rsid w:val="00E20F20"/>
    <w:rsid w:val="00E24BEE"/>
    <w:rsid w:val="00E30345"/>
    <w:rsid w:val="00E40BA5"/>
    <w:rsid w:val="00E43EB1"/>
    <w:rsid w:val="00E55AA9"/>
    <w:rsid w:val="00E60A8C"/>
    <w:rsid w:val="00E63FF1"/>
    <w:rsid w:val="00E726E2"/>
    <w:rsid w:val="00E7482D"/>
    <w:rsid w:val="00E75B9F"/>
    <w:rsid w:val="00E801AF"/>
    <w:rsid w:val="00E86F1B"/>
    <w:rsid w:val="00EA0903"/>
    <w:rsid w:val="00EA3474"/>
    <w:rsid w:val="00EA37D1"/>
    <w:rsid w:val="00EA3E23"/>
    <w:rsid w:val="00EB3442"/>
    <w:rsid w:val="00EC21C1"/>
    <w:rsid w:val="00EC517F"/>
    <w:rsid w:val="00ED0B6E"/>
    <w:rsid w:val="00ED7A57"/>
    <w:rsid w:val="00F00777"/>
    <w:rsid w:val="00F01B19"/>
    <w:rsid w:val="00F024FA"/>
    <w:rsid w:val="00F02BDA"/>
    <w:rsid w:val="00F059DB"/>
    <w:rsid w:val="00F06BCE"/>
    <w:rsid w:val="00F10458"/>
    <w:rsid w:val="00F120F9"/>
    <w:rsid w:val="00F35128"/>
    <w:rsid w:val="00F512F2"/>
    <w:rsid w:val="00F54C84"/>
    <w:rsid w:val="00F63DDD"/>
    <w:rsid w:val="00F6551F"/>
    <w:rsid w:val="00F7295A"/>
    <w:rsid w:val="00F77ED3"/>
    <w:rsid w:val="00F826E5"/>
    <w:rsid w:val="00F828B4"/>
    <w:rsid w:val="00F87C63"/>
    <w:rsid w:val="00F90AAE"/>
    <w:rsid w:val="00F94AD1"/>
    <w:rsid w:val="00FA780B"/>
    <w:rsid w:val="00FB499B"/>
    <w:rsid w:val="00FD0546"/>
    <w:rsid w:val="00FD1B79"/>
    <w:rsid w:val="00FD53B5"/>
    <w:rsid w:val="00FE4313"/>
    <w:rsid w:val="00FF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2EB2E96"/>
  <w15:chartTrackingRefBased/>
  <w15:docId w15:val="{B900EDD6-42BA-4791-9DAA-2A0D13C8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Cit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31B12"/>
    <w:pPr>
      <w:overflowPunct w:val="0"/>
      <w:autoSpaceDE w:val="0"/>
      <w:autoSpaceDN w:val="0"/>
      <w:adjustRightInd w:val="0"/>
      <w:textAlignment w:val="baseline"/>
    </w:pPr>
  </w:style>
  <w:style w:type="paragraph" w:styleId="Nagwek1">
    <w:name w:val="heading 1"/>
    <w:basedOn w:val="Normalny"/>
    <w:next w:val="Normalny"/>
    <w:qFormat/>
    <w:rsid w:val="00731B12"/>
    <w:pPr>
      <w:keepNext/>
      <w:outlineLvl w:val="0"/>
    </w:pPr>
    <w:rPr>
      <w:sz w:val="24"/>
    </w:rPr>
  </w:style>
  <w:style w:type="paragraph" w:styleId="Nagwek3">
    <w:name w:val="heading 3"/>
    <w:basedOn w:val="Normalny"/>
    <w:next w:val="Normalny"/>
    <w:qFormat/>
    <w:rsid w:val="00731B12"/>
    <w:pPr>
      <w:keepNext/>
      <w:spacing w:line="360" w:lineRule="auto"/>
      <w:jc w:val="both"/>
      <w:outlineLvl w:val="2"/>
    </w:pPr>
    <w:rPr>
      <w:b/>
      <w:sz w:val="24"/>
    </w:rPr>
  </w:style>
  <w:style w:type="paragraph" w:styleId="Nagwek4">
    <w:name w:val="heading 4"/>
    <w:basedOn w:val="Normalny"/>
    <w:next w:val="Normalny"/>
    <w:qFormat/>
    <w:rsid w:val="00731B12"/>
    <w:pPr>
      <w:keepNext/>
      <w:spacing w:line="360" w:lineRule="auto"/>
      <w:jc w:val="both"/>
      <w:outlineLvl w:val="3"/>
    </w:pPr>
    <w:rPr>
      <w:sz w:val="24"/>
      <w:u w:val="single"/>
    </w:rPr>
  </w:style>
  <w:style w:type="paragraph" w:styleId="Nagwek5">
    <w:name w:val="heading 5"/>
    <w:basedOn w:val="Normalny"/>
    <w:next w:val="Normalny"/>
    <w:qFormat/>
    <w:rsid w:val="00731B12"/>
    <w:pPr>
      <w:keepNext/>
      <w:spacing w:line="360" w:lineRule="auto"/>
      <w:jc w:val="both"/>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731B12"/>
    <w:pPr>
      <w:spacing w:line="360" w:lineRule="auto"/>
      <w:jc w:val="both"/>
    </w:pPr>
    <w:rPr>
      <w:sz w:val="24"/>
    </w:rPr>
  </w:style>
  <w:style w:type="paragraph" w:styleId="Stopka">
    <w:name w:val="footer"/>
    <w:basedOn w:val="Normalny"/>
    <w:link w:val="StopkaZnak"/>
    <w:uiPriority w:val="99"/>
    <w:rsid w:val="00731B12"/>
    <w:pPr>
      <w:tabs>
        <w:tab w:val="center" w:pos="4536"/>
        <w:tab w:val="right" w:pos="9072"/>
      </w:tabs>
    </w:pPr>
  </w:style>
  <w:style w:type="character" w:styleId="Numerstrony">
    <w:name w:val="page number"/>
    <w:basedOn w:val="Domylnaczcionkaakapitu"/>
    <w:rsid w:val="00731B12"/>
  </w:style>
  <w:style w:type="paragraph" w:styleId="Tekstdymka">
    <w:name w:val="Balloon Text"/>
    <w:basedOn w:val="Normalny"/>
    <w:semiHidden/>
    <w:rsid w:val="00D81968"/>
    <w:rPr>
      <w:rFonts w:ascii="Tahoma" w:hAnsi="Tahoma" w:cs="Tahoma"/>
      <w:sz w:val="16"/>
      <w:szCs w:val="16"/>
    </w:rPr>
  </w:style>
  <w:style w:type="table" w:styleId="Tabela-Siatka">
    <w:name w:val="Table Grid"/>
    <w:basedOn w:val="Standardowy"/>
    <w:rsid w:val="002965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dtytu">
    <w:name w:val="Subtitle"/>
    <w:basedOn w:val="Normalny"/>
    <w:qFormat/>
    <w:rsid w:val="005E7435"/>
    <w:pPr>
      <w:overflowPunct/>
      <w:autoSpaceDE/>
      <w:autoSpaceDN/>
      <w:adjustRightInd/>
      <w:jc w:val="center"/>
      <w:textAlignment w:val="auto"/>
    </w:pPr>
    <w:rPr>
      <w:rFonts w:ascii="Arial" w:hAnsi="Arial"/>
      <w:b/>
      <w:sz w:val="24"/>
      <w:u w:val="single"/>
      <w:lang w:eastAsia="en-GB"/>
    </w:rPr>
  </w:style>
  <w:style w:type="paragraph" w:styleId="Nagwek">
    <w:name w:val="header"/>
    <w:basedOn w:val="Normalny"/>
    <w:rsid w:val="005E7435"/>
    <w:pPr>
      <w:tabs>
        <w:tab w:val="center" w:pos="4536"/>
        <w:tab w:val="right" w:pos="9072"/>
      </w:tabs>
    </w:pPr>
  </w:style>
  <w:style w:type="paragraph" w:customStyle="1" w:styleId="FR1">
    <w:name w:val="FR1"/>
    <w:rsid w:val="00B241F6"/>
    <w:pPr>
      <w:widowControl w:val="0"/>
      <w:autoSpaceDE w:val="0"/>
      <w:autoSpaceDN w:val="0"/>
      <w:adjustRightInd w:val="0"/>
      <w:spacing w:before="360"/>
    </w:pPr>
    <w:rPr>
      <w:rFonts w:ascii="Arial" w:hAnsi="Arial" w:cs="Arial"/>
      <w:b/>
      <w:bCs/>
      <w:lang w:val="pl-PL" w:eastAsia="pl-PL"/>
    </w:rPr>
  </w:style>
  <w:style w:type="character" w:styleId="Odwoaniedokomentarza">
    <w:name w:val="annotation reference"/>
    <w:rsid w:val="001C4800"/>
    <w:rPr>
      <w:sz w:val="16"/>
      <w:szCs w:val="16"/>
    </w:rPr>
  </w:style>
  <w:style w:type="paragraph" w:styleId="Tekstkomentarza">
    <w:name w:val="annotation text"/>
    <w:basedOn w:val="Normalny"/>
    <w:link w:val="TekstkomentarzaZnak"/>
    <w:rsid w:val="001C4800"/>
  </w:style>
  <w:style w:type="character" w:customStyle="1" w:styleId="TekstkomentarzaZnak">
    <w:name w:val="Tekst komentarza Znak"/>
    <w:basedOn w:val="Domylnaczcionkaakapitu"/>
    <w:link w:val="Tekstkomentarza"/>
    <w:rsid w:val="001C4800"/>
  </w:style>
  <w:style w:type="paragraph" w:styleId="Tematkomentarza">
    <w:name w:val="annotation subject"/>
    <w:basedOn w:val="Tekstkomentarza"/>
    <w:next w:val="Tekstkomentarza"/>
    <w:link w:val="TematkomentarzaZnak"/>
    <w:rsid w:val="001C4800"/>
    <w:rPr>
      <w:b/>
      <w:bCs/>
      <w:lang w:val="x-none" w:eastAsia="x-none"/>
    </w:rPr>
  </w:style>
  <w:style w:type="character" w:customStyle="1" w:styleId="TematkomentarzaZnak">
    <w:name w:val="Temat komentarza Znak"/>
    <w:link w:val="Tematkomentarza"/>
    <w:rsid w:val="001C4800"/>
    <w:rPr>
      <w:b/>
      <w:bCs/>
    </w:rPr>
  </w:style>
  <w:style w:type="character" w:customStyle="1" w:styleId="StopkaZnak">
    <w:name w:val="Stopka Znak"/>
    <w:link w:val="Stopka"/>
    <w:uiPriority w:val="99"/>
    <w:rsid w:val="00787C8E"/>
  </w:style>
  <w:style w:type="paragraph" w:styleId="HTML-wstpniesformatowany">
    <w:name w:val="HTML Preformatted"/>
    <w:basedOn w:val="Normalny"/>
    <w:link w:val="HTML-wstpniesformatowanyZnak"/>
    <w:uiPriority w:val="99"/>
    <w:unhideWhenUsed/>
    <w:rsid w:val="0035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wstpniesformatowanyZnak">
    <w:name w:val="HTML - wstępnie sformatowany Znak"/>
    <w:link w:val="HTML-wstpniesformatowany"/>
    <w:uiPriority w:val="99"/>
    <w:rsid w:val="00353EB0"/>
    <w:rPr>
      <w:rFonts w:ascii="Courier New" w:hAnsi="Courier New" w:cs="Courier New"/>
    </w:rPr>
  </w:style>
  <w:style w:type="character" w:styleId="Hipercze">
    <w:name w:val="Hyperlink"/>
    <w:rsid w:val="0012718D"/>
    <w:rPr>
      <w:color w:val="0000FF"/>
      <w:u w:val="single"/>
    </w:rPr>
  </w:style>
  <w:style w:type="character" w:styleId="HTML-cytat">
    <w:name w:val="HTML Cite"/>
    <w:uiPriority w:val="99"/>
    <w:unhideWhenUsed/>
    <w:rsid w:val="00046135"/>
    <w:rPr>
      <w:i/>
      <w:iCs/>
    </w:rPr>
  </w:style>
  <w:style w:type="character" w:styleId="Uwydatnienie">
    <w:name w:val="Emphasis"/>
    <w:uiPriority w:val="20"/>
    <w:qFormat/>
    <w:rsid w:val="006E3A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524">
      <w:bodyDiv w:val="1"/>
      <w:marLeft w:val="0"/>
      <w:marRight w:val="0"/>
      <w:marTop w:val="0"/>
      <w:marBottom w:val="0"/>
      <w:divBdr>
        <w:top w:val="none" w:sz="0" w:space="0" w:color="auto"/>
        <w:left w:val="none" w:sz="0" w:space="0" w:color="auto"/>
        <w:bottom w:val="none" w:sz="0" w:space="0" w:color="auto"/>
        <w:right w:val="none" w:sz="0" w:space="0" w:color="auto"/>
      </w:divBdr>
    </w:div>
    <w:div w:id="73086885">
      <w:bodyDiv w:val="1"/>
      <w:marLeft w:val="0"/>
      <w:marRight w:val="0"/>
      <w:marTop w:val="0"/>
      <w:marBottom w:val="0"/>
      <w:divBdr>
        <w:top w:val="none" w:sz="0" w:space="0" w:color="auto"/>
        <w:left w:val="none" w:sz="0" w:space="0" w:color="auto"/>
        <w:bottom w:val="none" w:sz="0" w:space="0" w:color="auto"/>
        <w:right w:val="none" w:sz="0" w:space="0" w:color="auto"/>
      </w:divBdr>
    </w:div>
    <w:div w:id="484514989">
      <w:bodyDiv w:val="1"/>
      <w:marLeft w:val="0"/>
      <w:marRight w:val="0"/>
      <w:marTop w:val="0"/>
      <w:marBottom w:val="0"/>
      <w:divBdr>
        <w:top w:val="none" w:sz="0" w:space="0" w:color="auto"/>
        <w:left w:val="none" w:sz="0" w:space="0" w:color="auto"/>
        <w:bottom w:val="none" w:sz="0" w:space="0" w:color="auto"/>
        <w:right w:val="none" w:sz="0" w:space="0" w:color="auto"/>
      </w:divBdr>
    </w:div>
    <w:div w:id="774636230">
      <w:bodyDiv w:val="1"/>
      <w:marLeft w:val="0"/>
      <w:marRight w:val="0"/>
      <w:marTop w:val="0"/>
      <w:marBottom w:val="0"/>
      <w:divBdr>
        <w:top w:val="none" w:sz="0" w:space="0" w:color="auto"/>
        <w:left w:val="none" w:sz="0" w:space="0" w:color="auto"/>
        <w:bottom w:val="none" w:sz="0" w:space="0" w:color="auto"/>
        <w:right w:val="none" w:sz="0" w:space="0" w:color="auto"/>
      </w:divBdr>
    </w:div>
    <w:div w:id="776994823">
      <w:bodyDiv w:val="1"/>
      <w:marLeft w:val="0"/>
      <w:marRight w:val="0"/>
      <w:marTop w:val="0"/>
      <w:marBottom w:val="0"/>
      <w:divBdr>
        <w:top w:val="none" w:sz="0" w:space="0" w:color="auto"/>
        <w:left w:val="none" w:sz="0" w:space="0" w:color="auto"/>
        <w:bottom w:val="none" w:sz="0" w:space="0" w:color="auto"/>
        <w:right w:val="none" w:sz="0" w:space="0" w:color="auto"/>
      </w:divBdr>
    </w:div>
    <w:div w:id="856390552">
      <w:bodyDiv w:val="1"/>
      <w:marLeft w:val="0"/>
      <w:marRight w:val="0"/>
      <w:marTop w:val="0"/>
      <w:marBottom w:val="0"/>
      <w:divBdr>
        <w:top w:val="none" w:sz="0" w:space="0" w:color="auto"/>
        <w:left w:val="none" w:sz="0" w:space="0" w:color="auto"/>
        <w:bottom w:val="none" w:sz="0" w:space="0" w:color="auto"/>
        <w:right w:val="none" w:sz="0" w:space="0" w:color="auto"/>
      </w:divBdr>
    </w:div>
    <w:div w:id="887180702">
      <w:bodyDiv w:val="1"/>
      <w:marLeft w:val="0"/>
      <w:marRight w:val="0"/>
      <w:marTop w:val="0"/>
      <w:marBottom w:val="0"/>
      <w:divBdr>
        <w:top w:val="none" w:sz="0" w:space="0" w:color="auto"/>
        <w:left w:val="none" w:sz="0" w:space="0" w:color="auto"/>
        <w:bottom w:val="none" w:sz="0" w:space="0" w:color="auto"/>
        <w:right w:val="none" w:sz="0" w:space="0" w:color="auto"/>
      </w:divBdr>
    </w:div>
    <w:div w:id="1101685203">
      <w:bodyDiv w:val="1"/>
      <w:marLeft w:val="0"/>
      <w:marRight w:val="0"/>
      <w:marTop w:val="0"/>
      <w:marBottom w:val="0"/>
      <w:divBdr>
        <w:top w:val="none" w:sz="0" w:space="0" w:color="auto"/>
        <w:left w:val="none" w:sz="0" w:space="0" w:color="auto"/>
        <w:bottom w:val="none" w:sz="0" w:space="0" w:color="auto"/>
        <w:right w:val="none" w:sz="0" w:space="0" w:color="auto"/>
      </w:divBdr>
    </w:div>
    <w:div w:id="1184126176">
      <w:bodyDiv w:val="1"/>
      <w:marLeft w:val="0"/>
      <w:marRight w:val="0"/>
      <w:marTop w:val="0"/>
      <w:marBottom w:val="0"/>
      <w:divBdr>
        <w:top w:val="none" w:sz="0" w:space="0" w:color="auto"/>
        <w:left w:val="none" w:sz="0" w:space="0" w:color="auto"/>
        <w:bottom w:val="none" w:sz="0" w:space="0" w:color="auto"/>
        <w:right w:val="none" w:sz="0" w:space="0" w:color="auto"/>
      </w:divBdr>
    </w:div>
    <w:div w:id="1258634812">
      <w:bodyDiv w:val="1"/>
      <w:marLeft w:val="0"/>
      <w:marRight w:val="0"/>
      <w:marTop w:val="0"/>
      <w:marBottom w:val="0"/>
      <w:divBdr>
        <w:top w:val="none" w:sz="0" w:space="0" w:color="auto"/>
        <w:left w:val="none" w:sz="0" w:space="0" w:color="auto"/>
        <w:bottom w:val="none" w:sz="0" w:space="0" w:color="auto"/>
        <w:right w:val="none" w:sz="0" w:space="0" w:color="auto"/>
      </w:divBdr>
    </w:div>
    <w:div w:id="1599212374">
      <w:bodyDiv w:val="1"/>
      <w:marLeft w:val="0"/>
      <w:marRight w:val="0"/>
      <w:marTop w:val="0"/>
      <w:marBottom w:val="0"/>
      <w:divBdr>
        <w:top w:val="none" w:sz="0" w:space="0" w:color="auto"/>
        <w:left w:val="none" w:sz="0" w:space="0" w:color="auto"/>
        <w:bottom w:val="none" w:sz="0" w:space="0" w:color="auto"/>
        <w:right w:val="none" w:sz="0" w:space="0" w:color="auto"/>
      </w:divBdr>
    </w:div>
    <w:div w:id="1911428004">
      <w:bodyDiv w:val="1"/>
      <w:marLeft w:val="0"/>
      <w:marRight w:val="0"/>
      <w:marTop w:val="0"/>
      <w:marBottom w:val="0"/>
      <w:divBdr>
        <w:top w:val="none" w:sz="0" w:space="0" w:color="auto"/>
        <w:left w:val="none" w:sz="0" w:space="0" w:color="auto"/>
        <w:bottom w:val="none" w:sz="0" w:space="0" w:color="auto"/>
        <w:right w:val="none" w:sz="0" w:space="0" w:color="auto"/>
      </w:divBdr>
      <w:divsChild>
        <w:div w:id="1534806715">
          <w:marLeft w:val="0"/>
          <w:marRight w:val="0"/>
          <w:marTop w:val="0"/>
          <w:marBottom w:val="0"/>
          <w:divBdr>
            <w:top w:val="none" w:sz="0" w:space="0" w:color="auto"/>
            <w:left w:val="none" w:sz="0" w:space="0" w:color="auto"/>
            <w:bottom w:val="none" w:sz="0" w:space="0" w:color="auto"/>
            <w:right w:val="none" w:sz="0" w:space="0" w:color="auto"/>
          </w:divBdr>
        </w:div>
        <w:div w:id="1637834715">
          <w:marLeft w:val="45"/>
          <w:marRight w:val="45"/>
          <w:marTop w:val="15"/>
          <w:marBottom w:val="0"/>
          <w:divBdr>
            <w:top w:val="none" w:sz="0" w:space="0" w:color="auto"/>
            <w:left w:val="none" w:sz="0" w:space="0" w:color="auto"/>
            <w:bottom w:val="none" w:sz="0" w:space="0" w:color="auto"/>
            <w:right w:val="none" w:sz="0" w:space="0" w:color="auto"/>
          </w:divBdr>
          <w:divsChild>
            <w:div w:id="8172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de_x0020_name xmlns="82db5bd2-3f09-4eff-b4f8-de6a53cd5a02">Biseptol 480</Trade_x0020_name>
    <Procedure_number xmlns="82db5bd2-3f09-4eff-b4f8-de6a53cd5a02"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3F563-B12C-4284-95F6-1443C1998807}">
  <ds:schemaRefs>
    <ds:schemaRef ds:uri="http://schemas.microsoft.com/sharepoint/v3/contenttype/forms"/>
  </ds:schemaRefs>
</ds:datastoreItem>
</file>

<file path=customXml/itemProps2.xml><?xml version="1.0" encoding="utf-8"?>
<ds:datastoreItem xmlns:ds="http://schemas.openxmlformats.org/officeDocument/2006/customXml" ds:itemID="{3D47DEDB-6FD7-446B-815F-5CD650E16E0A}">
  <ds:schemaRef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82db5bd2-3f09-4eff-b4f8-de6a53cd5a02"/>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F8F9274-6D98-4D4D-AE0C-99C3D6C94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15</Pages>
  <Words>4701</Words>
  <Characters>31038</Characters>
  <Application>Microsoft Office Word</Application>
  <DocSecurity>0</DocSecurity>
  <Lines>258</Lines>
  <Paragraphs>71</Paragraphs>
  <ScaleCrop>false</ScaleCrop>
  <HeadingPairs>
    <vt:vector size="4" baseType="variant">
      <vt:variant>
        <vt:lpstr>Tytuł</vt:lpstr>
      </vt:variant>
      <vt:variant>
        <vt:i4>1</vt:i4>
      </vt:variant>
      <vt:variant>
        <vt:lpstr>Názov</vt:lpstr>
      </vt:variant>
      <vt:variant>
        <vt:i4>1</vt:i4>
      </vt:variant>
    </vt:vector>
  </HeadingPairs>
  <TitlesOfParts>
    <vt:vector size="2" baseType="lpstr">
      <vt:lpstr>SCHVÁLENÝ TEXT K ROZHODNUTIU O ZMENE, EV</vt:lpstr>
      <vt:lpstr>SCHVÁLENÝ TEXT K ROZHODNUTIU O ZMENE, EV</vt:lpstr>
    </vt:vector>
  </TitlesOfParts>
  <Company>SUKL</Company>
  <LinksUpToDate>false</LinksUpToDate>
  <CharactersWithSpaces>35668</CharactersWithSpaces>
  <SharedDoc>false</SharedDoc>
  <HLinks>
    <vt:vector size="6"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ZMENE, EV</dc:title>
  <dc:subject/>
  <dc:creator>MD-Pharm</dc:creator>
  <cp:keywords/>
  <dc:description/>
  <cp:lastModifiedBy>Górniak Anna</cp:lastModifiedBy>
  <cp:revision>20</cp:revision>
  <cp:lastPrinted>2019-07-26T07:02:00Z</cp:lastPrinted>
  <dcterms:created xsi:type="dcterms:W3CDTF">2019-07-25T11:25:00Z</dcterms:created>
  <dcterms:modified xsi:type="dcterms:W3CDTF">2019-07-26T09:16:00Z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