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01" w:rsidRDefault="0061022A">
      <w:pPr>
        <w:rPr>
          <w:rFonts w:ascii="Arial" w:hAnsi="Arial" w:cs="Arial"/>
          <w:sz w:val="18"/>
          <w:szCs w:val="18"/>
        </w:rPr>
      </w:pPr>
      <w:r w:rsidRPr="0061022A">
        <w:rPr>
          <w:rFonts w:ascii="Arial" w:hAnsi="Arial" w:cs="Arial"/>
          <w:sz w:val="18"/>
          <w:szCs w:val="18"/>
        </w:rPr>
        <w:t>Príloha č. 1 k</w:t>
      </w:r>
      <w:r>
        <w:rPr>
          <w:rFonts w:ascii="Arial" w:hAnsi="Arial" w:cs="Arial"/>
          <w:sz w:val="18"/>
          <w:szCs w:val="18"/>
        </w:rPr>
        <w:t> </w:t>
      </w:r>
      <w:r w:rsidRPr="0061022A">
        <w:rPr>
          <w:rFonts w:ascii="Arial" w:hAnsi="Arial" w:cs="Arial"/>
          <w:sz w:val="18"/>
          <w:szCs w:val="18"/>
        </w:rPr>
        <w:t>rozhodnutiu</w:t>
      </w:r>
      <w:r>
        <w:rPr>
          <w:rFonts w:ascii="Arial" w:hAnsi="Arial" w:cs="Arial"/>
          <w:sz w:val="18"/>
          <w:szCs w:val="18"/>
        </w:rPr>
        <w:t xml:space="preserve"> o predĺžení registrácie ev. č. 0199/2002</w:t>
      </w:r>
    </w:p>
    <w:p w:rsidR="0061022A" w:rsidRDefault="0061022A">
      <w:pPr>
        <w:rPr>
          <w:rFonts w:ascii="Arial" w:hAnsi="Arial" w:cs="Arial"/>
          <w:sz w:val="18"/>
          <w:szCs w:val="18"/>
        </w:rPr>
      </w:pPr>
    </w:p>
    <w:p w:rsidR="0061022A" w:rsidRDefault="0061022A" w:rsidP="00C07952">
      <w:pPr>
        <w:jc w:val="both"/>
        <w:rPr>
          <w:rFonts w:ascii="Arial" w:hAnsi="Arial" w:cs="Arial"/>
          <w:sz w:val="18"/>
          <w:szCs w:val="18"/>
        </w:rPr>
      </w:pPr>
    </w:p>
    <w:p w:rsidR="0061022A" w:rsidRDefault="0061022A" w:rsidP="00C07952">
      <w:pPr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61022A" w:rsidRDefault="0061022A" w:rsidP="00C0795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185C4C">
        <w:rPr>
          <w:rFonts w:ascii="Arial" w:hAnsi="Arial" w:cs="Arial"/>
        </w:rPr>
        <w:tab/>
      </w:r>
      <w:r w:rsidRPr="0061022A">
        <w:rPr>
          <w:rFonts w:ascii="Arial" w:hAnsi="Arial" w:cs="Arial"/>
          <w:b/>
        </w:rPr>
        <w:t>SÚHRN CHARAKTERISTIC</w:t>
      </w:r>
      <w:r w:rsidR="00185C4C">
        <w:rPr>
          <w:rFonts w:ascii="Arial" w:hAnsi="Arial" w:cs="Arial"/>
          <w:b/>
        </w:rPr>
        <w:t>K</w:t>
      </w:r>
      <w:r w:rsidRPr="0061022A">
        <w:rPr>
          <w:rFonts w:ascii="Arial" w:hAnsi="Arial" w:cs="Arial"/>
          <w:b/>
        </w:rPr>
        <w:t>ÝCH  VLASTNOSTÍ LIEKU (SPC</w:t>
      </w:r>
      <w:r>
        <w:rPr>
          <w:rFonts w:ascii="Arial" w:hAnsi="Arial" w:cs="Arial"/>
          <w:b/>
        </w:rPr>
        <w:t>)</w:t>
      </w:r>
    </w:p>
    <w:p w:rsidR="0061022A" w:rsidRDefault="0061022A" w:rsidP="00C07952">
      <w:pPr>
        <w:jc w:val="both"/>
        <w:rPr>
          <w:rFonts w:ascii="Arial" w:hAnsi="Arial" w:cs="Arial"/>
          <w:b/>
        </w:rPr>
      </w:pPr>
    </w:p>
    <w:p w:rsidR="0061022A" w:rsidRDefault="0061022A" w:rsidP="00C07952">
      <w:pPr>
        <w:jc w:val="both"/>
        <w:rPr>
          <w:rFonts w:ascii="Arial" w:hAnsi="Arial" w:cs="Arial"/>
          <w:b/>
        </w:rPr>
      </w:pPr>
    </w:p>
    <w:p w:rsidR="0061022A" w:rsidRDefault="0061022A" w:rsidP="00C07952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61022A">
        <w:rPr>
          <w:rFonts w:ascii="Arial" w:hAnsi="Arial" w:cs="Arial"/>
          <w:b/>
        </w:rPr>
        <w:t>NÁZOV LIEKU</w:t>
      </w:r>
    </w:p>
    <w:p w:rsidR="001C7D91" w:rsidRDefault="001C7D91" w:rsidP="00C07952">
      <w:pPr>
        <w:pStyle w:val="Odsekzoznamu"/>
        <w:jc w:val="both"/>
        <w:rPr>
          <w:rFonts w:ascii="Arial" w:hAnsi="Arial" w:cs="Arial"/>
          <w:b/>
        </w:rPr>
      </w:pPr>
    </w:p>
    <w:p w:rsidR="001C7D91" w:rsidRDefault="001C7D91" w:rsidP="00C07952">
      <w:pPr>
        <w:pStyle w:val="Odsekzoznamu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Traumaplant®</w:t>
      </w:r>
    </w:p>
    <w:p w:rsidR="001C7D91" w:rsidRDefault="001C7D91" w:rsidP="00C07952">
      <w:pPr>
        <w:pStyle w:val="Odsekzoznamu"/>
        <w:jc w:val="both"/>
        <w:rPr>
          <w:rFonts w:ascii="Arial" w:hAnsi="Arial" w:cs="Arial"/>
          <w:b/>
        </w:rPr>
      </w:pPr>
    </w:p>
    <w:p w:rsidR="001C7D91" w:rsidRDefault="001C7D91" w:rsidP="00C07952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KVALITATÍVNE A KVANTITATÍVNE ZLOŽENIE</w:t>
      </w:r>
    </w:p>
    <w:p w:rsidR="001C7D91" w:rsidRDefault="001C7D91" w:rsidP="00C07952">
      <w:pPr>
        <w:pStyle w:val="Odsekzoznamu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1 g masti obsahuje: Symphyti peregrini herbae succus 100 mg (10%)</w:t>
      </w:r>
    </w:p>
    <w:p w:rsidR="001C7D91" w:rsidRDefault="001C7D91" w:rsidP="00C07952">
      <w:pPr>
        <w:pStyle w:val="Odsekzoznamu"/>
        <w:jc w:val="both"/>
        <w:rPr>
          <w:rFonts w:ascii="Arial" w:hAnsi="Arial" w:cs="Arial"/>
        </w:rPr>
      </w:pPr>
    </w:p>
    <w:p w:rsidR="001C7D91" w:rsidRDefault="001C7D91" w:rsidP="00C07952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LIEKOVÁ FORMA</w:t>
      </w:r>
    </w:p>
    <w:p w:rsidR="001C7D91" w:rsidRDefault="001C7D91" w:rsidP="00C07952">
      <w:pPr>
        <w:pStyle w:val="Odsekzoznamu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masť</w:t>
      </w:r>
    </w:p>
    <w:p w:rsidR="001C7D91" w:rsidRDefault="001C7D91" w:rsidP="00C07952">
      <w:pPr>
        <w:pStyle w:val="Odsekzoznamu"/>
        <w:jc w:val="both"/>
        <w:rPr>
          <w:rFonts w:ascii="Arial" w:hAnsi="Arial" w:cs="Arial"/>
        </w:rPr>
      </w:pPr>
    </w:p>
    <w:p w:rsidR="001C7D91" w:rsidRDefault="001C7D91" w:rsidP="00C07952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KLINICKÉ ÚDAJE</w:t>
      </w:r>
    </w:p>
    <w:p w:rsidR="001C7D91" w:rsidRDefault="001C7D91" w:rsidP="00C07952">
      <w:pPr>
        <w:pStyle w:val="Odsekzoznamu"/>
        <w:numPr>
          <w:ilvl w:val="1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Terapeutické indikácie</w:t>
      </w:r>
    </w:p>
    <w:p w:rsidR="001C7D91" w:rsidRDefault="001C7D91" w:rsidP="00C07952">
      <w:pPr>
        <w:pStyle w:val="Odsekzoznamu"/>
        <w:ind w:left="360"/>
        <w:jc w:val="both"/>
        <w:rPr>
          <w:rFonts w:ascii="Arial" w:hAnsi="Arial" w:cs="Arial"/>
        </w:rPr>
      </w:pPr>
      <w:r w:rsidRPr="001C7D91">
        <w:rPr>
          <w:rFonts w:ascii="Arial" w:hAnsi="Arial" w:cs="Arial"/>
        </w:rPr>
        <w:t>Pomliaždeniny, vytknutia, natrhnutia svalov a šliach, bolesti svalov a kĺbov, zle sa hojace rany.</w:t>
      </w:r>
    </w:p>
    <w:p w:rsidR="001C7D91" w:rsidRDefault="001C7D91" w:rsidP="00C07952">
      <w:pPr>
        <w:pStyle w:val="Odsekzoznamu"/>
        <w:ind w:left="360"/>
        <w:jc w:val="both"/>
        <w:rPr>
          <w:rFonts w:ascii="Arial" w:hAnsi="Arial" w:cs="Arial"/>
        </w:rPr>
      </w:pPr>
    </w:p>
    <w:p w:rsidR="001C7D91" w:rsidRDefault="005A5686" w:rsidP="00C07952">
      <w:pPr>
        <w:pStyle w:val="Odsekzoznamu"/>
        <w:numPr>
          <w:ilvl w:val="1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Dávkovanie a spôsob podávania:</w:t>
      </w:r>
    </w:p>
    <w:p w:rsidR="005A5686" w:rsidRDefault="005A5686" w:rsidP="00C07952">
      <w:pPr>
        <w:pStyle w:val="Odsekzoznamu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Na vonkajšie použitie:</w:t>
      </w:r>
    </w:p>
    <w:p w:rsidR="005A5686" w:rsidRDefault="005A5686" w:rsidP="00C07952">
      <w:pPr>
        <w:pStyle w:val="Odsekzoznamu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Ak nie je uvedené inak, masť sa nanáša niekoľkokrát denne na postihnuté miesto. Obzvlášť vhodné je použitie formou masťového obväzu.</w:t>
      </w:r>
    </w:p>
    <w:p w:rsidR="005A5686" w:rsidRDefault="005A5686" w:rsidP="00C07952">
      <w:pPr>
        <w:pStyle w:val="Odsekzoznamu"/>
        <w:ind w:left="360"/>
        <w:jc w:val="both"/>
        <w:rPr>
          <w:rFonts w:ascii="Arial" w:hAnsi="Arial" w:cs="Arial"/>
        </w:rPr>
      </w:pPr>
    </w:p>
    <w:p w:rsidR="005A5686" w:rsidRDefault="005A5686" w:rsidP="00C07952">
      <w:pPr>
        <w:pStyle w:val="Odsekzoznamu"/>
        <w:numPr>
          <w:ilvl w:val="1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Kontraindikácia</w:t>
      </w:r>
    </w:p>
    <w:p w:rsidR="005A5686" w:rsidRDefault="005A5686" w:rsidP="00C07952">
      <w:pPr>
        <w:pStyle w:val="Odsekzoznamu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Ak sa liek používa podľa návodu, nevyskytujú sa žiadne kontraindikácie.</w:t>
      </w:r>
    </w:p>
    <w:p w:rsidR="005A5686" w:rsidRDefault="005A5686" w:rsidP="00C07952">
      <w:pPr>
        <w:pStyle w:val="Odsekzoznamu"/>
        <w:ind w:left="360"/>
        <w:jc w:val="both"/>
        <w:rPr>
          <w:rFonts w:ascii="Arial" w:hAnsi="Arial" w:cs="Arial"/>
        </w:rPr>
      </w:pPr>
    </w:p>
    <w:p w:rsidR="005A5686" w:rsidRDefault="005A5686" w:rsidP="00C07952">
      <w:pPr>
        <w:pStyle w:val="Odsekzoznamu"/>
        <w:numPr>
          <w:ilvl w:val="1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Špeciálne upozornenia</w:t>
      </w:r>
    </w:p>
    <w:p w:rsidR="005A5686" w:rsidRDefault="005A5686" w:rsidP="00C07952">
      <w:pPr>
        <w:pStyle w:val="Odsekzoznamu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sú uvedené</w:t>
      </w:r>
    </w:p>
    <w:p w:rsidR="005A5686" w:rsidRDefault="005A5686" w:rsidP="00C07952">
      <w:pPr>
        <w:pStyle w:val="Odsekzoznamu"/>
        <w:ind w:left="360"/>
        <w:jc w:val="both"/>
        <w:rPr>
          <w:rFonts w:ascii="Arial" w:hAnsi="Arial" w:cs="Arial"/>
        </w:rPr>
      </w:pPr>
    </w:p>
    <w:p w:rsidR="005A5686" w:rsidRDefault="005A5686" w:rsidP="00C07952">
      <w:pPr>
        <w:pStyle w:val="Odsekzoznamu"/>
        <w:numPr>
          <w:ilvl w:val="1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Liekové a iné interakcie</w:t>
      </w:r>
    </w:p>
    <w:p w:rsidR="005A5686" w:rsidRDefault="005A5686" w:rsidP="00C07952">
      <w:pPr>
        <w:pStyle w:val="Odsekzoznamu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sú uvedené</w:t>
      </w:r>
    </w:p>
    <w:p w:rsidR="005A5686" w:rsidRDefault="005A5686" w:rsidP="00C07952">
      <w:pPr>
        <w:pStyle w:val="Odsekzoznamu"/>
        <w:ind w:left="360"/>
        <w:jc w:val="both"/>
        <w:rPr>
          <w:rFonts w:ascii="Arial" w:hAnsi="Arial" w:cs="Arial"/>
        </w:rPr>
      </w:pPr>
    </w:p>
    <w:p w:rsidR="005A5686" w:rsidRDefault="005A5686" w:rsidP="00C07952">
      <w:pPr>
        <w:pStyle w:val="Odsekzoznamu"/>
        <w:numPr>
          <w:ilvl w:val="1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Používanie v gravidite a počas laktácie</w:t>
      </w:r>
    </w:p>
    <w:p w:rsidR="005A5686" w:rsidRDefault="005A5686" w:rsidP="00C07952">
      <w:pPr>
        <w:pStyle w:val="Odsekzoznamu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je uvedené</w:t>
      </w:r>
    </w:p>
    <w:p w:rsidR="005A5686" w:rsidRDefault="005A5686" w:rsidP="00C07952">
      <w:pPr>
        <w:pStyle w:val="Odsekzoznamu"/>
        <w:ind w:left="360"/>
        <w:jc w:val="both"/>
        <w:rPr>
          <w:rFonts w:ascii="Arial" w:hAnsi="Arial" w:cs="Arial"/>
        </w:rPr>
      </w:pPr>
    </w:p>
    <w:p w:rsidR="005A5686" w:rsidRDefault="005A5686" w:rsidP="00C07952">
      <w:pPr>
        <w:pStyle w:val="Odsekzoznamu"/>
        <w:numPr>
          <w:ilvl w:val="1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Ovplyvnenie schopnosti viesť motorové vozidlá a obsluhovať stroje</w:t>
      </w:r>
    </w:p>
    <w:p w:rsidR="005A5686" w:rsidRDefault="005A5686" w:rsidP="00C07952">
      <w:pPr>
        <w:pStyle w:val="Odsekzoznamu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Neexistuje</w:t>
      </w:r>
    </w:p>
    <w:p w:rsidR="005A5686" w:rsidRDefault="005A5686" w:rsidP="00C07952">
      <w:pPr>
        <w:pStyle w:val="Odsekzoznamu"/>
        <w:ind w:left="360"/>
        <w:jc w:val="both"/>
        <w:rPr>
          <w:rFonts w:ascii="Arial" w:hAnsi="Arial" w:cs="Arial"/>
        </w:rPr>
      </w:pPr>
    </w:p>
    <w:p w:rsidR="005A5686" w:rsidRDefault="005A5686" w:rsidP="00C07952">
      <w:pPr>
        <w:pStyle w:val="Odsekzoznamu"/>
        <w:numPr>
          <w:ilvl w:val="1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Nežiaduce účinky</w:t>
      </w:r>
    </w:p>
    <w:p w:rsidR="005A5686" w:rsidRDefault="00504A0D" w:rsidP="00C07952">
      <w:pPr>
        <w:pStyle w:val="Odsekzoznamu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Bolo preukázané, že liek Traumaplant®, koža veľmi dobre znáša. V ojedinelých prípadoch u pacientov s veľmi citlivou pokožkou sa môže vyskytnúť na niektorú zo zložiek lieku erytém (začervenanie). Vo všeobecnosti tieto symptómy rýchlo zmiznú. Po výskyte špecifickej alergickej reakcie by sa mal pacient poradiť s lekárom.</w:t>
      </w:r>
    </w:p>
    <w:p w:rsidR="00504A0D" w:rsidRDefault="00504A0D" w:rsidP="00C07952">
      <w:pPr>
        <w:pStyle w:val="Odsekzoznamu"/>
        <w:ind w:left="360"/>
        <w:jc w:val="both"/>
        <w:rPr>
          <w:rFonts w:ascii="Arial" w:hAnsi="Arial" w:cs="Arial"/>
        </w:rPr>
      </w:pPr>
    </w:p>
    <w:p w:rsidR="00504A0D" w:rsidRDefault="00504A0D" w:rsidP="00C07952">
      <w:pPr>
        <w:pStyle w:val="Odsekzoznamu"/>
        <w:numPr>
          <w:ilvl w:val="1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Predávkovanie</w:t>
      </w:r>
    </w:p>
    <w:p w:rsidR="00504A0D" w:rsidRDefault="00504A0D" w:rsidP="00C07952">
      <w:pPr>
        <w:pStyle w:val="Odsekzoznamu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je uvedené</w:t>
      </w:r>
    </w:p>
    <w:p w:rsidR="00504A0D" w:rsidRDefault="00504A0D" w:rsidP="00C07952">
      <w:pPr>
        <w:pStyle w:val="Odsekzoznamu"/>
        <w:ind w:left="360"/>
        <w:jc w:val="both"/>
        <w:rPr>
          <w:rFonts w:ascii="Arial" w:hAnsi="Arial" w:cs="Arial"/>
        </w:rPr>
      </w:pPr>
    </w:p>
    <w:p w:rsidR="00504A0D" w:rsidRDefault="00504A0D" w:rsidP="00C07952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FARMAKOLOGICKÉ VLASTNOSTI</w:t>
      </w:r>
    </w:p>
    <w:p w:rsidR="00504A0D" w:rsidRDefault="00504A0D" w:rsidP="00C07952">
      <w:pPr>
        <w:pStyle w:val="Odsekzoznamu"/>
        <w:ind w:left="360"/>
        <w:jc w:val="both"/>
        <w:rPr>
          <w:rFonts w:ascii="Arial" w:hAnsi="Arial" w:cs="Arial"/>
          <w:b/>
        </w:rPr>
      </w:pPr>
    </w:p>
    <w:p w:rsidR="00504A0D" w:rsidRDefault="00504A0D" w:rsidP="00C07952">
      <w:pPr>
        <w:pStyle w:val="Odsekzoznamu"/>
        <w:numPr>
          <w:ilvl w:val="1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Farmakodynamické vlastnosti</w:t>
      </w:r>
    </w:p>
    <w:p w:rsidR="00504A0D" w:rsidRDefault="00504A0D" w:rsidP="00C07952">
      <w:pPr>
        <w:pStyle w:val="Odsekzoznamu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Farmakoterapeutická skupina: Fytofarmakum, antiflogistikum</w:t>
      </w:r>
    </w:p>
    <w:p w:rsidR="00504A0D" w:rsidRDefault="00B45CDB" w:rsidP="00C07952">
      <w:pPr>
        <w:pStyle w:val="Odsekzoznamu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ATC:V03AX</w:t>
      </w:r>
    </w:p>
    <w:p w:rsidR="00B45CDB" w:rsidRDefault="00B45CDB" w:rsidP="00C07952">
      <w:pPr>
        <w:pStyle w:val="Odsekzoznamu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Nositeľom účinku lieku Traumaplant® je komplex látok získaný lisovaním šťavy z čerstvej vňate druhu Symphytum peregrinum a</w:t>
      </w:r>
      <w:r w:rsidR="00185C4C">
        <w:rPr>
          <w:rFonts w:ascii="Arial" w:hAnsi="Arial" w:cs="Arial"/>
        </w:rPr>
        <w:t> </w:t>
      </w:r>
      <w:r>
        <w:rPr>
          <w:rFonts w:ascii="Arial" w:hAnsi="Arial" w:cs="Arial"/>
        </w:rPr>
        <w:t>následnou</w:t>
      </w:r>
      <w:r w:rsidR="00185C4C">
        <w:rPr>
          <w:rFonts w:ascii="Arial" w:hAnsi="Arial" w:cs="Arial"/>
        </w:rPr>
        <w:t xml:space="preserve"> špeciálnou technologicku úpravou, ktorou sa zvýši koncentrácia účinného komplexu a odstránia vedľajšie a balastné látky.</w:t>
      </w:r>
    </w:p>
    <w:p w:rsidR="00185C4C" w:rsidRDefault="00185C4C" w:rsidP="00C07952">
      <w:pPr>
        <w:pStyle w:val="Odsekzoznamu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Masť pôsobí na povrchu priamo na otvorené rany. Jej perkutánny účinok do hĺbky sa využíva pri hlbokých zápaloch a exudátoch po tupých poraneniach.</w:t>
      </w:r>
    </w:p>
    <w:p w:rsidR="00185C4C" w:rsidRDefault="00185C4C" w:rsidP="00C07952">
      <w:pPr>
        <w:pStyle w:val="Odsekzoznamu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Hlavnými nositeľmi antiflogistického, antiexudatívneho a rany liečiaceho procesu sú cholín, kyselina rozmarínová a alantoín.</w:t>
      </w:r>
    </w:p>
    <w:p w:rsidR="00185C4C" w:rsidRDefault="00185C4C" w:rsidP="00C07952">
      <w:pPr>
        <w:pStyle w:val="Odsekzoznamu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Cholín má významnú</w:t>
      </w:r>
      <w:r w:rsidR="00BA126A">
        <w:rPr>
          <w:rFonts w:ascii="Arial" w:hAnsi="Arial" w:cs="Arial"/>
        </w:rPr>
        <w:t xml:space="preserve"> úlohu pri rôznych fyziologických procesoch. Spôsobuje okrem iného vazodilatáciu cez parasympatické nervové zakončenia a tak zlepšuje perfúziu v zapálených tkanivách. Zapálené exudáty a metabolity sa touto cestou odstránia. Ako vazoaktívna látka schopná utesniť membránu kapilár je najvýznamnejším komponentom lieku Traumaplant®.</w:t>
      </w:r>
    </w:p>
    <w:p w:rsidR="00BA126A" w:rsidRDefault="00BA126A" w:rsidP="00C07952">
      <w:pPr>
        <w:pStyle w:val="Odsekzoznamu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Kyselina rozmarínová má okrem antiexudatívneho účinku aj výrazné antiflogistické účinky a je schopná inhibovať tvorbu mediátorov zápalu.</w:t>
      </w:r>
    </w:p>
    <w:p w:rsidR="00BA126A" w:rsidRDefault="00BA126A" w:rsidP="00C07952">
      <w:pPr>
        <w:pStyle w:val="Odsekzoznamu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Alantoín stimuluje proliferáciu buniek a podporuje regeneráciu poškodeného tkaniva.</w:t>
      </w:r>
      <w:r w:rsidR="00234432">
        <w:rPr>
          <w:rFonts w:ascii="Arial" w:hAnsi="Arial" w:cs="Arial"/>
        </w:rPr>
        <w:t xml:space="preserve"> Je nositeľom granulačného a epitelizačného účinku.</w:t>
      </w:r>
    </w:p>
    <w:p w:rsidR="00234432" w:rsidRDefault="00234432" w:rsidP="00C07952">
      <w:pPr>
        <w:pStyle w:val="Odsekzoznamu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Antitraumatický účinok lieku sa vysvetľuje mnohostranným farmakologickým pôsobením jeho liečiv, ktoré priaznivo ovplyvňujú liečbu bolestivých ochorení kĺbov, športových poranení, natrhnutia svalov a šliach, zle sa hojacich rán a sprievodných zápalových procesov v oblasti svalov, šliach a kĺbov.</w:t>
      </w:r>
    </w:p>
    <w:p w:rsidR="00464075" w:rsidRDefault="00234432" w:rsidP="00C07952">
      <w:pPr>
        <w:pStyle w:val="Odsekzoznamu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Použitý emulzný systém masťového základu (o/v) výrazne podporuje rezorbciu liečiv.</w:t>
      </w:r>
    </w:p>
    <w:p w:rsidR="00464075" w:rsidRDefault="00464075" w:rsidP="00C07952">
      <w:pPr>
        <w:pStyle w:val="Odsekzoznamu"/>
        <w:ind w:left="360"/>
        <w:jc w:val="both"/>
        <w:rPr>
          <w:rFonts w:ascii="Arial" w:hAnsi="Arial" w:cs="Arial"/>
        </w:rPr>
      </w:pPr>
    </w:p>
    <w:p w:rsidR="00464075" w:rsidRDefault="00464075" w:rsidP="00C07952">
      <w:pPr>
        <w:pStyle w:val="Odsekzoznamu"/>
        <w:numPr>
          <w:ilvl w:val="1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Farmakokinetické vlastnosti</w:t>
      </w:r>
    </w:p>
    <w:p w:rsidR="00464075" w:rsidRDefault="00464075" w:rsidP="00C07952">
      <w:pPr>
        <w:pStyle w:val="Odsekzoznamu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sú uvedené</w:t>
      </w:r>
    </w:p>
    <w:p w:rsidR="00464075" w:rsidRDefault="00464075" w:rsidP="00C07952">
      <w:pPr>
        <w:pStyle w:val="Odsekzoznamu"/>
        <w:ind w:left="360"/>
        <w:jc w:val="both"/>
        <w:rPr>
          <w:rFonts w:ascii="Arial" w:hAnsi="Arial" w:cs="Arial"/>
        </w:rPr>
      </w:pPr>
    </w:p>
    <w:p w:rsidR="00464075" w:rsidRDefault="00464075" w:rsidP="00C07952">
      <w:pPr>
        <w:pStyle w:val="Odsekzoznamu"/>
        <w:numPr>
          <w:ilvl w:val="1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Predklinické údaje o bezpečnosti</w:t>
      </w:r>
    </w:p>
    <w:p w:rsidR="00464075" w:rsidRDefault="00464075" w:rsidP="00C07952">
      <w:pPr>
        <w:pStyle w:val="Odsekzoznamu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Vonkajšia aplikácia lieku Traumaplant® nemôže spôsobiť akútnu ani chronickú intoxikáciu. Na základe rozsiahlych analytických štúdií sa nepreukázala prítomnosť pyrolizidínových alkaloidov retronecínového typu v šťave z vňate Symphytum peregrinum (hranica priekaznosti 100 µg/kg resp. 100 µg/l)</w:t>
      </w:r>
      <w:r w:rsidR="00F2650C">
        <w:rPr>
          <w:rFonts w:ascii="Arial" w:hAnsi="Arial" w:cs="Arial"/>
        </w:rPr>
        <w:t>.</w:t>
      </w:r>
    </w:p>
    <w:p w:rsidR="00F2650C" w:rsidRDefault="00F2650C" w:rsidP="00C07952">
      <w:pPr>
        <w:pStyle w:val="Odsekzoznamu"/>
        <w:ind w:left="360"/>
        <w:jc w:val="both"/>
        <w:rPr>
          <w:rFonts w:ascii="Arial" w:hAnsi="Arial" w:cs="Arial"/>
        </w:rPr>
      </w:pPr>
    </w:p>
    <w:p w:rsidR="00F2650C" w:rsidRDefault="00F2650C" w:rsidP="00C07952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FARMACEUTICKÉ ÚDAJE</w:t>
      </w:r>
    </w:p>
    <w:p w:rsidR="00F2650C" w:rsidRDefault="00F2650C" w:rsidP="00C07952">
      <w:pPr>
        <w:jc w:val="both"/>
        <w:rPr>
          <w:rFonts w:ascii="Arial" w:hAnsi="Arial" w:cs="Arial"/>
          <w:b/>
        </w:rPr>
      </w:pPr>
    </w:p>
    <w:p w:rsidR="00F2650C" w:rsidRDefault="00F2650C" w:rsidP="00C07952">
      <w:pPr>
        <w:pStyle w:val="Odsekzoznamu"/>
        <w:numPr>
          <w:ilvl w:val="1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Zoznam pomocných látok</w:t>
      </w:r>
    </w:p>
    <w:p w:rsidR="00F2650C" w:rsidRDefault="00F2650C" w:rsidP="00C07952">
      <w:pPr>
        <w:pStyle w:val="Odsekzoznamu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Glyceromacrogoli 1000 monostearas, glyceroli monodistearas, octyldodecanolum, isopropylis myristas, dimethiconum, polypropylenglycolum, rosmarini aetheroleum, acidum sorbicum, acidum citricum, hydroxyethylis salicylas, tocoferoli alfa acetas, aqua purificata</w:t>
      </w:r>
    </w:p>
    <w:p w:rsidR="00F2650C" w:rsidRDefault="00F2650C" w:rsidP="00C07952">
      <w:pPr>
        <w:pStyle w:val="Odsekzoznamu"/>
        <w:ind w:left="360"/>
        <w:jc w:val="both"/>
        <w:rPr>
          <w:rFonts w:ascii="Arial" w:hAnsi="Arial" w:cs="Arial"/>
        </w:rPr>
      </w:pPr>
    </w:p>
    <w:p w:rsidR="00847407" w:rsidRDefault="00847407" w:rsidP="00C07952">
      <w:pPr>
        <w:pStyle w:val="Odsekzoznamu"/>
        <w:numPr>
          <w:ilvl w:val="1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Inkompatibility</w:t>
      </w:r>
    </w:p>
    <w:p w:rsidR="00847407" w:rsidRDefault="00847407" w:rsidP="00C07952">
      <w:pPr>
        <w:pStyle w:val="Odsekzoznamu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sú známe</w:t>
      </w:r>
    </w:p>
    <w:p w:rsidR="00847407" w:rsidRDefault="00847407" w:rsidP="00C07952">
      <w:pPr>
        <w:pStyle w:val="Odsekzoznamu"/>
        <w:ind w:left="360"/>
        <w:jc w:val="both"/>
        <w:rPr>
          <w:rFonts w:ascii="Arial" w:hAnsi="Arial" w:cs="Arial"/>
        </w:rPr>
      </w:pPr>
    </w:p>
    <w:p w:rsidR="00847407" w:rsidRDefault="00847407" w:rsidP="00C07952">
      <w:pPr>
        <w:pStyle w:val="Odsekzoznamu"/>
        <w:numPr>
          <w:ilvl w:val="1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Čas použiteľnosti</w:t>
      </w:r>
    </w:p>
    <w:p w:rsidR="00847407" w:rsidRDefault="00847407" w:rsidP="00C07952">
      <w:pPr>
        <w:pStyle w:val="Odsekzoznamu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3 roky</w:t>
      </w:r>
    </w:p>
    <w:p w:rsidR="00847407" w:rsidRDefault="00847407" w:rsidP="00C07952">
      <w:pPr>
        <w:pStyle w:val="Odsekzoznamu"/>
        <w:ind w:left="360"/>
        <w:jc w:val="both"/>
        <w:rPr>
          <w:rFonts w:ascii="Arial" w:hAnsi="Arial" w:cs="Arial"/>
        </w:rPr>
      </w:pPr>
    </w:p>
    <w:p w:rsidR="00847407" w:rsidRDefault="00847407" w:rsidP="00C07952">
      <w:pPr>
        <w:pStyle w:val="Odsekzoznamu"/>
        <w:numPr>
          <w:ilvl w:val="1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Upozornenia na podmienky a spôsob skladovania</w:t>
      </w:r>
    </w:p>
    <w:p w:rsidR="00847407" w:rsidRDefault="00847407" w:rsidP="00C07952">
      <w:pPr>
        <w:pStyle w:val="Odsekzoznamu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Uchovávajte pri teplote do 25º C.</w:t>
      </w:r>
    </w:p>
    <w:p w:rsidR="00847407" w:rsidRDefault="00847407" w:rsidP="00C07952">
      <w:pPr>
        <w:pStyle w:val="Odsekzoznamu"/>
        <w:ind w:left="360"/>
        <w:jc w:val="both"/>
        <w:rPr>
          <w:rFonts w:ascii="Arial" w:hAnsi="Arial" w:cs="Arial"/>
        </w:rPr>
      </w:pPr>
    </w:p>
    <w:p w:rsidR="00847407" w:rsidRDefault="00847407" w:rsidP="00C07952">
      <w:pPr>
        <w:pStyle w:val="Odsekzoznamu"/>
        <w:numPr>
          <w:ilvl w:val="1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Vlastnosti a zloženie obalu</w:t>
      </w:r>
    </w:p>
    <w:p w:rsidR="00847407" w:rsidRDefault="00847407" w:rsidP="00C07952">
      <w:pPr>
        <w:pStyle w:val="Odsekzoznamu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Hliníková tuba s vnútorným ochranným lakovaním, tesniacou vložkou a uzáverom so závitom, papierová skladačka, písomná informácia pre používateľa.</w:t>
      </w:r>
    </w:p>
    <w:p w:rsidR="00847407" w:rsidRDefault="00847407" w:rsidP="00C07952">
      <w:pPr>
        <w:pStyle w:val="Odsekzoznamu"/>
        <w:ind w:left="360"/>
        <w:jc w:val="both"/>
        <w:rPr>
          <w:rFonts w:ascii="Arial" w:hAnsi="Arial" w:cs="Arial"/>
        </w:rPr>
      </w:pPr>
    </w:p>
    <w:p w:rsidR="00847407" w:rsidRDefault="00847407" w:rsidP="00C07952">
      <w:pPr>
        <w:pStyle w:val="Odsekzoznamu"/>
        <w:numPr>
          <w:ilvl w:val="1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Upozornenia na spôsob zaobchádzania s liekom</w:t>
      </w:r>
    </w:p>
    <w:p w:rsidR="00847407" w:rsidRDefault="00847407" w:rsidP="00C07952">
      <w:pPr>
        <w:pStyle w:val="Odsekzoznamu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Nepoužívajte liek po uplynutí času použiteľnosti uvedenom na obale.</w:t>
      </w:r>
    </w:p>
    <w:p w:rsidR="00394C1E" w:rsidRDefault="00394C1E" w:rsidP="00C07952">
      <w:pPr>
        <w:pStyle w:val="Odsekzoznamu"/>
        <w:ind w:left="360"/>
        <w:jc w:val="both"/>
        <w:rPr>
          <w:rFonts w:ascii="Arial" w:hAnsi="Arial" w:cs="Arial"/>
        </w:rPr>
      </w:pPr>
    </w:p>
    <w:p w:rsidR="00394C1E" w:rsidRDefault="00394C1E" w:rsidP="00C07952">
      <w:pPr>
        <w:pStyle w:val="Odsekzoznamu"/>
        <w:ind w:left="360"/>
        <w:jc w:val="both"/>
        <w:rPr>
          <w:rFonts w:ascii="Arial" w:hAnsi="Arial" w:cs="Arial"/>
          <w:b/>
        </w:rPr>
      </w:pPr>
    </w:p>
    <w:p w:rsidR="00394C1E" w:rsidRDefault="00394C1E" w:rsidP="00C07952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DRŽITEĽ ROZHODNUTIA O REGISTRÁCII</w:t>
      </w:r>
    </w:p>
    <w:p w:rsidR="00394C1E" w:rsidRDefault="00394C1E" w:rsidP="00C07952">
      <w:pPr>
        <w:jc w:val="both"/>
        <w:rPr>
          <w:rFonts w:ascii="Arial" w:hAnsi="Arial" w:cs="Arial"/>
          <w:b/>
        </w:rPr>
      </w:pPr>
    </w:p>
    <w:p w:rsidR="00394C1E" w:rsidRDefault="00394C1E" w:rsidP="00C079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Harras Pharma Curarina Arzneimittel GmbH</w:t>
      </w:r>
    </w:p>
    <w:p w:rsidR="00394C1E" w:rsidRDefault="00394C1E" w:rsidP="00C079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 – 81373 Mníchov</w:t>
      </w:r>
    </w:p>
    <w:p w:rsidR="00394C1E" w:rsidRDefault="00394C1E" w:rsidP="00C079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Nemecká Spolková Republika</w:t>
      </w:r>
    </w:p>
    <w:p w:rsidR="00394C1E" w:rsidRDefault="00394C1E" w:rsidP="00C07952">
      <w:pPr>
        <w:jc w:val="both"/>
        <w:rPr>
          <w:rFonts w:ascii="Arial" w:hAnsi="Arial" w:cs="Arial"/>
        </w:rPr>
      </w:pPr>
    </w:p>
    <w:p w:rsidR="00394C1E" w:rsidRDefault="00394C1E" w:rsidP="00C07952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REGISTRAČNÉ ČÍSLO</w:t>
      </w:r>
    </w:p>
    <w:p w:rsidR="00394C1E" w:rsidRDefault="00394C1E" w:rsidP="00C07952">
      <w:pPr>
        <w:jc w:val="both"/>
        <w:rPr>
          <w:rFonts w:ascii="Arial" w:hAnsi="Arial" w:cs="Arial"/>
          <w:b/>
        </w:rPr>
      </w:pPr>
    </w:p>
    <w:p w:rsidR="00394C1E" w:rsidRDefault="00394C1E" w:rsidP="00C07952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DÁTUM REGISTRÁCIE/DÁTUM PREDĹŽENIA REGISTRÁCIE</w:t>
      </w:r>
    </w:p>
    <w:p w:rsidR="00394C1E" w:rsidRPr="00394C1E" w:rsidRDefault="00394C1E" w:rsidP="00C07952">
      <w:pPr>
        <w:pStyle w:val="Odsekzoznamu"/>
        <w:jc w:val="both"/>
        <w:rPr>
          <w:rFonts w:ascii="Arial" w:hAnsi="Arial" w:cs="Arial"/>
          <w:b/>
        </w:rPr>
      </w:pPr>
    </w:p>
    <w:p w:rsidR="00394C1E" w:rsidRDefault="00394C1E" w:rsidP="00C07952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394C1E">
        <w:rPr>
          <w:rFonts w:ascii="Arial" w:hAnsi="Arial" w:cs="Arial"/>
          <w:b/>
        </w:rPr>
        <w:t>DÁTUM POSLEDNEJ REVÍZIE TEXTU</w:t>
      </w:r>
    </w:p>
    <w:p w:rsidR="0061022A" w:rsidRPr="00667DE5" w:rsidRDefault="00394C1E" w:rsidP="00667DE5">
      <w:pPr>
        <w:jc w:val="both"/>
      </w:pPr>
      <w:r>
        <w:rPr>
          <w:rFonts w:ascii="Arial" w:hAnsi="Arial" w:cs="Arial"/>
        </w:rPr>
        <w:t>Február 200</w:t>
      </w:r>
      <w:r w:rsidR="00667DE5">
        <w:rPr>
          <w:rFonts w:ascii="Arial" w:hAnsi="Arial" w:cs="Arial"/>
        </w:rPr>
        <w:t>6</w:t>
      </w:r>
    </w:p>
    <w:sectPr w:rsidR="0061022A" w:rsidRPr="00667DE5" w:rsidSect="0061022A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B27" w:rsidRDefault="00A36B27" w:rsidP="00332321">
      <w:r>
        <w:separator/>
      </w:r>
    </w:p>
  </w:endnote>
  <w:endnote w:type="continuationSeparator" w:id="1">
    <w:p w:rsidR="00A36B27" w:rsidRDefault="00A36B27" w:rsidP="00332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5043547"/>
      <w:docPartObj>
        <w:docPartGallery w:val="Page Numbers (Bottom of Page)"/>
        <w:docPartUnique/>
      </w:docPartObj>
    </w:sdtPr>
    <w:sdtContent>
      <w:p w:rsidR="00332321" w:rsidRDefault="00332321">
        <w:pPr>
          <w:pStyle w:val="Pta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332321" w:rsidRDefault="0033232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B27" w:rsidRDefault="00A36B27" w:rsidP="00332321">
      <w:r>
        <w:separator/>
      </w:r>
    </w:p>
  </w:footnote>
  <w:footnote w:type="continuationSeparator" w:id="1">
    <w:p w:rsidR="00A36B27" w:rsidRDefault="00A36B27" w:rsidP="003323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593"/>
    <w:multiLevelType w:val="hybridMultilevel"/>
    <w:tmpl w:val="E700817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CA7D51"/>
    <w:multiLevelType w:val="hybridMultilevel"/>
    <w:tmpl w:val="A16E7C7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EF0E0E"/>
    <w:multiLevelType w:val="hybridMultilevel"/>
    <w:tmpl w:val="B25AD94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5F739F"/>
    <w:multiLevelType w:val="hybridMultilevel"/>
    <w:tmpl w:val="71AADF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F30CE"/>
    <w:multiLevelType w:val="hybridMultilevel"/>
    <w:tmpl w:val="148ECF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479A7"/>
    <w:multiLevelType w:val="hybridMultilevel"/>
    <w:tmpl w:val="AC6E89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A5FAE"/>
    <w:multiLevelType w:val="hybridMultilevel"/>
    <w:tmpl w:val="B39CD5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3310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7A4264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BE727F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FA15E5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FD1172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33F4329"/>
    <w:multiLevelType w:val="hybridMultilevel"/>
    <w:tmpl w:val="85EC34E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B87DF7"/>
    <w:multiLevelType w:val="hybridMultilevel"/>
    <w:tmpl w:val="8E1A20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B53DEC"/>
    <w:multiLevelType w:val="hybridMultilevel"/>
    <w:tmpl w:val="8954D38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867E86"/>
    <w:multiLevelType w:val="hybridMultilevel"/>
    <w:tmpl w:val="7330548C"/>
    <w:lvl w:ilvl="0" w:tplc="041B000F">
      <w:start w:val="1"/>
      <w:numFmt w:val="decimal"/>
      <w:lvlText w:val="%1.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793832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E9C7C4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2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13"/>
  </w:num>
  <w:num w:numId="10">
    <w:abstractNumId w:val="7"/>
  </w:num>
  <w:num w:numId="11">
    <w:abstractNumId w:val="9"/>
  </w:num>
  <w:num w:numId="12">
    <w:abstractNumId w:val="8"/>
  </w:num>
  <w:num w:numId="13">
    <w:abstractNumId w:val="11"/>
  </w:num>
  <w:num w:numId="14">
    <w:abstractNumId w:val="14"/>
  </w:num>
  <w:num w:numId="15">
    <w:abstractNumId w:val="6"/>
  </w:num>
  <w:num w:numId="16">
    <w:abstractNumId w:val="1"/>
  </w:num>
  <w:num w:numId="17">
    <w:abstractNumId w:val="17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22A"/>
    <w:rsid w:val="00185C4C"/>
    <w:rsid w:val="001C7D91"/>
    <w:rsid w:val="00234432"/>
    <w:rsid w:val="00332321"/>
    <w:rsid w:val="00394C1E"/>
    <w:rsid w:val="00464075"/>
    <w:rsid w:val="004E5C5A"/>
    <w:rsid w:val="00504A0D"/>
    <w:rsid w:val="005A5686"/>
    <w:rsid w:val="0061022A"/>
    <w:rsid w:val="00667DE5"/>
    <w:rsid w:val="007A3801"/>
    <w:rsid w:val="00847407"/>
    <w:rsid w:val="00954B7C"/>
    <w:rsid w:val="00A30442"/>
    <w:rsid w:val="00A36B27"/>
    <w:rsid w:val="00B234EE"/>
    <w:rsid w:val="00B45CDB"/>
    <w:rsid w:val="00BA126A"/>
    <w:rsid w:val="00C07952"/>
    <w:rsid w:val="00F2650C"/>
    <w:rsid w:val="00FE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34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1022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3323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32321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3323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23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4</cp:revision>
  <dcterms:created xsi:type="dcterms:W3CDTF">2019-08-01T10:23:00Z</dcterms:created>
  <dcterms:modified xsi:type="dcterms:W3CDTF">2019-08-01T13:06:00Z</dcterms:modified>
</cp:coreProperties>
</file>