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645F" w14:textId="77777777" w:rsidR="003536E0" w:rsidRPr="00EE40F4" w:rsidRDefault="003536E0" w:rsidP="00EF61CC">
      <w:pPr>
        <w:spacing w:after="0" w:line="240" w:lineRule="auto"/>
        <w:rPr>
          <w:rFonts w:ascii="Times New Roman" w:hAnsi="Times New Roman"/>
          <w:b/>
        </w:rPr>
      </w:pPr>
      <w:bookmarkStart w:id="0" w:name="_GoBack"/>
      <w:bookmarkEnd w:id="0"/>
    </w:p>
    <w:p w14:paraId="6C43713E" w14:textId="77777777" w:rsidR="00653A62" w:rsidRPr="00EE40F4" w:rsidRDefault="00653A62" w:rsidP="00594784">
      <w:pPr>
        <w:spacing w:after="0" w:line="240" w:lineRule="auto"/>
        <w:jc w:val="center"/>
        <w:rPr>
          <w:rFonts w:ascii="Times New Roman" w:hAnsi="Times New Roman"/>
          <w:b/>
        </w:rPr>
      </w:pPr>
      <w:r w:rsidRPr="00EE40F4">
        <w:rPr>
          <w:rFonts w:ascii="Times New Roman" w:hAnsi="Times New Roman"/>
          <w:b/>
        </w:rPr>
        <w:t>SÚHRN CHARAKTERISTICKÝCH VLASTNOSTÍ LIEKU</w:t>
      </w:r>
    </w:p>
    <w:p w14:paraId="725C4477" w14:textId="77777777" w:rsidR="00653A62" w:rsidRPr="00EE40F4" w:rsidRDefault="00653A62" w:rsidP="00EF61CC">
      <w:pPr>
        <w:spacing w:after="0" w:line="240" w:lineRule="auto"/>
        <w:rPr>
          <w:rFonts w:ascii="Times New Roman" w:hAnsi="Times New Roman"/>
          <w:b/>
        </w:rPr>
      </w:pPr>
    </w:p>
    <w:p w14:paraId="58BB8DA1" w14:textId="77777777" w:rsidR="00653A62" w:rsidRPr="00EE40F4" w:rsidRDefault="00653A62" w:rsidP="00EF61CC">
      <w:pPr>
        <w:spacing w:after="0" w:line="240" w:lineRule="auto"/>
        <w:rPr>
          <w:rFonts w:ascii="Times New Roman" w:hAnsi="Times New Roman"/>
          <w:b/>
        </w:rPr>
      </w:pPr>
    </w:p>
    <w:p w14:paraId="2E3531D5"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1. </w:t>
      </w:r>
      <w:r w:rsidRPr="00EE40F4">
        <w:rPr>
          <w:rFonts w:ascii="Times New Roman" w:hAnsi="Times New Roman"/>
          <w:b/>
        </w:rPr>
        <w:tab/>
      </w:r>
      <w:r w:rsidRPr="00EE40F4">
        <w:rPr>
          <w:rFonts w:ascii="Times New Roman" w:hAnsi="Times New Roman"/>
          <w:b/>
          <w:bCs/>
        </w:rPr>
        <w:t>NÁZOV LIEKU</w:t>
      </w:r>
      <w:r w:rsidRPr="00EE40F4">
        <w:rPr>
          <w:rFonts w:ascii="Times New Roman" w:hAnsi="Times New Roman"/>
          <w:b/>
        </w:rPr>
        <w:t xml:space="preserve"> </w:t>
      </w:r>
    </w:p>
    <w:p w14:paraId="49C571C6" w14:textId="77777777" w:rsidR="00653A62" w:rsidRPr="00EE40F4" w:rsidRDefault="00653A62" w:rsidP="00EF61CC">
      <w:pPr>
        <w:spacing w:after="0" w:line="240" w:lineRule="auto"/>
        <w:rPr>
          <w:rFonts w:ascii="Times New Roman" w:hAnsi="Times New Roman"/>
        </w:rPr>
      </w:pPr>
    </w:p>
    <w:p w14:paraId="36AA9804" w14:textId="77777777" w:rsidR="00653A62" w:rsidRPr="00EE40F4" w:rsidRDefault="000E6FE7" w:rsidP="00EF61CC">
      <w:pPr>
        <w:spacing w:after="0" w:line="240" w:lineRule="auto"/>
        <w:rPr>
          <w:rFonts w:ascii="Times New Roman" w:hAnsi="Times New Roman"/>
        </w:rPr>
      </w:pPr>
      <w:r w:rsidRPr="00EE40F4">
        <w:rPr>
          <w:rFonts w:ascii="Times New Roman" w:hAnsi="Times New Roman"/>
        </w:rPr>
        <w:t>Imatinib</w:t>
      </w:r>
      <w:r w:rsidR="00653A62" w:rsidRPr="00EE40F4">
        <w:rPr>
          <w:rFonts w:ascii="Times New Roman" w:hAnsi="Times New Roman"/>
        </w:rPr>
        <w:t xml:space="preserve"> </w:t>
      </w:r>
      <w:r w:rsidR="00056B21" w:rsidRPr="00EE40F4">
        <w:rPr>
          <w:rFonts w:ascii="Times New Roman" w:hAnsi="Times New Roman"/>
        </w:rPr>
        <w:t>STADA</w:t>
      </w:r>
      <w:r w:rsidR="00653A62" w:rsidRPr="00EE40F4">
        <w:rPr>
          <w:rFonts w:ascii="Times New Roman" w:hAnsi="Times New Roman"/>
        </w:rPr>
        <w:t xml:space="preserve"> 100 mg </w:t>
      </w:r>
      <w:r w:rsidR="005A778C" w:rsidRPr="00EE40F4">
        <w:rPr>
          <w:rFonts w:ascii="Times New Roman" w:hAnsi="Times New Roman"/>
        </w:rPr>
        <w:t>tvrdé kapsuly</w:t>
      </w:r>
    </w:p>
    <w:p w14:paraId="4996982F" w14:textId="77777777" w:rsidR="00056B21" w:rsidRPr="00EE40F4" w:rsidRDefault="00056B21" w:rsidP="00056B21">
      <w:pPr>
        <w:spacing w:after="0" w:line="240" w:lineRule="auto"/>
        <w:rPr>
          <w:rFonts w:ascii="Times New Roman" w:hAnsi="Times New Roman"/>
        </w:rPr>
      </w:pPr>
      <w:r w:rsidRPr="00EE40F4">
        <w:rPr>
          <w:rFonts w:ascii="Times New Roman" w:hAnsi="Times New Roman"/>
        </w:rPr>
        <w:t xml:space="preserve">Imatinib STADA 400 mg </w:t>
      </w:r>
      <w:r w:rsidR="005A778C" w:rsidRPr="00EE40F4">
        <w:rPr>
          <w:rFonts w:ascii="Times New Roman" w:hAnsi="Times New Roman"/>
        </w:rPr>
        <w:t>tvrdé kapsuly</w:t>
      </w:r>
    </w:p>
    <w:p w14:paraId="31592EE6" w14:textId="77777777" w:rsidR="00056B21" w:rsidRPr="00EE40F4" w:rsidRDefault="00056B21" w:rsidP="00EF61CC">
      <w:pPr>
        <w:spacing w:after="0" w:line="240" w:lineRule="auto"/>
        <w:rPr>
          <w:rFonts w:ascii="Times New Roman" w:hAnsi="Times New Roman"/>
        </w:rPr>
      </w:pPr>
    </w:p>
    <w:p w14:paraId="4568EFA4" w14:textId="77777777" w:rsidR="00653A62" w:rsidRPr="00EE40F4" w:rsidRDefault="00653A62" w:rsidP="00EF61CC">
      <w:pPr>
        <w:spacing w:after="0" w:line="240" w:lineRule="auto"/>
        <w:rPr>
          <w:rFonts w:ascii="Times New Roman" w:hAnsi="Times New Roman"/>
        </w:rPr>
      </w:pPr>
    </w:p>
    <w:p w14:paraId="65BE485C"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2. </w:t>
      </w:r>
      <w:r w:rsidRPr="00EE40F4">
        <w:rPr>
          <w:rFonts w:ascii="Times New Roman" w:hAnsi="Times New Roman"/>
          <w:b/>
        </w:rPr>
        <w:tab/>
      </w:r>
      <w:r w:rsidRPr="00EE40F4">
        <w:rPr>
          <w:rFonts w:ascii="Times New Roman" w:hAnsi="Times New Roman"/>
          <w:b/>
          <w:bCs/>
        </w:rPr>
        <w:t>KVALITATÍVNE A KVANTITATÍVNE ZLOŽENIE</w:t>
      </w:r>
      <w:r w:rsidRPr="00EE40F4">
        <w:rPr>
          <w:rFonts w:ascii="Times New Roman" w:hAnsi="Times New Roman"/>
          <w:b/>
        </w:rPr>
        <w:t xml:space="preserve"> </w:t>
      </w:r>
    </w:p>
    <w:p w14:paraId="4FEACCD5" w14:textId="77777777" w:rsidR="00653A62" w:rsidRPr="00EE40F4" w:rsidRDefault="00653A62" w:rsidP="00EF61CC">
      <w:pPr>
        <w:spacing w:after="0" w:line="240" w:lineRule="auto"/>
        <w:rPr>
          <w:rFonts w:ascii="Times New Roman" w:hAnsi="Times New Roman"/>
        </w:rPr>
      </w:pPr>
    </w:p>
    <w:p w14:paraId="7DC0F84B" w14:textId="77777777" w:rsidR="00653A62" w:rsidRPr="00EE40F4" w:rsidRDefault="00056B21" w:rsidP="00EF61CC">
      <w:pPr>
        <w:spacing w:after="0" w:line="240" w:lineRule="auto"/>
        <w:rPr>
          <w:rFonts w:ascii="Times New Roman" w:hAnsi="Times New Roman"/>
        </w:rPr>
      </w:pPr>
      <w:r w:rsidRPr="00EE40F4">
        <w:rPr>
          <w:rFonts w:ascii="Times New Roman" w:hAnsi="Times New Roman"/>
        </w:rPr>
        <w:t>Každá</w:t>
      </w:r>
      <w:r w:rsidR="001234C2" w:rsidRPr="00EE40F4">
        <w:rPr>
          <w:rFonts w:ascii="Times New Roman" w:hAnsi="Times New Roman"/>
        </w:rPr>
        <w:t xml:space="preserve"> </w:t>
      </w:r>
      <w:r w:rsidR="005A778C" w:rsidRPr="00EE40F4">
        <w:rPr>
          <w:rFonts w:ascii="Times New Roman" w:hAnsi="Times New Roman"/>
        </w:rPr>
        <w:t>tvrdá kapsula</w:t>
      </w:r>
      <w:r w:rsidR="00653A62" w:rsidRPr="00EE40F4">
        <w:rPr>
          <w:rFonts w:ascii="Times New Roman" w:hAnsi="Times New Roman"/>
        </w:rPr>
        <w:t xml:space="preserve"> obsahuje 100 mg imatinibu (ako mesilát).</w:t>
      </w:r>
    </w:p>
    <w:p w14:paraId="6F024B2E" w14:textId="77777777" w:rsidR="00056B21" w:rsidRDefault="00056B21" w:rsidP="00056B21">
      <w:pPr>
        <w:spacing w:after="0" w:line="240" w:lineRule="auto"/>
        <w:rPr>
          <w:rFonts w:ascii="Times New Roman" w:hAnsi="Times New Roman"/>
        </w:rPr>
      </w:pPr>
      <w:r w:rsidRPr="00EE40F4">
        <w:rPr>
          <w:rFonts w:ascii="Times New Roman" w:hAnsi="Times New Roman"/>
        </w:rPr>
        <w:t xml:space="preserve">Každá </w:t>
      </w:r>
      <w:r w:rsidR="005A778C" w:rsidRPr="00EE40F4">
        <w:rPr>
          <w:rFonts w:ascii="Times New Roman" w:hAnsi="Times New Roman"/>
        </w:rPr>
        <w:t xml:space="preserve">tvrdá kapsula </w:t>
      </w:r>
      <w:r w:rsidRPr="00EE40F4">
        <w:rPr>
          <w:rFonts w:ascii="Times New Roman" w:hAnsi="Times New Roman"/>
        </w:rPr>
        <w:t>obsahuje 400 mg imatinibu (ako mesilát).</w:t>
      </w:r>
    </w:p>
    <w:p w14:paraId="460B2051" w14:textId="77777777" w:rsidR="007705E9" w:rsidRDefault="007705E9" w:rsidP="00056B21">
      <w:pPr>
        <w:spacing w:after="0" w:line="240" w:lineRule="auto"/>
        <w:rPr>
          <w:rFonts w:ascii="Times New Roman" w:hAnsi="Times New Roman"/>
        </w:rPr>
      </w:pPr>
    </w:p>
    <w:p w14:paraId="33E39FF7" w14:textId="77777777" w:rsidR="007705E9" w:rsidRDefault="007705E9" w:rsidP="007705E9">
      <w:pPr>
        <w:spacing w:after="0" w:line="240" w:lineRule="auto"/>
        <w:rPr>
          <w:rFonts w:ascii="Times New Roman" w:hAnsi="Times New Roman"/>
          <w:u w:val="single"/>
        </w:rPr>
      </w:pPr>
      <w:r>
        <w:rPr>
          <w:rFonts w:ascii="Times New Roman" w:hAnsi="Times New Roman"/>
          <w:u w:val="single"/>
        </w:rPr>
        <w:t>Pomocná látka so známym účinkom:</w:t>
      </w:r>
    </w:p>
    <w:p w14:paraId="3E7C86B8" w14:textId="77777777" w:rsidR="007705E9" w:rsidRPr="00136B19" w:rsidRDefault="007705E9" w:rsidP="007705E9">
      <w:pPr>
        <w:spacing w:after="0" w:line="240" w:lineRule="auto"/>
        <w:rPr>
          <w:rFonts w:ascii="Times New Roman" w:hAnsi="Times New Roman"/>
        </w:rPr>
      </w:pPr>
      <w:r>
        <w:rPr>
          <w:rFonts w:ascii="Times New Roman" w:hAnsi="Times New Roman"/>
        </w:rPr>
        <w:t>Každá kapsula obsahuje 0,23 mg sodíka.</w:t>
      </w:r>
    </w:p>
    <w:p w14:paraId="4A491F54" w14:textId="77777777" w:rsidR="007705E9" w:rsidRPr="00EE40F4" w:rsidRDefault="007705E9" w:rsidP="00056B21">
      <w:pPr>
        <w:spacing w:after="0" w:line="240" w:lineRule="auto"/>
        <w:rPr>
          <w:rFonts w:ascii="Times New Roman" w:hAnsi="Times New Roman"/>
        </w:rPr>
      </w:pPr>
      <w:r>
        <w:rPr>
          <w:rFonts w:ascii="Times New Roman" w:hAnsi="Times New Roman"/>
        </w:rPr>
        <w:t>Každá kapsula obsahuje 0,25 mg sodíka.</w:t>
      </w:r>
    </w:p>
    <w:p w14:paraId="7243B53A" w14:textId="77777777" w:rsidR="00653A62" w:rsidRPr="00EE40F4" w:rsidRDefault="00653A62" w:rsidP="00EF61CC">
      <w:pPr>
        <w:spacing w:after="0" w:line="240" w:lineRule="auto"/>
        <w:rPr>
          <w:rFonts w:ascii="Times New Roman" w:hAnsi="Times New Roman"/>
        </w:rPr>
      </w:pPr>
    </w:p>
    <w:p w14:paraId="2A8C588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Úplný zoznam pomocných látok, pozri časť 6.1. </w:t>
      </w:r>
    </w:p>
    <w:p w14:paraId="652BE5AA" w14:textId="77777777" w:rsidR="00653A62" w:rsidRPr="00EE40F4" w:rsidRDefault="00653A62" w:rsidP="00EF61CC">
      <w:pPr>
        <w:spacing w:after="0" w:line="240" w:lineRule="auto"/>
        <w:rPr>
          <w:rFonts w:ascii="Times New Roman" w:hAnsi="Times New Roman"/>
        </w:rPr>
      </w:pPr>
    </w:p>
    <w:p w14:paraId="60168951" w14:textId="77777777" w:rsidR="00653A62" w:rsidRPr="00EE40F4" w:rsidRDefault="00653A62" w:rsidP="00EF61CC">
      <w:pPr>
        <w:spacing w:after="0" w:line="240" w:lineRule="auto"/>
        <w:rPr>
          <w:rFonts w:ascii="Times New Roman" w:hAnsi="Times New Roman"/>
        </w:rPr>
      </w:pPr>
    </w:p>
    <w:p w14:paraId="5B9ECB1B"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3. </w:t>
      </w:r>
      <w:r w:rsidRPr="00EE40F4">
        <w:rPr>
          <w:rFonts w:ascii="Times New Roman" w:hAnsi="Times New Roman"/>
          <w:b/>
        </w:rPr>
        <w:tab/>
      </w:r>
      <w:r w:rsidRPr="00EE40F4">
        <w:rPr>
          <w:rFonts w:ascii="Times New Roman" w:hAnsi="Times New Roman"/>
          <w:b/>
          <w:bCs/>
        </w:rPr>
        <w:t>LIEKOVÁ FORMA</w:t>
      </w:r>
      <w:r w:rsidRPr="00EE40F4">
        <w:rPr>
          <w:rFonts w:ascii="Times New Roman" w:hAnsi="Times New Roman"/>
          <w:b/>
        </w:rPr>
        <w:t xml:space="preserve"> </w:t>
      </w:r>
    </w:p>
    <w:p w14:paraId="75E2AD1D" w14:textId="77777777" w:rsidR="00653A62" w:rsidRPr="00EE40F4" w:rsidRDefault="00653A62" w:rsidP="00EF61CC">
      <w:pPr>
        <w:spacing w:after="0" w:line="240" w:lineRule="auto"/>
        <w:rPr>
          <w:rFonts w:ascii="Times New Roman" w:hAnsi="Times New Roman"/>
        </w:rPr>
      </w:pPr>
    </w:p>
    <w:p w14:paraId="1418175E" w14:textId="77777777" w:rsidR="00BA450E" w:rsidRPr="00EE40F4" w:rsidRDefault="005A778C" w:rsidP="00BA450E">
      <w:pPr>
        <w:spacing w:after="0" w:line="240" w:lineRule="auto"/>
        <w:rPr>
          <w:rFonts w:ascii="Times New Roman" w:hAnsi="Times New Roman"/>
        </w:rPr>
      </w:pPr>
      <w:r w:rsidRPr="00EE40F4">
        <w:rPr>
          <w:rFonts w:ascii="Times New Roman" w:hAnsi="Times New Roman"/>
        </w:rPr>
        <w:t>Tvrdá kapsula</w:t>
      </w:r>
    </w:p>
    <w:p w14:paraId="7B451EED" w14:textId="77777777" w:rsidR="00BA450E" w:rsidRPr="00EE40F4" w:rsidRDefault="00BA450E" w:rsidP="00BA450E">
      <w:pPr>
        <w:spacing w:after="0" w:line="240" w:lineRule="auto"/>
        <w:rPr>
          <w:rFonts w:ascii="Times New Roman" w:hAnsi="Times New Roman"/>
          <w:shd w:val="clear" w:color="auto" w:fill="FFFF00"/>
        </w:rPr>
      </w:pPr>
    </w:p>
    <w:p w14:paraId="25C069A1" w14:textId="77777777" w:rsidR="00056B21" w:rsidRPr="00EE40F4" w:rsidRDefault="00056B21" w:rsidP="00BA450E">
      <w:pPr>
        <w:spacing w:after="0" w:line="240" w:lineRule="auto"/>
        <w:rPr>
          <w:rFonts w:ascii="Times New Roman" w:hAnsi="Times New Roman"/>
        </w:rPr>
      </w:pPr>
      <w:r w:rsidRPr="00EE40F4">
        <w:rPr>
          <w:rFonts w:ascii="Times New Roman" w:hAnsi="Times New Roman"/>
        </w:rPr>
        <w:t>100 mg:</w:t>
      </w:r>
    </w:p>
    <w:p w14:paraId="61A0FEF5" w14:textId="77777777" w:rsidR="005A778C" w:rsidRPr="00EE40F4" w:rsidRDefault="005A778C" w:rsidP="00BA450E">
      <w:pPr>
        <w:spacing w:after="0" w:line="240" w:lineRule="auto"/>
        <w:rPr>
          <w:rFonts w:ascii="Times New Roman" w:hAnsi="Times New Roman"/>
        </w:rPr>
      </w:pPr>
      <w:r w:rsidRPr="00EE40F4">
        <w:rPr>
          <w:rFonts w:ascii="Times New Roman" w:hAnsi="Times New Roman"/>
        </w:rPr>
        <w:t>Tvrdá kapsula veľkosti 1 (dĺžka: 19,4 mm / priemer 6,91 mm) so svetlooranžovým viečkom a svetlooranžovým telom a čiernym atramentom vyrazeným „100 mg“.</w:t>
      </w:r>
    </w:p>
    <w:p w14:paraId="7861E30E" w14:textId="77777777" w:rsidR="005A778C" w:rsidRPr="00EE40F4" w:rsidRDefault="005A778C" w:rsidP="00BA450E">
      <w:pPr>
        <w:spacing w:after="0" w:line="240" w:lineRule="auto"/>
        <w:rPr>
          <w:rFonts w:ascii="Times New Roman" w:hAnsi="Times New Roman"/>
        </w:rPr>
      </w:pPr>
      <w:r w:rsidRPr="00EE40F4">
        <w:rPr>
          <w:rFonts w:ascii="Times New Roman" w:hAnsi="Times New Roman"/>
        </w:rPr>
        <w:t>Kapsula obsahuje svetložltý prášok.</w:t>
      </w:r>
    </w:p>
    <w:p w14:paraId="5E50790F" w14:textId="77777777" w:rsidR="00056B21" w:rsidRPr="00EE40F4" w:rsidRDefault="00056B21" w:rsidP="00BA450E">
      <w:pPr>
        <w:spacing w:after="0" w:line="240" w:lineRule="auto"/>
        <w:rPr>
          <w:rFonts w:ascii="Times New Roman" w:hAnsi="Times New Roman"/>
        </w:rPr>
      </w:pPr>
    </w:p>
    <w:p w14:paraId="504120B8" w14:textId="77777777" w:rsidR="00056B21" w:rsidRPr="00EE40F4" w:rsidRDefault="00056B21" w:rsidP="00056B21">
      <w:pPr>
        <w:spacing w:after="0" w:line="240" w:lineRule="auto"/>
        <w:rPr>
          <w:rFonts w:ascii="Times New Roman" w:hAnsi="Times New Roman"/>
        </w:rPr>
      </w:pPr>
      <w:r w:rsidRPr="00EE40F4">
        <w:rPr>
          <w:rFonts w:ascii="Times New Roman" w:hAnsi="Times New Roman"/>
        </w:rPr>
        <w:t>400 mg:</w:t>
      </w:r>
    </w:p>
    <w:p w14:paraId="6D911EBD" w14:textId="77777777" w:rsidR="005A778C" w:rsidRPr="00EE40F4" w:rsidRDefault="005A778C" w:rsidP="005A778C">
      <w:pPr>
        <w:spacing w:after="0" w:line="240" w:lineRule="auto"/>
        <w:rPr>
          <w:rFonts w:ascii="Times New Roman" w:hAnsi="Times New Roman"/>
        </w:rPr>
      </w:pPr>
      <w:r w:rsidRPr="00EE40F4">
        <w:rPr>
          <w:rFonts w:ascii="Times New Roman" w:hAnsi="Times New Roman"/>
        </w:rPr>
        <w:t>Tvrdá kapsula veľkosti 00 (dĺžka: 23,3 mm / priemer 8,53 mm) s oranžovým matným viečkom a oranžovým matným telom a čiernym atramentom vyrazeným „400 mg“.</w:t>
      </w:r>
    </w:p>
    <w:p w14:paraId="73552813" w14:textId="77777777" w:rsidR="005A778C" w:rsidRPr="00EE40F4" w:rsidRDefault="005A778C" w:rsidP="005A778C">
      <w:pPr>
        <w:spacing w:after="0" w:line="240" w:lineRule="auto"/>
        <w:rPr>
          <w:rFonts w:ascii="Times New Roman" w:hAnsi="Times New Roman"/>
        </w:rPr>
      </w:pPr>
      <w:r w:rsidRPr="00EE40F4">
        <w:rPr>
          <w:rFonts w:ascii="Times New Roman" w:hAnsi="Times New Roman"/>
        </w:rPr>
        <w:t>Kapsula obsahuje svetložltý prášok.</w:t>
      </w:r>
    </w:p>
    <w:p w14:paraId="24EF6501" w14:textId="77777777" w:rsidR="00056B21" w:rsidRPr="00EE40F4" w:rsidRDefault="00056B21" w:rsidP="00056B21">
      <w:pPr>
        <w:spacing w:after="0" w:line="240" w:lineRule="auto"/>
        <w:rPr>
          <w:rFonts w:ascii="Times New Roman" w:hAnsi="Times New Roman"/>
        </w:rPr>
      </w:pPr>
    </w:p>
    <w:p w14:paraId="0F0293D5" w14:textId="77777777" w:rsidR="00653A62" w:rsidRPr="00EE40F4" w:rsidRDefault="00653A62" w:rsidP="00EF61CC">
      <w:pPr>
        <w:spacing w:after="0" w:line="240" w:lineRule="auto"/>
        <w:rPr>
          <w:rFonts w:ascii="Times New Roman" w:hAnsi="Times New Roman"/>
        </w:rPr>
      </w:pPr>
    </w:p>
    <w:p w14:paraId="70EE1C41"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 </w:t>
      </w:r>
      <w:r w:rsidRPr="00EE40F4">
        <w:rPr>
          <w:rFonts w:ascii="Times New Roman" w:hAnsi="Times New Roman"/>
          <w:b/>
        </w:rPr>
        <w:tab/>
      </w:r>
      <w:r w:rsidRPr="00EE40F4">
        <w:rPr>
          <w:rFonts w:ascii="Times New Roman" w:hAnsi="Times New Roman"/>
          <w:b/>
          <w:bCs/>
        </w:rPr>
        <w:t>KLINICKÉ ÚDAJE</w:t>
      </w:r>
      <w:r w:rsidRPr="00EE40F4">
        <w:rPr>
          <w:rFonts w:ascii="Times New Roman" w:hAnsi="Times New Roman"/>
          <w:b/>
        </w:rPr>
        <w:t xml:space="preserve"> </w:t>
      </w:r>
    </w:p>
    <w:p w14:paraId="79BEED8F" w14:textId="77777777" w:rsidR="00653A62" w:rsidRPr="00EE40F4" w:rsidRDefault="00653A62" w:rsidP="00EF61CC">
      <w:pPr>
        <w:spacing w:after="0" w:line="240" w:lineRule="auto"/>
        <w:rPr>
          <w:rFonts w:ascii="Times New Roman" w:hAnsi="Times New Roman"/>
        </w:rPr>
      </w:pPr>
    </w:p>
    <w:p w14:paraId="2CAC8235"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4.1 </w:t>
      </w:r>
      <w:r w:rsidRPr="00EE40F4">
        <w:rPr>
          <w:rFonts w:ascii="Times New Roman" w:hAnsi="Times New Roman"/>
          <w:b/>
        </w:rPr>
        <w:tab/>
      </w:r>
      <w:r w:rsidRPr="00EE40F4">
        <w:rPr>
          <w:rFonts w:ascii="Times New Roman" w:hAnsi="Times New Roman"/>
          <w:b/>
          <w:bCs/>
        </w:rPr>
        <w:t>Terapeutické indikácie</w:t>
      </w:r>
      <w:r w:rsidRPr="00EE40F4">
        <w:rPr>
          <w:rFonts w:ascii="Times New Roman" w:hAnsi="Times New Roman"/>
          <w:b/>
        </w:rPr>
        <w:t xml:space="preserve"> </w:t>
      </w:r>
    </w:p>
    <w:p w14:paraId="710BFD73" w14:textId="77777777" w:rsidR="00653A62" w:rsidRPr="00EE40F4" w:rsidRDefault="00653A62" w:rsidP="00EF61CC">
      <w:pPr>
        <w:spacing w:after="0" w:line="240" w:lineRule="auto"/>
        <w:rPr>
          <w:rFonts w:ascii="Times New Roman" w:hAnsi="Times New Roman"/>
        </w:rPr>
      </w:pPr>
    </w:p>
    <w:p w14:paraId="74070894" w14:textId="77777777" w:rsidR="00653A62" w:rsidRPr="00EE40F4" w:rsidRDefault="000E6FE7" w:rsidP="00EF61CC">
      <w:pPr>
        <w:spacing w:after="0" w:line="240" w:lineRule="auto"/>
        <w:rPr>
          <w:rFonts w:ascii="Times New Roman" w:hAnsi="Times New Roman"/>
        </w:rPr>
      </w:pPr>
      <w:r w:rsidRPr="00EE40F4">
        <w:rPr>
          <w:rFonts w:ascii="Times New Roman" w:hAnsi="Times New Roman"/>
        </w:rPr>
        <w:t>Imatinib</w:t>
      </w:r>
      <w:r w:rsidR="00653A62" w:rsidRPr="00EE40F4">
        <w:rPr>
          <w:rFonts w:ascii="Times New Roman" w:hAnsi="Times New Roman"/>
        </w:rPr>
        <w:t xml:space="preserve"> je indikovaný</w:t>
      </w:r>
      <w:r w:rsidR="008C7992" w:rsidRPr="00EE40F4">
        <w:rPr>
          <w:rFonts w:ascii="Times New Roman" w:hAnsi="Times New Roman"/>
        </w:rPr>
        <w:t xml:space="preserve"> </w:t>
      </w:r>
      <w:r w:rsidR="00653A62" w:rsidRPr="00EE40F4">
        <w:rPr>
          <w:rFonts w:ascii="Times New Roman" w:hAnsi="Times New Roman"/>
        </w:rPr>
        <w:t>na liečbu</w:t>
      </w:r>
    </w:p>
    <w:p w14:paraId="4CE113DF" w14:textId="77777777" w:rsidR="00653A62" w:rsidRPr="00EE40F4" w:rsidRDefault="00744395" w:rsidP="00BA450E">
      <w:pPr>
        <w:numPr>
          <w:ilvl w:val="0"/>
          <w:numId w:val="4"/>
        </w:numPr>
        <w:tabs>
          <w:tab w:val="left" w:pos="284"/>
        </w:tabs>
        <w:spacing w:after="0" w:line="240" w:lineRule="auto"/>
        <w:ind w:left="284" w:hanging="284"/>
        <w:rPr>
          <w:rFonts w:ascii="Times New Roman" w:hAnsi="Times New Roman"/>
        </w:rPr>
      </w:pPr>
      <w:r>
        <w:rPr>
          <w:rFonts w:ascii="Times New Roman" w:hAnsi="Times New Roman"/>
        </w:rPr>
        <w:t xml:space="preserve">dospelých a </w:t>
      </w:r>
      <w:r w:rsidR="00653A62" w:rsidRPr="00EE40F4">
        <w:rPr>
          <w:rFonts w:ascii="Times New Roman" w:hAnsi="Times New Roman"/>
        </w:rPr>
        <w:t>pediatrických pacientov s novodiagnostikovanou chronickou myelo</w:t>
      </w:r>
      <w:r w:rsidR="00101B0B" w:rsidRPr="00EE40F4">
        <w:rPr>
          <w:rFonts w:ascii="Times New Roman" w:hAnsi="Times New Roman"/>
        </w:rPr>
        <w:t>c</w:t>
      </w:r>
      <w:r w:rsidR="00544A17" w:rsidRPr="00EE40F4">
        <w:rPr>
          <w:rFonts w:ascii="Times New Roman" w:hAnsi="Times New Roman"/>
        </w:rPr>
        <w:t>ytovou</w:t>
      </w:r>
      <w:r w:rsidR="00253F0F" w:rsidRPr="00EE40F4">
        <w:rPr>
          <w:rFonts w:ascii="Times New Roman" w:hAnsi="Times New Roman"/>
        </w:rPr>
        <w:t xml:space="preserve"> </w:t>
      </w:r>
      <w:r w:rsidR="00653A62" w:rsidRPr="00EE40F4">
        <w:rPr>
          <w:rFonts w:ascii="Times New Roman" w:hAnsi="Times New Roman"/>
        </w:rPr>
        <w:t xml:space="preserve">leukémiou (CML) s pozitívnym (Ph+) chromozómom Philadelphia (bcr-abl), u ktorých sa transplantácia kostnej drene nepovažuje za liečbu </w:t>
      </w:r>
      <w:r w:rsidR="00C679AC" w:rsidRPr="00EE40F4">
        <w:rPr>
          <w:rFonts w:ascii="Times New Roman" w:hAnsi="Times New Roman"/>
        </w:rPr>
        <w:t>prvej</w:t>
      </w:r>
      <w:r w:rsidR="00653A62" w:rsidRPr="00EE40F4">
        <w:rPr>
          <w:rFonts w:ascii="Times New Roman" w:hAnsi="Times New Roman"/>
        </w:rPr>
        <w:t xml:space="preserve"> línie; </w:t>
      </w:r>
    </w:p>
    <w:p w14:paraId="71C42075" w14:textId="77777777" w:rsidR="00653A62" w:rsidRPr="00EE40F4" w:rsidRDefault="00744395" w:rsidP="00BA450E">
      <w:pPr>
        <w:numPr>
          <w:ilvl w:val="0"/>
          <w:numId w:val="4"/>
        </w:numPr>
        <w:tabs>
          <w:tab w:val="left" w:pos="284"/>
        </w:tabs>
        <w:spacing w:after="0" w:line="240" w:lineRule="auto"/>
        <w:ind w:left="284" w:hanging="284"/>
        <w:rPr>
          <w:rFonts w:ascii="Times New Roman" w:hAnsi="Times New Roman"/>
        </w:rPr>
      </w:pPr>
      <w:r>
        <w:rPr>
          <w:rFonts w:ascii="Times New Roman" w:hAnsi="Times New Roman"/>
        </w:rPr>
        <w:t xml:space="preserve">dospelých a </w:t>
      </w:r>
      <w:r w:rsidR="00653A62" w:rsidRPr="00EE40F4">
        <w:rPr>
          <w:rFonts w:ascii="Times New Roman" w:hAnsi="Times New Roman"/>
        </w:rPr>
        <w:t>pediatrických pacientov s Ph+ CML v chronickej fáze po zlyhaní liečby interferónom alfa alebo v akcelerovanej fáze</w:t>
      </w:r>
      <w:r w:rsidR="00C679AC" w:rsidRPr="00EE40F4">
        <w:rPr>
          <w:rFonts w:ascii="Times New Roman" w:hAnsi="Times New Roman"/>
        </w:rPr>
        <w:t xml:space="preserve"> alebo v blastickej kríze</w:t>
      </w:r>
      <w:r w:rsidR="00653A62" w:rsidRPr="00EE40F4">
        <w:rPr>
          <w:rFonts w:ascii="Times New Roman" w:hAnsi="Times New Roman"/>
        </w:rPr>
        <w:t>;</w:t>
      </w:r>
    </w:p>
    <w:p w14:paraId="0C1E2F87" w14:textId="77777777" w:rsidR="003536E0" w:rsidRPr="00EE40F4" w:rsidRDefault="003536E0" w:rsidP="001234C2">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 xml:space="preserve">dospelých </w:t>
      </w:r>
      <w:r w:rsidR="00744395">
        <w:rPr>
          <w:rFonts w:ascii="Times New Roman" w:hAnsi="Times New Roman"/>
        </w:rPr>
        <w:t xml:space="preserve">a </w:t>
      </w:r>
      <w:r w:rsidR="00744395" w:rsidRPr="00EE40F4">
        <w:rPr>
          <w:rFonts w:ascii="Times New Roman" w:hAnsi="Times New Roman"/>
        </w:rPr>
        <w:t xml:space="preserve">pediatrických </w:t>
      </w:r>
      <w:r w:rsidRPr="00EE40F4">
        <w:rPr>
          <w:rFonts w:ascii="Times New Roman" w:hAnsi="Times New Roman"/>
        </w:rPr>
        <w:t xml:space="preserve">pacientov s novodiagnostikovanou akútnou </w:t>
      </w:r>
      <w:r w:rsidR="00156A95" w:rsidRPr="00EE40F4">
        <w:rPr>
          <w:rFonts w:ascii="Times New Roman" w:hAnsi="Times New Roman"/>
        </w:rPr>
        <w:t>lymfoblastovou</w:t>
      </w:r>
    </w:p>
    <w:p w14:paraId="7D120DCE" w14:textId="77777777" w:rsidR="003536E0" w:rsidRPr="00EE40F4" w:rsidRDefault="00DF5E1E" w:rsidP="001234C2">
      <w:pPr>
        <w:shd w:val="clear" w:color="auto" w:fill="FFFFFF"/>
        <w:spacing w:after="0" w:line="240" w:lineRule="auto"/>
        <w:ind w:left="284" w:hanging="284"/>
        <w:rPr>
          <w:rFonts w:ascii="Times New Roman" w:hAnsi="Times New Roman"/>
        </w:rPr>
      </w:pPr>
      <w:r w:rsidRPr="00EE40F4">
        <w:rPr>
          <w:rFonts w:ascii="Times New Roman" w:hAnsi="Times New Roman"/>
        </w:rPr>
        <w:t xml:space="preserve"> </w:t>
      </w:r>
      <w:r w:rsidRPr="00EE40F4">
        <w:rPr>
          <w:rFonts w:ascii="Times New Roman" w:hAnsi="Times New Roman"/>
        </w:rPr>
        <w:tab/>
      </w:r>
      <w:r w:rsidR="003536E0" w:rsidRPr="00EE40F4">
        <w:rPr>
          <w:rFonts w:ascii="Times New Roman" w:hAnsi="Times New Roman"/>
        </w:rPr>
        <w:t>leukémiou s pozitívnym chromozómom Philadelphia (Ph+ ALL) v spojení s chemoterapiou.</w:t>
      </w:r>
    </w:p>
    <w:p w14:paraId="38A887C8" w14:textId="77777777" w:rsidR="003536E0" w:rsidRPr="00EE40F4" w:rsidRDefault="003536E0" w:rsidP="00BA450E">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dospelých pacientov pri relapse alebo refraktérnej Ph+ ALL ako monoterapia.</w:t>
      </w:r>
    </w:p>
    <w:p w14:paraId="346DC585" w14:textId="77777777" w:rsidR="003536E0" w:rsidRPr="00EE40F4" w:rsidRDefault="003536E0" w:rsidP="00BA450E">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dospelých pacientov s myelodysplastick</w:t>
      </w:r>
      <w:r w:rsidR="00722CAF" w:rsidRPr="00EE40F4">
        <w:rPr>
          <w:rFonts w:ascii="Times New Roman" w:hAnsi="Times New Roman"/>
        </w:rPr>
        <w:t>ými</w:t>
      </w:r>
      <w:r w:rsidRPr="00EE40F4">
        <w:rPr>
          <w:rFonts w:ascii="Times New Roman" w:hAnsi="Times New Roman"/>
        </w:rPr>
        <w:t>/myeloproliferatívn</w:t>
      </w:r>
      <w:r w:rsidR="00722CAF" w:rsidRPr="00EE40F4">
        <w:rPr>
          <w:rFonts w:ascii="Times New Roman" w:hAnsi="Times New Roman"/>
        </w:rPr>
        <w:t>ymi</w:t>
      </w:r>
      <w:r w:rsidR="00156A95" w:rsidRPr="00EE40F4">
        <w:rPr>
          <w:rFonts w:ascii="Times New Roman" w:hAnsi="Times New Roman"/>
        </w:rPr>
        <w:t xml:space="preserve"> </w:t>
      </w:r>
      <w:r w:rsidR="00722CAF" w:rsidRPr="00EE40F4">
        <w:rPr>
          <w:rFonts w:ascii="Times New Roman" w:hAnsi="Times New Roman"/>
        </w:rPr>
        <w:t xml:space="preserve">ochoreniami </w:t>
      </w:r>
      <w:r w:rsidRPr="00EE40F4">
        <w:rPr>
          <w:rFonts w:ascii="Times New Roman" w:hAnsi="Times New Roman"/>
        </w:rPr>
        <w:t>(MDS/MPD)</w:t>
      </w:r>
    </w:p>
    <w:p w14:paraId="723F4C31" w14:textId="77777777" w:rsidR="003536E0" w:rsidRPr="00EE40F4" w:rsidRDefault="003536E0" w:rsidP="00DF5E1E">
      <w:pPr>
        <w:shd w:val="clear" w:color="auto" w:fill="FFFFFF"/>
        <w:spacing w:after="0" w:line="240" w:lineRule="auto"/>
        <w:ind w:left="284"/>
        <w:rPr>
          <w:rFonts w:ascii="Times New Roman" w:hAnsi="Times New Roman"/>
        </w:rPr>
      </w:pPr>
      <w:r w:rsidRPr="00EE40F4">
        <w:rPr>
          <w:rFonts w:ascii="Times New Roman" w:hAnsi="Times New Roman"/>
        </w:rPr>
        <w:t>spojenými s preskupeniami génu receptora doštičkového rastového faktora (PDGFR).</w:t>
      </w:r>
    </w:p>
    <w:p w14:paraId="015ADB95" w14:textId="77777777" w:rsidR="003536E0" w:rsidRPr="00EE40F4" w:rsidRDefault="003536E0" w:rsidP="00BA450E">
      <w:pPr>
        <w:numPr>
          <w:ilvl w:val="0"/>
          <w:numId w:val="7"/>
        </w:numPr>
        <w:shd w:val="clear" w:color="auto" w:fill="FFFFFF"/>
        <w:spacing w:after="0" w:line="240" w:lineRule="auto"/>
        <w:ind w:left="284" w:hanging="284"/>
        <w:rPr>
          <w:rFonts w:ascii="Times New Roman" w:hAnsi="Times New Roman"/>
        </w:rPr>
      </w:pPr>
      <w:r w:rsidRPr="00EE40F4">
        <w:rPr>
          <w:rFonts w:ascii="Times New Roman" w:hAnsi="Times New Roman"/>
        </w:rPr>
        <w:t xml:space="preserve">dospelých pacientov s pokročilým </w:t>
      </w:r>
      <w:r w:rsidR="00156A95" w:rsidRPr="00EE40F4">
        <w:rPr>
          <w:rFonts w:ascii="Times New Roman" w:hAnsi="Times New Roman"/>
        </w:rPr>
        <w:t>hypereozinofil</w:t>
      </w:r>
      <w:r w:rsidR="00722CAF" w:rsidRPr="00EE40F4">
        <w:rPr>
          <w:rFonts w:ascii="Times New Roman" w:hAnsi="Times New Roman"/>
        </w:rPr>
        <w:t>n</w:t>
      </w:r>
      <w:r w:rsidR="00156A95" w:rsidRPr="00EE40F4">
        <w:rPr>
          <w:rFonts w:ascii="Times New Roman" w:hAnsi="Times New Roman"/>
        </w:rPr>
        <w:t xml:space="preserve">ým </w:t>
      </w:r>
      <w:r w:rsidRPr="00EE40F4">
        <w:rPr>
          <w:rFonts w:ascii="Times New Roman" w:hAnsi="Times New Roman"/>
        </w:rPr>
        <w:t>syndrómom (HES) a/alebo chronickou</w:t>
      </w:r>
      <w:r w:rsidRPr="00EE40F4">
        <w:rPr>
          <w:rFonts w:ascii="Times New Roman" w:hAnsi="Times New Roman"/>
          <w:spacing w:val="-1"/>
        </w:rPr>
        <w:t xml:space="preserve"> eozinofil</w:t>
      </w:r>
      <w:r w:rsidR="00722CAF" w:rsidRPr="00EE40F4">
        <w:rPr>
          <w:rFonts w:ascii="Times New Roman" w:hAnsi="Times New Roman"/>
          <w:spacing w:val="-1"/>
        </w:rPr>
        <w:t>n</w:t>
      </w:r>
      <w:r w:rsidRPr="00EE40F4">
        <w:rPr>
          <w:rFonts w:ascii="Times New Roman" w:hAnsi="Times New Roman"/>
          <w:spacing w:val="-1"/>
        </w:rPr>
        <w:t>ou leukémiou (CEL) s preskupením FIP1L1-PDGFR</w:t>
      </w:r>
      <w:r w:rsidR="00A22FB7" w:rsidRPr="00EE40F4">
        <w:rPr>
          <w:rFonts w:ascii="Times New Roman" w:hAnsi="Times New Roman"/>
        </w:rPr>
        <w:t>α</w:t>
      </w:r>
      <w:r w:rsidRPr="00EE40F4">
        <w:rPr>
          <w:rFonts w:ascii="Times New Roman" w:hAnsi="Times New Roman"/>
          <w:spacing w:val="-1"/>
        </w:rPr>
        <w:t>.</w:t>
      </w:r>
    </w:p>
    <w:p w14:paraId="15A68646" w14:textId="77777777" w:rsidR="003536E0" w:rsidRPr="00EE40F4" w:rsidRDefault="003536E0" w:rsidP="00BA450E">
      <w:pPr>
        <w:shd w:val="clear" w:color="auto" w:fill="FFFFFF"/>
        <w:spacing w:after="0" w:line="240" w:lineRule="auto"/>
        <w:ind w:left="284" w:hanging="284"/>
        <w:rPr>
          <w:rFonts w:ascii="Times New Roman" w:hAnsi="Times New Roman"/>
        </w:rPr>
      </w:pPr>
    </w:p>
    <w:p w14:paraId="3079E62D" w14:textId="77777777" w:rsidR="003536E0" w:rsidRPr="00EE40F4" w:rsidRDefault="003536E0" w:rsidP="00BA450E">
      <w:pPr>
        <w:shd w:val="clear" w:color="auto" w:fill="FFFFFF"/>
        <w:spacing w:after="0" w:line="240" w:lineRule="auto"/>
        <w:ind w:left="284" w:hanging="284"/>
        <w:rPr>
          <w:rFonts w:ascii="Times New Roman" w:hAnsi="Times New Roman"/>
        </w:rPr>
      </w:pPr>
      <w:r w:rsidRPr="00EE40F4">
        <w:rPr>
          <w:rFonts w:ascii="Times New Roman" w:hAnsi="Times New Roman"/>
        </w:rPr>
        <w:t xml:space="preserve">Účinok </w:t>
      </w:r>
      <w:r w:rsidR="00BA450E" w:rsidRPr="00EE40F4">
        <w:rPr>
          <w:rFonts w:ascii="Times New Roman" w:hAnsi="Times New Roman"/>
        </w:rPr>
        <w:t>i</w:t>
      </w:r>
      <w:r w:rsidRPr="00EE40F4">
        <w:rPr>
          <w:rFonts w:ascii="Times New Roman" w:hAnsi="Times New Roman"/>
        </w:rPr>
        <w:t>matinibu na výsledok transplantácie kostnej drene sa nestanovil.</w:t>
      </w:r>
    </w:p>
    <w:p w14:paraId="4F801AE9" w14:textId="77777777" w:rsidR="00BA450E" w:rsidRPr="00EE40F4" w:rsidRDefault="00BA450E" w:rsidP="00BA450E">
      <w:pPr>
        <w:autoSpaceDE w:val="0"/>
        <w:autoSpaceDN w:val="0"/>
        <w:adjustRightInd w:val="0"/>
        <w:spacing w:after="0" w:line="240" w:lineRule="auto"/>
        <w:rPr>
          <w:rFonts w:ascii="Times New Roman" w:hAnsi="Times New Roman"/>
          <w:color w:val="000000"/>
          <w:lang w:eastAsia="sk-SK"/>
        </w:rPr>
      </w:pPr>
    </w:p>
    <w:p w14:paraId="00953494" w14:textId="77777777" w:rsidR="001166B0" w:rsidRPr="00EE40F4" w:rsidRDefault="001166B0" w:rsidP="00BA450E">
      <w:pPr>
        <w:autoSpaceDE w:val="0"/>
        <w:autoSpaceDN w:val="0"/>
        <w:adjustRightInd w:val="0"/>
        <w:spacing w:after="0" w:line="240" w:lineRule="auto"/>
        <w:rPr>
          <w:rFonts w:ascii="Times New Roman" w:hAnsi="Times New Roman"/>
          <w:color w:val="000000"/>
          <w:lang w:eastAsia="sk-SK"/>
        </w:rPr>
      </w:pPr>
      <w:r w:rsidRPr="00EE40F4">
        <w:rPr>
          <w:rFonts w:ascii="Times New Roman" w:hAnsi="Times New Roman"/>
          <w:color w:val="000000"/>
          <w:lang w:eastAsia="sk-SK"/>
        </w:rPr>
        <w:t>Imatinib je indikovaný na:</w:t>
      </w:r>
    </w:p>
    <w:p w14:paraId="770EB7FA" w14:textId="77777777" w:rsidR="00BA450E" w:rsidRPr="00EE40F4" w:rsidRDefault="00BA450E" w:rsidP="00C679AC">
      <w:pPr>
        <w:numPr>
          <w:ilvl w:val="0"/>
          <w:numId w:val="8"/>
        </w:numPr>
        <w:autoSpaceDE w:val="0"/>
        <w:autoSpaceDN w:val="0"/>
        <w:adjustRightInd w:val="0"/>
        <w:spacing w:after="0" w:line="240" w:lineRule="auto"/>
        <w:ind w:left="284" w:hanging="284"/>
        <w:rPr>
          <w:rFonts w:ascii="Times New Roman" w:hAnsi="Times New Roman"/>
          <w:color w:val="000000"/>
          <w:lang w:eastAsia="sk-SK"/>
        </w:rPr>
      </w:pPr>
      <w:r w:rsidRPr="00EE40F4">
        <w:rPr>
          <w:rFonts w:ascii="Times New Roman" w:hAnsi="Times New Roman"/>
          <w:color w:val="000000"/>
          <w:lang w:eastAsia="sk-SK"/>
        </w:rPr>
        <w:t xml:space="preserve">liečbu dospelých pacientov s neresekovateľným </w:t>
      </w:r>
      <w:r w:rsidRPr="00356A3B">
        <w:rPr>
          <w:rFonts w:ascii="Times New Roman" w:hAnsi="Times New Roman"/>
          <w:i/>
          <w:color w:val="000000"/>
          <w:lang w:eastAsia="sk-SK"/>
        </w:rPr>
        <w:t xml:space="preserve">dermatofibrosarcoma protuberans </w:t>
      </w:r>
      <w:r w:rsidRPr="00EE40F4">
        <w:rPr>
          <w:rFonts w:ascii="Times New Roman" w:hAnsi="Times New Roman"/>
          <w:color w:val="000000"/>
          <w:lang w:eastAsia="sk-SK"/>
        </w:rPr>
        <w:t xml:space="preserve">(DFSP) a dospelých pacientov s rekurentným a/alebo metastazujúcim DFSP, u ktorých nie je možný chirurgický zákrok. </w:t>
      </w:r>
    </w:p>
    <w:p w14:paraId="0AB4E417" w14:textId="77777777" w:rsidR="00BA450E" w:rsidRPr="00EE40F4" w:rsidRDefault="00BA450E" w:rsidP="007150A4">
      <w:pPr>
        <w:shd w:val="clear" w:color="auto" w:fill="FFFFFF"/>
        <w:tabs>
          <w:tab w:val="left" w:pos="284"/>
        </w:tabs>
        <w:spacing w:after="0" w:line="240" w:lineRule="auto"/>
        <w:ind w:left="284" w:hanging="284"/>
        <w:rPr>
          <w:rFonts w:ascii="Times New Roman" w:hAnsi="Times New Roman"/>
        </w:rPr>
      </w:pPr>
    </w:p>
    <w:p w14:paraId="589F0585" w14:textId="77777777" w:rsidR="003536E0" w:rsidRPr="00EE40F4" w:rsidRDefault="003536E0" w:rsidP="007150A4">
      <w:pPr>
        <w:shd w:val="clear" w:color="auto" w:fill="FFFFFF"/>
        <w:spacing w:after="0" w:line="240" w:lineRule="auto"/>
        <w:ind w:left="19"/>
        <w:rPr>
          <w:rFonts w:ascii="Times New Roman" w:hAnsi="Times New Roman"/>
        </w:rPr>
      </w:pPr>
      <w:r w:rsidRPr="00EE40F4">
        <w:rPr>
          <w:rFonts w:ascii="Times New Roman" w:hAnsi="Times New Roman"/>
          <w:spacing w:val="-1"/>
        </w:rPr>
        <w:t xml:space="preserve">U dospelých a pediatrických pacientov sa účinnosť </w:t>
      </w:r>
      <w:r w:rsidR="000E6FE7" w:rsidRPr="00EE40F4">
        <w:rPr>
          <w:rFonts w:ascii="Times New Roman" w:hAnsi="Times New Roman"/>
          <w:spacing w:val="-1"/>
        </w:rPr>
        <w:t>i</w:t>
      </w:r>
      <w:r w:rsidRPr="00EE40F4">
        <w:rPr>
          <w:rFonts w:ascii="Times New Roman" w:hAnsi="Times New Roman"/>
          <w:spacing w:val="-1"/>
        </w:rPr>
        <w:t xml:space="preserve">matinibu zakladá na stupni celkovej hematologickej </w:t>
      </w:r>
      <w:r w:rsidRPr="00EE40F4">
        <w:rPr>
          <w:rFonts w:ascii="Times New Roman" w:hAnsi="Times New Roman"/>
        </w:rPr>
        <w:t xml:space="preserve">a cytogenetickej odpovede a prežívaní bez progresie pri CML, na stupni hematologickej a </w:t>
      </w:r>
      <w:r w:rsidRPr="00EE40F4">
        <w:rPr>
          <w:rFonts w:ascii="Times New Roman" w:hAnsi="Times New Roman"/>
          <w:spacing w:val="-1"/>
        </w:rPr>
        <w:t xml:space="preserve">cytogenetickej odpovede pri Ph+ ALL, MDS/MPD, na stupni hematologickej odpovede pri HES/CEL </w:t>
      </w:r>
      <w:r w:rsidRPr="00EE40F4">
        <w:rPr>
          <w:rFonts w:ascii="Times New Roman" w:hAnsi="Times New Roman"/>
        </w:rPr>
        <w:t xml:space="preserve">a na stupni objektívnej odpovede u dospelých pacientov s DFSP. Skúsenosti s </w:t>
      </w:r>
      <w:r w:rsidR="000E6FE7" w:rsidRPr="00EE40F4">
        <w:rPr>
          <w:rFonts w:ascii="Times New Roman" w:hAnsi="Times New Roman"/>
        </w:rPr>
        <w:t>imatinib</w:t>
      </w:r>
      <w:r w:rsidRPr="00EE40F4">
        <w:rPr>
          <w:rFonts w:ascii="Times New Roman" w:hAnsi="Times New Roman"/>
        </w:rPr>
        <w:t xml:space="preserve">om u pacientov s MDS/MPD spojenými s preskupeniami génu PDGFR sú veľmi obmedzené (pozri časť </w:t>
      </w:r>
      <w:r w:rsidRPr="00EE40F4">
        <w:rPr>
          <w:rFonts w:ascii="Times New Roman" w:hAnsi="Times New Roman"/>
          <w:spacing w:val="-1"/>
        </w:rPr>
        <w:t xml:space="preserve">5.1). </w:t>
      </w:r>
      <w:r w:rsidR="00744395" w:rsidRPr="008A2150">
        <w:rPr>
          <w:rFonts w:ascii="Times New Roman" w:hAnsi="Times New Roman"/>
          <w:spacing w:val="-1"/>
        </w:rPr>
        <w:t xml:space="preserve">Okrem pri novodiagnostikovanej chronickej fáze CML </w:t>
      </w:r>
      <w:r w:rsidR="00744395" w:rsidRPr="00CA3011">
        <w:rPr>
          <w:rFonts w:ascii="Times New Roman" w:hAnsi="Times New Roman"/>
          <w:spacing w:val="-1"/>
        </w:rPr>
        <w:t>n</w:t>
      </w:r>
      <w:r w:rsidR="00E10466" w:rsidRPr="00EE40F4">
        <w:rPr>
          <w:rFonts w:ascii="Times New Roman" w:hAnsi="Times New Roman"/>
          <w:spacing w:val="-1"/>
        </w:rPr>
        <w:t>eboli uskutočnené žiadne</w:t>
      </w:r>
      <w:r w:rsidRPr="00EE40F4">
        <w:rPr>
          <w:rFonts w:ascii="Times New Roman" w:hAnsi="Times New Roman"/>
          <w:spacing w:val="-1"/>
        </w:rPr>
        <w:t xml:space="preserve"> kontrolované klinické skúšania, </w:t>
      </w:r>
      <w:r w:rsidRPr="00EE40F4">
        <w:rPr>
          <w:rFonts w:ascii="Times New Roman" w:hAnsi="Times New Roman"/>
        </w:rPr>
        <w:t>ktoré by preukázali klinickú prospešnosť alebo predĺžené prežívanie pri týchto ochoreniach.</w:t>
      </w:r>
    </w:p>
    <w:p w14:paraId="67A39DE0" w14:textId="77777777" w:rsidR="000E0251" w:rsidRPr="00EE40F4" w:rsidRDefault="000E0251" w:rsidP="00EF61CC">
      <w:pPr>
        <w:spacing w:after="0" w:line="240" w:lineRule="auto"/>
        <w:rPr>
          <w:rFonts w:ascii="Times New Roman" w:hAnsi="Times New Roman"/>
        </w:rPr>
      </w:pPr>
    </w:p>
    <w:p w14:paraId="0AEC7D0F"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4.2 </w:t>
      </w:r>
      <w:r w:rsidRPr="00EE40F4">
        <w:rPr>
          <w:rFonts w:ascii="Times New Roman" w:hAnsi="Times New Roman"/>
          <w:b/>
        </w:rPr>
        <w:tab/>
      </w:r>
      <w:r w:rsidRPr="00EE40F4">
        <w:rPr>
          <w:rFonts w:ascii="Times New Roman" w:hAnsi="Times New Roman"/>
          <w:b/>
          <w:bCs/>
        </w:rPr>
        <w:t>Dávkovanie a spôsob podávania</w:t>
      </w:r>
      <w:r w:rsidRPr="00EE40F4">
        <w:rPr>
          <w:rFonts w:ascii="Times New Roman" w:hAnsi="Times New Roman"/>
          <w:b/>
        </w:rPr>
        <w:t xml:space="preserve"> </w:t>
      </w:r>
    </w:p>
    <w:p w14:paraId="2D866465" w14:textId="77777777" w:rsidR="00653A62" w:rsidRPr="00EE40F4" w:rsidRDefault="00653A62" w:rsidP="00EF61CC">
      <w:pPr>
        <w:spacing w:after="0" w:line="240" w:lineRule="auto"/>
        <w:rPr>
          <w:rFonts w:ascii="Times New Roman" w:hAnsi="Times New Roman"/>
        </w:rPr>
      </w:pPr>
    </w:p>
    <w:p w14:paraId="17C63629" w14:textId="77777777" w:rsidR="000E0251" w:rsidRPr="00EE40F4" w:rsidRDefault="00653A62" w:rsidP="00EF61CC">
      <w:pPr>
        <w:spacing w:after="0" w:line="240" w:lineRule="auto"/>
        <w:rPr>
          <w:rFonts w:ascii="Times New Roman" w:hAnsi="Times New Roman"/>
        </w:rPr>
      </w:pPr>
      <w:r w:rsidRPr="00EE40F4">
        <w:rPr>
          <w:rFonts w:ascii="Times New Roman" w:hAnsi="Times New Roman"/>
        </w:rPr>
        <w:t>Liečbu má začať lekár, ktorý má skúsenosti s liečbou pacientov s hematologickými malignitami</w:t>
      </w:r>
      <w:r w:rsidR="003536E0" w:rsidRPr="00EE40F4">
        <w:rPr>
          <w:rFonts w:ascii="Times New Roman" w:hAnsi="Times New Roman"/>
        </w:rPr>
        <w:t>, prípadne malígnymi sarkómami.</w:t>
      </w:r>
    </w:p>
    <w:p w14:paraId="2A18709A" w14:textId="77777777" w:rsidR="00DF5E1E" w:rsidRPr="00EE40F4" w:rsidRDefault="00DF5E1E" w:rsidP="00EF61CC">
      <w:pPr>
        <w:spacing w:after="0" w:line="240" w:lineRule="auto"/>
        <w:rPr>
          <w:rFonts w:ascii="Times New Roman" w:hAnsi="Times New Roman"/>
        </w:rPr>
      </w:pPr>
    </w:p>
    <w:p w14:paraId="06A49625" w14:textId="77777777" w:rsidR="00DF5E1E" w:rsidRPr="00EE40F4" w:rsidRDefault="00DF5E1E" w:rsidP="00EF61CC">
      <w:pPr>
        <w:spacing w:after="0" w:line="240" w:lineRule="auto"/>
        <w:rPr>
          <w:rFonts w:ascii="Times New Roman" w:hAnsi="Times New Roman"/>
          <w:u w:val="single"/>
        </w:rPr>
      </w:pPr>
      <w:r w:rsidRPr="00EE40F4">
        <w:rPr>
          <w:rFonts w:ascii="Times New Roman" w:hAnsi="Times New Roman"/>
          <w:u w:val="single"/>
        </w:rPr>
        <w:t>Dávkovanie</w:t>
      </w:r>
    </w:p>
    <w:p w14:paraId="7320C6E1" w14:textId="77777777" w:rsidR="00653A62" w:rsidRPr="00EE40F4" w:rsidRDefault="00653A62" w:rsidP="00EF61CC">
      <w:pPr>
        <w:spacing w:after="0" w:line="240" w:lineRule="auto"/>
        <w:rPr>
          <w:rFonts w:ascii="Times New Roman" w:hAnsi="Times New Roman"/>
        </w:rPr>
      </w:pPr>
    </w:p>
    <w:p w14:paraId="4B7AA3D8" w14:textId="77777777" w:rsidR="00653A62" w:rsidRPr="00EE40F4" w:rsidRDefault="00653A62" w:rsidP="00EF61CC">
      <w:pPr>
        <w:pStyle w:val="Default"/>
        <w:rPr>
          <w:i/>
          <w:color w:val="auto"/>
          <w:sz w:val="22"/>
          <w:szCs w:val="22"/>
          <w:u w:val="single"/>
          <w:lang w:val="sk-SK"/>
        </w:rPr>
      </w:pPr>
      <w:r w:rsidRPr="00EE40F4">
        <w:rPr>
          <w:i/>
          <w:color w:val="auto"/>
          <w:sz w:val="22"/>
          <w:szCs w:val="22"/>
          <w:u w:val="single"/>
          <w:lang w:val="sk-SK"/>
        </w:rPr>
        <w:t>Dávkovanie pri CML u dospelých pacientov</w:t>
      </w:r>
    </w:p>
    <w:p w14:paraId="3AEC63EB" w14:textId="77777777" w:rsidR="00DF5E1E" w:rsidRPr="00EE40F4" w:rsidRDefault="00DF5E1E" w:rsidP="00EF61CC">
      <w:pPr>
        <w:pStyle w:val="Default"/>
        <w:rPr>
          <w:i/>
          <w:color w:val="auto"/>
          <w:sz w:val="22"/>
          <w:szCs w:val="22"/>
          <w:u w:val="single"/>
          <w:lang w:val="sk-SK"/>
        </w:rPr>
      </w:pPr>
    </w:p>
    <w:p w14:paraId="19C20F08" w14:textId="77777777" w:rsidR="00744395" w:rsidRDefault="00744395" w:rsidP="00744395">
      <w:pPr>
        <w:pStyle w:val="Default"/>
        <w:rPr>
          <w:sz w:val="22"/>
          <w:szCs w:val="22"/>
        </w:rPr>
      </w:pPr>
      <w:r>
        <w:rPr>
          <w:sz w:val="22"/>
          <w:szCs w:val="22"/>
        </w:rPr>
        <w:t>U dospelých pacientov v chronickej fáze CML je odporúčaná dávka imatinibu 400 mg/deň. Chronickú fázu CML definuje splnenie všetkých nasledujúcich kritérií: blasty v krvi a kostnej dreni &lt; 15%, bazofily v periférnej krvi &lt; 20%, trombocyty &gt; 100 x 10</w:t>
      </w:r>
      <w:r w:rsidRPr="00056AA8">
        <w:rPr>
          <w:sz w:val="22"/>
          <w:szCs w:val="22"/>
          <w:vertAlign w:val="superscript"/>
        </w:rPr>
        <w:t>9</w:t>
      </w:r>
      <w:r>
        <w:rPr>
          <w:sz w:val="22"/>
          <w:szCs w:val="22"/>
        </w:rPr>
        <w:t xml:space="preserve">/l. </w:t>
      </w:r>
    </w:p>
    <w:p w14:paraId="44C76585" w14:textId="77777777" w:rsidR="00744395" w:rsidRDefault="00744395" w:rsidP="00744395">
      <w:pPr>
        <w:pStyle w:val="Default"/>
        <w:rPr>
          <w:sz w:val="22"/>
          <w:szCs w:val="22"/>
        </w:rPr>
      </w:pPr>
    </w:p>
    <w:p w14:paraId="308E8153" w14:textId="77777777" w:rsidR="00744395" w:rsidRDefault="00744395" w:rsidP="00744395">
      <w:pPr>
        <w:pStyle w:val="Default"/>
        <w:rPr>
          <w:sz w:val="22"/>
          <w:szCs w:val="22"/>
        </w:rPr>
      </w:pPr>
      <w:r>
        <w:rPr>
          <w:sz w:val="22"/>
          <w:szCs w:val="22"/>
        </w:rPr>
        <w:t xml:space="preserve">U dospelých pacientov v akcelerovanej fáze je odporúčaná dávka imatinibu 600 mg/deň. Akcelerovanú fázu definuje splnenie ktoréhokoľvek z nasledujúcich kritérií: blasty v krvi alebo kostnej dreni </w:t>
      </w:r>
      <w:r>
        <w:rPr>
          <w:rFonts w:cs="Arial"/>
          <w:szCs w:val="22"/>
        </w:rPr>
        <w:t>≥</w:t>
      </w:r>
      <w:r>
        <w:rPr>
          <w:sz w:val="22"/>
          <w:szCs w:val="22"/>
        </w:rPr>
        <w:t xml:space="preserve"> 15%, ale &lt; 30%, blasty + promyelocyty v krvi alebo kostnej dreni </w:t>
      </w:r>
      <w:r>
        <w:rPr>
          <w:rFonts w:cs="Arial"/>
          <w:szCs w:val="22"/>
        </w:rPr>
        <w:t>≥</w:t>
      </w:r>
      <w:r>
        <w:rPr>
          <w:sz w:val="22"/>
          <w:szCs w:val="22"/>
        </w:rPr>
        <w:t xml:space="preserve"> 30% (ak blasty &lt; 30%), bazofily v periférnej krvi </w:t>
      </w:r>
      <w:r>
        <w:rPr>
          <w:rFonts w:cs="Arial"/>
          <w:szCs w:val="22"/>
        </w:rPr>
        <w:t>≥</w:t>
      </w:r>
      <w:r>
        <w:rPr>
          <w:sz w:val="22"/>
          <w:szCs w:val="22"/>
        </w:rPr>
        <w:t xml:space="preserve"> 20%, trombocyty &lt; 100 x 10</w:t>
      </w:r>
      <w:r w:rsidRPr="00EE71A9">
        <w:rPr>
          <w:sz w:val="22"/>
          <w:szCs w:val="22"/>
          <w:vertAlign w:val="superscript"/>
        </w:rPr>
        <w:t>9</w:t>
      </w:r>
      <w:r>
        <w:rPr>
          <w:sz w:val="22"/>
          <w:szCs w:val="22"/>
        </w:rPr>
        <w:t>/l bez súvislosti s liečbou.</w:t>
      </w:r>
    </w:p>
    <w:p w14:paraId="6604171B" w14:textId="77777777" w:rsidR="00744395" w:rsidRDefault="00744395" w:rsidP="00EF61CC">
      <w:pPr>
        <w:spacing w:after="0" w:line="240" w:lineRule="auto"/>
        <w:rPr>
          <w:rFonts w:ascii="Times New Roman" w:hAnsi="Times New Roman"/>
        </w:rPr>
      </w:pPr>
    </w:p>
    <w:p w14:paraId="45F74B5D"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U dospelých pacientov v blasti</w:t>
      </w:r>
      <w:r w:rsidR="000E6FE7" w:rsidRPr="00EE40F4">
        <w:rPr>
          <w:rFonts w:ascii="Times New Roman" w:hAnsi="Times New Roman"/>
        </w:rPr>
        <w:t>ckej kríze je odporúčaná dávka i</w:t>
      </w:r>
      <w:r w:rsidRPr="00EE40F4">
        <w:rPr>
          <w:rFonts w:ascii="Times New Roman" w:hAnsi="Times New Roman"/>
        </w:rPr>
        <w:t xml:space="preserve">matinibu 600 mg/deň. Blastickú krízu definujú blasty v krvi alebo kostnej dreni ≥ 30% alebo extramedulárne postihnutie iné ako hepatosplenomegália. </w:t>
      </w:r>
    </w:p>
    <w:p w14:paraId="3B12FF7C" w14:textId="77777777" w:rsidR="00653A62" w:rsidRPr="00EE40F4" w:rsidRDefault="00653A62" w:rsidP="00EF61CC">
      <w:pPr>
        <w:spacing w:after="0" w:line="240" w:lineRule="auto"/>
        <w:rPr>
          <w:rFonts w:ascii="Times New Roman" w:hAnsi="Times New Roman"/>
        </w:rPr>
      </w:pPr>
    </w:p>
    <w:p w14:paraId="62E00393"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Trvanie liečby: </w:t>
      </w:r>
      <w:r w:rsidR="00744395" w:rsidRPr="00872FE4">
        <w:rPr>
          <w:rFonts w:ascii="Times New Roman" w:hAnsi="Times New Roman"/>
        </w:rPr>
        <w:t>V klinických skúšaniach sa v liečbe imatinibom pokračovalo až do progresie ochorenia.</w:t>
      </w:r>
      <w:r w:rsidR="00744395">
        <w:rPr>
          <w:rFonts w:ascii="Times New Roman" w:hAnsi="Times New Roman"/>
        </w:rPr>
        <w:t xml:space="preserve"> </w:t>
      </w:r>
      <w:r w:rsidRPr="00EE40F4">
        <w:rPr>
          <w:rFonts w:ascii="Times New Roman" w:hAnsi="Times New Roman"/>
        </w:rPr>
        <w:t xml:space="preserve">Účinok ukončenia liečby po dosiahnutí kompletnej cytogenetickej odpovede sa nesledoval. </w:t>
      </w:r>
    </w:p>
    <w:p w14:paraId="46F5FBD6" w14:textId="77777777" w:rsidR="00653A62" w:rsidRPr="00EE40F4" w:rsidRDefault="00653A62" w:rsidP="00EF61CC">
      <w:pPr>
        <w:spacing w:after="0" w:line="240" w:lineRule="auto"/>
        <w:rPr>
          <w:rFonts w:ascii="Times New Roman" w:hAnsi="Times New Roman"/>
        </w:rPr>
      </w:pPr>
    </w:p>
    <w:p w14:paraId="65CB2DFC" w14:textId="77777777" w:rsidR="003536E0" w:rsidRPr="00EE40F4" w:rsidRDefault="003536E0" w:rsidP="003536E0">
      <w:pPr>
        <w:shd w:val="clear" w:color="auto" w:fill="FFFFFF"/>
        <w:spacing w:line="240" w:lineRule="auto"/>
        <w:rPr>
          <w:rFonts w:ascii="Times New Roman" w:hAnsi="Times New Roman"/>
        </w:rPr>
      </w:pPr>
      <w:r w:rsidRPr="00EE40F4">
        <w:rPr>
          <w:rFonts w:ascii="Times New Roman" w:hAnsi="Times New Roman"/>
          <w:spacing w:val="-1"/>
        </w:rPr>
        <w:t xml:space="preserve">O zvýšení dávky zo </w:t>
      </w:r>
      <w:r w:rsidR="00744395" w:rsidRPr="00872FE4">
        <w:rPr>
          <w:rFonts w:ascii="Times New Roman" w:hAnsi="Times New Roman"/>
        </w:rPr>
        <w:t>400 mg na 600 mg alebo 800 mg u pacientov v chronickej fáze ochorenia alebo zo</w:t>
      </w:r>
      <w:r w:rsidR="00744395" w:rsidRPr="00EE40F4">
        <w:rPr>
          <w:rFonts w:ascii="Times New Roman" w:hAnsi="Times New Roman"/>
        </w:rPr>
        <w:t xml:space="preserve"> </w:t>
      </w:r>
      <w:r w:rsidRPr="00EE40F4">
        <w:rPr>
          <w:rFonts w:ascii="Times New Roman" w:hAnsi="Times New Roman"/>
        </w:rPr>
        <w:t xml:space="preserve">600 mg na maximum 800 mg (podávaných ako 400 mg dvakrát denne) u pacientov v </w:t>
      </w:r>
      <w:r w:rsidR="00744395" w:rsidRPr="000452CD">
        <w:rPr>
          <w:rFonts w:ascii="Times New Roman" w:hAnsi="Times New Roman"/>
        </w:rPr>
        <w:t>akcelerovanej fáze alebo</w:t>
      </w:r>
      <w:r w:rsidR="00744395" w:rsidRPr="00EE40F4">
        <w:rPr>
          <w:rFonts w:ascii="Times New Roman" w:hAnsi="Times New Roman"/>
          <w:spacing w:val="-1"/>
        </w:rPr>
        <w:t xml:space="preserve"> </w:t>
      </w:r>
      <w:r w:rsidRPr="00EE40F4">
        <w:rPr>
          <w:rFonts w:ascii="Times New Roman" w:hAnsi="Times New Roman"/>
          <w:spacing w:val="-1"/>
        </w:rPr>
        <w:t xml:space="preserve">blastickej kríze možno uvažovať, pokiaľ nevzniknú závažné nežiaduce reakcie na liek a nie </w:t>
      </w:r>
      <w:r w:rsidRPr="00EE40F4">
        <w:rPr>
          <w:rFonts w:ascii="Times New Roman" w:hAnsi="Times New Roman"/>
        </w:rPr>
        <w:t xml:space="preserve">je prítomná závažná neutropénia alebo trombocytopénia nesúvisiaca s leukémiou, za nasledujúcich okolností: </w:t>
      </w:r>
      <w:r w:rsidR="00744395" w:rsidRPr="000452CD">
        <w:rPr>
          <w:rFonts w:ascii="Times New Roman" w:hAnsi="Times New Roman"/>
        </w:rPr>
        <w:t>progresia ochorenia (kedykoľvek);</w:t>
      </w:r>
      <w:r w:rsidR="00744395">
        <w:rPr>
          <w:rFonts w:ascii="Times New Roman" w:hAnsi="Times New Roman"/>
        </w:rPr>
        <w:t xml:space="preserve"> </w:t>
      </w:r>
      <w:r w:rsidRPr="00EE40F4">
        <w:rPr>
          <w:rFonts w:ascii="Times New Roman" w:hAnsi="Times New Roman"/>
        </w:rPr>
        <w:t>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14:paraId="3EB0164E" w14:textId="77777777" w:rsidR="00653A62" w:rsidRPr="00EE40F4" w:rsidRDefault="00653A62" w:rsidP="00EF61CC">
      <w:pPr>
        <w:pStyle w:val="Default"/>
        <w:rPr>
          <w:i/>
          <w:color w:val="auto"/>
          <w:sz w:val="22"/>
          <w:szCs w:val="22"/>
          <w:u w:val="single"/>
          <w:lang w:val="sk-SK"/>
        </w:rPr>
      </w:pPr>
      <w:r w:rsidRPr="00EE40F4">
        <w:rPr>
          <w:i/>
          <w:color w:val="auto"/>
          <w:sz w:val="22"/>
          <w:szCs w:val="22"/>
          <w:u w:val="single"/>
          <w:lang w:val="sk-SK"/>
        </w:rPr>
        <w:t xml:space="preserve">Dávkovanie pri CML </w:t>
      </w:r>
      <w:r w:rsidR="00DF5E1E" w:rsidRPr="00EE40F4">
        <w:rPr>
          <w:i/>
          <w:color w:val="auto"/>
          <w:sz w:val="22"/>
          <w:szCs w:val="22"/>
          <w:u w:val="single"/>
          <w:lang w:val="sk-SK"/>
        </w:rPr>
        <w:t>u </w:t>
      </w:r>
      <w:r w:rsidR="00744395">
        <w:rPr>
          <w:i/>
          <w:color w:val="auto"/>
          <w:sz w:val="22"/>
          <w:szCs w:val="22"/>
          <w:u w:val="single"/>
          <w:lang w:val="sk-SK"/>
        </w:rPr>
        <w:t>detí</w:t>
      </w:r>
    </w:p>
    <w:p w14:paraId="04548E8C" w14:textId="77777777" w:rsidR="00653A62" w:rsidRPr="00EE40F4" w:rsidRDefault="00653A62" w:rsidP="00EF61CC">
      <w:pPr>
        <w:pStyle w:val="Default"/>
        <w:rPr>
          <w:color w:val="auto"/>
          <w:sz w:val="22"/>
          <w:szCs w:val="22"/>
          <w:lang w:val="sk-SK"/>
        </w:rPr>
      </w:pPr>
      <w:r w:rsidRPr="00EE40F4">
        <w:rPr>
          <w:color w:val="auto"/>
          <w:sz w:val="22"/>
          <w:szCs w:val="22"/>
          <w:lang w:val="sk-SK"/>
        </w:rPr>
        <w:t>Dávkovanie u detí sa má stanoviť podľa plochy povrchu tela (mg/m</w:t>
      </w:r>
      <w:r w:rsidRPr="00EE40F4">
        <w:rPr>
          <w:color w:val="auto"/>
          <w:sz w:val="22"/>
          <w:szCs w:val="22"/>
          <w:vertAlign w:val="superscript"/>
          <w:lang w:val="sk-SK"/>
        </w:rPr>
        <w:t>2</w:t>
      </w:r>
      <w:r w:rsidRPr="00EE40F4">
        <w:rPr>
          <w:color w:val="auto"/>
          <w:sz w:val="22"/>
          <w:szCs w:val="22"/>
          <w:lang w:val="sk-SK"/>
        </w:rPr>
        <w:t>). Odporúča sa denná dávka 340 mg/m</w:t>
      </w:r>
      <w:r w:rsidRPr="00EE40F4">
        <w:rPr>
          <w:color w:val="auto"/>
          <w:sz w:val="22"/>
          <w:szCs w:val="22"/>
          <w:vertAlign w:val="superscript"/>
          <w:lang w:val="sk-SK"/>
        </w:rPr>
        <w:t>2</w:t>
      </w:r>
      <w:r w:rsidRPr="00EE40F4">
        <w:rPr>
          <w:color w:val="auto"/>
          <w:sz w:val="22"/>
          <w:szCs w:val="22"/>
          <w:lang w:val="sk-SK"/>
        </w:rPr>
        <w:t xml:space="preserve"> u detí v chronickej fáze CML a v pokročilých fázach CML (nemá sa prekročiť celková dávka 800 mg). Liek možno podávať buď raz denne, alebo dennú dávku možno rozdeliť na dve podania – jedno ráno a jedno večer. Odporúčania </w:t>
      </w:r>
      <w:r w:rsidR="00E7593E" w:rsidRPr="00EE40F4">
        <w:rPr>
          <w:color w:val="auto"/>
          <w:sz w:val="22"/>
          <w:szCs w:val="22"/>
          <w:lang w:val="sk-SK"/>
        </w:rPr>
        <w:t xml:space="preserve">na </w:t>
      </w:r>
      <w:r w:rsidRPr="00EE40F4">
        <w:rPr>
          <w:color w:val="auto"/>
          <w:sz w:val="22"/>
          <w:szCs w:val="22"/>
          <w:lang w:val="sk-SK"/>
        </w:rPr>
        <w:t xml:space="preserve">dávkovanie sa v súčasnosti zakladajú na malom počte pediatrických pacientov (pozri časti 5.1 a 5.2). Nie sú skúsenosti s liečbou detí mladších ako 2-ročných. </w:t>
      </w:r>
    </w:p>
    <w:p w14:paraId="3AED4D07" w14:textId="77777777" w:rsidR="00653A62" w:rsidRPr="00EE40F4" w:rsidRDefault="00653A62" w:rsidP="00EF61CC">
      <w:pPr>
        <w:spacing w:after="0" w:line="240" w:lineRule="auto"/>
        <w:rPr>
          <w:rFonts w:ascii="Times New Roman" w:hAnsi="Times New Roman"/>
        </w:rPr>
      </w:pPr>
    </w:p>
    <w:p w14:paraId="3CB0D9EA"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O zvýšení dávky z 340 mg/m</w:t>
      </w:r>
      <w:r w:rsidRPr="00EE40F4">
        <w:rPr>
          <w:rFonts w:ascii="Times New Roman" w:hAnsi="Times New Roman"/>
          <w:vertAlign w:val="superscript"/>
        </w:rPr>
        <w:t>2</w:t>
      </w:r>
      <w:r w:rsidRPr="00EE40F4">
        <w:rPr>
          <w:rFonts w:ascii="Times New Roman" w:hAnsi="Times New Roman"/>
        </w:rPr>
        <w:t xml:space="preserve"> denne na 570 mg/m</w:t>
      </w:r>
      <w:r w:rsidRPr="00EE40F4">
        <w:rPr>
          <w:rFonts w:ascii="Times New Roman" w:hAnsi="Times New Roman"/>
          <w:vertAlign w:val="superscript"/>
        </w:rPr>
        <w:t>2</w:t>
      </w:r>
      <w:r w:rsidRPr="00EE40F4">
        <w:rPr>
          <w:rFonts w:ascii="Times New Roman" w:hAnsi="Times New Roman"/>
        </w:rPr>
        <w:t xml:space="preserve"> denne (nemá sa prekročiť celková dávka 800 mg) u detí</w:t>
      </w:r>
      <w:r w:rsidR="00C679AC" w:rsidRPr="00EE40F4">
        <w:rPr>
          <w:rFonts w:ascii="Times New Roman" w:hAnsi="Times New Roman"/>
        </w:rPr>
        <w:t xml:space="preserve"> </w:t>
      </w:r>
      <w:r w:rsidRPr="00EE40F4">
        <w:rPr>
          <w:rFonts w:ascii="Times New Roman" w:hAnsi="Times New Roman"/>
        </w:rPr>
        <w:t xml:space="preserve">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 </w:t>
      </w:r>
    </w:p>
    <w:p w14:paraId="67A4ADB6" w14:textId="77777777" w:rsidR="001C5F1C" w:rsidRPr="00EE40F4" w:rsidRDefault="001C5F1C" w:rsidP="00412829">
      <w:pPr>
        <w:shd w:val="clear" w:color="auto" w:fill="FFFFFF"/>
        <w:spacing w:after="0" w:line="240" w:lineRule="auto"/>
        <w:rPr>
          <w:rFonts w:ascii="Times New Roman" w:hAnsi="Times New Roman"/>
          <w:i/>
          <w:u w:val="single"/>
        </w:rPr>
      </w:pPr>
    </w:p>
    <w:p w14:paraId="33A918CD" w14:textId="77777777" w:rsidR="003536E0" w:rsidRPr="00EE40F4" w:rsidRDefault="003536E0" w:rsidP="00412829">
      <w:pPr>
        <w:shd w:val="clear" w:color="auto" w:fill="FFFFFF"/>
        <w:spacing w:after="0" w:line="240" w:lineRule="auto"/>
        <w:rPr>
          <w:rFonts w:ascii="Times New Roman" w:hAnsi="Times New Roman"/>
          <w:i/>
        </w:rPr>
      </w:pPr>
      <w:r w:rsidRPr="00EE40F4">
        <w:rPr>
          <w:rFonts w:ascii="Times New Roman" w:hAnsi="Times New Roman"/>
          <w:i/>
          <w:u w:val="single"/>
        </w:rPr>
        <w:t>Dávkovanie pri Ph+ ALL u dospelých pacientov</w:t>
      </w:r>
    </w:p>
    <w:p w14:paraId="792949B6" w14:textId="77777777" w:rsidR="003536E0" w:rsidRPr="00EE40F4" w:rsidRDefault="003536E0" w:rsidP="00412829">
      <w:pPr>
        <w:shd w:val="clear" w:color="auto" w:fill="FFFFFF"/>
        <w:spacing w:after="0" w:line="240" w:lineRule="auto"/>
        <w:rPr>
          <w:rFonts w:ascii="Times New Roman" w:hAnsi="Times New Roman"/>
        </w:rPr>
      </w:pPr>
      <w:r w:rsidRPr="00EE40F4">
        <w:rPr>
          <w:rFonts w:ascii="Times New Roman" w:hAnsi="Times New Roman"/>
          <w:spacing w:val="-1"/>
        </w:rPr>
        <w:t xml:space="preserve">U dospelých pacientov s Ph+ ALL je odporúčaná dávka </w:t>
      </w:r>
      <w:r w:rsidR="000E6FE7" w:rsidRPr="00EE40F4">
        <w:rPr>
          <w:rFonts w:ascii="Times New Roman" w:hAnsi="Times New Roman"/>
          <w:spacing w:val="-1"/>
        </w:rPr>
        <w:t>imatinib</w:t>
      </w:r>
      <w:r w:rsidR="00DF5E1E" w:rsidRPr="00EE40F4">
        <w:rPr>
          <w:rFonts w:ascii="Times New Roman" w:hAnsi="Times New Roman"/>
          <w:spacing w:val="-1"/>
        </w:rPr>
        <w:t xml:space="preserve">u </w:t>
      </w:r>
      <w:r w:rsidRPr="00EE40F4">
        <w:rPr>
          <w:rFonts w:ascii="Times New Roman" w:hAnsi="Times New Roman"/>
          <w:spacing w:val="-1"/>
        </w:rPr>
        <w:t xml:space="preserve">600 mg/deň. Hematológovia, ktorí sú </w:t>
      </w:r>
      <w:r w:rsidRPr="00EE40F4">
        <w:rPr>
          <w:rFonts w:ascii="Times New Roman" w:hAnsi="Times New Roman"/>
        </w:rPr>
        <w:t>odborníkmi na vedenie liečby tohto ochorenia, majú dohliadať na liečbu počas všetkých fáz poskytovania starostlivosti.</w:t>
      </w:r>
    </w:p>
    <w:p w14:paraId="3FFDB1C5" w14:textId="77777777" w:rsidR="003536E0" w:rsidRPr="00EE40F4" w:rsidRDefault="003536E0" w:rsidP="003536E0">
      <w:pPr>
        <w:shd w:val="clear" w:color="auto" w:fill="FFFFFF"/>
        <w:spacing w:before="250" w:line="250" w:lineRule="exact"/>
        <w:ind w:right="230"/>
        <w:rPr>
          <w:rFonts w:ascii="Times New Roman" w:hAnsi="Times New Roman"/>
        </w:rPr>
      </w:pPr>
      <w:r w:rsidRPr="00EE40F4">
        <w:rPr>
          <w:rFonts w:ascii="Times New Roman" w:hAnsi="Times New Roman"/>
          <w:spacing w:val="-1"/>
        </w:rPr>
        <w:t xml:space="preserve">Režim liečby: Podľa existujúcich údajov sa preukázala účinnosť a bezpečnosť </w:t>
      </w:r>
      <w:r w:rsidR="000E6FE7" w:rsidRPr="00EE40F4">
        <w:rPr>
          <w:rFonts w:ascii="Times New Roman" w:hAnsi="Times New Roman"/>
          <w:spacing w:val="-1"/>
        </w:rPr>
        <w:t>imatinib</w:t>
      </w:r>
      <w:r w:rsidRPr="00EE40F4">
        <w:rPr>
          <w:rFonts w:ascii="Times New Roman" w:hAnsi="Times New Roman"/>
          <w:spacing w:val="-1"/>
        </w:rPr>
        <w:t xml:space="preserve">u pri podávaní </w:t>
      </w:r>
      <w:r w:rsidRPr="00EE40F4">
        <w:rPr>
          <w:rFonts w:ascii="Times New Roman" w:hAnsi="Times New Roman"/>
        </w:rPr>
        <w:t xml:space="preserve">v dávke 600 mg/deň v kombinácii s chemoterapiou v indukčnej, konsolidačnej a udržiavacej fáze chemoterapie (pozri časť 5.1) u dospelých pacientov s novodiagnostikovanou Ph+ ALL. Trvanie liečby </w:t>
      </w:r>
      <w:r w:rsidR="000E6FE7" w:rsidRPr="00EE40F4">
        <w:rPr>
          <w:rFonts w:ascii="Times New Roman" w:hAnsi="Times New Roman"/>
          <w:spacing w:val="-1"/>
        </w:rPr>
        <w:t>imatinib</w:t>
      </w:r>
      <w:r w:rsidRPr="00EE40F4">
        <w:rPr>
          <w:rFonts w:ascii="Times New Roman" w:hAnsi="Times New Roman"/>
          <w:spacing w:val="-1"/>
        </w:rPr>
        <w:t xml:space="preserve">om </w:t>
      </w:r>
      <w:r w:rsidRPr="00EE40F4">
        <w:rPr>
          <w:rFonts w:ascii="Times New Roman" w:hAnsi="Times New Roman"/>
        </w:rPr>
        <w:t xml:space="preserve">môže byť rôzne v závislosti od zvoleného programu liečby, ale dlhšie expozície </w:t>
      </w:r>
      <w:r w:rsidR="000E6FE7" w:rsidRPr="00EE40F4">
        <w:rPr>
          <w:rFonts w:ascii="Times New Roman" w:hAnsi="Times New Roman"/>
          <w:spacing w:val="-1"/>
        </w:rPr>
        <w:t>imatinib</w:t>
      </w:r>
      <w:r w:rsidRPr="00EE40F4">
        <w:rPr>
          <w:rFonts w:ascii="Times New Roman" w:hAnsi="Times New Roman"/>
          <w:spacing w:val="-1"/>
        </w:rPr>
        <w:t xml:space="preserve">u </w:t>
      </w:r>
      <w:r w:rsidRPr="00EE40F4">
        <w:rPr>
          <w:rFonts w:ascii="Times New Roman" w:hAnsi="Times New Roman"/>
        </w:rPr>
        <w:t>spravidla priniesli lepšie výsledky.</w:t>
      </w:r>
    </w:p>
    <w:p w14:paraId="0299A6B7" w14:textId="77777777" w:rsidR="003536E0" w:rsidRDefault="003536E0" w:rsidP="003536E0">
      <w:pPr>
        <w:shd w:val="clear" w:color="auto" w:fill="FFFFFF"/>
        <w:spacing w:before="245" w:line="254" w:lineRule="exact"/>
        <w:ind w:right="230"/>
        <w:rPr>
          <w:rFonts w:ascii="Times New Roman" w:hAnsi="Times New Roman"/>
        </w:rPr>
      </w:pPr>
      <w:r w:rsidRPr="00EE40F4">
        <w:rPr>
          <w:rFonts w:ascii="Times New Roman" w:hAnsi="Times New Roman"/>
          <w:spacing w:val="-1"/>
        </w:rPr>
        <w:t xml:space="preserve">U dospelých pacientov s relapsom alebo refraktérnou Ph+ ALL je monoterapia </w:t>
      </w:r>
      <w:r w:rsidR="000E6FE7" w:rsidRPr="00EE40F4">
        <w:rPr>
          <w:rFonts w:ascii="Times New Roman" w:hAnsi="Times New Roman"/>
          <w:spacing w:val="-1"/>
        </w:rPr>
        <w:t>i</w:t>
      </w:r>
      <w:r w:rsidRPr="00EE40F4">
        <w:rPr>
          <w:rFonts w:ascii="Times New Roman" w:hAnsi="Times New Roman"/>
          <w:spacing w:val="-1"/>
        </w:rPr>
        <w:t xml:space="preserve">matinibom v dávke </w:t>
      </w:r>
      <w:r w:rsidRPr="00EE40F4">
        <w:rPr>
          <w:rFonts w:ascii="Times New Roman" w:hAnsi="Times New Roman"/>
        </w:rPr>
        <w:t>600 mg/deň bezpečná, účinná a môže sa podávať až do nástupu progresie ochorenia.</w:t>
      </w:r>
    </w:p>
    <w:p w14:paraId="5B9D6D48" w14:textId="77777777" w:rsidR="00744395" w:rsidRPr="00EE71A9" w:rsidRDefault="00744395" w:rsidP="00744395">
      <w:pPr>
        <w:pStyle w:val="Default"/>
        <w:rPr>
          <w:i/>
          <w:sz w:val="22"/>
          <w:szCs w:val="22"/>
        </w:rPr>
      </w:pPr>
      <w:r w:rsidRPr="00EE71A9">
        <w:rPr>
          <w:i/>
          <w:sz w:val="22"/>
          <w:szCs w:val="22"/>
        </w:rPr>
        <w:t xml:space="preserve">Dávkovanie pri Ph+ ALL u detí </w:t>
      </w:r>
    </w:p>
    <w:p w14:paraId="417642D8" w14:textId="77777777" w:rsidR="00744395" w:rsidRDefault="00744395" w:rsidP="00EE71A9">
      <w:pPr>
        <w:shd w:val="clear" w:color="auto" w:fill="FFFFFF"/>
        <w:spacing w:after="0" w:line="240" w:lineRule="auto"/>
        <w:ind w:right="230"/>
        <w:rPr>
          <w:rFonts w:ascii="Times New Roman" w:hAnsi="Times New Roman"/>
        </w:rPr>
      </w:pPr>
      <w:r w:rsidRPr="000452CD">
        <w:rPr>
          <w:rFonts w:ascii="Times New Roman" w:hAnsi="Times New Roman"/>
        </w:rPr>
        <w:t>Dávkovanie u detí sa má stanoviť podľa plochy povrchu tela (mg/m</w:t>
      </w:r>
      <w:r w:rsidRPr="00872FE4">
        <w:rPr>
          <w:rFonts w:ascii="Times New Roman" w:hAnsi="Times New Roman"/>
          <w:vertAlign w:val="superscript"/>
        </w:rPr>
        <w:t>2</w:t>
      </w:r>
      <w:r w:rsidRPr="00872FE4">
        <w:rPr>
          <w:rFonts w:ascii="Times New Roman" w:hAnsi="Times New Roman"/>
        </w:rPr>
        <w:t>). U detí s Ph+ ALL sa odporúča denná dávka 340 mg/m</w:t>
      </w:r>
      <w:r w:rsidRPr="00872FE4">
        <w:rPr>
          <w:rFonts w:ascii="Times New Roman" w:hAnsi="Times New Roman"/>
          <w:vertAlign w:val="superscript"/>
        </w:rPr>
        <w:t>2</w:t>
      </w:r>
      <w:r w:rsidRPr="000452CD">
        <w:rPr>
          <w:rFonts w:ascii="Times New Roman" w:hAnsi="Times New Roman"/>
        </w:rPr>
        <w:t xml:space="preserve"> </w:t>
      </w:r>
      <w:r w:rsidRPr="00872FE4">
        <w:rPr>
          <w:rFonts w:ascii="Times New Roman" w:hAnsi="Times New Roman"/>
        </w:rPr>
        <w:t>(nesmie byť prekročená celková dávka 600 mg).</w:t>
      </w:r>
    </w:p>
    <w:p w14:paraId="70EF2139" w14:textId="77777777" w:rsidR="00744395" w:rsidRPr="00EE40F4" w:rsidRDefault="00744395" w:rsidP="00EE71A9">
      <w:pPr>
        <w:shd w:val="clear" w:color="auto" w:fill="FFFFFF"/>
        <w:spacing w:after="0" w:line="240" w:lineRule="auto"/>
        <w:ind w:right="230"/>
        <w:rPr>
          <w:rFonts w:ascii="Times New Roman" w:hAnsi="Times New Roman"/>
        </w:rPr>
      </w:pPr>
    </w:p>
    <w:p w14:paraId="20DA6FDC" w14:textId="77777777" w:rsidR="003536E0" w:rsidRPr="00EE40F4" w:rsidRDefault="003536E0" w:rsidP="00BA450E">
      <w:pPr>
        <w:shd w:val="clear" w:color="auto" w:fill="FFFFFF"/>
        <w:spacing w:after="0" w:line="240" w:lineRule="auto"/>
        <w:rPr>
          <w:rFonts w:ascii="Times New Roman" w:hAnsi="Times New Roman"/>
          <w:i/>
        </w:rPr>
      </w:pPr>
      <w:r w:rsidRPr="00EE40F4">
        <w:rPr>
          <w:rFonts w:ascii="Times New Roman" w:hAnsi="Times New Roman"/>
          <w:i/>
          <w:u w:val="single"/>
        </w:rPr>
        <w:t>Dávkovanie pri MDS/MPD</w:t>
      </w:r>
    </w:p>
    <w:p w14:paraId="770210FA"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U dospelých pacientov s MDS/MPD je odporúčaná dávka </w:t>
      </w:r>
      <w:r w:rsidR="000E6FE7" w:rsidRPr="00EE40F4">
        <w:rPr>
          <w:rFonts w:ascii="Times New Roman" w:hAnsi="Times New Roman"/>
          <w:spacing w:val="-1"/>
        </w:rPr>
        <w:t>i</w:t>
      </w:r>
      <w:r w:rsidRPr="00EE40F4">
        <w:rPr>
          <w:rFonts w:ascii="Times New Roman" w:hAnsi="Times New Roman"/>
          <w:spacing w:val="-1"/>
        </w:rPr>
        <w:t xml:space="preserve">matinibu </w:t>
      </w:r>
      <w:r w:rsidRPr="00EE40F4">
        <w:rPr>
          <w:rFonts w:ascii="Times New Roman" w:hAnsi="Times New Roman"/>
        </w:rPr>
        <w:t>400 mg/deň.</w:t>
      </w:r>
    </w:p>
    <w:p w14:paraId="255240A8" w14:textId="77777777" w:rsidR="001C5F1C" w:rsidRPr="00EE40F4" w:rsidRDefault="001C5F1C" w:rsidP="00BA450E">
      <w:pPr>
        <w:shd w:val="clear" w:color="auto" w:fill="FFFFFF"/>
        <w:spacing w:after="0" w:line="240" w:lineRule="auto"/>
        <w:rPr>
          <w:rFonts w:ascii="Times New Roman" w:hAnsi="Times New Roman"/>
        </w:rPr>
      </w:pPr>
    </w:p>
    <w:p w14:paraId="5F872DFE"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Trvanie liečby: V jedinom zatiaľ vykonanom klinickom skúšaní sa v liečbe </w:t>
      </w:r>
      <w:r w:rsidR="000E6FE7" w:rsidRPr="00EE40F4">
        <w:rPr>
          <w:rFonts w:ascii="Times New Roman" w:hAnsi="Times New Roman"/>
        </w:rPr>
        <w:t>imatinib</w:t>
      </w:r>
      <w:r w:rsidRPr="00EE40F4">
        <w:rPr>
          <w:rFonts w:ascii="Times New Roman" w:hAnsi="Times New Roman"/>
        </w:rPr>
        <w:t xml:space="preserve">om pokračovalo až </w:t>
      </w:r>
      <w:r w:rsidRPr="00EE40F4">
        <w:rPr>
          <w:rFonts w:ascii="Times New Roman" w:hAnsi="Times New Roman"/>
          <w:spacing w:val="-1"/>
        </w:rPr>
        <w:t xml:space="preserve">do progresie ochorenia (pozri časť 5.1). V čase analýzy bol medián trvania liečby 47 mesiacov (24 dní </w:t>
      </w:r>
      <w:r w:rsidRPr="00EE40F4">
        <w:rPr>
          <w:rFonts w:ascii="Times New Roman" w:hAnsi="Times New Roman"/>
        </w:rPr>
        <w:t>– 60 mesiacov).</w:t>
      </w:r>
    </w:p>
    <w:p w14:paraId="5FFC559E" w14:textId="77777777" w:rsidR="001C5F1C" w:rsidRPr="00EE40F4" w:rsidRDefault="001C5F1C" w:rsidP="00412829">
      <w:pPr>
        <w:spacing w:after="0" w:line="240" w:lineRule="auto"/>
        <w:rPr>
          <w:rFonts w:ascii="Times New Roman" w:hAnsi="Times New Roman"/>
          <w:u w:val="single"/>
        </w:rPr>
      </w:pPr>
    </w:p>
    <w:p w14:paraId="6E6D8143" w14:textId="77777777" w:rsidR="003536E0" w:rsidRPr="00EE40F4" w:rsidRDefault="003536E0" w:rsidP="00412829">
      <w:pPr>
        <w:spacing w:after="0" w:line="240" w:lineRule="auto"/>
        <w:rPr>
          <w:rFonts w:ascii="Times New Roman" w:hAnsi="Times New Roman"/>
          <w:i/>
          <w:u w:val="single"/>
        </w:rPr>
      </w:pPr>
      <w:r w:rsidRPr="00EE40F4">
        <w:rPr>
          <w:rFonts w:ascii="Times New Roman" w:hAnsi="Times New Roman"/>
          <w:i/>
          <w:u w:val="single"/>
        </w:rPr>
        <w:t>Dávkovanie pri HES/CEL</w:t>
      </w:r>
    </w:p>
    <w:p w14:paraId="7A04D2A2" w14:textId="77777777" w:rsidR="003536E0" w:rsidRPr="00EE40F4" w:rsidRDefault="003536E0" w:rsidP="00412829">
      <w:pPr>
        <w:spacing w:after="0" w:line="240" w:lineRule="auto"/>
        <w:rPr>
          <w:rFonts w:ascii="Times New Roman" w:hAnsi="Times New Roman"/>
        </w:rPr>
      </w:pPr>
      <w:r w:rsidRPr="00EE40F4">
        <w:rPr>
          <w:rFonts w:ascii="Times New Roman" w:hAnsi="Times New Roman"/>
        </w:rPr>
        <w:t xml:space="preserve">U dospelých pacientov s HES/CEL je odporúčaná dávka </w:t>
      </w:r>
      <w:r w:rsidR="000E6FE7" w:rsidRPr="00EE40F4">
        <w:rPr>
          <w:rFonts w:ascii="Times New Roman" w:hAnsi="Times New Roman"/>
          <w:spacing w:val="-1"/>
        </w:rPr>
        <w:t>imatinib</w:t>
      </w:r>
      <w:r w:rsidRPr="00EE40F4">
        <w:rPr>
          <w:rFonts w:ascii="Times New Roman" w:hAnsi="Times New Roman"/>
          <w:spacing w:val="-1"/>
        </w:rPr>
        <w:t xml:space="preserve">u </w:t>
      </w:r>
      <w:r w:rsidRPr="00EE40F4">
        <w:rPr>
          <w:rFonts w:ascii="Times New Roman" w:hAnsi="Times New Roman"/>
        </w:rPr>
        <w:t>100 mg/deň.</w:t>
      </w:r>
    </w:p>
    <w:p w14:paraId="26119540" w14:textId="77777777" w:rsidR="003536E0" w:rsidRPr="00EE40F4" w:rsidRDefault="003536E0" w:rsidP="001C5F1C">
      <w:pPr>
        <w:shd w:val="clear" w:color="auto" w:fill="FFFFFF"/>
        <w:spacing w:after="0" w:line="240" w:lineRule="auto"/>
        <w:ind w:right="163"/>
        <w:jc w:val="both"/>
        <w:rPr>
          <w:rFonts w:ascii="Times New Roman" w:hAnsi="Times New Roman"/>
          <w:spacing w:val="-1"/>
        </w:rPr>
      </w:pPr>
    </w:p>
    <w:p w14:paraId="0B979098" w14:textId="77777777" w:rsidR="003536E0" w:rsidRPr="00EE40F4" w:rsidRDefault="003536E0" w:rsidP="00BA450E">
      <w:pPr>
        <w:shd w:val="clear" w:color="auto" w:fill="FFFFFF"/>
        <w:spacing w:after="0" w:line="240" w:lineRule="auto"/>
        <w:ind w:right="163"/>
        <w:jc w:val="both"/>
        <w:rPr>
          <w:rFonts w:ascii="Times New Roman" w:hAnsi="Times New Roman"/>
        </w:rPr>
      </w:pPr>
      <w:r w:rsidRPr="00EE40F4">
        <w:rPr>
          <w:rFonts w:ascii="Times New Roman" w:hAnsi="Times New Roman"/>
          <w:spacing w:val="-1"/>
        </w:rPr>
        <w:t xml:space="preserve">Zvýšenie dávky zo 100 mg na 400 mg možno uvážiť, pokiaľ sa nevyskytli nežiaduce reakcie na liek, </w:t>
      </w:r>
      <w:r w:rsidRPr="00EE40F4">
        <w:rPr>
          <w:rFonts w:ascii="Times New Roman" w:hAnsi="Times New Roman"/>
        </w:rPr>
        <w:t>ak hodnotenia preukážu nedostatočnú odpoveď na liečbu.</w:t>
      </w:r>
    </w:p>
    <w:p w14:paraId="5092D09D" w14:textId="77777777" w:rsidR="003536E0" w:rsidRPr="00EE40F4" w:rsidRDefault="003536E0" w:rsidP="00BA450E">
      <w:pPr>
        <w:shd w:val="clear" w:color="auto" w:fill="FFFFFF"/>
        <w:spacing w:after="0" w:line="240" w:lineRule="auto"/>
        <w:rPr>
          <w:rFonts w:ascii="Times New Roman" w:hAnsi="Times New Roman"/>
        </w:rPr>
      </w:pPr>
    </w:p>
    <w:p w14:paraId="2B59F61F"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V liečbe sa má pokračovať dovtedy, kým je pre pacienta prínosom.</w:t>
      </w:r>
    </w:p>
    <w:p w14:paraId="3543C9FF" w14:textId="77777777" w:rsidR="008643CD" w:rsidRPr="00EE40F4" w:rsidRDefault="008643CD" w:rsidP="00412829">
      <w:pPr>
        <w:spacing w:after="0" w:line="240" w:lineRule="auto"/>
        <w:ind w:right="2614"/>
        <w:rPr>
          <w:rFonts w:ascii="Times New Roman" w:hAnsi="Times New Roman"/>
          <w:u w:val="single" w:color="000000"/>
        </w:rPr>
      </w:pPr>
    </w:p>
    <w:p w14:paraId="04A90119" w14:textId="77777777" w:rsidR="003536E0" w:rsidRPr="00EE40F4" w:rsidRDefault="003536E0" w:rsidP="00BA450E">
      <w:pPr>
        <w:shd w:val="clear" w:color="auto" w:fill="FFFFFF"/>
        <w:spacing w:after="0" w:line="240" w:lineRule="auto"/>
        <w:rPr>
          <w:rFonts w:ascii="Times New Roman" w:hAnsi="Times New Roman"/>
          <w:i/>
        </w:rPr>
      </w:pPr>
      <w:r w:rsidRPr="00EE40F4">
        <w:rPr>
          <w:rFonts w:ascii="Times New Roman" w:hAnsi="Times New Roman"/>
          <w:i/>
          <w:u w:val="single"/>
        </w:rPr>
        <w:t>Dávkovanie pri DFSP</w:t>
      </w:r>
    </w:p>
    <w:p w14:paraId="629BDE2B"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U dospelých pacientov s DFSP je odporúčaná dávka </w:t>
      </w:r>
      <w:r w:rsidR="000E6FE7" w:rsidRPr="00EE40F4">
        <w:rPr>
          <w:rFonts w:ascii="Times New Roman" w:hAnsi="Times New Roman"/>
          <w:spacing w:val="-1"/>
        </w:rPr>
        <w:t>i</w:t>
      </w:r>
      <w:r w:rsidR="00452BE1" w:rsidRPr="00EE40F4">
        <w:rPr>
          <w:rFonts w:ascii="Times New Roman" w:hAnsi="Times New Roman"/>
          <w:spacing w:val="-1"/>
        </w:rPr>
        <w:t xml:space="preserve">matinibu </w:t>
      </w:r>
      <w:r w:rsidRPr="00EE40F4">
        <w:rPr>
          <w:rFonts w:ascii="Times New Roman" w:hAnsi="Times New Roman"/>
        </w:rPr>
        <w:t>800 mg/deň.</w:t>
      </w:r>
    </w:p>
    <w:p w14:paraId="10A6F968" w14:textId="77777777" w:rsidR="003536E0" w:rsidRPr="00EE40F4" w:rsidRDefault="003536E0" w:rsidP="00EF61CC">
      <w:pPr>
        <w:spacing w:after="0" w:line="240" w:lineRule="auto"/>
        <w:rPr>
          <w:rFonts w:ascii="Times New Roman" w:hAnsi="Times New Roman"/>
        </w:rPr>
      </w:pPr>
    </w:p>
    <w:p w14:paraId="70BABFD4" w14:textId="77777777" w:rsidR="00653A62" w:rsidRPr="00EE40F4" w:rsidRDefault="00653A62" w:rsidP="00EF61CC">
      <w:pPr>
        <w:spacing w:after="0" w:line="240" w:lineRule="auto"/>
        <w:rPr>
          <w:rFonts w:ascii="Times New Roman" w:hAnsi="Times New Roman"/>
          <w:i/>
          <w:u w:val="single"/>
        </w:rPr>
      </w:pPr>
      <w:r w:rsidRPr="00EE40F4">
        <w:rPr>
          <w:rFonts w:ascii="Times New Roman" w:hAnsi="Times New Roman"/>
          <w:i/>
          <w:u w:val="single"/>
        </w:rPr>
        <w:t>Úprava dávkovania pre nežiaduce reakcie</w:t>
      </w:r>
    </w:p>
    <w:p w14:paraId="475E18EF" w14:textId="77777777" w:rsidR="00653A62" w:rsidRPr="00EE40F4" w:rsidRDefault="00653A62" w:rsidP="00EF61CC">
      <w:pPr>
        <w:pStyle w:val="Default"/>
        <w:rPr>
          <w:color w:val="auto"/>
          <w:sz w:val="22"/>
          <w:szCs w:val="22"/>
          <w:lang w:val="sk-SK"/>
        </w:rPr>
      </w:pPr>
      <w:r w:rsidRPr="00EE40F4">
        <w:rPr>
          <w:i/>
          <w:iCs/>
          <w:color w:val="auto"/>
          <w:sz w:val="22"/>
          <w:szCs w:val="22"/>
          <w:lang w:val="sk-SK"/>
        </w:rPr>
        <w:t>Nehematologické nežiaduce reakcie</w:t>
      </w:r>
    </w:p>
    <w:p w14:paraId="7FEF587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Ak sa pri užívaní </w:t>
      </w:r>
      <w:r w:rsidR="000E6FE7" w:rsidRPr="00EE40F4">
        <w:rPr>
          <w:rFonts w:ascii="Times New Roman" w:hAnsi="Times New Roman"/>
        </w:rPr>
        <w:t>i</w:t>
      </w:r>
      <w:r w:rsidR="00F1249F" w:rsidRPr="00EE40F4">
        <w:rPr>
          <w:rFonts w:ascii="Times New Roman" w:hAnsi="Times New Roman"/>
        </w:rPr>
        <w:t>matinibu</w:t>
      </w:r>
      <w:r w:rsidR="00AE72A2" w:rsidRPr="00EE40F4">
        <w:rPr>
          <w:rFonts w:ascii="Times New Roman" w:hAnsi="Times New Roman"/>
        </w:rPr>
        <w:t xml:space="preserve"> </w:t>
      </w:r>
      <w:r w:rsidRPr="00EE40F4">
        <w:rPr>
          <w:rFonts w:ascii="Times New Roman" w:hAnsi="Times New Roman"/>
        </w:rPr>
        <w:t>vyvinie závažná nehematologická nežiaduca reakcia, liečba sa musí vysadiť až do vymiznutia udalosti. Potom možno v liečbe primeraným spôsobom pokračovať, v závislosti od počiatočnej závažnosti udalosti.</w:t>
      </w:r>
    </w:p>
    <w:p w14:paraId="1C21F705" w14:textId="77777777" w:rsidR="00653A62" w:rsidRPr="00EE40F4" w:rsidRDefault="00653A62" w:rsidP="00EF61CC">
      <w:pPr>
        <w:spacing w:after="0" w:line="240" w:lineRule="auto"/>
        <w:rPr>
          <w:rFonts w:ascii="Times New Roman" w:hAnsi="Times New Roman"/>
        </w:rPr>
      </w:pPr>
    </w:p>
    <w:p w14:paraId="5E0E455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Ak sa zvýši bilirubín &gt; 3-násobok stanovenej hornej hranice normálneho rozmedzia (IULN) alebo pečeňové aminotransferázy &gt; 5-násobok IULN, </w:t>
      </w:r>
      <w:r w:rsidR="000E6FE7" w:rsidRPr="00EE40F4">
        <w:rPr>
          <w:rFonts w:ascii="Times New Roman" w:hAnsi="Times New Roman"/>
        </w:rPr>
        <w:t>i</w:t>
      </w:r>
      <w:r w:rsidR="00A75A19" w:rsidRPr="00EE40F4">
        <w:rPr>
          <w:rFonts w:ascii="Times New Roman" w:hAnsi="Times New Roman"/>
        </w:rPr>
        <w:t>matinib</w:t>
      </w:r>
      <w:r w:rsidR="00AE72A2" w:rsidRPr="00EE40F4">
        <w:rPr>
          <w:rFonts w:ascii="Times New Roman" w:hAnsi="Times New Roman"/>
        </w:rPr>
        <w:t xml:space="preserve"> </w:t>
      </w:r>
      <w:r w:rsidRPr="00EE40F4">
        <w:rPr>
          <w:rFonts w:ascii="Times New Roman" w:hAnsi="Times New Roman"/>
        </w:rPr>
        <w:t xml:space="preserve">sa má vysadiť, kým sa hladiny bilirubínu nevrátia &lt; 1,5-násobok IULN a hladiny aminotransferáz &lt; 2,5-násobok IULN. V liečbe </w:t>
      </w:r>
      <w:r w:rsidR="000E6FE7" w:rsidRPr="00EE40F4">
        <w:rPr>
          <w:rFonts w:ascii="Times New Roman" w:hAnsi="Times New Roman"/>
        </w:rPr>
        <w:t>i</w:t>
      </w:r>
      <w:r w:rsidRPr="00EE40F4">
        <w:rPr>
          <w:rFonts w:ascii="Times New Roman" w:hAnsi="Times New Roman"/>
        </w:rPr>
        <w:t xml:space="preserve">matinibom potom možno pokračovať pri zníženej dennej dávke. U dospelých sa má dávka znížiť </w:t>
      </w:r>
      <w:r w:rsidR="008643CD" w:rsidRPr="00EE40F4">
        <w:rPr>
          <w:rFonts w:ascii="Times New Roman" w:hAnsi="Times New Roman"/>
        </w:rPr>
        <w:t>zo 400</w:t>
      </w:r>
      <w:r w:rsidR="00017C0F" w:rsidRPr="00EE40F4">
        <w:rPr>
          <w:rFonts w:ascii="Times New Roman" w:hAnsi="Times New Roman"/>
        </w:rPr>
        <w:t> mg</w:t>
      </w:r>
      <w:r w:rsidR="008643CD" w:rsidRPr="00EE40F4">
        <w:rPr>
          <w:rFonts w:ascii="Times New Roman" w:hAnsi="Times New Roman"/>
        </w:rPr>
        <w:t xml:space="preserve"> na 300 mg </w:t>
      </w:r>
      <w:r w:rsidRPr="00EE40F4">
        <w:rPr>
          <w:rFonts w:ascii="Times New Roman" w:hAnsi="Times New Roman"/>
        </w:rPr>
        <w:t>zo 600</w:t>
      </w:r>
      <w:r w:rsidR="00017C0F" w:rsidRPr="00EE40F4">
        <w:rPr>
          <w:rFonts w:ascii="Times New Roman" w:hAnsi="Times New Roman"/>
        </w:rPr>
        <w:t> mg</w:t>
      </w:r>
      <w:r w:rsidRPr="00EE40F4">
        <w:rPr>
          <w:rFonts w:ascii="Times New Roman" w:hAnsi="Times New Roman"/>
        </w:rPr>
        <w:t xml:space="preserve"> na 400 mg alebo z 800 mg na 600 mg a u detí z 340 na 260 mg/m</w:t>
      </w:r>
      <w:r w:rsidRPr="00EE40F4">
        <w:rPr>
          <w:rFonts w:ascii="Times New Roman" w:hAnsi="Times New Roman"/>
          <w:vertAlign w:val="superscript"/>
        </w:rPr>
        <w:t>2</w:t>
      </w:r>
      <w:r w:rsidRPr="00EE40F4">
        <w:rPr>
          <w:rFonts w:ascii="Times New Roman" w:hAnsi="Times New Roman"/>
        </w:rPr>
        <w:t xml:space="preserve">/deň. </w:t>
      </w:r>
    </w:p>
    <w:p w14:paraId="64881D15" w14:textId="77777777" w:rsidR="00653A62" w:rsidRPr="00EE40F4" w:rsidRDefault="00653A62" w:rsidP="00EF61CC">
      <w:pPr>
        <w:spacing w:after="0" w:line="240" w:lineRule="auto"/>
        <w:rPr>
          <w:rFonts w:ascii="Times New Roman" w:hAnsi="Times New Roman"/>
        </w:rPr>
      </w:pPr>
    </w:p>
    <w:p w14:paraId="54D0AB15" w14:textId="77777777" w:rsidR="00653A62" w:rsidRPr="00EE40F4" w:rsidRDefault="00653A62" w:rsidP="00EF61CC">
      <w:pPr>
        <w:pStyle w:val="Default"/>
        <w:rPr>
          <w:color w:val="auto"/>
          <w:sz w:val="22"/>
          <w:szCs w:val="22"/>
          <w:lang w:val="sk-SK"/>
        </w:rPr>
      </w:pPr>
      <w:r w:rsidRPr="00EE40F4">
        <w:rPr>
          <w:i/>
          <w:iCs/>
          <w:color w:val="auto"/>
          <w:sz w:val="22"/>
          <w:szCs w:val="22"/>
          <w:lang w:val="sk-SK"/>
        </w:rPr>
        <w:t>Hematologické nežiaduce reakcie</w:t>
      </w:r>
    </w:p>
    <w:p w14:paraId="64403984"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Pri závažnej neutropénii alebo trombocytopénii sa odporúča zníženie dávky alebo prerušenie liečby, ako sa uvádza v nasledujúcej tabuľke.</w:t>
      </w:r>
    </w:p>
    <w:p w14:paraId="0EEB6495" w14:textId="77777777" w:rsidR="00653A62" w:rsidRPr="00EE40F4" w:rsidRDefault="00653A62" w:rsidP="00EF61CC">
      <w:pPr>
        <w:spacing w:after="0" w:line="240" w:lineRule="auto"/>
        <w:rPr>
          <w:rFonts w:ascii="Times New Roman" w:hAnsi="Times New Roman"/>
        </w:rPr>
      </w:pPr>
    </w:p>
    <w:p w14:paraId="777E639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Úprava dávky pre neutropéniu a trombocytopéniu:</w:t>
      </w:r>
    </w:p>
    <w:p w14:paraId="46C0AD24" w14:textId="77777777" w:rsidR="00653A62" w:rsidRPr="00EE40F4" w:rsidRDefault="00653A62" w:rsidP="00EF61CC">
      <w:pPr>
        <w:spacing w:after="0" w:line="240" w:lineRule="auto"/>
        <w:rPr>
          <w:rFonts w:ascii="Times New Roman" w:hAnsi="Times New Roman"/>
        </w:rPr>
      </w:pPr>
    </w:p>
    <w:tbl>
      <w:tblPr>
        <w:tblW w:w="9224" w:type="dxa"/>
        <w:tblInd w:w="98" w:type="dxa"/>
        <w:tblCellMar>
          <w:left w:w="10" w:type="dxa"/>
          <w:right w:w="10" w:type="dxa"/>
        </w:tblCellMar>
        <w:tblLook w:val="00A0" w:firstRow="1" w:lastRow="0" w:firstColumn="1" w:lastColumn="0" w:noHBand="0" w:noVBand="0"/>
      </w:tblPr>
      <w:tblGrid>
        <w:gridCol w:w="2704"/>
        <w:gridCol w:w="2126"/>
        <w:gridCol w:w="4394"/>
      </w:tblGrid>
      <w:tr w:rsidR="002676C7" w:rsidRPr="00EE40F4" w14:paraId="3A7D37BC"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F2AF2" w14:textId="77777777" w:rsidR="002676C7" w:rsidRPr="00EE40F4" w:rsidRDefault="002676C7" w:rsidP="008643CD">
            <w:pPr>
              <w:spacing w:after="0" w:line="240" w:lineRule="auto"/>
              <w:rPr>
                <w:rFonts w:ascii="Times New Roman" w:hAnsi="Times New Roman"/>
              </w:rPr>
            </w:pPr>
            <w:r w:rsidRPr="00EE40F4">
              <w:rPr>
                <w:rFonts w:ascii="Times New Roman" w:hAnsi="Times New Roman"/>
                <w:spacing w:val="-2"/>
              </w:rPr>
              <w:t xml:space="preserve">HES/CEL (začiatočná </w:t>
            </w:r>
            <w:r w:rsidRPr="00EE40F4">
              <w:rPr>
                <w:rFonts w:ascii="Times New Roman" w:hAnsi="Times New Roman"/>
              </w:rPr>
              <w:t>dávka 100</w:t>
            </w:r>
            <w:r w:rsidR="008643CD" w:rsidRPr="00EE40F4">
              <w:rPr>
                <w:rFonts w:ascii="Times New Roman" w:hAnsi="Times New Roman"/>
              </w:rPr>
              <w:t> </w:t>
            </w:r>
            <w:r w:rsidRPr="00EE40F4">
              <w:rPr>
                <w:rFonts w:ascii="Times New Roman" w:hAnsi="Times New Roman"/>
              </w:rPr>
              <w:t>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F8333"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3"/>
              </w:rPr>
              <w:t>ANC &lt; 1,0 x 10</w:t>
            </w:r>
            <w:r w:rsidRPr="00EE40F4">
              <w:rPr>
                <w:rFonts w:ascii="Times New Roman" w:hAnsi="Times New Roman"/>
                <w:spacing w:val="-3"/>
                <w:vertAlign w:val="superscript"/>
              </w:rPr>
              <w:t>9</w:t>
            </w:r>
            <w:r w:rsidRPr="00EE40F4">
              <w:rPr>
                <w:rFonts w:ascii="Times New Roman" w:hAnsi="Times New Roman"/>
                <w:spacing w:val="-3"/>
              </w:rPr>
              <w:t>/l</w:t>
            </w:r>
          </w:p>
          <w:p w14:paraId="01B8E39E"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a/alebo</w:t>
            </w:r>
          </w:p>
          <w:p w14:paraId="2D00DEB2"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1"/>
              </w:rPr>
              <w:t>počet trombocytov</w:t>
            </w:r>
          </w:p>
          <w:p w14:paraId="156C1249" w14:textId="77777777" w:rsidR="002676C7" w:rsidRPr="00EE40F4" w:rsidRDefault="002676C7" w:rsidP="00EB1B08">
            <w:pPr>
              <w:spacing w:after="0" w:line="240" w:lineRule="auto"/>
              <w:rPr>
                <w:rFonts w:ascii="Times New Roman" w:hAnsi="Times New Roman"/>
              </w:rPr>
            </w:pPr>
            <w:r w:rsidRPr="00EE40F4">
              <w:rPr>
                <w:rFonts w:ascii="Times New Roman" w:hAnsi="Times New Roman"/>
              </w:rPr>
              <w:t>&lt;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626CD" w14:textId="77777777" w:rsidR="002676C7" w:rsidRPr="00EE40F4" w:rsidRDefault="002676C7" w:rsidP="00412829">
            <w:pPr>
              <w:shd w:val="clear" w:color="auto" w:fill="FFFFFF"/>
              <w:tabs>
                <w:tab w:val="left" w:pos="317"/>
                <w:tab w:val="left" w:pos="538"/>
              </w:tabs>
              <w:spacing w:after="0" w:line="240" w:lineRule="auto"/>
              <w:rPr>
                <w:rFonts w:ascii="Times New Roman" w:hAnsi="Times New Roman"/>
              </w:rPr>
            </w:pPr>
            <w:r w:rsidRPr="00EE40F4">
              <w:rPr>
                <w:rFonts w:ascii="Times New Roman" w:hAnsi="Times New Roman"/>
                <w:spacing w:val="-22"/>
              </w:rPr>
              <w:t>1.</w:t>
            </w:r>
            <w:r w:rsidRPr="00EE40F4">
              <w:rPr>
                <w:rFonts w:ascii="Times New Roman" w:hAnsi="Times New Roman"/>
              </w:rPr>
              <w:tab/>
              <w:t xml:space="preserve">Prerušiť podávanie </w:t>
            </w:r>
            <w:r w:rsidR="000E6FE7" w:rsidRPr="00EE40F4">
              <w:rPr>
                <w:rFonts w:ascii="Times New Roman" w:hAnsi="Times New Roman"/>
              </w:rPr>
              <w:t>i</w:t>
            </w:r>
            <w:r w:rsidRPr="00EE40F4">
              <w:rPr>
                <w:rFonts w:ascii="Times New Roman" w:hAnsi="Times New Roman"/>
              </w:rPr>
              <w:t xml:space="preserve">matinibu, 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7D0B6DB8" w14:textId="77777777" w:rsidR="002676C7" w:rsidRPr="00EE40F4" w:rsidRDefault="002676C7" w:rsidP="00412829">
            <w:pPr>
              <w:tabs>
                <w:tab w:val="left" w:pos="317"/>
              </w:tabs>
              <w:spacing w:after="0" w:line="240" w:lineRule="auto"/>
              <w:ind w:left="34"/>
              <w:rPr>
                <w:rFonts w:ascii="Times New Roman" w:hAnsi="Times New Roman"/>
              </w:rPr>
            </w:pPr>
            <w:r w:rsidRPr="00EE40F4">
              <w:rPr>
                <w:rFonts w:ascii="Times New Roman" w:hAnsi="Times New Roman"/>
                <w:spacing w:val="-11"/>
              </w:rPr>
              <w:t>2.</w:t>
            </w:r>
            <w:r w:rsidRPr="00EE40F4">
              <w:rPr>
                <w:rFonts w:ascii="Times New Roman" w:hAnsi="Times New Roman"/>
              </w:rPr>
              <w:tab/>
              <w:t xml:space="preserve">Pokračovať v liečbe </w:t>
            </w:r>
            <w:r w:rsidR="000E6FE7" w:rsidRPr="00EE40F4">
              <w:rPr>
                <w:rFonts w:ascii="Times New Roman" w:hAnsi="Times New Roman"/>
              </w:rPr>
              <w:t>i</w:t>
            </w:r>
            <w:r w:rsidRPr="00EE40F4">
              <w:rPr>
                <w:rFonts w:ascii="Times New Roman" w:hAnsi="Times New Roman"/>
              </w:rPr>
              <w:t>matinibom  predošlou</w:t>
            </w:r>
            <w:r w:rsidR="008643CD" w:rsidRPr="00EE40F4">
              <w:rPr>
                <w:rFonts w:ascii="Times New Roman" w:hAnsi="Times New Roman"/>
              </w:rPr>
              <w:t xml:space="preserve"> dávkou (t</w:t>
            </w:r>
            <w:r w:rsidR="008C1570" w:rsidRPr="00EE40F4">
              <w:rPr>
                <w:rFonts w:ascii="Times New Roman" w:hAnsi="Times New Roman"/>
              </w:rPr>
              <w:t>.</w:t>
            </w:r>
            <w:r w:rsidR="008643CD" w:rsidRPr="00EE40F4">
              <w:rPr>
                <w:rFonts w:ascii="Times New Roman" w:hAnsi="Times New Roman"/>
              </w:rPr>
              <w:t>j. pred závažnou nežiaducou reakciou).</w:t>
            </w:r>
            <w:r w:rsidRPr="00EE40F4">
              <w:rPr>
                <w:rFonts w:ascii="Times New Roman" w:hAnsi="Times New Roman"/>
              </w:rPr>
              <w:br/>
            </w:r>
          </w:p>
        </w:tc>
      </w:tr>
      <w:tr w:rsidR="002676C7" w:rsidRPr="00EE40F4" w14:paraId="0E5DF91E"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005EE" w14:textId="77777777" w:rsidR="00744395" w:rsidRDefault="00744395" w:rsidP="00744395">
            <w:pPr>
              <w:pStyle w:val="Default"/>
            </w:pPr>
            <w:r>
              <w:rPr>
                <w:sz w:val="22"/>
                <w:szCs w:val="22"/>
              </w:rPr>
              <w:t xml:space="preserve">Chronická fáza CML, </w:t>
            </w:r>
          </w:p>
          <w:p w14:paraId="7780651B" w14:textId="77777777" w:rsidR="00744395" w:rsidRDefault="00744395" w:rsidP="00BA450E">
            <w:pPr>
              <w:shd w:val="clear" w:color="auto" w:fill="FFFFFF"/>
              <w:spacing w:after="0" w:line="240" w:lineRule="auto"/>
              <w:rPr>
                <w:rFonts w:ascii="Times New Roman" w:hAnsi="Times New Roman"/>
              </w:rPr>
            </w:pPr>
          </w:p>
          <w:p w14:paraId="13B3C182"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 xml:space="preserve">MDS/MPD </w:t>
            </w:r>
          </w:p>
          <w:p w14:paraId="72136613"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1"/>
              </w:rPr>
              <w:t>(začiatočná dávka 400 mg)</w:t>
            </w:r>
          </w:p>
          <w:p w14:paraId="6D3FDC8A" w14:textId="77777777" w:rsidR="003B7863" w:rsidRPr="00EE40F4" w:rsidRDefault="003B7863" w:rsidP="00BA450E">
            <w:pPr>
              <w:shd w:val="clear" w:color="auto" w:fill="FFFFFF"/>
              <w:spacing w:after="0" w:line="240" w:lineRule="auto"/>
              <w:rPr>
                <w:rFonts w:ascii="Times New Roman" w:hAnsi="Times New Roman"/>
              </w:rPr>
            </w:pPr>
          </w:p>
          <w:p w14:paraId="45FC7ADD"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HES/CEL</w:t>
            </w:r>
          </w:p>
          <w:p w14:paraId="02025D4F" w14:textId="77777777" w:rsidR="002676C7" w:rsidRPr="00EE40F4" w:rsidRDefault="002676C7" w:rsidP="00EB1B08">
            <w:pPr>
              <w:spacing w:after="0" w:line="240" w:lineRule="auto"/>
              <w:rPr>
                <w:rFonts w:ascii="Times New Roman" w:hAnsi="Times New Roman"/>
              </w:rPr>
            </w:pPr>
            <w:r w:rsidRPr="00EE40F4">
              <w:rPr>
                <w:rFonts w:ascii="Times New Roman" w:hAnsi="Times New Roman"/>
              </w:rPr>
              <w:t>(pri dávke 400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25E31" w14:textId="77777777" w:rsidR="002676C7" w:rsidRPr="00EE40F4" w:rsidRDefault="002676C7" w:rsidP="002E61EB">
            <w:pPr>
              <w:spacing w:after="0" w:line="240" w:lineRule="auto"/>
              <w:rPr>
                <w:rFonts w:ascii="Times New Roman" w:hAnsi="Times New Roman"/>
              </w:rPr>
            </w:pPr>
            <w:r w:rsidRPr="00EE40F4">
              <w:rPr>
                <w:rFonts w:ascii="Times New Roman" w:hAnsi="Times New Roman"/>
                <w:spacing w:val="-4"/>
              </w:rPr>
              <w:t>ANC &lt; 1,0 x 10</w:t>
            </w:r>
            <w:r w:rsidRPr="00EE40F4">
              <w:rPr>
                <w:rFonts w:ascii="Times New Roman" w:hAnsi="Times New Roman"/>
                <w:spacing w:val="-4"/>
                <w:vertAlign w:val="superscript"/>
              </w:rPr>
              <w:t>9</w:t>
            </w:r>
            <w:r w:rsidRPr="00EE40F4">
              <w:rPr>
                <w:rFonts w:ascii="Times New Roman" w:hAnsi="Times New Roman"/>
                <w:spacing w:val="-4"/>
              </w:rPr>
              <w:t xml:space="preserve">/l </w:t>
            </w:r>
            <w:r w:rsidRPr="00EE40F4">
              <w:rPr>
                <w:rFonts w:ascii="Times New Roman" w:hAnsi="Times New Roman"/>
              </w:rPr>
              <w:t>a/alebo počet trombocytov &lt;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44403" w14:textId="77777777" w:rsidR="002676C7" w:rsidRPr="00EE40F4" w:rsidRDefault="002676C7" w:rsidP="00412829">
            <w:pPr>
              <w:shd w:val="clear" w:color="auto" w:fill="FFFFFF"/>
              <w:tabs>
                <w:tab w:val="left" w:pos="317"/>
              </w:tabs>
              <w:spacing w:after="0" w:line="240" w:lineRule="auto"/>
              <w:rPr>
                <w:rFonts w:ascii="Times New Roman" w:hAnsi="Times New Roman"/>
              </w:rPr>
            </w:pPr>
            <w:r w:rsidRPr="00EE40F4">
              <w:rPr>
                <w:rFonts w:ascii="Times New Roman" w:hAnsi="Times New Roman"/>
                <w:spacing w:val="-22"/>
              </w:rPr>
              <w:t>1.</w:t>
            </w:r>
            <w:r w:rsidR="00452BE1" w:rsidRPr="00EE40F4">
              <w:rPr>
                <w:rFonts w:ascii="Times New Roman" w:hAnsi="Times New Roman"/>
                <w:spacing w:val="-22"/>
              </w:rPr>
              <w:t xml:space="preserve"> </w:t>
            </w:r>
            <w:r w:rsidRPr="00EE40F4">
              <w:rPr>
                <w:rFonts w:ascii="Times New Roman" w:hAnsi="Times New Roman"/>
              </w:rPr>
              <w:t xml:space="preserve">Prerušiť podávanie </w:t>
            </w:r>
            <w:r w:rsidR="000E6FE7" w:rsidRPr="00EE40F4">
              <w:rPr>
                <w:rFonts w:ascii="Times New Roman" w:hAnsi="Times New Roman"/>
              </w:rPr>
              <w:t>i</w:t>
            </w:r>
            <w:r w:rsidRPr="00EE40F4">
              <w:rPr>
                <w:rFonts w:ascii="Times New Roman" w:hAnsi="Times New Roman"/>
              </w:rPr>
              <w:t>matinibu</w:t>
            </w:r>
            <w:r w:rsidR="000E6FE7" w:rsidRPr="00EE40F4">
              <w:rPr>
                <w:rFonts w:ascii="Times New Roman" w:hAnsi="Times New Roman"/>
              </w:rPr>
              <w:t xml:space="preserve">, </w:t>
            </w:r>
            <w:r w:rsidRPr="00EE40F4">
              <w:rPr>
                <w:rFonts w:ascii="Times New Roman" w:hAnsi="Times New Roman"/>
              </w:rPr>
              <w:t xml:space="preserve">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0ED1F924" w14:textId="77777777" w:rsidR="002676C7" w:rsidRPr="00EE40F4" w:rsidRDefault="002676C7" w:rsidP="00412829">
            <w:pPr>
              <w:shd w:val="clear" w:color="auto" w:fill="FFFFFF"/>
              <w:tabs>
                <w:tab w:val="left" w:pos="317"/>
              </w:tabs>
              <w:spacing w:after="0" w:line="240" w:lineRule="auto"/>
              <w:ind w:left="34" w:right="134"/>
              <w:rPr>
                <w:rFonts w:ascii="Times New Roman" w:hAnsi="Times New Roman"/>
              </w:rPr>
            </w:pPr>
            <w:r w:rsidRPr="00EE40F4">
              <w:rPr>
                <w:rFonts w:ascii="Times New Roman" w:hAnsi="Times New Roman"/>
                <w:spacing w:val="-11"/>
              </w:rPr>
              <w:t>2.</w:t>
            </w:r>
            <w:r w:rsidRPr="00EE40F4">
              <w:rPr>
                <w:rFonts w:ascii="Times New Roman" w:hAnsi="Times New Roman"/>
              </w:rPr>
              <w:tab/>
              <w:t xml:space="preserve">Pokračovať v liečbe </w:t>
            </w:r>
            <w:r w:rsidR="000E6FE7" w:rsidRPr="00EE40F4">
              <w:rPr>
                <w:rFonts w:ascii="Times New Roman" w:hAnsi="Times New Roman"/>
              </w:rPr>
              <w:t>imatinibom predošlou</w:t>
            </w:r>
            <w:r w:rsidRPr="00EE40F4">
              <w:rPr>
                <w:rFonts w:ascii="Times New Roman" w:hAnsi="Times New Roman"/>
              </w:rPr>
              <w:br/>
              <w:t>dávkou (t.j. pred závažnou nežiaducou reakciou).</w:t>
            </w:r>
          </w:p>
          <w:p w14:paraId="284F8996" w14:textId="77777777" w:rsidR="002676C7" w:rsidRPr="00EE40F4" w:rsidRDefault="002676C7" w:rsidP="00452BE1">
            <w:pPr>
              <w:tabs>
                <w:tab w:val="left" w:pos="317"/>
              </w:tabs>
              <w:spacing w:after="0" w:line="240" w:lineRule="auto"/>
              <w:rPr>
                <w:rFonts w:ascii="Times New Roman" w:hAnsi="Times New Roman"/>
              </w:rPr>
            </w:pPr>
            <w:r w:rsidRPr="00EE40F4">
              <w:rPr>
                <w:rFonts w:ascii="Times New Roman" w:hAnsi="Times New Roman"/>
                <w:spacing w:val="-13"/>
              </w:rPr>
              <w:t>3.</w:t>
            </w:r>
            <w:r w:rsidRPr="00EE40F4">
              <w:rPr>
                <w:rFonts w:ascii="Times New Roman" w:hAnsi="Times New Roman"/>
              </w:rPr>
              <w:tab/>
            </w:r>
            <w:r w:rsidRPr="00EE40F4">
              <w:rPr>
                <w:rFonts w:ascii="Times New Roman" w:hAnsi="Times New Roman"/>
                <w:spacing w:val="-1"/>
              </w:rPr>
              <w:t>Pri opakovanom poklese ANC &lt; 1,0 x 10</w:t>
            </w:r>
            <w:r w:rsidRPr="00EE40F4">
              <w:rPr>
                <w:rFonts w:ascii="Times New Roman" w:hAnsi="Times New Roman"/>
                <w:spacing w:val="-1"/>
                <w:vertAlign w:val="superscript"/>
              </w:rPr>
              <w:t>9</w:t>
            </w:r>
            <w:r w:rsidRPr="00EE40F4">
              <w:rPr>
                <w:rFonts w:ascii="Times New Roman" w:hAnsi="Times New Roman"/>
                <w:spacing w:val="-1"/>
              </w:rPr>
              <w:t>/l a/alebo počtu trombocytov &lt; 50 x 10</w:t>
            </w:r>
            <w:r w:rsidRPr="00EE40F4">
              <w:rPr>
                <w:rFonts w:ascii="Times New Roman" w:hAnsi="Times New Roman"/>
                <w:spacing w:val="-1"/>
                <w:vertAlign w:val="superscript"/>
              </w:rPr>
              <w:t>9</w:t>
            </w:r>
            <w:r w:rsidRPr="00EE40F4">
              <w:rPr>
                <w:rFonts w:ascii="Times New Roman" w:hAnsi="Times New Roman"/>
                <w:spacing w:val="-1"/>
              </w:rPr>
              <w:t>/l</w:t>
            </w:r>
            <w:r w:rsidRPr="00EE40F4">
              <w:rPr>
                <w:rFonts w:ascii="Times New Roman" w:hAnsi="Times New Roman"/>
                <w:spacing w:val="-1"/>
              </w:rPr>
              <w:br/>
            </w:r>
            <w:r w:rsidRPr="00EE40F4">
              <w:rPr>
                <w:rFonts w:ascii="Times New Roman" w:hAnsi="Times New Roman"/>
              </w:rPr>
              <w:t xml:space="preserve">zopakovať krok 1 a pokračovať v liečbe </w:t>
            </w:r>
            <w:r w:rsidR="000E6FE7" w:rsidRPr="00EE40F4">
              <w:rPr>
                <w:rFonts w:ascii="Times New Roman" w:hAnsi="Times New Roman"/>
              </w:rPr>
              <w:t>imatinib</w:t>
            </w:r>
            <w:r w:rsidRPr="00EE40F4">
              <w:rPr>
                <w:rFonts w:ascii="Times New Roman" w:hAnsi="Times New Roman"/>
              </w:rPr>
              <w:t>om zníženou dávkou 300 mg.</w:t>
            </w:r>
          </w:p>
        </w:tc>
      </w:tr>
      <w:tr w:rsidR="00653A62" w:rsidRPr="00EE40F4" w14:paraId="1AAF2C80"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A9B2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Chronická fáza CML u detí </w:t>
            </w:r>
          </w:p>
          <w:p w14:paraId="6B8F54A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(pri dávke 340 mg/m</w:t>
            </w:r>
            <w:r w:rsidRPr="00EE40F4">
              <w:rPr>
                <w:rFonts w:ascii="Times New Roman" w:hAnsi="Times New Roman"/>
                <w:vertAlign w:val="superscript"/>
              </w:rPr>
              <w:t>2</w:t>
            </w:r>
            <w:r w:rsidRPr="00EE40F4">
              <w:rPr>
                <w:rFonts w:ascii="Times New Roman" w:hAnsi="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E6B11"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ANC &lt; 1</w:t>
            </w:r>
            <w:r w:rsidR="00DE1CF6">
              <w:rPr>
                <w:rFonts w:ascii="Times New Roman" w:hAnsi="Times New Roman"/>
              </w:rPr>
              <w:t>,</w:t>
            </w:r>
            <w:r w:rsidRPr="00EE40F4">
              <w:rPr>
                <w:rFonts w:ascii="Times New Roman" w:hAnsi="Times New Roman"/>
              </w:rPr>
              <w:t>0 x 10</w:t>
            </w:r>
            <w:r w:rsidRPr="00EE40F4">
              <w:rPr>
                <w:rFonts w:ascii="Times New Roman" w:hAnsi="Times New Roman"/>
                <w:vertAlign w:val="superscript"/>
              </w:rPr>
              <w:t>9</w:t>
            </w:r>
            <w:r w:rsidRPr="00EE40F4">
              <w:rPr>
                <w:rFonts w:ascii="Times New Roman" w:hAnsi="Times New Roman"/>
              </w:rPr>
              <w:t xml:space="preserve">/l </w:t>
            </w:r>
          </w:p>
          <w:p w14:paraId="624E6F93"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a/alebo počet trombocytov &lt; 50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B32BD" w14:textId="77777777" w:rsidR="00653A62" w:rsidRPr="00EE40F4" w:rsidRDefault="00653A62" w:rsidP="00412829">
            <w:pPr>
              <w:tabs>
                <w:tab w:val="left" w:pos="317"/>
              </w:tabs>
              <w:spacing w:after="0" w:line="240" w:lineRule="auto"/>
              <w:rPr>
                <w:rFonts w:ascii="Times New Roman" w:hAnsi="Times New Roman"/>
              </w:rPr>
            </w:pPr>
            <w:r w:rsidRPr="00EE40F4">
              <w:rPr>
                <w:rFonts w:ascii="Times New Roman" w:hAnsi="Times New Roman"/>
              </w:rPr>
              <w:t>1.</w:t>
            </w:r>
            <w:r w:rsidR="008643CD" w:rsidRPr="00EE40F4">
              <w:rPr>
                <w:rFonts w:ascii="Times New Roman" w:hAnsi="Times New Roman"/>
              </w:rPr>
              <w:t xml:space="preserve"> </w:t>
            </w:r>
            <w:r w:rsidRPr="00EE40F4">
              <w:rPr>
                <w:rFonts w:ascii="Times New Roman" w:hAnsi="Times New Roman"/>
              </w:rPr>
              <w:t xml:space="preserve">Prerušiť podávanie </w:t>
            </w:r>
            <w:r w:rsidR="000E6FE7" w:rsidRPr="00EE40F4">
              <w:rPr>
                <w:rFonts w:ascii="Times New Roman" w:hAnsi="Times New Roman"/>
              </w:rPr>
              <w:t>imatinib</w:t>
            </w:r>
            <w:r w:rsidRPr="00EE40F4">
              <w:rPr>
                <w:rFonts w:ascii="Times New Roman" w:hAnsi="Times New Roman"/>
              </w:rPr>
              <w:t>u</w:t>
            </w:r>
            <w:r w:rsidR="00A75A19" w:rsidRPr="00EE40F4">
              <w:rPr>
                <w:rFonts w:ascii="Times New Roman" w:hAnsi="Times New Roman"/>
              </w:rPr>
              <w:t>,</w:t>
            </w:r>
            <w:r w:rsidRPr="00EE40F4">
              <w:rPr>
                <w:rFonts w:ascii="Times New Roman" w:hAnsi="Times New Roman"/>
              </w:rPr>
              <w:t xml:space="preserve"> kým ANC ≥ 1</w:t>
            </w:r>
            <w:r w:rsidR="00DE1CF6">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/l a počet trombocytov ≥ 75 x 10</w:t>
            </w:r>
            <w:r w:rsidRPr="00EE40F4">
              <w:rPr>
                <w:rFonts w:ascii="Times New Roman" w:hAnsi="Times New Roman"/>
                <w:vertAlign w:val="superscript"/>
              </w:rPr>
              <w:t>9</w:t>
            </w:r>
            <w:r w:rsidRPr="00EE40F4">
              <w:rPr>
                <w:rFonts w:ascii="Times New Roman" w:hAnsi="Times New Roman"/>
              </w:rPr>
              <w:t xml:space="preserve">/l. </w:t>
            </w:r>
          </w:p>
          <w:p w14:paraId="0C7682C9" w14:textId="77777777" w:rsidR="00653A62" w:rsidRPr="00EE40F4" w:rsidRDefault="00653A62" w:rsidP="00412829">
            <w:pPr>
              <w:tabs>
                <w:tab w:val="left" w:pos="256"/>
              </w:tabs>
              <w:spacing w:after="0" w:line="240" w:lineRule="auto"/>
              <w:rPr>
                <w:rFonts w:ascii="Times New Roman" w:hAnsi="Times New Roman"/>
              </w:rPr>
            </w:pPr>
            <w:r w:rsidRPr="00EE40F4">
              <w:rPr>
                <w:rFonts w:ascii="Times New Roman" w:hAnsi="Times New Roman"/>
              </w:rPr>
              <w:t xml:space="preserve">2. Pokračovať v liečbe </w:t>
            </w:r>
            <w:r w:rsidR="000E6FE7" w:rsidRPr="00EE40F4">
              <w:rPr>
                <w:rFonts w:ascii="Times New Roman" w:hAnsi="Times New Roman"/>
              </w:rPr>
              <w:t>imatinib</w:t>
            </w:r>
            <w:r w:rsidR="00A75A19" w:rsidRPr="00EE40F4">
              <w:rPr>
                <w:rFonts w:ascii="Times New Roman" w:hAnsi="Times New Roman"/>
              </w:rPr>
              <w:t>om</w:t>
            </w:r>
            <w:r w:rsidR="002676C7" w:rsidRPr="00EE40F4">
              <w:rPr>
                <w:rFonts w:ascii="Times New Roman" w:hAnsi="Times New Roman"/>
              </w:rPr>
              <w:t xml:space="preserve"> </w:t>
            </w:r>
            <w:r w:rsidRPr="00EE40F4">
              <w:rPr>
                <w:rFonts w:ascii="Times New Roman" w:hAnsi="Times New Roman"/>
              </w:rPr>
              <w:t xml:space="preserve">predošlou dávkou (t.j. pred závažnou nežiaducou reakciou). </w:t>
            </w:r>
          </w:p>
          <w:p w14:paraId="398411E4" w14:textId="77777777" w:rsidR="00653A62" w:rsidRPr="00EE40F4" w:rsidRDefault="00653A62" w:rsidP="00722CAF">
            <w:pPr>
              <w:tabs>
                <w:tab w:val="left" w:pos="268"/>
              </w:tabs>
              <w:spacing w:after="0" w:line="240" w:lineRule="auto"/>
              <w:rPr>
                <w:rFonts w:ascii="Times New Roman" w:hAnsi="Times New Roman"/>
              </w:rPr>
            </w:pPr>
            <w:r w:rsidRPr="00EE40F4">
              <w:rPr>
                <w:rFonts w:ascii="Times New Roman" w:hAnsi="Times New Roman"/>
              </w:rPr>
              <w:t>3. Pri opakovanom poklese ANC &lt; 1</w:t>
            </w:r>
            <w:r w:rsidR="00DE1CF6">
              <w:rPr>
                <w:rFonts w:ascii="Times New Roman" w:hAnsi="Times New Roman"/>
              </w:rPr>
              <w:t>,</w:t>
            </w:r>
            <w:r w:rsidRPr="00EE40F4">
              <w:rPr>
                <w:rFonts w:ascii="Times New Roman" w:hAnsi="Times New Roman"/>
              </w:rPr>
              <w:t>0 x10</w:t>
            </w:r>
            <w:r w:rsidRPr="00EE40F4">
              <w:rPr>
                <w:rFonts w:ascii="Times New Roman" w:hAnsi="Times New Roman"/>
                <w:vertAlign w:val="superscript"/>
              </w:rPr>
              <w:t>9</w:t>
            </w:r>
            <w:r w:rsidRPr="00EE40F4">
              <w:rPr>
                <w:rFonts w:ascii="Times New Roman" w:hAnsi="Times New Roman"/>
              </w:rPr>
              <w:t>/l a/alebo počtu trombocytov &lt; 50 x10</w:t>
            </w:r>
            <w:r w:rsidRPr="00EE40F4">
              <w:rPr>
                <w:rFonts w:ascii="Times New Roman" w:hAnsi="Times New Roman"/>
                <w:vertAlign w:val="superscript"/>
              </w:rPr>
              <w:t>9</w:t>
            </w:r>
            <w:r w:rsidRPr="00EE40F4">
              <w:rPr>
                <w:rFonts w:ascii="Times New Roman" w:hAnsi="Times New Roman"/>
              </w:rPr>
              <w:t xml:space="preserve">/l, zopakovať krok 1 a pokračovať v liečbe </w:t>
            </w:r>
            <w:r w:rsidR="000E6FE7" w:rsidRPr="00EE40F4">
              <w:rPr>
                <w:rFonts w:ascii="Times New Roman" w:hAnsi="Times New Roman"/>
              </w:rPr>
              <w:t>imatinib</w:t>
            </w:r>
            <w:r w:rsidRPr="00EE40F4">
              <w:rPr>
                <w:rFonts w:ascii="Times New Roman" w:hAnsi="Times New Roman"/>
              </w:rPr>
              <w:t>om zníženou dávkou 260 mg/m</w:t>
            </w:r>
            <w:r w:rsidRPr="00EE40F4">
              <w:rPr>
                <w:rFonts w:ascii="Times New Roman" w:hAnsi="Times New Roman"/>
                <w:vertAlign w:val="superscript"/>
              </w:rPr>
              <w:t>2</w:t>
            </w:r>
            <w:r w:rsidRPr="00EE40F4">
              <w:rPr>
                <w:rFonts w:ascii="Times New Roman" w:hAnsi="Times New Roman"/>
              </w:rPr>
              <w:t xml:space="preserve">. </w:t>
            </w:r>
          </w:p>
        </w:tc>
      </w:tr>
      <w:tr w:rsidR="00653A62" w:rsidRPr="00EE40F4" w14:paraId="0682005F" w14:textId="77777777" w:rsidTr="00412829">
        <w:trPr>
          <w:trHeight w:val="104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AE7B7" w14:textId="77777777" w:rsidR="00744395" w:rsidRDefault="00744395" w:rsidP="00744395">
            <w:pPr>
              <w:pStyle w:val="Default"/>
            </w:pPr>
            <w:r>
              <w:rPr>
                <w:sz w:val="22"/>
                <w:szCs w:val="22"/>
              </w:rPr>
              <w:t xml:space="preserve">Akcelerovaná fáza </w:t>
            </w:r>
            <w:r w:rsidR="00CA3011">
              <w:rPr>
                <w:sz w:val="22"/>
                <w:szCs w:val="22"/>
              </w:rPr>
              <w:t xml:space="preserve">CML </w:t>
            </w:r>
            <w:r>
              <w:rPr>
                <w:sz w:val="22"/>
                <w:szCs w:val="22"/>
              </w:rPr>
              <w:t>a</w:t>
            </w:r>
          </w:p>
          <w:p w14:paraId="4DA840AE" w14:textId="77777777" w:rsidR="00653A62" w:rsidRPr="00EE40F4" w:rsidRDefault="00744395" w:rsidP="001166B0">
            <w:pPr>
              <w:spacing w:after="0" w:line="240" w:lineRule="auto"/>
              <w:rPr>
                <w:rFonts w:ascii="Times New Roman" w:hAnsi="Times New Roman"/>
              </w:rPr>
            </w:pPr>
            <w:r w:rsidRPr="00EE40F4">
              <w:rPr>
                <w:rFonts w:ascii="Times New Roman" w:hAnsi="Times New Roman"/>
              </w:rPr>
              <w:t>b</w:t>
            </w:r>
            <w:r w:rsidR="00576A52" w:rsidRPr="00EE40F4">
              <w:rPr>
                <w:rFonts w:ascii="Times New Roman" w:hAnsi="Times New Roman"/>
              </w:rPr>
              <w:t xml:space="preserve">lastická kríza </w:t>
            </w:r>
            <w:r w:rsidR="001166B0" w:rsidRPr="00EE40F4">
              <w:rPr>
                <w:rFonts w:ascii="Times New Roman" w:hAnsi="Times New Roman"/>
              </w:rPr>
              <w:t>a Ph+ ALL</w:t>
            </w:r>
            <w:r w:rsidR="00653A62" w:rsidRPr="00EE40F4">
              <w:rPr>
                <w:rFonts w:ascii="Times New Roman" w:hAnsi="Times New Roman"/>
              </w:rPr>
              <w:t xml:space="preserve"> (začiatočná dávka 600 mg)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62DF3" w14:textId="77777777" w:rsidR="00653A62" w:rsidRPr="00EE40F4" w:rsidRDefault="00653A62"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ANC &lt; 0</w:t>
            </w:r>
            <w:r w:rsidR="00DE1CF6">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 xml:space="preserve">/l </w:t>
            </w:r>
          </w:p>
          <w:p w14:paraId="2FDD9BD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a/alebo počet trombocytov &lt; 10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07BC4" w14:textId="77777777" w:rsidR="00653A62" w:rsidRPr="00EE40F4" w:rsidRDefault="00653A62" w:rsidP="00412829">
            <w:pPr>
              <w:tabs>
                <w:tab w:val="left" w:pos="281"/>
              </w:tabs>
              <w:spacing w:after="0" w:line="240" w:lineRule="auto"/>
              <w:rPr>
                <w:rFonts w:ascii="Times New Roman" w:hAnsi="Times New Roman"/>
              </w:rPr>
            </w:pPr>
            <w:r w:rsidRPr="00EE40F4">
              <w:rPr>
                <w:rFonts w:ascii="Times New Roman" w:hAnsi="Times New Roman"/>
              </w:rPr>
              <w:t xml:space="preserve">1. Overiť, či cytopénia súvisí s leukémiou (punkcia alebo biopsia kostnej drene). </w:t>
            </w:r>
          </w:p>
          <w:p w14:paraId="0489074B" w14:textId="77777777" w:rsidR="00653A62" w:rsidRPr="00EE40F4" w:rsidRDefault="00653A62" w:rsidP="00412829">
            <w:pPr>
              <w:tabs>
                <w:tab w:val="left" w:pos="268"/>
              </w:tabs>
              <w:spacing w:after="0" w:line="240" w:lineRule="auto"/>
              <w:rPr>
                <w:rFonts w:ascii="Times New Roman" w:hAnsi="Times New Roman"/>
              </w:rPr>
            </w:pPr>
            <w:r w:rsidRPr="00EE40F4">
              <w:rPr>
                <w:rFonts w:ascii="Times New Roman" w:hAnsi="Times New Roman"/>
              </w:rPr>
              <w:t xml:space="preserve">2. Ak cytopénia nesúvisí s leukémiou, znížiť dávku </w:t>
            </w:r>
            <w:r w:rsidR="000E6FE7" w:rsidRPr="00EE40F4">
              <w:rPr>
                <w:rFonts w:ascii="Times New Roman" w:hAnsi="Times New Roman"/>
              </w:rPr>
              <w:t>imatinib</w:t>
            </w:r>
            <w:r w:rsidR="00576A52" w:rsidRPr="00EE40F4">
              <w:rPr>
                <w:rFonts w:ascii="Times New Roman" w:hAnsi="Times New Roman"/>
              </w:rPr>
              <w:t>u</w:t>
            </w:r>
            <w:r w:rsidR="00FB5C7C" w:rsidRPr="00EE40F4">
              <w:rPr>
                <w:rFonts w:ascii="Times New Roman" w:hAnsi="Times New Roman"/>
              </w:rPr>
              <w:t xml:space="preserve"> </w:t>
            </w:r>
            <w:r w:rsidRPr="00EE40F4">
              <w:rPr>
                <w:rFonts w:ascii="Times New Roman" w:hAnsi="Times New Roman"/>
              </w:rPr>
              <w:t xml:space="preserve">na 400 mg. </w:t>
            </w:r>
          </w:p>
          <w:p w14:paraId="17E969BE" w14:textId="77777777" w:rsidR="00653A62" w:rsidRPr="00EE40F4" w:rsidRDefault="00653A62" w:rsidP="00412829">
            <w:pPr>
              <w:tabs>
                <w:tab w:val="left" w:pos="256"/>
              </w:tabs>
              <w:spacing w:after="0" w:line="240" w:lineRule="auto"/>
              <w:rPr>
                <w:rFonts w:ascii="Times New Roman" w:hAnsi="Times New Roman"/>
              </w:rPr>
            </w:pPr>
            <w:r w:rsidRPr="00EE40F4">
              <w:rPr>
                <w:rFonts w:ascii="Times New Roman" w:hAnsi="Times New Roman"/>
              </w:rPr>
              <w:t>3. Ak cytopénia pretrváva počas 2 týždňov, znížiť dávku ďalej na 300 mg.</w:t>
            </w:r>
          </w:p>
          <w:p w14:paraId="708A58EA" w14:textId="77777777" w:rsidR="00653A62" w:rsidRPr="00EE40F4" w:rsidRDefault="00653A62" w:rsidP="00452BE1">
            <w:pPr>
              <w:tabs>
                <w:tab w:val="left" w:pos="268"/>
              </w:tabs>
              <w:spacing w:after="0" w:line="240" w:lineRule="auto"/>
              <w:rPr>
                <w:rFonts w:ascii="Times New Roman" w:hAnsi="Times New Roman"/>
              </w:rPr>
            </w:pPr>
            <w:r w:rsidRPr="00EE40F4">
              <w:rPr>
                <w:rFonts w:ascii="Times New Roman" w:hAnsi="Times New Roman"/>
              </w:rPr>
              <w:t xml:space="preserve">4. Ak cytopénia pretrváva počas 4 týždňov a ešte stále nesúvisí s leukémiou, vysadiť </w:t>
            </w:r>
            <w:r w:rsidR="000E6FE7" w:rsidRPr="00EE40F4">
              <w:rPr>
                <w:rFonts w:ascii="Times New Roman" w:hAnsi="Times New Roman"/>
              </w:rPr>
              <w:t>imatinib</w:t>
            </w:r>
            <w:r w:rsidR="00576A52" w:rsidRPr="00EE40F4">
              <w:rPr>
                <w:rFonts w:ascii="Times New Roman" w:hAnsi="Times New Roman"/>
              </w:rPr>
              <w:t>,</w:t>
            </w:r>
            <w:r w:rsidRPr="00EE40F4">
              <w:rPr>
                <w:rFonts w:ascii="Times New Roman" w:hAnsi="Times New Roman"/>
              </w:rPr>
              <w:t xml:space="preserve"> kým ANC ≥ 1 x 10</w:t>
            </w:r>
            <w:r w:rsidRPr="00EE40F4">
              <w:rPr>
                <w:rFonts w:ascii="Times New Roman" w:hAnsi="Times New Roman"/>
                <w:vertAlign w:val="superscript"/>
              </w:rPr>
              <w:t>9</w:t>
            </w:r>
            <w:r w:rsidRPr="00EE40F4">
              <w:rPr>
                <w:rFonts w:ascii="Times New Roman" w:hAnsi="Times New Roman"/>
              </w:rPr>
              <w:t>/l a počet trombo-cytov ≥ 20 x 10</w:t>
            </w:r>
            <w:r w:rsidRPr="00EE40F4">
              <w:rPr>
                <w:rFonts w:ascii="Times New Roman" w:hAnsi="Times New Roman"/>
                <w:vertAlign w:val="superscript"/>
              </w:rPr>
              <w:t>9</w:t>
            </w:r>
            <w:r w:rsidRPr="00EE40F4">
              <w:rPr>
                <w:rFonts w:ascii="Times New Roman" w:hAnsi="Times New Roman"/>
              </w:rPr>
              <w:t xml:space="preserve">/l, potom pokračovať v liečbe dávkou 300 mg. </w:t>
            </w:r>
          </w:p>
        </w:tc>
      </w:tr>
      <w:tr w:rsidR="00653A62" w:rsidRPr="00EE40F4" w14:paraId="2F84560D"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2488"/>
            </w:tblGrid>
            <w:tr w:rsidR="00653A62" w:rsidRPr="00EE40F4" w14:paraId="0B92B70C" w14:textId="77777777" w:rsidTr="003D3949">
              <w:trPr>
                <w:trHeight w:val="452"/>
              </w:trPr>
              <w:tc>
                <w:tcPr>
                  <w:tcW w:w="0" w:type="auto"/>
                </w:tcPr>
                <w:p w14:paraId="4454FDA0"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 xml:space="preserve">Akcelerovaná fáza CML a blastická kríza u detí </w:t>
                  </w:r>
                </w:p>
              </w:tc>
            </w:tr>
            <w:tr w:rsidR="00653A62" w:rsidRPr="00EE40F4" w14:paraId="091B9873" w14:textId="77777777" w:rsidTr="003D3949">
              <w:trPr>
                <w:trHeight w:val="200"/>
              </w:trPr>
              <w:tc>
                <w:tcPr>
                  <w:tcW w:w="0" w:type="auto"/>
                </w:tcPr>
                <w:p w14:paraId="16850B9F"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rPr>
                    <w:t>(</w:t>
                  </w:r>
                  <w:r w:rsidRPr="00EE40F4">
                    <w:rPr>
                      <w:rFonts w:ascii="Times New Roman" w:hAnsi="Times New Roman"/>
                      <w:color w:val="000000"/>
                    </w:rPr>
                    <w:t xml:space="preserve">začiatočná dávka </w:t>
                  </w:r>
                </w:p>
              </w:tc>
            </w:tr>
          </w:tbl>
          <w:p w14:paraId="02B4246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340 mg/m2)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57F33" w14:textId="77777777" w:rsidR="00653A62" w:rsidRPr="00EE40F4" w:rsidRDefault="00653A62"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ANC &lt; 0</w:t>
            </w:r>
            <w:r w:rsidR="00576A52" w:rsidRPr="00EE40F4">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/l a/alebo počet trombocytov &lt; 10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DA411"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1. Overiť, či cytopénia súvisí s leukémiou (punkcia alebo biopsia kostnej drene). </w:t>
            </w:r>
          </w:p>
          <w:p w14:paraId="0B9BF72C"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2. Ak cytopénia nesúvisí s leukémiou, znížiť dávku</w:t>
            </w:r>
            <w:r w:rsidR="000E6FE7" w:rsidRPr="00EE40F4">
              <w:rPr>
                <w:rFonts w:ascii="Times New Roman" w:hAnsi="Times New Roman"/>
              </w:rPr>
              <w:t xml:space="preserve"> i</w:t>
            </w:r>
            <w:r w:rsidR="00576A52" w:rsidRPr="00EE40F4">
              <w:rPr>
                <w:rFonts w:ascii="Times New Roman" w:hAnsi="Times New Roman"/>
              </w:rPr>
              <w:t xml:space="preserve">matinibu </w:t>
            </w:r>
            <w:r w:rsidRPr="00EE40F4">
              <w:rPr>
                <w:rFonts w:ascii="Times New Roman" w:hAnsi="Times New Roman"/>
              </w:rPr>
              <w:t xml:space="preserve">na 260 mg/m2. </w:t>
            </w:r>
          </w:p>
          <w:p w14:paraId="7966020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3. Ak cytopénia pretrváva počas 2 týždňov, znížiť dávku ďalej na 200 mg/m2. </w:t>
            </w:r>
          </w:p>
          <w:p w14:paraId="5969162B" w14:textId="77777777" w:rsidR="00653A62" w:rsidRPr="00EE40F4" w:rsidRDefault="00653A62" w:rsidP="000E6FE7">
            <w:pPr>
              <w:spacing w:after="0" w:line="240" w:lineRule="auto"/>
              <w:rPr>
                <w:rFonts w:ascii="Times New Roman" w:hAnsi="Times New Roman"/>
              </w:rPr>
            </w:pPr>
            <w:r w:rsidRPr="00EE40F4">
              <w:rPr>
                <w:rFonts w:ascii="Times New Roman" w:hAnsi="Times New Roman"/>
              </w:rPr>
              <w:t xml:space="preserve">4. Ak cytopénia pretrváva počas 4 týždňov a ešte stále nesúvisí s leukémiou, vysadiť </w:t>
            </w:r>
            <w:r w:rsidR="000E6FE7" w:rsidRPr="00EE40F4">
              <w:rPr>
                <w:rFonts w:ascii="Times New Roman" w:hAnsi="Times New Roman"/>
              </w:rPr>
              <w:t>imatinib</w:t>
            </w:r>
            <w:r w:rsidR="00576A52" w:rsidRPr="00EE40F4">
              <w:rPr>
                <w:rFonts w:ascii="Times New Roman" w:hAnsi="Times New Roman"/>
              </w:rPr>
              <w:t xml:space="preserve">, </w:t>
            </w:r>
            <w:r w:rsidRPr="00EE40F4">
              <w:rPr>
                <w:rFonts w:ascii="Times New Roman" w:hAnsi="Times New Roman"/>
              </w:rPr>
              <w:t xml:space="preserve">kým ANC ≥1 x </w:t>
            </w:r>
            <w:r w:rsidR="00576A52" w:rsidRPr="00EE40F4">
              <w:rPr>
                <w:rFonts w:ascii="Times New Roman" w:hAnsi="Times New Roman"/>
              </w:rPr>
              <w:t>10</w:t>
            </w:r>
            <w:r w:rsidR="00576A52" w:rsidRPr="00EE40F4">
              <w:rPr>
                <w:rFonts w:ascii="Times New Roman" w:hAnsi="Times New Roman"/>
                <w:vertAlign w:val="superscript"/>
              </w:rPr>
              <w:t>9</w:t>
            </w:r>
            <w:r w:rsidRPr="00EE40F4">
              <w:rPr>
                <w:rFonts w:ascii="Times New Roman" w:hAnsi="Times New Roman"/>
              </w:rPr>
              <w:t xml:space="preserve">/l a počet trombocytov ≥ 20 x </w:t>
            </w:r>
            <w:r w:rsidR="00576A52" w:rsidRPr="00EE40F4">
              <w:rPr>
                <w:rFonts w:ascii="Times New Roman" w:hAnsi="Times New Roman"/>
              </w:rPr>
              <w:t>10</w:t>
            </w:r>
            <w:r w:rsidR="00576A52" w:rsidRPr="00EE40F4">
              <w:rPr>
                <w:rFonts w:ascii="Times New Roman" w:hAnsi="Times New Roman"/>
                <w:vertAlign w:val="superscript"/>
              </w:rPr>
              <w:t>9</w:t>
            </w:r>
            <w:r w:rsidRPr="00EE40F4">
              <w:rPr>
                <w:rFonts w:ascii="Times New Roman" w:hAnsi="Times New Roman"/>
              </w:rPr>
              <w:t>/l, potom pokračovať v liečbe dávkou 200 mg/m</w:t>
            </w:r>
            <w:r w:rsidRPr="00EE40F4">
              <w:rPr>
                <w:rFonts w:ascii="Times New Roman" w:hAnsi="Times New Roman"/>
                <w:vertAlign w:val="superscript"/>
              </w:rPr>
              <w:t>2</w:t>
            </w:r>
            <w:r w:rsidRPr="00EE40F4">
              <w:rPr>
                <w:rFonts w:ascii="Times New Roman" w:hAnsi="Times New Roman"/>
              </w:rPr>
              <w:t xml:space="preserve">. </w:t>
            </w:r>
          </w:p>
        </w:tc>
      </w:tr>
      <w:tr w:rsidR="00FB5C7C" w:rsidRPr="00EE40F4" w14:paraId="40598089"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5EFD1"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rPr>
              <w:lastRenderedPageBreak/>
              <w:t>DFSP</w:t>
            </w:r>
          </w:p>
          <w:p w14:paraId="4A2DD627" w14:textId="77777777" w:rsidR="00FB5C7C" w:rsidRPr="00EE40F4" w:rsidRDefault="00FB5C7C" w:rsidP="00EB1B08">
            <w:pPr>
              <w:autoSpaceDE w:val="0"/>
              <w:autoSpaceDN w:val="0"/>
              <w:adjustRightInd w:val="0"/>
              <w:spacing w:after="0" w:line="240" w:lineRule="auto"/>
              <w:rPr>
                <w:rFonts w:ascii="Times New Roman" w:hAnsi="Times New Roman"/>
                <w:color w:val="000000"/>
              </w:rPr>
            </w:pPr>
            <w:r w:rsidRPr="00EE40F4">
              <w:rPr>
                <w:rFonts w:ascii="Times New Roman" w:hAnsi="Times New Roman"/>
              </w:rPr>
              <w:t>(pri dávke 800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D7CF8"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spacing w:val="-4"/>
              </w:rPr>
              <w:t>ANC &lt; 1,0 x 10</w:t>
            </w:r>
            <w:r w:rsidRPr="00EE40F4">
              <w:rPr>
                <w:rFonts w:ascii="Times New Roman" w:hAnsi="Times New Roman"/>
                <w:spacing w:val="-4"/>
                <w:vertAlign w:val="superscript"/>
              </w:rPr>
              <w:t>9</w:t>
            </w:r>
            <w:r w:rsidRPr="00EE40F4">
              <w:rPr>
                <w:rFonts w:ascii="Times New Roman" w:hAnsi="Times New Roman"/>
                <w:spacing w:val="-4"/>
              </w:rPr>
              <w:t>/l</w:t>
            </w:r>
          </w:p>
          <w:p w14:paraId="78302F06"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rPr>
              <w:t>a/alebo počet trombocytov</w:t>
            </w:r>
          </w:p>
          <w:p w14:paraId="6B88FFD3" w14:textId="77777777" w:rsidR="00FB5C7C" w:rsidRPr="00EE40F4" w:rsidRDefault="00FB5C7C" w:rsidP="00EB1B08">
            <w:pPr>
              <w:spacing w:after="0" w:line="240" w:lineRule="auto"/>
              <w:rPr>
                <w:rFonts w:ascii="Times New Roman" w:hAnsi="Times New Roman"/>
                <w:vertAlign w:val="superscript"/>
              </w:rPr>
            </w:pPr>
            <w:r w:rsidRPr="00EE40F4">
              <w:rPr>
                <w:rFonts w:ascii="Times New Roman" w:hAnsi="Times New Roman"/>
              </w:rPr>
              <w:t>&lt;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B2B3B" w14:textId="77777777" w:rsidR="00FB5C7C" w:rsidRPr="00EE40F4" w:rsidRDefault="00FB5C7C" w:rsidP="00BA450E">
            <w:pPr>
              <w:shd w:val="clear" w:color="auto" w:fill="FFFFFF"/>
              <w:tabs>
                <w:tab w:val="left" w:pos="318"/>
              </w:tabs>
              <w:spacing w:after="0" w:line="240" w:lineRule="auto"/>
              <w:rPr>
                <w:rFonts w:ascii="Times New Roman" w:hAnsi="Times New Roman"/>
              </w:rPr>
            </w:pPr>
            <w:r w:rsidRPr="00EE40F4">
              <w:rPr>
                <w:rFonts w:ascii="Times New Roman" w:hAnsi="Times New Roman"/>
                <w:spacing w:val="-22"/>
              </w:rPr>
              <w:t>1.</w:t>
            </w:r>
            <w:r w:rsidRPr="00EE40F4">
              <w:rPr>
                <w:rFonts w:ascii="Times New Roman" w:hAnsi="Times New Roman"/>
              </w:rPr>
              <w:tab/>
              <w:t xml:space="preserve">Prerušiť podávanie </w:t>
            </w:r>
            <w:r w:rsidR="000E6FE7" w:rsidRPr="00EE40F4">
              <w:rPr>
                <w:rFonts w:ascii="Times New Roman" w:hAnsi="Times New Roman"/>
              </w:rPr>
              <w:t>imatinibu,</w:t>
            </w:r>
            <w:r w:rsidRPr="00EE40F4">
              <w:rPr>
                <w:rFonts w:ascii="Times New Roman" w:hAnsi="Times New Roman"/>
              </w:rPr>
              <w:t xml:space="preserve"> 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Pr="00EE40F4">
              <w:rPr>
                <w:rFonts w:ascii="Times New Roman" w:hAnsi="Times New Roman"/>
                <w:b/>
                <w:bCs/>
                <w:spacing w:val="-2"/>
              </w:rPr>
              <w:t xml:space="preserve">&gt;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6A46275C" w14:textId="77777777" w:rsidR="00FB5C7C" w:rsidRPr="00EE40F4" w:rsidRDefault="00FB5C7C" w:rsidP="00BA450E">
            <w:pPr>
              <w:shd w:val="clear" w:color="auto" w:fill="FFFFFF"/>
              <w:tabs>
                <w:tab w:val="left" w:pos="318"/>
              </w:tabs>
              <w:spacing w:after="0" w:line="240" w:lineRule="auto"/>
              <w:rPr>
                <w:rFonts w:ascii="Times New Roman" w:hAnsi="Times New Roman"/>
              </w:rPr>
            </w:pPr>
            <w:r w:rsidRPr="00EE40F4">
              <w:rPr>
                <w:rFonts w:ascii="Times New Roman" w:hAnsi="Times New Roman"/>
                <w:spacing w:val="-11"/>
              </w:rPr>
              <w:t>2.</w:t>
            </w:r>
            <w:r w:rsidRPr="00EE40F4">
              <w:rPr>
                <w:rFonts w:ascii="Times New Roman" w:hAnsi="Times New Roman"/>
              </w:rPr>
              <w:tab/>
            </w:r>
            <w:r w:rsidRPr="00EE40F4">
              <w:rPr>
                <w:rFonts w:ascii="Times New Roman" w:hAnsi="Times New Roman"/>
                <w:spacing w:val="-2"/>
              </w:rPr>
              <w:t xml:space="preserve">Pokračovať v liečbe </w:t>
            </w:r>
            <w:r w:rsidR="000E6FE7" w:rsidRPr="00EE40F4">
              <w:rPr>
                <w:rFonts w:ascii="Times New Roman" w:hAnsi="Times New Roman"/>
              </w:rPr>
              <w:t xml:space="preserve">imatinibom </w:t>
            </w:r>
            <w:r w:rsidR="000E6FE7" w:rsidRPr="00EE40F4">
              <w:rPr>
                <w:rFonts w:ascii="Times New Roman" w:hAnsi="Times New Roman"/>
                <w:spacing w:val="-2"/>
              </w:rPr>
              <w:t>dávkou</w:t>
            </w:r>
            <w:r w:rsidRPr="00EE40F4">
              <w:rPr>
                <w:rFonts w:ascii="Times New Roman" w:hAnsi="Times New Roman"/>
                <w:spacing w:val="-2"/>
              </w:rPr>
              <w:t xml:space="preserve"> 600 mg.</w:t>
            </w:r>
          </w:p>
          <w:p w14:paraId="2060E5B8" w14:textId="77777777" w:rsidR="00FB5C7C" w:rsidRPr="00EE40F4" w:rsidRDefault="00FB5C7C" w:rsidP="00452BE1">
            <w:pPr>
              <w:spacing w:after="0" w:line="240" w:lineRule="auto"/>
              <w:rPr>
                <w:rFonts w:ascii="Times New Roman" w:hAnsi="Times New Roman"/>
              </w:rPr>
            </w:pPr>
            <w:r w:rsidRPr="00EE40F4">
              <w:rPr>
                <w:rFonts w:ascii="Times New Roman" w:hAnsi="Times New Roman"/>
                <w:spacing w:val="-13"/>
              </w:rPr>
              <w:t>3.</w:t>
            </w:r>
            <w:r w:rsidRPr="00EE40F4">
              <w:rPr>
                <w:rFonts w:ascii="Times New Roman" w:hAnsi="Times New Roman"/>
              </w:rPr>
              <w:t xml:space="preserve"> </w:t>
            </w:r>
            <w:r w:rsidRPr="00EE40F4">
              <w:rPr>
                <w:rFonts w:ascii="Times New Roman" w:hAnsi="Times New Roman"/>
                <w:spacing w:val="-1"/>
              </w:rPr>
              <w:t>Pri opakovanom poklese ANC &lt; 1,0 x 10</w:t>
            </w:r>
            <w:r w:rsidRPr="00EE40F4">
              <w:rPr>
                <w:rFonts w:ascii="Times New Roman" w:hAnsi="Times New Roman"/>
                <w:spacing w:val="-1"/>
                <w:vertAlign w:val="superscript"/>
              </w:rPr>
              <w:t>9</w:t>
            </w:r>
            <w:r w:rsidRPr="00EE40F4">
              <w:rPr>
                <w:rFonts w:ascii="Times New Roman" w:hAnsi="Times New Roman"/>
                <w:spacing w:val="-1"/>
              </w:rPr>
              <w:t>/l a/alebo počtu trombocytov &lt; 50 x 10</w:t>
            </w:r>
            <w:r w:rsidRPr="00EE40F4">
              <w:rPr>
                <w:rFonts w:ascii="Times New Roman" w:hAnsi="Times New Roman"/>
                <w:spacing w:val="-1"/>
                <w:vertAlign w:val="superscript"/>
              </w:rPr>
              <w:t>9</w:t>
            </w:r>
            <w:r w:rsidRPr="00EE40F4">
              <w:rPr>
                <w:rFonts w:ascii="Times New Roman" w:hAnsi="Times New Roman"/>
                <w:spacing w:val="-1"/>
              </w:rPr>
              <w:t>/l</w:t>
            </w:r>
            <w:r w:rsidRPr="00EE40F4">
              <w:rPr>
                <w:rFonts w:ascii="Times New Roman" w:hAnsi="Times New Roman"/>
                <w:spacing w:val="-1"/>
              </w:rPr>
              <w:br/>
            </w:r>
            <w:r w:rsidRPr="00EE40F4">
              <w:rPr>
                <w:rFonts w:ascii="Times New Roman" w:hAnsi="Times New Roman"/>
              </w:rPr>
              <w:t xml:space="preserve">zopakovať krok 1 a pokračovať v liečbe </w:t>
            </w:r>
            <w:r w:rsidR="000E6FE7" w:rsidRPr="00EE40F4">
              <w:rPr>
                <w:rFonts w:ascii="Times New Roman" w:hAnsi="Times New Roman"/>
              </w:rPr>
              <w:t>imatinib</w:t>
            </w:r>
            <w:r w:rsidRPr="00EE40F4">
              <w:rPr>
                <w:rFonts w:ascii="Times New Roman" w:hAnsi="Times New Roman"/>
              </w:rPr>
              <w:t>om zníženou dávkou 400 mg.</w:t>
            </w:r>
          </w:p>
        </w:tc>
      </w:tr>
      <w:tr w:rsidR="00FB5C7C" w:rsidRPr="00EE40F4" w14:paraId="052DA6D0" w14:textId="77777777" w:rsidTr="00412829">
        <w:trPr>
          <w:trHeight w:val="100"/>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4E68E" w14:textId="77777777" w:rsidR="00FB5C7C" w:rsidRPr="00EE40F4" w:rsidRDefault="00FB5C7C" w:rsidP="00EF61CC">
            <w:pPr>
              <w:spacing w:after="0" w:line="240" w:lineRule="auto"/>
              <w:rPr>
                <w:rFonts w:ascii="Times New Roman" w:hAnsi="Times New Roman"/>
              </w:rPr>
            </w:pPr>
            <w:r w:rsidRPr="00EE40F4">
              <w:rPr>
                <w:rFonts w:ascii="Times New Roman" w:hAnsi="Times New Roman"/>
              </w:rPr>
              <w:t>ANC = absolútny počet neutrofilov</w:t>
            </w:r>
          </w:p>
        </w:tc>
      </w:tr>
      <w:tr w:rsidR="00FB5C7C" w:rsidRPr="00EE40F4" w14:paraId="1AE83108" w14:textId="77777777" w:rsidTr="00412829">
        <w:trPr>
          <w:trHeight w:val="122"/>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52924" w14:textId="77777777" w:rsidR="00FB5C7C" w:rsidRPr="00EE40F4" w:rsidRDefault="00FB5C7C"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 xml:space="preserve"> výskyt po najmenej 1 mesiaci liečby</w:t>
            </w:r>
          </w:p>
        </w:tc>
      </w:tr>
    </w:tbl>
    <w:p w14:paraId="58ADC969" w14:textId="77777777" w:rsidR="00FB5C7C" w:rsidRPr="00EE40F4" w:rsidRDefault="00FB5C7C" w:rsidP="004F3CBE">
      <w:pPr>
        <w:spacing w:after="0" w:line="240" w:lineRule="auto"/>
        <w:ind w:left="103" w:right="-20"/>
        <w:rPr>
          <w:rFonts w:ascii="Times New Roman" w:hAnsi="Times New Roman"/>
          <w:iCs/>
          <w:u w:val="single"/>
        </w:rPr>
      </w:pPr>
    </w:p>
    <w:p w14:paraId="1E14A241" w14:textId="77777777" w:rsidR="00653A62" w:rsidRPr="00EE40F4" w:rsidRDefault="00653A62" w:rsidP="001166B0">
      <w:pPr>
        <w:spacing w:after="0" w:line="240" w:lineRule="auto"/>
        <w:ind w:right="-20"/>
        <w:rPr>
          <w:rFonts w:ascii="Times New Roman" w:hAnsi="Times New Roman"/>
          <w:iCs/>
          <w:u w:val="single"/>
        </w:rPr>
      </w:pPr>
      <w:r w:rsidRPr="00EE40F4">
        <w:rPr>
          <w:rFonts w:ascii="Times New Roman" w:hAnsi="Times New Roman"/>
          <w:iCs/>
          <w:u w:val="single"/>
        </w:rPr>
        <w:t>Osobitné skupiny pacientov</w:t>
      </w:r>
    </w:p>
    <w:p w14:paraId="18A15AAD" w14:textId="77777777" w:rsidR="00653A62" w:rsidRPr="00EE40F4" w:rsidRDefault="00653A62" w:rsidP="001166B0">
      <w:pPr>
        <w:spacing w:after="0" w:line="240" w:lineRule="auto"/>
        <w:ind w:right="-20"/>
        <w:rPr>
          <w:rFonts w:ascii="Times New Roman" w:hAnsi="Times New Roman"/>
          <w:iCs/>
        </w:rPr>
      </w:pPr>
    </w:p>
    <w:p w14:paraId="01206822" w14:textId="77777777" w:rsidR="00DF5E1E" w:rsidRPr="00EE40F4" w:rsidRDefault="00744395" w:rsidP="001166B0">
      <w:pPr>
        <w:shd w:val="clear" w:color="auto" w:fill="FFFFFF"/>
        <w:spacing w:after="0" w:line="240" w:lineRule="auto"/>
        <w:rPr>
          <w:rFonts w:ascii="Times New Roman" w:hAnsi="Times New Roman"/>
          <w:i/>
          <w:iCs/>
        </w:rPr>
      </w:pPr>
      <w:r w:rsidRPr="00744395">
        <w:rPr>
          <w:rFonts w:ascii="Times New Roman" w:hAnsi="Times New Roman"/>
          <w:i/>
          <w:iCs/>
        </w:rPr>
        <w:t xml:space="preserve"> </w:t>
      </w:r>
      <w:r>
        <w:rPr>
          <w:rFonts w:ascii="Times New Roman" w:hAnsi="Times New Roman"/>
          <w:i/>
          <w:iCs/>
        </w:rPr>
        <w:t>Použitie u detí</w:t>
      </w:r>
    </w:p>
    <w:p w14:paraId="53478631" w14:textId="77777777" w:rsidR="00FB5C7C" w:rsidRPr="00EE40F4" w:rsidRDefault="00653A62" w:rsidP="001166B0">
      <w:pPr>
        <w:shd w:val="clear" w:color="auto" w:fill="FFFFFF"/>
        <w:spacing w:after="0" w:line="240" w:lineRule="auto"/>
        <w:rPr>
          <w:rFonts w:ascii="Times New Roman" w:hAnsi="Times New Roman"/>
        </w:rPr>
      </w:pPr>
      <w:r w:rsidRPr="00EE40F4">
        <w:rPr>
          <w:rFonts w:ascii="Times New Roman" w:hAnsi="Times New Roman"/>
        </w:rPr>
        <w:t xml:space="preserve">Nie sú žiadne skúsenosti s použitím u detí s CML mladších ako 2-ročných </w:t>
      </w:r>
      <w:r w:rsidR="00744395" w:rsidRPr="00872FE4">
        <w:rPr>
          <w:rFonts w:ascii="Times New Roman" w:hAnsi="Times New Roman"/>
        </w:rPr>
        <w:t>a s Ph+ALL mladších ako 1 rok</w:t>
      </w:r>
      <w:r w:rsidR="00744395" w:rsidRPr="00EE40F4">
        <w:rPr>
          <w:rFonts w:ascii="Times New Roman" w:hAnsi="Times New Roman"/>
        </w:rPr>
        <w:t xml:space="preserve"> </w:t>
      </w:r>
      <w:r w:rsidRPr="00EE40F4">
        <w:rPr>
          <w:rFonts w:ascii="Times New Roman" w:hAnsi="Times New Roman"/>
        </w:rPr>
        <w:t xml:space="preserve">(pozri časť 5.1). </w:t>
      </w:r>
      <w:r w:rsidR="00FB5C7C" w:rsidRPr="00EE40F4">
        <w:rPr>
          <w:rFonts w:ascii="Times New Roman" w:hAnsi="Times New Roman"/>
        </w:rPr>
        <w:t>Skúsenosti s použitím u detí s MDS/MPD, DFSP</w:t>
      </w:r>
      <w:r w:rsidR="00DF5E1E" w:rsidRPr="00EE40F4">
        <w:rPr>
          <w:rFonts w:ascii="Times New Roman" w:hAnsi="Times New Roman"/>
        </w:rPr>
        <w:t xml:space="preserve"> </w:t>
      </w:r>
      <w:r w:rsidR="00FB5C7C" w:rsidRPr="00EE40F4">
        <w:rPr>
          <w:rFonts w:ascii="Times New Roman" w:hAnsi="Times New Roman"/>
        </w:rPr>
        <w:t>a HES/CEL sú veľmi obmedzené.</w:t>
      </w:r>
    </w:p>
    <w:p w14:paraId="79F3D539" w14:textId="77777777" w:rsidR="001166B0" w:rsidRPr="00EE40F4" w:rsidRDefault="001166B0" w:rsidP="001166B0">
      <w:pPr>
        <w:shd w:val="clear" w:color="auto" w:fill="FFFFFF"/>
        <w:spacing w:after="0" w:line="240" w:lineRule="auto"/>
        <w:rPr>
          <w:rFonts w:ascii="Times New Roman" w:hAnsi="Times New Roman"/>
        </w:rPr>
      </w:pPr>
    </w:p>
    <w:p w14:paraId="1A47E5B1" w14:textId="77777777" w:rsidR="00FB5C7C" w:rsidRPr="00EE40F4" w:rsidRDefault="00FB5C7C" w:rsidP="001166B0">
      <w:pPr>
        <w:shd w:val="clear" w:color="auto" w:fill="FFFFFF"/>
        <w:spacing w:after="0" w:line="240" w:lineRule="auto"/>
        <w:ind w:right="230"/>
        <w:rPr>
          <w:rFonts w:ascii="Times New Roman" w:hAnsi="Times New Roman"/>
        </w:rPr>
      </w:pPr>
      <w:r w:rsidRPr="00EE40F4">
        <w:rPr>
          <w:rFonts w:ascii="Times New Roman" w:hAnsi="Times New Roman"/>
          <w:spacing w:val="-1"/>
        </w:rPr>
        <w:t xml:space="preserve">Bezpečnosť a účinnosť imatinibu u detí vo veku menej ako </w:t>
      </w:r>
      <w:r w:rsidRPr="00EE40F4">
        <w:rPr>
          <w:rFonts w:ascii="Times New Roman" w:hAnsi="Times New Roman"/>
        </w:rPr>
        <w:t xml:space="preserve">18 rokov </w:t>
      </w:r>
      <w:r w:rsidR="003B7863" w:rsidRPr="00EE40F4">
        <w:rPr>
          <w:rFonts w:ascii="Times New Roman" w:hAnsi="Times New Roman"/>
        </w:rPr>
        <w:t xml:space="preserve">s MDS/MPD, DFSP a HES/CEL </w:t>
      </w:r>
      <w:r w:rsidRPr="00EE40F4">
        <w:rPr>
          <w:rFonts w:ascii="Times New Roman" w:hAnsi="Times New Roman"/>
        </w:rPr>
        <w:t xml:space="preserve">neboli stanovené v klinických skúšaniach. V súčasnosti dostupné publikované údaje sú zhrnuté v časti 5.1, ale neumožňujú uviesť odporúčania </w:t>
      </w:r>
      <w:r w:rsidR="003B7863" w:rsidRPr="00EE40F4">
        <w:rPr>
          <w:rFonts w:ascii="Times New Roman" w:hAnsi="Times New Roman"/>
        </w:rPr>
        <w:t xml:space="preserve">na </w:t>
      </w:r>
      <w:r w:rsidRPr="00EE40F4">
        <w:rPr>
          <w:rFonts w:ascii="Times New Roman" w:hAnsi="Times New Roman"/>
        </w:rPr>
        <w:t>dávkovanie.</w:t>
      </w:r>
    </w:p>
    <w:p w14:paraId="5343860D" w14:textId="77777777" w:rsidR="00653A62" w:rsidRPr="00EE40F4" w:rsidRDefault="00653A62" w:rsidP="004F3CBE">
      <w:pPr>
        <w:spacing w:after="0" w:line="240" w:lineRule="auto"/>
        <w:ind w:left="103" w:right="-20"/>
        <w:rPr>
          <w:rFonts w:ascii="Times New Roman" w:hAnsi="Times New Roman"/>
        </w:rPr>
      </w:pPr>
    </w:p>
    <w:p w14:paraId="607A76E3" w14:textId="77777777" w:rsidR="00744395" w:rsidRDefault="00653A62" w:rsidP="004F3CBE">
      <w:pPr>
        <w:spacing w:after="0" w:line="240" w:lineRule="auto"/>
        <w:rPr>
          <w:rFonts w:ascii="Times New Roman" w:hAnsi="Times New Roman"/>
        </w:rPr>
      </w:pPr>
      <w:r w:rsidRPr="00EE40F4">
        <w:rPr>
          <w:rFonts w:ascii="Times New Roman" w:hAnsi="Times New Roman"/>
          <w:i/>
        </w:rPr>
        <w:t>Porucha funkcie pečene</w:t>
      </w:r>
      <w:r w:rsidR="009A54CC" w:rsidRPr="00EE40F4">
        <w:rPr>
          <w:rFonts w:ascii="Times New Roman" w:hAnsi="Times New Roman"/>
          <w:i/>
        </w:rPr>
        <w:t xml:space="preserve"> </w:t>
      </w:r>
    </w:p>
    <w:p w14:paraId="552FDE52" w14:textId="77777777" w:rsidR="00653A62" w:rsidRPr="00EE40F4" w:rsidRDefault="004F3CBE" w:rsidP="004F3CBE">
      <w:pPr>
        <w:spacing w:after="0" w:line="240" w:lineRule="auto"/>
        <w:rPr>
          <w:rFonts w:ascii="Times New Roman" w:hAnsi="Times New Roman"/>
        </w:rPr>
      </w:pPr>
      <w:r w:rsidRPr="00EE40F4">
        <w:rPr>
          <w:rFonts w:ascii="Times New Roman" w:hAnsi="Times New Roman"/>
        </w:rPr>
        <w:t>I</w:t>
      </w:r>
      <w:r w:rsidR="00653A62" w:rsidRPr="00EE40F4">
        <w:rPr>
          <w:rFonts w:ascii="Times New Roman" w:hAnsi="Times New Roman"/>
        </w:rPr>
        <w:t xml:space="preserve">matinib sa metabolizuje hlavne v pečeni. Pacientom s ľahkou, stredne ťažkou alebo ťažkou poruchou funkcie pečene sa má podávať najnižšia odporúčaná dávka 400 mg denne. Dávku možno znížiť, ak nie je tolerovaná (pozri časti 4.4, 4.8 a 5.2). </w:t>
      </w:r>
    </w:p>
    <w:p w14:paraId="2870D34C" w14:textId="77777777" w:rsidR="00D449E6" w:rsidRPr="00EE40F4" w:rsidRDefault="00D449E6" w:rsidP="004F3CBE">
      <w:pPr>
        <w:spacing w:after="0" w:line="240" w:lineRule="auto"/>
        <w:rPr>
          <w:rFonts w:ascii="Times New Roman" w:hAnsi="Times New Roman"/>
        </w:rPr>
      </w:pPr>
    </w:p>
    <w:p w14:paraId="0B66C67B" w14:textId="77777777" w:rsidR="00653A62" w:rsidRPr="00EE40F4" w:rsidRDefault="00653A62" w:rsidP="004F3CBE">
      <w:pPr>
        <w:spacing w:after="0" w:line="240" w:lineRule="auto"/>
        <w:rPr>
          <w:rFonts w:ascii="Times New Roman" w:hAnsi="Times New Roman"/>
        </w:rPr>
      </w:pPr>
      <w:r w:rsidRPr="00EE40F4">
        <w:rPr>
          <w:rFonts w:ascii="Times New Roman" w:hAnsi="Times New Roman"/>
        </w:rPr>
        <w:t>Hodnotenie poruchy funkcie pečene:</w:t>
      </w:r>
    </w:p>
    <w:tbl>
      <w:tblPr>
        <w:tblW w:w="0" w:type="auto"/>
        <w:tblInd w:w="98" w:type="dxa"/>
        <w:tblCellMar>
          <w:left w:w="10" w:type="dxa"/>
          <w:right w:w="10" w:type="dxa"/>
        </w:tblCellMar>
        <w:tblLook w:val="00A0" w:firstRow="1" w:lastRow="0" w:firstColumn="1" w:lastColumn="0" w:noHBand="0" w:noVBand="0"/>
      </w:tblPr>
      <w:tblGrid>
        <w:gridCol w:w="3860"/>
        <w:gridCol w:w="5092"/>
      </w:tblGrid>
      <w:tr w:rsidR="00653A62" w:rsidRPr="00EE40F4" w14:paraId="793538BD" w14:textId="77777777">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0D9152F"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Porucha funkcie pečene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30E5DE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Testy funkcie pečene </w:t>
            </w:r>
          </w:p>
        </w:tc>
      </w:tr>
      <w:tr w:rsidR="00653A62" w:rsidRPr="00EE40F4" w14:paraId="458DEC8F" w14:textId="77777777">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9CE9D7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Ľahká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67C992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Celkový bilirubín: = 1</w:t>
            </w:r>
            <w:r w:rsidR="00576A52" w:rsidRPr="00EE40F4">
              <w:rPr>
                <w:rFonts w:ascii="Times New Roman" w:hAnsi="Times New Roman"/>
              </w:rPr>
              <w:t>,</w:t>
            </w:r>
            <w:r w:rsidRPr="00EE40F4">
              <w:rPr>
                <w:rFonts w:ascii="Times New Roman" w:hAnsi="Times New Roman"/>
              </w:rPr>
              <w:t xml:space="preserve">5 ULN </w:t>
            </w:r>
          </w:p>
          <w:p w14:paraId="050C57B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&gt;ULN (hodnota môže byť normálna alebo &lt;ULN ak celkový bilirubín je &gt;ULN) </w:t>
            </w:r>
          </w:p>
        </w:tc>
      </w:tr>
      <w:tr w:rsidR="00653A62" w:rsidRPr="00EE40F4" w14:paraId="645251DC"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0B9050F"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Stredne 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5040BDC"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Celkový bilirubín: &gt;1</w:t>
            </w:r>
            <w:r w:rsidR="00576A52" w:rsidRPr="00EE40F4">
              <w:rPr>
                <w:rFonts w:ascii="Times New Roman" w:hAnsi="Times New Roman"/>
              </w:rPr>
              <w:t>,</w:t>
            </w:r>
            <w:r w:rsidRPr="00EE40F4">
              <w:rPr>
                <w:rFonts w:ascii="Times New Roman" w:hAnsi="Times New Roman"/>
              </w:rPr>
              <w:t>5–3</w:t>
            </w:r>
            <w:r w:rsidR="00576A52" w:rsidRPr="00EE40F4">
              <w:rPr>
                <w:rFonts w:ascii="Times New Roman" w:hAnsi="Times New Roman"/>
              </w:rPr>
              <w:t>,</w:t>
            </w:r>
            <w:r w:rsidRPr="00EE40F4">
              <w:rPr>
                <w:rFonts w:ascii="Times New Roman" w:hAnsi="Times New Roman"/>
              </w:rPr>
              <w:t xml:space="preserve">0 ULN </w:t>
            </w:r>
          </w:p>
          <w:p w14:paraId="0747B0B2"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akákoľvek hodnota </w:t>
            </w:r>
          </w:p>
        </w:tc>
      </w:tr>
      <w:tr w:rsidR="00653A62" w:rsidRPr="00EE40F4" w14:paraId="34B99194"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51B63C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6CF90A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Celkový bilirubín: &gt;3–10 ULN </w:t>
            </w:r>
          </w:p>
          <w:p w14:paraId="23EC20F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akákoľvek hodnota </w:t>
            </w:r>
          </w:p>
        </w:tc>
      </w:tr>
    </w:tbl>
    <w:p w14:paraId="4E12992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ULN = horná hranica normálneho rozmedzia zdravotníckeho zariadenia </w:t>
      </w:r>
    </w:p>
    <w:p w14:paraId="3A8B5F5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 aspartátaminotransferáza </w:t>
      </w:r>
    </w:p>
    <w:p w14:paraId="0FD46598" w14:textId="77777777" w:rsidR="00653A62" w:rsidRPr="00EE40F4" w:rsidRDefault="00653A62" w:rsidP="00EF61CC">
      <w:pPr>
        <w:spacing w:after="0" w:line="240" w:lineRule="auto"/>
        <w:rPr>
          <w:rFonts w:ascii="Times New Roman" w:hAnsi="Times New Roman"/>
        </w:rPr>
      </w:pPr>
    </w:p>
    <w:p w14:paraId="624A306A" w14:textId="77777777" w:rsidR="00744395" w:rsidRPr="00EE71A9" w:rsidRDefault="00653A62" w:rsidP="00C15EEC">
      <w:pPr>
        <w:spacing w:after="0" w:line="240" w:lineRule="auto"/>
        <w:rPr>
          <w:rFonts w:ascii="Times New Roman" w:hAnsi="Times New Roman"/>
          <w:i/>
        </w:rPr>
      </w:pPr>
      <w:r w:rsidRPr="00EE71A9">
        <w:rPr>
          <w:rFonts w:ascii="Times New Roman" w:hAnsi="Times New Roman"/>
          <w:i/>
        </w:rPr>
        <w:t>Porucha funkcie obličiek</w:t>
      </w:r>
    </w:p>
    <w:p w14:paraId="53303530" w14:textId="77777777" w:rsidR="00C15EEC" w:rsidRPr="00EE40F4" w:rsidRDefault="009A54CC" w:rsidP="00C15EEC">
      <w:pPr>
        <w:spacing w:after="0" w:line="240" w:lineRule="auto"/>
        <w:rPr>
          <w:rFonts w:ascii="Times New Roman" w:hAnsi="Times New Roman"/>
        </w:rPr>
      </w:pPr>
      <w:r w:rsidRPr="00EE40F4">
        <w:rPr>
          <w:rFonts w:ascii="Times New Roman" w:hAnsi="Times New Roman"/>
          <w:i/>
        </w:rPr>
        <w:t xml:space="preserve"> </w:t>
      </w:r>
      <w:r w:rsidR="00C15EEC" w:rsidRPr="00EE40F4">
        <w:rPr>
          <w:rFonts w:ascii="Times New Roman" w:hAnsi="Times New Roman"/>
        </w:rPr>
        <w:t xml:space="preserve">Pacientom s renálnou dysfunkciou alebo na dialýze sa má podávať najnižšia odporúčaná dávka 400 mg denne ako začiatočná dávka. Avšak u týchto pacientov sa odporúča opatrnosť. Dávku možno znížiť, ak nie je tolerovaná. Ak je tolerovaná, dávka sa môže zvýšiť pre nedostatočnú účinnosť (pozri </w:t>
      </w:r>
      <w:r w:rsidR="003B7863" w:rsidRPr="00EE40F4">
        <w:rPr>
          <w:rFonts w:ascii="Times New Roman" w:hAnsi="Times New Roman"/>
        </w:rPr>
        <w:t xml:space="preserve">časti </w:t>
      </w:r>
      <w:r w:rsidR="00C15EEC" w:rsidRPr="00EE40F4">
        <w:rPr>
          <w:rFonts w:ascii="Times New Roman" w:hAnsi="Times New Roman"/>
        </w:rPr>
        <w:t xml:space="preserve">4.4 a 5.2). </w:t>
      </w:r>
    </w:p>
    <w:p w14:paraId="7B7554BD" w14:textId="77777777" w:rsidR="00653A62" w:rsidRPr="00EE40F4" w:rsidRDefault="00653A62" w:rsidP="00EF61CC">
      <w:pPr>
        <w:spacing w:after="0" w:line="240" w:lineRule="auto"/>
        <w:rPr>
          <w:rFonts w:ascii="Times New Roman" w:hAnsi="Times New Roman"/>
        </w:rPr>
      </w:pPr>
    </w:p>
    <w:p w14:paraId="5F40E2D9" w14:textId="77777777" w:rsidR="00744395" w:rsidRPr="00CA3011" w:rsidRDefault="00653A62" w:rsidP="00EF61CC">
      <w:pPr>
        <w:spacing w:after="0" w:line="240" w:lineRule="auto"/>
        <w:rPr>
          <w:rFonts w:ascii="Times New Roman" w:hAnsi="Times New Roman"/>
          <w:i/>
          <w:iCs/>
        </w:rPr>
      </w:pPr>
      <w:r w:rsidRPr="00EE71A9">
        <w:rPr>
          <w:rFonts w:ascii="Times New Roman" w:hAnsi="Times New Roman"/>
          <w:i/>
          <w:iCs/>
        </w:rPr>
        <w:t>Starší</w:t>
      </w:r>
      <w:r w:rsidR="00FB5C7C" w:rsidRPr="00EE71A9">
        <w:rPr>
          <w:rFonts w:ascii="Times New Roman" w:hAnsi="Times New Roman"/>
          <w:i/>
          <w:iCs/>
        </w:rPr>
        <w:t xml:space="preserve"> </w:t>
      </w:r>
      <w:r w:rsidR="00744395">
        <w:rPr>
          <w:rFonts w:ascii="Times New Roman" w:hAnsi="Times New Roman"/>
          <w:i/>
          <w:iCs/>
        </w:rPr>
        <w:t xml:space="preserve">ľudia </w:t>
      </w:r>
      <w:r w:rsidR="009A54CC" w:rsidRPr="00CA3011">
        <w:rPr>
          <w:rFonts w:ascii="Times New Roman" w:hAnsi="Times New Roman"/>
          <w:i/>
          <w:iCs/>
        </w:rPr>
        <w:t xml:space="preserve"> </w:t>
      </w:r>
    </w:p>
    <w:p w14:paraId="574B995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Farmakokinetika imatinibu sa nesledovala osobitne u starších </w:t>
      </w:r>
      <w:r w:rsidR="00DF5E1E" w:rsidRPr="00EE40F4">
        <w:rPr>
          <w:rFonts w:ascii="Times New Roman" w:hAnsi="Times New Roman"/>
        </w:rPr>
        <w:t>ľudí</w:t>
      </w:r>
      <w:r w:rsidRPr="00EE40F4">
        <w:rPr>
          <w:rFonts w:ascii="Times New Roman" w:hAnsi="Times New Roman"/>
        </w:rPr>
        <w:t>. V klinických skúšaniach s dospelými pacientmi, z ktorých viac ako 20</w:t>
      </w:r>
      <w:r w:rsidR="00EB343D" w:rsidRPr="00EE40F4">
        <w:rPr>
          <w:rFonts w:ascii="Times New Roman" w:hAnsi="Times New Roman"/>
        </w:rPr>
        <w:t> </w:t>
      </w:r>
      <w:r w:rsidRPr="00EE40F4">
        <w:rPr>
          <w:rFonts w:ascii="Times New Roman" w:hAnsi="Times New Roman"/>
        </w:rPr>
        <w:t xml:space="preserve">% bolo 65-ročných a starších, sa nepozorovali významné rozdiely vo farmakokinetike súvisiace s vekom. Nie je potrebné osobitné odporúčanie </w:t>
      </w:r>
      <w:r w:rsidR="00EB343D" w:rsidRPr="00EE40F4">
        <w:rPr>
          <w:rFonts w:ascii="Times New Roman" w:hAnsi="Times New Roman"/>
        </w:rPr>
        <w:t xml:space="preserve">na </w:t>
      </w:r>
      <w:r w:rsidRPr="00EE40F4">
        <w:rPr>
          <w:rFonts w:ascii="Times New Roman" w:hAnsi="Times New Roman"/>
        </w:rPr>
        <w:t>dávkovanie u starších</w:t>
      </w:r>
      <w:r w:rsidR="00FB5C7C" w:rsidRPr="00EE40F4">
        <w:rPr>
          <w:rFonts w:ascii="Times New Roman" w:hAnsi="Times New Roman"/>
        </w:rPr>
        <w:t xml:space="preserve"> ľudí</w:t>
      </w:r>
      <w:r w:rsidRPr="00EE40F4">
        <w:rPr>
          <w:rFonts w:ascii="Times New Roman" w:hAnsi="Times New Roman"/>
        </w:rPr>
        <w:t xml:space="preserve">. </w:t>
      </w:r>
    </w:p>
    <w:p w14:paraId="0A4677C6" w14:textId="77777777" w:rsidR="00DF5E1E" w:rsidRPr="00EE40F4" w:rsidRDefault="00DF5E1E" w:rsidP="00EF61CC">
      <w:pPr>
        <w:spacing w:after="0" w:line="240" w:lineRule="auto"/>
        <w:rPr>
          <w:rFonts w:ascii="Times New Roman" w:hAnsi="Times New Roman"/>
        </w:rPr>
      </w:pPr>
    </w:p>
    <w:p w14:paraId="4C6DA040" w14:textId="77777777" w:rsidR="00DF5E1E" w:rsidRPr="00EE40F4" w:rsidRDefault="00DF5E1E" w:rsidP="00DF5E1E">
      <w:pPr>
        <w:spacing w:after="0" w:line="240" w:lineRule="auto"/>
        <w:rPr>
          <w:rFonts w:ascii="Times New Roman" w:hAnsi="Times New Roman"/>
          <w:u w:val="single"/>
        </w:rPr>
      </w:pPr>
      <w:r w:rsidRPr="00EE40F4">
        <w:rPr>
          <w:rFonts w:ascii="Times New Roman" w:hAnsi="Times New Roman"/>
          <w:u w:val="single"/>
        </w:rPr>
        <w:t>Spôsob podávania</w:t>
      </w:r>
    </w:p>
    <w:p w14:paraId="24A98F5E" w14:textId="77777777" w:rsidR="00DF5E1E" w:rsidRPr="00EE40F4" w:rsidRDefault="00DF5E1E" w:rsidP="00DF5E1E">
      <w:pPr>
        <w:spacing w:after="0" w:line="240" w:lineRule="auto"/>
        <w:rPr>
          <w:rFonts w:ascii="Times New Roman" w:hAnsi="Times New Roman"/>
        </w:rPr>
      </w:pPr>
    </w:p>
    <w:p w14:paraId="17EDD401" w14:textId="77777777" w:rsidR="00DF5E1E" w:rsidRPr="00EE40F4" w:rsidRDefault="00DF5E1E" w:rsidP="00DF5E1E">
      <w:pPr>
        <w:spacing w:after="0" w:line="240" w:lineRule="auto"/>
        <w:rPr>
          <w:rFonts w:ascii="Times New Roman" w:hAnsi="Times New Roman"/>
        </w:rPr>
      </w:pPr>
      <w:r w:rsidRPr="00EE40F4">
        <w:rPr>
          <w:rFonts w:ascii="Times New Roman" w:hAnsi="Times New Roman"/>
        </w:rPr>
        <w:t xml:space="preserve">Predpísaná dávka sa podáva perorálne s jedlom a veľkým pohárom vody, aby sa minimalizovalo riziko podráždenia gastrointestinálneho traktu. Dávky 400 mg alebo 600 mg sa majú podávať raz denne, zatiaľ čo denná dávka 800 mg sa má podávať ako 400 mg dvakrát denne, ráno a večer. </w:t>
      </w:r>
    </w:p>
    <w:p w14:paraId="19EAEF73" w14:textId="77777777" w:rsidR="00DF5E1E" w:rsidRPr="00EE40F4" w:rsidRDefault="00DF5E1E" w:rsidP="00DF5E1E">
      <w:pPr>
        <w:spacing w:after="0" w:line="240" w:lineRule="auto"/>
        <w:rPr>
          <w:rFonts w:ascii="Times New Roman" w:hAnsi="Times New Roman"/>
        </w:rPr>
      </w:pPr>
    </w:p>
    <w:p w14:paraId="64F0D462" w14:textId="77777777" w:rsidR="00DF5E1E" w:rsidRPr="00EE40F4" w:rsidRDefault="00DF5E1E" w:rsidP="00DF5E1E">
      <w:pPr>
        <w:spacing w:after="0" w:line="240" w:lineRule="auto"/>
        <w:rPr>
          <w:rFonts w:ascii="Times New Roman" w:hAnsi="Times New Roman"/>
        </w:rPr>
      </w:pPr>
      <w:r w:rsidRPr="00EE40F4">
        <w:rPr>
          <w:rFonts w:ascii="Times New Roman" w:hAnsi="Times New Roman"/>
        </w:rPr>
        <w:t>U</w:t>
      </w:r>
      <w:r w:rsidR="00744395">
        <w:rPr>
          <w:rFonts w:ascii="Times New Roman" w:hAnsi="Times New Roman"/>
        </w:rPr>
        <w:t> </w:t>
      </w:r>
      <w:r w:rsidRPr="00EE40F4">
        <w:rPr>
          <w:rFonts w:ascii="Times New Roman" w:hAnsi="Times New Roman"/>
        </w:rPr>
        <w:t>pacientov</w:t>
      </w:r>
      <w:r w:rsidR="00744395">
        <w:rPr>
          <w:rFonts w:ascii="Times New Roman" w:hAnsi="Times New Roman"/>
        </w:rPr>
        <w:t xml:space="preserve"> (detí)</w:t>
      </w:r>
      <w:r w:rsidRPr="00EE40F4">
        <w:rPr>
          <w:rFonts w:ascii="Times New Roman" w:hAnsi="Times New Roman"/>
        </w:rPr>
        <w:t xml:space="preserve">, ktorí nie sú schopní prehĺtať </w:t>
      </w:r>
      <w:r w:rsidR="009A54CC" w:rsidRPr="00EE40F4">
        <w:rPr>
          <w:rFonts w:ascii="Times New Roman" w:hAnsi="Times New Roman"/>
        </w:rPr>
        <w:t>kapsuly</w:t>
      </w:r>
      <w:r w:rsidRPr="00EE40F4">
        <w:rPr>
          <w:rFonts w:ascii="Times New Roman" w:hAnsi="Times New Roman"/>
        </w:rPr>
        <w:t xml:space="preserve">, možno </w:t>
      </w:r>
      <w:r w:rsidR="009A54CC" w:rsidRPr="00EE40F4">
        <w:rPr>
          <w:rFonts w:ascii="Times New Roman" w:hAnsi="Times New Roman"/>
        </w:rPr>
        <w:t>ich obsah</w:t>
      </w:r>
      <w:r w:rsidRPr="00EE40F4">
        <w:rPr>
          <w:rFonts w:ascii="Times New Roman" w:hAnsi="Times New Roman"/>
        </w:rPr>
        <w:t xml:space="preserve"> </w:t>
      </w:r>
      <w:r w:rsidR="009A54CC" w:rsidRPr="00EE40F4">
        <w:rPr>
          <w:rFonts w:ascii="Times New Roman" w:hAnsi="Times New Roman"/>
        </w:rPr>
        <w:t>rozmiešať</w:t>
      </w:r>
      <w:r w:rsidRPr="00EE40F4">
        <w:rPr>
          <w:rFonts w:ascii="Times New Roman" w:hAnsi="Times New Roman"/>
        </w:rPr>
        <w:t xml:space="preserve"> v pohári </w:t>
      </w:r>
      <w:r w:rsidR="009A54CC" w:rsidRPr="00EE40F4">
        <w:rPr>
          <w:rFonts w:ascii="Times New Roman" w:hAnsi="Times New Roman"/>
        </w:rPr>
        <w:t>nesýtenej</w:t>
      </w:r>
      <w:r w:rsidRPr="00EE40F4">
        <w:rPr>
          <w:rFonts w:ascii="Times New Roman" w:hAnsi="Times New Roman"/>
        </w:rPr>
        <w:t xml:space="preserve"> vody alebo jablkovej šťavy. </w:t>
      </w:r>
      <w:r w:rsidR="00EE40F4" w:rsidRPr="00EE40F4">
        <w:rPr>
          <w:rFonts w:ascii="Times New Roman" w:hAnsi="Times New Roman"/>
        </w:rPr>
        <w:t>Keďže štúdie na zvieratách preukázali reprodukčnú toxicitu a potenciálne riziko pre ľudský plod nie je známe, ženy vo fertilnom veku treba poučiť, aby pri otváraní kapsuly zaobchádzali s obsahom s opatrnosťou a vyhli sa kontaktu s očami alebo inhalácii (pozri časť 4.6). Po zaobchádzaní s otvorenou kapsulou si majú okamžite umyť ruky.</w:t>
      </w:r>
    </w:p>
    <w:p w14:paraId="0610A9FE" w14:textId="77777777" w:rsidR="00653A62" w:rsidRPr="00EE40F4" w:rsidRDefault="00653A62" w:rsidP="00EF61CC">
      <w:pPr>
        <w:spacing w:after="0" w:line="240" w:lineRule="auto"/>
        <w:rPr>
          <w:rFonts w:ascii="Times New Roman" w:hAnsi="Times New Roman"/>
        </w:rPr>
      </w:pPr>
    </w:p>
    <w:p w14:paraId="48562873"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4.3</w:t>
      </w:r>
      <w:r w:rsidRPr="00EE40F4">
        <w:rPr>
          <w:rFonts w:ascii="Times New Roman" w:hAnsi="Times New Roman"/>
          <w:b/>
        </w:rPr>
        <w:tab/>
      </w:r>
      <w:r w:rsidRPr="00EE40F4">
        <w:rPr>
          <w:rFonts w:ascii="Times New Roman" w:hAnsi="Times New Roman"/>
          <w:b/>
          <w:bCs/>
        </w:rPr>
        <w:t>Kontraindikácie</w:t>
      </w:r>
    </w:p>
    <w:p w14:paraId="2C5A9FF1" w14:textId="77777777" w:rsidR="00653A62" w:rsidRPr="00EE40F4" w:rsidRDefault="00653A62" w:rsidP="00EF61CC">
      <w:pPr>
        <w:spacing w:after="0" w:line="240" w:lineRule="auto"/>
        <w:rPr>
          <w:rFonts w:ascii="Times New Roman" w:hAnsi="Times New Roman"/>
        </w:rPr>
      </w:pPr>
    </w:p>
    <w:p w14:paraId="2BB6A410"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Precitlivenosť na liečivo alebo na ktorúkoľvek z pomocných látok uvedených v časti 6.1.</w:t>
      </w:r>
    </w:p>
    <w:p w14:paraId="18C0C68B" w14:textId="77777777" w:rsidR="00653A62" w:rsidRPr="00EE40F4" w:rsidRDefault="00653A62" w:rsidP="00EF61CC">
      <w:pPr>
        <w:spacing w:after="0" w:line="240" w:lineRule="auto"/>
        <w:rPr>
          <w:rFonts w:ascii="Times New Roman" w:hAnsi="Times New Roman"/>
        </w:rPr>
      </w:pPr>
    </w:p>
    <w:p w14:paraId="368D75F9"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4.4</w:t>
      </w:r>
      <w:r w:rsidRPr="00EE40F4">
        <w:rPr>
          <w:rFonts w:ascii="Times New Roman" w:hAnsi="Times New Roman"/>
          <w:b/>
        </w:rPr>
        <w:tab/>
      </w:r>
      <w:r w:rsidRPr="00EE40F4">
        <w:rPr>
          <w:rFonts w:ascii="Times New Roman" w:hAnsi="Times New Roman"/>
          <w:b/>
          <w:bCs/>
        </w:rPr>
        <w:t>Osobitné upozornenia a opatrenia pri používaní</w:t>
      </w:r>
    </w:p>
    <w:p w14:paraId="6BF3A320" w14:textId="77777777" w:rsidR="00653A62" w:rsidRPr="00EE40F4" w:rsidRDefault="00653A62" w:rsidP="00EF61CC">
      <w:pPr>
        <w:spacing w:after="0" w:line="240" w:lineRule="auto"/>
        <w:rPr>
          <w:rFonts w:ascii="Times New Roman" w:hAnsi="Times New Roman"/>
        </w:rPr>
      </w:pPr>
    </w:p>
    <w:p w14:paraId="7CC60260" w14:textId="77777777" w:rsidR="00FD3915" w:rsidRPr="00EE40F4" w:rsidRDefault="00653A62" w:rsidP="00EF61CC">
      <w:pPr>
        <w:spacing w:after="0" w:line="240" w:lineRule="auto"/>
        <w:ind w:right="-24"/>
        <w:rPr>
          <w:rFonts w:ascii="Times New Roman" w:hAnsi="Times New Roman"/>
        </w:rPr>
      </w:pPr>
      <w:r w:rsidRPr="00EE40F4">
        <w:rPr>
          <w:rFonts w:ascii="Times New Roman" w:hAnsi="Times New Roman"/>
        </w:rPr>
        <w:t xml:space="preserve">Ak sa imatinib podáva súčasne s inými liekmi, sú možné liekové interakcie. Opatrnosť je potrebná pri užívaní imatinibu s </w:t>
      </w:r>
      <w:r w:rsidR="00FD3915" w:rsidRPr="00EE40F4">
        <w:rPr>
          <w:rFonts w:ascii="Times New Roman" w:hAnsi="Times New Roman"/>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5356118A" w14:textId="77777777" w:rsidR="0044416A" w:rsidRPr="00EE40F4" w:rsidRDefault="0044416A" w:rsidP="00EF61CC">
      <w:pPr>
        <w:spacing w:after="0" w:line="240" w:lineRule="auto"/>
        <w:ind w:right="-24"/>
        <w:rPr>
          <w:rFonts w:ascii="Times New Roman" w:hAnsi="Times New Roman"/>
        </w:rPr>
      </w:pPr>
    </w:p>
    <w:p w14:paraId="27EBADEE"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t xml:space="preserve">Súčasné užívanie imatinibu a liekov, ktoré indukujú CYP3A4 (napr. dexametazón, fenytoín, karbamazepín, rifampicín, fenobarbital alebo </w:t>
      </w:r>
      <w:r w:rsidRPr="00EE40F4">
        <w:rPr>
          <w:rFonts w:ascii="Times New Roman" w:hAnsi="Times New Roman"/>
          <w:i/>
          <w:iCs/>
        </w:rPr>
        <w:t xml:space="preserve">Hypericum perforatum </w:t>
      </w:r>
      <w:r w:rsidRPr="00EE40F4">
        <w:rPr>
          <w:rFonts w:ascii="Times New Roman" w:hAnsi="Times New Roman"/>
        </w:rPr>
        <w:t>– ľubovník bodkovaný) môže významne znížiť expozíciu imatinibu</w:t>
      </w:r>
      <w:r w:rsidR="00C15EEC" w:rsidRPr="00EE40F4">
        <w:rPr>
          <w:rFonts w:ascii="Times New Roman" w:hAnsi="Times New Roman"/>
        </w:rPr>
        <w:t>,</w:t>
      </w:r>
      <w:r w:rsidRPr="00EE40F4">
        <w:rPr>
          <w:rFonts w:ascii="Times New Roman" w:hAnsi="Times New Roman"/>
        </w:rPr>
        <w:t xml:space="preserve"> a tým prípadne zvýšiť riziko zlyhania liečby. Preto je potrebné vyhnúť sa súčasnému podávaniu silných induktorov CYP3A4 a imatinibu (pozri časť 4.5).</w:t>
      </w:r>
    </w:p>
    <w:p w14:paraId="177C524A" w14:textId="77777777" w:rsidR="00653A62" w:rsidRPr="00EE40F4" w:rsidRDefault="00653A62" w:rsidP="00EF61CC">
      <w:pPr>
        <w:spacing w:after="0" w:line="240" w:lineRule="auto"/>
        <w:rPr>
          <w:rFonts w:ascii="Times New Roman" w:hAnsi="Times New Roman"/>
        </w:rPr>
      </w:pPr>
    </w:p>
    <w:p w14:paraId="176D97A8"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Hypotyreóza </w:t>
      </w:r>
    </w:p>
    <w:p w14:paraId="625FD967"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Klinické prípady hypotyreózy sa zaznamenali u pacientov po tyreoidektómii, ktorí počas liečby imatinibom dostávali ako substitúciu levotyroxín (pozri časť 4.5). U takýchto pacientov sa majú dôsledne monitorovať hladiny tyreotropínu (TSH)</w:t>
      </w:r>
      <w:r w:rsidRPr="00EE40F4">
        <w:rPr>
          <w:rFonts w:ascii="Times New Roman" w:hAnsi="Times New Roman"/>
        </w:rPr>
        <w:t>.</w:t>
      </w:r>
    </w:p>
    <w:p w14:paraId="1224284D" w14:textId="77777777" w:rsidR="00653A62" w:rsidRPr="00EE40F4" w:rsidRDefault="00653A62" w:rsidP="00EF61CC">
      <w:pPr>
        <w:spacing w:after="0" w:line="240" w:lineRule="auto"/>
        <w:rPr>
          <w:rFonts w:ascii="Times New Roman" w:hAnsi="Times New Roman"/>
        </w:rPr>
      </w:pPr>
    </w:p>
    <w:p w14:paraId="102ACA52" w14:textId="77777777" w:rsidR="00653A62" w:rsidRPr="00EE40F4" w:rsidRDefault="00653A62" w:rsidP="00D449E6">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Hepatotoxicita </w:t>
      </w:r>
    </w:p>
    <w:p w14:paraId="54A0760B" w14:textId="77777777" w:rsidR="000A4371" w:rsidRPr="00EE40F4" w:rsidRDefault="000A4371" w:rsidP="00D449E6">
      <w:pPr>
        <w:autoSpaceDE w:val="0"/>
        <w:autoSpaceDN w:val="0"/>
        <w:adjustRightInd w:val="0"/>
        <w:spacing w:after="0" w:line="240" w:lineRule="auto"/>
        <w:rPr>
          <w:rFonts w:ascii="Times New Roman" w:hAnsi="Times New Roman"/>
          <w:color w:val="000000"/>
        </w:rPr>
      </w:pPr>
      <w:r w:rsidRPr="00EE40F4">
        <w:rPr>
          <w:rFonts w:ascii="Times New Roman" w:hAnsi="Times New Roman"/>
          <w:spacing w:val="1"/>
        </w:rPr>
        <w:t xml:space="preserve">Imatinib </w:t>
      </w:r>
      <w:r w:rsidR="00653A62" w:rsidRPr="00EE40F4">
        <w:rPr>
          <w:rFonts w:ascii="Times New Roman" w:hAnsi="Times New Roman"/>
          <w:color w:val="000000"/>
        </w:rPr>
        <w:t>sa metabolizuje hlavne v pečeni a iba 13</w:t>
      </w:r>
      <w:r w:rsidRPr="00EE40F4">
        <w:rPr>
          <w:rFonts w:ascii="Times New Roman" w:hAnsi="Times New Roman"/>
          <w:color w:val="000000"/>
        </w:rPr>
        <w:t> </w:t>
      </w:r>
      <w:r w:rsidR="00653A62" w:rsidRPr="00EE40F4">
        <w:rPr>
          <w:rFonts w:ascii="Times New Roman" w:hAnsi="Times New Roman"/>
          <w:color w:val="000000"/>
        </w:rPr>
        <w:t xml:space="preserve">% sa vylučuje obličkami. U pacientov s poruchou funkcie pečene (ľahkou, stredne ťažkou a ťažkou) sa majú dôsledne monitorovať periférny krvný obraz a pečeňové enzýmy (pozri časti 4.2, 4.8 a 5.2). </w:t>
      </w:r>
    </w:p>
    <w:p w14:paraId="2ADD5E10" w14:textId="77777777" w:rsidR="00653A62" w:rsidRPr="00EE40F4" w:rsidRDefault="00653A62" w:rsidP="00EF61CC">
      <w:pPr>
        <w:spacing w:after="0" w:line="240" w:lineRule="auto"/>
        <w:ind w:right="-20"/>
        <w:rPr>
          <w:rFonts w:ascii="Times New Roman" w:hAnsi="Times New Roman"/>
          <w:color w:val="000000"/>
        </w:rPr>
      </w:pPr>
    </w:p>
    <w:p w14:paraId="096E4C08" w14:textId="77777777" w:rsidR="00653A62" w:rsidRPr="00EE40F4" w:rsidRDefault="00653A62" w:rsidP="00EF61CC">
      <w:pPr>
        <w:spacing w:after="0" w:line="240" w:lineRule="auto"/>
        <w:ind w:right="131"/>
        <w:rPr>
          <w:rFonts w:ascii="Times New Roman" w:hAnsi="Times New Roman"/>
        </w:rPr>
      </w:pPr>
      <w:r w:rsidRPr="00EE40F4">
        <w:rPr>
          <w:rFonts w:ascii="Times New Roman" w:hAnsi="Times New Roman"/>
          <w:color w:val="000000"/>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EE40F4">
        <w:rPr>
          <w:rFonts w:ascii="Times New Roman" w:hAnsi="Times New Roman"/>
        </w:rPr>
        <w:t>.</w:t>
      </w:r>
    </w:p>
    <w:p w14:paraId="67677591" w14:textId="77777777" w:rsidR="00653A62" w:rsidRPr="00EE40F4" w:rsidRDefault="00653A62" w:rsidP="00EF61CC">
      <w:pPr>
        <w:spacing w:after="0" w:line="240" w:lineRule="auto"/>
        <w:rPr>
          <w:rFonts w:ascii="Times New Roman" w:hAnsi="Times New Roman"/>
        </w:rPr>
      </w:pPr>
    </w:p>
    <w:p w14:paraId="07163164"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Zadržiavanie tekutiny </w:t>
      </w:r>
    </w:p>
    <w:p w14:paraId="79718A83" w14:textId="77777777" w:rsidR="00653A62" w:rsidRPr="00EE40F4" w:rsidRDefault="00653A62" w:rsidP="00EF61CC">
      <w:pPr>
        <w:spacing w:after="0" w:line="240" w:lineRule="auto"/>
        <w:ind w:right="59"/>
        <w:rPr>
          <w:rFonts w:ascii="Times New Roman" w:hAnsi="Times New Roman"/>
        </w:rPr>
      </w:pPr>
      <w:r w:rsidRPr="00EE40F4">
        <w:rPr>
          <w:rFonts w:ascii="Times New Roman" w:hAnsi="Times New Roman"/>
          <w:color w:val="000000"/>
        </w:rPr>
        <w:t>Závažné zadržiavanie tekutiny (pleurálny výpotok, edém, pľúcny edém, ascites, povrchový edém) sa zaznamenalo u približne 2,5</w:t>
      </w:r>
      <w:r w:rsidR="000A4371" w:rsidRPr="00EE40F4">
        <w:rPr>
          <w:rFonts w:ascii="Times New Roman" w:hAnsi="Times New Roman"/>
          <w:color w:val="000000"/>
        </w:rPr>
        <w:t> </w:t>
      </w:r>
      <w:r w:rsidRPr="00EE40F4">
        <w:rPr>
          <w:rFonts w:ascii="Times New Roman" w:hAnsi="Times New Roman"/>
          <w:color w:val="000000"/>
        </w:rPr>
        <w:t xml:space="preserve">% pacientov s novodiagnostikovanou CML užívajúcich </w:t>
      </w:r>
      <w:r w:rsidRPr="00EE40F4">
        <w:rPr>
          <w:rFonts w:ascii="Times New Roman" w:hAnsi="Times New Roman"/>
          <w:spacing w:val="-2"/>
        </w:rPr>
        <w:t>imatinib</w:t>
      </w:r>
      <w:r w:rsidRPr="00EE40F4">
        <w:rPr>
          <w:rFonts w:ascii="Times New Roman" w:hAnsi="Times New Roman"/>
          <w:color w:val="000000"/>
        </w:rPr>
        <w:t>. Preto sa naliehavo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opatrne u pacientov s poruchou funkcie srdca</w:t>
      </w:r>
      <w:r w:rsidRPr="00EE40F4">
        <w:rPr>
          <w:rFonts w:ascii="Times New Roman" w:hAnsi="Times New Roman"/>
        </w:rPr>
        <w:t>.</w:t>
      </w:r>
    </w:p>
    <w:p w14:paraId="13DBC4D8" w14:textId="77777777" w:rsidR="00653A62" w:rsidRPr="00EE40F4" w:rsidRDefault="00653A62" w:rsidP="00EF61CC">
      <w:pPr>
        <w:spacing w:after="0" w:line="240" w:lineRule="auto"/>
        <w:rPr>
          <w:rFonts w:ascii="Times New Roman" w:hAnsi="Times New Roman"/>
        </w:rPr>
      </w:pPr>
    </w:p>
    <w:p w14:paraId="711B52AE"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Pacienti s ochorením srdca</w:t>
      </w:r>
    </w:p>
    <w:p w14:paraId="403FD09A"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Pacientov s ochorením srdca, rizikovými faktormi pre zlyh</w:t>
      </w:r>
      <w:r w:rsidR="00DB042C">
        <w:rPr>
          <w:rFonts w:ascii="Times New Roman" w:hAnsi="Times New Roman"/>
          <w:color w:val="000000"/>
        </w:rPr>
        <w:t>ávanie</w:t>
      </w:r>
      <w:r w:rsidRPr="00EE40F4">
        <w:rPr>
          <w:rFonts w:ascii="Times New Roman" w:hAnsi="Times New Roman"/>
          <w:color w:val="000000"/>
        </w:rPr>
        <w:t xml:space="preserve"> srdca alebo zlyh</w:t>
      </w:r>
      <w:r w:rsidR="00DB042C">
        <w:rPr>
          <w:rFonts w:ascii="Times New Roman" w:hAnsi="Times New Roman"/>
          <w:color w:val="000000"/>
        </w:rPr>
        <w:t>ávaním</w:t>
      </w:r>
      <w:r w:rsidRPr="00EE40F4">
        <w:rPr>
          <w:rFonts w:ascii="Times New Roman" w:hAnsi="Times New Roman"/>
          <w:color w:val="000000"/>
        </w:rPr>
        <w:t xml:space="preserve"> obličiek v anamnéze je potrebné starostlivo sledovať a každého pacienta s </w:t>
      </w:r>
      <w:r w:rsidR="000A4371" w:rsidRPr="00EE40F4">
        <w:rPr>
          <w:rFonts w:ascii="Times New Roman" w:hAnsi="Times New Roman"/>
          <w:color w:val="000000"/>
        </w:rPr>
        <w:t xml:space="preserve">prejavmi </w:t>
      </w:r>
      <w:r w:rsidRPr="00EE40F4">
        <w:rPr>
          <w:rFonts w:ascii="Times New Roman" w:hAnsi="Times New Roman"/>
          <w:color w:val="000000"/>
        </w:rPr>
        <w:t xml:space="preserve">alebo </w:t>
      </w:r>
      <w:r w:rsidR="000A4371" w:rsidRPr="00EE40F4">
        <w:rPr>
          <w:rFonts w:ascii="Times New Roman" w:hAnsi="Times New Roman"/>
          <w:color w:val="000000"/>
        </w:rPr>
        <w:t>príznakmi</w:t>
      </w:r>
      <w:r w:rsidR="000A4371" w:rsidRPr="00EE40F4" w:rsidDel="000A4371">
        <w:rPr>
          <w:rFonts w:ascii="Times New Roman" w:hAnsi="Times New Roman"/>
          <w:color w:val="000000"/>
        </w:rPr>
        <w:t xml:space="preserve"> </w:t>
      </w:r>
      <w:r w:rsidRPr="00EE40F4">
        <w:rPr>
          <w:rFonts w:ascii="Times New Roman" w:hAnsi="Times New Roman"/>
          <w:color w:val="000000"/>
        </w:rPr>
        <w:t>poukazujúcimi na zlyh</w:t>
      </w:r>
      <w:r w:rsidR="00DB042C">
        <w:rPr>
          <w:rFonts w:ascii="Times New Roman" w:hAnsi="Times New Roman"/>
          <w:color w:val="000000"/>
        </w:rPr>
        <w:t>ávanie</w:t>
      </w:r>
      <w:r w:rsidRPr="00EE40F4">
        <w:rPr>
          <w:rFonts w:ascii="Times New Roman" w:hAnsi="Times New Roman"/>
          <w:color w:val="000000"/>
        </w:rPr>
        <w:t xml:space="preserve"> srdca alebo obličiek je potrebné vyšetriť a liečiť. </w:t>
      </w:r>
    </w:p>
    <w:p w14:paraId="6B32734B" w14:textId="77777777" w:rsidR="00653A62" w:rsidRPr="00EE40F4" w:rsidRDefault="00653A62" w:rsidP="00EF61CC">
      <w:pPr>
        <w:autoSpaceDE w:val="0"/>
        <w:autoSpaceDN w:val="0"/>
        <w:adjustRightInd w:val="0"/>
        <w:spacing w:after="0" w:line="240" w:lineRule="auto"/>
        <w:rPr>
          <w:rFonts w:ascii="Times New Roman" w:hAnsi="Times New Roman"/>
          <w:color w:val="000000"/>
        </w:rPr>
      </w:pPr>
    </w:p>
    <w:p w14:paraId="097DEBCD" w14:textId="77777777" w:rsidR="00653A62" w:rsidRPr="00EE40F4" w:rsidRDefault="00653A62" w:rsidP="00EF61CC">
      <w:pPr>
        <w:spacing w:after="0" w:line="240" w:lineRule="auto"/>
        <w:ind w:right="-20"/>
        <w:rPr>
          <w:rFonts w:ascii="Times New Roman" w:hAnsi="Times New Roman"/>
          <w:color w:val="000000"/>
        </w:rPr>
      </w:pPr>
      <w:r w:rsidRPr="00EE40F4">
        <w:rPr>
          <w:rFonts w:ascii="Times New Roman" w:hAnsi="Times New Roman"/>
          <w:color w:val="000000"/>
        </w:rPr>
        <w:t>U pacientov s hypereozinofil</w:t>
      </w:r>
      <w:r w:rsidR="00722CAF" w:rsidRPr="00EE40F4">
        <w:rPr>
          <w:rFonts w:ascii="Times New Roman" w:hAnsi="Times New Roman"/>
          <w:color w:val="000000"/>
        </w:rPr>
        <w:t>n</w:t>
      </w:r>
      <w:r w:rsidRPr="00EE40F4">
        <w:rPr>
          <w:rFonts w:ascii="Times New Roman" w:hAnsi="Times New Roman"/>
          <w:color w:val="000000"/>
        </w:rPr>
        <w:t>ým syndrómom (HES) a</w:t>
      </w:r>
      <w:r w:rsidR="009914A1" w:rsidRPr="00EE40F4">
        <w:rPr>
          <w:rFonts w:ascii="Times New Roman" w:hAnsi="Times New Roman"/>
          <w:color w:val="000000"/>
        </w:rPr>
        <w:t> </w:t>
      </w:r>
      <w:r w:rsidR="00FD3915" w:rsidRPr="00EE40F4">
        <w:rPr>
          <w:rFonts w:ascii="Times New Roman" w:hAnsi="Times New Roman"/>
        </w:rPr>
        <w:t xml:space="preserve">s okultnou infiltráciou myokardu bunkami HES sa pri začatí </w:t>
      </w:r>
      <w:r w:rsidRPr="00EE40F4">
        <w:rPr>
          <w:rFonts w:ascii="Times New Roman" w:hAnsi="Times New Roman"/>
          <w:color w:val="000000"/>
        </w:rPr>
        <w:t xml:space="preserve">liečby imatinibom spájali ojedinelé prípady kardiogénneho šoku/poruchy funkcie ľavej </w:t>
      </w:r>
      <w:r w:rsidRPr="00EE40F4">
        <w:rPr>
          <w:rFonts w:ascii="Times New Roman" w:hAnsi="Times New Roman"/>
          <w:color w:val="000000"/>
        </w:rPr>
        <w:lastRenderedPageBreak/>
        <w:t xml:space="preserve">komory.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 </w:t>
      </w:r>
    </w:p>
    <w:p w14:paraId="3ECBCC26" w14:textId="77777777" w:rsidR="00653A62" w:rsidRPr="00EE40F4" w:rsidRDefault="00653A62" w:rsidP="00EF61CC">
      <w:pPr>
        <w:spacing w:after="0" w:line="240" w:lineRule="auto"/>
        <w:ind w:right="-20"/>
        <w:rPr>
          <w:rFonts w:ascii="Times New Roman" w:hAnsi="Times New Roman"/>
          <w:color w:val="000000"/>
        </w:rPr>
      </w:pPr>
    </w:p>
    <w:p w14:paraId="2B639BE2"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Myelodysplastick</w:t>
      </w:r>
      <w:r w:rsidR="00722CAF" w:rsidRPr="00EE40F4">
        <w:rPr>
          <w:rFonts w:ascii="Times New Roman" w:hAnsi="Times New Roman"/>
          <w:color w:val="000000"/>
        </w:rPr>
        <w:t>é</w:t>
      </w:r>
      <w:r w:rsidRPr="00EE40F4">
        <w:rPr>
          <w:rFonts w:ascii="Times New Roman" w:hAnsi="Times New Roman"/>
          <w:color w:val="000000"/>
        </w:rPr>
        <w:t>/myeloproliferatívn</w:t>
      </w:r>
      <w:r w:rsidR="00722CAF" w:rsidRPr="00EE40F4">
        <w:rPr>
          <w:rFonts w:ascii="Times New Roman" w:hAnsi="Times New Roman"/>
          <w:color w:val="000000"/>
        </w:rPr>
        <w:t>e</w:t>
      </w:r>
      <w:r w:rsidRPr="00EE40F4">
        <w:rPr>
          <w:rFonts w:ascii="Times New Roman" w:hAnsi="Times New Roman"/>
          <w:color w:val="000000"/>
        </w:rPr>
        <w:t xml:space="preserve"> </w:t>
      </w:r>
      <w:r w:rsidR="00722CAF" w:rsidRPr="00EE40F4">
        <w:rPr>
          <w:rFonts w:ascii="Times New Roman" w:hAnsi="Times New Roman"/>
          <w:color w:val="000000"/>
        </w:rPr>
        <w:t>ochorenia</w:t>
      </w:r>
      <w:r w:rsidR="001F5876" w:rsidRPr="00EE40F4">
        <w:rPr>
          <w:rFonts w:ascii="Times New Roman" w:hAnsi="Times New Roman"/>
          <w:color w:val="000000"/>
        </w:rPr>
        <w:t xml:space="preserve"> </w:t>
      </w:r>
      <w:r w:rsidRPr="00EE40F4">
        <w:rPr>
          <w:rFonts w:ascii="Times New Roman" w:hAnsi="Times New Roman"/>
          <w:color w:val="000000"/>
        </w:rPr>
        <w:t>s preskupeniami génu PD</w:t>
      </w:r>
      <w:r w:rsidR="00C15EEC" w:rsidRPr="00EE40F4">
        <w:rPr>
          <w:rFonts w:ascii="Times New Roman" w:hAnsi="Times New Roman"/>
          <w:color w:val="000000"/>
        </w:rPr>
        <w:t>G</w:t>
      </w:r>
      <w:r w:rsidRPr="00EE40F4">
        <w:rPr>
          <w:rFonts w:ascii="Times New Roman" w:hAnsi="Times New Roman"/>
          <w:color w:val="000000"/>
        </w:rPr>
        <w:t xml:space="preserve">FR by sa </w:t>
      </w:r>
      <w:r w:rsidR="00C15EEC" w:rsidRPr="00EE40F4">
        <w:rPr>
          <w:rFonts w:ascii="Times New Roman" w:hAnsi="Times New Roman"/>
          <w:color w:val="000000"/>
        </w:rPr>
        <w:t xml:space="preserve">mali </w:t>
      </w:r>
      <w:r w:rsidRPr="00EE40F4">
        <w:rPr>
          <w:rFonts w:ascii="Times New Roman" w:hAnsi="Times New Roman"/>
          <w:color w:val="000000"/>
        </w:rPr>
        <w:t xml:space="preserve">spájať s vysokými hladinami eozinofilov. Pred podaním imatinibu sa má preto zvážiť vyhodnotenie stavu kardiológom, echokardiografické vyšetrenie a stanovenie sérového troponínu u pacientov s HES/CEL a u pacientov s MDS/MPD spojenými s vysokými hladinami eozinofilov. </w:t>
      </w:r>
      <w:r w:rsidRPr="00EE40F4">
        <w:rPr>
          <w:rFonts w:ascii="Times New Roman" w:hAnsi="Times New Roman"/>
        </w:rPr>
        <w:t>Ak je niektorý nález abnormálny, má sa na začiatku liečby uvážiť sledovanie kardiológom a profylaktické použitie systémových steroidov (1-2 mg/kg) počas jedného až dvoch týždňov súčasne s imatinibom.</w:t>
      </w:r>
    </w:p>
    <w:p w14:paraId="275FEAEB" w14:textId="77777777" w:rsidR="00872CEA" w:rsidRPr="00EE40F4" w:rsidRDefault="00872CEA" w:rsidP="00EF61CC">
      <w:pPr>
        <w:spacing w:after="0" w:line="240" w:lineRule="auto"/>
        <w:ind w:right="-20"/>
        <w:rPr>
          <w:rFonts w:ascii="Times New Roman" w:hAnsi="Times New Roman"/>
        </w:rPr>
      </w:pPr>
    </w:p>
    <w:p w14:paraId="25C40D98" w14:textId="77777777" w:rsidR="00872CEA" w:rsidRPr="00EE40F4" w:rsidRDefault="00872CEA" w:rsidP="00872CEA">
      <w:pPr>
        <w:spacing w:after="0" w:line="240" w:lineRule="auto"/>
        <w:ind w:right="-20"/>
        <w:rPr>
          <w:rFonts w:ascii="Times New Roman" w:hAnsi="Times New Roman"/>
          <w:color w:val="000000"/>
        </w:rPr>
      </w:pPr>
      <w:r w:rsidRPr="00EE40F4">
        <w:rPr>
          <w:rFonts w:ascii="Times New Roman" w:hAnsi="Times New Roman"/>
          <w:color w:val="000000"/>
          <w:u w:val="single"/>
        </w:rPr>
        <w:t xml:space="preserve">Gastrointestinálne krvácanie </w:t>
      </w:r>
      <w:r w:rsidRPr="00EE40F4">
        <w:rPr>
          <w:rFonts w:ascii="Times New Roman" w:hAnsi="Times New Roman"/>
          <w:color w:val="000000"/>
          <w:u w:val="single"/>
        </w:rPr>
        <w:br/>
      </w:r>
      <w:r w:rsidR="00923A3D" w:rsidRPr="00EE40F4">
        <w:rPr>
          <w:rFonts w:ascii="Times New Roman" w:hAnsi="Times New Roman"/>
        </w:rPr>
        <w:t>Po uvedení lieku na trh u pacientov s CML, ALL a inými ochoreniami (pozri časť 4.8) bola zaznamenaná gastrická antrálna vaskulárna ektázia (GAVE), zriedkavá príčina gastrointestinálneho krvácania. V prípade potreby sa má zvážiť ukončenie liečby imatinibom.</w:t>
      </w:r>
    </w:p>
    <w:p w14:paraId="6D4A39FC" w14:textId="77777777" w:rsidR="00653A62" w:rsidRPr="00EE40F4" w:rsidRDefault="00653A62" w:rsidP="00EF61CC">
      <w:pPr>
        <w:spacing w:after="0" w:line="240" w:lineRule="auto"/>
        <w:rPr>
          <w:rFonts w:ascii="Times New Roman" w:hAnsi="Times New Roman"/>
        </w:rPr>
      </w:pPr>
    </w:p>
    <w:p w14:paraId="539F7A7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Syndróm z rozpadu nádoru</w:t>
      </w:r>
    </w:p>
    <w:p w14:paraId="282A4C99"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Vzhľadom na možný výskyt syndrómu z rozpadu nádoru (TLS) sa pred začatím liečby imatinibom odporúča úprava klinicky významnej dehydratácie a liečba vysokých hladín kyseliny močovej (pozri časť 4.8)</w:t>
      </w:r>
      <w:r w:rsidRPr="00EE40F4">
        <w:rPr>
          <w:rFonts w:ascii="Times New Roman" w:hAnsi="Times New Roman"/>
        </w:rPr>
        <w:t>.</w:t>
      </w:r>
    </w:p>
    <w:p w14:paraId="79C95ED9" w14:textId="77777777" w:rsidR="007C5782" w:rsidRDefault="007C5782" w:rsidP="007C5782">
      <w:pPr>
        <w:spacing w:after="0" w:line="240" w:lineRule="auto"/>
        <w:rPr>
          <w:rFonts w:ascii="Times New Roman" w:hAnsi="Times New Roman"/>
          <w:u w:val="single"/>
        </w:rPr>
      </w:pPr>
    </w:p>
    <w:p w14:paraId="3D489FCC" w14:textId="77777777" w:rsidR="007C5782" w:rsidRPr="00EE40F4" w:rsidRDefault="007C5782" w:rsidP="007C5782">
      <w:pPr>
        <w:spacing w:after="0" w:line="240" w:lineRule="auto"/>
        <w:rPr>
          <w:rFonts w:ascii="Times New Roman" w:hAnsi="Times New Roman"/>
          <w:u w:val="single"/>
        </w:rPr>
      </w:pPr>
      <w:r w:rsidRPr="00EE40F4">
        <w:rPr>
          <w:rFonts w:ascii="Times New Roman" w:hAnsi="Times New Roman"/>
          <w:u w:val="single"/>
        </w:rPr>
        <w:t xml:space="preserve">Reaktivácia hepatitídy B </w:t>
      </w:r>
    </w:p>
    <w:p w14:paraId="26271D6B" w14:textId="77777777" w:rsidR="007C5782" w:rsidRPr="00EE40F4" w:rsidRDefault="007C5782" w:rsidP="007C5782">
      <w:pPr>
        <w:spacing w:after="0" w:line="240" w:lineRule="auto"/>
        <w:rPr>
          <w:rFonts w:ascii="Times New Roman" w:hAnsi="Times New Roman"/>
        </w:rPr>
      </w:pPr>
      <w:r w:rsidRPr="00EE40F4">
        <w:rPr>
          <w:rFonts w:ascii="Times New Roman" w:hAnsi="Times New Roman"/>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45A05036" w14:textId="77777777" w:rsidR="007C5782" w:rsidRPr="00EE40F4" w:rsidRDefault="007C5782" w:rsidP="007C5782">
      <w:pPr>
        <w:spacing w:after="0" w:line="240" w:lineRule="auto"/>
        <w:rPr>
          <w:rFonts w:ascii="Times New Roman" w:hAnsi="Times New Roman"/>
        </w:rPr>
      </w:pPr>
    </w:p>
    <w:p w14:paraId="32320641" w14:textId="77777777" w:rsidR="007C5782" w:rsidRPr="00EE40F4" w:rsidRDefault="007C5782" w:rsidP="007C5782">
      <w:pPr>
        <w:spacing w:after="0" w:line="240" w:lineRule="auto"/>
        <w:rPr>
          <w:rFonts w:ascii="Times New Roman" w:hAnsi="Times New Roman"/>
        </w:rPr>
      </w:pPr>
      <w:r w:rsidRPr="00EE40F4">
        <w:rPr>
          <w:rFonts w:ascii="Times New Roman" w:hAnsi="Times New Roman"/>
        </w:rPr>
        <w:t xml:space="preserve">Pacienti majú byť vyšetrení na HBV infekciu pred začatím liečby </w:t>
      </w:r>
      <w:r>
        <w:rPr>
          <w:rFonts w:ascii="Times New Roman" w:hAnsi="Times New Roman"/>
        </w:rPr>
        <w:t>i</w:t>
      </w:r>
      <w:r w:rsidRPr="00EE40F4">
        <w:rPr>
          <w:rFonts w:ascii="Times New Roman" w:hAnsi="Times New Roman"/>
        </w:rPr>
        <w:t xml:space="preserve">matinibom.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w:t>
      </w:r>
      <w:r>
        <w:rPr>
          <w:rFonts w:ascii="Times New Roman" w:hAnsi="Times New Roman"/>
        </w:rPr>
        <w:t>i</w:t>
      </w:r>
      <w:r w:rsidRPr="00EE40F4">
        <w:rPr>
          <w:rFonts w:ascii="Times New Roman" w:hAnsi="Times New Roman"/>
        </w:rPr>
        <w:t xml:space="preserve">matinibom, majú byť pozorne sledovaní na prejavy a symptómy aktívnej HBV infekcie počas celej liečby a niekoľko mesiacov po ukončení liečby (pozri časť 4.8). </w:t>
      </w:r>
    </w:p>
    <w:p w14:paraId="4426AEE6" w14:textId="77777777" w:rsidR="007705E9" w:rsidRDefault="007705E9" w:rsidP="007705E9">
      <w:pPr>
        <w:spacing w:after="0" w:line="240" w:lineRule="auto"/>
        <w:rPr>
          <w:rFonts w:ascii="Times New Roman" w:hAnsi="Times New Roman"/>
        </w:rPr>
      </w:pPr>
    </w:p>
    <w:p w14:paraId="1B108BBE"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Fototoxicita </w:t>
      </w:r>
    </w:p>
    <w:p w14:paraId="64CDB7DC"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V dôsledku rizika fototoxicity spojenej s liečbou imatinibom sa má vyhnúť alebo minimalizovať </w:t>
      </w:r>
    </w:p>
    <w:p w14:paraId="431369D5"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vystavenie slnečnému žiareniu. Pacienti majú byť poučení použiť opatrenia ako ochranný odev a </w:t>
      </w:r>
    </w:p>
    <w:p w14:paraId="5ACFF455" w14:textId="77777777" w:rsidR="007705E9" w:rsidRPr="003140DD" w:rsidRDefault="007705E9" w:rsidP="007705E9">
      <w:pPr>
        <w:spacing w:after="0" w:line="240" w:lineRule="auto"/>
        <w:rPr>
          <w:rFonts w:ascii="Times New Roman" w:hAnsi="Times New Roman"/>
        </w:rPr>
      </w:pPr>
      <w:r w:rsidRPr="003140DD">
        <w:rPr>
          <w:rFonts w:ascii="Times New Roman" w:hAnsi="Times New Roman"/>
        </w:rPr>
        <w:t>opaľovací krém s vysokým ochranným faktorom pred slnečným žiarením (SPF, sun protection factor).</w:t>
      </w:r>
    </w:p>
    <w:p w14:paraId="76DD468E" w14:textId="77777777" w:rsidR="007705E9" w:rsidRPr="003140DD" w:rsidRDefault="007705E9" w:rsidP="007705E9">
      <w:pPr>
        <w:spacing w:after="0" w:line="240" w:lineRule="auto"/>
        <w:rPr>
          <w:rFonts w:ascii="Times New Roman" w:hAnsi="Times New Roman"/>
        </w:rPr>
      </w:pPr>
    </w:p>
    <w:p w14:paraId="21E8A216" w14:textId="77777777" w:rsidR="007705E9" w:rsidRPr="002D0736" w:rsidRDefault="007705E9" w:rsidP="007705E9">
      <w:pPr>
        <w:spacing w:after="0" w:line="240" w:lineRule="auto"/>
        <w:rPr>
          <w:rFonts w:ascii="Times New Roman" w:hAnsi="Times New Roman"/>
          <w:u w:val="single"/>
        </w:rPr>
      </w:pPr>
      <w:r w:rsidRPr="002D0736">
        <w:rPr>
          <w:rFonts w:ascii="Times New Roman" w:hAnsi="Times New Roman"/>
          <w:u w:val="single"/>
        </w:rPr>
        <w:t xml:space="preserve">Trombotická mikroangiopatia </w:t>
      </w:r>
    </w:p>
    <w:p w14:paraId="749EDA11" w14:textId="77777777" w:rsidR="007705E9" w:rsidRPr="002D0736" w:rsidRDefault="007705E9" w:rsidP="007705E9">
      <w:pPr>
        <w:spacing w:after="0" w:line="240" w:lineRule="auto"/>
        <w:rPr>
          <w:rFonts w:ascii="Times New Roman" w:hAnsi="Times New Roman"/>
        </w:rPr>
      </w:pPr>
      <w:r w:rsidRPr="002D0736">
        <w:rPr>
          <w:rFonts w:ascii="Times New Roman" w:hAnsi="Times New Roman"/>
        </w:rPr>
        <w:t>Inhibítory BCR-ABL tyrozínkinázy (TKIs, tyrosine kinase inhibitors) boli asociované s trombotickou mikroangiopatiou (TMA, thrombotic microangiopathy) vrátane individuálnych hlásení pre</w:t>
      </w:r>
      <w:r>
        <w:rPr>
          <w:rFonts w:ascii="Times New Roman" w:hAnsi="Times New Roman"/>
        </w:rPr>
        <w:t xml:space="preserve"> </w:t>
      </w:r>
      <w:r w:rsidRPr="008A2150">
        <w:rPr>
          <w:rFonts w:ascii="Times New Roman" w:hAnsi="Times New Roman"/>
        </w:rPr>
        <w:t>Imatinib STADA</w:t>
      </w:r>
      <w:r w:rsidRPr="002D0736">
        <w:rPr>
          <w:rFonts w:ascii="Times New Roman" w:hAnsi="Times New Roman"/>
        </w:rPr>
        <w:t xml:space="preserve"> (pozri časť 4.8). Ak sa u pacienta užívajúceho </w:t>
      </w:r>
      <w:r w:rsidRPr="008A2150">
        <w:rPr>
          <w:rFonts w:ascii="Times New Roman" w:hAnsi="Times New Roman"/>
        </w:rPr>
        <w:t xml:space="preserve">Imatinib STADA </w:t>
      </w:r>
      <w:r w:rsidRPr="002D0736">
        <w:rPr>
          <w:rFonts w:ascii="Times New Roman" w:hAnsi="Times New Roman"/>
        </w:rPr>
        <w:t xml:space="preserve">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sidRPr="008A2150">
        <w:rPr>
          <w:rFonts w:ascii="Times New Roman" w:hAnsi="Times New Roman"/>
        </w:rPr>
        <w:t>Imatinib</w:t>
      </w:r>
      <w:r>
        <w:rPr>
          <w:rFonts w:ascii="Times New Roman" w:hAnsi="Times New Roman"/>
        </w:rPr>
        <w:t>om</w:t>
      </w:r>
      <w:r w:rsidRPr="008A2150">
        <w:rPr>
          <w:rFonts w:ascii="Times New Roman" w:hAnsi="Times New Roman"/>
        </w:rPr>
        <w:t xml:space="preserve"> STADA </w:t>
      </w:r>
      <w:r w:rsidRPr="002D0736">
        <w:rPr>
          <w:rFonts w:ascii="Times New Roman" w:hAnsi="Times New Roman"/>
        </w:rPr>
        <w:t xml:space="preserve">sa nemá obnoviť. </w:t>
      </w:r>
    </w:p>
    <w:p w14:paraId="0D20A13C" w14:textId="77777777" w:rsidR="00653A62" w:rsidRPr="00EE40F4" w:rsidRDefault="00653A62" w:rsidP="00EF61CC">
      <w:pPr>
        <w:spacing w:after="0" w:line="240" w:lineRule="auto"/>
        <w:rPr>
          <w:rFonts w:ascii="Times New Roman" w:hAnsi="Times New Roman"/>
        </w:rPr>
      </w:pPr>
    </w:p>
    <w:p w14:paraId="37D6335E" w14:textId="77777777" w:rsidR="00653A62" w:rsidRPr="00EE40F4" w:rsidRDefault="00722CAF"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Laboratórne vyšetrenia</w:t>
      </w:r>
    </w:p>
    <w:p w14:paraId="2F7D7C4F" w14:textId="77777777" w:rsidR="00653A62" w:rsidRPr="00EE40F4" w:rsidRDefault="00653A62" w:rsidP="00EF61CC">
      <w:pPr>
        <w:spacing w:after="0" w:line="240" w:lineRule="auto"/>
        <w:ind w:right="119"/>
        <w:rPr>
          <w:rFonts w:ascii="Times New Roman" w:hAnsi="Times New Roman"/>
        </w:rPr>
      </w:pPr>
      <w:r w:rsidRPr="00EE40F4">
        <w:rPr>
          <w:rFonts w:ascii="Times New Roman" w:hAnsi="Times New Roman"/>
          <w:color w:val="000000"/>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r w:rsidRPr="00EE40F4">
        <w:rPr>
          <w:rFonts w:ascii="Times New Roman" w:hAnsi="Times New Roman"/>
        </w:rPr>
        <w:t>.</w:t>
      </w:r>
    </w:p>
    <w:p w14:paraId="7C16B066" w14:textId="77777777" w:rsidR="00653A62" w:rsidRPr="00EE40F4" w:rsidRDefault="00653A62" w:rsidP="00EF61CC">
      <w:pPr>
        <w:spacing w:after="0" w:line="240" w:lineRule="auto"/>
        <w:rPr>
          <w:rFonts w:ascii="Times New Roman" w:hAnsi="Times New Roman"/>
        </w:rPr>
      </w:pPr>
    </w:p>
    <w:p w14:paraId="0D7A20C2"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lastRenderedPageBreak/>
        <w:t xml:space="preserve">U pacientov, ktorí dostávajú </w:t>
      </w:r>
      <w:r w:rsidRPr="00EE40F4">
        <w:rPr>
          <w:rFonts w:ascii="Times New Roman" w:hAnsi="Times New Roman"/>
          <w:spacing w:val="-2"/>
        </w:rPr>
        <w:t>imatinib</w:t>
      </w:r>
      <w:r w:rsidRPr="00EE40F4">
        <w:rPr>
          <w:rFonts w:ascii="Times New Roman" w:hAnsi="Times New Roman"/>
        </w:rPr>
        <w:t>, sa majú pravidelne vykonávať testy funkcie pečene (aminotransferázy, bilirubín, alkalická fosfatáza)</w:t>
      </w:r>
      <w:r w:rsidRPr="00EE40F4">
        <w:rPr>
          <w:rFonts w:ascii="Times New Roman" w:hAnsi="Times New Roman"/>
          <w:spacing w:val="-2"/>
        </w:rPr>
        <w:t>.</w:t>
      </w:r>
    </w:p>
    <w:p w14:paraId="214774F1" w14:textId="77777777" w:rsidR="00653A62" w:rsidRPr="00EE40F4" w:rsidRDefault="00653A62" w:rsidP="00EF61CC">
      <w:pPr>
        <w:spacing w:after="0" w:line="240" w:lineRule="auto"/>
        <w:rPr>
          <w:rFonts w:ascii="Times New Roman" w:hAnsi="Times New Roman"/>
        </w:rPr>
      </w:pPr>
    </w:p>
    <w:p w14:paraId="4D5DF972" w14:textId="77777777" w:rsidR="00192CD6" w:rsidRPr="00EE40F4" w:rsidRDefault="00653A62" w:rsidP="00EF61CC">
      <w:pPr>
        <w:tabs>
          <w:tab w:val="left" w:pos="9214"/>
        </w:tabs>
        <w:spacing w:after="0" w:line="240" w:lineRule="auto"/>
        <w:ind w:right="-24"/>
        <w:rPr>
          <w:rFonts w:ascii="Times New Roman" w:hAnsi="Times New Roman"/>
        </w:rPr>
      </w:pPr>
      <w:r w:rsidRPr="00EE40F4">
        <w:rPr>
          <w:rFonts w:ascii="Times New Roman" w:hAnsi="Times New Roman"/>
        </w:rPr>
        <w:t xml:space="preserve">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w:t>
      </w:r>
      <w:r w:rsidR="001D0DE7" w:rsidRPr="00EE40F4">
        <w:rPr>
          <w:rFonts w:ascii="Times New Roman" w:hAnsi="Times New Roman"/>
        </w:rPr>
        <w:t xml:space="preserve">ťažkou poruchou </w:t>
      </w:r>
      <w:r w:rsidRPr="00EE40F4">
        <w:rPr>
          <w:rFonts w:ascii="Times New Roman" w:hAnsi="Times New Roman"/>
        </w:rPr>
        <w:t>funkcie obličiek je potrebná opatrnosť. Dávku možno znížiť, ak nie je tolerovaná (pozri časti 4.</w:t>
      </w:r>
      <w:r w:rsidR="00872CEA" w:rsidRPr="00EE40F4">
        <w:rPr>
          <w:rFonts w:ascii="Times New Roman" w:hAnsi="Times New Roman"/>
        </w:rPr>
        <w:t xml:space="preserve">2 </w:t>
      </w:r>
      <w:r w:rsidRPr="00EE40F4">
        <w:rPr>
          <w:rFonts w:ascii="Times New Roman" w:hAnsi="Times New Roman"/>
        </w:rPr>
        <w:t>a 5.2)</w:t>
      </w:r>
      <w:r w:rsidR="00192CD6" w:rsidRPr="00EE40F4">
        <w:rPr>
          <w:rFonts w:ascii="Times New Roman" w:hAnsi="Times New Roman"/>
        </w:rPr>
        <w:t>.</w:t>
      </w:r>
    </w:p>
    <w:p w14:paraId="29377796" w14:textId="77777777" w:rsidR="00192CD6" w:rsidRPr="00EE40F4" w:rsidRDefault="00192CD6" w:rsidP="00EF61CC">
      <w:pPr>
        <w:tabs>
          <w:tab w:val="left" w:pos="9214"/>
        </w:tabs>
        <w:spacing w:after="0" w:line="240" w:lineRule="auto"/>
        <w:ind w:right="-24"/>
        <w:rPr>
          <w:rFonts w:ascii="Times New Roman" w:hAnsi="Times New Roman"/>
        </w:rPr>
      </w:pPr>
    </w:p>
    <w:p w14:paraId="4FF381EB" w14:textId="77777777" w:rsidR="00E3702C" w:rsidRPr="00EE40F4" w:rsidRDefault="00E3702C" w:rsidP="00E3702C">
      <w:pPr>
        <w:autoSpaceDE w:val="0"/>
        <w:autoSpaceDN w:val="0"/>
        <w:adjustRightInd w:val="0"/>
        <w:spacing w:after="0" w:line="240" w:lineRule="auto"/>
        <w:rPr>
          <w:rFonts w:ascii="Times New Roman" w:hAnsi="Times New Roman"/>
          <w:lang w:eastAsia="sk-SK"/>
        </w:rPr>
      </w:pPr>
      <w:r w:rsidRPr="00EE40F4">
        <w:rPr>
          <w:rFonts w:ascii="Times New Roman" w:hAnsi="Times New Roman"/>
          <w:lang w:eastAsia="sk-SK"/>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w:t>
      </w:r>
    </w:p>
    <w:p w14:paraId="4BCBF8B3" w14:textId="77777777" w:rsidR="008A2150" w:rsidRPr="00EE40F4" w:rsidRDefault="00E3702C"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lang w:eastAsia="sk-SK"/>
        </w:rPr>
        <w:t>v súlade so šta</w:t>
      </w:r>
      <w:r w:rsidR="00684EEE">
        <w:rPr>
          <w:rFonts w:ascii="Times New Roman" w:hAnsi="Times New Roman"/>
          <w:lang w:eastAsia="sk-SK"/>
        </w:rPr>
        <w:t>ndardnými</w:t>
      </w:r>
      <w:r w:rsidRPr="00EE40F4">
        <w:rPr>
          <w:rFonts w:ascii="Times New Roman" w:hAnsi="Times New Roman"/>
          <w:lang w:eastAsia="sk-SK"/>
        </w:rPr>
        <w:t xml:space="preserve"> klinickými postupmi.</w:t>
      </w:r>
    </w:p>
    <w:p w14:paraId="6B10CD2E" w14:textId="77777777" w:rsidR="00CC2E52" w:rsidRDefault="00CC2E52" w:rsidP="00EF61CC">
      <w:pPr>
        <w:autoSpaceDE w:val="0"/>
        <w:autoSpaceDN w:val="0"/>
        <w:adjustRightInd w:val="0"/>
        <w:spacing w:after="0" w:line="240" w:lineRule="auto"/>
        <w:rPr>
          <w:rFonts w:ascii="Times New Roman" w:hAnsi="Times New Roman"/>
          <w:color w:val="000000"/>
          <w:u w:val="single"/>
        </w:rPr>
      </w:pPr>
    </w:p>
    <w:p w14:paraId="7E9C5BF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Pediatrická populácia</w:t>
      </w:r>
    </w:p>
    <w:p w14:paraId="4F80EF1E" w14:textId="43F2845B" w:rsidR="007705E9" w:rsidRDefault="00653A62" w:rsidP="007705E9">
      <w:pPr>
        <w:spacing w:after="0" w:line="240" w:lineRule="auto"/>
        <w:ind w:right="-20"/>
        <w:rPr>
          <w:rFonts w:ascii="Times New Roman" w:hAnsi="Times New Roman"/>
        </w:rPr>
      </w:pPr>
      <w:r w:rsidRPr="00EE40F4">
        <w:rPr>
          <w:rFonts w:ascii="Times New Roman" w:hAnsi="Times New Roman"/>
          <w:color w:val="000000"/>
        </w:rPr>
        <w:t xml:space="preserve">Zaznamenali sa hlásenia o prípadoch spomalenia rastu u detí a prepubertálnych detí, ktoré dostávali imatinib. </w:t>
      </w:r>
      <w:r w:rsidR="007705E9" w:rsidRPr="007705E9">
        <w:rPr>
          <w:rFonts w:ascii="Times New Roman" w:hAnsi="Times New Roman"/>
          <w:color w:val="000000"/>
        </w:rPr>
        <w:t xml:space="preserve"> </w:t>
      </w:r>
      <w:r w:rsidR="007705E9" w:rsidRPr="00136B19">
        <w:rPr>
          <w:rFonts w:ascii="Times New Roman" w:hAnsi="Times New Roman"/>
          <w:color w:val="000000"/>
        </w:rPr>
        <w:t xml:space="preserve">V pozorovacej štúdii v pediatrickej populácii s CML sa po 12 a 24 mesiacoch liečby zaznamenal nezávisle na stave dospievania alebo pohlavia v dvoch menších podskupinách štatisticky významný pokles (avšak s nejasným klinickým významom) v skóre štandardnej odchýlky pre priemernú výšku. Počas liečby imatinibom sa odporúča </w:t>
      </w:r>
      <w:r w:rsidR="007705E9" w:rsidRPr="008A2150">
        <w:rPr>
          <w:rFonts w:ascii="Times New Roman" w:hAnsi="Times New Roman"/>
          <w:color w:val="000000"/>
        </w:rPr>
        <w:t>dôsledné monitorovanie rastu u detí (pozri časť 4.8)</w:t>
      </w:r>
      <w:r w:rsidR="007705E9" w:rsidRPr="008A2150">
        <w:rPr>
          <w:rFonts w:ascii="Times New Roman" w:hAnsi="Times New Roman"/>
        </w:rPr>
        <w:t>.</w:t>
      </w:r>
    </w:p>
    <w:p w14:paraId="20622A64" w14:textId="77777777" w:rsidR="007705E9" w:rsidRDefault="007705E9" w:rsidP="007705E9">
      <w:pPr>
        <w:spacing w:after="0" w:line="240" w:lineRule="auto"/>
        <w:ind w:right="-20"/>
        <w:rPr>
          <w:rFonts w:ascii="Times New Roman" w:hAnsi="Times New Roman"/>
        </w:rPr>
      </w:pPr>
    </w:p>
    <w:p w14:paraId="710105A8" w14:textId="77777777" w:rsidR="007705E9" w:rsidRDefault="007705E9" w:rsidP="007705E9">
      <w:pPr>
        <w:spacing w:after="0" w:line="240" w:lineRule="auto"/>
        <w:ind w:right="-20"/>
        <w:rPr>
          <w:rFonts w:ascii="Times New Roman" w:hAnsi="Times New Roman"/>
          <w:u w:val="single"/>
        </w:rPr>
      </w:pPr>
      <w:r>
        <w:rPr>
          <w:rFonts w:ascii="Times New Roman" w:hAnsi="Times New Roman"/>
          <w:u w:val="single"/>
        </w:rPr>
        <w:t>Pomocné látky</w:t>
      </w:r>
    </w:p>
    <w:p w14:paraId="57AD1AB7" w14:textId="49CC7E29" w:rsidR="008A2150" w:rsidRPr="00EE40F4" w:rsidRDefault="007705E9" w:rsidP="00201BA9">
      <w:pPr>
        <w:spacing w:after="0" w:line="240" w:lineRule="auto"/>
        <w:ind w:right="-20"/>
        <w:rPr>
          <w:rFonts w:ascii="Times New Roman" w:hAnsi="Times New Roman"/>
        </w:rPr>
      </w:pPr>
      <w:r w:rsidRPr="00136B19">
        <w:rPr>
          <w:rFonts w:ascii="Times New Roman" w:hAnsi="Times New Roman"/>
        </w:rPr>
        <w:t xml:space="preserve">Tento liek obsahuje menej ako 1 mmol sodíka (23 mg) </w:t>
      </w:r>
      <w:r>
        <w:rPr>
          <w:rFonts w:ascii="Times New Roman" w:hAnsi="Times New Roman"/>
        </w:rPr>
        <w:t>v kapsule,</w:t>
      </w:r>
      <w:r w:rsidRPr="00136B19">
        <w:rPr>
          <w:rFonts w:ascii="Times New Roman" w:hAnsi="Times New Roman"/>
        </w:rPr>
        <w:t xml:space="preserve"> t.j. v podstate zanedbateľné množstvo sodíka.</w:t>
      </w:r>
    </w:p>
    <w:p w14:paraId="26E6CA3B" w14:textId="77777777" w:rsidR="00CC2E52" w:rsidRDefault="00CC2E52" w:rsidP="00EF61CC">
      <w:pPr>
        <w:tabs>
          <w:tab w:val="left" w:pos="680"/>
        </w:tabs>
        <w:spacing w:after="0" w:line="240" w:lineRule="auto"/>
        <w:ind w:right="-20"/>
        <w:rPr>
          <w:rFonts w:ascii="Times New Roman" w:hAnsi="Times New Roman"/>
          <w:b/>
        </w:rPr>
      </w:pPr>
    </w:p>
    <w:p w14:paraId="7EE8F48C"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4.5</w:t>
      </w:r>
      <w:r w:rsidRPr="00EE40F4">
        <w:rPr>
          <w:rFonts w:ascii="Times New Roman" w:hAnsi="Times New Roman"/>
          <w:b/>
        </w:rPr>
        <w:tab/>
      </w:r>
      <w:r w:rsidRPr="00EE40F4">
        <w:rPr>
          <w:rFonts w:ascii="Times New Roman" w:hAnsi="Times New Roman"/>
          <w:b/>
          <w:bCs/>
        </w:rPr>
        <w:t>Liekové a iné interakcie</w:t>
      </w:r>
    </w:p>
    <w:p w14:paraId="49FAAB20" w14:textId="77777777" w:rsidR="00653A62" w:rsidRPr="00EE40F4" w:rsidRDefault="00653A62" w:rsidP="00EF61CC">
      <w:pPr>
        <w:spacing w:after="0" w:line="240" w:lineRule="auto"/>
        <w:rPr>
          <w:rFonts w:ascii="Times New Roman" w:hAnsi="Times New Roman"/>
        </w:rPr>
      </w:pPr>
    </w:p>
    <w:p w14:paraId="3083C5AA" w14:textId="77777777" w:rsidR="004F3CBE" w:rsidRPr="00EE40F4" w:rsidRDefault="004F3CBE" w:rsidP="004F3CBE">
      <w:pPr>
        <w:pStyle w:val="Default"/>
        <w:rPr>
          <w:sz w:val="22"/>
          <w:szCs w:val="22"/>
          <w:u w:val="single"/>
          <w:lang w:val="sk-SK"/>
        </w:rPr>
      </w:pPr>
      <w:r w:rsidRPr="00EE40F4">
        <w:rPr>
          <w:sz w:val="22"/>
          <w:szCs w:val="22"/>
          <w:u w:val="single"/>
          <w:lang w:val="sk-SK"/>
        </w:rPr>
        <w:t xml:space="preserve">Liečivá, ktoré môžu </w:t>
      </w:r>
      <w:r w:rsidRPr="00EE40F4">
        <w:rPr>
          <w:b/>
          <w:bCs/>
          <w:sz w:val="22"/>
          <w:szCs w:val="22"/>
          <w:u w:val="single"/>
          <w:lang w:val="sk-SK"/>
        </w:rPr>
        <w:t xml:space="preserve">zvýšiť </w:t>
      </w:r>
      <w:r w:rsidRPr="00EE40F4">
        <w:rPr>
          <w:sz w:val="22"/>
          <w:szCs w:val="22"/>
          <w:u w:val="single"/>
          <w:lang w:val="sk-SK"/>
        </w:rPr>
        <w:t>plazmatické koncentrácie imatinibu:</w:t>
      </w:r>
    </w:p>
    <w:p w14:paraId="4A42D8D5" w14:textId="77777777" w:rsidR="00653A62" w:rsidRPr="00EE40F4" w:rsidRDefault="00622CDB" w:rsidP="004F3CBE">
      <w:pPr>
        <w:spacing w:after="0" w:line="240" w:lineRule="auto"/>
        <w:rPr>
          <w:rFonts w:ascii="Times New Roman" w:hAnsi="Times New Roman"/>
        </w:rPr>
      </w:pPr>
      <w:r>
        <w:rPr>
          <w:rFonts w:ascii="Times New Roman" w:hAnsi="Times New Roman"/>
        </w:rPr>
        <w:t>Liečivá</w:t>
      </w:r>
      <w:r w:rsidR="004F3CBE" w:rsidRPr="00EE40F4">
        <w:rPr>
          <w:rFonts w:ascii="Times New Roman" w:hAnsi="Times New Roman"/>
        </w:rPr>
        <w:t>, ktoré inhibujú aktivitu izoenzýmu CYP3A4 cytochrómu P450 (napr. inhibítory proteáz ako indinavir, lopinavir/ritonavir, ritonavir, sachinavir,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004F3CBE" w:rsidRPr="00EE40F4">
        <w:rPr>
          <w:rFonts w:ascii="Times New Roman" w:hAnsi="Times New Roman"/>
          <w:vertAlign w:val="subscript"/>
        </w:rPr>
        <w:t>max</w:t>
      </w:r>
      <w:r w:rsidR="004F3CBE" w:rsidRPr="00EE40F4">
        <w:rPr>
          <w:rFonts w:ascii="Times New Roman" w:hAnsi="Times New Roman"/>
        </w:rPr>
        <w:t xml:space="preserve"> imatinibu vzrástla o 26% a AUC o 40%) u zdravých osôb, keď sa imatinib podal súčasne s jednorazovou dávkou ketokonazolu (inhibítor CYP3A4). Opatrnosť je potrebná pri podávaní </w:t>
      </w:r>
      <w:r w:rsidR="00741D09" w:rsidRPr="00EE40F4">
        <w:rPr>
          <w:rFonts w:ascii="Times New Roman" w:hAnsi="Times New Roman"/>
        </w:rPr>
        <w:t xml:space="preserve">imatinibu </w:t>
      </w:r>
      <w:r w:rsidR="004F3CBE" w:rsidRPr="00EE40F4">
        <w:rPr>
          <w:rFonts w:ascii="Times New Roman" w:hAnsi="Times New Roman"/>
        </w:rPr>
        <w:t xml:space="preserve">s inhibítormi </w:t>
      </w:r>
      <w:r w:rsidR="00356A3B">
        <w:rPr>
          <w:rFonts w:ascii="Times New Roman" w:hAnsi="Times New Roman"/>
        </w:rPr>
        <w:t xml:space="preserve">rodiny </w:t>
      </w:r>
      <w:r w:rsidR="004F3CBE" w:rsidRPr="00EE40F4">
        <w:rPr>
          <w:rFonts w:ascii="Times New Roman" w:hAnsi="Times New Roman"/>
        </w:rPr>
        <w:t>CYP3A4.</w:t>
      </w:r>
    </w:p>
    <w:p w14:paraId="01854790" w14:textId="77777777" w:rsidR="004F3CBE" w:rsidRPr="00EE40F4" w:rsidRDefault="004F3CBE" w:rsidP="004F3CBE">
      <w:pPr>
        <w:spacing w:after="0" w:line="240" w:lineRule="auto"/>
        <w:rPr>
          <w:rFonts w:ascii="Times New Roman" w:hAnsi="Times New Roman"/>
        </w:rPr>
      </w:pPr>
    </w:p>
    <w:p w14:paraId="71170D2A"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Liečivá, ktoré môžu </w:t>
      </w:r>
      <w:r w:rsidRPr="00EE40F4">
        <w:rPr>
          <w:rFonts w:ascii="Times New Roman" w:hAnsi="Times New Roman"/>
          <w:b/>
          <w:bCs/>
          <w:color w:val="000000"/>
          <w:u w:val="single"/>
        </w:rPr>
        <w:t xml:space="preserve">znížiť </w:t>
      </w:r>
      <w:r w:rsidRPr="00EE40F4">
        <w:rPr>
          <w:rFonts w:ascii="Times New Roman" w:hAnsi="Times New Roman"/>
          <w:color w:val="000000"/>
          <w:u w:val="single"/>
        </w:rPr>
        <w:t>plazmatické koncentrácie imatinibu:</w:t>
      </w:r>
    </w:p>
    <w:p w14:paraId="1C610AC2" w14:textId="77777777" w:rsidR="00653A62" w:rsidRPr="00EE40F4" w:rsidRDefault="00622CDB" w:rsidP="00EF61CC">
      <w:pPr>
        <w:spacing w:after="0" w:line="240" w:lineRule="auto"/>
        <w:rPr>
          <w:rFonts w:ascii="Times New Roman" w:hAnsi="Times New Roman"/>
          <w:position w:val="-3"/>
        </w:rPr>
      </w:pPr>
      <w:r>
        <w:rPr>
          <w:rFonts w:ascii="Times New Roman" w:hAnsi="Times New Roman"/>
          <w:color w:val="000000"/>
        </w:rPr>
        <w:t>Liečivá</w:t>
      </w:r>
      <w:r w:rsidR="00653A62" w:rsidRPr="00EE40F4">
        <w:rPr>
          <w:rFonts w:ascii="Times New Roman" w:hAnsi="Times New Roman"/>
          <w:color w:val="000000"/>
        </w:rPr>
        <w:t>, ktoré indukujú aktivitu CYP3A4 (napr. dexametazón, fenytoín, karbamazepín, rifampicín, fenobarbital, fosfenytoín, primid</w:t>
      </w:r>
      <w:r w:rsidR="008E50C0" w:rsidRPr="00EE40F4">
        <w:rPr>
          <w:rFonts w:ascii="Times New Roman" w:hAnsi="Times New Roman"/>
          <w:color w:val="000000"/>
        </w:rPr>
        <w:t>ó</w:t>
      </w:r>
      <w:r w:rsidR="00653A62" w:rsidRPr="00EE40F4">
        <w:rPr>
          <w:rFonts w:ascii="Times New Roman" w:hAnsi="Times New Roman"/>
          <w:color w:val="000000"/>
        </w:rPr>
        <w:t xml:space="preserve">n alebo </w:t>
      </w:r>
      <w:r w:rsidR="00653A62" w:rsidRPr="00EE40F4">
        <w:rPr>
          <w:rFonts w:ascii="Times New Roman" w:hAnsi="Times New Roman"/>
          <w:i/>
          <w:iCs/>
          <w:color w:val="000000"/>
        </w:rPr>
        <w:t xml:space="preserve">Hypericum perforatum </w:t>
      </w:r>
      <w:r w:rsidR="00653A62" w:rsidRPr="00EE40F4">
        <w:rPr>
          <w:rFonts w:ascii="Times New Roman" w:hAnsi="Times New Roman"/>
          <w:color w:val="000000"/>
        </w:rPr>
        <w:t>– ľubovník bodkovaný), môžu významne znížiť expozíciu imatinibu</w:t>
      </w:r>
      <w:r w:rsidR="00262404" w:rsidRPr="00EE40F4">
        <w:rPr>
          <w:rFonts w:ascii="Times New Roman" w:hAnsi="Times New Roman"/>
          <w:color w:val="000000"/>
        </w:rPr>
        <w:t>,</w:t>
      </w:r>
      <w:r w:rsidR="00653A62" w:rsidRPr="00EE40F4">
        <w:rPr>
          <w:rFonts w:ascii="Times New Roman" w:hAnsi="Times New Roman"/>
          <w:color w:val="000000"/>
        </w:rPr>
        <w:t xml:space="preserve"> a tým prípadne zvýšiť riziko zlyhania liečby. Predchádzajúca liečba opakovaným podávaním 600 mg rifampicínu, po ktorej nasledovala jednorazová dávka 400 mg i</w:t>
      </w:r>
      <w:r w:rsidR="00653A62" w:rsidRPr="00EE40F4">
        <w:rPr>
          <w:rFonts w:ascii="Times New Roman" w:hAnsi="Times New Roman"/>
          <w:spacing w:val="-1"/>
        </w:rPr>
        <w:t>matinibu</w:t>
      </w:r>
      <w:r w:rsidR="00653A62" w:rsidRPr="00EE40F4">
        <w:rPr>
          <w:rFonts w:ascii="Times New Roman" w:hAnsi="Times New Roman"/>
          <w:color w:val="000000"/>
        </w:rPr>
        <w:t xml:space="preserve">, spôsobila pokles </w:t>
      </w:r>
      <w:r w:rsidR="00262404" w:rsidRPr="00EE40F4">
        <w:rPr>
          <w:rFonts w:ascii="Times New Roman" w:hAnsi="Times New Roman"/>
          <w:color w:val="000000"/>
        </w:rPr>
        <w:t>C</w:t>
      </w:r>
      <w:r w:rsidR="00262404" w:rsidRPr="00EE40F4">
        <w:rPr>
          <w:rFonts w:ascii="Times New Roman" w:hAnsi="Times New Roman"/>
          <w:color w:val="000000"/>
          <w:vertAlign w:val="subscript"/>
        </w:rPr>
        <w:t>max</w:t>
      </w:r>
      <w:r w:rsidR="00653A62" w:rsidRPr="00EE40F4">
        <w:rPr>
          <w:rFonts w:ascii="Times New Roman" w:hAnsi="Times New Roman"/>
          <w:color w:val="000000"/>
        </w:rPr>
        <w:t xml:space="preserve"> o najmenej 54</w:t>
      </w:r>
      <w:r w:rsidR="009C466E" w:rsidRPr="00EE40F4">
        <w:rPr>
          <w:rFonts w:ascii="Times New Roman" w:hAnsi="Times New Roman"/>
          <w:color w:val="000000"/>
        </w:rPr>
        <w:t> </w:t>
      </w:r>
      <w:r w:rsidR="00653A62" w:rsidRPr="00EE40F4">
        <w:rPr>
          <w:rFonts w:ascii="Times New Roman" w:hAnsi="Times New Roman"/>
          <w:color w:val="000000"/>
        </w:rPr>
        <w:t>% a AUC(</w:t>
      </w:r>
      <w:r w:rsidR="00653A62" w:rsidRPr="00EE40F4">
        <w:rPr>
          <w:rFonts w:ascii="Times New Roman" w:hAnsi="Times New Roman"/>
          <w:position w:val="-3"/>
          <w:vertAlign w:val="subscript"/>
        </w:rPr>
        <w:t>0</w:t>
      </w:r>
      <w:r w:rsidR="00653A62" w:rsidRPr="00EE40F4">
        <w:rPr>
          <w:rFonts w:ascii="Times New Roman" w:hAnsi="Times New Roman"/>
          <w:spacing w:val="-1"/>
          <w:position w:val="-3"/>
          <w:vertAlign w:val="subscript"/>
        </w:rPr>
        <w:t>-∞</w:t>
      </w:r>
      <w:r w:rsidR="00653A62" w:rsidRPr="00EE40F4">
        <w:rPr>
          <w:rFonts w:ascii="Times New Roman" w:hAnsi="Times New Roman"/>
          <w:color w:val="000000"/>
        </w:rPr>
        <w:t>) o najmenej 74</w:t>
      </w:r>
      <w:r w:rsidR="009C466E" w:rsidRPr="00EE40F4">
        <w:rPr>
          <w:rFonts w:ascii="Times New Roman" w:hAnsi="Times New Roman"/>
          <w:color w:val="000000"/>
        </w:rPr>
        <w:t> </w:t>
      </w:r>
      <w:r w:rsidR="00653A62" w:rsidRPr="00EE40F4">
        <w:rPr>
          <w:rFonts w:ascii="Times New Roman" w:hAnsi="Times New Roman"/>
          <w:color w:val="000000"/>
        </w:rPr>
        <w:t xml:space="preserve">% oproti zodpovedajúcim hodnotám bez liečby rifampicínom. Podobné výsledky sa pozorovali u pacientov s malígnymi gliómami liečených </w:t>
      </w:r>
      <w:r w:rsidR="00262404" w:rsidRPr="00EE40F4">
        <w:rPr>
          <w:rFonts w:ascii="Times New Roman" w:hAnsi="Times New Roman"/>
          <w:color w:val="000000"/>
        </w:rPr>
        <w:t xml:space="preserve">imatinibom </w:t>
      </w:r>
      <w:r w:rsidR="00653A62" w:rsidRPr="00EE40F4">
        <w:rPr>
          <w:rFonts w:ascii="Times New Roman" w:hAnsi="Times New Roman"/>
          <w:color w:val="000000"/>
        </w:rPr>
        <w:t>počas užívania antiepileptík indukujúcich enzýmy (EIAED), napr. karbamazepínu, oxkarbazepínu a fenytoínu. Hodnota AUC imatinibu v plazme sa znížila o</w:t>
      </w:r>
      <w:r w:rsidR="009C466E" w:rsidRPr="00EE40F4">
        <w:rPr>
          <w:rFonts w:ascii="Times New Roman" w:hAnsi="Times New Roman"/>
          <w:color w:val="000000"/>
        </w:rPr>
        <w:t> </w:t>
      </w:r>
      <w:r w:rsidR="00653A62" w:rsidRPr="00EE40F4">
        <w:rPr>
          <w:rFonts w:ascii="Times New Roman" w:hAnsi="Times New Roman"/>
          <w:color w:val="000000"/>
        </w:rPr>
        <w:t>73</w:t>
      </w:r>
      <w:r w:rsidR="009C466E" w:rsidRPr="00EE40F4">
        <w:rPr>
          <w:rFonts w:ascii="Times New Roman" w:hAnsi="Times New Roman"/>
          <w:color w:val="000000"/>
        </w:rPr>
        <w:t> </w:t>
      </w:r>
      <w:r w:rsidR="00653A62" w:rsidRPr="00EE40F4">
        <w:rPr>
          <w:rFonts w:ascii="Times New Roman" w:hAnsi="Times New Roman"/>
          <w:color w:val="000000"/>
        </w:rPr>
        <w:t xml:space="preserve">% </w:t>
      </w:r>
      <w:r w:rsidR="00653A62" w:rsidRPr="00EE40F4">
        <w:rPr>
          <w:rFonts w:ascii="Times New Roman" w:hAnsi="Times New Roman"/>
        </w:rPr>
        <w:t>v porovnaní s pacientmi, ktorí neužívali EIAED. Je potrebné vyhnúť sa súčasnému podávaniu</w:t>
      </w:r>
      <w:r>
        <w:rPr>
          <w:rFonts w:ascii="Times New Roman" w:hAnsi="Times New Roman"/>
        </w:rPr>
        <w:t xml:space="preserve"> rifampicínu alebo iných</w:t>
      </w:r>
      <w:r w:rsidR="00653A62" w:rsidRPr="00EE40F4">
        <w:rPr>
          <w:rFonts w:ascii="Times New Roman" w:hAnsi="Times New Roman"/>
        </w:rPr>
        <w:t xml:space="preserve"> silných induktorov CYP3A4 a</w:t>
      </w:r>
      <w:r w:rsidR="004F3CBE" w:rsidRPr="00EE40F4">
        <w:rPr>
          <w:rFonts w:ascii="Times New Roman" w:hAnsi="Times New Roman"/>
        </w:rPr>
        <w:t> </w:t>
      </w:r>
      <w:r w:rsidR="00653A62" w:rsidRPr="00EE40F4">
        <w:rPr>
          <w:rFonts w:ascii="Times New Roman" w:hAnsi="Times New Roman"/>
        </w:rPr>
        <w:t>imatinibu</w:t>
      </w:r>
      <w:r w:rsidR="004F3CBE" w:rsidRPr="00EE40F4">
        <w:rPr>
          <w:rFonts w:ascii="Times New Roman" w:hAnsi="Times New Roman"/>
          <w:position w:val="-3"/>
        </w:rPr>
        <w:t>.</w:t>
      </w:r>
    </w:p>
    <w:p w14:paraId="51E6754A" w14:textId="77777777" w:rsidR="00653A62" w:rsidRPr="00EE40F4" w:rsidRDefault="00653A62" w:rsidP="00EF61CC">
      <w:pPr>
        <w:spacing w:after="0" w:line="240" w:lineRule="auto"/>
        <w:rPr>
          <w:rFonts w:ascii="Times New Roman" w:hAnsi="Times New Roman"/>
          <w:u w:val="single"/>
        </w:rPr>
      </w:pPr>
    </w:p>
    <w:p w14:paraId="112E764C" w14:textId="77777777" w:rsidR="00653A62" w:rsidRPr="00CC2E52" w:rsidRDefault="00653A62" w:rsidP="00EF61CC">
      <w:pPr>
        <w:autoSpaceDE w:val="0"/>
        <w:autoSpaceDN w:val="0"/>
        <w:adjustRightInd w:val="0"/>
        <w:spacing w:after="0" w:line="240" w:lineRule="auto"/>
        <w:rPr>
          <w:rFonts w:ascii="Times New Roman" w:hAnsi="Times New Roman"/>
          <w:color w:val="000000"/>
          <w:u w:val="single"/>
        </w:rPr>
      </w:pPr>
      <w:r w:rsidRPr="00CC2E52">
        <w:rPr>
          <w:rFonts w:ascii="Times New Roman" w:hAnsi="Times New Roman"/>
          <w:bCs/>
          <w:color w:val="000000"/>
          <w:u w:val="single"/>
        </w:rPr>
        <w:t xml:space="preserve">Liečivá, ktorých plazmatické koncentrácie môže zmeniť </w:t>
      </w:r>
      <w:r w:rsidR="000E6FE7" w:rsidRPr="00CC2E52">
        <w:rPr>
          <w:rFonts w:ascii="Times New Roman" w:hAnsi="Times New Roman"/>
          <w:bCs/>
          <w:color w:val="000000"/>
          <w:u w:val="single"/>
        </w:rPr>
        <w:t>imatinib</w:t>
      </w:r>
    </w:p>
    <w:p w14:paraId="3E7CEFFE" w14:textId="77777777" w:rsidR="004F3CBE" w:rsidRPr="00EE40F4" w:rsidRDefault="004F3CBE" w:rsidP="004F3CBE">
      <w:pPr>
        <w:pStyle w:val="Default"/>
        <w:rPr>
          <w:sz w:val="22"/>
          <w:szCs w:val="22"/>
          <w:lang w:val="sk-SK"/>
        </w:rPr>
      </w:pPr>
      <w:r w:rsidRPr="00EE40F4">
        <w:rPr>
          <w:sz w:val="22"/>
          <w:szCs w:val="22"/>
          <w:lang w:val="sk-SK"/>
        </w:rPr>
        <w:t>Imatinib zvyšuje priemernú hodnotu C</w:t>
      </w:r>
      <w:r w:rsidRPr="00CC2E52">
        <w:rPr>
          <w:sz w:val="22"/>
          <w:szCs w:val="22"/>
          <w:vertAlign w:val="subscript"/>
          <w:lang w:val="sk-SK"/>
        </w:rPr>
        <w:t>max</w:t>
      </w:r>
      <w:r w:rsidRPr="00EE40F4">
        <w:rPr>
          <w:sz w:val="22"/>
          <w:szCs w:val="22"/>
          <w:lang w:val="sk-SK"/>
        </w:rPr>
        <w:t xml:space="preserve"> simvastatínu (substrát CYP3A4) na 2-násobok a AUC na 3,5-násobok, čo poukazuje na inhibíciu CYP3A4 imatinibom. Preto sa odporúča opatrnosť pri podávaní imatinibu so substrátmi CYP3A4 s úzkym terapeutickým oknom (napr. cyklosporínom, </w:t>
      </w:r>
      <w:r w:rsidRPr="00EE40F4">
        <w:rPr>
          <w:sz w:val="22"/>
          <w:szCs w:val="22"/>
          <w:lang w:val="sk-SK"/>
        </w:rPr>
        <w:lastRenderedPageBreak/>
        <w:t xml:space="preserve">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5A0FA775" w14:textId="77777777" w:rsidR="004F3CBE" w:rsidRPr="00EE40F4" w:rsidRDefault="004F3CBE" w:rsidP="004F3CBE">
      <w:pPr>
        <w:spacing w:after="0" w:line="240" w:lineRule="auto"/>
        <w:rPr>
          <w:rFonts w:ascii="Times New Roman" w:hAnsi="Times New Roman"/>
        </w:rPr>
      </w:pPr>
    </w:p>
    <w:p w14:paraId="25981896" w14:textId="77777777" w:rsidR="00653A62" w:rsidRPr="00EE40F4" w:rsidRDefault="004F3CBE" w:rsidP="004F3CBE">
      <w:pPr>
        <w:spacing w:after="0" w:line="240" w:lineRule="auto"/>
        <w:rPr>
          <w:rFonts w:ascii="Times New Roman" w:hAnsi="Times New Roman"/>
        </w:rPr>
      </w:pPr>
      <w:r w:rsidRPr="00EE40F4">
        <w:rPr>
          <w:rFonts w:ascii="Times New Roman" w:hAnsi="Times New Roman"/>
        </w:rPr>
        <w:t>Pre známe zvýšené riziko krvácania spojené s použitím imatinibu (napr. hemorágie) majú pacienti, ktorí potrebujú antikoagulanciá, dostávať nízkomolekulový alebo štandardný heparín namiesto kumarínových derivátov, napr. warfarínu.</w:t>
      </w:r>
    </w:p>
    <w:p w14:paraId="56F3E73E" w14:textId="77777777" w:rsidR="004F3CBE" w:rsidRPr="00EE40F4" w:rsidRDefault="004F3CBE" w:rsidP="004F3CBE">
      <w:pPr>
        <w:spacing w:after="0" w:line="240" w:lineRule="auto"/>
        <w:rPr>
          <w:rFonts w:ascii="Times New Roman" w:hAnsi="Times New Roman"/>
        </w:rPr>
      </w:pPr>
    </w:p>
    <w:p w14:paraId="65FB0A91" w14:textId="77777777" w:rsidR="00653A62" w:rsidRPr="00EE40F4" w:rsidRDefault="004F3CBE" w:rsidP="00EF61CC">
      <w:pPr>
        <w:spacing w:after="0" w:line="240" w:lineRule="auto"/>
        <w:ind w:right="-24"/>
        <w:rPr>
          <w:rFonts w:ascii="Times New Roman" w:hAnsi="Times New Roman"/>
          <w:position w:val="-3"/>
        </w:rPr>
      </w:pPr>
      <w:r w:rsidRPr="00EE40F4">
        <w:rPr>
          <w:rFonts w:ascii="Times New Roman" w:hAnsi="Times New Roman"/>
        </w:rPr>
        <w:t>I</w:t>
      </w:r>
      <w:r w:rsidR="000E6FE7" w:rsidRPr="00EE40F4">
        <w:rPr>
          <w:rFonts w:ascii="Times New Roman" w:hAnsi="Times New Roman"/>
        </w:rPr>
        <w:t>matinib</w:t>
      </w:r>
      <w:r w:rsidR="00653A62" w:rsidRPr="00EE40F4">
        <w:rPr>
          <w:rFonts w:ascii="Times New Roman" w:hAnsi="Times New Roman"/>
        </w:rPr>
        <w:t xml:space="preserve"> </w:t>
      </w:r>
      <w:r w:rsidR="00653A62" w:rsidRPr="00EE40F4">
        <w:rPr>
          <w:rFonts w:ascii="Times New Roman" w:hAnsi="Times New Roman"/>
          <w:i/>
          <w:iCs/>
        </w:rPr>
        <w:t xml:space="preserve">in vitro </w:t>
      </w:r>
      <w:r w:rsidR="00653A62" w:rsidRPr="00EE40F4">
        <w:rPr>
          <w:rFonts w:ascii="Times New Roman" w:hAnsi="Times New Roman"/>
        </w:rPr>
        <w:t xml:space="preserve">inhibuje aktivitu izoenzýmu CYP2D6 cytochrómu P450 v podobných koncentráciách, aké ovplyvňujú aktivitu CYP3A4. </w:t>
      </w:r>
      <w:r w:rsidR="00FF44DD" w:rsidRPr="00EE40F4">
        <w:rPr>
          <w:rFonts w:ascii="Times New Roman" w:hAnsi="Times New Roman"/>
        </w:rPr>
        <w:t xml:space="preserve">Imatinib </w:t>
      </w:r>
      <w:r w:rsidR="00653A62" w:rsidRPr="00EE40F4">
        <w:rPr>
          <w:rFonts w:ascii="Times New Roman" w:hAnsi="Times New Roman"/>
        </w:rPr>
        <w:t xml:space="preserve">v dávke 400 mg dvakrát denne mal inhibičný účinok na metabolizmus metoprololu sprostredkovaný CYP2D6, so zvýšením </w:t>
      </w:r>
      <w:r w:rsidR="00FE4546" w:rsidRPr="00EE40F4">
        <w:rPr>
          <w:rFonts w:ascii="Times New Roman" w:hAnsi="Times New Roman"/>
        </w:rPr>
        <w:t>C</w:t>
      </w:r>
      <w:r w:rsidR="00FE4546" w:rsidRPr="00EE40F4">
        <w:rPr>
          <w:rFonts w:ascii="Times New Roman" w:hAnsi="Times New Roman"/>
          <w:vertAlign w:val="subscript"/>
        </w:rPr>
        <w:t>max</w:t>
      </w:r>
      <w:r w:rsidR="00FE4546" w:rsidRPr="00EE40F4">
        <w:rPr>
          <w:rFonts w:ascii="Times New Roman" w:hAnsi="Times New Roman"/>
        </w:rPr>
        <w:t xml:space="preserve"> </w:t>
      </w:r>
      <w:r w:rsidR="00653A62" w:rsidRPr="00EE40F4">
        <w:rPr>
          <w:rFonts w:ascii="Times New Roman" w:hAnsi="Times New Roman"/>
        </w:rPr>
        <w:t>a AUC metoprololu približne o</w:t>
      </w:r>
      <w:r w:rsidR="009C466E" w:rsidRPr="00EE40F4">
        <w:rPr>
          <w:rFonts w:ascii="Times New Roman" w:hAnsi="Times New Roman"/>
        </w:rPr>
        <w:t> </w:t>
      </w:r>
      <w:r w:rsidR="00653A62" w:rsidRPr="00EE40F4">
        <w:rPr>
          <w:rFonts w:ascii="Times New Roman" w:hAnsi="Times New Roman"/>
        </w:rPr>
        <w:t>23</w:t>
      </w:r>
      <w:r w:rsidR="009C466E" w:rsidRPr="00EE40F4">
        <w:rPr>
          <w:rFonts w:ascii="Times New Roman" w:hAnsi="Times New Roman"/>
        </w:rPr>
        <w:t> </w:t>
      </w:r>
      <w:r w:rsidR="00653A62" w:rsidRPr="00EE40F4">
        <w:rPr>
          <w:rFonts w:ascii="Times New Roman" w:hAnsi="Times New Roman"/>
        </w:rPr>
        <w:t>% (90</w:t>
      </w:r>
      <w:r w:rsidR="009C466E" w:rsidRPr="00EE40F4">
        <w:rPr>
          <w:rFonts w:ascii="Times New Roman" w:hAnsi="Times New Roman"/>
        </w:rPr>
        <w:t> </w:t>
      </w:r>
      <w:r w:rsidR="00653A62" w:rsidRPr="00EE40F4">
        <w:rPr>
          <w:rFonts w:ascii="Times New Roman" w:hAnsi="Times New Roman"/>
        </w:rPr>
        <w:t xml:space="preserve">% </w:t>
      </w:r>
      <w:r w:rsidR="007150A4" w:rsidRPr="00EE40F4">
        <w:rPr>
          <w:rFonts w:ascii="Times New Roman" w:hAnsi="Times New Roman"/>
        </w:rPr>
        <w:t>IS</w:t>
      </w:r>
      <w:r w:rsidR="00653A62" w:rsidRPr="00EE40F4">
        <w:rPr>
          <w:rFonts w:ascii="Times New Roman" w:hAnsi="Times New Roman"/>
        </w:rPr>
        <w:t xml:space="preserve"> [1,16-1,30]). Úprava dávky sa nezdá byť potrebná, keď sa imatinib podáva súčasne so substrátmi CYP2D6, pri substrátoch CYP2D6 s úzkym terapeutickým oknom, ako je metoprolol, sa však odporúča opatrnosť. U pacientov liečených metoprololom sa má zvážiť klinické monitorovanie</w:t>
      </w:r>
      <w:r w:rsidR="00653A62" w:rsidRPr="00EE40F4">
        <w:rPr>
          <w:rFonts w:ascii="Times New Roman" w:hAnsi="Times New Roman"/>
          <w:position w:val="-3"/>
        </w:rPr>
        <w:t>.</w:t>
      </w:r>
    </w:p>
    <w:p w14:paraId="6AD13CBB" w14:textId="77777777" w:rsidR="00653A62" w:rsidRPr="00EE40F4" w:rsidRDefault="00653A62" w:rsidP="00EF61CC">
      <w:pPr>
        <w:spacing w:after="0" w:line="240" w:lineRule="auto"/>
        <w:ind w:right="-24"/>
        <w:rPr>
          <w:rFonts w:ascii="Times New Roman" w:hAnsi="Times New Roman"/>
        </w:rPr>
      </w:pPr>
    </w:p>
    <w:p w14:paraId="7813CCE3" w14:textId="77777777" w:rsidR="00653A62" w:rsidRPr="00EE40F4" w:rsidRDefault="004F3CBE" w:rsidP="00EF61CC">
      <w:pPr>
        <w:spacing w:after="0" w:line="240" w:lineRule="auto"/>
        <w:ind w:right="-24"/>
        <w:rPr>
          <w:rFonts w:ascii="Times New Roman" w:hAnsi="Times New Roman"/>
        </w:rPr>
      </w:pPr>
      <w:r w:rsidRPr="00EE40F4">
        <w:rPr>
          <w:rFonts w:ascii="Times New Roman" w:hAnsi="Times New Roman"/>
        </w:rPr>
        <w:t>I</w:t>
      </w:r>
      <w:r w:rsidR="000E6FE7" w:rsidRPr="00EE40F4">
        <w:rPr>
          <w:rFonts w:ascii="Times New Roman" w:hAnsi="Times New Roman"/>
        </w:rPr>
        <w:t>matinib</w:t>
      </w:r>
      <w:r w:rsidR="00653A62" w:rsidRPr="00EE40F4">
        <w:rPr>
          <w:rFonts w:ascii="Times New Roman" w:hAnsi="Times New Roman"/>
        </w:rPr>
        <w:t xml:space="preserve"> </w:t>
      </w:r>
      <w:r w:rsidR="00653A62" w:rsidRPr="00EE40F4">
        <w:rPr>
          <w:rFonts w:ascii="Times New Roman" w:hAnsi="Times New Roman"/>
          <w:i/>
          <w:iCs/>
        </w:rPr>
        <w:t xml:space="preserve">in vitro </w:t>
      </w:r>
      <w:r w:rsidR="00653A62" w:rsidRPr="00EE40F4">
        <w:rPr>
          <w:rFonts w:ascii="Times New Roman" w:hAnsi="Times New Roman"/>
        </w:rPr>
        <w:t>inhibuje O-glukuronidáciu paracetamolu s hodnotou Ki 58,5 mikromol</w:t>
      </w:r>
      <w:r w:rsidR="00622CDB">
        <w:rPr>
          <w:rFonts w:ascii="Times New Roman" w:hAnsi="Times New Roman"/>
        </w:rPr>
        <w:t>ov</w:t>
      </w:r>
      <w:r w:rsidR="00653A62" w:rsidRPr="00EE40F4">
        <w:rPr>
          <w:rFonts w:ascii="Times New Roman" w:hAnsi="Times New Roman"/>
        </w:rPr>
        <w:t xml:space="preserve">/l. Táto inhibícia sa nepozorovala </w:t>
      </w:r>
      <w:r w:rsidR="00653A62" w:rsidRPr="00EE40F4">
        <w:rPr>
          <w:rFonts w:ascii="Times New Roman" w:hAnsi="Times New Roman"/>
          <w:i/>
          <w:iCs/>
        </w:rPr>
        <w:t xml:space="preserve">in vivo </w:t>
      </w:r>
      <w:r w:rsidR="00653A62" w:rsidRPr="00EE40F4">
        <w:rPr>
          <w:rFonts w:ascii="Times New Roman" w:hAnsi="Times New Roman"/>
        </w:rPr>
        <w:t>po podaní 400 mg</w:t>
      </w:r>
      <w:r w:rsidR="00E05A39" w:rsidRPr="00EE40F4">
        <w:rPr>
          <w:rFonts w:ascii="Times New Roman" w:hAnsi="Times New Roman"/>
        </w:rPr>
        <w:t xml:space="preserve"> imatinibu</w:t>
      </w:r>
      <w:r w:rsidR="00653A62" w:rsidRPr="00EE40F4">
        <w:rPr>
          <w:rFonts w:ascii="Times New Roman" w:hAnsi="Times New Roman"/>
        </w:rPr>
        <w:t xml:space="preserve"> a 1000 mg paracetamolu. Vyššie dávky imatinibu a paracetamolu sa nesledovali.</w:t>
      </w:r>
    </w:p>
    <w:p w14:paraId="2AA82384" w14:textId="77777777" w:rsidR="00653A62" w:rsidRPr="00EE40F4" w:rsidRDefault="00653A62" w:rsidP="00EF61CC">
      <w:pPr>
        <w:spacing w:after="0" w:line="240" w:lineRule="auto"/>
        <w:rPr>
          <w:rFonts w:ascii="Times New Roman" w:hAnsi="Times New Roman"/>
        </w:rPr>
      </w:pPr>
    </w:p>
    <w:p w14:paraId="0F674CF5" w14:textId="77777777" w:rsidR="00653A62" w:rsidRPr="00EE40F4" w:rsidRDefault="00653A62" w:rsidP="00EF61CC">
      <w:pPr>
        <w:spacing w:after="0" w:line="240" w:lineRule="auto"/>
        <w:ind w:right="-76"/>
        <w:rPr>
          <w:rFonts w:ascii="Times New Roman" w:hAnsi="Times New Roman"/>
        </w:rPr>
      </w:pPr>
      <w:r w:rsidRPr="00EE40F4">
        <w:rPr>
          <w:rFonts w:ascii="Times New Roman" w:hAnsi="Times New Roman"/>
        </w:rPr>
        <w:t>Preto je potrebná opatrnosť pri súčasnom používaní vysokých dávok imatinibu a paracetamolu.</w:t>
      </w:r>
    </w:p>
    <w:p w14:paraId="090009DB" w14:textId="77777777" w:rsidR="00653A62" w:rsidRPr="00EE40F4" w:rsidRDefault="00653A62" w:rsidP="00EF61CC">
      <w:pPr>
        <w:spacing w:after="0" w:line="240" w:lineRule="auto"/>
        <w:ind w:right="-76"/>
        <w:rPr>
          <w:rFonts w:ascii="Times New Roman" w:hAnsi="Times New Roman"/>
        </w:rPr>
      </w:pPr>
    </w:p>
    <w:p w14:paraId="6186C889" w14:textId="77777777" w:rsidR="00653A62" w:rsidRPr="00EE40F4" w:rsidRDefault="00653A62" w:rsidP="00EF61CC">
      <w:pPr>
        <w:spacing w:after="0" w:line="240" w:lineRule="auto"/>
        <w:ind w:right="-76"/>
        <w:rPr>
          <w:rFonts w:ascii="Times New Roman" w:hAnsi="Times New Roman"/>
        </w:rPr>
      </w:pPr>
      <w:r w:rsidRPr="00EE40F4">
        <w:rPr>
          <w:rFonts w:ascii="Times New Roman" w:hAnsi="Times New Roman"/>
        </w:rPr>
        <w:t>U pacientov po tyreoidektómii, ktorí dostávajú levotyroxín, sa pri súčasnom podávaní imatinibu môže znížiť expozícia levotyroxínu v plazme (pozri časť 4.4). Preto sa odporúča opatrnosť. Mechanizmus pozorovanej interakcie však v súčasnosti nie je známy.</w:t>
      </w:r>
    </w:p>
    <w:p w14:paraId="0AC80F88" w14:textId="77777777" w:rsidR="00653A62" w:rsidRPr="00EE40F4" w:rsidRDefault="00653A62" w:rsidP="00EF61CC">
      <w:pPr>
        <w:spacing w:after="0" w:line="240" w:lineRule="auto"/>
        <w:rPr>
          <w:rFonts w:ascii="Times New Roman" w:hAnsi="Times New Roman"/>
        </w:rPr>
      </w:pPr>
    </w:p>
    <w:p w14:paraId="38088D21"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t>Klinické skúsenosti so súčasným podávaním imatinibu a chemoterapie sú u pacientov s Ph+ ALL (pozri časť 5.1), ale liekové interakcie medzi imatinibom a režimami chemoterapie nie sú uspokojivo opísané. Nežiaduce udalosti pri imatinibe, napr. hepatotoxicita, myelosupresia alebo iné, sa môžu zhoršiť a vyskytli sa správy o tom, že súčasné použitie s L-asparaginázou sa môže spájať so zvýšenou hepatotoxicitou (pozri časť 4.8). Preto použitie imatinibu v kombinácii vyžaduje mimoriadnu opatrnosť.</w:t>
      </w:r>
    </w:p>
    <w:p w14:paraId="3B1AF1B9" w14:textId="77777777" w:rsidR="00653A62" w:rsidRPr="00EE40F4" w:rsidRDefault="00653A62" w:rsidP="00EF61CC">
      <w:pPr>
        <w:spacing w:after="0" w:line="240" w:lineRule="auto"/>
        <w:rPr>
          <w:rFonts w:ascii="Times New Roman" w:hAnsi="Times New Roman"/>
        </w:rPr>
      </w:pPr>
    </w:p>
    <w:p w14:paraId="13B80BAB"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4.6</w:t>
      </w:r>
      <w:r w:rsidRPr="00EE40F4">
        <w:rPr>
          <w:rFonts w:ascii="Times New Roman" w:hAnsi="Times New Roman"/>
          <w:b/>
        </w:rPr>
        <w:tab/>
      </w:r>
      <w:r w:rsidRPr="00EE40F4">
        <w:rPr>
          <w:rFonts w:ascii="Times New Roman" w:hAnsi="Times New Roman"/>
          <w:b/>
          <w:bCs/>
        </w:rPr>
        <w:t>Fertilita, gravidita a laktácia</w:t>
      </w:r>
    </w:p>
    <w:p w14:paraId="16A46136" w14:textId="77777777" w:rsidR="00653A62" w:rsidRPr="00EE40F4" w:rsidRDefault="00653A62" w:rsidP="00EF61CC">
      <w:pPr>
        <w:spacing w:after="0" w:line="240" w:lineRule="auto"/>
        <w:rPr>
          <w:rFonts w:ascii="Times New Roman" w:hAnsi="Times New Roman"/>
        </w:rPr>
      </w:pPr>
    </w:p>
    <w:p w14:paraId="3B321009" w14:textId="77777777" w:rsidR="00382022" w:rsidRPr="00EE40F4" w:rsidRDefault="00382022" w:rsidP="00382022">
      <w:pPr>
        <w:pStyle w:val="Default"/>
        <w:rPr>
          <w:sz w:val="22"/>
          <w:szCs w:val="22"/>
          <w:u w:val="single"/>
          <w:lang w:val="sk-SK"/>
        </w:rPr>
      </w:pPr>
      <w:r w:rsidRPr="00EE40F4">
        <w:rPr>
          <w:sz w:val="22"/>
          <w:szCs w:val="22"/>
          <w:u w:val="single"/>
          <w:lang w:val="sk-SK"/>
        </w:rPr>
        <w:t xml:space="preserve">Ženy vo fertilnom veku </w:t>
      </w:r>
    </w:p>
    <w:p w14:paraId="0A9E04B0" w14:textId="77777777" w:rsidR="00382022" w:rsidRPr="00EE40F4" w:rsidRDefault="00382022" w:rsidP="00382022">
      <w:pPr>
        <w:autoSpaceDE w:val="0"/>
        <w:autoSpaceDN w:val="0"/>
        <w:adjustRightInd w:val="0"/>
        <w:spacing w:after="0" w:line="240" w:lineRule="auto"/>
        <w:rPr>
          <w:rFonts w:ascii="Times New Roman" w:hAnsi="Times New Roman"/>
        </w:rPr>
      </w:pPr>
      <w:r w:rsidRPr="00EE40F4">
        <w:rPr>
          <w:rFonts w:ascii="Times New Roman" w:hAnsi="Times New Roman"/>
        </w:rPr>
        <w:t>Ženy vo fertilnom veku je nutné poučiť, aby počas liečby používali účinnú antikoncepciu.</w:t>
      </w:r>
    </w:p>
    <w:p w14:paraId="6B267820" w14:textId="77777777" w:rsidR="00382022" w:rsidRPr="00EE40F4" w:rsidRDefault="00382022" w:rsidP="00382022">
      <w:pPr>
        <w:autoSpaceDE w:val="0"/>
        <w:autoSpaceDN w:val="0"/>
        <w:adjustRightInd w:val="0"/>
        <w:spacing w:after="0" w:line="240" w:lineRule="auto"/>
        <w:rPr>
          <w:rFonts w:ascii="Times New Roman" w:hAnsi="Times New Roman"/>
          <w:color w:val="000000"/>
          <w:u w:val="single"/>
        </w:rPr>
      </w:pPr>
    </w:p>
    <w:p w14:paraId="3DDB5990"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Gravidita </w:t>
      </w:r>
    </w:p>
    <w:p w14:paraId="2307BF8F"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Údaje o použití imatinibu u gravidných žien sú obmedzené. </w:t>
      </w:r>
      <w:r w:rsidR="007C5782" w:rsidRPr="00A207DB">
        <w:rPr>
          <w:rFonts w:ascii="Times New Roman" w:hAnsi="Times New Roman"/>
        </w:rPr>
        <w:t xml:space="preserve">Po uvedení lieku na trh boli u žien užívajúcich </w:t>
      </w:r>
      <w:r w:rsidR="007C5782">
        <w:rPr>
          <w:rFonts w:ascii="Times New Roman" w:hAnsi="Times New Roman"/>
        </w:rPr>
        <w:t>imatinib</w:t>
      </w:r>
      <w:r w:rsidR="007C5782" w:rsidRPr="00A207DB">
        <w:rPr>
          <w:rFonts w:ascii="Times New Roman" w:hAnsi="Times New Roman"/>
        </w:rPr>
        <w:t xml:space="preserve"> zaznamenané spontánne potraty a vrodené anomálie detí.</w:t>
      </w:r>
      <w:r w:rsidR="007C5782">
        <w:t xml:space="preserve"> </w:t>
      </w:r>
      <w:r w:rsidRPr="00EE40F4">
        <w:rPr>
          <w:rFonts w:ascii="Times New Roman" w:hAnsi="Times New Roman"/>
          <w:color w:val="000000"/>
        </w:rPr>
        <w:t xml:space="preserve">Štúdie na zvieratách však preukázali reprodukčnú toxicitu (pozri časť 5.3) a nie je známe potenciálne riziko pre plod. </w:t>
      </w:r>
      <w:r w:rsidR="009223F5" w:rsidRPr="00EE40F4">
        <w:rPr>
          <w:rFonts w:ascii="Times New Roman" w:hAnsi="Times New Roman"/>
          <w:color w:val="000000"/>
        </w:rPr>
        <w:t xml:space="preserve">Imatinib </w:t>
      </w:r>
      <w:r w:rsidRPr="00EE40F4">
        <w:rPr>
          <w:rFonts w:ascii="Times New Roman" w:hAnsi="Times New Roman"/>
          <w:color w:val="000000"/>
        </w:rPr>
        <w:t>sa nemá užívať počas gravidity, pokiaľ to nie je jednoznačne potrebné. Ak sa použije počas gravidity, pacientka sa musí oboznámiť s prípadným rizikom pre plod</w:t>
      </w:r>
      <w:r w:rsidRPr="00EE40F4">
        <w:rPr>
          <w:rFonts w:ascii="Times New Roman" w:hAnsi="Times New Roman"/>
        </w:rPr>
        <w:t>.</w:t>
      </w:r>
    </w:p>
    <w:p w14:paraId="7B4C870B" w14:textId="77777777" w:rsidR="00653A62" w:rsidRPr="00EE40F4" w:rsidRDefault="00653A62" w:rsidP="00EF61CC">
      <w:pPr>
        <w:spacing w:after="0" w:line="240" w:lineRule="auto"/>
        <w:rPr>
          <w:rFonts w:ascii="Times New Roman" w:hAnsi="Times New Roman"/>
        </w:rPr>
      </w:pPr>
    </w:p>
    <w:p w14:paraId="41E5B6BE" w14:textId="77777777" w:rsidR="00653A62" w:rsidRPr="00EE40F4" w:rsidRDefault="0038202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Dojčenie</w:t>
      </w:r>
    </w:p>
    <w:p w14:paraId="24A079B5"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Údaje o distribúcii imatinibu do </w:t>
      </w:r>
      <w:r w:rsidR="009223F5" w:rsidRPr="00EE40F4">
        <w:rPr>
          <w:rFonts w:ascii="Times New Roman" w:hAnsi="Times New Roman"/>
          <w:color w:val="000000"/>
        </w:rPr>
        <w:t xml:space="preserve">materského </w:t>
      </w:r>
      <w:r w:rsidRPr="00EE40F4">
        <w:rPr>
          <w:rFonts w:ascii="Times New Roman" w:hAnsi="Times New Roman"/>
          <w:color w:val="000000"/>
        </w:rPr>
        <w:t xml:space="preserve">mlieka </w:t>
      </w:r>
      <w:r w:rsidR="009223F5" w:rsidRPr="00EE40F4">
        <w:rPr>
          <w:rFonts w:ascii="Times New Roman" w:hAnsi="Times New Roman"/>
          <w:color w:val="000000"/>
        </w:rPr>
        <w:t xml:space="preserve">u ľudí </w:t>
      </w:r>
      <w:r w:rsidRPr="00EE40F4">
        <w:rPr>
          <w:rFonts w:ascii="Times New Roman" w:hAnsi="Times New Roman"/>
          <w:color w:val="000000"/>
        </w:rPr>
        <w:t xml:space="preserve">sú obmedzené. Štúdie u dvoch dojčiacich žien ukázali, že imatinib aj jeho aktívny metabolit sa môžu distribuovať do </w:t>
      </w:r>
      <w:r w:rsidR="009223F5" w:rsidRPr="00EE40F4">
        <w:rPr>
          <w:rFonts w:ascii="Times New Roman" w:hAnsi="Times New Roman"/>
          <w:color w:val="000000"/>
        </w:rPr>
        <w:t>materského</w:t>
      </w:r>
      <w:r w:rsidRPr="00EE40F4">
        <w:rPr>
          <w:rFonts w:ascii="Times New Roman" w:hAnsi="Times New Roman"/>
          <w:color w:val="000000"/>
        </w:rPr>
        <w:t xml:space="preserve"> mlieka</w:t>
      </w:r>
      <w:r w:rsidR="009223F5" w:rsidRPr="00EE40F4">
        <w:rPr>
          <w:rFonts w:ascii="Times New Roman" w:hAnsi="Times New Roman"/>
          <w:color w:val="000000"/>
        </w:rPr>
        <w:t xml:space="preserve"> u ľud</w:t>
      </w:r>
      <w:r w:rsidR="00FD3915" w:rsidRPr="00EE40F4">
        <w:rPr>
          <w:rFonts w:ascii="Times New Roman" w:hAnsi="Times New Roman"/>
          <w:color w:val="000000"/>
        </w:rPr>
        <w:t>í</w:t>
      </w:r>
      <w:r w:rsidRPr="00EE40F4">
        <w:rPr>
          <w:rFonts w:ascii="Times New Roman" w:hAnsi="Times New Roman"/>
          <w:color w:val="000000"/>
        </w:rPr>
        <w:t>. Stanovená hodnota pomeru v mlieku a</w:t>
      </w:r>
      <w:r w:rsidR="009223F5" w:rsidRPr="00EE40F4">
        <w:rPr>
          <w:rFonts w:ascii="Times New Roman" w:hAnsi="Times New Roman"/>
          <w:color w:val="000000"/>
        </w:rPr>
        <w:t xml:space="preserve"> v </w:t>
      </w:r>
      <w:r w:rsidRPr="00EE40F4">
        <w:rPr>
          <w:rFonts w:ascii="Times New Roman" w:hAnsi="Times New Roman"/>
          <w:color w:val="000000"/>
        </w:rPr>
        <w:t>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užívajúce imatinib nemajú dojčiť</w:t>
      </w:r>
      <w:r w:rsidRPr="00EE40F4">
        <w:rPr>
          <w:rFonts w:ascii="Times New Roman" w:hAnsi="Times New Roman"/>
        </w:rPr>
        <w:t>.</w:t>
      </w:r>
    </w:p>
    <w:p w14:paraId="3B69D0B2" w14:textId="77777777" w:rsidR="00653A62" w:rsidRPr="00EE40F4" w:rsidRDefault="00653A62" w:rsidP="00EF61CC">
      <w:pPr>
        <w:spacing w:after="0" w:line="240" w:lineRule="auto"/>
        <w:rPr>
          <w:rFonts w:ascii="Times New Roman" w:hAnsi="Times New Roman"/>
        </w:rPr>
      </w:pPr>
    </w:p>
    <w:p w14:paraId="6578227D"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Fertilita </w:t>
      </w:r>
    </w:p>
    <w:p w14:paraId="4CD00FD8"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lastRenderedPageBreak/>
        <w:t>V predklinických štúdiách nebola ovplyvnená fertilita samcov a samíc potkana (pozri časť 5.3). Štúdie o pacientoch užívajúcich imatinib a jeho účinku na fertilitu a gametogenézu sa nevykonali. Pacienti, ktor</w:t>
      </w:r>
      <w:r w:rsidR="00622CDB">
        <w:rPr>
          <w:rFonts w:ascii="Times New Roman" w:hAnsi="Times New Roman"/>
          <w:color w:val="000000"/>
        </w:rPr>
        <w:t xml:space="preserve">í majú obavy z poškodenia </w:t>
      </w:r>
      <w:r w:rsidRPr="00EE40F4">
        <w:rPr>
          <w:rFonts w:ascii="Times New Roman" w:hAnsi="Times New Roman"/>
          <w:color w:val="000000"/>
        </w:rPr>
        <w:t>fertilit</w:t>
      </w:r>
      <w:r w:rsidR="00622CDB">
        <w:rPr>
          <w:rFonts w:ascii="Times New Roman" w:hAnsi="Times New Roman"/>
          <w:color w:val="000000"/>
        </w:rPr>
        <w:t>y</w:t>
      </w:r>
      <w:r w:rsidRPr="00EE40F4">
        <w:rPr>
          <w:rFonts w:ascii="Times New Roman" w:hAnsi="Times New Roman"/>
          <w:color w:val="000000"/>
        </w:rPr>
        <w:t xml:space="preserve"> počas liečby imatinibom, sa majú poradiť so svojím lekárom</w:t>
      </w:r>
      <w:r w:rsidRPr="00EE40F4">
        <w:rPr>
          <w:rFonts w:ascii="Times New Roman" w:hAnsi="Times New Roman"/>
        </w:rPr>
        <w:t>.</w:t>
      </w:r>
    </w:p>
    <w:p w14:paraId="64FCA3AA" w14:textId="77777777" w:rsidR="00653A62" w:rsidRPr="00EE40F4" w:rsidRDefault="00653A62" w:rsidP="00EF61CC">
      <w:pPr>
        <w:spacing w:after="0" w:line="240" w:lineRule="auto"/>
        <w:ind w:right="-20"/>
        <w:rPr>
          <w:rFonts w:ascii="Times New Roman" w:hAnsi="Times New Roman"/>
        </w:rPr>
      </w:pPr>
    </w:p>
    <w:p w14:paraId="4B1F9490"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4.7</w:t>
      </w:r>
      <w:r w:rsidRPr="00EE40F4">
        <w:rPr>
          <w:rFonts w:ascii="Times New Roman" w:hAnsi="Times New Roman"/>
          <w:b/>
        </w:rPr>
        <w:tab/>
      </w:r>
      <w:r w:rsidRPr="00EE40F4">
        <w:rPr>
          <w:rFonts w:ascii="Times New Roman" w:hAnsi="Times New Roman"/>
          <w:b/>
          <w:bCs/>
        </w:rPr>
        <w:t>Ovplyvnenie schopnosti viesť vozidlá a obsluhovať stroje</w:t>
      </w:r>
    </w:p>
    <w:p w14:paraId="1593300E" w14:textId="77777777" w:rsidR="00653A62" w:rsidRPr="00EE40F4" w:rsidRDefault="00653A62" w:rsidP="00EF61CC">
      <w:pPr>
        <w:spacing w:after="0" w:line="240" w:lineRule="auto"/>
        <w:ind w:right="-20"/>
        <w:rPr>
          <w:rFonts w:ascii="Times New Roman" w:hAnsi="Times New Roman"/>
        </w:rPr>
      </w:pPr>
    </w:p>
    <w:p w14:paraId="4AA75776"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Pacienti sa majú upozorniť na možný výskyt nežiaducich účinkov počas liečby imatinibom, ako sú závraty, neostré videnie alebo somnolencia. Preto sa odporúča opatrnosť pri vedení vozidla alebo obsluhe strojov.</w:t>
      </w:r>
    </w:p>
    <w:p w14:paraId="10D3238F" w14:textId="77777777" w:rsidR="00653A62" w:rsidRPr="00EE40F4" w:rsidRDefault="00653A62" w:rsidP="00EF61CC">
      <w:pPr>
        <w:spacing w:after="0" w:line="240" w:lineRule="auto"/>
        <w:ind w:right="-20"/>
        <w:rPr>
          <w:rFonts w:ascii="Times New Roman" w:hAnsi="Times New Roman"/>
        </w:rPr>
      </w:pPr>
    </w:p>
    <w:p w14:paraId="0F07E8B0"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4.8</w:t>
      </w:r>
      <w:r w:rsidRPr="00EE40F4">
        <w:rPr>
          <w:rFonts w:ascii="Times New Roman" w:hAnsi="Times New Roman"/>
          <w:b/>
        </w:rPr>
        <w:tab/>
      </w:r>
      <w:r w:rsidRPr="00EE40F4">
        <w:rPr>
          <w:rFonts w:ascii="Times New Roman" w:hAnsi="Times New Roman"/>
          <w:b/>
          <w:bCs/>
        </w:rPr>
        <w:t>Nežiaduce účinky</w:t>
      </w:r>
    </w:p>
    <w:p w14:paraId="3D766335" w14:textId="77777777" w:rsidR="00653A62" w:rsidRPr="00EE40F4" w:rsidRDefault="00653A62" w:rsidP="00EF61CC">
      <w:pPr>
        <w:spacing w:after="0" w:line="240" w:lineRule="auto"/>
        <w:ind w:right="-20"/>
        <w:rPr>
          <w:rFonts w:ascii="Times New Roman" w:hAnsi="Times New Roman"/>
        </w:rPr>
      </w:pPr>
    </w:p>
    <w:p w14:paraId="01C8B5BC" w14:textId="77777777" w:rsidR="00CC2E52" w:rsidRPr="00CC2E52" w:rsidRDefault="00CC2E52" w:rsidP="00EF61CC">
      <w:pPr>
        <w:spacing w:after="0" w:line="240" w:lineRule="auto"/>
        <w:ind w:right="-20"/>
        <w:rPr>
          <w:rFonts w:ascii="Times New Roman" w:hAnsi="Times New Roman"/>
          <w:u w:val="single"/>
        </w:rPr>
      </w:pPr>
      <w:r>
        <w:rPr>
          <w:rFonts w:ascii="Times New Roman" w:hAnsi="Times New Roman"/>
          <w:u w:val="single"/>
        </w:rPr>
        <w:t>Súhrn profilu bezpečnosti</w:t>
      </w:r>
    </w:p>
    <w:p w14:paraId="0BF099B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 xml:space="preserve">U pacientov v pokročilých štádiách malignít sa môže vyskytovať mnoho komplikovaných stavov, ktoré sťažujú stanovenie kauzality nežiaducich reakcií pre rôznorodosť príznakov súvisiacich s </w:t>
      </w:r>
      <w:r w:rsidR="00AD08DF">
        <w:rPr>
          <w:rFonts w:ascii="Times New Roman" w:hAnsi="Times New Roman"/>
        </w:rPr>
        <w:t>primárnym</w:t>
      </w:r>
      <w:r w:rsidR="00AD08DF" w:rsidRPr="00EE40F4">
        <w:rPr>
          <w:rFonts w:ascii="Times New Roman" w:hAnsi="Times New Roman"/>
        </w:rPr>
        <w:t xml:space="preserve"> </w:t>
      </w:r>
      <w:r w:rsidRPr="00EE40F4">
        <w:rPr>
          <w:rFonts w:ascii="Times New Roman" w:hAnsi="Times New Roman"/>
        </w:rPr>
        <w:t xml:space="preserve">ochorením, progresiu </w:t>
      </w:r>
      <w:r w:rsidR="00AD08DF">
        <w:rPr>
          <w:rFonts w:ascii="Times New Roman" w:hAnsi="Times New Roman"/>
        </w:rPr>
        <w:t>primárneho</w:t>
      </w:r>
      <w:r w:rsidR="00AD08DF" w:rsidRPr="00EE40F4">
        <w:rPr>
          <w:rFonts w:ascii="Times New Roman" w:hAnsi="Times New Roman"/>
        </w:rPr>
        <w:t xml:space="preserve"> </w:t>
      </w:r>
      <w:r w:rsidRPr="00EE40F4">
        <w:rPr>
          <w:rFonts w:ascii="Times New Roman" w:hAnsi="Times New Roman"/>
        </w:rPr>
        <w:t>ochorenia a súčasné podávanie početných liekov.</w:t>
      </w:r>
    </w:p>
    <w:p w14:paraId="284669C3" w14:textId="77777777" w:rsidR="00653A62" w:rsidRPr="00EE40F4" w:rsidRDefault="00653A62" w:rsidP="00EF61CC">
      <w:pPr>
        <w:spacing w:after="0" w:line="240" w:lineRule="auto"/>
        <w:ind w:right="-20"/>
        <w:rPr>
          <w:rFonts w:ascii="Times New Roman" w:hAnsi="Times New Roman"/>
        </w:rPr>
      </w:pPr>
    </w:p>
    <w:p w14:paraId="30542B9B"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klinických skúšaniach pri CML sa predčasné ukončenie liečby pre nežiaduce reakcie súvisiace s liekom pozorovalo u 2,4</w:t>
      </w:r>
      <w:r w:rsidR="00E96D82" w:rsidRPr="00EE40F4">
        <w:rPr>
          <w:rFonts w:ascii="Times New Roman" w:hAnsi="Times New Roman"/>
        </w:rPr>
        <w:t> </w:t>
      </w:r>
      <w:r w:rsidRPr="00EE40F4">
        <w:rPr>
          <w:rFonts w:ascii="Times New Roman" w:hAnsi="Times New Roman"/>
        </w:rPr>
        <w:t>% novodiagnostikovaných pacientov, 4</w:t>
      </w:r>
      <w:r w:rsidR="00E96D82" w:rsidRPr="00EE40F4">
        <w:rPr>
          <w:rFonts w:ascii="Times New Roman" w:hAnsi="Times New Roman"/>
        </w:rPr>
        <w:t> </w:t>
      </w:r>
      <w:r w:rsidRPr="00EE40F4">
        <w:rPr>
          <w:rFonts w:ascii="Times New Roman" w:hAnsi="Times New Roman"/>
        </w:rPr>
        <w:t>% pacientov v neskorej chronickej fáze po zlyhaní liečby interferónom, 4% pacientov v akcelerovanej fáze po zlyhaní liečby interferónom a 5</w:t>
      </w:r>
      <w:r w:rsidR="00E96D82" w:rsidRPr="00EE40F4">
        <w:rPr>
          <w:rFonts w:ascii="Times New Roman" w:hAnsi="Times New Roman"/>
        </w:rPr>
        <w:t> </w:t>
      </w:r>
      <w:r w:rsidRPr="00EE40F4">
        <w:rPr>
          <w:rFonts w:ascii="Times New Roman" w:hAnsi="Times New Roman"/>
        </w:rPr>
        <w:t xml:space="preserve">% pacientov v blastickej kríze po zlyhaní liečby interferónom. </w:t>
      </w:r>
    </w:p>
    <w:p w14:paraId="2819B8BB" w14:textId="77777777" w:rsidR="00653A62" w:rsidRPr="00EE40F4" w:rsidRDefault="00653A62" w:rsidP="00EF61CC">
      <w:pPr>
        <w:tabs>
          <w:tab w:val="left" w:pos="9356"/>
        </w:tabs>
        <w:spacing w:after="0" w:line="240" w:lineRule="auto"/>
        <w:ind w:right="-24"/>
        <w:rPr>
          <w:rFonts w:ascii="Times New Roman" w:hAnsi="Times New Roman"/>
        </w:rPr>
      </w:pPr>
    </w:p>
    <w:p w14:paraId="7DD0B0D7" w14:textId="77777777" w:rsidR="003159FB" w:rsidRPr="00EE40F4" w:rsidRDefault="00FD3915" w:rsidP="003159FB">
      <w:pPr>
        <w:pStyle w:val="Default"/>
        <w:rPr>
          <w:sz w:val="22"/>
          <w:szCs w:val="22"/>
          <w:lang w:val="sk-SK"/>
        </w:rPr>
      </w:pPr>
      <w:r w:rsidRPr="00EE40F4">
        <w:rPr>
          <w:sz w:val="22"/>
          <w:szCs w:val="22"/>
          <w:lang w:val="sk-SK"/>
        </w:rPr>
        <w:t>Nežiaduce reakcie boli podobné pri všetkých indikáciách. Gastrointestinálne krvácanie a krvácanie</w:t>
      </w:r>
      <w:r w:rsidR="00AD08DF">
        <w:rPr>
          <w:sz w:val="22"/>
          <w:szCs w:val="22"/>
          <w:lang w:val="sk-SK"/>
        </w:rPr>
        <w:t xml:space="preserve"> z nádoru</w:t>
      </w:r>
      <w:r w:rsidRPr="00EE40F4">
        <w:rPr>
          <w:sz w:val="22"/>
          <w:szCs w:val="22"/>
          <w:lang w:val="sk-SK"/>
        </w:rPr>
        <w:t xml:space="preserve"> môže byť vážne a niekedy smrteľné. </w:t>
      </w:r>
      <w:r w:rsidR="003159FB" w:rsidRPr="00EE40F4">
        <w:rPr>
          <w:sz w:val="22"/>
          <w:szCs w:val="22"/>
          <w:lang w:val="sk-SK"/>
        </w:rPr>
        <w:t>Najčastejšie zaznamenané (</w:t>
      </w:r>
      <w:r w:rsidR="003159FB" w:rsidRPr="00EE40F4">
        <w:rPr>
          <w:sz w:val="22"/>
          <w:szCs w:val="22"/>
          <w:u w:val="single"/>
          <w:lang w:val="sk-SK"/>
        </w:rPr>
        <w:t>&gt;</w:t>
      </w:r>
      <w:r w:rsidR="003159FB" w:rsidRPr="00EE40F4">
        <w:rPr>
          <w:sz w:val="22"/>
          <w:szCs w:val="22"/>
          <w:lang w:val="sk-SK"/>
        </w:rPr>
        <w:t xml:space="preserve"> 10%) nežiaduce reakcie súvisiace s liekom </w:t>
      </w:r>
      <w:r w:rsidR="00382022" w:rsidRPr="00EE40F4">
        <w:rPr>
          <w:sz w:val="22"/>
          <w:szCs w:val="22"/>
          <w:lang w:val="sk-SK"/>
        </w:rPr>
        <w:t xml:space="preserve">pri CML </w:t>
      </w:r>
      <w:r w:rsidR="003159FB" w:rsidRPr="00EE40F4">
        <w:rPr>
          <w:sz w:val="22"/>
          <w:szCs w:val="22"/>
          <w:lang w:val="sk-SK"/>
        </w:rPr>
        <w:t>boli slabá nauzea, vracanie, hnačka, bolesť brucha, únava, bolesť svalov, svalové kŕče a</w:t>
      </w:r>
      <w:r w:rsidR="00684EEE">
        <w:rPr>
          <w:sz w:val="22"/>
          <w:szCs w:val="22"/>
          <w:lang w:val="sk-SK"/>
        </w:rPr>
        <w:t xml:space="preserve"> </w:t>
      </w:r>
      <w:r w:rsidR="00AD08DF">
        <w:rPr>
          <w:sz w:val="22"/>
          <w:szCs w:val="22"/>
          <w:lang w:val="sk-SK"/>
        </w:rPr>
        <w:t>vyrážka</w:t>
      </w:r>
      <w:r w:rsidR="003159FB" w:rsidRPr="00EE40F4">
        <w:rPr>
          <w:sz w:val="22"/>
          <w:szCs w:val="22"/>
          <w:lang w:val="sk-SK"/>
        </w:rPr>
        <w:t xml:space="preserve">.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 </w:t>
      </w:r>
    </w:p>
    <w:p w14:paraId="4A1D1490" w14:textId="77777777" w:rsidR="003159FB" w:rsidRPr="00EE40F4" w:rsidRDefault="003159FB" w:rsidP="003159FB">
      <w:pPr>
        <w:pStyle w:val="Default"/>
        <w:rPr>
          <w:sz w:val="22"/>
          <w:szCs w:val="22"/>
          <w:lang w:val="sk-SK"/>
        </w:rPr>
      </w:pPr>
    </w:p>
    <w:p w14:paraId="58AAC27C" w14:textId="77777777" w:rsidR="00382022" w:rsidRPr="00EE40F4" w:rsidRDefault="003159FB" w:rsidP="003159FB">
      <w:pPr>
        <w:pStyle w:val="Default"/>
        <w:rPr>
          <w:sz w:val="22"/>
          <w:szCs w:val="22"/>
          <w:lang w:val="sk-SK"/>
        </w:rPr>
      </w:pPr>
      <w:r w:rsidRPr="00EE40F4">
        <w:rPr>
          <w:sz w:val="22"/>
          <w:szCs w:val="22"/>
          <w:lang w:val="sk-SK"/>
        </w:rPr>
        <w:t xml:space="preserve">Keď sa imatinib kombinoval s vysokými dávkami chemoterapie u pacientov s Ph+ ALL, pozorovali sa prechodné toxické účinky na pečeň </w:t>
      </w:r>
      <w:r w:rsidR="00AD08DF">
        <w:rPr>
          <w:sz w:val="22"/>
          <w:szCs w:val="22"/>
          <w:lang w:val="sk-SK"/>
        </w:rPr>
        <w:t>so</w:t>
      </w:r>
      <w:r w:rsidRPr="00EE40F4">
        <w:rPr>
          <w:sz w:val="22"/>
          <w:szCs w:val="22"/>
          <w:lang w:val="sk-SK"/>
        </w:rPr>
        <w:t xml:space="preserve"> zvýšen</w:t>
      </w:r>
      <w:r w:rsidR="00AD08DF">
        <w:rPr>
          <w:sz w:val="22"/>
          <w:szCs w:val="22"/>
          <w:lang w:val="sk-SK"/>
        </w:rPr>
        <w:t>ím</w:t>
      </w:r>
      <w:r w:rsidRPr="00EE40F4">
        <w:rPr>
          <w:sz w:val="22"/>
          <w:szCs w:val="22"/>
          <w:lang w:val="sk-SK"/>
        </w:rPr>
        <w:t xml:space="preserve"> aminotransferáz a hyperbilirubinémie. </w:t>
      </w:r>
      <w:r w:rsidR="00CB0CA7">
        <w:rPr>
          <w:sz w:val="22"/>
          <w:szCs w:val="22"/>
        </w:rPr>
        <w:t>S ohľadom na obmedzený súbor údajov o bezpečnosti boli doteraz hlásené nežiaduce účinky u detí zhodné so známym bezpečnostným profilom u dospelých s Ph+ ALL. Hoci je bezpečnostná databáza detí s Ph+ALL limitovaná, neboli zaznamenané žiadne nové nežiaduce účinky.</w:t>
      </w:r>
    </w:p>
    <w:p w14:paraId="29F3F7A6" w14:textId="77777777" w:rsidR="003159FB" w:rsidRPr="00EE40F4" w:rsidRDefault="003159FB" w:rsidP="003159FB">
      <w:pPr>
        <w:pStyle w:val="Default"/>
        <w:rPr>
          <w:sz w:val="22"/>
          <w:szCs w:val="22"/>
          <w:lang w:val="sk-SK"/>
        </w:rPr>
      </w:pPr>
    </w:p>
    <w:p w14:paraId="0F7064AA" w14:textId="77777777" w:rsidR="00653A62" w:rsidRPr="00EE40F4" w:rsidRDefault="003159FB" w:rsidP="003159FB">
      <w:pPr>
        <w:tabs>
          <w:tab w:val="left" w:pos="9356"/>
        </w:tabs>
        <w:spacing w:after="0" w:line="240" w:lineRule="auto"/>
        <w:ind w:right="-24"/>
        <w:rPr>
          <w:rFonts w:ascii="Times New Roman" w:hAnsi="Times New Roman"/>
        </w:rPr>
      </w:pPr>
      <w:r w:rsidRPr="00EE40F4">
        <w:rPr>
          <w:rFonts w:ascii="Times New Roman" w:hAnsi="Times New Roman"/>
        </w:rPr>
        <w:t>Rôzne nežiaduce reakcie, ako je pleurálny výpotok, ascites, pľúcny edém a rýchle zvýšenie hmotnosti s povrchovým edémom alebo bez neho, možno súhrnne opísať ako „zadržiavanie tekutiny“. Tieto reakcie sa zvyčajne dajú zvládnuť dočasným vysadením imatinibu a podávaním diuretík a inými vhodnými podpornými opatreniami. Niektoré z týchto reakcií však môžu byť závažné alebo ohrozujúce život a niekoľko pacientov v blastickej kríze zomrelo po komplikovanom klinickom obraze pleurálneho výpotku, kongestívneho zlyh</w:t>
      </w:r>
      <w:r w:rsidR="00D70467">
        <w:rPr>
          <w:rFonts w:ascii="Times New Roman" w:hAnsi="Times New Roman"/>
        </w:rPr>
        <w:t>ávania</w:t>
      </w:r>
      <w:r w:rsidRPr="00EE40F4">
        <w:rPr>
          <w:rFonts w:ascii="Times New Roman" w:hAnsi="Times New Roman"/>
        </w:rPr>
        <w:t xml:space="preserve"> srdca a zlyhania obličiek. V pediatrických klinických skúšaniach sa nezistili žiadne osobitné údaje týkajúce sa bezpečnosti.</w:t>
      </w:r>
    </w:p>
    <w:p w14:paraId="65D27A90" w14:textId="77777777" w:rsidR="00653A62" w:rsidRPr="00EE40F4" w:rsidRDefault="00653A62" w:rsidP="00EF61CC">
      <w:pPr>
        <w:spacing w:after="0" w:line="240" w:lineRule="auto"/>
        <w:rPr>
          <w:rFonts w:ascii="Times New Roman" w:hAnsi="Times New Roman"/>
        </w:rPr>
      </w:pPr>
    </w:p>
    <w:p w14:paraId="56B4D7FA" w14:textId="77777777" w:rsidR="00653A62" w:rsidRPr="00CC2E52" w:rsidRDefault="00653A62" w:rsidP="00EF61CC">
      <w:pPr>
        <w:autoSpaceDE w:val="0"/>
        <w:autoSpaceDN w:val="0"/>
        <w:adjustRightInd w:val="0"/>
        <w:spacing w:after="0" w:line="240" w:lineRule="auto"/>
        <w:rPr>
          <w:rFonts w:ascii="Times New Roman" w:hAnsi="Times New Roman"/>
          <w:color w:val="000000"/>
          <w:u w:val="single"/>
        </w:rPr>
      </w:pPr>
      <w:r w:rsidRPr="00CC2E52">
        <w:rPr>
          <w:rFonts w:ascii="Times New Roman" w:hAnsi="Times New Roman"/>
          <w:bCs/>
          <w:color w:val="000000"/>
          <w:u w:val="single"/>
        </w:rPr>
        <w:t>Nežiaduce reakcie</w:t>
      </w:r>
    </w:p>
    <w:p w14:paraId="72CE80B6"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Nežiaduce reakcie, ktoré sa zaznamenali častejšie ako len v ojedinelých prípadoch, sa uvádzajú ďalej podľa </w:t>
      </w:r>
      <w:r w:rsidR="003816E9" w:rsidRPr="00EE40F4">
        <w:rPr>
          <w:rFonts w:ascii="Times New Roman" w:hAnsi="Times New Roman"/>
          <w:color w:val="000000"/>
        </w:rPr>
        <w:t xml:space="preserve">triedy </w:t>
      </w:r>
      <w:r w:rsidRPr="00EE40F4">
        <w:rPr>
          <w:rFonts w:ascii="Times New Roman" w:hAnsi="Times New Roman"/>
          <w:color w:val="000000"/>
        </w:rPr>
        <w:t>orgánových systémov a frekvencie výskytu. Kategórie frekvencií sú definované pomocou nasledujúcej konvencie: veľmi časté (≥</w:t>
      </w:r>
      <w:r w:rsidR="00AD08DF">
        <w:rPr>
          <w:rFonts w:ascii="Times New Roman" w:hAnsi="Times New Roman"/>
          <w:color w:val="000000"/>
        </w:rPr>
        <w:t xml:space="preserve"> </w:t>
      </w:r>
      <w:r w:rsidRPr="00EE40F4">
        <w:rPr>
          <w:rFonts w:ascii="Times New Roman" w:hAnsi="Times New Roman"/>
          <w:color w:val="000000"/>
        </w:rPr>
        <w:t>1/10), časté (≥</w:t>
      </w:r>
      <w:r w:rsidR="00AD08DF">
        <w:rPr>
          <w:rFonts w:ascii="Times New Roman" w:hAnsi="Times New Roman"/>
          <w:color w:val="000000"/>
        </w:rPr>
        <w:t xml:space="preserve"> </w:t>
      </w:r>
      <w:r w:rsidRPr="00EE40F4">
        <w:rPr>
          <w:rFonts w:ascii="Times New Roman" w:hAnsi="Times New Roman"/>
          <w:color w:val="000000"/>
        </w:rPr>
        <w:t>1/100 až &lt;</w:t>
      </w:r>
      <w:r w:rsidR="00AD08DF">
        <w:rPr>
          <w:rFonts w:ascii="Times New Roman" w:hAnsi="Times New Roman"/>
          <w:color w:val="000000"/>
        </w:rPr>
        <w:t xml:space="preserve"> </w:t>
      </w:r>
      <w:r w:rsidRPr="00EE40F4">
        <w:rPr>
          <w:rFonts w:ascii="Times New Roman" w:hAnsi="Times New Roman"/>
          <w:color w:val="000000"/>
        </w:rPr>
        <w:t>1/10), menej časté (≥</w:t>
      </w:r>
      <w:r w:rsidR="00AD08DF">
        <w:rPr>
          <w:rFonts w:ascii="Times New Roman" w:hAnsi="Times New Roman"/>
          <w:color w:val="000000"/>
        </w:rPr>
        <w:t xml:space="preserve"> </w:t>
      </w:r>
      <w:r w:rsidRPr="00EE40F4">
        <w:rPr>
          <w:rFonts w:ascii="Times New Roman" w:hAnsi="Times New Roman"/>
          <w:color w:val="000000"/>
        </w:rPr>
        <w:t>1/1 000 až &lt;</w:t>
      </w:r>
      <w:r w:rsidR="00AD08DF">
        <w:rPr>
          <w:rFonts w:ascii="Times New Roman" w:hAnsi="Times New Roman"/>
          <w:color w:val="000000"/>
        </w:rPr>
        <w:t xml:space="preserve"> </w:t>
      </w:r>
      <w:r w:rsidRPr="00EE40F4">
        <w:rPr>
          <w:rFonts w:ascii="Times New Roman" w:hAnsi="Times New Roman"/>
          <w:color w:val="000000"/>
        </w:rPr>
        <w:t>1/100), zriedkavé (≥</w:t>
      </w:r>
      <w:r w:rsidR="00AD08DF">
        <w:rPr>
          <w:rFonts w:ascii="Times New Roman" w:hAnsi="Times New Roman"/>
          <w:color w:val="000000"/>
        </w:rPr>
        <w:t xml:space="preserve"> </w:t>
      </w:r>
      <w:r w:rsidRPr="00EE40F4">
        <w:rPr>
          <w:rFonts w:ascii="Times New Roman" w:hAnsi="Times New Roman"/>
          <w:color w:val="000000"/>
        </w:rPr>
        <w:t>1/10 000 až &lt;</w:t>
      </w:r>
      <w:r w:rsidR="00AD08DF">
        <w:rPr>
          <w:rFonts w:ascii="Times New Roman" w:hAnsi="Times New Roman"/>
          <w:color w:val="000000"/>
        </w:rPr>
        <w:t xml:space="preserve"> </w:t>
      </w:r>
      <w:r w:rsidRPr="00EE40F4">
        <w:rPr>
          <w:rFonts w:ascii="Times New Roman" w:hAnsi="Times New Roman"/>
          <w:color w:val="000000"/>
        </w:rPr>
        <w:t>1/1 000), veľmi zriedkavé (&lt;</w:t>
      </w:r>
      <w:r w:rsidR="00AD08DF">
        <w:rPr>
          <w:rFonts w:ascii="Times New Roman" w:hAnsi="Times New Roman"/>
          <w:color w:val="000000"/>
        </w:rPr>
        <w:t xml:space="preserve"> </w:t>
      </w:r>
      <w:r w:rsidRPr="00EE40F4">
        <w:rPr>
          <w:rFonts w:ascii="Times New Roman" w:hAnsi="Times New Roman"/>
          <w:color w:val="000000"/>
        </w:rPr>
        <w:t>1/10 000), neznáme (z dostupných údajov)</w:t>
      </w:r>
      <w:r w:rsidRPr="00EE40F4">
        <w:rPr>
          <w:rFonts w:ascii="Times New Roman" w:hAnsi="Times New Roman"/>
        </w:rPr>
        <w:t>.</w:t>
      </w:r>
    </w:p>
    <w:p w14:paraId="772CBFB9" w14:textId="77777777" w:rsidR="00653A62" w:rsidRPr="00EE40F4" w:rsidRDefault="00653A62" w:rsidP="00EF61CC">
      <w:pPr>
        <w:spacing w:after="0" w:line="240" w:lineRule="auto"/>
        <w:ind w:right="-20"/>
        <w:rPr>
          <w:rFonts w:ascii="Times New Roman" w:hAnsi="Times New Roman"/>
        </w:rPr>
      </w:pPr>
    </w:p>
    <w:p w14:paraId="0AC414E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rámci jednotlivých skupín frekvencií sú nežiaduce účinky usporiadané v poradí frekvencie, najčastejšie ako prvé.</w:t>
      </w:r>
    </w:p>
    <w:p w14:paraId="1F6346D4" w14:textId="77777777" w:rsidR="00653A62" w:rsidRPr="00EE40F4" w:rsidRDefault="00653A62" w:rsidP="00EF61CC">
      <w:pPr>
        <w:spacing w:after="0" w:line="240" w:lineRule="auto"/>
        <w:ind w:right="-20"/>
        <w:rPr>
          <w:rFonts w:ascii="Times New Roman" w:hAnsi="Times New Roman"/>
        </w:rPr>
      </w:pPr>
    </w:p>
    <w:p w14:paraId="3EA0E31F" w14:textId="77777777" w:rsidR="00E26A24" w:rsidRPr="00EE40F4" w:rsidRDefault="00E26A24" w:rsidP="00E26A24">
      <w:pPr>
        <w:spacing w:after="0" w:line="240" w:lineRule="auto"/>
        <w:rPr>
          <w:rFonts w:ascii="Times New Roman" w:hAnsi="Times New Roman"/>
        </w:rPr>
      </w:pPr>
      <w:r w:rsidRPr="00EE40F4">
        <w:rPr>
          <w:rFonts w:ascii="Times New Roman" w:hAnsi="Times New Roman"/>
          <w:spacing w:val="-1"/>
        </w:rPr>
        <w:t>Nežiaduce reakcie a ich frekvencie</w:t>
      </w:r>
      <w:r w:rsidR="00514042">
        <w:rPr>
          <w:rFonts w:ascii="Times New Roman" w:hAnsi="Times New Roman"/>
          <w:spacing w:val="-1"/>
        </w:rPr>
        <w:t xml:space="preserve"> sú</w:t>
      </w:r>
      <w:r w:rsidRPr="00EE40F4">
        <w:rPr>
          <w:rFonts w:ascii="Times New Roman" w:hAnsi="Times New Roman"/>
          <w:spacing w:val="-1"/>
        </w:rPr>
        <w:t xml:space="preserve"> uvedené v </w:t>
      </w:r>
      <w:r w:rsidR="00514042">
        <w:rPr>
          <w:rFonts w:ascii="Times New Roman" w:hAnsi="Times New Roman"/>
          <w:spacing w:val="2"/>
        </w:rPr>
        <w:t>T</w:t>
      </w:r>
      <w:r w:rsidR="00E96D82" w:rsidRPr="00EE40F4">
        <w:rPr>
          <w:rFonts w:ascii="Times New Roman" w:hAnsi="Times New Roman"/>
        </w:rPr>
        <w:t>abuľke</w:t>
      </w:r>
      <w:r w:rsidR="00E96D82" w:rsidRPr="00EE40F4">
        <w:rPr>
          <w:rFonts w:ascii="Times New Roman" w:hAnsi="Times New Roman"/>
          <w:spacing w:val="6"/>
        </w:rPr>
        <w:t xml:space="preserve"> </w:t>
      </w:r>
      <w:r w:rsidRPr="00EE40F4">
        <w:rPr>
          <w:rFonts w:ascii="Times New Roman" w:hAnsi="Times New Roman"/>
        </w:rPr>
        <w:t>1</w:t>
      </w:r>
      <w:r w:rsidR="00514042">
        <w:rPr>
          <w:rFonts w:ascii="Times New Roman" w:hAnsi="Times New Roman"/>
        </w:rPr>
        <w:t>.</w:t>
      </w:r>
    </w:p>
    <w:p w14:paraId="3D35E744" w14:textId="77777777" w:rsidR="00653A62" w:rsidRPr="00EE40F4" w:rsidRDefault="00653A62" w:rsidP="00EF61CC">
      <w:pPr>
        <w:spacing w:after="0" w:line="240" w:lineRule="auto"/>
        <w:ind w:right="-20"/>
        <w:rPr>
          <w:rFonts w:ascii="Times New Roman" w:hAnsi="Times New Roman"/>
        </w:rPr>
      </w:pPr>
    </w:p>
    <w:p w14:paraId="57F5EEB9" w14:textId="77777777" w:rsidR="00653A62" w:rsidRPr="00EE40F4" w:rsidRDefault="003D3949" w:rsidP="00EF61CC">
      <w:pPr>
        <w:tabs>
          <w:tab w:val="left" w:pos="1340"/>
        </w:tabs>
        <w:spacing w:after="0" w:line="240" w:lineRule="auto"/>
        <w:ind w:right="-20"/>
        <w:rPr>
          <w:rFonts w:ascii="Times New Roman" w:hAnsi="Times New Roman"/>
          <w:b/>
        </w:rPr>
      </w:pPr>
      <w:r w:rsidRPr="00EE40F4">
        <w:rPr>
          <w:rFonts w:ascii="Times New Roman" w:hAnsi="Times New Roman"/>
          <w:b/>
          <w:bCs/>
        </w:rPr>
        <w:t>Tabuľka</w:t>
      </w:r>
      <w:r w:rsidR="00653A62" w:rsidRPr="00EE40F4">
        <w:rPr>
          <w:rFonts w:ascii="Times New Roman" w:hAnsi="Times New Roman"/>
          <w:b/>
          <w:spacing w:val="1"/>
        </w:rPr>
        <w:t xml:space="preserve"> </w:t>
      </w:r>
      <w:r w:rsidR="00653A62" w:rsidRPr="00EE40F4">
        <w:rPr>
          <w:rFonts w:ascii="Times New Roman" w:hAnsi="Times New Roman"/>
          <w:b/>
        </w:rPr>
        <w:t>1</w:t>
      </w:r>
      <w:r w:rsidR="00653A62" w:rsidRPr="00EE40F4">
        <w:rPr>
          <w:rFonts w:ascii="Times New Roman" w:hAnsi="Times New Roman"/>
          <w:b/>
        </w:rPr>
        <w:tab/>
      </w:r>
      <w:r w:rsidR="008A2150" w:rsidRPr="00EE40F4">
        <w:rPr>
          <w:rFonts w:ascii="Times New Roman" w:hAnsi="Times New Roman"/>
        </w:rPr>
        <w:t xml:space="preserve"> </w:t>
      </w:r>
      <w:r w:rsidR="008A2150" w:rsidRPr="00EE40F4">
        <w:rPr>
          <w:rFonts w:ascii="Times New Roman" w:hAnsi="Times New Roman"/>
          <w:b/>
        </w:rPr>
        <w:t>Prehľad nežiaducich reakcií zoradených v tabuľke</w:t>
      </w:r>
    </w:p>
    <w:p w14:paraId="10D412F1" w14:textId="77777777" w:rsidR="00653A62" w:rsidRPr="00EE40F4" w:rsidRDefault="00653A62" w:rsidP="00EF61CC">
      <w:pPr>
        <w:tabs>
          <w:tab w:val="left" w:pos="1340"/>
        </w:tabs>
        <w:spacing w:after="0" w:line="240" w:lineRule="auto"/>
        <w:ind w:right="-20"/>
        <w:rPr>
          <w:rFonts w:ascii="Times New Roman" w:hAnsi="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9"/>
        <w:gridCol w:w="30"/>
        <w:gridCol w:w="4922"/>
      </w:tblGrid>
      <w:tr w:rsidR="00653A62" w:rsidRPr="00EE40F4" w14:paraId="5F829233" w14:textId="77777777" w:rsidTr="006624DA">
        <w:trPr>
          <w:trHeight w:val="197"/>
        </w:trPr>
        <w:tc>
          <w:tcPr>
            <w:tcW w:w="9464" w:type="dxa"/>
            <w:gridSpan w:val="4"/>
          </w:tcPr>
          <w:tbl>
            <w:tblPr>
              <w:tblW w:w="0" w:type="auto"/>
              <w:tblLayout w:type="fixed"/>
              <w:tblLook w:val="0000" w:firstRow="0" w:lastRow="0" w:firstColumn="0" w:lastColumn="0" w:noHBand="0" w:noVBand="0"/>
            </w:tblPr>
            <w:tblGrid>
              <w:gridCol w:w="3828"/>
            </w:tblGrid>
            <w:tr w:rsidR="00653A62" w:rsidRPr="00EE40F4" w14:paraId="6F401CDC" w14:textId="77777777" w:rsidTr="006624DA">
              <w:trPr>
                <w:trHeight w:val="197"/>
              </w:trPr>
              <w:tc>
                <w:tcPr>
                  <w:tcW w:w="3828" w:type="dxa"/>
                  <w:tcBorders>
                    <w:top w:val="nil"/>
                    <w:left w:val="nil"/>
                    <w:bottom w:val="nil"/>
                    <w:right w:val="nil"/>
                  </w:tcBorders>
                </w:tcPr>
                <w:p w14:paraId="32E751F6" w14:textId="77777777" w:rsidR="00653A62" w:rsidRPr="00EE40F4" w:rsidRDefault="00653A62" w:rsidP="00EF61CC">
                  <w:pPr>
                    <w:pStyle w:val="Default"/>
                    <w:ind w:left="-108"/>
                    <w:rPr>
                      <w:sz w:val="22"/>
                      <w:szCs w:val="22"/>
                      <w:lang w:val="sk-SK"/>
                    </w:rPr>
                  </w:pPr>
                  <w:r w:rsidRPr="00EE40F4">
                    <w:rPr>
                      <w:b/>
                      <w:bCs/>
                      <w:sz w:val="22"/>
                      <w:szCs w:val="22"/>
                      <w:lang w:val="sk-SK"/>
                    </w:rPr>
                    <w:t>Infekcie a nákazy</w:t>
                  </w:r>
                </w:p>
              </w:tc>
            </w:tr>
          </w:tbl>
          <w:p w14:paraId="09A0239A" w14:textId="77777777" w:rsidR="00653A62" w:rsidRPr="00EE40F4" w:rsidRDefault="00653A62" w:rsidP="00EF61CC">
            <w:pPr>
              <w:pStyle w:val="Default"/>
              <w:rPr>
                <w:sz w:val="22"/>
                <w:szCs w:val="22"/>
                <w:lang w:val="sk-SK"/>
              </w:rPr>
            </w:pPr>
          </w:p>
        </w:tc>
      </w:tr>
      <w:tr w:rsidR="00653A62" w:rsidRPr="00EE40F4" w14:paraId="5034C93D" w14:textId="77777777" w:rsidTr="006624DA">
        <w:trPr>
          <w:trHeight w:val="765"/>
        </w:trPr>
        <w:tc>
          <w:tcPr>
            <w:tcW w:w="4512" w:type="dxa"/>
            <w:gridSpan w:val="2"/>
          </w:tcPr>
          <w:p w14:paraId="2F2FA4C4"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51D0BECE" w14:textId="77777777" w:rsidR="00653A62" w:rsidRPr="00EE40F4" w:rsidRDefault="00653A62" w:rsidP="00EF61CC">
            <w:pPr>
              <w:pStyle w:val="Default"/>
              <w:rPr>
                <w:sz w:val="22"/>
                <w:szCs w:val="22"/>
                <w:lang w:val="sk-SK"/>
              </w:rPr>
            </w:pPr>
            <w:r w:rsidRPr="00EE40F4">
              <w:rPr>
                <w:sz w:val="22"/>
                <w:szCs w:val="22"/>
                <w:lang w:val="sk-SK"/>
              </w:rPr>
              <w:t>Herpes zoster, herpes simplex, nazofaryngitída, pneumónia</w:t>
            </w:r>
            <w:r w:rsidRPr="00EE40F4">
              <w:rPr>
                <w:sz w:val="22"/>
                <w:szCs w:val="22"/>
                <w:vertAlign w:val="superscript"/>
                <w:lang w:val="sk-SK"/>
              </w:rPr>
              <w:t>1</w:t>
            </w:r>
            <w:r w:rsidRPr="00EE40F4">
              <w:rPr>
                <w:sz w:val="22"/>
                <w:szCs w:val="22"/>
                <w:lang w:val="sk-SK"/>
              </w:rPr>
              <w:t xml:space="preserve">, sinusitída, celulitída, infekcia horných dýchacích ciest, chrípka, infekcia močových ciest, gastroenteritída, sepsa </w:t>
            </w:r>
          </w:p>
        </w:tc>
      </w:tr>
      <w:tr w:rsidR="00653A62" w:rsidRPr="00EE40F4" w14:paraId="31CB4992" w14:textId="77777777" w:rsidTr="006624DA">
        <w:trPr>
          <w:trHeight w:val="200"/>
        </w:trPr>
        <w:tc>
          <w:tcPr>
            <w:tcW w:w="4512" w:type="dxa"/>
            <w:gridSpan w:val="2"/>
          </w:tcPr>
          <w:p w14:paraId="1419124A"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0DF4E4B" w14:textId="77777777" w:rsidR="00653A62" w:rsidRPr="00EE40F4" w:rsidRDefault="00653A62" w:rsidP="00EF61CC">
            <w:pPr>
              <w:pStyle w:val="Default"/>
              <w:rPr>
                <w:sz w:val="22"/>
                <w:szCs w:val="22"/>
                <w:lang w:val="sk-SK"/>
              </w:rPr>
            </w:pPr>
            <w:r w:rsidRPr="00EE40F4">
              <w:rPr>
                <w:sz w:val="22"/>
                <w:szCs w:val="22"/>
                <w:lang w:val="sk-SK"/>
              </w:rPr>
              <w:t xml:space="preserve">Hubová infekcia </w:t>
            </w:r>
          </w:p>
        </w:tc>
      </w:tr>
      <w:tr w:rsidR="008A2150" w:rsidRPr="00EE40F4" w14:paraId="12350CEC" w14:textId="77777777" w:rsidTr="006624DA">
        <w:trPr>
          <w:trHeight w:val="200"/>
        </w:trPr>
        <w:tc>
          <w:tcPr>
            <w:tcW w:w="4512" w:type="dxa"/>
            <w:gridSpan w:val="2"/>
          </w:tcPr>
          <w:p w14:paraId="5ED233F7" w14:textId="77777777" w:rsidR="008A2150" w:rsidRPr="00EE40F4" w:rsidRDefault="008A2150" w:rsidP="00EF61CC">
            <w:pPr>
              <w:pStyle w:val="Default"/>
              <w:rPr>
                <w:i/>
                <w:iCs/>
                <w:sz w:val="22"/>
                <w:szCs w:val="22"/>
                <w:lang w:val="sk-SK"/>
              </w:rPr>
            </w:pPr>
            <w:r w:rsidRPr="00EE40F4">
              <w:rPr>
                <w:i/>
                <w:iCs/>
                <w:sz w:val="22"/>
                <w:szCs w:val="22"/>
                <w:lang w:val="sk-SK"/>
              </w:rPr>
              <w:t>Neznáme:</w:t>
            </w:r>
          </w:p>
        </w:tc>
        <w:tc>
          <w:tcPr>
            <w:tcW w:w="4952" w:type="dxa"/>
            <w:gridSpan w:val="2"/>
          </w:tcPr>
          <w:p w14:paraId="412060F9" w14:textId="77777777" w:rsidR="008A2150" w:rsidRPr="00EE40F4" w:rsidRDefault="008A2150" w:rsidP="00EF61CC">
            <w:pPr>
              <w:pStyle w:val="Default"/>
              <w:rPr>
                <w:sz w:val="22"/>
                <w:szCs w:val="22"/>
                <w:lang w:val="sk-SK"/>
              </w:rPr>
            </w:pPr>
            <w:r w:rsidRPr="00EE40F4">
              <w:rPr>
                <w:sz w:val="22"/>
                <w:szCs w:val="22"/>
                <w:lang w:val="sk-SK"/>
              </w:rPr>
              <w:t>Reaktivácia hepatitídy B</w:t>
            </w:r>
            <w:r w:rsidR="00CB0CA7" w:rsidRPr="008A2150">
              <w:rPr>
                <w:sz w:val="22"/>
                <w:szCs w:val="22"/>
                <w:lang w:val="sk-SK"/>
              </w:rPr>
              <w:t>*</w:t>
            </w:r>
          </w:p>
        </w:tc>
      </w:tr>
      <w:tr w:rsidR="00653A62" w:rsidRPr="00EE40F4" w14:paraId="086838B9" w14:textId="77777777" w:rsidTr="006624DA">
        <w:trPr>
          <w:trHeight w:val="197"/>
        </w:trPr>
        <w:tc>
          <w:tcPr>
            <w:tcW w:w="9464" w:type="dxa"/>
            <w:gridSpan w:val="4"/>
          </w:tcPr>
          <w:p w14:paraId="183D72C2" w14:textId="77777777" w:rsidR="00653A62" w:rsidRPr="00EE40F4" w:rsidRDefault="00653A62" w:rsidP="00EF61CC">
            <w:pPr>
              <w:pStyle w:val="Default"/>
              <w:rPr>
                <w:sz w:val="22"/>
                <w:szCs w:val="22"/>
                <w:lang w:val="sk-SK"/>
              </w:rPr>
            </w:pPr>
            <w:r w:rsidRPr="00EE40F4">
              <w:rPr>
                <w:b/>
                <w:bCs/>
                <w:sz w:val="22"/>
                <w:szCs w:val="22"/>
                <w:lang w:val="sk-SK"/>
              </w:rPr>
              <w:t xml:space="preserve">Benígne a malígne nádory, vrátane nešpecifikovaných novotvarov (cysty a polypy) </w:t>
            </w:r>
          </w:p>
        </w:tc>
      </w:tr>
      <w:tr w:rsidR="00653A62" w:rsidRPr="00EE40F4" w14:paraId="5DA97317" w14:textId="77777777" w:rsidTr="006624DA">
        <w:trPr>
          <w:trHeight w:val="200"/>
        </w:trPr>
        <w:tc>
          <w:tcPr>
            <w:tcW w:w="4512" w:type="dxa"/>
            <w:gridSpan w:val="2"/>
          </w:tcPr>
          <w:p w14:paraId="2154C62F"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4C43BCA9" w14:textId="77777777" w:rsidR="00653A62" w:rsidRPr="00EE40F4" w:rsidRDefault="00653A62" w:rsidP="00EF61CC">
            <w:pPr>
              <w:pStyle w:val="Default"/>
              <w:rPr>
                <w:sz w:val="22"/>
                <w:szCs w:val="22"/>
                <w:lang w:val="sk-SK"/>
              </w:rPr>
            </w:pPr>
            <w:r w:rsidRPr="00EE40F4">
              <w:rPr>
                <w:sz w:val="22"/>
                <w:szCs w:val="22"/>
                <w:lang w:val="sk-SK"/>
              </w:rPr>
              <w:t xml:space="preserve">Syndróm z rozpadu nádoru </w:t>
            </w:r>
          </w:p>
        </w:tc>
      </w:tr>
      <w:tr w:rsidR="00382022" w:rsidRPr="00EE40F4" w14:paraId="3F35C925" w14:textId="77777777" w:rsidTr="006624DA">
        <w:trPr>
          <w:trHeight w:val="200"/>
        </w:trPr>
        <w:tc>
          <w:tcPr>
            <w:tcW w:w="4512" w:type="dxa"/>
            <w:gridSpan w:val="2"/>
          </w:tcPr>
          <w:p w14:paraId="48B10F13"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4B9C1DF3" w14:textId="77777777" w:rsidR="00382022" w:rsidRPr="00EE40F4" w:rsidRDefault="00382022" w:rsidP="00EF61CC">
            <w:pPr>
              <w:pStyle w:val="Default"/>
              <w:rPr>
                <w:sz w:val="22"/>
                <w:szCs w:val="22"/>
                <w:lang w:val="sk-SK"/>
              </w:rPr>
            </w:pPr>
            <w:r w:rsidRPr="00EE40F4">
              <w:rPr>
                <w:sz w:val="22"/>
                <w:szCs w:val="22"/>
                <w:lang w:val="sk-SK"/>
              </w:rPr>
              <w:t xml:space="preserve">Krvácanie </w:t>
            </w:r>
            <w:r w:rsidR="00514042">
              <w:rPr>
                <w:sz w:val="22"/>
                <w:szCs w:val="22"/>
                <w:lang w:val="sk-SK"/>
              </w:rPr>
              <w:t xml:space="preserve">z </w:t>
            </w:r>
            <w:r w:rsidRPr="00EE40F4">
              <w:rPr>
                <w:sz w:val="22"/>
                <w:szCs w:val="22"/>
                <w:lang w:val="sk-SK"/>
              </w:rPr>
              <w:t xml:space="preserve">nádoru/nekróza nádoru* </w:t>
            </w:r>
          </w:p>
        </w:tc>
      </w:tr>
      <w:tr w:rsidR="00382022" w:rsidRPr="00EE40F4" w14:paraId="7A4FD338" w14:textId="77777777" w:rsidTr="00615F33">
        <w:trPr>
          <w:trHeight w:val="200"/>
        </w:trPr>
        <w:tc>
          <w:tcPr>
            <w:tcW w:w="9464" w:type="dxa"/>
            <w:gridSpan w:val="4"/>
          </w:tcPr>
          <w:p w14:paraId="0D72706E" w14:textId="77777777" w:rsidR="00382022" w:rsidRPr="00EE40F4" w:rsidRDefault="00382022" w:rsidP="00382022">
            <w:pPr>
              <w:pStyle w:val="Default"/>
              <w:rPr>
                <w:sz w:val="22"/>
                <w:szCs w:val="22"/>
                <w:lang w:val="sk-SK"/>
              </w:rPr>
            </w:pPr>
            <w:r w:rsidRPr="00EE40F4">
              <w:rPr>
                <w:b/>
                <w:bCs/>
                <w:sz w:val="22"/>
                <w:szCs w:val="22"/>
                <w:lang w:val="sk-SK"/>
              </w:rPr>
              <w:t xml:space="preserve">Poruchy imunitného systému </w:t>
            </w:r>
          </w:p>
        </w:tc>
      </w:tr>
      <w:tr w:rsidR="00382022" w:rsidRPr="00EE40F4" w14:paraId="7007E79B" w14:textId="77777777" w:rsidTr="006624DA">
        <w:trPr>
          <w:trHeight w:val="200"/>
        </w:trPr>
        <w:tc>
          <w:tcPr>
            <w:tcW w:w="4512" w:type="dxa"/>
            <w:gridSpan w:val="2"/>
          </w:tcPr>
          <w:p w14:paraId="63671270"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043B3FB6" w14:textId="77777777" w:rsidR="00382022" w:rsidRPr="00EE40F4" w:rsidRDefault="00382022" w:rsidP="00EF61CC">
            <w:pPr>
              <w:pStyle w:val="Default"/>
              <w:rPr>
                <w:sz w:val="22"/>
                <w:szCs w:val="22"/>
                <w:lang w:val="sk-SK"/>
              </w:rPr>
            </w:pPr>
            <w:r w:rsidRPr="00EE40F4">
              <w:rPr>
                <w:sz w:val="22"/>
                <w:szCs w:val="22"/>
                <w:lang w:val="sk-SK"/>
              </w:rPr>
              <w:t xml:space="preserve">Anafylaktický šok* </w:t>
            </w:r>
          </w:p>
        </w:tc>
      </w:tr>
      <w:tr w:rsidR="00653A62" w:rsidRPr="00EE40F4" w14:paraId="79B3C638" w14:textId="77777777" w:rsidTr="006624DA">
        <w:trPr>
          <w:trHeight w:val="197"/>
        </w:trPr>
        <w:tc>
          <w:tcPr>
            <w:tcW w:w="9464" w:type="dxa"/>
            <w:gridSpan w:val="4"/>
          </w:tcPr>
          <w:p w14:paraId="7A4D11E0" w14:textId="77777777" w:rsidR="00653A62" w:rsidRPr="00EE40F4" w:rsidRDefault="00653A62" w:rsidP="00EF61CC">
            <w:pPr>
              <w:pStyle w:val="Default"/>
              <w:rPr>
                <w:sz w:val="22"/>
                <w:szCs w:val="22"/>
                <w:lang w:val="sk-SK"/>
              </w:rPr>
            </w:pPr>
            <w:r w:rsidRPr="00EE40F4">
              <w:rPr>
                <w:b/>
                <w:bCs/>
                <w:sz w:val="22"/>
                <w:szCs w:val="22"/>
                <w:lang w:val="sk-SK"/>
              </w:rPr>
              <w:t xml:space="preserve">Poruchy krvi a lymfatického systému </w:t>
            </w:r>
          </w:p>
        </w:tc>
      </w:tr>
      <w:tr w:rsidR="00653A62" w:rsidRPr="00EE40F4" w14:paraId="6640D2EF" w14:textId="77777777" w:rsidTr="006624DA">
        <w:trPr>
          <w:trHeight w:val="200"/>
        </w:trPr>
        <w:tc>
          <w:tcPr>
            <w:tcW w:w="4512" w:type="dxa"/>
            <w:gridSpan w:val="2"/>
          </w:tcPr>
          <w:p w14:paraId="00C83853"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52" w:type="dxa"/>
            <w:gridSpan w:val="2"/>
          </w:tcPr>
          <w:p w14:paraId="1C2583DF" w14:textId="77777777" w:rsidR="00653A62" w:rsidRPr="00EE40F4" w:rsidRDefault="00653A62" w:rsidP="00EF61CC">
            <w:pPr>
              <w:pStyle w:val="Default"/>
              <w:rPr>
                <w:sz w:val="22"/>
                <w:szCs w:val="22"/>
                <w:lang w:val="sk-SK"/>
              </w:rPr>
            </w:pPr>
            <w:r w:rsidRPr="00EE40F4">
              <w:rPr>
                <w:sz w:val="22"/>
                <w:szCs w:val="22"/>
                <w:lang w:val="sk-SK"/>
              </w:rPr>
              <w:t xml:space="preserve">Neutropénia, trombocytopénia, anémia </w:t>
            </w:r>
          </w:p>
        </w:tc>
      </w:tr>
      <w:tr w:rsidR="00653A62" w:rsidRPr="00EE40F4" w14:paraId="04A27CE3" w14:textId="77777777" w:rsidTr="006624DA">
        <w:trPr>
          <w:trHeight w:val="200"/>
        </w:trPr>
        <w:tc>
          <w:tcPr>
            <w:tcW w:w="4512" w:type="dxa"/>
            <w:gridSpan w:val="2"/>
          </w:tcPr>
          <w:p w14:paraId="5FE906C2"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09B5203D" w14:textId="77777777" w:rsidR="00653A62" w:rsidRPr="00EE40F4" w:rsidRDefault="00653A62" w:rsidP="00EF61CC">
            <w:pPr>
              <w:pStyle w:val="Default"/>
              <w:rPr>
                <w:sz w:val="22"/>
                <w:szCs w:val="22"/>
                <w:lang w:val="sk-SK"/>
              </w:rPr>
            </w:pPr>
            <w:r w:rsidRPr="00EE40F4">
              <w:rPr>
                <w:sz w:val="22"/>
                <w:szCs w:val="22"/>
                <w:lang w:val="sk-SK"/>
              </w:rPr>
              <w:t xml:space="preserve">Pancytopénia, febrilná neutropénia </w:t>
            </w:r>
          </w:p>
        </w:tc>
      </w:tr>
      <w:tr w:rsidR="00653A62" w:rsidRPr="00EE40F4" w14:paraId="0107D7FB" w14:textId="77777777" w:rsidTr="006624DA">
        <w:trPr>
          <w:trHeight w:val="200"/>
        </w:trPr>
        <w:tc>
          <w:tcPr>
            <w:tcW w:w="4512" w:type="dxa"/>
            <w:gridSpan w:val="2"/>
          </w:tcPr>
          <w:p w14:paraId="689DB0D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495C734" w14:textId="77777777" w:rsidR="00653A62" w:rsidRPr="00EE40F4" w:rsidRDefault="00653A62" w:rsidP="00EF61CC">
            <w:pPr>
              <w:pStyle w:val="Default"/>
              <w:rPr>
                <w:sz w:val="22"/>
                <w:szCs w:val="22"/>
                <w:lang w:val="sk-SK"/>
              </w:rPr>
            </w:pPr>
            <w:r w:rsidRPr="00EE40F4">
              <w:rPr>
                <w:sz w:val="22"/>
                <w:szCs w:val="22"/>
                <w:lang w:val="sk-SK"/>
              </w:rPr>
              <w:t xml:space="preserve">Trombocytémia, lymfopénia, útlm kostnej drene, eozinofília, lymfadenopatia </w:t>
            </w:r>
          </w:p>
        </w:tc>
      </w:tr>
      <w:tr w:rsidR="00653A62" w:rsidRPr="00EE40F4" w14:paraId="5440BD7A" w14:textId="77777777" w:rsidTr="006624DA">
        <w:trPr>
          <w:trHeight w:val="200"/>
        </w:trPr>
        <w:tc>
          <w:tcPr>
            <w:tcW w:w="4512" w:type="dxa"/>
            <w:gridSpan w:val="2"/>
          </w:tcPr>
          <w:p w14:paraId="24F5739B"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7760B65B" w14:textId="77777777" w:rsidR="00653A62" w:rsidRPr="00EE40F4" w:rsidRDefault="00653A62">
            <w:pPr>
              <w:pStyle w:val="Default"/>
              <w:rPr>
                <w:sz w:val="22"/>
                <w:szCs w:val="22"/>
                <w:lang w:val="sk-SK"/>
              </w:rPr>
            </w:pPr>
            <w:r w:rsidRPr="00EE40F4">
              <w:rPr>
                <w:sz w:val="22"/>
                <w:szCs w:val="22"/>
                <w:lang w:val="sk-SK"/>
              </w:rPr>
              <w:t>Hemolytická anémia</w:t>
            </w:r>
            <w:r w:rsidR="007705E9">
              <w:rPr>
                <w:sz w:val="22"/>
                <w:szCs w:val="22"/>
                <w:lang w:val="sk-SK"/>
              </w:rPr>
              <w:t>, trombotická mikroangiopatia</w:t>
            </w:r>
            <w:r w:rsidRPr="00EE40F4">
              <w:rPr>
                <w:sz w:val="22"/>
                <w:szCs w:val="22"/>
                <w:lang w:val="sk-SK"/>
              </w:rPr>
              <w:t xml:space="preserve"> </w:t>
            </w:r>
          </w:p>
        </w:tc>
      </w:tr>
      <w:tr w:rsidR="00653A62" w:rsidRPr="00EE40F4" w14:paraId="0A782DCF" w14:textId="77777777" w:rsidTr="006624DA">
        <w:trPr>
          <w:trHeight w:val="197"/>
        </w:trPr>
        <w:tc>
          <w:tcPr>
            <w:tcW w:w="9464" w:type="dxa"/>
            <w:gridSpan w:val="4"/>
          </w:tcPr>
          <w:p w14:paraId="52B1CFA7" w14:textId="77777777" w:rsidR="00653A62" w:rsidRPr="00EE40F4" w:rsidRDefault="00653A62" w:rsidP="00EF61CC">
            <w:pPr>
              <w:pStyle w:val="Default"/>
              <w:rPr>
                <w:sz w:val="22"/>
                <w:szCs w:val="22"/>
                <w:lang w:val="sk-SK"/>
              </w:rPr>
            </w:pPr>
            <w:r w:rsidRPr="00EE40F4">
              <w:rPr>
                <w:b/>
                <w:bCs/>
                <w:sz w:val="22"/>
                <w:szCs w:val="22"/>
                <w:lang w:val="sk-SK"/>
              </w:rPr>
              <w:t xml:space="preserve">Poruchy metabolizmu a výživy </w:t>
            </w:r>
          </w:p>
        </w:tc>
      </w:tr>
      <w:tr w:rsidR="00653A62" w:rsidRPr="00EE40F4" w14:paraId="0B8B2450" w14:textId="77777777" w:rsidTr="006624DA">
        <w:trPr>
          <w:trHeight w:val="200"/>
        </w:trPr>
        <w:tc>
          <w:tcPr>
            <w:tcW w:w="4512" w:type="dxa"/>
            <w:gridSpan w:val="2"/>
          </w:tcPr>
          <w:p w14:paraId="3F822681"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7F0C0790" w14:textId="77777777" w:rsidR="00653A62" w:rsidRPr="00EE40F4" w:rsidRDefault="00653A62" w:rsidP="00EF61CC">
            <w:pPr>
              <w:pStyle w:val="Default"/>
              <w:rPr>
                <w:sz w:val="22"/>
                <w:szCs w:val="22"/>
                <w:lang w:val="sk-SK"/>
              </w:rPr>
            </w:pPr>
            <w:r w:rsidRPr="00EE40F4">
              <w:rPr>
                <w:sz w:val="22"/>
                <w:szCs w:val="22"/>
                <w:lang w:val="sk-SK"/>
              </w:rPr>
              <w:t xml:space="preserve">Anorexia </w:t>
            </w:r>
          </w:p>
        </w:tc>
      </w:tr>
      <w:tr w:rsidR="00653A62" w:rsidRPr="00EE40F4" w14:paraId="2BAA7033" w14:textId="77777777" w:rsidTr="006624DA">
        <w:trPr>
          <w:trHeight w:val="721"/>
        </w:trPr>
        <w:tc>
          <w:tcPr>
            <w:tcW w:w="4512" w:type="dxa"/>
            <w:gridSpan w:val="2"/>
          </w:tcPr>
          <w:p w14:paraId="73FCD46C"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456E1863" w14:textId="77777777" w:rsidR="00653A62" w:rsidRPr="00EE40F4" w:rsidRDefault="00653A62" w:rsidP="00EF61CC">
            <w:pPr>
              <w:pStyle w:val="Default"/>
              <w:rPr>
                <w:sz w:val="22"/>
                <w:szCs w:val="22"/>
                <w:lang w:val="sk-SK"/>
              </w:rPr>
            </w:pPr>
            <w:r w:rsidRPr="00EE40F4">
              <w:rPr>
                <w:sz w:val="22"/>
                <w:szCs w:val="22"/>
                <w:lang w:val="sk-SK"/>
              </w:rPr>
              <w:t xml:space="preserve">Hypokaliémia, zvýšenie chuti do jedenia, hypofosfatémia, zníženie chuti do jedenia, dehydratácia, dna, hyperurikémia, hyperkalciémia, hyperglykémia, hyponatriémia </w:t>
            </w:r>
          </w:p>
        </w:tc>
      </w:tr>
      <w:tr w:rsidR="00653A62" w:rsidRPr="00EE40F4" w14:paraId="79C74955" w14:textId="77777777" w:rsidTr="006624DA">
        <w:trPr>
          <w:trHeight w:val="200"/>
        </w:trPr>
        <w:tc>
          <w:tcPr>
            <w:tcW w:w="4512" w:type="dxa"/>
            <w:gridSpan w:val="2"/>
          </w:tcPr>
          <w:p w14:paraId="449F0D06"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4C3775F" w14:textId="77777777" w:rsidR="00653A62" w:rsidRPr="00EE40F4" w:rsidRDefault="00653A62" w:rsidP="00EF61CC">
            <w:pPr>
              <w:pStyle w:val="Default"/>
              <w:rPr>
                <w:sz w:val="22"/>
                <w:szCs w:val="22"/>
                <w:lang w:val="sk-SK"/>
              </w:rPr>
            </w:pPr>
            <w:r w:rsidRPr="00EE40F4">
              <w:rPr>
                <w:sz w:val="22"/>
                <w:szCs w:val="22"/>
                <w:lang w:val="sk-SK"/>
              </w:rPr>
              <w:t xml:space="preserve">Hyperkaliémia, hypomagneziémia </w:t>
            </w:r>
          </w:p>
        </w:tc>
      </w:tr>
      <w:tr w:rsidR="00653A62" w:rsidRPr="00EE40F4" w14:paraId="771A9C4F" w14:textId="77777777" w:rsidTr="006624DA">
        <w:trPr>
          <w:trHeight w:val="197"/>
        </w:trPr>
        <w:tc>
          <w:tcPr>
            <w:tcW w:w="9464" w:type="dxa"/>
            <w:gridSpan w:val="4"/>
          </w:tcPr>
          <w:p w14:paraId="6D552934" w14:textId="77777777" w:rsidR="00653A62" w:rsidRPr="00EE40F4" w:rsidRDefault="00653A62" w:rsidP="00EF61CC">
            <w:pPr>
              <w:pStyle w:val="Default"/>
              <w:rPr>
                <w:sz w:val="22"/>
                <w:szCs w:val="22"/>
                <w:lang w:val="sk-SK"/>
              </w:rPr>
            </w:pPr>
            <w:r w:rsidRPr="00EE40F4">
              <w:rPr>
                <w:b/>
                <w:bCs/>
                <w:sz w:val="22"/>
                <w:szCs w:val="22"/>
                <w:lang w:val="sk-SK"/>
              </w:rPr>
              <w:t xml:space="preserve">Psychické poruchy </w:t>
            </w:r>
          </w:p>
        </w:tc>
      </w:tr>
      <w:tr w:rsidR="00653A62" w:rsidRPr="00EE40F4" w14:paraId="4EA4004D" w14:textId="77777777" w:rsidTr="006624DA">
        <w:trPr>
          <w:trHeight w:val="200"/>
        </w:trPr>
        <w:tc>
          <w:tcPr>
            <w:tcW w:w="4512" w:type="dxa"/>
            <w:gridSpan w:val="2"/>
          </w:tcPr>
          <w:p w14:paraId="52EB7C9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2F183488" w14:textId="77777777" w:rsidR="00653A62" w:rsidRPr="00EE40F4" w:rsidRDefault="00653A62" w:rsidP="00EF61CC">
            <w:pPr>
              <w:pStyle w:val="Default"/>
              <w:rPr>
                <w:sz w:val="22"/>
                <w:szCs w:val="22"/>
                <w:lang w:val="sk-SK"/>
              </w:rPr>
            </w:pPr>
            <w:r w:rsidRPr="00EE40F4">
              <w:rPr>
                <w:sz w:val="22"/>
                <w:szCs w:val="22"/>
                <w:lang w:val="sk-SK"/>
              </w:rPr>
              <w:t xml:space="preserve">Nespavosť </w:t>
            </w:r>
          </w:p>
        </w:tc>
      </w:tr>
      <w:tr w:rsidR="00653A62" w:rsidRPr="00EE40F4" w14:paraId="7A9AAC16" w14:textId="77777777" w:rsidTr="006624DA">
        <w:trPr>
          <w:trHeight w:val="200"/>
        </w:trPr>
        <w:tc>
          <w:tcPr>
            <w:tcW w:w="4512" w:type="dxa"/>
            <w:gridSpan w:val="2"/>
          </w:tcPr>
          <w:p w14:paraId="04AC5AF9"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632AC37E" w14:textId="77777777" w:rsidR="00653A62" w:rsidRPr="00EE40F4" w:rsidRDefault="00653A62" w:rsidP="00EF61CC">
            <w:pPr>
              <w:pStyle w:val="Default"/>
              <w:rPr>
                <w:sz w:val="22"/>
                <w:szCs w:val="22"/>
                <w:lang w:val="sk-SK"/>
              </w:rPr>
            </w:pPr>
            <w:r w:rsidRPr="00EE40F4">
              <w:rPr>
                <w:sz w:val="22"/>
                <w:szCs w:val="22"/>
                <w:lang w:val="sk-SK"/>
              </w:rPr>
              <w:t xml:space="preserve">Depresia, zníženie libida, úzkosť </w:t>
            </w:r>
          </w:p>
        </w:tc>
      </w:tr>
      <w:tr w:rsidR="00653A62" w:rsidRPr="00EE40F4" w14:paraId="1284055A" w14:textId="77777777" w:rsidTr="006624DA">
        <w:trPr>
          <w:trHeight w:val="200"/>
        </w:trPr>
        <w:tc>
          <w:tcPr>
            <w:tcW w:w="4512" w:type="dxa"/>
            <w:gridSpan w:val="2"/>
          </w:tcPr>
          <w:p w14:paraId="1AC8B6BD"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117361F" w14:textId="77777777" w:rsidR="00653A62" w:rsidRPr="00EE40F4" w:rsidRDefault="00653A62" w:rsidP="00EF61CC">
            <w:pPr>
              <w:pStyle w:val="Default"/>
              <w:rPr>
                <w:sz w:val="22"/>
                <w:szCs w:val="22"/>
                <w:lang w:val="sk-SK"/>
              </w:rPr>
            </w:pPr>
            <w:r w:rsidRPr="00EE40F4">
              <w:rPr>
                <w:sz w:val="22"/>
                <w:szCs w:val="22"/>
                <w:lang w:val="sk-SK"/>
              </w:rPr>
              <w:t xml:space="preserve">Zmätenosť </w:t>
            </w:r>
          </w:p>
        </w:tc>
      </w:tr>
      <w:tr w:rsidR="00653A62" w:rsidRPr="00EE40F4" w14:paraId="144078F3" w14:textId="77777777" w:rsidTr="006624DA">
        <w:trPr>
          <w:trHeight w:val="197"/>
        </w:trPr>
        <w:tc>
          <w:tcPr>
            <w:tcW w:w="9464" w:type="dxa"/>
            <w:gridSpan w:val="4"/>
          </w:tcPr>
          <w:p w14:paraId="6DCE091C" w14:textId="77777777" w:rsidR="00653A62" w:rsidRPr="00EE40F4" w:rsidRDefault="00653A62" w:rsidP="00EF61CC">
            <w:pPr>
              <w:pStyle w:val="Default"/>
              <w:rPr>
                <w:sz w:val="22"/>
                <w:szCs w:val="22"/>
                <w:lang w:val="sk-SK"/>
              </w:rPr>
            </w:pPr>
            <w:r w:rsidRPr="00EE40F4">
              <w:rPr>
                <w:b/>
                <w:bCs/>
                <w:sz w:val="22"/>
                <w:szCs w:val="22"/>
                <w:lang w:val="sk-SK"/>
              </w:rPr>
              <w:t xml:space="preserve">Poruchy nervového systému </w:t>
            </w:r>
          </w:p>
        </w:tc>
      </w:tr>
      <w:tr w:rsidR="00653A62" w:rsidRPr="00EE40F4" w14:paraId="421524BC" w14:textId="77777777" w:rsidTr="006624DA">
        <w:trPr>
          <w:trHeight w:val="245"/>
        </w:trPr>
        <w:tc>
          <w:tcPr>
            <w:tcW w:w="4512" w:type="dxa"/>
            <w:gridSpan w:val="2"/>
          </w:tcPr>
          <w:p w14:paraId="086CCCD6"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52" w:type="dxa"/>
            <w:gridSpan w:val="2"/>
          </w:tcPr>
          <w:p w14:paraId="50FAD6F4" w14:textId="77777777" w:rsidR="00653A62" w:rsidRPr="00EE40F4" w:rsidRDefault="00653A62" w:rsidP="001166B0">
            <w:pPr>
              <w:pStyle w:val="Default"/>
              <w:rPr>
                <w:sz w:val="22"/>
                <w:szCs w:val="22"/>
                <w:lang w:val="sk-SK"/>
              </w:rPr>
            </w:pPr>
            <w:r w:rsidRPr="00EE40F4">
              <w:rPr>
                <w:sz w:val="22"/>
                <w:szCs w:val="22"/>
                <w:lang w:val="sk-SK"/>
              </w:rPr>
              <w:t>Bolesť hlavy</w:t>
            </w:r>
          </w:p>
        </w:tc>
      </w:tr>
      <w:tr w:rsidR="00653A62" w:rsidRPr="00EE40F4" w14:paraId="24B073DE" w14:textId="77777777" w:rsidTr="006624DA">
        <w:trPr>
          <w:trHeight w:val="200"/>
        </w:trPr>
        <w:tc>
          <w:tcPr>
            <w:tcW w:w="4512" w:type="dxa"/>
            <w:gridSpan w:val="2"/>
          </w:tcPr>
          <w:p w14:paraId="402F0ED2"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685875EA" w14:textId="77777777" w:rsidR="00653A62" w:rsidRPr="00EE40F4" w:rsidRDefault="00653A62" w:rsidP="00EF61CC">
            <w:pPr>
              <w:pStyle w:val="Default"/>
              <w:rPr>
                <w:sz w:val="22"/>
                <w:szCs w:val="22"/>
                <w:lang w:val="sk-SK"/>
              </w:rPr>
            </w:pPr>
            <w:r w:rsidRPr="00EE40F4">
              <w:rPr>
                <w:sz w:val="22"/>
                <w:szCs w:val="22"/>
                <w:lang w:val="sk-SK"/>
              </w:rPr>
              <w:t xml:space="preserve">Závraty, parestézia, poruchy vnímania chuti, hypestézia </w:t>
            </w:r>
          </w:p>
        </w:tc>
      </w:tr>
      <w:tr w:rsidR="00653A62" w:rsidRPr="00EE40F4" w14:paraId="52A16489" w14:textId="77777777" w:rsidTr="006624DA">
        <w:trPr>
          <w:trHeight w:val="719"/>
        </w:trPr>
        <w:tc>
          <w:tcPr>
            <w:tcW w:w="4512" w:type="dxa"/>
            <w:gridSpan w:val="2"/>
          </w:tcPr>
          <w:p w14:paraId="2059C7A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F4DB18E" w14:textId="77777777" w:rsidR="00653A62" w:rsidRPr="00EE40F4" w:rsidRDefault="00653A62" w:rsidP="00EF61CC">
            <w:pPr>
              <w:pStyle w:val="Default"/>
              <w:rPr>
                <w:sz w:val="22"/>
                <w:szCs w:val="22"/>
                <w:lang w:val="sk-SK"/>
              </w:rPr>
            </w:pPr>
            <w:r w:rsidRPr="00EE40F4">
              <w:rPr>
                <w:sz w:val="22"/>
                <w:szCs w:val="22"/>
                <w:lang w:val="sk-SK"/>
              </w:rPr>
              <w:t xml:space="preserve">Migréna, somnolencia, synkopa, periférna neuropatia, zhoršenie pamäti, zápal sedacieho nervu, syndróm nepokojných nôh, tremor, krvácanie do mozgu </w:t>
            </w:r>
          </w:p>
        </w:tc>
      </w:tr>
      <w:tr w:rsidR="00653A62" w:rsidRPr="00EE40F4" w14:paraId="7E1730F6" w14:textId="77777777" w:rsidTr="006624DA">
        <w:trPr>
          <w:trHeight w:val="200"/>
        </w:trPr>
        <w:tc>
          <w:tcPr>
            <w:tcW w:w="4512" w:type="dxa"/>
            <w:gridSpan w:val="2"/>
          </w:tcPr>
          <w:p w14:paraId="149AAE58"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0D1F1FE4" w14:textId="77777777" w:rsidR="00653A62" w:rsidRPr="00EE40F4" w:rsidRDefault="00653A62" w:rsidP="00EF61CC">
            <w:pPr>
              <w:pStyle w:val="Default"/>
              <w:rPr>
                <w:sz w:val="22"/>
                <w:szCs w:val="22"/>
                <w:lang w:val="sk-SK"/>
              </w:rPr>
            </w:pPr>
            <w:r w:rsidRPr="00EE40F4">
              <w:rPr>
                <w:sz w:val="22"/>
                <w:szCs w:val="22"/>
                <w:lang w:val="sk-SK"/>
              </w:rPr>
              <w:t xml:space="preserve">Zvýšenie vnútrolebkového tlaku, kŕče, neuritída zrakového nervu </w:t>
            </w:r>
          </w:p>
        </w:tc>
      </w:tr>
      <w:tr w:rsidR="00382022" w:rsidRPr="00EE40F4" w14:paraId="2B402C60" w14:textId="77777777" w:rsidTr="006624DA">
        <w:trPr>
          <w:trHeight w:val="200"/>
        </w:trPr>
        <w:tc>
          <w:tcPr>
            <w:tcW w:w="4512" w:type="dxa"/>
            <w:gridSpan w:val="2"/>
          </w:tcPr>
          <w:p w14:paraId="5ABE43FA" w14:textId="77777777" w:rsidR="00382022" w:rsidRPr="00EE40F4" w:rsidRDefault="00382022" w:rsidP="00EF61CC">
            <w:pPr>
              <w:pStyle w:val="Default"/>
              <w:rPr>
                <w:i/>
                <w:iCs/>
                <w:sz w:val="22"/>
                <w:szCs w:val="22"/>
                <w:lang w:val="sk-SK"/>
              </w:rPr>
            </w:pPr>
            <w:r w:rsidRPr="00EE40F4">
              <w:rPr>
                <w:i/>
                <w:iCs/>
                <w:sz w:val="22"/>
                <w:szCs w:val="22"/>
                <w:lang w:val="sk-SK"/>
              </w:rPr>
              <w:t xml:space="preserve">Neznáme: </w:t>
            </w:r>
          </w:p>
        </w:tc>
        <w:tc>
          <w:tcPr>
            <w:tcW w:w="4952" w:type="dxa"/>
            <w:gridSpan w:val="2"/>
          </w:tcPr>
          <w:p w14:paraId="5042BC57" w14:textId="77777777" w:rsidR="00382022" w:rsidRPr="00EE40F4" w:rsidRDefault="00382022" w:rsidP="00EF61CC">
            <w:pPr>
              <w:pStyle w:val="Default"/>
              <w:rPr>
                <w:sz w:val="22"/>
                <w:szCs w:val="22"/>
                <w:lang w:val="sk-SK"/>
              </w:rPr>
            </w:pPr>
            <w:r w:rsidRPr="00EE40F4">
              <w:rPr>
                <w:sz w:val="22"/>
                <w:szCs w:val="22"/>
                <w:lang w:val="sk-SK"/>
              </w:rPr>
              <w:t xml:space="preserve">Cerebrálny edém* </w:t>
            </w:r>
          </w:p>
        </w:tc>
      </w:tr>
      <w:tr w:rsidR="00653A62" w:rsidRPr="00EE40F4" w14:paraId="250801DE" w14:textId="77777777" w:rsidTr="006624DA">
        <w:trPr>
          <w:trHeight w:val="197"/>
        </w:trPr>
        <w:tc>
          <w:tcPr>
            <w:tcW w:w="9464" w:type="dxa"/>
            <w:gridSpan w:val="4"/>
          </w:tcPr>
          <w:p w14:paraId="57F31F63" w14:textId="77777777" w:rsidR="00653A62" w:rsidRPr="00EE40F4" w:rsidRDefault="00653A62" w:rsidP="00EF61CC">
            <w:pPr>
              <w:pStyle w:val="Default"/>
              <w:rPr>
                <w:sz w:val="22"/>
                <w:szCs w:val="22"/>
                <w:lang w:val="sk-SK"/>
              </w:rPr>
            </w:pPr>
            <w:r w:rsidRPr="00EE40F4">
              <w:rPr>
                <w:b/>
                <w:bCs/>
                <w:sz w:val="22"/>
                <w:szCs w:val="22"/>
                <w:lang w:val="sk-SK"/>
              </w:rPr>
              <w:t xml:space="preserve">Poruchy oka </w:t>
            </w:r>
          </w:p>
        </w:tc>
      </w:tr>
      <w:tr w:rsidR="00653A62" w:rsidRPr="00EE40F4" w14:paraId="23BAE262" w14:textId="77777777" w:rsidTr="006624DA">
        <w:trPr>
          <w:trHeight w:val="460"/>
        </w:trPr>
        <w:tc>
          <w:tcPr>
            <w:tcW w:w="4512" w:type="dxa"/>
            <w:gridSpan w:val="2"/>
          </w:tcPr>
          <w:p w14:paraId="3F3C6083"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0A4F6AA5" w14:textId="77777777" w:rsidR="00653A62" w:rsidRPr="00EE40F4" w:rsidRDefault="00356A3B" w:rsidP="00514042">
            <w:pPr>
              <w:pStyle w:val="Default"/>
              <w:rPr>
                <w:sz w:val="22"/>
                <w:szCs w:val="22"/>
                <w:lang w:val="sk-SK"/>
              </w:rPr>
            </w:pPr>
            <w:r>
              <w:rPr>
                <w:sz w:val="22"/>
                <w:szCs w:val="22"/>
                <w:lang w:val="sk-SK"/>
              </w:rPr>
              <w:t>O</w:t>
            </w:r>
            <w:r w:rsidR="00D834C4" w:rsidRPr="00356A3B">
              <w:rPr>
                <w:sz w:val="22"/>
                <w:szCs w:val="22"/>
                <w:lang w:val="sk-SK"/>
              </w:rPr>
              <w:t>puch očného viečka</w:t>
            </w:r>
            <w:r w:rsidR="00653A62" w:rsidRPr="00D834C4">
              <w:rPr>
                <w:sz w:val="22"/>
                <w:szCs w:val="22"/>
                <w:lang w:val="sk-SK"/>
              </w:rPr>
              <w:t>, zvýšená</w:t>
            </w:r>
            <w:r w:rsidR="00653A62" w:rsidRPr="00EE40F4">
              <w:rPr>
                <w:sz w:val="22"/>
                <w:szCs w:val="22"/>
                <w:lang w:val="sk-SK"/>
              </w:rPr>
              <w:t xml:space="preserve"> lakrimácia, krvácanie do spojoviek, konjunktivitída, suchosť očí, </w:t>
            </w:r>
            <w:r w:rsidR="00514042">
              <w:rPr>
                <w:sz w:val="22"/>
                <w:szCs w:val="22"/>
                <w:lang w:val="sk-SK"/>
              </w:rPr>
              <w:t xml:space="preserve">rozmazané </w:t>
            </w:r>
            <w:r w:rsidR="00653A62" w:rsidRPr="00EE40F4">
              <w:rPr>
                <w:sz w:val="22"/>
                <w:szCs w:val="22"/>
                <w:lang w:val="sk-SK"/>
              </w:rPr>
              <w:t xml:space="preserve">videnie </w:t>
            </w:r>
          </w:p>
        </w:tc>
      </w:tr>
      <w:tr w:rsidR="00653A62" w:rsidRPr="00EE40F4" w14:paraId="2F31FD69" w14:textId="77777777" w:rsidTr="006624DA">
        <w:trPr>
          <w:trHeight w:val="460"/>
        </w:trPr>
        <w:tc>
          <w:tcPr>
            <w:tcW w:w="4512" w:type="dxa"/>
            <w:gridSpan w:val="2"/>
          </w:tcPr>
          <w:p w14:paraId="538B840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A558DE9" w14:textId="77777777" w:rsidR="00653A62" w:rsidRPr="00EE40F4" w:rsidRDefault="00653A62" w:rsidP="00EF61CC">
            <w:pPr>
              <w:pStyle w:val="Default"/>
              <w:rPr>
                <w:sz w:val="22"/>
                <w:szCs w:val="22"/>
                <w:lang w:val="sk-SK"/>
              </w:rPr>
            </w:pPr>
            <w:r w:rsidRPr="00EE40F4">
              <w:rPr>
                <w:sz w:val="22"/>
                <w:szCs w:val="22"/>
                <w:lang w:val="sk-SK"/>
              </w:rPr>
              <w:t xml:space="preserve">Podráždenie očí, bolesť očí, orbitálny edém, krvácanie do skléry, krvácanie do sietnice, blefaritída, makulárny edém </w:t>
            </w:r>
          </w:p>
        </w:tc>
      </w:tr>
      <w:tr w:rsidR="00653A62" w:rsidRPr="00EE40F4" w14:paraId="0A17BED3" w14:textId="77777777" w:rsidTr="006624DA">
        <w:trPr>
          <w:trHeight w:val="200"/>
        </w:trPr>
        <w:tc>
          <w:tcPr>
            <w:tcW w:w="4512" w:type="dxa"/>
            <w:gridSpan w:val="2"/>
          </w:tcPr>
          <w:p w14:paraId="2BD36FD9"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6976B557" w14:textId="77777777" w:rsidR="00653A62" w:rsidRPr="00EE40F4" w:rsidRDefault="00653A62" w:rsidP="00EF61CC">
            <w:pPr>
              <w:pStyle w:val="Default"/>
              <w:rPr>
                <w:sz w:val="22"/>
                <w:szCs w:val="22"/>
                <w:lang w:val="sk-SK"/>
              </w:rPr>
            </w:pPr>
            <w:r w:rsidRPr="00EE40F4">
              <w:rPr>
                <w:sz w:val="22"/>
                <w:szCs w:val="22"/>
                <w:lang w:val="sk-SK"/>
              </w:rPr>
              <w:t xml:space="preserve">Katarakta, glaukóm, edém zrakovej papily </w:t>
            </w:r>
          </w:p>
        </w:tc>
      </w:tr>
      <w:tr w:rsidR="00382022" w:rsidRPr="00EE40F4" w14:paraId="6C00C933" w14:textId="77777777" w:rsidTr="006624DA">
        <w:trPr>
          <w:trHeight w:val="200"/>
        </w:trPr>
        <w:tc>
          <w:tcPr>
            <w:tcW w:w="4512" w:type="dxa"/>
            <w:gridSpan w:val="2"/>
          </w:tcPr>
          <w:p w14:paraId="4C004D90"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42AC6DE5" w14:textId="77777777" w:rsidR="00382022" w:rsidRPr="00EE40F4" w:rsidRDefault="00382022" w:rsidP="00EF61CC">
            <w:pPr>
              <w:pStyle w:val="Default"/>
              <w:rPr>
                <w:sz w:val="22"/>
                <w:szCs w:val="22"/>
                <w:lang w:val="sk-SK"/>
              </w:rPr>
            </w:pPr>
            <w:r w:rsidRPr="00EE40F4">
              <w:rPr>
                <w:sz w:val="22"/>
                <w:szCs w:val="22"/>
                <w:lang w:val="sk-SK"/>
              </w:rPr>
              <w:t xml:space="preserve">Krvácanie do sklovca* </w:t>
            </w:r>
          </w:p>
        </w:tc>
      </w:tr>
      <w:tr w:rsidR="00653A62" w:rsidRPr="00EE40F4" w14:paraId="561AE9AF" w14:textId="77777777" w:rsidTr="006624DA">
        <w:trPr>
          <w:trHeight w:val="197"/>
        </w:trPr>
        <w:tc>
          <w:tcPr>
            <w:tcW w:w="9464" w:type="dxa"/>
            <w:gridSpan w:val="4"/>
          </w:tcPr>
          <w:p w14:paraId="75338FA7" w14:textId="77777777" w:rsidR="00653A62" w:rsidRPr="00EE40F4" w:rsidRDefault="00653A62" w:rsidP="00EF61CC">
            <w:pPr>
              <w:pStyle w:val="Default"/>
              <w:rPr>
                <w:sz w:val="22"/>
                <w:szCs w:val="22"/>
                <w:lang w:val="sk-SK"/>
              </w:rPr>
            </w:pPr>
            <w:r w:rsidRPr="00EE40F4">
              <w:rPr>
                <w:b/>
                <w:bCs/>
                <w:sz w:val="22"/>
                <w:szCs w:val="22"/>
                <w:lang w:val="sk-SK"/>
              </w:rPr>
              <w:t xml:space="preserve">Poruchy ucha a labyrintu </w:t>
            </w:r>
          </w:p>
        </w:tc>
      </w:tr>
      <w:tr w:rsidR="00653A62" w:rsidRPr="00EE40F4" w14:paraId="249A130D" w14:textId="77777777" w:rsidTr="006624DA">
        <w:trPr>
          <w:trHeight w:val="200"/>
        </w:trPr>
        <w:tc>
          <w:tcPr>
            <w:tcW w:w="4512" w:type="dxa"/>
            <w:gridSpan w:val="2"/>
          </w:tcPr>
          <w:p w14:paraId="6183CDB1"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1876E774" w14:textId="77777777" w:rsidR="00653A62" w:rsidRPr="00EE40F4" w:rsidRDefault="00653A62" w:rsidP="00EF61CC">
            <w:pPr>
              <w:pStyle w:val="Default"/>
              <w:rPr>
                <w:sz w:val="22"/>
                <w:szCs w:val="22"/>
                <w:lang w:val="sk-SK"/>
              </w:rPr>
            </w:pPr>
            <w:r w:rsidRPr="00EE40F4">
              <w:rPr>
                <w:sz w:val="22"/>
                <w:szCs w:val="22"/>
                <w:lang w:val="sk-SK"/>
              </w:rPr>
              <w:t xml:space="preserve">Vertigo, tinitus, strata sluchu </w:t>
            </w:r>
          </w:p>
        </w:tc>
      </w:tr>
      <w:tr w:rsidR="00653A62" w:rsidRPr="00EE40F4" w14:paraId="48BF7008" w14:textId="77777777" w:rsidTr="006624DA">
        <w:trPr>
          <w:trHeight w:val="197"/>
        </w:trPr>
        <w:tc>
          <w:tcPr>
            <w:tcW w:w="9464" w:type="dxa"/>
            <w:gridSpan w:val="4"/>
          </w:tcPr>
          <w:p w14:paraId="45D99F42" w14:textId="77777777" w:rsidR="00653A62" w:rsidRPr="00EE40F4" w:rsidRDefault="00653A62" w:rsidP="00EF61CC">
            <w:pPr>
              <w:pStyle w:val="Default"/>
              <w:rPr>
                <w:sz w:val="22"/>
                <w:szCs w:val="22"/>
                <w:lang w:val="sk-SK"/>
              </w:rPr>
            </w:pPr>
            <w:r w:rsidRPr="00EE40F4">
              <w:rPr>
                <w:b/>
                <w:bCs/>
                <w:sz w:val="22"/>
                <w:szCs w:val="22"/>
                <w:lang w:val="sk-SK"/>
              </w:rPr>
              <w:t xml:space="preserve">Poruchy srdca a srdcovej činnosti </w:t>
            </w:r>
          </w:p>
        </w:tc>
      </w:tr>
      <w:tr w:rsidR="00653A62" w:rsidRPr="00EE40F4" w14:paraId="740ADA56" w14:textId="77777777" w:rsidTr="006624DA">
        <w:trPr>
          <w:trHeight w:val="244"/>
        </w:trPr>
        <w:tc>
          <w:tcPr>
            <w:tcW w:w="4512" w:type="dxa"/>
            <w:gridSpan w:val="2"/>
          </w:tcPr>
          <w:p w14:paraId="7339C090"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99D5677" w14:textId="77777777" w:rsidR="00653A62" w:rsidRPr="00EE40F4" w:rsidRDefault="00653A62" w:rsidP="009B2CE3">
            <w:pPr>
              <w:pStyle w:val="Default"/>
              <w:rPr>
                <w:sz w:val="22"/>
                <w:szCs w:val="22"/>
                <w:lang w:val="sk-SK"/>
              </w:rPr>
            </w:pPr>
            <w:r w:rsidRPr="00EE40F4">
              <w:rPr>
                <w:sz w:val="22"/>
                <w:szCs w:val="22"/>
                <w:lang w:val="sk-SK"/>
              </w:rPr>
              <w:t>Palpitácie, tachykardia, kongestívne zlyh</w:t>
            </w:r>
            <w:r w:rsidR="00D70467">
              <w:rPr>
                <w:sz w:val="22"/>
                <w:szCs w:val="22"/>
                <w:lang w:val="sk-SK"/>
              </w:rPr>
              <w:t>ávanie</w:t>
            </w:r>
            <w:r w:rsidRPr="00EE40F4">
              <w:rPr>
                <w:sz w:val="22"/>
                <w:szCs w:val="22"/>
                <w:lang w:val="sk-SK"/>
              </w:rPr>
              <w:t xml:space="preserve"> </w:t>
            </w:r>
            <w:r w:rsidR="005429CE" w:rsidRPr="00EE40F4">
              <w:rPr>
                <w:sz w:val="22"/>
                <w:szCs w:val="22"/>
                <w:lang w:val="sk-SK"/>
              </w:rPr>
              <w:t>srdca</w:t>
            </w:r>
            <w:r w:rsidR="009B2CE3" w:rsidRPr="00EE40F4">
              <w:rPr>
                <w:sz w:val="22"/>
                <w:szCs w:val="22"/>
                <w:vertAlign w:val="superscript"/>
                <w:lang w:val="sk-SK"/>
              </w:rPr>
              <w:t>2</w:t>
            </w:r>
            <w:r w:rsidRPr="00EE40F4">
              <w:rPr>
                <w:sz w:val="22"/>
                <w:szCs w:val="22"/>
                <w:lang w:val="sk-SK"/>
              </w:rPr>
              <w:t xml:space="preserve">, pľúcny edém </w:t>
            </w:r>
          </w:p>
        </w:tc>
      </w:tr>
      <w:tr w:rsidR="00653A62" w:rsidRPr="00EE40F4" w14:paraId="28E99A43" w14:textId="77777777" w:rsidTr="006624DA">
        <w:trPr>
          <w:trHeight w:val="460"/>
        </w:trPr>
        <w:tc>
          <w:tcPr>
            <w:tcW w:w="4512" w:type="dxa"/>
            <w:gridSpan w:val="2"/>
          </w:tcPr>
          <w:p w14:paraId="5F66FD8A" w14:textId="77777777" w:rsidR="00653A62" w:rsidRPr="00EE40F4" w:rsidRDefault="00653A62" w:rsidP="00EF61CC">
            <w:pPr>
              <w:pStyle w:val="Default"/>
              <w:rPr>
                <w:sz w:val="22"/>
                <w:szCs w:val="22"/>
                <w:lang w:val="sk-SK"/>
              </w:rPr>
            </w:pPr>
            <w:r w:rsidRPr="00EE40F4">
              <w:rPr>
                <w:i/>
                <w:iCs/>
                <w:sz w:val="22"/>
                <w:szCs w:val="22"/>
                <w:lang w:val="sk-SK"/>
              </w:rPr>
              <w:lastRenderedPageBreak/>
              <w:t xml:space="preserve">Zriedkavé: </w:t>
            </w:r>
          </w:p>
        </w:tc>
        <w:tc>
          <w:tcPr>
            <w:tcW w:w="4952" w:type="dxa"/>
            <w:gridSpan w:val="2"/>
          </w:tcPr>
          <w:p w14:paraId="0D199158" w14:textId="77777777" w:rsidR="00653A62" w:rsidRPr="00EE40F4" w:rsidRDefault="00653A62" w:rsidP="00EF61CC">
            <w:pPr>
              <w:pStyle w:val="Default"/>
              <w:rPr>
                <w:sz w:val="22"/>
                <w:szCs w:val="22"/>
                <w:lang w:val="sk-SK"/>
              </w:rPr>
            </w:pPr>
            <w:r w:rsidRPr="00EE40F4">
              <w:rPr>
                <w:sz w:val="22"/>
                <w:szCs w:val="22"/>
                <w:lang w:val="sk-SK"/>
              </w:rPr>
              <w:t xml:space="preserve">Arytmia, fibrilácia predsiení, zastavenie srdca, infarkt myokardu, angina pectoris, perikardový výpotok </w:t>
            </w:r>
          </w:p>
        </w:tc>
      </w:tr>
      <w:tr w:rsidR="00382022" w:rsidRPr="00EE40F4" w14:paraId="31992864" w14:textId="77777777" w:rsidTr="009B2CE3">
        <w:trPr>
          <w:trHeight w:val="337"/>
        </w:trPr>
        <w:tc>
          <w:tcPr>
            <w:tcW w:w="4512" w:type="dxa"/>
            <w:gridSpan w:val="2"/>
          </w:tcPr>
          <w:p w14:paraId="24CFC625" w14:textId="77777777" w:rsidR="00382022" w:rsidRPr="00EE40F4" w:rsidRDefault="009B2CE3" w:rsidP="00382022">
            <w:pPr>
              <w:pStyle w:val="Default"/>
              <w:rPr>
                <w:i/>
                <w:iCs/>
                <w:sz w:val="22"/>
                <w:szCs w:val="22"/>
                <w:lang w:val="sk-SK"/>
              </w:rPr>
            </w:pPr>
            <w:r w:rsidRPr="00EE40F4">
              <w:rPr>
                <w:i/>
                <w:iCs/>
                <w:sz w:val="22"/>
                <w:szCs w:val="22"/>
                <w:lang w:val="sk-SK"/>
              </w:rPr>
              <w:t>Neznáme</w:t>
            </w:r>
          </w:p>
        </w:tc>
        <w:tc>
          <w:tcPr>
            <w:tcW w:w="4952" w:type="dxa"/>
            <w:gridSpan w:val="2"/>
          </w:tcPr>
          <w:p w14:paraId="51F1500F" w14:textId="77777777" w:rsidR="009B2CE3" w:rsidRPr="00EE40F4" w:rsidRDefault="00382022" w:rsidP="00382022">
            <w:pPr>
              <w:pStyle w:val="Default"/>
              <w:rPr>
                <w:sz w:val="22"/>
                <w:szCs w:val="22"/>
                <w:lang w:val="sk-SK"/>
              </w:rPr>
            </w:pPr>
            <w:r w:rsidRPr="00EE40F4">
              <w:rPr>
                <w:sz w:val="22"/>
                <w:szCs w:val="22"/>
                <w:lang w:val="sk-SK"/>
              </w:rPr>
              <w:t>Perikarditída*, tamponáda srdca*</w:t>
            </w:r>
          </w:p>
        </w:tc>
      </w:tr>
      <w:tr w:rsidR="00653A62" w:rsidRPr="00EE40F4" w14:paraId="6F7AA349" w14:textId="77777777" w:rsidTr="006624DA">
        <w:trPr>
          <w:trHeight w:val="242"/>
        </w:trPr>
        <w:tc>
          <w:tcPr>
            <w:tcW w:w="9464" w:type="dxa"/>
            <w:gridSpan w:val="4"/>
          </w:tcPr>
          <w:p w14:paraId="5BAF4F1B" w14:textId="77777777" w:rsidR="00653A62" w:rsidRPr="00EE40F4" w:rsidRDefault="00653A62" w:rsidP="005429CE">
            <w:pPr>
              <w:pStyle w:val="Default"/>
              <w:rPr>
                <w:sz w:val="22"/>
                <w:szCs w:val="22"/>
                <w:lang w:val="sk-SK"/>
              </w:rPr>
            </w:pPr>
            <w:r w:rsidRPr="00EE40F4">
              <w:rPr>
                <w:b/>
                <w:bCs/>
                <w:sz w:val="22"/>
                <w:szCs w:val="22"/>
                <w:lang w:val="sk-SK"/>
              </w:rPr>
              <w:t xml:space="preserve">Poruchy </w:t>
            </w:r>
            <w:r w:rsidR="005429CE" w:rsidRPr="00EE40F4">
              <w:rPr>
                <w:b/>
                <w:bCs/>
                <w:sz w:val="22"/>
                <w:szCs w:val="22"/>
                <w:lang w:val="sk-SK"/>
              </w:rPr>
              <w:t>ciev</w:t>
            </w:r>
            <w:r w:rsidR="009B2CE3" w:rsidRPr="00EE40F4">
              <w:rPr>
                <w:b/>
                <w:bCs/>
                <w:sz w:val="22"/>
                <w:szCs w:val="22"/>
                <w:vertAlign w:val="superscript"/>
                <w:lang w:val="sk-SK"/>
              </w:rPr>
              <w:t>3</w:t>
            </w:r>
            <w:r w:rsidR="005429CE" w:rsidRPr="00EE40F4">
              <w:rPr>
                <w:b/>
                <w:bCs/>
                <w:sz w:val="22"/>
                <w:szCs w:val="22"/>
                <w:lang w:val="sk-SK"/>
              </w:rPr>
              <w:t xml:space="preserve"> </w:t>
            </w:r>
          </w:p>
        </w:tc>
      </w:tr>
      <w:tr w:rsidR="00653A62" w:rsidRPr="00EE40F4" w14:paraId="37FA63A3" w14:textId="77777777" w:rsidTr="006624DA">
        <w:trPr>
          <w:trHeight w:val="200"/>
        </w:trPr>
        <w:tc>
          <w:tcPr>
            <w:tcW w:w="4512" w:type="dxa"/>
            <w:gridSpan w:val="2"/>
          </w:tcPr>
          <w:p w14:paraId="4ED7179D"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2CB1B1AF" w14:textId="77777777" w:rsidR="00653A62" w:rsidRPr="00EE40F4" w:rsidRDefault="00653A62" w:rsidP="00EF61CC">
            <w:pPr>
              <w:pStyle w:val="Default"/>
              <w:rPr>
                <w:sz w:val="22"/>
                <w:szCs w:val="22"/>
                <w:lang w:val="sk-SK"/>
              </w:rPr>
            </w:pPr>
            <w:r w:rsidRPr="00EE40F4">
              <w:rPr>
                <w:sz w:val="22"/>
                <w:szCs w:val="22"/>
                <w:lang w:val="sk-SK"/>
              </w:rPr>
              <w:t xml:space="preserve">Návaly tepla, krvácanie </w:t>
            </w:r>
          </w:p>
        </w:tc>
      </w:tr>
      <w:tr w:rsidR="00653A62" w:rsidRPr="00EE40F4" w14:paraId="06936665" w14:textId="77777777" w:rsidTr="006624DA">
        <w:trPr>
          <w:trHeight w:val="460"/>
        </w:trPr>
        <w:tc>
          <w:tcPr>
            <w:tcW w:w="4512" w:type="dxa"/>
            <w:gridSpan w:val="2"/>
          </w:tcPr>
          <w:p w14:paraId="1BCD2E9F"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9824B67" w14:textId="77777777" w:rsidR="00653A62" w:rsidRPr="00EE40F4" w:rsidRDefault="00653A62" w:rsidP="00EF61CC">
            <w:pPr>
              <w:pStyle w:val="Default"/>
              <w:rPr>
                <w:sz w:val="22"/>
                <w:szCs w:val="22"/>
                <w:lang w:val="sk-SK"/>
              </w:rPr>
            </w:pPr>
            <w:r w:rsidRPr="00EE40F4">
              <w:rPr>
                <w:sz w:val="22"/>
                <w:szCs w:val="22"/>
                <w:lang w:val="sk-SK"/>
              </w:rPr>
              <w:t xml:space="preserve">Hypertenzia, hematóm, periférny pocit chladu, hypotenzia, Raynaudov fenomén </w:t>
            </w:r>
          </w:p>
        </w:tc>
      </w:tr>
      <w:tr w:rsidR="009B2CE3" w:rsidRPr="00EE40F4" w14:paraId="4D2AD93D" w14:textId="77777777" w:rsidTr="009B2CE3">
        <w:trPr>
          <w:trHeight w:val="371"/>
        </w:trPr>
        <w:tc>
          <w:tcPr>
            <w:tcW w:w="4512" w:type="dxa"/>
            <w:gridSpan w:val="2"/>
          </w:tcPr>
          <w:p w14:paraId="5FCBD81A" w14:textId="77777777" w:rsidR="009B2CE3" w:rsidRPr="00EE40F4" w:rsidRDefault="009B2CE3" w:rsidP="00EF61CC">
            <w:pPr>
              <w:pStyle w:val="Default"/>
              <w:rPr>
                <w:i/>
                <w:iCs/>
                <w:sz w:val="22"/>
                <w:szCs w:val="22"/>
                <w:lang w:val="sk-SK"/>
              </w:rPr>
            </w:pPr>
            <w:r w:rsidRPr="00EE40F4">
              <w:rPr>
                <w:i/>
                <w:iCs/>
                <w:sz w:val="22"/>
                <w:szCs w:val="22"/>
                <w:lang w:val="sk-SK"/>
              </w:rPr>
              <w:t xml:space="preserve">Neznáme: </w:t>
            </w:r>
          </w:p>
        </w:tc>
        <w:tc>
          <w:tcPr>
            <w:tcW w:w="4952" w:type="dxa"/>
            <w:gridSpan w:val="2"/>
          </w:tcPr>
          <w:p w14:paraId="2A2E4C1E" w14:textId="77777777" w:rsidR="009B2CE3" w:rsidRPr="00EE40F4" w:rsidRDefault="009B2CE3" w:rsidP="00EF61CC">
            <w:pPr>
              <w:pStyle w:val="Default"/>
              <w:rPr>
                <w:sz w:val="22"/>
                <w:szCs w:val="22"/>
                <w:lang w:val="sk-SK"/>
              </w:rPr>
            </w:pPr>
            <w:r w:rsidRPr="00EE40F4">
              <w:rPr>
                <w:sz w:val="22"/>
                <w:szCs w:val="22"/>
                <w:lang w:val="sk-SK"/>
              </w:rPr>
              <w:t>Trombóza, embolus*</w:t>
            </w:r>
          </w:p>
        </w:tc>
      </w:tr>
      <w:tr w:rsidR="00653A62" w:rsidRPr="00EE40F4" w14:paraId="564F7065" w14:textId="77777777" w:rsidTr="006624DA">
        <w:trPr>
          <w:trHeight w:val="197"/>
        </w:trPr>
        <w:tc>
          <w:tcPr>
            <w:tcW w:w="9464" w:type="dxa"/>
            <w:gridSpan w:val="4"/>
          </w:tcPr>
          <w:p w14:paraId="7FDCD7CB" w14:textId="77777777" w:rsidR="00653A62" w:rsidRPr="00EE40F4" w:rsidRDefault="00653A62" w:rsidP="00EF61CC">
            <w:pPr>
              <w:pStyle w:val="Default"/>
              <w:rPr>
                <w:sz w:val="22"/>
                <w:szCs w:val="22"/>
                <w:lang w:val="sk-SK"/>
              </w:rPr>
            </w:pPr>
            <w:r w:rsidRPr="00EE40F4">
              <w:rPr>
                <w:b/>
                <w:bCs/>
                <w:sz w:val="22"/>
                <w:szCs w:val="22"/>
                <w:lang w:val="sk-SK"/>
              </w:rPr>
              <w:t xml:space="preserve">Poruchy dýchacej sústavy, hrudníka a mediastína </w:t>
            </w:r>
          </w:p>
        </w:tc>
      </w:tr>
      <w:tr w:rsidR="00653A62" w:rsidRPr="00EE40F4" w14:paraId="41443D18" w14:textId="77777777" w:rsidTr="006624DA">
        <w:trPr>
          <w:trHeight w:val="200"/>
        </w:trPr>
        <w:tc>
          <w:tcPr>
            <w:tcW w:w="4512" w:type="dxa"/>
            <w:gridSpan w:val="2"/>
          </w:tcPr>
          <w:p w14:paraId="4097B107"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166F2752" w14:textId="77777777" w:rsidR="00653A62" w:rsidRPr="00EE40F4" w:rsidRDefault="00653A62" w:rsidP="00EF61CC">
            <w:pPr>
              <w:pStyle w:val="Default"/>
              <w:rPr>
                <w:sz w:val="22"/>
                <w:szCs w:val="22"/>
                <w:lang w:val="sk-SK"/>
              </w:rPr>
            </w:pPr>
            <w:r w:rsidRPr="00EE40F4">
              <w:rPr>
                <w:sz w:val="22"/>
                <w:szCs w:val="22"/>
                <w:lang w:val="sk-SK"/>
              </w:rPr>
              <w:t xml:space="preserve">Dyspnoe, epistaxa, kašeľ </w:t>
            </w:r>
          </w:p>
        </w:tc>
      </w:tr>
      <w:tr w:rsidR="00653A62" w:rsidRPr="00EE40F4" w14:paraId="50E23D5F" w14:textId="77777777" w:rsidTr="006624DA">
        <w:trPr>
          <w:trHeight w:val="244"/>
        </w:trPr>
        <w:tc>
          <w:tcPr>
            <w:tcW w:w="4512" w:type="dxa"/>
            <w:gridSpan w:val="2"/>
          </w:tcPr>
          <w:p w14:paraId="71E8A66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5455BDF" w14:textId="77777777" w:rsidR="00653A62" w:rsidRPr="00EE40F4" w:rsidRDefault="00653A62" w:rsidP="005429CE">
            <w:pPr>
              <w:pStyle w:val="Default"/>
              <w:rPr>
                <w:sz w:val="22"/>
                <w:szCs w:val="22"/>
                <w:lang w:val="sk-SK"/>
              </w:rPr>
            </w:pPr>
            <w:r w:rsidRPr="00EE40F4">
              <w:rPr>
                <w:sz w:val="22"/>
                <w:szCs w:val="22"/>
                <w:lang w:val="sk-SK"/>
              </w:rPr>
              <w:t xml:space="preserve">Pleurálny </w:t>
            </w:r>
            <w:r w:rsidR="005429CE" w:rsidRPr="00EE40F4">
              <w:rPr>
                <w:sz w:val="22"/>
                <w:szCs w:val="22"/>
                <w:lang w:val="sk-SK"/>
              </w:rPr>
              <w:t>výpotok</w:t>
            </w:r>
            <w:r w:rsidR="009B2CE3" w:rsidRPr="00EE40F4">
              <w:rPr>
                <w:sz w:val="22"/>
                <w:szCs w:val="22"/>
                <w:vertAlign w:val="superscript"/>
                <w:lang w:val="sk-SK"/>
              </w:rPr>
              <w:t>4</w:t>
            </w:r>
            <w:r w:rsidRPr="00EE40F4">
              <w:rPr>
                <w:sz w:val="22"/>
                <w:szCs w:val="22"/>
                <w:lang w:val="sk-SK"/>
              </w:rPr>
              <w:t xml:space="preserve">, bolesť hltana a hrtana, faryngitída </w:t>
            </w:r>
          </w:p>
        </w:tc>
      </w:tr>
      <w:tr w:rsidR="00653A62" w:rsidRPr="00EE40F4" w14:paraId="335B3207" w14:textId="77777777" w:rsidTr="006624DA">
        <w:trPr>
          <w:trHeight w:val="200"/>
        </w:trPr>
        <w:tc>
          <w:tcPr>
            <w:tcW w:w="4512" w:type="dxa"/>
            <w:gridSpan w:val="2"/>
          </w:tcPr>
          <w:p w14:paraId="12594AAB"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06923DD8" w14:textId="77777777" w:rsidR="00653A62" w:rsidRPr="00EE40F4" w:rsidRDefault="00653A62" w:rsidP="00EF61CC">
            <w:pPr>
              <w:pStyle w:val="Default"/>
              <w:rPr>
                <w:sz w:val="22"/>
                <w:szCs w:val="22"/>
                <w:lang w:val="sk-SK"/>
              </w:rPr>
            </w:pPr>
            <w:r w:rsidRPr="00EE40F4">
              <w:rPr>
                <w:sz w:val="22"/>
                <w:szCs w:val="22"/>
                <w:lang w:val="sk-SK"/>
              </w:rPr>
              <w:t xml:space="preserve">Bolesť pohrudnice, pľúcna fibróza, pľúcna hypertenzia, krvácanie do pľúc </w:t>
            </w:r>
          </w:p>
        </w:tc>
      </w:tr>
      <w:tr w:rsidR="009B2CE3" w:rsidRPr="00EE40F4" w14:paraId="01FF2A34" w14:textId="77777777" w:rsidTr="006624DA">
        <w:trPr>
          <w:trHeight w:val="200"/>
        </w:trPr>
        <w:tc>
          <w:tcPr>
            <w:tcW w:w="4512" w:type="dxa"/>
            <w:gridSpan w:val="2"/>
          </w:tcPr>
          <w:p w14:paraId="4C9B16FA" w14:textId="77777777" w:rsidR="009B2CE3" w:rsidRPr="00EE40F4" w:rsidRDefault="009B2CE3" w:rsidP="00EF61CC">
            <w:pPr>
              <w:pStyle w:val="Default"/>
              <w:rPr>
                <w:i/>
                <w:iCs/>
                <w:sz w:val="22"/>
                <w:szCs w:val="22"/>
                <w:lang w:val="sk-SK"/>
              </w:rPr>
            </w:pPr>
            <w:r w:rsidRPr="00EE40F4">
              <w:rPr>
                <w:i/>
                <w:iCs/>
                <w:sz w:val="22"/>
                <w:szCs w:val="22"/>
                <w:lang w:val="sk-SK"/>
              </w:rPr>
              <w:t>Neznáme:</w:t>
            </w:r>
          </w:p>
        </w:tc>
        <w:tc>
          <w:tcPr>
            <w:tcW w:w="4952" w:type="dxa"/>
            <w:gridSpan w:val="2"/>
          </w:tcPr>
          <w:p w14:paraId="74CD45E4" w14:textId="77777777" w:rsidR="009B2CE3" w:rsidRPr="00EE40F4" w:rsidRDefault="009B2CE3" w:rsidP="00CA3011">
            <w:pPr>
              <w:pStyle w:val="Default"/>
              <w:rPr>
                <w:sz w:val="22"/>
                <w:szCs w:val="22"/>
                <w:lang w:val="sk-SK"/>
              </w:rPr>
            </w:pPr>
            <w:r w:rsidRPr="00EE40F4">
              <w:rPr>
                <w:sz w:val="22"/>
                <w:szCs w:val="22"/>
                <w:lang w:val="sk-SK"/>
              </w:rPr>
              <w:t>Akútne respiračné zlyh</w:t>
            </w:r>
            <w:r w:rsidR="0038477B">
              <w:rPr>
                <w:sz w:val="22"/>
                <w:szCs w:val="22"/>
                <w:lang w:val="sk-SK"/>
              </w:rPr>
              <w:t>anie</w:t>
            </w:r>
            <w:r w:rsidR="00CB0CA7">
              <w:rPr>
                <w:sz w:val="22"/>
                <w:szCs w:val="22"/>
                <w:vertAlign w:val="superscript"/>
                <w:lang w:val="sk-SK"/>
              </w:rPr>
              <w:t>7</w:t>
            </w:r>
            <w:r w:rsidRPr="00EE40F4">
              <w:rPr>
                <w:sz w:val="22"/>
                <w:szCs w:val="22"/>
                <w:lang w:val="sk-SK"/>
              </w:rPr>
              <w:t xml:space="preserve">*, intersticiálna choroba pľúc* </w:t>
            </w:r>
          </w:p>
        </w:tc>
      </w:tr>
      <w:tr w:rsidR="00653A62" w:rsidRPr="00EE40F4" w14:paraId="4311050D" w14:textId="77777777" w:rsidTr="006624DA">
        <w:trPr>
          <w:trHeight w:val="197"/>
        </w:trPr>
        <w:tc>
          <w:tcPr>
            <w:tcW w:w="9464" w:type="dxa"/>
            <w:gridSpan w:val="4"/>
          </w:tcPr>
          <w:p w14:paraId="3502AF6F" w14:textId="77777777" w:rsidR="00653A62" w:rsidRPr="00EE40F4" w:rsidRDefault="00653A62" w:rsidP="00EF61CC">
            <w:pPr>
              <w:pStyle w:val="Default"/>
              <w:rPr>
                <w:sz w:val="22"/>
                <w:szCs w:val="22"/>
                <w:lang w:val="sk-SK"/>
              </w:rPr>
            </w:pPr>
            <w:r w:rsidRPr="00EE40F4">
              <w:rPr>
                <w:b/>
                <w:bCs/>
                <w:sz w:val="22"/>
                <w:szCs w:val="22"/>
                <w:lang w:val="sk-SK"/>
              </w:rPr>
              <w:t xml:space="preserve">Poruchy gastrointestinálneho traktu </w:t>
            </w:r>
          </w:p>
        </w:tc>
      </w:tr>
      <w:tr w:rsidR="00653A62" w:rsidRPr="00EE40F4" w14:paraId="722C088E" w14:textId="77777777" w:rsidTr="006624DA">
        <w:trPr>
          <w:trHeight w:val="244"/>
        </w:trPr>
        <w:tc>
          <w:tcPr>
            <w:tcW w:w="4542" w:type="dxa"/>
            <w:gridSpan w:val="3"/>
          </w:tcPr>
          <w:p w14:paraId="7EFB9863"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151217E9" w14:textId="77777777" w:rsidR="00653A62" w:rsidRPr="00EE40F4" w:rsidRDefault="00653A62" w:rsidP="009B2CE3">
            <w:pPr>
              <w:pStyle w:val="Default"/>
              <w:rPr>
                <w:sz w:val="22"/>
                <w:szCs w:val="22"/>
                <w:lang w:val="sk-SK"/>
              </w:rPr>
            </w:pPr>
            <w:r w:rsidRPr="00EE40F4">
              <w:rPr>
                <w:sz w:val="22"/>
                <w:szCs w:val="22"/>
                <w:lang w:val="sk-SK"/>
              </w:rPr>
              <w:t xml:space="preserve">Nauzea, hnačka, vracanie, dyspepsia, bolesť brucha </w:t>
            </w:r>
          </w:p>
        </w:tc>
      </w:tr>
      <w:tr w:rsidR="00653A62" w:rsidRPr="00EE40F4" w14:paraId="5B9EDAF9" w14:textId="77777777" w:rsidTr="006624DA">
        <w:trPr>
          <w:trHeight w:val="460"/>
        </w:trPr>
        <w:tc>
          <w:tcPr>
            <w:tcW w:w="4542" w:type="dxa"/>
            <w:gridSpan w:val="3"/>
          </w:tcPr>
          <w:p w14:paraId="1E51114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27113EB1" w14:textId="77777777" w:rsidR="00653A62" w:rsidRPr="00EE40F4" w:rsidRDefault="00653A62" w:rsidP="005429CE">
            <w:pPr>
              <w:pStyle w:val="Default"/>
              <w:rPr>
                <w:sz w:val="22"/>
                <w:szCs w:val="22"/>
                <w:lang w:val="sk-SK"/>
              </w:rPr>
            </w:pPr>
            <w:r w:rsidRPr="00EE40F4">
              <w:rPr>
                <w:sz w:val="22"/>
                <w:szCs w:val="22"/>
                <w:lang w:val="sk-SK"/>
              </w:rPr>
              <w:t>Flatulencia, distenzia bruch</w:t>
            </w:r>
            <w:r w:rsidRPr="00342D09">
              <w:rPr>
                <w:sz w:val="22"/>
                <w:szCs w:val="22"/>
                <w:lang w:val="sk-SK"/>
              </w:rPr>
              <w:t xml:space="preserve">a, </w:t>
            </w:r>
            <w:r w:rsidR="005429CE" w:rsidRPr="00C03C95">
              <w:rPr>
                <w:sz w:val="22"/>
                <w:szCs w:val="22"/>
                <w:lang w:val="sk-SK"/>
              </w:rPr>
              <w:t xml:space="preserve">gastroezofagový </w:t>
            </w:r>
            <w:r w:rsidRPr="00927587">
              <w:rPr>
                <w:sz w:val="22"/>
                <w:szCs w:val="22"/>
                <w:lang w:val="sk-SK"/>
              </w:rPr>
              <w:t>reflux,</w:t>
            </w:r>
            <w:r w:rsidRPr="00EE40F4">
              <w:rPr>
                <w:sz w:val="22"/>
                <w:szCs w:val="22"/>
                <w:lang w:val="sk-SK"/>
              </w:rPr>
              <w:t xml:space="preserve"> zápcha, suchosť v ústach, gastritída </w:t>
            </w:r>
          </w:p>
        </w:tc>
      </w:tr>
      <w:tr w:rsidR="00653A62" w:rsidRPr="00EE40F4" w14:paraId="38552C18" w14:textId="77777777" w:rsidTr="006624DA">
        <w:trPr>
          <w:trHeight w:val="765"/>
        </w:trPr>
        <w:tc>
          <w:tcPr>
            <w:tcW w:w="4542" w:type="dxa"/>
            <w:gridSpan w:val="3"/>
          </w:tcPr>
          <w:p w14:paraId="78437804"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4F60316E" w14:textId="77777777" w:rsidR="00653A62" w:rsidRPr="00EE40F4" w:rsidRDefault="00653A62" w:rsidP="009B2CE3">
            <w:pPr>
              <w:pStyle w:val="Default"/>
              <w:rPr>
                <w:sz w:val="22"/>
                <w:szCs w:val="22"/>
                <w:lang w:val="sk-SK"/>
              </w:rPr>
            </w:pPr>
            <w:r w:rsidRPr="00EE40F4">
              <w:rPr>
                <w:sz w:val="22"/>
                <w:szCs w:val="22"/>
                <w:lang w:val="sk-SK"/>
              </w:rPr>
              <w:t xml:space="preserve">Stomatitída, ulcerácia v ústach, gastrointestinálne krvácanie, eruktácia, meléna, ezofagitída, ascites, vred žalúdka, hemateméza, cheilitída, dysfágia, pankreatitída </w:t>
            </w:r>
          </w:p>
        </w:tc>
      </w:tr>
      <w:tr w:rsidR="00653A62" w:rsidRPr="00EE40F4" w14:paraId="56F4EABF" w14:textId="77777777" w:rsidTr="006624DA">
        <w:trPr>
          <w:trHeight w:val="200"/>
        </w:trPr>
        <w:tc>
          <w:tcPr>
            <w:tcW w:w="4542" w:type="dxa"/>
            <w:gridSpan w:val="3"/>
          </w:tcPr>
          <w:p w14:paraId="3689541C"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4D6C8346" w14:textId="77777777" w:rsidR="00653A62" w:rsidRPr="00EE40F4" w:rsidRDefault="00653A62" w:rsidP="00EF61CC">
            <w:pPr>
              <w:pStyle w:val="Default"/>
              <w:rPr>
                <w:sz w:val="22"/>
                <w:szCs w:val="22"/>
                <w:lang w:val="sk-SK"/>
              </w:rPr>
            </w:pPr>
            <w:r w:rsidRPr="00EE40F4">
              <w:rPr>
                <w:sz w:val="22"/>
                <w:szCs w:val="22"/>
                <w:lang w:val="sk-SK"/>
              </w:rPr>
              <w:t xml:space="preserve">Kolitída, ileus, zápalové ochorenie čriev </w:t>
            </w:r>
          </w:p>
        </w:tc>
      </w:tr>
      <w:tr w:rsidR="009B2CE3" w:rsidRPr="00EE40F4" w14:paraId="66F8116A" w14:textId="77777777" w:rsidTr="006624DA">
        <w:trPr>
          <w:trHeight w:val="200"/>
        </w:trPr>
        <w:tc>
          <w:tcPr>
            <w:tcW w:w="4542" w:type="dxa"/>
            <w:gridSpan w:val="3"/>
          </w:tcPr>
          <w:p w14:paraId="0CDE84D2" w14:textId="77777777" w:rsidR="009B2CE3" w:rsidRPr="00EE40F4" w:rsidRDefault="009B2CE3" w:rsidP="00EF61CC">
            <w:pPr>
              <w:pStyle w:val="Default"/>
              <w:rPr>
                <w:i/>
                <w:iCs/>
                <w:sz w:val="22"/>
                <w:szCs w:val="22"/>
                <w:lang w:val="sk-SK"/>
              </w:rPr>
            </w:pPr>
            <w:r w:rsidRPr="00EE40F4">
              <w:rPr>
                <w:i/>
                <w:iCs/>
                <w:sz w:val="22"/>
                <w:szCs w:val="22"/>
                <w:lang w:val="sk-SK"/>
              </w:rPr>
              <w:t>Neznáme:</w:t>
            </w:r>
          </w:p>
        </w:tc>
        <w:tc>
          <w:tcPr>
            <w:tcW w:w="4922" w:type="dxa"/>
          </w:tcPr>
          <w:p w14:paraId="4F9A2130" w14:textId="77777777" w:rsidR="009B2CE3" w:rsidRPr="00EE40F4" w:rsidRDefault="000B7F10" w:rsidP="00EF61CC">
            <w:pPr>
              <w:pStyle w:val="Default"/>
              <w:rPr>
                <w:sz w:val="22"/>
                <w:szCs w:val="22"/>
                <w:lang w:val="sk-SK"/>
              </w:rPr>
            </w:pPr>
            <w:r w:rsidRPr="00EE40F4">
              <w:rPr>
                <w:sz w:val="22"/>
                <w:szCs w:val="22"/>
                <w:lang w:val="sk-SK"/>
              </w:rPr>
              <w:t>Ileus/obštrukcia čriev*, gastrointestinálna perforácia*, divertikulitída*, gastrická antrálna vaskulárna ektázia (GAVE)</w:t>
            </w:r>
            <w:r w:rsidR="00CB0CA7" w:rsidRPr="008A2150">
              <w:rPr>
                <w:sz w:val="22"/>
                <w:szCs w:val="22"/>
                <w:lang w:val="sk-SK"/>
              </w:rPr>
              <w:t xml:space="preserve"> *</w:t>
            </w:r>
          </w:p>
        </w:tc>
      </w:tr>
      <w:tr w:rsidR="00653A62" w:rsidRPr="00EE40F4" w14:paraId="6A36EE47" w14:textId="77777777" w:rsidTr="006624DA">
        <w:trPr>
          <w:trHeight w:val="197"/>
        </w:trPr>
        <w:tc>
          <w:tcPr>
            <w:tcW w:w="9464" w:type="dxa"/>
            <w:gridSpan w:val="4"/>
          </w:tcPr>
          <w:p w14:paraId="55C10DB0" w14:textId="77777777" w:rsidR="00653A62" w:rsidRPr="00EE40F4" w:rsidRDefault="00653A62" w:rsidP="00EF61CC">
            <w:pPr>
              <w:pStyle w:val="Default"/>
              <w:rPr>
                <w:sz w:val="22"/>
                <w:szCs w:val="22"/>
                <w:lang w:val="sk-SK"/>
              </w:rPr>
            </w:pPr>
            <w:r w:rsidRPr="00EE40F4">
              <w:rPr>
                <w:b/>
                <w:bCs/>
                <w:sz w:val="22"/>
                <w:szCs w:val="22"/>
                <w:lang w:val="sk-SK"/>
              </w:rPr>
              <w:t xml:space="preserve">Poruchy pečene a žlčových ciest </w:t>
            </w:r>
          </w:p>
        </w:tc>
      </w:tr>
      <w:tr w:rsidR="00653A62" w:rsidRPr="00EE40F4" w14:paraId="7F0DA551" w14:textId="77777777" w:rsidTr="006624DA">
        <w:trPr>
          <w:trHeight w:val="200"/>
        </w:trPr>
        <w:tc>
          <w:tcPr>
            <w:tcW w:w="4542" w:type="dxa"/>
            <w:gridSpan w:val="3"/>
          </w:tcPr>
          <w:p w14:paraId="586015B9"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792E44AD" w14:textId="77777777" w:rsidR="00653A62" w:rsidRPr="00EE40F4" w:rsidRDefault="00653A62" w:rsidP="00EF61CC">
            <w:pPr>
              <w:pStyle w:val="Default"/>
              <w:rPr>
                <w:sz w:val="22"/>
                <w:szCs w:val="22"/>
                <w:lang w:val="sk-SK"/>
              </w:rPr>
            </w:pPr>
            <w:r w:rsidRPr="00EE40F4">
              <w:rPr>
                <w:sz w:val="22"/>
                <w:szCs w:val="22"/>
                <w:lang w:val="sk-SK"/>
              </w:rPr>
              <w:t xml:space="preserve">Zvýšenie pečeňových enzýmov </w:t>
            </w:r>
          </w:p>
        </w:tc>
      </w:tr>
      <w:tr w:rsidR="00653A62" w:rsidRPr="00EE40F4" w14:paraId="0CFB4449" w14:textId="77777777" w:rsidTr="006624DA">
        <w:trPr>
          <w:trHeight w:val="200"/>
        </w:trPr>
        <w:tc>
          <w:tcPr>
            <w:tcW w:w="4542" w:type="dxa"/>
            <w:gridSpan w:val="3"/>
          </w:tcPr>
          <w:p w14:paraId="498C1A06"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1ECF2CED" w14:textId="77777777" w:rsidR="00653A62" w:rsidRPr="00EE40F4" w:rsidRDefault="00653A62" w:rsidP="00EF61CC">
            <w:pPr>
              <w:pStyle w:val="Default"/>
              <w:rPr>
                <w:sz w:val="22"/>
                <w:szCs w:val="22"/>
                <w:lang w:val="sk-SK"/>
              </w:rPr>
            </w:pPr>
            <w:r w:rsidRPr="00EE40F4">
              <w:rPr>
                <w:sz w:val="22"/>
                <w:szCs w:val="22"/>
                <w:lang w:val="sk-SK"/>
              </w:rPr>
              <w:t xml:space="preserve">Hyperbilirubinémia, hepatitída, žltačka </w:t>
            </w:r>
          </w:p>
        </w:tc>
      </w:tr>
      <w:tr w:rsidR="00653A62" w:rsidRPr="00EE40F4" w14:paraId="1D02F2B1" w14:textId="77777777" w:rsidTr="006624DA">
        <w:trPr>
          <w:trHeight w:val="244"/>
        </w:trPr>
        <w:tc>
          <w:tcPr>
            <w:tcW w:w="4542" w:type="dxa"/>
            <w:gridSpan w:val="3"/>
          </w:tcPr>
          <w:p w14:paraId="1E77633D"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6526CFE8" w14:textId="77777777" w:rsidR="00653A62" w:rsidRPr="00EE40F4" w:rsidRDefault="00653A62" w:rsidP="005429CE">
            <w:pPr>
              <w:pStyle w:val="Default"/>
              <w:rPr>
                <w:sz w:val="22"/>
                <w:szCs w:val="22"/>
                <w:lang w:val="sk-SK"/>
              </w:rPr>
            </w:pPr>
            <w:r w:rsidRPr="00EE40F4">
              <w:rPr>
                <w:sz w:val="22"/>
                <w:szCs w:val="22"/>
                <w:lang w:val="sk-SK"/>
              </w:rPr>
              <w:t xml:space="preserve">Zlyhanie </w:t>
            </w:r>
            <w:r w:rsidR="005429CE" w:rsidRPr="00EE40F4">
              <w:rPr>
                <w:sz w:val="22"/>
                <w:szCs w:val="22"/>
                <w:lang w:val="sk-SK"/>
              </w:rPr>
              <w:t>pečene</w:t>
            </w:r>
            <w:r w:rsidR="009B2CE3" w:rsidRPr="00EE40F4">
              <w:rPr>
                <w:sz w:val="22"/>
                <w:szCs w:val="22"/>
                <w:vertAlign w:val="superscript"/>
                <w:lang w:val="sk-SK"/>
              </w:rPr>
              <w:t>5</w:t>
            </w:r>
            <w:r w:rsidRPr="00EE40F4">
              <w:rPr>
                <w:sz w:val="22"/>
                <w:szCs w:val="22"/>
                <w:lang w:val="sk-SK"/>
              </w:rPr>
              <w:t xml:space="preserve">, nekróza pečene </w:t>
            </w:r>
          </w:p>
        </w:tc>
      </w:tr>
      <w:tr w:rsidR="00653A62" w:rsidRPr="00EE40F4" w14:paraId="4DC8F03B" w14:textId="77777777" w:rsidTr="006624DA">
        <w:trPr>
          <w:trHeight w:val="197"/>
        </w:trPr>
        <w:tc>
          <w:tcPr>
            <w:tcW w:w="9464" w:type="dxa"/>
            <w:gridSpan w:val="4"/>
          </w:tcPr>
          <w:p w14:paraId="15252A00" w14:textId="77777777" w:rsidR="00653A62" w:rsidRPr="00EE40F4" w:rsidRDefault="00653A62" w:rsidP="00EF61CC">
            <w:pPr>
              <w:pStyle w:val="Default"/>
              <w:rPr>
                <w:sz w:val="22"/>
                <w:szCs w:val="22"/>
                <w:lang w:val="sk-SK"/>
              </w:rPr>
            </w:pPr>
            <w:r w:rsidRPr="00EE40F4">
              <w:rPr>
                <w:b/>
                <w:bCs/>
                <w:sz w:val="22"/>
                <w:szCs w:val="22"/>
                <w:lang w:val="sk-SK"/>
              </w:rPr>
              <w:t xml:space="preserve">Poruchy kože a podkožného tkaniva </w:t>
            </w:r>
          </w:p>
        </w:tc>
      </w:tr>
      <w:tr w:rsidR="00653A62" w:rsidRPr="00EE40F4" w14:paraId="7F9168C9" w14:textId="77777777" w:rsidTr="006624DA">
        <w:trPr>
          <w:trHeight w:val="200"/>
        </w:trPr>
        <w:tc>
          <w:tcPr>
            <w:tcW w:w="4542" w:type="dxa"/>
            <w:gridSpan w:val="3"/>
          </w:tcPr>
          <w:p w14:paraId="30B4E40C"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269D6751" w14:textId="77777777" w:rsidR="00653A62" w:rsidRPr="00EE40F4" w:rsidRDefault="00653A62" w:rsidP="00EF61CC">
            <w:pPr>
              <w:pStyle w:val="Default"/>
              <w:rPr>
                <w:sz w:val="22"/>
                <w:szCs w:val="22"/>
                <w:lang w:val="sk-SK"/>
              </w:rPr>
            </w:pPr>
            <w:r w:rsidRPr="00EE40F4">
              <w:rPr>
                <w:sz w:val="22"/>
                <w:szCs w:val="22"/>
                <w:lang w:val="sk-SK"/>
              </w:rPr>
              <w:t>Periorbitálny edém, dermatitída/ekzém/</w:t>
            </w:r>
            <w:r w:rsidR="0038477B">
              <w:rPr>
                <w:sz w:val="22"/>
                <w:szCs w:val="22"/>
                <w:lang w:val="sk-SK"/>
              </w:rPr>
              <w:t>vyrážka</w:t>
            </w:r>
            <w:r w:rsidRPr="00EE40F4">
              <w:rPr>
                <w:sz w:val="22"/>
                <w:szCs w:val="22"/>
                <w:lang w:val="sk-SK"/>
              </w:rPr>
              <w:t xml:space="preserve"> </w:t>
            </w:r>
          </w:p>
        </w:tc>
      </w:tr>
      <w:tr w:rsidR="00653A62" w:rsidRPr="00EE40F4" w14:paraId="249E7638" w14:textId="77777777" w:rsidTr="006624DA">
        <w:trPr>
          <w:trHeight w:val="460"/>
        </w:trPr>
        <w:tc>
          <w:tcPr>
            <w:tcW w:w="4542" w:type="dxa"/>
            <w:gridSpan w:val="3"/>
          </w:tcPr>
          <w:p w14:paraId="086DE979"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7BA28392" w14:textId="77777777" w:rsidR="00653A62" w:rsidRPr="00EE40F4" w:rsidRDefault="00653A62" w:rsidP="0038477B">
            <w:pPr>
              <w:pStyle w:val="Default"/>
              <w:rPr>
                <w:sz w:val="22"/>
                <w:szCs w:val="22"/>
                <w:lang w:val="sk-SK"/>
              </w:rPr>
            </w:pPr>
            <w:r w:rsidRPr="00EE40F4">
              <w:rPr>
                <w:sz w:val="22"/>
                <w:szCs w:val="22"/>
                <w:lang w:val="sk-SK"/>
              </w:rPr>
              <w:t xml:space="preserve">Pruritus, edém tváre, suchosť kože, erytém, alopécia, nočné potenie, </w:t>
            </w:r>
            <w:r w:rsidR="0038477B">
              <w:rPr>
                <w:sz w:val="22"/>
                <w:szCs w:val="22"/>
                <w:lang w:val="sk-SK"/>
              </w:rPr>
              <w:t> </w:t>
            </w:r>
            <w:r w:rsidRPr="00EE40F4">
              <w:rPr>
                <w:sz w:val="22"/>
                <w:szCs w:val="22"/>
                <w:lang w:val="sk-SK"/>
              </w:rPr>
              <w:t>fotosenzit</w:t>
            </w:r>
            <w:r w:rsidR="0038477B">
              <w:rPr>
                <w:sz w:val="22"/>
                <w:szCs w:val="22"/>
                <w:lang w:val="sk-SK"/>
              </w:rPr>
              <w:t>í</w:t>
            </w:r>
            <w:r w:rsidRPr="00EE40F4">
              <w:rPr>
                <w:sz w:val="22"/>
                <w:szCs w:val="22"/>
                <w:lang w:val="sk-SK"/>
              </w:rPr>
              <w:t>v</w:t>
            </w:r>
            <w:r w:rsidR="0038477B">
              <w:rPr>
                <w:sz w:val="22"/>
                <w:szCs w:val="22"/>
                <w:lang w:val="sk-SK"/>
              </w:rPr>
              <w:t>na reakcia</w:t>
            </w:r>
          </w:p>
        </w:tc>
      </w:tr>
      <w:tr w:rsidR="00653A62" w:rsidRPr="00EE40F4" w14:paraId="05438F7D" w14:textId="77777777" w:rsidTr="006624DA">
        <w:trPr>
          <w:trHeight w:val="980"/>
        </w:trPr>
        <w:tc>
          <w:tcPr>
            <w:tcW w:w="4542" w:type="dxa"/>
            <w:gridSpan w:val="3"/>
          </w:tcPr>
          <w:p w14:paraId="6E2A17AF"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5FDB9081" w14:textId="77777777" w:rsidR="00653A62" w:rsidRPr="00EE40F4" w:rsidRDefault="00653A62" w:rsidP="00D70467">
            <w:pPr>
              <w:pStyle w:val="Default"/>
              <w:rPr>
                <w:sz w:val="22"/>
                <w:szCs w:val="22"/>
                <w:lang w:val="sk-SK"/>
              </w:rPr>
            </w:pPr>
            <w:r w:rsidRPr="00EE40F4">
              <w:rPr>
                <w:sz w:val="22"/>
                <w:szCs w:val="22"/>
                <w:lang w:val="sk-SK"/>
              </w:rPr>
              <w:t>Pľuzgierovit</w:t>
            </w:r>
            <w:r w:rsidR="0038477B">
              <w:rPr>
                <w:sz w:val="22"/>
                <w:szCs w:val="22"/>
                <w:lang w:val="sk-SK"/>
              </w:rPr>
              <w:t>á vyrážka</w:t>
            </w:r>
            <w:r w:rsidRPr="00EE40F4">
              <w:rPr>
                <w:sz w:val="22"/>
                <w:szCs w:val="22"/>
                <w:lang w:val="sk-SK"/>
              </w:rPr>
              <w:t xml:space="preserve">, </w:t>
            </w:r>
            <w:r w:rsidR="00D70467" w:rsidRPr="00356A3B">
              <w:rPr>
                <w:sz w:val="22"/>
                <w:szCs w:val="22"/>
                <w:lang w:val="sk-SK"/>
              </w:rPr>
              <w:t>po</w:t>
            </w:r>
            <w:r w:rsidRPr="00D70467">
              <w:rPr>
                <w:sz w:val="22"/>
                <w:szCs w:val="22"/>
                <w:lang w:val="sk-SK"/>
              </w:rPr>
              <w:t>mliaždeniny,</w:t>
            </w:r>
            <w:r w:rsidRPr="00EE40F4">
              <w:rPr>
                <w:sz w:val="22"/>
                <w:szCs w:val="22"/>
                <w:lang w:val="sk-SK"/>
              </w:rPr>
              <w:t xml:space="preserve"> zvýšené potenie, urtikária, ekchymóza, zvýšená náchylnosť k tvorbe </w:t>
            </w:r>
            <w:r w:rsidR="00D70467">
              <w:rPr>
                <w:sz w:val="22"/>
                <w:szCs w:val="22"/>
                <w:lang w:val="sk-SK"/>
              </w:rPr>
              <w:t>podliatín</w:t>
            </w:r>
            <w:r w:rsidRPr="00EE40F4">
              <w:rPr>
                <w:sz w:val="22"/>
                <w:szCs w:val="22"/>
                <w:lang w:val="sk-SK"/>
              </w:rPr>
              <w:t xml:space="preserve">, hypotrichóza, znížená pigmentácia kože, exfoliatívna dermatitída, lámavosť nechtov, folikulitída, petechie, psoriáza, purpura, zvýšená pigmentácia kože, bulózne erupcie </w:t>
            </w:r>
          </w:p>
        </w:tc>
      </w:tr>
      <w:tr w:rsidR="00653A62" w:rsidRPr="00EE40F4" w14:paraId="6C9D8288" w14:textId="77777777" w:rsidTr="006624DA">
        <w:trPr>
          <w:trHeight w:val="980"/>
        </w:trPr>
        <w:tc>
          <w:tcPr>
            <w:tcW w:w="4542" w:type="dxa"/>
            <w:gridSpan w:val="3"/>
          </w:tcPr>
          <w:p w14:paraId="0BE47419"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564693B6" w14:textId="77777777" w:rsidR="00653A62" w:rsidRPr="00EE40F4" w:rsidRDefault="00653A62" w:rsidP="00EF61CC">
            <w:pPr>
              <w:pStyle w:val="Default"/>
              <w:rPr>
                <w:sz w:val="22"/>
                <w:szCs w:val="22"/>
                <w:lang w:val="sk-SK"/>
              </w:rPr>
            </w:pPr>
            <w:r w:rsidRPr="00EE40F4">
              <w:rPr>
                <w:sz w:val="22"/>
                <w:szCs w:val="22"/>
                <w:lang w:val="sk-SK"/>
              </w:rPr>
              <w:t xml:space="preserve">Akútna febrilná neutrofilná dermatóza (Sweetov syndróm), zmena sfarbenia nechtov, angioneurotický edém, vezikulárny exantém, </w:t>
            </w:r>
            <w:r w:rsidRPr="00356A3B">
              <w:rPr>
                <w:i/>
                <w:sz w:val="22"/>
                <w:szCs w:val="22"/>
                <w:lang w:val="sk-SK"/>
              </w:rPr>
              <w:t>erythema multiforme,</w:t>
            </w:r>
            <w:r w:rsidRPr="00EE40F4">
              <w:rPr>
                <w:sz w:val="22"/>
                <w:szCs w:val="22"/>
                <w:lang w:val="sk-SK"/>
              </w:rPr>
              <w:t xml:space="preserve"> leukocytoklastická vaskulitída, Stevensov-Johnsonov syndróm, akútna generalizovaná exantematózna pustulóza (AGEP) </w:t>
            </w:r>
          </w:p>
        </w:tc>
      </w:tr>
      <w:tr w:rsidR="000B7F10" w:rsidRPr="00EE40F4" w14:paraId="7C0BAA5D" w14:textId="77777777" w:rsidTr="006624DA">
        <w:trPr>
          <w:trHeight w:val="980"/>
        </w:trPr>
        <w:tc>
          <w:tcPr>
            <w:tcW w:w="4542" w:type="dxa"/>
            <w:gridSpan w:val="3"/>
          </w:tcPr>
          <w:p w14:paraId="71A59E4E" w14:textId="77777777" w:rsidR="000B7F10" w:rsidRPr="00EE40F4" w:rsidRDefault="000B7F10" w:rsidP="00EF61CC">
            <w:pPr>
              <w:pStyle w:val="Default"/>
              <w:rPr>
                <w:i/>
                <w:iCs/>
                <w:sz w:val="22"/>
                <w:szCs w:val="22"/>
                <w:lang w:val="sk-SK"/>
              </w:rPr>
            </w:pPr>
            <w:r w:rsidRPr="00EE40F4">
              <w:rPr>
                <w:i/>
                <w:iCs/>
                <w:sz w:val="22"/>
                <w:szCs w:val="22"/>
                <w:lang w:val="sk-SK"/>
              </w:rPr>
              <w:t>Neznáme:</w:t>
            </w:r>
          </w:p>
        </w:tc>
        <w:tc>
          <w:tcPr>
            <w:tcW w:w="4922" w:type="dxa"/>
          </w:tcPr>
          <w:p w14:paraId="79B6FCC2" w14:textId="77777777" w:rsidR="000B7F10" w:rsidRPr="00EE40F4" w:rsidRDefault="000B7F10">
            <w:pPr>
              <w:pStyle w:val="Default"/>
              <w:rPr>
                <w:sz w:val="22"/>
                <w:szCs w:val="22"/>
                <w:lang w:val="sk-SK"/>
              </w:rPr>
            </w:pPr>
            <w:r w:rsidRPr="0038477B">
              <w:rPr>
                <w:sz w:val="22"/>
                <w:szCs w:val="22"/>
                <w:lang w:val="sk-SK"/>
              </w:rPr>
              <w:t>Syndróm palmoplantárnej erytro</w:t>
            </w:r>
            <w:r w:rsidRPr="00D70467">
              <w:rPr>
                <w:sz w:val="22"/>
                <w:szCs w:val="22"/>
                <w:lang w:val="sk-SK"/>
              </w:rPr>
              <w:t>dyzestézie*,</w:t>
            </w:r>
            <w:r w:rsidRPr="00EE40F4">
              <w:rPr>
                <w:sz w:val="22"/>
                <w:szCs w:val="22"/>
                <w:lang w:val="sk-SK"/>
              </w:rPr>
              <w:t xml:space="preserve"> lichenoidná keratóza*, </w:t>
            </w:r>
            <w:r w:rsidRPr="00356A3B">
              <w:rPr>
                <w:i/>
                <w:sz w:val="22"/>
                <w:szCs w:val="22"/>
                <w:lang w:val="sk-SK"/>
              </w:rPr>
              <w:t>lichen planus</w:t>
            </w:r>
            <w:r w:rsidRPr="00EE40F4">
              <w:rPr>
                <w:sz w:val="22"/>
                <w:szCs w:val="22"/>
                <w:lang w:val="sk-SK"/>
              </w:rPr>
              <w:t>*, toxická epidermálna nekrolýza*, liekový exantém s eozinofíliou a systémovými príznakmi (DRESS)*</w:t>
            </w:r>
            <w:r w:rsidR="007705E9">
              <w:rPr>
                <w:sz w:val="22"/>
                <w:szCs w:val="22"/>
                <w:lang w:val="sk-SK"/>
              </w:rPr>
              <w:t>,</w:t>
            </w:r>
            <w:r w:rsidR="007705E9" w:rsidRPr="00136B19">
              <w:rPr>
                <w:sz w:val="22"/>
                <w:szCs w:val="22"/>
                <w:lang w:val="sk-SK"/>
              </w:rPr>
              <w:t xml:space="preserve"> pseudoporfýria* </w:t>
            </w:r>
            <w:r w:rsidRPr="00EE40F4">
              <w:rPr>
                <w:sz w:val="22"/>
                <w:szCs w:val="22"/>
                <w:lang w:val="sk-SK"/>
              </w:rPr>
              <w:t xml:space="preserve"> </w:t>
            </w:r>
          </w:p>
        </w:tc>
      </w:tr>
      <w:tr w:rsidR="00653A62" w:rsidRPr="00EE40F4" w14:paraId="4BD80061" w14:textId="77777777" w:rsidTr="006624DA">
        <w:trPr>
          <w:trHeight w:val="197"/>
        </w:trPr>
        <w:tc>
          <w:tcPr>
            <w:tcW w:w="9464" w:type="dxa"/>
            <w:gridSpan w:val="4"/>
          </w:tcPr>
          <w:p w14:paraId="6693B6C8" w14:textId="77777777" w:rsidR="00653A62" w:rsidRPr="00EE40F4" w:rsidRDefault="00653A62" w:rsidP="00EF61CC">
            <w:pPr>
              <w:pStyle w:val="Default"/>
              <w:rPr>
                <w:sz w:val="22"/>
                <w:szCs w:val="22"/>
                <w:lang w:val="sk-SK"/>
              </w:rPr>
            </w:pPr>
            <w:r w:rsidRPr="00EE40F4">
              <w:rPr>
                <w:b/>
                <w:bCs/>
                <w:sz w:val="22"/>
                <w:szCs w:val="22"/>
                <w:lang w:val="sk-SK"/>
              </w:rPr>
              <w:t xml:space="preserve">Poruchy kostrovej a svalovej sústavy a spojivového tkaniva </w:t>
            </w:r>
          </w:p>
        </w:tc>
      </w:tr>
      <w:tr w:rsidR="00653A62" w:rsidRPr="00EE40F4" w14:paraId="6D279111" w14:textId="77777777" w:rsidTr="006624DA">
        <w:trPr>
          <w:trHeight w:val="462"/>
        </w:trPr>
        <w:tc>
          <w:tcPr>
            <w:tcW w:w="4542" w:type="dxa"/>
            <w:gridSpan w:val="3"/>
          </w:tcPr>
          <w:p w14:paraId="38936E64" w14:textId="77777777" w:rsidR="00653A62" w:rsidRPr="00EE40F4" w:rsidRDefault="00653A62" w:rsidP="00EF61CC">
            <w:pPr>
              <w:pStyle w:val="Default"/>
              <w:rPr>
                <w:sz w:val="22"/>
                <w:szCs w:val="22"/>
                <w:lang w:val="sk-SK"/>
              </w:rPr>
            </w:pPr>
            <w:r w:rsidRPr="00EE40F4">
              <w:rPr>
                <w:i/>
                <w:iCs/>
                <w:sz w:val="22"/>
                <w:szCs w:val="22"/>
                <w:lang w:val="sk-SK"/>
              </w:rPr>
              <w:lastRenderedPageBreak/>
              <w:t xml:space="preserve">Veľmi časté: </w:t>
            </w:r>
          </w:p>
        </w:tc>
        <w:tc>
          <w:tcPr>
            <w:tcW w:w="4922" w:type="dxa"/>
          </w:tcPr>
          <w:p w14:paraId="0AFED46A" w14:textId="77777777" w:rsidR="00653A62" w:rsidRPr="00EE40F4" w:rsidRDefault="00653A62" w:rsidP="005429CE">
            <w:pPr>
              <w:pStyle w:val="Default"/>
              <w:rPr>
                <w:sz w:val="22"/>
                <w:szCs w:val="22"/>
                <w:lang w:val="sk-SK"/>
              </w:rPr>
            </w:pPr>
            <w:r w:rsidRPr="00EE40F4">
              <w:rPr>
                <w:sz w:val="22"/>
                <w:szCs w:val="22"/>
                <w:lang w:val="sk-SK"/>
              </w:rPr>
              <w:t xml:space="preserve">Svalové </w:t>
            </w:r>
            <w:r w:rsidR="0038477B">
              <w:rPr>
                <w:sz w:val="22"/>
                <w:szCs w:val="22"/>
                <w:lang w:val="sk-SK"/>
              </w:rPr>
              <w:t xml:space="preserve">spazmy a </w:t>
            </w:r>
            <w:r w:rsidRPr="00EE40F4">
              <w:rPr>
                <w:sz w:val="22"/>
                <w:szCs w:val="22"/>
                <w:lang w:val="sk-SK"/>
              </w:rPr>
              <w:t>kŕče, bolesti kostry a svalstva vrátane myalgie</w:t>
            </w:r>
            <w:r w:rsidR="00CB0CA7">
              <w:rPr>
                <w:sz w:val="22"/>
                <w:szCs w:val="22"/>
                <w:vertAlign w:val="superscript"/>
                <w:lang w:val="sk-SK"/>
              </w:rPr>
              <w:t>6</w:t>
            </w:r>
            <w:r w:rsidRPr="00EE40F4">
              <w:rPr>
                <w:sz w:val="22"/>
                <w:szCs w:val="22"/>
                <w:lang w:val="sk-SK"/>
              </w:rPr>
              <w:t xml:space="preserve">, artralgie a bolesti </w:t>
            </w:r>
            <w:r w:rsidR="005429CE" w:rsidRPr="00EE40F4">
              <w:rPr>
                <w:sz w:val="22"/>
                <w:szCs w:val="22"/>
                <w:lang w:val="sk-SK"/>
              </w:rPr>
              <w:t>kostí</w:t>
            </w:r>
          </w:p>
        </w:tc>
      </w:tr>
      <w:tr w:rsidR="00653A62" w:rsidRPr="00EE40F4" w14:paraId="1A7DB544" w14:textId="77777777" w:rsidTr="006624DA">
        <w:trPr>
          <w:trHeight w:val="200"/>
        </w:trPr>
        <w:tc>
          <w:tcPr>
            <w:tcW w:w="4542" w:type="dxa"/>
            <w:gridSpan w:val="3"/>
          </w:tcPr>
          <w:p w14:paraId="21F5199C"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52E446D2" w14:textId="77777777" w:rsidR="00653A62" w:rsidRPr="00EE40F4" w:rsidRDefault="00653A62" w:rsidP="00EF61CC">
            <w:pPr>
              <w:pStyle w:val="Default"/>
              <w:rPr>
                <w:sz w:val="22"/>
                <w:szCs w:val="22"/>
                <w:lang w:val="sk-SK"/>
              </w:rPr>
            </w:pPr>
            <w:r w:rsidRPr="00EE40F4">
              <w:rPr>
                <w:sz w:val="22"/>
                <w:szCs w:val="22"/>
                <w:lang w:val="sk-SK"/>
              </w:rPr>
              <w:t xml:space="preserve">Opuch kĺbov </w:t>
            </w:r>
          </w:p>
        </w:tc>
      </w:tr>
      <w:tr w:rsidR="00653A62" w:rsidRPr="00EE40F4" w14:paraId="21B556D9" w14:textId="77777777" w:rsidTr="006624DA">
        <w:trPr>
          <w:trHeight w:val="200"/>
        </w:trPr>
        <w:tc>
          <w:tcPr>
            <w:tcW w:w="4542" w:type="dxa"/>
            <w:gridSpan w:val="3"/>
          </w:tcPr>
          <w:p w14:paraId="639FB669"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0125C9A4" w14:textId="77777777" w:rsidR="00653A62" w:rsidRPr="00EE40F4" w:rsidRDefault="00653A62" w:rsidP="00EF61CC">
            <w:pPr>
              <w:pStyle w:val="Default"/>
              <w:rPr>
                <w:sz w:val="22"/>
                <w:szCs w:val="22"/>
                <w:lang w:val="sk-SK"/>
              </w:rPr>
            </w:pPr>
            <w:r w:rsidRPr="00EE40F4">
              <w:rPr>
                <w:sz w:val="22"/>
                <w:szCs w:val="22"/>
                <w:lang w:val="sk-SK"/>
              </w:rPr>
              <w:t xml:space="preserve">Stuhnutosť kĺbov a svalov </w:t>
            </w:r>
          </w:p>
        </w:tc>
      </w:tr>
      <w:tr w:rsidR="00653A62" w:rsidRPr="00EE40F4" w14:paraId="56530142" w14:textId="77777777" w:rsidTr="006624DA">
        <w:trPr>
          <w:trHeight w:val="200"/>
        </w:trPr>
        <w:tc>
          <w:tcPr>
            <w:tcW w:w="4542" w:type="dxa"/>
            <w:gridSpan w:val="3"/>
          </w:tcPr>
          <w:p w14:paraId="44D17423"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326135A0" w14:textId="77777777" w:rsidR="00653A62" w:rsidRPr="00EE40F4" w:rsidRDefault="00653A62" w:rsidP="00EF61CC">
            <w:pPr>
              <w:pStyle w:val="Default"/>
              <w:rPr>
                <w:sz w:val="22"/>
                <w:szCs w:val="22"/>
                <w:lang w:val="sk-SK"/>
              </w:rPr>
            </w:pPr>
            <w:r w:rsidRPr="00EE40F4">
              <w:rPr>
                <w:sz w:val="22"/>
                <w:szCs w:val="22"/>
                <w:lang w:val="sk-SK"/>
              </w:rPr>
              <w:t xml:space="preserve">Svalová slabosť, artritída, rabdomyolýza/myopatia </w:t>
            </w:r>
          </w:p>
        </w:tc>
      </w:tr>
      <w:tr w:rsidR="000B7F10" w:rsidRPr="00EE40F4" w14:paraId="665C3718" w14:textId="77777777" w:rsidTr="006624DA">
        <w:trPr>
          <w:trHeight w:val="200"/>
        </w:trPr>
        <w:tc>
          <w:tcPr>
            <w:tcW w:w="4542" w:type="dxa"/>
            <w:gridSpan w:val="3"/>
          </w:tcPr>
          <w:p w14:paraId="49641B6A" w14:textId="77777777" w:rsidR="000B7F10" w:rsidRPr="00EE40F4" w:rsidRDefault="000B7F10" w:rsidP="00EF61CC">
            <w:pPr>
              <w:pStyle w:val="Default"/>
              <w:rPr>
                <w:i/>
                <w:iCs/>
                <w:sz w:val="22"/>
                <w:szCs w:val="22"/>
                <w:lang w:val="sk-SK"/>
              </w:rPr>
            </w:pPr>
            <w:r w:rsidRPr="00EE40F4">
              <w:rPr>
                <w:i/>
                <w:iCs/>
                <w:sz w:val="22"/>
                <w:szCs w:val="22"/>
                <w:lang w:val="sk-SK"/>
              </w:rPr>
              <w:t>Neznáme:</w:t>
            </w:r>
          </w:p>
        </w:tc>
        <w:tc>
          <w:tcPr>
            <w:tcW w:w="4922" w:type="dxa"/>
          </w:tcPr>
          <w:p w14:paraId="207C9491" w14:textId="77777777" w:rsidR="000B7F10" w:rsidRPr="00EE40F4" w:rsidRDefault="000B7F10" w:rsidP="00EF61CC">
            <w:pPr>
              <w:pStyle w:val="Default"/>
              <w:rPr>
                <w:sz w:val="22"/>
                <w:szCs w:val="22"/>
                <w:lang w:val="sk-SK"/>
              </w:rPr>
            </w:pPr>
            <w:r w:rsidRPr="00EE40F4">
              <w:rPr>
                <w:sz w:val="22"/>
                <w:szCs w:val="22"/>
                <w:lang w:val="sk-SK"/>
              </w:rPr>
              <w:t xml:space="preserve">Avaskulárna nekróza/nekróza bedra*, spomalenie rastu u detí* </w:t>
            </w:r>
          </w:p>
        </w:tc>
      </w:tr>
      <w:tr w:rsidR="00653A62" w:rsidRPr="00EE40F4" w14:paraId="617F0547" w14:textId="77777777" w:rsidTr="006624DA">
        <w:trPr>
          <w:trHeight w:val="197"/>
        </w:trPr>
        <w:tc>
          <w:tcPr>
            <w:tcW w:w="9464" w:type="dxa"/>
            <w:gridSpan w:val="4"/>
          </w:tcPr>
          <w:p w14:paraId="7ABA8B4D" w14:textId="77777777" w:rsidR="00653A62" w:rsidRPr="00EE40F4" w:rsidRDefault="00653A62" w:rsidP="00EF61CC">
            <w:pPr>
              <w:pStyle w:val="Default"/>
              <w:rPr>
                <w:sz w:val="22"/>
                <w:szCs w:val="22"/>
                <w:lang w:val="sk-SK"/>
              </w:rPr>
            </w:pPr>
            <w:r w:rsidRPr="00EE40F4">
              <w:rPr>
                <w:b/>
                <w:bCs/>
                <w:sz w:val="22"/>
                <w:szCs w:val="22"/>
                <w:lang w:val="sk-SK"/>
              </w:rPr>
              <w:t xml:space="preserve">Poruchy obličiek a močových ciest </w:t>
            </w:r>
          </w:p>
        </w:tc>
      </w:tr>
      <w:tr w:rsidR="00653A62" w:rsidRPr="00EE40F4" w14:paraId="6BB0B0D3" w14:textId="77777777" w:rsidTr="006624DA">
        <w:trPr>
          <w:trHeight w:val="200"/>
        </w:trPr>
        <w:tc>
          <w:tcPr>
            <w:tcW w:w="4542" w:type="dxa"/>
            <w:gridSpan w:val="3"/>
          </w:tcPr>
          <w:p w14:paraId="60FA5BD1"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7FA157C2" w14:textId="77777777" w:rsidR="00653A62" w:rsidRPr="00EE40F4" w:rsidRDefault="00653A62" w:rsidP="00EF61CC">
            <w:pPr>
              <w:pStyle w:val="Default"/>
              <w:rPr>
                <w:sz w:val="22"/>
                <w:szCs w:val="22"/>
                <w:lang w:val="sk-SK"/>
              </w:rPr>
            </w:pPr>
            <w:r w:rsidRPr="00EE40F4">
              <w:rPr>
                <w:sz w:val="22"/>
                <w:szCs w:val="22"/>
                <w:lang w:val="sk-SK"/>
              </w:rPr>
              <w:t xml:space="preserve">Bolesť obličiek, hematúria, akútne zlyhanie obličiek, častejšie močenie </w:t>
            </w:r>
          </w:p>
        </w:tc>
      </w:tr>
      <w:tr w:rsidR="000B7F10" w:rsidRPr="00EE40F4" w14:paraId="3F89025A" w14:textId="77777777" w:rsidTr="006624DA">
        <w:trPr>
          <w:trHeight w:val="200"/>
        </w:trPr>
        <w:tc>
          <w:tcPr>
            <w:tcW w:w="4542" w:type="dxa"/>
            <w:gridSpan w:val="3"/>
          </w:tcPr>
          <w:p w14:paraId="747C7886" w14:textId="77777777" w:rsidR="000B7F10" w:rsidRPr="00EE40F4" w:rsidRDefault="000B7F10" w:rsidP="00EF61CC">
            <w:pPr>
              <w:pStyle w:val="Default"/>
              <w:rPr>
                <w:i/>
                <w:iCs/>
                <w:color w:val="auto"/>
                <w:sz w:val="22"/>
                <w:szCs w:val="22"/>
                <w:lang w:val="sk-SK"/>
              </w:rPr>
            </w:pPr>
            <w:r w:rsidRPr="00EE40F4">
              <w:rPr>
                <w:i/>
                <w:iCs/>
                <w:color w:val="auto"/>
                <w:sz w:val="22"/>
                <w:szCs w:val="22"/>
                <w:lang w:val="sk-SK"/>
              </w:rPr>
              <w:t>Neznáme:</w:t>
            </w:r>
          </w:p>
        </w:tc>
        <w:tc>
          <w:tcPr>
            <w:tcW w:w="4922" w:type="dxa"/>
          </w:tcPr>
          <w:p w14:paraId="66289FD8" w14:textId="77777777" w:rsidR="000B7F10" w:rsidRPr="00EE40F4" w:rsidRDefault="000B7F10" w:rsidP="00EF61CC">
            <w:pPr>
              <w:pStyle w:val="Default"/>
              <w:rPr>
                <w:color w:val="auto"/>
                <w:sz w:val="22"/>
                <w:szCs w:val="22"/>
                <w:lang w:val="sk-SK"/>
              </w:rPr>
            </w:pPr>
            <w:r w:rsidRPr="00EE40F4">
              <w:rPr>
                <w:color w:val="auto"/>
                <w:sz w:val="22"/>
                <w:szCs w:val="22"/>
                <w:lang w:val="sk-SK"/>
              </w:rPr>
              <w:t xml:space="preserve">Chronické zlyhávanie obličiek </w:t>
            </w:r>
          </w:p>
        </w:tc>
      </w:tr>
      <w:tr w:rsidR="00653A62" w:rsidRPr="00EE40F4" w14:paraId="62B7129F" w14:textId="77777777" w:rsidTr="006624DA">
        <w:trPr>
          <w:trHeight w:val="197"/>
        </w:trPr>
        <w:tc>
          <w:tcPr>
            <w:tcW w:w="9464" w:type="dxa"/>
            <w:gridSpan w:val="4"/>
          </w:tcPr>
          <w:p w14:paraId="062C0B38" w14:textId="77777777" w:rsidR="00653A62" w:rsidRPr="00EE40F4" w:rsidRDefault="00653A62" w:rsidP="00EF61CC">
            <w:pPr>
              <w:pStyle w:val="Default"/>
              <w:rPr>
                <w:sz w:val="22"/>
                <w:szCs w:val="22"/>
                <w:lang w:val="sk-SK"/>
              </w:rPr>
            </w:pPr>
            <w:r w:rsidRPr="00EE40F4">
              <w:rPr>
                <w:b/>
                <w:bCs/>
                <w:sz w:val="22"/>
                <w:szCs w:val="22"/>
                <w:lang w:val="sk-SK"/>
              </w:rPr>
              <w:t xml:space="preserve">Poruchy reprodukčného systému a prsníkov </w:t>
            </w:r>
          </w:p>
        </w:tc>
      </w:tr>
      <w:tr w:rsidR="00653A62" w:rsidRPr="00EE40F4" w14:paraId="3BF93259" w14:textId="77777777" w:rsidTr="006624DA">
        <w:trPr>
          <w:trHeight w:val="721"/>
        </w:trPr>
        <w:tc>
          <w:tcPr>
            <w:tcW w:w="4542" w:type="dxa"/>
            <w:gridSpan w:val="3"/>
          </w:tcPr>
          <w:p w14:paraId="24524F3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04B557E2" w14:textId="77777777" w:rsidR="00653A62" w:rsidRPr="00EE40F4" w:rsidRDefault="00653A62" w:rsidP="00EF61CC">
            <w:pPr>
              <w:pStyle w:val="Default"/>
              <w:rPr>
                <w:sz w:val="22"/>
                <w:szCs w:val="22"/>
                <w:lang w:val="sk-SK"/>
              </w:rPr>
            </w:pPr>
            <w:r w:rsidRPr="00EE40F4">
              <w:rPr>
                <w:sz w:val="22"/>
                <w:szCs w:val="22"/>
                <w:lang w:val="sk-SK"/>
              </w:rPr>
              <w:t xml:space="preserve">Gynekomastia, erektilná dysfunkcia, menorágia, nepravidelná menštruácia, porucha sexuálnej funkcie, bolesť bradaviek, zväčšenie prsníkov, skrotálny edém </w:t>
            </w:r>
          </w:p>
        </w:tc>
      </w:tr>
      <w:tr w:rsidR="00653A62" w:rsidRPr="00EE40F4" w14:paraId="58CEDA1A" w14:textId="77777777" w:rsidTr="006624DA">
        <w:trPr>
          <w:trHeight w:val="200"/>
        </w:trPr>
        <w:tc>
          <w:tcPr>
            <w:tcW w:w="4542" w:type="dxa"/>
            <w:gridSpan w:val="3"/>
          </w:tcPr>
          <w:p w14:paraId="620D517A"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33FBAAA9" w14:textId="77777777" w:rsidR="00653A62" w:rsidRPr="00EE40F4" w:rsidRDefault="00653A62" w:rsidP="00EF61CC">
            <w:pPr>
              <w:pStyle w:val="Default"/>
              <w:rPr>
                <w:sz w:val="22"/>
                <w:szCs w:val="22"/>
                <w:lang w:val="sk-SK"/>
              </w:rPr>
            </w:pPr>
            <w:r w:rsidRPr="00EE40F4">
              <w:rPr>
                <w:sz w:val="22"/>
                <w:szCs w:val="22"/>
                <w:lang w:val="sk-SK"/>
              </w:rPr>
              <w:t xml:space="preserve">Hemoragické </w:t>
            </w:r>
            <w:r w:rsidRPr="00684EEE">
              <w:rPr>
                <w:i/>
                <w:sz w:val="22"/>
                <w:szCs w:val="22"/>
                <w:lang w:val="sk-SK"/>
              </w:rPr>
              <w:t>corpus luteum/</w:t>
            </w:r>
            <w:r w:rsidRPr="00EE40F4">
              <w:rPr>
                <w:sz w:val="22"/>
                <w:szCs w:val="22"/>
                <w:lang w:val="sk-SK"/>
              </w:rPr>
              <w:t xml:space="preserve">hemoragická ovariálna cysta </w:t>
            </w:r>
          </w:p>
        </w:tc>
      </w:tr>
      <w:tr w:rsidR="00653A62" w:rsidRPr="00EE40F4" w14:paraId="072109D2" w14:textId="77777777" w:rsidTr="006624DA">
        <w:trPr>
          <w:trHeight w:val="197"/>
        </w:trPr>
        <w:tc>
          <w:tcPr>
            <w:tcW w:w="9464" w:type="dxa"/>
            <w:gridSpan w:val="4"/>
          </w:tcPr>
          <w:p w14:paraId="129206F1" w14:textId="77777777" w:rsidR="00653A62" w:rsidRPr="00EE40F4" w:rsidRDefault="00653A62" w:rsidP="00EF61CC">
            <w:pPr>
              <w:pStyle w:val="Default"/>
              <w:rPr>
                <w:sz w:val="22"/>
                <w:szCs w:val="22"/>
                <w:lang w:val="sk-SK"/>
              </w:rPr>
            </w:pPr>
            <w:r w:rsidRPr="00EE40F4">
              <w:rPr>
                <w:b/>
                <w:bCs/>
                <w:sz w:val="22"/>
                <w:szCs w:val="22"/>
                <w:lang w:val="sk-SK"/>
              </w:rPr>
              <w:t xml:space="preserve">Celkové poruchy a reakcie v mieste podania </w:t>
            </w:r>
          </w:p>
        </w:tc>
      </w:tr>
      <w:tr w:rsidR="00653A62" w:rsidRPr="00EE40F4" w14:paraId="22C1CBF0" w14:textId="77777777" w:rsidTr="006624DA">
        <w:trPr>
          <w:trHeight w:val="200"/>
        </w:trPr>
        <w:tc>
          <w:tcPr>
            <w:tcW w:w="4542" w:type="dxa"/>
            <w:gridSpan w:val="3"/>
          </w:tcPr>
          <w:p w14:paraId="19826E98"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3BD984A0" w14:textId="77777777" w:rsidR="00653A62" w:rsidRPr="00EE40F4" w:rsidRDefault="00653A62" w:rsidP="00EF61CC">
            <w:pPr>
              <w:pStyle w:val="Default"/>
              <w:rPr>
                <w:sz w:val="22"/>
                <w:szCs w:val="22"/>
                <w:lang w:val="sk-SK"/>
              </w:rPr>
            </w:pPr>
            <w:r w:rsidRPr="00EE40F4">
              <w:rPr>
                <w:sz w:val="22"/>
                <w:szCs w:val="22"/>
                <w:lang w:val="sk-SK"/>
              </w:rPr>
              <w:t xml:space="preserve">Retencia tekutiny a edém, únava </w:t>
            </w:r>
          </w:p>
        </w:tc>
      </w:tr>
      <w:tr w:rsidR="00653A62" w:rsidRPr="00EE40F4" w14:paraId="7B90B651" w14:textId="77777777" w:rsidTr="006624DA">
        <w:trPr>
          <w:trHeight w:val="200"/>
        </w:trPr>
        <w:tc>
          <w:tcPr>
            <w:tcW w:w="4542" w:type="dxa"/>
            <w:gridSpan w:val="3"/>
          </w:tcPr>
          <w:p w14:paraId="7FB9798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0978D504" w14:textId="77777777" w:rsidR="00653A62" w:rsidRPr="00EE40F4" w:rsidRDefault="00653A62" w:rsidP="0038477B">
            <w:pPr>
              <w:pStyle w:val="Default"/>
              <w:rPr>
                <w:sz w:val="22"/>
                <w:szCs w:val="22"/>
                <w:lang w:val="sk-SK"/>
              </w:rPr>
            </w:pPr>
            <w:r w:rsidRPr="00EE40F4">
              <w:rPr>
                <w:sz w:val="22"/>
                <w:szCs w:val="22"/>
                <w:lang w:val="sk-SK"/>
              </w:rPr>
              <w:t xml:space="preserve">Slabosť, pyrexia, anasarka, zimnica, </w:t>
            </w:r>
            <w:r w:rsidR="0038477B">
              <w:rPr>
                <w:sz w:val="22"/>
                <w:szCs w:val="22"/>
                <w:lang w:val="sk-SK"/>
              </w:rPr>
              <w:t>stuhnutosť</w:t>
            </w:r>
          </w:p>
        </w:tc>
      </w:tr>
      <w:tr w:rsidR="00653A62" w:rsidRPr="00EE40F4" w14:paraId="3C7567C6" w14:textId="77777777" w:rsidTr="006624DA">
        <w:trPr>
          <w:trHeight w:val="200"/>
        </w:trPr>
        <w:tc>
          <w:tcPr>
            <w:tcW w:w="4542" w:type="dxa"/>
            <w:gridSpan w:val="3"/>
          </w:tcPr>
          <w:p w14:paraId="79AF46A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543626A5" w14:textId="77777777" w:rsidR="00653A62" w:rsidRPr="00EE40F4" w:rsidRDefault="00653A62" w:rsidP="00EF61CC">
            <w:pPr>
              <w:pStyle w:val="Default"/>
              <w:rPr>
                <w:sz w:val="22"/>
                <w:szCs w:val="22"/>
                <w:lang w:val="sk-SK"/>
              </w:rPr>
            </w:pPr>
            <w:r w:rsidRPr="00EE40F4">
              <w:rPr>
                <w:sz w:val="22"/>
                <w:szCs w:val="22"/>
                <w:lang w:val="sk-SK"/>
              </w:rPr>
              <w:t xml:space="preserve">Bolesť na hrudi, celková nevoľnosť </w:t>
            </w:r>
          </w:p>
        </w:tc>
      </w:tr>
      <w:tr w:rsidR="00653A62" w:rsidRPr="00EE40F4" w14:paraId="49681228" w14:textId="77777777" w:rsidTr="006624DA">
        <w:trPr>
          <w:trHeight w:val="197"/>
        </w:trPr>
        <w:tc>
          <w:tcPr>
            <w:tcW w:w="9464" w:type="dxa"/>
            <w:gridSpan w:val="4"/>
          </w:tcPr>
          <w:p w14:paraId="7F1AFCFA" w14:textId="77777777" w:rsidR="00653A62" w:rsidRPr="00EE40F4" w:rsidRDefault="00653A62" w:rsidP="00EF61CC">
            <w:pPr>
              <w:pStyle w:val="Default"/>
              <w:rPr>
                <w:sz w:val="22"/>
                <w:szCs w:val="22"/>
                <w:lang w:val="sk-SK"/>
              </w:rPr>
            </w:pPr>
            <w:r w:rsidRPr="00EE40F4">
              <w:rPr>
                <w:b/>
                <w:bCs/>
                <w:sz w:val="22"/>
                <w:szCs w:val="22"/>
                <w:lang w:val="sk-SK"/>
              </w:rPr>
              <w:t xml:space="preserve">Laboratórne a funkčné vyšetrenia </w:t>
            </w:r>
          </w:p>
        </w:tc>
      </w:tr>
      <w:tr w:rsidR="00653A62" w:rsidRPr="00EE40F4" w14:paraId="5601AD91" w14:textId="77777777" w:rsidTr="006624DA">
        <w:trPr>
          <w:trHeight w:val="200"/>
        </w:trPr>
        <w:tc>
          <w:tcPr>
            <w:tcW w:w="4503" w:type="dxa"/>
          </w:tcPr>
          <w:p w14:paraId="388D74CE"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61" w:type="dxa"/>
            <w:gridSpan w:val="3"/>
          </w:tcPr>
          <w:p w14:paraId="25C6C85F" w14:textId="77777777" w:rsidR="00653A62" w:rsidRPr="00EE40F4" w:rsidRDefault="00653A62" w:rsidP="00EF61CC">
            <w:pPr>
              <w:pStyle w:val="Default"/>
              <w:ind w:right="-156"/>
              <w:rPr>
                <w:sz w:val="22"/>
                <w:szCs w:val="22"/>
                <w:lang w:val="sk-SK"/>
              </w:rPr>
            </w:pPr>
            <w:r w:rsidRPr="00EE40F4">
              <w:rPr>
                <w:sz w:val="22"/>
                <w:szCs w:val="22"/>
                <w:lang w:val="sk-SK"/>
              </w:rPr>
              <w:t xml:space="preserve">Zvýšenie hmotnosti </w:t>
            </w:r>
          </w:p>
        </w:tc>
      </w:tr>
      <w:tr w:rsidR="00653A62" w:rsidRPr="00EE40F4" w14:paraId="1A5415F1" w14:textId="77777777" w:rsidTr="006624DA">
        <w:trPr>
          <w:trHeight w:val="200"/>
        </w:trPr>
        <w:tc>
          <w:tcPr>
            <w:tcW w:w="4503" w:type="dxa"/>
          </w:tcPr>
          <w:p w14:paraId="196C7157"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61" w:type="dxa"/>
            <w:gridSpan w:val="3"/>
          </w:tcPr>
          <w:p w14:paraId="7044CC07" w14:textId="77777777" w:rsidR="00653A62" w:rsidRPr="00EE40F4" w:rsidRDefault="00653A62" w:rsidP="00EF61CC">
            <w:pPr>
              <w:pStyle w:val="Default"/>
              <w:rPr>
                <w:sz w:val="22"/>
                <w:szCs w:val="22"/>
                <w:lang w:val="sk-SK"/>
              </w:rPr>
            </w:pPr>
            <w:r w:rsidRPr="00EE40F4">
              <w:rPr>
                <w:sz w:val="22"/>
                <w:szCs w:val="22"/>
                <w:lang w:val="sk-SK"/>
              </w:rPr>
              <w:t xml:space="preserve">Zníženie hmotnosti </w:t>
            </w:r>
          </w:p>
        </w:tc>
      </w:tr>
      <w:tr w:rsidR="00653A62" w:rsidRPr="00EE40F4" w14:paraId="67419C6F" w14:textId="77777777" w:rsidTr="006624DA">
        <w:trPr>
          <w:trHeight w:val="460"/>
        </w:trPr>
        <w:tc>
          <w:tcPr>
            <w:tcW w:w="4503" w:type="dxa"/>
          </w:tcPr>
          <w:p w14:paraId="26DA798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61" w:type="dxa"/>
            <w:gridSpan w:val="3"/>
          </w:tcPr>
          <w:p w14:paraId="2674BB49" w14:textId="77777777" w:rsidR="00653A62" w:rsidRPr="00EE40F4" w:rsidRDefault="00653A62" w:rsidP="00EF61CC">
            <w:pPr>
              <w:pStyle w:val="Default"/>
              <w:rPr>
                <w:sz w:val="22"/>
                <w:szCs w:val="22"/>
                <w:lang w:val="sk-SK"/>
              </w:rPr>
            </w:pPr>
            <w:r w:rsidRPr="00EE40F4">
              <w:rPr>
                <w:sz w:val="22"/>
                <w:szCs w:val="22"/>
                <w:lang w:val="sk-SK"/>
              </w:rPr>
              <w:t xml:space="preserve">Zvýšenie kreatinínu v krvi, zvýšenie kreatínfosfokinázy v krvi, zvýšenie laktátdehydrogenázy v krvi, zvýšenie alkalickej fosfatázy v krvi </w:t>
            </w:r>
          </w:p>
        </w:tc>
      </w:tr>
      <w:tr w:rsidR="00653A62" w:rsidRPr="00EE40F4" w14:paraId="5108CC21" w14:textId="77777777" w:rsidTr="006624DA">
        <w:trPr>
          <w:trHeight w:val="200"/>
        </w:trPr>
        <w:tc>
          <w:tcPr>
            <w:tcW w:w="4503" w:type="dxa"/>
          </w:tcPr>
          <w:p w14:paraId="5B1B4203"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61" w:type="dxa"/>
            <w:gridSpan w:val="3"/>
          </w:tcPr>
          <w:p w14:paraId="3FC05850" w14:textId="77777777" w:rsidR="00653A62" w:rsidRPr="00EE40F4" w:rsidRDefault="00653A62" w:rsidP="00EF61CC">
            <w:pPr>
              <w:pStyle w:val="Default"/>
              <w:rPr>
                <w:sz w:val="22"/>
                <w:szCs w:val="22"/>
                <w:lang w:val="sk-SK"/>
              </w:rPr>
            </w:pPr>
            <w:r w:rsidRPr="00EE40F4">
              <w:rPr>
                <w:sz w:val="22"/>
                <w:szCs w:val="22"/>
                <w:lang w:val="sk-SK"/>
              </w:rPr>
              <w:t xml:space="preserve">Zvýšenie amylázy v krvi </w:t>
            </w:r>
          </w:p>
        </w:tc>
      </w:tr>
    </w:tbl>
    <w:p w14:paraId="598BEA60" w14:textId="77777777" w:rsidR="000B7F10" w:rsidRPr="00EE71A9" w:rsidRDefault="000B7F10" w:rsidP="000B7F10">
      <w:pPr>
        <w:spacing w:after="0" w:line="240" w:lineRule="auto"/>
        <w:ind w:left="142" w:right="-24" w:hanging="142"/>
        <w:rPr>
          <w:rFonts w:ascii="Times New Roman" w:hAnsi="Times New Roman"/>
          <w:sz w:val="20"/>
          <w:szCs w:val="20"/>
        </w:rPr>
      </w:pPr>
      <w:r w:rsidRPr="00EE71A9">
        <w:rPr>
          <w:rFonts w:ascii="Times New Roman" w:hAnsi="Times New Roman"/>
          <w:sz w:val="20"/>
          <w:szCs w:val="20"/>
        </w:rPr>
        <w:t>* Nasledovné typy reakcií</w:t>
      </w:r>
      <w:r w:rsidR="00D70467" w:rsidRPr="00EE71A9">
        <w:rPr>
          <w:rFonts w:ascii="Times New Roman" w:hAnsi="Times New Roman"/>
          <w:sz w:val="20"/>
          <w:szCs w:val="20"/>
        </w:rPr>
        <w:t xml:space="preserve"> po imatinibe</w:t>
      </w:r>
      <w:r w:rsidRPr="00EE71A9">
        <w:rPr>
          <w:rFonts w:ascii="Times New Roman" w:hAnsi="Times New Roman"/>
          <w:sz w:val="20"/>
          <w:szCs w:val="20"/>
        </w:rPr>
        <w:t xml:space="preserve"> sa zaznamenali hlavne pri skúsenostiach</w:t>
      </w:r>
      <w:r w:rsidR="00D70467" w:rsidRPr="00EE71A9">
        <w:rPr>
          <w:rFonts w:ascii="Times New Roman" w:hAnsi="Times New Roman"/>
          <w:sz w:val="20"/>
          <w:szCs w:val="20"/>
        </w:rPr>
        <w:t xml:space="preserve"> po uvedení na trh.</w:t>
      </w:r>
      <w:r w:rsidR="00684EEE" w:rsidRPr="00EE71A9">
        <w:rPr>
          <w:rFonts w:ascii="Times New Roman" w:hAnsi="Times New Roman"/>
          <w:sz w:val="20"/>
          <w:szCs w:val="20"/>
        </w:rPr>
        <w:t xml:space="preserve"> </w:t>
      </w:r>
      <w:r w:rsidRPr="00EE71A9">
        <w:rPr>
          <w:rFonts w:ascii="Times New Roman" w:hAnsi="Times New Roman"/>
          <w:sz w:val="20"/>
          <w:szCs w:val="20"/>
        </w:rPr>
        <w:t>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14:paraId="67AB3D4A" w14:textId="77777777" w:rsidR="00FD3915" w:rsidRPr="00EE71A9" w:rsidRDefault="00FD3915" w:rsidP="00412829">
      <w:pPr>
        <w:pStyle w:val="Default"/>
        <w:ind w:left="567" w:hanging="567"/>
        <w:rPr>
          <w:sz w:val="20"/>
          <w:szCs w:val="20"/>
          <w:lang w:val="sk-SK"/>
        </w:rPr>
      </w:pPr>
      <w:r w:rsidRPr="00EE71A9">
        <w:rPr>
          <w:sz w:val="20"/>
          <w:szCs w:val="20"/>
          <w:lang w:val="sk-SK"/>
        </w:rPr>
        <w:t xml:space="preserve">1 Pneumónia sa zaznamenala najčastejšie u pacientov s transformovanou CML. </w:t>
      </w:r>
    </w:p>
    <w:p w14:paraId="2F5B269C" w14:textId="77777777" w:rsidR="000B7F10" w:rsidRPr="00EE71A9" w:rsidRDefault="000B7F10" w:rsidP="00872CEA">
      <w:pPr>
        <w:pStyle w:val="Default"/>
        <w:rPr>
          <w:sz w:val="20"/>
          <w:szCs w:val="20"/>
          <w:lang w:val="sk-SK"/>
        </w:rPr>
      </w:pPr>
      <w:r w:rsidRPr="00EE71A9">
        <w:rPr>
          <w:sz w:val="20"/>
          <w:szCs w:val="20"/>
          <w:lang w:val="sk-SK"/>
        </w:rPr>
        <w:t>2</w:t>
      </w:r>
      <w:r w:rsidR="00FD3915" w:rsidRPr="00EE71A9">
        <w:rPr>
          <w:sz w:val="20"/>
          <w:szCs w:val="20"/>
          <w:lang w:val="sk-SK"/>
        </w:rPr>
        <w:t xml:space="preserve"> Pri zohľadnení pacientorokov sa srdcové príhody, vrátane kongestívneho zlyh</w:t>
      </w:r>
      <w:r w:rsidR="00D70467" w:rsidRPr="00EE71A9">
        <w:rPr>
          <w:sz w:val="20"/>
          <w:szCs w:val="20"/>
          <w:lang w:val="sk-SK"/>
        </w:rPr>
        <w:t>ávania</w:t>
      </w:r>
      <w:r w:rsidR="00FD3915" w:rsidRPr="00EE71A9">
        <w:rPr>
          <w:sz w:val="20"/>
          <w:szCs w:val="20"/>
          <w:lang w:val="sk-SK"/>
        </w:rPr>
        <w:t xml:space="preserve"> srdca, pozorovali </w:t>
      </w:r>
      <w:r w:rsidRPr="00EE71A9">
        <w:rPr>
          <w:sz w:val="20"/>
          <w:szCs w:val="20"/>
          <w:lang w:val="sk-SK"/>
        </w:rPr>
        <w:t xml:space="preserve"> </w:t>
      </w:r>
    </w:p>
    <w:p w14:paraId="56E509A2"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častejšie u pacientov s transformovanou CML ako u pacientov s chronickou CML. </w:t>
      </w:r>
    </w:p>
    <w:p w14:paraId="2BAF7953" w14:textId="77777777" w:rsidR="000B7F10" w:rsidRPr="00EE71A9" w:rsidRDefault="000B7F10" w:rsidP="00872CEA">
      <w:pPr>
        <w:pStyle w:val="Default"/>
        <w:rPr>
          <w:sz w:val="20"/>
          <w:szCs w:val="20"/>
          <w:lang w:val="sk-SK"/>
        </w:rPr>
      </w:pPr>
      <w:r w:rsidRPr="00EE71A9">
        <w:rPr>
          <w:sz w:val="20"/>
          <w:szCs w:val="20"/>
          <w:lang w:val="sk-SK"/>
        </w:rPr>
        <w:t>3</w:t>
      </w:r>
      <w:r w:rsidR="00FD3915" w:rsidRPr="00EE71A9">
        <w:rPr>
          <w:sz w:val="20"/>
          <w:szCs w:val="20"/>
          <w:lang w:val="sk-SK"/>
        </w:rPr>
        <w:t xml:space="preserve"> </w:t>
      </w:r>
      <w:r w:rsidRPr="00EE71A9">
        <w:rPr>
          <w:sz w:val="20"/>
          <w:szCs w:val="20"/>
          <w:lang w:val="sk-SK"/>
        </w:rPr>
        <w:t>K</w:t>
      </w:r>
      <w:r w:rsidR="00FD3915" w:rsidRPr="00EE71A9">
        <w:rPr>
          <w:sz w:val="20"/>
          <w:szCs w:val="20"/>
          <w:lang w:val="sk-SK"/>
        </w:rPr>
        <w:t xml:space="preserve">rvácanie (hematóm, hemorágia) bolo najčastejšie u pacientov s transformovanou CML (CML-AP a </w:t>
      </w:r>
    </w:p>
    <w:p w14:paraId="05CE2718"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CML-BC). </w:t>
      </w:r>
    </w:p>
    <w:p w14:paraId="50BE7133" w14:textId="77777777" w:rsidR="000B7F10" w:rsidRPr="00EE71A9" w:rsidRDefault="000B7F10" w:rsidP="00872CEA">
      <w:pPr>
        <w:pStyle w:val="Default"/>
        <w:rPr>
          <w:sz w:val="20"/>
          <w:szCs w:val="20"/>
          <w:lang w:val="sk-SK"/>
        </w:rPr>
      </w:pPr>
      <w:r w:rsidRPr="00EE71A9">
        <w:rPr>
          <w:sz w:val="20"/>
          <w:szCs w:val="20"/>
          <w:lang w:val="sk-SK"/>
        </w:rPr>
        <w:t>4</w:t>
      </w:r>
      <w:r w:rsidR="00FD3915" w:rsidRPr="00EE71A9">
        <w:rPr>
          <w:sz w:val="20"/>
          <w:szCs w:val="20"/>
          <w:lang w:val="sk-SK"/>
        </w:rPr>
        <w:t xml:space="preserve"> Pleurálny výpotok bol hlásený častejšie u pacientov s transformovanou CML (CML-AP a CML-BC) </w:t>
      </w:r>
    </w:p>
    <w:p w14:paraId="3509952F"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ako u pacientov s chronickou CML. </w:t>
      </w:r>
    </w:p>
    <w:p w14:paraId="4BACF5E1" w14:textId="77777777" w:rsidR="00CB0CA7" w:rsidRDefault="000B7F10" w:rsidP="00872CEA">
      <w:pPr>
        <w:pStyle w:val="Default"/>
        <w:rPr>
          <w:sz w:val="20"/>
          <w:szCs w:val="20"/>
          <w:lang w:val="sk-SK"/>
        </w:rPr>
      </w:pPr>
      <w:r w:rsidRPr="00EE71A9">
        <w:rPr>
          <w:sz w:val="20"/>
          <w:szCs w:val="20"/>
          <w:lang w:val="sk-SK"/>
        </w:rPr>
        <w:t>5</w:t>
      </w:r>
      <w:r w:rsidR="00FD3915" w:rsidRPr="00EE71A9">
        <w:rPr>
          <w:sz w:val="20"/>
          <w:szCs w:val="20"/>
          <w:lang w:val="sk-SK"/>
        </w:rPr>
        <w:t xml:space="preserve"> Zaznamenalo sa niekoľko smrteľných prípadov zlyhania pečene a nekrózy pečene.</w:t>
      </w:r>
    </w:p>
    <w:p w14:paraId="45618F5B" w14:textId="77777777" w:rsidR="00FD3915" w:rsidRPr="00EE71A9" w:rsidRDefault="00CB0CA7" w:rsidP="00872CEA">
      <w:pPr>
        <w:pStyle w:val="Default"/>
        <w:rPr>
          <w:sz w:val="20"/>
          <w:szCs w:val="20"/>
          <w:lang w:val="sk-SK"/>
        </w:rPr>
      </w:pPr>
      <w:r>
        <w:rPr>
          <w:sz w:val="20"/>
          <w:szCs w:val="20"/>
        </w:rPr>
        <w:t xml:space="preserve">6 </w:t>
      </w:r>
      <w:r w:rsidRPr="00872FE4">
        <w:rPr>
          <w:sz w:val="20"/>
          <w:szCs w:val="20"/>
        </w:rPr>
        <w:t>Bolesť svalov a kostí počas liečby imatinibom alebo po jej ukončení sa pozorovala po uvedení lieku na trh</w:t>
      </w:r>
      <w:r w:rsidR="00FD3915" w:rsidRPr="00EE71A9">
        <w:rPr>
          <w:sz w:val="20"/>
          <w:szCs w:val="20"/>
          <w:lang w:val="sk-SK"/>
        </w:rPr>
        <w:t xml:space="preserve"> </w:t>
      </w:r>
    </w:p>
    <w:p w14:paraId="4AC56F00" w14:textId="77777777" w:rsidR="000B7F10" w:rsidRPr="00EE71A9" w:rsidRDefault="00CB0CA7" w:rsidP="00872CEA">
      <w:pPr>
        <w:autoSpaceDE w:val="0"/>
        <w:autoSpaceDN w:val="0"/>
        <w:adjustRightInd w:val="0"/>
        <w:spacing w:after="0" w:line="240" w:lineRule="auto"/>
        <w:ind w:right="-285"/>
        <w:rPr>
          <w:rFonts w:ascii="Times New Roman" w:hAnsi="Times New Roman"/>
          <w:sz w:val="20"/>
          <w:szCs w:val="20"/>
        </w:rPr>
      </w:pPr>
      <w:r>
        <w:rPr>
          <w:rFonts w:ascii="Times New Roman" w:hAnsi="Times New Roman"/>
          <w:sz w:val="20"/>
          <w:szCs w:val="20"/>
        </w:rPr>
        <w:t>7</w:t>
      </w:r>
      <w:r w:rsidR="000B7F10" w:rsidRPr="00EE71A9">
        <w:rPr>
          <w:rFonts w:ascii="Times New Roman" w:hAnsi="Times New Roman"/>
          <w:sz w:val="20"/>
          <w:szCs w:val="20"/>
        </w:rPr>
        <w:t xml:space="preserve"> Smrteľné prípady sa zaznamenali u pacientov s pokročilým ochorením, závažnými infekciami, ťažkou </w:t>
      </w:r>
    </w:p>
    <w:p w14:paraId="13401DC8" w14:textId="77777777" w:rsidR="009D36B1" w:rsidRPr="00EE71A9" w:rsidRDefault="000B7F10" w:rsidP="00872CEA">
      <w:pPr>
        <w:autoSpaceDE w:val="0"/>
        <w:autoSpaceDN w:val="0"/>
        <w:adjustRightInd w:val="0"/>
        <w:spacing w:after="0" w:line="240" w:lineRule="auto"/>
        <w:ind w:right="-285"/>
        <w:rPr>
          <w:rFonts w:ascii="Times New Roman" w:hAnsi="Times New Roman"/>
          <w:color w:val="000000"/>
          <w:sz w:val="20"/>
          <w:szCs w:val="20"/>
        </w:rPr>
      </w:pPr>
      <w:r w:rsidRPr="00EE71A9">
        <w:rPr>
          <w:rFonts w:ascii="Times New Roman" w:hAnsi="Times New Roman"/>
          <w:sz w:val="20"/>
          <w:szCs w:val="20"/>
        </w:rPr>
        <w:t xml:space="preserve">   neutropéniou a inými závažnými sprievodnými ochoreniami.</w:t>
      </w:r>
    </w:p>
    <w:p w14:paraId="1DC33FC6" w14:textId="77777777" w:rsidR="00653A62" w:rsidRPr="00EE40F4" w:rsidRDefault="00653A62" w:rsidP="00EF61CC">
      <w:pPr>
        <w:spacing w:after="0" w:line="240" w:lineRule="auto"/>
        <w:rPr>
          <w:rFonts w:ascii="Times New Roman" w:hAnsi="Times New Roman"/>
        </w:rPr>
      </w:pPr>
    </w:p>
    <w:p w14:paraId="667258A8" w14:textId="77777777" w:rsidR="008A2150" w:rsidRPr="00EE40F4" w:rsidRDefault="008A2150" w:rsidP="00EF61CC">
      <w:pPr>
        <w:autoSpaceDE w:val="0"/>
        <w:autoSpaceDN w:val="0"/>
        <w:adjustRightInd w:val="0"/>
        <w:spacing w:after="0" w:line="240" w:lineRule="auto"/>
        <w:rPr>
          <w:rFonts w:ascii="Times New Roman" w:hAnsi="Times New Roman"/>
          <w:color w:val="000000"/>
          <w:u w:val="single"/>
        </w:rPr>
      </w:pPr>
    </w:p>
    <w:p w14:paraId="4BC01B0B"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Odchýlky laboratórnych hodnôt</w:t>
      </w:r>
    </w:p>
    <w:p w14:paraId="23DA520F"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i/>
          <w:iCs/>
          <w:color w:val="000000"/>
        </w:rPr>
        <w:t>Hematologické vyšetrenia</w:t>
      </w:r>
    </w:p>
    <w:p w14:paraId="098AD3DB" w14:textId="77777777" w:rsidR="00653A62" w:rsidRPr="00EE40F4" w:rsidRDefault="00653A62" w:rsidP="00EF61CC">
      <w:pPr>
        <w:spacing w:after="0" w:line="240" w:lineRule="auto"/>
        <w:ind w:right="-20"/>
        <w:rPr>
          <w:rFonts w:ascii="Times New Roman" w:hAnsi="Times New Roman"/>
          <w:color w:val="000000"/>
        </w:rPr>
      </w:pPr>
      <w:r w:rsidRPr="00EE40F4">
        <w:rPr>
          <w:rFonts w:ascii="Times New Roman" w:hAnsi="Times New Roman"/>
          <w:color w:val="000000"/>
        </w:rPr>
        <w:t xml:space="preserve">Cytopénie, hlavne neutropénia a trombocytopénia, sa opakovane pozorovali vo všetkých klinických skúšaniach pri CML, so sklonom k častejšiemu výskytu pri vysokých dávkach </w:t>
      </w:r>
      <w:r w:rsidR="00DA1CD8" w:rsidRPr="00EE40F4">
        <w:rPr>
          <w:rFonts w:ascii="Times New Roman" w:hAnsi="Times New Roman"/>
          <w:color w:val="000000"/>
        </w:rPr>
        <w:t xml:space="preserve">≥ </w:t>
      </w:r>
      <w:r w:rsidRPr="00EE40F4">
        <w:rPr>
          <w:rFonts w:ascii="Times New Roman" w:hAnsi="Times New Roman"/>
          <w:color w:val="000000"/>
        </w:rPr>
        <w:t>750 mg (klinické skúšanie fázy I). Výskyt cytopénií však jednoznačne závisel aj od fázy ochorenia, pričom 3. alebo 4. stupeň neutropénií (ANC &lt; 1,0 x 10</w:t>
      </w:r>
      <w:r w:rsidRPr="00EE40F4">
        <w:rPr>
          <w:rFonts w:ascii="Times New Roman" w:hAnsi="Times New Roman"/>
          <w:color w:val="000000"/>
          <w:vertAlign w:val="superscript"/>
        </w:rPr>
        <w:t>9</w:t>
      </w:r>
      <w:r w:rsidRPr="00EE40F4">
        <w:rPr>
          <w:rFonts w:ascii="Times New Roman" w:hAnsi="Times New Roman"/>
          <w:color w:val="000000"/>
        </w:rPr>
        <w:t>/l) a trombocytopénií (počet trombocytov &lt; 50 x 10</w:t>
      </w:r>
      <w:r w:rsidRPr="00EE40F4">
        <w:rPr>
          <w:rFonts w:ascii="Times New Roman" w:hAnsi="Times New Roman"/>
          <w:color w:val="000000"/>
          <w:vertAlign w:val="superscript"/>
        </w:rPr>
        <w:t>9</w:t>
      </w:r>
      <w:r w:rsidRPr="00EE40F4">
        <w:rPr>
          <w:rFonts w:ascii="Times New Roman" w:hAnsi="Times New Roman"/>
          <w:color w:val="000000"/>
        </w:rPr>
        <w:t xml:space="preserve">/l) sa vyskytoval 4- až 6-krát častejšie v blastickej kríze a akcelerovanej fáze (59–64% neutropénií a 44–63% trombocytopénií) v porovnaní s novodiagnostikovanými pacientmi v chronickej fáze CML (16,7% neutropénií a 8,9% trombocytopénií). Pri novodiagnostikovanej chronickej fáze CML sa </w:t>
      </w:r>
      <w:r w:rsidRPr="00EE40F4">
        <w:rPr>
          <w:rFonts w:ascii="Times New Roman" w:hAnsi="Times New Roman"/>
          <w:color w:val="000000"/>
        </w:rPr>
        <w:lastRenderedPageBreak/>
        <w:t>pozoroval 4. stupeň neutropénie (ANC &lt; 0,5 x 10</w:t>
      </w:r>
      <w:r w:rsidRPr="00EE40F4">
        <w:rPr>
          <w:rFonts w:ascii="Times New Roman" w:hAnsi="Times New Roman"/>
          <w:color w:val="000000"/>
          <w:vertAlign w:val="superscript"/>
        </w:rPr>
        <w:t>9</w:t>
      </w:r>
      <w:r w:rsidRPr="00EE40F4">
        <w:rPr>
          <w:rFonts w:ascii="Times New Roman" w:hAnsi="Times New Roman"/>
          <w:color w:val="000000"/>
        </w:rPr>
        <w:t>/l) u 3,6% pacientov a trombocytopénie (počet trombocytov &lt; 10 x 109/l) u menej ako 1% pacientov.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14:paraId="2DEE3A32" w14:textId="77777777" w:rsidR="003159FB" w:rsidRPr="00EE40F4" w:rsidRDefault="003159FB" w:rsidP="00EF61CC">
      <w:pPr>
        <w:spacing w:after="0" w:line="240" w:lineRule="auto"/>
        <w:rPr>
          <w:rFonts w:ascii="Times New Roman" w:hAnsi="Times New Roman"/>
        </w:rPr>
      </w:pPr>
    </w:p>
    <w:p w14:paraId="273B6E80" w14:textId="77777777" w:rsidR="003159FB" w:rsidRPr="00EE40F4" w:rsidRDefault="003159FB" w:rsidP="003159FB">
      <w:pPr>
        <w:pStyle w:val="Default"/>
        <w:rPr>
          <w:sz w:val="22"/>
          <w:szCs w:val="22"/>
          <w:lang w:val="sk-SK"/>
        </w:rPr>
      </w:pPr>
      <w:r w:rsidRPr="00EE40F4">
        <w:rPr>
          <w:i/>
          <w:iCs/>
          <w:sz w:val="22"/>
          <w:szCs w:val="22"/>
          <w:lang w:val="sk-SK"/>
        </w:rPr>
        <w:t xml:space="preserve">Biochemické vyšetrenia </w:t>
      </w:r>
    </w:p>
    <w:p w14:paraId="2E0AF247" w14:textId="77777777" w:rsidR="003159FB" w:rsidRPr="00EE40F4" w:rsidRDefault="003159FB" w:rsidP="00737905">
      <w:pPr>
        <w:spacing w:line="240" w:lineRule="auto"/>
        <w:rPr>
          <w:rFonts w:ascii="Times New Roman" w:hAnsi="Times New Roman"/>
        </w:rPr>
      </w:pPr>
      <w:r w:rsidRPr="00EE40F4">
        <w:rPr>
          <w:rFonts w:ascii="Times New Roman" w:hAnsi="Times New Roman"/>
        </w:rPr>
        <w:t xml:space="preserve">Závažné zvýšenie aminotransferáz (&lt; 5%) alebo bilirubínu (&lt; 1%) sa pozorovalo u pacientov s CML a zvyčajne sa zvládlo znížením dávky alebo prerušením liečby (medián trvania týchto epizód bol približne 1 týždeň). Liečba sa musela trvalo ukončiť pre odchýlky pečeňových laboratórnych testov u menej ako 1% pacientov s CML. </w:t>
      </w:r>
    </w:p>
    <w:p w14:paraId="74FD5619" w14:textId="77777777" w:rsidR="003159FB" w:rsidRPr="004E2936" w:rsidRDefault="003159FB" w:rsidP="004E2936">
      <w:pPr>
        <w:pStyle w:val="Default"/>
        <w:rPr>
          <w:sz w:val="22"/>
          <w:szCs w:val="22"/>
          <w:lang w:val="sk-SK"/>
        </w:rPr>
      </w:pPr>
      <w:r w:rsidRPr="009B2CA2">
        <w:rPr>
          <w:sz w:val="22"/>
          <w:szCs w:val="22"/>
          <w:lang w:val="sk-SK"/>
        </w:rPr>
        <w:t xml:space="preserve">Vyskytli sa prípady cytolytickej a cholestatickej hepatitídy a zlyhania pečene, ktoré sa niekedy </w:t>
      </w:r>
      <w:r w:rsidRPr="004E2936">
        <w:rPr>
          <w:sz w:val="22"/>
          <w:szCs w:val="22"/>
          <w:lang w:val="sk-SK"/>
        </w:rPr>
        <w:t xml:space="preserve">skončili smrťou, vrátane jedného pacienta po užití vysokej dávky paracetamolu. </w:t>
      </w:r>
    </w:p>
    <w:p w14:paraId="35DCE1C9" w14:textId="77777777" w:rsidR="00430DC8" w:rsidRDefault="00430DC8" w:rsidP="00430DC8">
      <w:pPr>
        <w:spacing w:after="0" w:line="240" w:lineRule="auto"/>
        <w:rPr>
          <w:rFonts w:ascii="Times New Roman" w:hAnsi="Times New Roman"/>
        </w:rPr>
      </w:pPr>
    </w:p>
    <w:p w14:paraId="75CEBAA7" w14:textId="77777777" w:rsidR="00430DC8" w:rsidRPr="00A207DB" w:rsidRDefault="00430DC8" w:rsidP="00430DC8">
      <w:pPr>
        <w:spacing w:after="0" w:line="240" w:lineRule="auto"/>
        <w:rPr>
          <w:rFonts w:ascii="Times New Roman" w:hAnsi="Times New Roman"/>
        </w:rPr>
      </w:pPr>
      <w:r w:rsidRPr="00A207DB">
        <w:rPr>
          <w:rFonts w:ascii="Times New Roman" w:hAnsi="Times New Roman"/>
        </w:rPr>
        <w:t>Opis vybraných nežiaducich reakcií</w:t>
      </w:r>
    </w:p>
    <w:p w14:paraId="16DB8252" w14:textId="77777777" w:rsidR="00430DC8" w:rsidRDefault="00430DC8" w:rsidP="00430DC8">
      <w:pPr>
        <w:spacing w:after="0" w:line="240" w:lineRule="auto"/>
        <w:rPr>
          <w:rFonts w:ascii="Times New Roman" w:hAnsi="Times New Roman"/>
        </w:rPr>
      </w:pPr>
      <w:r>
        <w:rPr>
          <w:rFonts w:ascii="Times New Roman" w:hAnsi="Times New Roman"/>
        </w:rPr>
        <w:t>R</w:t>
      </w:r>
      <w:r w:rsidRPr="003F46ED">
        <w:rPr>
          <w:rFonts w:ascii="Times New Roman" w:hAnsi="Times New Roman"/>
        </w:rPr>
        <w:t>eaktivácia hepatitídy B</w:t>
      </w:r>
    </w:p>
    <w:p w14:paraId="7E233BC2" w14:textId="77777777" w:rsidR="00430DC8" w:rsidRPr="00EE71A9" w:rsidRDefault="00430DC8" w:rsidP="00EE71A9">
      <w:pPr>
        <w:spacing w:after="0" w:line="240" w:lineRule="auto"/>
        <w:rPr>
          <w:rFonts w:ascii="Times New Roman" w:hAnsi="Times New Roman"/>
        </w:rPr>
      </w:pPr>
      <w:r w:rsidRPr="003F46ED">
        <w:rPr>
          <w:rFonts w:ascii="Times New Roman" w:hAnsi="Times New Roman"/>
        </w:rPr>
        <w:t xml:space="preserve">V súvislosti s inhibítormi BCR-ABL-tyrozínkinázy bola hlásená reaktivácia hepatitídy B. Niektoré prípady viedli k akútnemu zlyhaniu pečene alebo k fulminantnej hepatitíde, ktorých výsledkom bola </w:t>
      </w:r>
      <w:r w:rsidRPr="00EE71A9">
        <w:rPr>
          <w:rFonts w:ascii="Times New Roman" w:hAnsi="Times New Roman"/>
        </w:rPr>
        <w:t xml:space="preserve">transplantácia pečene alebo úmrtie (pozri časť 4.4). </w:t>
      </w:r>
    </w:p>
    <w:p w14:paraId="28B8759E" w14:textId="77777777" w:rsidR="003159FB" w:rsidRPr="00EE71A9" w:rsidRDefault="003159FB" w:rsidP="00EE71A9">
      <w:pPr>
        <w:suppressLineNumbers/>
        <w:autoSpaceDE w:val="0"/>
        <w:autoSpaceDN w:val="0"/>
        <w:adjustRightInd w:val="0"/>
        <w:spacing w:after="0" w:line="240" w:lineRule="auto"/>
        <w:rPr>
          <w:rFonts w:ascii="Times New Roman" w:hAnsi="Times New Roman"/>
          <w:u w:val="single"/>
        </w:rPr>
      </w:pPr>
    </w:p>
    <w:p w14:paraId="4784F6DB" w14:textId="77777777" w:rsidR="00EE71A9" w:rsidRPr="007705E9" w:rsidRDefault="00EE71A9" w:rsidP="007705E9">
      <w:pPr>
        <w:autoSpaceDE w:val="0"/>
        <w:autoSpaceDN w:val="0"/>
        <w:adjustRightInd w:val="0"/>
        <w:spacing w:after="0" w:line="240" w:lineRule="auto"/>
        <w:rPr>
          <w:rFonts w:ascii="Times New Roman" w:hAnsi="Times New Roman"/>
          <w:u w:val="single"/>
        </w:rPr>
      </w:pPr>
      <w:r w:rsidRPr="007705E9">
        <w:rPr>
          <w:rFonts w:ascii="Times New Roman" w:hAnsi="Times New Roman"/>
          <w:u w:val="single"/>
        </w:rPr>
        <w:t>Hlásenie podozrení na nežiaduce reakcie</w:t>
      </w:r>
    </w:p>
    <w:p w14:paraId="52FEFBD6" w14:textId="77777777" w:rsidR="007705E9" w:rsidRPr="007705E9" w:rsidRDefault="007705E9" w:rsidP="007705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Style w:val="Hypertextovprepojenie"/>
          <w:rFonts w:ascii="Times New Roman" w:hAnsi="Times New Roman"/>
        </w:rPr>
      </w:pPr>
      <w:r w:rsidRPr="007705E9">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705E9">
        <w:rPr>
          <w:rFonts w:ascii="Times New Roman" w:hAnsi="Times New Roman"/>
          <w:shd w:val="clear" w:color="auto" w:fill="C0C0C0"/>
        </w:rPr>
        <w:t>národné centrum hlásenia uvedené v </w:t>
      </w:r>
      <w:hyperlink r:id="rId8" w:history="1">
        <w:r w:rsidRPr="007705E9">
          <w:rPr>
            <w:rStyle w:val="Hypertextovprepojenie"/>
            <w:rFonts w:ascii="Times New Roman" w:hAnsi="Times New Roman"/>
            <w:shd w:val="clear" w:color="auto" w:fill="C0C0C0"/>
          </w:rPr>
          <w:t>Prílohe V</w:t>
        </w:r>
      </w:hyperlink>
      <w:r w:rsidRPr="007705E9">
        <w:rPr>
          <w:rStyle w:val="Hypertextovprepojenie"/>
          <w:rFonts w:ascii="Times New Roman" w:hAnsi="Times New Roman"/>
        </w:rPr>
        <w:t>.</w:t>
      </w:r>
    </w:p>
    <w:p w14:paraId="1B101723" w14:textId="77777777" w:rsidR="00653A62" w:rsidRPr="007705E9" w:rsidRDefault="00653A62" w:rsidP="007705E9">
      <w:pPr>
        <w:spacing w:after="0" w:line="240" w:lineRule="auto"/>
        <w:rPr>
          <w:rFonts w:ascii="Times New Roman" w:hAnsi="Times New Roman"/>
        </w:rPr>
      </w:pPr>
    </w:p>
    <w:p w14:paraId="53545DC0" w14:textId="77777777" w:rsidR="00653A62" w:rsidRPr="007705E9" w:rsidRDefault="00653A62" w:rsidP="007705E9">
      <w:pPr>
        <w:tabs>
          <w:tab w:val="left" w:pos="680"/>
        </w:tabs>
        <w:spacing w:after="0" w:line="240" w:lineRule="auto"/>
        <w:ind w:right="-20"/>
        <w:rPr>
          <w:rFonts w:ascii="Times New Roman" w:hAnsi="Times New Roman"/>
        </w:rPr>
      </w:pPr>
      <w:r w:rsidRPr="007705E9">
        <w:rPr>
          <w:rFonts w:ascii="Times New Roman" w:hAnsi="Times New Roman"/>
          <w:b/>
        </w:rPr>
        <w:t>4.9</w:t>
      </w:r>
      <w:r w:rsidRPr="007705E9">
        <w:rPr>
          <w:rFonts w:ascii="Times New Roman" w:hAnsi="Times New Roman"/>
          <w:b/>
        </w:rPr>
        <w:tab/>
      </w:r>
      <w:r w:rsidRPr="007705E9">
        <w:rPr>
          <w:rFonts w:ascii="Times New Roman" w:hAnsi="Times New Roman"/>
          <w:b/>
          <w:bCs/>
        </w:rPr>
        <w:t>Predávkovanie</w:t>
      </w:r>
    </w:p>
    <w:p w14:paraId="669D65E4" w14:textId="77777777" w:rsidR="00653A62" w:rsidRPr="007705E9" w:rsidRDefault="00653A62" w:rsidP="007705E9">
      <w:pPr>
        <w:spacing w:after="0" w:line="240" w:lineRule="auto"/>
        <w:rPr>
          <w:rFonts w:ascii="Times New Roman" w:hAnsi="Times New Roman"/>
        </w:rPr>
      </w:pPr>
    </w:p>
    <w:p w14:paraId="3F5ABF2F" w14:textId="77777777" w:rsidR="00653A62" w:rsidRPr="00EE40F4" w:rsidRDefault="00653A62" w:rsidP="007705E9">
      <w:pPr>
        <w:spacing w:after="0" w:line="240" w:lineRule="auto"/>
        <w:ind w:right="242"/>
        <w:rPr>
          <w:rFonts w:ascii="Times New Roman" w:hAnsi="Times New Roman"/>
        </w:rPr>
      </w:pPr>
      <w:r w:rsidRPr="007705E9">
        <w:rPr>
          <w:rFonts w:ascii="Times New Roman" w:hAnsi="Times New Roman"/>
        </w:rPr>
        <w:t>Skúsenosti s dávkami vyššími ako odporúčaná terapeutická dávka sú obmedzené. Ojedinelé prípady predávkovania imatinibom boli hlásené spontánne a v literatúre. V prípade predávkovania má byť pacient pod dohľadom a má sa mu</w:t>
      </w:r>
      <w:r w:rsidRPr="00EE40F4">
        <w:rPr>
          <w:rFonts w:ascii="Times New Roman" w:hAnsi="Times New Roman"/>
        </w:rPr>
        <w:t xml:space="preserve"> podať primeraná symptomatická liečba. Tieto prípady sa podľa hlásení spravidla skončili „zlepšením“ alebo „zotavením“. Pri iných rozmedziach dávok boli hlásené nasled</w:t>
      </w:r>
      <w:r w:rsidR="00157939">
        <w:rPr>
          <w:rFonts w:ascii="Times New Roman" w:hAnsi="Times New Roman"/>
        </w:rPr>
        <w:t>ovné</w:t>
      </w:r>
      <w:r w:rsidRPr="00EE40F4">
        <w:rPr>
          <w:rFonts w:ascii="Times New Roman" w:hAnsi="Times New Roman"/>
        </w:rPr>
        <w:t xml:space="preserve"> udalosti:</w:t>
      </w:r>
    </w:p>
    <w:p w14:paraId="1765425F" w14:textId="77777777" w:rsidR="00653A62" w:rsidRPr="00EE40F4" w:rsidRDefault="00653A62" w:rsidP="00EF61CC">
      <w:pPr>
        <w:spacing w:after="0" w:line="240" w:lineRule="auto"/>
        <w:rPr>
          <w:rFonts w:ascii="Times New Roman" w:hAnsi="Times New Roman"/>
        </w:rPr>
      </w:pPr>
    </w:p>
    <w:p w14:paraId="22AFF740" w14:textId="77777777" w:rsidR="00653A62" w:rsidRPr="00157939" w:rsidRDefault="00653A62" w:rsidP="00EF61CC">
      <w:pPr>
        <w:autoSpaceDE w:val="0"/>
        <w:autoSpaceDN w:val="0"/>
        <w:adjustRightInd w:val="0"/>
        <w:spacing w:after="0" w:line="240" w:lineRule="auto"/>
        <w:rPr>
          <w:rFonts w:ascii="Times New Roman" w:hAnsi="Times New Roman"/>
          <w:color w:val="000000"/>
          <w:u w:val="single"/>
        </w:rPr>
      </w:pPr>
      <w:r w:rsidRPr="00157939">
        <w:rPr>
          <w:rFonts w:ascii="Times New Roman" w:hAnsi="Times New Roman"/>
          <w:iCs/>
          <w:color w:val="000000"/>
          <w:u w:val="single"/>
        </w:rPr>
        <w:t xml:space="preserve">Dospelá populácia </w:t>
      </w:r>
    </w:p>
    <w:p w14:paraId="53AD29B1"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1</w:t>
      </w:r>
      <w:r w:rsidR="00737905" w:rsidRPr="00EE40F4">
        <w:rPr>
          <w:rFonts w:ascii="Times New Roman" w:hAnsi="Times New Roman"/>
          <w:color w:val="000000"/>
        </w:rPr>
        <w:t xml:space="preserve"> </w:t>
      </w:r>
      <w:r w:rsidRPr="00EE40F4">
        <w:rPr>
          <w:rFonts w:ascii="Times New Roman" w:hAnsi="Times New Roman"/>
          <w:color w:val="000000"/>
        </w:rPr>
        <w:t>200 až 1</w:t>
      </w:r>
      <w:r w:rsidR="00737905" w:rsidRPr="00EE40F4">
        <w:rPr>
          <w:rFonts w:ascii="Times New Roman" w:hAnsi="Times New Roman"/>
          <w:color w:val="000000"/>
        </w:rPr>
        <w:t xml:space="preserve"> </w:t>
      </w:r>
      <w:r w:rsidRPr="00EE40F4">
        <w:rPr>
          <w:rFonts w:ascii="Times New Roman" w:hAnsi="Times New Roman"/>
          <w:color w:val="000000"/>
        </w:rPr>
        <w:t xml:space="preserve">600 mg (trvanie sa rôznilo od 1 do 10 dní): Nauzea, vracanie, hnačka, </w:t>
      </w:r>
      <w:r w:rsidR="00E06E37">
        <w:rPr>
          <w:rFonts w:ascii="Times New Roman" w:hAnsi="Times New Roman"/>
          <w:color w:val="000000"/>
        </w:rPr>
        <w:t>vyrážka</w:t>
      </w:r>
      <w:r w:rsidRPr="00EE40F4">
        <w:rPr>
          <w:rFonts w:ascii="Times New Roman" w:hAnsi="Times New Roman"/>
          <w:color w:val="000000"/>
        </w:rPr>
        <w:t xml:space="preserve"> erytém, edém, opuch, únava, svalové kŕče, trombocytopénia, pancytopénia, bolesť brucha, bolesť hlavy, znížená chuť do jedenia. </w:t>
      </w:r>
    </w:p>
    <w:p w14:paraId="3525442B"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1</w:t>
      </w:r>
      <w:r w:rsidR="00737905" w:rsidRPr="00EE40F4">
        <w:rPr>
          <w:rFonts w:ascii="Times New Roman" w:hAnsi="Times New Roman"/>
          <w:color w:val="000000"/>
        </w:rPr>
        <w:t xml:space="preserve"> </w:t>
      </w:r>
      <w:r w:rsidRPr="00EE40F4">
        <w:rPr>
          <w:rFonts w:ascii="Times New Roman" w:hAnsi="Times New Roman"/>
          <w:color w:val="000000"/>
        </w:rPr>
        <w:t>800 až 3</w:t>
      </w:r>
      <w:r w:rsidR="00737905" w:rsidRPr="00EE40F4">
        <w:rPr>
          <w:rFonts w:ascii="Times New Roman" w:hAnsi="Times New Roman"/>
          <w:color w:val="000000"/>
        </w:rPr>
        <w:t xml:space="preserve"> </w:t>
      </w:r>
      <w:r w:rsidRPr="00EE40F4">
        <w:rPr>
          <w:rFonts w:ascii="Times New Roman" w:hAnsi="Times New Roman"/>
          <w:color w:val="000000"/>
        </w:rPr>
        <w:t>200 mg (až 3</w:t>
      </w:r>
      <w:r w:rsidR="00E06E37">
        <w:rPr>
          <w:rFonts w:ascii="Times New Roman" w:hAnsi="Times New Roman"/>
          <w:color w:val="000000"/>
        </w:rPr>
        <w:t xml:space="preserve"> </w:t>
      </w:r>
      <w:r w:rsidRPr="00EE40F4">
        <w:rPr>
          <w:rFonts w:ascii="Times New Roman" w:hAnsi="Times New Roman"/>
          <w:color w:val="000000"/>
        </w:rPr>
        <w:t xml:space="preserve">200 mg denne počas 6 dní): Slabosť, myalgia, zvýšená kreatínfosfokináza, zvýšený bilirubín, </w:t>
      </w:r>
      <w:r w:rsidR="0081343F" w:rsidRPr="00EE40F4">
        <w:rPr>
          <w:rFonts w:ascii="Times New Roman" w:hAnsi="Times New Roman"/>
          <w:color w:val="000000"/>
        </w:rPr>
        <w:t>gastrointestinálna bolesť</w:t>
      </w:r>
      <w:r w:rsidRPr="00EE40F4">
        <w:rPr>
          <w:rFonts w:ascii="Times New Roman" w:hAnsi="Times New Roman"/>
          <w:color w:val="000000"/>
        </w:rPr>
        <w:t xml:space="preserve">. </w:t>
      </w:r>
    </w:p>
    <w:p w14:paraId="71B4E96E"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6</w:t>
      </w:r>
      <w:r w:rsidR="00737905" w:rsidRPr="00EE40F4">
        <w:rPr>
          <w:rFonts w:ascii="Times New Roman" w:hAnsi="Times New Roman"/>
          <w:color w:val="000000"/>
        </w:rPr>
        <w:t xml:space="preserve"> </w:t>
      </w:r>
      <w:r w:rsidRPr="00EE40F4">
        <w:rPr>
          <w:rFonts w:ascii="Times New Roman" w:hAnsi="Times New Roman"/>
          <w:color w:val="000000"/>
        </w:rPr>
        <w:t>400 mg (jednorazová dávka): V literatúre zaznamenaný jeden prípad jedného pacienta, u ktorého sa vyskytla nauzea, vracanie, bolesť brucha, pyrexia, opuch tváre, znížený počet neutrofilov, zvýšené aminotransferázy</w:t>
      </w:r>
      <w:r w:rsidRPr="00EE40F4">
        <w:rPr>
          <w:rFonts w:ascii="Times New Roman" w:hAnsi="Times New Roman"/>
        </w:rPr>
        <w:t>.</w:t>
      </w:r>
    </w:p>
    <w:p w14:paraId="446C0990"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 xml:space="preserve">8 až 10 g (jednorazová dávka): Bolo hlásené vracanie a </w:t>
      </w:r>
      <w:r w:rsidR="0081343F" w:rsidRPr="00EE40F4">
        <w:rPr>
          <w:rFonts w:ascii="Times New Roman" w:hAnsi="Times New Roman"/>
          <w:color w:val="000000"/>
        </w:rPr>
        <w:t>gastrointestinálna bolesť</w:t>
      </w:r>
      <w:r w:rsidRPr="00EE40F4">
        <w:rPr>
          <w:rFonts w:ascii="Times New Roman" w:hAnsi="Times New Roman"/>
        </w:rPr>
        <w:t>.</w:t>
      </w:r>
    </w:p>
    <w:p w14:paraId="7FB7A2AA" w14:textId="77777777" w:rsidR="00653A62" w:rsidRPr="00EE40F4" w:rsidRDefault="00653A62" w:rsidP="00EF61CC">
      <w:pPr>
        <w:spacing w:after="0" w:line="240" w:lineRule="auto"/>
        <w:rPr>
          <w:rFonts w:ascii="Times New Roman" w:hAnsi="Times New Roman"/>
        </w:rPr>
      </w:pPr>
    </w:p>
    <w:p w14:paraId="42E84D4B" w14:textId="77777777" w:rsidR="00653A62" w:rsidRPr="00157939" w:rsidRDefault="00653A62" w:rsidP="00EF61CC">
      <w:pPr>
        <w:autoSpaceDE w:val="0"/>
        <w:autoSpaceDN w:val="0"/>
        <w:adjustRightInd w:val="0"/>
        <w:spacing w:after="0" w:line="240" w:lineRule="auto"/>
        <w:rPr>
          <w:rFonts w:ascii="Times New Roman" w:hAnsi="Times New Roman"/>
          <w:color w:val="000000"/>
          <w:u w:val="single"/>
        </w:rPr>
      </w:pPr>
      <w:r w:rsidRPr="00157939">
        <w:rPr>
          <w:rFonts w:ascii="Times New Roman" w:hAnsi="Times New Roman"/>
          <w:iCs/>
          <w:color w:val="000000"/>
          <w:u w:val="single"/>
        </w:rPr>
        <w:t>Pediatrická populácia</w:t>
      </w:r>
    </w:p>
    <w:p w14:paraId="64EA01B2" w14:textId="77777777" w:rsidR="00653A62" w:rsidRPr="00EE40F4" w:rsidRDefault="00653A62" w:rsidP="00EF61CC">
      <w:pPr>
        <w:spacing w:after="0" w:line="240" w:lineRule="auto"/>
        <w:ind w:right="105"/>
        <w:rPr>
          <w:rFonts w:ascii="Times New Roman" w:hAnsi="Times New Roman"/>
        </w:rPr>
      </w:pPr>
      <w:r w:rsidRPr="00EE40F4">
        <w:rPr>
          <w:rFonts w:ascii="Times New Roman" w:hAnsi="Times New Roman"/>
          <w:color w:val="000000"/>
        </w:rPr>
        <w:t>U jedného 3-ročného chlapca sa po jednorazovej dávke 400 mg vyskytlo vracanie, hnačka a anorexia a u ďalšieho 3-ročného chlapca po jednorazovej dávke 980 mg došlo k zníženiu počtu leukocytov a hnačke</w:t>
      </w:r>
      <w:r w:rsidRPr="00EE40F4">
        <w:rPr>
          <w:rFonts w:ascii="Times New Roman" w:hAnsi="Times New Roman"/>
        </w:rPr>
        <w:t>.</w:t>
      </w:r>
    </w:p>
    <w:p w14:paraId="00500680" w14:textId="77777777" w:rsidR="00653A62" w:rsidRPr="00EE40F4" w:rsidRDefault="00653A62" w:rsidP="00EF61CC">
      <w:pPr>
        <w:spacing w:after="0" w:line="240" w:lineRule="auto"/>
        <w:rPr>
          <w:rFonts w:ascii="Times New Roman" w:hAnsi="Times New Roman"/>
        </w:rPr>
      </w:pPr>
    </w:p>
    <w:p w14:paraId="19160125"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prípade predávkovania má byť pacient pod dohľadom a má sa mu podať primeraná podporná liečba.</w:t>
      </w:r>
    </w:p>
    <w:p w14:paraId="7C369519" w14:textId="77777777" w:rsidR="00653A62" w:rsidRPr="00EE40F4" w:rsidRDefault="00653A62" w:rsidP="00EF61CC">
      <w:pPr>
        <w:spacing w:after="0" w:line="240" w:lineRule="auto"/>
        <w:ind w:right="-20"/>
        <w:rPr>
          <w:rFonts w:ascii="Times New Roman" w:hAnsi="Times New Roman"/>
        </w:rPr>
      </w:pPr>
    </w:p>
    <w:p w14:paraId="5502D22E" w14:textId="77777777" w:rsidR="00653A62" w:rsidRPr="00EE40F4" w:rsidRDefault="00653A62" w:rsidP="00EF61CC">
      <w:pPr>
        <w:spacing w:after="0" w:line="240" w:lineRule="auto"/>
        <w:ind w:right="-20"/>
        <w:rPr>
          <w:rFonts w:ascii="Times New Roman" w:hAnsi="Times New Roman"/>
        </w:rPr>
      </w:pPr>
    </w:p>
    <w:p w14:paraId="6846028E"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b/>
        </w:rPr>
        <w:t>5.</w:t>
      </w:r>
      <w:r w:rsidRPr="00EE40F4">
        <w:rPr>
          <w:rFonts w:ascii="Times New Roman" w:hAnsi="Times New Roman"/>
          <w:b/>
        </w:rPr>
        <w:tab/>
      </w:r>
      <w:r w:rsidRPr="00EE40F4">
        <w:rPr>
          <w:rFonts w:ascii="Times New Roman" w:hAnsi="Times New Roman"/>
          <w:b/>
          <w:bCs/>
        </w:rPr>
        <w:t>FARMAKOLOGICKÉ VLASTNOSTI</w:t>
      </w:r>
    </w:p>
    <w:p w14:paraId="60DCE53D" w14:textId="77777777" w:rsidR="00653A62" w:rsidRPr="00EE40F4" w:rsidRDefault="00653A62" w:rsidP="00EF61CC">
      <w:pPr>
        <w:spacing w:after="0" w:line="240" w:lineRule="auto"/>
        <w:rPr>
          <w:rFonts w:ascii="Times New Roman" w:hAnsi="Times New Roman"/>
        </w:rPr>
      </w:pPr>
    </w:p>
    <w:p w14:paraId="15534555"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lastRenderedPageBreak/>
        <w:t>5.1</w:t>
      </w:r>
      <w:r w:rsidRPr="00EE40F4">
        <w:rPr>
          <w:rFonts w:ascii="Times New Roman" w:hAnsi="Times New Roman"/>
          <w:b/>
        </w:rPr>
        <w:tab/>
      </w:r>
      <w:r w:rsidRPr="00EE40F4">
        <w:rPr>
          <w:rFonts w:ascii="Times New Roman" w:hAnsi="Times New Roman"/>
          <w:b/>
          <w:bCs/>
        </w:rPr>
        <w:t>Farmakodynamické vlastnosti</w:t>
      </w:r>
    </w:p>
    <w:p w14:paraId="36977E22" w14:textId="77777777" w:rsidR="00653A62" w:rsidRPr="00EE40F4" w:rsidRDefault="00653A62" w:rsidP="00EF61CC">
      <w:pPr>
        <w:spacing w:after="0" w:line="240" w:lineRule="auto"/>
        <w:rPr>
          <w:rFonts w:ascii="Times New Roman" w:hAnsi="Times New Roman"/>
        </w:rPr>
      </w:pPr>
    </w:p>
    <w:p w14:paraId="6CCEB74A"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Farmakoterapeutická skupina:</w:t>
      </w:r>
      <w:r w:rsidR="00737905" w:rsidRPr="00EE40F4">
        <w:rPr>
          <w:rFonts w:ascii="Times New Roman" w:hAnsi="Times New Roman"/>
        </w:rPr>
        <w:t xml:space="preserve"> cytostatiká, </w:t>
      </w:r>
      <w:r w:rsidRPr="00EE40F4">
        <w:rPr>
          <w:rFonts w:ascii="Times New Roman" w:hAnsi="Times New Roman"/>
        </w:rPr>
        <w:t>inhibítor</w:t>
      </w:r>
      <w:r w:rsidR="00834AE4" w:rsidRPr="00EE40F4">
        <w:rPr>
          <w:rFonts w:ascii="Times New Roman" w:hAnsi="Times New Roman"/>
        </w:rPr>
        <w:t>y</w:t>
      </w:r>
      <w:r w:rsidRPr="00EE40F4">
        <w:rPr>
          <w:rFonts w:ascii="Times New Roman" w:hAnsi="Times New Roman"/>
        </w:rPr>
        <w:t xml:space="preserve"> proteínkinázy, ATC kód: L01XE01</w:t>
      </w:r>
    </w:p>
    <w:p w14:paraId="515A8306" w14:textId="77777777" w:rsidR="00653A62" w:rsidRPr="00EE40F4" w:rsidRDefault="00653A62" w:rsidP="00EF61CC">
      <w:pPr>
        <w:spacing w:after="0" w:line="240" w:lineRule="auto"/>
        <w:rPr>
          <w:rFonts w:ascii="Times New Roman" w:hAnsi="Times New Roman"/>
        </w:rPr>
      </w:pPr>
    </w:p>
    <w:p w14:paraId="186161D0"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Mechanizmus účinku </w:t>
      </w:r>
    </w:p>
    <w:p w14:paraId="6AF219DD" w14:textId="77777777" w:rsidR="00653A62" w:rsidRPr="00EE40F4" w:rsidRDefault="003159FB" w:rsidP="00EF61CC">
      <w:pPr>
        <w:spacing w:after="0" w:line="240" w:lineRule="auto"/>
        <w:ind w:right="-20"/>
        <w:rPr>
          <w:rFonts w:ascii="Times New Roman" w:hAnsi="Times New Roman"/>
        </w:rPr>
      </w:pPr>
      <w:r w:rsidRPr="00EE40F4">
        <w:rPr>
          <w:rFonts w:ascii="Times New Roman" w:hAnsi="Times New Roman"/>
          <w:color w:val="000000"/>
        </w:rPr>
        <w:t>I</w:t>
      </w:r>
      <w:r w:rsidR="000E6FE7" w:rsidRPr="00EE40F4">
        <w:rPr>
          <w:rFonts w:ascii="Times New Roman" w:hAnsi="Times New Roman"/>
          <w:color w:val="000000"/>
        </w:rPr>
        <w:t>matinib</w:t>
      </w:r>
      <w:r w:rsidR="00653A62" w:rsidRPr="00EE40F4">
        <w:rPr>
          <w:rFonts w:ascii="Times New Roman" w:hAnsi="Times New Roman"/>
          <w:color w:val="000000"/>
        </w:rPr>
        <w:t xml:space="preserve"> je inhibítor proteíntyrozínkinázy </w:t>
      </w:r>
      <w:r w:rsidR="00653A62" w:rsidRPr="00927587">
        <w:rPr>
          <w:rFonts w:ascii="Times New Roman" w:hAnsi="Times New Roman"/>
          <w:color w:val="000000"/>
        </w:rPr>
        <w:t xml:space="preserve">s </w:t>
      </w:r>
      <w:r w:rsidR="00653A62" w:rsidRPr="00D834C4">
        <w:rPr>
          <w:rFonts w:ascii="Times New Roman" w:hAnsi="Times New Roman"/>
          <w:color w:val="000000"/>
        </w:rPr>
        <w:t>malou molekulou, ktorý účinne</w:t>
      </w:r>
      <w:r w:rsidR="00653A62" w:rsidRPr="00EE40F4">
        <w:rPr>
          <w:rFonts w:ascii="Times New Roman" w:hAnsi="Times New Roman"/>
          <w:color w:val="000000"/>
        </w:rPr>
        <w:t xml:space="preserve"> inhibuje aktivitu bcr-abl-tyrozínkinázy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EE40F4">
        <w:rPr>
          <w:rFonts w:ascii="Times New Roman" w:hAnsi="Times New Roman"/>
          <w:color w:val="000000"/>
        </w:rPr>
        <w:t xml:space="preserve">Imatinib </w:t>
      </w:r>
      <w:r w:rsidR="00653A62" w:rsidRPr="00EE40F4">
        <w:rPr>
          <w:rFonts w:ascii="Times New Roman" w:hAnsi="Times New Roman"/>
          <w:color w:val="000000"/>
        </w:rPr>
        <w:t>môže tiež inhibovať procesy v bunke, ktoré sú sprostredkované aktiváciou týchto kinázových receptorov</w:t>
      </w:r>
      <w:r w:rsidR="00653A62" w:rsidRPr="00EE40F4">
        <w:rPr>
          <w:rFonts w:ascii="Times New Roman" w:hAnsi="Times New Roman"/>
        </w:rPr>
        <w:t>.</w:t>
      </w:r>
    </w:p>
    <w:p w14:paraId="64D7210E" w14:textId="77777777" w:rsidR="00653A62" w:rsidRPr="00EE40F4" w:rsidRDefault="00653A62" w:rsidP="00EF61CC">
      <w:pPr>
        <w:spacing w:after="0" w:line="240" w:lineRule="auto"/>
        <w:rPr>
          <w:rFonts w:ascii="Times New Roman" w:hAnsi="Times New Roman"/>
        </w:rPr>
      </w:pPr>
    </w:p>
    <w:p w14:paraId="2C1BF3F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Farmakodynamické účinky </w:t>
      </w:r>
    </w:p>
    <w:p w14:paraId="476B61C9" w14:textId="77777777" w:rsidR="00653A62" w:rsidRPr="00EE40F4" w:rsidRDefault="003159FB" w:rsidP="003159FB">
      <w:pPr>
        <w:spacing w:after="0" w:line="240" w:lineRule="auto"/>
        <w:ind w:right="-56"/>
        <w:rPr>
          <w:rFonts w:ascii="Times New Roman" w:hAnsi="Times New Roman"/>
        </w:rPr>
      </w:pPr>
      <w:r w:rsidRPr="00EE40F4">
        <w:rPr>
          <w:rFonts w:ascii="Times New Roman" w:hAnsi="Times New Roman"/>
          <w:color w:val="000000"/>
        </w:rPr>
        <w:t>I</w:t>
      </w:r>
      <w:r w:rsidR="000E6FE7" w:rsidRPr="00EE40F4">
        <w:rPr>
          <w:rFonts w:ascii="Times New Roman" w:hAnsi="Times New Roman"/>
          <w:color w:val="000000"/>
        </w:rPr>
        <w:t>matinib</w:t>
      </w:r>
      <w:r w:rsidR="00653A62" w:rsidRPr="00EE40F4">
        <w:rPr>
          <w:rFonts w:ascii="Times New Roman" w:hAnsi="Times New Roman"/>
          <w:color w:val="000000"/>
        </w:rPr>
        <w:t xml:space="preserve"> je inhibítor proteíntyrozínkinázy, ktorý účinne inhibuje bcr-abl-tyrozínkinázu </w:t>
      </w:r>
      <w:r w:rsidR="00653A62" w:rsidRPr="00EE40F4">
        <w:rPr>
          <w:rFonts w:ascii="Times New Roman" w:hAnsi="Times New Roman"/>
          <w:i/>
          <w:iCs/>
          <w:color w:val="000000"/>
        </w:rPr>
        <w:t>in vitro</w:t>
      </w:r>
      <w:r w:rsidR="00653A62" w:rsidRPr="00EE40F4">
        <w:rPr>
          <w:rFonts w:ascii="Times New Roman" w:hAnsi="Times New Roman"/>
          <w:color w:val="000000"/>
        </w:rPr>
        <w:t xml:space="preserve">, na bunkovej úrovni a </w:t>
      </w:r>
      <w:r w:rsidR="00653A62" w:rsidRPr="00EE40F4">
        <w:rPr>
          <w:rFonts w:ascii="Times New Roman" w:hAnsi="Times New Roman"/>
          <w:i/>
          <w:iCs/>
          <w:color w:val="000000"/>
        </w:rPr>
        <w:t>in vivo</w:t>
      </w:r>
      <w:r w:rsidR="00653A62" w:rsidRPr="00EE40F4">
        <w:rPr>
          <w:rFonts w:ascii="Times New Roman" w:hAnsi="Times New Roman"/>
          <w:color w:val="000000"/>
        </w:rPr>
        <w:t>. Látka selektívne inhibuje proliferáciu a indukuje apoptózu bunkových línií s pozitivitou bcr-abl, ako aj čerstvých leukemických buniek od pacientov s CML s pozitívnym chromozómom Philadelphia</w:t>
      </w:r>
      <w:r w:rsidR="00EB1B08" w:rsidRPr="00EE40F4">
        <w:rPr>
          <w:rFonts w:ascii="Times New Roman" w:hAnsi="Times New Roman"/>
          <w:color w:val="000000"/>
        </w:rPr>
        <w:t xml:space="preserve"> </w:t>
      </w:r>
      <w:r w:rsidR="00EB1B08" w:rsidRPr="00EE40F4">
        <w:rPr>
          <w:rFonts w:ascii="Times New Roman" w:hAnsi="Times New Roman"/>
        </w:rPr>
        <w:t>a od pacientov s akútnou lymfoblasto</w:t>
      </w:r>
      <w:r w:rsidR="001F5876" w:rsidRPr="00EE40F4">
        <w:rPr>
          <w:rFonts w:ascii="Times New Roman" w:hAnsi="Times New Roman"/>
        </w:rPr>
        <w:t>vo</w:t>
      </w:r>
      <w:r w:rsidR="00EB1B08" w:rsidRPr="00EE40F4">
        <w:rPr>
          <w:rFonts w:ascii="Times New Roman" w:hAnsi="Times New Roman"/>
        </w:rPr>
        <w:t>u leukémiou (ALL).</w:t>
      </w:r>
    </w:p>
    <w:p w14:paraId="7D933D0C" w14:textId="77777777" w:rsidR="00653A62" w:rsidRPr="00EE40F4" w:rsidRDefault="00653A62" w:rsidP="003159FB">
      <w:pPr>
        <w:spacing w:after="0" w:line="240" w:lineRule="auto"/>
        <w:ind w:right="-56"/>
        <w:rPr>
          <w:rFonts w:ascii="Times New Roman" w:hAnsi="Times New Roman"/>
        </w:rPr>
      </w:pPr>
    </w:p>
    <w:p w14:paraId="1499FE2E" w14:textId="77777777" w:rsidR="00653A62" w:rsidRPr="00EE40F4" w:rsidRDefault="00653A62" w:rsidP="003159FB">
      <w:pPr>
        <w:spacing w:after="0" w:line="240" w:lineRule="auto"/>
        <w:ind w:right="-56"/>
        <w:rPr>
          <w:rFonts w:ascii="Times New Roman" w:hAnsi="Times New Roman"/>
        </w:rPr>
      </w:pPr>
      <w:r w:rsidRPr="00EE40F4">
        <w:rPr>
          <w:rFonts w:ascii="Times New Roman" w:hAnsi="Times New Roman"/>
        </w:rPr>
        <w:t xml:space="preserve">Zlúčenina vykazuje protinádorovú účinnosť v monoterapii </w:t>
      </w:r>
      <w:r w:rsidRPr="00EE40F4">
        <w:rPr>
          <w:rFonts w:ascii="Times New Roman" w:hAnsi="Times New Roman"/>
          <w:i/>
          <w:iCs/>
        </w:rPr>
        <w:t xml:space="preserve">in vivo </w:t>
      </w:r>
      <w:r w:rsidRPr="00EE40F4">
        <w:rPr>
          <w:rFonts w:ascii="Times New Roman" w:hAnsi="Times New Roman"/>
        </w:rPr>
        <w:t>na zvieracích modeloch pri použití nádorových buniek s pozitivitou bcr-abl.</w:t>
      </w:r>
    </w:p>
    <w:p w14:paraId="72B8F842" w14:textId="77777777" w:rsidR="003159FB" w:rsidRPr="00EE40F4" w:rsidRDefault="003159FB" w:rsidP="003159FB">
      <w:pPr>
        <w:shd w:val="clear" w:color="auto" w:fill="FFFFFF"/>
        <w:spacing w:after="0" w:line="240" w:lineRule="auto"/>
        <w:ind w:left="11"/>
        <w:rPr>
          <w:rFonts w:ascii="Times New Roman" w:hAnsi="Times New Roman"/>
        </w:rPr>
      </w:pPr>
    </w:p>
    <w:p w14:paraId="3D18FC1B" w14:textId="77777777" w:rsidR="00EB1B08" w:rsidRPr="00EE40F4" w:rsidRDefault="003159FB" w:rsidP="003159FB">
      <w:pPr>
        <w:shd w:val="clear" w:color="auto" w:fill="FFFFFF"/>
        <w:spacing w:after="0" w:line="240" w:lineRule="auto"/>
        <w:ind w:left="11"/>
        <w:rPr>
          <w:rFonts w:ascii="Times New Roman" w:hAnsi="Times New Roman"/>
        </w:rPr>
      </w:pPr>
      <w:r w:rsidRPr="00EE40F4">
        <w:rPr>
          <w:rFonts w:ascii="Times New Roman" w:hAnsi="Times New Roman"/>
        </w:rPr>
        <w:t>I</w:t>
      </w:r>
      <w:r w:rsidR="000E6FE7" w:rsidRPr="00EE40F4">
        <w:rPr>
          <w:rFonts w:ascii="Times New Roman" w:hAnsi="Times New Roman"/>
        </w:rPr>
        <w:t>matinib</w:t>
      </w:r>
      <w:r w:rsidR="00EB1B08" w:rsidRPr="00EE40F4">
        <w:rPr>
          <w:rFonts w:ascii="Times New Roman" w:hAnsi="Times New Roman"/>
        </w:rPr>
        <w:t xml:space="preserve"> je tiež inhibítor tyrozínkináz receptora rastového faktora odvodeného od trombocytov (PDGF), PDGF-R, a receptora faktora kmeňových buniek (SCF), c-Kit, a inhibuje bunkové deje sprostredkované PDGF a SCF. Konštitutívna aktivácia proteíntyrozínkináz receptora PDGF alebo abl ako dôsledok spojenia </w:t>
      </w:r>
      <w:r w:rsidR="00EB1B08" w:rsidRPr="00EE40F4">
        <w:rPr>
          <w:rFonts w:ascii="Times New Roman" w:hAnsi="Times New Roman"/>
          <w:spacing w:val="-1"/>
        </w:rPr>
        <w:t xml:space="preserve">s rôznymi partnerskými bielkovinami alebo konštitutívna tvorba PDGF sa preukázali v patogenéze MDS/MPD, HES/CEL a DFSP. </w:t>
      </w:r>
      <w:r w:rsidR="00C82AA3" w:rsidRPr="00EE40F4">
        <w:rPr>
          <w:rFonts w:ascii="Times New Roman" w:hAnsi="Times New Roman"/>
          <w:spacing w:val="-1"/>
        </w:rPr>
        <w:t xml:space="preserve">Imatinib </w:t>
      </w:r>
      <w:r w:rsidR="00EB1B08" w:rsidRPr="00EE40F4">
        <w:rPr>
          <w:rFonts w:ascii="Times New Roman" w:hAnsi="Times New Roman"/>
          <w:spacing w:val="-1"/>
        </w:rPr>
        <w:t xml:space="preserve">inhibuje signalizáciu a proliferáciu buniek stimulovaných </w:t>
      </w:r>
      <w:r w:rsidR="00EB1B08" w:rsidRPr="00EE40F4">
        <w:rPr>
          <w:rFonts w:ascii="Times New Roman" w:hAnsi="Times New Roman"/>
        </w:rPr>
        <w:t xml:space="preserve">disregulovanou aktivitou kináz PDGFR a </w:t>
      </w:r>
      <w:r w:rsidR="001C7386" w:rsidRPr="00EE40F4">
        <w:rPr>
          <w:rFonts w:ascii="Times New Roman" w:hAnsi="Times New Roman"/>
        </w:rPr>
        <w:t>A</w:t>
      </w:r>
      <w:r w:rsidR="00EB1B08" w:rsidRPr="00EE40F4">
        <w:rPr>
          <w:rFonts w:ascii="Times New Roman" w:hAnsi="Times New Roman"/>
        </w:rPr>
        <w:t>bl.</w:t>
      </w:r>
    </w:p>
    <w:p w14:paraId="028C62AB" w14:textId="77777777" w:rsidR="001C7386" w:rsidRPr="00EE40F4" w:rsidRDefault="001C7386" w:rsidP="003159FB">
      <w:pPr>
        <w:shd w:val="clear" w:color="auto" w:fill="FFFFFF"/>
        <w:spacing w:after="0" w:line="240" w:lineRule="auto"/>
        <w:ind w:left="11"/>
        <w:rPr>
          <w:rFonts w:ascii="Times New Roman" w:hAnsi="Times New Roman"/>
        </w:rPr>
      </w:pPr>
    </w:p>
    <w:p w14:paraId="5EB1D8D7" w14:textId="77777777" w:rsidR="00653A62" w:rsidRPr="00EE40F4" w:rsidRDefault="00653A62" w:rsidP="00EF61CC">
      <w:pPr>
        <w:autoSpaceDE w:val="0"/>
        <w:autoSpaceDN w:val="0"/>
        <w:adjustRightInd w:val="0"/>
        <w:spacing w:after="0" w:line="240" w:lineRule="auto"/>
        <w:rPr>
          <w:rFonts w:ascii="Times New Roman" w:hAnsi="Times New Roman"/>
          <w:u w:val="single"/>
        </w:rPr>
      </w:pPr>
      <w:r w:rsidRPr="00EE40F4">
        <w:rPr>
          <w:rFonts w:ascii="Times New Roman" w:hAnsi="Times New Roman"/>
          <w:u w:val="single"/>
        </w:rPr>
        <w:t xml:space="preserve">Klinické skúšania pri chronickej </w:t>
      </w:r>
      <w:r w:rsidR="00544A17" w:rsidRPr="00EE40F4">
        <w:rPr>
          <w:rFonts w:ascii="Times New Roman" w:hAnsi="Times New Roman"/>
          <w:u w:val="single"/>
        </w:rPr>
        <w:t xml:space="preserve">myelocytovej </w:t>
      </w:r>
      <w:r w:rsidRPr="00EE40F4">
        <w:rPr>
          <w:rFonts w:ascii="Times New Roman" w:hAnsi="Times New Roman"/>
          <w:u w:val="single"/>
        </w:rPr>
        <w:t xml:space="preserve">leukémii </w:t>
      </w:r>
    </w:p>
    <w:p w14:paraId="67D89C14" w14:textId="77777777" w:rsidR="00CB0CA7" w:rsidRPr="00012886" w:rsidRDefault="00653A62" w:rsidP="00CB0CA7">
      <w:pPr>
        <w:pStyle w:val="Default"/>
        <w:rPr>
          <w:sz w:val="22"/>
          <w:szCs w:val="22"/>
        </w:rPr>
      </w:pPr>
      <w:r w:rsidRPr="00012886">
        <w:t xml:space="preserve">Účinnosť </w:t>
      </w:r>
      <w:r w:rsidR="000E6FE7" w:rsidRPr="00012886">
        <w:t>imatinib</w:t>
      </w:r>
      <w:r w:rsidRPr="00012886">
        <w:t xml:space="preserve">u sa zakladá na stupni celkovej hematologickej a cytogenetickej odpovede a prežívaní bez progresie. </w:t>
      </w:r>
      <w:r w:rsidR="001C7386" w:rsidRPr="00EE71A9">
        <w:rPr>
          <w:sz w:val="22"/>
          <w:szCs w:val="22"/>
        </w:rPr>
        <w:br/>
      </w:r>
      <w:r w:rsidR="00CB0CA7" w:rsidRPr="00CA3011">
        <w:rPr>
          <w:sz w:val="22"/>
          <w:szCs w:val="22"/>
        </w:rPr>
        <w:t>Okrem novodiagnostikovanej chronickej fázy CML nie sú kontrolované klinické skúšania, ktoré by preu</w:t>
      </w:r>
      <w:r w:rsidR="00CB0CA7" w:rsidRPr="00012886">
        <w:rPr>
          <w:sz w:val="22"/>
          <w:szCs w:val="22"/>
        </w:rPr>
        <w:t xml:space="preserve">kázali klinickú prospešnosť, ako je zmiernenie symptómov súvisiacich s ochorením alebo predĺženie prežívania. </w:t>
      </w:r>
    </w:p>
    <w:p w14:paraId="7BE8924A" w14:textId="77777777" w:rsidR="00CB0CA7" w:rsidRPr="00872FE4" w:rsidRDefault="00CB0CA7" w:rsidP="00CB0CA7">
      <w:pPr>
        <w:pStyle w:val="Default"/>
        <w:rPr>
          <w:sz w:val="22"/>
          <w:szCs w:val="22"/>
        </w:rPr>
      </w:pPr>
    </w:p>
    <w:p w14:paraId="244117B9" w14:textId="77777777" w:rsidR="00CB0CA7" w:rsidRPr="00872FE4" w:rsidRDefault="00CB0CA7" w:rsidP="00CB0CA7">
      <w:pPr>
        <w:pStyle w:val="Default"/>
        <w:rPr>
          <w:sz w:val="22"/>
          <w:szCs w:val="22"/>
        </w:rPr>
      </w:pPr>
      <w:r w:rsidRPr="00872FE4">
        <w:rPr>
          <w:sz w:val="22"/>
          <w:szCs w:val="22"/>
        </w:rPr>
        <w:t xml:space="preserve">Tri veľké, medzinárodné, otvorené, nekontrolované klinické skúšania fázy II sa vykonali s pacientmi s CML s pozitívnym chromozómom Philadelphia (Ph+) v pokročilej, blastickej alebo akcelerovanej fáze ochorenia, inými Ph+ leukémiami, alebo s CML v chronickej fáze po zlyhaní predchádzajúcej liečby interferónom alfa (IFN). Vykonalo sa jedno veľké, otvorené, multicentrické, medzinárodné, randomizované klinické skúšanie fázy III s pacientmi s novodiagnostikovanou Ph+ CML. Okrem toho sa liečili deti v dvoch klinických skúšaniach fázy I a v jednom klinickom skúšaní fázy II. </w:t>
      </w:r>
    </w:p>
    <w:p w14:paraId="7037CAFA" w14:textId="77777777" w:rsidR="00CB0CA7" w:rsidRPr="00872FE4" w:rsidRDefault="00CB0CA7" w:rsidP="00CB0CA7">
      <w:pPr>
        <w:pStyle w:val="Default"/>
        <w:rPr>
          <w:sz w:val="22"/>
          <w:szCs w:val="22"/>
        </w:rPr>
      </w:pPr>
    </w:p>
    <w:p w14:paraId="2772D08F" w14:textId="77777777" w:rsidR="00CB0CA7" w:rsidRPr="00872FE4" w:rsidRDefault="00CB0CA7" w:rsidP="00CB0CA7">
      <w:pPr>
        <w:spacing w:after="0" w:line="240" w:lineRule="auto"/>
        <w:ind w:right="-56"/>
        <w:rPr>
          <w:rFonts w:ascii="Times New Roman" w:hAnsi="Times New Roman"/>
        </w:rPr>
      </w:pPr>
      <w:r w:rsidRPr="00872FE4">
        <w:rPr>
          <w:rFonts w:ascii="Times New Roman" w:hAnsi="Times New Roman"/>
        </w:rPr>
        <w:t xml:space="preserve">Vo všetkých klinických skúšaniach bolo 38–40% pacientov vo veku </w:t>
      </w:r>
      <w:r w:rsidRPr="00872FE4">
        <w:rPr>
          <w:rFonts w:ascii="Times New Roman" w:hAnsi="Times New Roman"/>
          <w:shd w:val="clear" w:color="auto" w:fill="FFFFFF"/>
        </w:rPr>
        <w:t>≥</w:t>
      </w:r>
      <w:r w:rsidRPr="00872FE4">
        <w:rPr>
          <w:rFonts w:ascii="Times New Roman" w:hAnsi="Times New Roman"/>
        </w:rPr>
        <w:t xml:space="preserve"> 60 rokov a 10–12% pacientov vo veku </w:t>
      </w:r>
      <w:r w:rsidRPr="00872FE4">
        <w:rPr>
          <w:rFonts w:ascii="Times New Roman" w:hAnsi="Times New Roman"/>
          <w:shd w:val="clear" w:color="auto" w:fill="FFFFFF"/>
        </w:rPr>
        <w:t>≥</w:t>
      </w:r>
      <w:r w:rsidRPr="00872FE4">
        <w:rPr>
          <w:rFonts w:ascii="Times New Roman" w:hAnsi="Times New Roman"/>
        </w:rPr>
        <w:t xml:space="preserve"> 70 rokov.</w:t>
      </w:r>
    </w:p>
    <w:p w14:paraId="7AB7BB9D" w14:textId="77777777" w:rsidR="00CB0CA7" w:rsidRPr="00872FE4" w:rsidRDefault="00CB0CA7" w:rsidP="00CB0CA7">
      <w:pPr>
        <w:spacing w:after="0" w:line="240" w:lineRule="auto"/>
        <w:ind w:right="-56"/>
        <w:rPr>
          <w:rFonts w:ascii="Times New Roman" w:hAnsi="Times New Roman"/>
        </w:rPr>
      </w:pPr>
    </w:p>
    <w:p w14:paraId="75A562AE" w14:textId="77777777" w:rsidR="00CB0CA7" w:rsidRPr="00872FE4" w:rsidRDefault="00CB0CA7" w:rsidP="00CB0CA7">
      <w:pPr>
        <w:pStyle w:val="Default"/>
        <w:rPr>
          <w:sz w:val="22"/>
          <w:szCs w:val="22"/>
        </w:rPr>
      </w:pPr>
      <w:r w:rsidRPr="00872FE4">
        <w:rPr>
          <w:i/>
          <w:iCs/>
          <w:sz w:val="22"/>
          <w:szCs w:val="22"/>
        </w:rPr>
        <w:t xml:space="preserve">Novodiagnostikovaná chronická fáza: </w:t>
      </w:r>
      <w:r w:rsidRPr="00872FE4">
        <w:rPr>
          <w:sz w:val="22"/>
          <w:szCs w:val="22"/>
        </w:rPr>
        <w:t xml:space="preserve">Toto klinické skúšanie fázy III u dospelých pacientov porovnávalo liečbu buď samotným </w:t>
      </w:r>
      <w:r>
        <w:rPr>
          <w:sz w:val="22"/>
          <w:szCs w:val="22"/>
        </w:rPr>
        <w:t>imatinibom</w:t>
      </w:r>
      <w:r w:rsidRPr="00872FE4">
        <w:rPr>
          <w:sz w:val="22"/>
          <w:szCs w:val="22"/>
        </w:rPr>
        <w:t xml:space="preserve">, alebo kombináciou interferónu alfa (IFN) a cytarabínu (Ara-C). Pacientom s nedostatočnou odpoveďou (nedostatočná kompletná hematologická odpoveď (CHR) po 6 mesiacoch, zvyšovanie WBC, žiadna veľká cytogenetická odpoveď (MCyR) po 24 mesiacoch), stratou odpovede (strata CHR alebo MCyR) alebo so závažnou neznášanlivosťou liečby sa umožnil prechod do skupiny alternatívnej liečby. V skupine </w:t>
      </w:r>
      <w:r>
        <w:rPr>
          <w:sz w:val="22"/>
          <w:szCs w:val="22"/>
        </w:rPr>
        <w:t>imatinibu</w:t>
      </w:r>
      <w:r w:rsidRPr="00872FE4">
        <w:rPr>
          <w:sz w:val="22"/>
          <w:szCs w:val="22"/>
        </w:rPr>
        <w:t xml:space="preserve"> pacienti dostávali dávku 400 mg denne. V skupine IFN dostávali pacienti cieľovú dávku IFN 5 mil. IU/m</w:t>
      </w:r>
      <w:r w:rsidRPr="00872FE4">
        <w:rPr>
          <w:sz w:val="22"/>
          <w:szCs w:val="22"/>
          <w:vertAlign w:val="superscript"/>
        </w:rPr>
        <w:t>2</w:t>
      </w:r>
      <w:r w:rsidRPr="00872FE4">
        <w:rPr>
          <w:sz w:val="22"/>
          <w:szCs w:val="22"/>
        </w:rPr>
        <w:t>/deň subkutánne v kombinácii s Ara-C 20 mg/m</w:t>
      </w:r>
      <w:r w:rsidRPr="00872FE4">
        <w:rPr>
          <w:sz w:val="22"/>
          <w:szCs w:val="22"/>
          <w:vertAlign w:val="superscript"/>
        </w:rPr>
        <w:t>2</w:t>
      </w:r>
      <w:r w:rsidRPr="00872FE4">
        <w:rPr>
          <w:sz w:val="22"/>
          <w:szCs w:val="22"/>
        </w:rPr>
        <w:t xml:space="preserve">/deň subkutánne počas 10 dní v mesiaci. </w:t>
      </w:r>
    </w:p>
    <w:p w14:paraId="64C795BC" w14:textId="77777777" w:rsidR="00CB0CA7" w:rsidRDefault="00CB0CA7" w:rsidP="00CB0CA7">
      <w:pPr>
        <w:spacing w:after="0" w:line="240" w:lineRule="auto"/>
        <w:ind w:right="-56"/>
        <w:rPr>
          <w:rFonts w:ascii="Times New Roman" w:hAnsi="Times New Roman"/>
        </w:rPr>
      </w:pPr>
    </w:p>
    <w:p w14:paraId="57C8361F"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 xml:space="preserve">Celkovo bolo randomizovaných 1 106 pacientov, 553 do každej skupiny. Východiskové hodnoty boli medzi oboma skupinami dobre vyvážené. Medián veku bol 51 rokov (rozmedzie 18–70 rokov), 21,9% </w:t>
      </w:r>
      <w:r w:rsidRPr="00872FE4">
        <w:rPr>
          <w:rFonts w:ascii="Times New Roman" w:hAnsi="Times New Roman"/>
        </w:rPr>
        <w:lastRenderedPageBreak/>
        <w:t xml:space="preserve">pacientov bolo vo veku </w:t>
      </w:r>
      <w:r w:rsidRPr="00487A3D">
        <w:rPr>
          <w:rFonts w:ascii="Times New Roman" w:hAnsi="Times New Roman"/>
          <w:shd w:val="clear" w:color="auto" w:fill="FFFFFF"/>
        </w:rPr>
        <w:t>≥</w:t>
      </w:r>
      <w:r w:rsidRPr="00872FE4">
        <w:rPr>
          <w:rFonts w:ascii="Times New Roman" w:hAnsi="Times New Roman"/>
        </w:rPr>
        <w:t xml:space="preserve"> 60 rokov. 59% boli muži, 41% ženy; 89,9% pacientov bolo bielych a 4,7% čiernych. Sedem rokov po zaradení posledného pacienta bol medián trvania liečby prvej línie 82 mesiacov v skupine </w:t>
      </w:r>
      <w:r>
        <w:rPr>
          <w:rFonts w:ascii="Times New Roman" w:hAnsi="Times New Roman"/>
        </w:rPr>
        <w:t>imatinibu</w:t>
      </w:r>
      <w:r w:rsidRPr="00872FE4">
        <w:rPr>
          <w:rFonts w:ascii="Times New Roman" w:hAnsi="Times New Roman"/>
        </w:rPr>
        <w:t xml:space="preserve"> a 8 mesiacov v skupine IFN. Medián trvania liečby </w:t>
      </w:r>
      <w:r>
        <w:rPr>
          <w:rFonts w:ascii="Times New Roman" w:hAnsi="Times New Roman"/>
        </w:rPr>
        <w:t>imatinibom</w:t>
      </w:r>
      <w:r w:rsidRPr="00872FE4">
        <w:rPr>
          <w:rFonts w:ascii="Times New Roman" w:hAnsi="Times New Roman"/>
        </w:rPr>
        <w:t xml:space="preserve"> ako druhej línie bol 64 mesiacov. Celkovo sa pacientom, ktorí dostávali </w:t>
      </w:r>
      <w:r>
        <w:rPr>
          <w:rFonts w:ascii="Times New Roman" w:hAnsi="Times New Roman"/>
        </w:rPr>
        <w:t>imatinib</w:t>
      </w:r>
      <w:r w:rsidRPr="00872FE4">
        <w:rPr>
          <w:rFonts w:ascii="Times New Roman" w:hAnsi="Times New Roman"/>
        </w:rPr>
        <w:t xml:space="preserve"> ako liečbu prvej línie, podávala priemerná denná dávka 406 ± 76 mg. Primárnym koncovým bodom pre hodnotenie účinnosti v klinickom skúšaní bolo prežívanie bez progresie. Progresia bola definovaná ako niektorá z nasledujúcich udalostí: progresia do akcelerovanej fázy alebo blastickej krízy, smrť, strata CHR alebo MCyR, alebo u 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 prežívanie. Údaje o dosiahnutej odpovedi sú v Tabuľke 2.</w:t>
      </w:r>
    </w:p>
    <w:p w14:paraId="36D12186" w14:textId="77777777" w:rsidR="00CB0CA7" w:rsidRDefault="00CB0CA7" w:rsidP="00CB0CA7">
      <w:pPr>
        <w:spacing w:after="0" w:line="240" w:lineRule="auto"/>
        <w:ind w:right="-56"/>
        <w:rPr>
          <w:rFonts w:ascii="Times New Roman" w:hAnsi="Times New Roman"/>
        </w:rPr>
      </w:pPr>
    </w:p>
    <w:p w14:paraId="0FFFD87D" w14:textId="77777777" w:rsidR="00CB0CA7" w:rsidRDefault="00CB0CA7" w:rsidP="00CB0CA7">
      <w:pPr>
        <w:spacing w:after="0" w:line="240" w:lineRule="auto"/>
        <w:ind w:right="-56"/>
        <w:rPr>
          <w:rFonts w:ascii="Times New Roman" w:hAnsi="Times New Roman"/>
          <w:b/>
          <w:bCs/>
        </w:rPr>
      </w:pPr>
      <w:r w:rsidRPr="00872FE4">
        <w:rPr>
          <w:rFonts w:ascii="Times New Roman" w:hAnsi="Times New Roman"/>
          <w:b/>
          <w:bCs/>
        </w:rPr>
        <w:t xml:space="preserve">Tabuľka 2 </w:t>
      </w:r>
      <w:r>
        <w:rPr>
          <w:rFonts w:ascii="Times New Roman" w:hAnsi="Times New Roman"/>
          <w:b/>
          <w:bCs/>
        </w:rPr>
        <w:tab/>
      </w:r>
      <w:r w:rsidRPr="00872FE4">
        <w:rPr>
          <w:rFonts w:ascii="Times New Roman" w:hAnsi="Times New Roman"/>
          <w:b/>
          <w:bCs/>
        </w:rPr>
        <w:t>Odpoveď pri novodiagnostikovanej CML (údaje po 84 mesiacoch)</w:t>
      </w:r>
    </w:p>
    <w:p w14:paraId="6520FFD6" w14:textId="77777777" w:rsidR="00CB0CA7" w:rsidRDefault="00CB0CA7" w:rsidP="00CB0CA7">
      <w:pPr>
        <w:spacing w:after="0" w:line="240" w:lineRule="auto"/>
        <w:ind w:right="-56"/>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CA7" w:rsidRPr="00F03E4F" w14:paraId="3CC71A6C" w14:textId="77777777" w:rsidTr="00042D68">
        <w:tc>
          <w:tcPr>
            <w:tcW w:w="9210" w:type="dxa"/>
            <w:shd w:val="clear" w:color="auto" w:fill="auto"/>
          </w:tcPr>
          <w:p w14:paraId="3E039912" w14:textId="77777777" w:rsidR="00CB0CA7" w:rsidRPr="00872FE4" w:rsidRDefault="00CB0CA7" w:rsidP="00042D68">
            <w:pPr>
              <w:spacing w:after="0" w:line="240" w:lineRule="auto"/>
              <w:ind w:right="-56"/>
              <w:rPr>
                <w:rFonts w:ascii="Times New Roman" w:hAnsi="Times New Roman"/>
                <w:b/>
              </w:rPr>
            </w:pPr>
            <w:r w:rsidRPr="00872FE4">
              <w:rPr>
                <w:rFonts w:ascii="Times New Roman" w:hAnsi="Times New Roman"/>
              </w:rPr>
              <w:t xml:space="preserve">                                                                                 </w:t>
            </w:r>
            <w:r w:rsidRPr="00872FE4">
              <w:rPr>
                <w:rFonts w:ascii="Times New Roman" w:hAnsi="Times New Roman"/>
                <w:b/>
              </w:rPr>
              <w:t>Imatinib                             IFN+Ara-C</w:t>
            </w:r>
          </w:p>
          <w:tbl>
            <w:tblPr>
              <w:tblW w:w="0" w:type="auto"/>
              <w:tblBorders>
                <w:top w:val="nil"/>
                <w:left w:val="nil"/>
                <w:bottom w:val="nil"/>
                <w:right w:val="nil"/>
              </w:tblBorders>
              <w:tblLook w:val="0000" w:firstRow="0" w:lastRow="0" w:firstColumn="0" w:lastColumn="0" w:noHBand="0" w:noVBand="0"/>
            </w:tblPr>
            <w:tblGrid>
              <w:gridCol w:w="2759"/>
              <w:gridCol w:w="2541"/>
              <w:gridCol w:w="2596"/>
            </w:tblGrid>
            <w:tr w:rsidR="00CB0CA7" w:rsidRPr="00872FE4" w14:paraId="64AF7100" w14:textId="77777777" w:rsidTr="00042D68">
              <w:trPr>
                <w:trHeight w:val="102"/>
              </w:trPr>
              <w:tc>
                <w:tcPr>
                  <w:tcW w:w="0" w:type="auto"/>
                </w:tcPr>
                <w:p w14:paraId="2B1429B2"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b/>
                      <w:bCs/>
                      <w:color w:val="000000"/>
                      <w:lang w:eastAsia="sk-SK"/>
                    </w:rPr>
                    <w:t xml:space="preserve">(Najlepší stupeň odpovede) </w:t>
                  </w:r>
                </w:p>
              </w:tc>
              <w:tc>
                <w:tcPr>
                  <w:tcW w:w="0" w:type="auto"/>
                </w:tcPr>
                <w:p w14:paraId="3F90698E"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color w:val="000000"/>
                      <w:lang w:eastAsia="sk-SK"/>
                    </w:rPr>
                    <w:t xml:space="preserve">                                n=553 </w:t>
                  </w:r>
                </w:p>
              </w:tc>
              <w:tc>
                <w:tcPr>
                  <w:tcW w:w="0" w:type="auto"/>
                </w:tcPr>
                <w:p w14:paraId="222E48E6"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color w:val="000000"/>
                      <w:lang w:eastAsia="sk-SK"/>
                    </w:rPr>
                    <w:t xml:space="preserve">                                 n=553 </w:t>
                  </w:r>
                </w:p>
              </w:tc>
            </w:tr>
          </w:tbl>
          <w:p w14:paraId="398EF7D9" w14:textId="77777777" w:rsidR="00CB0CA7" w:rsidRPr="00872FE4" w:rsidRDefault="00CB0CA7" w:rsidP="00042D68">
            <w:pPr>
              <w:spacing w:after="0" w:line="240" w:lineRule="auto"/>
              <w:ind w:right="-56"/>
              <w:rPr>
                <w:rFonts w:ascii="Times New Roman" w:hAnsi="Times New Roman"/>
              </w:rPr>
            </w:pPr>
          </w:p>
        </w:tc>
      </w:tr>
      <w:tr w:rsidR="00CB0CA7" w:rsidRPr="00F03E4F" w14:paraId="2C25C3CA" w14:textId="77777777" w:rsidTr="00042D68">
        <w:tc>
          <w:tcPr>
            <w:tcW w:w="9210" w:type="dxa"/>
            <w:shd w:val="clear" w:color="auto" w:fill="auto"/>
          </w:tcPr>
          <w:p w14:paraId="3D4D6BDD" w14:textId="77777777" w:rsidR="00CB0CA7" w:rsidRPr="00872FE4" w:rsidRDefault="00CB0CA7" w:rsidP="00042D68">
            <w:pPr>
              <w:tabs>
                <w:tab w:val="center" w:pos="5034"/>
                <w:tab w:val="center" w:pos="7739"/>
              </w:tabs>
              <w:spacing w:after="11" w:line="259" w:lineRule="auto"/>
              <w:ind w:left="10" w:right="-2"/>
              <w:jc w:val="both"/>
              <w:rPr>
                <w:rFonts w:ascii="Times New Roman" w:hAnsi="Times New Roman"/>
              </w:rPr>
            </w:pPr>
            <w:r w:rsidRPr="00F03E4F">
              <w:rPr>
                <w:rFonts w:ascii="Times New Roman" w:hAnsi="Times New Roman"/>
                <w:b/>
              </w:rPr>
              <w:t>h</w:t>
            </w:r>
            <w:r w:rsidRPr="00872FE4">
              <w:rPr>
                <w:rFonts w:ascii="Times New Roman" w:hAnsi="Times New Roman"/>
                <w:b/>
              </w:rPr>
              <w:t>ematologic</w:t>
            </w:r>
            <w:r w:rsidRPr="00F03E4F">
              <w:rPr>
                <w:rFonts w:ascii="Times New Roman" w:hAnsi="Times New Roman"/>
                <w:b/>
              </w:rPr>
              <w:t>ká odpoveď</w:t>
            </w:r>
            <w:r w:rsidRPr="00872FE4">
              <w:rPr>
                <w:rFonts w:ascii="Times New Roman" w:hAnsi="Times New Roman"/>
                <w:b/>
              </w:rPr>
              <w:tab/>
            </w:r>
            <w:r w:rsidRPr="00872FE4">
              <w:rPr>
                <w:rFonts w:ascii="Times New Roman" w:hAnsi="Times New Roman"/>
                <w:b/>
              </w:rPr>
              <w:tab/>
            </w:r>
          </w:p>
          <w:p w14:paraId="5E2FD3D3" w14:textId="77777777" w:rsidR="00CB0CA7" w:rsidRPr="00872FE4" w:rsidRDefault="00CB0CA7" w:rsidP="00042D68">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 xml:space="preserve">Podiel </w:t>
            </w:r>
            <w:r w:rsidRPr="00872FE4">
              <w:rPr>
                <w:rFonts w:ascii="Times New Roman" w:hAnsi="Times New Roman"/>
              </w:rPr>
              <w:t>CHR n (%)</w:t>
            </w:r>
            <w:r w:rsidRPr="00872FE4">
              <w:rPr>
                <w:rFonts w:ascii="Times New Roman" w:hAnsi="Times New Roman"/>
              </w:rPr>
              <w:tab/>
              <w:t>534 (96</w:t>
            </w:r>
            <w:r w:rsidRPr="00F03E4F">
              <w:rPr>
                <w:rFonts w:ascii="Times New Roman" w:hAnsi="Times New Roman"/>
              </w:rPr>
              <w:t>,</w:t>
            </w:r>
            <w:r w:rsidRPr="00872FE4">
              <w:rPr>
                <w:rFonts w:ascii="Times New Roman" w:hAnsi="Times New Roman"/>
              </w:rPr>
              <w:t>6 %)*</w:t>
            </w:r>
            <w:r w:rsidRPr="00872FE4">
              <w:rPr>
                <w:rFonts w:ascii="Times New Roman" w:hAnsi="Times New Roman"/>
              </w:rPr>
              <w:tab/>
              <w:t>313 (56</w:t>
            </w:r>
            <w:r w:rsidRPr="00F03E4F">
              <w:rPr>
                <w:rFonts w:ascii="Times New Roman" w:hAnsi="Times New Roman"/>
              </w:rPr>
              <w:t>,</w:t>
            </w:r>
            <w:r w:rsidRPr="00872FE4">
              <w:rPr>
                <w:rFonts w:ascii="Times New Roman" w:hAnsi="Times New Roman"/>
              </w:rPr>
              <w:t>6 %)*</w:t>
            </w:r>
          </w:p>
          <w:p w14:paraId="6BDE3DFC" w14:textId="77777777" w:rsidR="00CB0CA7" w:rsidRPr="00872FE4" w:rsidRDefault="00CB0CA7" w:rsidP="00042D68">
            <w:pPr>
              <w:tabs>
                <w:tab w:val="center" w:pos="695"/>
                <w:tab w:val="center" w:pos="5033"/>
                <w:tab w:val="center" w:pos="7738"/>
              </w:tabs>
              <w:spacing w:after="16" w:line="259" w:lineRule="auto"/>
              <w:ind w:left="10" w:right="-2"/>
              <w:jc w:val="both"/>
              <w:rPr>
                <w:rFonts w:ascii="Times New Roman" w:hAnsi="Times New Roman"/>
              </w:rPr>
            </w:pPr>
            <w:r w:rsidRPr="00872FE4">
              <w:rPr>
                <w:rFonts w:ascii="Times New Roman" w:hAnsi="Times New Roman"/>
              </w:rPr>
              <w:tab/>
              <w:t>[95 % CI]</w:t>
            </w:r>
            <w:r w:rsidRPr="00872FE4">
              <w:rPr>
                <w:rFonts w:ascii="Times New Roman" w:hAnsi="Times New Roman"/>
              </w:rPr>
              <w:tab/>
              <w:t>[94</w:t>
            </w:r>
            <w:r w:rsidRPr="00F03E4F">
              <w:rPr>
                <w:rFonts w:ascii="Times New Roman" w:hAnsi="Times New Roman"/>
              </w:rPr>
              <w:t>,</w:t>
            </w:r>
            <w:r w:rsidRPr="00872FE4">
              <w:rPr>
                <w:rFonts w:ascii="Times New Roman" w:hAnsi="Times New Roman"/>
              </w:rPr>
              <w:t>7 %, 97</w:t>
            </w:r>
            <w:r w:rsidRPr="00F03E4F">
              <w:rPr>
                <w:rFonts w:ascii="Times New Roman" w:hAnsi="Times New Roman"/>
              </w:rPr>
              <w:t>,</w:t>
            </w:r>
            <w:r w:rsidRPr="00872FE4">
              <w:rPr>
                <w:rFonts w:ascii="Times New Roman" w:hAnsi="Times New Roman"/>
              </w:rPr>
              <w:t>9 %]</w:t>
            </w:r>
            <w:r w:rsidRPr="00872FE4">
              <w:rPr>
                <w:rFonts w:ascii="Times New Roman" w:hAnsi="Times New Roman"/>
              </w:rPr>
              <w:tab/>
              <w:t>[52</w:t>
            </w:r>
            <w:r w:rsidRPr="00F03E4F">
              <w:rPr>
                <w:rFonts w:ascii="Times New Roman" w:hAnsi="Times New Roman"/>
              </w:rPr>
              <w:t>,</w:t>
            </w:r>
            <w:r w:rsidRPr="00872FE4">
              <w:rPr>
                <w:rFonts w:ascii="Times New Roman" w:hAnsi="Times New Roman"/>
              </w:rPr>
              <w:t>4 %, 60</w:t>
            </w:r>
            <w:r w:rsidRPr="00F03E4F">
              <w:rPr>
                <w:rFonts w:ascii="Times New Roman" w:hAnsi="Times New Roman"/>
              </w:rPr>
              <w:t>,</w:t>
            </w:r>
            <w:r w:rsidRPr="00872FE4">
              <w:rPr>
                <w:rFonts w:ascii="Times New Roman" w:hAnsi="Times New Roman"/>
              </w:rPr>
              <w:t>8 %]</w:t>
            </w:r>
          </w:p>
          <w:p w14:paraId="47FCE1CF" w14:textId="77777777" w:rsidR="00CB0CA7" w:rsidRPr="00872FE4" w:rsidRDefault="00CB0CA7" w:rsidP="00042D68">
            <w:pPr>
              <w:spacing w:after="24" w:line="259" w:lineRule="auto"/>
              <w:ind w:left="10" w:right="-2"/>
              <w:jc w:val="both"/>
              <w:rPr>
                <w:rFonts w:ascii="Times New Roman" w:hAnsi="Times New Roman"/>
              </w:rPr>
            </w:pPr>
          </w:p>
          <w:p w14:paraId="4B6FA661" w14:textId="77777777" w:rsidR="00CB0CA7" w:rsidRPr="00872FE4" w:rsidRDefault="00CB0CA7" w:rsidP="00042D68">
            <w:pPr>
              <w:tabs>
                <w:tab w:val="center" w:pos="3795"/>
                <w:tab w:val="center" w:pos="6488"/>
              </w:tabs>
              <w:spacing w:after="11" w:line="259" w:lineRule="auto"/>
              <w:ind w:left="10" w:right="-2"/>
              <w:jc w:val="both"/>
              <w:rPr>
                <w:rFonts w:ascii="Times New Roman" w:hAnsi="Times New Roman"/>
              </w:rPr>
            </w:pPr>
            <w:r w:rsidRPr="00872FE4">
              <w:rPr>
                <w:rFonts w:ascii="Times New Roman" w:hAnsi="Times New Roman"/>
                <w:b/>
              </w:rPr>
              <w:t>Cytogen</w:t>
            </w:r>
            <w:r w:rsidRPr="00F03E4F">
              <w:rPr>
                <w:rFonts w:ascii="Times New Roman" w:hAnsi="Times New Roman"/>
                <w:b/>
              </w:rPr>
              <w:t>ická odpoveď</w:t>
            </w:r>
            <w:r w:rsidRPr="00872FE4">
              <w:rPr>
                <w:rFonts w:ascii="Times New Roman" w:hAnsi="Times New Roman"/>
                <w:b/>
              </w:rPr>
              <w:tab/>
            </w:r>
            <w:r w:rsidRPr="00872FE4">
              <w:rPr>
                <w:rFonts w:ascii="Times New Roman" w:hAnsi="Times New Roman"/>
                <w:b/>
              </w:rPr>
              <w:tab/>
            </w:r>
          </w:p>
          <w:p w14:paraId="154EAB76" w14:textId="77777777" w:rsidR="00CB0CA7" w:rsidRPr="00872FE4" w:rsidRDefault="00CB0CA7" w:rsidP="00042D68">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Veľká odpoveď</w:t>
            </w:r>
            <w:r w:rsidRPr="00872FE4">
              <w:rPr>
                <w:rFonts w:ascii="Times New Roman" w:hAnsi="Times New Roman"/>
              </w:rPr>
              <w:t xml:space="preserve"> n (%)</w:t>
            </w:r>
            <w:r w:rsidRPr="00872FE4">
              <w:rPr>
                <w:rFonts w:ascii="Times New Roman" w:hAnsi="Times New Roman"/>
              </w:rPr>
              <w:tab/>
              <w:t>490 (88</w:t>
            </w:r>
            <w:r w:rsidRPr="00F03E4F">
              <w:rPr>
                <w:rFonts w:ascii="Times New Roman" w:hAnsi="Times New Roman"/>
              </w:rPr>
              <w:t>,</w:t>
            </w:r>
            <w:r w:rsidRPr="00872FE4">
              <w:rPr>
                <w:rFonts w:ascii="Times New Roman" w:hAnsi="Times New Roman"/>
              </w:rPr>
              <w:t>6 %)*</w:t>
            </w:r>
            <w:r w:rsidRPr="00872FE4">
              <w:rPr>
                <w:rFonts w:ascii="Times New Roman" w:hAnsi="Times New Roman"/>
              </w:rPr>
              <w:tab/>
              <w:t>129 (23</w:t>
            </w:r>
            <w:r w:rsidRPr="00F03E4F">
              <w:rPr>
                <w:rFonts w:ascii="Times New Roman" w:hAnsi="Times New Roman"/>
              </w:rPr>
              <w:t>,</w:t>
            </w:r>
            <w:r w:rsidRPr="00872FE4">
              <w:rPr>
                <w:rFonts w:ascii="Times New Roman" w:hAnsi="Times New Roman"/>
              </w:rPr>
              <w:t>3 %)*</w:t>
            </w:r>
          </w:p>
          <w:p w14:paraId="061487A4" w14:textId="77777777" w:rsidR="00CB0CA7" w:rsidRPr="00872FE4" w:rsidRDefault="00CB0CA7" w:rsidP="00042D68">
            <w:pPr>
              <w:tabs>
                <w:tab w:val="center" w:pos="695"/>
                <w:tab w:val="center" w:pos="5033"/>
                <w:tab w:val="center" w:pos="7738"/>
              </w:tabs>
              <w:spacing w:after="16" w:line="259" w:lineRule="auto"/>
              <w:ind w:left="10" w:right="-2"/>
              <w:jc w:val="both"/>
              <w:rPr>
                <w:rFonts w:ascii="Times New Roman" w:hAnsi="Times New Roman"/>
              </w:rPr>
            </w:pPr>
            <w:r w:rsidRPr="00872FE4">
              <w:rPr>
                <w:rFonts w:ascii="Times New Roman" w:hAnsi="Times New Roman"/>
              </w:rPr>
              <w:tab/>
              <w:t>[95 % CI]</w:t>
            </w:r>
            <w:r w:rsidRPr="00872FE4">
              <w:rPr>
                <w:rFonts w:ascii="Times New Roman" w:hAnsi="Times New Roman"/>
              </w:rPr>
              <w:tab/>
              <w:t>[85</w:t>
            </w:r>
            <w:r w:rsidRPr="00F03E4F">
              <w:rPr>
                <w:rFonts w:ascii="Times New Roman" w:hAnsi="Times New Roman"/>
              </w:rPr>
              <w:t>,</w:t>
            </w:r>
            <w:r w:rsidRPr="00872FE4">
              <w:rPr>
                <w:rFonts w:ascii="Times New Roman" w:hAnsi="Times New Roman"/>
              </w:rPr>
              <w:t>7 %, 91</w:t>
            </w:r>
            <w:r w:rsidRPr="00F03E4F">
              <w:rPr>
                <w:rFonts w:ascii="Times New Roman" w:hAnsi="Times New Roman"/>
              </w:rPr>
              <w:t>,</w:t>
            </w:r>
            <w:r w:rsidRPr="00872FE4">
              <w:rPr>
                <w:rFonts w:ascii="Times New Roman" w:hAnsi="Times New Roman"/>
              </w:rPr>
              <w:t>1 %]</w:t>
            </w:r>
            <w:r w:rsidRPr="00872FE4">
              <w:rPr>
                <w:rFonts w:ascii="Times New Roman" w:hAnsi="Times New Roman"/>
              </w:rPr>
              <w:tab/>
              <w:t>[19</w:t>
            </w:r>
            <w:r w:rsidRPr="00F03E4F">
              <w:rPr>
                <w:rFonts w:ascii="Times New Roman" w:hAnsi="Times New Roman"/>
              </w:rPr>
              <w:t>,</w:t>
            </w:r>
            <w:r w:rsidRPr="00872FE4">
              <w:rPr>
                <w:rFonts w:ascii="Times New Roman" w:hAnsi="Times New Roman"/>
              </w:rPr>
              <w:t>9 %, 27</w:t>
            </w:r>
            <w:r w:rsidRPr="00F03E4F">
              <w:rPr>
                <w:rFonts w:ascii="Times New Roman" w:hAnsi="Times New Roman"/>
              </w:rPr>
              <w:t>,</w:t>
            </w:r>
            <w:r w:rsidRPr="00872FE4">
              <w:rPr>
                <w:rFonts w:ascii="Times New Roman" w:hAnsi="Times New Roman"/>
              </w:rPr>
              <w:t>1 %]</w:t>
            </w:r>
          </w:p>
          <w:p w14:paraId="5CA453C7" w14:textId="77777777" w:rsidR="00CB0CA7" w:rsidRPr="00872FE4" w:rsidRDefault="00CB0CA7" w:rsidP="00042D68">
            <w:pPr>
              <w:tabs>
                <w:tab w:val="center" w:pos="1216"/>
                <w:tab w:val="center" w:pos="5032"/>
                <w:tab w:val="center" w:pos="7739"/>
              </w:tabs>
              <w:spacing w:after="16" w:line="259" w:lineRule="auto"/>
              <w:ind w:left="10" w:right="-2"/>
              <w:jc w:val="both"/>
              <w:rPr>
                <w:rFonts w:ascii="Times New Roman" w:hAnsi="Times New Roman"/>
              </w:rPr>
            </w:pPr>
            <w:r w:rsidRPr="00872FE4">
              <w:rPr>
                <w:rFonts w:ascii="Times New Roman" w:hAnsi="Times New Roman"/>
              </w:rPr>
              <w:tab/>
            </w:r>
            <w:r w:rsidRPr="00F03E4F">
              <w:rPr>
                <w:rFonts w:ascii="Times New Roman" w:hAnsi="Times New Roman"/>
              </w:rPr>
              <w:t>Kompletná</w:t>
            </w:r>
            <w:r w:rsidRPr="00872FE4">
              <w:rPr>
                <w:rFonts w:ascii="Times New Roman" w:hAnsi="Times New Roman"/>
              </w:rPr>
              <w:t xml:space="preserve"> CyR n (%)</w:t>
            </w:r>
            <w:r w:rsidRPr="00872FE4">
              <w:rPr>
                <w:rFonts w:ascii="Times New Roman" w:hAnsi="Times New Roman"/>
              </w:rPr>
              <w:tab/>
              <w:t>456 (82</w:t>
            </w:r>
            <w:r w:rsidRPr="00F03E4F">
              <w:rPr>
                <w:rFonts w:ascii="Times New Roman" w:hAnsi="Times New Roman"/>
              </w:rPr>
              <w:t>,</w:t>
            </w:r>
            <w:r w:rsidRPr="00872FE4">
              <w:rPr>
                <w:rFonts w:ascii="Times New Roman" w:hAnsi="Times New Roman"/>
              </w:rPr>
              <w:t>5 %)*</w:t>
            </w:r>
            <w:r w:rsidRPr="00872FE4">
              <w:rPr>
                <w:rFonts w:ascii="Times New Roman" w:hAnsi="Times New Roman"/>
              </w:rPr>
              <w:tab/>
              <w:t>64 (11</w:t>
            </w:r>
            <w:r w:rsidRPr="00F03E4F">
              <w:rPr>
                <w:rFonts w:ascii="Times New Roman" w:hAnsi="Times New Roman"/>
              </w:rPr>
              <w:t>,</w:t>
            </w:r>
            <w:r w:rsidRPr="00872FE4">
              <w:rPr>
                <w:rFonts w:ascii="Times New Roman" w:hAnsi="Times New Roman"/>
              </w:rPr>
              <w:t>6 %)*</w:t>
            </w:r>
          </w:p>
          <w:p w14:paraId="272ED1C9" w14:textId="77777777" w:rsidR="00CB0CA7" w:rsidRPr="00872FE4" w:rsidRDefault="00CB0CA7" w:rsidP="00042D68">
            <w:pPr>
              <w:tabs>
                <w:tab w:val="center" w:pos="1078"/>
                <w:tab w:val="center" w:pos="5031"/>
                <w:tab w:val="center" w:pos="7739"/>
              </w:tabs>
              <w:spacing w:after="16" w:line="259" w:lineRule="auto"/>
              <w:ind w:left="10" w:right="-2"/>
              <w:jc w:val="both"/>
              <w:rPr>
                <w:rFonts w:ascii="Times New Roman" w:hAnsi="Times New Roman"/>
              </w:rPr>
            </w:pPr>
            <w:r w:rsidRPr="00872FE4">
              <w:rPr>
                <w:rFonts w:ascii="Times New Roman" w:hAnsi="Times New Roman"/>
              </w:rPr>
              <w:tab/>
            </w:r>
            <w:r w:rsidRPr="00F03E4F">
              <w:rPr>
                <w:rFonts w:ascii="Times New Roman" w:hAnsi="Times New Roman"/>
              </w:rPr>
              <w:t>Čiastočná</w:t>
            </w:r>
            <w:r w:rsidRPr="00872FE4">
              <w:rPr>
                <w:rFonts w:ascii="Times New Roman" w:hAnsi="Times New Roman"/>
              </w:rPr>
              <w:t xml:space="preserve"> CyR n (%)</w:t>
            </w:r>
            <w:r w:rsidRPr="00872FE4">
              <w:rPr>
                <w:rFonts w:ascii="Times New Roman" w:hAnsi="Times New Roman"/>
              </w:rPr>
              <w:tab/>
              <w:t>34 (6</w:t>
            </w:r>
            <w:r w:rsidRPr="00F03E4F">
              <w:rPr>
                <w:rFonts w:ascii="Times New Roman" w:hAnsi="Times New Roman"/>
              </w:rPr>
              <w:t>,</w:t>
            </w:r>
            <w:r w:rsidRPr="00872FE4">
              <w:rPr>
                <w:rFonts w:ascii="Times New Roman" w:hAnsi="Times New Roman"/>
              </w:rPr>
              <w:t>1 %)</w:t>
            </w:r>
            <w:r w:rsidRPr="00872FE4">
              <w:rPr>
                <w:rFonts w:ascii="Times New Roman" w:hAnsi="Times New Roman"/>
              </w:rPr>
              <w:tab/>
              <w:t>65 (11</w:t>
            </w:r>
            <w:r w:rsidRPr="00F03E4F">
              <w:rPr>
                <w:rFonts w:ascii="Times New Roman" w:hAnsi="Times New Roman"/>
              </w:rPr>
              <w:t>,</w:t>
            </w:r>
            <w:r w:rsidRPr="00872FE4">
              <w:rPr>
                <w:rFonts w:ascii="Times New Roman" w:hAnsi="Times New Roman"/>
              </w:rPr>
              <w:t>8 %)</w:t>
            </w:r>
          </w:p>
          <w:p w14:paraId="4A32D35A" w14:textId="77777777" w:rsidR="00CB0CA7" w:rsidRPr="00872FE4" w:rsidRDefault="00CB0CA7" w:rsidP="00042D68">
            <w:pPr>
              <w:spacing w:after="26" w:line="259" w:lineRule="auto"/>
              <w:ind w:left="10" w:right="-2"/>
              <w:jc w:val="both"/>
              <w:rPr>
                <w:rFonts w:ascii="Times New Roman" w:hAnsi="Times New Roman"/>
              </w:rPr>
            </w:pPr>
          </w:p>
          <w:p w14:paraId="1AE2FA8A" w14:textId="77777777" w:rsidR="00CB0CA7" w:rsidRPr="00872FE4" w:rsidRDefault="00CB0CA7" w:rsidP="00042D68">
            <w:pPr>
              <w:tabs>
                <w:tab w:val="center" w:pos="3795"/>
                <w:tab w:val="center" w:pos="6488"/>
              </w:tabs>
              <w:spacing w:after="18" w:line="259" w:lineRule="auto"/>
              <w:ind w:left="10" w:right="-2"/>
              <w:jc w:val="both"/>
              <w:rPr>
                <w:rFonts w:ascii="Times New Roman" w:hAnsi="Times New Roman"/>
              </w:rPr>
            </w:pPr>
            <w:r w:rsidRPr="00872FE4">
              <w:rPr>
                <w:rFonts w:ascii="Times New Roman" w:hAnsi="Times New Roman"/>
                <w:b/>
              </w:rPr>
              <w:t>Mol</w:t>
            </w:r>
            <w:r w:rsidRPr="00F03E4F">
              <w:rPr>
                <w:rFonts w:ascii="Times New Roman" w:hAnsi="Times New Roman"/>
                <w:b/>
              </w:rPr>
              <w:t>ek</w:t>
            </w:r>
            <w:r w:rsidRPr="00872FE4">
              <w:rPr>
                <w:rFonts w:ascii="Times New Roman" w:hAnsi="Times New Roman"/>
                <w:b/>
              </w:rPr>
              <w:t>ul</w:t>
            </w:r>
            <w:r w:rsidRPr="00F03E4F">
              <w:rPr>
                <w:rFonts w:ascii="Times New Roman" w:hAnsi="Times New Roman"/>
                <w:b/>
              </w:rPr>
              <w:t>á</w:t>
            </w:r>
            <w:r w:rsidRPr="00872FE4">
              <w:rPr>
                <w:rFonts w:ascii="Times New Roman" w:hAnsi="Times New Roman"/>
                <w:b/>
              </w:rPr>
              <w:t>r</w:t>
            </w:r>
            <w:r w:rsidRPr="00F03E4F">
              <w:rPr>
                <w:rFonts w:ascii="Times New Roman" w:hAnsi="Times New Roman"/>
                <w:b/>
              </w:rPr>
              <w:t>na odpoveď</w:t>
            </w:r>
            <w:r w:rsidRPr="00872FE4">
              <w:rPr>
                <w:rFonts w:ascii="Times New Roman" w:hAnsi="Times New Roman"/>
              </w:rPr>
              <w:t>**</w:t>
            </w:r>
            <w:r w:rsidRPr="00872FE4">
              <w:rPr>
                <w:rFonts w:ascii="Times New Roman" w:hAnsi="Times New Roman"/>
              </w:rPr>
              <w:tab/>
            </w:r>
            <w:r w:rsidRPr="00872FE4">
              <w:rPr>
                <w:rFonts w:ascii="Times New Roman" w:hAnsi="Times New Roman"/>
              </w:rPr>
              <w:tab/>
            </w:r>
          </w:p>
          <w:p w14:paraId="10B2479E" w14:textId="77777777" w:rsidR="00CB0CA7" w:rsidRPr="00872FE4" w:rsidRDefault="00CB0CA7" w:rsidP="00042D68">
            <w:pPr>
              <w:tabs>
                <w:tab w:val="center" w:pos="5033"/>
                <w:tab w:val="center" w:pos="7738"/>
              </w:tabs>
              <w:spacing w:after="16" w:line="259" w:lineRule="auto"/>
              <w:ind w:left="10" w:right="-2"/>
              <w:jc w:val="both"/>
              <w:rPr>
                <w:rFonts w:ascii="Times New Roman" w:hAnsi="Times New Roman"/>
              </w:rPr>
            </w:pPr>
            <w:r w:rsidRPr="00F03E4F">
              <w:rPr>
                <w:rFonts w:ascii="Times New Roman" w:hAnsi="Times New Roman"/>
              </w:rPr>
              <w:t>Veľká odpoveď po 12 mesiacoch</w:t>
            </w:r>
            <w:r w:rsidRPr="00872FE4">
              <w:rPr>
                <w:rFonts w:ascii="Times New Roman" w:hAnsi="Times New Roman"/>
              </w:rPr>
              <w:t xml:space="preserve"> (%)</w:t>
            </w:r>
            <w:r w:rsidRPr="00872FE4">
              <w:rPr>
                <w:rFonts w:ascii="Times New Roman" w:hAnsi="Times New Roman"/>
              </w:rPr>
              <w:tab/>
              <w:t>153/305=50.2 %</w:t>
            </w:r>
            <w:r w:rsidRPr="00872FE4">
              <w:rPr>
                <w:rFonts w:ascii="Times New Roman" w:hAnsi="Times New Roman"/>
              </w:rPr>
              <w:tab/>
              <w:t>8/83=9</w:t>
            </w:r>
            <w:r w:rsidRPr="00F03E4F">
              <w:rPr>
                <w:rFonts w:ascii="Times New Roman" w:hAnsi="Times New Roman"/>
              </w:rPr>
              <w:t>,</w:t>
            </w:r>
            <w:r w:rsidRPr="00872FE4">
              <w:rPr>
                <w:rFonts w:ascii="Times New Roman" w:hAnsi="Times New Roman"/>
              </w:rPr>
              <w:t>6 %</w:t>
            </w:r>
          </w:p>
          <w:p w14:paraId="227236D1" w14:textId="77777777" w:rsidR="00CB0CA7" w:rsidRPr="00872FE4" w:rsidRDefault="00CB0CA7" w:rsidP="00042D68">
            <w:pPr>
              <w:tabs>
                <w:tab w:val="center" w:pos="5033"/>
                <w:tab w:val="center" w:pos="7739"/>
              </w:tabs>
              <w:spacing w:after="16" w:line="259" w:lineRule="auto"/>
              <w:ind w:left="10" w:right="-2"/>
              <w:jc w:val="both"/>
              <w:rPr>
                <w:rFonts w:ascii="Times New Roman" w:hAnsi="Times New Roman"/>
              </w:rPr>
            </w:pPr>
            <w:r w:rsidRPr="00F03E4F">
              <w:rPr>
                <w:rFonts w:ascii="Times New Roman" w:hAnsi="Times New Roman"/>
              </w:rPr>
              <w:t xml:space="preserve">Veľká odpoveď po 24 mesiacoch </w:t>
            </w:r>
            <w:r w:rsidRPr="00872FE4">
              <w:rPr>
                <w:rFonts w:ascii="Times New Roman" w:hAnsi="Times New Roman"/>
              </w:rPr>
              <w:t>(%)</w:t>
            </w:r>
            <w:r w:rsidRPr="00872FE4">
              <w:rPr>
                <w:rFonts w:ascii="Times New Roman" w:hAnsi="Times New Roman"/>
              </w:rPr>
              <w:tab/>
              <w:t>73/104=70</w:t>
            </w:r>
            <w:r w:rsidRPr="00F03E4F">
              <w:rPr>
                <w:rFonts w:ascii="Times New Roman" w:hAnsi="Times New Roman"/>
              </w:rPr>
              <w:t>,</w:t>
            </w:r>
            <w:r w:rsidRPr="00872FE4">
              <w:rPr>
                <w:rFonts w:ascii="Times New Roman" w:hAnsi="Times New Roman"/>
              </w:rPr>
              <w:t>2 %</w:t>
            </w:r>
            <w:r w:rsidRPr="00872FE4">
              <w:rPr>
                <w:rFonts w:ascii="Times New Roman" w:hAnsi="Times New Roman"/>
              </w:rPr>
              <w:tab/>
              <w:t>3/12=25 %</w:t>
            </w:r>
          </w:p>
          <w:p w14:paraId="12ADAF2B" w14:textId="77777777" w:rsidR="00CB0CA7" w:rsidRPr="00872FE4" w:rsidRDefault="00CB0CA7" w:rsidP="00042D68">
            <w:pPr>
              <w:spacing w:after="0" w:line="240" w:lineRule="auto"/>
              <w:ind w:right="-56"/>
              <w:rPr>
                <w:rFonts w:ascii="Times New Roman" w:hAnsi="Times New Roman"/>
              </w:rPr>
            </w:pPr>
            <w:r w:rsidRPr="00F03E4F">
              <w:rPr>
                <w:rFonts w:ascii="Times New Roman" w:hAnsi="Times New Roman"/>
              </w:rPr>
              <w:t xml:space="preserve">Veľká odpoveď po 84 mesiacoch </w:t>
            </w:r>
            <w:r w:rsidRPr="00872FE4">
              <w:rPr>
                <w:rFonts w:ascii="Times New Roman" w:hAnsi="Times New Roman"/>
              </w:rPr>
              <w:t>(%)</w:t>
            </w:r>
            <w:r w:rsidRPr="00872FE4">
              <w:rPr>
                <w:rFonts w:ascii="Times New Roman" w:hAnsi="Times New Roman"/>
              </w:rPr>
              <w:tab/>
            </w:r>
            <w:r w:rsidRPr="00F03E4F">
              <w:rPr>
                <w:rFonts w:ascii="Times New Roman" w:hAnsi="Times New Roman"/>
              </w:rPr>
              <w:t xml:space="preserve">             </w:t>
            </w:r>
            <w:r w:rsidRPr="00872FE4">
              <w:rPr>
                <w:rFonts w:ascii="Times New Roman" w:hAnsi="Times New Roman"/>
              </w:rPr>
              <w:t>102/116=87</w:t>
            </w:r>
            <w:r w:rsidRPr="00F03E4F">
              <w:rPr>
                <w:rFonts w:ascii="Times New Roman" w:hAnsi="Times New Roman"/>
              </w:rPr>
              <w:t>,</w:t>
            </w:r>
            <w:r w:rsidRPr="00872FE4">
              <w:rPr>
                <w:rFonts w:ascii="Times New Roman" w:hAnsi="Times New Roman"/>
              </w:rPr>
              <w:t>9 %</w:t>
            </w:r>
            <w:r w:rsidRPr="00872FE4">
              <w:rPr>
                <w:rFonts w:ascii="Times New Roman" w:hAnsi="Times New Roman"/>
              </w:rPr>
              <w:tab/>
            </w:r>
            <w:r w:rsidRPr="00F03E4F">
              <w:rPr>
                <w:rFonts w:ascii="Times New Roman" w:hAnsi="Times New Roman"/>
              </w:rPr>
              <w:t xml:space="preserve">                  </w:t>
            </w:r>
            <w:r w:rsidRPr="00872FE4">
              <w:rPr>
                <w:rFonts w:ascii="Times New Roman" w:hAnsi="Times New Roman"/>
              </w:rPr>
              <w:t>3/4=75 %</w:t>
            </w:r>
          </w:p>
        </w:tc>
      </w:tr>
      <w:tr w:rsidR="00CB0CA7" w:rsidRPr="00F03E4F" w14:paraId="6565AC9B" w14:textId="77777777" w:rsidTr="00042D68">
        <w:tc>
          <w:tcPr>
            <w:tcW w:w="9210" w:type="dxa"/>
            <w:shd w:val="clear" w:color="auto" w:fill="auto"/>
          </w:tcPr>
          <w:p w14:paraId="3FD4D494" w14:textId="77777777" w:rsidR="00CB0CA7" w:rsidRPr="00872FE4" w:rsidRDefault="00CB0CA7" w:rsidP="00042D68">
            <w:pPr>
              <w:pStyle w:val="Default"/>
              <w:jc w:val="both"/>
              <w:rPr>
                <w:sz w:val="22"/>
                <w:szCs w:val="22"/>
              </w:rPr>
            </w:pPr>
            <w:r w:rsidRPr="00872FE4">
              <w:rPr>
                <w:i/>
                <w:iCs/>
                <w:sz w:val="22"/>
                <w:szCs w:val="22"/>
              </w:rPr>
              <w:t xml:space="preserve">* p&lt;0,001, Fischerov test </w:t>
            </w:r>
          </w:p>
          <w:p w14:paraId="62EC1472" w14:textId="77777777" w:rsidR="00CB0CA7" w:rsidRPr="00872FE4" w:rsidRDefault="00CB0CA7" w:rsidP="00042D68">
            <w:pPr>
              <w:spacing w:after="1" w:line="259" w:lineRule="auto"/>
              <w:ind w:left="10" w:right="-2"/>
              <w:jc w:val="both"/>
              <w:rPr>
                <w:rFonts w:ascii="Times New Roman" w:hAnsi="Times New Roman"/>
              </w:rPr>
            </w:pPr>
            <w:r w:rsidRPr="00872FE4">
              <w:rPr>
                <w:rFonts w:ascii="Times New Roman" w:hAnsi="Times New Roman"/>
              </w:rPr>
              <w:t xml:space="preserve">** percentuálne podiely molekulárnej odpovede sú založené na dostupných vzorkách </w:t>
            </w:r>
          </w:p>
          <w:p w14:paraId="15D93BB9" w14:textId="77777777" w:rsidR="00CB0CA7" w:rsidRPr="00872FE4" w:rsidRDefault="00CB0CA7" w:rsidP="00042D68">
            <w:pPr>
              <w:pStyle w:val="Default"/>
              <w:jc w:val="both"/>
              <w:rPr>
                <w:sz w:val="22"/>
                <w:szCs w:val="22"/>
              </w:rPr>
            </w:pPr>
            <w:r w:rsidRPr="00872FE4">
              <w:rPr>
                <w:b/>
                <w:bCs/>
                <w:sz w:val="22"/>
                <w:szCs w:val="22"/>
              </w:rPr>
              <w:t xml:space="preserve">Kritériá hematologickej odpovede (všetky odpovede sa majú potvrdiť po </w:t>
            </w:r>
            <w:r w:rsidRPr="00872FE4">
              <w:rPr>
                <w:rFonts w:eastAsia="Segoe UI Symbol"/>
                <w:b/>
                <w:sz w:val="22"/>
                <w:szCs w:val="22"/>
              </w:rPr>
              <w:t>≥</w:t>
            </w:r>
            <w:r w:rsidRPr="00872FE4">
              <w:rPr>
                <w:sz w:val="22"/>
                <w:szCs w:val="22"/>
              </w:rPr>
              <w:t xml:space="preserve"> </w:t>
            </w:r>
            <w:r w:rsidRPr="00872FE4">
              <w:rPr>
                <w:b/>
                <w:bCs/>
                <w:sz w:val="22"/>
                <w:szCs w:val="22"/>
              </w:rPr>
              <w:t xml:space="preserve">4 týždňoch): </w:t>
            </w:r>
          </w:p>
          <w:p w14:paraId="49D4E7AC" w14:textId="77777777" w:rsidR="00CB0CA7" w:rsidRPr="00872FE4" w:rsidRDefault="00CB0CA7" w:rsidP="00042D68">
            <w:pPr>
              <w:pStyle w:val="Default"/>
              <w:jc w:val="both"/>
              <w:rPr>
                <w:sz w:val="22"/>
                <w:szCs w:val="22"/>
              </w:rPr>
            </w:pPr>
            <w:r w:rsidRPr="00872FE4">
              <w:rPr>
                <w:sz w:val="22"/>
                <w:szCs w:val="22"/>
              </w:rPr>
              <w:t xml:space="preserve">WBC &lt; 10 x 109/l, trombocyty &lt; 450 x 109/l, myelocyty+metamyelocyty &lt; 5% v krvi, žiadne blasty a promyelocyty v krvi, bazofily &lt; 20%, žiadne extramedulárne postihnutie </w:t>
            </w:r>
          </w:p>
          <w:p w14:paraId="07C8858F" w14:textId="77777777" w:rsidR="00CB0CA7" w:rsidRPr="00872FE4" w:rsidRDefault="00CB0CA7" w:rsidP="00042D68">
            <w:pPr>
              <w:pStyle w:val="Default"/>
              <w:jc w:val="both"/>
              <w:rPr>
                <w:sz w:val="22"/>
                <w:szCs w:val="22"/>
              </w:rPr>
            </w:pPr>
            <w:r w:rsidRPr="00872FE4">
              <w:rPr>
                <w:b/>
                <w:bCs/>
                <w:sz w:val="22"/>
                <w:szCs w:val="22"/>
              </w:rPr>
              <w:t xml:space="preserve">Kritériá cytogenetickej odpovede: </w:t>
            </w:r>
            <w:r w:rsidRPr="00872FE4">
              <w:rPr>
                <w:sz w:val="22"/>
                <w:szCs w:val="22"/>
              </w:rPr>
              <w:t xml:space="preserve">kompletná (0% Ph+ metafáz), čiastočná (1–35%), malá (36–65%) alebo minimálna (66–95%). Veľká odpoveď (0–35%) zahŕňa kompletné aj čiastočné odpovede. </w:t>
            </w:r>
          </w:p>
          <w:p w14:paraId="32B86AC9" w14:textId="77777777" w:rsidR="00CB0CA7" w:rsidRPr="00F03E4F" w:rsidRDefault="00CB0CA7" w:rsidP="00042D68">
            <w:pPr>
              <w:spacing w:after="1" w:line="259" w:lineRule="auto"/>
              <w:ind w:left="10" w:right="-2"/>
              <w:jc w:val="both"/>
              <w:rPr>
                <w:rFonts w:cs="Arial"/>
              </w:rPr>
            </w:pPr>
            <w:r w:rsidRPr="00872FE4">
              <w:rPr>
                <w:rFonts w:ascii="Times New Roman" w:hAnsi="Times New Roman"/>
                <w:b/>
                <w:bCs/>
              </w:rPr>
              <w:t xml:space="preserve">Kritériá veľkej molekulárnej odpovede: </w:t>
            </w:r>
            <w:r w:rsidRPr="00872FE4">
              <w:rPr>
                <w:rFonts w:ascii="Times New Roman" w:hAnsi="Times New Roman"/>
              </w:rPr>
              <w:t>v periférnej krvi zníženie množstva transkriptov Bcr-Abl ≥ 3 logaritmy (namerané pomocou PCR stanovenia reverznej transkriptázy v reálnom čase) oproti štandardizovanej východiskovej hodnote</w:t>
            </w:r>
            <w:r>
              <w:t xml:space="preserve">. </w:t>
            </w:r>
          </w:p>
          <w:p w14:paraId="67E55E75" w14:textId="77777777" w:rsidR="00CB0CA7" w:rsidRPr="00F03E4F" w:rsidRDefault="00CB0CA7" w:rsidP="00042D68">
            <w:pPr>
              <w:spacing w:after="0" w:line="240" w:lineRule="auto"/>
              <w:ind w:right="-56"/>
              <w:rPr>
                <w:rFonts w:ascii="Times New Roman" w:hAnsi="Times New Roman"/>
              </w:rPr>
            </w:pPr>
          </w:p>
        </w:tc>
      </w:tr>
    </w:tbl>
    <w:p w14:paraId="089BAB0D" w14:textId="77777777" w:rsidR="00CB0CA7" w:rsidRPr="00872FE4" w:rsidRDefault="00CB0CA7" w:rsidP="00CB0CA7">
      <w:pPr>
        <w:spacing w:after="0" w:line="240" w:lineRule="auto"/>
        <w:ind w:right="-56"/>
        <w:rPr>
          <w:rFonts w:ascii="Times New Roman" w:hAnsi="Times New Roman"/>
        </w:rPr>
      </w:pPr>
    </w:p>
    <w:p w14:paraId="56FDC50C" w14:textId="77777777" w:rsidR="00CB0CA7" w:rsidRDefault="00CB0CA7" w:rsidP="00CB0CA7">
      <w:pPr>
        <w:pStyle w:val="Default"/>
        <w:rPr>
          <w:sz w:val="22"/>
          <w:szCs w:val="22"/>
        </w:rPr>
      </w:pPr>
      <w:r>
        <w:rPr>
          <w:sz w:val="22"/>
          <w:szCs w:val="22"/>
        </w:rPr>
        <w:t xml:space="preserve">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na 98,4% a CCyR zo 69,5% na 87,2%. </w:t>
      </w:r>
    </w:p>
    <w:p w14:paraId="607D4775" w14:textId="77777777" w:rsidR="00CB0CA7" w:rsidRDefault="00CB0CA7" w:rsidP="00CB0CA7">
      <w:pPr>
        <w:pStyle w:val="Default"/>
        <w:rPr>
          <w:sz w:val="22"/>
          <w:szCs w:val="22"/>
        </w:rPr>
      </w:pPr>
    </w:p>
    <w:p w14:paraId="412B3523" w14:textId="77777777" w:rsidR="00CB0CA7" w:rsidRDefault="00CB0CA7" w:rsidP="00CB0CA7">
      <w:pPr>
        <w:pStyle w:val="Default"/>
        <w:rPr>
          <w:sz w:val="22"/>
          <w:szCs w:val="22"/>
        </w:rPr>
      </w:pPr>
      <w:r w:rsidRPr="00872FE4">
        <w:rPr>
          <w:sz w:val="22"/>
          <w:szCs w:val="22"/>
        </w:rPr>
        <w:t xml:space="preserve">Pri 7 rokoch následného sledovania bolo v skupine </w:t>
      </w:r>
      <w:r>
        <w:rPr>
          <w:sz w:val="22"/>
          <w:szCs w:val="22"/>
        </w:rPr>
        <w:t>imatinibu</w:t>
      </w:r>
      <w:r w:rsidRPr="00872FE4">
        <w:rPr>
          <w:sz w:val="22"/>
          <w:szCs w:val="22"/>
        </w:rPr>
        <w:t xml:space="preserve"> 93 (16,8%) príhod progresie: 37 (6,7%) zahŕňalo progresiu do akcelerovanej fázy/blastickej krízy, 31 (5,6%) stratu MCyR, 15 (2,7%) stratu CHR alebo zvýšenie počtu WBC a 10 (1,8%) úmrtí nesúvisiacich s CML. Naproti tomu v skupine IFN+Ara-C bolo 165 (29,8%) príhod, z ktorých 130 sa vyskytlo počas liečby prvej línie IFN+Ara-C. </w:t>
      </w:r>
    </w:p>
    <w:p w14:paraId="31A24D31" w14:textId="77777777" w:rsidR="00CB0CA7" w:rsidRPr="00872FE4" w:rsidRDefault="00CB0CA7" w:rsidP="00CB0CA7">
      <w:pPr>
        <w:pStyle w:val="Default"/>
        <w:rPr>
          <w:sz w:val="22"/>
          <w:szCs w:val="22"/>
        </w:rPr>
      </w:pPr>
    </w:p>
    <w:p w14:paraId="3A782399" w14:textId="77777777" w:rsidR="00CB0CA7" w:rsidRDefault="00CB0CA7" w:rsidP="00CB0CA7">
      <w:pPr>
        <w:pStyle w:val="Default"/>
        <w:rPr>
          <w:sz w:val="22"/>
          <w:szCs w:val="22"/>
        </w:rPr>
      </w:pPr>
      <w:r w:rsidRPr="00872FE4">
        <w:rPr>
          <w:sz w:val="22"/>
          <w:szCs w:val="22"/>
        </w:rPr>
        <w:lastRenderedPageBreak/>
        <w:t xml:space="preserve">Odhadovaný podiel pacientov bez progresie do akcelerovanej fázy alebo blastickej krízy po 84 mesiacoch bol významne vyšší v skupine </w:t>
      </w:r>
      <w:r>
        <w:rPr>
          <w:sz w:val="22"/>
          <w:szCs w:val="22"/>
        </w:rPr>
        <w:t>imatinibu</w:t>
      </w:r>
      <w:r w:rsidRPr="00872FE4">
        <w:rPr>
          <w:sz w:val="22"/>
          <w:szCs w:val="22"/>
        </w:rPr>
        <w:t xml:space="preserve"> v porovnaní so skupinou IFN (92,5% oproti 85,1%, p</w:t>
      </w:r>
      <w:r>
        <w:rPr>
          <w:sz w:val="22"/>
          <w:szCs w:val="22"/>
        </w:rPr>
        <w:t>&lt;</w:t>
      </w:r>
      <w:r w:rsidRPr="00872FE4">
        <w:rPr>
          <w:sz w:val="22"/>
          <w:szCs w:val="22"/>
        </w:rPr>
        <w:t xml:space="preserve">0,001). Ročný výskyt progresií do akcelerovanej fázy alebo blastickej krízy sa znižoval s trvaním liečby a dosahoval menej ako 1% ročne vo štvrtom a piatom roku. Odhadovaný podiel prežívania bez progresie po 84 mesiacoch bol 81,2% v skupine </w:t>
      </w:r>
      <w:r>
        <w:rPr>
          <w:sz w:val="22"/>
          <w:szCs w:val="22"/>
        </w:rPr>
        <w:t>imatinibu</w:t>
      </w:r>
      <w:r w:rsidRPr="00872FE4">
        <w:rPr>
          <w:sz w:val="22"/>
          <w:szCs w:val="22"/>
        </w:rPr>
        <w:t xml:space="preserve"> a 60,6% v kontrolnej skupine (p&lt;0,001). Ročné počty progresií akéhokoľvek typu pri </w:t>
      </w:r>
      <w:r>
        <w:rPr>
          <w:sz w:val="22"/>
          <w:szCs w:val="22"/>
        </w:rPr>
        <w:t>imatinibe</w:t>
      </w:r>
      <w:r w:rsidRPr="00872FE4">
        <w:rPr>
          <w:sz w:val="22"/>
          <w:szCs w:val="22"/>
        </w:rPr>
        <w:t xml:space="preserve"> časom tiež klesali. </w:t>
      </w:r>
    </w:p>
    <w:p w14:paraId="2DFA7368" w14:textId="77777777" w:rsidR="00CB0CA7" w:rsidRPr="00872FE4" w:rsidRDefault="00CB0CA7" w:rsidP="00CB0CA7">
      <w:pPr>
        <w:pStyle w:val="Default"/>
        <w:rPr>
          <w:sz w:val="22"/>
          <w:szCs w:val="22"/>
        </w:rPr>
      </w:pPr>
    </w:p>
    <w:p w14:paraId="7C2A39EA" w14:textId="77777777" w:rsidR="00CB0CA7" w:rsidRDefault="00CB0CA7" w:rsidP="00CB0CA7">
      <w:pPr>
        <w:pStyle w:val="Default"/>
        <w:rPr>
          <w:sz w:val="22"/>
          <w:szCs w:val="22"/>
        </w:rPr>
      </w:pPr>
      <w:r w:rsidRPr="00872FE4">
        <w:rPr>
          <w:sz w:val="22"/>
          <w:szCs w:val="22"/>
        </w:rPr>
        <w:t xml:space="preserve">Celkovo zomrelo 71 (12,8%) pacientov v skupine </w:t>
      </w:r>
      <w:r>
        <w:rPr>
          <w:sz w:val="22"/>
          <w:szCs w:val="22"/>
        </w:rPr>
        <w:t>imatinibu</w:t>
      </w:r>
      <w:r w:rsidRPr="00872FE4">
        <w:rPr>
          <w:sz w:val="22"/>
          <w:szCs w:val="22"/>
        </w:rPr>
        <w:t xml:space="preserve"> a 85 (15,4%) v skupine IFN+Ara-C. Po 84 mesiacoch je odhadované celkové prežívanie 86,4% (83, 90) oproti 83,3% (80, 87) v randomizovaných skupinách </w:t>
      </w:r>
      <w:r>
        <w:rPr>
          <w:sz w:val="22"/>
          <w:szCs w:val="22"/>
        </w:rPr>
        <w:t>imatinibu</w:t>
      </w:r>
      <w:r w:rsidRPr="00487A3D">
        <w:rPr>
          <w:sz w:val="22"/>
          <w:szCs w:val="22"/>
        </w:rPr>
        <w:t xml:space="preserve"> </w:t>
      </w:r>
      <w:r w:rsidRPr="00872FE4">
        <w:rPr>
          <w:sz w:val="22"/>
          <w:szCs w:val="22"/>
        </w:rPr>
        <w:t xml:space="preserve">a IFN+Ara-C (p=0,073, log-rank test). Tento parameter času-do-príhody je veľmi ovplyvnený vysokým počtom zmeny liečby z IFN+Ara-C na </w:t>
      </w:r>
      <w:r>
        <w:rPr>
          <w:sz w:val="22"/>
          <w:szCs w:val="22"/>
        </w:rPr>
        <w:t>imatinib</w:t>
      </w:r>
      <w:r w:rsidRPr="00872FE4">
        <w:rPr>
          <w:sz w:val="22"/>
          <w:szCs w:val="22"/>
        </w:rPr>
        <w:t xml:space="preserve">. Účinok liečby </w:t>
      </w:r>
      <w:r>
        <w:rPr>
          <w:sz w:val="22"/>
          <w:szCs w:val="22"/>
        </w:rPr>
        <w:t>imatinibom</w:t>
      </w:r>
      <w:r w:rsidRPr="00487A3D">
        <w:rPr>
          <w:sz w:val="22"/>
          <w:szCs w:val="22"/>
        </w:rPr>
        <w:t xml:space="preserve"> </w:t>
      </w:r>
      <w:r w:rsidRPr="00872FE4">
        <w:rPr>
          <w:sz w:val="22"/>
          <w:szCs w:val="22"/>
        </w:rPr>
        <w:t xml:space="preserve">na prežívanie v chronickej fáze novodiagnostikovanej CML sa ďalej skúmal v retrospektívnej analýze vyššie uvedených údajov o </w:t>
      </w:r>
      <w:r>
        <w:rPr>
          <w:sz w:val="22"/>
          <w:szCs w:val="22"/>
        </w:rPr>
        <w:t>imatinibu</w:t>
      </w:r>
      <w:r w:rsidRPr="00487A3D">
        <w:rPr>
          <w:sz w:val="22"/>
          <w:szCs w:val="22"/>
        </w:rPr>
        <w:t xml:space="preserve"> </w:t>
      </w:r>
      <w:r w:rsidRPr="00872FE4">
        <w:rPr>
          <w:sz w:val="22"/>
          <w:szCs w:val="22"/>
        </w:rPr>
        <w:t xml:space="preserve">spolu s primárnymi údajmi z ďalšieho klinického skúšania fázy III, v ktorom sa použili IFN+Ara-C (n=325) v rovnakom režime. V tejto retrospektívnej analýze sa preukázalo, že </w:t>
      </w:r>
      <w:r>
        <w:rPr>
          <w:sz w:val="22"/>
          <w:szCs w:val="22"/>
        </w:rPr>
        <w:t>imatinib</w:t>
      </w:r>
      <w:r w:rsidRPr="00487A3D">
        <w:rPr>
          <w:sz w:val="22"/>
          <w:szCs w:val="22"/>
        </w:rPr>
        <w:t xml:space="preserve"> </w:t>
      </w:r>
      <w:r w:rsidRPr="00872FE4">
        <w:rPr>
          <w:sz w:val="22"/>
          <w:szCs w:val="22"/>
        </w:rPr>
        <w:t xml:space="preserve">je lepší ako IFN+Ara-C vzhľadom na celkové prežívanie (p&lt;0,001); počas 42 mesiacov zomrelo 47 (8,5%) pacientov liečených </w:t>
      </w:r>
      <w:r>
        <w:rPr>
          <w:sz w:val="22"/>
          <w:szCs w:val="22"/>
        </w:rPr>
        <w:t>imatinibom</w:t>
      </w:r>
      <w:r w:rsidRPr="00487A3D">
        <w:rPr>
          <w:sz w:val="22"/>
          <w:szCs w:val="22"/>
        </w:rPr>
        <w:t xml:space="preserve"> </w:t>
      </w:r>
      <w:r w:rsidRPr="00872FE4">
        <w:rPr>
          <w:sz w:val="22"/>
          <w:szCs w:val="22"/>
        </w:rPr>
        <w:t xml:space="preserve">a 63 (19,4%) pacientov liečených IFN+Ara-C. </w:t>
      </w:r>
    </w:p>
    <w:p w14:paraId="7AFCBDBD" w14:textId="77777777" w:rsidR="00CB0CA7" w:rsidRPr="00872FE4" w:rsidRDefault="00CB0CA7" w:rsidP="00CB0CA7">
      <w:pPr>
        <w:pStyle w:val="Default"/>
        <w:rPr>
          <w:sz w:val="22"/>
          <w:szCs w:val="22"/>
        </w:rPr>
      </w:pPr>
    </w:p>
    <w:p w14:paraId="4D08060D" w14:textId="77777777" w:rsidR="00CB0CA7" w:rsidRDefault="00CB0CA7" w:rsidP="00CB0CA7">
      <w:pPr>
        <w:pStyle w:val="Default"/>
        <w:rPr>
          <w:sz w:val="22"/>
          <w:szCs w:val="22"/>
        </w:rPr>
      </w:pPr>
      <w:r w:rsidRPr="00872FE4">
        <w:rPr>
          <w:sz w:val="22"/>
          <w:szCs w:val="22"/>
        </w:rPr>
        <w:t xml:space="preserve">Stupeň cytogenetickej odpovede a molekulárnej odpovede mal jednoznačný vplyv na dlhodobé výsledky u pacientov liečených </w:t>
      </w:r>
      <w:r>
        <w:rPr>
          <w:sz w:val="22"/>
          <w:szCs w:val="22"/>
        </w:rPr>
        <w:t>imatinibom</w:t>
      </w:r>
      <w:r w:rsidRPr="00872FE4">
        <w:rPr>
          <w:sz w:val="22"/>
          <w:szCs w:val="22"/>
        </w:rPr>
        <w:t xml:space="preserve">. Zatiaľ čo odhadovaných 96% (93%) pacientov s CCyR (PCyR) po 12 mesiacoch nemalo progresiu do akcelerovanej fázy/blastickej krízy po 84 mesiacoch, len 81% pacientov bez MCyR po 12 mesiacoch nemalo progresiu do pokročilej CML po 84 mesiacoch (p&lt;0,001 celkovo, p=0,25 medzi CCyR a PCyR). U pacientov so znížením množstva transkriptov Bcr-Abl o najmenej 3 logaritmy po 12 mesiacoch bola pravdepodobnosť 99%, že zostanú bez progresie do akcelerovanej fázy/blastickej krízy po 84 mesiacoch. Nálezy boli podobné v analýze po 18 mesiacoch ako hraničnej hodnote. </w:t>
      </w:r>
    </w:p>
    <w:p w14:paraId="47DD0D72" w14:textId="77777777" w:rsidR="00CB0CA7" w:rsidRPr="00872FE4" w:rsidRDefault="00CB0CA7" w:rsidP="00CB0CA7">
      <w:pPr>
        <w:pStyle w:val="Default"/>
        <w:rPr>
          <w:sz w:val="22"/>
          <w:szCs w:val="22"/>
        </w:rPr>
      </w:pPr>
    </w:p>
    <w:p w14:paraId="06599766"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14:paraId="3611D462" w14:textId="77777777" w:rsidR="00CB0CA7" w:rsidRDefault="00CB0CA7" w:rsidP="00CB0CA7">
      <w:pPr>
        <w:spacing w:after="0" w:line="240" w:lineRule="auto"/>
        <w:ind w:right="-56"/>
        <w:rPr>
          <w:rFonts w:ascii="Times New Roman" w:hAnsi="Times New Roman"/>
        </w:rPr>
      </w:pPr>
    </w:p>
    <w:p w14:paraId="650D9382" w14:textId="77777777" w:rsidR="00CB0CA7" w:rsidRDefault="00CB0CA7" w:rsidP="00CB0CA7">
      <w:pPr>
        <w:pStyle w:val="Default"/>
        <w:rPr>
          <w:sz w:val="22"/>
          <w:szCs w:val="22"/>
        </w:rPr>
      </w:pPr>
      <w:r>
        <w:rPr>
          <w:i/>
          <w:iCs/>
          <w:sz w:val="22"/>
          <w:szCs w:val="22"/>
        </w:rPr>
        <w:t xml:space="preserve">Chronická fáza, zlyhanie interferónu: </w:t>
      </w:r>
      <w:r>
        <w:rPr>
          <w:sz w:val="22"/>
          <w:szCs w:val="22"/>
        </w:rPr>
        <w:t xml:space="preserve">532 dospelých pacientov sa liečilo začiatočnou dávkou 400 mg. Pacienti sa rozdelili do troch hlavných kategórií: hematologické zlyhanie (29%), cytogenetické zlyhanie (35%), alebo neznášanlivosť interferónu (36%). Pacienti predtým dostávali liečbu IFN s mediánom trvania 14 mesiacov v dávkach </w:t>
      </w:r>
      <w:r w:rsidRPr="00872FE4">
        <w:rPr>
          <w:sz w:val="22"/>
          <w:szCs w:val="22"/>
          <w:u w:val="single"/>
        </w:rPr>
        <w:t>&gt;</w:t>
      </w:r>
      <w:r>
        <w:rPr>
          <w:sz w:val="22"/>
          <w:szCs w:val="22"/>
        </w:rPr>
        <w:t xml:space="preserve"> 25 x 10</w:t>
      </w:r>
      <w:r>
        <w:rPr>
          <w:sz w:val="14"/>
          <w:szCs w:val="14"/>
        </w:rPr>
        <w:t xml:space="preserve">6 </w:t>
      </w:r>
      <w:r>
        <w:rPr>
          <w:sz w:val="22"/>
          <w:szCs w:val="22"/>
        </w:rPr>
        <w:t xml:space="preserve">IU/týždeň a všetci boli v neskorej chronickej fáze s mediánom času od stanovenia diagnózy 32 mesiacov. Primárnou premennou účinnosti v tomto klinickom skúšaní bol stupeň veľkej cytogenetickej odpovede (kompletnej a čiastočnej odpovede, 0 až 35% Ph+ metafáz v kostnej dreni). </w:t>
      </w:r>
    </w:p>
    <w:p w14:paraId="54E0CF3F" w14:textId="77777777" w:rsidR="00CB0CA7" w:rsidRDefault="00CB0CA7" w:rsidP="00CB0CA7">
      <w:pPr>
        <w:pStyle w:val="Default"/>
        <w:rPr>
          <w:sz w:val="22"/>
          <w:szCs w:val="22"/>
        </w:rPr>
      </w:pPr>
    </w:p>
    <w:p w14:paraId="4F7B88BD" w14:textId="77777777" w:rsidR="00CB0CA7" w:rsidRDefault="00CB0CA7" w:rsidP="00CB0CA7">
      <w:pPr>
        <w:pStyle w:val="Default"/>
        <w:rPr>
          <w:sz w:val="22"/>
          <w:szCs w:val="22"/>
        </w:rPr>
      </w:pPr>
      <w:r>
        <w:rPr>
          <w:sz w:val="22"/>
          <w:szCs w:val="22"/>
        </w:rPr>
        <w:t xml:space="preserve">V tomto klinickom skúšaní sa u 65% pacientov dosiahla veľká cytogenetická odpoveď, ktorá bola kompletná u 53% (potvrdená u 43%) pacientov (Tabuľka 3). Kompletná hematologická odpoveď sa dosiahla u 95% pacientov. </w:t>
      </w:r>
    </w:p>
    <w:p w14:paraId="5139A73B" w14:textId="77777777" w:rsidR="00CB0CA7" w:rsidRPr="00872FE4" w:rsidRDefault="00CB0CA7" w:rsidP="00CB0CA7">
      <w:pPr>
        <w:pStyle w:val="Default"/>
        <w:rPr>
          <w:sz w:val="22"/>
          <w:szCs w:val="22"/>
        </w:rPr>
      </w:pPr>
      <w:r w:rsidRPr="00872FE4">
        <w:rPr>
          <w:i/>
          <w:iCs/>
          <w:sz w:val="22"/>
          <w:szCs w:val="22"/>
        </w:rPr>
        <w:t xml:space="preserve">Akcelerovaná fáza: </w:t>
      </w:r>
      <w:r w:rsidRPr="00872FE4">
        <w:rPr>
          <w:sz w:val="22"/>
          <w:szCs w:val="22"/>
        </w:rPr>
        <w:t xml:space="preserve">Zaradených bolo 235 dospelých pacientov v akcelerovanej fáze ochorenia. Prvých 77 pacientov začalo liečbu dávkou 400 mg, protokol sa následne upravil, aby sa umožnilo vyššie dávkovanie, a zvyšných 158 pacientov začalo dávkou 600 mg. </w:t>
      </w:r>
    </w:p>
    <w:p w14:paraId="2BD163D8" w14:textId="77777777" w:rsidR="00CB0CA7" w:rsidRPr="00872FE4" w:rsidRDefault="00CB0CA7" w:rsidP="00CB0CA7">
      <w:pPr>
        <w:pStyle w:val="Default"/>
        <w:rPr>
          <w:sz w:val="22"/>
          <w:szCs w:val="22"/>
        </w:rPr>
      </w:pPr>
    </w:p>
    <w:p w14:paraId="1AF00E0B"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 xml:space="preserve">Primárnou premennou účinnosti bol stupeň hematologickej odpovede, ktorá sa zaznamenala buď ako kompletná hematologická odpoveď, alebo žiadny dôkaz leukémie (t.j. vymiznutie blastov z kostnej drene a krvi, ale bez úplného zotavenia periférnej krvi ako pri kompletnej odpovedi), alebo návrat do </w:t>
      </w:r>
      <w:r w:rsidRPr="00872FE4">
        <w:rPr>
          <w:rFonts w:ascii="Times New Roman" w:hAnsi="Times New Roman"/>
        </w:rPr>
        <w:lastRenderedPageBreak/>
        <w:t>chronickej fázy CML. Potvrdená hematologická odpoveď sa dosiahla u 71,5% pacientov (Tabuľka 3). Dôležité je, že 27,7% pacientov dosiahlo aj veľkú cytogenetickú odpoveď, ktorá bola kompletná u 20,4% (potvrdená u 16%) pacientov. U pacientov liečených dávkou 600 mg je súčasný odhad mediánu prežívania bez progresie ochorenia 22,9 a celkového prežívania 42,5 mesiacov.</w:t>
      </w:r>
    </w:p>
    <w:p w14:paraId="065774CC" w14:textId="77777777" w:rsidR="002E61EB" w:rsidRPr="00EE40F4" w:rsidRDefault="001C7386" w:rsidP="00EE71A9">
      <w:pPr>
        <w:spacing w:after="0" w:line="240" w:lineRule="auto"/>
        <w:ind w:right="-56"/>
        <w:rPr>
          <w:rFonts w:ascii="Times New Roman" w:hAnsi="Times New Roman"/>
          <w:shd w:val="clear" w:color="auto" w:fill="FFFFFF"/>
        </w:rPr>
      </w:pPr>
      <w:r w:rsidRPr="00EE40F4">
        <w:rPr>
          <w:rFonts w:ascii="Times New Roman" w:hAnsi="Times New Roman"/>
        </w:rPr>
        <w:br/>
      </w:r>
      <w:r w:rsidRPr="00EE40F4">
        <w:rPr>
          <w:rFonts w:ascii="Times New Roman" w:hAnsi="Times New Roman"/>
          <w:i/>
          <w:iCs/>
        </w:rPr>
        <w:t>Myeloidná blastická kríza</w:t>
      </w:r>
      <w:r w:rsidRPr="00EE40F4">
        <w:rPr>
          <w:rFonts w:ascii="Times New Roman" w:hAnsi="Times New Roman"/>
          <w:shd w:val="clear" w:color="auto" w:fill="FFFFFF"/>
        </w:rPr>
        <w:t>: Zaradených bolo 260 pacientov v myeloidnej blastickej kríze. 95 (37 %) z nich dostalo predtým chemoterapiu ako liečbu buď akcelerovanej fázy, alebo blastickej krízy („predliečení pacienti“), zatiaľ čo 165 (63 %) liečbu nedostalo („neliečení pacienti“). Prvých 37 pacientov začalo liečbu dávkou 400 mg, protokol sa následne upravil, aby sa umožnilo vyššie dávkovanie, a zvyšných 223 pacientov začalo dávkou 600 mg.</w:t>
      </w:r>
      <w:r w:rsidRPr="00EE40F4">
        <w:rPr>
          <w:rFonts w:ascii="Times New Roman" w:hAnsi="Times New Roman"/>
        </w:rPr>
        <w:br/>
      </w:r>
      <w:r w:rsidRPr="00EE40F4">
        <w:rPr>
          <w:rFonts w:ascii="Times New Roman" w:hAnsi="Times New Roman"/>
        </w:rPr>
        <w:br/>
      </w:r>
      <w:r w:rsidR="00CB0CA7" w:rsidRPr="00872FE4">
        <w:rPr>
          <w:rFonts w:ascii="Times New Roman" w:hAnsi="Times New Roman"/>
        </w:rPr>
        <w:t>Primárnou premennou účinnosti bol stupeň hematologickej odpovede, ktorá sa zaznamenala buď ako kompletná hematologická odpoveď, alebo žiadny dôkaz leukémie, alebo návrat do chronickej fázy CML, pri čom sa použili rovnaké kritériá ako v klinickom skúšaní pri akcelerovanej fáze</w:t>
      </w:r>
      <w:r w:rsidR="00CB0CA7">
        <w:rPr>
          <w:rFonts w:ascii="Times New Roman" w:hAnsi="Times New Roman"/>
        </w:rPr>
        <w:t xml:space="preserve">. </w:t>
      </w:r>
      <w:r w:rsidRPr="00EE40F4">
        <w:rPr>
          <w:rFonts w:ascii="Times New Roman" w:hAnsi="Times New Roman"/>
          <w:shd w:val="clear" w:color="auto" w:fill="FFFFFF"/>
        </w:rPr>
        <w:t>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p=0,0220). Súčasný odhadovaný medián prežívania predtým neliečených pacientov bol 7,7 mesiacov, predtým liečených pacientov 4,7 mesiacov.</w:t>
      </w:r>
      <w:r w:rsidRPr="00EE40F4">
        <w:rPr>
          <w:rFonts w:ascii="Times New Roman" w:hAnsi="Times New Roman"/>
        </w:rPr>
        <w:br/>
      </w:r>
      <w:r w:rsidRPr="00EE40F4">
        <w:rPr>
          <w:rFonts w:ascii="Times New Roman" w:hAnsi="Times New Roman"/>
        </w:rPr>
        <w:br/>
      </w:r>
      <w:r w:rsidRPr="00EE40F4">
        <w:rPr>
          <w:rFonts w:ascii="Times New Roman" w:hAnsi="Times New Roman"/>
          <w:i/>
          <w:iCs/>
        </w:rPr>
        <w:t>Lymfoidná blastická kríza:</w:t>
      </w:r>
      <w:r w:rsidRPr="00EE40F4">
        <w:rPr>
          <w:rStyle w:val="apple-converted-space"/>
          <w:rFonts w:ascii="Times New Roman" w:hAnsi="Times New Roman"/>
          <w:shd w:val="clear" w:color="auto" w:fill="FFFFFF"/>
        </w:rPr>
        <w:t> </w:t>
      </w:r>
      <w:r w:rsidRPr="00EE40F4">
        <w:rPr>
          <w:rFonts w:ascii="Times New Roman" w:hAnsi="Times New Roman"/>
          <w:shd w:val="clear" w:color="auto" w:fill="FFFFFF"/>
        </w:rPr>
        <w:t>Do klinických skúšaní fázy I bol zaradený obmedzený počet pacientov (n=10). Podiel hematologickej odpovede bol 70 % a jej trvanie 2-3 mesiace.</w:t>
      </w:r>
    </w:p>
    <w:p w14:paraId="64285D72" w14:textId="77777777" w:rsidR="00E830C4" w:rsidRPr="00EE40F4" w:rsidRDefault="00E830C4" w:rsidP="002E61EB">
      <w:pPr>
        <w:shd w:val="clear" w:color="auto" w:fill="FFFFFF"/>
        <w:tabs>
          <w:tab w:val="left" w:pos="1445"/>
        </w:tabs>
        <w:spacing w:after="0" w:line="240" w:lineRule="auto"/>
        <w:ind w:left="5"/>
        <w:rPr>
          <w:rFonts w:ascii="Times New Roman" w:hAnsi="Times New Roman"/>
          <w:shd w:val="clear" w:color="auto" w:fill="FFFFFF"/>
        </w:rPr>
      </w:pPr>
    </w:p>
    <w:p w14:paraId="7B95C61D" w14:textId="77777777" w:rsidR="001C7386" w:rsidRPr="00EE40F4" w:rsidRDefault="001C7386" w:rsidP="001C7386">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3</w:t>
      </w:r>
      <w:r w:rsidRPr="00EE40F4">
        <w:rPr>
          <w:rFonts w:ascii="Times New Roman" w:hAnsi="Times New Roman"/>
          <w:b/>
        </w:rPr>
        <w:t xml:space="preserve"> </w:t>
      </w:r>
      <w:r w:rsidR="00C03156" w:rsidRPr="00EE40F4">
        <w:rPr>
          <w:rFonts w:ascii="Times New Roman" w:hAnsi="Times New Roman"/>
          <w:b/>
        </w:rPr>
        <w:tab/>
      </w:r>
      <w:r w:rsidRPr="00EE40F4">
        <w:rPr>
          <w:rFonts w:ascii="Times New Roman" w:hAnsi="Times New Roman"/>
          <w:b/>
        </w:rPr>
        <w:t>Odpoveď u dospelých s CML v klinických skúšaniach</w:t>
      </w:r>
    </w:p>
    <w:tbl>
      <w:tblPr>
        <w:tblW w:w="0" w:type="auto"/>
        <w:tblInd w:w="108" w:type="dxa"/>
        <w:tblBorders>
          <w:top w:val="nil"/>
          <w:left w:val="nil"/>
          <w:bottom w:val="nil"/>
          <w:right w:val="nil"/>
        </w:tblBorders>
        <w:tblLook w:val="0000" w:firstRow="0" w:lastRow="0" w:firstColumn="0" w:lastColumn="0" w:noHBand="0" w:noVBand="0"/>
      </w:tblPr>
      <w:tblGrid>
        <w:gridCol w:w="2587"/>
        <w:gridCol w:w="1475"/>
        <w:gridCol w:w="631"/>
        <w:gridCol w:w="2149"/>
        <w:gridCol w:w="1415"/>
        <w:gridCol w:w="695"/>
      </w:tblGrid>
      <w:tr w:rsidR="001C7386" w:rsidRPr="00EE40F4" w14:paraId="55CBBAC1" w14:textId="77777777" w:rsidTr="006F012E">
        <w:trPr>
          <w:gridAfter w:val="1"/>
          <w:wAfter w:w="733" w:type="dxa"/>
          <w:trHeight w:val="107"/>
        </w:trPr>
        <w:tc>
          <w:tcPr>
            <w:tcW w:w="8931" w:type="dxa"/>
            <w:gridSpan w:val="5"/>
            <w:tcBorders>
              <w:top w:val="single" w:sz="4" w:space="0" w:color="auto"/>
              <w:left w:val="single" w:sz="4" w:space="0" w:color="auto"/>
              <w:bottom w:val="single" w:sz="4" w:space="0" w:color="auto"/>
              <w:right w:val="single" w:sz="4" w:space="0" w:color="auto"/>
            </w:tcBorders>
          </w:tcPr>
          <w:p w14:paraId="3BDE2F5C" w14:textId="77777777" w:rsidR="001C7386" w:rsidRPr="00EE40F4" w:rsidRDefault="001C7386" w:rsidP="00750C00">
            <w:pPr>
              <w:pStyle w:val="Default"/>
              <w:widowControl w:val="0"/>
              <w:tabs>
                <w:tab w:val="left" w:pos="5279"/>
              </w:tabs>
              <w:jc w:val="center"/>
              <w:rPr>
                <w:sz w:val="22"/>
                <w:szCs w:val="22"/>
                <w:lang w:val="sk-SK"/>
              </w:rPr>
            </w:pPr>
          </w:p>
        </w:tc>
      </w:tr>
      <w:tr w:rsidR="001C7386" w:rsidRPr="00EE40F4" w14:paraId="4CA7EF13" w14:textId="77777777" w:rsidTr="006F012E">
        <w:trPr>
          <w:gridAfter w:val="1"/>
          <w:wAfter w:w="733" w:type="dxa"/>
          <w:trHeight w:val="1184"/>
        </w:trPr>
        <w:tc>
          <w:tcPr>
            <w:tcW w:w="4395" w:type="dxa"/>
            <w:gridSpan w:val="2"/>
            <w:tcBorders>
              <w:top w:val="single" w:sz="4" w:space="0" w:color="auto"/>
              <w:left w:val="single" w:sz="4" w:space="0" w:color="auto"/>
              <w:bottom w:val="single" w:sz="4" w:space="0" w:color="auto"/>
              <w:right w:val="single" w:sz="4" w:space="0" w:color="auto"/>
            </w:tcBorders>
          </w:tcPr>
          <w:p w14:paraId="03C87242" w14:textId="77777777" w:rsidR="001C7386" w:rsidRPr="00EE40F4" w:rsidRDefault="001C7386" w:rsidP="00D63EC4">
            <w:pPr>
              <w:pStyle w:val="Default"/>
              <w:widowControl w:val="0"/>
              <w:rPr>
                <w:sz w:val="22"/>
                <w:szCs w:val="22"/>
                <w:lang w:val="sk-SK"/>
              </w:rPr>
            </w:pPr>
          </w:p>
        </w:tc>
        <w:tc>
          <w:tcPr>
            <w:tcW w:w="4536" w:type="dxa"/>
            <w:gridSpan w:val="3"/>
            <w:tcBorders>
              <w:top w:val="single" w:sz="4" w:space="0" w:color="auto"/>
              <w:left w:val="single" w:sz="4" w:space="0" w:color="auto"/>
              <w:bottom w:val="single" w:sz="4" w:space="0" w:color="auto"/>
              <w:right w:val="single" w:sz="4" w:space="0" w:color="auto"/>
            </w:tcBorders>
          </w:tcPr>
          <w:p w14:paraId="3BD3EFEB" w14:textId="77777777" w:rsidR="001C7386" w:rsidRPr="00EE40F4" w:rsidRDefault="001C7386" w:rsidP="00D63EC4">
            <w:pPr>
              <w:pStyle w:val="Default"/>
              <w:widowControl w:val="0"/>
              <w:jc w:val="center"/>
              <w:rPr>
                <w:sz w:val="22"/>
                <w:szCs w:val="22"/>
                <w:lang w:val="sk-SK"/>
              </w:rPr>
            </w:pPr>
          </w:p>
        </w:tc>
      </w:tr>
      <w:tr w:rsidR="00B532B0" w:rsidRPr="00872FE4" w14:paraId="1316745E"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618B8A89"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2302" w:type="dxa"/>
            <w:gridSpan w:val="2"/>
            <w:shd w:val="clear" w:color="auto" w:fill="auto"/>
          </w:tcPr>
          <w:p w14:paraId="414E936B" w14:textId="77777777" w:rsidR="00B532B0" w:rsidRPr="00872FE4" w:rsidRDefault="00B532B0" w:rsidP="00042D68">
            <w:pPr>
              <w:pStyle w:val="Default"/>
              <w:jc w:val="center"/>
              <w:rPr>
                <w:sz w:val="20"/>
                <w:szCs w:val="20"/>
              </w:rPr>
            </w:pPr>
            <w:r w:rsidRPr="00872FE4">
              <w:rPr>
                <w:sz w:val="20"/>
                <w:szCs w:val="20"/>
              </w:rPr>
              <w:t>Klinické skúšanie 0110</w:t>
            </w:r>
          </w:p>
          <w:p w14:paraId="7E7A4E0D" w14:textId="77777777" w:rsidR="00B532B0" w:rsidRPr="00872FE4" w:rsidRDefault="00B532B0" w:rsidP="00042D68">
            <w:pPr>
              <w:pStyle w:val="Default"/>
              <w:jc w:val="center"/>
              <w:rPr>
                <w:sz w:val="20"/>
                <w:szCs w:val="20"/>
              </w:rPr>
            </w:pPr>
            <w:r w:rsidRPr="00872FE4">
              <w:rPr>
                <w:sz w:val="20"/>
                <w:szCs w:val="20"/>
              </w:rPr>
              <w:t>Údaje po 37 mesiacoch</w:t>
            </w:r>
          </w:p>
          <w:p w14:paraId="3511554A" w14:textId="77777777" w:rsidR="00B532B0" w:rsidRPr="00872FE4" w:rsidRDefault="00B532B0" w:rsidP="00042D68">
            <w:pPr>
              <w:pStyle w:val="Default"/>
              <w:jc w:val="center"/>
              <w:rPr>
                <w:sz w:val="20"/>
                <w:szCs w:val="20"/>
              </w:rPr>
            </w:pPr>
            <w:r w:rsidRPr="00872FE4">
              <w:rPr>
                <w:sz w:val="20"/>
                <w:szCs w:val="20"/>
              </w:rPr>
              <w:t>Chronická fáza, zlyhanie IFN</w:t>
            </w:r>
          </w:p>
          <w:p w14:paraId="7501C86E"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(n=532)</w:t>
            </w:r>
          </w:p>
        </w:tc>
        <w:tc>
          <w:tcPr>
            <w:tcW w:w="2303" w:type="dxa"/>
            <w:shd w:val="clear" w:color="auto" w:fill="auto"/>
          </w:tcPr>
          <w:p w14:paraId="607307EA" w14:textId="77777777" w:rsidR="00B532B0" w:rsidRPr="00872FE4" w:rsidRDefault="00B532B0" w:rsidP="00042D68">
            <w:pPr>
              <w:pStyle w:val="Default"/>
              <w:jc w:val="center"/>
              <w:rPr>
                <w:sz w:val="20"/>
                <w:szCs w:val="20"/>
              </w:rPr>
            </w:pPr>
            <w:r w:rsidRPr="00872FE4">
              <w:rPr>
                <w:sz w:val="20"/>
                <w:szCs w:val="20"/>
              </w:rPr>
              <w:t>Klinické skúšanie 0109</w:t>
            </w:r>
          </w:p>
          <w:p w14:paraId="380381D6" w14:textId="77777777" w:rsidR="00B532B0" w:rsidRPr="00872FE4" w:rsidRDefault="00B532B0" w:rsidP="00042D68">
            <w:pPr>
              <w:pStyle w:val="Default"/>
              <w:jc w:val="center"/>
              <w:rPr>
                <w:sz w:val="20"/>
                <w:szCs w:val="20"/>
              </w:rPr>
            </w:pPr>
            <w:r w:rsidRPr="00872FE4">
              <w:rPr>
                <w:sz w:val="20"/>
                <w:szCs w:val="20"/>
              </w:rPr>
              <w:t>Údaje po 40,5 mesiacoch</w:t>
            </w:r>
          </w:p>
          <w:p w14:paraId="7998C2CF" w14:textId="77777777" w:rsidR="00B532B0" w:rsidRPr="00872FE4" w:rsidRDefault="00B532B0" w:rsidP="00042D68">
            <w:pPr>
              <w:pStyle w:val="Default"/>
              <w:jc w:val="center"/>
              <w:rPr>
                <w:sz w:val="20"/>
                <w:szCs w:val="20"/>
              </w:rPr>
            </w:pPr>
            <w:r w:rsidRPr="00872FE4">
              <w:rPr>
                <w:sz w:val="20"/>
                <w:szCs w:val="20"/>
              </w:rPr>
              <w:t>Akcelerovaná fáza</w:t>
            </w:r>
          </w:p>
          <w:p w14:paraId="747677C2"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(n=235)</w:t>
            </w:r>
          </w:p>
        </w:tc>
        <w:tc>
          <w:tcPr>
            <w:tcW w:w="2303" w:type="dxa"/>
            <w:gridSpan w:val="2"/>
            <w:shd w:val="clear" w:color="auto" w:fill="auto"/>
          </w:tcPr>
          <w:p w14:paraId="7FDD315A" w14:textId="77777777" w:rsidR="00B532B0" w:rsidRPr="00872FE4" w:rsidRDefault="00B532B0" w:rsidP="00042D68">
            <w:pPr>
              <w:pStyle w:val="Default"/>
              <w:jc w:val="center"/>
              <w:rPr>
                <w:sz w:val="20"/>
                <w:szCs w:val="20"/>
              </w:rPr>
            </w:pPr>
            <w:r w:rsidRPr="00872FE4">
              <w:rPr>
                <w:sz w:val="20"/>
                <w:szCs w:val="20"/>
              </w:rPr>
              <w:t>Klinické skúšanie 0102</w:t>
            </w:r>
          </w:p>
          <w:p w14:paraId="63BB4ED7" w14:textId="77777777" w:rsidR="00B532B0" w:rsidRPr="00872FE4" w:rsidRDefault="00B532B0" w:rsidP="00042D68">
            <w:pPr>
              <w:pStyle w:val="Default"/>
              <w:jc w:val="center"/>
              <w:rPr>
                <w:sz w:val="20"/>
                <w:szCs w:val="20"/>
              </w:rPr>
            </w:pPr>
            <w:r w:rsidRPr="00872FE4">
              <w:rPr>
                <w:sz w:val="20"/>
                <w:szCs w:val="20"/>
              </w:rPr>
              <w:t>Údaje po 38 mesiacoch</w:t>
            </w:r>
          </w:p>
          <w:p w14:paraId="23CC85C5" w14:textId="77777777" w:rsidR="00B532B0" w:rsidRPr="00872FE4" w:rsidRDefault="00B532B0" w:rsidP="00042D68">
            <w:pPr>
              <w:pStyle w:val="Default"/>
              <w:jc w:val="center"/>
              <w:rPr>
                <w:sz w:val="20"/>
                <w:szCs w:val="20"/>
              </w:rPr>
            </w:pPr>
            <w:r w:rsidRPr="00872FE4">
              <w:rPr>
                <w:sz w:val="20"/>
                <w:szCs w:val="20"/>
              </w:rPr>
              <w:t>Myeloidná blastická kríza</w:t>
            </w:r>
          </w:p>
          <w:p w14:paraId="78348D1C"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(n=260)</w:t>
            </w:r>
          </w:p>
        </w:tc>
      </w:tr>
      <w:tr w:rsidR="00B532B0" w:rsidRPr="00872FE4" w14:paraId="7586DC8D"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5F7B041A"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6908" w:type="dxa"/>
            <w:gridSpan w:val="5"/>
            <w:shd w:val="clear" w:color="auto" w:fill="auto"/>
          </w:tcPr>
          <w:p w14:paraId="0D593E01" w14:textId="77777777" w:rsidR="00B532B0" w:rsidRPr="00872FE4" w:rsidRDefault="00B532B0" w:rsidP="00042D68">
            <w:pPr>
              <w:pStyle w:val="Default"/>
              <w:jc w:val="center"/>
              <w:rPr>
                <w:sz w:val="20"/>
                <w:szCs w:val="20"/>
              </w:rPr>
            </w:pPr>
            <w:r w:rsidRPr="00872FE4">
              <w:rPr>
                <w:sz w:val="20"/>
                <w:szCs w:val="20"/>
              </w:rPr>
              <w:t xml:space="preserve">% pacientov (CI95%) </w:t>
            </w:r>
          </w:p>
          <w:p w14:paraId="33AC56B3"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tc>
      </w:tr>
      <w:tr w:rsidR="00B532B0" w:rsidRPr="00872FE4" w14:paraId="3775EBAC"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51C81105" w14:textId="77777777" w:rsidR="00B532B0" w:rsidRPr="00872FE4" w:rsidRDefault="00B532B0" w:rsidP="00042D68">
            <w:pPr>
              <w:pStyle w:val="Default"/>
              <w:rPr>
                <w:sz w:val="20"/>
                <w:szCs w:val="20"/>
              </w:rPr>
            </w:pPr>
            <w:r w:rsidRPr="00872FE4">
              <w:rPr>
                <w:sz w:val="20"/>
                <w:szCs w:val="20"/>
              </w:rPr>
              <w:t>Hematologická odpoveď</w:t>
            </w:r>
            <w:r w:rsidRPr="00872FE4">
              <w:rPr>
                <w:sz w:val="20"/>
                <w:szCs w:val="20"/>
                <w:vertAlign w:val="superscript"/>
              </w:rPr>
              <w:t>1</w:t>
            </w:r>
          </w:p>
          <w:p w14:paraId="0341DA24" w14:textId="77777777" w:rsidR="00B532B0" w:rsidRPr="00872FE4" w:rsidRDefault="00B532B0" w:rsidP="00042D68">
            <w:pPr>
              <w:pStyle w:val="Default"/>
              <w:rPr>
                <w:sz w:val="20"/>
                <w:szCs w:val="20"/>
              </w:rPr>
            </w:pPr>
            <w:r w:rsidRPr="00872FE4">
              <w:rPr>
                <w:sz w:val="20"/>
                <w:szCs w:val="20"/>
              </w:rPr>
              <w:t xml:space="preserve"> </w:t>
            </w:r>
          </w:p>
          <w:p w14:paraId="105A4B15" w14:textId="77777777" w:rsidR="00B532B0" w:rsidRPr="00872FE4" w:rsidRDefault="00B532B0" w:rsidP="00042D68">
            <w:pPr>
              <w:pStyle w:val="Default"/>
              <w:rPr>
                <w:sz w:val="20"/>
                <w:szCs w:val="20"/>
              </w:rPr>
            </w:pPr>
            <w:r w:rsidRPr="00872FE4">
              <w:rPr>
                <w:sz w:val="20"/>
                <w:szCs w:val="20"/>
              </w:rPr>
              <w:t xml:space="preserve">  Kompletná   hematologická</w:t>
            </w:r>
          </w:p>
          <w:p w14:paraId="72FF1A5A" w14:textId="77777777" w:rsidR="00B532B0" w:rsidRPr="00872FE4" w:rsidRDefault="00B532B0" w:rsidP="00042D68">
            <w:pPr>
              <w:pStyle w:val="Default"/>
              <w:rPr>
                <w:sz w:val="20"/>
                <w:szCs w:val="20"/>
              </w:rPr>
            </w:pPr>
            <w:r w:rsidRPr="00872FE4">
              <w:rPr>
                <w:sz w:val="20"/>
                <w:szCs w:val="20"/>
              </w:rPr>
              <w:t xml:space="preserve">  odpoveď (CHR)</w:t>
            </w:r>
          </w:p>
          <w:p w14:paraId="3FA2E89B" w14:textId="77777777" w:rsidR="00B532B0" w:rsidRPr="00872FE4" w:rsidRDefault="00B532B0" w:rsidP="00042D68">
            <w:pPr>
              <w:pStyle w:val="Default"/>
              <w:rPr>
                <w:sz w:val="20"/>
                <w:szCs w:val="20"/>
              </w:rPr>
            </w:pPr>
            <w:r w:rsidRPr="00872FE4">
              <w:rPr>
                <w:sz w:val="20"/>
                <w:szCs w:val="20"/>
              </w:rPr>
              <w:t xml:space="preserve">  Žiadny dôkaz leukémie </w:t>
            </w:r>
          </w:p>
          <w:p w14:paraId="67C24A2A" w14:textId="77777777" w:rsidR="00B532B0" w:rsidRPr="00872FE4" w:rsidRDefault="00B532B0" w:rsidP="00042D68">
            <w:pPr>
              <w:pStyle w:val="Default"/>
              <w:rPr>
                <w:sz w:val="20"/>
                <w:szCs w:val="20"/>
              </w:rPr>
            </w:pPr>
            <w:r w:rsidRPr="00872FE4">
              <w:rPr>
                <w:sz w:val="20"/>
                <w:szCs w:val="20"/>
              </w:rPr>
              <w:t xml:space="preserve"> (NEL) </w:t>
            </w:r>
          </w:p>
          <w:p w14:paraId="23A40E84" w14:textId="77777777" w:rsidR="00B532B0" w:rsidRPr="00872FE4" w:rsidRDefault="00B532B0" w:rsidP="00042D68">
            <w:pPr>
              <w:pStyle w:val="Default"/>
              <w:rPr>
                <w:sz w:val="20"/>
                <w:szCs w:val="20"/>
              </w:rPr>
            </w:pPr>
            <w:r w:rsidRPr="00872FE4">
              <w:rPr>
                <w:sz w:val="20"/>
                <w:szCs w:val="20"/>
              </w:rPr>
              <w:t xml:space="preserve">  Návrat do chronickej fázy  </w:t>
            </w:r>
          </w:p>
          <w:p w14:paraId="67CDAEF3" w14:textId="77777777" w:rsidR="00B532B0" w:rsidRPr="00872FE4" w:rsidRDefault="00B532B0" w:rsidP="00042D68">
            <w:pPr>
              <w:pStyle w:val="Default"/>
              <w:rPr>
                <w:sz w:val="20"/>
                <w:szCs w:val="20"/>
              </w:rPr>
            </w:pPr>
            <w:r w:rsidRPr="00872FE4">
              <w:rPr>
                <w:sz w:val="20"/>
                <w:szCs w:val="20"/>
              </w:rPr>
              <w:t xml:space="preserve"> (RTC) </w:t>
            </w:r>
          </w:p>
          <w:p w14:paraId="58BD87AD"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2302" w:type="dxa"/>
            <w:gridSpan w:val="2"/>
            <w:shd w:val="clear" w:color="auto" w:fill="auto"/>
          </w:tcPr>
          <w:p w14:paraId="7A0AEB29"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95% (92,3-96,3)</w:t>
            </w:r>
          </w:p>
          <w:p w14:paraId="0FEC72A4"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7CF6C309"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95%</w:t>
            </w:r>
          </w:p>
          <w:p w14:paraId="21A518B9"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55B22CC6"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Nedá sa použiť</w:t>
            </w:r>
          </w:p>
          <w:p w14:paraId="2F6C914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730E3977"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Nedá sa použiť</w:t>
            </w:r>
          </w:p>
          <w:p w14:paraId="03BF80EC"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tc>
        <w:tc>
          <w:tcPr>
            <w:tcW w:w="2303" w:type="dxa"/>
            <w:shd w:val="clear" w:color="auto" w:fill="auto"/>
          </w:tcPr>
          <w:p w14:paraId="64C1866B"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71% (65,3-77,2)</w:t>
            </w:r>
          </w:p>
          <w:p w14:paraId="6F4EA8E9"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37B2DE0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42%</w:t>
            </w:r>
          </w:p>
          <w:p w14:paraId="63FC248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5B12508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12%</w:t>
            </w:r>
          </w:p>
          <w:p w14:paraId="68A7D35C"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0964507C"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17%</w:t>
            </w:r>
          </w:p>
        </w:tc>
        <w:tc>
          <w:tcPr>
            <w:tcW w:w="2303" w:type="dxa"/>
            <w:gridSpan w:val="2"/>
            <w:shd w:val="clear" w:color="auto" w:fill="auto"/>
          </w:tcPr>
          <w:p w14:paraId="68705347"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31% (25,2-36,8)</w:t>
            </w:r>
          </w:p>
          <w:p w14:paraId="3837A76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4A1E07BD"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8%</w:t>
            </w:r>
          </w:p>
          <w:p w14:paraId="7D1BB805"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2B6F9A4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5%</w:t>
            </w:r>
          </w:p>
          <w:p w14:paraId="737E05AE"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44ACE264"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18%</w:t>
            </w:r>
          </w:p>
        </w:tc>
      </w:tr>
      <w:tr w:rsidR="00B532B0" w:rsidRPr="00872FE4" w14:paraId="6AE284D6"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41DEFB0D" w14:textId="77777777" w:rsidR="00B532B0" w:rsidRPr="00872FE4" w:rsidRDefault="00B532B0" w:rsidP="00042D68">
            <w:pPr>
              <w:pStyle w:val="Default"/>
              <w:rPr>
                <w:sz w:val="20"/>
                <w:szCs w:val="20"/>
              </w:rPr>
            </w:pPr>
            <w:r w:rsidRPr="00872FE4">
              <w:rPr>
                <w:sz w:val="20"/>
                <w:szCs w:val="20"/>
              </w:rPr>
              <w:t>Veľká cytogenetická odpoveď</w:t>
            </w:r>
            <w:r w:rsidRPr="00872FE4">
              <w:rPr>
                <w:sz w:val="20"/>
                <w:szCs w:val="20"/>
                <w:vertAlign w:val="superscript"/>
              </w:rPr>
              <w:t>2</w:t>
            </w:r>
            <w:r w:rsidRPr="00872FE4">
              <w:rPr>
                <w:sz w:val="20"/>
                <w:szCs w:val="20"/>
              </w:rPr>
              <w:t xml:space="preserve"> </w:t>
            </w:r>
          </w:p>
          <w:p w14:paraId="22520C33"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Kompletná</w:t>
            </w:r>
          </w:p>
          <w:p w14:paraId="40AAB846"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(Potvrdená</w:t>
            </w:r>
            <w:r w:rsidRPr="00872FE4">
              <w:rPr>
                <w:rFonts w:ascii="Times New Roman" w:hAnsi="Times New Roman"/>
                <w:sz w:val="20"/>
                <w:szCs w:val="20"/>
                <w:vertAlign w:val="superscript"/>
              </w:rPr>
              <w:t>3</w:t>
            </w:r>
            <w:r w:rsidRPr="00872FE4">
              <w:rPr>
                <w:rFonts w:ascii="Times New Roman" w:hAnsi="Times New Roman"/>
                <w:sz w:val="20"/>
                <w:szCs w:val="20"/>
              </w:rPr>
              <w:t xml:space="preserve">) [95% CI] </w:t>
            </w:r>
          </w:p>
          <w:p w14:paraId="706C34A9"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Čiastočná</w:t>
            </w:r>
          </w:p>
        </w:tc>
        <w:tc>
          <w:tcPr>
            <w:tcW w:w="2302" w:type="dxa"/>
            <w:gridSpan w:val="2"/>
            <w:shd w:val="clear" w:color="auto" w:fill="auto"/>
          </w:tcPr>
          <w:p w14:paraId="022D326E"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65% (61,2-69,5)</w:t>
            </w:r>
          </w:p>
          <w:p w14:paraId="1AF46354"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53%</w:t>
            </w:r>
          </w:p>
          <w:p w14:paraId="2C935E4B"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(43%) [38</w:t>
            </w:r>
            <w:r w:rsidRPr="00F03E4F">
              <w:rPr>
                <w:rFonts w:ascii="Times New Roman" w:hAnsi="Times New Roman"/>
                <w:sz w:val="20"/>
                <w:szCs w:val="20"/>
              </w:rPr>
              <w:t>,</w:t>
            </w:r>
            <w:r w:rsidRPr="00872FE4">
              <w:rPr>
                <w:rFonts w:ascii="Times New Roman" w:hAnsi="Times New Roman"/>
                <w:sz w:val="20"/>
                <w:szCs w:val="20"/>
              </w:rPr>
              <w:t>6–47</w:t>
            </w:r>
            <w:r w:rsidRPr="00F03E4F">
              <w:rPr>
                <w:rFonts w:ascii="Times New Roman" w:hAnsi="Times New Roman"/>
                <w:sz w:val="20"/>
                <w:szCs w:val="20"/>
              </w:rPr>
              <w:t>,</w:t>
            </w:r>
            <w:r w:rsidRPr="00872FE4">
              <w:rPr>
                <w:rFonts w:ascii="Times New Roman" w:hAnsi="Times New Roman"/>
                <w:sz w:val="20"/>
                <w:szCs w:val="20"/>
              </w:rPr>
              <w:t>2]</w:t>
            </w:r>
          </w:p>
          <w:p w14:paraId="2C952662"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12%</w:t>
            </w:r>
          </w:p>
        </w:tc>
        <w:tc>
          <w:tcPr>
            <w:tcW w:w="2303" w:type="dxa"/>
            <w:shd w:val="clear" w:color="auto" w:fill="auto"/>
          </w:tcPr>
          <w:p w14:paraId="70EE4DD9"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28% (22,0-33,9)</w:t>
            </w:r>
          </w:p>
          <w:p w14:paraId="012D6C48"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20%</w:t>
            </w:r>
          </w:p>
          <w:p w14:paraId="469FAFBE"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(16%) [11,3–21,0]</w:t>
            </w:r>
          </w:p>
          <w:p w14:paraId="7725DE98"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7%</w:t>
            </w:r>
          </w:p>
        </w:tc>
        <w:tc>
          <w:tcPr>
            <w:tcW w:w="2303" w:type="dxa"/>
            <w:gridSpan w:val="2"/>
            <w:shd w:val="clear" w:color="auto" w:fill="auto"/>
          </w:tcPr>
          <w:p w14:paraId="02D958F8"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15% (11,2-20,4)</w:t>
            </w:r>
          </w:p>
          <w:p w14:paraId="6736DD5C"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7%</w:t>
            </w:r>
          </w:p>
          <w:p w14:paraId="3ED70644"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 [0,6–4,4]</w:t>
            </w:r>
          </w:p>
          <w:p w14:paraId="5A182223"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8%</w:t>
            </w:r>
          </w:p>
        </w:tc>
      </w:tr>
      <w:tr w:rsidR="00B532B0" w:rsidRPr="00872FE4" w14:paraId="0AECD1DD"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710" w:type="dxa"/>
            <w:gridSpan w:val="6"/>
            <w:shd w:val="clear" w:color="auto" w:fill="auto"/>
          </w:tcPr>
          <w:p w14:paraId="0F0EE3B5" w14:textId="77777777" w:rsidR="00B532B0" w:rsidRPr="00872FE4" w:rsidRDefault="00B532B0" w:rsidP="00042D68">
            <w:pPr>
              <w:pStyle w:val="Default"/>
              <w:rPr>
                <w:sz w:val="20"/>
                <w:szCs w:val="20"/>
              </w:rPr>
            </w:pPr>
            <w:r w:rsidRPr="00872FE4">
              <w:rPr>
                <w:b/>
                <w:bCs/>
                <w:sz w:val="20"/>
                <w:szCs w:val="20"/>
                <w:vertAlign w:val="superscript"/>
              </w:rPr>
              <w:t>1</w:t>
            </w:r>
            <w:r w:rsidRPr="00872FE4">
              <w:rPr>
                <w:b/>
                <w:bCs/>
                <w:sz w:val="20"/>
                <w:szCs w:val="20"/>
              </w:rPr>
              <w:t xml:space="preserve"> Kritériá hematologickej odpovede (všetky odpovede sa majú potvrdiť po </w:t>
            </w:r>
            <w:r w:rsidRPr="00872FE4">
              <w:rPr>
                <w:rFonts w:eastAsia="Segoe UI Symbol"/>
                <w:b/>
                <w:sz w:val="20"/>
                <w:szCs w:val="20"/>
              </w:rPr>
              <w:t>≥</w:t>
            </w:r>
            <w:r w:rsidRPr="00872FE4">
              <w:rPr>
                <w:sz w:val="20"/>
                <w:szCs w:val="20"/>
              </w:rPr>
              <w:t xml:space="preserve"> </w:t>
            </w:r>
            <w:r w:rsidRPr="00872FE4">
              <w:rPr>
                <w:b/>
                <w:bCs/>
                <w:sz w:val="20"/>
                <w:szCs w:val="20"/>
              </w:rPr>
              <w:t xml:space="preserve">4 týždňoch): </w:t>
            </w:r>
          </w:p>
          <w:p w14:paraId="494241D6" w14:textId="77777777" w:rsidR="00B532B0" w:rsidRPr="00872FE4" w:rsidRDefault="00B532B0" w:rsidP="00042D68">
            <w:pPr>
              <w:pStyle w:val="Default"/>
              <w:rPr>
                <w:sz w:val="20"/>
                <w:szCs w:val="20"/>
              </w:rPr>
            </w:pPr>
            <w:r w:rsidRPr="00872FE4">
              <w:rPr>
                <w:sz w:val="20"/>
                <w:szCs w:val="20"/>
              </w:rPr>
              <w:t>CHR: klinické skúšanie 0110 [WBC &lt; 10 x 10</w:t>
            </w:r>
            <w:r w:rsidRPr="00872FE4">
              <w:rPr>
                <w:sz w:val="20"/>
                <w:szCs w:val="20"/>
                <w:vertAlign w:val="superscript"/>
              </w:rPr>
              <w:t>9</w:t>
            </w:r>
            <w:r w:rsidRPr="00872FE4">
              <w:rPr>
                <w:sz w:val="20"/>
                <w:szCs w:val="20"/>
              </w:rPr>
              <w:t>/l, trombocyty &lt; 450 x 10</w:t>
            </w:r>
            <w:r w:rsidRPr="00872FE4">
              <w:rPr>
                <w:sz w:val="20"/>
                <w:szCs w:val="20"/>
                <w:vertAlign w:val="superscript"/>
              </w:rPr>
              <w:t>9</w:t>
            </w:r>
            <w:r w:rsidRPr="00872FE4">
              <w:rPr>
                <w:sz w:val="20"/>
                <w:szCs w:val="20"/>
              </w:rPr>
              <w:t xml:space="preserve">/l, myelocyty+metamyelocyty &lt; 5% v krvi, žiadne blasty a promyelocyty v krvi, bazofily &lt; 20%, žiadne extramedulárne postihnutie] a klinické skúšania 0102 a 0109 [ANC </w:t>
            </w:r>
            <w:r w:rsidRPr="00872FE4">
              <w:rPr>
                <w:rFonts w:eastAsia="Segoe UI Symbol"/>
                <w:sz w:val="20"/>
                <w:szCs w:val="20"/>
              </w:rPr>
              <w:t>≥</w:t>
            </w:r>
            <w:r w:rsidRPr="00872FE4">
              <w:rPr>
                <w:sz w:val="20"/>
                <w:szCs w:val="20"/>
              </w:rPr>
              <w:t xml:space="preserve"> 1,5 x 109/l, trombocyty </w:t>
            </w:r>
            <w:r w:rsidRPr="00F03E4F">
              <w:rPr>
                <w:rFonts w:eastAsia="Segoe UI Symbol"/>
                <w:sz w:val="20"/>
                <w:szCs w:val="20"/>
              </w:rPr>
              <w:t>≥</w:t>
            </w:r>
            <w:r w:rsidRPr="00872FE4">
              <w:rPr>
                <w:sz w:val="20"/>
                <w:szCs w:val="20"/>
              </w:rPr>
              <w:t xml:space="preserve"> 100 x 10</w:t>
            </w:r>
            <w:r w:rsidRPr="00872FE4">
              <w:rPr>
                <w:sz w:val="20"/>
                <w:szCs w:val="20"/>
                <w:vertAlign w:val="superscript"/>
              </w:rPr>
              <w:t>9</w:t>
            </w:r>
            <w:r w:rsidRPr="00872FE4">
              <w:rPr>
                <w:sz w:val="20"/>
                <w:szCs w:val="20"/>
              </w:rPr>
              <w:t xml:space="preserve">/l, žiadne blasty v krvi, blasty v BM &lt; 5% a žiadne extramedulárne postihnutie] </w:t>
            </w:r>
          </w:p>
          <w:p w14:paraId="0DE49998" w14:textId="77777777" w:rsidR="00B532B0" w:rsidRPr="00872FE4" w:rsidRDefault="00B532B0" w:rsidP="00042D68">
            <w:pPr>
              <w:pStyle w:val="Default"/>
              <w:rPr>
                <w:sz w:val="20"/>
                <w:szCs w:val="20"/>
              </w:rPr>
            </w:pPr>
            <w:r w:rsidRPr="00872FE4">
              <w:rPr>
                <w:sz w:val="20"/>
                <w:szCs w:val="20"/>
              </w:rPr>
              <w:t xml:space="preserve">NEL: rovnaké kritériá ako CHR, ale ANC </w:t>
            </w:r>
            <w:r w:rsidRPr="00F03E4F">
              <w:rPr>
                <w:rFonts w:eastAsia="Segoe UI Symbol"/>
                <w:sz w:val="20"/>
                <w:szCs w:val="20"/>
              </w:rPr>
              <w:t>≥</w:t>
            </w:r>
            <w:r w:rsidRPr="00872FE4">
              <w:rPr>
                <w:sz w:val="20"/>
                <w:szCs w:val="20"/>
              </w:rPr>
              <w:t xml:space="preserve"> 1 x 10</w:t>
            </w:r>
            <w:r w:rsidRPr="00872FE4">
              <w:rPr>
                <w:sz w:val="20"/>
                <w:szCs w:val="20"/>
                <w:vertAlign w:val="superscript"/>
              </w:rPr>
              <w:t>9</w:t>
            </w:r>
            <w:r w:rsidRPr="00872FE4">
              <w:rPr>
                <w:sz w:val="20"/>
                <w:szCs w:val="20"/>
              </w:rPr>
              <w:t xml:space="preserve">/l a trombocyty </w:t>
            </w:r>
            <w:r w:rsidRPr="00F03E4F">
              <w:rPr>
                <w:rFonts w:eastAsia="Segoe UI Symbol"/>
                <w:sz w:val="20"/>
                <w:szCs w:val="20"/>
              </w:rPr>
              <w:t>≥</w:t>
            </w:r>
            <w:r w:rsidRPr="00872FE4">
              <w:rPr>
                <w:sz w:val="20"/>
                <w:szCs w:val="20"/>
              </w:rPr>
              <w:t xml:space="preserve"> 20 x 10</w:t>
            </w:r>
            <w:r w:rsidRPr="00872FE4">
              <w:rPr>
                <w:sz w:val="20"/>
                <w:szCs w:val="20"/>
                <w:vertAlign w:val="superscript"/>
              </w:rPr>
              <w:t>9</w:t>
            </w:r>
            <w:r w:rsidRPr="00872FE4">
              <w:rPr>
                <w:sz w:val="20"/>
                <w:szCs w:val="20"/>
              </w:rPr>
              <w:t xml:space="preserve">/l (len klinické skúšanie 0102 a 0109) </w:t>
            </w:r>
          </w:p>
          <w:p w14:paraId="15E51072" w14:textId="77777777" w:rsidR="00B532B0" w:rsidRPr="00872FE4" w:rsidRDefault="00B532B0" w:rsidP="00042D68">
            <w:pPr>
              <w:pStyle w:val="Default"/>
              <w:rPr>
                <w:sz w:val="20"/>
                <w:szCs w:val="20"/>
              </w:rPr>
            </w:pPr>
            <w:r w:rsidRPr="00872FE4">
              <w:rPr>
                <w:sz w:val="20"/>
                <w:szCs w:val="20"/>
              </w:rPr>
              <w:lastRenderedPageBreak/>
              <w:t xml:space="preserve">RTC: blasty v BM a PB &lt; 15%, blasty+promyelocyty v BM a PB &lt; 30%, bazofily v PB &lt; 20%, žiadne extramedulárne postihnutie okrem sleziny a pečene (len klinické skúšania 0102 a 0109) </w:t>
            </w:r>
          </w:p>
          <w:p w14:paraId="0FB4B00C" w14:textId="77777777" w:rsidR="00B532B0" w:rsidRPr="00872FE4" w:rsidRDefault="00B532B0" w:rsidP="00042D68">
            <w:pPr>
              <w:pStyle w:val="Default"/>
              <w:rPr>
                <w:sz w:val="20"/>
                <w:szCs w:val="20"/>
              </w:rPr>
            </w:pPr>
            <w:r w:rsidRPr="00872FE4">
              <w:rPr>
                <w:sz w:val="20"/>
                <w:szCs w:val="20"/>
              </w:rPr>
              <w:t xml:space="preserve">BM = kostná dreň, PB = periférna krv </w:t>
            </w:r>
          </w:p>
          <w:p w14:paraId="21D26C8A" w14:textId="77777777" w:rsidR="00B532B0" w:rsidRPr="00872FE4" w:rsidRDefault="00B532B0" w:rsidP="00042D68">
            <w:pPr>
              <w:pStyle w:val="Default"/>
              <w:rPr>
                <w:sz w:val="20"/>
                <w:szCs w:val="20"/>
              </w:rPr>
            </w:pPr>
            <w:r w:rsidRPr="00872FE4">
              <w:rPr>
                <w:b/>
                <w:bCs/>
                <w:sz w:val="20"/>
                <w:szCs w:val="20"/>
                <w:vertAlign w:val="superscript"/>
              </w:rPr>
              <w:t>2</w:t>
            </w:r>
            <w:r w:rsidRPr="00872FE4">
              <w:rPr>
                <w:b/>
                <w:bCs/>
                <w:sz w:val="20"/>
                <w:szCs w:val="20"/>
              </w:rPr>
              <w:t xml:space="preserve"> Kritériá cytogenetickej odpovede: </w:t>
            </w:r>
          </w:p>
          <w:p w14:paraId="209ABC1B" w14:textId="77777777" w:rsidR="00B532B0" w:rsidRPr="00872FE4" w:rsidRDefault="00B532B0" w:rsidP="00042D68">
            <w:pPr>
              <w:pStyle w:val="Default"/>
              <w:rPr>
                <w:sz w:val="20"/>
                <w:szCs w:val="20"/>
              </w:rPr>
            </w:pPr>
            <w:r w:rsidRPr="00872FE4">
              <w:rPr>
                <w:sz w:val="20"/>
                <w:szCs w:val="20"/>
              </w:rPr>
              <w:t xml:space="preserve">Veľká odpoveď zahŕňa kompletné aj čiastočné odpovede: kompletné (0% Ph+ metafáz), čiastočné (1–35%) </w:t>
            </w:r>
          </w:p>
          <w:p w14:paraId="6B2F26B5"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vertAlign w:val="superscript"/>
              </w:rPr>
              <w:t>3</w:t>
            </w:r>
            <w:r w:rsidRPr="00872FE4">
              <w:rPr>
                <w:rFonts w:ascii="Times New Roman" w:hAnsi="Times New Roman"/>
                <w:sz w:val="20"/>
                <w:szCs w:val="20"/>
              </w:rPr>
              <w:t xml:space="preserve"> Kompletná cytogenetická odpoveď potvrdená druhým cytogenetickým vyhodnotením kostnej drene vykonaným najmenej 1 mesiac po začiatočnom vyšetrení kostnej drene. </w:t>
            </w:r>
          </w:p>
        </w:tc>
      </w:tr>
    </w:tbl>
    <w:p w14:paraId="3A3BB22C" w14:textId="77777777" w:rsidR="00B532B0" w:rsidRPr="00EE40F4" w:rsidRDefault="00B532B0" w:rsidP="001C7386">
      <w:pPr>
        <w:pStyle w:val="Odsekzoznamu1"/>
        <w:spacing w:after="0" w:line="240" w:lineRule="auto"/>
        <w:ind w:left="0"/>
        <w:rPr>
          <w:rFonts w:ascii="Times New Roman" w:hAnsi="Times New Roman"/>
        </w:rPr>
      </w:pPr>
    </w:p>
    <w:p w14:paraId="1F2F263E" w14:textId="77777777" w:rsidR="00737905"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i/>
        </w:rPr>
        <w:t>Pediatrick</w:t>
      </w:r>
      <w:r w:rsidR="00B532B0">
        <w:rPr>
          <w:rFonts w:ascii="Times New Roman" w:hAnsi="Times New Roman"/>
          <w:i/>
        </w:rPr>
        <w:t>í pacienti</w:t>
      </w:r>
    </w:p>
    <w:p w14:paraId="6EDACD58"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Celkovo bolo zaradených 26 pediatrických pacientov vo veku &lt;</w:t>
      </w:r>
      <w:r w:rsidR="00737905" w:rsidRPr="00EE40F4">
        <w:rPr>
          <w:rFonts w:ascii="Times New Roman" w:hAnsi="Times New Roman"/>
        </w:rPr>
        <w:t xml:space="preserve"> </w:t>
      </w:r>
      <w:r w:rsidRPr="00EE40F4">
        <w:rPr>
          <w:rFonts w:ascii="Times New Roman" w:hAnsi="Times New Roman"/>
        </w:rPr>
        <w:t>18 rokov buď s CML v chronickej fáze (n=11), alebo s CML v blastickej kríze alebo s Ph+ akútnymi leukémiami (n=15) do klinického skúšania fázy I so stupňujúcim sa dávkovaním. Bola to skupina intenzívne predliečených pacientov, z ktorých predtým 46 % dostalo transplantáciu kostnej drene (BMT) a 73 % kombinovanú chemoterapiu. Pacienti dostávali imatinib v dávke 260 mg/m</w:t>
      </w:r>
      <w:r w:rsidRPr="00EE40F4">
        <w:rPr>
          <w:rFonts w:ascii="Times New Roman" w:hAnsi="Times New Roman"/>
          <w:vertAlign w:val="superscript"/>
        </w:rPr>
        <w:t>2</w:t>
      </w:r>
      <w:r w:rsidRPr="00EE40F4">
        <w:rPr>
          <w:rFonts w:ascii="Times New Roman" w:hAnsi="Times New Roman"/>
        </w:rPr>
        <w:t>/deň (n=5), 340 mg/m</w:t>
      </w:r>
      <w:r w:rsidRPr="00EE40F4">
        <w:rPr>
          <w:rFonts w:ascii="Times New Roman" w:hAnsi="Times New Roman"/>
          <w:vertAlign w:val="superscript"/>
        </w:rPr>
        <w:t>2</w:t>
      </w:r>
      <w:r w:rsidRPr="00EE40F4">
        <w:rPr>
          <w:rFonts w:ascii="Times New Roman" w:hAnsi="Times New Roman"/>
        </w:rPr>
        <w:t>/deň (n=9), 440 mg/m</w:t>
      </w:r>
      <w:r w:rsidRPr="00EE40F4">
        <w:rPr>
          <w:rFonts w:ascii="Times New Roman" w:hAnsi="Times New Roman"/>
          <w:vertAlign w:val="superscript"/>
        </w:rPr>
        <w:t>2</w:t>
      </w:r>
      <w:r w:rsidRPr="00EE40F4">
        <w:rPr>
          <w:rFonts w:ascii="Times New Roman" w:hAnsi="Times New Roman"/>
        </w:rPr>
        <w:t>/deň (n=7) a 570 mg/m</w:t>
      </w:r>
      <w:r w:rsidRPr="00EE40F4">
        <w:rPr>
          <w:rFonts w:ascii="Times New Roman" w:hAnsi="Times New Roman"/>
          <w:vertAlign w:val="superscript"/>
        </w:rPr>
        <w:t>2</w:t>
      </w:r>
      <w:r w:rsidRPr="00EE40F4">
        <w:rPr>
          <w:rFonts w:ascii="Times New Roman" w:hAnsi="Times New Roman"/>
        </w:rPr>
        <w:t>/deň (n=5). Z deviatich pacientov v chronickej fáze CML, u ktorých sú dostupné cytogenetické údaje, dosiahli štyria (44 %) kompletnú a traja (33 %) čiastočnú cytogenetickú odpoveď, s podielom M</w:t>
      </w:r>
      <w:r w:rsidR="00B16405" w:rsidRPr="00EE40F4">
        <w:rPr>
          <w:rFonts w:ascii="Times New Roman" w:hAnsi="Times New Roman"/>
        </w:rPr>
        <w:t>C</w:t>
      </w:r>
      <w:r w:rsidRPr="00EE40F4">
        <w:rPr>
          <w:rFonts w:ascii="Times New Roman" w:hAnsi="Times New Roman"/>
        </w:rPr>
        <w:t>yR 77 %.</w:t>
      </w:r>
    </w:p>
    <w:p w14:paraId="5B04AB58" w14:textId="77777777" w:rsidR="001C7386" w:rsidRPr="00EE40F4" w:rsidRDefault="001C7386" w:rsidP="001C7386">
      <w:pPr>
        <w:pStyle w:val="Odsekzoznamu1"/>
        <w:spacing w:after="0" w:line="240" w:lineRule="auto"/>
        <w:ind w:left="0"/>
        <w:rPr>
          <w:rFonts w:ascii="Times New Roman" w:hAnsi="Times New Roman"/>
        </w:rPr>
      </w:pPr>
    </w:p>
    <w:p w14:paraId="5D2E2AE8"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Celkovo 51 pediatrických pacientov s novodiagnostikovanou a neliečenou CML v chronickej fáze bolo zaradených do otvoreného, multicentrického klinického skúšania fázy II s jedným ramenom liečby. Pacientom sa podával imatinib v dávke 340 mg/m</w:t>
      </w:r>
      <w:r w:rsidRPr="00EE40F4">
        <w:rPr>
          <w:rFonts w:ascii="Times New Roman" w:hAnsi="Times New Roman"/>
          <w:vertAlign w:val="superscript"/>
        </w:rPr>
        <w:t>2</w:t>
      </w:r>
      <w:r w:rsidRPr="00EE40F4">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 pozorovala čiastočná cytogenetická odpoveď (PCyR) s MCyR 81 %. U väčšiny pacientov, ktorí dosiahli CCyR, sa vyvinula CCyR medzi 3 a 10 mesiacom, pričom medián času do odpovede na základe odhadu podľa Kaplana-Meiera bol 5,6 mesiacov.</w:t>
      </w:r>
    </w:p>
    <w:p w14:paraId="4F30DB40" w14:textId="77777777" w:rsidR="006F012E" w:rsidRPr="00EE40F4" w:rsidRDefault="006F012E" w:rsidP="001C7386">
      <w:pPr>
        <w:pStyle w:val="Odsekzoznamu1"/>
        <w:spacing w:after="0" w:line="240" w:lineRule="auto"/>
        <w:ind w:left="0"/>
        <w:rPr>
          <w:rFonts w:ascii="Times New Roman" w:hAnsi="Times New Roman"/>
        </w:rPr>
      </w:pPr>
    </w:p>
    <w:p w14:paraId="2057FF58" w14:textId="77777777" w:rsidR="006F012E" w:rsidRPr="00EE40F4" w:rsidRDefault="006F012E" w:rsidP="001C7386">
      <w:pPr>
        <w:pStyle w:val="Odsekzoznamu1"/>
        <w:spacing w:after="0" w:line="240" w:lineRule="auto"/>
        <w:ind w:left="0"/>
        <w:rPr>
          <w:rFonts w:ascii="Times New Roman" w:hAnsi="Times New Roman"/>
        </w:rPr>
      </w:pPr>
      <w:r w:rsidRPr="00EE40F4">
        <w:rPr>
          <w:rFonts w:ascii="Times New Roman" w:hAnsi="Times New Roman"/>
        </w:rPr>
        <w:t xml:space="preserve">Európska agentúra pre lieky udelila výnimku z povinnosti </w:t>
      </w:r>
      <w:r w:rsidRPr="00EE40F4">
        <w:rPr>
          <w:rFonts w:ascii="Times New Roman" w:eastAsia="SimSun" w:hAnsi="Times New Roman"/>
          <w:lang w:eastAsia="zh-CN"/>
        </w:rPr>
        <w:t xml:space="preserve">predložiť výsledky štúdií </w:t>
      </w:r>
      <w:r w:rsidRPr="00EE40F4">
        <w:rPr>
          <w:rFonts w:ascii="Times New Roman" w:hAnsi="Times New Roman"/>
        </w:rPr>
        <w:t>s referenčným liekom obsahujúcim imatinib vo všetkých podskupinách</w:t>
      </w:r>
      <w:r w:rsidRPr="00EE40F4">
        <w:rPr>
          <w:rFonts w:ascii="Times New Roman" w:eastAsia="SimSun" w:hAnsi="Times New Roman"/>
          <w:lang w:eastAsia="zh-CN"/>
        </w:rPr>
        <w:t xml:space="preserve"> </w:t>
      </w:r>
      <w:r w:rsidRPr="00EE40F4">
        <w:rPr>
          <w:rFonts w:ascii="Times New Roman" w:hAnsi="Times New Roman"/>
        </w:rPr>
        <w:t xml:space="preserve">pediatrickej populácie s </w:t>
      </w:r>
      <w:r w:rsidRPr="00EE40F4">
        <w:rPr>
          <w:rFonts w:ascii="Times New Roman" w:hAnsi="Times New Roman"/>
          <w:shd w:val="clear" w:color="auto" w:fill="FFFFFF"/>
        </w:rPr>
        <w:t xml:space="preserve">chromozómom Philadelphia(bcr-abl translokácia) </w:t>
      </w:r>
      <w:r w:rsidRPr="00EE40F4">
        <w:rPr>
          <w:rFonts w:ascii="Times New Roman" w:hAnsi="Times New Roman"/>
        </w:rPr>
        <w:t xml:space="preserve">s novodiagnostikovanou chronickou </w:t>
      </w:r>
      <w:r w:rsidR="00544A17" w:rsidRPr="00EE40F4">
        <w:rPr>
          <w:rFonts w:ascii="Times New Roman" w:hAnsi="Times New Roman"/>
        </w:rPr>
        <w:t xml:space="preserve">myelocytovou </w:t>
      </w:r>
      <w:r w:rsidRPr="00EE40F4">
        <w:rPr>
          <w:rFonts w:ascii="Times New Roman" w:hAnsi="Times New Roman"/>
        </w:rPr>
        <w:t xml:space="preserve">leukémiou </w:t>
      </w:r>
      <w:r w:rsidRPr="00EE40F4">
        <w:rPr>
          <w:rFonts w:ascii="Times New Roman" w:eastAsia="SimSun" w:hAnsi="Times New Roman"/>
          <w:lang w:eastAsia="zh-CN"/>
        </w:rPr>
        <w:t>(</w:t>
      </w:r>
      <w:r w:rsidRPr="00EE40F4">
        <w:rPr>
          <w:rFonts w:ascii="Times New Roman" w:hAnsi="Times New Roman"/>
        </w:rPr>
        <w:t xml:space="preserve">informácie </w:t>
      </w:r>
      <w:r w:rsidRPr="00EE40F4">
        <w:rPr>
          <w:rFonts w:ascii="Times New Roman" w:eastAsia="SimSun" w:hAnsi="Times New Roman"/>
          <w:lang w:eastAsia="zh-CN"/>
        </w:rPr>
        <w:t xml:space="preserve">o použití </w:t>
      </w:r>
      <w:r w:rsidRPr="00EE40F4">
        <w:rPr>
          <w:rFonts w:ascii="Times New Roman" w:hAnsi="Times New Roman"/>
        </w:rPr>
        <w:t>v pediatrickej populácii</w:t>
      </w:r>
      <w:r w:rsidRPr="00EE40F4">
        <w:rPr>
          <w:rFonts w:ascii="Times New Roman" w:eastAsia="SimSun" w:hAnsi="Times New Roman"/>
          <w:lang w:eastAsia="zh-CN"/>
        </w:rPr>
        <w:t>, pozri časť 4.2).</w:t>
      </w:r>
    </w:p>
    <w:p w14:paraId="6AEB8551" w14:textId="77777777" w:rsidR="001C7386" w:rsidRPr="00EE40F4" w:rsidRDefault="001C7386" w:rsidP="001C7386">
      <w:pPr>
        <w:pStyle w:val="Odsekzoznamu1"/>
        <w:spacing w:after="0" w:line="240" w:lineRule="auto"/>
        <w:ind w:left="0"/>
        <w:rPr>
          <w:rFonts w:ascii="Times New Roman" w:hAnsi="Times New Roman"/>
        </w:rPr>
      </w:pPr>
    </w:p>
    <w:p w14:paraId="68667706" w14:textId="77777777" w:rsidR="001C7386" w:rsidRPr="00EE40F4" w:rsidRDefault="001C7386" w:rsidP="001C7386">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Ph+ ALL</w:t>
      </w:r>
    </w:p>
    <w:p w14:paraId="3DF11219"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i/>
        </w:rPr>
        <w:t>Novodiagnostikovaná Ph+ ALL:</w:t>
      </w:r>
      <w:r w:rsidRPr="00EE40F4">
        <w:rPr>
          <w:rFonts w:ascii="Times New Roman" w:hAnsi="Times New Roman"/>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bcr-abl u pacientov liečených imatinibom oproti skupine liečených chemoterapiou po 2 týždňoch liečby (p=0,02). Všetci pacienti dostávali po začatí liečby imatinib a konsolidačnú chemoterapiu (pozri </w:t>
      </w:r>
      <w:r w:rsidR="006F2A6F" w:rsidRPr="00EE40F4">
        <w:rPr>
          <w:rFonts w:ascii="Times New Roman" w:hAnsi="Times New Roman"/>
        </w:rPr>
        <w:t xml:space="preserve">tabuľku </w:t>
      </w:r>
      <w:r w:rsidRPr="00EE40F4">
        <w:rPr>
          <w:rFonts w:ascii="Times New Roman" w:hAnsi="Times New Roman"/>
        </w:rPr>
        <w:t>4) a hladiny transkriptov bcr-abl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645018A7" w14:textId="77777777" w:rsidR="001C7386" w:rsidRPr="00EE40F4" w:rsidRDefault="001C7386" w:rsidP="001C7386">
      <w:pPr>
        <w:pStyle w:val="Odsekzoznamu1"/>
        <w:spacing w:after="0" w:line="240" w:lineRule="auto"/>
        <w:ind w:left="0"/>
        <w:rPr>
          <w:rFonts w:ascii="Times New Roman" w:hAnsi="Times New Roman"/>
        </w:rPr>
      </w:pPr>
    </w:p>
    <w:p w14:paraId="6FCEBB1F"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EE40F4">
        <w:rPr>
          <w:rFonts w:ascii="Times New Roman" w:hAnsi="Times New Roman"/>
        </w:rPr>
        <w:t xml:space="preserve">tabuľku </w:t>
      </w:r>
      <w:r w:rsidR="007150A4" w:rsidRPr="00EE40F4">
        <w:rPr>
          <w:rFonts w:ascii="Times New Roman" w:hAnsi="Times New Roman"/>
        </w:rPr>
        <w:t>3</w:t>
      </w:r>
      <w:r w:rsidRPr="00EE40F4">
        <w:rPr>
          <w:rFonts w:ascii="Times New Roman" w:hAnsi="Times New Roman"/>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68ED8926" w14:textId="77777777" w:rsidR="006F012E" w:rsidRPr="00EE40F4" w:rsidRDefault="006F012E" w:rsidP="001C7386">
      <w:pPr>
        <w:pStyle w:val="Odsekzoznamu1"/>
        <w:spacing w:after="0" w:line="240" w:lineRule="auto"/>
        <w:ind w:left="0"/>
        <w:rPr>
          <w:rFonts w:ascii="Times New Roman" w:hAnsi="Times New Roman"/>
        </w:rPr>
      </w:pPr>
    </w:p>
    <w:p w14:paraId="7BB35E6D" w14:textId="77777777" w:rsidR="006F012E" w:rsidRPr="00EE40F4" w:rsidRDefault="006F012E" w:rsidP="006F012E">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4</w:t>
      </w:r>
      <w:r w:rsidRPr="00EE40F4">
        <w:rPr>
          <w:rFonts w:ascii="Times New Roman" w:hAnsi="Times New Roman"/>
          <w:b/>
        </w:rPr>
        <w:tab/>
        <w:t>Režim chemoterapie použitý v kombinácii s imatinibom</w:t>
      </w:r>
    </w:p>
    <w:p w14:paraId="2B3A83D2" w14:textId="77777777" w:rsidR="006F012E" w:rsidRPr="00EE40F4" w:rsidRDefault="006F012E" w:rsidP="006F012E">
      <w:pPr>
        <w:pStyle w:val="Odsekzoznamu1"/>
        <w:spacing w:after="0"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114"/>
      </w:tblGrid>
      <w:tr w:rsidR="006F012E" w:rsidRPr="00EE40F4" w14:paraId="6A8D1BDF" w14:textId="77777777" w:rsidTr="00D63EC4">
        <w:tc>
          <w:tcPr>
            <w:tcW w:w="9514" w:type="dxa"/>
            <w:gridSpan w:val="2"/>
          </w:tcPr>
          <w:p w14:paraId="7EDFCB7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ADE10</w:t>
            </w:r>
          </w:p>
        </w:tc>
      </w:tr>
      <w:tr w:rsidR="006F012E" w:rsidRPr="00EE40F4" w14:paraId="344D974D" w14:textId="77777777" w:rsidTr="00D63EC4">
        <w:trPr>
          <w:trHeight w:val="588"/>
        </w:trPr>
        <w:tc>
          <w:tcPr>
            <w:tcW w:w="2977" w:type="dxa"/>
          </w:tcPr>
          <w:p w14:paraId="4273283B" w14:textId="77777777" w:rsidR="006F012E" w:rsidRPr="00EE40F4" w:rsidRDefault="006F012E" w:rsidP="00452BE1">
            <w:pPr>
              <w:pStyle w:val="Odsekzoznamu1"/>
              <w:spacing w:after="0" w:line="240" w:lineRule="auto"/>
              <w:ind w:left="0"/>
              <w:rPr>
                <w:rFonts w:ascii="Times New Roman" w:hAnsi="Times New Roman"/>
              </w:rPr>
            </w:pPr>
            <w:r w:rsidRPr="00EE40F4">
              <w:rPr>
                <w:rFonts w:ascii="Times New Roman" w:hAnsi="Times New Roman"/>
              </w:rPr>
              <w:t xml:space="preserve">Prefáza </w:t>
            </w:r>
          </w:p>
        </w:tc>
        <w:tc>
          <w:tcPr>
            <w:tcW w:w="6537" w:type="dxa"/>
          </w:tcPr>
          <w:p w14:paraId="56DB40B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CP 200 mg/m</w:t>
            </w:r>
            <w:r w:rsidRPr="00EE40F4">
              <w:rPr>
                <w:rFonts w:ascii="Times New Roman" w:hAnsi="Times New Roman"/>
                <w:vertAlign w:val="superscript"/>
              </w:rPr>
              <w:t>2</w:t>
            </w:r>
            <w:r w:rsidRPr="00EE40F4">
              <w:rPr>
                <w:rFonts w:ascii="Times New Roman" w:hAnsi="Times New Roman"/>
              </w:rPr>
              <w:t xml:space="preserve"> i.v., dni 3, 4, 5; MTX 12 mg intratekálne, deň 1</w:t>
            </w:r>
          </w:p>
        </w:tc>
      </w:tr>
      <w:tr w:rsidR="006F012E" w:rsidRPr="00EE40F4" w14:paraId="294C8461" w14:textId="77777777" w:rsidTr="00D63EC4">
        <w:trPr>
          <w:trHeight w:val="837"/>
        </w:trPr>
        <w:tc>
          <w:tcPr>
            <w:tcW w:w="2977" w:type="dxa"/>
          </w:tcPr>
          <w:p w14:paraId="1FB2260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Indukcia remisie</w:t>
            </w:r>
          </w:p>
        </w:tc>
        <w:tc>
          <w:tcPr>
            <w:tcW w:w="6537" w:type="dxa"/>
          </w:tcPr>
          <w:p w14:paraId="10690E0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6,-7, 13-16; VCR 1 mg i.v., dni 7, 14; IDA 8 mg/m</w:t>
            </w:r>
            <w:r w:rsidRPr="00EE40F4">
              <w:rPr>
                <w:rFonts w:ascii="Times New Roman" w:hAnsi="Times New Roman"/>
                <w:vertAlign w:val="superscript"/>
              </w:rPr>
              <w:t>2</w:t>
            </w:r>
            <w:r w:rsidRPr="00EE40F4">
              <w:rPr>
                <w:rFonts w:ascii="Times New Roman" w:hAnsi="Times New Roman"/>
              </w:rPr>
              <w:t xml:space="preserve"> i.v. (0,5 h), dni 7, 8, 14, 15; CP 500 mg/m</w:t>
            </w:r>
            <w:r w:rsidRPr="00EE40F4">
              <w:rPr>
                <w:rFonts w:ascii="Times New Roman" w:hAnsi="Times New Roman"/>
                <w:vertAlign w:val="superscript"/>
              </w:rPr>
              <w:t>2</w:t>
            </w:r>
            <w:r w:rsidRPr="00EE40F4">
              <w:rPr>
                <w:rFonts w:ascii="Times New Roman" w:hAnsi="Times New Roman"/>
              </w:rPr>
              <w:t xml:space="preserve"> i.v. (1 h) deň 1; Ara-C 60 mg/m</w:t>
            </w:r>
            <w:r w:rsidRPr="00EE40F4">
              <w:rPr>
                <w:rFonts w:ascii="Times New Roman" w:hAnsi="Times New Roman"/>
                <w:vertAlign w:val="superscript"/>
              </w:rPr>
              <w:t>2</w:t>
            </w:r>
            <w:r w:rsidRPr="00EE40F4">
              <w:rPr>
                <w:rFonts w:ascii="Times New Roman" w:hAnsi="Times New Roman"/>
              </w:rPr>
              <w:t xml:space="preserve"> i.v., dni 22-25, 29-32</w:t>
            </w:r>
          </w:p>
        </w:tc>
      </w:tr>
      <w:tr w:rsidR="006F012E" w:rsidRPr="00EE40F4" w14:paraId="557FB76F" w14:textId="77777777" w:rsidTr="00D63EC4">
        <w:trPr>
          <w:trHeight w:val="565"/>
        </w:trPr>
        <w:tc>
          <w:tcPr>
            <w:tcW w:w="2977" w:type="dxa"/>
          </w:tcPr>
          <w:p w14:paraId="777F428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p w14:paraId="6828CF5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 III, V</w:t>
            </w:r>
          </w:p>
        </w:tc>
        <w:tc>
          <w:tcPr>
            <w:tcW w:w="6537" w:type="dxa"/>
          </w:tcPr>
          <w:p w14:paraId="00A8598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MTX 500 mg/m</w:t>
            </w:r>
            <w:r w:rsidRPr="00EE40F4">
              <w:rPr>
                <w:rFonts w:ascii="Times New Roman" w:hAnsi="Times New Roman"/>
                <w:vertAlign w:val="superscript"/>
              </w:rPr>
              <w:t>2</w:t>
            </w:r>
            <w:r w:rsidRPr="00EE40F4">
              <w:rPr>
                <w:rFonts w:ascii="Times New Roman" w:hAnsi="Times New Roman"/>
              </w:rPr>
              <w:t xml:space="preserve"> i.v. (24 h), dni 1, 15; 6-MP 25 mg/m</w:t>
            </w:r>
            <w:r w:rsidRPr="00EE40F4">
              <w:rPr>
                <w:rFonts w:ascii="Times New Roman" w:hAnsi="Times New Roman"/>
                <w:vertAlign w:val="superscript"/>
              </w:rPr>
              <w:t>2</w:t>
            </w:r>
            <w:r w:rsidRPr="00EE40F4">
              <w:rPr>
                <w:rFonts w:ascii="Times New Roman" w:hAnsi="Times New Roman"/>
              </w:rPr>
              <w:t xml:space="preserve"> perorálne, dni 1-20</w:t>
            </w:r>
          </w:p>
        </w:tc>
      </w:tr>
      <w:tr w:rsidR="006F012E" w:rsidRPr="00EE40F4" w14:paraId="428FB263" w14:textId="77777777" w:rsidTr="00D63EC4">
        <w:tc>
          <w:tcPr>
            <w:tcW w:w="2977" w:type="dxa"/>
          </w:tcPr>
          <w:p w14:paraId="1FACEEE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p w14:paraId="4856B19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II, IV</w:t>
            </w:r>
          </w:p>
        </w:tc>
        <w:tc>
          <w:tcPr>
            <w:tcW w:w="6537" w:type="dxa"/>
          </w:tcPr>
          <w:p w14:paraId="40E8EB1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75 mg/m</w:t>
            </w:r>
            <w:r w:rsidRPr="00EE40F4">
              <w:rPr>
                <w:rFonts w:ascii="Times New Roman" w:hAnsi="Times New Roman"/>
                <w:vertAlign w:val="superscript"/>
              </w:rPr>
              <w:t>2</w:t>
            </w:r>
            <w:r w:rsidRPr="00EE40F4">
              <w:rPr>
                <w:rFonts w:ascii="Times New Roman" w:hAnsi="Times New Roman"/>
              </w:rPr>
              <w:t xml:space="preserve"> i.v.(1 h), dni 1-5; VM26 60 mg/m</w:t>
            </w:r>
            <w:r w:rsidRPr="00EE40F4">
              <w:rPr>
                <w:rFonts w:ascii="Times New Roman" w:hAnsi="Times New Roman"/>
                <w:vertAlign w:val="superscript"/>
              </w:rPr>
              <w:t>2</w:t>
            </w:r>
            <w:r w:rsidRPr="00EE40F4">
              <w:rPr>
                <w:rFonts w:ascii="Times New Roman" w:hAnsi="Times New Roman"/>
              </w:rPr>
              <w:t xml:space="preserve"> i.v. (1 h), dni 1-5</w:t>
            </w:r>
          </w:p>
        </w:tc>
      </w:tr>
      <w:tr w:rsidR="006F012E" w:rsidRPr="00EE40F4" w14:paraId="38BB96A3" w14:textId="77777777" w:rsidTr="00D63EC4">
        <w:tc>
          <w:tcPr>
            <w:tcW w:w="9514" w:type="dxa"/>
            <w:gridSpan w:val="2"/>
          </w:tcPr>
          <w:p w14:paraId="1DBB626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AAU02</w:t>
            </w:r>
          </w:p>
        </w:tc>
      </w:tr>
      <w:tr w:rsidR="006F012E" w:rsidRPr="00EE40F4" w14:paraId="326B4150" w14:textId="77777777" w:rsidTr="00D63EC4">
        <w:trPr>
          <w:trHeight w:val="1336"/>
        </w:trPr>
        <w:tc>
          <w:tcPr>
            <w:tcW w:w="2977" w:type="dxa"/>
          </w:tcPr>
          <w:p w14:paraId="0F8EB70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w:t>
            </w:r>
            <w:r w:rsidRPr="00EE40F4">
              <w:rPr>
                <w:rFonts w:ascii="Times New Roman" w:hAnsi="Times New Roman"/>
                <w:i/>
              </w:rPr>
              <w:t>de novo</w:t>
            </w:r>
            <w:r w:rsidRPr="00EE40F4">
              <w:rPr>
                <w:rFonts w:ascii="Times New Roman" w:hAnsi="Times New Roman"/>
              </w:rPr>
              <w:t xml:space="preserve"> Ph+ ALL)</w:t>
            </w:r>
          </w:p>
        </w:tc>
        <w:tc>
          <w:tcPr>
            <w:tcW w:w="6537" w:type="dxa"/>
          </w:tcPr>
          <w:p w14:paraId="7110F3F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Daunorubicín 30 mg/m</w:t>
            </w:r>
            <w:r w:rsidRPr="00EE40F4">
              <w:rPr>
                <w:rFonts w:ascii="Times New Roman" w:hAnsi="Times New Roman"/>
                <w:vertAlign w:val="superscript"/>
              </w:rPr>
              <w:t>2</w:t>
            </w:r>
            <w:r w:rsidRPr="00EE40F4">
              <w:rPr>
                <w:rFonts w:ascii="Times New Roman" w:hAnsi="Times New Roman"/>
              </w:rPr>
              <w:t xml:space="preserve"> i.v., dni 1-3, 15-16; VCR 2 mg celková dávka i.v., dni 1, 8, 15, 22; CP 750 mg/m</w:t>
            </w:r>
            <w:r w:rsidRPr="00EE40F4">
              <w:rPr>
                <w:rFonts w:ascii="Times New Roman" w:hAnsi="Times New Roman"/>
                <w:vertAlign w:val="superscript"/>
              </w:rPr>
              <w:t>2</w:t>
            </w:r>
            <w:r w:rsidRPr="00EE40F4">
              <w:rPr>
                <w:rFonts w:ascii="Times New Roman" w:hAnsi="Times New Roman"/>
              </w:rPr>
              <w:t xml:space="preserve"> i.v., dni 1, 8; prednizón 60 mg/m</w:t>
            </w:r>
            <w:r w:rsidRPr="00EE40F4">
              <w:rPr>
                <w:rFonts w:ascii="Times New Roman" w:hAnsi="Times New Roman"/>
                <w:vertAlign w:val="superscript"/>
              </w:rPr>
              <w:t>2</w:t>
            </w:r>
            <w:r w:rsidRPr="00EE40F4">
              <w:rPr>
                <w:rFonts w:ascii="Times New Roman" w:hAnsi="Times New Roman"/>
              </w:rPr>
              <w:t xml:space="preserve"> perorálne, dni 1-7, 15-21; IDA 9 mg/m</w:t>
            </w:r>
            <w:r w:rsidRPr="00EE40F4">
              <w:rPr>
                <w:rFonts w:ascii="Times New Roman" w:hAnsi="Times New Roman"/>
                <w:vertAlign w:val="superscript"/>
              </w:rPr>
              <w:t>2</w:t>
            </w:r>
            <w:r w:rsidRPr="00EE40F4">
              <w:rPr>
                <w:rFonts w:ascii="Times New Roman" w:hAnsi="Times New Roman"/>
              </w:rPr>
              <w:t xml:space="preserve"> perorálne, dni 1-28; MTX 15 mg intratekálne, dni 1, 8, 15, 22; Ara-C 40 mg/m</w:t>
            </w:r>
            <w:r w:rsidRPr="00EE40F4">
              <w:rPr>
                <w:rFonts w:ascii="Times New Roman" w:hAnsi="Times New Roman"/>
                <w:vertAlign w:val="superscript"/>
              </w:rPr>
              <w:t>2</w:t>
            </w:r>
            <w:r w:rsidRPr="00EE40F4">
              <w:rPr>
                <w:rFonts w:ascii="Times New Roman" w:hAnsi="Times New Roman"/>
              </w:rPr>
              <w:t xml:space="preserve"> intratekálne, dni 1, 8, 15, 22; metylprednizolón 40 mg intratekálne, dni 1, 8, 15, 22</w:t>
            </w:r>
          </w:p>
        </w:tc>
      </w:tr>
      <w:tr w:rsidR="006F012E" w:rsidRPr="00EE40F4" w14:paraId="149C9F3F" w14:textId="77777777" w:rsidTr="00D63EC4">
        <w:tc>
          <w:tcPr>
            <w:tcW w:w="2977" w:type="dxa"/>
          </w:tcPr>
          <w:p w14:paraId="57B56F1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Konsolidácia (</w:t>
            </w:r>
            <w:r w:rsidRPr="00EE40F4">
              <w:rPr>
                <w:rFonts w:ascii="Times New Roman" w:hAnsi="Times New Roman"/>
                <w:i/>
              </w:rPr>
              <w:t>de novo</w:t>
            </w:r>
            <w:r w:rsidRPr="00EE40F4">
              <w:rPr>
                <w:rFonts w:ascii="Times New Roman" w:hAnsi="Times New Roman"/>
              </w:rPr>
              <w:t xml:space="preserve"> Ph+ ALL)</w:t>
            </w:r>
          </w:p>
        </w:tc>
        <w:tc>
          <w:tcPr>
            <w:tcW w:w="6537" w:type="dxa"/>
          </w:tcPr>
          <w:p w14:paraId="66743ED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1 000 mg/m</w:t>
            </w:r>
            <w:r w:rsidRPr="00EE40F4">
              <w:rPr>
                <w:rFonts w:ascii="Times New Roman" w:hAnsi="Times New Roman"/>
                <w:vertAlign w:val="superscript"/>
              </w:rPr>
              <w:t>2</w:t>
            </w:r>
            <w:r w:rsidRPr="00EE40F4">
              <w:rPr>
                <w:rFonts w:ascii="Times New Roman" w:hAnsi="Times New Roman"/>
              </w:rPr>
              <w:t>/12 h i.v.(3 h), dni 1-4; mitoxantrón 10 mg/m</w:t>
            </w:r>
            <w:r w:rsidRPr="00EE40F4">
              <w:rPr>
                <w:rFonts w:ascii="Times New Roman" w:hAnsi="Times New Roman"/>
                <w:vertAlign w:val="superscript"/>
              </w:rPr>
              <w:t>2</w:t>
            </w:r>
            <w:r w:rsidRPr="00EE40F4">
              <w:rPr>
                <w:rFonts w:ascii="Times New Roman" w:hAnsi="Times New Roman"/>
              </w:rPr>
              <w:t xml:space="preserve"> i.v. dni 3-5; MTX 15 mg intratekálne, deň 1; metylprednizolón 40 mg intratekálne, deň 1</w:t>
            </w:r>
          </w:p>
        </w:tc>
      </w:tr>
      <w:tr w:rsidR="006F012E" w:rsidRPr="00EE40F4" w14:paraId="2D4407AC" w14:textId="77777777" w:rsidTr="00D63EC4">
        <w:tc>
          <w:tcPr>
            <w:tcW w:w="9514" w:type="dxa"/>
            <w:gridSpan w:val="2"/>
          </w:tcPr>
          <w:p w14:paraId="5795EA2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ADE04</w:t>
            </w:r>
          </w:p>
        </w:tc>
      </w:tr>
      <w:tr w:rsidR="006F012E" w:rsidRPr="00EE40F4" w14:paraId="392BBD47" w14:textId="77777777" w:rsidTr="00D63EC4">
        <w:trPr>
          <w:trHeight w:val="662"/>
        </w:trPr>
        <w:tc>
          <w:tcPr>
            <w:tcW w:w="2977" w:type="dxa"/>
          </w:tcPr>
          <w:p w14:paraId="25E72B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Prefáza</w:t>
            </w:r>
          </w:p>
        </w:tc>
        <w:tc>
          <w:tcPr>
            <w:tcW w:w="6537" w:type="dxa"/>
          </w:tcPr>
          <w:p w14:paraId="3089FFE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CP 200 mg/m</w:t>
            </w:r>
            <w:r w:rsidRPr="00EE40F4">
              <w:rPr>
                <w:rFonts w:ascii="Times New Roman" w:hAnsi="Times New Roman"/>
                <w:vertAlign w:val="superscript"/>
              </w:rPr>
              <w:t>2</w:t>
            </w:r>
            <w:r w:rsidRPr="00EE40F4">
              <w:rPr>
                <w:rFonts w:ascii="Times New Roman" w:hAnsi="Times New Roman"/>
              </w:rPr>
              <w:t xml:space="preserve"> i.v., dni 3-5; MTX 15 mg intratekálne, deň 1</w:t>
            </w:r>
          </w:p>
        </w:tc>
      </w:tr>
      <w:tr w:rsidR="006F012E" w:rsidRPr="00EE40F4" w14:paraId="3865D931" w14:textId="77777777" w:rsidTr="00D63EC4">
        <w:trPr>
          <w:trHeight w:val="557"/>
        </w:trPr>
        <w:tc>
          <w:tcPr>
            <w:tcW w:w="2977" w:type="dxa"/>
          </w:tcPr>
          <w:p w14:paraId="5E091DA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I</w:t>
            </w:r>
          </w:p>
        </w:tc>
        <w:tc>
          <w:tcPr>
            <w:tcW w:w="6537" w:type="dxa"/>
          </w:tcPr>
          <w:p w14:paraId="1EC2F60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VCR 2 mg i.v., dni 6, 13, 20; daunorubicín 45 mg/m</w:t>
            </w:r>
            <w:r w:rsidRPr="00EE40F4">
              <w:rPr>
                <w:rFonts w:ascii="Times New Roman" w:hAnsi="Times New Roman"/>
                <w:vertAlign w:val="superscript"/>
              </w:rPr>
              <w:t>2</w:t>
            </w:r>
            <w:r w:rsidRPr="00EE40F4">
              <w:rPr>
                <w:rFonts w:ascii="Times New Roman" w:hAnsi="Times New Roman"/>
              </w:rPr>
              <w:t xml:space="preserve"> i.v., dni 6-7, 13-14</w:t>
            </w:r>
          </w:p>
        </w:tc>
      </w:tr>
      <w:tr w:rsidR="006F012E" w:rsidRPr="00EE40F4" w14:paraId="18605436" w14:textId="77777777" w:rsidTr="00D63EC4">
        <w:trPr>
          <w:trHeight w:val="551"/>
        </w:trPr>
        <w:tc>
          <w:tcPr>
            <w:tcW w:w="2977" w:type="dxa"/>
          </w:tcPr>
          <w:p w14:paraId="3649F46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II</w:t>
            </w:r>
          </w:p>
        </w:tc>
        <w:tc>
          <w:tcPr>
            <w:tcW w:w="6537" w:type="dxa"/>
          </w:tcPr>
          <w:p w14:paraId="4E3312A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 1 g/m</w:t>
            </w:r>
            <w:r w:rsidRPr="00EE40F4">
              <w:rPr>
                <w:rFonts w:ascii="Times New Roman" w:hAnsi="Times New Roman"/>
                <w:vertAlign w:val="superscript"/>
              </w:rPr>
              <w:t>2</w:t>
            </w:r>
            <w:r w:rsidRPr="00EE40F4">
              <w:rPr>
                <w:rFonts w:ascii="Times New Roman" w:hAnsi="Times New Roman"/>
              </w:rPr>
              <w:t xml:space="preserve"> i.v. (1 h), dni 26, 46; Ara-C 75 mg/m</w:t>
            </w:r>
            <w:r w:rsidRPr="00EE40F4">
              <w:rPr>
                <w:rFonts w:ascii="Times New Roman" w:hAnsi="Times New Roman"/>
                <w:vertAlign w:val="superscript"/>
              </w:rPr>
              <w:t>2</w:t>
            </w:r>
            <w:r w:rsidRPr="00EE40F4">
              <w:rPr>
                <w:rFonts w:ascii="Times New Roman" w:hAnsi="Times New Roman"/>
              </w:rPr>
              <w:t xml:space="preserve"> i.v. (1 h), dni 28-31, 35-38, 42-45; 6-MP 60 mg/m</w:t>
            </w:r>
            <w:r w:rsidRPr="00EE40F4">
              <w:rPr>
                <w:rFonts w:ascii="Times New Roman" w:hAnsi="Times New Roman"/>
                <w:vertAlign w:val="superscript"/>
              </w:rPr>
              <w:t>2</w:t>
            </w:r>
            <w:r w:rsidRPr="00EE40F4">
              <w:rPr>
                <w:rFonts w:ascii="Times New Roman" w:hAnsi="Times New Roman"/>
              </w:rPr>
              <w:t xml:space="preserve"> perorálne, dni 26-46</w:t>
            </w:r>
          </w:p>
        </w:tc>
      </w:tr>
      <w:tr w:rsidR="006F012E" w:rsidRPr="00EE40F4" w14:paraId="6B2B0891" w14:textId="77777777" w:rsidTr="00D63EC4">
        <w:tc>
          <w:tcPr>
            <w:tcW w:w="2977" w:type="dxa"/>
          </w:tcPr>
          <w:p w14:paraId="428B5B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tc>
        <w:tc>
          <w:tcPr>
            <w:tcW w:w="6537" w:type="dxa"/>
          </w:tcPr>
          <w:p w14:paraId="774347E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vindezín 3 mg/m</w:t>
            </w:r>
            <w:r w:rsidRPr="00EE40F4">
              <w:rPr>
                <w:rFonts w:ascii="Times New Roman" w:hAnsi="Times New Roman"/>
                <w:vertAlign w:val="superscript"/>
              </w:rPr>
              <w:t>2</w:t>
            </w:r>
            <w:r w:rsidRPr="00EE40F4">
              <w:rPr>
                <w:rFonts w:ascii="Times New Roman" w:hAnsi="Times New Roman"/>
              </w:rPr>
              <w:t xml:space="preserve"> i.v., deň 1; MTX 1,5 g/m</w:t>
            </w:r>
            <w:r w:rsidRPr="00EE40F4">
              <w:rPr>
                <w:rFonts w:ascii="Times New Roman" w:hAnsi="Times New Roman"/>
                <w:vertAlign w:val="superscript"/>
              </w:rPr>
              <w:t>2</w:t>
            </w:r>
            <w:r w:rsidRPr="00EE40F4">
              <w:rPr>
                <w:rFonts w:ascii="Times New Roman" w:hAnsi="Times New Roman"/>
              </w:rPr>
              <w:t xml:space="preserve"> i.v. (24 h), deň 1; etopozid 250 mg/m</w:t>
            </w:r>
            <w:r w:rsidRPr="00EE40F4">
              <w:rPr>
                <w:rFonts w:ascii="Times New Roman" w:hAnsi="Times New Roman"/>
                <w:vertAlign w:val="superscript"/>
              </w:rPr>
              <w:t>2</w:t>
            </w:r>
            <w:r w:rsidRPr="00EE40F4">
              <w:rPr>
                <w:rFonts w:ascii="Times New Roman" w:hAnsi="Times New Roman"/>
              </w:rPr>
              <w:t xml:space="preserve"> i.v. (1 h) dni 4-5; Ara-C 2 x 2 g/m</w:t>
            </w:r>
            <w:r w:rsidRPr="00EE40F4">
              <w:rPr>
                <w:rFonts w:ascii="Times New Roman" w:hAnsi="Times New Roman"/>
                <w:vertAlign w:val="superscript"/>
              </w:rPr>
              <w:t>2</w:t>
            </w:r>
            <w:r w:rsidRPr="00EE40F4">
              <w:rPr>
                <w:rFonts w:ascii="Times New Roman" w:hAnsi="Times New Roman"/>
              </w:rPr>
              <w:t xml:space="preserve"> i.v. (3 h, q 12 h), deň 5</w:t>
            </w:r>
          </w:p>
        </w:tc>
      </w:tr>
      <w:tr w:rsidR="006F012E" w:rsidRPr="00EE40F4" w14:paraId="7C31107D" w14:textId="77777777" w:rsidTr="00D63EC4">
        <w:tc>
          <w:tcPr>
            <w:tcW w:w="9514" w:type="dxa"/>
            <w:gridSpan w:val="2"/>
          </w:tcPr>
          <w:p w14:paraId="6CF488C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AJP01</w:t>
            </w:r>
          </w:p>
        </w:tc>
      </w:tr>
      <w:tr w:rsidR="006F012E" w:rsidRPr="00EE40F4" w14:paraId="5526A4F1" w14:textId="77777777" w:rsidTr="00D63EC4">
        <w:trPr>
          <w:trHeight w:val="801"/>
        </w:trPr>
        <w:tc>
          <w:tcPr>
            <w:tcW w:w="2977" w:type="dxa"/>
          </w:tcPr>
          <w:p w14:paraId="01527A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w:t>
            </w:r>
          </w:p>
        </w:tc>
        <w:tc>
          <w:tcPr>
            <w:tcW w:w="6537" w:type="dxa"/>
          </w:tcPr>
          <w:p w14:paraId="5433754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 1,2 g/m</w:t>
            </w:r>
            <w:r w:rsidRPr="00EE40F4">
              <w:rPr>
                <w:rFonts w:ascii="Times New Roman" w:hAnsi="Times New Roman"/>
                <w:vertAlign w:val="superscript"/>
              </w:rPr>
              <w:t>2</w:t>
            </w:r>
            <w:r w:rsidRPr="00EE40F4">
              <w:rPr>
                <w:rFonts w:ascii="Times New Roman" w:hAnsi="Times New Roman"/>
              </w:rPr>
              <w:t xml:space="preserve"> i.v. (3 h), deň 1; daunorubicín 60 mg/m</w:t>
            </w:r>
            <w:r w:rsidRPr="00EE40F4">
              <w:rPr>
                <w:rFonts w:ascii="Times New Roman" w:hAnsi="Times New Roman"/>
                <w:vertAlign w:val="superscript"/>
              </w:rPr>
              <w:t>2</w:t>
            </w:r>
            <w:r w:rsidRPr="00EE40F4">
              <w:rPr>
                <w:rFonts w:ascii="Times New Roman" w:hAnsi="Times New Roman"/>
              </w:rPr>
              <w:t xml:space="preserve"> i.v. (1 h), dni 1-3; vinkristín 1,3 mg/m</w:t>
            </w:r>
            <w:r w:rsidRPr="00EE40F4">
              <w:rPr>
                <w:rFonts w:ascii="Times New Roman" w:hAnsi="Times New Roman"/>
                <w:vertAlign w:val="superscript"/>
              </w:rPr>
              <w:t>2</w:t>
            </w:r>
            <w:r w:rsidRPr="00EE40F4">
              <w:rPr>
                <w:rFonts w:ascii="Times New Roman" w:hAnsi="Times New Roman"/>
              </w:rPr>
              <w:t xml:space="preserve"> i.v., dni 1, 8, 15, 21; prednizolón 60 mg/m</w:t>
            </w:r>
            <w:r w:rsidRPr="00EE40F4">
              <w:rPr>
                <w:rFonts w:ascii="Times New Roman" w:hAnsi="Times New Roman"/>
                <w:vertAlign w:val="superscript"/>
              </w:rPr>
              <w:t>2</w:t>
            </w:r>
            <w:r w:rsidRPr="00EE40F4">
              <w:rPr>
                <w:rFonts w:ascii="Times New Roman" w:hAnsi="Times New Roman"/>
              </w:rPr>
              <w:t>/deň perorálne</w:t>
            </w:r>
          </w:p>
        </w:tc>
      </w:tr>
      <w:tr w:rsidR="006F012E" w:rsidRPr="00EE40F4" w14:paraId="6AA70B52" w14:textId="77777777" w:rsidTr="00D63EC4">
        <w:trPr>
          <w:trHeight w:val="841"/>
        </w:trPr>
        <w:tc>
          <w:tcPr>
            <w:tcW w:w="2977" w:type="dxa"/>
          </w:tcPr>
          <w:p w14:paraId="4692A4C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tc>
        <w:tc>
          <w:tcPr>
            <w:tcW w:w="6537" w:type="dxa"/>
          </w:tcPr>
          <w:p w14:paraId="02C8C12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Striedavý cyklus chemoterapie: chemoterapia vysokými dávkami MTX 1 g/m</w:t>
            </w:r>
            <w:r w:rsidRPr="00EE40F4">
              <w:rPr>
                <w:rFonts w:ascii="Times New Roman" w:hAnsi="Times New Roman"/>
                <w:vertAlign w:val="superscript"/>
              </w:rPr>
              <w:t>2</w:t>
            </w:r>
            <w:r w:rsidRPr="00EE40F4">
              <w:rPr>
                <w:rFonts w:ascii="Times New Roman" w:hAnsi="Times New Roman"/>
              </w:rPr>
              <w:t xml:space="preserve"> i.v. (24 h), deň 1, a Ara-C 2 g/m</w:t>
            </w:r>
            <w:r w:rsidRPr="00EE40F4">
              <w:rPr>
                <w:rFonts w:ascii="Times New Roman" w:hAnsi="Times New Roman"/>
                <w:vertAlign w:val="superscript"/>
              </w:rPr>
              <w:t>2</w:t>
            </w:r>
            <w:r w:rsidRPr="00EE40F4">
              <w:rPr>
                <w:rFonts w:ascii="Times New Roman" w:hAnsi="Times New Roman"/>
              </w:rPr>
              <w:t xml:space="preserve"> i.v. (q 12 h), dni 2-3, počas 4 cyklov</w:t>
            </w:r>
          </w:p>
        </w:tc>
      </w:tr>
      <w:tr w:rsidR="006F012E" w:rsidRPr="00EE40F4" w14:paraId="56398229" w14:textId="77777777" w:rsidTr="00D63EC4">
        <w:tc>
          <w:tcPr>
            <w:tcW w:w="2977" w:type="dxa"/>
          </w:tcPr>
          <w:p w14:paraId="256A494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tc>
        <w:tc>
          <w:tcPr>
            <w:tcW w:w="6537" w:type="dxa"/>
          </w:tcPr>
          <w:p w14:paraId="798AA06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1,3 g/m</w:t>
            </w:r>
            <w:r w:rsidRPr="00EE40F4">
              <w:rPr>
                <w:rFonts w:ascii="Times New Roman" w:hAnsi="Times New Roman"/>
                <w:vertAlign w:val="superscript"/>
              </w:rPr>
              <w:t>2</w:t>
            </w:r>
            <w:r w:rsidRPr="00EE40F4">
              <w:rPr>
                <w:rFonts w:ascii="Times New Roman" w:hAnsi="Times New Roman"/>
              </w:rPr>
              <w:t xml:space="preserve"> i.v., deň 1; prednizolón 60 mg/m</w:t>
            </w:r>
            <w:r w:rsidRPr="00EE40F4">
              <w:rPr>
                <w:rFonts w:ascii="Times New Roman" w:hAnsi="Times New Roman"/>
                <w:vertAlign w:val="superscript"/>
              </w:rPr>
              <w:t>2</w:t>
            </w:r>
            <w:r w:rsidRPr="00EE40F4">
              <w:rPr>
                <w:rFonts w:ascii="Times New Roman" w:hAnsi="Times New Roman"/>
              </w:rPr>
              <w:t xml:space="preserve"> perorálne, dni 1-5</w:t>
            </w:r>
          </w:p>
        </w:tc>
      </w:tr>
      <w:tr w:rsidR="006F012E" w:rsidRPr="00EE40F4" w14:paraId="6D3FA3CA" w14:textId="77777777" w:rsidTr="00D63EC4">
        <w:tc>
          <w:tcPr>
            <w:tcW w:w="9514" w:type="dxa"/>
            <w:gridSpan w:val="2"/>
          </w:tcPr>
          <w:p w14:paraId="774355C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AUS01</w:t>
            </w:r>
          </w:p>
        </w:tc>
      </w:tr>
      <w:tr w:rsidR="006F012E" w:rsidRPr="00EE40F4" w14:paraId="07DF6302" w14:textId="77777777" w:rsidTr="00D63EC4">
        <w:trPr>
          <w:trHeight w:val="552"/>
        </w:trPr>
        <w:tc>
          <w:tcPr>
            <w:tcW w:w="2977" w:type="dxa"/>
          </w:tcPr>
          <w:p w14:paraId="3D7B623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Indukčno – konsolidačná liečba</w:t>
            </w:r>
          </w:p>
        </w:tc>
        <w:tc>
          <w:tcPr>
            <w:tcW w:w="6537" w:type="dxa"/>
          </w:tcPr>
          <w:p w14:paraId="417385C3" w14:textId="77777777" w:rsidR="006F012E" w:rsidRPr="00EE40F4" w:rsidRDefault="006F012E" w:rsidP="00A0574D">
            <w:pPr>
              <w:pStyle w:val="Odsekzoznamu1"/>
              <w:spacing w:after="0" w:line="240" w:lineRule="auto"/>
              <w:ind w:left="0"/>
              <w:rPr>
                <w:rFonts w:ascii="Times New Roman" w:hAnsi="Times New Roman"/>
              </w:rPr>
            </w:pPr>
            <w:r w:rsidRPr="00EE40F4">
              <w:rPr>
                <w:rFonts w:ascii="Times New Roman" w:hAnsi="Times New Roman"/>
              </w:rPr>
              <w:t>Režim hyper-CVAD: CP 300 mg/m</w:t>
            </w:r>
            <w:r w:rsidRPr="00EE40F4">
              <w:rPr>
                <w:rFonts w:ascii="Times New Roman" w:hAnsi="Times New Roman"/>
                <w:vertAlign w:val="superscript"/>
              </w:rPr>
              <w:t>2</w:t>
            </w:r>
            <w:r w:rsidRPr="00EE40F4">
              <w:rPr>
                <w:rFonts w:ascii="Times New Roman" w:hAnsi="Times New Roman"/>
              </w:rPr>
              <w:t xml:space="preserve"> i.v. (3 h, q 12 h), dni 1-3; vinkristín 2 mg i.v., dni 4, 11; doxorubicín 50 mg/m</w:t>
            </w:r>
            <w:r w:rsidRPr="00EE40F4">
              <w:rPr>
                <w:rFonts w:ascii="Times New Roman" w:hAnsi="Times New Roman"/>
                <w:vertAlign w:val="superscript"/>
              </w:rPr>
              <w:t>2</w:t>
            </w:r>
            <w:r w:rsidRPr="00EE40F4">
              <w:rPr>
                <w:rFonts w:ascii="Times New Roman" w:hAnsi="Times New Roman"/>
              </w:rPr>
              <w:t xml:space="preserve"> i.v. (24 h), deň 4; DEX 40 mg/</w:t>
            </w:r>
            <w:r w:rsidR="00A0574D" w:rsidRPr="00EE40F4">
              <w:rPr>
                <w:rFonts w:ascii="Times New Roman" w:hAnsi="Times New Roman"/>
              </w:rPr>
              <w:t xml:space="preserve">deň </w:t>
            </w:r>
            <w:r w:rsidRPr="00EE40F4">
              <w:rPr>
                <w:rFonts w:ascii="Times New Roman" w:hAnsi="Times New Roman"/>
              </w:rPr>
              <w:t>v dňoch 1-4 a 11-14, striedavo s MTX 1 g/m</w:t>
            </w:r>
            <w:r w:rsidRPr="00EE40F4">
              <w:rPr>
                <w:rFonts w:ascii="Times New Roman" w:hAnsi="Times New Roman"/>
                <w:vertAlign w:val="superscript"/>
              </w:rPr>
              <w:t>2</w:t>
            </w:r>
            <w:r w:rsidRPr="00EE40F4">
              <w:rPr>
                <w:rFonts w:ascii="Times New Roman" w:hAnsi="Times New Roman"/>
              </w:rPr>
              <w:t xml:space="preserve"> i.v. (24 h), deň 1, Ara-C 1 g/m</w:t>
            </w:r>
            <w:r w:rsidRPr="00EE40F4">
              <w:rPr>
                <w:rFonts w:ascii="Times New Roman" w:hAnsi="Times New Roman"/>
                <w:vertAlign w:val="superscript"/>
              </w:rPr>
              <w:t>2</w:t>
            </w:r>
            <w:r w:rsidRPr="00EE40F4">
              <w:rPr>
                <w:rFonts w:ascii="Times New Roman" w:hAnsi="Times New Roman"/>
              </w:rPr>
              <w:t xml:space="preserve"> i.v. (2 h, q 12 h), dni 2-3 (celkovo 8 cyklov)</w:t>
            </w:r>
          </w:p>
        </w:tc>
      </w:tr>
      <w:tr w:rsidR="006F012E" w:rsidRPr="00EE40F4" w14:paraId="36254C2D" w14:textId="77777777" w:rsidTr="00D63EC4">
        <w:trPr>
          <w:trHeight w:val="560"/>
        </w:trPr>
        <w:tc>
          <w:tcPr>
            <w:tcW w:w="2977" w:type="dxa"/>
          </w:tcPr>
          <w:p w14:paraId="1FE5FD0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tc>
        <w:tc>
          <w:tcPr>
            <w:tcW w:w="6537" w:type="dxa"/>
          </w:tcPr>
          <w:p w14:paraId="55298D7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2 mg i.v. každý mesiac počas 13 mesiacov; prednizolón 200 mg perorálne, 5 dní v mesiaci počas 13 mesiacov</w:t>
            </w:r>
          </w:p>
        </w:tc>
      </w:tr>
      <w:tr w:rsidR="006F012E" w:rsidRPr="00EE40F4" w14:paraId="170AAAEF" w14:textId="77777777" w:rsidTr="00D63EC4">
        <w:trPr>
          <w:trHeight w:val="271"/>
        </w:trPr>
        <w:tc>
          <w:tcPr>
            <w:tcW w:w="9514" w:type="dxa"/>
            <w:gridSpan w:val="2"/>
          </w:tcPr>
          <w:p w14:paraId="4FE81F6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Všetky režimy liečby zahŕňajú podanie steroidov na profylaxiu CNS.</w:t>
            </w:r>
          </w:p>
        </w:tc>
      </w:tr>
      <w:tr w:rsidR="006F012E" w:rsidRPr="00EE40F4" w14:paraId="0078F860" w14:textId="77777777" w:rsidTr="00D63EC4">
        <w:trPr>
          <w:trHeight w:val="558"/>
        </w:trPr>
        <w:tc>
          <w:tcPr>
            <w:tcW w:w="9514" w:type="dxa"/>
            <w:gridSpan w:val="2"/>
          </w:tcPr>
          <w:p w14:paraId="0F4C62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cytozínarabinozid; CP: cyklofosfamid; DEX: dexametazón; MTX: metotrexát; 6-MP: 6-merkaptopurín; VM26: tenipozid; VCR: vinkristín; IDA: idarubicín; i.v.: intravenózne</w:t>
            </w:r>
          </w:p>
        </w:tc>
      </w:tr>
    </w:tbl>
    <w:p w14:paraId="3BDD30AD" w14:textId="77777777" w:rsidR="006F012E" w:rsidRPr="00EE40F4" w:rsidRDefault="006F012E" w:rsidP="006F012E">
      <w:pPr>
        <w:pStyle w:val="Odsekzoznamu1"/>
        <w:spacing w:after="0" w:line="240" w:lineRule="auto"/>
        <w:ind w:left="0"/>
        <w:rPr>
          <w:rFonts w:ascii="Times New Roman" w:hAnsi="Times New Roman"/>
        </w:rPr>
      </w:pPr>
    </w:p>
    <w:p w14:paraId="2FA1205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i/>
        </w:rPr>
        <w:lastRenderedPageBreak/>
        <w:t>Pediatrickí pacienti:</w:t>
      </w:r>
      <w:r w:rsidRPr="00EE40F4">
        <w:rPr>
          <w:rFonts w:ascii="Times New Roman" w:hAnsi="Times New Roman"/>
        </w:rPr>
        <w:t xml:space="preserve"> V štúdii I2301, otvorenom multicentrickom, sekvenčne kohortnom, nerandomizovanom klinickom skúšaní fázy III bolo celkovo zaradených 93 detských, dospievajúcich a mladších dospelých pacientov (vo veku od 1 do 22 rokov) s Ph+ ALL, ktorí boli liečení imatinibom (340 mg/m</w:t>
      </w:r>
      <w:r w:rsidRPr="00EE40F4">
        <w:rPr>
          <w:rFonts w:ascii="Times New Roman" w:hAnsi="Times New Roman"/>
          <w:vertAlign w:val="superscript"/>
        </w:rPr>
        <w:t>2</w:t>
      </w:r>
      <w:r w:rsidRPr="00EE40F4">
        <w:rPr>
          <w:rFonts w:ascii="Times New Roman" w:hAnsi="Times New Roman"/>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s nepretržitým denným dávkovaním imatinibu počas prvého liečebného cyklu chemoterapiou).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EE40F4">
        <w:rPr>
          <w:rFonts w:ascii="Times New Roman" w:hAnsi="Times New Roman"/>
        </w:rPr>
        <w:t xml:space="preserve">transplantáciu </w:t>
      </w:r>
      <w:r w:rsidRPr="00EE40F4">
        <w:rPr>
          <w:rFonts w:ascii="Times New Roman" w:hAnsi="Times New Roman"/>
        </w:rPr>
        <w:t>hematopoetických kmeňových buniek.</w:t>
      </w:r>
    </w:p>
    <w:p w14:paraId="5363419D" w14:textId="77777777" w:rsidR="006F012E" w:rsidRPr="00EE40F4" w:rsidRDefault="006F012E" w:rsidP="006F012E">
      <w:pPr>
        <w:pStyle w:val="Odsekzoznamu1"/>
        <w:spacing w:after="0" w:line="240" w:lineRule="auto"/>
        <w:ind w:left="0"/>
        <w:rPr>
          <w:rFonts w:ascii="Times New Roman" w:hAnsi="Times New Roman"/>
        </w:rPr>
      </w:pPr>
    </w:p>
    <w:p w14:paraId="21D8F5DC" w14:textId="77777777" w:rsidR="006F012E" w:rsidRPr="00EE40F4" w:rsidRDefault="006F012E" w:rsidP="006F012E">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5</w:t>
      </w:r>
      <w:r w:rsidRPr="00EE40F4">
        <w:rPr>
          <w:rFonts w:ascii="Times New Roman" w:hAnsi="Times New Roman"/>
          <w:b/>
        </w:rPr>
        <w:tab/>
        <w:t>Režim chemoterapie použitý v kombinácii s imatinibom v štúdii I2301</w:t>
      </w:r>
    </w:p>
    <w:p w14:paraId="1B5CB9E3" w14:textId="77777777" w:rsidR="006F012E" w:rsidRPr="00EE40F4" w:rsidRDefault="006F012E" w:rsidP="006F012E">
      <w:pPr>
        <w:pStyle w:val="Odsekzoznamu1"/>
        <w:spacing w:after="0"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505"/>
      </w:tblGrid>
      <w:tr w:rsidR="006F012E" w:rsidRPr="00EE40F4" w14:paraId="42DD2463" w14:textId="77777777" w:rsidTr="00D63EC4">
        <w:tc>
          <w:tcPr>
            <w:tcW w:w="2660" w:type="dxa"/>
          </w:tcPr>
          <w:p w14:paraId="4F53FF7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Konsolidačný blok 1 (3 týždne)</w:t>
            </w:r>
          </w:p>
        </w:tc>
        <w:tc>
          <w:tcPr>
            <w:tcW w:w="6962" w:type="dxa"/>
          </w:tcPr>
          <w:p w14:paraId="647BAB4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1-5</w:t>
            </w:r>
          </w:p>
          <w:p w14:paraId="7766AE1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Ifosfamid (1,8 g/m</w:t>
            </w:r>
            <w:r w:rsidRPr="00EE40F4">
              <w:rPr>
                <w:rFonts w:ascii="Times New Roman" w:hAnsi="Times New Roman"/>
                <w:vertAlign w:val="superscript"/>
              </w:rPr>
              <w:t>2</w:t>
            </w:r>
            <w:r w:rsidRPr="00EE40F4">
              <w:rPr>
                <w:rFonts w:ascii="Times New Roman" w:hAnsi="Times New Roman"/>
              </w:rPr>
              <w:t>/deň, i.v.): dni 1-5</w:t>
            </w:r>
          </w:p>
          <w:p w14:paraId="3931866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(360 mg/m</w:t>
            </w:r>
            <w:r w:rsidRPr="00EE40F4">
              <w:rPr>
                <w:rFonts w:ascii="Times New Roman" w:hAnsi="Times New Roman"/>
                <w:vertAlign w:val="superscript"/>
              </w:rPr>
              <w:t>2</w:t>
            </w:r>
            <w:r w:rsidRPr="00EE40F4">
              <w:rPr>
                <w:rFonts w:ascii="Times New Roman" w:hAnsi="Times New Roman"/>
              </w:rPr>
              <w:t>/dávka q3h, x 8 dávok/deň, i.v.): dni 1-5</w:t>
            </w:r>
          </w:p>
          <w:p w14:paraId="3BFD82AB"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6-15 alebo pokiaľ ANC &gt;1500 po najväčšom poklese</w:t>
            </w:r>
          </w:p>
          <w:p w14:paraId="078AB9E2"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Metotrexát i.t. (upravený podľa veku): IBA deň 1</w:t>
            </w:r>
          </w:p>
          <w:p w14:paraId="7009CBD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spacing w:val="-2"/>
              </w:rPr>
              <w:t>Trojitá i.t. liečba (upravená podľa veku): dni 8, 15</w:t>
            </w:r>
          </w:p>
        </w:tc>
      </w:tr>
      <w:tr w:rsidR="006F012E" w:rsidRPr="00EE40F4" w14:paraId="42985D5A" w14:textId="77777777" w:rsidTr="00D63EC4">
        <w:tc>
          <w:tcPr>
            <w:tcW w:w="2660" w:type="dxa"/>
          </w:tcPr>
          <w:p w14:paraId="38C9AF6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Konsolidačný blok 2 (3 týždne)</w:t>
            </w:r>
          </w:p>
        </w:tc>
        <w:tc>
          <w:tcPr>
            <w:tcW w:w="6962" w:type="dxa"/>
          </w:tcPr>
          <w:p w14:paraId="2C5BAAB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i.v.):deň 1</w:t>
            </w:r>
          </w:p>
          <w:p w14:paraId="53AFDD5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hod, i.v.; 15 mg/m</w:t>
            </w:r>
            <w:r w:rsidRPr="00EE40F4">
              <w:rPr>
                <w:rFonts w:ascii="Times New Roman" w:hAnsi="Times New Roman"/>
                <w:vertAlign w:val="superscript"/>
              </w:rPr>
              <w:t>2</w:t>
            </w:r>
            <w:r w:rsidRPr="00EE40F4">
              <w:rPr>
                <w:rFonts w:ascii="Times New Roman" w:hAnsi="Times New Roman"/>
              </w:rPr>
              <w:t xml:space="preserve"> i.v. alebo p.o. q6h x 6 dávok)iii: dni 2 a 3</w:t>
            </w:r>
          </w:p>
          <w:p w14:paraId="1CCBC77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deň 1</w:t>
            </w:r>
          </w:p>
          <w:p w14:paraId="50B0378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(3 g/m</w:t>
            </w:r>
            <w:r w:rsidRPr="00EE40F4">
              <w:rPr>
                <w:rFonts w:ascii="Times New Roman" w:hAnsi="Times New Roman"/>
                <w:vertAlign w:val="superscript"/>
              </w:rPr>
              <w:t>2</w:t>
            </w:r>
            <w:r w:rsidRPr="00EE40F4">
              <w:rPr>
                <w:rFonts w:ascii="Times New Roman" w:hAnsi="Times New Roman"/>
              </w:rPr>
              <w:t>/dávka q 12 h x 4, i.v.): dni 2 a 3</w:t>
            </w:r>
          </w:p>
          <w:p w14:paraId="134E6C2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4-13 alebo pokiaľ ANC &gt;1500 po najväčšom poklese</w:t>
            </w:r>
          </w:p>
        </w:tc>
      </w:tr>
      <w:tr w:rsidR="006F012E" w:rsidRPr="00EE40F4" w14:paraId="3B11A61D" w14:textId="77777777" w:rsidTr="00D63EC4">
        <w:tc>
          <w:tcPr>
            <w:tcW w:w="2660" w:type="dxa"/>
          </w:tcPr>
          <w:p w14:paraId="6A42143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Reindukčný blok 1 (3 týždne)</w:t>
            </w:r>
          </w:p>
        </w:tc>
        <w:tc>
          <w:tcPr>
            <w:tcW w:w="6962" w:type="dxa"/>
          </w:tcPr>
          <w:p w14:paraId="040E8FF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8 a 15</w:t>
            </w:r>
          </w:p>
          <w:p w14:paraId="3DB5FEF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 (45 mg/m</w:t>
            </w:r>
            <w:r w:rsidRPr="00EE40F4">
              <w:rPr>
                <w:rFonts w:ascii="Times New Roman" w:hAnsi="Times New Roman"/>
                <w:vertAlign w:val="superscript"/>
              </w:rPr>
              <w:t>2</w:t>
            </w:r>
            <w:r w:rsidRPr="00EE40F4">
              <w:rPr>
                <w:rFonts w:ascii="Times New Roman" w:hAnsi="Times New Roman"/>
              </w:rPr>
              <w:t>/deň bolus, i.v.): dni 1 a 2</w:t>
            </w:r>
          </w:p>
          <w:p w14:paraId="0A0292A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(250 mg/m</w:t>
            </w:r>
            <w:r w:rsidRPr="00EE40F4">
              <w:rPr>
                <w:rFonts w:ascii="Times New Roman" w:hAnsi="Times New Roman"/>
                <w:vertAlign w:val="superscript"/>
              </w:rPr>
              <w:t>2</w:t>
            </w:r>
            <w:r w:rsidRPr="00EE40F4">
              <w:rPr>
                <w:rFonts w:ascii="Times New Roman" w:hAnsi="Times New Roman"/>
              </w:rPr>
              <w:t>/dávka q 12 h x 4 dávky, i.v.): dni 3 a 4</w:t>
            </w:r>
          </w:p>
          <w:p w14:paraId="1FC123D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PEG-ASP (2500 IU/m</w:t>
            </w:r>
            <w:r w:rsidRPr="00EE40F4">
              <w:rPr>
                <w:rFonts w:ascii="Times New Roman" w:hAnsi="Times New Roman"/>
                <w:vertAlign w:val="superscript"/>
              </w:rPr>
              <w:t>2</w:t>
            </w:r>
            <w:r w:rsidRPr="00EE40F4">
              <w:rPr>
                <w:rFonts w:ascii="Times New Roman" w:hAnsi="Times New Roman"/>
              </w:rPr>
              <w:t>, i.m.): deň 4</w:t>
            </w:r>
          </w:p>
          <w:p w14:paraId="4F884BF7"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5-14 alebo pokiaľ ANC &gt;1500 po najväčšom poklese</w:t>
            </w:r>
          </w:p>
          <w:p w14:paraId="3AD7154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15</w:t>
            </w:r>
          </w:p>
          <w:p w14:paraId="68590B4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1-7 a 15-21</w:t>
            </w:r>
          </w:p>
        </w:tc>
      </w:tr>
      <w:tr w:rsidR="006F012E" w:rsidRPr="00EE40F4" w14:paraId="6354916C" w14:textId="77777777" w:rsidTr="00D63EC4">
        <w:tc>
          <w:tcPr>
            <w:tcW w:w="2660" w:type="dxa"/>
          </w:tcPr>
          <w:p w14:paraId="2F1E76C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Intenzifikačný blok 1 (9 týždňov)</w:t>
            </w:r>
          </w:p>
        </w:tc>
        <w:tc>
          <w:tcPr>
            <w:tcW w:w="6962" w:type="dxa"/>
          </w:tcPr>
          <w:p w14:paraId="3EBFC51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 dni 1 a 15</w:t>
            </w:r>
          </w:p>
          <w:p w14:paraId="5DF9463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 )iii: dni 2, 3, 16 a 17</w:t>
            </w:r>
          </w:p>
          <w:p w14:paraId="3F08A38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22</w:t>
            </w:r>
          </w:p>
          <w:p w14:paraId="49760DD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22-26</w:t>
            </w:r>
          </w:p>
          <w:p w14:paraId="50FDD9D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/deň, i.v.): dni 22-26</w:t>
            </w:r>
          </w:p>
          <w:p w14:paraId="359B7D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(150 mg/m</w:t>
            </w:r>
            <w:r w:rsidRPr="00EE40F4">
              <w:rPr>
                <w:rFonts w:ascii="Times New Roman" w:hAnsi="Times New Roman"/>
                <w:vertAlign w:val="superscript"/>
              </w:rPr>
              <w:t>2</w:t>
            </w:r>
            <w:r w:rsidRPr="00EE40F4">
              <w:rPr>
                <w:rFonts w:ascii="Times New Roman" w:hAnsi="Times New Roman"/>
              </w:rPr>
              <w:t>/deň, i.v.): dni 22-26</w:t>
            </w:r>
          </w:p>
          <w:p w14:paraId="2937DF20"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27-36 alebo pokiaľ ANC &gt;1500 po najväčšom poklese</w:t>
            </w:r>
          </w:p>
          <w:p w14:paraId="5F779AAD"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ARA-C (3 g/m</w:t>
            </w:r>
            <w:r w:rsidRPr="00EE40F4">
              <w:rPr>
                <w:rFonts w:ascii="Times New Roman" w:hAnsi="Times New Roman"/>
                <w:spacing w:val="-2"/>
                <w:vertAlign w:val="superscript"/>
              </w:rPr>
              <w:t>2</w:t>
            </w:r>
            <w:r w:rsidRPr="00EE40F4">
              <w:rPr>
                <w:rFonts w:ascii="Times New Roman" w:hAnsi="Times New Roman"/>
                <w:spacing w:val="-2"/>
              </w:rPr>
              <w:t>, q12 h, i.v.): dni 43, 44</w:t>
            </w:r>
          </w:p>
          <w:p w14:paraId="0A75C6B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L-ASP (6000 IU/m</w:t>
            </w:r>
            <w:r w:rsidRPr="00EE40F4">
              <w:rPr>
                <w:rFonts w:ascii="Times New Roman" w:hAnsi="Times New Roman"/>
                <w:vertAlign w:val="superscript"/>
              </w:rPr>
              <w:t>2</w:t>
            </w:r>
            <w:r w:rsidRPr="00EE40F4">
              <w:rPr>
                <w:rFonts w:ascii="Times New Roman" w:hAnsi="Times New Roman"/>
              </w:rPr>
              <w:t>, i.m.): deň 44</w:t>
            </w:r>
          </w:p>
        </w:tc>
      </w:tr>
      <w:tr w:rsidR="006F012E" w:rsidRPr="00EE40F4" w14:paraId="6E838910" w14:textId="77777777" w:rsidTr="00D63EC4">
        <w:tc>
          <w:tcPr>
            <w:tcW w:w="2660" w:type="dxa"/>
          </w:tcPr>
          <w:p w14:paraId="3E5BD89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Reindukčný blok 2 (3 týždne)</w:t>
            </w:r>
          </w:p>
        </w:tc>
        <w:tc>
          <w:tcPr>
            <w:tcW w:w="6962" w:type="dxa"/>
          </w:tcPr>
          <w:p w14:paraId="6491ECF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8 a 15</w:t>
            </w:r>
          </w:p>
          <w:p w14:paraId="4D3C386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 (45 mg/m</w:t>
            </w:r>
            <w:r w:rsidRPr="00EE40F4">
              <w:rPr>
                <w:rFonts w:ascii="Times New Roman" w:hAnsi="Times New Roman"/>
                <w:vertAlign w:val="superscript"/>
              </w:rPr>
              <w:t>2</w:t>
            </w:r>
            <w:r w:rsidRPr="00EE40F4">
              <w:rPr>
                <w:rFonts w:ascii="Times New Roman" w:hAnsi="Times New Roman"/>
              </w:rPr>
              <w:t>/deň bolus, i.v.): dni 1 a 2</w:t>
            </w:r>
          </w:p>
          <w:p w14:paraId="1A4C0F7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(250 mg/m</w:t>
            </w:r>
            <w:r w:rsidRPr="00EE40F4">
              <w:rPr>
                <w:rFonts w:ascii="Times New Roman" w:hAnsi="Times New Roman"/>
                <w:vertAlign w:val="superscript"/>
              </w:rPr>
              <w:t>2</w:t>
            </w:r>
            <w:r w:rsidRPr="00EE40F4">
              <w:rPr>
                <w:rFonts w:ascii="Times New Roman" w:hAnsi="Times New Roman"/>
              </w:rPr>
              <w:t>/dávka q 12 h x 4 dávky, i.v.): dni 3 a 4</w:t>
            </w:r>
          </w:p>
          <w:p w14:paraId="72F96E5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PEG-ASP (2500 IU/m</w:t>
            </w:r>
            <w:r w:rsidRPr="00EE40F4">
              <w:rPr>
                <w:rFonts w:ascii="Times New Roman" w:hAnsi="Times New Roman"/>
                <w:vertAlign w:val="superscript"/>
              </w:rPr>
              <w:t>2</w:t>
            </w:r>
            <w:r w:rsidRPr="00EE40F4">
              <w:rPr>
                <w:rFonts w:ascii="Times New Roman" w:hAnsi="Times New Roman"/>
              </w:rPr>
              <w:t>, i.m.): deň 4</w:t>
            </w:r>
          </w:p>
          <w:p w14:paraId="6609F476"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5-14 alebo pokiaľ ANC &gt;1500 po najväčšom poklese</w:t>
            </w:r>
          </w:p>
          <w:p w14:paraId="26F4476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lastRenderedPageBreak/>
              <w:t>Trojitá i.t. liečba (upravená podľa veku): dni 1 a 15</w:t>
            </w:r>
          </w:p>
          <w:p w14:paraId="04633F6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1-7 a 15-21</w:t>
            </w:r>
          </w:p>
        </w:tc>
      </w:tr>
      <w:tr w:rsidR="006F012E" w:rsidRPr="00EE40F4" w14:paraId="01EFA9E2" w14:textId="77777777" w:rsidTr="00D63EC4">
        <w:tc>
          <w:tcPr>
            <w:tcW w:w="2660" w:type="dxa"/>
          </w:tcPr>
          <w:p w14:paraId="472E0B5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lastRenderedPageBreak/>
              <w:t>Intenzifikačný blok 2 (9 týždňov)</w:t>
            </w:r>
          </w:p>
        </w:tc>
        <w:tc>
          <w:tcPr>
            <w:tcW w:w="6962" w:type="dxa"/>
          </w:tcPr>
          <w:p w14:paraId="4C7520D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 dni 1 a 15</w:t>
            </w:r>
          </w:p>
          <w:p w14:paraId="44794F4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 )iii: dni 2, 3, 16 a 17</w:t>
            </w:r>
          </w:p>
          <w:p w14:paraId="7CE2ACE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22</w:t>
            </w:r>
          </w:p>
          <w:p w14:paraId="1F102BE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22-26</w:t>
            </w:r>
          </w:p>
          <w:p w14:paraId="4A702A4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/deň, i.v.): dni 22-26</w:t>
            </w:r>
          </w:p>
          <w:p w14:paraId="4C12FA4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(150 mg/m</w:t>
            </w:r>
            <w:r w:rsidRPr="00EE40F4">
              <w:rPr>
                <w:rFonts w:ascii="Times New Roman" w:hAnsi="Times New Roman"/>
                <w:vertAlign w:val="superscript"/>
              </w:rPr>
              <w:t>2</w:t>
            </w:r>
            <w:r w:rsidRPr="00EE40F4">
              <w:rPr>
                <w:rFonts w:ascii="Times New Roman" w:hAnsi="Times New Roman"/>
              </w:rPr>
              <w:t>/deň, i.v.): dni 22-26</w:t>
            </w:r>
          </w:p>
          <w:p w14:paraId="0F193644"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27-36 alebo pokiaľ ANC &gt;1500 po najväčšom poklese</w:t>
            </w:r>
          </w:p>
          <w:p w14:paraId="55437D75"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ARA-C (3 g/m</w:t>
            </w:r>
            <w:r w:rsidRPr="00EE40F4">
              <w:rPr>
                <w:rFonts w:ascii="Times New Roman" w:hAnsi="Times New Roman"/>
                <w:spacing w:val="-2"/>
                <w:vertAlign w:val="superscript"/>
              </w:rPr>
              <w:t>2</w:t>
            </w:r>
            <w:r w:rsidRPr="00EE40F4">
              <w:rPr>
                <w:rFonts w:ascii="Times New Roman" w:hAnsi="Times New Roman"/>
                <w:spacing w:val="-2"/>
              </w:rPr>
              <w:t>, q12 h, i.v.): dni 43, 44</w:t>
            </w:r>
          </w:p>
          <w:p w14:paraId="1930D8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L-ASP (6000 IU/m</w:t>
            </w:r>
            <w:r w:rsidRPr="00EE40F4">
              <w:rPr>
                <w:rFonts w:ascii="Times New Roman" w:hAnsi="Times New Roman"/>
                <w:vertAlign w:val="superscript"/>
              </w:rPr>
              <w:t>2</w:t>
            </w:r>
            <w:r w:rsidRPr="00EE40F4">
              <w:rPr>
                <w:rFonts w:ascii="Times New Roman" w:hAnsi="Times New Roman"/>
              </w:rPr>
              <w:t>, i.m.): deň 44</w:t>
            </w:r>
          </w:p>
        </w:tc>
      </w:tr>
      <w:tr w:rsidR="006F012E" w:rsidRPr="00EE40F4" w14:paraId="53B686B1" w14:textId="77777777" w:rsidTr="00D63EC4">
        <w:tc>
          <w:tcPr>
            <w:tcW w:w="2660" w:type="dxa"/>
          </w:tcPr>
          <w:p w14:paraId="6254F9B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70FD180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1-4</w:t>
            </w:r>
          </w:p>
        </w:tc>
        <w:tc>
          <w:tcPr>
            <w:tcW w:w="6962" w:type="dxa"/>
          </w:tcPr>
          <w:p w14:paraId="388EE17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MTX (5 g/m</w:t>
            </w:r>
            <w:r w:rsidRPr="00EE40F4">
              <w:rPr>
                <w:rFonts w:ascii="Times New Roman" w:hAnsi="Times New Roman"/>
                <w:vertAlign w:val="superscript"/>
              </w:rPr>
              <w:t>2</w:t>
            </w:r>
            <w:r w:rsidRPr="00EE40F4">
              <w:rPr>
                <w:rFonts w:ascii="Times New Roman" w:hAnsi="Times New Roman"/>
              </w:rPr>
              <w:t xml:space="preserve"> počas 24 h, i.v.): deň 1</w:t>
            </w:r>
          </w:p>
          <w:p w14:paraId="5C6D4D7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dávok)iii: dni </w:t>
            </w:r>
            <w:smartTag w:uri="urn:schemas-microsoft-com:office:smarttags" w:element="metricconverter">
              <w:smartTagPr>
                <w:attr w:name="ProductID" w:val="2 a"/>
              </w:smartTagPr>
              <w:r w:rsidRPr="00EE40F4">
                <w:rPr>
                  <w:rFonts w:ascii="Times New Roman" w:hAnsi="Times New Roman"/>
                </w:rPr>
                <w:t>2 a</w:t>
              </w:r>
            </w:smartTag>
            <w:r w:rsidRPr="00EE40F4">
              <w:rPr>
                <w:rFonts w:ascii="Times New Roman" w:hAnsi="Times New Roman"/>
              </w:rPr>
              <w:t xml:space="preserve"> 3</w:t>
            </w:r>
          </w:p>
          <w:p w14:paraId="68413B3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29</w:t>
            </w:r>
          </w:p>
          <w:p w14:paraId="2988E82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 i.v.): dni 1, 29</w:t>
            </w:r>
          </w:p>
          <w:p w14:paraId="043DC9E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51765D5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mg/m</w:t>
            </w:r>
            <w:r w:rsidRPr="00EE40F4">
              <w:rPr>
                <w:rFonts w:ascii="Times New Roman" w:hAnsi="Times New Roman"/>
                <w:vertAlign w:val="superscript"/>
              </w:rPr>
              <w:t>2</w:t>
            </w:r>
            <w:r w:rsidRPr="00EE40F4">
              <w:rPr>
                <w:rFonts w:ascii="Times New Roman" w:hAnsi="Times New Roman"/>
              </w:rPr>
              <w:t>/deň, p.o.): dni 8-28</w:t>
            </w:r>
          </w:p>
          <w:p w14:paraId="44E7603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8, 15, 22</w:t>
            </w:r>
          </w:p>
          <w:p w14:paraId="7B64069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 i.v.): dni 29-33</w:t>
            </w:r>
          </w:p>
          <w:p w14:paraId="475E719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 i.v.): dni 29-33</w:t>
            </w:r>
          </w:p>
          <w:p w14:paraId="0D380B9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i.v. dni 29-33</w:t>
            </w:r>
          </w:p>
          <w:p w14:paraId="3A225F8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34-43</w:t>
            </w:r>
          </w:p>
        </w:tc>
      </w:tr>
      <w:tr w:rsidR="006F012E" w:rsidRPr="00EE40F4" w14:paraId="67015802" w14:textId="77777777" w:rsidTr="00D63EC4">
        <w:tc>
          <w:tcPr>
            <w:tcW w:w="2660" w:type="dxa"/>
          </w:tcPr>
          <w:p w14:paraId="1C5A224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48E289F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5</w:t>
            </w:r>
          </w:p>
        </w:tc>
        <w:tc>
          <w:tcPr>
            <w:tcW w:w="6962" w:type="dxa"/>
          </w:tcPr>
          <w:p w14:paraId="35D37FB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Kraniálne ožarovanie (iba blok 5)</w:t>
            </w:r>
          </w:p>
          <w:p w14:paraId="0DD7E8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12 Gy v 8 frakciách pre všetkých pacientov, ktorí sú počas diagnózy CNS1 a CNS2</w:t>
            </w:r>
          </w:p>
          <w:p w14:paraId="2F0CA45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18 Gy v 10 frakciách pre pacientov, ktorí sú počas diagnózy CNS3</w:t>
            </w:r>
          </w:p>
          <w:p w14:paraId="1309CA2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29</w:t>
            </w:r>
          </w:p>
          <w:p w14:paraId="799D934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2D2926A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 m</w:t>
            </w:r>
            <w:r w:rsidRPr="00EE40F4">
              <w:rPr>
                <w:rFonts w:ascii="Times New Roman" w:hAnsi="Times New Roman"/>
                <w:vertAlign w:val="superscript"/>
              </w:rPr>
              <w:t>2</w:t>
            </w:r>
            <w:r w:rsidRPr="00EE40F4">
              <w:rPr>
                <w:rFonts w:ascii="Times New Roman" w:hAnsi="Times New Roman"/>
              </w:rPr>
              <w:t>/deň, p.o.): dni 11-56 (6-MP vysadiť počas 6-10 dňa kraniálneho ožarovania, a to na 1.deň v 5 cykle. 6-MP opäť nasadiť 1.deň po ukončení kraniálneho ožarovania.)</w:t>
            </w:r>
          </w:p>
          <w:p w14:paraId="1EBD80C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8, 15, 22, 29, 36, 43, 50</w:t>
            </w:r>
          </w:p>
        </w:tc>
      </w:tr>
      <w:tr w:rsidR="006F012E" w:rsidRPr="00EE40F4" w14:paraId="6CAF5117" w14:textId="77777777" w:rsidTr="00D63EC4">
        <w:tc>
          <w:tcPr>
            <w:tcW w:w="2660" w:type="dxa"/>
          </w:tcPr>
          <w:p w14:paraId="399A342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6BCF4D1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6-12</w:t>
            </w:r>
          </w:p>
        </w:tc>
        <w:tc>
          <w:tcPr>
            <w:tcW w:w="6962" w:type="dxa"/>
          </w:tcPr>
          <w:p w14:paraId="0ACDBA3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29</w:t>
            </w:r>
          </w:p>
          <w:p w14:paraId="116E56E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5108C43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mg/m</w:t>
            </w:r>
            <w:r w:rsidRPr="00EE40F4">
              <w:rPr>
                <w:rFonts w:ascii="Times New Roman" w:hAnsi="Times New Roman"/>
                <w:vertAlign w:val="superscript"/>
              </w:rPr>
              <w:t>2</w:t>
            </w:r>
            <w:r w:rsidRPr="00EE40F4">
              <w:rPr>
                <w:rFonts w:ascii="Times New Roman" w:hAnsi="Times New Roman"/>
              </w:rPr>
              <w:t>/deň, p.o.): dni 1-56</w:t>
            </w:r>
          </w:p>
          <w:p w14:paraId="585C6C3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1, 8, 15, 22, 29, 36, 43, 50</w:t>
            </w:r>
          </w:p>
        </w:tc>
      </w:tr>
    </w:tbl>
    <w:p w14:paraId="1CC6CF87" w14:textId="77777777" w:rsidR="006F012E" w:rsidRPr="00EE40F4" w:rsidRDefault="006F012E" w:rsidP="006F012E">
      <w:pPr>
        <w:pStyle w:val="Odsekzoznamu1"/>
        <w:tabs>
          <w:tab w:val="left" w:pos="2880"/>
        </w:tabs>
        <w:spacing w:after="0" w:line="240" w:lineRule="auto"/>
        <w:ind w:left="0"/>
        <w:rPr>
          <w:rFonts w:ascii="Times New Roman" w:hAnsi="Times New Roman"/>
        </w:rPr>
      </w:pPr>
      <w:r w:rsidRPr="00EE40F4">
        <w:rPr>
          <w:rFonts w:ascii="Times New Roman" w:hAnsi="Times New Roman"/>
        </w:rPr>
        <w:t xml:space="preserve">G-CSF = faktor stimulujúci kolónie granulocytov, VP-16 = etopozid, MTX = metotrexát, i.v. = intravenózne, s.c. = subkutánne, i.t. = intratekálne, p.o. = perorálne, i.m. = intramuskulárne, ARA-C = cytarabín, CPM = cyklofosfamid, VCR = vinkristín, DEX = dexametazón, DAUN = daunorubicín, 6-MP = 6-merkaptopurín. </w:t>
      </w:r>
      <w:r w:rsidRPr="00EE40F4">
        <w:rPr>
          <w:rFonts w:ascii="Times New Roman" w:hAnsi="Times New Roman"/>
          <w:i/>
        </w:rPr>
        <w:t>E.coli</w:t>
      </w:r>
      <w:r w:rsidRPr="00EE40F4">
        <w:rPr>
          <w:rFonts w:ascii="Times New Roman" w:hAnsi="Times New Roman"/>
        </w:rPr>
        <w:t xml:space="preserve"> L-ASP = L-asparagináza, PEG-ASP = PEG-asparagináza, MESNA = 2-merkaptoetán sulfonát sodný, iii = alebo pokiaľ hladiny MTX sú pod úrovňou &lt;0,1 </w:t>
      </w:r>
      <w:r w:rsidRPr="00EE40F4">
        <w:rPr>
          <w:rFonts w:ascii="Times New Roman" w:hAnsi="Times New Roman"/>
          <w:spacing w:val="-1"/>
        </w:rPr>
        <w:t>μM, q6h = každých 6 hodín, Gy = Gray.</w:t>
      </w:r>
    </w:p>
    <w:p w14:paraId="12141E60" w14:textId="77777777" w:rsidR="006F012E" w:rsidRPr="00EE40F4" w:rsidRDefault="006F012E" w:rsidP="006F012E">
      <w:pPr>
        <w:pStyle w:val="Odsekzoznamu1"/>
        <w:spacing w:after="0" w:line="240" w:lineRule="auto"/>
        <w:ind w:left="0"/>
        <w:rPr>
          <w:rFonts w:ascii="Times New Roman" w:hAnsi="Times New Roman"/>
          <w:i/>
        </w:rPr>
      </w:pPr>
    </w:p>
    <w:p w14:paraId="28DE026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680FAFE4" w14:textId="77777777" w:rsidR="006F012E" w:rsidRPr="00EE40F4" w:rsidRDefault="006F012E" w:rsidP="006F012E">
      <w:pPr>
        <w:pStyle w:val="Odsekzoznamu1"/>
        <w:spacing w:after="0" w:line="240" w:lineRule="auto"/>
        <w:ind w:left="0"/>
        <w:rPr>
          <w:rFonts w:ascii="Times New Roman" w:hAnsi="Times New Roman"/>
          <w:i/>
        </w:rPr>
      </w:pPr>
    </w:p>
    <w:p w14:paraId="3CDBA2AF"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i/>
        </w:rPr>
        <w:t>Relapsujúca/refraktérna Ph+ ALL:</w:t>
      </w:r>
      <w:r w:rsidRPr="00EE40F4">
        <w:rPr>
          <w:rFonts w:ascii="Times New Roman" w:hAnsi="Times New Roman"/>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w:t>
      </w:r>
      <w:r w:rsidRPr="00EE40F4">
        <w:rPr>
          <w:rFonts w:ascii="Times New Roman" w:hAnsi="Times New Roman"/>
        </w:rPr>
        <w:lastRenderedPageBreak/>
        <w:t>v celej populácii 411 pacientov s relapsujúcou/refraktérnou Ph+ ALL bol v rozmedzí od 2,6 do 3,1 mesiacov a medián celkového prežívania u 401 vyhodnotiteľných pacientov bol v rozmedzí od 4,9 do 9 mesiacov. Údaje boli podobné pri opätovnej analýze, do ktorej boli zahrnutí len pacienti vo veku 55 alebo viac rokov.</w:t>
      </w:r>
    </w:p>
    <w:p w14:paraId="50FCD9C8" w14:textId="77777777" w:rsidR="006F012E" w:rsidRPr="00EE40F4" w:rsidRDefault="006F012E" w:rsidP="006F012E">
      <w:pPr>
        <w:pStyle w:val="Odsekzoznamu1"/>
        <w:spacing w:after="0" w:line="240" w:lineRule="auto"/>
        <w:ind w:left="0"/>
        <w:rPr>
          <w:rFonts w:ascii="Times New Roman" w:hAnsi="Times New Roman"/>
        </w:rPr>
      </w:pPr>
    </w:p>
    <w:p w14:paraId="0F3BAF11" w14:textId="77777777" w:rsidR="006F012E" w:rsidRPr="00EE40F4" w:rsidRDefault="006F012E" w:rsidP="006F012E">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MDS/MPD</w:t>
      </w:r>
    </w:p>
    <w:p w14:paraId="7FB7D7BE" w14:textId="77777777" w:rsidR="00430DC8" w:rsidRDefault="006F012E" w:rsidP="006F012E">
      <w:pPr>
        <w:pStyle w:val="Odsekzoznamu1"/>
        <w:spacing w:after="0" w:line="240" w:lineRule="auto"/>
        <w:ind w:left="0"/>
        <w:rPr>
          <w:rFonts w:ascii="Times New Roman" w:hAnsi="Times New Roman"/>
        </w:rPr>
      </w:pPr>
      <w:r w:rsidRPr="00EE40F4">
        <w:rPr>
          <w:rFonts w:ascii="Times New Roman" w:hAnsi="Times New Roman"/>
        </w:rPr>
        <w:t xml:space="preserve">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 </w:t>
      </w:r>
    </w:p>
    <w:p w14:paraId="4ADC998C" w14:textId="77777777" w:rsidR="00430DC8" w:rsidRPr="00A207DB" w:rsidRDefault="00430DC8" w:rsidP="00430DC8">
      <w:pPr>
        <w:pStyle w:val="Odsekzoznamu1"/>
        <w:spacing w:after="0" w:line="240" w:lineRule="auto"/>
        <w:ind w:left="0"/>
        <w:rPr>
          <w:rFonts w:ascii="Times New Roman" w:hAnsi="Times New Roman"/>
        </w:rPr>
      </w:pPr>
    </w:p>
    <w:p w14:paraId="0BFB5DB7" w14:textId="77777777" w:rsidR="00430DC8" w:rsidRDefault="00430DC8" w:rsidP="006F012E">
      <w:pPr>
        <w:pStyle w:val="Odsekzoznamu1"/>
        <w:spacing w:after="0" w:line="240" w:lineRule="auto"/>
        <w:ind w:left="0"/>
        <w:rPr>
          <w:rFonts w:ascii="Times New Roman" w:hAnsi="Times New Roman"/>
        </w:rPr>
      </w:pPr>
      <w:r w:rsidRPr="00A207DB">
        <w:rPr>
          <w:rFonts w:ascii="Times New Roman" w:hAnsi="Times New Roman"/>
        </w:rPr>
        <w:t xml:space="preserve">U pacientov s myeloproliferatívnymi neoplazmami a s preskupením génu PDGFR- β, ktorí boli liečení </w:t>
      </w:r>
      <w:r>
        <w:rPr>
          <w:rFonts w:ascii="Times New Roman" w:hAnsi="Times New Roman"/>
        </w:rPr>
        <w:t>imatinibom</w:t>
      </w:r>
      <w:r w:rsidRPr="00A207DB">
        <w:rPr>
          <w:rFonts w:ascii="Times New Roman" w:hAnsi="Times New Roman"/>
        </w:rPr>
        <w:t xml:space="preserve">, sa za účelom zberu dlhodobých údajov o bezpečnosti a účinnosti vykonal observačný register (štúdia L2401). 23 pacientov zaradených v registri užilo </w:t>
      </w:r>
      <w:r>
        <w:rPr>
          <w:rFonts w:ascii="Times New Roman" w:hAnsi="Times New Roman"/>
        </w:rPr>
        <w:t>imatinib</w:t>
      </w:r>
      <w:r w:rsidRPr="00A207DB">
        <w:rPr>
          <w:rFonts w:ascii="Times New Roman" w:hAnsi="Times New Roman"/>
        </w:rPr>
        <w:t xml:space="preserve">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4546DE64" w14:textId="77777777" w:rsidR="00430DC8" w:rsidRDefault="00430DC8" w:rsidP="006F012E">
      <w:pPr>
        <w:pStyle w:val="Odsekzoznamu1"/>
        <w:spacing w:after="0" w:line="240" w:lineRule="auto"/>
        <w:ind w:left="0"/>
        <w:rPr>
          <w:rFonts w:ascii="Times New Roman" w:hAnsi="Times New Roman"/>
        </w:rPr>
      </w:pPr>
    </w:p>
    <w:p w14:paraId="4ACE82E9"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6F8103A7" w14:textId="77777777" w:rsidR="006F012E" w:rsidRPr="00EE40F4" w:rsidRDefault="006F012E" w:rsidP="006F012E">
      <w:pPr>
        <w:pStyle w:val="Odsekzoznamu1"/>
        <w:spacing w:after="0" w:line="240" w:lineRule="auto"/>
        <w:ind w:left="0"/>
        <w:rPr>
          <w:rFonts w:ascii="Times New Roman" w:hAnsi="Times New Roman"/>
        </w:rPr>
      </w:pPr>
    </w:p>
    <w:p w14:paraId="437603C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U pediatrických pacientov s MDS/MPD nie sú kontrolované klinické skúšania. V 4 publikáciách boli správy o</w:t>
      </w:r>
      <w:r w:rsidR="00430DC8">
        <w:rPr>
          <w:rFonts w:ascii="Times New Roman" w:hAnsi="Times New Roman"/>
        </w:rPr>
        <w:t> piatich (</w:t>
      </w:r>
      <w:r w:rsidRPr="00EE40F4">
        <w:rPr>
          <w:rFonts w:ascii="Times New Roman" w:hAnsi="Times New Roman"/>
        </w:rPr>
        <w:t>5</w:t>
      </w:r>
      <w:r w:rsidR="00430DC8">
        <w:rPr>
          <w:rFonts w:ascii="Times New Roman" w:hAnsi="Times New Roman"/>
        </w:rPr>
        <w:t>)</w:t>
      </w:r>
      <w:r w:rsidRPr="00EE40F4">
        <w:rPr>
          <w:rFonts w:ascii="Times New Roman" w:hAnsi="Times New Roman"/>
        </w:rPr>
        <w:t> pacientoch s MDS/MPD spojenými s preskupeniami génu PDGFR. Vek týchto pacientov bol v rozmedzí od 3 mesiacov do 4 rokov a imatinib sa im podával v dávke 50 mg denne alebo v dávkach od 92,5</w:t>
      </w:r>
      <w:r w:rsidR="00750C00" w:rsidRPr="00EE40F4">
        <w:rPr>
          <w:rFonts w:ascii="Times New Roman" w:hAnsi="Times New Roman"/>
        </w:rPr>
        <w:t> </w:t>
      </w:r>
      <w:r w:rsidRPr="00EE40F4">
        <w:rPr>
          <w:rFonts w:ascii="Times New Roman" w:hAnsi="Times New Roman"/>
        </w:rPr>
        <w:t>mg/m</w:t>
      </w:r>
      <w:r w:rsidRPr="00EE40F4">
        <w:rPr>
          <w:rFonts w:ascii="Times New Roman" w:hAnsi="Times New Roman"/>
          <w:vertAlign w:val="superscript"/>
        </w:rPr>
        <w:t>2</w:t>
      </w:r>
      <w:r w:rsidRPr="00EE40F4">
        <w:rPr>
          <w:rFonts w:ascii="Times New Roman" w:hAnsi="Times New Roman"/>
        </w:rPr>
        <w:t xml:space="preserve"> do 340 mg/m</w:t>
      </w:r>
      <w:r w:rsidRPr="00EE40F4">
        <w:rPr>
          <w:rFonts w:ascii="Times New Roman" w:hAnsi="Times New Roman"/>
          <w:vertAlign w:val="superscript"/>
        </w:rPr>
        <w:t>2</w:t>
      </w:r>
      <w:r w:rsidRPr="00EE40F4">
        <w:rPr>
          <w:rFonts w:ascii="Times New Roman" w:hAnsi="Times New Roman"/>
        </w:rPr>
        <w:t xml:space="preserve"> denne. Všetci pacienti dosiahli kompletnú hematologickú odpoveď, cytogenetickú odpoveď a/alebo klinickú odpoveď.</w:t>
      </w:r>
    </w:p>
    <w:p w14:paraId="217C72C4" w14:textId="77777777" w:rsidR="006F012E" w:rsidRPr="00EE40F4" w:rsidRDefault="006F012E" w:rsidP="006F012E">
      <w:pPr>
        <w:pStyle w:val="Odsekzoznamu1"/>
        <w:spacing w:after="0" w:line="240" w:lineRule="auto"/>
        <w:ind w:left="0"/>
        <w:rPr>
          <w:rFonts w:ascii="Times New Roman" w:hAnsi="Times New Roman"/>
        </w:rPr>
      </w:pPr>
    </w:p>
    <w:p w14:paraId="3E4B91E2" w14:textId="77777777" w:rsidR="006F012E" w:rsidRPr="00EE40F4" w:rsidRDefault="006F012E" w:rsidP="006F012E">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HES/CEL</w:t>
      </w:r>
    </w:p>
    <w:p w14:paraId="74286C48"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 xml:space="preserve">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Pr="00EE40F4">
        <w:rPr>
          <w:rFonts w:ascii="Times New Roman" w:hAnsi="Times New Roman"/>
        </w:rPr>
        <w:lastRenderedPageBreak/>
        <w:t>z celkovej populácie 176 </w:t>
      </w:r>
      <w:r w:rsidR="0071048E" w:rsidRPr="00EE40F4">
        <w:rPr>
          <w:rFonts w:ascii="Times New Roman" w:hAnsi="Times New Roman"/>
        </w:rPr>
        <w:t>pacientov</w:t>
      </w:r>
      <w:r w:rsidRPr="00EE40F4">
        <w:rPr>
          <w:rFonts w:ascii="Times New Roman" w:hAnsi="Times New Roman"/>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4DCEF68C" w14:textId="77777777" w:rsidR="006F012E" w:rsidRPr="00EE40F4" w:rsidRDefault="006F012E" w:rsidP="006F012E">
      <w:pPr>
        <w:pStyle w:val="Odsekzoznamu1"/>
        <w:spacing w:after="0" w:line="240" w:lineRule="auto"/>
        <w:ind w:left="0"/>
        <w:rPr>
          <w:rFonts w:ascii="Times New Roman" w:hAnsi="Times New Roman"/>
        </w:rPr>
      </w:pPr>
    </w:p>
    <w:p w14:paraId="17D54462"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U pediatrických pacientov s HES/CEL nie sú kontrolované klinické skúšania. V 3 publikáciách boli správy o</w:t>
      </w:r>
      <w:r w:rsidR="00737905" w:rsidRPr="00EE40F4">
        <w:rPr>
          <w:rFonts w:ascii="Times New Roman" w:hAnsi="Times New Roman"/>
        </w:rPr>
        <w:t> troch (</w:t>
      </w:r>
      <w:r w:rsidRPr="00EE40F4">
        <w:rPr>
          <w:rFonts w:ascii="Times New Roman" w:hAnsi="Times New Roman"/>
        </w:rPr>
        <w:t>3</w:t>
      </w:r>
      <w:r w:rsidR="00737905" w:rsidRPr="00EE40F4">
        <w:rPr>
          <w:rFonts w:ascii="Times New Roman" w:hAnsi="Times New Roman"/>
        </w:rPr>
        <w:t>)</w:t>
      </w:r>
      <w:r w:rsidRPr="00EE40F4">
        <w:rPr>
          <w:rFonts w:ascii="Times New Roman" w:hAnsi="Times New Roman"/>
        </w:rPr>
        <w:t> pacientoch s HES a CEL spojenými s preskupeniami génu PDGFR. Vek týchto pacientov bol v rozmedzí od 2 do 16 rokov a imatinib sa im podával v dávke 300 mg/m</w:t>
      </w:r>
      <w:r w:rsidRPr="00EE40F4">
        <w:rPr>
          <w:rFonts w:ascii="Times New Roman" w:hAnsi="Times New Roman"/>
          <w:vertAlign w:val="superscript"/>
        </w:rPr>
        <w:t>2</w:t>
      </w:r>
      <w:r w:rsidRPr="00EE40F4">
        <w:rPr>
          <w:rFonts w:ascii="Times New Roman" w:hAnsi="Times New Roman"/>
        </w:rPr>
        <w:t xml:space="preserve"> denne alebo v dávkach od 200 do 400 mg denne. Všetci pacienti dosiahli kompletnú hematologickú odpoveď, kompletnú cytogenetickú odpoveď a/alebo kompletnú molekulárnu odpoveď.</w:t>
      </w:r>
    </w:p>
    <w:p w14:paraId="6BAD302D" w14:textId="77777777" w:rsidR="00D449E6" w:rsidRPr="00EE40F4" w:rsidRDefault="00D449E6" w:rsidP="002352F4">
      <w:pPr>
        <w:autoSpaceDE w:val="0"/>
        <w:autoSpaceDN w:val="0"/>
        <w:adjustRightInd w:val="0"/>
        <w:spacing w:after="0" w:line="240" w:lineRule="auto"/>
        <w:rPr>
          <w:rFonts w:ascii="Times New Roman" w:hAnsi="Times New Roman"/>
          <w:lang w:eastAsia="sk-SK"/>
        </w:rPr>
      </w:pPr>
    </w:p>
    <w:p w14:paraId="6E1E209C" w14:textId="77777777" w:rsidR="00C03156" w:rsidRPr="00EE40F4" w:rsidRDefault="00C03156" w:rsidP="00C03156">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DFSP</w:t>
      </w:r>
    </w:p>
    <w:p w14:paraId="14D60107" w14:textId="77777777" w:rsidR="00C03156" w:rsidRPr="00EE40F4" w:rsidRDefault="00C03156" w:rsidP="00C03156">
      <w:pPr>
        <w:pStyle w:val="Odsekzoznamu1"/>
        <w:spacing w:after="0" w:line="240" w:lineRule="auto"/>
        <w:ind w:left="0"/>
        <w:rPr>
          <w:rFonts w:ascii="Times New Roman" w:hAnsi="Times New Roman"/>
        </w:rPr>
      </w:pPr>
      <w:r w:rsidRPr="00EE40F4">
        <w:rPr>
          <w:rFonts w:ascii="Times New Roman" w:hAnsi="Times New Roman"/>
        </w:rPr>
        <w:t>Vykonalo sa jedno otvorené, multicentrické klinické skúšanie fázy II (štúdia B2225), do ktorého bolo zaradených 12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EE40F4">
        <w:rPr>
          <w:rFonts w:ascii="Times New Roman" w:hAnsi="Times New Roman"/>
        </w:rPr>
        <w:t>troch</w:t>
      </w:r>
      <w:r w:rsidRPr="00EE40F4">
        <w:rPr>
          <w:rFonts w:ascii="Times New Roman" w:hAnsi="Times New Roman"/>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EE40F4">
        <w:rPr>
          <w:rFonts w:ascii="Times New Roman" w:hAnsi="Times New Roman"/>
        </w:rPr>
        <w:t>t</w:t>
      </w:r>
      <w:r w:rsidRPr="00EE40F4">
        <w:rPr>
          <w:rFonts w:ascii="Times New Roman" w:hAnsi="Times New Roman"/>
        </w:rPr>
        <w:t>eratúre, dostávali buď 400 mg (4 prípady), alebo 800 mg (1 prípad) imatinibu denne. Odpoveď na liečbu sa dosiahla u</w:t>
      </w:r>
      <w:r w:rsidR="00430DC8">
        <w:rPr>
          <w:rFonts w:ascii="Times New Roman" w:hAnsi="Times New Roman"/>
        </w:rPr>
        <w:t> piatich (</w:t>
      </w:r>
      <w:r w:rsidRPr="00EE40F4">
        <w:rPr>
          <w:rFonts w:ascii="Times New Roman" w:hAnsi="Times New Roman"/>
        </w:rPr>
        <w:t>5</w:t>
      </w:r>
      <w:r w:rsidR="00430DC8">
        <w:rPr>
          <w:rFonts w:ascii="Times New Roman" w:hAnsi="Times New Roman"/>
        </w:rPr>
        <w:t>)</w:t>
      </w:r>
      <w:r w:rsidRPr="00EE40F4">
        <w:rPr>
          <w:rFonts w:ascii="Times New Roman" w:hAnsi="Times New Roman"/>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70F222DC" w14:textId="77777777" w:rsidR="00C03156" w:rsidRPr="00EE40F4" w:rsidRDefault="00C03156" w:rsidP="00C03156">
      <w:pPr>
        <w:pStyle w:val="Odsekzoznamu1"/>
        <w:spacing w:after="0" w:line="240" w:lineRule="auto"/>
        <w:ind w:left="0"/>
        <w:rPr>
          <w:rFonts w:ascii="Times New Roman" w:hAnsi="Times New Roman"/>
        </w:rPr>
      </w:pPr>
    </w:p>
    <w:p w14:paraId="14305067" w14:textId="77777777" w:rsidR="00C03156" w:rsidRPr="00EE40F4" w:rsidRDefault="00C03156" w:rsidP="00C03156">
      <w:pPr>
        <w:pStyle w:val="Odsekzoznamu1"/>
        <w:spacing w:after="0" w:line="240" w:lineRule="auto"/>
        <w:ind w:left="0"/>
        <w:rPr>
          <w:rFonts w:ascii="Times New Roman" w:hAnsi="Times New Roman"/>
        </w:rPr>
      </w:pPr>
      <w:r w:rsidRPr="00EE40F4">
        <w:rPr>
          <w:rFonts w:ascii="Times New Roman" w:hAnsi="Times New Roman"/>
        </w:rPr>
        <w:t>U pediatrických pacientov s DFSP nie sú 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EE40F4">
        <w:rPr>
          <w:rFonts w:ascii="Times New Roman" w:hAnsi="Times New Roman"/>
          <w:vertAlign w:val="superscript"/>
        </w:rPr>
        <w:t>2</w:t>
      </w:r>
      <w:r w:rsidRPr="00EE40F4">
        <w:rPr>
          <w:rFonts w:ascii="Times New Roman" w:hAnsi="Times New Roman"/>
        </w:rPr>
        <w:t xml:space="preserve"> denne. Všetci pacienti dosiahli čiastočnú a/alebo kompletnú odpoveď.</w:t>
      </w:r>
    </w:p>
    <w:p w14:paraId="1C894A46" w14:textId="77777777" w:rsidR="00D63EC4" w:rsidRPr="00EE40F4" w:rsidRDefault="00D63EC4" w:rsidP="006F012E">
      <w:pPr>
        <w:pStyle w:val="Odsekzoznamu1"/>
        <w:spacing w:after="0" w:line="240" w:lineRule="auto"/>
        <w:ind w:left="0"/>
        <w:rPr>
          <w:rFonts w:ascii="Times New Roman" w:hAnsi="Times New Roman"/>
        </w:rPr>
      </w:pPr>
    </w:p>
    <w:p w14:paraId="59F32483"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5.2</w:t>
      </w:r>
      <w:r w:rsidRPr="00EE40F4">
        <w:rPr>
          <w:rFonts w:ascii="Times New Roman" w:hAnsi="Times New Roman"/>
          <w:b/>
        </w:rPr>
        <w:tab/>
      </w:r>
      <w:r w:rsidRPr="00EE40F4">
        <w:rPr>
          <w:rFonts w:ascii="Times New Roman" w:hAnsi="Times New Roman"/>
          <w:b/>
          <w:bCs/>
        </w:rPr>
        <w:t>Farmakokinetické vlastnosti</w:t>
      </w:r>
    </w:p>
    <w:p w14:paraId="5FCCA18F" w14:textId="77777777" w:rsidR="00653A62" w:rsidRPr="00EE40F4" w:rsidRDefault="00653A62" w:rsidP="00EF61CC">
      <w:pPr>
        <w:spacing w:after="0" w:line="240" w:lineRule="auto"/>
        <w:rPr>
          <w:rFonts w:ascii="Times New Roman" w:hAnsi="Times New Roman"/>
        </w:rPr>
      </w:pPr>
    </w:p>
    <w:p w14:paraId="485EE15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imatinibu </w:t>
      </w:r>
    </w:p>
    <w:p w14:paraId="7AF779C7"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Farmakokinetika imatinibu sa hodnotila v rozmedzí dávok od 25 do 1 000 mg. Farmakokinetické profily v plazme sa stanovili v 1. deň a buď na 7., alebo 28. deň, keď koncentrácie v plazme dosiahli rovnovážny stav</w:t>
      </w:r>
      <w:r w:rsidRPr="00EE40F4">
        <w:rPr>
          <w:rFonts w:ascii="Times New Roman" w:hAnsi="Times New Roman"/>
        </w:rPr>
        <w:t>.</w:t>
      </w:r>
    </w:p>
    <w:p w14:paraId="0307C9D2" w14:textId="77777777" w:rsidR="00653A62" w:rsidRPr="00EE40F4" w:rsidRDefault="00653A62" w:rsidP="00EF61CC">
      <w:pPr>
        <w:spacing w:after="0" w:line="240" w:lineRule="auto"/>
        <w:ind w:right="-36"/>
        <w:rPr>
          <w:rFonts w:ascii="Times New Roman" w:hAnsi="Times New Roman"/>
        </w:rPr>
      </w:pPr>
    </w:p>
    <w:p w14:paraId="5CD640F3"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Absorpcia </w:t>
      </w:r>
    </w:p>
    <w:p w14:paraId="228684F2" w14:textId="77777777" w:rsidR="00653A62" w:rsidRPr="00EE40F4" w:rsidRDefault="00653A62" w:rsidP="00EF61CC">
      <w:pPr>
        <w:spacing w:after="0" w:line="240" w:lineRule="auto"/>
        <w:ind w:right="-36"/>
        <w:rPr>
          <w:rFonts w:ascii="Times New Roman" w:hAnsi="Times New Roman"/>
          <w:position w:val="-3"/>
        </w:rPr>
      </w:pPr>
      <w:r w:rsidRPr="00EE40F4">
        <w:rPr>
          <w:rFonts w:ascii="Times New Roman" w:hAnsi="Times New Roman"/>
          <w:color w:val="000000"/>
        </w:rPr>
        <w:t>Priemerná absolútna biologická dostupnosť imatinibu je 98</w:t>
      </w:r>
      <w:r w:rsidR="00F37788" w:rsidRPr="00EE40F4">
        <w:rPr>
          <w:rFonts w:ascii="Times New Roman" w:hAnsi="Times New Roman"/>
          <w:color w:val="000000"/>
        </w:rPr>
        <w:t> </w:t>
      </w:r>
      <w:r w:rsidRPr="00EE40F4">
        <w:rPr>
          <w:rFonts w:ascii="Times New Roman" w:hAnsi="Times New Roman"/>
          <w:color w:val="000000"/>
        </w:rPr>
        <w:t>%. Po perorálnom podaní bola medzi pacientmi vysoká variabilita hodnôt AUC imatinibu v plazme. Pri podaní s jedlom s vysokým obsahom tukov sa miera absorpcie imatinibu znížila</w:t>
      </w:r>
      <w:r w:rsidR="00057390" w:rsidRPr="00EE40F4">
        <w:rPr>
          <w:rFonts w:ascii="Times New Roman" w:hAnsi="Times New Roman"/>
          <w:color w:val="000000"/>
        </w:rPr>
        <w:t xml:space="preserve"> minimálne</w:t>
      </w:r>
      <w:r w:rsidRPr="00EE40F4">
        <w:rPr>
          <w:rFonts w:ascii="Times New Roman" w:hAnsi="Times New Roman"/>
          <w:color w:val="000000"/>
        </w:rPr>
        <w:t xml:space="preserve"> (pokles C</w:t>
      </w:r>
      <w:r w:rsidRPr="00EE40F4">
        <w:rPr>
          <w:rFonts w:ascii="Times New Roman" w:hAnsi="Times New Roman"/>
          <w:color w:val="000000"/>
          <w:vertAlign w:val="subscript"/>
        </w:rPr>
        <w:t>max</w:t>
      </w:r>
      <w:r w:rsidRPr="00EE40F4">
        <w:rPr>
          <w:rFonts w:ascii="Times New Roman" w:hAnsi="Times New Roman"/>
          <w:color w:val="000000"/>
        </w:rPr>
        <w:t xml:space="preserve"> o</w:t>
      </w:r>
      <w:r w:rsidR="00F37788" w:rsidRPr="00EE40F4">
        <w:rPr>
          <w:rFonts w:ascii="Times New Roman" w:hAnsi="Times New Roman"/>
          <w:color w:val="000000"/>
        </w:rPr>
        <w:t> </w:t>
      </w:r>
      <w:r w:rsidRPr="00EE40F4">
        <w:rPr>
          <w:rFonts w:ascii="Times New Roman" w:hAnsi="Times New Roman"/>
          <w:color w:val="000000"/>
        </w:rPr>
        <w:t>11</w:t>
      </w:r>
      <w:r w:rsidR="00F37788" w:rsidRPr="00EE40F4">
        <w:rPr>
          <w:rFonts w:ascii="Times New Roman" w:hAnsi="Times New Roman"/>
          <w:color w:val="000000"/>
        </w:rPr>
        <w:t> </w:t>
      </w:r>
      <w:r w:rsidRPr="00EE40F4">
        <w:rPr>
          <w:rFonts w:ascii="Times New Roman" w:hAnsi="Times New Roman"/>
          <w:color w:val="000000"/>
        </w:rPr>
        <w:t>% a predĺženie t</w:t>
      </w:r>
      <w:r w:rsidRPr="00EE40F4">
        <w:rPr>
          <w:rFonts w:ascii="Times New Roman" w:hAnsi="Times New Roman"/>
          <w:color w:val="000000"/>
          <w:vertAlign w:val="subscript"/>
        </w:rPr>
        <w:t>max</w:t>
      </w:r>
      <w:r w:rsidRPr="00EE40F4">
        <w:rPr>
          <w:rFonts w:ascii="Times New Roman" w:hAnsi="Times New Roman"/>
          <w:color w:val="000000"/>
        </w:rPr>
        <w:t xml:space="preserve"> o 1,5 hod) a </w:t>
      </w:r>
      <w:r w:rsidR="00057390" w:rsidRPr="00EE40F4">
        <w:rPr>
          <w:rFonts w:ascii="Times New Roman" w:hAnsi="Times New Roman"/>
          <w:color w:val="000000"/>
        </w:rPr>
        <w:t>s malým znížením hodnoty</w:t>
      </w:r>
      <w:r w:rsidRPr="00EE40F4">
        <w:rPr>
          <w:rFonts w:ascii="Times New Roman" w:hAnsi="Times New Roman"/>
          <w:color w:val="000000"/>
        </w:rPr>
        <w:t xml:space="preserve"> AUC (7,4</w:t>
      </w:r>
      <w:r w:rsidR="00F37788" w:rsidRPr="00EE40F4">
        <w:rPr>
          <w:rFonts w:ascii="Times New Roman" w:hAnsi="Times New Roman"/>
          <w:color w:val="000000"/>
        </w:rPr>
        <w:t> </w:t>
      </w:r>
      <w:r w:rsidRPr="00EE40F4">
        <w:rPr>
          <w:rFonts w:ascii="Times New Roman" w:hAnsi="Times New Roman"/>
          <w:color w:val="000000"/>
        </w:rPr>
        <w:t>%) v porovnaní s podaním nalačno. Účinok gastrointestinálneho chirurgického zákroku na absorpciu liečiva pri neskoršom podávaní sa nesledoval</w:t>
      </w:r>
      <w:r w:rsidRPr="00EE40F4">
        <w:rPr>
          <w:rFonts w:ascii="Times New Roman" w:hAnsi="Times New Roman"/>
          <w:position w:val="-3"/>
        </w:rPr>
        <w:t>.</w:t>
      </w:r>
    </w:p>
    <w:p w14:paraId="1DA6FA27" w14:textId="77777777" w:rsidR="00653A62" w:rsidRPr="00EE40F4" w:rsidRDefault="00653A62" w:rsidP="00EF61CC">
      <w:pPr>
        <w:spacing w:after="0" w:line="240" w:lineRule="auto"/>
        <w:ind w:right="-36"/>
        <w:rPr>
          <w:rFonts w:ascii="Times New Roman" w:hAnsi="Times New Roman"/>
        </w:rPr>
      </w:pPr>
    </w:p>
    <w:p w14:paraId="29D7738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Distribúcia </w:t>
      </w:r>
    </w:p>
    <w:p w14:paraId="4977AEDA"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 xml:space="preserve">Pri klinicky významných koncentráciách sa na bielkoviny plazmy pri pokusoch </w:t>
      </w:r>
      <w:r w:rsidRPr="00EE40F4">
        <w:rPr>
          <w:rFonts w:ascii="Times New Roman" w:hAnsi="Times New Roman"/>
          <w:i/>
          <w:iCs/>
          <w:color w:val="000000"/>
        </w:rPr>
        <w:t xml:space="preserve">in vitro </w:t>
      </w:r>
      <w:r w:rsidRPr="00EE40F4">
        <w:rPr>
          <w:rFonts w:ascii="Times New Roman" w:hAnsi="Times New Roman"/>
          <w:color w:val="000000"/>
        </w:rPr>
        <w:t>viazalo približne 95</w:t>
      </w:r>
      <w:r w:rsidR="00F37788" w:rsidRPr="00EE40F4">
        <w:rPr>
          <w:rFonts w:ascii="Times New Roman" w:hAnsi="Times New Roman"/>
          <w:color w:val="000000"/>
        </w:rPr>
        <w:t> </w:t>
      </w:r>
      <w:r w:rsidRPr="00EE40F4">
        <w:rPr>
          <w:rFonts w:ascii="Times New Roman" w:hAnsi="Times New Roman"/>
          <w:color w:val="000000"/>
        </w:rPr>
        <w:t>% imatinibu, najviac na albumín a kyslý alfa-glykoproteín, s nízkym podielom viazaným na lipoproteíny</w:t>
      </w:r>
      <w:r w:rsidRPr="00EE40F4">
        <w:rPr>
          <w:rFonts w:ascii="Times New Roman" w:hAnsi="Times New Roman"/>
        </w:rPr>
        <w:t>.</w:t>
      </w:r>
    </w:p>
    <w:p w14:paraId="0F7BAC80" w14:textId="77777777" w:rsidR="00653A62" w:rsidRPr="00EE40F4" w:rsidRDefault="00653A62" w:rsidP="00EF61CC">
      <w:pPr>
        <w:spacing w:after="0" w:line="240" w:lineRule="auto"/>
        <w:ind w:right="-36"/>
        <w:rPr>
          <w:rFonts w:ascii="Times New Roman" w:hAnsi="Times New Roman"/>
        </w:rPr>
      </w:pPr>
    </w:p>
    <w:p w14:paraId="1695730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Biotransformácia </w:t>
      </w:r>
    </w:p>
    <w:p w14:paraId="7E6ACD26"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 xml:space="preserve">Hlavným cirkulujúcim metabolitom u ľudí je N-demetylovaný piperazínový derivát, ktorý vykazuje </w:t>
      </w:r>
      <w:r w:rsidRPr="00EE40F4">
        <w:rPr>
          <w:rFonts w:ascii="Times New Roman" w:hAnsi="Times New Roman"/>
          <w:i/>
          <w:iCs/>
          <w:color w:val="000000"/>
        </w:rPr>
        <w:t xml:space="preserve">in vitro </w:t>
      </w:r>
      <w:r w:rsidRPr="00EE40F4">
        <w:rPr>
          <w:rFonts w:ascii="Times New Roman" w:hAnsi="Times New Roman"/>
          <w:color w:val="000000"/>
        </w:rPr>
        <w:t>podobnú účinnosť ako nezmenené liečivo. Zistilo sa, že hodnota AUC tohto metabolitu v plazme dosahuje len 16</w:t>
      </w:r>
      <w:r w:rsidR="009D7F4B" w:rsidRPr="00EE40F4">
        <w:rPr>
          <w:rFonts w:ascii="Times New Roman" w:hAnsi="Times New Roman"/>
          <w:color w:val="000000"/>
        </w:rPr>
        <w:t> </w:t>
      </w:r>
      <w:r w:rsidRPr="00EE40F4">
        <w:rPr>
          <w:rFonts w:ascii="Times New Roman" w:hAnsi="Times New Roman"/>
          <w:color w:val="000000"/>
        </w:rPr>
        <w:t>% AUC imatinibu. Väzba na bielkoviny plazmy N-demetylovaného metabolitu je podobná ako pri nezmenenom liečive</w:t>
      </w:r>
      <w:r w:rsidRPr="00EE40F4">
        <w:rPr>
          <w:rFonts w:ascii="Times New Roman" w:hAnsi="Times New Roman"/>
        </w:rPr>
        <w:t>.</w:t>
      </w:r>
    </w:p>
    <w:p w14:paraId="624D2370" w14:textId="77777777" w:rsidR="00653A62" w:rsidRPr="00EE40F4" w:rsidRDefault="00653A62" w:rsidP="00EF61CC">
      <w:pPr>
        <w:spacing w:after="0" w:line="240" w:lineRule="auto"/>
        <w:ind w:right="-36"/>
        <w:rPr>
          <w:rFonts w:ascii="Times New Roman" w:hAnsi="Times New Roman"/>
        </w:rPr>
      </w:pPr>
    </w:p>
    <w:p w14:paraId="44556A9C" w14:textId="77777777" w:rsidR="00653A62" w:rsidRPr="00EE40F4" w:rsidRDefault="00C03156" w:rsidP="00EF61CC">
      <w:pPr>
        <w:spacing w:after="0" w:line="240" w:lineRule="auto"/>
        <w:ind w:right="-36"/>
        <w:rPr>
          <w:rFonts w:ascii="Times New Roman" w:hAnsi="Times New Roman"/>
          <w:position w:val="-3"/>
        </w:rPr>
      </w:pPr>
      <w:r w:rsidRPr="00DF6E37">
        <w:rPr>
          <w:rFonts w:ascii="Times New Roman" w:hAnsi="Times New Roman"/>
        </w:rPr>
        <w:t>I</w:t>
      </w:r>
      <w:r w:rsidR="000E6FE7" w:rsidRPr="00DF6E37">
        <w:rPr>
          <w:rFonts w:ascii="Times New Roman" w:hAnsi="Times New Roman"/>
        </w:rPr>
        <w:t>matinib</w:t>
      </w:r>
      <w:r w:rsidR="00653A62" w:rsidRPr="00DF6E37">
        <w:rPr>
          <w:rFonts w:ascii="Times New Roman" w:hAnsi="Times New Roman"/>
        </w:rPr>
        <w:t xml:space="preserve"> a jeho N-demetylovaný metabolit spolu predstavovali 65</w:t>
      </w:r>
      <w:r w:rsidR="009D7F4B" w:rsidRPr="00DF6E37">
        <w:rPr>
          <w:rFonts w:ascii="Times New Roman" w:hAnsi="Times New Roman"/>
        </w:rPr>
        <w:t> </w:t>
      </w:r>
      <w:r w:rsidR="00653A62" w:rsidRPr="00DF6E37">
        <w:rPr>
          <w:rFonts w:ascii="Times New Roman" w:hAnsi="Times New Roman"/>
        </w:rPr>
        <w:t xml:space="preserve">% cirkulujúcej </w:t>
      </w:r>
      <w:r w:rsidR="00DF6E37">
        <w:rPr>
          <w:rFonts w:ascii="Times New Roman" w:hAnsi="Times New Roman"/>
        </w:rPr>
        <w:t>izotopom značenej látky</w:t>
      </w:r>
      <w:r w:rsidR="00DF6E37" w:rsidRPr="00DF6E37">
        <w:rPr>
          <w:rFonts w:ascii="Times New Roman" w:hAnsi="Times New Roman"/>
        </w:rPr>
        <w:t xml:space="preserve"> </w:t>
      </w:r>
      <w:r w:rsidR="00653A62" w:rsidRPr="00DF6E37">
        <w:rPr>
          <w:rFonts w:ascii="Times New Roman" w:hAnsi="Times New Roman"/>
        </w:rPr>
        <w:t>(AUC</w:t>
      </w:r>
      <w:r w:rsidR="00653A62" w:rsidRPr="00DF6E37">
        <w:rPr>
          <w:rFonts w:ascii="Times New Roman" w:hAnsi="Times New Roman"/>
          <w:vertAlign w:val="subscript"/>
        </w:rPr>
        <w:t>0-48h</w:t>
      </w:r>
      <w:r w:rsidR="009D7F4B" w:rsidRPr="00DF6E37">
        <w:rPr>
          <w:rFonts w:ascii="Times New Roman" w:hAnsi="Times New Roman"/>
          <w:vertAlign w:val="subscript"/>
        </w:rPr>
        <w:t>)</w:t>
      </w:r>
      <w:r w:rsidR="00653A62" w:rsidRPr="00DF6E37">
        <w:rPr>
          <w:rFonts w:ascii="Times New Roman" w:hAnsi="Times New Roman"/>
        </w:rPr>
        <w:t>). Zvyšn</w:t>
      </w:r>
      <w:r w:rsidR="00DF6E37">
        <w:rPr>
          <w:rFonts w:ascii="Times New Roman" w:hAnsi="Times New Roman"/>
        </w:rPr>
        <w:t>é</w:t>
      </w:r>
      <w:r w:rsidR="00653A62" w:rsidRPr="00DF6E37">
        <w:rPr>
          <w:rFonts w:ascii="Times New Roman" w:hAnsi="Times New Roman"/>
        </w:rPr>
        <w:t xml:space="preserve"> cirkulujúc</w:t>
      </w:r>
      <w:r w:rsidR="00DF6E37">
        <w:rPr>
          <w:rFonts w:ascii="Times New Roman" w:hAnsi="Times New Roman"/>
        </w:rPr>
        <w:t>e</w:t>
      </w:r>
      <w:r w:rsidR="00653A62" w:rsidRPr="00DF6E37">
        <w:rPr>
          <w:rFonts w:ascii="Times New Roman" w:hAnsi="Times New Roman"/>
        </w:rPr>
        <w:t xml:space="preserve"> </w:t>
      </w:r>
      <w:r w:rsidR="00DF6E37">
        <w:rPr>
          <w:rFonts w:ascii="Times New Roman" w:hAnsi="Times New Roman"/>
        </w:rPr>
        <w:t>izotopom značené látky</w:t>
      </w:r>
      <w:r w:rsidR="00DF6E37" w:rsidRPr="00DF6E37">
        <w:rPr>
          <w:rFonts w:ascii="Times New Roman" w:hAnsi="Times New Roman"/>
        </w:rPr>
        <w:t xml:space="preserve"> </w:t>
      </w:r>
      <w:r w:rsidR="00653A62" w:rsidRPr="00DF6E37">
        <w:rPr>
          <w:rFonts w:ascii="Times New Roman" w:hAnsi="Times New Roman"/>
        </w:rPr>
        <w:t>sa pripísal</w:t>
      </w:r>
      <w:r w:rsidR="00DF6E37">
        <w:rPr>
          <w:rFonts w:ascii="Times New Roman" w:hAnsi="Times New Roman"/>
        </w:rPr>
        <w:t>i</w:t>
      </w:r>
      <w:r w:rsidR="00653A62" w:rsidRPr="00DF6E37">
        <w:rPr>
          <w:rFonts w:ascii="Times New Roman" w:hAnsi="Times New Roman"/>
        </w:rPr>
        <w:t xml:space="preserve"> </w:t>
      </w:r>
      <w:r w:rsidR="00AA4C0D" w:rsidRPr="00DF6E37">
        <w:rPr>
          <w:rFonts w:ascii="Times New Roman" w:hAnsi="Times New Roman"/>
        </w:rPr>
        <w:t>menšiemu počtu</w:t>
      </w:r>
      <w:r w:rsidR="00653A62" w:rsidRPr="00DF6E37">
        <w:rPr>
          <w:rFonts w:ascii="Times New Roman" w:hAnsi="Times New Roman"/>
        </w:rPr>
        <w:t xml:space="preserve"> vedľajších metabolitov</w:t>
      </w:r>
      <w:r w:rsidR="00653A62" w:rsidRPr="00DF6E37">
        <w:rPr>
          <w:rFonts w:ascii="Times New Roman" w:hAnsi="Times New Roman"/>
          <w:position w:val="-3"/>
        </w:rPr>
        <w:t>.</w:t>
      </w:r>
    </w:p>
    <w:p w14:paraId="1BE7C43B" w14:textId="77777777" w:rsidR="00653A62" w:rsidRPr="00EE40F4" w:rsidRDefault="00653A62" w:rsidP="00EF61CC">
      <w:pPr>
        <w:spacing w:after="0" w:line="240" w:lineRule="auto"/>
        <w:rPr>
          <w:rFonts w:ascii="Times New Roman" w:hAnsi="Times New Roman"/>
        </w:rPr>
      </w:pPr>
    </w:p>
    <w:p w14:paraId="255FD1F1" w14:textId="77777777" w:rsidR="00653A62" w:rsidRPr="00EE40F4" w:rsidRDefault="00653A62" w:rsidP="00EF61CC">
      <w:pPr>
        <w:spacing w:after="0" w:line="240" w:lineRule="auto"/>
        <w:ind w:right="108"/>
        <w:rPr>
          <w:rFonts w:ascii="Times New Roman" w:hAnsi="Times New Roman"/>
          <w:position w:val="-3"/>
        </w:rPr>
      </w:pPr>
      <w:r w:rsidRPr="00EE40F4">
        <w:rPr>
          <w:rFonts w:ascii="Times New Roman" w:hAnsi="Times New Roman"/>
        </w:rPr>
        <w:t xml:space="preserve">Výsledky </w:t>
      </w:r>
      <w:r w:rsidRPr="00EE40F4">
        <w:rPr>
          <w:rFonts w:ascii="Times New Roman" w:hAnsi="Times New Roman"/>
          <w:i/>
          <w:iCs/>
        </w:rPr>
        <w:t xml:space="preserve">in vitro </w:t>
      </w:r>
      <w:r w:rsidRPr="00EE40F4">
        <w:rPr>
          <w:rFonts w:ascii="Times New Roman" w:hAnsi="Times New Roman"/>
        </w:rPr>
        <w:t>ukázali, že CYP3A4 bol hlavný ľudský enzým P450, ktorý katalyzuje biotransformáciu imatinibu. Zo skupiny liečiv, pri ktorých prichádza do úvahy súčasné podávanie (paracetamol, aciklovir, alopurinol, amfotericín, cytarabín, erytromycín, flukonazol, hydroxymočovina, norfloxacín, penicilín V), len pri erytromycíne (IC</w:t>
      </w:r>
      <w:r w:rsidRPr="00EE40F4">
        <w:rPr>
          <w:rFonts w:ascii="Times New Roman" w:hAnsi="Times New Roman"/>
          <w:vertAlign w:val="subscript"/>
        </w:rPr>
        <w:t>50</w:t>
      </w:r>
      <w:r w:rsidRPr="00EE40F4">
        <w:rPr>
          <w:rFonts w:ascii="Times New Roman" w:hAnsi="Times New Roman"/>
        </w:rPr>
        <w:t xml:space="preserve"> 50 </w:t>
      </w:r>
      <w:r w:rsidR="00AE4565" w:rsidRPr="00EE40F4">
        <w:rPr>
          <w:rFonts w:ascii="Times New Roman" w:hAnsi="Times New Roman"/>
        </w:rPr>
        <w:t>μ</w:t>
      </w:r>
      <w:r w:rsidRPr="00EE40F4">
        <w:rPr>
          <w:rFonts w:ascii="Times New Roman" w:hAnsi="Times New Roman"/>
        </w:rPr>
        <w:t>mol/l) a flukonazole (IC</w:t>
      </w:r>
      <w:r w:rsidRPr="00EE40F4">
        <w:rPr>
          <w:rFonts w:ascii="Times New Roman" w:hAnsi="Times New Roman"/>
          <w:vertAlign w:val="subscript"/>
        </w:rPr>
        <w:t>50</w:t>
      </w:r>
      <w:r w:rsidRPr="00EE40F4">
        <w:rPr>
          <w:rFonts w:ascii="Times New Roman" w:hAnsi="Times New Roman"/>
        </w:rPr>
        <w:t xml:space="preserve"> 118 </w:t>
      </w:r>
      <w:r w:rsidR="00AE4565" w:rsidRPr="00EE40F4">
        <w:rPr>
          <w:rFonts w:ascii="Times New Roman" w:hAnsi="Times New Roman"/>
        </w:rPr>
        <w:t>μ</w:t>
      </w:r>
      <w:r w:rsidRPr="00EE40F4">
        <w:rPr>
          <w:rFonts w:ascii="Times New Roman" w:hAnsi="Times New Roman"/>
        </w:rPr>
        <w:t>mol/l) sa preukázala inhibícia metabolizmu imatinibu, ktorá by mohla byť klinicky významná</w:t>
      </w:r>
      <w:r w:rsidRPr="00EE40F4">
        <w:rPr>
          <w:rFonts w:ascii="Times New Roman" w:hAnsi="Times New Roman"/>
          <w:position w:val="-3"/>
        </w:rPr>
        <w:t>.</w:t>
      </w:r>
    </w:p>
    <w:p w14:paraId="6805E177" w14:textId="77777777" w:rsidR="00653A62" w:rsidRPr="00EE40F4" w:rsidRDefault="00653A62" w:rsidP="00EF61CC">
      <w:pPr>
        <w:spacing w:after="0" w:line="240" w:lineRule="auto"/>
        <w:rPr>
          <w:rFonts w:ascii="Times New Roman" w:hAnsi="Times New Roman"/>
        </w:rPr>
      </w:pPr>
    </w:p>
    <w:p w14:paraId="44A7870B" w14:textId="77777777" w:rsidR="00653A62" w:rsidRPr="00EE40F4" w:rsidRDefault="00653A62" w:rsidP="00EF61CC">
      <w:pPr>
        <w:spacing w:after="0" w:line="240" w:lineRule="auto"/>
        <w:ind w:right="161"/>
        <w:rPr>
          <w:rFonts w:ascii="Times New Roman" w:hAnsi="Times New Roman"/>
          <w:position w:val="-3"/>
        </w:rPr>
      </w:pPr>
      <w:r w:rsidRPr="00EE40F4">
        <w:rPr>
          <w:rFonts w:ascii="Times New Roman" w:hAnsi="Times New Roman"/>
        </w:rPr>
        <w:t xml:space="preserve">Ukázalo sa, že imatinib je </w:t>
      </w:r>
      <w:r w:rsidRPr="00EE40F4">
        <w:rPr>
          <w:rFonts w:ascii="Times New Roman" w:hAnsi="Times New Roman"/>
          <w:i/>
          <w:iCs/>
        </w:rPr>
        <w:t xml:space="preserve">in vitro </w:t>
      </w:r>
      <w:r w:rsidRPr="00EE40F4">
        <w:rPr>
          <w:rFonts w:ascii="Times New Roman" w:hAnsi="Times New Roman"/>
        </w:rPr>
        <w:t>kompetitívny inhibítor markerových substrátov CYP2C9, CYP2D6 a CYP3A4/5. Príslušné hodnoty K</w:t>
      </w:r>
      <w:r w:rsidRPr="00EE40F4">
        <w:rPr>
          <w:rFonts w:ascii="Times New Roman" w:hAnsi="Times New Roman"/>
          <w:vertAlign w:val="subscript"/>
        </w:rPr>
        <w:t>i</w:t>
      </w:r>
      <w:r w:rsidRPr="00EE40F4">
        <w:rPr>
          <w:rFonts w:ascii="Times New Roman" w:hAnsi="Times New Roman"/>
        </w:rPr>
        <w:t xml:space="preserve"> v ľudských pečeňových mikrozómoch boli 27</w:t>
      </w:r>
      <w:r w:rsidR="00057390" w:rsidRPr="00EE40F4">
        <w:rPr>
          <w:rFonts w:ascii="Times New Roman" w:hAnsi="Times New Roman"/>
        </w:rPr>
        <w:t xml:space="preserve">; </w:t>
      </w:r>
      <w:r w:rsidRPr="00EE40F4">
        <w:rPr>
          <w:rFonts w:ascii="Times New Roman" w:hAnsi="Times New Roman"/>
        </w:rPr>
        <w:t xml:space="preserve">7,5 a 7,9 </w:t>
      </w:r>
      <w:r w:rsidR="00AE4565" w:rsidRPr="00EE40F4">
        <w:rPr>
          <w:rFonts w:ascii="Times New Roman" w:hAnsi="Times New Roman"/>
        </w:rPr>
        <w:t>μ</w:t>
      </w:r>
      <w:r w:rsidRPr="00EE40F4">
        <w:rPr>
          <w:rFonts w:ascii="Times New Roman" w:hAnsi="Times New Roman"/>
        </w:rPr>
        <w:t xml:space="preserve">mol/l. Maximálne plazmatické koncentrácie imatinibu u pacientov sú 2–4 </w:t>
      </w:r>
      <w:r w:rsidR="00AE4565" w:rsidRPr="00EE40F4">
        <w:rPr>
          <w:rFonts w:ascii="Times New Roman" w:hAnsi="Times New Roman"/>
        </w:rPr>
        <w:t>μ</w:t>
      </w:r>
      <w:r w:rsidRPr="00EE40F4">
        <w:rPr>
          <w:rFonts w:ascii="Times New Roman" w:hAnsi="Times New Roman"/>
        </w:rPr>
        <w:t xml:space="preserve">mol/l, z čoho vyplýva, že je možná inhibícia metabolizmu súčasne podávaných liečiv, na ktorom sa podieľajú CYP2D6 a/alebo CYP3A4/5. </w:t>
      </w:r>
      <w:r w:rsidR="009D7F4B" w:rsidRPr="00EE40F4">
        <w:rPr>
          <w:rFonts w:ascii="Times New Roman" w:hAnsi="Times New Roman"/>
        </w:rPr>
        <w:t xml:space="preserve">Imatinib </w:t>
      </w:r>
      <w:r w:rsidRPr="00EE40F4">
        <w:rPr>
          <w:rFonts w:ascii="Times New Roman" w:hAnsi="Times New Roman"/>
        </w:rPr>
        <w:t>neovplyvňoval biotransformáciu 5-flu</w:t>
      </w:r>
      <w:r w:rsidR="00A0574D" w:rsidRPr="00EE40F4">
        <w:rPr>
          <w:rFonts w:ascii="Times New Roman" w:hAnsi="Times New Roman"/>
        </w:rPr>
        <w:t>ó</w:t>
      </w:r>
      <w:r w:rsidRPr="00EE40F4">
        <w:rPr>
          <w:rFonts w:ascii="Times New Roman" w:hAnsi="Times New Roman"/>
        </w:rPr>
        <w:t>ruracilu, ale inhiboval metabolizmus paklitaxelu ako následok kompetitívnej inhibície CYP2C8 (K</w:t>
      </w:r>
      <w:r w:rsidRPr="00EE40F4">
        <w:rPr>
          <w:rFonts w:ascii="Times New Roman" w:hAnsi="Times New Roman"/>
          <w:vertAlign w:val="subscript"/>
        </w:rPr>
        <w:t>i</w:t>
      </w:r>
      <w:r w:rsidRPr="00EE40F4">
        <w:rPr>
          <w:rFonts w:ascii="Times New Roman" w:hAnsi="Times New Roman"/>
        </w:rPr>
        <w:t xml:space="preserve"> = 34,7 </w:t>
      </w:r>
      <w:r w:rsidR="00AE4565" w:rsidRPr="00EE40F4">
        <w:rPr>
          <w:rFonts w:ascii="Times New Roman" w:hAnsi="Times New Roman"/>
        </w:rPr>
        <w:t>μ</w:t>
      </w:r>
      <w:r w:rsidRPr="00EE40F4">
        <w:rPr>
          <w:rFonts w:ascii="Times New Roman" w:hAnsi="Times New Roman"/>
        </w:rPr>
        <w:t>mol/l). Táto hodnota K</w:t>
      </w:r>
      <w:r w:rsidRPr="00EE40F4">
        <w:rPr>
          <w:rFonts w:ascii="Times New Roman" w:hAnsi="Times New Roman"/>
          <w:vertAlign w:val="subscript"/>
        </w:rPr>
        <w:t>i</w:t>
      </w:r>
      <w:r w:rsidRPr="00EE40F4">
        <w:rPr>
          <w:rFonts w:ascii="Times New Roman" w:hAnsi="Times New Roman"/>
        </w:rPr>
        <w:t xml:space="preserve"> je oveľa vyššia ako očakávané hladiny imatinibu v plazme pacientov, z čoho vyplýva, že sa neočakáva interakcia pri súčasnom podávaní imatinibu s 5-flu</w:t>
      </w:r>
      <w:r w:rsidR="00A0574D" w:rsidRPr="00EE40F4">
        <w:rPr>
          <w:rFonts w:ascii="Times New Roman" w:hAnsi="Times New Roman"/>
        </w:rPr>
        <w:t>ó</w:t>
      </w:r>
      <w:r w:rsidRPr="00EE40F4">
        <w:rPr>
          <w:rFonts w:ascii="Times New Roman" w:hAnsi="Times New Roman"/>
        </w:rPr>
        <w:t>ruracilom, ani s paklitaxelom</w:t>
      </w:r>
      <w:r w:rsidRPr="00EE40F4">
        <w:rPr>
          <w:rFonts w:ascii="Times New Roman" w:hAnsi="Times New Roman"/>
          <w:position w:val="-3"/>
        </w:rPr>
        <w:t>.</w:t>
      </w:r>
    </w:p>
    <w:p w14:paraId="69F491A7" w14:textId="77777777" w:rsidR="00653A62" w:rsidRPr="00EE40F4" w:rsidRDefault="00653A62" w:rsidP="00EF61CC">
      <w:pPr>
        <w:spacing w:after="0" w:line="240" w:lineRule="auto"/>
        <w:rPr>
          <w:rFonts w:ascii="Times New Roman" w:hAnsi="Times New Roman"/>
        </w:rPr>
      </w:pPr>
    </w:p>
    <w:p w14:paraId="668499A5" w14:textId="77777777" w:rsidR="00653A62" w:rsidRPr="00EE40F4" w:rsidRDefault="00653A62" w:rsidP="009D7F4B">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Eliminácia </w:t>
      </w:r>
    </w:p>
    <w:p w14:paraId="080730F4" w14:textId="77777777" w:rsidR="00653A62" w:rsidRPr="00EE40F4" w:rsidRDefault="00653A62" w:rsidP="00412829">
      <w:pPr>
        <w:spacing w:after="0" w:line="240" w:lineRule="auto"/>
        <w:rPr>
          <w:rFonts w:ascii="Times New Roman" w:hAnsi="Times New Roman"/>
          <w:position w:val="10"/>
        </w:rPr>
      </w:pPr>
      <w:r w:rsidRPr="00EE40F4">
        <w:rPr>
          <w:rFonts w:ascii="Times New Roman" w:hAnsi="Times New Roman"/>
          <w:color w:val="000000"/>
        </w:rPr>
        <w:t xml:space="preserve">Pri stanovení zlúčenín po perorálnom podaní imatinibu označeného </w:t>
      </w:r>
      <w:r w:rsidRPr="00EE40F4">
        <w:rPr>
          <w:rFonts w:ascii="Times New Roman" w:hAnsi="Times New Roman"/>
          <w:color w:val="000000"/>
          <w:vertAlign w:val="superscript"/>
        </w:rPr>
        <w:t>14</w:t>
      </w:r>
      <w:r w:rsidRPr="00EE40F4">
        <w:rPr>
          <w:rFonts w:ascii="Times New Roman" w:hAnsi="Times New Roman"/>
          <w:color w:val="000000"/>
        </w:rPr>
        <w:t>C sa približne 81</w:t>
      </w:r>
      <w:r w:rsidR="009D7F4B" w:rsidRPr="00EE40F4">
        <w:rPr>
          <w:rFonts w:ascii="Times New Roman" w:hAnsi="Times New Roman"/>
          <w:color w:val="000000"/>
        </w:rPr>
        <w:t> </w:t>
      </w:r>
      <w:r w:rsidRPr="00EE40F4">
        <w:rPr>
          <w:rFonts w:ascii="Times New Roman" w:hAnsi="Times New Roman"/>
          <w:color w:val="000000"/>
        </w:rPr>
        <w:t>% dávky našlo v priebehu 7 dní v stolici (68</w:t>
      </w:r>
      <w:r w:rsidR="009D7F4B" w:rsidRPr="00EE40F4">
        <w:rPr>
          <w:rFonts w:ascii="Times New Roman" w:hAnsi="Times New Roman"/>
          <w:color w:val="000000"/>
        </w:rPr>
        <w:t> </w:t>
      </w:r>
      <w:r w:rsidRPr="00EE40F4">
        <w:rPr>
          <w:rFonts w:ascii="Times New Roman" w:hAnsi="Times New Roman"/>
          <w:color w:val="000000"/>
        </w:rPr>
        <w:t>% dávky) a v moči (13</w:t>
      </w:r>
      <w:r w:rsidR="009D7F4B" w:rsidRPr="00EE40F4">
        <w:rPr>
          <w:rFonts w:ascii="Times New Roman" w:hAnsi="Times New Roman"/>
          <w:color w:val="000000"/>
        </w:rPr>
        <w:t> </w:t>
      </w:r>
      <w:r w:rsidRPr="00EE40F4">
        <w:rPr>
          <w:rFonts w:ascii="Times New Roman" w:hAnsi="Times New Roman"/>
          <w:color w:val="000000"/>
        </w:rPr>
        <w:t xml:space="preserve">% dávky). Ako nezmenený imatinib sa </w:t>
      </w:r>
      <w:r w:rsidRPr="00EE40F4">
        <w:rPr>
          <w:rFonts w:ascii="Times New Roman" w:hAnsi="Times New Roman"/>
        </w:rPr>
        <w:t>vylúčilo 25</w:t>
      </w:r>
      <w:r w:rsidR="009D7F4B" w:rsidRPr="00EE40F4">
        <w:rPr>
          <w:rFonts w:ascii="Times New Roman" w:hAnsi="Times New Roman"/>
        </w:rPr>
        <w:t> </w:t>
      </w:r>
      <w:r w:rsidRPr="00EE40F4">
        <w:rPr>
          <w:rFonts w:ascii="Times New Roman" w:hAnsi="Times New Roman"/>
        </w:rPr>
        <w:t>% dávky (5</w:t>
      </w:r>
      <w:r w:rsidR="009D7F4B" w:rsidRPr="00EE40F4">
        <w:rPr>
          <w:rFonts w:ascii="Times New Roman" w:hAnsi="Times New Roman"/>
        </w:rPr>
        <w:t> </w:t>
      </w:r>
      <w:r w:rsidRPr="00EE40F4">
        <w:rPr>
          <w:rFonts w:ascii="Times New Roman" w:hAnsi="Times New Roman"/>
        </w:rPr>
        <w:t>% močom, 20</w:t>
      </w:r>
      <w:r w:rsidR="009D7F4B" w:rsidRPr="00EE40F4">
        <w:rPr>
          <w:rFonts w:ascii="Times New Roman" w:hAnsi="Times New Roman"/>
        </w:rPr>
        <w:t> </w:t>
      </w:r>
      <w:r w:rsidRPr="00EE40F4">
        <w:rPr>
          <w:rFonts w:ascii="Times New Roman" w:hAnsi="Times New Roman"/>
        </w:rPr>
        <w:t>% stolicou), zvyšok boli metabolity</w:t>
      </w:r>
      <w:r w:rsidR="009D7F4B" w:rsidRPr="00EE40F4">
        <w:rPr>
          <w:rFonts w:ascii="Times New Roman" w:hAnsi="Times New Roman"/>
          <w:position w:val="-3"/>
        </w:rPr>
        <w:t>.</w:t>
      </w:r>
    </w:p>
    <w:p w14:paraId="16EDA43C" w14:textId="77777777" w:rsidR="00653A62" w:rsidRPr="00EE40F4" w:rsidRDefault="00653A62" w:rsidP="00EF61CC">
      <w:pPr>
        <w:spacing w:after="0" w:line="240" w:lineRule="auto"/>
        <w:ind w:right="125"/>
        <w:rPr>
          <w:rFonts w:ascii="Times New Roman" w:hAnsi="Times New Roman"/>
        </w:rPr>
      </w:pPr>
    </w:p>
    <w:p w14:paraId="35C24FFD"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v plazme </w:t>
      </w:r>
    </w:p>
    <w:p w14:paraId="7A836D9B" w14:textId="77777777" w:rsidR="00653A62" w:rsidRPr="00EE40F4" w:rsidRDefault="00653A62" w:rsidP="00412829">
      <w:pPr>
        <w:spacing w:after="0" w:line="240" w:lineRule="auto"/>
        <w:ind w:right="91"/>
        <w:rPr>
          <w:rFonts w:ascii="Times New Roman" w:hAnsi="Times New Roman"/>
          <w:position w:val="-3"/>
        </w:rPr>
      </w:pPr>
      <w:r w:rsidRPr="00EE40F4">
        <w:rPr>
          <w:rFonts w:ascii="Times New Roman" w:hAnsi="Times New Roman"/>
          <w:color w:val="000000"/>
        </w:rPr>
        <w:t>Po perorálnom podaní zdravým dobrovoľníkom bol t</w:t>
      </w:r>
      <w:r w:rsidRPr="00EE40F4">
        <w:rPr>
          <w:rFonts w:ascii="Times New Roman" w:hAnsi="Times New Roman"/>
          <w:color w:val="000000"/>
          <w:vertAlign w:val="subscript"/>
        </w:rPr>
        <w:t xml:space="preserve">1/2 </w:t>
      </w:r>
      <w:r w:rsidRPr="00EE40F4">
        <w:rPr>
          <w:rFonts w:ascii="Times New Roman" w:hAnsi="Times New Roman"/>
          <w:color w:val="000000"/>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EE40F4">
        <w:rPr>
          <w:rFonts w:ascii="Times New Roman" w:hAnsi="Times New Roman"/>
          <w:position w:val="-3"/>
        </w:rPr>
        <w:t>.</w:t>
      </w:r>
    </w:p>
    <w:p w14:paraId="1F10C534" w14:textId="77777777" w:rsidR="00653A62" w:rsidRPr="00EE40F4" w:rsidRDefault="00653A62" w:rsidP="00EF61CC">
      <w:pPr>
        <w:spacing w:after="0" w:line="240" w:lineRule="auto"/>
        <w:rPr>
          <w:rFonts w:ascii="Times New Roman" w:hAnsi="Times New Roman"/>
        </w:rPr>
      </w:pPr>
    </w:p>
    <w:p w14:paraId="616A12F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u </w:t>
      </w:r>
      <w:r w:rsidR="009D7F4B" w:rsidRPr="00EE40F4">
        <w:rPr>
          <w:rFonts w:ascii="Times New Roman" w:hAnsi="Times New Roman"/>
          <w:color w:val="000000"/>
          <w:u w:val="single"/>
        </w:rPr>
        <w:t xml:space="preserve">osobitných </w:t>
      </w:r>
      <w:r w:rsidRPr="00EE40F4">
        <w:rPr>
          <w:rFonts w:ascii="Times New Roman" w:hAnsi="Times New Roman"/>
          <w:color w:val="000000"/>
          <w:u w:val="single"/>
        </w:rPr>
        <w:t xml:space="preserve">skupín pacientov </w:t>
      </w:r>
    </w:p>
    <w:p w14:paraId="3D66549D" w14:textId="77777777" w:rsidR="00653A62" w:rsidRPr="00EE40F4" w:rsidRDefault="00653A62" w:rsidP="00EF61CC">
      <w:pPr>
        <w:spacing w:after="0" w:line="240" w:lineRule="auto"/>
        <w:ind w:right="87"/>
        <w:rPr>
          <w:rFonts w:ascii="Times New Roman" w:hAnsi="Times New Roman"/>
        </w:rPr>
      </w:pPr>
      <w:r w:rsidRPr="00EE40F4">
        <w:rPr>
          <w:rFonts w:ascii="Times New Roman" w:hAnsi="Times New Roman"/>
          <w:color w:val="000000"/>
        </w:rPr>
        <w:t xml:space="preserve">Pri analýze farmakokinetiky u </w:t>
      </w:r>
      <w:r w:rsidR="009D7F4B" w:rsidRPr="00EE40F4">
        <w:rPr>
          <w:rFonts w:ascii="Times New Roman" w:hAnsi="Times New Roman"/>
          <w:color w:val="000000"/>
        </w:rPr>
        <w:t xml:space="preserve">osobitných </w:t>
      </w:r>
      <w:r w:rsidRPr="00EE40F4">
        <w:rPr>
          <w:rFonts w:ascii="Times New Roman" w:hAnsi="Times New Roman"/>
          <w:color w:val="000000"/>
        </w:rPr>
        <w:t>skupín pacientov s CML sa zistil len malý vplyv veku na distribučný objem (zvýšenie o</w:t>
      </w:r>
      <w:r w:rsidR="009D7F4B" w:rsidRPr="00EE40F4">
        <w:rPr>
          <w:rFonts w:ascii="Times New Roman" w:hAnsi="Times New Roman"/>
          <w:color w:val="000000"/>
        </w:rPr>
        <w:t> </w:t>
      </w:r>
      <w:r w:rsidRPr="00EE40F4">
        <w:rPr>
          <w:rFonts w:ascii="Times New Roman" w:hAnsi="Times New Roman"/>
          <w:color w:val="000000"/>
        </w:rPr>
        <w:t>12</w:t>
      </w:r>
      <w:r w:rsidR="009D7F4B" w:rsidRPr="00EE40F4">
        <w:rPr>
          <w:rFonts w:ascii="Times New Roman" w:hAnsi="Times New Roman"/>
          <w:color w:val="000000"/>
        </w:rPr>
        <w:t> </w:t>
      </w:r>
      <w:r w:rsidRPr="00EE40F4">
        <w:rPr>
          <w:rFonts w:ascii="Times New Roman" w:hAnsi="Times New Roman"/>
          <w:color w:val="000000"/>
        </w:rPr>
        <w:t>% u pacientov vo veku &gt; 65 rokov). Táto zmena sa nepovažuje za klinicky významnú. Vplyv telesnej hmotnosti na klírens imatinibu je taký, že u pacienta s hmotnosťou 50 kg sa očakáva priemerný klírens 8,5 l/hod, zatiaľ čo u pacienta s hmotnosťou 100 kg sa klírens zvýši na 11,8 l/hod. Tieto zmeny sa nepovažujú za dostačujúce, aby bolo potrebné upraviť dávkovanie na základe kg telesnej hmotnosti. Pohlavie nemá vplyv na kinetiku imatinibu</w:t>
      </w:r>
      <w:r w:rsidRPr="00EE40F4">
        <w:rPr>
          <w:rFonts w:ascii="Times New Roman" w:hAnsi="Times New Roman"/>
          <w:spacing w:val="6"/>
        </w:rPr>
        <w:t>.</w:t>
      </w:r>
    </w:p>
    <w:p w14:paraId="19C8DE6F" w14:textId="77777777" w:rsidR="00653A62" w:rsidRPr="00EE40F4" w:rsidRDefault="00653A62" w:rsidP="00EF61CC">
      <w:pPr>
        <w:spacing w:after="0" w:line="240" w:lineRule="auto"/>
        <w:rPr>
          <w:rFonts w:ascii="Times New Roman" w:hAnsi="Times New Roman"/>
        </w:rPr>
      </w:pPr>
    </w:p>
    <w:p w14:paraId="4A0A022B" w14:textId="77777777" w:rsidR="00653A62" w:rsidRPr="00EE40F4" w:rsidRDefault="00737905"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Farmakokinetika u</w:t>
      </w:r>
      <w:r w:rsidR="00A0574D" w:rsidRPr="00EE40F4">
        <w:rPr>
          <w:rFonts w:ascii="Times New Roman" w:hAnsi="Times New Roman"/>
          <w:color w:val="000000"/>
          <w:u w:val="single"/>
        </w:rPr>
        <w:t> </w:t>
      </w:r>
      <w:r w:rsidRPr="00EE40F4">
        <w:rPr>
          <w:rFonts w:ascii="Times New Roman" w:hAnsi="Times New Roman"/>
          <w:color w:val="000000"/>
          <w:u w:val="single"/>
        </w:rPr>
        <w:t>detí</w:t>
      </w:r>
      <w:r w:rsidR="00A0574D" w:rsidRPr="00EE40F4">
        <w:rPr>
          <w:rFonts w:ascii="Times New Roman" w:hAnsi="Times New Roman"/>
          <w:color w:val="000000"/>
          <w:u w:val="single"/>
        </w:rPr>
        <w:t xml:space="preserve"> </w:t>
      </w:r>
    </w:p>
    <w:p w14:paraId="7D020E26" w14:textId="77777777" w:rsidR="00653A62" w:rsidRDefault="00653A62" w:rsidP="00EF61CC">
      <w:pPr>
        <w:spacing w:after="0" w:line="240" w:lineRule="auto"/>
        <w:ind w:right="116"/>
        <w:rPr>
          <w:rFonts w:ascii="Times New Roman" w:hAnsi="Times New Roman"/>
          <w:color w:val="000000"/>
        </w:rPr>
      </w:pPr>
      <w:r w:rsidRPr="00EE40F4">
        <w:rPr>
          <w:rFonts w:ascii="Times New Roman" w:hAnsi="Times New Roman"/>
          <w:color w:val="000000"/>
        </w:rPr>
        <w:t xml:space="preserve">Tak ako aj u dospelých pacientov, imatinib sa rýchlo </w:t>
      </w:r>
      <w:r w:rsidR="00AA4C0D">
        <w:rPr>
          <w:rFonts w:ascii="Times New Roman" w:hAnsi="Times New Roman"/>
          <w:color w:val="000000"/>
        </w:rPr>
        <w:t>ab</w:t>
      </w:r>
      <w:r w:rsidRPr="00EE40F4">
        <w:rPr>
          <w:rFonts w:ascii="Times New Roman" w:hAnsi="Times New Roman"/>
          <w:color w:val="000000"/>
        </w:rPr>
        <w:t>sorboval po perorálnom podaní u pediatrických pacientov v klinických skúšaniach fázy I aj fázy II. Dávkami 260 a 340 mg/m</w:t>
      </w:r>
      <w:r w:rsidRPr="00EE40F4">
        <w:rPr>
          <w:rFonts w:ascii="Times New Roman" w:hAnsi="Times New Roman"/>
          <w:color w:val="000000"/>
          <w:vertAlign w:val="superscript"/>
        </w:rPr>
        <w:t>2</w:t>
      </w:r>
      <w:r w:rsidRPr="00EE40F4">
        <w:rPr>
          <w:rFonts w:ascii="Times New Roman" w:hAnsi="Times New Roman"/>
          <w:color w:val="000000"/>
        </w:rPr>
        <w:t>/deň sa u detí dosiahla rovnaká expozícia ako dávkami 400 mg a 600 mg u dospelých pacientov. Porovnaním AUC</w:t>
      </w:r>
      <w:r w:rsidRPr="00EE40F4">
        <w:rPr>
          <w:rFonts w:ascii="Times New Roman" w:hAnsi="Times New Roman"/>
          <w:color w:val="000000"/>
          <w:vertAlign w:val="subscript"/>
        </w:rPr>
        <w:t>(0-24)</w:t>
      </w:r>
      <w:r w:rsidRPr="00EE40F4">
        <w:rPr>
          <w:rFonts w:ascii="Times New Roman" w:hAnsi="Times New Roman"/>
          <w:color w:val="000000"/>
        </w:rPr>
        <w:t xml:space="preserve"> na 8. a 1. deň pri hladine dávok 340 mg/m</w:t>
      </w:r>
      <w:r w:rsidRPr="00EE40F4">
        <w:rPr>
          <w:rFonts w:ascii="Times New Roman" w:hAnsi="Times New Roman"/>
          <w:color w:val="000000"/>
          <w:vertAlign w:val="superscript"/>
        </w:rPr>
        <w:t>2</w:t>
      </w:r>
      <w:r w:rsidRPr="00EE40F4">
        <w:rPr>
          <w:rFonts w:ascii="Times New Roman" w:hAnsi="Times New Roman"/>
          <w:color w:val="000000"/>
        </w:rPr>
        <w:t>/deň sa zistilo, že dochádza k 1,7-násobnej akumulácii liečiva po opakovanom podávaní raz denne</w:t>
      </w:r>
      <w:r w:rsidR="00B532B0">
        <w:rPr>
          <w:rFonts w:ascii="Times New Roman" w:hAnsi="Times New Roman"/>
          <w:color w:val="000000"/>
        </w:rPr>
        <w:t>.</w:t>
      </w:r>
    </w:p>
    <w:p w14:paraId="52E5C289" w14:textId="77777777" w:rsidR="00B532B0" w:rsidRDefault="00B532B0" w:rsidP="00EF61CC">
      <w:pPr>
        <w:spacing w:after="0" w:line="240" w:lineRule="auto"/>
        <w:ind w:right="116"/>
        <w:rPr>
          <w:rFonts w:ascii="Times New Roman" w:hAnsi="Times New Roman"/>
          <w:color w:val="000000"/>
        </w:rPr>
      </w:pPr>
    </w:p>
    <w:p w14:paraId="5364EFFD" w14:textId="77777777" w:rsidR="00B532B0" w:rsidRPr="00EE71A9" w:rsidRDefault="00B532B0" w:rsidP="00EE71A9">
      <w:pPr>
        <w:shd w:val="clear" w:color="auto" w:fill="FFFFFF"/>
        <w:spacing w:after="0" w:line="240" w:lineRule="auto"/>
        <w:rPr>
          <w:rFonts w:ascii="Times New Roman" w:hAnsi="Times New Roman"/>
        </w:rPr>
      </w:pPr>
      <w:r w:rsidRPr="00872FE4">
        <w:rPr>
          <w:rFonts w:ascii="Times New Roman" w:hAnsi="Times New Roman"/>
        </w:rPr>
        <w:t xml:space="preserve">Podľa združenej populačnej farmakokinetickej analýzy u pediatrických pacientov s hematologickými poruchami (CML, Ph+ALL alebo iné hematologické poruchy liečené imatinibom) sa klírens imatinibu </w:t>
      </w:r>
      <w:r w:rsidRPr="00872FE4">
        <w:rPr>
          <w:rFonts w:ascii="Times New Roman" w:hAnsi="Times New Roman"/>
        </w:rPr>
        <w:lastRenderedPageBreak/>
        <w:t>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872FE4">
        <w:rPr>
          <w:rFonts w:ascii="Times New Roman" w:hAnsi="Times New Roman"/>
          <w:vertAlign w:val="superscript"/>
        </w:rPr>
        <w:t>2</w:t>
      </w:r>
      <w:r w:rsidRPr="00872FE4">
        <w:rPr>
          <w:rFonts w:ascii="Times New Roman" w:hAnsi="Times New Roman"/>
        </w:rPr>
        <w:t xml:space="preserve"> raz denne (neprekračujúc dávku 400 mg raz denne) alebo 340 mg/m</w:t>
      </w:r>
      <w:r w:rsidRPr="00872FE4">
        <w:rPr>
          <w:rFonts w:ascii="Times New Roman" w:hAnsi="Times New Roman"/>
          <w:vertAlign w:val="superscript"/>
        </w:rPr>
        <w:t>2</w:t>
      </w:r>
      <w:r w:rsidRPr="00872FE4">
        <w:rPr>
          <w:rFonts w:ascii="Times New Roman" w:hAnsi="Times New Roman"/>
        </w:rPr>
        <w:t xml:space="preserve"> raz denne (neprekračujúc dávku 600 mg raz denne) bola podobná ako u dospelých pacientov dostávajúcich dávky imatinibu 400 mg alebo 600 mg raz denne.</w:t>
      </w:r>
    </w:p>
    <w:p w14:paraId="62579E2A" w14:textId="77777777" w:rsidR="00A0574D" w:rsidRPr="00EE40F4" w:rsidRDefault="00A0574D" w:rsidP="00A0574D">
      <w:pPr>
        <w:shd w:val="clear" w:color="auto" w:fill="FFFFFF"/>
        <w:spacing w:after="0" w:line="240" w:lineRule="auto"/>
        <w:rPr>
          <w:rFonts w:ascii="Times New Roman" w:hAnsi="Times New Roman"/>
        </w:rPr>
      </w:pPr>
    </w:p>
    <w:p w14:paraId="565BA89E" w14:textId="77777777" w:rsidR="00653A62" w:rsidRPr="00EE40F4" w:rsidRDefault="00653A62" w:rsidP="00A0574D">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Zhoršenie funkcie orgánov </w:t>
      </w:r>
    </w:p>
    <w:p w14:paraId="15609CCD" w14:textId="77777777" w:rsidR="00653A62" w:rsidRPr="00EE40F4" w:rsidRDefault="00AE4565" w:rsidP="00A0574D">
      <w:pPr>
        <w:spacing w:after="0" w:line="240" w:lineRule="auto"/>
        <w:ind w:right="184"/>
        <w:rPr>
          <w:rFonts w:ascii="Times New Roman" w:hAnsi="Times New Roman"/>
        </w:rPr>
      </w:pPr>
      <w:r w:rsidRPr="00EE40F4">
        <w:rPr>
          <w:rFonts w:ascii="Times New Roman" w:hAnsi="Times New Roman"/>
          <w:color w:val="000000"/>
        </w:rPr>
        <w:t xml:space="preserve">Imatinib </w:t>
      </w:r>
      <w:r w:rsidR="00653A62" w:rsidRPr="00EE40F4">
        <w:rPr>
          <w:rFonts w:ascii="Times New Roman" w:hAnsi="Times New Roman"/>
          <w:color w:val="000000"/>
        </w:rPr>
        <w:t>a jeho metabolity sa nevylučujú vo významnom rozsahu obličkami. U pacientov s ľahkým a stredne ťažkým zhoršením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so zhoršenou funkciou obličiek a normálnou funkciou obličiek, pretože vylučovanie obličkami predstavuje pri imatinibe len menej významnú dráhu eliminácie (pozri časti 4.2 a 4.4)</w:t>
      </w:r>
      <w:r w:rsidR="00653A62" w:rsidRPr="00EE40F4">
        <w:rPr>
          <w:rFonts w:ascii="Times New Roman" w:hAnsi="Times New Roman"/>
        </w:rPr>
        <w:t>.</w:t>
      </w:r>
    </w:p>
    <w:p w14:paraId="366C316D" w14:textId="77777777" w:rsidR="00653A62" w:rsidRPr="00EE40F4" w:rsidRDefault="00653A62" w:rsidP="00EF61CC">
      <w:pPr>
        <w:spacing w:after="0" w:line="240" w:lineRule="auto"/>
        <w:rPr>
          <w:rFonts w:ascii="Times New Roman" w:hAnsi="Times New Roman"/>
        </w:rPr>
      </w:pPr>
    </w:p>
    <w:p w14:paraId="6FB0EAFA" w14:textId="77777777" w:rsidR="00653A62" w:rsidRPr="00EE40F4" w:rsidRDefault="00653A62" w:rsidP="00EF61CC">
      <w:pPr>
        <w:spacing w:after="0" w:line="240" w:lineRule="auto"/>
        <w:ind w:right="86"/>
        <w:rPr>
          <w:rFonts w:ascii="Times New Roman" w:hAnsi="Times New Roman"/>
        </w:rPr>
      </w:pPr>
      <w:r w:rsidRPr="00EE40F4">
        <w:rPr>
          <w:rFonts w:ascii="Times New Roman" w:hAnsi="Times New Roman"/>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EE40F4">
        <w:rPr>
          <w:rFonts w:ascii="Times New Roman" w:hAnsi="Times New Roman"/>
          <w:spacing w:val="1"/>
        </w:rPr>
        <w:t>.</w:t>
      </w:r>
    </w:p>
    <w:p w14:paraId="7133647D" w14:textId="77777777" w:rsidR="00653A62" w:rsidRPr="00EE40F4" w:rsidRDefault="00653A62" w:rsidP="00EF61CC">
      <w:pPr>
        <w:spacing w:after="0" w:line="240" w:lineRule="auto"/>
        <w:rPr>
          <w:rFonts w:ascii="Times New Roman" w:hAnsi="Times New Roman"/>
        </w:rPr>
      </w:pPr>
    </w:p>
    <w:p w14:paraId="5BA3105C"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5.3</w:t>
      </w:r>
      <w:r w:rsidRPr="00EE40F4">
        <w:rPr>
          <w:rFonts w:ascii="Times New Roman" w:hAnsi="Times New Roman"/>
          <w:b/>
        </w:rPr>
        <w:tab/>
      </w:r>
      <w:r w:rsidRPr="00EE40F4">
        <w:rPr>
          <w:rFonts w:ascii="Times New Roman" w:hAnsi="Times New Roman"/>
          <w:b/>
          <w:bCs/>
        </w:rPr>
        <w:t>Predklinické údaje o bezpečnosti</w:t>
      </w:r>
    </w:p>
    <w:p w14:paraId="19B78A7E" w14:textId="77777777" w:rsidR="00653A62" w:rsidRPr="00EE40F4" w:rsidRDefault="00653A62" w:rsidP="00EF61CC">
      <w:pPr>
        <w:spacing w:after="0" w:line="240" w:lineRule="auto"/>
        <w:rPr>
          <w:rFonts w:ascii="Times New Roman" w:hAnsi="Times New Roman"/>
        </w:rPr>
      </w:pPr>
    </w:p>
    <w:p w14:paraId="3148BAE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Profil predklinickej bezpečnosti imatinibu sa stanovil na potkanoch, psoch, opiciach a králikoch.</w:t>
      </w:r>
    </w:p>
    <w:p w14:paraId="4E37BD96" w14:textId="77777777" w:rsidR="00653A62" w:rsidRPr="00EE40F4" w:rsidRDefault="00653A62" w:rsidP="00EF61CC">
      <w:pPr>
        <w:spacing w:after="0" w:line="240" w:lineRule="auto"/>
        <w:ind w:right="-20"/>
        <w:rPr>
          <w:rFonts w:ascii="Times New Roman" w:hAnsi="Times New Roman"/>
        </w:rPr>
      </w:pPr>
    </w:p>
    <w:p w14:paraId="4B70F2C4"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Štúdie toxicity po opakovanom podávaní u potkanov, psov a opíc ukázali malé až stredne veľké hematologické zmeny, ktoré sprevádzali zmeny kostnej drene u potkanov a psov.</w:t>
      </w:r>
    </w:p>
    <w:p w14:paraId="471E29C9" w14:textId="77777777" w:rsidR="00653A62" w:rsidRPr="00EE40F4" w:rsidRDefault="00653A62" w:rsidP="00EF61CC">
      <w:pPr>
        <w:spacing w:after="0" w:line="240" w:lineRule="auto"/>
        <w:ind w:right="-20"/>
        <w:rPr>
          <w:rFonts w:ascii="Times New Roman" w:hAnsi="Times New Roman"/>
        </w:rPr>
      </w:pPr>
    </w:p>
    <w:p w14:paraId="6B35E307"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0D5369AC" w14:textId="77777777" w:rsidR="00653A62" w:rsidRPr="00EE40F4" w:rsidRDefault="00653A62" w:rsidP="00EF61CC">
      <w:pPr>
        <w:spacing w:after="0" w:line="240" w:lineRule="auto"/>
        <w:ind w:right="-20"/>
        <w:rPr>
          <w:rFonts w:ascii="Times New Roman" w:hAnsi="Times New Roman"/>
        </w:rPr>
      </w:pPr>
    </w:p>
    <w:p w14:paraId="5409B523"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Toxicita pre obličky sa pozorovala u opíc, ktoré dostávali imatinib počas 2 týždňov</w:t>
      </w:r>
      <w:r w:rsidR="001F3CD7" w:rsidRPr="00EE40F4">
        <w:rPr>
          <w:rFonts w:ascii="Times New Roman" w:hAnsi="Times New Roman"/>
        </w:rPr>
        <w:t>,</w:t>
      </w:r>
      <w:r w:rsidRPr="00EE40F4">
        <w:rPr>
          <w:rFonts w:ascii="Times New Roman" w:hAnsi="Times New Roman"/>
        </w:rPr>
        <w:t xml:space="preserve">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EE40F4">
        <w:rPr>
          <w:rFonts w:ascii="Times New Roman" w:hAnsi="Times New Roman"/>
        </w:rPr>
        <w:t xml:space="preserve">dlhodobom </w:t>
      </w:r>
      <w:r w:rsidRPr="00EE40F4">
        <w:rPr>
          <w:rFonts w:ascii="Times New Roman" w:hAnsi="Times New Roman"/>
        </w:rPr>
        <w:t>podávaní imatinibu sa pozoroval zvýšený výskyt oportúnnych infekcií.</w:t>
      </w:r>
    </w:p>
    <w:p w14:paraId="1376EEC3" w14:textId="77777777" w:rsidR="00653A62" w:rsidRPr="00EE40F4" w:rsidRDefault="00653A62" w:rsidP="00EF61CC">
      <w:pPr>
        <w:spacing w:after="0" w:line="240" w:lineRule="auto"/>
        <w:rPr>
          <w:rFonts w:ascii="Times New Roman" w:hAnsi="Times New Roman"/>
        </w:rPr>
      </w:pPr>
    </w:p>
    <w:p w14:paraId="54B269A8" w14:textId="77777777" w:rsidR="00653A62" w:rsidRPr="00EE40F4" w:rsidRDefault="00653A62" w:rsidP="00EF61CC">
      <w:pPr>
        <w:tabs>
          <w:tab w:val="left" w:pos="9214"/>
          <w:tab w:val="left" w:pos="9356"/>
        </w:tabs>
        <w:spacing w:after="0" w:line="240" w:lineRule="auto"/>
        <w:ind w:right="-56"/>
        <w:rPr>
          <w:rFonts w:ascii="Times New Roman" w:hAnsi="Times New Roman"/>
        </w:rPr>
      </w:pPr>
      <w:r w:rsidRPr="00EE40F4">
        <w:rPr>
          <w:rFonts w:ascii="Times New Roman" w:hAnsi="Times New Roman"/>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5B8C426C" w14:textId="77777777" w:rsidR="00653A62" w:rsidRPr="00EE40F4" w:rsidRDefault="00653A62" w:rsidP="00EF61CC">
      <w:pPr>
        <w:spacing w:after="0" w:line="240" w:lineRule="auto"/>
        <w:rPr>
          <w:rFonts w:ascii="Times New Roman" w:hAnsi="Times New Roman"/>
        </w:rPr>
      </w:pPr>
    </w:p>
    <w:p w14:paraId="2EDD14C2" w14:textId="77777777" w:rsidR="00FF42FC" w:rsidRPr="00EE40F4" w:rsidRDefault="00AE4565" w:rsidP="00FF42FC">
      <w:pPr>
        <w:spacing w:after="0" w:line="240" w:lineRule="auto"/>
        <w:ind w:right="-56"/>
        <w:rPr>
          <w:rFonts w:ascii="Times New Roman" w:hAnsi="Times New Roman"/>
        </w:rPr>
      </w:pPr>
      <w:r w:rsidRPr="00EE40F4">
        <w:rPr>
          <w:rFonts w:ascii="Times New Roman" w:hAnsi="Times New Roman"/>
        </w:rPr>
        <w:t xml:space="preserve">Imatinib </w:t>
      </w:r>
      <w:r w:rsidR="00653A62" w:rsidRPr="00EE40F4">
        <w:rPr>
          <w:rFonts w:ascii="Times New Roman" w:hAnsi="Times New Roman"/>
        </w:rPr>
        <w:t xml:space="preserve">sa nepovažoval za genotoxický pri skúšaní </w:t>
      </w:r>
      <w:r w:rsidR="00653A62" w:rsidRPr="00EE40F4">
        <w:rPr>
          <w:rFonts w:ascii="Times New Roman" w:hAnsi="Times New Roman"/>
          <w:i/>
          <w:iCs/>
        </w:rPr>
        <w:t xml:space="preserve">in vitro </w:t>
      </w:r>
      <w:r w:rsidR="00653A62" w:rsidRPr="00EE40F4">
        <w:rPr>
          <w:rFonts w:ascii="Times New Roman" w:hAnsi="Times New Roman"/>
        </w:rPr>
        <w:t xml:space="preserve">na bakteriálnych bunkách (Amesov test), </w:t>
      </w:r>
      <w:r w:rsidR="00653A62" w:rsidRPr="00EE40F4">
        <w:rPr>
          <w:rFonts w:ascii="Times New Roman" w:hAnsi="Times New Roman"/>
          <w:i/>
          <w:iCs/>
        </w:rPr>
        <w:t xml:space="preserve">in vitro </w:t>
      </w:r>
      <w:r w:rsidR="00653A62" w:rsidRPr="00EE40F4">
        <w:rPr>
          <w:rFonts w:ascii="Times New Roman" w:hAnsi="Times New Roman"/>
        </w:rPr>
        <w:t xml:space="preserve">na cicavčích bunkách (myšací lymfóm) a </w:t>
      </w:r>
      <w:r w:rsidR="00653A62" w:rsidRPr="00EE40F4">
        <w:rPr>
          <w:rFonts w:ascii="Times New Roman" w:hAnsi="Times New Roman"/>
          <w:i/>
          <w:iCs/>
        </w:rPr>
        <w:t xml:space="preserve">in vivo </w:t>
      </w:r>
      <w:r w:rsidR="00653A62" w:rsidRPr="00EE40F4">
        <w:rPr>
          <w:rFonts w:ascii="Times New Roman" w:hAnsi="Times New Roman"/>
        </w:rPr>
        <w:t xml:space="preserve">na potkaních mikronukleoch. Pozitívne genotoxické účinky imatinibu sa pozorovali pri jednom skúšaní </w:t>
      </w:r>
      <w:r w:rsidR="00653A62" w:rsidRPr="00EE40F4">
        <w:rPr>
          <w:rFonts w:ascii="Times New Roman" w:hAnsi="Times New Roman"/>
          <w:i/>
          <w:iCs/>
        </w:rPr>
        <w:t xml:space="preserve">in vitro </w:t>
      </w:r>
      <w:r w:rsidR="00653A62" w:rsidRPr="00EE40F4">
        <w:rPr>
          <w:rFonts w:ascii="Times New Roman" w:hAnsi="Times New Roman"/>
        </w:rPr>
        <w:t>na cicavčích bunkách (ov</w:t>
      </w:r>
      <w:r w:rsidR="00D13890">
        <w:rPr>
          <w:rFonts w:ascii="Times New Roman" w:hAnsi="Times New Roman"/>
        </w:rPr>
        <w:t>a</w:t>
      </w:r>
      <w:r w:rsidR="00653A62" w:rsidRPr="00EE40F4">
        <w:rPr>
          <w:rFonts w:ascii="Times New Roman" w:hAnsi="Times New Roman"/>
        </w:rPr>
        <w:t>r</w:t>
      </w:r>
      <w:r w:rsidR="00D13890">
        <w:rPr>
          <w:rFonts w:ascii="Times New Roman" w:hAnsi="Times New Roman"/>
        </w:rPr>
        <w:t>iálne bunky</w:t>
      </w:r>
      <w:r w:rsidR="00653A62" w:rsidRPr="00EE40F4">
        <w:rPr>
          <w:rFonts w:ascii="Times New Roman" w:hAnsi="Times New Roman"/>
        </w:rPr>
        <w:t xml:space="preserve"> čínskeho škrečka), pri ktorom sa zistila klastogenita (chromozómová aberácia) po metabolickej aktivácii. </w:t>
      </w:r>
      <w:r w:rsidR="005E06C7" w:rsidRPr="00EE40F4">
        <w:rPr>
          <w:rFonts w:ascii="Times New Roman" w:hAnsi="Times New Roman"/>
        </w:rPr>
        <w:t>Dva medziprodukty výrobného procesu, kt</w:t>
      </w:r>
      <w:r w:rsidR="00D13890">
        <w:rPr>
          <w:rFonts w:ascii="Times New Roman" w:hAnsi="Times New Roman"/>
        </w:rPr>
        <w:t>o</w:t>
      </w:r>
      <w:r w:rsidR="005E06C7" w:rsidRPr="00EE40F4">
        <w:rPr>
          <w:rFonts w:ascii="Times New Roman" w:hAnsi="Times New Roman"/>
        </w:rPr>
        <w:t xml:space="preserve">ré </w:t>
      </w:r>
      <w:r w:rsidR="00D13890">
        <w:rPr>
          <w:rFonts w:ascii="Times New Roman" w:hAnsi="Times New Roman"/>
        </w:rPr>
        <w:t>sú</w:t>
      </w:r>
      <w:r w:rsidR="005E06C7" w:rsidRPr="00EE40F4">
        <w:rPr>
          <w:rFonts w:ascii="Times New Roman" w:hAnsi="Times New Roman"/>
        </w:rPr>
        <w:t xml:space="preserve"> tiež prítomné v</w:t>
      </w:r>
      <w:r w:rsidR="00D13890">
        <w:rPr>
          <w:rFonts w:ascii="Times New Roman" w:hAnsi="Times New Roman"/>
        </w:rPr>
        <w:t>o</w:t>
      </w:r>
      <w:r w:rsidR="005E06C7" w:rsidRPr="00EE40F4">
        <w:rPr>
          <w:rFonts w:ascii="Times New Roman" w:hAnsi="Times New Roman"/>
        </w:rPr>
        <w:t xml:space="preserve"> finálnom </w:t>
      </w:r>
      <w:r w:rsidR="00D13890">
        <w:rPr>
          <w:rFonts w:ascii="Times New Roman" w:hAnsi="Times New Roman"/>
        </w:rPr>
        <w:t>produkte</w:t>
      </w:r>
      <w:r w:rsidR="005E06C7" w:rsidRPr="00EE40F4">
        <w:rPr>
          <w:rFonts w:ascii="Times New Roman" w:hAnsi="Times New Roman"/>
        </w:rPr>
        <w:t>, mali pozitívny Amesov test na mutagenicitu. Jeden z týchto medziproduktov b</w:t>
      </w:r>
      <w:r w:rsidR="00D13890">
        <w:rPr>
          <w:rFonts w:ascii="Times New Roman" w:hAnsi="Times New Roman"/>
        </w:rPr>
        <w:t>o</w:t>
      </w:r>
      <w:r w:rsidR="005E06C7" w:rsidRPr="00EE40F4">
        <w:rPr>
          <w:rFonts w:ascii="Times New Roman" w:hAnsi="Times New Roman"/>
        </w:rPr>
        <w:t>l tiež pozitívny pri testovaní na myších lymfómových bunkách.</w:t>
      </w:r>
    </w:p>
    <w:p w14:paraId="7272230D" w14:textId="77777777" w:rsidR="00CB46BE" w:rsidRPr="00EE40F4" w:rsidRDefault="00CB46BE" w:rsidP="00FF42FC">
      <w:pPr>
        <w:spacing w:after="0" w:line="240" w:lineRule="auto"/>
        <w:ind w:right="-56"/>
        <w:rPr>
          <w:rFonts w:ascii="Times New Roman" w:hAnsi="Times New Roman"/>
        </w:rPr>
      </w:pPr>
    </w:p>
    <w:p w14:paraId="1FB79BFE" w14:textId="77777777" w:rsidR="00653A62" w:rsidRPr="00EE40F4" w:rsidRDefault="00653A62" w:rsidP="00EF61CC">
      <w:pPr>
        <w:spacing w:after="0" w:line="240" w:lineRule="auto"/>
        <w:ind w:right="-56"/>
        <w:rPr>
          <w:rFonts w:ascii="Times New Roman" w:hAnsi="Times New Roman"/>
        </w:rPr>
      </w:pPr>
      <w:r w:rsidRPr="00EE40F4">
        <w:rPr>
          <w:rFonts w:ascii="Times New Roman" w:hAnsi="Times New Roman"/>
        </w:rPr>
        <w:t xml:space="preserve">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w:t>
      </w:r>
      <w:r w:rsidRPr="00EE40F4">
        <w:rPr>
          <w:rFonts w:ascii="Times New Roman" w:hAnsi="Times New Roman"/>
        </w:rPr>
        <w:lastRenderedPageBreak/>
        <w:t>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 20 mg/kg.</w:t>
      </w:r>
    </w:p>
    <w:p w14:paraId="61E812E6" w14:textId="77777777" w:rsidR="00653A62" w:rsidRPr="00EE40F4" w:rsidRDefault="00653A62" w:rsidP="00EF61CC">
      <w:pPr>
        <w:spacing w:after="0" w:line="240" w:lineRule="auto"/>
        <w:ind w:right="-56"/>
        <w:rPr>
          <w:rFonts w:ascii="Times New Roman" w:hAnsi="Times New Roman"/>
        </w:rPr>
      </w:pPr>
    </w:p>
    <w:p w14:paraId="1F29E12A" w14:textId="77777777" w:rsidR="00653A62" w:rsidRPr="00356A3B" w:rsidRDefault="00653A62" w:rsidP="00EF61CC">
      <w:pPr>
        <w:spacing w:after="0" w:line="240" w:lineRule="auto"/>
        <w:ind w:right="-56"/>
        <w:rPr>
          <w:rFonts w:ascii="Times New Roman" w:hAnsi="Times New Roman"/>
        </w:rPr>
      </w:pPr>
      <w:r w:rsidRPr="00EE40F4">
        <w:rPr>
          <w:rFonts w:ascii="Times New Roman" w:hAnsi="Times New Roman"/>
        </w:rPr>
        <w:t>V štúdii pre- a postnatálneho výv</w:t>
      </w:r>
      <w:r w:rsidR="00D13890">
        <w:rPr>
          <w:rFonts w:ascii="Times New Roman" w:hAnsi="Times New Roman"/>
        </w:rPr>
        <w:t>inu</w:t>
      </w:r>
      <w:r w:rsidRPr="00EE40F4">
        <w:rPr>
          <w:rFonts w:ascii="Times New Roman" w:hAnsi="Times New Roman"/>
        </w:rPr>
        <w:t xml:space="preserve"> potkanov sa pri perorálnom podávaní v skupine </w:t>
      </w:r>
      <w:r w:rsidR="00AE4565" w:rsidRPr="00EE40F4">
        <w:rPr>
          <w:rFonts w:ascii="Times New Roman" w:hAnsi="Times New Roman"/>
        </w:rPr>
        <w:t xml:space="preserve">s dávkou </w:t>
      </w:r>
      <w:r w:rsidRPr="00EE40F4">
        <w:rPr>
          <w:rFonts w:ascii="Times New Roman" w:hAnsi="Times New Roman"/>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EE40F4">
        <w:rPr>
          <w:rFonts w:ascii="Times New Roman" w:hAnsi="Times New Roman"/>
          <w:position w:val="-3"/>
        </w:rPr>
        <w:t>.</w:t>
      </w:r>
    </w:p>
    <w:p w14:paraId="24AFD968" w14:textId="77777777" w:rsidR="00653A62" w:rsidRPr="00EE40F4" w:rsidRDefault="00653A62" w:rsidP="00EF61CC">
      <w:pPr>
        <w:spacing w:after="0" w:line="240" w:lineRule="auto"/>
        <w:ind w:right="-56"/>
        <w:rPr>
          <w:rFonts w:ascii="Times New Roman" w:hAnsi="Times New Roman"/>
        </w:rPr>
      </w:pPr>
    </w:p>
    <w:p w14:paraId="093439C2" w14:textId="77777777" w:rsidR="00653A62" w:rsidRPr="00EE40F4" w:rsidRDefault="001F3CD7" w:rsidP="00EF61CC">
      <w:pPr>
        <w:spacing w:after="0" w:line="240" w:lineRule="auto"/>
        <w:ind w:right="-56"/>
        <w:rPr>
          <w:rFonts w:ascii="Times New Roman" w:hAnsi="Times New Roman"/>
        </w:rPr>
      </w:pPr>
      <w:r w:rsidRPr="00EE40F4">
        <w:rPr>
          <w:rFonts w:ascii="Times New Roman" w:hAnsi="Times New Roman"/>
        </w:rPr>
        <w:t xml:space="preserve">Imatinib </w:t>
      </w:r>
      <w:r w:rsidR="00653A62" w:rsidRPr="00EE40F4">
        <w:rPr>
          <w:rFonts w:ascii="Times New Roman" w:hAnsi="Times New Roman"/>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33988C30" w14:textId="77777777" w:rsidR="00FF42FC" w:rsidRPr="00EE40F4" w:rsidRDefault="00FF42FC" w:rsidP="00FF42FC">
      <w:pPr>
        <w:spacing w:after="0" w:line="240" w:lineRule="auto"/>
        <w:rPr>
          <w:rFonts w:ascii="Times New Roman" w:hAnsi="Times New Roman"/>
        </w:rPr>
      </w:pPr>
    </w:p>
    <w:p w14:paraId="7E46D690"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V toxikologickej výv</w:t>
      </w:r>
      <w:r w:rsidR="00D13890">
        <w:rPr>
          <w:rFonts w:ascii="Times New Roman" w:hAnsi="Times New Roman"/>
        </w:rPr>
        <w:t>inovej</w:t>
      </w:r>
      <w:r w:rsidRPr="00EE40F4">
        <w:rPr>
          <w:rFonts w:ascii="Times New Roman" w:hAnsi="Times New Roman"/>
        </w:rPr>
        <w:t xml:space="preserve"> štúdii u juvenilných potkanov neboli zistené žiadne nové cieľové orgány </w:t>
      </w:r>
    </w:p>
    <w:p w14:paraId="7EA25D4D"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(deň 10 až 70 </w:t>
      </w:r>
      <w:r w:rsidRPr="001F14EC">
        <w:rPr>
          <w:rFonts w:ascii="Times New Roman" w:hAnsi="Times New Roman"/>
          <w:i/>
        </w:rPr>
        <w:t>postpartum</w:t>
      </w:r>
      <w:r w:rsidRPr="00EE40F4">
        <w:rPr>
          <w:rFonts w:ascii="Times New Roman" w:hAnsi="Times New Roman"/>
        </w:rPr>
        <w:t xml:space="preserve">) s ohľadom na už známe cieľové orgány u dospelých potkanov. V tejto </w:t>
      </w:r>
    </w:p>
    <w:p w14:paraId="35E25114"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štúdii bol pri dávkach 0,3- až 2-násobne vyšších, ako je priemerná expozícia u detí pri najvyššej </w:t>
      </w:r>
    </w:p>
    <w:p w14:paraId="464D3AB7"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odporúčanej dávke 340 mg/m2, zaznamenaný vplyv na rast, oneskorený vývin vaginálneho otvoru a </w:t>
      </w:r>
    </w:p>
    <w:p w14:paraId="1BD25F24"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separácie predkožky. Pri dávkach zhruba 2-násobne vyšších, ako je priemerná expozícia u detí pri </w:t>
      </w:r>
    </w:p>
    <w:p w14:paraId="7098A7B1"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najvyššej odporúčanej dávke 340 mg/m2, bola okrem toho zaznamenaná u mláďat mortalita (približne </w:t>
      </w:r>
    </w:p>
    <w:p w14:paraId="2B66134F"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v období odstavenia mláďat).</w:t>
      </w:r>
    </w:p>
    <w:p w14:paraId="05FF87A8" w14:textId="77777777" w:rsidR="00653A62" w:rsidRPr="00EE40F4" w:rsidRDefault="00653A62" w:rsidP="00EF61CC">
      <w:pPr>
        <w:spacing w:after="0" w:line="240" w:lineRule="auto"/>
        <w:rPr>
          <w:rFonts w:ascii="Times New Roman" w:hAnsi="Times New Roman"/>
        </w:rPr>
      </w:pPr>
    </w:p>
    <w:p w14:paraId="3703F639" w14:textId="77777777" w:rsidR="00653A62" w:rsidRPr="00EE40F4" w:rsidRDefault="00653A62" w:rsidP="00EF61CC">
      <w:pPr>
        <w:spacing w:after="0" w:line="240" w:lineRule="auto"/>
        <w:ind w:right="160"/>
        <w:rPr>
          <w:rFonts w:ascii="Times New Roman" w:hAnsi="Times New Roman"/>
        </w:rPr>
      </w:pPr>
      <w:r w:rsidRPr="00EE40F4">
        <w:rPr>
          <w:rFonts w:ascii="Times New Roman" w:hAnsi="Times New Roman"/>
        </w:rPr>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2E09B968" w14:textId="77777777" w:rsidR="00653A62" w:rsidRPr="00EE40F4" w:rsidRDefault="00653A62" w:rsidP="00EF61CC">
      <w:pPr>
        <w:spacing w:after="0" w:line="240" w:lineRule="auto"/>
        <w:rPr>
          <w:rFonts w:ascii="Times New Roman" w:hAnsi="Times New Roman"/>
        </w:rPr>
      </w:pPr>
    </w:p>
    <w:p w14:paraId="461A964F" w14:textId="77777777" w:rsidR="00653A62" w:rsidRPr="00EE40F4" w:rsidRDefault="00653A62" w:rsidP="00EF61CC">
      <w:pPr>
        <w:spacing w:after="0" w:line="240" w:lineRule="auto"/>
        <w:ind w:right="101"/>
        <w:rPr>
          <w:rFonts w:ascii="Times New Roman" w:hAnsi="Times New Roman"/>
          <w:position w:val="10"/>
        </w:rPr>
      </w:pPr>
      <w:r w:rsidRPr="00EE40F4">
        <w:rPr>
          <w:rFonts w:ascii="Times New Roman" w:hAnsi="Times New Roman"/>
        </w:rPr>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EE40F4">
        <w:rPr>
          <w:rFonts w:ascii="Times New Roman" w:hAnsi="Times New Roman"/>
          <w:vertAlign w:val="superscript"/>
        </w:rPr>
        <w:t>2</w:t>
      </w:r>
      <w:r w:rsidRPr="00EE40F4">
        <w:rPr>
          <w:rFonts w:ascii="Times New Roman" w:hAnsi="Times New Roman"/>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EE40F4">
        <w:rPr>
          <w:rFonts w:ascii="Times New Roman" w:hAnsi="Times New Roman"/>
        </w:rPr>
        <w:t xml:space="preserve"> </w:t>
      </w:r>
      <w:r w:rsidRPr="00EE40F4">
        <w:rPr>
          <w:rFonts w:ascii="Times New Roman" w:hAnsi="Times New Roman"/>
        </w:rPr>
        <w:t>(založenej na AUC) pri 340 mg/m</w:t>
      </w:r>
      <w:r w:rsidRPr="00EE40F4">
        <w:rPr>
          <w:rFonts w:ascii="Times New Roman" w:hAnsi="Times New Roman"/>
          <w:vertAlign w:val="superscript"/>
        </w:rPr>
        <w:t>2</w:t>
      </w:r>
      <w:r w:rsidRPr="00EE40F4">
        <w:rPr>
          <w:rFonts w:ascii="Times New Roman" w:hAnsi="Times New Roman"/>
        </w:rPr>
        <w:t>/deň. Hladina bez pozorovaných účinkov (NOEL) bola 30 mg/kg/deň</w:t>
      </w:r>
      <w:r w:rsidR="00C8448D" w:rsidRPr="00EE40F4">
        <w:rPr>
          <w:rFonts w:ascii="Times New Roman" w:hAnsi="Times New Roman"/>
        </w:rPr>
        <w:t>.</w:t>
      </w:r>
    </w:p>
    <w:p w14:paraId="05053224" w14:textId="77777777" w:rsidR="00653A62" w:rsidRPr="00EE40F4" w:rsidRDefault="00653A62" w:rsidP="00EF61CC">
      <w:pPr>
        <w:spacing w:after="0" w:line="240" w:lineRule="auto"/>
        <w:rPr>
          <w:rFonts w:ascii="Times New Roman" w:hAnsi="Times New Roman"/>
        </w:rPr>
      </w:pPr>
    </w:p>
    <w:p w14:paraId="33612F99" w14:textId="77777777" w:rsidR="00653A62" w:rsidRPr="00EE40F4" w:rsidRDefault="00653A62" w:rsidP="00EF61CC">
      <w:pPr>
        <w:spacing w:after="0" w:line="240" w:lineRule="auto"/>
        <w:ind w:right="49"/>
        <w:rPr>
          <w:rFonts w:ascii="Times New Roman" w:hAnsi="Times New Roman"/>
        </w:rPr>
      </w:pPr>
      <w:r w:rsidRPr="00EE40F4">
        <w:rPr>
          <w:rFonts w:ascii="Times New Roman" w:hAnsi="Times New Roman"/>
        </w:rPr>
        <w:t>Mechanizmus a významnosť týchto nálezov v štúdii karcinogenity na potkanoch nie sú ešte u ľudí objasnené.</w:t>
      </w:r>
    </w:p>
    <w:p w14:paraId="326BD3FA" w14:textId="77777777" w:rsidR="00653A62" w:rsidRPr="00EE40F4" w:rsidRDefault="00653A62" w:rsidP="00EF61CC">
      <w:pPr>
        <w:spacing w:after="0" w:line="240" w:lineRule="auto"/>
        <w:rPr>
          <w:rFonts w:ascii="Times New Roman" w:hAnsi="Times New Roman"/>
        </w:rPr>
      </w:pPr>
    </w:p>
    <w:p w14:paraId="6DAFFE07" w14:textId="77777777" w:rsidR="00653A62" w:rsidRPr="00EE40F4" w:rsidRDefault="00653A62" w:rsidP="00EF61CC">
      <w:pPr>
        <w:spacing w:after="0" w:line="240" w:lineRule="auto"/>
        <w:ind w:right="192"/>
        <w:rPr>
          <w:rFonts w:ascii="Times New Roman" w:hAnsi="Times New Roman"/>
        </w:rPr>
      </w:pPr>
      <w:r w:rsidRPr="00EE40F4">
        <w:rPr>
          <w:rFonts w:ascii="Times New Roman" w:hAnsi="Times New Roman"/>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EE40F4">
        <w:rPr>
          <w:rFonts w:ascii="Times New Roman" w:hAnsi="Times New Roman"/>
        </w:rPr>
        <w:t xml:space="preserve">prejavom </w:t>
      </w:r>
      <w:r w:rsidRPr="00EE40F4">
        <w:rPr>
          <w:rFonts w:ascii="Times New Roman" w:hAnsi="Times New Roman"/>
        </w:rPr>
        <w:t>insuficiencie srdca.</w:t>
      </w:r>
    </w:p>
    <w:p w14:paraId="13B13514" w14:textId="77777777" w:rsidR="00056341" w:rsidRPr="00EE40F4" w:rsidRDefault="00056341" w:rsidP="00056341">
      <w:pPr>
        <w:shd w:val="clear" w:color="auto" w:fill="FFFFFF"/>
        <w:spacing w:before="254"/>
        <w:rPr>
          <w:rFonts w:ascii="Times New Roman" w:hAnsi="Times New Roman"/>
        </w:rPr>
      </w:pPr>
      <w:r w:rsidRPr="00EE40F4">
        <w:rPr>
          <w:rFonts w:ascii="Times New Roman" w:hAnsi="Times New Roman"/>
        </w:rPr>
        <w:t>Liečivo imatinib predstavuje pre organizmy žijúce v sedimentoch environmentálne riziko.</w:t>
      </w:r>
    </w:p>
    <w:p w14:paraId="104DEE5A" w14:textId="77777777" w:rsidR="00653A62" w:rsidRPr="00EE40F4" w:rsidRDefault="00653A62" w:rsidP="00EF61CC">
      <w:pPr>
        <w:spacing w:after="0" w:line="240" w:lineRule="auto"/>
        <w:rPr>
          <w:rFonts w:ascii="Times New Roman" w:hAnsi="Times New Roman"/>
        </w:rPr>
      </w:pPr>
    </w:p>
    <w:p w14:paraId="18BD9B02"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6. </w:t>
      </w:r>
      <w:r w:rsidRPr="00EE40F4">
        <w:rPr>
          <w:rFonts w:ascii="Times New Roman" w:hAnsi="Times New Roman"/>
          <w:b/>
        </w:rPr>
        <w:tab/>
      </w:r>
      <w:r w:rsidRPr="00EE40F4">
        <w:rPr>
          <w:rFonts w:ascii="Times New Roman" w:hAnsi="Times New Roman"/>
          <w:b/>
          <w:bCs/>
        </w:rPr>
        <w:t>FARMACEUTICKÉ INFORMÁCIE</w:t>
      </w:r>
    </w:p>
    <w:p w14:paraId="3CF06AED" w14:textId="77777777" w:rsidR="00C03156" w:rsidRPr="00EE40F4" w:rsidRDefault="00C03156" w:rsidP="00C03156">
      <w:pPr>
        <w:spacing w:after="0" w:line="240" w:lineRule="auto"/>
        <w:rPr>
          <w:rFonts w:ascii="Times New Roman" w:hAnsi="Times New Roman"/>
        </w:rPr>
      </w:pPr>
    </w:p>
    <w:p w14:paraId="6E42DFB6"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6.1 </w:t>
      </w:r>
      <w:r w:rsidRPr="00EE40F4">
        <w:rPr>
          <w:rFonts w:ascii="Times New Roman" w:hAnsi="Times New Roman"/>
          <w:b/>
        </w:rPr>
        <w:tab/>
      </w:r>
      <w:r w:rsidRPr="00EE40F4">
        <w:rPr>
          <w:rFonts w:ascii="Times New Roman" w:hAnsi="Times New Roman"/>
          <w:b/>
          <w:bCs/>
        </w:rPr>
        <w:t>Zoznam pomocných látok</w:t>
      </w:r>
    </w:p>
    <w:p w14:paraId="168D2C40" w14:textId="77777777" w:rsidR="00C03156" w:rsidRPr="00EE40F4" w:rsidRDefault="00C03156" w:rsidP="00C03156">
      <w:pPr>
        <w:spacing w:after="0" w:line="240" w:lineRule="auto"/>
        <w:rPr>
          <w:rFonts w:ascii="Times New Roman" w:hAnsi="Times New Roman"/>
        </w:rPr>
      </w:pPr>
    </w:p>
    <w:p w14:paraId="40E752B7" w14:textId="77777777" w:rsidR="00C03156" w:rsidRDefault="00157939" w:rsidP="00C03156">
      <w:pPr>
        <w:spacing w:after="0" w:line="240" w:lineRule="auto"/>
        <w:ind w:right="192"/>
        <w:rPr>
          <w:rFonts w:ascii="Times New Roman" w:hAnsi="Times New Roman"/>
          <w:u w:val="single"/>
        </w:rPr>
      </w:pPr>
      <w:r w:rsidRPr="00157939">
        <w:rPr>
          <w:rFonts w:ascii="Times New Roman" w:hAnsi="Times New Roman"/>
          <w:u w:val="single"/>
        </w:rPr>
        <w:t>Obsah kapsuly</w:t>
      </w:r>
    </w:p>
    <w:p w14:paraId="055D0A8E" w14:textId="77777777" w:rsidR="00157939" w:rsidRDefault="00DF4409" w:rsidP="00C03156">
      <w:pPr>
        <w:spacing w:after="0" w:line="240" w:lineRule="auto"/>
        <w:ind w:right="192"/>
        <w:rPr>
          <w:rFonts w:ascii="Times New Roman" w:hAnsi="Times New Roman"/>
        </w:rPr>
      </w:pPr>
      <w:r>
        <w:rPr>
          <w:rFonts w:ascii="Times New Roman" w:hAnsi="Times New Roman"/>
        </w:rPr>
        <w:t>m</w:t>
      </w:r>
      <w:r w:rsidR="00157939">
        <w:rPr>
          <w:rFonts w:ascii="Times New Roman" w:hAnsi="Times New Roman"/>
        </w:rPr>
        <w:t>ikrokryštalická celulóza</w:t>
      </w:r>
    </w:p>
    <w:p w14:paraId="5D6A956B" w14:textId="77777777" w:rsidR="00157939" w:rsidRDefault="00157939" w:rsidP="00C03156">
      <w:pPr>
        <w:spacing w:after="0" w:line="240" w:lineRule="auto"/>
        <w:ind w:right="192"/>
        <w:rPr>
          <w:rFonts w:ascii="Times New Roman" w:hAnsi="Times New Roman"/>
        </w:rPr>
      </w:pPr>
      <w:r>
        <w:rPr>
          <w:rFonts w:ascii="Times New Roman" w:hAnsi="Times New Roman"/>
        </w:rPr>
        <w:t>kopovidón</w:t>
      </w:r>
    </w:p>
    <w:p w14:paraId="5CF30DAD" w14:textId="77777777" w:rsidR="00157939" w:rsidRDefault="00157939" w:rsidP="00C03156">
      <w:pPr>
        <w:spacing w:after="0" w:line="240" w:lineRule="auto"/>
        <w:ind w:right="192"/>
        <w:rPr>
          <w:rFonts w:ascii="Times New Roman" w:hAnsi="Times New Roman"/>
        </w:rPr>
      </w:pPr>
      <w:r>
        <w:rPr>
          <w:rFonts w:ascii="Times New Roman" w:hAnsi="Times New Roman"/>
        </w:rPr>
        <w:t>krospovidón typ A</w:t>
      </w:r>
    </w:p>
    <w:p w14:paraId="73607D96" w14:textId="77777777" w:rsidR="00157939" w:rsidRDefault="00157939" w:rsidP="00C03156">
      <w:pPr>
        <w:spacing w:after="0" w:line="240" w:lineRule="auto"/>
        <w:ind w:right="192"/>
        <w:rPr>
          <w:rFonts w:ascii="Times New Roman" w:hAnsi="Times New Roman"/>
        </w:rPr>
      </w:pPr>
      <w:r>
        <w:rPr>
          <w:rFonts w:ascii="Times New Roman" w:hAnsi="Times New Roman"/>
        </w:rPr>
        <w:t>stearylfumaran sodný</w:t>
      </w:r>
    </w:p>
    <w:p w14:paraId="57BED83B" w14:textId="77777777" w:rsidR="00157939" w:rsidRDefault="00157939" w:rsidP="00C03156">
      <w:pPr>
        <w:spacing w:after="0" w:line="240" w:lineRule="auto"/>
        <w:ind w:right="192"/>
        <w:rPr>
          <w:rFonts w:ascii="Times New Roman" w:hAnsi="Times New Roman"/>
        </w:rPr>
      </w:pPr>
      <w:r>
        <w:rPr>
          <w:rFonts w:ascii="Times New Roman" w:hAnsi="Times New Roman"/>
        </w:rPr>
        <w:t>oxid kremičitý, koloidný hydrofóbny</w:t>
      </w:r>
    </w:p>
    <w:p w14:paraId="4F7A2946" w14:textId="77777777" w:rsidR="00157939" w:rsidRDefault="00157939" w:rsidP="00C03156">
      <w:pPr>
        <w:spacing w:after="0" w:line="240" w:lineRule="auto"/>
        <w:ind w:right="192"/>
        <w:rPr>
          <w:rFonts w:ascii="Times New Roman" w:hAnsi="Times New Roman"/>
        </w:rPr>
      </w:pPr>
      <w:r>
        <w:rPr>
          <w:rFonts w:ascii="Times New Roman" w:hAnsi="Times New Roman"/>
        </w:rPr>
        <w:t>oxid kremičitý, koloidný bezvodý</w:t>
      </w:r>
    </w:p>
    <w:p w14:paraId="1C8E341B" w14:textId="77777777" w:rsidR="00157939" w:rsidRDefault="00157939" w:rsidP="00C03156">
      <w:pPr>
        <w:spacing w:after="0" w:line="240" w:lineRule="auto"/>
        <w:ind w:right="192"/>
        <w:rPr>
          <w:rFonts w:ascii="Times New Roman" w:hAnsi="Times New Roman"/>
        </w:rPr>
      </w:pPr>
    </w:p>
    <w:p w14:paraId="1671A2D6" w14:textId="77777777" w:rsidR="00157939" w:rsidRDefault="00157939" w:rsidP="00C03156">
      <w:pPr>
        <w:spacing w:after="0" w:line="240" w:lineRule="auto"/>
        <w:ind w:right="192"/>
        <w:rPr>
          <w:rFonts w:ascii="Times New Roman" w:hAnsi="Times New Roman"/>
          <w:u w:val="single"/>
        </w:rPr>
      </w:pPr>
      <w:r>
        <w:rPr>
          <w:rFonts w:ascii="Times New Roman" w:hAnsi="Times New Roman"/>
          <w:u w:val="single"/>
        </w:rPr>
        <w:t>Obal kapsuly</w:t>
      </w:r>
    </w:p>
    <w:p w14:paraId="2080B9F8" w14:textId="77777777" w:rsidR="00157939" w:rsidRDefault="00DF4409" w:rsidP="00C03156">
      <w:pPr>
        <w:spacing w:after="0" w:line="240" w:lineRule="auto"/>
        <w:ind w:right="192"/>
        <w:rPr>
          <w:rFonts w:ascii="Times New Roman" w:hAnsi="Times New Roman"/>
        </w:rPr>
      </w:pPr>
      <w:r>
        <w:rPr>
          <w:rFonts w:ascii="Times New Roman" w:hAnsi="Times New Roman"/>
        </w:rPr>
        <w:t>h</w:t>
      </w:r>
      <w:r w:rsidR="00F71743">
        <w:rPr>
          <w:rFonts w:ascii="Times New Roman" w:hAnsi="Times New Roman"/>
        </w:rPr>
        <w:t>ypromelóza</w:t>
      </w:r>
    </w:p>
    <w:p w14:paraId="056B2ADA" w14:textId="77777777" w:rsidR="00F71743" w:rsidRDefault="00F71743" w:rsidP="00C03156">
      <w:pPr>
        <w:spacing w:after="0" w:line="240" w:lineRule="auto"/>
        <w:ind w:right="192"/>
        <w:rPr>
          <w:rFonts w:ascii="Times New Roman" w:hAnsi="Times New Roman"/>
        </w:rPr>
      </w:pPr>
      <w:r>
        <w:rPr>
          <w:rFonts w:ascii="Times New Roman" w:hAnsi="Times New Roman"/>
        </w:rPr>
        <w:t>oxid titaničitý (E171)</w:t>
      </w:r>
    </w:p>
    <w:p w14:paraId="7B5792CE" w14:textId="77777777" w:rsidR="00F71743" w:rsidRDefault="00F71743" w:rsidP="00C03156">
      <w:pPr>
        <w:spacing w:after="0" w:line="240" w:lineRule="auto"/>
        <w:ind w:right="192"/>
        <w:rPr>
          <w:rFonts w:ascii="Times New Roman" w:hAnsi="Times New Roman"/>
        </w:rPr>
      </w:pPr>
      <w:r>
        <w:rPr>
          <w:rFonts w:ascii="Times New Roman" w:hAnsi="Times New Roman"/>
        </w:rPr>
        <w:t>žltý oxid železitý (E172)</w:t>
      </w:r>
    </w:p>
    <w:p w14:paraId="69A7F014" w14:textId="77777777" w:rsidR="00F71743" w:rsidRDefault="00F71743" w:rsidP="00C03156">
      <w:pPr>
        <w:spacing w:after="0" w:line="240" w:lineRule="auto"/>
        <w:ind w:right="192"/>
        <w:rPr>
          <w:rFonts w:ascii="Times New Roman" w:hAnsi="Times New Roman"/>
        </w:rPr>
      </w:pPr>
      <w:r>
        <w:rPr>
          <w:rFonts w:ascii="Times New Roman" w:hAnsi="Times New Roman"/>
        </w:rPr>
        <w:t>červený oxid železitý (E172)</w:t>
      </w:r>
    </w:p>
    <w:p w14:paraId="6AB22A38" w14:textId="77777777" w:rsidR="00F71743" w:rsidRDefault="00F71743" w:rsidP="00C03156">
      <w:pPr>
        <w:spacing w:after="0" w:line="240" w:lineRule="auto"/>
        <w:ind w:right="192"/>
        <w:rPr>
          <w:rFonts w:ascii="Times New Roman" w:hAnsi="Times New Roman"/>
        </w:rPr>
      </w:pPr>
      <w:r>
        <w:rPr>
          <w:rFonts w:ascii="Times New Roman" w:hAnsi="Times New Roman"/>
        </w:rPr>
        <w:t>čierny oxid železitý (E172)</w:t>
      </w:r>
    </w:p>
    <w:p w14:paraId="500AA951" w14:textId="77777777" w:rsidR="00F71743" w:rsidRDefault="00F71743" w:rsidP="00C03156">
      <w:pPr>
        <w:spacing w:after="0" w:line="240" w:lineRule="auto"/>
        <w:ind w:right="192"/>
        <w:rPr>
          <w:rFonts w:ascii="Times New Roman" w:hAnsi="Times New Roman"/>
        </w:rPr>
      </w:pPr>
    </w:p>
    <w:p w14:paraId="440E75BF" w14:textId="77777777" w:rsidR="00F71743" w:rsidRPr="00F71743" w:rsidRDefault="00F71743" w:rsidP="00C03156">
      <w:pPr>
        <w:spacing w:after="0" w:line="240" w:lineRule="auto"/>
        <w:ind w:right="192"/>
        <w:rPr>
          <w:rFonts w:ascii="Times New Roman" w:hAnsi="Times New Roman"/>
          <w:u w:val="single"/>
        </w:rPr>
      </w:pPr>
      <w:r>
        <w:rPr>
          <w:rFonts w:ascii="Times New Roman" w:hAnsi="Times New Roman"/>
          <w:u w:val="single"/>
        </w:rPr>
        <w:t>Čierny</w:t>
      </w:r>
      <w:r w:rsidRPr="00F71743">
        <w:rPr>
          <w:rFonts w:ascii="Times New Roman" w:hAnsi="Times New Roman"/>
          <w:u w:val="single"/>
        </w:rPr>
        <w:t xml:space="preserve"> atrament</w:t>
      </w:r>
    </w:p>
    <w:p w14:paraId="79C7FABF" w14:textId="77777777" w:rsidR="00157939" w:rsidRDefault="00DF4409" w:rsidP="00C03156">
      <w:pPr>
        <w:spacing w:after="0" w:line="240" w:lineRule="auto"/>
        <w:ind w:right="192"/>
        <w:rPr>
          <w:rFonts w:ascii="Times New Roman" w:hAnsi="Times New Roman"/>
        </w:rPr>
      </w:pPr>
      <w:r>
        <w:rPr>
          <w:rFonts w:ascii="Times New Roman" w:hAnsi="Times New Roman"/>
        </w:rPr>
        <w:t>p</w:t>
      </w:r>
      <w:r w:rsidR="00F71743">
        <w:rPr>
          <w:rFonts w:ascii="Times New Roman" w:hAnsi="Times New Roman"/>
        </w:rPr>
        <w:t>ropylénglykol</w:t>
      </w:r>
    </w:p>
    <w:p w14:paraId="07EB73D7" w14:textId="77777777" w:rsidR="00F71743" w:rsidRDefault="00F71743" w:rsidP="00F71743">
      <w:pPr>
        <w:spacing w:after="0" w:line="240" w:lineRule="auto"/>
        <w:ind w:right="192"/>
        <w:rPr>
          <w:rFonts w:ascii="Times New Roman" w:hAnsi="Times New Roman"/>
        </w:rPr>
      </w:pPr>
      <w:r>
        <w:rPr>
          <w:rFonts w:ascii="Times New Roman" w:hAnsi="Times New Roman"/>
        </w:rPr>
        <w:t>čierny oxid železitý (E172)</w:t>
      </w:r>
    </w:p>
    <w:p w14:paraId="6EC7BBB8" w14:textId="77777777" w:rsidR="00F71743" w:rsidRDefault="00F71743" w:rsidP="00F71743">
      <w:pPr>
        <w:pStyle w:val="Bezriadkovania"/>
        <w:shd w:val="clear" w:color="auto" w:fill="D9D9D9"/>
        <w:jc w:val="both"/>
        <w:rPr>
          <w:rFonts w:ascii="Times New Roman" w:eastAsia="Times New Roman" w:hAnsi="Times New Roman"/>
          <w:lang w:val="en-GB"/>
        </w:rPr>
      </w:pPr>
      <w:r>
        <w:rPr>
          <w:rFonts w:ascii="Times New Roman" w:eastAsia="Times New Roman" w:hAnsi="Times New Roman"/>
          <w:lang w:val="en-GB"/>
        </w:rPr>
        <w:t>[</w:t>
      </w:r>
      <w:r w:rsidR="00DF4409">
        <w:rPr>
          <w:rFonts w:ascii="Times New Roman" w:eastAsia="Times New Roman" w:hAnsi="Times New Roman"/>
          <w:lang w:val="en-GB"/>
        </w:rPr>
        <w:t xml:space="preserve">sila </w:t>
      </w:r>
      <w:r>
        <w:rPr>
          <w:rFonts w:ascii="Times New Roman" w:eastAsia="Times New Roman" w:hAnsi="Times New Roman"/>
          <w:lang w:val="en-GB"/>
        </w:rPr>
        <w:t>100 mg ]</w:t>
      </w:r>
    </w:p>
    <w:p w14:paraId="7F798005" w14:textId="77777777" w:rsidR="00F71743" w:rsidRDefault="00F71743" w:rsidP="00C03156">
      <w:pPr>
        <w:spacing w:after="0" w:line="240" w:lineRule="auto"/>
        <w:ind w:right="192"/>
        <w:rPr>
          <w:rFonts w:ascii="Times New Roman" w:hAnsi="Times New Roman"/>
        </w:rPr>
      </w:pPr>
      <w:r>
        <w:rPr>
          <w:rFonts w:ascii="Times New Roman" w:hAnsi="Times New Roman"/>
        </w:rPr>
        <w:t>šelak</w:t>
      </w:r>
    </w:p>
    <w:p w14:paraId="73313B85" w14:textId="77777777" w:rsidR="00F71743" w:rsidRDefault="00F71743" w:rsidP="00C03156">
      <w:pPr>
        <w:spacing w:after="0" w:line="240" w:lineRule="auto"/>
        <w:ind w:right="192"/>
        <w:rPr>
          <w:rFonts w:ascii="Times New Roman" w:hAnsi="Times New Roman"/>
        </w:rPr>
      </w:pPr>
      <w:r>
        <w:rPr>
          <w:rFonts w:ascii="Times New Roman" w:hAnsi="Times New Roman"/>
        </w:rPr>
        <w:t>hydroxid draselný</w:t>
      </w:r>
    </w:p>
    <w:p w14:paraId="42C55953" w14:textId="77777777" w:rsidR="00F71743" w:rsidRDefault="00F71743" w:rsidP="00F71743">
      <w:pPr>
        <w:pStyle w:val="Bezriadkovania"/>
        <w:shd w:val="clear" w:color="auto" w:fill="D9D9D9"/>
        <w:jc w:val="both"/>
        <w:rPr>
          <w:rFonts w:ascii="Times New Roman" w:eastAsia="Times New Roman" w:hAnsi="Times New Roman"/>
          <w:lang w:val="en-GB"/>
        </w:rPr>
      </w:pPr>
      <w:r>
        <w:rPr>
          <w:rFonts w:ascii="Times New Roman" w:eastAsia="Times New Roman" w:hAnsi="Times New Roman"/>
          <w:lang w:val="en-GB"/>
        </w:rPr>
        <w:t>[</w:t>
      </w:r>
      <w:r w:rsidR="00DF4409">
        <w:rPr>
          <w:rFonts w:ascii="Times New Roman" w:eastAsia="Times New Roman" w:hAnsi="Times New Roman"/>
          <w:lang w:val="en-GB"/>
        </w:rPr>
        <w:t xml:space="preserve">sila </w:t>
      </w:r>
      <w:r>
        <w:rPr>
          <w:rFonts w:ascii="Times New Roman" w:eastAsia="Times New Roman" w:hAnsi="Times New Roman"/>
          <w:lang w:val="en-GB"/>
        </w:rPr>
        <w:t>400 mg ]</w:t>
      </w:r>
    </w:p>
    <w:p w14:paraId="2800904F" w14:textId="77777777" w:rsidR="00F71743" w:rsidRDefault="00F71743" w:rsidP="00C03156">
      <w:pPr>
        <w:spacing w:after="0" w:line="240" w:lineRule="auto"/>
        <w:ind w:right="192"/>
        <w:rPr>
          <w:rFonts w:ascii="Times New Roman" w:hAnsi="Times New Roman"/>
          <w:lang w:val="en-GB"/>
        </w:rPr>
      </w:pPr>
      <w:r>
        <w:rPr>
          <w:rFonts w:ascii="Times New Roman" w:hAnsi="Times New Roman"/>
          <w:lang w:val="en-GB"/>
        </w:rPr>
        <w:t>šelak 45%</w:t>
      </w:r>
    </w:p>
    <w:p w14:paraId="38ACE14B" w14:textId="77777777" w:rsidR="00F71743" w:rsidRPr="00F71743" w:rsidRDefault="00F71743" w:rsidP="00C03156">
      <w:pPr>
        <w:spacing w:after="0" w:line="240" w:lineRule="auto"/>
        <w:ind w:right="192"/>
        <w:rPr>
          <w:rFonts w:ascii="Times New Roman" w:hAnsi="Times New Roman"/>
          <w:lang w:val="en-GB"/>
        </w:rPr>
      </w:pPr>
    </w:p>
    <w:p w14:paraId="5B4BD5BB" w14:textId="77777777" w:rsidR="00C03156" w:rsidRPr="00EE40F4" w:rsidRDefault="00C03156" w:rsidP="00C03156">
      <w:pPr>
        <w:spacing w:after="0" w:line="240" w:lineRule="auto"/>
        <w:rPr>
          <w:rFonts w:ascii="Times New Roman" w:hAnsi="Times New Roman"/>
          <w:b/>
          <w:bCs/>
        </w:rPr>
      </w:pPr>
      <w:r w:rsidRPr="00EE40F4">
        <w:rPr>
          <w:rFonts w:ascii="Times New Roman" w:hAnsi="Times New Roman"/>
          <w:b/>
          <w:bCs/>
        </w:rPr>
        <w:t xml:space="preserve">6.2 </w:t>
      </w:r>
      <w:r w:rsidRPr="00EE40F4">
        <w:rPr>
          <w:rFonts w:ascii="Times New Roman" w:hAnsi="Times New Roman"/>
          <w:b/>
          <w:bCs/>
        </w:rPr>
        <w:tab/>
        <w:t>Inkompatibility</w:t>
      </w:r>
    </w:p>
    <w:p w14:paraId="07535ED3" w14:textId="77777777" w:rsidR="00C03156" w:rsidRPr="00EE40F4" w:rsidRDefault="00C03156" w:rsidP="00C03156">
      <w:pPr>
        <w:spacing w:after="0" w:line="240" w:lineRule="auto"/>
        <w:rPr>
          <w:rFonts w:ascii="Times New Roman" w:hAnsi="Times New Roman"/>
          <w:shd w:val="clear" w:color="auto" w:fill="FFFF00"/>
        </w:rPr>
      </w:pPr>
    </w:p>
    <w:p w14:paraId="246969BE" w14:textId="77777777" w:rsidR="00C03156" w:rsidRPr="00EE40F4" w:rsidRDefault="00C03156" w:rsidP="00C03156">
      <w:pPr>
        <w:spacing w:after="0" w:line="240" w:lineRule="auto"/>
        <w:ind w:right="192"/>
        <w:rPr>
          <w:rFonts w:ascii="Times New Roman" w:hAnsi="Times New Roman"/>
        </w:rPr>
      </w:pPr>
      <w:r w:rsidRPr="00EE40F4">
        <w:rPr>
          <w:rFonts w:ascii="Times New Roman" w:hAnsi="Times New Roman"/>
        </w:rPr>
        <w:t xml:space="preserve">Neaplikovateľné. </w:t>
      </w:r>
    </w:p>
    <w:p w14:paraId="7B0A747D" w14:textId="77777777" w:rsidR="00C03156" w:rsidRPr="00EE40F4" w:rsidRDefault="00C03156" w:rsidP="00C03156">
      <w:pPr>
        <w:spacing w:after="0" w:line="240" w:lineRule="auto"/>
        <w:ind w:right="192"/>
        <w:rPr>
          <w:rFonts w:ascii="Times New Roman" w:hAnsi="Times New Roman"/>
        </w:rPr>
      </w:pPr>
    </w:p>
    <w:p w14:paraId="5B23D0C6"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6.3 </w:t>
      </w:r>
      <w:r w:rsidRPr="00EE40F4">
        <w:rPr>
          <w:rFonts w:ascii="Times New Roman" w:hAnsi="Times New Roman"/>
          <w:b/>
        </w:rPr>
        <w:tab/>
        <w:t>Čas použiteľnosti</w:t>
      </w:r>
    </w:p>
    <w:p w14:paraId="080D3564" w14:textId="77777777" w:rsidR="00C03156" w:rsidRPr="00EE40F4" w:rsidRDefault="00C03156" w:rsidP="00C03156">
      <w:pPr>
        <w:spacing w:after="0" w:line="240" w:lineRule="auto"/>
        <w:ind w:right="192"/>
        <w:rPr>
          <w:rFonts w:ascii="Times New Roman" w:hAnsi="Times New Roman"/>
        </w:rPr>
      </w:pPr>
    </w:p>
    <w:p w14:paraId="7DC601A9" w14:textId="77777777" w:rsidR="00C03156" w:rsidRPr="00EE40F4" w:rsidRDefault="00E03225" w:rsidP="00C03156">
      <w:pPr>
        <w:spacing w:after="0" w:line="240" w:lineRule="auto"/>
        <w:ind w:right="192"/>
        <w:rPr>
          <w:rFonts w:ascii="Times New Roman" w:hAnsi="Times New Roman"/>
        </w:rPr>
      </w:pPr>
      <w:r w:rsidRPr="00EE40F4">
        <w:rPr>
          <w:rFonts w:ascii="Times New Roman" w:hAnsi="Times New Roman"/>
        </w:rPr>
        <w:t>2</w:t>
      </w:r>
      <w:r w:rsidR="00C03156" w:rsidRPr="00EE40F4">
        <w:rPr>
          <w:rFonts w:ascii="Times New Roman" w:hAnsi="Times New Roman"/>
        </w:rPr>
        <w:t xml:space="preserve"> roky.</w:t>
      </w:r>
    </w:p>
    <w:p w14:paraId="303AA369" w14:textId="77777777" w:rsidR="00C03156" w:rsidRPr="00EE40F4" w:rsidRDefault="00C03156" w:rsidP="00C03156">
      <w:pPr>
        <w:spacing w:after="0" w:line="240" w:lineRule="auto"/>
        <w:ind w:right="192"/>
        <w:rPr>
          <w:rFonts w:ascii="Times New Roman" w:hAnsi="Times New Roman"/>
        </w:rPr>
      </w:pPr>
    </w:p>
    <w:p w14:paraId="549BC617"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6.4 </w:t>
      </w:r>
      <w:r w:rsidRPr="00EE40F4">
        <w:rPr>
          <w:rFonts w:ascii="Times New Roman" w:hAnsi="Times New Roman"/>
          <w:b/>
        </w:rPr>
        <w:tab/>
        <w:t>Špeciálne upozornenia na uchovávanie</w:t>
      </w:r>
    </w:p>
    <w:p w14:paraId="770B3D1D" w14:textId="77777777" w:rsidR="00C03156" w:rsidRPr="00EE40F4" w:rsidRDefault="00C03156" w:rsidP="00C03156">
      <w:pPr>
        <w:spacing w:after="0" w:line="240" w:lineRule="auto"/>
        <w:ind w:right="192"/>
        <w:rPr>
          <w:rFonts w:ascii="Times New Roman" w:hAnsi="Times New Roman"/>
        </w:rPr>
      </w:pPr>
    </w:p>
    <w:p w14:paraId="05347CCC" w14:textId="77777777" w:rsidR="00C03156" w:rsidRPr="00EE40F4" w:rsidRDefault="00E03225" w:rsidP="00C03156">
      <w:pPr>
        <w:spacing w:after="0" w:line="240" w:lineRule="auto"/>
        <w:ind w:right="192"/>
        <w:rPr>
          <w:rFonts w:ascii="Times New Roman" w:hAnsi="Times New Roman"/>
        </w:rPr>
      </w:pPr>
      <w:r w:rsidRPr="00EE40F4">
        <w:rPr>
          <w:rFonts w:ascii="Times New Roman" w:hAnsi="Times New Roman"/>
        </w:rPr>
        <w:t xml:space="preserve">Uchovávajte pri teplote neprevyšujúcej </w:t>
      </w:r>
      <w:r w:rsidR="00F71743">
        <w:rPr>
          <w:rFonts w:ascii="Times New Roman" w:hAnsi="Times New Roman"/>
        </w:rPr>
        <w:t>30</w:t>
      </w:r>
      <w:r w:rsidR="008D2BF6" w:rsidRPr="00EE40F4">
        <w:rPr>
          <w:rFonts w:ascii="Times New Roman" w:hAnsi="Times New Roman"/>
        </w:rPr>
        <w:t> </w:t>
      </w:r>
      <w:r w:rsidRPr="00EE40F4">
        <w:rPr>
          <w:rFonts w:ascii="Times New Roman" w:hAnsi="Times New Roman"/>
        </w:rPr>
        <w:t>°C.</w:t>
      </w:r>
    </w:p>
    <w:p w14:paraId="49A449F1" w14:textId="77777777" w:rsidR="00C03156" w:rsidRPr="00EE40F4" w:rsidRDefault="00C03156" w:rsidP="00C03156">
      <w:pPr>
        <w:spacing w:after="0" w:line="240" w:lineRule="auto"/>
        <w:ind w:right="192"/>
        <w:rPr>
          <w:rFonts w:ascii="Times New Roman" w:hAnsi="Times New Roman"/>
        </w:rPr>
      </w:pPr>
    </w:p>
    <w:p w14:paraId="3EB5865B" w14:textId="77777777" w:rsidR="00C03156" w:rsidRPr="00EE40F4" w:rsidRDefault="00722CAF" w:rsidP="00C03156">
      <w:pPr>
        <w:spacing w:after="0" w:line="240" w:lineRule="auto"/>
        <w:ind w:right="192"/>
        <w:rPr>
          <w:rFonts w:ascii="Times New Roman" w:hAnsi="Times New Roman"/>
          <w:b/>
        </w:rPr>
      </w:pPr>
      <w:r w:rsidRPr="00EE40F4">
        <w:rPr>
          <w:rFonts w:ascii="Times New Roman" w:hAnsi="Times New Roman"/>
          <w:b/>
        </w:rPr>
        <w:t xml:space="preserve">6.5 </w:t>
      </w:r>
      <w:r w:rsidRPr="00EE40F4">
        <w:rPr>
          <w:rFonts w:ascii="Times New Roman" w:hAnsi="Times New Roman"/>
          <w:b/>
        </w:rPr>
        <w:tab/>
        <w:t>Druh obalu a obsah balenia</w:t>
      </w:r>
    </w:p>
    <w:p w14:paraId="54F028CC" w14:textId="77777777" w:rsidR="00C03156" w:rsidRPr="00EE40F4" w:rsidRDefault="00C03156" w:rsidP="00C03156">
      <w:pPr>
        <w:spacing w:after="0" w:line="240" w:lineRule="auto"/>
        <w:ind w:right="192"/>
        <w:rPr>
          <w:rFonts w:ascii="Times New Roman" w:hAnsi="Times New Roman"/>
        </w:rPr>
      </w:pPr>
    </w:p>
    <w:p w14:paraId="1C5A0EDA" w14:textId="77777777" w:rsidR="00C03156" w:rsidRPr="00EE40F4" w:rsidRDefault="00896297" w:rsidP="00C03156">
      <w:pPr>
        <w:spacing w:after="0" w:line="240" w:lineRule="auto"/>
        <w:ind w:right="192"/>
        <w:rPr>
          <w:rFonts w:ascii="Times New Roman" w:hAnsi="Times New Roman"/>
        </w:rPr>
      </w:pPr>
      <w:r w:rsidRPr="00EE40F4">
        <w:rPr>
          <w:rFonts w:ascii="Times New Roman" w:hAnsi="Times New Roman"/>
        </w:rPr>
        <w:t>100 mg:</w:t>
      </w:r>
    </w:p>
    <w:p w14:paraId="45F87485" w14:textId="77777777" w:rsidR="00896297" w:rsidRDefault="00F71743" w:rsidP="00C03156">
      <w:pPr>
        <w:spacing w:after="0" w:line="240" w:lineRule="auto"/>
        <w:ind w:right="192"/>
        <w:rPr>
          <w:rFonts w:ascii="Times New Roman" w:hAnsi="Times New Roman"/>
        </w:rPr>
      </w:pPr>
      <w:r>
        <w:rPr>
          <w:rFonts w:ascii="Times New Roman" w:hAnsi="Times New Roman"/>
        </w:rPr>
        <w:t>ALU/PVC/Aclar blister</w:t>
      </w:r>
    </w:p>
    <w:p w14:paraId="679AFC6A" w14:textId="77777777" w:rsidR="00F71743" w:rsidRPr="00EE40F4" w:rsidRDefault="00F71743" w:rsidP="00C03156">
      <w:pPr>
        <w:spacing w:after="0" w:line="240" w:lineRule="auto"/>
        <w:ind w:right="192"/>
        <w:rPr>
          <w:rFonts w:ascii="Times New Roman" w:hAnsi="Times New Roman"/>
        </w:rPr>
      </w:pPr>
      <w:r>
        <w:rPr>
          <w:rFonts w:ascii="Times New Roman" w:hAnsi="Times New Roman"/>
        </w:rPr>
        <w:t>24, 48, 50, 60, 96, 120 alebo 180 tvrdých kapsúl</w:t>
      </w:r>
    </w:p>
    <w:p w14:paraId="3FD25024" w14:textId="77777777" w:rsidR="00896297" w:rsidRPr="00EE40F4" w:rsidRDefault="00896297" w:rsidP="00896297">
      <w:pPr>
        <w:spacing w:after="0" w:line="240" w:lineRule="auto"/>
        <w:ind w:right="192"/>
        <w:rPr>
          <w:rFonts w:ascii="Times New Roman" w:hAnsi="Times New Roman"/>
        </w:rPr>
      </w:pPr>
      <w:r w:rsidRPr="00EE40F4">
        <w:rPr>
          <w:rFonts w:ascii="Times New Roman" w:hAnsi="Times New Roman"/>
        </w:rPr>
        <w:t>400 mg:</w:t>
      </w:r>
    </w:p>
    <w:p w14:paraId="0259428F" w14:textId="77777777" w:rsidR="00F71743" w:rsidRDefault="00F71743" w:rsidP="00F71743">
      <w:pPr>
        <w:spacing w:after="0" w:line="240" w:lineRule="auto"/>
        <w:ind w:right="192"/>
        <w:rPr>
          <w:rFonts w:ascii="Times New Roman" w:hAnsi="Times New Roman"/>
        </w:rPr>
      </w:pPr>
      <w:r>
        <w:rPr>
          <w:rFonts w:ascii="Times New Roman" w:hAnsi="Times New Roman"/>
        </w:rPr>
        <w:t>ALU/PVC-PVDC blister</w:t>
      </w:r>
    </w:p>
    <w:p w14:paraId="355B1462" w14:textId="77777777" w:rsidR="00F71743" w:rsidRPr="00EE40F4" w:rsidRDefault="00F71743" w:rsidP="00F71743">
      <w:pPr>
        <w:spacing w:after="0" w:line="240" w:lineRule="auto"/>
        <w:ind w:right="192"/>
        <w:rPr>
          <w:rFonts w:ascii="Times New Roman" w:hAnsi="Times New Roman"/>
        </w:rPr>
      </w:pPr>
      <w:r>
        <w:rPr>
          <w:rFonts w:ascii="Times New Roman" w:hAnsi="Times New Roman"/>
        </w:rPr>
        <w:t>10, 30, 50, 90 tvrdých kapsúl</w:t>
      </w:r>
    </w:p>
    <w:p w14:paraId="0229C26F" w14:textId="77777777" w:rsidR="00896297" w:rsidRPr="00EE40F4" w:rsidRDefault="00896297" w:rsidP="00C03156">
      <w:pPr>
        <w:spacing w:after="0" w:line="240" w:lineRule="auto"/>
        <w:ind w:right="192"/>
        <w:rPr>
          <w:rFonts w:ascii="Times New Roman" w:hAnsi="Times New Roman"/>
        </w:rPr>
      </w:pPr>
    </w:p>
    <w:p w14:paraId="1714C3BD" w14:textId="77777777" w:rsidR="00C03156" w:rsidRPr="00EE40F4" w:rsidRDefault="00C03156" w:rsidP="00C03156">
      <w:pPr>
        <w:spacing w:after="0" w:line="240" w:lineRule="auto"/>
        <w:ind w:right="192"/>
        <w:rPr>
          <w:rFonts w:ascii="Times New Roman" w:hAnsi="Times New Roman"/>
        </w:rPr>
      </w:pPr>
      <w:r w:rsidRPr="00EE40F4">
        <w:rPr>
          <w:rFonts w:ascii="Times New Roman" w:hAnsi="Times New Roman"/>
        </w:rPr>
        <w:t>Na trh nemusia byť uvedené všetky veľkosti balenia.</w:t>
      </w:r>
    </w:p>
    <w:p w14:paraId="12A5F1F9" w14:textId="77777777" w:rsidR="00C03156" w:rsidRPr="00EE40F4" w:rsidRDefault="00C03156" w:rsidP="00C03156">
      <w:pPr>
        <w:spacing w:after="0" w:line="240" w:lineRule="auto"/>
        <w:ind w:right="192"/>
        <w:rPr>
          <w:rFonts w:ascii="Times New Roman" w:hAnsi="Times New Roman"/>
        </w:rPr>
      </w:pPr>
    </w:p>
    <w:p w14:paraId="03408C71"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6.6 </w:t>
      </w:r>
      <w:r w:rsidRPr="00EE40F4">
        <w:rPr>
          <w:rFonts w:ascii="Times New Roman" w:hAnsi="Times New Roman"/>
          <w:b/>
        </w:rPr>
        <w:tab/>
        <w:t>Špeciálne opatrenia na likvidáciu</w:t>
      </w:r>
    </w:p>
    <w:p w14:paraId="5E587A41" w14:textId="77777777" w:rsidR="00C03156" w:rsidRPr="00EE40F4" w:rsidRDefault="00C03156" w:rsidP="00C03156">
      <w:pPr>
        <w:spacing w:after="0" w:line="240" w:lineRule="auto"/>
        <w:ind w:right="192"/>
        <w:rPr>
          <w:rFonts w:ascii="Times New Roman" w:hAnsi="Times New Roman"/>
        </w:rPr>
      </w:pPr>
    </w:p>
    <w:p w14:paraId="0356FA18" w14:textId="77777777" w:rsidR="00822BC1" w:rsidRPr="00822BC1" w:rsidRDefault="00822BC1" w:rsidP="00C03156">
      <w:pPr>
        <w:spacing w:after="0" w:line="240" w:lineRule="auto"/>
        <w:ind w:right="192"/>
        <w:rPr>
          <w:rFonts w:ascii="Times New Roman" w:hAnsi="Times New Roman"/>
          <w:u w:val="single"/>
        </w:rPr>
      </w:pPr>
      <w:r w:rsidRPr="00822BC1">
        <w:rPr>
          <w:rFonts w:ascii="Times New Roman" w:hAnsi="Times New Roman"/>
          <w:u w:val="single"/>
        </w:rPr>
        <w:t>Zaobchádzanie s otvorenými kapsulami u žien vo fertilnom veku</w:t>
      </w:r>
    </w:p>
    <w:p w14:paraId="3AC5131B" w14:textId="77777777" w:rsidR="00822BC1" w:rsidRDefault="00822BC1" w:rsidP="00C03156">
      <w:pPr>
        <w:spacing w:after="0" w:line="240" w:lineRule="auto"/>
        <w:ind w:right="192"/>
        <w:rPr>
          <w:rFonts w:ascii="Times New Roman" w:hAnsi="Times New Roman"/>
        </w:rPr>
      </w:pPr>
      <w:r w:rsidRPr="00EE40F4">
        <w:rPr>
          <w:rFonts w:ascii="Times New Roman" w:hAnsi="Times New Roman"/>
        </w:rPr>
        <w:t xml:space="preserve">Keďže štúdie na zvieratách preukázali reprodukčnú toxicitu a potenciálne riziko pre ľudský plod nie je známe, ženy vo fertilnom veku treba poučiť, aby pri otváraní kapsuly zaobchádzali s obsahom </w:t>
      </w:r>
      <w:r w:rsidRPr="00EE40F4">
        <w:rPr>
          <w:rFonts w:ascii="Times New Roman" w:hAnsi="Times New Roman"/>
        </w:rPr>
        <w:lastRenderedPageBreak/>
        <w:t>s opatrnosťou a vyhli sa kontaktu s očami alebo inhalácii (pozri časť 4.6). Po zaobchádzaní s otvorenou kapsulou si majú okamžite umyť ruky.</w:t>
      </w:r>
    </w:p>
    <w:p w14:paraId="357AC8FA" w14:textId="77777777" w:rsidR="00822BC1" w:rsidRDefault="00822BC1" w:rsidP="00C03156">
      <w:pPr>
        <w:spacing w:after="0" w:line="240" w:lineRule="auto"/>
        <w:ind w:right="192"/>
        <w:rPr>
          <w:rFonts w:ascii="Times New Roman" w:hAnsi="Times New Roman"/>
        </w:rPr>
      </w:pPr>
    </w:p>
    <w:p w14:paraId="427CF450" w14:textId="77777777" w:rsidR="00C03156" w:rsidRPr="00EE40F4" w:rsidRDefault="00822BC1" w:rsidP="00C03156">
      <w:pPr>
        <w:spacing w:after="0" w:line="240" w:lineRule="auto"/>
        <w:ind w:right="192"/>
        <w:rPr>
          <w:rFonts w:ascii="Times New Roman" w:hAnsi="Times New Roman"/>
        </w:rPr>
      </w:pPr>
      <w:r>
        <w:rPr>
          <w:rFonts w:ascii="Times New Roman" w:hAnsi="Times New Roman"/>
        </w:rPr>
        <w:t>Žiadne zvláštne požiadavky na likvidáciu.</w:t>
      </w:r>
    </w:p>
    <w:p w14:paraId="4EB58491" w14:textId="77777777" w:rsidR="00C03156" w:rsidRPr="00EE40F4" w:rsidRDefault="00C03156" w:rsidP="00C03156">
      <w:pPr>
        <w:spacing w:after="0" w:line="240" w:lineRule="auto"/>
        <w:ind w:right="192"/>
        <w:rPr>
          <w:rFonts w:ascii="Times New Roman" w:hAnsi="Times New Roman"/>
        </w:rPr>
      </w:pPr>
    </w:p>
    <w:p w14:paraId="24AB90E9" w14:textId="77777777" w:rsidR="00C03156" w:rsidRPr="00EE40F4" w:rsidRDefault="00C03156" w:rsidP="00C03156">
      <w:pPr>
        <w:spacing w:after="0" w:line="240" w:lineRule="auto"/>
        <w:rPr>
          <w:rFonts w:ascii="Times New Roman" w:hAnsi="Times New Roman"/>
          <w:b/>
        </w:rPr>
      </w:pPr>
    </w:p>
    <w:p w14:paraId="64E2F323"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7. </w:t>
      </w:r>
      <w:r w:rsidRPr="00EE40F4">
        <w:rPr>
          <w:rFonts w:ascii="Times New Roman" w:hAnsi="Times New Roman"/>
          <w:b/>
        </w:rPr>
        <w:tab/>
      </w:r>
      <w:r w:rsidRPr="00EE40F4">
        <w:rPr>
          <w:rFonts w:ascii="Times New Roman" w:hAnsi="Times New Roman"/>
          <w:b/>
          <w:bCs/>
        </w:rPr>
        <w:t>DRŽITEĽ ROZHODNUTIA O REGISTRÁCII</w:t>
      </w:r>
    </w:p>
    <w:p w14:paraId="71968444" w14:textId="77777777" w:rsidR="00C03156" w:rsidRPr="00EE40F4" w:rsidRDefault="00C03156" w:rsidP="00C03156">
      <w:pPr>
        <w:spacing w:after="0" w:line="240" w:lineRule="auto"/>
        <w:rPr>
          <w:rFonts w:ascii="Times New Roman" w:hAnsi="Times New Roman"/>
        </w:rPr>
      </w:pPr>
    </w:p>
    <w:p w14:paraId="365D1CE4" w14:textId="77777777" w:rsidR="00C03156" w:rsidRPr="00EE40F4" w:rsidRDefault="00896297" w:rsidP="00C03156">
      <w:pPr>
        <w:spacing w:after="0" w:line="240" w:lineRule="auto"/>
        <w:rPr>
          <w:rFonts w:ascii="Times New Roman" w:hAnsi="Times New Roman"/>
        </w:rPr>
      </w:pPr>
      <w:r w:rsidRPr="00EE40F4">
        <w:rPr>
          <w:rFonts w:ascii="Times New Roman" w:hAnsi="Times New Roman"/>
        </w:rPr>
        <w:t>STADA Arzneimittel AG</w:t>
      </w:r>
    </w:p>
    <w:p w14:paraId="2D2A17CB"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Stadastrasse 2-18</w:t>
      </w:r>
    </w:p>
    <w:p w14:paraId="42DF8CBB"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61118 Bad Vilbel</w:t>
      </w:r>
    </w:p>
    <w:p w14:paraId="1526AE70"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Nemecko</w:t>
      </w:r>
    </w:p>
    <w:p w14:paraId="07FEC3A0" w14:textId="77777777" w:rsidR="00C03156" w:rsidRPr="00EE40F4" w:rsidRDefault="00C03156" w:rsidP="00C03156">
      <w:pPr>
        <w:spacing w:after="0" w:line="240" w:lineRule="auto"/>
        <w:rPr>
          <w:rFonts w:ascii="Times New Roman" w:hAnsi="Times New Roman"/>
        </w:rPr>
      </w:pPr>
    </w:p>
    <w:p w14:paraId="53A388CC" w14:textId="77777777" w:rsidR="00C03156" w:rsidRPr="00EE40F4" w:rsidRDefault="00C03156" w:rsidP="00C03156">
      <w:pPr>
        <w:spacing w:after="0" w:line="240" w:lineRule="auto"/>
        <w:rPr>
          <w:rFonts w:ascii="Times New Roman" w:hAnsi="Times New Roman"/>
        </w:rPr>
      </w:pPr>
    </w:p>
    <w:p w14:paraId="43C3D260"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8. </w:t>
      </w:r>
      <w:r w:rsidRPr="00EE40F4">
        <w:rPr>
          <w:rFonts w:ascii="Times New Roman" w:hAnsi="Times New Roman"/>
          <w:b/>
        </w:rPr>
        <w:tab/>
      </w:r>
      <w:r w:rsidR="00722CAF" w:rsidRPr="00EE40F4">
        <w:rPr>
          <w:rFonts w:ascii="Times New Roman" w:hAnsi="Times New Roman"/>
          <w:b/>
          <w:bCs/>
        </w:rPr>
        <w:t>REGISTRAČNÉ ČÍSL</w:t>
      </w:r>
      <w:r w:rsidR="00822BC1">
        <w:rPr>
          <w:rFonts w:ascii="Times New Roman" w:hAnsi="Times New Roman"/>
          <w:b/>
          <w:bCs/>
        </w:rPr>
        <w:t>A</w:t>
      </w:r>
    </w:p>
    <w:p w14:paraId="4A6A85AA" w14:textId="77777777" w:rsidR="00C03156" w:rsidRPr="00EE40F4" w:rsidRDefault="00C03156" w:rsidP="00C03156">
      <w:pPr>
        <w:spacing w:after="0" w:line="240" w:lineRule="auto"/>
        <w:rPr>
          <w:rFonts w:ascii="Times New Roman" w:hAnsi="Times New Roman"/>
        </w:rPr>
      </w:pPr>
    </w:p>
    <w:p w14:paraId="7396ADF6" w14:textId="77777777" w:rsidR="0027531D" w:rsidRPr="00EE40F4" w:rsidRDefault="0027531D" w:rsidP="0027531D">
      <w:pPr>
        <w:spacing w:after="0" w:line="240" w:lineRule="auto"/>
        <w:rPr>
          <w:rFonts w:ascii="Times New Roman" w:hAnsi="Times New Roman"/>
        </w:rPr>
      </w:pPr>
      <w:r w:rsidRPr="00EE40F4">
        <w:rPr>
          <w:rFonts w:ascii="Times New Roman" w:hAnsi="Times New Roman"/>
        </w:rPr>
        <w:t xml:space="preserve">Imatinib STADA 100 mg </w:t>
      </w:r>
      <w:r w:rsidR="00822BC1">
        <w:rPr>
          <w:rFonts w:ascii="Times New Roman" w:hAnsi="Times New Roman"/>
        </w:rPr>
        <w:t>tvrdé kapsuly</w:t>
      </w:r>
      <w:r w:rsidRPr="00EE40F4">
        <w:rPr>
          <w:rFonts w:ascii="Times New Roman" w:hAnsi="Times New Roman"/>
        </w:rPr>
        <w:t>:</w:t>
      </w:r>
      <w:r w:rsidR="00304C14">
        <w:rPr>
          <w:rFonts w:ascii="Times New Roman" w:hAnsi="Times New Roman"/>
        </w:rPr>
        <w:t xml:space="preserve"> </w:t>
      </w:r>
      <w:r w:rsidR="00304C14" w:rsidRPr="00304C14">
        <w:rPr>
          <w:rFonts w:ascii="Times New Roman" w:hAnsi="Times New Roman"/>
        </w:rPr>
        <w:t>44/0464/16-S</w:t>
      </w:r>
    </w:p>
    <w:p w14:paraId="769CA316" w14:textId="77777777" w:rsidR="00E01592" w:rsidRDefault="0027531D" w:rsidP="00C03156">
      <w:pPr>
        <w:spacing w:after="0" w:line="240" w:lineRule="auto"/>
        <w:rPr>
          <w:rFonts w:ascii="Times New Roman" w:hAnsi="Times New Roman"/>
        </w:rPr>
      </w:pPr>
      <w:r w:rsidRPr="00EE40F4">
        <w:rPr>
          <w:rFonts w:ascii="Times New Roman" w:hAnsi="Times New Roman"/>
        </w:rPr>
        <w:t xml:space="preserve">Imatinib STADA 400 mg </w:t>
      </w:r>
      <w:r w:rsidR="00822BC1">
        <w:rPr>
          <w:rFonts w:ascii="Times New Roman" w:hAnsi="Times New Roman"/>
        </w:rPr>
        <w:t>tvrdé kapsuly</w:t>
      </w:r>
      <w:r w:rsidR="00822BC1" w:rsidRPr="00EE40F4">
        <w:rPr>
          <w:rFonts w:ascii="Times New Roman" w:hAnsi="Times New Roman"/>
        </w:rPr>
        <w:t xml:space="preserve">: </w:t>
      </w:r>
      <w:r w:rsidR="00304C14" w:rsidRPr="00304C14">
        <w:rPr>
          <w:rFonts w:ascii="Times New Roman" w:hAnsi="Times New Roman"/>
        </w:rPr>
        <w:t>44/0465/16-S</w:t>
      </w:r>
    </w:p>
    <w:p w14:paraId="72297268" w14:textId="77777777" w:rsidR="00822BC1" w:rsidRPr="00EE40F4" w:rsidRDefault="00822BC1" w:rsidP="00C03156">
      <w:pPr>
        <w:spacing w:after="0" w:line="240" w:lineRule="auto"/>
        <w:rPr>
          <w:rFonts w:ascii="Times New Roman" w:hAnsi="Times New Roman"/>
        </w:rPr>
      </w:pPr>
    </w:p>
    <w:p w14:paraId="3B1703E1" w14:textId="77777777" w:rsidR="00C03156" w:rsidRPr="00EE40F4" w:rsidRDefault="00C03156" w:rsidP="00C03156">
      <w:pPr>
        <w:spacing w:after="0" w:line="240" w:lineRule="auto"/>
        <w:rPr>
          <w:rFonts w:ascii="Times New Roman" w:hAnsi="Times New Roman"/>
        </w:rPr>
      </w:pPr>
    </w:p>
    <w:p w14:paraId="7CFCB191"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9. </w:t>
      </w:r>
      <w:r w:rsidRPr="00EE40F4">
        <w:rPr>
          <w:rFonts w:ascii="Times New Roman" w:hAnsi="Times New Roman"/>
          <w:b/>
        </w:rPr>
        <w:tab/>
      </w:r>
      <w:r w:rsidRPr="00EE40F4">
        <w:rPr>
          <w:rFonts w:ascii="Times New Roman" w:hAnsi="Times New Roman"/>
          <w:b/>
          <w:bCs/>
        </w:rPr>
        <w:t>DÁTUM PRVEJ REGISTRÁCIE/PREDĹŽENIA REGISTRÁCIE</w:t>
      </w:r>
    </w:p>
    <w:p w14:paraId="0534F7EC" w14:textId="77777777" w:rsidR="00C03156" w:rsidRPr="00EE40F4" w:rsidRDefault="00C03156" w:rsidP="00C03156">
      <w:pPr>
        <w:spacing w:after="0" w:line="240" w:lineRule="auto"/>
        <w:rPr>
          <w:rFonts w:ascii="Times New Roman" w:hAnsi="Times New Roman"/>
        </w:rPr>
      </w:pPr>
    </w:p>
    <w:p w14:paraId="5C17D01B" w14:textId="77777777" w:rsidR="00C03156" w:rsidRPr="00EE40F4" w:rsidRDefault="00CF6DD6" w:rsidP="00C03156">
      <w:pPr>
        <w:spacing w:after="0" w:line="240" w:lineRule="auto"/>
        <w:rPr>
          <w:rFonts w:ascii="Times New Roman" w:hAnsi="Times New Roman"/>
        </w:rPr>
      </w:pPr>
      <w:r w:rsidRPr="00EE40F4">
        <w:rPr>
          <w:rFonts w:ascii="Times New Roman" w:hAnsi="Times New Roman"/>
        </w:rPr>
        <w:t>Dátum prvej</w:t>
      </w:r>
      <w:r w:rsidR="003D4989" w:rsidRPr="00EE40F4">
        <w:rPr>
          <w:rFonts w:ascii="Times New Roman" w:hAnsi="Times New Roman"/>
        </w:rPr>
        <w:t xml:space="preserve"> registrácie: </w:t>
      </w:r>
      <w:r w:rsidR="004E2936">
        <w:rPr>
          <w:rFonts w:ascii="Times New Roman" w:hAnsi="Times New Roman"/>
        </w:rPr>
        <w:t>21. októbra 2016</w:t>
      </w:r>
    </w:p>
    <w:p w14:paraId="18977E91" w14:textId="77777777" w:rsidR="00CF6DD6" w:rsidRPr="00EE40F4" w:rsidRDefault="00CF6DD6" w:rsidP="00C03156">
      <w:pPr>
        <w:spacing w:after="0" w:line="240" w:lineRule="auto"/>
        <w:rPr>
          <w:rFonts w:ascii="Times New Roman" w:hAnsi="Times New Roman"/>
        </w:rPr>
      </w:pPr>
    </w:p>
    <w:p w14:paraId="06DF4397" w14:textId="77777777" w:rsidR="00C03156" w:rsidRPr="00EE40F4" w:rsidRDefault="00C03156" w:rsidP="00C03156">
      <w:pPr>
        <w:spacing w:after="0" w:line="240" w:lineRule="auto"/>
        <w:rPr>
          <w:rFonts w:ascii="Times New Roman" w:hAnsi="Times New Roman"/>
        </w:rPr>
      </w:pPr>
    </w:p>
    <w:p w14:paraId="3E30B333" w14:textId="77777777" w:rsidR="00C03156" w:rsidRPr="00EE40F4" w:rsidRDefault="00C03156" w:rsidP="00C03156">
      <w:pPr>
        <w:spacing w:after="0" w:line="240" w:lineRule="auto"/>
        <w:rPr>
          <w:rFonts w:ascii="Times New Roman" w:hAnsi="Times New Roman"/>
          <w:b/>
          <w:bCs/>
        </w:rPr>
      </w:pPr>
      <w:r w:rsidRPr="00EE40F4">
        <w:rPr>
          <w:rFonts w:ascii="Times New Roman" w:hAnsi="Times New Roman"/>
          <w:b/>
        </w:rPr>
        <w:t xml:space="preserve">10. </w:t>
      </w:r>
      <w:r w:rsidRPr="00EE40F4">
        <w:rPr>
          <w:rFonts w:ascii="Times New Roman" w:hAnsi="Times New Roman"/>
          <w:b/>
        </w:rPr>
        <w:tab/>
      </w:r>
      <w:r w:rsidRPr="00EE40F4">
        <w:rPr>
          <w:rFonts w:ascii="Times New Roman" w:hAnsi="Times New Roman"/>
          <w:b/>
          <w:bCs/>
        </w:rPr>
        <w:t>DÁTUM REVÍZIE TEXTU</w:t>
      </w:r>
    </w:p>
    <w:p w14:paraId="6D577FF8" w14:textId="77777777" w:rsidR="00E20DB3" w:rsidRDefault="00E20DB3" w:rsidP="00C03156">
      <w:pPr>
        <w:spacing w:after="0" w:line="240" w:lineRule="auto"/>
        <w:rPr>
          <w:rFonts w:ascii="Times New Roman" w:hAnsi="Times New Roman"/>
          <w:b/>
          <w:bCs/>
        </w:rPr>
      </w:pPr>
    </w:p>
    <w:p w14:paraId="2056E1B4" w14:textId="2EFC361C" w:rsidR="00BD32CA" w:rsidRPr="00EE40F4" w:rsidRDefault="009127EC" w:rsidP="00EF61CC">
      <w:pPr>
        <w:spacing w:after="0" w:line="240" w:lineRule="auto"/>
        <w:rPr>
          <w:rFonts w:ascii="Times New Roman" w:hAnsi="Times New Roman"/>
        </w:rPr>
      </w:pPr>
      <w:r>
        <w:rPr>
          <w:rFonts w:ascii="Times New Roman" w:hAnsi="Times New Roman"/>
          <w:bCs/>
        </w:rPr>
        <w:t>August 2019</w:t>
      </w:r>
    </w:p>
    <w:sectPr w:rsidR="00BD32CA" w:rsidRPr="00EE40F4" w:rsidSect="005A778C">
      <w:headerReference w:type="default" r:id="rId9"/>
      <w:footerReference w:type="default" r:id="rId10"/>
      <w:headerReference w:type="first" r:id="rId11"/>
      <w:footerReference w:type="first" r:id="rId12"/>
      <w:pgSz w:w="11906" w:h="16838"/>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40E40" w14:textId="77777777" w:rsidR="00D653F0" w:rsidRDefault="00D653F0" w:rsidP="00EF61CC">
      <w:pPr>
        <w:spacing w:after="0" w:line="240" w:lineRule="auto"/>
      </w:pPr>
      <w:r>
        <w:separator/>
      </w:r>
    </w:p>
  </w:endnote>
  <w:endnote w:type="continuationSeparator" w:id="0">
    <w:p w14:paraId="793926E1" w14:textId="77777777" w:rsidR="00D653F0" w:rsidRDefault="00D653F0"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3732" w14:textId="77777777" w:rsidR="00552A9E" w:rsidRPr="00C03156" w:rsidRDefault="00552A9E">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5479BC" w:rsidRPr="005479BC">
      <w:rPr>
        <w:rFonts w:ascii="Times New Roman" w:hAnsi="Times New Roman"/>
        <w:noProof/>
        <w:sz w:val="18"/>
        <w:szCs w:val="18"/>
        <w:lang w:val="sk-SK"/>
      </w:rPr>
      <w:t>29</w:t>
    </w:r>
    <w:r w:rsidRPr="00C03156">
      <w:rPr>
        <w:rFonts w:ascii="Times New Roman" w:hAnsi="Times New Roman"/>
        <w:sz w:val="18"/>
        <w:szCs w:val="18"/>
      </w:rPr>
      <w:fldChar w:fldCharType="end"/>
    </w:r>
  </w:p>
  <w:p w14:paraId="72B34DC1" w14:textId="77777777" w:rsidR="00552A9E" w:rsidRDefault="00552A9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02DF" w14:textId="77777777" w:rsidR="00552A9E" w:rsidRPr="002C6CCB" w:rsidRDefault="00552A9E">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005479BC" w:rsidRPr="005479BC">
      <w:rPr>
        <w:rFonts w:ascii="Times New Roman" w:hAnsi="Times New Roman"/>
        <w:noProof/>
        <w:sz w:val="18"/>
        <w:szCs w:val="18"/>
        <w:lang w:val="sk-SK"/>
      </w:rPr>
      <w:t>1</w:t>
    </w:r>
    <w:r w:rsidRPr="002C6CCB">
      <w:rPr>
        <w:rFonts w:ascii="Times New Roman" w:hAnsi="Times New Roman"/>
        <w:sz w:val="18"/>
        <w:szCs w:val="18"/>
      </w:rPr>
      <w:fldChar w:fldCharType="end"/>
    </w:r>
  </w:p>
  <w:p w14:paraId="2FCCFA35" w14:textId="77777777" w:rsidR="00552A9E" w:rsidRDefault="00552A9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18F8" w14:textId="77777777" w:rsidR="00D653F0" w:rsidRDefault="00D653F0" w:rsidP="00EF61CC">
      <w:pPr>
        <w:spacing w:after="0" w:line="240" w:lineRule="auto"/>
      </w:pPr>
      <w:r>
        <w:separator/>
      </w:r>
    </w:p>
  </w:footnote>
  <w:footnote w:type="continuationSeparator" w:id="0">
    <w:p w14:paraId="42913225" w14:textId="77777777" w:rsidR="00D653F0" w:rsidRDefault="00D653F0"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86EB3" w14:textId="77777777" w:rsidR="005479BC" w:rsidRPr="003C2C20" w:rsidRDefault="005479BC" w:rsidP="005479BC">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9/03046-Z1B</w:t>
    </w:r>
  </w:p>
  <w:p w14:paraId="4365D652" w14:textId="77777777" w:rsidR="005479BC" w:rsidRDefault="005479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95B0" w14:textId="77777777" w:rsidR="00552A9E" w:rsidRPr="003C2C20" w:rsidRDefault="00552A9E" w:rsidP="007705E9">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9/03046-Z1B</w:t>
    </w:r>
  </w:p>
  <w:p w14:paraId="1E0C3D7B" w14:textId="2D62F9AA" w:rsidR="00552A9E" w:rsidRPr="00EE71A9" w:rsidRDefault="00552A9E" w:rsidP="00406531">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8"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61B74"/>
    <w:multiLevelType w:val="multilevel"/>
    <w:tmpl w:val="C4AA5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0"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1"/>
  </w:num>
  <w:num w:numId="2">
    <w:abstractNumId w:val="29"/>
  </w:num>
  <w:num w:numId="3">
    <w:abstractNumId w:val="7"/>
  </w:num>
  <w:num w:numId="4">
    <w:abstractNumId w:val="22"/>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27"/>
  </w:num>
  <w:num w:numId="8">
    <w:abstractNumId w:val="18"/>
  </w:num>
  <w:num w:numId="9">
    <w:abstractNumId w:val="4"/>
  </w:num>
  <w:num w:numId="10">
    <w:abstractNumId w:val="3"/>
  </w:num>
  <w:num w:numId="11">
    <w:abstractNumId w:val="2"/>
  </w:num>
  <w:num w:numId="12">
    <w:abstractNumId w:val="1"/>
  </w:num>
  <w:num w:numId="13">
    <w:abstractNumId w:val="0"/>
  </w:num>
  <w:num w:numId="14">
    <w:abstractNumId w:val="35"/>
  </w:num>
  <w:num w:numId="15">
    <w:abstractNumId w:val="33"/>
  </w:num>
  <w:num w:numId="16">
    <w:abstractNumId w:val="6"/>
  </w:num>
  <w:num w:numId="17">
    <w:abstractNumId w:val="13"/>
  </w:num>
  <w:num w:numId="18">
    <w:abstractNumId w:val="12"/>
  </w:num>
  <w:num w:numId="19">
    <w:abstractNumId w:val="16"/>
  </w:num>
  <w:num w:numId="20">
    <w:abstractNumId w:val="26"/>
  </w:num>
  <w:num w:numId="21">
    <w:abstractNumId w:val="34"/>
  </w:num>
  <w:num w:numId="22">
    <w:abstractNumId w:val="8"/>
  </w:num>
  <w:num w:numId="23">
    <w:abstractNumId w:val="30"/>
  </w:num>
  <w:num w:numId="24">
    <w:abstractNumId w:val="31"/>
  </w:num>
  <w:num w:numId="25">
    <w:abstractNumId w:val="11"/>
  </w:num>
  <w:num w:numId="26">
    <w:abstractNumId w:val="32"/>
  </w:num>
  <w:num w:numId="27">
    <w:abstractNumId w:val="15"/>
  </w:num>
  <w:num w:numId="28">
    <w:abstractNumId w:val="28"/>
  </w:num>
  <w:num w:numId="29">
    <w:abstractNumId w:val="20"/>
    <w:lvlOverride w:ilvl="0"/>
    <w:lvlOverride w:ilvl="1">
      <w:startOverride w:val="4"/>
    </w:lvlOverride>
    <w:lvlOverride w:ilvl="2"/>
    <w:lvlOverride w:ilvl="3"/>
    <w:lvlOverride w:ilvl="4"/>
    <w:lvlOverride w:ilvl="5"/>
    <w:lvlOverride w:ilvl="6"/>
    <w:lvlOverride w:ilvl="7"/>
    <w:lvlOverride w:ilvl="8"/>
  </w:num>
  <w:num w:numId="30">
    <w:abstractNumId w:val="10"/>
  </w:num>
  <w:num w:numId="31">
    <w:abstractNumId w:val="9"/>
  </w:num>
  <w:num w:numId="32">
    <w:abstractNumId w:val="17"/>
  </w:num>
  <w:num w:numId="33">
    <w:abstractNumId w:val="14"/>
  </w:num>
  <w:num w:numId="34">
    <w:abstractNumId w:val="23"/>
  </w:num>
  <w:num w:numId="35">
    <w:abstractNumId w:val="19"/>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12886"/>
    <w:rsid w:val="0001658F"/>
    <w:rsid w:val="00017C0F"/>
    <w:rsid w:val="00024BEA"/>
    <w:rsid w:val="00042D68"/>
    <w:rsid w:val="00043CCE"/>
    <w:rsid w:val="0004602D"/>
    <w:rsid w:val="000462A0"/>
    <w:rsid w:val="0005481D"/>
    <w:rsid w:val="00056341"/>
    <w:rsid w:val="00056B21"/>
    <w:rsid w:val="00057390"/>
    <w:rsid w:val="0007153B"/>
    <w:rsid w:val="00071C21"/>
    <w:rsid w:val="000779C6"/>
    <w:rsid w:val="00087291"/>
    <w:rsid w:val="000A2CBD"/>
    <w:rsid w:val="000A4371"/>
    <w:rsid w:val="000B4541"/>
    <w:rsid w:val="000B4659"/>
    <w:rsid w:val="000B7F10"/>
    <w:rsid w:val="000D2B8A"/>
    <w:rsid w:val="000E0251"/>
    <w:rsid w:val="000E6FE7"/>
    <w:rsid w:val="000F19F0"/>
    <w:rsid w:val="000F6728"/>
    <w:rsid w:val="00101B0B"/>
    <w:rsid w:val="00101E3D"/>
    <w:rsid w:val="0011094C"/>
    <w:rsid w:val="001166B0"/>
    <w:rsid w:val="001234C2"/>
    <w:rsid w:val="001237C2"/>
    <w:rsid w:val="00126A68"/>
    <w:rsid w:val="0012794A"/>
    <w:rsid w:val="0013065F"/>
    <w:rsid w:val="001566F9"/>
    <w:rsid w:val="00156A95"/>
    <w:rsid w:val="00157939"/>
    <w:rsid w:val="00192CD6"/>
    <w:rsid w:val="001C06ED"/>
    <w:rsid w:val="001C1F57"/>
    <w:rsid w:val="001C5F1C"/>
    <w:rsid w:val="001C7386"/>
    <w:rsid w:val="001D0DE7"/>
    <w:rsid w:val="001E7EF3"/>
    <w:rsid w:val="001F14EC"/>
    <w:rsid w:val="001F3CD7"/>
    <w:rsid w:val="001F5876"/>
    <w:rsid w:val="00201BA9"/>
    <w:rsid w:val="00205128"/>
    <w:rsid w:val="002077F0"/>
    <w:rsid w:val="00212974"/>
    <w:rsid w:val="002352F4"/>
    <w:rsid w:val="0023705D"/>
    <w:rsid w:val="00237E36"/>
    <w:rsid w:val="00240D7A"/>
    <w:rsid w:val="00246154"/>
    <w:rsid w:val="00253F0F"/>
    <w:rsid w:val="00254826"/>
    <w:rsid w:val="002621D9"/>
    <w:rsid w:val="00262404"/>
    <w:rsid w:val="002676C7"/>
    <w:rsid w:val="00270F7F"/>
    <w:rsid w:val="0027531D"/>
    <w:rsid w:val="00277AB9"/>
    <w:rsid w:val="00286232"/>
    <w:rsid w:val="00293364"/>
    <w:rsid w:val="002953F8"/>
    <w:rsid w:val="002A264C"/>
    <w:rsid w:val="002B4BC2"/>
    <w:rsid w:val="002B6BB0"/>
    <w:rsid w:val="002C44D1"/>
    <w:rsid w:val="002C5311"/>
    <w:rsid w:val="002C6CCB"/>
    <w:rsid w:val="002D64FE"/>
    <w:rsid w:val="002E5207"/>
    <w:rsid w:val="002E61EB"/>
    <w:rsid w:val="002F5BCB"/>
    <w:rsid w:val="00304C14"/>
    <w:rsid w:val="003159FB"/>
    <w:rsid w:val="00330AA5"/>
    <w:rsid w:val="00331ACB"/>
    <w:rsid w:val="003332E7"/>
    <w:rsid w:val="003333BB"/>
    <w:rsid w:val="0033601F"/>
    <w:rsid w:val="00342D09"/>
    <w:rsid w:val="003430D9"/>
    <w:rsid w:val="003536E0"/>
    <w:rsid w:val="00356A3B"/>
    <w:rsid w:val="003816E9"/>
    <w:rsid w:val="00382022"/>
    <w:rsid w:val="0038398D"/>
    <w:rsid w:val="0038477B"/>
    <w:rsid w:val="00392149"/>
    <w:rsid w:val="003A31ED"/>
    <w:rsid w:val="003B4959"/>
    <w:rsid w:val="003B7863"/>
    <w:rsid w:val="003D3949"/>
    <w:rsid w:val="003D4989"/>
    <w:rsid w:val="003D5292"/>
    <w:rsid w:val="003D580C"/>
    <w:rsid w:val="003D6A10"/>
    <w:rsid w:val="003F65C7"/>
    <w:rsid w:val="00400688"/>
    <w:rsid w:val="00401D6F"/>
    <w:rsid w:val="00406531"/>
    <w:rsid w:val="00412829"/>
    <w:rsid w:val="00417DA5"/>
    <w:rsid w:val="00430DC8"/>
    <w:rsid w:val="004340DB"/>
    <w:rsid w:val="00436CB9"/>
    <w:rsid w:val="0044416A"/>
    <w:rsid w:val="00452BE1"/>
    <w:rsid w:val="00455CB1"/>
    <w:rsid w:val="00471DAF"/>
    <w:rsid w:val="004A19E6"/>
    <w:rsid w:val="004A2575"/>
    <w:rsid w:val="004A3945"/>
    <w:rsid w:val="004C7CBD"/>
    <w:rsid w:val="004D10CD"/>
    <w:rsid w:val="004D5302"/>
    <w:rsid w:val="004E2936"/>
    <w:rsid w:val="004E55C4"/>
    <w:rsid w:val="004F1E3B"/>
    <w:rsid w:val="004F3CBE"/>
    <w:rsid w:val="004F6EF7"/>
    <w:rsid w:val="004F70B4"/>
    <w:rsid w:val="00514042"/>
    <w:rsid w:val="00523C63"/>
    <w:rsid w:val="0053320E"/>
    <w:rsid w:val="00535430"/>
    <w:rsid w:val="005429CE"/>
    <w:rsid w:val="00544A17"/>
    <w:rsid w:val="00545FDF"/>
    <w:rsid w:val="005465AB"/>
    <w:rsid w:val="005479BC"/>
    <w:rsid w:val="00551E20"/>
    <w:rsid w:val="00552A9E"/>
    <w:rsid w:val="00553D1C"/>
    <w:rsid w:val="00557BA3"/>
    <w:rsid w:val="005666A5"/>
    <w:rsid w:val="00576A52"/>
    <w:rsid w:val="00584C6F"/>
    <w:rsid w:val="00594784"/>
    <w:rsid w:val="0059502D"/>
    <w:rsid w:val="005A778C"/>
    <w:rsid w:val="005C3EDC"/>
    <w:rsid w:val="005C60AF"/>
    <w:rsid w:val="005D1C8D"/>
    <w:rsid w:val="005D40E8"/>
    <w:rsid w:val="005E06C7"/>
    <w:rsid w:val="005E0EC0"/>
    <w:rsid w:val="005F4987"/>
    <w:rsid w:val="00615F33"/>
    <w:rsid w:val="00621568"/>
    <w:rsid w:val="00622CDB"/>
    <w:rsid w:val="00627393"/>
    <w:rsid w:val="00645440"/>
    <w:rsid w:val="006458A7"/>
    <w:rsid w:val="00653A62"/>
    <w:rsid w:val="006624DA"/>
    <w:rsid w:val="0066486D"/>
    <w:rsid w:val="00683033"/>
    <w:rsid w:val="00684EEE"/>
    <w:rsid w:val="00691E71"/>
    <w:rsid w:val="00692E75"/>
    <w:rsid w:val="00697626"/>
    <w:rsid w:val="006A5501"/>
    <w:rsid w:val="006B1779"/>
    <w:rsid w:val="006B3244"/>
    <w:rsid w:val="006C073A"/>
    <w:rsid w:val="006D2058"/>
    <w:rsid w:val="006F012E"/>
    <w:rsid w:val="006F092B"/>
    <w:rsid w:val="006F2A6F"/>
    <w:rsid w:val="006F4087"/>
    <w:rsid w:val="006F6F74"/>
    <w:rsid w:val="0071048E"/>
    <w:rsid w:val="007150A4"/>
    <w:rsid w:val="007161E6"/>
    <w:rsid w:val="00716DD5"/>
    <w:rsid w:val="00722CAF"/>
    <w:rsid w:val="00722E65"/>
    <w:rsid w:val="00737905"/>
    <w:rsid w:val="00741D09"/>
    <w:rsid w:val="00742C12"/>
    <w:rsid w:val="00744395"/>
    <w:rsid w:val="0074685D"/>
    <w:rsid w:val="0075049F"/>
    <w:rsid w:val="007506C1"/>
    <w:rsid w:val="00750C00"/>
    <w:rsid w:val="007705E9"/>
    <w:rsid w:val="00783137"/>
    <w:rsid w:val="007C1E08"/>
    <w:rsid w:val="007C242F"/>
    <w:rsid w:val="007C5782"/>
    <w:rsid w:val="007D0B93"/>
    <w:rsid w:val="007D140E"/>
    <w:rsid w:val="007D6079"/>
    <w:rsid w:val="007F0432"/>
    <w:rsid w:val="007F5FC7"/>
    <w:rsid w:val="007F65B6"/>
    <w:rsid w:val="00803E68"/>
    <w:rsid w:val="0081157F"/>
    <w:rsid w:val="0081343F"/>
    <w:rsid w:val="00822BC1"/>
    <w:rsid w:val="00834AE4"/>
    <w:rsid w:val="00851389"/>
    <w:rsid w:val="00853ECE"/>
    <w:rsid w:val="008643CD"/>
    <w:rsid w:val="008715F6"/>
    <w:rsid w:val="00872CEA"/>
    <w:rsid w:val="0087350A"/>
    <w:rsid w:val="00880F4C"/>
    <w:rsid w:val="00894C74"/>
    <w:rsid w:val="00896297"/>
    <w:rsid w:val="008A2150"/>
    <w:rsid w:val="008C1570"/>
    <w:rsid w:val="008C7992"/>
    <w:rsid w:val="008D2BF6"/>
    <w:rsid w:val="008E10D0"/>
    <w:rsid w:val="008E50C0"/>
    <w:rsid w:val="008E6231"/>
    <w:rsid w:val="008E7EFC"/>
    <w:rsid w:val="008F7BEC"/>
    <w:rsid w:val="00902178"/>
    <w:rsid w:val="009127EC"/>
    <w:rsid w:val="009223F5"/>
    <w:rsid w:val="00923A3D"/>
    <w:rsid w:val="00926B05"/>
    <w:rsid w:val="00927587"/>
    <w:rsid w:val="00940AB7"/>
    <w:rsid w:val="00950541"/>
    <w:rsid w:val="00951E98"/>
    <w:rsid w:val="00976722"/>
    <w:rsid w:val="009914A1"/>
    <w:rsid w:val="009A1AD5"/>
    <w:rsid w:val="009A54CC"/>
    <w:rsid w:val="009A5F72"/>
    <w:rsid w:val="009B2461"/>
    <w:rsid w:val="009B2CA2"/>
    <w:rsid w:val="009B2CE3"/>
    <w:rsid w:val="009C1223"/>
    <w:rsid w:val="009C34E3"/>
    <w:rsid w:val="009C466E"/>
    <w:rsid w:val="009D36B1"/>
    <w:rsid w:val="009D5E3D"/>
    <w:rsid w:val="009D7F4B"/>
    <w:rsid w:val="00A0574D"/>
    <w:rsid w:val="00A22FB7"/>
    <w:rsid w:val="00A350D0"/>
    <w:rsid w:val="00A36D77"/>
    <w:rsid w:val="00A466E6"/>
    <w:rsid w:val="00A56D35"/>
    <w:rsid w:val="00A75A19"/>
    <w:rsid w:val="00A82B5C"/>
    <w:rsid w:val="00AA4C0D"/>
    <w:rsid w:val="00AC7176"/>
    <w:rsid w:val="00AD08DF"/>
    <w:rsid w:val="00AD1ABB"/>
    <w:rsid w:val="00AD6C79"/>
    <w:rsid w:val="00AE279C"/>
    <w:rsid w:val="00AE4565"/>
    <w:rsid w:val="00AE72A2"/>
    <w:rsid w:val="00AF3937"/>
    <w:rsid w:val="00AF4BD8"/>
    <w:rsid w:val="00B16405"/>
    <w:rsid w:val="00B21379"/>
    <w:rsid w:val="00B360BA"/>
    <w:rsid w:val="00B44BCA"/>
    <w:rsid w:val="00B45D51"/>
    <w:rsid w:val="00B532B0"/>
    <w:rsid w:val="00B5578B"/>
    <w:rsid w:val="00B57FDC"/>
    <w:rsid w:val="00B60D30"/>
    <w:rsid w:val="00B636B3"/>
    <w:rsid w:val="00B66017"/>
    <w:rsid w:val="00B768BF"/>
    <w:rsid w:val="00B92024"/>
    <w:rsid w:val="00BA05FE"/>
    <w:rsid w:val="00BA450E"/>
    <w:rsid w:val="00BA4BE1"/>
    <w:rsid w:val="00BA557A"/>
    <w:rsid w:val="00BB00C7"/>
    <w:rsid w:val="00BC0A94"/>
    <w:rsid w:val="00BD32CA"/>
    <w:rsid w:val="00BE62EF"/>
    <w:rsid w:val="00BF6D0F"/>
    <w:rsid w:val="00C03156"/>
    <w:rsid w:val="00C03C95"/>
    <w:rsid w:val="00C15EEC"/>
    <w:rsid w:val="00C25C84"/>
    <w:rsid w:val="00C679AC"/>
    <w:rsid w:val="00C7234C"/>
    <w:rsid w:val="00C82AA3"/>
    <w:rsid w:val="00C8448D"/>
    <w:rsid w:val="00C936E3"/>
    <w:rsid w:val="00CA3011"/>
    <w:rsid w:val="00CA6CF5"/>
    <w:rsid w:val="00CB0CA7"/>
    <w:rsid w:val="00CB46BE"/>
    <w:rsid w:val="00CC293F"/>
    <w:rsid w:val="00CC2E52"/>
    <w:rsid w:val="00CD009A"/>
    <w:rsid w:val="00CE1BD4"/>
    <w:rsid w:val="00CF6DD6"/>
    <w:rsid w:val="00D00C6A"/>
    <w:rsid w:val="00D1014A"/>
    <w:rsid w:val="00D13890"/>
    <w:rsid w:val="00D15D44"/>
    <w:rsid w:val="00D30FBD"/>
    <w:rsid w:val="00D338DB"/>
    <w:rsid w:val="00D449E6"/>
    <w:rsid w:val="00D464BF"/>
    <w:rsid w:val="00D469FB"/>
    <w:rsid w:val="00D5640B"/>
    <w:rsid w:val="00D623D7"/>
    <w:rsid w:val="00D639A3"/>
    <w:rsid w:val="00D63EC4"/>
    <w:rsid w:val="00D653F0"/>
    <w:rsid w:val="00D70467"/>
    <w:rsid w:val="00D70DC2"/>
    <w:rsid w:val="00D71511"/>
    <w:rsid w:val="00D805B7"/>
    <w:rsid w:val="00D834C4"/>
    <w:rsid w:val="00D9307D"/>
    <w:rsid w:val="00D97640"/>
    <w:rsid w:val="00DA064E"/>
    <w:rsid w:val="00DA08C1"/>
    <w:rsid w:val="00DA1CD8"/>
    <w:rsid w:val="00DA20FC"/>
    <w:rsid w:val="00DB042C"/>
    <w:rsid w:val="00DC093B"/>
    <w:rsid w:val="00DD6A69"/>
    <w:rsid w:val="00DE1CF6"/>
    <w:rsid w:val="00DE498F"/>
    <w:rsid w:val="00DE65F3"/>
    <w:rsid w:val="00DF4409"/>
    <w:rsid w:val="00DF5E1E"/>
    <w:rsid w:val="00DF6E37"/>
    <w:rsid w:val="00E01592"/>
    <w:rsid w:val="00E03225"/>
    <w:rsid w:val="00E05A39"/>
    <w:rsid w:val="00E06E37"/>
    <w:rsid w:val="00E10466"/>
    <w:rsid w:val="00E20DB3"/>
    <w:rsid w:val="00E26370"/>
    <w:rsid w:val="00E26A24"/>
    <w:rsid w:val="00E30402"/>
    <w:rsid w:val="00E3702C"/>
    <w:rsid w:val="00E51487"/>
    <w:rsid w:val="00E51ADB"/>
    <w:rsid w:val="00E7593E"/>
    <w:rsid w:val="00E830C4"/>
    <w:rsid w:val="00E96AE6"/>
    <w:rsid w:val="00E96D82"/>
    <w:rsid w:val="00EA0841"/>
    <w:rsid w:val="00EB1B08"/>
    <w:rsid w:val="00EB343D"/>
    <w:rsid w:val="00ED090D"/>
    <w:rsid w:val="00EE40F4"/>
    <w:rsid w:val="00EE71A9"/>
    <w:rsid w:val="00EF5F5A"/>
    <w:rsid w:val="00EF61CC"/>
    <w:rsid w:val="00EF6D28"/>
    <w:rsid w:val="00F1156A"/>
    <w:rsid w:val="00F1249F"/>
    <w:rsid w:val="00F12D11"/>
    <w:rsid w:val="00F37788"/>
    <w:rsid w:val="00F43A39"/>
    <w:rsid w:val="00F565D4"/>
    <w:rsid w:val="00F66C05"/>
    <w:rsid w:val="00F706BA"/>
    <w:rsid w:val="00F71743"/>
    <w:rsid w:val="00F719A2"/>
    <w:rsid w:val="00F82DF3"/>
    <w:rsid w:val="00F82EB8"/>
    <w:rsid w:val="00F861F2"/>
    <w:rsid w:val="00FA0FA9"/>
    <w:rsid w:val="00FA1F09"/>
    <w:rsid w:val="00FB14E9"/>
    <w:rsid w:val="00FB3FE8"/>
    <w:rsid w:val="00FB5C7C"/>
    <w:rsid w:val="00FC0088"/>
    <w:rsid w:val="00FD310D"/>
    <w:rsid w:val="00FD3915"/>
    <w:rsid w:val="00FE19B1"/>
    <w:rsid w:val="00FE2006"/>
    <w:rsid w:val="00FE2E95"/>
    <w:rsid w:val="00FE4546"/>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85EBCC"/>
  <w15:docId w15:val="{34563C8F-58EB-46BA-88B3-D7B10292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3137"/>
    <w:pPr>
      <w:spacing w:after="200" w:line="276" w:lineRule="auto"/>
    </w:pPr>
    <w:rPr>
      <w:sz w:val="22"/>
      <w:szCs w:val="22"/>
      <w:lang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paragraph" w:styleId="Bezriadkovania">
    <w:name w:val="No Spacing"/>
    <w:uiPriority w:val="1"/>
    <w:qFormat/>
    <w:rsid w:val="00F71743"/>
    <w:rPr>
      <w:rFonts w:eastAsia="Calibri"/>
      <w:sz w:val="22"/>
      <w:szCs w:val="22"/>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 w:id="1305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8D63D-9CE1-4655-995F-642ACD27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14017</Words>
  <Characters>79902</Characters>
  <Application>Microsoft Office Word</Application>
  <DocSecurity>0</DocSecurity>
  <Lines>665</Lines>
  <Paragraphs>187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93732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Regpharm</dc:creator>
  <cp:lastModifiedBy>Bolebruchová Monika</cp:lastModifiedBy>
  <cp:revision>3</cp:revision>
  <cp:lastPrinted>2019-08-08T05:08:00Z</cp:lastPrinted>
  <dcterms:created xsi:type="dcterms:W3CDTF">2019-08-07T07:43:00Z</dcterms:created>
  <dcterms:modified xsi:type="dcterms:W3CDTF">2019-08-08T05:08:00Z</dcterms:modified>
</cp:coreProperties>
</file>