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188A6" w14:textId="77777777" w:rsidR="0018413F" w:rsidRPr="004B1278" w:rsidRDefault="00DB2AFC" w:rsidP="00325507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eastAsia="cs-CZ"/>
        </w:rPr>
      </w:pP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SÚHRN CHARAKTERISTICKÝCH VLASTNOSTÍ LIEKU</w:t>
      </w:r>
    </w:p>
    <w:p w14:paraId="53E7B23D" w14:textId="77777777" w:rsidR="00325507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35357506" w14:textId="77777777" w:rsidR="00325507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3FB429A3" w14:textId="63089CAA" w:rsidR="0018413F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0" w:name="1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1.</w:t>
      </w:r>
      <w:r w:rsidR="00DB2AFC"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 xml:space="preserve">NÁZOV </w:t>
      </w:r>
      <w:bookmarkEnd w:id="0"/>
      <w:r w:rsidR="00DB2AFC" w:rsidRPr="004B1278">
        <w:rPr>
          <w:rFonts w:eastAsia="Times New Roman" w:cs="Times New Roman"/>
          <w:b/>
          <w:bCs/>
          <w:sz w:val="22"/>
          <w:szCs w:val="22"/>
          <w:lang w:eastAsia="cs-CZ"/>
        </w:rPr>
        <w:t>LIEKU</w:t>
      </w:r>
    </w:p>
    <w:p w14:paraId="3D40828D" w14:textId="77777777" w:rsidR="00325507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4AB9C4CB" w14:textId="77777777" w:rsidR="00405967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bCs/>
          <w:sz w:val="22"/>
          <w:szCs w:val="22"/>
          <w:lang w:eastAsia="cs-CZ"/>
        </w:rPr>
        <w:t>Dutamon</w:t>
      </w:r>
      <w:proofErr w:type="spellEnd"/>
      <w:r w:rsidRPr="004B1278">
        <w:rPr>
          <w:rFonts w:eastAsia="Times New Roman" w:cs="Times New Roman"/>
          <w:bCs/>
          <w:sz w:val="22"/>
          <w:szCs w:val="22"/>
          <w:lang w:eastAsia="cs-CZ"/>
        </w:rPr>
        <w:t xml:space="preserve"> </w:t>
      </w:r>
    </w:p>
    <w:p w14:paraId="7DAE2A2D" w14:textId="53BF814D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lang w:eastAsia="cs-CZ"/>
        </w:rPr>
        <w:t>0,5 mg mäkké kapsuly</w:t>
      </w:r>
    </w:p>
    <w:p w14:paraId="18746998" w14:textId="77777777" w:rsidR="00325507" w:rsidRPr="004B1278" w:rsidRDefault="00325507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</w:p>
    <w:p w14:paraId="34A2D99B" w14:textId="77777777" w:rsidR="00325507" w:rsidRPr="004B1278" w:rsidRDefault="00325507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</w:p>
    <w:p w14:paraId="1D9509FE" w14:textId="3673C1F2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1" w:name="2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2.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KVALITATÍVNE A KVANTITATÍVNE ZLOŽENIE</w:t>
      </w:r>
      <w:bookmarkEnd w:id="1"/>
    </w:p>
    <w:p w14:paraId="6EDD2121" w14:textId="77777777" w:rsidR="00325507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79AD22AC" w14:textId="29CD8234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Jedna kapsula obsahuje </w:t>
      </w:r>
      <w:r w:rsidR="004E473B" w:rsidRPr="004B1278">
        <w:rPr>
          <w:rFonts w:eastAsia="Times New Roman" w:cs="Times New Roman"/>
          <w:sz w:val="22"/>
          <w:szCs w:val="22"/>
          <w:lang w:eastAsia="cs-CZ"/>
        </w:rPr>
        <w:t xml:space="preserve">0,5 mg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</w:t>
      </w:r>
    </w:p>
    <w:p w14:paraId="4F2BCA2C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6A4BBE0E" w14:textId="77777777" w:rsidR="00EF002B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sz w:val="22"/>
          <w:szCs w:val="22"/>
          <w:u w:val="single"/>
          <w:lang w:eastAsia="cs-CZ"/>
        </w:rPr>
        <w:t>Pomocná látka so známym účinkom:</w:t>
      </w:r>
    </w:p>
    <w:p w14:paraId="021812AE" w14:textId="38976364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Jedna kapsula obsahuje stopy sójového lecitínu (ktorý môže obsahovať sójový olej) (E 322)</w:t>
      </w:r>
      <w:r w:rsidR="00C048FC" w:rsidRPr="004B1278">
        <w:rPr>
          <w:rFonts w:eastAsia="Times New Roman" w:cs="Times New Roman"/>
          <w:sz w:val="22"/>
          <w:szCs w:val="22"/>
          <w:lang w:eastAsia="cs-CZ"/>
        </w:rPr>
        <w:t>.</w:t>
      </w:r>
    </w:p>
    <w:p w14:paraId="709149CA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Úplný zoznam pomocných látok, pozri časť 6.1.</w:t>
      </w:r>
    </w:p>
    <w:p w14:paraId="344CDAE3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0375FF86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10C8CD83" w14:textId="0611C0E5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2" w:name="3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3.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LIEKOVÁ FORMA</w:t>
      </w:r>
      <w:bookmarkEnd w:id="2"/>
    </w:p>
    <w:p w14:paraId="5DF7DD43" w14:textId="77777777" w:rsidR="00325507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6AD25F4C" w14:textId="77777777" w:rsidR="00EF002B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Mäkká kapsula.</w:t>
      </w:r>
    </w:p>
    <w:p w14:paraId="0280E034" w14:textId="223A690A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Mäkké kapsuly lieku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Dutamon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sú podlhovasté, mäkké želatínové kapsuly (približne 16,5 mm x 6,5 mm) svetlo žltej farby, naplnené priesvitnou tekutinou.</w:t>
      </w:r>
    </w:p>
    <w:p w14:paraId="08F04708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04E1C2C5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2525D48D" w14:textId="1DBFE860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3" w:name="4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4.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KLINICKÉ ÚDAJE</w:t>
      </w:r>
      <w:bookmarkEnd w:id="3"/>
    </w:p>
    <w:p w14:paraId="2FD9C707" w14:textId="77777777" w:rsidR="00325507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3757FEC4" w14:textId="365CB1CE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4" w:name="5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4.1.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Terapeutické indikácie</w:t>
      </w:r>
      <w:bookmarkEnd w:id="4"/>
    </w:p>
    <w:p w14:paraId="75167F18" w14:textId="77777777" w:rsidR="00EF002B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Terapia stredne ťažkých až ťažkých príznakov benígnej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hyperplázie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prostaty (BHP). Zníženie rizika akútnej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retencie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moču (ARM) a chirurgického </w:t>
      </w:r>
      <w:r w:rsidR="004E473B" w:rsidRPr="004B1278">
        <w:rPr>
          <w:rFonts w:eastAsia="Times New Roman" w:cs="Times New Roman"/>
          <w:sz w:val="22"/>
          <w:szCs w:val="22"/>
          <w:lang w:eastAsia="cs-CZ"/>
        </w:rPr>
        <w:t xml:space="preserve">zákroku </w:t>
      </w:r>
      <w:r w:rsidRPr="004B1278">
        <w:rPr>
          <w:rFonts w:eastAsia="Times New Roman" w:cs="Times New Roman"/>
          <w:sz w:val="22"/>
          <w:szCs w:val="22"/>
          <w:lang w:eastAsia="cs-CZ"/>
        </w:rPr>
        <w:t>u pacientov so stredne ťažkými až ťažkými príznakmi BHP.</w:t>
      </w:r>
    </w:p>
    <w:p w14:paraId="45D57201" w14:textId="31DB026B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Informácie o účinkoch liečby a súboroch pacientov skúmaných v klinických štúdiách nájdete v časti  5.1.</w:t>
      </w:r>
    </w:p>
    <w:p w14:paraId="50B51ECD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2883712C" w14:textId="31BB7F0F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5" w:name="6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4.2.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Dávkovanie a spôsob podávania</w:t>
      </w:r>
      <w:bookmarkEnd w:id="5"/>
    </w:p>
    <w:p w14:paraId="55997289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Liek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Dutamon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môže byť užívaný samostatne alebo v kombinácii s alfa-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blokátorom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tamsulozínom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(0,4 mg) (pozri časti 4.4, 4.8 a 5.1).</w:t>
      </w:r>
    </w:p>
    <w:p w14:paraId="4F6B6E58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7ACBCB88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i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i/>
          <w:sz w:val="22"/>
          <w:szCs w:val="22"/>
          <w:u w:val="single"/>
          <w:lang w:eastAsia="cs-CZ"/>
        </w:rPr>
        <w:t>Dávkovanie</w:t>
      </w:r>
    </w:p>
    <w:p w14:paraId="774C1178" w14:textId="0819A2DB" w:rsidR="0018413F" w:rsidRPr="004B1278" w:rsidRDefault="00DB2AFC" w:rsidP="004B1278">
      <w:pPr>
        <w:pStyle w:val="Standard"/>
        <w:rPr>
          <w:rFonts w:eastAsia="Times New Roman" w:cs="Times New Roman"/>
          <w:bCs/>
          <w:i/>
          <w:sz w:val="22"/>
          <w:szCs w:val="22"/>
          <w:lang w:eastAsia="cs-CZ"/>
        </w:rPr>
      </w:pPr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 xml:space="preserve">Dospelí (vrátane starších </w:t>
      </w:r>
      <w:r w:rsidR="004E473B" w:rsidRPr="004B1278">
        <w:rPr>
          <w:rFonts w:eastAsia="Times New Roman" w:cs="Times New Roman"/>
          <w:bCs/>
          <w:i/>
          <w:sz w:val="22"/>
          <w:szCs w:val="22"/>
          <w:lang w:eastAsia="cs-CZ"/>
        </w:rPr>
        <w:t>osôb</w:t>
      </w:r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>)</w:t>
      </w:r>
    </w:p>
    <w:p w14:paraId="3C472C8B" w14:textId="30323712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Odporúčaná dávka lieku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Dutamon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je jedna kapsula (0,5 mg) perorálne raz denne. Kapsuly sa majú prehĺtať celé a nemajú sa hrýzť alebo otvárať, pretože kontakt s obsahom kapsuly môže viesť k podráždeniu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orofaryngeálnej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sliznice. Kapsuly sa môžu užívať s jedlom alebo nalačno. Hoci určité zlepšenie môže byť pozorované už v začiatočnej fáze, môže trvať až 6 mesiacov, </w:t>
      </w:r>
      <w:r w:rsidR="004E473B" w:rsidRPr="004B1278">
        <w:rPr>
          <w:rFonts w:eastAsia="Times New Roman" w:cs="Times New Roman"/>
          <w:sz w:val="22"/>
          <w:szCs w:val="22"/>
          <w:lang w:eastAsia="cs-CZ"/>
        </w:rPr>
        <w:t xml:space="preserve">pokým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sa dosiahne 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 xml:space="preserve">liečebná </w:t>
      </w:r>
      <w:r w:rsidRPr="004B1278">
        <w:rPr>
          <w:rFonts w:eastAsia="Times New Roman" w:cs="Times New Roman"/>
          <w:sz w:val="22"/>
          <w:szCs w:val="22"/>
          <w:lang w:eastAsia="cs-CZ"/>
        </w:rPr>
        <w:t>odpove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>ď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. U starších </w:t>
      </w:r>
      <w:r w:rsidR="004E473B" w:rsidRPr="004B1278">
        <w:rPr>
          <w:rFonts w:eastAsia="Times New Roman" w:cs="Times New Roman"/>
          <w:sz w:val="22"/>
          <w:szCs w:val="22"/>
          <w:lang w:eastAsia="cs-CZ"/>
        </w:rPr>
        <w:t xml:space="preserve">osôb </w:t>
      </w:r>
      <w:r w:rsidRPr="004B1278">
        <w:rPr>
          <w:rFonts w:eastAsia="Times New Roman" w:cs="Times New Roman"/>
          <w:sz w:val="22"/>
          <w:szCs w:val="22"/>
          <w:lang w:eastAsia="cs-CZ"/>
        </w:rPr>
        <w:t>nie je nutné upravovať dávku.</w:t>
      </w:r>
    </w:p>
    <w:p w14:paraId="74E9D3EE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1184A565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i/>
          <w:sz w:val="22"/>
          <w:szCs w:val="22"/>
          <w:lang w:eastAsia="cs-CZ"/>
        </w:rPr>
      </w:pPr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>Porucha funkcie obličiek</w:t>
      </w:r>
      <w:bookmarkStart w:id="6" w:name="_GoBack"/>
      <w:bookmarkEnd w:id="6"/>
    </w:p>
    <w:p w14:paraId="28C9BF74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Vplyv poruchy funkcie obličiek na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farmakokinetiku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nebol skúmaný.</w:t>
      </w:r>
    </w:p>
    <w:p w14:paraId="5EC27B9D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Úprava dávkovania u pacientov s poruchou funkcie obličiek sa nepredpokladá (pozri časť 5.2).</w:t>
      </w:r>
    </w:p>
    <w:p w14:paraId="49745483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660D11E5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i/>
          <w:sz w:val="22"/>
          <w:szCs w:val="22"/>
          <w:lang w:eastAsia="cs-CZ"/>
        </w:rPr>
      </w:pPr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>Porucha funkcie pečene</w:t>
      </w:r>
    </w:p>
    <w:p w14:paraId="1E74728F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Vplyv poruchy funkcie pečene na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farmakokinetiku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nebol skúmaný, preto je potrebné venovať zvýšenú opatrnosť u pacientov s ľahkou a stredne ťažkou poruchou funkcie pečene (pozri časti 4.4 a 5.2). U pacientov s ťažkou poruchou funkcie pečene je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kontraindikovaný (pozri časť 4.3).</w:t>
      </w:r>
    </w:p>
    <w:p w14:paraId="0EDAF398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745B8ECB" w14:textId="38062090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7" w:name="7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4.3.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Kontraindikácie</w:t>
      </w:r>
      <w:bookmarkEnd w:id="7"/>
    </w:p>
    <w:p w14:paraId="4F0DB6D6" w14:textId="77777777" w:rsidR="00325507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77820072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Liek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Dutamon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je kontraindikovaný:</w:t>
      </w:r>
    </w:p>
    <w:p w14:paraId="51581B9C" w14:textId="49F604C4" w:rsidR="0018413F" w:rsidRPr="004B1278" w:rsidRDefault="00DB2AFC" w:rsidP="004B1278">
      <w:pPr>
        <w:pStyle w:val="Standard"/>
        <w:numPr>
          <w:ilvl w:val="0"/>
          <w:numId w:val="6"/>
        </w:numPr>
        <w:ind w:left="426" w:hanging="426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u pacientov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hypersenzitivitou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>liečivo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, na iné inhibítory 5-alfa-reduktázy, sóju, arašidy alebo na ktorúkoľvek 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 xml:space="preserve">z pomocných </w:t>
      </w:r>
      <w:r w:rsidRPr="004B1278">
        <w:rPr>
          <w:rFonts w:eastAsia="Times New Roman" w:cs="Times New Roman"/>
          <w:sz w:val="22"/>
          <w:szCs w:val="22"/>
          <w:lang w:eastAsia="cs-CZ"/>
        </w:rPr>
        <w:t>lát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>ok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 xml:space="preserve">uvedených </w:t>
      </w:r>
      <w:r w:rsidRPr="004B1278">
        <w:rPr>
          <w:rFonts w:eastAsia="Times New Roman" w:cs="Times New Roman"/>
          <w:sz w:val="22"/>
          <w:szCs w:val="22"/>
          <w:lang w:eastAsia="cs-CZ"/>
        </w:rPr>
        <w:t>v časti 6.1;</w:t>
      </w:r>
    </w:p>
    <w:p w14:paraId="3C2815CD" w14:textId="77777777" w:rsidR="0018413F" w:rsidRPr="004B1278" w:rsidRDefault="00DB2AFC" w:rsidP="004B1278">
      <w:pPr>
        <w:pStyle w:val="Standard"/>
        <w:numPr>
          <w:ilvl w:val="0"/>
          <w:numId w:val="6"/>
        </w:numPr>
        <w:ind w:left="426" w:hanging="426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u žien, detí a dospievajúcich (pozri časť 4.6);</w:t>
      </w:r>
    </w:p>
    <w:p w14:paraId="5C2C0ADB" w14:textId="56B2CA7F" w:rsidR="00325507" w:rsidRPr="004B1278" w:rsidRDefault="00DB2AFC" w:rsidP="004B1278">
      <w:pPr>
        <w:pStyle w:val="Standard"/>
        <w:numPr>
          <w:ilvl w:val="0"/>
          <w:numId w:val="6"/>
        </w:numPr>
        <w:ind w:left="426" w:hanging="426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u pacientov s ťažkou poruchou funkcie pečene.</w:t>
      </w:r>
    </w:p>
    <w:p w14:paraId="240F4D32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6D2291CC" w14:textId="77777777" w:rsidR="0018413F" w:rsidRPr="004B1278" w:rsidRDefault="00DB2AFC" w:rsidP="004B1278">
      <w:pPr>
        <w:pStyle w:val="Standard"/>
        <w:numPr>
          <w:ilvl w:val="1"/>
          <w:numId w:val="4"/>
        </w:numPr>
        <w:ind w:left="0" w:firstLine="0"/>
        <w:rPr>
          <w:rFonts w:eastAsia="Times New Roman" w:cs="Times New Roman"/>
          <w:b/>
          <w:bCs/>
          <w:sz w:val="22"/>
          <w:szCs w:val="22"/>
          <w:lang w:eastAsia="cs-CZ"/>
        </w:rPr>
      </w:pP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Osobitné</w:t>
      </w:r>
      <w:bookmarkStart w:id="8" w:name="8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 xml:space="preserve"> upozornenia a opatrenia pri používaní</w:t>
      </w:r>
      <w:bookmarkEnd w:id="8"/>
    </w:p>
    <w:p w14:paraId="62402469" w14:textId="7DF5B82B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Kombinovaná terapia </w:t>
      </w:r>
      <w:r w:rsidR="003C0075" w:rsidRPr="004B1278">
        <w:rPr>
          <w:rFonts w:eastAsia="Times New Roman" w:cs="Times New Roman"/>
          <w:sz w:val="22"/>
          <w:szCs w:val="22"/>
          <w:lang w:eastAsia="cs-CZ"/>
        </w:rPr>
        <w:t>má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byť predpisovaná po zvážení jej prínosu a možného rizika, vzhľadom 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 xml:space="preserve">na 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zvýšené 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 xml:space="preserve">riziko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výskytu nežiaducich účinkov (vrátane srdcového zlyhania) a tiež po zvážení alternatívnych možností liečby, vrátane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monoterapie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(pozri časť 4.2).</w:t>
      </w:r>
    </w:p>
    <w:p w14:paraId="0942D2B5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51C1C029" w14:textId="77777777" w:rsidR="0018413F" w:rsidRPr="004B1278" w:rsidRDefault="00DB2AFC" w:rsidP="004B1278">
      <w:pPr>
        <w:pStyle w:val="Standard"/>
        <w:rPr>
          <w:rFonts w:eastAsia="Times New Roman" w:cs="Times New Roman"/>
          <w:i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sz w:val="22"/>
          <w:szCs w:val="22"/>
          <w:lang w:eastAsia="cs-CZ"/>
        </w:rPr>
        <w:t xml:space="preserve">Rakovina prostaty a </w:t>
      </w:r>
      <w:proofErr w:type="spellStart"/>
      <w:r w:rsidRPr="004B1278">
        <w:rPr>
          <w:rFonts w:eastAsia="Times New Roman" w:cs="Times New Roman"/>
          <w:i/>
          <w:sz w:val="22"/>
          <w:szCs w:val="22"/>
          <w:lang w:eastAsia="cs-CZ"/>
        </w:rPr>
        <w:t>high-grade</w:t>
      </w:r>
      <w:proofErr w:type="spellEnd"/>
      <w:r w:rsidRPr="004B1278">
        <w:rPr>
          <w:rFonts w:eastAsia="Times New Roman" w:cs="Times New Roman"/>
          <w:i/>
          <w:sz w:val="22"/>
          <w:szCs w:val="22"/>
          <w:lang w:eastAsia="cs-CZ"/>
        </w:rPr>
        <w:t xml:space="preserve"> tumory</w:t>
      </w:r>
      <w:r w:rsidRPr="004B1278">
        <w:rPr>
          <w:rFonts w:eastAsia="Times New Roman" w:cs="Times New Roman"/>
          <w:i/>
          <w:sz w:val="22"/>
          <w:szCs w:val="22"/>
          <w:lang w:eastAsia="cs-CZ"/>
        </w:rPr>
        <w:tab/>
      </w:r>
    </w:p>
    <w:p w14:paraId="10F5D3F1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Štúdia REDUCE, 4-ročná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multicentrická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randomizovaná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dvojito zaslepená, placebom kontrolovaná štúdia, skúmala účinok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0,5 mg denne u pacientov s vysokým rizikom rakoviny prostaty (zahŕňala mužov vo veku 50 až 75 rokov s hladinou PSA 2,5 až 10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 a negatívnou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biopsiou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prostaty 6 mesiacov pred zaradením do štúdie) v porovnaní s placebom. Výsledky tejto štúdie ukázali vyššiu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incidenciu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rakoviny prostaty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8-10 u mužov liečených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(n = 29, 0,9 %) v porovnaní s placebom (n = 19, 0,6 %). Vzťah medzi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rakovinou prostaty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8-10 nie je zatiaľ objasnený. Muži užívajúci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majú byť pravidelne vyšetrovaní s ohľadom na rakovinu prostaty (pozri časť 5.1)</w:t>
      </w:r>
    </w:p>
    <w:p w14:paraId="76B3298A" w14:textId="77777777" w:rsidR="001A4E40" w:rsidRPr="004B1278" w:rsidRDefault="001A4E40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4D12D829" w14:textId="77777777" w:rsidR="00EF002B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Prostatický</w:t>
      </w:r>
      <w:proofErr w:type="spellEnd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 špecifický antigén (PSA)</w:t>
      </w:r>
    </w:p>
    <w:p w14:paraId="524D7EA7" w14:textId="4A7A8E36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Významnou súčasťou dôkazu rakoviny prostaty je koncentrácia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prostatického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špecifického antigénu (PSA) v sére.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spôsobuje pokles stredných koncentrácií PSA v sére po 6-mesačnej liečbe približne o 50 %.</w:t>
      </w:r>
    </w:p>
    <w:p w14:paraId="11062B66" w14:textId="77777777" w:rsidR="00325507" w:rsidRPr="004B1278" w:rsidRDefault="00325507" w:rsidP="004B1278">
      <w:pPr>
        <w:pStyle w:val="Standard"/>
        <w:rPr>
          <w:rFonts w:cs="Times New Roman"/>
          <w:sz w:val="22"/>
          <w:szCs w:val="22"/>
        </w:rPr>
      </w:pPr>
    </w:p>
    <w:p w14:paraId="0200BFB0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Pacienti užívajúci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majú mať stanovenú novú východiskovú hodnotu PSA po 6- mesačnej liečbe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. Potom sa odporúča hodnoty PSA pravidelne monitorovať. Každé potvrdené zvýšenie koncentrácie PSA v sére od najnižšej hodnoty počas liečby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môže signalizovať prítomnosť rakoviny prostaty (hlavne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high-grade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nádorov) alebo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noncompliance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pacienta pri liečbe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, a je potrebné ho  pozorne vyhodnotiť, a to aj v prípade, ak sú hodnoty stále ešte v rozmedzí normálnych hodnôt pre mužov neužívajúcich inhibítor 5-</w:t>
      </w:r>
      <w:r w:rsidRPr="004B1278">
        <w:rPr>
          <w:rFonts w:eastAsia="Symbol" w:cs="Times New Roman"/>
          <w:spacing w:val="8"/>
          <w:w w:val="102"/>
          <w:sz w:val="22"/>
          <w:szCs w:val="22"/>
        </w:rPr>
        <w:t>alfa-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reduktázy (pozri časť 5.1). Pri interpretácii hodnôt PSA u pacientov užívajúcich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je potrebné pre porovnanie skontrolovať predchádzajúce hodnoty PSA.</w:t>
      </w:r>
    </w:p>
    <w:p w14:paraId="34BBA3B3" w14:textId="77777777" w:rsidR="00325507" w:rsidRPr="004B1278" w:rsidRDefault="00325507" w:rsidP="004B1278">
      <w:pPr>
        <w:pStyle w:val="Standard"/>
        <w:rPr>
          <w:rFonts w:cs="Times New Roman"/>
          <w:sz w:val="22"/>
          <w:szCs w:val="22"/>
        </w:rPr>
      </w:pPr>
    </w:p>
    <w:p w14:paraId="71C66F71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Liečba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nenarušuje použitie PSA ako pomocného nástroja pri stanovení diagnózy rakoviny prostaty, po stanovení nových hodnôt PSA.</w:t>
      </w:r>
    </w:p>
    <w:p w14:paraId="3456CA5D" w14:textId="77777777" w:rsidR="00CA197B" w:rsidRPr="004B1278" w:rsidRDefault="00CA197B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64AE3E35" w14:textId="56A743C1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Celkové koncentrácie PSA v sére sa do 6 mesiacov po prerušení terapie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vracajú k východiskovým hodnotám pred začiatkom tejto terapie. Pomer voľného k viazanému PSA zostáva konštantný i pod vplyvom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. Pokiaľ lekári, ako prostriedok k </w:t>
      </w:r>
      <w:r w:rsidR="001046EE" w:rsidRPr="004B1278">
        <w:rPr>
          <w:rFonts w:eastAsia="Times New Roman" w:cs="Times New Roman"/>
          <w:sz w:val="22"/>
          <w:szCs w:val="22"/>
          <w:lang w:eastAsia="cs-CZ"/>
        </w:rPr>
        <w:t>odhaleniu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rakoviny prostaty u mužov liečených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určia percento voľného PSA, nie je nutné túto hodnotu upravovať.</w:t>
      </w:r>
    </w:p>
    <w:p w14:paraId="009E2509" w14:textId="77777777" w:rsidR="00CA197B" w:rsidRPr="004B1278" w:rsidRDefault="00CA197B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0B956746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Pred zahájením terapie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a potom pravidelne v jej priebehu sa musí u pacientov vykonať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rektálne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vyšetrenie a ďalšie vyšetrenie na rakovinu prostaty.</w:t>
      </w:r>
    </w:p>
    <w:p w14:paraId="2542605B" w14:textId="77777777" w:rsidR="001D73A9" w:rsidRPr="004B1278" w:rsidRDefault="001D73A9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7E774D29" w14:textId="77777777" w:rsidR="0018413F" w:rsidRPr="004B1278" w:rsidRDefault="00DB2AFC" w:rsidP="004B1278">
      <w:pPr>
        <w:pStyle w:val="Standard"/>
        <w:rPr>
          <w:rFonts w:eastAsia="Times New Roman" w:cs="Times New Roman"/>
          <w:i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sz w:val="22"/>
          <w:szCs w:val="22"/>
          <w:lang w:eastAsia="cs-CZ"/>
        </w:rPr>
        <w:t>Kardiovaskulárne nežiaduce účinky</w:t>
      </w:r>
    </w:p>
    <w:p w14:paraId="41D81063" w14:textId="69DF2B56" w:rsidR="0018413F" w:rsidRPr="004B1278" w:rsidRDefault="00DB2AFC" w:rsidP="004B1278">
      <w:pPr>
        <w:pStyle w:val="Standard"/>
        <w:rPr>
          <w:rFonts w:cs="Times New Roman"/>
          <w:sz w:val="22"/>
          <w:szCs w:val="22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dvoch 4-ročných klinických štúdiách bol výskyt srdcového zlyhania (spoločný výraz zahŕňajúci zaznamenané  príhody, hlavne srdcového zlyhania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kongestívneho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srdcového zlyhania) hranične vyšší medzi jednotlivcami užívajúcimi kombináciu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alfa-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blokátoru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hlavne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</w:t>
      </w:r>
      <w:r w:rsidR="001A4E40" w:rsidRPr="004B1278">
        <w:rPr>
          <w:rFonts w:eastAsia="Times New Roman" w:cs="Times New Roman"/>
          <w:sz w:val="22"/>
          <w:szCs w:val="22"/>
          <w:lang w:eastAsia="cs-CZ"/>
        </w:rPr>
        <w:t xml:space="preserve">ako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medzi jednotlivcami, ktorí túto kombináciu neužívali. Ale výskyt srdcového zlyhania v týchto štúdiách bol nižší vo všetkých aktívne liečených skupinách v porovnaní so skupinou s placebom a ďalšie údaje, ktoré sú k dispozícii pre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alebo alfa-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blokátor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, nepodporujú záver o zvýšených kardiovaskulárnych rizikách (pozri časť 5.1).</w:t>
      </w:r>
    </w:p>
    <w:p w14:paraId="340DF183" w14:textId="77777777" w:rsidR="001A4E40" w:rsidRPr="004B1278" w:rsidRDefault="001A4E40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15F704FC" w14:textId="77777777" w:rsidR="0018413F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Neoplázia</w:t>
      </w:r>
      <w:proofErr w:type="spellEnd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 prsníkov</w:t>
      </w:r>
    </w:p>
    <w:p w14:paraId="4086FB95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lastRenderedPageBreak/>
        <w:t xml:space="preserve">U mužov užívajúcich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klinických štúdiách, a po uvedení lieku na trh, bol vzácne hlásený výskyt rakoviny prsníka. Epidemiologické štúdie však nepreukázali žiadne zvýšenie rizika vzniku rakoviny  prsníka u mužov pri použití inhibítorov 5-alfa-reduktázy (pozri časť 5.1). Lekári majú poučiť svojich pacientov, aby akékoľvek zmeny v tkanive prsníka, ako sú hrčky alebo výtok z bradaviek, okamžite nahlásili.</w:t>
      </w:r>
    </w:p>
    <w:p w14:paraId="156E5A46" w14:textId="77777777" w:rsidR="001A4E40" w:rsidRPr="004B1278" w:rsidRDefault="001A4E40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</w:p>
    <w:p w14:paraId="251305DD" w14:textId="77777777" w:rsidR="00C048FC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Presakujúce kapsuly</w:t>
      </w:r>
    </w:p>
    <w:p w14:paraId="4589EC6C" w14:textId="2ED8A670" w:rsidR="0018413F" w:rsidRPr="004B1278" w:rsidRDefault="00DB2AFC" w:rsidP="004B1278">
      <w:pPr>
        <w:pStyle w:val="Standard"/>
        <w:rPr>
          <w:rFonts w:cs="Times New Roman"/>
          <w:sz w:val="22"/>
          <w:szCs w:val="22"/>
        </w:rPr>
      </w:pP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sa vstrebáva kožou, preto je nutné zabrániť kontaktu žien, detí a dospievajúcich s presakujúcimi kapsulami (pozri časť 4.6). Ak dôjde k styku s presakujúcimi kapsulami, </w:t>
      </w:r>
      <w:r w:rsidR="001A4E40" w:rsidRPr="004B1278">
        <w:rPr>
          <w:rFonts w:eastAsia="Times New Roman" w:cs="Times New Roman"/>
          <w:sz w:val="22"/>
          <w:szCs w:val="22"/>
          <w:lang w:eastAsia="cs-CZ"/>
        </w:rPr>
        <w:t>postihnutú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oblasť ihneď umyte vodou a mydlom.</w:t>
      </w:r>
    </w:p>
    <w:p w14:paraId="573FBF87" w14:textId="77777777" w:rsidR="001A4E40" w:rsidRPr="004B1278" w:rsidRDefault="001A4E40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</w:p>
    <w:p w14:paraId="1190AA38" w14:textId="77777777" w:rsidR="00EF002B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Porucha funkcie pečene</w:t>
      </w:r>
    </w:p>
    <w:p w14:paraId="43A38525" w14:textId="75DEDE63" w:rsidR="0018413F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nebol skúmaný u pacientov s ochorením pečene. Pri podávaní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pacientom s ľahkou až stredne ťažkou poruchou funkcie pečene je nutná opatrnosť (pozri časť 4.2, 4.3 a 5.2).</w:t>
      </w:r>
    </w:p>
    <w:p w14:paraId="3AFCBDF8" w14:textId="77777777" w:rsidR="001A4E40" w:rsidRPr="004B1278" w:rsidRDefault="001A4E40" w:rsidP="004B1278">
      <w:pPr>
        <w:pStyle w:val="Standard"/>
        <w:rPr>
          <w:rFonts w:eastAsia="Times New Roman" w:cs="Times New Roman"/>
          <w:w w:val="102"/>
          <w:sz w:val="22"/>
          <w:szCs w:val="22"/>
        </w:rPr>
      </w:pPr>
    </w:p>
    <w:p w14:paraId="0D10970F" w14:textId="77777777" w:rsidR="0018413F" w:rsidRPr="004B1278" w:rsidRDefault="00DB2AFC" w:rsidP="004B1278">
      <w:pPr>
        <w:pStyle w:val="Standard"/>
        <w:rPr>
          <w:rFonts w:cs="Times New Roman"/>
          <w:sz w:val="22"/>
          <w:szCs w:val="22"/>
        </w:rPr>
      </w:pPr>
      <w:r w:rsidRPr="004B1278">
        <w:rPr>
          <w:rFonts w:eastAsia="Times New Roman" w:cs="Times New Roman"/>
          <w:w w:val="102"/>
          <w:sz w:val="22"/>
          <w:szCs w:val="22"/>
        </w:rPr>
        <w:t>Lecitín pochádzajúci zo sóje môže obsahovať sójový proteín. Lecitín (sójový) môže byť preto alergénom pre pacientov s </w:t>
      </w:r>
      <w:proofErr w:type="spellStart"/>
      <w:r w:rsidRPr="004B1278">
        <w:rPr>
          <w:rFonts w:eastAsia="Times New Roman" w:cs="Times New Roman"/>
          <w:w w:val="102"/>
          <w:sz w:val="22"/>
          <w:szCs w:val="22"/>
        </w:rPr>
        <w:t>hypersenzitivitou</w:t>
      </w:r>
      <w:proofErr w:type="spellEnd"/>
      <w:r w:rsidRPr="004B1278">
        <w:rPr>
          <w:rFonts w:eastAsia="Times New Roman" w:cs="Times New Roman"/>
          <w:w w:val="102"/>
          <w:sz w:val="22"/>
          <w:szCs w:val="22"/>
        </w:rPr>
        <w:t xml:space="preserve"> na sóju.</w:t>
      </w:r>
    </w:p>
    <w:p w14:paraId="507FC442" w14:textId="77777777" w:rsidR="0018413F" w:rsidRPr="004B1278" w:rsidRDefault="0018413F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</w:p>
    <w:p w14:paraId="5098FF74" w14:textId="74C7F3C2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9" w:name="9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4.5.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Liekové a iné interakcie</w:t>
      </w:r>
      <w:bookmarkEnd w:id="9"/>
    </w:p>
    <w:p w14:paraId="188CD910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Informácie o poklese koncentrácie PSA v sére počas terapie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odporúčania týkajúce sa detekcie rakoviny prostaty (pozri časť 4.4).</w:t>
      </w:r>
    </w:p>
    <w:p w14:paraId="6E6FFF12" w14:textId="77777777" w:rsidR="000F3635" w:rsidRPr="004B1278" w:rsidRDefault="000F3635" w:rsidP="004B1278">
      <w:pPr>
        <w:pStyle w:val="Standard"/>
        <w:rPr>
          <w:rFonts w:eastAsia="Times New Roman" w:cs="Times New Roman"/>
          <w:bCs/>
          <w:i/>
          <w:sz w:val="22"/>
          <w:szCs w:val="22"/>
          <w:lang w:eastAsia="cs-CZ"/>
        </w:rPr>
      </w:pPr>
    </w:p>
    <w:p w14:paraId="59994196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i/>
          <w:sz w:val="22"/>
          <w:szCs w:val="22"/>
          <w:lang w:eastAsia="cs-CZ"/>
        </w:rPr>
      </w:pPr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 xml:space="preserve">Vplyvy iných liekov na </w:t>
      </w:r>
      <w:proofErr w:type="spellStart"/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>farmakokinetiku</w:t>
      </w:r>
      <w:proofErr w:type="spellEnd"/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>dutasteridu</w:t>
      </w:r>
      <w:proofErr w:type="spellEnd"/>
    </w:p>
    <w:p w14:paraId="4DFF762D" w14:textId="77777777" w:rsidR="00CA197B" w:rsidRPr="004B1278" w:rsidRDefault="00CA197B" w:rsidP="004B1278">
      <w:pPr>
        <w:pStyle w:val="Standard"/>
        <w:rPr>
          <w:rFonts w:eastAsia="Times New Roman" w:cs="Times New Roman"/>
          <w:bCs/>
          <w:i/>
          <w:sz w:val="22"/>
          <w:szCs w:val="22"/>
          <w:lang w:eastAsia="cs-CZ"/>
        </w:rPr>
      </w:pPr>
    </w:p>
    <w:p w14:paraId="5C65871F" w14:textId="77777777" w:rsidR="00CA197B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Súčasné podávanie </w:t>
      </w: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 s inhibítormi CYP3A4 a/alebo inhibítormi P-</w:t>
      </w: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glykoproteínu</w:t>
      </w:r>
      <w:proofErr w:type="spellEnd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:</w:t>
      </w:r>
    </w:p>
    <w:p w14:paraId="6775EEA2" w14:textId="3DFD8F59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br/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je eliminovaný hlavne metabolizmom. Štúdie </w:t>
      </w:r>
      <w:r w:rsidRPr="004B1278">
        <w:rPr>
          <w:rFonts w:eastAsia="Times New Roman" w:cs="Times New Roman"/>
          <w:i/>
          <w:sz w:val="22"/>
          <w:szCs w:val="22"/>
          <w:lang w:eastAsia="cs-CZ"/>
        </w:rPr>
        <w:t>in vitro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naznačujú, že tento metabolizmus je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katalyzovaný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izoenzýmami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CYP3A4 a CYP3A5. Formálne interakčné štúdie </w:t>
      </w:r>
      <w:r w:rsidR="001046EE" w:rsidRPr="004B1278">
        <w:rPr>
          <w:rFonts w:eastAsia="Times New Roman" w:cs="Times New Roman"/>
          <w:sz w:val="22"/>
          <w:szCs w:val="22"/>
          <w:lang w:eastAsia="cs-CZ"/>
        </w:rPr>
        <w:t xml:space="preserve">so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silnými inhibítormi CYP3A4 sa neuskutočnili. V populačnej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farmakokinetickej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štúdii však boli u malého počtu pacientov liečených súčasne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verapamilom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alebo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diltiazemom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(stredne silnými inhibítormi CYP3A4 a inhibítormi P-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glykoproteinu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 zaznamenané priemerne 1,6-násobne (pri súčasnej liečbe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verapamilom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 až 1,8-násobne (pri súčasnej liečbe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diltiazemom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 vyššie koncentrácie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sére </w:t>
      </w:r>
      <w:r w:rsidR="001046EE" w:rsidRPr="004B1278">
        <w:rPr>
          <w:rFonts w:eastAsia="Times New Roman" w:cs="Times New Roman"/>
          <w:sz w:val="22"/>
          <w:szCs w:val="22"/>
          <w:lang w:eastAsia="cs-CZ"/>
        </w:rPr>
        <w:t xml:space="preserve">ako </w:t>
      </w:r>
      <w:r w:rsidRPr="004B1278">
        <w:rPr>
          <w:rFonts w:eastAsia="Times New Roman" w:cs="Times New Roman"/>
          <w:sz w:val="22"/>
          <w:szCs w:val="22"/>
          <w:lang w:eastAsia="cs-CZ"/>
        </w:rPr>
        <w:t>u ostatných pacientov.</w:t>
      </w:r>
    </w:p>
    <w:p w14:paraId="43711011" w14:textId="77777777" w:rsidR="00CA197B" w:rsidRPr="004B1278" w:rsidRDefault="00CA197B" w:rsidP="004B1278">
      <w:pPr>
        <w:pStyle w:val="Standard"/>
        <w:rPr>
          <w:rFonts w:cs="Times New Roman"/>
          <w:sz w:val="22"/>
          <w:szCs w:val="22"/>
        </w:rPr>
      </w:pPr>
    </w:p>
    <w:p w14:paraId="3250A035" w14:textId="29968344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Dlhodobé súčasné podávanie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 liekmi, ktoré sú silnými inhibítormi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izoenzýmu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CYP3A4 (napr.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ritonavir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indinavir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nefazodon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itrakonazol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perorálne podávaný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ketokonazol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), môže zvýšiť sérové koncentrácie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. Pri zvýšenej expozícii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nie je vyššia inhibícia 5-alfa-reduktázy pravdepodobná. Ak sú pozorované nežiaduce účinky, má sa zvážiť zníženie frekvencie dávkovania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 Je treba poznamenať, že v prípade inhibície enzýmu sa dlhý polčas môže ešte viac predlžiť a môže trvať viac ako 6 mesiacov súbežnej terapie, kým sa dosiahne nov</w:t>
      </w:r>
      <w:r w:rsidR="001046EE" w:rsidRPr="004B1278">
        <w:rPr>
          <w:rFonts w:eastAsia="Times New Roman" w:cs="Times New Roman"/>
          <w:sz w:val="22"/>
          <w:szCs w:val="22"/>
          <w:lang w:eastAsia="cs-CZ"/>
        </w:rPr>
        <w:t>ý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r w:rsidR="001046EE" w:rsidRPr="004B1278">
        <w:rPr>
          <w:rFonts w:eastAsia="Times New Roman" w:cs="Times New Roman"/>
          <w:sz w:val="22"/>
          <w:szCs w:val="22"/>
          <w:lang w:eastAsia="cs-CZ"/>
        </w:rPr>
        <w:t xml:space="preserve">ustálený </w:t>
      </w:r>
      <w:r w:rsidRPr="004B1278">
        <w:rPr>
          <w:rFonts w:eastAsia="Times New Roman" w:cs="Times New Roman"/>
          <w:sz w:val="22"/>
          <w:szCs w:val="22"/>
          <w:lang w:eastAsia="cs-CZ"/>
        </w:rPr>
        <w:t>stav.</w:t>
      </w:r>
    </w:p>
    <w:p w14:paraId="638221A2" w14:textId="77777777" w:rsidR="00CA197B" w:rsidRPr="004B1278" w:rsidRDefault="00CA197B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5A1EE58C" w14:textId="12512C4E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Pod</w:t>
      </w:r>
      <w:r w:rsidR="00CA197B" w:rsidRPr="004B1278">
        <w:rPr>
          <w:rFonts w:eastAsia="Times New Roman" w:cs="Times New Roman"/>
          <w:sz w:val="22"/>
          <w:szCs w:val="22"/>
          <w:lang w:eastAsia="cs-CZ"/>
        </w:rPr>
        <w:t>áv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anie 12 g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cholestyramínu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hodinu po podaní 5mg jednorazovej dávky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farmakokinetiku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neovplyvnilo.</w:t>
      </w:r>
    </w:p>
    <w:p w14:paraId="6E5912F5" w14:textId="77777777" w:rsidR="000F3635" w:rsidRPr="004B1278" w:rsidRDefault="000F3635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</w:p>
    <w:p w14:paraId="312B6424" w14:textId="35DF5CFA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Vplyvy </w:t>
      </w: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 na </w:t>
      </w: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farmakokinetiku</w:t>
      </w:r>
      <w:proofErr w:type="spellEnd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 iných liekov</w:t>
      </w: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br/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nemá vplyv na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farmakokinetiku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warfarínu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alebo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digoxínu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. To poukazuje na to, že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neinhibuje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/neindukuje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izoenzým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CYP2C9 alebo transportér P-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glykoproteínu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. Interakčné štúdie </w:t>
      </w:r>
      <w:r w:rsidRPr="004B1278">
        <w:rPr>
          <w:rFonts w:eastAsia="Times New Roman" w:cs="Times New Roman"/>
          <w:i/>
          <w:sz w:val="22"/>
          <w:szCs w:val="22"/>
          <w:lang w:eastAsia="cs-CZ"/>
        </w:rPr>
        <w:t>in vitro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ukazujú, že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neinhibuje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izoenzýmy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CYP1A2, CYP2D6, CYP2C9, CYP2C19 alebo CYP3A4.</w:t>
      </w:r>
    </w:p>
    <w:p w14:paraId="36223287" w14:textId="77777777" w:rsidR="00CA197B" w:rsidRPr="004B1278" w:rsidRDefault="00CA197B" w:rsidP="004B1278">
      <w:pPr>
        <w:pStyle w:val="Standard"/>
        <w:rPr>
          <w:rFonts w:cs="Times New Roman"/>
          <w:sz w:val="22"/>
          <w:szCs w:val="22"/>
        </w:rPr>
      </w:pPr>
    </w:p>
    <w:p w14:paraId="68AD83DB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malej (n = 24) dvojtýždňovej štúdii u zdravých mužov,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(0,5 mg denne) neovplyvňoval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farmakokinetiku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alebo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terazosínu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. V tejto štúdii nič nenaznačovalo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farmakodynamickú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interakciu.</w:t>
      </w:r>
    </w:p>
    <w:p w14:paraId="63A84D09" w14:textId="77777777" w:rsidR="0018413F" w:rsidRPr="004B1278" w:rsidRDefault="0018413F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10" w:name="10"/>
    </w:p>
    <w:p w14:paraId="4AA0425D" w14:textId="16DD7405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4.6.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</w:r>
      <w:proofErr w:type="spellStart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Fertilita</w:t>
      </w:r>
      <w:proofErr w:type="spellEnd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, gravidita a</w:t>
      </w:r>
      <w:bookmarkEnd w:id="10"/>
      <w:r w:rsidR="00325507" w:rsidRPr="004B1278">
        <w:rPr>
          <w:rFonts w:eastAsia="Times New Roman" w:cs="Times New Roman"/>
          <w:b/>
          <w:bCs/>
          <w:sz w:val="22"/>
          <w:szCs w:val="22"/>
          <w:lang w:eastAsia="cs-CZ"/>
        </w:rPr>
        <w:t> 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laktácia</w:t>
      </w:r>
    </w:p>
    <w:p w14:paraId="78B8087E" w14:textId="77777777" w:rsidR="00325507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011EB970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Podávanie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ženám je kontraindikované.</w:t>
      </w:r>
    </w:p>
    <w:p w14:paraId="56018970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12BCB463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Gravidita</w:t>
      </w:r>
    </w:p>
    <w:p w14:paraId="6C61045E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Tak ako iné inhibítory 5-alfa-reduktázy,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inhibuje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premenu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testosterónu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dihydrotestosterón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ak je podávaný tehotnej žene s plodom mužského pohlavia, môže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inhibovať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vývoj vonkajších pohlavných orgánov plodu (pozri časť 4.4). U jedincov užívajúcich 0,5 mg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denne bolo zistené malé množstvo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sperme. Nie je známe, či by došlo k nepriaznivému ovplyvneniu plodu mužského pohlavia, ak by jeho matka prišla do styku so spermou pacienta liečeného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(toto riziko je najvyššie v prvých 16 týždňoch tehotenstva).</w:t>
      </w:r>
    </w:p>
    <w:p w14:paraId="60F17DA6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Rovnako ako u všetkých inhibítorov 5-alfa-reduktázy, ak je alebo môže byť pacientova sexuálna partnerka tehotná, odporúča sa, aby pacient zabránil kontaktu svojej partnerky so spermou tým, že bude používať prezervatív.</w:t>
      </w:r>
    </w:p>
    <w:p w14:paraId="2B6E3654" w14:textId="48CE4BAC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Informácie týkajúce sa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preklinických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údajov pozri časť 5.3.</w:t>
      </w:r>
    </w:p>
    <w:p w14:paraId="2D39DAFB" w14:textId="77777777" w:rsidR="00C048FC" w:rsidRPr="004B1278" w:rsidRDefault="00C048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3E26F302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Dojčenie</w:t>
      </w:r>
    </w:p>
    <w:p w14:paraId="774559EE" w14:textId="1F928C54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Nie je známe, či sa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vylučuje do ľudského materského mlieka.</w:t>
      </w:r>
    </w:p>
    <w:p w14:paraId="541E2E62" w14:textId="77777777" w:rsidR="00C048FC" w:rsidRPr="004B1278" w:rsidRDefault="00C048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3A98073B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Fertilita</w:t>
      </w:r>
      <w:proofErr w:type="spellEnd"/>
    </w:p>
    <w:p w14:paraId="755A415D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Bolo hlásené, že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ovplyvňuje u zdravých mužov vlastnosti spermy (zníženie počtu spermií, objem spermy a pohyblivosť spermií) (pozri časť 5.1). Možnosť zníženia mužskej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fertility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nie je možné vylúčiť.</w:t>
      </w:r>
    </w:p>
    <w:p w14:paraId="073D4EB7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228A924F" w14:textId="7B7A695E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11" w:name="11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4.7.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Ovplyvnenie schopnosti</w:t>
      </w:r>
      <w:bookmarkEnd w:id="11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 xml:space="preserve"> viesť vozidlá a obsluhovať stroje</w:t>
      </w:r>
    </w:p>
    <w:p w14:paraId="391BAE8D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Na základe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farmakodynamických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vlastností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sa neočakáva, že by terapia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mohla ovplyvňovať schopnosť viesť vozidlá a obsluhovať stroje.</w:t>
      </w:r>
    </w:p>
    <w:p w14:paraId="6C152CC4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7604267E" w14:textId="77777777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12" w:name="12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 xml:space="preserve">4.8. 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Nežiaduce účinky</w:t>
      </w:r>
      <w:bookmarkEnd w:id="12"/>
    </w:p>
    <w:p w14:paraId="03635ABC" w14:textId="77777777" w:rsidR="00325507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1845B6B9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Dutasterid</w:t>
      </w:r>
      <w:proofErr w:type="spellEnd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 xml:space="preserve"> v </w:t>
      </w: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monoterapii</w:t>
      </w:r>
      <w:proofErr w:type="spellEnd"/>
    </w:p>
    <w:p w14:paraId="457F8FEE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2-ročnej placebom kontrolovanej štúdii III. fázy klinického hodnotenia sa nežiaduce účinky vyskytli počas prvého roku liečby približne u 19 % z 2 167 pacientov, ktorí užívali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 Väčšina nežiaducich účinkov bola mierna až stredne závažná a vyskytla sa v oblasti reprodukčného systému. V otvorených rozšírených štúdiách neboli počas ďalších 2 rokov pozorované žiadne zmeny profilu nežiaducich účinkov.</w:t>
      </w:r>
    </w:p>
    <w:p w14:paraId="49C16431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Nasledujúca tabuľka uvádza nežiaduce účinky, ktoré boli zistené v kontrolovaných klinických štúdiách a na základe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postmarketingových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skúseností. Nižšie uvedené nežiaduce účinky z klinických štúdií sú skúšajúcimi posúdené ako nežiaduce účinky súvisiace s liekom (s výskytom rovnajúcim sa 1 % a vyšším), ktoré boli hlásené počas prvého roku terapie, s vyšším výskytom u pacientov liečených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porovnaní s placebom. Nežiaduce účinky z 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postmarketingového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obdobia boli identifikované na základe spontánnych hlásení, preto ich presný výskyt nie je známy.</w:t>
      </w:r>
    </w:p>
    <w:p w14:paraId="7C1D4696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1B2D97A0" w14:textId="3467D351" w:rsidR="00CA197B" w:rsidRPr="004B1278" w:rsidRDefault="00DB2AFC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Veľmi časté (≥1/10); časté (≥1/100 až &lt;1/10); menej časté (≥1/1000 až &lt;1/100); </w:t>
      </w:r>
      <w:r w:rsidR="000F6C47" w:rsidRPr="004B1278">
        <w:rPr>
          <w:rFonts w:eastAsia="Times New Roman" w:cs="Times New Roman"/>
          <w:sz w:val="22"/>
          <w:szCs w:val="22"/>
          <w:lang w:eastAsia="cs-CZ"/>
        </w:rPr>
        <w:t xml:space="preserve">zriedkavé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(≥1/10000 až&lt;1/1000), veľmi </w:t>
      </w:r>
      <w:r w:rsidR="000F6C47" w:rsidRPr="004B1278">
        <w:rPr>
          <w:rFonts w:eastAsia="Times New Roman" w:cs="Times New Roman"/>
          <w:sz w:val="22"/>
          <w:szCs w:val="22"/>
          <w:lang w:eastAsia="cs-CZ"/>
        </w:rPr>
        <w:t>zriedkavé</w:t>
      </w:r>
      <w:r w:rsidRPr="004B1278">
        <w:rPr>
          <w:rFonts w:eastAsia="Times New Roman" w:cs="Times New Roman"/>
          <w:sz w:val="22"/>
          <w:szCs w:val="22"/>
          <w:lang w:eastAsia="cs-CZ"/>
        </w:rPr>
        <w:t>(&lt;1/10000), neznáme (z dostupných údajov nie je možné určiť).</w:t>
      </w:r>
    </w:p>
    <w:p w14:paraId="0E22ACCF" w14:textId="77777777" w:rsidR="00CA197B" w:rsidRPr="004B1278" w:rsidRDefault="00CA197B">
      <w:pPr>
        <w:suppressAutoHyphens w:val="0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br w:type="page"/>
      </w:r>
    </w:p>
    <w:p w14:paraId="4131F3EE" w14:textId="77777777" w:rsidR="0018413F" w:rsidRPr="004B1278" w:rsidRDefault="0018413F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tbl>
      <w:tblPr>
        <w:tblW w:w="907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2"/>
        <w:gridCol w:w="2364"/>
        <w:gridCol w:w="2268"/>
        <w:gridCol w:w="2268"/>
      </w:tblGrid>
      <w:tr w:rsidR="0018413F" w:rsidRPr="004B1278" w14:paraId="3E8D4E26" w14:textId="77777777" w:rsidTr="00C048FC">
        <w:trPr>
          <w:trHeight w:hRule="exact" w:val="330"/>
        </w:trPr>
        <w:tc>
          <w:tcPr>
            <w:tcW w:w="217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E9736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  <w:t>Orgánový systém</w:t>
            </w:r>
          </w:p>
        </w:tc>
        <w:tc>
          <w:tcPr>
            <w:tcW w:w="236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BD467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  <w:t>Nežiaduci účinok</w:t>
            </w:r>
          </w:p>
        </w:tc>
        <w:tc>
          <w:tcPr>
            <w:tcW w:w="4536" w:type="dxa"/>
            <w:gridSpan w:val="2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02877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  <w:t>Výskyt podľa údajov z klinických štúdií</w:t>
            </w:r>
          </w:p>
        </w:tc>
      </w:tr>
      <w:tr w:rsidR="0018413F" w:rsidRPr="004B1278" w14:paraId="15CDA7DB" w14:textId="77777777" w:rsidTr="00C048FC">
        <w:trPr>
          <w:trHeight w:val="473"/>
        </w:trPr>
        <w:tc>
          <w:tcPr>
            <w:tcW w:w="217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BD761" w14:textId="77777777" w:rsidR="0018413F" w:rsidRPr="004B1278" w:rsidRDefault="0018413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27A55" w14:textId="77777777" w:rsidR="0018413F" w:rsidRPr="004B1278" w:rsidRDefault="0018413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BDD68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  <w:t>Výskyt v priebehu 1. roku liečby (n=2167)</w:t>
            </w:r>
          </w:p>
        </w:tc>
        <w:tc>
          <w:tcPr>
            <w:tcW w:w="2268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9A00C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  <w:t>Výskyt v priebehu 2.roku liečby (n=1744)</w:t>
            </w:r>
          </w:p>
        </w:tc>
      </w:tr>
      <w:tr w:rsidR="0018413F" w:rsidRPr="004B1278" w14:paraId="4A4C0D1C" w14:textId="77777777" w:rsidTr="00C048FC">
        <w:trPr>
          <w:trHeight w:hRule="exact" w:val="330"/>
        </w:trPr>
        <w:tc>
          <w:tcPr>
            <w:tcW w:w="2172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D3894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Poruchy reprodukčného systému a prsníkov</w:t>
            </w:r>
          </w:p>
        </w:tc>
        <w:tc>
          <w:tcPr>
            <w:tcW w:w="2364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04C33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Impotencia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*</w:t>
            </w:r>
          </w:p>
        </w:tc>
        <w:tc>
          <w:tcPr>
            <w:tcW w:w="2268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8107B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6,0%</w:t>
            </w:r>
          </w:p>
        </w:tc>
        <w:tc>
          <w:tcPr>
            <w:tcW w:w="2268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CEAE4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1,7%</w:t>
            </w:r>
          </w:p>
        </w:tc>
      </w:tr>
      <w:tr w:rsidR="0018413F" w:rsidRPr="004B1278" w14:paraId="40382F44" w14:textId="77777777" w:rsidTr="00C048FC">
        <w:trPr>
          <w:trHeight w:val="330"/>
        </w:trPr>
        <w:tc>
          <w:tcPr>
            <w:tcW w:w="2172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D4AB" w14:textId="77777777" w:rsidR="0018413F" w:rsidRPr="004B1278" w:rsidRDefault="0018413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9ABC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Ovplyvnené (znížené) libido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*</w:t>
            </w:r>
          </w:p>
        </w:tc>
        <w:tc>
          <w:tcPr>
            <w:tcW w:w="2268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2E661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3,7%</w:t>
            </w:r>
          </w:p>
        </w:tc>
        <w:tc>
          <w:tcPr>
            <w:tcW w:w="2268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CE709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0,6%</w:t>
            </w:r>
          </w:p>
        </w:tc>
      </w:tr>
      <w:tr w:rsidR="0018413F" w:rsidRPr="004B1278" w14:paraId="5DEE3E81" w14:textId="77777777" w:rsidTr="00C048FC">
        <w:trPr>
          <w:trHeight w:val="330"/>
        </w:trPr>
        <w:tc>
          <w:tcPr>
            <w:tcW w:w="2172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A2C3A" w14:textId="77777777" w:rsidR="0018413F" w:rsidRPr="004B1278" w:rsidRDefault="0018413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F95D2" w14:textId="413E23BC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  <w:lang w:val="en-GB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Poruchy ejakulácie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*</w:t>
            </w:r>
            <w:r w:rsidR="001677BC"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val="en-GB" w:eastAsia="es-ES"/>
              </w:rPr>
              <w:t>^</w:t>
            </w:r>
          </w:p>
        </w:tc>
        <w:tc>
          <w:tcPr>
            <w:tcW w:w="2268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37096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1,8%</w:t>
            </w:r>
          </w:p>
        </w:tc>
        <w:tc>
          <w:tcPr>
            <w:tcW w:w="2268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2CF10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0,5%</w:t>
            </w:r>
          </w:p>
        </w:tc>
      </w:tr>
      <w:tr w:rsidR="0018413F" w:rsidRPr="004B1278" w14:paraId="7F08D17C" w14:textId="77777777" w:rsidTr="00C048FC">
        <w:trPr>
          <w:trHeight w:val="960"/>
        </w:trPr>
        <w:tc>
          <w:tcPr>
            <w:tcW w:w="2172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0B35A" w14:textId="77777777" w:rsidR="0018413F" w:rsidRPr="004B1278" w:rsidRDefault="0018413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D37EC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Choroby prsníkov 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+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7235E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1,3%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47D54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1,3%</w:t>
            </w:r>
          </w:p>
        </w:tc>
      </w:tr>
      <w:tr w:rsidR="0018413F" w:rsidRPr="004B1278" w14:paraId="7D2F7322" w14:textId="77777777" w:rsidTr="00C048FC">
        <w:trPr>
          <w:trHeight w:hRule="exact" w:val="541"/>
        </w:trPr>
        <w:tc>
          <w:tcPr>
            <w:tcW w:w="21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97750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Poruchy imunitného systému</w:t>
            </w:r>
          </w:p>
        </w:tc>
        <w:tc>
          <w:tcPr>
            <w:tcW w:w="23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2F5E1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Alergické reakcie zahŕňajúce vyrážku, </w:t>
            </w: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pruritus</w:t>
            </w:r>
            <w:proofErr w:type="spellEnd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urtikáriu</w:t>
            </w:r>
            <w:proofErr w:type="spellEnd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, lokalizovaný edém a </w:t>
            </w: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angioedém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F8CF5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  <w:t>Výskyt odhadovaný z údajov po uvedení na trh</w:t>
            </w:r>
          </w:p>
        </w:tc>
      </w:tr>
      <w:tr w:rsidR="0018413F" w:rsidRPr="004B1278" w14:paraId="392A91D2" w14:textId="77777777" w:rsidTr="00C048FC">
        <w:trPr>
          <w:trHeight w:hRule="exact" w:val="1275"/>
        </w:trPr>
        <w:tc>
          <w:tcPr>
            <w:tcW w:w="217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0E148" w14:textId="77777777" w:rsidR="0018413F" w:rsidRPr="004B1278" w:rsidRDefault="0018413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F396F" w14:textId="77777777" w:rsidR="0018413F" w:rsidRPr="004B1278" w:rsidRDefault="0018413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B2C98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Neznáme</w:t>
            </w:r>
          </w:p>
        </w:tc>
      </w:tr>
      <w:tr w:rsidR="0018413F" w:rsidRPr="004B1278" w14:paraId="20715F99" w14:textId="77777777" w:rsidTr="00C048FC">
        <w:trPr>
          <w:trHeight w:hRule="exact" w:val="330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8ED85" w14:textId="199A660B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Psych</w:t>
            </w:r>
            <w:r w:rsidR="00325507"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i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cké poruchy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CE50E" w14:textId="297564A0" w:rsidR="0018413F" w:rsidRPr="004B1278" w:rsidRDefault="00CA197B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Depresia</w:t>
            </w:r>
          </w:p>
        </w:tc>
        <w:tc>
          <w:tcPr>
            <w:tcW w:w="4536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C067A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Neznáme</w:t>
            </w:r>
          </w:p>
        </w:tc>
      </w:tr>
      <w:tr w:rsidR="0018413F" w:rsidRPr="004B1278" w14:paraId="7E70DD62" w14:textId="77777777" w:rsidTr="00C048FC">
        <w:trPr>
          <w:trHeight w:hRule="exact" w:val="869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D2C00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Poruchy kože a podkožného tkaniva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DD769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Alopécia</w:t>
            </w:r>
            <w:proofErr w:type="spellEnd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 (hlavne strata telesného ochlpenia), </w:t>
            </w: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hypertrichóza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1"/>
              <w:left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DC811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Menej časté</w:t>
            </w:r>
          </w:p>
        </w:tc>
      </w:tr>
      <w:tr w:rsidR="0018413F" w:rsidRPr="004B1278" w14:paraId="1A48C761" w14:textId="77777777" w:rsidTr="00C048FC">
        <w:trPr>
          <w:trHeight w:hRule="exact" w:val="817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9F50F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Poruchy reprodukčného systému a prsníkov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B0F0D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Bolesť a opuch semenníkov</w:t>
            </w:r>
          </w:p>
        </w:tc>
        <w:tc>
          <w:tcPr>
            <w:tcW w:w="4536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D2DF5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Neznáme</w:t>
            </w:r>
          </w:p>
        </w:tc>
      </w:tr>
    </w:tbl>
    <w:p w14:paraId="17FFDE7E" w14:textId="77777777" w:rsidR="00206CAE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* Tieto sexuálne nežiaduce účinky sú spojené s liečbou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(vrátane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monoterapie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kombinovanej liečby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). Tieto nežiaduce účinky môžu pretrvávať aj po ukončení liečby. Úloha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tomto pretrvávaní nie je známa.</w:t>
      </w:r>
    </w:p>
    <w:p w14:paraId="2E5FFEE2" w14:textId="77777777" w:rsidR="00C048FC" w:rsidRPr="004B1278" w:rsidRDefault="00206CAE" w:rsidP="004B1278">
      <w:pPr>
        <w:keepNext/>
        <w:rPr>
          <w:rFonts w:cs="Times New Roman"/>
          <w:iCs/>
          <w:sz w:val="22"/>
          <w:szCs w:val="22"/>
        </w:rPr>
      </w:pPr>
      <w:r w:rsidRPr="004B1278">
        <w:rPr>
          <w:rFonts w:cs="Times New Roman"/>
          <w:iCs/>
          <w:sz w:val="22"/>
          <w:szCs w:val="22"/>
          <w:vertAlign w:val="superscript"/>
        </w:rPr>
        <w:t>^</w:t>
      </w:r>
      <w:r w:rsidRPr="004B1278">
        <w:rPr>
          <w:rFonts w:cs="Times New Roman"/>
          <w:iCs/>
          <w:sz w:val="22"/>
          <w:szCs w:val="22"/>
        </w:rPr>
        <w:t xml:space="preserve"> Zahŕňajú znížený objem spermy.</w:t>
      </w:r>
    </w:p>
    <w:p w14:paraId="751590A1" w14:textId="33C1EBA9" w:rsidR="0018413F" w:rsidRPr="004B1278" w:rsidRDefault="00DB2AFC" w:rsidP="004B1278">
      <w:pPr>
        <w:keepNext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vertAlign w:val="superscript"/>
          <w:lang w:eastAsia="cs-CZ"/>
        </w:rPr>
        <w:t>+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Vrátane citlivosti prsníkov a ich zväčšenia.</w:t>
      </w:r>
    </w:p>
    <w:p w14:paraId="3DC066E6" w14:textId="77777777" w:rsidR="00325507" w:rsidRPr="004B1278" w:rsidRDefault="00325507" w:rsidP="004B1278">
      <w:pPr>
        <w:keepNext/>
        <w:rPr>
          <w:rFonts w:cs="Times New Roman"/>
          <w:iCs/>
          <w:sz w:val="22"/>
          <w:szCs w:val="22"/>
        </w:rPr>
      </w:pPr>
    </w:p>
    <w:p w14:paraId="575A70C4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Dutasterid</w:t>
      </w:r>
      <w:proofErr w:type="spellEnd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 xml:space="preserve"> v kombinácii s alfa-</w:t>
      </w: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blokátorom</w:t>
      </w:r>
      <w:proofErr w:type="spellEnd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tamsulosínom</w:t>
      </w:r>
      <w:proofErr w:type="spellEnd"/>
    </w:p>
    <w:p w14:paraId="43A4E7D8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Údaje zo 4-ročnej klinickej štúdie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CombAT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ktorá porovnávala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dávke 0,5 mg (n=1623)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dávke 0,4 mg (n=1611), podávaný raz denne samostatne a v kombinácii (n=1610), ukázali, že výskyt akýchkoľvek nežiaducich účinkov kvalifikovaných skúšajúcimi ako súvisiace s užívaním lieku počas prvého, druhého, tretieho a štvrtého roku liečby bol 22 %, 6 %, 4 % a 2 % pri kombinovanej liečbe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/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15 %, 6 %, 3 % a 2 % pri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monoterapii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13 %, 5 %, 2 % a 2 % pri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monoterapii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 Vyšší výskyt nežiaducich účinkov v skupine s kombinovanou liečbou počas prvého roku liečby bol spôsobený vyšším výskytom reprodukčných porúch, hlavne porúch ejakulácie, pozorovaných v tejto skupine.</w:t>
      </w:r>
    </w:p>
    <w:p w14:paraId="22741A15" w14:textId="77777777" w:rsidR="00325507" w:rsidRPr="004B1278" w:rsidRDefault="00325507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285F1EBD" w14:textId="53497974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Nasledovné nežiaduce účinky, skúšajúcimi posúdené ako súvisiace s liekom, boli hlásené s výskytom rovnajúcim sa 1 % a vyšším v priebehu prvého roku liečby v štúdii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CombAT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 Výskyt týchto nežiaducich účinkov počas 4 rokov liečby ukazuje n</w:t>
      </w:r>
      <w:r w:rsidR="00325507" w:rsidRPr="004B1278">
        <w:rPr>
          <w:rFonts w:eastAsia="Times New Roman" w:cs="Times New Roman"/>
          <w:sz w:val="22"/>
          <w:szCs w:val="22"/>
          <w:lang w:eastAsia="cs-CZ"/>
        </w:rPr>
        <w:t>a</w:t>
      </w:r>
      <w:r w:rsidRPr="004B1278">
        <w:rPr>
          <w:rFonts w:eastAsia="Times New Roman" w:cs="Times New Roman"/>
          <w:sz w:val="22"/>
          <w:szCs w:val="22"/>
          <w:lang w:eastAsia="cs-CZ"/>
        </w:rPr>
        <w:t>sledujúca tabuľka:</w:t>
      </w:r>
    </w:p>
    <w:tbl>
      <w:tblPr>
        <w:tblW w:w="9082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984"/>
        <w:gridCol w:w="1276"/>
        <w:gridCol w:w="1417"/>
        <w:gridCol w:w="1418"/>
        <w:gridCol w:w="1417"/>
      </w:tblGrid>
      <w:tr w:rsidR="00C95D35" w:rsidRPr="004B1278" w14:paraId="61ECA147" w14:textId="77777777" w:rsidTr="001677BC">
        <w:trPr>
          <w:trHeight w:val="137"/>
        </w:trPr>
        <w:tc>
          <w:tcPr>
            <w:tcW w:w="15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B0742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b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b/>
                <w:color w:val="000000"/>
                <w:sz w:val="22"/>
                <w:szCs w:val="22"/>
                <w:lang w:eastAsia="es-ES"/>
              </w:rPr>
              <w:t>Trieda orgánových</w:t>
            </w:r>
          </w:p>
          <w:p w14:paraId="61C25D92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b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b/>
                <w:color w:val="000000"/>
                <w:sz w:val="22"/>
                <w:szCs w:val="22"/>
                <w:lang w:eastAsia="es-ES"/>
              </w:rPr>
              <w:t>systémov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C87C5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es-ES"/>
              </w:rPr>
              <w:t>Nežiaduci účinok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AF563" w14:textId="2B4D51CF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b/>
                <w:bCs/>
                <w:color w:val="000000"/>
                <w:spacing w:val="2"/>
                <w:w w:val="102"/>
                <w:sz w:val="22"/>
                <w:szCs w:val="22"/>
                <w:lang w:eastAsia="es-ES"/>
              </w:rPr>
              <w:t>Incidencia</w:t>
            </w:r>
            <w:proofErr w:type="spellEnd"/>
            <w:r w:rsidRPr="004B1278">
              <w:rPr>
                <w:rFonts w:eastAsia="Times New Roman" w:cs="Times New Roman"/>
                <w:b/>
                <w:bCs/>
                <w:color w:val="000000"/>
                <w:spacing w:val="2"/>
                <w:w w:val="102"/>
                <w:sz w:val="22"/>
                <w:szCs w:val="22"/>
                <w:lang w:eastAsia="es-ES"/>
              </w:rPr>
              <w:t xml:space="preserve"> v priebehu liečby</w:t>
            </w:r>
          </w:p>
        </w:tc>
      </w:tr>
      <w:tr w:rsidR="00C95D35" w:rsidRPr="004B1278" w14:paraId="57C0A8D1" w14:textId="77777777" w:rsidTr="001677BC">
        <w:trPr>
          <w:trHeight w:val="300"/>
        </w:trPr>
        <w:tc>
          <w:tcPr>
            <w:tcW w:w="1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4135C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77FD9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06FFC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513AD" w14:textId="77777777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rok</w:t>
            </w:r>
            <w:r w:rsidRPr="004B1278">
              <w:rPr>
                <w:rFonts w:eastAsia="Times New Roman" w:cs="Times New Roman"/>
                <w:color w:val="000000"/>
                <w:spacing w:val="2"/>
                <w:sz w:val="22"/>
                <w:szCs w:val="22"/>
                <w:lang w:eastAsia="es-ES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0BAE0" w14:textId="77777777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rok</w:t>
            </w:r>
            <w:r w:rsidRPr="004B1278">
              <w:rPr>
                <w:rFonts w:eastAsia="Times New Roman" w:cs="Times New Roman"/>
                <w:color w:val="000000"/>
                <w:spacing w:val="2"/>
                <w:sz w:val="22"/>
                <w:szCs w:val="22"/>
                <w:lang w:eastAsia="es-ES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2B8F" w14:textId="554F872D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cs="Times New Roman"/>
                <w:sz w:val="22"/>
                <w:szCs w:val="22"/>
              </w:rPr>
              <w:t>rok 4</w:t>
            </w:r>
          </w:p>
        </w:tc>
      </w:tr>
      <w:tr w:rsidR="00C95D35" w:rsidRPr="004B1278" w14:paraId="32703749" w14:textId="77777777" w:rsidTr="001677BC">
        <w:trPr>
          <w:trHeight w:val="300"/>
        </w:trPr>
        <w:tc>
          <w:tcPr>
            <w:tcW w:w="1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943BA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7FC55" w14:textId="77777777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Kombinácia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 (n)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8007A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(n=1610)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7199F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(n=1428)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E9F4F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(n=1283)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CA7" w14:textId="22BF2CD9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(n=1200)</w:t>
            </w:r>
          </w:p>
        </w:tc>
      </w:tr>
      <w:tr w:rsidR="00C95D35" w:rsidRPr="004B1278" w14:paraId="572A500C" w14:textId="77777777" w:rsidTr="001677BC">
        <w:trPr>
          <w:trHeight w:val="300"/>
        </w:trPr>
        <w:tc>
          <w:tcPr>
            <w:tcW w:w="1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5C91C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0E5A0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61CA3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(n=1623)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5A09C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(n=1464)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F6334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(n=1325)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01BB" w14:textId="71939F0C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(n=1200)</w:t>
            </w:r>
          </w:p>
        </w:tc>
      </w:tr>
      <w:tr w:rsidR="00C95D35" w:rsidRPr="004B1278" w14:paraId="1B7D9632" w14:textId="77777777" w:rsidTr="001677BC">
        <w:trPr>
          <w:trHeight w:val="300"/>
        </w:trPr>
        <w:tc>
          <w:tcPr>
            <w:tcW w:w="1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DAFAF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97F73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Tamsulosín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B456E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(n=1611)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3611B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(n=1468)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121FA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(n=1281)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EF5F" w14:textId="5C24BAF4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(n=1112)</w:t>
            </w:r>
          </w:p>
        </w:tc>
      </w:tr>
      <w:tr w:rsidR="00C95D35" w:rsidRPr="004B1278" w14:paraId="37397F66" w14:textId="77777777" w:rsidTr="001677BC">
        <w:trPr>
          <w:trHeight w:val="300"/>
        </w:trPr>
        <w:tc>
          <w:tcPr>
            <w:tcW w:w="1570" w:type="dxa"/>
            <w:vMerge w:val="restart"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7C705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Poruchy nervového systému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ACFE7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Závrat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69686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98910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C2AB6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88E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:rsidRPr="004B1278" w14:paraId="32B31686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93BA1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16595" w14:textId="77777777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Kombinácia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 xml:space="preserve"> 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2D3A8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E954C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24019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DE1" w14:textId="454E2FCA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0,20%</w:t>
            </w:r>
          </w:p>
        </w:tc>
      </w:tr>
      <w:tr w:rsidR="00C95D35" w:rsidRPr="004B1278" w14:paraId="2740EB49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3E999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56108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85090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78A4B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11AE3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240" w14:textId="12024349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</w:tr>
      <w:tr w:rsidR="00C95D35" w:rsidRPr="004B1278" w14:paraId="211BB4F1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F2731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F23D9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Tamsulosín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EF348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7E005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9ED41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0622" w14:textId="45188DB1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0%</w:t>
            </w:r>
          </w:p>
        </w:tc>
      </w:tr>
      <w:tr w:rsidR="00C95D35" w:rsidRPr="004B1278" w14:paraId="241BC24C" w14:textId="77777777" w:rsidTr="001677BC">
        <w:trPr>
          <w:trHeight w:val="300"/>
        </w:trPr>
        <w:tc>
          <w:tcPr>
            <w:tcW w:w="1570" w:type="dxa"/>
            <w:vMerge w:val="restart"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94D61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Poruchy srdca a srdcovej 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A552E" w14:textId="77777777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Srdcové zlyhanie (spoločný výraz)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2C8D5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F8EC8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59528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62F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:rsidRPr="004B1278" w14:paraId="6887B3D4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9A0D2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B6F82" w14:textId="77777777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Kombinácia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19230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20B9C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44727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78C" w14:textId="01C51202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</w:tr>
      <w:tr w:rsidR="00C95D35" w:rsidRPr="004B1278" w14:paraId="6818903D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AB810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414CD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EF841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6B226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D4227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923" w14:textId="2C76C2B4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0%</w:t>
            </w:r>
          </w:p>
        </w:tc>
      </w:tr>
      <w:tr w:rsidR="00C95D35" w:rsidRPr="004B1278" w14:paraId="3FF48E8F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2618F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565EC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Tamsulosín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3C057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68686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9001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B7F" w14:textId="51FA5E18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</w:tr>
      <w:tr w:rsidR="00C95D35" w:rsidRPr="004B1278" w14:paraId="763ED688" w14:textId="77777777" w:rsidTr="001677BC">
        <w:trPr>
          <w:trHeight w:hRule="exact" w:val="381"/>
        </w:trPr>
        <w:tc>
          <w:tcPr>
            <w:tcW w:w="1570" w:type="dxa"/>
            <w:vMerge w:val="restart"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DE07D" w14:textId="68EDCDC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Poruchy reprodukčného systému a prsníkov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DB66" w14:textId="77777777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Impotencia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2B68A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1A7D9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0EFE6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310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:rsidRPr="004B1278" w14:paraId="12276A1F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90635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0012F" w14:textId="77777777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Kombinácia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A516C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6,3%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284E8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1AEF8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8FF" w14:textId="5CF84FA5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0,4%</w:t>
            </w:r>
          </w:p>
        </w:tc>
      </w:tr>
      <w:tr w:rsidR="00C95D35" w:rsidRPr="004B1278" w14:paraId="4A04E90C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EEC46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AF811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B9EB0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5,1%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378D0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EAA37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E84" w14:textId="65F39986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0,3%</w:t>
            </w:r>
          </w:p>
        </w:tc>
      </w:tr>
      <w:tr w:rsidR="00C95D35" w:rsidRPr="004B1278" w14:paraId="2D54ED44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D5949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71CE3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Tamsulosin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C025D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3,3%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371B8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61B5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16C3" w14:textId="33AC64F6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1,1%</w:t>
            </w:r>
          </w:p>
        </w:tc>
      </w:tr>
      <w:tr w:rsidR="00C95D35" w:rsidRPr="004B1278" w14:paraId="5F14194A" w14:textId="77777777" w:rsidTr="001677BC">
        <w:trPr>
          <w:trHeight w:val="327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F1322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DD97D" w14:textId="77777777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Ovplyvnenie (zníženie) </w:t>
            </w: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libida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D7DF4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5E910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C22F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49B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:rsidRPr="004B1278" w14:paraId="3CBCB788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B0D97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52E4D" w14:textId="77777777" w:rsidR="00C95D35" w:rsidRPr="004B1278" w:rsidRDefault="00C95D35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Kombinácia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E0EA5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5,3%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4C581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9BF7B" w14:textId="77777777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42D" w14:textId="7402B806" w:rsidR="00C95D35" w:rsidRPr="004B1278" w:rsidRDefault="00C95D35" w:rsidP="004B1278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0%</w:t>
            </w:r>
          </w:p>
        </w:tc>
      </w:tr>
      <w:tr w:rsidR="00C95D35" w:rsidRPr="004B1278" w14:paraId="4D68BA58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9A982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8B68B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FD5ED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3,8%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EC06F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94C45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D90" w14:textId="62E55815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0%</w:t>
            </w:r>
          </w:p>
        </w:tc>
      </w:tr>
      <w:tr w:rsidR="00C95D35" w:rsidRPr="004B1278" w14:paraId="30705F66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19404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83353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Tamsulosin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5B0C7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2,5%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B698E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D4D52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25" w14:textId="4BFAABE9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</w:tr>
      <w:tr w:rsidR="00C95D35" w:rsidRPr="004B1278" w14:paraId="723F8C1D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9662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E0EA1" w14:textId="4AC72CE8" w:rsidR="00C95D35" w:rsidRPr="004B1278" w:rsidRDefault="00C95D35" w:rsidP="004B1278">
            <w:pPr>
              <w:pStyle w:val="Standard"/>
              <w:ind w:right="-20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Poruchy </w:t>
            </w: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ejakulácie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c</w:t>
            </w:r>
            <w:proofErr w:type="spellEnd"/>
            <w:r w:rsidR="001677BC"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^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43F4F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D8740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7C03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87D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val="cs-CZ" w:eastAsia="es-ES"/>
              </w:rPr>
            </w:pPr>
          </w:p>
        </w:tc>
      </w:tr>
      <w:tr w:rsidR="00C95D35" w:rsidRPr="004B1278" w14:paraId="63CB745A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F2FB9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67100" w14:textId="77777777" w:rsidR="00C95D35" w:rsidRPr="004B1278" w:rsidRDefault="00C95D35" w:rsidP="004B1278">
            <w:pPr>
              <w:pStyle w:val="Standard"/>
              <w:ind w:right="-20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Kombinácia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9C798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9,0%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AEDB4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E0A47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D61" w14:textId="46E5AFD5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</w:tr>
      <w:tr w:rsidR="00C95D35" w:rsidRPr="004B1278" w14:paraId="4C1E5054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B9211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42D4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3C91D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70806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B8149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977" w14:textId="32E03764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0,3%</w:t>
            </w:r>
          </w:p>
        </w:tc>
      </w:tr>
      <w:tr w:rsidR="00C95D35" w:rsidRPr="004B1278" w14:paraId="6E756554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C72DE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F8C03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Tamsulosín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B0F02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2,7%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B70E2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64793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8D6" w14:textId="4E5B6E2D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0,3%</w:t>
            </w:r>
          </w:p>
        </w:tc>
      </w:tr>
      <w:tr w:rsidR="00C95D35" w:rsidRPr="004B1278" w14:paraId="7B20C060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D33B7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5B20B" w14:textId="77777777" w:rsidR="00C95D35" w:rsidRPr="004B1278" w:rsidRDefault="00C95D35" w:rsidP="004B1278">
            <w:pPr>
              <w:pStyle w:val="Standard"/>
              <w:ind w:right="-20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 xml:space="preserve">Poruchy prsníkov 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C438A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7BC34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C0423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3CA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:rsidRPr="004B1278" w14:paraId="3E210A06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12BC5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8F903" w14:textId="77777777" w:rsidR="00C95D35" w:rsidRPr="004B1278" w:rsidRDefault="00C95D35" w:rsidP="004B1278">
            <w:pPr>
              <w:pStyle w:val="Standard"/>
              <w:ind w:right="-20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Kombinácia</w:t>
            </w:r>
            <w:r w:rsidRPr="004B1278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5B6C3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2,1%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14C66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CE509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6BC" w14:textId="0A8BDE82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0,6%</w:t>
            </w:r>
          </w:p>
        </w:tc>
      </w:tr>
      <w:tr w:rsidR="00C95D35" w:rsidRPr="004B1278" w14:paraId="49CC107A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A5549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6817A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1E264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6CB3B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1,2%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F530C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DD50" w14:textId="29D5C6E3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0,7%</w:t>
            </w:r>
          </w:p>
        </w:tc>
      </w:tr>
      <w:tr w:rsidR="00C95D35" w:rsidRPr="004B1278" w14:paraId="27FA3572" w14:textId="77777777" w:rsidTr="001677BC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0EDE4" w14:textId="77777777" w:rsidR="00C95D35" w:rsidRPr="004B1278" w:rsidRDefault="00C95D3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307F1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Tamsulosin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4604C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22D7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88D24" w14:textId="77777777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B2A6" w14:textId="518281AB" w:rsidR="00C95D35" w:rsidRPr="004B1278" w:rsidRDefault="00C95D35" w:rsidP="004B1278">
            <w:pPr>
              <w:pStyle w:val="Standard"/>
              <w:ind w:right="-20"/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</w:pPr>
            <w:r w:rsidRPr="004B1278"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0%</w:t>
            </w:r>
          </w:p>
        </w:tc>
      </w:tr>
    </w:tbl>
    <w:p w14:paraId="6251EEFA" w14:textId="77777777" w:rsidR="008B761C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vertAlign w:val="superscript"/>
          <w:lang w:eastAsia="cs-CZ"/>
        </w:rPr>
        <w:t>a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Kombinácia =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0,5 mg raz denne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0,4 mg raz denne.</w:t>
      </w:r>
      <w:r w:rsidRPr="004B1278">
        <w:rPr>
          <w:rFonts w:eastAsia="Times New Roman" w:cs="Times New Roman"/>
          <w:sz w:val="22"/>
          <w:szCs w:val="22"/>
          <w:lang w:eastAsia="cs-CZ"/>
        </w:rPr>
        <w:br/>
      </w:r>
      <w:r w:rsidRPr="004B1278">
        <w:rPr>
          <w:rFonts w:eastAsia="Times New Roman" w:cs="Times New Roman"/>
          <w:sz w:val="22"/>
          <w:szCs w:val="22"/>
          <w:vertAlign w:val="superscript"/>
          <w:lang w:eastAsia="cs-CZ"/>
        </w:rPr>
        <w:t>b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Spoločný výraz srdcové zlyhanie zahŕňa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kongestívne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zlyhania, srdcové zlyhanie, zlyhanie ľavej srdcovej komory, akútne srdcové zlyhanie,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kardiogénny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šok, akútne zlyhanie ľavej srdcovej komory, zlyhanie pravej srdcovej komory, akútne zlyhanie pravej srdcovej komory,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ventrikulárne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zlyhanie,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kardiopulmonálne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zlyhanie,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kongestívnu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kardiomyopatiu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</w:t>
      </w:r>
    </w:p>
    <w:p w14:paraId="3742D6D9" w14:textId="3711BF27" w:rsidR="008B761C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vertAlign w:val="superscript"/>
          <w:lang w:eastAsia="cs-CZ"/>
        </w:rPr>
        <w:t>c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Tieto sexuálne nežiaduce účinky sú spojené s liečbou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(vrátane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monoterapie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kombinácie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). Tieto nežiaduce účinky môžu pretrvávať aj po ukončení liečby. Úloha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ich pretrvávaní nie je známa.</w:t>
      </w:r>
    </w:p>
    <w:p w14:paraId="44E13127" w14:textId="1A811601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vertAlign w:val="superscript"/>
          <w:lang w:eastAsia="cs-CZ"/>
        </w:rPr>
        <w:t>d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Vrátane citlivosti prsníkov a ich zväčšenia.</w:t>
      </w:r>
    </w:p>
    <w:p w14:paraId="569C49D4" w14:textId="44C92C2C" w:rsidR="00325507" w:rsidRPr="004B1278" w:rsidRDefault="00206CAE" w:rsidP="004B1278">
      <w:pPr>
        <w:keepNext/>
        <w:rPr>
          <w:rFonts w:cs="Times New Roman"/>
          <w:iCs/>
          <w:sz w:val="22"/>
          <w:szCs w:val="22"/>
        </w:rPr>
      </w:pPr>
      <w:r w:rsidRPr="004B1278">
        <w:rPr>
          <w:rFonts w:cs="Times New Roman"/>
          <w:iCs/>
          <w:sz w:val="22"/>
          <w:szCs w:val="22"/>
          <w:vertAlign w:val="superscript"/>
        </w:rPr>
        <w:t>^</w:t>
      </w:r>
      <w:r w:rsidRPr="004B1278">
        <w:rPr>
          <w:rFonts w:cs="Times New Roman"/>
          <w:iCs/>
          <w:sz w:val="22"/>
          <w:szCs w:val="22"/>
        </w:rPr>
        <w:t xml:space="preserve"> Zahŕňajú znížený objem spermy.</w:t>
      </w:r>
    </w:p>
    <w:p w14:paraId="74B07A42" w14:textId="77777777" w:rsidR="00325507" w:rsidRPr="004B1278" w:rsidRDefault="00325507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0E277DBD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Ďalšie údaje</w:t>
      </w:r>
    </w:p>
    <w:p w14:paraId="1C0F6399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Štúdia REDUCE odhalila vyšší výskyt rakoviny prostaty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8-10 u mužov liečených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porovnaní s placebom (pozri časť 4.4 a 5.1). Zatiaľ nebolo určené, či na výsledky tejto štúdie mal vplyv účinok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zníženie objemu prostaty alebo ďalšie faktory súvisiace so štúdiou.</w:t>
      </w:r>
    </w:p>
    <w:p w14:paraId="36ABEF13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156CB74E" w14:textId="7D337CDC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Nasledujúci nežiaduci účinok bol hlásený v klinických </w:t>
      </w:r>
      <w:r w:rsidR="00252A9F" w:rsidRPr="004B1278">
        <w:rPr>
          <w:rFonts w:eastAsia="Times New Roman" w:cs="Times New Roman"/>
          <w:sz w:val="22"/>
          <w:szCs w:val="22"/>
          <w:lang w:eastAsia="cs-CZ"/>
        </w:rPr>
        <w:t>štúdiách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a po uvedení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trh:</w:t>
      </w:r>
    </w:p>
    <w:p w14:paraId="06C0F332" w14:textId="77777777" w:rsidR="0018413F" w:rsidRPr="004B1278" w:rsidRDefault="00DB2AFC" w:rsidP="004B1278">
      <w:pPr>
        <w:pStyle w:val="Standard"/>
        <w:numPr>
          <w:ilvl w:val="0"/>
          <w:numId w:val="5"/>
        </w:numPr>
        <w:ind w:left="284" w:hanging="284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rakovina prsníka u mužov (pozri časť bod 4.4).</w:t>
      </w:r>
    </w:p>
    <w:p w14:paraId="333E800F" w14:textId="77777777" w:rsidR="00252A9F" w:rsidRPr="004B1278" w:rsidRDefault="00252A9F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</w:p>
    <w:p w14:paraId="7FC39071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Hlásenie podozrení na nežiaduce reakcie</w:t>
      </w:r>
    </w:p>
    <w:p w14:paraId="0C894CD2" w14:textId="77777777" w:rsidR="0018413F" w:rsidRPr="004B1278" w:rsidRDefault="00DB2AFC" w:rsidP="004B1278">
      <w:pPr>
        <w:pStyle w:val="Standard"/>
        <w:rPr>
          <w:rFonts w:cs="Times New Roman"/>
          <w:sz w:val="22"/>
          <w:szCs w:val="22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účinky reakcie na </w:t>
      </w:r>
      <w:r w:rsidRPr="004B1278">
        <w:rPr>
          <w:rFonts w:eastAsia="Times New Roman" w:cs="Times New Roman"/>
          <w:sz w:val="22"/>
          <w:szCs w:val="22"/>
          <w:highlight w:val="lightGray"/>
          <w:lang w:eastAsia="cs-CZ"/>
        </w:rPr>
        <w:t xml:space="preserve">národné centrum hlásenia uvedené v </w:t>
      </w:r>
      <w:hyperlink r:id="rId7" w:history="1">
        <w:r w:rsidRPr="004B1278">
          <w:rPr>
            <w:rStyle w:val="Hypertextovprepojenie"/>
            <w:rFonts w:eastAsia="Times New Roman" w:cs="Times New Roman"/>
            <w:sz w:val="22"/>
            <w:szCs w:val="22"/>
            <w:highlight w:val="lightGray"/>
            <w:lang w:eastAsia="cs-CZ"/>
          </w:rPr>
          <w:t>Prílohe V</w:t>
        </w:r>
      </w:hyperlink>
      <w:r w:rsidRPr="004B1278">
        <w:rPr>
          <w:rFonts w:eastAsia="Times New Roman" w:cs="Times New Roman"/>
          <w:sz w:val="22"/>
          <w:szCs w:val="22"/>
          <w:highlight w:val="lightGray"/>
          <w:lang w:eastAsia="cs-CZ"/>
        </w:rPr>
        <w:t>.</w:t>
      </w:r>
    </w:p>
    <w:p w14:paraId="14BB0EFA" w14:textId="77777777" w:rsidR="00996CB4" w:rsidRPr="004B1278" w:rsidRDefault="00996CB4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0A54BAE1" w14:textId="44C54B18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4.9</w:t>
      </w:r>
      <w:bookmarkStart w:id="13" w:name="13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Predávkovanie</w:t>
      </w:r>
      <w:bookmarkEnd w:id="13"/>
    </w:p>
    <w:p w14:paraId="673A501B" w14:textId="77777777" w:rsidR="00996CB4" w:rsidRPr="004B1278" w:rsidRDefault="00996CB4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6F92121E" w14:textId="3B4A008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štúdiách s dobrovoľníkmi boli podávané jednorazové denné dávky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až 40 mg/deň (80-násobok terapeutickej dávky) po dobu 7 dní, bez toho aby sa vyskytli významné problémy s </w:t>
      </w:r>
      <w:r w:rsidRPr="004B1278">
        <w:rPr>
          <w:rFonts w:eastAsia="Times New Roman" w:cs="Times New Roman"/>
          <w:sz w:val="22"/>
          <w:szCs w:val="22"/>
          <w:lang w:eastAsia="cs-CZ"/>
        </w:rPr>
        <w:lastRenderedPageBreak/>
        <w:t xml:space="preserve">bezpečnosťou. V klinických </w:t>
      </w:r>
      <w:r w:rsidR="00252A9F" w:rsidRPr="004B1278">
        <w:rPr>
          <w:rFonts w:eastAsia="Times New Roman" w:cs="Times New Roman"/>
          <w:sz w:val="22"/>
          <w:szCs w:val="22"/>
          <w:lang w:eastAsia="cs-CZ"/>
        </w:rPr>
        <w:t>štúdiách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boli pacientom podávané dávky 5 mg denne po dobu 6 mesiacov bez toho, aby sa vyskytli nejaké ďalšie nežiaduce účinky okrem tých, ktoré boli pozorované pri terapeutických dávkach 0,5 mg denne.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nemá špecifické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antidotum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, a preto sa pri podozrení na predávkovanie má poskytovať primeraná symptomatická a podporná liečba.</w:t>
      </w:r>
    </w:p>
    <w:p w14:paraId="431FF9FE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3CC66B7A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51CDF492" w14:textId="69680A53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14" w:name="14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5.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FARMAKOLOGICKÉ VLASTNOSTI</w:t>
      </w:r>
      <w:bookmarkEnd w:id="14"/>
    </w:p>
    <w:p w14:paraId="7B7A6E69" w14:textId="77777777" w:rsidR="00996CB4" w:rsidRPr="004B1278" w:rsidRDefault="00996CB4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652C5FA0" w14:textId="42ACE77F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15" w:name="15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5.1.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</w:r>
      <w:proofErr w:type="spellStart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Farmakodynamické</w:t>
      </w:r>
      <w:proofErr w:type="spellEnd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 xml:space="preserve"> vlastnosti</w:t>
      </w:r>
      <w:bookmarkEnd w:id="15"/>
    </w:p>
    <w:p w14:paraId="18865A52" w14:textId="77777777" w:rsidR="00996CB4" w:rsidRPr="004B1278" w:rsidRDefault="00996CB4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725D6E1D" w14:textId="0C482FAD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iCs/>
          <w:sz w:val="22"/>
          <w:szCs w:val="22"/>
          <w:lang w:eastAsia="cs-CZ"/>
        </w:rPr>
        <w:t>Farmakoterapeutická</w:t>
      </w:r>
      <w:proofErr w:type="spellEnd"/>
      <w:r w:rsidRPr="004B1278">
        <w:rPr>
          <w:rFonts w:eastAsia="Times New Roman" w:cs="Times New Roman"/>
          <w:iCs/>
          <w:sz w:val="22"/>
          <w:szCs w:val="22"/>
          <w:lang w:eastAsia="cs-CZ"/>
        </w:rPr>
        <w:t xml:space="preserve"> skupina</w:t>
      </w: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: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inhibítory testosterón-5alfa-reduktázy</w:t>
      </w:r>
      <w:r w:rsidR="00996CB4" w:rsidRPr="004B1278">
        <w:rPr>
          <w:rFonts w:eastAsia="Times New Roman" w:cs="Times New Roman"/>
          <w:iCs/>
          <w:sz w:val="22"/>
          <w:szCs w:val="22"/>
          <w:lang w:eastAsia="cs-CZ"/>
        </w:rPr>
        <w:t xml:space="preserve">, </w:t>
      </w:r>
      <w:r w:rsidRPr="004B1278">
        <w:rPr>
          <w:rFonts w:eastAsia="Times New Roman" w:cs="Times New Roman"/>
          <w:iCs/>
          <w:sz w:val="22"/>
          <w:szCs w:val="22"/>
          <w:lang w:eastAsia="cs-CZ"/>
        </w:rPr>
        <w:t>ATC kód: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G04CB02.</w:t>
      </w:r>
    </w:p>
    <w:p w14:paraId="5B430F39" w14:textId="77777777" w:rsidR="004B0064" w:rsidRPr="004B1278" w:rsidRDefault="004B0064" w:rsidP="004B1278">
      <w:pPr>
        <w:pStyle w:val="Standard"/>
        <w:rPr>
          <w:rFonts w:cs="Times New Roman"/>
          <w:sz w:val="22"/>
          <w:szCs w:val="22"/>
        </w:rPr>
      </w:pPr>
    </w:p>
    <w:p w14:paraId="05564B72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znižuje hladiny cirkulujúceho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dihydrotestosteróu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(DHT)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tým,že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inhibuje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izoenzýmy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5-alfa-reduktázy typu 1 a typu 2, ktoré sú zodpovedné za premenu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testosterónu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DHT.</w:t>
      </w:r>
    </w:p>
    <w:p w14:paraId="215C75FC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5A990019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Dutasterid</w:t>
      </w:r>
      <w:proofErr w:type="spellEnd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 xml:space="preserve"> v </w:t>
      </w: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monoterapii</w:t>
      </w:r>
      <w:proofErr w:type="spellEnd"/>
    </w:p>
    <w:p w14:paraId="38357523" w14:textId="77777777" w:rsidR="008B761C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Účinok na DHT/</w:t>
      </w: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testosterón</w:t>
      </w:r>
      <w:proofErr w:type="spellEnd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:</w:t>
      </w:r>
    </w:p>
    <w:p w14:paraId="3AA594F3" w14:textId="03A77962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Účinok denných dávok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redukciu hladiny DHT je závislý na veľkosti dávky a je pozorovaný za jeden (85% pokles) až dva (90% pokles) týždne.</w:t>
      </w:r>
      <w:r w:rsidRPr="004B1278">
        <w:rPr>
          <w:rFonts w:eastAsia="Times New Roman" w:cs="Times New Roman"/>
          <w:sz w:val="22"/>
          <w:szCs w:val="22"/>
          <w:lang w:eastAsia="cs-CZ"/>
        </w:rPr>
        <w:br/>
        <w:t xml:space="preserve">U pacientov s BHP liečených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dávke 0,5 mg denne bol medián zníženia sérového DHT po 1 roku 94 %, po 2 rokoch 93 %, zatiaľ čo medián zvýšenia sérového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testosterónu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po 1 roku aj po 2 rokoch bol 19 %.</w:t>
      </w:r>
    </w:p>
    <w:p w14:paraId="7CFF7EEB" w14:textId="77777777" w:rsidR="004B0064" w:rsidRPr="004B1278" w:rsidRDefault="004B0064" w:rsidP="004B1278">
      <w:pPr>
        <w:pStyle w:val="Standard"/>
        <w:rPr>
          <w:rFonts w:cs="Times New Roman"/>
          <w:sz w:val="22"/>
          <w:szCs w:val="22"/>
        </w:rPr>
      </w:pPr>
    </w:p>
    <w:p w14:paraId="4FD539EF" w14:textId="77777777" w:rsidR="008B761C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Účinok na objem prostaty:</w:t>
      </w:r>
    </w:p>
    <w:p w14:paraId="7D500E42" w14:textId="5896EB83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Významné zmenšenie objemu prostaty bol</w:t>
      </w:r>
      <w:r w:rsidR="00236263" w:rsidRPr="004B1278">
        <w:rPr>
          <w:rFonts w:eastAsia="Times New Roman" w:cs="Times New Roman"/>
          <w:sz w:val="22"/>
          <w:szCs w:val="22"/>
          <w:lang w:eastAsia="cs-CZ"/>
        </w:rPr>
        <w:t>o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r w:rsidR="00236263" w:rsidRPr="004B1278">
        <w:rPr>
          <w:rFonts w:eastAsia="Times New Roman" w:cs="Times New Roman"/>
          <w:sz w:val="22"/>
          <w:szCs w:val="22"/>
          <w:lang w:eastAsia="cs-CZ"/>
        </w:rPr>
        <w:t xml:space="preserve">pozorované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už za jeden mesiac po zahájení terapie a zmenšovanie pokračovalo až do 24. mesiaca (p &lt; 0,001). Po 12 mesiacoch viedol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k priemernému zmenšeniu celkového objemu prostaty o 23,6 % (z východiskovej hodnoty 54,9 ml na 42,1 ml), oproti priemernému 0,5% zmenšeniu v skupine s placebom(z 54,0 ml na 53,7 ml).</w:t>
      </w:r>
      <w:r w:rsidRPr="004B1278">
        <w:rPr>
          <w:rFonts w:eastAsia="Times New Roman" w:cs="Times New Roman"/>
          <w:sz w:val="22"/>
          <w:szCs w:val="22"/>
          <w:lang w:eastAsia="cs-CZ"/>
        </w:rPr>
        <w:br/>
        <w:t xml:space="preserve">Už za jeden mesiac sa vyskytlo takisto významné (p &lt; 0,001) zmenšenie objemu prechodovej zóny prostaty, ktoré pokračovalo až do 24. mesiaca. Po 12 mesiacoch viedol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k priemernému zmenšeniu objemu prechodovej zóny prostaty o 17,8 % (z východiskovej hodnoty 26,8 ml na 21,4 ml), oproti priemernému zväčšeniu objemu prechodovej zóny prostaty o 7,9 % v skupine s placebom (z 26,8 ml na 27,5 ml). Zmenšenie objemu prostaty pozorované počas prvých 2 rokov dvojito zaslepenej fázy liečby sa udržalo počas ďalších 2 rokov v otvorenej rozšírenej fáze štúdie. </w:t>
      </w:r>
      <w:r w:rsidR="00236263" w:rsidRPr="004B1278">
        <w:rPr>
          <w:rFonts w:eastAsia="Times New Roman" w:cs="Times New Roman"/>
          <w:sz w:val="22"/>
          <w:szCs w:val="22"/>
          <w:lang w:eastAsia="cs-CZ"/>
        </w:rPr>
        <w:t xml:space="preserve">Zmenšenie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veľkosti prostaty vedie k zlepšeniu príznakov a k zníženiu rizika akútnej </w:t>
      </w:r>
      <w:proofErr w:type="spellStart"/>
      <w:r w:rsidR="00236263" w:rsidRPr="004B1278">
        <w:rPr>
          <w:rFonts w:eastAsia="Times New Roman" w:cs="Times New Roman"/>
          <w:sz w:val="22"/>
          <w:szCs w:val="22"/>
          <w:lang w:eastAsia="cs-CZ"/>
        </w:rPr>
        <w:t>retencie</w:t>
      </w:r>
      <w:proofErr w:type="spellEnd"/>
      <w:r w:rsidR="00236263"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r w:rsidRPr="004B1278">
        <w:rPr>
          <w:rFonts w:eastAsia="Times New Roman" w:cs="Times New Roman"/>
          <w:sz w:val="22"/>
          <w:szCs w:val="22"/>
          <w:lang w:eastAsia="cs-CZ"/>
        </w:rPr>
        <w:t>moču (ARM) a chirurgického výkonu súvisiaceho s BHP.</w:t>
      </w:r>
    </w:p>
    <w:p w14:paraId="7327104C" w14:textId="77777777" w:rsidR="00996CB4" w:rsidRPr="004B1278" w:rsidRDefault="00996CB4" w:rsidP="004B1278">
      <w:pPr>
        <w:pStyle w:val="Standard"/>
        <w:rPr>
          <w:rFonts w:cs="Times New Roman"/>
          <w:sz w:val="22"/>
          <w:szCs w:val="22"/>
        </w:rPr>
      </w:pPr>
    </w:p>
    <w:p w14:paraId="171280AC" w14:textId="7CB19B9F" w:rsidR="008B761C" w:rsidRPr="004B1278" w:rsidRDefault="00DB2AFC" w:rsidP="004B1278">
      <w:pPr>
        <w:pStyle w:val="Standard"/>
        <w:rPr>
          <w:rFonts w:eastAsia="Times New Roman" w:cs="Times New Roman"/>
          <w:i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iCs/>
          <w:sz w:val="22"/>
          <w:szCs w:val="22"/>
          <w:u w:val="single"/>
          <w:lang w:eastAsia="cs-CZ"/>
        </w:rPr>
        <w:t>Klinická účinnosť a</w:t>
      </w:r>
      <w:r w:rsidR="008B761C" w:rsidRPr="004B1278">
        <w:rPr>
          <w:rFonts w:eastAsia="Times New Roman" w:cs="Times New Roman"/>
          <w:iCs/>
          <w:sz w:val="22"/>
          <w:szCs w:val="22"/>
          <w:u w:val="single"/>
          <w:lang w:eastAsia="cs-CZ"/>
        </w:rPr>
        <w:t> </w:t>
      </w:r>
      <w:r w:rsidRPr="004B1278">
        <w:rPr>
          <w:rFonts w:eastAsia="Times New Roman" w:cs="Times New Roman"/>
          <w:iCs/>
          <w:sz w:val="22"/>
          <w:szCs w:val="22"/>
          <w:u w:val="single"/>
          <w:lang w:eastAsia="cs-CZ"/>
        </w:rPr>
        <w:t>bezpečnosť</w:t>
      </w:r>
    </w:p>
    <w:p w14:paraId="033FEDF8" w14:textId="4151DDAA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V troch 2-ročných</w:t>
      </w:r>
      <w:r w:rsidR="00236263"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multicentrických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multinárodných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, placebom kontrolovaných, dvojito zaslepených štúdiách</w:t>
      </w:r>
      <w:r w:rsidR="00236263" w:rsidRPr="004B1278">
        <w:rPr>
          <w:rFonts w:eastAsia="Times New Roman" w:cs="Times New Roman"/>
          <w:sz w:val="22"/>
          <w:szCs w:val="22"/>
          <w:lang w:eastAsia="cs-CZ"/>
        </w:rPr>
        <w:t xml:space="preserve"> hodnotiacich primárnu účinnosť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boli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dávke 0,5 mg/deň alebo placebo hodnotené u 4 325 pacientov (mužov) so stredne ťažkými alebo ťažkými príznakmi BHP, s objemom prostaty 30 ml a hodnotou PSA v rozmedzí 1,5-10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/ml. Štúdie potom pokračovali otvoreným rozšírením do 4 rokov a všetci pacienti, ktorí v štúdii zostali, dostávali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rovnakej dávke 0,5 mg. Do 4 rokov zostalo v štúdii 37 % pacientov pôvodne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randomizovaných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do skupiny s placebom a 40 % pacientov pôvodne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randomizovaných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do skupiny liečenej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 Väčšina (71 %) z 2 340 pacientov v otvorenej rozšírenej fáze štúdie dokončili ďalšie 2 roky otvorenej fáze liečby.</w:t>
      </w:r>
    </w:p>
    <w:p w14:paraId="70B50776" w14:textId="77777777" w:rsidR="004B0064" w:rsidRPr="004B1278" w:rsidRDefault="004B0064" w:rsidP="004B1278">
      <w:pPr>
        <w:pStyle w:val="Standard"/>
        <w:rPr>
          <w:rFonts w:cs="Times New Roman"/>
          <w:sz w:val="22"/>
          <w:szCs w:val="22"/>
        </w:rPr>
      </w:pPr>
    </w:p>
    <w:p w14:paraId="4698FD76" w14:textId="7D1D927C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Najdôležitejšími parametrami klinickej účinnosti boli index príznakov podľa Americkej urologickej asociácie (American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Urological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Association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Symptom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Index</w:t>
      </w:r>
      <w:r w:rsidR="00F1509C" w:rsidRPr="004B1278">
        <w:rPr>
          <w:rFonts w:eastAsia="Times New Roman" w:cs="Times New Roman"/>
          <w:sz w:val="22"/>
          <w:szCs w:val="22"/>
          <w:lang w:eastAsia="cs-CZ"/>
        </w:rPr>
        <w:t xml:space="preserve"> - </w:t>
      </w:r>
      <w:r w:rsidRPr="004B1278">
        <w:rPr>
          <w:rFonts w:eastAsia="Times New Roman" w:cs="Times New Roman"/>
          <w:sz w:val="22"/>
          <w:szCs w:val="22"/>
          <w:lang w:eastAsia="cs-CZ"/>
        </w:rPr>
        <w:t>AUA-SI), maximálny prúd moču (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Qmax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 a výskyt akútnej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retencie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moču (ARM) a chirurgického výkonu súvisiaceho s BHP.</w:t>
      </w:r>
    </w:p>
    <w:p w14:paraId="764084D0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AUA-SI je 7-položkový dotazník na príznaky súvisiace s BHP s maximálnym bodovým skóre 35. Východiskové priemerné skóre bolo približne 17. Po 6 mesiacoch, po jednom roku a po dvoch rokoch bolo v skupine užívajúcich placebo dosiahnuté priemerné zlepšenie o 2,5; 2,5 a 2,3 bodu, zatiaľ čo v skupine užívajúcich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bolo dosiahnuté priemerné zlepšenie o 3,2; 3,8 a 4,5 bodu. Rozdiely medzi oboma skupinami boli štatisticky významné. Zlepšenie v AUA-SI pozorované počas prvých 2 rokov dvojito zaslepenej fázy liečby sa udržalo aj počas ďalších 2 rokov otvorenej rozšírenej fázy štúdie.</w:t>
      </w:r>
    </w:p>
    <w:p w14:paraId="17791580" w14:textId="77777777" w:rsidR="008B761C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lastRenderedPageBreak/>
        <w:t>Q</w:t>
      </w:r>
      <w:r w:rsidRPr="004B1278">
        <w:rPr>
          <w:rFonts w:eastAsia="Times New Roman" w:cs="Times New Roman"/>
          <w:i/>
          <w:iCs/>
          <w:sz w:val="22"/>
          <w:szCs w:val="22"/>
          <w:vertAlign w:val="subscript"/>
          <w:lang w:eastAsia="cs-CZ"/>
        </w:rPr>
        <w:t>max</w:t>
      </w:r>
      <w:proofErr w:type="spellEnd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 (maximálny prúd moču):</w:t>
      </w:r>
    </w:p>
    <w:p w14:paraId="24341474" w14:textId="331230B4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Priemerná východisková hodnota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Qmax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štúdiách bola približne 10 ml/s (normálne hodnoty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Qmax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sú ≥15 ml/s). Po jednom roku a dvoch rokoch liečby sa prúd v skupine s placebom zlepšil o 0,8 a 0,9 ml/s, zatiaľ čo  v skupine užívajúcej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o 1,7 a 2,0 ml/s. Rozdiel medzi skupinou s placebom a skupinou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bol štatisticky významný od 1. do 24. mesiaca. Zvýšenie rýchlosti maximálneho prúdu moču pozorované počas prvých 2 rokov dvojito zaslepenej fázy liečby sa udržalo aj počas ďalších 2 rokov otvorenej rozšírenej fázy štúdie.</w:t>
      </w:r>
    </w:p>
    <w:p w14:paraId="6BEC3113" w14:textId="77777777" w:rsidR="004B0064" w:rsidRPr="004B1278" w:rsidRDefault="004B0064" w:rsidP="004B1278">
      <w:pPr>
        <w:pStyle w:val="Standard"/>
        <w:rPr>
          <w:rFonts w:cs="Times New Roman"/>
          <w:sz w:val="22"/>
          <w:szCs w:val="22"/>
        </w:rPr>
      </w:pPr>
    </w:p>
    <w:p w14:paraId="3677B88D" w14:textId="77777777" w:rsidR="008B761C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Akútna </w:t>
      </w: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retencia</w:t>
      </w:r>
      <w:proofErr w:type="spellEnd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 moču a chirurgická intervencia</w:t>
      </w:r>
    </w:p>
    <w:p w14:paraId="7D016766" w14:textId="6C6D6D6D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Po 2 rokoch liečby bol výskyt ARM v skupine s placebom 4,2 %, v skupine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1,8 % (57% znížení rizika). Tento rozdiel je štatisticky významný a znamená, že 42 pacientov musia byť liečení počas doby dvoch rokov (95% interval spoľahlivosti 30-73), aby sa zabránilo jednému prípadu ARM. Výskyt chirurgického výkonu súvisiaceho s BHP po dvoch rokoch liečby bola v skupine s placebom 4,1 %, v skupine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2,2 % (48% zníženie rizika). Tento rozdiel je štatisticky významný a znamená, že 51 pacientov musia byť liečení počas doby dvoch rokov (95% interval spoľahlivosti 33-109), aby sa zabránilo  jednej chirurgickej intervencii.</w:t>
      </w:r>
    </w:p>
    <w:p w14:paraId="5F23A5CE" w14:textId="77777777" w:rsidR="004B0064" w:rsidRPr="004B1278" w:rsidRDefault="004B0064" w:rsidP="004B1278">
      <w:pPr>
        <w:pStyle w:val="Standard"/>
        <w:rPr>
          <w:rFonts w:cs="Times New Roman"/>
          <w:sz w:val="22"/>
          <w:szCs w:val="22"/>
        </w:rPr>
      </w:pPr>
    </w:p>
    <w:p w14:paraId="0DBB2176" w14:textId="77777777" w:rsidR="008B761C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Účinok na vlasový porast</w:t>
      </w:r>
    </w:p>
    <w:p w14:paraId="39E8BC46" w14:textId="07CE0F90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Účinok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vlasový porast nebol v štúdiách III. fázy klinického hodnotenia formálne študovaný, inhibítory 5-alfa-reduktázy by však mohli obmedziť vypadávanie vlasov a podporiť rast vlasov u pacientov s mužským typom vypadávania vlasov (mužskou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androgénnou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alopéciou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).</w:t>
      </w:r>
    </w:p>
    <w:p w14:paraId="759CAC12" w14:textId="77777777" w:rsidR="004B0064" w:rsidRPr="004B1278" w:rsidRDefault="004B0064" w:rsidP="004B1278">
      <w:pPr>
        <w:pStyle w:val="Standard"/>
        <w:rPr>
          <w:rFonts w:cs="Times New Roman"/>
          <w:sz w:val="22"/>
          <w:szCs w:val="22"/>
        </w:rPr>
      </w:pPr>
    </w:p>
    <w:p w14:paraId="02C5E960" w14:textId="77777777" w:rsidR="008B761C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Funkcia štítnej žľazy</w:t>
      </w:r>
    </w:p>
    <w:p w14:paraId="308BABF6" w14:textId="18B8733A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Funkcia štítnej žľazy bola hodnotená v jednoročnej štúdii u zdravých mužov. Pri užívaní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boli hladiny voľného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tyroxínu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stabilné, ale na konci jednoročnej aplikácie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boli v porovnaní s placebom mierne zvýšené hladiny TSH (o 0,4 MCIU/ml). Hladiny TSH boli variabilné, ale mediány hladín TSH (1,4-1,9 MCIU/ml) zostali v rámci normálneho rozsahu hodnôt (0,5-5/6 MCIU/ml), hladiny voľného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tyroxínu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boli stabilné v rámci normálneho rozsahu hodnôt a boli podobné pri podávaní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ako pri podávaní placeba, a preto zmeny TSH neboli považované za klinicky významné. V žiadnej z klinických štúdií neboli zistené známky svedčiace o tom, že by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nepriaznivo ovplyvňoval funkciu štítnej žľazy.</w:t>
      </w:r>
    </w:p>
    <w:p w14:paraId="16821F62" w14:textId="77777777" w:rsidR="004B0064" w:rsidRPr="004B1278" w:rsidRDefault="004B0064" w:rsidP="004B1278">
      <w:pPr>
        <w:pStyle w:val="Standard"/>
        <w:rPr>
          <w:rFonts w:cs="Times New Roman"/>
          <w:sz w:val="22"/>
          <w:szCs w:val="22"/>
        </w:rPr>
      </w:pPr>
    </w:p>
    <w:p w14:paraId="05BCBA64" w14:textId="4859A7A2" w:rsidR="008B761C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Neoplázia</w:t>
      </w:r>
      <w:proofErr w:type="spellEnd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 prsník</w:t>
      </w:r>
      <w:r w:rsidR="004B0064" w:rsidRPr="004B1278">
        <w:rPr>
          <w:rFonts w:eastAsia="Times New Roman" w:cs="Times New Roman"/>
          <w:i/>
          <w:iCs/>
          <w:sz w:val="22"/>
          <w:szCs w:val="22"/>
          <w:lang w:eastAsia="cs-CZ"/>
        </w:rPr>
        <w:t>a</w:t>
      </w:r>
    </w:p>
    <w:p w14:paraId="7950D0BC" w14:textId="2DB14221" w:rsidR="0018413F" w:rsidRPr="004B1278" w:rsidRDefault="00DB2AFC" w:rsidP="004B1278">
      <w:pPr>
        <w:pStyle w:val="Standard"/>
        <w:rPr>
          <w:rFonts w:cs="Times New Roman"/>
          <w:sz w:val="22"/>
          <w:szCs w:val="22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2-ročných klinických štúdiách, ktoré obsahovali 3 374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pacientorokov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expozície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a v čase registrácie 2-ročného otvoreného predĺženia,  boli ohlásené 2 prípady rakoviny prsníka u pacientov liečených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1 prípad u pacienta, ktorý užíval placebo.</w:t>
      </w:r>
    </w:p>
    <w:p w14:paraId="2C64AA5E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4-ročných klinických štúdiách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CombAT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REDUCE, ktoré obsahovali 17 489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pacientorokov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expozície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5 027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pacientorokov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expozície kombinácie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, nebol hlásený žiadny prípad rakoviny prsníka v žiadnej liečebnej skupine.</w:t>
      </w:r>
    </w:p>
    <w:p w14:paraId="65F27A35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2CE8AB8C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Dve prípadové kontrolné epidemiologické štúdie, jedna uskutočnená v USA (n = 339 prípadov rakoviny prsníka a n = 6 780 kontrol) a druhá zo zdravotníckej databázy vo Veľkej Británii (n = 398 prípadov rakoviny prsníka a n = 3 930 kontrol), nevykazovali zvýšenie rizika rozvoje rakoviny prsníka u mužov pri užívaní inhibítorov 5-alfa-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reduktázy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(pozri časť 4.4). Výsledky z prvej štúdie nedokázali pozitívnu súvislosť u rakoviny prsníka u mužov (relatívne riziko u </w:t>
      </w:r>
      <w:r w:rsidRPr="004B1278">
        <w:rPr>
          <w:rFonts w:eastAsia="Times New Roman" w:cs="Times New Roman"/>
          <w:sz w:val="22"/>
          <w:szCs w:val="22"/>
        </w:rPr>
        <w:t>≥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1 roku užívania pred diagnózou rakoviny prsníka v porovnaní s &lt; 1 rokom užívania: 0,70: 95% CI 0,34, 1,45). V druhej štúdii bol odhadovaný pomer rizík u rakoviny prsníka v súvislosti s užívaním inhibítorov 5-alfa-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reduktázy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porovnaní s neužívaním 1,08: 95% CI 0,62, 1,87.</w:t>
      </w:r>
    </w:p>
    <w:p w14:paraId="22472F87" w14:textId="77777777" w:rsidR="004B0064" w:rsidRPr="004B1278" w:rsidRDefault="004B0064" w:rsidP="004B1278">
      <w:pPr>
        <w:pStyle w:val="Standard"/>
        <w:rPr>
          <w:rFonts w:cs="Times New Roman"/>
          <w:sz w:val="22"/>
          <w:szCs w:val="22"/>
        </w:rPr>
      </w:pPr>
    </w:p>
    <w:p w14:paraId="7509D3B3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Medzi výskytom rakoviny prsníka u mužov a dlhodobým užívaním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nebola preukázaná kauzálna súvislosť.</w:t>
      </w:r>
    </w:p>
    <w:p w14:paraId="4021BC4F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0E000678" w14:textId="77777777" w:rsidR="008B761C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 xml:space="preserve">Vplyv na mužskú </w:t>
      </w:r>
      <w:proofErr w:type="spellStart"/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fertilitu</w:t>
      </w:r>
      <w:proofErr w:type="spellEnd"/>
    </w:p>
    <w:p w14:paraId="150B82ED" w14:textId="02D2287D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Účinky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dávke 0,5 mg/deň na vlastnosti spermy boli hodnotené u zdravých dobrovoľníkov vo veku od 18 do 52 rokov (n=27 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n=23 u placeba) v priebehu 52 týždňov liečby a 24 týždňov sledovania po liečbe. Po 52 týždňoch bolo pozorované priemerné percentuálne zníženie zo základnej hodnoty celkového počtu spermií, objemu spermy a pohyblivosti </w:t>
      </w:r>
      <w:r w:rsidRPr="004B1278">
        <w:rPr>
          <w:rFonts w:eastAsia="Times New Roman" w:cs="Times New Roman"/>
          <w:sz w:val="22"/>
          <w:szCs w:val="22"/>
          <w:lang w:eastAsia="cs-CZ"/>
        </w:rPr>
        <w:lastRenderedPageBreak/>
        <w:t xml:space="preserve">spermií o 23 %, 26 % a 18 % v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dutasteridovej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skupine po porovnaní so zmenami od základných hodnôt v skupine s placebom. Koncentrácia spermií a morfológia spermií neboli ovplyvnené. Po 24 týždňoch sledovania po liečbe zostala priemerná percentuálna zmena celkového počtu spermií v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dutasteridovej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skupine o 23 % nižš</w:t>
      </w:r>
      <w:r w:rsidR="00664499" w:rsidRPr="004B1278">
        <w:rPr>
          <w:rFonts w:eastAsia="Times New Roman" w:cs="Times New Roman"/>
          <w:sz w:val="22"/>
          <w:szCs w:val="22"/>
          <w:lang w:eastAsia="cs-CZ"/>
        </w:rPr>
        <w:t>ia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, ako bola východisková hodnota. Kým priemerné hodnoty pre všetky parametre vo všetkých časových bodoch zostali v normálnom rozsahu a nezodpovedali vopred definovaným kritériám pre klinicky významnú zmenu (30%), dvaja jednotlivci v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dutasteridovej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skupine mali po 52 týždňoch liečby počet spermií znížený o viac ako 90 % oproti svojim východiskovým hodnotám s tým, že počas 24-týždňového sledovania došlo k čiastočnej úprave hodnôt. Možnosť zníženia mužskej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fertility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sa nedá vylúčiť.</w:t>
      </w:r>
    </w:p>
    <w:p w14:paraId="3CA925F3" w14:textId="77777777" w:rsidR="00996CB4" w:rsidRPr="004B1278" w:rsidRDefault="00996CB4" w:rsidP="004B1278">
      <w:pPr>
        <w:pStyle w:val="Standard"/>
        <w:rPr>
          <w:rFonts w:cs="Times New Roman"/>
          <w:sz w:val="22"/>
          <w:szCs w:val="22"/>
        </w:rPr>
      </w:pPr>
    </w:p>
    <w:p w14:paraId="75AA6C2D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Dutasterid</w:t>
      </w:r>
      <w:proofErr w:type="spellEnd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 xml:space="preserve"> v kombinácii s alfa-</w:t>
      </w: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blokátorom</w:t>
      </w:r>
      <w:proofErr w:type="spellEnd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tamsulosínom</w:t>
      </w:r>
      <w:proofErr w:type="spellEnd"/>
    </w:p>
    <w:p w14:paraId="2604EF63" w14:textId="486C8AF4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multicentrickej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multinárodnej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randomizovanej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dvojito zaslepenej štúdii paralelných skupín (štúdia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CombAT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 bol hodnotný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dávke 0,5 mg/deň (n=1623),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dávke 0,4 mg/deň (n=1611) alebo </w:t>
      </w:r>
      <w:r w:rsidR="00664499" w:rsidRPr="004B1278">
        <w:rPr>
          <w:rFonts w:eastAsia="Times New Roman" w:cs="Times New Roman"/>
          <w:sz w:val="22"/>
          <w:szCs w:val="22"/>
          <w:lang w:eastAsia="cs-CZ"/>
        </w:rPr>
        <w:t xml:space="preserve">kombinácia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0,5 mg s </w:t>
      </w:r>
      <w:proofErr w:type="spellStart"/>
      <w:r w:rsidR="00664499" w:rsidRPr="004B1278">
        <w:rPr>
          <w:rFonts w:eastAsia="Times New Roman" w:cs="Times New Roman"/>
          <w:sz w:val="22"/>
          <w:szCs w:val="22"/>
          <w:lang w:eastAsia="cs-CZ"/>
        </w:rPr>
        <w:t>tamsulosínom</w:t>
      </w:r>
      <w:proofErr w:type="spellEnd"/>
      <w:r w:rsidR="00664499"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0,4 mg (n=1610) u mužských pacientov so stredne ťažkými až ťažkými príznakmi BHP, s objemom prostaty ≥30 ml a hodnotami PSA v rozsahu 1,5-10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/ml. Približne 53 % pacientov bolo už skôr liečených inhibítorom 5-alfa-reduktázy alebo alfa-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blokátorom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. Primárnym koncovým parametrom účinnosti počas prvých dvoch rokov štúdie bola zmena v Medzinárodnej stupnici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prostatických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symptómov (</w:t>
      </w:r>
      <w:r w:rsidR="00664499" w:rsidRPr="004B1278">
        <w:rPr>
          <w:rFonts w:eastAsia="Times New Roman" w:cs="Times New Roman"/>
          <w:sz w:val="22"/>
          <w:szCs w:val="22"/>
          <w:lang w:eastAsia="cs-CZ"/>
        </w:rPr>
        <w:t>z angl. International</w:t>
      </w:r>
      <w:r w:rsidR="00BE5E18" w:rsidRPr="004B1278">
        <w:rPr>
          <w:rFonts w:eastAsia="Times New Roman" w:cs="Times New Roman"/>
          <w:sz w:val="22"/>
          <w:szCs w:val="22"/>
          <w:lang w:eastAsia="cs-CZ"/>
        </w:rPr>
        <w:t xml:space="preserve"> Prostate </w:t>
      </w:r>
      <w:proofErr w:type="spellStart"/>
      <w:r w:rsidR="00BE5E18" w:rsidRPr="004B1278">
        <w:rPr>
          <w:rFonts w:eastAsia="Times New Roman" w:cs="Times New Roman"/>
          <w:sz w:val="22"/>
          <w:szCs w:val="22"/>
          <w:lang w:eastAsia="cs-CZ"/>
        </w:rPr>
        <w:t>Symptom</w:t>
      </w:r>
      <w:proofErr w:type="spellEnd"/>
      <w:r w:rsidR="00BE5E18"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="00BE5E18" w:rsidRPr="004B1278">
        <w:rPr>
          <w:rFonts w:eastAsia="Times New Roman" w:cs="Times New Roman"/>
          <w:sz w:val="22"/>
          <w:szCs w:val="22"/>
          <w:lang w:eastAsia="cs-CZ"/>
        </w:rPr>
        <w:t>Score</w:t>
      </w:r>
      <w:proofErr w:type="spellEnd"/>
      <w:r w:rsidR="00BE5E18" w:rsidRPr="004B1278">
        <w:rPr>
          <w:rFonts w:eastAsia="Times New Roman" w:cs="Times New Roman"/>
          <w:sz w:val="22"/>
          <w:szCs w:val="22"/>
          <w:lang w:eastAsia="cs-CZ"/>
        </w:rPr>
        <w:t xml:space="preserve">, </w:t>
      </w:r>
      <w:r w:rsidRPr="004B1278">
        <w:rPr>
          <w:rFonts w:eastAsia="Times New Roman" w:cs="Times New Roman"/>
          <w:sz w:val="22"/>
          <w:szCs w:val="22"/>
          <w:lang w:eastAsia="cs-CZ"/>
        </w:rPr>
        <w:t>IPSS), jedná sa o 8-položkový dotazník založený na AUA-SI s doplňujúcou otázkou na kvalitu života. Sekundárne parametre účinnosti v 2 rokoch zahŕňali rýchlosť maximálneho prúdu moču (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Qmax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 a objem prostaty. V hodnotení zmeny v skóre IPSS dosiahla kombinovaná liečba významné </w:t>
      </w:r>
      <w:r w:rsidR="00BE5E18" w:rsidRPr="004B1278">
        <w:rPr>
          <w:rFonts w:eastAsia="Times New Roman" w:cs="Times New Roman"/>
          <w:sz w:val="22"/>
          <w:szCs w:val="22"/>
          <w:lang w:eastAsia="cs-CZ"/>
        </w:rPr>
        <w:t xml:space="preserve">zlepšenie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oproti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od 3. mesiaca a oproti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od 9. mesiaca. V hodnotení zmeny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Qmax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dosiahla kombinovaná liečba významné </w:t>
      </w:r>
      <w:r w:rsidR="00BE5E18" w:rsidRPr="004B1278">
        <w:rPr>
          <w:rFonts w:eastAsia="Times New Roman" w:cs="Times New Roman"/>
          <w:sz w:val="22"/>
          <w:szCs w:val="22"/>
          <w:lang w:eastAsia="cs-CZ"/>
        </w:rPr>
        <w:t xml:space="preserve">zlepšenie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oproti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od 6. mesiaca.</w:t>
      </w:r>
    </w:p>
    <w:p w14:paraId="1FF71394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26607851" w14:textId="7BD0AC4B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Primárnym koncovým parametrom účinnosti v 4 rokoch liečby bola doba do prvého výskytu ARM alebo nutnosti chirurgického zákroku z dôvodu BHP. Po 4 rokoch liečby znižovala kombinovaná liečba štatisticky významne riziko ARM alebo chirurgického zákroku z dôvodu BHP (65,8% zníženia rizika p&lt;0,001 [95% CI 54,7% až 74,1%]) v porovnaní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monoterapiou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. Výskyt ARM alebo chirurgického výkonu v dôsledku BHP do 4. roku liečby bola 4,2 % v skupine s kombinovanou liečbou a 11,9 % pri liečbe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(p &lt; 0,001). V porovnaní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monoterapiou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kombinovaná liečba znižovala riziko ARM alebo chirurgického zákroku v dôsledku BHP o 19,6 % (p=0,18 [95% CI -10,9% až 41,7%]). Výskyt ARM alebo chirurgického zákroku v dôsledku BHP do 4. roku bola 4,2 % pri kombinovanej liečbe a 5,2% pri liečbe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</w:t>
      </w:r>
    </w:p>
    <w:p w14:paraId="64B6DDD2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5DF47C9D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Sekundárne koncové parametre účinnosti po 4 rokoch liečby zahŕňali dobu do klinickej progresie (definovaná ako súhrn týchto parametrov: zhoršenie IPSS o ≥4 body, nežiaduce účinky súvisiace s BHP, ARM, inkontinencia, infekcia močových ciest (IMC)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renálna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insuficiencia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), zmenu v IPSS (International Prostate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Symptom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Score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), rýchlosť maximálneho prúdu moču (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Qmax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 a objem prostaty. Výsledky po 4 rokoch liečby sú uvedené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nížšie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:</w:t>
      </w:r>
    </w:p>
    <w:p w14:paraId="075D6DED" w14:textId="77777777" w:rsidR="0018413F" w:rsidRPr="004B1278" w:rsidRDefault="0018413F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3542"/>
        <w:gridCol w:w="1097"/>
        <w:gridCol w:w="1134"/>
        <w:gridCol w:w="1134"/>
      </w:tblGrid>
      <w:tr w:rsidR="0018413F" w:rsidRPr="004B1278" w14:paraId="17EB2C49" w14:textId="77777777" w:rsidTr="008B761C">
        <w:trPr>
          <w:trHeight w:hRule="exact" w:val="270"/>
        </w:trPr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DD3D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10"/>
                <w:w w:val="102"/>
                <w:sz w:val="22"/>
                <w:szCs w:val="22"/>
              </w:rPr>
              <w:t>p</w:t>
            </w:r>
            <w:r w:rsidRPr="004B1278">
              <w:rPr>
                <w:rFonts w:eastAsia="Times New Roman" w:cs="Times New Roman"/>
                <w:spacing w:val="5"/>
                <w:w w:val="102"/>
                <w:sz w:val="22"/>
                <w:szCs w:val="22"/>
              </w:rPr>
              <w:t>a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r</w:t>
            </w:r>
            <w:r w:rsidRPr="004B1278">
              <w:rPr>
                <w:rFonts w:eastAsia="Times New Roman" w:cs="Times New Roman"/>
                <w:spacing w:val="5"/>
                <w:w w:val="102"/>
                <w:sz w:val="22"/>
                <w:szCs w:val="22"/>
              </w:rPr>
              <w:t>a</w:t>
            </w:r>
            <w:r w:rsidRPr="004B1278">
              <w:rPr>
                <w:rFonts w:eastAsia="Times New Roman" w:cs="Times New Roman"/>
                <w:spacing w:val="-10"/>
                <w:w w:val="102"/>
                <w:sz w:val="22"/>
                <w:szCs w:val="22"/>
              </w:rPr>
              <w:t>m</w:t>
            </w:r>
            <w:r w:rsidRPr="004B1278">
              <w:rPr>
                <w:rFonts w:eastAsia="Times New Roman" w:cs="Times New Roman"/>
                <w:spacing w:val="5"/>
                <w:w w:val="102"/>
                <w:sz w:val="22"/>
                <w:szCs w:val="22"/>
              </w:rPr>
              <w:t>e</w:t>
            </w:r>
            <w:r w:rsidRPr="004B1278">
              <w:rPr>
                <w:rFonts w:eastAsia="Times New Roman" w:cs="Times New Roman"/>
                <w:spacing w:val="-2"/>
                <w:w w:val="102"/>
                <w:sz w:val="22"/>
                <w:szCs w:val="22"/>
              </w:rPr>
              <w:t>t</w:t>
            </w:r>
            <w:r w:rsidRPr="004B1278">
              <w:rPr>
                <w:rFonts w:eastAsia="Times New Roman" w:cs="Times New Roman"/>
                <w:spacing w:val="5"/>
                <w:w w:val="102"/>
                <w:sz w:val="22"/>
                <w:szCs w:val="22"/>
              </w:rPr>
              <w:t>re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A3338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spacing w:val="-2"/>
                <w:w w:val="102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2"/>
                <w:w w:val="102"/>
                <w:sz w:val="22"/>
                <w:szCs w:val="22"/>
              </w:rPr>
              <w:t>časový úsek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BED0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k</w:t>
            </w:r>
            <w:r w:rsidRPr="004B1278">
              <w:rPr>
                <w:rFonts w:eastAsia="Times New Roman" w:cs="Times New Roman"/>
                <w:spacing w:val="-8"/>
                <w:w w:val="102"/>
                <w:sz w:val="22"/>
                <w:szCs w:val="22"/>
              </w:rPr>
              <w:t>o</w:t>
            </w:r>
            <w:r w:rsidRPr="004B1278">
              <w:rPr>
                <w:rFonts w:eastAsia="Times New Roman" w:cs="Times New Roman"/>
                <w:spacing w:val="-10"/>
                <w:w w:val="102"/>
                <w:sz w:val="22"/>
                <w:szCs w:val="22"/>
              </w:rPr>
              <w:t>m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b</w:t>
            </w:r>
            <w:r w:rsidRPr="004B1278">
              <w:rPr>
                <w:rFonts w:eastAsia="Times New Roman" w:cs="Times New Roman"/>
                <w:spacing w:val="-18"/>
                <w:w w:val="102"/>
                <w:sz w:val="22"/>
                <w:szCs w:val="22"/>
              </w:rPr>
              <w:t>i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n</w:t>
            </w:r>
            <w:r w:rsidRPr="004B1278">
              <w:rPr>
                <w:rFonts w:eastAsia="Times New Roman" w:cs="Times New Roman"/>
                <w:spacing w:val="5"/>
                <w:w w:val="102"/>
                <w:sz w:val="22"/>
                <w:szCs w:val="22"/>
              </w:rPr>
              <w:t>á</w:t>
            </w:r>
            <w:r w:rsidRPr="004B1278">
              <w:rPr>
                <w:rFonts w:eastAsia="Times New Roman" w:cs="Times New Roman"/>
                <w:spacing w:val="-2"/>
                <w:w w:val="102"/>
                <w:sz w:val="22"/>
                <w:szCs w:val="22"/>
              </w:rPr>
              <w:t>cia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18BE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spacing w:val="2"/>
                <w:w w:val="102"/>
                <w:sz w:val="22"/>
                <w:szCs w:val="22"/>
              </w:rPr>
              <w:t>d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u</w:t>
            </w:r>
            <w:r w:rsidRPr="004B1278">
              <w:rPr>
                <w:rFonts w:eastAsia="Times New Roman" w:cs="Times New Roman"/>
                <w:spacing w:val="-2"/>
                <w:w w:val="102"/>
                <w:sz w:val="22"/>
                <w:szCs w:val="22"/>
              </w:rPr>
              <w:t>t</w:t>
            </w:r>
            <w:r w:rsidRPr="004B1278">
              <w:rPr>
                <w:rFonts w:eastAsia="Times New Roman" w:cs="Times New Roman"/>
                <w:spacing w:val="5"/>
                <w:w w:val="102"/>
                <w:sz w:val="22"/>
                <w:szCs w:val="22"/>
              </w:rPr>
              <w:t>a</w:t>
            </w:r>
            <w:r w:rsidRPr="004B1278">
              <w:rPr>
                <w:rFonts w:eastAsia="Times New Roman" w:cs="Times New Roman"/>
                <w:spacing w:val="2"/>
                <w:w w:val="102"/>
                <w:sz w:val="22"/>
                <w:szCs w:val="22"/>
              </w:rPr>
              <w:t>s</w:t>
            </w:r>
            <w:r w:rsidRPr="004B1278">
              <w:rPr>
                <w:rFonts w:eastAsia="Times New Roman" w:cs="Times New Roman"/>
                <w:spacing w:val="-2"/>
                <w:w w:val="102"/>
                <w:sz w:val="22"/>
                <w:szCs w:val="22"/>
              </w:rPr>
              <w:t>t</w:t>
            </w:r>
            <w:r w:rsidRPr="004B1278">
              <w:rPr>
                <w:rFonts w:eastAsia="Times New Roman" w:cs="Times New Roman"/>
                <w:spacing w:val="5"/>
                <w:w w:val="102"/>
                <w:sz w:val="22"/>
                <w:szCs w:val="22"/>
              </w:rPr>
              <w:t>e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r</w:t>
            </w:r>
            <w:r w:rsidRPr="004B1278">
              <w:rPr>
                <w:rFonts w:eastAsia="Times New Roman" w:cs="Times New Roman"/>
                <w:spacing w:val="-18"/>
                <w:w w:val="102"/>
                <w:sz w:val="22"/>
                <w:szCs w:val="22"/>
              </w:rPr>
              <w:t>i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5E912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4B1278">
              <w:rPr>
                <w:rFonts w:eastAsia="Times New Roman" w:cs="Times New Roman"/>
                <w:spacing w:val="-2"/>
                <w:w w:val="102"/>
                <w:sz w:val="22"/>
                <w:szCs w:val="22"/>
              </w:rPr>
              <w:t>t</w:t>
            </w:r>
            <w:r w:rsidRPr="004B1278">
              <w:rPr>
                <w:rFonts w:eastAsia="Times New Roman" w:cs="Times New Roman"/>
                <w:spacing w:val="5"/>
                <w:w w:val="102"/>
                <w:sz w:val="22"/>
                <w:szCs w:val="22"/>
              </w:rPr>
              <w:t>a</w:t>
            </w:r>
            <w:r w:rsidRPr="004B1278">
              <w:rPr>
                <w:rFonts w:eastAsia="Times New Roman" w:cs="Times New Roman"/>
                <w:spacing w:val="-10"/>
                <w:w w:val="102"/>
                <w:sz w:val="22"/>
                <w:szCs w:val="22"/>
              </w:rPr>
              <w:t>m</w:t>
            </w:r>
            <w:r w:rsidRPr="004B1278">
              <w:rPr>
                <w:rFonts w:eastAsia="Times New Roman" w:cs="Times New Roman"/>
                <w:spacing w:val="2"/>
                <w:w w:val="102"/>
                <w:sz w:val="22"/>
                <w:szCs w:val="22"/>
              </w:rPr>
              <w:t>s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u</w:t>
            </w:r>
            <w:r w:rsidRPr="004B1278">
              <w:rPr>
                <w:rFonts w:eastAsia="Times New Roman" w:cs="Times New Roman"/>
                <w:spacing w:val="-18"/>
                <w:w w:val="102"/>
                <w:sz w:val="22"/>
                <w:szCs w:val="22"/>
              </w:rPr>
              <w:t>l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o</w:t>
            </w:r>
            <w:r w:rsidRPr="004B1278">
              <w:rPr>
                <w:rFonts w:eastAsia="Times New Roman" w:cs="Times New Roman"/>
                <w:spacing w:val="2"/>
                <w:w w:val="102"/>
                <w:sz w:val="22"/>
                <w:szCs w:val="22"/>
              </w:rPr>
              <w:t>s</w:t>
            </w:r>
            <w:r w:rsidRPr="004B1278">
              <w:rPr>
                <w:rFonts w:eastAsia="Times New Roman" w:cs="Times New Roman"/>
                <w:spacing w:val="-18"/>
                <w:w w:val="102"/>
                <w:sz w:val="22"/>
                <w:szCs w:val="22"/>
              </w:rPr>
              <w:t>í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n</w:t>
            </w:r>
            <w:proofErr w:type="spellEnd"/>
          </w:p>
        </w:tc>
      </w:tr>
      <w:tr w:rsidR="0018413F" w:rsidRPr="004B1278" w14:paraId="5BCE8029" w14:textId="77777777" w:rsidTr="008B761C">
        <w:trPr>
          <w:trHeight w:hRule="exact" w:val="749"/>
        </w:trPr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B0B5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2"/>
                <w:sz w:val="22"/>
                <w:szCs w:val="22"/>
              </w:rPr>
              <w:t>ARM</w:t>
            </w:r>
            <w:r w:rsidRPr="004B1278">
              <w:rPr>
                <w:rFonts w:eastAsia="Times New Roman" w:cs="Times New Roman"/>
                <w:spacing w:val="-1"/>
                <w:sz w:val="22"/>
                <w:szCs w:val="22"/>
              </w:rPr>
              <w:t xml:space="preserve"> al</w:t>
            </w:r>
            <w:r w:rsidRPr="004B1278">
              <w:rPr>
                <w:rFonts w:eastAsia="Times New Roman" w:cs="Times New Roman"/>
                <w:spacing w:val="-7"/>
                <w:sz w:val="22"/>
                <w:szCs w:val="22"/>
              </w:rPr>
              <w:t>ebo</w:t>
            </w:r>
            <w:r w:rsidRPr="004B1278">
              <w:rPr>
                <w:rFonts w:eastAsia="Times New Roman" w:cs="Times New Roman"/>
                <w:spacing w:val="9"/>
                <w:sz w:val="22"/>
                <w:szCs w:val="22"/>
              </w:rPr>
              <w:t xml:space="preserve"> chirurgický zákrok v dôsledku 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BH</w:t>
            </w:r>
            <w:r w:rsidRPr="004B1278">
              <w:rPr>
                <w:rFonts w:eastAsia="Times New Roman" w:cs="Times New Roman"/>
                <w:spacing w:val="10"/>
                <w:sz w:val="22"/>
                <w:szCs w:val="22"/>
              </w:rPr>
              <w:t>P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(</w:t>
            </w:r>
            <w:r w:rsidRPr="004B1278">
              <w:rPr>
                <w:rFonts w:eastAsia="Times New Roman" w:cs="Times New Roman"/>
                <w:spacing w:val="7"/>
                <w:w w:val="102"/>
                <w:sz w:val="22"/>
                <w:szCs w:val="22"/>
              </w:rPr>
              <w:t>%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CE78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5"/>
                <w:sz w:val="22"/>
                <w:szCs w:val="22"/>
              </w:rPr>
              <w:t>Výskyt v 48</w:t>
            </w:r>
            <w:r w:rsidRPr="004B1278">
              <w:rPr>
                <w:rFonts w:eastAsia="Times New Roman" w:cs="Times New Roman"/>
                <w:spacing w:val="-9"/>
                <w:sz w:val="22"/>
                <w:szCs w:val="22"/>
              </w:rPr>
              <w:t xml:space="preserve">. </w:t>
            </w:r>
            <w:r w:rsidRPr="004B1278">
              <w:rPr>
                <w:rFonts w:eastAsia="Times New Roman" w:cs="Times New Roman"/>
                <w:spacing w:val="-5"/>
                <w:sz w:val="22"/>
                <w:szCs w:val="22"/>
              </w:rPr>
              <w:t>mesiaci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ACB4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4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70CB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5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0223E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11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9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:rsidRPr="004B1278" w14:paraId="35EBF32F" w14:textId="77777777" w:rsidTr="008B761C">
        <w:trPr>
          <w:trHeight w:hRule="exact" w:val="709"/>
        </w:trPr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845B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z w:val="22"/>
                <w:szCs w:val="22"/>
              </w:rPr>
              <w:t>k</w:t>
            </w:r>
            <w:r w:rsidRPr="004B1278">
              <w:rPr>
                <w:rFonts w:eastAsia="Times New Roman" w:cs="Times New Roman"/>
                <w:spacing w:val="-18"/>
                <w:sz w:val="22"/>
                <w:szCs w:val="22"/>
              </w:rPr>
              <w:t>li</w:t>
            </w:r>
            <w:r w:rsidRPr="004B1278">
              <w:rPr>
                <w:rFonts w:eastAsia="Times New Roman" w:cs="Times New Roman"/>
                <w:spacing w:val="-7"/>
                <w:sz w:val="22"/>
                <w:szCs w:val="22"/>
              </w:rPr>
              <w:t>n</w:t>
            </w:r>
            <w:r w:rsidRPr="004B1278">
              <w:rPr>
                <w:rFonts w:eastAsia="Times New Roman" w:cs="Times New Roman"/>
                <w:spacing w:val="-18"/>
                <w:sz w:val="22"/>
                <w:szCs w:val="22"/>
              </w:rPr>
              <w:t>i</w:t>
            </w:r>
            <w:r w:rsidRPr="004B1278">
              <w:rPr>
                <w:rFonts w:eastAsia="Times New Roman" w:cs="Times New Roman"/>
                <w:spacing w:val="5"/>
                <w:sz w:val="22"/>
                <w:szCs w:val="22"/>
              </w:rPr>
              <w:t>cká</w:t>
            </w:r>
            <w:r w:rsidRPr="004B1278">
              <w:rPr>
                <w:rFonts w:eastAsia="Times New Roman" w:cs="Times New Roman"/>
                <w:spacing w:val="46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p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r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og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r</w:t>
            </w:r>
            <w:r w:rsidRPr="004B1278">
              <w:rPr>
                <w:rFonts w:eastAsia="Times New Roman" w:cs="Times New Roman"/>
                <w:spacing w:val="5"/>
                <w:w w:val="102"/>
                <w:sz w:val="22"/>
                <w:szCs w:val="22"/>
              </w:rPr>
              <w:t>e</w:t>
            </w:r>
            <w:r w:rsidRPr="004B1278">
              <w:rPr>
                <w:rFonts w:eastAsia="Times New Roman" w:cs="Times New Roman"/>
                <w:spacing w:val="2"/>
                <w:w w:val="102"/>
                <w:sz w:val="22"/>
                <w:szCs w:val="22"/>
              </w:rPr>
              <w:t>sia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* (</w:t>
            </w:r>
            <w:r w:rsidRPr="004B1278">
              <w:rPr>
                <w:rFonts w:eastAsia="Times New Roman" w:cs="Times New Roman"/>
                <w:spacing w:val="7"/>
                <w:w w:val="102"/>
                <w:sz w:val="22"/>
                <w:szCs w:val="22"/>
              </w:rPr>
              <w:t>%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5A45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spacing w:val="-5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5"/>
                <w:sz w:val="22"/>
                <w:szCs w:val="22"/>
              </w:rPr>
              <w:t>48. mesiac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CE048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12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147A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17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8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82DB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21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5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:rsidRPr="004B1278" w14:paraId="309C2CF4" w14:textId="77777777" w:rsidTr="008B761C">
        <w:trPr>
          <w:trHeight w:hRule="exact" w:val="809"/>
        </w:trPr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33EE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z w:val="22"/>
                <w:szCs w:val="22"/>
              </w:rPr>
              <w:t>I</w:t>
            </w:r>
            <w:r w:rsidRPr="004B1278">
              <w:rPr>
                <w:rFonts w:eastAsia="Times New Roman" w:cs="Times New Roman"/>
                <w:spacing w:val="10"/>
                <w:sz w:val="22"/>
                <w:szCs w:val="22"/>
              </w:rPr>
              <w:t>P</w:t>
            </w:r>
            <w:r w:rsidRPr="004B1278">
              <w:rPr>
                <w:rFonts w:eastAsia="Times New Roman" w:cs="Times New Roman"/>
                <w:spacing w:val="-5"/>
                <w:sz w:val="22"/>
                <w:szCs w:val="22"/>
              </w:rPr>
              <w:t>S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S</w:t>
            </w:r>
            <w:r w:rsidRPr="004B1278">
              <w:rPr>
                <w:rFonts w:eastAsia="Times New Roman" w:cs="Times New Roman"/>
                <w:spacing w:val="-6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(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jednotky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13D8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w w:val="102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[východisková hodnota]</w:t>
            </w:r>
          </w:p>
          <w:p w14:paraId="68EC0BE6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5"/>
                <w:sz w:val="22"/>
                <w:szCs w:val="22"/>
              </w:rPr>
              <w:t>48. mesiac</w:t>
            </w:r>
            <w:r w:rsidRPr="004B1278">
              <w:rPr>
                <w:rFonts w:eastAsia="Times New Roman" w:cs="Times New Roman"/>
                <w:spacing w:val="2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(zmena</w:t>
            </w:r>
            <w:r w:rsidRPr="004B1278">
              <w:rPr>
                <w:rFonts w:eastAsia="Times New Roman" w:cs="Times New Roman"/>
                <w:spacing w:val="25"/>
                <w:sz w:val="22"/>
                <w:szCs w:val="22"/>
              </w:rPr>
              <w:t xml:space="preserve"> oproti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 xml:space="preserve"> východiskovej</w:t>
            </w:r>
            <w:r w:rsidRPr="004B1278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6CDE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16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6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600A5338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6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6BA1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16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4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0E58C2A1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5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445F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16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4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765EDEF4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1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8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:rsidRPr="004B1278" w14:paraId="108612F2" w14:textId="77777777" w:rsidTr="008B761C">
        <w:trPr>
          <w:trHeight w:hRule="exact" w:val="980"/>
        </w:trPr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5F49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3"/>
                <w:position w:val="13"/>
                <w:sz w:val="22"/>
                <w:szCs w:val="22"/>
              </w:rPr>
              <w:t>Q</w:t>
            </w:r>
            <w:r w:rsidRPr="004B1278">
              <w:rPr>
                <w:rFonts w:eastAsia="Times New Roman" w:cs="Times New Roman"/>
                <w:spacing w:val="3"/>
                <w:sz w:val="22"/>
                <w:szCs w:val="22"/>
                <w:vertAlign w:val="subscript"/>
              </w:rPr>
              <w:t xml:space="preserve">max </w:t>
            </w:r>
            <w:r w:rsidRPr="004B1278">
              <w:rPr>
                <w:rFonts w:eastAsia="Times New Roman" w:cs="Times New Roman"/>
                <w:w w:val="102"/>
                <w:position w:val="13"/>
                <w:sz w:val="22"/>
                <w:szCs w:val="22"/>
              </w:rPr>
              <w:t>(</w:t>
            </w:r>
            <w:r w:rsidRPr="004B1278">
              <w:rPr>
                <w:rFonts w:eastAsia="Times New Roman" w:cs="Times New Roman"/>
                <w:spacing w:val="-10"/>
                <w:w w:val="102"/>
                <w:position w:val="13"/>
                <w:sz w:val="22"/>
                <w:szCs w:val="22"/>
              </w:rPr>
              <w:t>m</w:t>
            </w:r>
            <w:r w:rsidRPr="004B1278">
              <w:rPr>
                <w:rFonts w:eastAsia="Times New Roman" w:cs="Times New Roman"/>
                <w:spacing w:val="-2"/>
                <w:w w:val="102"/>
                <w:position w:val="13"/>
                <w:sz w:val="22"/>
                <w:szCs w:val="22"/>
              </w:rPr>
              <w:t>l/</w:t>
            </w:r>
            <w:proofErr w:type="spellStart"/>
            <w:r w:rsidRPr="004B1278">
              <w:rPr>
                <w:rFonts w:eastAsia="Times New Roman" w:cs="Times New Roman"/>
                <w:spacing w:val="2"/>
                <w:w w:val="102"/>
                <w:position w:val="13"/>
                <w:sz w:val="22"/>
                <w:szCs w:val="22"/>
              </w:rPr>
              <w:t>s</w:t>
            </w:r>
            <w:r w:rsidRPr="004B1278">
              <w:rPr>
                <w:rFonts w:eastAsia="Times New Roman" w:cs="Times New Roman"/>
                <w:spacing w:val="5"/>
                <w:w w:val="102"/>
                <w:position w:val="13"/>
                <w:sz w:val="22"/>
                <w:szCs w:val="22"/>
              </w:rPr>
              <w:t>ec</w:t>
            </w:r>
            <w:proofErr w:type="spellEnd"/>
            <w:r w:rsidRPr="004B1278">
              <w:rPr>
                <w:rFonts w:eastAsia="Times New Roman" w:cs="Times New Roman"/>
                <w:w w:val="102"/>
                <w:position w:val="13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55AC6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w w:val="102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[východisková hodnota]</w:t>
            </w:r>
          </w:p>
          <w:p w14:paraId="63081D18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5"/>
                <w:sz w:val="22"/>
                <w:szCs w:val="22"/>
              </w:rPr>
              <w:t>48. mesiac</w:t>
            </w:r>
            <w:r w:rsidRPr="004B1278">
              <w:rPr>
                <w:rFonts w:eastAsia="Times New Roman" w:cs="Times New Roman"/>
                <w:spacing w:val="2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(zmena</w:t>
            </w:r>
            <w:r w:rsidRPr="004B1278">
              <w:rPr>
                <w:rFonts w:eastAsia="Times New Roman" w:cs="Times New Roman"/>
                <w:spacing w:val="25"/>
                <w:sz w:val="22"/>
                <w:szCs w:val="22"/>
              </w:rPr>
              <w:t xml:space="preserve"> oproti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 xml:space="preserve"> východiskovej</w:t>
            </w:r>
            <w:r w:rsidRPr="004B1278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0047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10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9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43848679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2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B243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10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6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63EE9A2A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2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37B1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position w:val="-13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position w:val="-13"/>
                <w:sz w:val="22"/>
                <w:szCs w:val="22"/>
              </w:rPr>
              <w:t>10</w:t>
            </w:r>
            <w:r w:rsidRPr="004B1278">
              <w:rPr>
                <w:rFonts w:eastAsia="Times New Roman" w:cs="Times New Roman"/>
                <w:spacing w:val="4"/>
                <w:w w:val="102"/>
                <w:position w:val="-13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position w:val="-13"/>
                <w:sz w:val="22"/>
                <w:szCs w:val="22"/>
              </w:rPr>
              <w:t>7</w:t>
            </w:r>
            <w:r w:rsidRPr="004B1278">
              <w:rPr>
                <w:rFonts w:eastAsia="Times New Roman" w:cs="Times New Roman"/>
                <w:w w:val="102"/>
                <w:position w:val="-13"/>
                <w:sz w:val="22"/>
                <w:szCs w:val="22"/>
              </w:rPr>
              <w:t>]</w:t>
            </w:r>
          </w:p>
          <w:p w14:paraId="516E537F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0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7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:rsidRPr="004B1278" w14:paraId="6021F49C" w14:textId="77777777" w:rsidTr="008B761C">
        <w:trPr>
          <w:trHeight w:hRule="exact" w:val="986"/>
        </w:trPr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7F4C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10"/>
                <w:sz w:val="22"/>
                <w:szCs w:val="22"/>
              </w:rPr>
              <w:lastRenderedPageBreak/>
              <w:t>objem p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r</w:t>
            </w:r>
            <w:r w:rsidRPr="004B1278">
              <w:rPr>
                <w:rFonts w:eastAsia="Times New Roman" w:cs="Times New Roman"/>
                <w:spacing w:val="-7"/>
                <w:sz w:val="22"/>
                <w:szCs w:val="22"/>
              </w:rPr>
              <w:t>o</w:t>
            </w:r>
            <w:r w:rsidRPr="004B1278">
              <w:rPr>
                <w:rFonts w:eastAsia="Times New Roman" w:cs="Times New Roman"/>
                <w:spacing w:val="2"/>
                <w:sz w:val="22"/>
                <w:szCs w:val="22"/>
              </w:rPr>
              <w:t>s</w:t>
            </w:r>
            <w:r w:rsidRPr="004B1278">
              <w:rPr>
                <w:rFonts w:eastAsia="Times New Roman" w:cs="Times New Roman"/>
                <w:spacing w:val="-2"/>
                <w:sz w:val="22"/>
                <w:szCs w:val="22"/>
              </w:rPr>
              <w:t>t</w:t>
            </w:r>
            <w:r w:rsidRPr="004B1278">
              <w:rPr>
                <w:rFonts w:eastAsia="Times New Roman" w:cs="Times New Roman"/>
                <w:spacing w:val="5"/>
                <w:sz w:val="22"/>
                <w:szCs w:val="22"/>
              </w:rPr>
              <w:t>a</w:t>
            </w:r>
            <w:r w:rsidRPr="004B1278">
              <w:rPr>
                <w:rFonts w:eastAsia="Times New Roman" w:cs="Times New Roman"/>
                <w:spacing w:val="-2"/>
                <w:sz w:val="22"/>
                <w:szCs w:val="22"/>
              </w:rPr>
              <w:t>t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y</w:t>
            </w:r>
            <w:r w:rsidRPr="004B1278">
              <w:rPr>
                <w:rFonts w:eastAsia="Times New Roman" w:cs="Times New Roman"/>
                <w:spacing w:val="9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(</w:t>
            </w:r>
            <w:r w:rsidRPr="004B1278">
              <w:rPr>
                <w:rFonts w:eastAsia="Times New Roman" w:cs="Times New Roman"/>
                <w:spacing w:val="-10"/>
                <w:w w:val="102"/>
                <w:sz w:val="22"/>
                <w:szCs w:val="22"/>
              </w:rPr>
              <w:t>m</w:t>
            </w:r>
            <w:r w:rsidRPr="004B1278">
              <w:rPr>
                <w:rFonts w:eastAsia="Times New Roman" w:cs="Times New Roman"/>
                <w:spacing w:val="-18"/>
                <w:w w:val="102"/>
                <w:sz w:val="22"/>
                <w:szCs w:val="22"/>
              </w:rPr>
              <w:t>l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2EA0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w w:val="102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[východisková hodnota]</w:t>
            </w:r>
          </w:p>
          <w:p w14:paraId="34826374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5"/>
                <w:sz w:val="22"/>
                <w:szCs w:val="22"/>
              </w:rPr>
              <w:t>48. mesiac</w:t>
            </w:r>
            <w:r w:rsidRPr="004B1278">
              <w:rPr>
                <w:rFonts w:eastAsia="Times New Roman" w:cs="Times New Roman"/>
                <w:spacing w:val="2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(zmena</w:t>
            </w:r>
            <w:r w:rsidRPr="004B1278">
              <w:rPr>
                <w:rFonts w:eastAsia="Times New Roman" w:cs="Times New Roman"/>
                <w:spacing w:val="25"/>
                <w:sz w:val="22"/>
                <w:szCs w:val="22"/>
              </w:rPr>
              <w:t xml:space="preserve"> oproti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 xml:space="preserve"> východiskovej</w:t>
            </w:r>
            <w:r w:rsidRPr="004B1278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33E2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54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7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4C89174E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27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FD9A3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54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6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0C5D14F0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28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030B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55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8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10F69E42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+4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6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:rsidRPr="004B1278" w14:paraId="5B8AB4DE" w14:textId="77777777" w:rsidTr="008B761C">
        <w:trPr>
          <w:trHeight w:hRule="exact" w:val="986"/>
        </w:trPr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EC13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10"/>
                <w:sz w:val="22"/>
                <w:szCs w:val="22"/>
              </w:rPr>
              <w:t>objem prechodnej zóny p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r</w:t>
            </w:r>
            <w:r w:rsidRPr="004B1278">
              <w:rPr>
                <w:rFonts w:eastAsia="Times New Roman" w:cs="Times New Roman"/>
                <w:spacing w:val="-7"/>
                <w:sz w:val="22"/>
                <w:szCs w:val="22"/>
              </w:rPr>
              <w:t>o</w:t>
            </w:r>
            <w:r w:rsidRPr="004B1278">
              <w:rPr>
                <w:rFonts w:eastAsia="Times New Roman" w:cs="Times New Roman"/>
                <w:spacing w:val="2"/>
                <w:sz w:val="22"/>
                <w:szCs w:val="22"/>
              </w:rPr>
              <w:t>s</w:t>
            </w:r>
            <w:r w:rsidRPr="004B1278">
              <w:rPr>
                <w:rFonts w:eastAsia="Times New Roman" w:cs="Times New Roman"/>
                <w:spacing w:val="-2"/>
                <w:sz w:val="22"/>
                <w:szCs w:val="22"/>
              </w:rPr>
              <w:t>t</w:t>
            </w:r>
            <w:r w:rsidRPr="004B1278">
              <w:rPr>
                <w:rFonts w:eastAsia="Times New Roman" w:cs="Times New Roman"/>
                <w:spacing w:val="5"/>
                <w:sz w:val="22"/>
                <w:szCs w:val="22"/>
              </w:rPr>
              <w:t>a</w:t>
            </w:r>
            <w:r w:rsidRPr="004B1278">
              <w:rPr>
                <w:rFonts w:eastAsia="Times New Roman" w:cs="Times New Roman"/>
                <w:spacing w:val="-2"/>
                <w:sz w:val="22"/>
                <w:szCs w:val="22"/>
              </w:rPr>
              <w:t>t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y</w:t>
            </w:r>
            <w:r w:rsidRPr="004B1278">
              <w:rPr>
                <w:rFonts w:eastAsia="Times New Roman" w:cs="Times New Roman"/>
                <w:spacing w:val="9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(</w:t>
            </w:r>
            <w:r w:rsidRPr="004B1278">
              <w:rPr>
                <w:rFonts w:eastAsia="Times New Roman" w:cs="Times New Roman"/>
                <w:spacing w:val="-10"/>
                <w:w w:val="102"/>
                <w:sz w:val="22"/>
                <w:szCs w:val="22"/>
              </w:rPr>
              <w:t>m</w:t>
            </w:r>
            <w:r w:rsidRPr="004B1278">
              <w:rPr>
                <w:rFonts w:eastAsia="Times New Roman" w:cs="Times New Roman"/>
                <w:spacing w:val="-18"/>
                <w:w w:val="102"/>
                <w:sz w:val="22"/>
                <w:szCs w:val="22"/>
              </w:rPr>
              <w:t>l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)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#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61DA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w w:val="102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[východisková hodnota]</w:t>
            </w:r>
          </w:p>
          <w:p w14:paraId="1648D6F1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5"/>
                <w:sz w:val="22"/>
                <w:szCs w:val="22"/>
              </w:rPr>
              <w:t>48. mesiac</w:t>
            </w:r>
            <w:r w:rsidRPr="004B1278">
              <w:rPr>
                <w:rFonts w:eastAsia="Times New Roman" w:cs="Times New Roman"/>
                <w:spacing w:val="2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(zmena</w:t>
            </w:r>
            <w:r w:rsidRPr="004B1278">
              <w:rPr>
                <w:rFonts w:eastAsia="Times New Roman" w:cs="Times New Roman"/>
                <w:spacing w:val="25"/>
                <w:sz w:val="22"/>
                <w:szCs w:val="22"/>
              </w:rPr>
              <w:t xml:space="preserve"> oproti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 xml:space="preserve"> východiskovej</w:t>
            </w:r>
            <w:r w:rsidRPr="004B1278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A103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27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7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2CAFB22E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17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4A20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30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754FAF66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26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8CCFA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30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5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25AC3C1C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18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2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:rsidRPr="004B1278" w14:paraId="1D41BADC" w14:textId="77777777" w:rsidTr="008B761C">
        <w:trPr>
          <w:trHeight w:val="580"/>
        </w:trPr>
        <w:tc>
          <w:tcPr>
            <w:tcW w:w="21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996A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z w:val="22"/>
                <w:szCs w:val="22"/>
              </w:rPr>
              <w:t>BHP</w:t>
            </w:r>
            <w:r w:rsidRPr="004B1278">
              <w:rPr>
                <w:rFonts w:eastAsia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B1278">
              <w:rPr>
                <w:rFonts w:eastAsia="Times New Roman" w:cs="Times New Roman"/>
                <w:sz w:val="22"/>
                <w:szCs w:val="22"/>
              </w:rPr>
              <w:t>I</w:t>
            </w:r>
            <w:r w:rsidRPr="004B1278">
              <w:rPr>
                <w:rFonts w:eastAsia="Times New Roman" w:cs="Times New Roman"/>
                <w:spacing w:val="-10"/>
                <w:sz w:val="22"/>
                <w:szCs w:val="22"/>
              </w:rPr>
              <w:t>m</w:t>
            </w:r>
            <w:r w:rsidRPr="004B1278">
              <w:rPr>
                <w:rFonts w:eastAsia="Times New Roman" w:cs="Times New Roman"/>
                <w:spacing w:val="-7"/>
                <w:sz w:val="22"/>
                <w:szCs w:val="22"/>
              </w:rPr>
              <w:t>p</w:t>
            </w:r>
            <w:r w:rsidRPr="004B1278">
              <w:rPr>
                <w:rFonts w:eastAsia="Times New Roman" w:cs="Times New Roman"/>
                <w:spacing w:val="5"/>
                <w:sz w:val="22"/>
                <w:szCs w:val="22"/>
              </w:rPr>
              <w:t>ac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t</w:t>
            </w:r>
            <w:proofErr w:type="spellEnd"/>
            <w:r w:rsidRPr="004B1278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I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nd</w:t>
            </w:r>
            <w:r w:rsidRPr="004B1278">
              <w:rPr>
                <w:rFonts w:eastAsia="Times New Roman" w:cs="Times New Roman"/>
                <w:spacing w:val="5"/>
                <w:w w:val="102"/>
                <w:sz w:val="22"/>
                <w:szCs w:val="22"/>
              </w:rPr>
              <w:t>e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x</w:t>
            </w:r>
          </w:p>
          <w:p w14:paraId="698F5F82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z w:val="22"/>
                <w:szCs w:val="22"/>
              </w:rPr>
              <w:t>(BII)</w:t>
            </w:r>
            <w:r w:rsidRPr="004B1278">
              <w:rPr>
                <w:rFonts w:eastAsia="Times New Roman" w:cs="Times New Roman"/>
                <w:spacing w:val="-1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(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jednotky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DC90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w w:val="102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[východisková hodnota]</w:t>
            </w:r>
          </w:p>
          <w:p w14:paraId="5ECD4E16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5"/>
                <w:sz w:val="22"/>
                <w:szCs w:val="22"/>
              </w:rPr>
              <w:t>48. mesiac</w:t>
            </w:r>
            <w:r w:rsidRPr="004B1278">
              <w:rPr>
                <w:rFonts w:eastAsia="Times New Roman" w:cs="Times New Roman"/>
                <w:spacing w:val="2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(zmena</w:t>
            </w:r>
            <w:r w:rsidRPr="004B1278">
              <w:rPr>
                <w:rFonts w:eastAsia="Times New Roman" w:cs="Times New Roman"/>
                <w:spacing w:val="25"/>
                <w:sz w:val="22"/>
                <w:szCs w:val="22"/>
              </w:rPr>
              <w:t xml:space="preserve"> oproti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 xml:space="preserve"> východiskovej</w:t>
            </w:r>
            <w:r w:rsidRPr="004B1278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90AA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5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0C6F881A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2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05B8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5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7A792720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8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EFB2D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5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4956AD43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1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2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a</w:t>
            </w:r>
          </w:p>
        </w:tc>
      </w:tr>
      <w:tr w:rsidR="0018413F" w:rsidRPr="004B1278" w14:paraId="2D52B16B" w14:textId="77777777" w:rsidTr="004B1278">
        <w:trPr>
          <w:trHeight w:hRule="exact" w:val="1068"/>
        </w:trPr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4363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z w:val="22"/>
                <w:szCs w:val="22"/>
              </w:rPr>
              <w:t>I</w:t>
            </w:r>
            <w:r w:rsidRPr="004B1278">
              <w:rPr>
                <w:rFonts w:eastAsia="Times New Roman" w:cs="Times New Roman"/>
                <w:spacing w:val="10"/>
                <w:sz w:val="22"/>
                <w:szCs w:val="22"/>
              </w:rPr>
              <w:t>P</w:t>
            </w:r>
            <w:r w:rsidRPr="004B1278">
              <w:rPr>
                <w:rFonts w:eastAsia="Times New Roman" w:cs="Times New Roman"/>
                <w:spacing w:val="-5"/>
                <w:sz w:val="22"/>
                <w:szCs w:val="22"/>
              </w:rPr>
              <w:t>S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S</w:t>
            </w:r>
            <w:r w:rsidRPr="004B1278">
              <w:rPr>
                <w:rFonts w:eastAsia="Times New Roman" w:cs="Times New Roman"/>
                <w:spacing w:val="-6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spacing w:val="2"/>
                <w:sz w:val="22"/>
                <w:szCs w:val="22"/>
              </w:rPr>
              <w:t>otázka</w:t>
            </w:r>
            <w:r w:rsidRPr="004B1278">
              <w:rPr>
                <w:rFonts w:eastAsia="Times New Roman" w:cs="Times New Roman"/>
                <w:spacing w:val="28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8</w:t>
            </w:r>
          </w:p>
          <w:p w14:paraId="07E83962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z w:val="22"/>
                <w:szCs w:val="22"/>
              </w:rPr>
              <w:t>(zdravotný stav súvisiaci s B</w:t>
            </w:r>
            <w:r w:rsidRPr="004B1278">
              <w:rPr>
                <w:rFonts w:eastAsia="Times New Roman" w:cs="Times New Roman"/>
                <w:spacing w:val="3"/>
                <w:sz w:val="22"/>
                <w:szCs w:val="22"/>
              </w:rPr>
              <w:t>HP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)</w:t>
            </w:r>
            <w:r w:rsidRPr="004B1278">
              <w:rPr>
                <w:rFonts w:eastAsia="Times New Roman" w:cs="Times New Roman"/>
                <w:spacing w:val="3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(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jednotky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275C" w14:textId="77777777" w:rsidR="0018413F" w:rsidRPr="004B1278" w:rsidRDefault="00DB2AFC" w:rsidP="004B1278">
            <w:pPr>
              <w:pStyle w:val="Standard"/>
              <w:rPr>
                <w:rFonts w:eastAsia="Times New Roman" w:cs="Times New Roman"/>
                <w:w w:val="102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[východisková hodnota]</w:t>
            </w:r>
          </w:p>
          <w:p w14:paraId="3568EE8E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-5"/>
                <w:sz w:val="22"/>
                <w:szCs w:val="22"/>
              </w:rPr>
              <w:t>48. mesiac</w:t>
            </w:r>
            <w:r w:rsidRPr="004B1278">
              <w:rPr>
                <w:rFonts w:eastAsia="Times New Roman" w:cs="Times New Roman"/>
                <w:spacing w:val="2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(zmena</w:t>
            </w:r>
            <w:r w:rsidRPr="004B1278">
              <w:rPr>
                <w:rFonts w:eastAsia="Times New Roman" w:cs="Times New Roman"/>
                <w:spacing w:val="25"/>
                <w:sz w:val="22"/>
                <w:szCs w:val="22"/>
              </w:rPr>
              <w:t xml:space="preserve"> oproti </w:t>
            </w:r>
            <w:r w:rsidRPr="004B1278">
              <w:rPr>
                <w:rFonts w:eastAsia="Times New Roman" w:cs="Times New Roman"/>
                <w:sz w:val="22"/>
                <w:szCs w:val="22"/>
              </w:rPr>
              <w:t>východiskovej</w:t>
            </w:r>
            <w:r w:rsidRPr="004B1278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9A6D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6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00F4FD1A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E7615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6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4724E0D7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27BE8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[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3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6</w:t>
            </w:r>
            <w:r w:rsidRPr="004B1278">
              <w:rPr>
                <w:rFonts w:eastAsia="Times New Roman" w:cs="Times New Roman"/>
                <w:w w:val="102"/>
                <w:sz w:val="22"/>
                <w:szCs w:val="22"/>
              </w:rPr>
              <w:t>]</w:t>
            </w:r>
          </w:p>
          <w:p w14:paraId="61E87162" w14:textId="77777777" w:rsidR="0018413F" w:rsidRPr="004B1278" w:rsidRDefault="00DB2AFC" w:rsidP="004B127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4B1278">
              <w:rPr>
                <w:rFonts w:eastAsia="Times New Roman" w:cs="Times New Roman"/>
                <w:spacing w:val="1"/>
                <w:w w:val="102"/>
                <w:sz w:val="22"/>
                <w:szCs w:val="22"/>
              </w:rPr>
              <w:t>-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</w:t>
            </w:r>
            <w:r w:rsidRPr="004B1278">
              <w:rPr>
                <w:rFonts w:eastAsia="Times New Roman" w:cs="Times New Roman"/>
                <w:spacing w:val="4"/>
                <w:w w:val="102"/>
                <w:sz w:val="22"/>
                <w:szCs w:val="22"/>
              </w:rPr>
              <w:t>,</w:t>
            </w:r>
            <w:r w:rsidRPr="004B1278">
              <w:rPr>
                <w:rFonts w:eastAsia="Times New Roman" w:cs="Times New Roman"/>
                <w:spacing w:val="-7"/>
                <w:w w:val="102"/>
                <w:sz w:val="22"/>
                <w:szCs w:val="22"/>
              </w:rPr>
              <w:t>1</w:t>
            </w:r>
            <w:r w:rsidRPr="004B1278">
              <w:rPr>
                <w:rFonts w:eastAsia="Times New Roman" w:cs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</w:tbl>
    <w:p w14:paraId="586D102A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Východiskové hodnoty sú priemerné hodnoty a zmeny oproti východiskovej hodnote sú upravené priemerné zmeny.</w:t>
      </w:r>
    </w:p>
    <w:p w14:paraId="725CECAA" w14:textId="77777777" w:rsidR="008B761C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* Klinická progresia bola definovaná ako súhrn týchto parametrov: zhoršenie IPSS o ≥4 body, ARM súvisiace s BHP, inkontinencia, IMC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renálna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insuficiencia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</w:t>
      </w:r>
      <w:r w:rsidRPr="004B1278">
        <w:rPr>
          <w:rFonts w:eastAsia="Times New Roman" w:cs="Times New Roman"/>
          <w:sz w:val="22"/>
          <w:szCs w:val="22"/>
          <w:lang w:eastAsia="cs-CZ"/>
        </w:rPr>
        <w:br/>
      </w:r>
      <w:r w:rsidRPr="004B1278">
        <w:rPr>
          <w:rFonts w:eastAsia="Times New Roman" w:cs="Times New Roman"/>
          <w:sz w:val="22"/>
          <w:szCs w:val="22"/>
          <w:vertAlign w:val="superscript"/>
          <w:lang w:eastAsia="cs-CZ"/>
        </w:rPr>
        <w:t>#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Hodnotené vo vybraných miestach (13 %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randomizovaných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pacientov).</w:t>
      </w:r>
      <w:r w:rsidRPr="004B1278">
        <w:rPr>
          <w:rFonts w:eastAsia="Times New Roman" w:cs="Times New Roman"/>
          <w:sz w:val="22"/>
          <w:szCs w:val="22"/>
          <w:lang w:eastAsia="cs-CZ"/>
        </w:rPr>
        <w:br/>
      </w:r>
      <w:r w:rsidRPr="004B1278">
        <w:rPr>
          <w:rFonts w:eastAsia="Times New Roman" w:cs="Times New Roman"/>
          <w:sz w:val="22"/>
          <w:szCs w:val="22"/>
          <w:vertAlign w:val="superscript"/>
          <w:lang w:eastAsia="cs-CZ"/>
        </w:rPr>
        <w:t xml:space="preserve">a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Kombinovaná liečba dosiahla signifikantnú významnosť (p &lt; 0,001) pri porovnaní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48. mesiaci.</w:t>
      </w:r>
    </w:p>
    <w:p w14:paraId="6B12013C" w14:textId="23AF9A05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vertAlign w:val="superscript"/>
          <w:lang w:eastAsia="cs-CZ"/>
        </w:rPr>
        <w:t>b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Kombinovaná liečba dosiahla signifikantnú významnosť (p &lt; 0,001) pri porovnaní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48. mesiaci.</w:t>
      </w:r>
    </w:p>
    <w:p w14:paraId="6F8451BF" w14:textId="77777777" w:rsidR="004B0064" w:rsidRPr="004B1278" w:rsidRDefault="004B0064" w:rsidP="004B1278">
      <w:pPr>
        <w:pStyle w:val="Standard"/>
        <w:rPr>
          <w:rFonts w:cs="Times New Roman"/>
          <w:sz w:val="22"/>
          <w:szCs w:val="22"/>
        </w:rPr>
      </w:pPr>
    </w:p>
    <w:p w14:paraId="2CC63CCE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i/>
          <w:sz w:val="22"/>
          <w:szCs w:val="22"/>
          <w:lang w:eastAsia="cs-CZ"/>
        </w:rPr>
      </w:pPr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>Kardiovaskulárne nežiaduce účinky</w:t>
      </w:r>
    </w:p>
    <w:p w14:paraId="4C1774CA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4-ročnej štúdii hodnotiacej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kombinácii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u 4 844 mužov s BHP (štúdia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CombAT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 bol výskyt zlyhania srdca ako spoločného výrazu v skupine s kombinovanou liečbou (14/1 610; 0,9%) vyšší ako v obidvoch skupinách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monoterapiou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: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(4/1 623; 0,2%)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(10/1611; 0,6%).</w:t>
      </w:r>
    </w:p>
    <w:p w14:paraId="4240F882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3AE84DF0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oddelenej 4-ročnej štúdii hodnotiacej 8 231 mužov vo veku 50 až 75 rokov s predchádzajúcou negatívnou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biopsiou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stanovenie rakoviny prostaty a východiskovou hodnotou PSA medzi 2,5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 až 10,0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 u mužov vo veku 50 až 60 rokov alebo 3,0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 až 10,0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 v prípade mužov starších 60 rokov (štúdia REDUCE) bol vyšší výskyt spoločného výrazu srdcového zlyhania u pacientov užívajúcich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dávke 0,5 mg raz denne (30/4 105; 0,7%) v porovnaní s pacientmi užívajúcimi placebo (16/4 126; 0,4%).</w:t>
      </w:r>
    </w:p>
    <w:p w14:paraId="7D02C0E2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Post-hoc analýza tejto štúdie ukázala vyšší výskyt spoločného výrazu srdcového zlyhania u pacientov užívajúcich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spolu s alfa-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blokátorom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(12/1 152; 1,0%) v porovnaní s pacientmi užívajúcimi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bez alfa-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blokátoru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(18/2 953; 0,6%), placebo s alfa-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blokátorem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(1/1 399, &lt; 0,1%) alebo placebo bez alfa-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blokátoru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(15/2 727; 0,6%) (pozri časť 4.4).</w:t>
      </w:r>
    </w:p>
    <w:p w14:paraId="518A7143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6DAE8FFD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Pri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meta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-analýze 12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randomizovaných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placebom alebo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komparátorom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kontrolovaných klinických štúdiách (n = 18 802) hodnotiacich riziko vzniku kardiovaskulárnych nežiaducich účinkov vyplývajúcich z užívania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(v porovnaní s kontrolami) nebolo zistené žiadne konzistentné, štatisticky významné zvýšenie rizika srdcového zlyhania (RR 1,05; 95% CI 0,71, 1,57), akútneho infarktu myokardu (RR 1,00; 95% CI 0,77, 1,30) alebo cievnej mozgovej príhody (RR 1,20; 95% CI 0,88, 1,64).</w:t>
      </w:r>
    </w:p>
    <w:p w14:paraId="4727EF9B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5CD6E0B5" w14:textId="2557E019" w:rsidR="0018413F" w:rsidRPr="004B1278" w:rsidRDefault="00DB2AFC" w:rsidP="004B1278">
      <w:pPr>
        <w:pStyle w:val="Standard"/>
        <w:rPr>
          <w:rFonts w:eastAsia="Times New Roman" w:cs="Times New Roman"/>
          <w:bCs/>
          <w:i/>
          <w:sz w:val="22"/>
          <w:szCs w:val="22"/>
          <w:lang w:eastAsia="cs-CZ"/>
        </w:rPr>
      </w:pPr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 xml:space="preserve">Rakovina prostaty a </w:t>
      </w:r>
      <w:proofErr w:type="spellStart"/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>high-grade</w:t>
      </w:r>
      <w:proofErr w:type="spellEnd"/>
      <w:r w:rsidRPr="004B1278">
        <w:rPr>
          <w:rFonts w:eastAsia="Times New Roman" w:cs="Times New Roman"/>
          <w:bCs/>
          <w:i/>
          <w:sz w:val="22"/>
          <w:szCs w:val="22"/>
          <w:lang w:eastAsia="cs-CZ"/>
        </w:rPr>
        <w:t xml:space="preserve"> tumory</w:t>
      </w:r>
      <w:r w:rsidR="00CD5023" w:rsidRPr="004B1278">
        <w:rPr>
          <w:rFonts w:eastAsia="Times New Roman" w:cs="Times New Roman"/>
          <w:bCs/>
          <w:i/>
          <w:sz w:val="22"/>
          <w:szCs w:val="22"/>
          <w:lang w:eastAsia="cs-CZ"/>
        </w:rPr>
        <w:tab/>
      </w:r>
    </w:p>
    <w:p w14:paraId="3A776D13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4-ročnom porovnaní placeba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u 8 231 mužov vo veku 50 až 75 rokov s predchádzajúcou negatívnou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biopsiou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rakovinu prostaty a východiskovou hodnotou PSA medzi 2,5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 až 10,0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 u mužov vo veku 50 až 60 rokov alebo 3,0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 až 10,0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 v prípade mužov starších 60 rokov (štúdia REDUCE) boli k dispozícii výsledky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biopsie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prostaty ihlou (primárne vyžadované protokolom) u 6 706 pacientov pri analýze pre stanovenie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Gleasonovho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skóre. V tejto štúdii bolo u 1 517 pacientov diagnostikovaná rakovina prostaty. Väčšina prípadov rakoviny prostaty detekovateľných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biopsiou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obidvoch liečených skupinách bola diagnostikovaná ako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low-grade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r w:rsidRPr="004B1278">
        <w:rPr>
          <w:rFonts w:eastAsia="Times New Roman" w:cs="Times New Roman"/>
          <w:sz w:val="22"/>
          <w:szCs w:val="22"/>
          <w:lang w:eastAsia="cs-CZ"/>
        </w:rPr>
        <w:lastRenderedPageBreak/>
        <w:t>(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5-6, 70%).</w:t>
      </w:r>
    </w:p>
    <w:p w14:paraId="621FE619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12A04C45" w14:textId="6F2D1176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skupine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(n=29; 0,9%) bol vyšší výskyt rakoviny prostaty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8-10 v porovnaní so skupinou s placebom (n=19; 0,6%) (p=0,15). V 1. a 2. roku bol počet pacientov s rakovinou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8-10 podobný v skupine liečenej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(n=17; 0,5%) a v skupine s placebom (n=18; 0,5%). V 3. a 4. roku bolo v skupine liečenej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(n=12; 0,5%) diagnostikovaných viac prípadov rakoviny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8-10, v porovnaní so skupinou s placebom (n=1; &lt; 0,1%) (p = 0,0035). K dispozícii nie sú žiadne dostupné údaje týkajúce sa vplyvu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riziko rakoviny prostaty u mužov po 4 rokoch. Percento pacientov, u ktorých bola diagnostikovaná rakovina prostaty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8-10, boli v skupine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konzistentné (0,5% v každom období liečby), naprieč časovým</w:t>
      </w:r>
      <w:r w:rsidR="00CD5023" w:rsidRPr="004B1278">
        <w:rPr>
          <w:rFonts w:eastAsia="Times New Roman" w:cs="Times New Roman"/>
          <w:sz w:val="22"/>
          <w:szCs w:val="22"/>
          <w:lang w:eastAsia="cs-CZ"/>
        </w:rPr>
        <w:t>i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obdobiam</w:t>
      </w:r>
      <w:r w:rsidR="00CD5023" w:rsidRPr="004B1278">
        <w:rPr>
          <w:rFonts w:eastAsia="Times New Roman" w:cs="Times New Roman"/>
          <w:sz w:val="22"/>
          <w:szCs w:val="22"/>
          <w:lang w:eastAsia="cs-CZ"/>
        </w:rPr>
        <w:t>i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štúdie</w:t>
      </w:r>
      <w:r w:rsidR="00CD5023"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(1. a 2. rok a 3. a 4. rok), zatiaľ čo v skupine s placebom bolo percento pacientov s diagnostikovanou rakovinou prostaty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8-10 nižšie počas 3. a 4. roku v porovnaní s 1. a 2. rokom (&lt; 0,1% oproti. 0,5%) (pozri časť 4.4). Vo výskyte rakoviny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7-10 nebol žiadny rozdiel (p = 0,81).</w:t>
      </w:r>
    </w:p>
    <w:p w14:paraId="1A084D3E" w14:textId="77777777" w:rsidR="004B0064" w:rsidRPr="004B1278" w:rsidRDefault="004B0064" w:rsidP="004B1278">
      <w:pPr>
        <w:pStyle w:val="Standard"/>
        <w:rPr>
          <w:rFonts w:cs="Times New Roman"/>
          <w:sz w:val="22"/>
          <w:szCs w:val="22"/>
        </w:rPr>
      </w:pPr>
    </w:p>
    <w:p w14:paraId="2A9AA8CB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 2-ročnej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follow-up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štúdii doplňujúcej štúdiu REDUCE neboli identifikované žiadne nové prípady rakoviny prostaty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8-10.</w:t>
      </w:r>
    </w:p>
    <w:p w14:paraId="7CCB3049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0A4A304B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V 4-ročnej štúdii BHP (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CombAT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), v ktorej neboli žiadne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biopsie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vyžadované protokolom a všetky diagnózy rakoviny prostaty boli založené na odôvodnených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biopsiách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bol výskyt rakoviny prostaty 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Gleasonovým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skóre 8-10 (n=8; 0,5%) 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(n=11; 0,7%) 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tamsulosínu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(n=5; 0,3%) pri kombinovanej liečbe.</w:t>
      </w:r>
    </w:p>
    <w:p w14:paraId="5B2B57BB" w14:textId="57EEED09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Štyri rôzne epidemiologické </w:t>
      </w:r>
      <w:r w:rsidR="00294976" w:rsidRPr="004B1278">
        <w:rPr>
          <w:rFonts w:eastAsia="Times New Roman" w:cs="Times New Roman"/>
          <w:sz w:val="22"/>
          <w:szCs w:val="22"/>
          <w:lang w:eastAsia="cs-CZ"/>
        </w:rPr>
        <w:t xml:space="preserve">populačné 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štúdie (z ktorých dve boli založené na celkovej populácii 174 895, jedna na populácii 13 892 a jedna na populácii 38 058) ukázali, že použitie inhibítorov 5-alfa-reduktázy nie je spojené s výskytom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high-grade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nádorov prostaty, </w:t>
      </w:r>
      <w:r w:rsidR="00294976" w:rsidRPr="004B1278">
        <w:rPr>
          <w:rFonts w:eastAsia="Times New Roman" w:cs="Times New Roman"/>
          <w:sz w:val="22"/>
          <w:szCs w:val="22"/>
          <w:lang w:eastAsia="cs-CZ"/>
        </w:rPr>
        <w:t xml:space="preserve">úmrtí spojených </w:t>
      </w:r>
      <w:r w:rsidRPr="004B1278">
        <w:rPr>
          <w:rFonts w:eastAsia="Times New Roman" w:cs="Times New Roman"/>
          <w:sz w:val="22"/>
          <w:szCs w:val="22"/>
          <w:lang w:eastAsia="cs-CZ"/>
        </w:rPr>
        <w:t>s rakovinou prostaty alebo celkovou úmrtnosťou.</w:t>
      </w:r>
    </w:p>
    <w:p w14:paraId="4B880C94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28D17A66" w14:textId="11B33CC6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Vzťah medzi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dutasteridom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high-grade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nádormi prostaty nie je zatiaľ objasnený.</w:t>
      </w:r>
    </w:p>
    <w:p w14:paraId="3D57676D" w14:textId="77777777" w:rsidR="004B0064" w:rsidRPr="004B1278" w:rsidRDefault="004B006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34300125" w14:textId="77777777" w:rsidR="00EF002B" w:rsidRPr="004B1278" w:rsidRDefault="00EF002B" w:rsidP="004B1278">
      <w:pPr>
        <w:pStyle w:val="Standard"/>
        <w:rPr>
          <w:rFonts w:eastAsia="Times New Roman" w:cs="Times New Roman"/>
          <w:i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sz w:val="22"/>
          <w:szCs w:val="22"/>
          <w:lang w:eastAsia="cs-CZ"/>
        </w:rPr>
        <w:t>Účinky na sexuálne funkcie</w:t>
      </w:r>
    </w:p>
    <w:p w14:paraId="5E8688B1" w14:textId="77777777" w:rsidR="004B0064" w:rsidRPr="004B1278" w:rsidRDefault="00EF002B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Účinky fixnej kombinácie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tamsulozín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na sexuálne funkcie sa hodnotili v dvojito zaslepenej, placebom kontrolovanej štúdii u sexuálne aktívnych mužov s BPH (n=243 kombinácia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tamsulozín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, n=246 placebo). V skupine liečenej kombináciou sa po 12 mesiacoch pozorovalo štatisticky významné (p&lt;0,001) väčšie zníženie (zhoršenie) skóre dotazníka sexuálneho zdravia mužov (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Men’s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Sexual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Health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Questionnaire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MSHQ). Zníženie skóre súviselo hlavne so zhoršením domén týkajúcich ejakulácie a celkovej spokojnosti a nie domén týkajúcich sa erekcie. </w:t>
      </w:r>
    </w:p>
    <w:p w14:paraId="5232985B" w14:textId="6A36D6C0" w:rsidR="00EF002B" w:rsidRPr="004B1278" w:rsidRDefault="00EF002B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Tieto účinky nemali vplyv na to, ako účastníci štúdie vnímali liečbu kombináciou, ktorá bola počas celej doby trvania štúdie hodnotená so štatisticky významnou väčšou spokojnosťou v porovnaní s placebom (p&lt;0,05). V tejto štúdii sa sexuálne nežiaduce účinky vyskytli v priebehu 12 mesiacov liečby a približne polovica z nich odznela do 6 mesiacov po ukončení liečby.</w:t>
      </w:r>
    </w:p>
    <w:p w14:paraId="3201A0DE" w14:textId="77777777" w:rsidR="00EF002B" w:rsidRPr="004B1278" w:rsidRDefault="00EF002B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Je známe, že kombinácia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tamsulozín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monoterapii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spôsobujú nežiaduce účinky na sexuálne funkcie (pozri časť 4.8).</w:t>
      </w:r>
    </w:p>
    <w:p w14:paraId="242F38E5" w14:textId="2A8FC983" w:rsidR="00EF002B" w:rsidRPr="004B1278" w:rsidRDefault="00EF002B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Tak ako sa to pozorovalo v iných klinických štúdiách vrátane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CombAT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REDUCE, výskyt nežiaducich udalostí súvisiacich so sexuálnymi funkciami sa pri pokračujúcej liečbe v priebehu času znižuje.</w:t>
      </w:r>
    </w:p>
    <w:p w14:paraId="082B0D13" w14:textId="77777777" w:rsidR="00EF002B" w:rsidRPr="004B1278" w:rsidRDefault="00EF002B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07517040" w14:textId="3280DD00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16" w:name="16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5.2.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</w:r>
      <w:proofErr w:type="spellStart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Farmakokinetické</w:t>
      </w:r>
      <w:proofErr w:type="spellEnd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 xml:space="preserve"> vlastnosti</w:t>
      </w:r>
      <w:bookmarkEnd w:id="16"/>
    </w:p>
    <w:p w14:paraId="2405D0D2" w14:textId="77777777" w:rsidR="00996CB4" w:rsidRPr="004B1278" w:rsidRDefault="00996CB4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5A4C0EE1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Absorpcia</w:t>
      </w:r>
    </w:p>
    <w:p w14:paraId="32E3C074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Po perorálnom podaní jednotlivej dávky 0,5 mg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sa maximálne sérové koncentrácie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dosiahnu za 1 až 3 hodiny. Absolútna biologická dostupnosť je približne 60 %. Biologická dostupnosť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nie je ovplyvnená potravou.</w:t>
      </w:r>
    </w:p>
    <w:p w14:paraId="0E28E055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665AFF80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Distribúcia</w:t>
      </w:r>
    </w:p>
    <w:p w14:paraId="4C08B7C7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má veľký distribučný objem (300 až 500 l) a je z veľkej časti (&gt; 99,5 %) viazaný na plazmatické proteíny. Po každodennom podávaní dosiahnu sérové koncentrácie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65% ustálenej sérovej koncentrácie po 1 mesiaci a približne 90% po 3 mesiacoch.</w:t>
      </w:r>
    </w:p>
    <w:p w14:paraId="057F24D0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lastRenderedPageBreak/>
        <w:t>Ustálené sérové koncentrácie (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</w:t>
      </w:r>
      <w:r w:rsidRPr="004B1278">
        <w:rPr>
          <w:rFonts w:eastAsia="Times New Roman" w:cs="Times New Roman"/>
          <w:sz w:val="22"/>
          <w:szCs w:val="22"/>
          <w:vertAlign w:val="subscript"/>
          <w:lang w:eastAsia="cs-CZ"/>
        </w:rPr>
        <w:t>ss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 sú približne 40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 a sú dosiahnuté približne po 6 mesiacoch podávania dávky 0,5 mg raz denne. Prestup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zo séra do spermy je priemerne 11,5 %.</w:t>
      </w:r>
    </w:p>
    <w:p w14:paraId="5132E0C3" w14:textId="77777777" w:rsidR="00996CB4" w:rsidRPr="004B1278" w:rsidRDefault="00996CB4" w:rsidP="004B1278">
      <w:pPr>
        <w:pStyle w:val="Standard"/>
        <w:rPr>
          <w:rFonts w:cs="Times New Roman"/>
          <w:sz w:val="22"/>
          <w:szCs w:val="22"/>
        </w:rPr>
      </w:pPr>
    </w:p>
    <w:p w14:paraId="79B3F908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proofErr w:type="spellStart"/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Biotransformácia</w:t>
      </w:r>
      <w:proofErr w:type="spellEnd"/>
    </w:p>
    <w:p w14:paraId="08658DF6" w14:textId="77777777" w:rsidR="0018413F" w:rsidRPr="004B1278" w:rsidRDefault="00DB2AFC" w:rsidP="004B1278">
      <w:pPr>
        <w:pStyle w:val="Standard"/>
        <w:rPr>
          <w:rFonts w:cs="Times New Roman"/>
          <w:sz w:val="22"/>
          <w:szCs w:val="22"/>
        </w:rPr>
      </w:pPr>
      <w:r w:rsidRPr="004B1278">
        <w:rPr>
          <w:rFonts w:eastAsia="Times New Roman" w:cs="Times New Roman"/>
          <w:i/>
          <w:sz w:val="22"/>
          <w:szCs w:val="22"/>
          <w:lang w:eastAsia="cs-CZ"/>
        </w:rPr>
        <w:t xml:space="preserve">In </w:t>
      </w:r>
      <w:proofErr w:type="spellStart"/>
      <w:r w:rsidRPr="004B1278">
        <w:rPr>
          <w:rFonts w:eastAsia="Times New Roman" w:cs="Times New Roman"/>
          <w:i/>
          <w:sz w:val="22"/>
          <w:szCs w:val="22"/>
          <w:lang w:eastAsia="cs-CZ"/>
        </w:rPr>
        <w:t>vivo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je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 rozsiahlej miere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biotransformovaný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. </w:t>
      </w:r>
      <w:r w:rsidRPr="004B1278">
        <w:rPr>
          <w:rFonts w:eastAsia="Times New Roman" w:cs="Times New Roman"/>
          <w:i/>
          <w:sz w:val="22"/>
          <w:szCs w:val="22"/>
          <w:lang w:eastAsia="cs-CZ"/>
        </w:rPr>
        <w:t>In vitro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je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biotransformovaný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izoenzýmami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3A4 a 3A5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cytochrómu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P450 na 3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monohydroxylované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1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dihydroxylovaný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metabolit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</w:t>
      </w:r>
    </w:p>
    <w:p w14:paraId="3B03D921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Po perorálnom podávaní 0,5 mg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denne až do dosiahnutia ustálenej plazmatickej koncentrácie sa 1,0 až 15,4 % (priemerne 5,4 %) podanej dávky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vylúči v nezmenenej forme stolicou. Zvyšok je vylučovaný stolicou vo forme 4 hlavných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metabolitov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(z ktorých každý obsahuje 39 %, 21 %, 7 % a 7 % materiálu pochádzajúceho z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) a 6 vedľajších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metabolitov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(na každý z nich pripadá menej ako 5 %). V ľudskom moči sú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detekované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len stopové množstvá nezmeneného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(menej ako 0,1 % dávky).</w:t>
      </w:r>
    </w:p>
    <w:p w14:paraId="27E58869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1DAD9AC3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Eliminácia</w:t>
      </w:r>
    </w:p>
    <w:p w14:paraId="2816E12A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Eliminácia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je závislá na veľkosti dávky a zdá sa, že jej priebeh môžeme popísať súčasne 2 eliminačnými cestami, jedna je pri klinicky relevantných koncentráciách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saturovateľná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druhá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nesaturovateľná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</w:t>
      </w:r>
    </w:p>
    <w:p w14:paraId="10C8D630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Pri nízkych sérových koncentráciách (menej ako 3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ng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/ml) je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rýchlo odstraňovaný obidvomi eliminačnými cestami- cestou závislou na koncentrácii a aj cestou nezávislou na koncentrácii. Pri jednorazovej dávke 5 mg alebo nižšej bola dokázaná  rýchla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clearance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krátky eliminačný polčas 3 až 9 dní.</w:t>
      </w:r>
    </w:p>
    <w:p w14:paraId="03CD9F52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Pri terapeutických koncentráciách po opakovanom podávaní 0,5 mg denne, prevláda pomalšia, lineárna eliminačná cesta a eliminační polčas je približne 3-5 týždňov.</w:t>
      </w:r>
    </w:p>
    <w:p w14:paraId="2BAEE961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0265C2E4" w14:textId="0408588D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 xml:space="preserve">Starší </w:t>
      </w:r>
      <w:r w:rsidR="00BF5B9B"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ľudia</w:t>
      </w:r>
    </w:p>
    <w:p w14:paraId="14F25DDA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Farmakokinetika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bola hodnotená u 36 zdravých mužov vo veku medzi 24 a 87 rokmi po podaní jednorazovej dávky 5 mg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. Nebol pozorovaný významný vplyv veku na expozíciu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ale u mužov mladších 50 rokov mal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kratší eliminační polčas. Pri porovnaní vekovej skupiny 50- 69 rokov s vekovou skupinou 70 a viac rokov nebol zistený štatisticky významný rozdiel v eliminačnom polčase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.</w:t>
      </w:r>
    </w:p>
    <w:p w14:paraId="703C01C8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31073071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Porucha funkcie obličiek</w:t>
      </w:r>
    </w:p>
    <w:p w14:paraId="7BDA2B06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Vplyv poruchy funkcie obličiek na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farmakokinetiku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zatiaľ nebol skúmaný. Ľudským močom sa vylučuje menej ako 0,1 % dávky 0,5 mg v ustálenom stave, takže sa nepredpokladá, že by u pacientov s poruchou funkcie obličiek mohlo dôjsť ku klinicky významnému zvýšeniu plazmatických koncentrácií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(pozri časť 4.2).</w:t>
      </w:r>
    </w:p>
    <w:p w14:paraId="491D43CD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7BB18C6C" w14:textId="77777777" w:rsidR="0018413F" w:rsidRPr="004B1278" w:rsidRDefault="00DB2AFC" w:rsidP="004B1278">
      <w:pPr>
        <w:pStyle w:val="Standard"/>
        <w:rPr>
          <w:rFonts w:eastAsia="Times New Roman" w:cs="Times New Roman"/>
          <w:bCs/>
          <w:sz w:val="22"/>
          <w:szCs w:val="22"/>
          <w:u w:val="single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u w:val="single"/>
          <w:lang w:eastAsia="cs-CZ"/>
        </w:rPr>
        <w:t>Porucha funkcie pečene</w:t>
      </w:r>
    </w:p>
    <w:p w14:paraId="65650631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Vplyv poruchy funkcie pečene na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farmakokinetiku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zatiaľ nebol skúmaný (pozri časť 4.3). Pretože je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eliminovaný hlavne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biotransformáciou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, očakáva sa, že u pacientov s poruchou funkcie pečene budú zvýšené plazmatické koncentrácie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predĺžený jeho eliminačný polčas (pozri časť 4.2 a bod 4.4).</w:t>
      </w:r>
    </w:p>
    <w:p w14:paraId="02BEE9EA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6FAB627C" w14:textId="7ACC1417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17" w:name="17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5.3.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Predklinické údaje o bezpečnosti</w:t>
      </w:r>
      <w:bookmarkEnd w:id="17"/>
    </w:p>
    <w:p w14:paraId="1CEE2357" w14:textId="136F089B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Posledné štúdie </w:t>
      </w:r>
      <w:r w:rsidR="00BF5B9B" w:rsidRPr="004B1278">
        <w:rPr>
          <w:rFonts w:eastAsia="Times New Roman" w:cs="Times New Roman"/>
          <w:sz w:val="22"/>
          <w:szCs w:val="22"/>
          <w:lang w:eastAsia="cs-CZ"/>
        </w:rPr>
        <w:t>vš</w:t>
      </w:r>
      <w:r w:rsidR="00E813D9" w:rsidRPr="004B1278">
        <w:rPr>
          <w:rFonts w:eastAsia="Times New Roman" w:cs="Times New Roman"/>
          <w:sz w:val="22"/>
          <w:szCs w:val="22"/>
          <w:lang w:eastAsia="cs-CZ"/>
        </w:rPr>
        <w:t>e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obecnej toxicity,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genotoxicity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a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kancerogenity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neodhalili žiadne zvláštne riziko pre človeka.</w:t>
      </w:r>
    </w:p>
    <w:p w14:paraId="76CE707B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Štúdie reprodukčnej toxicity u samcov potkanov preukázali zníženú hmotnosť prostaty a semenných mechúrikov, zníženú sekréciu z vedľajších genitálnych žliaz a pokles indikátorov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fertility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(spôsobený farmakologickým účinkom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>). Klinický význam týchto nálezov nie je známy.</w:t>
      </w:r>
    </w:p>
    <w:p w14:paraId="25A9CE98" w14:textId="77777777" w:rsidR="00E813D9" w:rsidRPr="004B1278" w:rsidRDefault="00E813D9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68BE2182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Tak ako u iných inhibítorov 5-alfa-reduktázy bola po podaní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samiciam potkanov a králikov počas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gestácie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zaznamenaná feminizácia samčích plodov.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bol zistený v krvi samíc potkanov po ich párení so samcami, ktorým bol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podaný. Po podaní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samiciam primátov počas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gestácie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nebola pozorovaná feminizácia samčích plodov pri krvných expozíciách, ktoré značne prevyšovali tie, ktorých výskyt je pravdepodobný u žien cestou mužskej spermy.</w:t>
      </w:r>
    </w:p>
    <w:p w14:paraId="611857C2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Je nepravdepodobné, že by plody mužského pohlavia boli nepriaznivo ovplyvnené po prenose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dutasteridu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semenom.</w:t>
      </w:r>
    </w:p>
    <w:p w14:paraId="712072B2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04DD1BD1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7DEB9E04" w14:textId="6D67D4A2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18" w:name="18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6.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 xml:space="preserve">FARMACEUTICKÉ </w:t>
      </w:r>
      <w:bookmarkEnd w:id="18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INFORMÁCIE</w:t>
      </w:r>
    </w:p>
    <w:p w14:paraId="3180E2CA" w14:textId="77777777" w:rsidR="00996CB4" w:rsidRPr="004B1278" w:rsidRDefault="00996CB4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5319F8E9" w14:textId="01280AE7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19" w:name="19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6.1.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Zoznam pomocných látok</w:t>
      </w:r>
      <w:bookmarkEnd w:id="19"/>
    </w:p>
    <w:p w14:paraId="4BDE8073" w14:textId="77777777" w:rsidR="00525913" w:rsidRPr="004B1278" w:rsidRDefault="00DB2AFC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Obsah kapsuly:</w:t>
      </w:r>
    </w:p>
    <w:p w14:paraId="266EED6B" w14:textId="31F2A1AE" w:rsidR="0018413F" w:rsidRPr="004B1278" w:rsidRDefault="00DB2AFC" w:rsidP="004B1278">
      <w:pPr>
        <w:pStyle w:val="Standard"/>
        <w:rPr>
          <w:rFonts w:cs="Times New Roman"/>
          <w:sz w:val="22"/>
          <w:szCs w:val="22"/>
        </w:rPr>
      </w:pP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propyl</w:t>
      </w:r>
      <w:r w:rsidR="00BF5B9B" w:rsidRPr="004B1278">
        <w:rPr>
          <w:rFonts w:eastAsia="Times New Roman" w:cs="Times New Roman"/>
          <w:sz w:val="22"/>
          <w:szCs w:val="22"/>
          <w:lang w:eastAsia="cs-CZ"/>
        </w:rPr>
        <w:t>é</w:t>
      </w:r>
      <w:r w:rsidRPr="004B1278">
        <w:rPr>
          <w:rFonts w:eastAsia="Times New Roman" w:cs="Times New Roman"/>
          <w:sz w:val="22"/>
          <w:szCs w:val="22"/>
          <w:lang w:eastAsia="cs-CZ"/>
        </w:rPr>
        <w:t>nglykolmono</w:t>
      </w:r>
      <w:r w:rsidR="00BF5B9B" w:rsidRPr="004B1278">
        <w:rPr>
          <w:rFonts w:eastAsia="Times New Roman" w:cs="Times New Roman"/>
          <w:sz w:val="22"/>
          <w:szCs w:val="22"/>
          <w:lang w:eastAsia="cs-CZ"/>
        </w:rPr>
        <w:t>kaprylát</w:t>
      </w:r>
      <w:proofErr w:type="spellEnd"/>
    </w:p>
    <w:p w14:paraId="0896F57F" w14:textId="3F855CF6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butylhydroxytolu</w:t>
      </w:r>
      <w:r w:rsidR="00BF5B9B" w:rsidRPr="004B1278">
        <w:rPr>
          <w:rFonts w:eastAsia="Times New Roman" w:cs="Times New Roman"/>
          <w:sz w:val="22"/>
          <w:szCs w:val="22"/>
          <w:lang w:eastAsia="cs-CZ"/>
        </w:rPr>
        <w:t>é</w:t>
      </w:r>
      <w:r w:rsidRPr="004B1278">
        <w:rPr>
          <w:rFonts w:eastAsia="Times New Roman" w:cs="Times New Roman"/>
          <w:sz w:val="22"/>
          <w:szCs w:val="22"/>
          <w:lang w:eastAsia="cs-CZ"/>
        </w:rPr>
        <w:t>n</w:t>
      </w:r>
      <w:proofErr w:type="spellEnd"/>
    </w:p>
    <w:p w14:paraId="74541CC8" w14:textId="77777777" w:rsidR="00442006" w:rsidRPr="004B1278" w:rsidRDefault="00442006" w:rsidP="004B1278">
      <w:pPr>
        <w:pStyle w:val="Standard"/>
        <w:rPr>
          <w:rFonts w:eastAsia="Times New Roman" w:cs="Times New Roman"/>
          <w:i/>
          <w:iCs/>
          <w:sz w:val="22"/>
          <w:szCs w:val="22"/>
          <w:lang w:eastAsia="cs-CZ"/>
        </w:rPr>
      </w:pPr>
    </w:p>
    <w:p w14:paraId="36EC4453" w14:textId="77777777" w:rsidR="00525913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t>Kapsula:</w:t>
      </w:r>
      <w:r w:rsidRPr="004B1278">
        <w:rPr>
          <w:rFonts w:eastAsia="Times New Roman" w:cs="Times New Roman"/>
          <w:i/>
          <w:iCs/>
          <w:sz w:val="22"/>
          <w:szCs w:val="22"/>
          <w:lang w:eastAsia="cs-CZ"/>
        </w:rPr>
        <w:br/>
      </w:r>
      <w:r w:rsidRPr="004B1278">
        <w:rPr>
          <w:rFonts w:eastAsia="Times New Roman" w:cs="Times New Roman"/>
          <w:sz w:val="22"/>
          <w:szCs w:val="22"/>
          <w:lang w:eastAsia="cs-CZ"/>
        </w:rPr>
        <w:t>želatína</w:t>
      </w:r>
      <w:r w:rsidRPr="004B1278">
        <w:rPr>
          <w:rFonts w:eastAsia="Times New Roman" w:cs="Times New Roman"/>
          <w:sz w:val="22"/>
          <w:szCs w:val="22"/>
          <w:lang w:eastAsia="cs-CZ"/>
        </w:rPr>
        <w:br/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glycerol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br/>
        <w:t xml:space="preserve">oxid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titaničitý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(E 171)</w:t>
      </w:r>
    </w:p>
    <w:p w14:paraId="7F7A7918" w14:textId="20E0D5DC" w:rsidR="00525913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triacylglyceroly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so </w:t>
      </w:r>
      <w:r w:rsidR="00BF5B9B" w:rsidRPr="004B1278">
        <w:rPr>
          <w:rFonts w:eastAsia="Times New Roman" w:cs="Times New Roman"/>
          <w:sz w:val="22"/>
          <w:szCs w:val="22"/>
          <w:lang w:eastAsia="cs-CZ"/>
        </w:rPr>
        <w:t>stredne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dlhým reťazcom</w:t>
      </w:r>
    </w:p>
    <w:p w14:paraId="2254B186" w14:textId="6C791C21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sójový lecitín (môže obsahovať sójový olej) (E 322)</w:t>
      </w:r>
    </w:p>
    <w:p w14:paraId="11645D5E" w14:textId="77777777" w:rsidR="00996CB4" w:rsidRPr="004B1278" w:rsidRDefault="00996CB4" w:rsidP="004B1278">
      <w:pPr>
        <w:pStyle w:val="Standard"/>
        <w:rPr>
          <w:rFonts w:cs="Times New Roman"/>
          <w:sz w:val="22"/>
          <w:szCs w:val="22"/>
        </w:rPr>
      </w:pPr>
    </w:p>
    <w:p w14:paraId="262B37D9" w14:textId="1D45BBD1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20" w:name="20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6.2.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Inkompatibility</w:t>
      </w:r>
      <w:bookmarkEnd w:id="20"/>
    </w:p>
    <w:p w14:paraId="7E675E1A" w14:textId="77777777" w:rsidR="00E813D9" w:rsidRPr="004B1278" w:rsidRDefault="00E813D9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630A5553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Neaplikovateľné.</w:t>
      </w:r>
    </w:p>
    <w:p w14:paraId="525E897B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1E7834A9" w14:textId="10C8B9BC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21" w:name="21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6.3.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Čas použiteľnosti</w:t>
      </w:r>
      <w:bookmarkEnd w:id="21"/>
    </w:p>
    <w:p w14:paraId="5E92172F" w14:textId="77777777" w:rsidR="00E813D9" w:rsidRPr="004B1278" w:rsidRDefault="00E813D9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0488F344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2 roky</w:t>
      </w:r>
    </w:p>
    <w:p w14:paraId="0FCD2594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72DCCBF1" w14:textId="27C09E91" w:rsidR="00E813D9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22" w:name="22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6.4.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Špeciálne upozornenia na uchovávan</w:t>
      </w:r>
      <w:bookmarkEnd w:id="22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ie</w:t>
      </w:r>
    </w:p>
    <w:p w14:paraId="29A67B81" w14:textId="77777777" w:rsidR="00E813D9" w:rsidRPr="004B1278" w:rsidRDefault="00E813D9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50EAECB8" w14:textId="2AB7D315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Uchovávajte pri teplote 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 xml:space="preserve">neprevyšujúcej </w:t>
      </w:r>
      <w:r w:rsidRPr="004B1278">
        <w:rPr>
          <w:rFonts w:eastAsia="Times New Roman" w:cs="Times New Roman"/>
          <w:sz w:val="22"/>
          <w:szCs w:val="22"/>
          <w:lang w:eastAsia="cs-CZ"/>
        </w:rPr>
        <w:t>30 °C.</w:t>
      </w:r>
    </w:p>
    <w:p w14:paraId="1B88D2B7" w14:textId="77777777" w:rsidR="00E813D9" w:rsidRPr="004B1278" w:rsidRDefault="00E813D9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5F8820AA" w14:textId="7DAA9DD9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Uchovávajte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blister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v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> </w:t>
      </w:r>
      <w:r w:rsidRPr="004B1278">
        <w:rPr>
          <w:rFonts w:eastAsia="Times New Roman" w:cs="Times New Roman"/>
          <w:sz w:val="22"/>
          <w:szCs w:val="22"/>
          <w:lang w:eastAsia="cs-CZ"/>
        </w:rPr>
        <w:t>krabičke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 xml:space="preserve"> na ochranu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pred svetlom.</w:t>
      </w:r>
      <w:bookmarkStart w:id="23" w:name="23"/>
    </w:p>
    <w:p w14:paraId="4C2755D6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045A0117" w14:textId="64338A05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6.5.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Druh obalu a obsah balen</w:t>
      </w:r>
      <w:bookmarkEnd w:id="23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ia</w:t>
      </w:r>
    </w:p>
    <w:p w14:paraId="6B087B30" w14:textId="77777777" w:rsidR="00E813D9" w:rsidRPr="004B1278" w:rsidRDefault="00E813D9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4C162149" w14:textId="77777777" w:rsidR="00525913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Priesvitný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trikompozitný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(PVC-PE-PVDC)/Al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blister</w:t>
      </w:r>
      <w:proofErr w:type="spellEnd"/>
    </w:p>
    <w:p w14:paraId="12E37401" w14:textId="55FFA97E" w:rsidR="00525913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10, 30, 50, 60 </w:t>
      </w:r>
      <w:r w:rsidR="00EC654D" w:rsidRPr="004B1278">
        <w:rPr>
          <w:rFonts w:eastAsia="Times New Roman" w:cs="Times New Roman"/>
          <w:sz w:val="22"/>
          <w:szCs w:val="22"/>
          <w:lang w:eastAsia="cs-CZ"/>
        </w:rPr>
        <w:t>alebo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90 kapsúl.</w:t>
      </w:r>
    </w:p>
    <w:p w14:paraId="6EF63952" w14:textId="39B9B1E1" w:rsidR="0018413F" w:rsidRPr="004B1278" w:rsidRDefault="0018413F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7701EA15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Na trh nemusia byť uvedené všetky veľkosti balenia.</w:t>
      </w:r>
    </w:p>
    <w:p w14:paraId="5B7B7AE0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1F7E2C08" w14:textId="56228BA3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24" w:name="24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6.6.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Špeciálne opatrenia na likvidáciu a iné zaobchádzanie s</w:t>
      </w:r>
      <w:r w:rsidR="00E813D9" w:rsidRPr="004B1278">
        <w:rPr>
          <w:rFonts w:eastAsia="Times New Roman" w:cs="Times New Roman"/>
          <w:b/>
          <w:bCs/>
          <w:sz w:val="22"/>
          <w:szCs w:val="22"/>
          <w:lang w:eastAsia="cs-CZ"/>
        </w:rPr>
        <w:t> 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liekom</w:t>
      </w:r>
      <w:bookmarkEnd w:id="24"/>
    </w:p>
    <w:p w14:paraId="3F6ACFEE" w14:textId="77777777" w:rsidR="00E813D9" w:rsidRPr="004B1278" w:rsidRDefault="00E813D9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466BE0E2" w14:textId="15769348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Dutasterid</w:t>
      </w:r>
      <w:proofErr w:type="spellEnd"/>
      <w:r w:rsidRPr="004B1278">
        <w:rPr>
          <w:rFonts w:eastAsia="Times New Roman" w:cs="Times New Roman"/>
          <w:sz w:val="22"/>
          <w:szCs w:val="22"/>
          <w:lang w:eastAsia="cs-CZ"/>
        </w:rPr>
        <w:t xml:space="preserve"> sa vstrebáva kožou, a preto je nutné zabrániť kontaktu s presakujúcimi kapsulami.</w:t>
      </w:r>
      <w:r w:rsidRPr="004B1278">
        <w:rPr>
          <w:rFonts w:eastAsia="Times New Roman" w:cs="Times New Roman"/>
          <w:sz w:val="22"/>
          <w:szCs w:val="22"/>
          <w:lang w:eastAsia="cs-CZ"/>
        </w:rPr>
        <w:br/>
        <w:t xml:space="preserve">Ak </w:t>
      </w:r>
      <w:r w:rsidR="002930F9" w:rsidRPr="004B1278">
        <w:rPr>
          <w:rFonts w:eastAsia="Times New Roman" w:cs="Times New Roman"/>
          <w:sz w:val="22"/>
          <w:szCs w:val="22"/>
          <w:lang w:eastAsia="cs-CZ"/>
        </w:rPr>
        <w:t>dôjde</w:t>
      </w:r>
      <w:r w:rsidRPr="004B1278">
        <w:rPr>
          <w:rFonts w:eastAsia="Times New Roman" w:cs="Times New Roman"/>
          <w:sz w:val="22"/>
          <w:szCs w:val="22"/>
          <w:lang w:eastAsia="cs-CZ"/>
        </w:rPr>
        <w:t xml:space="preserve"> ku kontaktu s presakujúcimi kapsulami, postihnutá oblasť sa musí okamžite umyť vodou a mydlom (pozri časť 4.4).</w:t>
      </w:r>
    </w:p>
    <w:p w14:paraId="4A6886E9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339F1DDC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Všetok nepoužitý liek alebo odpad vzniknutý z lieku sa má zlikvidovať v súlade s národnými požiadavkami.</w:t>
      </w:r>
      <w:r w:rsidRPr="004B1278">
        <w:rPr>
          <w:rFonts w:eastAsia="Times New Roman" w:cs="Times New Roman"/>
          <w:sz w:val="22"/>
          <w:szCs w:val="22"/>
          <w:lang w:eastAsia="cs-CZ"/>
        </w:rPr>
        <w:br/>
      </w:r>
    </w:p>
    <w:p w14:paraId="6F91E0C3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7A496001" w14:textId="52F7A61F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25" w:name="25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7.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DRŽITEĽ ROZHODNUTIA O</w:t>
      </w:r>
      <w:r w:rsidR="00E813D9" w:rsidRPr="004B1278">
        <w:rPr>
          <w:rFonts w:eastAsia="Times New Roman" w:cs="Times New Roman"/>
          <w:b/>
          <w:bCs/>
          <w:sz w:val="22"/>
          <w:szCs w:val="22"/>
          <w:lang w:eastAsia="cs-CZ"/>
        </w:rPr>
        <w:t> 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REGISTRÁCII</w:t>
      </w:r>
      <w:bookmarkEnd w:id="25"/>
    </w:p>
    <w:p w14:paraId="0A75E1BD" w14:textId="77777777" w:rsidR="00E813D9" w:rsidRPr="004B1278" w:rsidRDefault="00E813D9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6BF4F375" w14:textId="4946C7EE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ARDEZ Pharma, spol.</w:t>
      </w:r>
      <w:r w:rsidR="0022041F" w:rsidRPr="004B1278">
        <w:rPr>
          <w:rFonts w:eastAsia="Times New Roman" w:cs="Times New Roman"/>
          <w:sz w:val="22"/>
          <w:szCs w:val="22"/>
          <w:lang w:eastAsia="cs-CZ"/>
        </w:rPr>
        <w:t xml:space="preserve"> </w:t>
      </w:r>
      <w:r w:rsidRPr="004B1278">
        <w:rPr>
          <w:rFonts w:eastAsia="Times New Roman" w:cs="Times New Roman"/>
          <w:sz w:val="22"/>
          <w:szCs w:val="22"/>
          <w:lang w:eastAsia="cs-CZ"/>
        </w:rPr>
        <w:t>s.r.o.</w:t>
      </w:r>
    </w:p>
    <w:p w14:paraId="2F2CBB54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V Borovičkách 278</w:t>
      </w:r>
    </w:p>
    <w:p w14:paraId="621B47AD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 xml:space="preserve">252 26 </w:t>
      </w:r>
      <w:proofErr w:type="spellStart"/>
      <w:r w:rsidRPr="004B1278">
        <w:rPr>
          <w:rFonts w:eastAsia="Times New Roman" w:cs="Times New Roman"/>
          <w:sz w:val="22"/>
          <w:szCs w:val="22"/>
          <w:lang w:eastAsia="cs-CZ"/>
        </w:rPr>
        <w:t>Kosoř</w:t>
      </w:r>
      <w:proofErr w:type="spellEnd"/>
    </w:p>
    <w:p w14:paraId="4B99A099" w14:textId="77777777" w:rsidR="0018413F" w:rsidRPr="004B1278" w:rsidRDefault="00DB2AFC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  <w:r w:rsidRPr="004B1278">
        <w:rPr>
          <w:rFonts w:eastAsia="Times New Roman" w:cs="Times New Roman"/>
          <w:sz w:val="22"/>
          <w:szCs w:val="22"/>
          <w:lang w:eastAsia="cs-CZ"/>
        </w:rPr>
        <w:t>Česká republika</w:t>
      </w:r>
    </w:p>
    <w:p w14:paraId="79FC69A2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636D6695" w14:textId="77777777" w:rsidR="00996CB4" w:rsidRPr="004B1278" w:rsidRDefault="00996CB4" w:rsidP="004B1278">
      <w:pPr>
        <w:pStyle w:val="Standard"/>
        <w:rPr>
          <w:rFonts w:eastAsia="Times New Roman" w:cs="Times New Roman"/>
          <w:sz w:val="22"/>
          <w:szCs w:val="22"/>
          <w:lang w:eastAsia="cs-CZ"/>
        </w:rPr>
      </w:pPr>
    </w:p>
    <w:p w14:paraId="5FB2E4DF" w14:textId="01ACDEB7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bookmarkStart w:id="26" w:name="26"/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8.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REGISTRAČNÉ ČÍSLO</w:t>
      </w:r>
      <w:bookmarkStart w:id="27" w:name="27"/>
      <w:bookmarkEnd w:id="26"/>
    </w:p>
    <w:p w14:paraId="603DA8D2" w14:textId="77777777" w:rsidR="00996CB4" w:rsidRPr="004B1278" w:rsidRDefault="00996CB4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</w:p>
    <w:p w14:paraId="7DA1C9B8" w14:textId="5FD61C62" w:rsidR="002930F9" w:rsidRPr="004B1278" w:rsidRDefault="002E4DAE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  <w:r w:rsidRPr="004B1278">
        <w:rPr>
          <w:rFonts w:eastAsia="Times New Roman" w:cs="Times New Roman"/>
          <w:bCs/>
          <w:sz w:val="22"/>
          <w:szCs w:val="22"/>
          <w:lang w:eastAsia="cs-CZ"/>
        </w:rPr>
        <w:lastRenderedPageBreak/>
        <w:t>87/0042/19-S</w:t>
      </w:r>
    </w:p>
    <w:p w14:paraId="77055058" w14:textId="77777777" w:rsidR="00996CB4" w:rsidRPr="004B1278" w:rsidRDefault="00996CB4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</w:p>
    <w:p w14:paraId="092CB452" w14:textId="77777777" w:rsidR="00996CB4" w:rsidRPr="004B1278" w:rsidRDefault="00996CB4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</w:p>
    <w:p w14:paraId="2E60EC64" w14:textId="06F71544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9.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DÁTUM PRVEJ REGISTRÁCIE/PREDĹŽENIA REGISTRÁCIE</w:t>
      </w:r>
      <w:bookmarkEnd w:id="27"/>
    </w:p>
    <w:p w14:paraId="575979E4" w14:textId="77777777" w:rsidR="0018413F" w:rsidRPr="004B1278" w:rsidRDefault="0018413F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  <w:bookmarkStart w:id="28" w:name="28"/>
    </w:p>
    <w:p w14:paraId="130E508F" w14:textId="3B1CA530" w:rsidR="00996CB4" w:rsidRPr="004B1278" w:rsidRDefault="00996CB4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  <w:r w:rsidRPr="004B1278">
        <w:rPr>
          <w:rFonts w:cs="Times New Roman"/>
          <w:sz w:val="22"/>
          <w:szCs w:val="22"/>
        </w:rPr>
        <w:t>Dátum prvej registrácie: 22.február 2019</w:t>
      </w:r>
    </w:p>
    <w:p w14:paraId="2755D6A7" w14:textId="77777777" w:rsidR="00996CB4" w:rsidRPr="004B1278" w:rsidRDefault="00996CB4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</w:p>
    <w:p w14:paraId="54F9FD53" w14:textId="77777777" w:rsidR="00996CB4" w:rsidRPr="004B1278" w:rsidRDefault="00996CB4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</w:p>
    <w:p w14:paraId="1EA5F732" w14:textId="66BBACCB" w:rsidR="0018413F" w:rsidRPr="004B1278" w:rsidRDefault="00DB2AFC" w:rsidP="004B1278">
      <w:pPr>
        <w:pStyle w:val="Standard"/>
        <w:rPr>
          <w:rFonts w:eastAsia="Times New Roman" w:cs="Times New Roman"/>
          <w:b/>
          <w:bCs/>
          <w:sz w:val="22"/>
          <w:szCs w:val="22"/>
          <w:lang w:eastAsia="cs-CZ"/>
        </w:rPr>
      </w:pP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>10.</w:t>
      </w:r>
      <w:r w:rsidRPr="004B1278">
        <w:rPr>
          <w:rFonts w:eastAsia="Times New Roman" w:cs="Times New Roman"/>
          <w:b/>
          <w:bCs/>
          <w:sz w:val="22"/>
          <w:szCs w:val="22"/>
          <w:lang w:eastAsia="cs-CZ"/>
        </w:rPr>
        <w:tab/>
        <w:t>DÁTUM REVÍZIE TEXTU</w:t>
      </w:r>
      <w:bookmarkEnd w:id="28"/>
    </w:p>
    <w:p w14:paraId="60090B0F" w14:textId="05FC3D0A" w:rsidR="0018413F" w:rsidRPr="004B1278" w:rsidRDefault="0018413F" w:rsidP="004B1278">
      <w:pPr>
        <w:pStyle w:val="Standard"/>
        <w:rPr>
          <w:rFonts w:eastAsia="Times New Roman" w:cs="Times New Roman"/>
          <w:bCs/>
          <w:sz w:val="22"/>
          <w:szCs w:val="22"/>
          <w:lang w:eastAsia="cs-CZ"/>
        </w:rPr>
      </w:pPr>
    </w:p>
    <w:p w14:paraId="55FA2CBE" w14:textId="5C9877ED" w:rsidR="0018413F" w:rsidRPr="004B1278" w:rsidRDefault="00996CB4" w:rsidP="00996CB4">
      <w:pPr>
        <w:pStyle w:val="Standard"/>
        <w:rPr>
          <w:rFonts w:cs="Times New Roman"/>
          <w:sz w:val="22"/>
          <w:szCs w:val="22"/>
        </w:rPr>
      </w:pPr>
      <w:r w:rsidRPr="004B1278">
        <w:rPr>
          <w:rFonts w:cs="Times New Roman"/>
          <w:sz w:val="22"/>
          <w:szCs w:val="22"/>
        </w:rPr>
        <w:t>08/2019</w:t>
      </w:r>
    </w:p>
    <w:sectPr w:rsidR="0018413F" w:rsidRPr="004B1278" w:rsidSect="00CD53A3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A5580" w14:textId="77777777" w:rsidR="00B41C0F" w:rsidRDefault="00B41C0F">
      <w:r>
        <w:separator/>
      </w:r>
    </w:p>
  </w:endnote>
  <w:endnote w:type="continuationSeparator" w:id="0">
    <w:p w14:paraId="338370C2" w14:textId="77777777" w:rsidR="00B41C0F" w:rsidRDefault="00B4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19466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10D466" w14:textId="77777777" w:rsidR="00CA197B" w:rsidRPr="00CD53A3" w:rsidRDefault="00CA197B">
        <w:pPr>
          <w:pStyle w:val="Pta"/>
          <w:jc w:val="center"/>
          <w:rPr>
            <w:sz w:val="18"/>
            <w:szCs w:val="18"/>
          </w:rPr>
        </w:pPr>
        <w:r w:rsidRPr="00CD53A3">
          <w:rPr>
            <w:sz w:val="18"/>
            <w:szCs w:val="18"/>
          </w:rPr>
          <w:fldChar w:fldCharType="begin"/>
        </w:r>
        <w:r w:rsidRPr="00CD53A3">
          <w:rPr>
            <w:sz w:val="18"/>
            <w:szCs w:val="18"/>
          </w:rPr>
          <w:instrText>PAGE   \* MERGEFORMAT</w:instrText>
        </w:r>
        <w:r w:rsidRPr="00CD53A3">
          <w:rPr>
            <w:sz w:val="18"/>
            <w:szCs w:val="18"/>
          </w:rPr>
          <w:fldChar w:fldCharType="separate"/>
        </w:r>
        <w:r w:rsidR="00CD1143">
          <w:rPr>
            <w:noProof/>
            <w:sz w:val="18"/>
            <w:szCs w:val="18"/>
          </w:rPr>
          <w:t>14</w:t>
        </w:r>
        <w:r w:rsidRPr="00CD53A3">
          <w:rPr>
            <w:sz w:val="18"/>
            <w:szCs w:val="18"/>
          </w:rPr>
          <w:fldChar w:fldCharType="end"/>
        </w:r>
      </w:p>
    </w:sdtContent>
  </w:sdt>
  <w:p w14:paraId="11B112BE" w14:textId="77777777" w:rsidR="00CA197B" w:rsidRDefault="00CA19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FA41B" w14:textId="77777777" w:rsidR="00B41C0F" w:rsidRDefault="00B41C0F">
      <w:r>
        <w:rPr>
          <w:color w:val="000000"/>
        </w:rPr>
        <w:separator/>
      </w:r>
    </w:p>
  </w:footnote>
  <w:footnote w:type="continuationSeparator" w:id="0">
    <w:p w14:paraId="24F049A3" w14:textId="77777777" w:rsidR="00B41C0F" w:rsidRDefault="00B4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FF9D2" w14:textId="1F3DA57A" w:rsidR="00CA197B" w:rsidRPr="00622C39" w:rsidRDefault="00CA197B" w:rsidP="00325507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CD1143">
      <w:rPr>
        <w:sz w:val="18"/>
        <w:szCs w:val="18"/>
      </w:rPr>
      <w:t>1</w:t>
    </w:r>
    <w:r w:rsidRPr="001D6B68">
      <w:rPr>
        <w:sz w:val="18"/>
        <w:szCs w:val="18"/>
      </w:rPr>
      <w:t xml:space="preserve"> k notifikácii o zmene, </w:t>
    </w:r>
    <w:proofErr w:type="spellStart"/>
    <w:r w:rsidRPr="001D6B68">
      <w:rPr>
        <w:sz w:val="18"/>
        <w:szCs w:val="18"/>
      </w:rPr>
      <w:t>ev.č</w:t>
    </w:r>
    <w:proofErr w:type="spellEnd"/>
    <w:r w:rsidRPr="001D6B68">
      <w:rPr>
        <w:sz w:val="18"/>
        <w:szCs w:val="18"/>
      </w:rPr>
      <w:t>.: 2019/03217-ZIB</w:t>
    </w:r>
  </w:p>
  <w:p w14:paraId="2C9304CB" w14:textId="48E0D930" w:rsidR="00CA197B" w:rsidRPr="00CD53A3" w:rsidRDefault="00CA197B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42D6A"/>
    <w:multiLevelType w:val="multilevel"/>
    <w:tmpl w:val="12884DD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610D6AF9"/>
    <w:multiLevelType w:val="multilevel"/>
    <w:tmpl w:val="351CCC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8EE0C33"/>
    <w:multiLevelType w:val="multilevel"/>
    <w:tmpl w:val="63447C7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7C7C007F"/>
    <w:multiLevelType w:val="multilevel"/>
    <w:tmpl w:val="72AA750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3F"/>
    <w:rsid w:val="000415D6"/>
    <w:rsid w:val="000F3635"/>
    <w:rsid w:val="000F6C47"/>
    <w:rsid w:val="001046EE"/>
    <w:rsid w:val="001677BC"/>
    <w:rsid w:val="0018413F"/>
    <w:rsid w:val="001A4E40"/>
    <w:rsid w:val="001D73A9"/>
    <w:rsid w:val="00206CAE"/>
    <w:rsid w:val="0022041F"/>
    <w:rsid w:val="00236263"/>
    <w:rsid w:val="00252A9F"/>
    <w:rsid w:val="00271F8E"/>
    <w:rsid w:val="002930F9"/>
    <w:rsid w:val="00294976"/>
    <w:rsid w:val="002E4DAE"/>
    <w:rsid w:val="00325507"/>
    <w:rsid w:val="00377B1D"/>
    <w:rsid w:val="003C0075"/>
    <w:rsid w:val="003E2DE4"/>
    <w:rsid w:val="00405967"/>
    <w:rsid w:val="00442006"/>
    <w:rsid w:val="00442A47"/>
    <w:rsid w:val="004824D6"/>
    <w:rsid w:val="00495391"/>
    <w:rsid w:val="004B0064"/>
    <w:rsid w:val="004B1278"/>
    <w:rsid w:val="004E473B"/>
    <w:rsid w:val="00525913"/>
    <w:rsid w:val="0057603A"/>
    <w:rsid w:val="00664499"/>
    <w:rsid w:val="0079404E"/>
    <w:rsid w:val="007F2E44"/>
    <w:rsid w:val="0088568D"/>
    <w:rsid w:val="008B761C"/>
    <w:rsid w:val="00975F04"/>
    <w:rsid w:val="00996CB4"/>
    <w:rsid w:val="009C6E71"/>
    <w:rsid w:val="00AE44C2"/>
    <w:rsid w:val="00B41C0F"/>
    <w:rsid w:val="00BE5E18"/>
    <w:rsid w:val="00BF5B9B"/>
    <w:rsid w:val="00C048FC"/>
    <w:rsid w:val="00C15B6D"/>
    <w:rsid w:val="00C95D35"/>
    <w:rsid w:val="00CA197B"/>
    <w:rsid w:val="00CD1143"/>
    <w:rsid w:val="00CD5023"/>
    <w:rsid w:val="00CD53A3"/>
    <w:rsid w:val="00D24BF8"/>
    <w:rsid w:val="00DB2AFC"/>
    <w:rsid w:val="00E51F82"/>
    <w:rsid w:val="00E52321"/>
    <w:rsid w:val="00E813D9"/>
    <w:rsid w:val="00E8753A"/>
    <w:rsid w:val="00EA1647"/>
    <w:rsid w:val="00EC654D"/>
    <w:rsid w:val="00EF002B"/>
    <w:rsid w:val="00F12155"/>
    <w:rsid w:val="00F1509C"/>
    <w:rsid w:val="00F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8E466"/>
  <w15:docId w15:val="{D1438E02-C58C-4F62-9671-AB601209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ypertextovprepojenie">
    <w:name w:val="Hyperlink"/>
    <w:basedOn w:val="Predvolenpsmoodseku"/>
    <w:rPr>
      <w:color w:val="0563C1"/>
      <w:u w:val="single"/>
    </w:rPr>
  </w:style>
  <w:style w:type="character" w:customStyle="1" w:styleId="Nevyeenzmnka1">
    <w:name w:val="Nevyřešená zmínka1"/>
    <w:basedOn w:val="Predvolenpsmoodseku"/>
    <w:rPr>
      <w:color w:val="605E5C"/>
      <w:shd w:val="clear" w:color="auto" w:fill="E1DFDD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paragraph" w:styleId="Hlavika">
    <w:name w:val="header"/>
    <w:basedOn w:val="Normlny"/>
    <w:link w:val="HlavikaChar"/>
    <w:uiPriority w:val="99"/>
    <w:unhideWhenUsed/>
    <w:rsid w:val="004E473B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4E473B"/>
    <w:rPr>
      <w:rFonts w:cs="Mangal"/>
      <w:szCs w:val="21"/>
    </w:rPr>
  </w:style>
  <w:style w:type="paragraph" w:styleId="Pta">
    <w:name w:val="footer"/>
    <w:basedOn w:val="Normlny"/>
    <w:link w:val="PtaChar"/>
    <w:uiPriority w:val="99"/>
    <w:unhideWhenUsed/>
    <w:rsid w:val="004E473B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4E473B"/>
    <w:rPr>
      <w:rFonts w:cs="Mangal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252A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2A9F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2A9F"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2A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2A9F"/>
    <w:rPr>
      <w:rFonts w:cs="Mangal"/>
      <w:b/>
      <w:bCs/>
      <w:sz w:val="20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A9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A9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6094</Words>
  <Characters>34737</Characters>
  <Application>Microsoft Office Word</Application>
  <DocSecurity>0</DocSecurity>
  <Lines>289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zuzana molnarova</cp:lastModifiedBy>
  <cp:revision>5</cp:revision>
  <cp:lastPrinted>2019-08-22T12:39:00Z</cp:lastPrinted>
  <dcterms:created xsi:type="dcterms:W3CDTF">2019-07-30T07:44:00Z</dcterms:created>
  <dcterms:modified xsi:type="dcterms:W3CDTF">2019-08-22T12:40:00Z</dcterms:modified>
</cp:coreProperties>
</file>