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0F8E" w14:textId="77777777" w:rsidR="00817B48" w:rsidRDefault="00817B48" w:rsidP="00817B48">
      <w:pPr>
        <w:jc w:val="center"/>
        <w:rPr>
          <w:b/>
          <w:szCs w:val="22"/>
        </w:rPr>
      </w:pPr>
    </w:p>
    <w:p w14:paraId="2877B5A7" w14:textId="77777777" w:rsidR="00F45C34" w:rsidRPr="00817B48" w:rsidRDefault="00F45C34" w:rsidP="00817B48">
      <w:pPr>
        <w:jc w:val="center"/>
        <w:rPr>
          <w:b/>
          <w:szCs w:val="22"/>
        </w:rPr>
      </w:pPr>
      <w:r w:rsidRPr="00817B48">
        <w:rPr>
          <w:b/>
          <w:szCs w:val="22"/>
        </w:rPr>
        <w:t>SÚHRN CHARAKTERISTICKÝCH VLASTNOSTÍ LIEKU</w:t>
      </w:r>
    </w:p>
    <w:p w14:paraId="13809FA3" w14:textId="77777777" w:rsidR="006A3D95" w:rsidRPr="00817B48" w:rsidRDefault="006A3D95" w:rsidP="00817B48">
      <w:pPr>
        <w:rPr>
          <w:szCs w:val="22"/>
        </w:rPr>
      </w:pPr>
    </w:p>
    <w:p w14:paraId="4878ED22" w14:textId="77777777" w:rsidR="006A3D95" w:rsidRPr="00817B48" w:rsidRDefault="006A3D95" w:rsidP="00817B48">
      <w:pPr>
        <w:rPr>
          <w:szCs w:val="22"/>
        </w:rPr>
      </w:pPr>
    </w:p>
    <w:p w14:paraId="622DFEAD" w14:textId="77777777" w:rsidR="00F45C34" w:rsidRPr="00817B48" w:rsidRDefault="00F45C34" w:rsidP="00817B48">
      <w:pPr>
        <w:rPr>
          <w:szCs w:val="22"/>
        </w:rPr>
      </w:pPr>
      <w:r w:rsidRPr="00817B48">
        <w:rPr>
          <w:b/>
          <w:szCs w:val="22"/>
        </w:rPr>
        <w:t>1.</w:t>
      </w:r>
      <w:r w:rsidRPr="00817B48">
        <w:rPr>
          <w:b/>
          <w:szCs w:val="22"/>
        </w:rPr>
        <w:tab/>
        <w:t>NÁZOV LIEKU</w:t>
      </w:r>
    </w:p>
    <w:p w14:paraId="19901E13" w14:textId="77777777" w:rsidR="00F45C34" w:rsidRPr="00817B48" w:rsidRDefault="00F45C34" w:rsidP="00817B48">
      <w:pPr>
        <w:rPr>
          <w:szCs w:val="22"/>
        </w:rPr>
      </w:pPr>
    </w:p>
    <w:p w14:paraId="48DE6F9B" w14:textId="77777777" w:rsidR="00F45C34" w:rsidRPr="00817B48" w:rsidRDefault="00D45D26" w:rsidP="00817B48">
      <w:pPr>
        <w:ind w:left="0" w:firstLine="0"/>
        <w:rPr>
          <w:szCs w:val="22"/>
        </w:rPr>
      </w:pPr>
      <w:r w:rsidRPr="00817B48">
        <w:rPr>
          <w:szCs w:val="22"/>
        </w:rPr>
        <w:t>Korylan</w:t>
      </w:r>
    </w:p>
    <w:p w14:paraId="186C69B3" w14:textId="49353E0B" w:rsidR="00F45C34" w:rsidRPr="00817B48" w:rsidRDefault="00985E92" w:rsidP="00817B48">
      <w:pPr>
        <w:rPr>
          <w:szCs w:val="22"/>
        </w:rPr>
      </w:pPr>
      <w:r w:rsidRPr="00817B48">
        <w:rPr>
          <w:szCs w:val="22"/>
        </w:rPr>
        <w:t>325</w:t>
      </w:r>
      <w:r w:rsidR="00604C16" w:rsidRPr="00817B48">
        <w:rPr>
          <w:szCs w:val="22"/>
        </w:rPr>
        <w:t> </w:t>
      </w:r>
      <w:r w:rsidRPr="00817B48">
        <w:rPr>
          <w:szCs w:val="22"/>
        </w:rPr>
        <w:t>mg/28,73</w:t>
      </w:r>
      <w:r w:rsidR="00604C16" w:rsidRPr="00817B48">
        <w:rPr>
          <w:szCs w:val="22"/>
        </w:rPr>
        <w:t> </w:t>
      </w:r>
      <w:r w:rsidRPr="00817B48">
        <w:rPr>
          <w:szCs w:val="22"/>
        </w:rPr>
        <w:t>mg tablety</w:t>
      </w:r>
    </w:p>
    <w:p w14:paraId="121FAA15" w14:textId="77777777" w:rsidR="00F45C34" w:rsidRPr="00817B48" w:rsidRDefault="00F45C34" w:rsidP="00817B48">
      <w:pPr>
        <w:rPr>
          <w:szCs w:val="22"/>
        </w:rPr>
      </w:pPr>
    </w:p>
    <w:p w14:paraId="63CCA7FE" w14:textId="77777777" w:rsidR="00985E92" w:rsidRPr="00817B48" w:rsidRDefault="00985E92" w:rsidP="00817B48">
      <w:pPr>
        <w:rPr>
          <w:szCs w:val="22"/>
        </w:rPr>
      </w:pPr>
    </w:p>
    <w:p w14:paraId="3D55963D" w14:textId="77777777" w:rsidR="00F45C34" w:rsidRPr="00817B48" w:rsidRDefault="00F45C34" w:rsidP="00817B48">
      <w:pPr>
        <w:rPr>
          <w:szCs w:val="22"/>
        </w:rPr>
      </w:pPr>
      <w:r w:rsidRPr="00817B48">
        <w:rPr>
          <w:b/>
          <w:szCs w:val="22"/>
        </w:rPr>
        <w:t>2.</w:t>
      </w:r>
      <w:r w:rsidRPr="00817B48">
        <w:rPr>
          <w:b/>
          <w:szCs w:val="22"/>
        </w:rPr>
        <w:tab/>
        <w:t>KVALITATÍVNE A KVANTITATÍVNE ZLOŽENIE</w:t>
      </w:r>
    </w:p>
    <w:p w14:paraId="17716945" w14:textId="77777777" w:rsidR="00F45C34" w:rsidRPr="00817B48" w:rsidRDefault="00F45C34" w:rsidP="00817B48">
      <w:pPr>
        <w:ind w:left="0" w:firstLine="0"/>
        <w:rPr>
          <w:szCs w:val="22"/>
        </w:rPr>
      </w:pPr>
    </w:p>
    <w:p w14:paraId="74E03E00" w14:textId="7B6ACAEA" w:rsidR="006A3D95" w:rsidRPr="00817B48" w:rsidRDefault="006A3D95" w:rsidP="00817B4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17B48">
        <w:rPr>
          <w:szCs w:val="22"/>
          <w:lang w:val="sk-SK"/>
        </w:rPr>
        <w:t>Jedna tableta obsahuje 325</w:t>
      </w:r>
      <w:r w:rsidR="00604C16" w:rsidRPr="00817B48">
        <w:rPr>
          <w:szCs w:val="22"/>
          <w:lang w:val="sk-SK"/>
        </w:rPr>
        <w:t> </w:t>
      </w:r>
      <w:r w:rsidRPr="00817B48">
        <w:rPr>
          <w:szCs w:val="22"/>
          <w:lang w:val="sk-SK"/>
        </w:rPr>
        <w:t>mg paracetamolu a 28,73</w:t>
      </w:r>
      <w:r w:rsidR="00604C16" w:rsidRPr="00817B48">
        <w:rPr>
          <w:szCs w:val="22"/>
          <w:lang w:val="sk-SK"/>
        </w:rPr>
        <w:t> </w:t>
      </w:r>
      <w:r w:rsidR="005E6E6E" w:rsidRPr="00817B48">
        <w:rPr>
          <w:szCs w:val="22"/>
          <w:lang w:val="sk-SK"/>
        </w:rPr>
        <w:t xml:space="preserve">mg </w:t>
      </w:r>
      <w:r w:rsidR="00A73FA2" w:rsidRPr="00817B48">
        <w:rPr>
          <w:szCs w:val="22"/>
          <w:lang w:val="sk-SK"/>
        </w:rPr>
        <w:t xml:space="preserve">hemihydrát kodeíniumfosfátu </w:t>
      </w:r>
      <w:r w:rsidRPr="00817B48">
        <w:rPr>
          <w:szCs w:val="22"/>
          <w:lang w:val="sk-SK"/>
        </w:rPr>
        <w:t>(=</w:t>
      </w:r>
      <w:r w:rsidR="00985E92" w:rsidRPr="00817B48">
        <w:rPr>
          <w:szCs w:val="22"/>
          <w:lang w:val="sk-SK"/>
        </w:rPr>
        <w:t xml:space="preserve"> </w:t>
      </w:r>
      <w:r w:rsidRPr="00817B48">
        <w:rPr>
          <w:szCs w:val="22"/>
          <w:lang w:val="sk-SK"/>
        </w:rPr>
        <w:t>21,17</w:t>
      </w:r>
      <w:r w:rsidR="00604C16" w:rsidRPr="00817B48">
        <w:rPr>
          <w:szCs w:val="22"/>
          <w:lang w:val="sk-SK"/>
        </w:rPr>
        <w:t> </w:t>
      </w:r>
      <w:r w:rsidRPr="00817B48">
        <w:rPr>
          <w:szCs w:val="22"/>
          <w:lang w:val="sk-SK"/>
        </w:rPr>
        <w:t>mg</w:t>
      </w:r>
      <w:r w:rsidR="00A73FA2" w:rsidRPr="00817B48">
        <w:rPr>
          <w:szCs w:val="22"/>
          <w:lang w:val="sk-SK"/>
        </w:rPr>
        <w:t xml:space="preserve"> kodeínu</w:t>
      </w:r>
      <w:r w:rsidRPr="00817B48">
        <w:rPr>
          <w:szCs w:val="22"/>
          <w:lang w:val="sk-SK"/>
        </w:rPr>
        <w:t>)</w:t>
      </w:r>
      <w:r w:rsidR="0054436E" w:rsidRPr="00817B48">
        <w:rPr>
          <w:szCs w:val="22"/>
          <w:lang w:val="sk-SK"/>
        </w:rPr>
        <w:t>.</w:t>
      </w:r>
    </w:p>
    <w:p w14:paraId="59B78035" w14:textId="4AF7748F" w:rsidR="00F45C34" w:rsidRPr="00817B48" w:rsidRDefault="00F45C34" w:rsidP="00817B48">
      <w:pPr>
        <w:tabs>
          <w:tab w:val="left" w:pos="567"/>
        </w:tabs>
        <w:ind w:left="0" w:firstLine="0"/>
        <w:rPr>
          <w:szCs w:val="22"/>
        </w:rPr>
      </w:pPr>
      <w:r w:rsidRPr="00817B48">
        <w:rPr>
          <w:szCs w:val="22"/>
        </w:rPr>
        <w:t>Úplný zoznam pomocných látok</w:t>
      </w:r>
      <w:r w:rsidRPr="00817B48">
        <w:rPr>
          <w:szCs w:val="22"/>
          <w:lang w:eastAsia="en-US"/>
        </w:rPr>
        <w:t>,</w:t>
      </w:r>
      <w:r w:rsidRPr="00817B48">
        <w:rPr>
          <w:szCs w:val="22"/>
        </w:rPr>
        <w:t xml:space="preserve"> pozri časť</w:t>
      </w:r>
      <w:r w:rsidR="00604C16" w:rsidRPr="00817B48">
        <w:rPr>
          <w:szCs w:val="22"/>
        </w:rPr>
        <w:t> </w:t>
      </w:r>
      <w:r w:rsidRPr="00817B48">
        <w:rPr>
          <w:szCs w:val="22"/>
        </w:rPr>
        <w:t>6.1</w:t>
      </w:r>
      <w:r w:rsidRPr="00817B48">
        <w:rPr>
          <w:szCs w:val="22"/>
          <w:lang w:eastAsia="en-US"/>
        </w:rPr>
        <w:t>.</w:t>
      </w:r>
    </w:p>
    <w:p w14:paraId="6FBE54FB" w14:textId="77777777" w:rsidR="00F45C34" w:rsidRPr="00817B48" w:rsidRDefault="00F45C34" w:rsidP="00817B48">
      <w:pPr>
        <w:rPr>
          <w:szCs w:val="22"/>
        </w:rPr>
      </w:pPr>
    </w:p>
    <w:p w14:paraId="73CF1851" w14:textId="77777777" w:rsidR="00D45D26" w:rsidRPr="00817B48" w:rsidRDefault="00D45D26" w:rsidP="00817B48">
      <w:pPr>
        <w:rPr>
          <w:szCs w:val="22"/>
        </w:rPr>
      </w:pPr>
    </w:p>
    <w:p w14:paraId="6AE4D46F" w14:textId="77777777" w:rsidR="00F45C34" w:rsidRPr="00817B48" w:rsidRDefault="00F45C34" w:rsidP="00817B48">
      <w:pPr>
        <w:rPr>
          <w:caps/>
          <w:szCs w:val="22"/>
        </w:rPr>
      </w:pPr>
      <w:r w:rsidRPr="00817B48">
        <w:rPr>
          <w:b/>
          <w:szCs w:val="22"/>
        </w:rPr>
        <w:t>3.</w:t>
      </w:r>
      <w:r w:rsidRPr="00817B48">
        <w:rPr>
          <w:b/>
          <w:szCs w:val="22"/>
        </w:rPr>
        <w:tab/>
        <w:t>LIEKOVÁ FORMA</w:t>
      </w:r>
    </w:p>
    <w:p w14:paraId="67B68DA6" w14:textId="77777777" w:rsidR="00F45C34" w:rsidRPr="00817B48" w:rsidRDefault="00F45C34" w:rsidP="00817B48">
      <w:pPr>
        <w:rPr>
          <w:szCs w:val="22"/>
        </w:rPr>
      </w:pPr>
    </w:p>
    <w:p w14:paraId="616505B9" w14:textId="77777777" w:rsidR="006A3D95" w:rsidRPr="00817B48" w:rsidRDefault="006A3D95" w:rsidP="00817B48">
      <w:pPr>
        <w:rPr>
          <w:szCs w:val="22"/>
        </w:rPr>
      </w:pPr>
      <w:r w:rsidRPr="00817B48">
        <w:rPr>
          <w:szCs w:val="22"/>
        </w:rPr>
        <w:t>Tableta</w:t>
      </w:r>
      <w:r w:rsidR="00985E92" w:rsidRPr="00817B48">
        <w:rPr>
          <w:szCs w:val="22"/>
        </w:rPr>
        <w:t>.</w:t>
      </w:r>
    </w:p>
    <w:p w14:paraId="7B99840A" w14:textId="77777777" w:rsidR="006B2E76" w:rsidRPr="00817B48" w:rsidRDefault="00D45D26" w:rsidP="00817B48">
      <w:pPr>
        <w:tabs>
          <w:tab w:val="left" w:pos="0"/>
          <w:tab w:val="left" w:pos="9072"/>
        </w:tabs>
        <w:ind w:right="-1"/>
        <w:rPr>
          <w:szCs w:val="22"/>
        </w:rPr>
      </w:pPr>
      <w:r w:rsidRPr="00817B48">
        <w:rPr>
          <w:szCs w:val="22"/>
        </w:rPr>
        <w:t>T</w:t>
      </w:r>
      <w:r w:rsidR="006E1734" w:rsidRPr="00817B48">
        <w:rPr>
          <w:szCs w:val="22"/>
        </w:rPr>
        <w:t>akmer</w:t>
      </w:r>
      <w:r w:rsidR="006A3D95" w:rsidRPr="00817B48">
        <w:rPr>
          <w:szCs w:val="22"/>
        </w:rPr>
        <w:t xml:space="preserve"> biele okrúhle ploché tablety so skosenými hranami, na jednej strane s deliacou ryhou.</w:t>
      </w:r>
    </w:p>
    <w:p w14:paraId="4B6B5ACF" w14:textId="77777777" w:rsidR="00F45C34" w:rsidRPr="00817B48" w:rsidRDefault="00F45C34" w:rsidP="00817B48">
      <w:pPr>
        <w:tabs>
          <w:tab w:val="left" w:pos="0"/>
          <w:tab w:val="left" w:pos="9072"/>
        </w:tabs>
        <w:ind w:right="-1"/>
        <w:rPr>
          <w:szCs w:val="22"/>
        </w:rPr>
      </w:pPr>
      <w:r w:rsidRPr="00817B48">
        <w:rPr>
          <w:noProof/>
          <w:szCs w:val="22"/>
        </w:rPr>
        <w:t>Tableta sa môž</w:t>
      </w:r>
      <w:r w:rsidR="00DD53AC" w:rsidRPr="00817B48">
        <w:rPr>
          <w:noProof/>
          <w:szCs w:val="22"/>
        </w:rPr>
        <w:t xml:space="preserve">e rozdeliť na rovnaké </w:t>
      </w:r>
      <w:r w:rsidR="00A20461" w:rsidRPr="00817B48">
        <w:rPr>
          <w:noProof/>
          <w:szCs w:val="22"/>
        </w:rPr>
        <w:t>dávky</w:t>
      </w:r>
      <w:r w:rsidR="00DD53AC" w:rsidRPr="00817B48">
        <w:rPr>
          <w:noProof/>
          <w:szCs w:val="22"/>
        </w:rPr>
        <w:t>.</w:t>
      </w:r>
    </w:p>
    <w:p w14:paraId="708795AE" w14:textId="77777777" w:rsidR="00F45C34" w:rsidRPr="00817B48" w:rsidRDefault="00F45C34" w:rsidP="00817B48">
      <w:pPr>
        <w:rPr>
          <w:szCs w:val="22"/>
        </w:rPr>
      </w:pPr>
    </w:p>
    <w:p w14:paraId="1C86364A" w14:textId="77777777" w:rsidR="00F45C34" w:rsidRPr="00817B48" w:rsidRDefault="00F45C34" w:rsidP="00817B48">
      <w:pPr>
        <w:rPr>
          <w:szCs w:val="22"/>
        </w:rPr>
      </w:pPr>
    </w:p>
    <w:p w14:paraId="63DD74F2" w14:textId="77777777" w:rsidR="00F45C34" w:rsidRPr="00817B48" w:rsidRDefault="00F45C34" w:rsidP="00817B48">
      <w:pPr>
        <w:rPr>
          <w:caps/>
          <w:szCs w:val="22"/>
        </w:rPr>
      </w:pPr>
      <w:r w:rsidRPr="00817B48">
        <w:rPr>
          <w:b/>
          <w:caps/>
          <w:szCs w:val="22"/>
        </w:rPr>
        <w:t>4.</w:t>
      </w:r>
      <w:r w:rsidRPr="00817B48">
        <w:rPr>
          <w:b/>
          <w:caps/>
          <w:szCs w:val="22"/>
        </w:rPr>
        <w:tab/>
        <w:t>KLINICKÉ ÚDAJE</w:t>
      </w:r>
    </w:p>
    <w:p w14:paraId="41DC4D5E" w14:textId="77777777" w:rsidR="00F45C34" w:rsidRPr="00817B48" w:rsidRDefault="00F45C34" w:rsidP="00817B48">
      <w:pPr>
        <w:rPr>
          <w:szCs w:val="22"/>
        </w:rPr>
      </w:pPr>
    </w:p>
    <w:p w14:paraId="3B90E6BD" w14:textId="77777777" w:rsidR="00F45C34" w:rsidRPr="00817B48" w:rsidRDefault="00F45C34" w:rsidP="00817B48">
      <w:pPr>
        <w:rPr>
          <w:szCs w:val="22"/>
        </w:rPr>
      </w:pPr>
      <w:r w:rsidRPr="00817B48">
        <w:rPr>
          <w:b/>
          <w:szCs w:val="22"/>
        </w:rPr>
        <w:t>4.1</w:t>
      </w:r>
      <w:r w:rsidRPr="00817B48">
        <w:rPr>
          <w:b/>
          <w:szCs w:val="22"/>
        </w:rPr>
        <w:tab/>
        <w:t>Terapeutické indikácie</w:t>
      </w:r>
    </w:p>
    <w:p w14:paraId="40F0C776" w14:textId="77777777" w:rsidR="00F45C34" w:rsidRPr="00817B48" w:rsidRDefault="00F45C34" w:rsidP="00817B48">
      <w:pPr>
        <w:rPr>
          <w:szCs w:val="22"/>
        </w:rPr>
      </w:pPr>
    </w:p>
    <w:p w14:paraId="7020DBCC" w14:textId="123F6E0A" w:rsidR="009B1D58" w:rsidRPr="00817B48" w:rsidRDefault="006A3D95" w:rsidP="00817B48">
      <w:pPr>
        <w:ind w:left="0" w:firstLine="0"/>
        <w:rPr>
          <w:szCs w:val="22"/>
        </w:rPr>
      </w:pPr>
      <w:r w:rsidRPr="00817B48">
        <w:rPr>
          <w:szCs w:val="22"/>
        </w:rPr>
        <w:t xml:space="preserve">Korylan </w:t>
      </w:r>
      <w:r w:rsidR="001A4585" w:rsidRPr="00817B48">
        <w:rPr>
          <w:szCs w:val="22"/>
        </w:rPr>
        <w:t>je indikovaný na tlmenie</w:t>
      </w:r>
      <w:r w:rsidRPr="00817B48">
        <w:rPr>
          <w:szCs w:val="22"/>
        </w:rPr>
        <w:t xml:space="preserve"> </w:t>
      </w:r>
      <w:r w:rsidR="004B7C4A" w:rsidRPr="00817B48">
        <w:rPr>
          <w:szCs w:val="22"/>
        </w:rPr>
        <w:t xml:space="preserve">stredne </w:t>
      </w:r>
      <w:r w:rsidR="00A20461" w:rsidRPr="00817B48">
        <w:rPr>
          <w:szCs w:val="22"/>
        </w:rPr>
        <w:t>silnej</w:t>
      </w:r>
      <w:r w:rsidR="004B7C4A" w:rsidRPr="00817B48">
        <w:rPr>
          <w:szCs w:val="22"/>
        </w:rPr>
        <w:t xml:space="preserve"> až </w:t>
      </w:r>
      <w:r w:rsidR="00A20461" w:rsidRPr="00817B48">
        <w:rPr>
          <w:szCs w:val="22"/>
        </w:rPr>
        <w:t>silnej</w:t>
      </w:r>
      <w:r w:rsidR="004B7C4A" w:rsidRPr="00817B48">
        <w:rPr>
          <w:szCs w:val="22"/>
        </w:rPr>
        <w:t xml:space="preserve"> bolesti </w:t>
      </w:r>
      <w:r w:rsidR="0002161A" w:rsidRPr="00817B48">
        <w:rPr>
          <w:szCs w:val="22"/>
        </w:rPr>
        <w:t>(</w:t>
      </w:r>
      <w:r w:rsidRPr="00817B48">
        <w:rPr>
          <w:szCs w:val="22"/>
        </w:rPr>
        <w:t>pooperačných alebo nádorových bolestí, bolesti vertebrogénneho pôvodu, bolesti zubov, hlavy, neuralgia, bolesti svalov alebo kĺbov nezápalovej etiológie menštruačné bolesti</w:t>
      </w:r>
      <w:r w:rsidR="0002161A" w:rsidRPr="00817B48">
        <w:rPr>
          <w:szCs w:val="22"/>
        </w:rPr>
        <w:t>)</w:t>
      </w:r>
      <w:r w:rsidR="00393676" w:rsidRPr="00817B48">
        <w:rPr>
          <w:szCs w:val="22"/>
        </w:rPr>
        <w:t>,</w:t>
      </w:r>
      <w:r w:rsidRPr="00817B48">
        <w:rPr>
          <w:szCs w:val="22"/>
        </w:rPr>
        <w:t xml:space="preserve"> horúčky, najmä pri akútnych bakteriálnych a vírusových infekciách sprevádzaných neproduktívnym kašľom.</w:t>
      </w:r>
    </w:p>
    <w:p w14:paraId="379D0A76" w14:textId="77777777" w:rsidR="006A3D95" w:rsidRPr="00817B48" w:rsidRDefault="006A3D95" w:rsidP="00817B48">
      <w:pPr>
        <w:ind w:left="0" w:firstLine="0"/>
        <w:rPr>
          <w:szCs w:val="22"/>
        </w:rPr>
      </w:pPr>
    </w:p>
    <w:p w14:paraId="1EA71355" w14:textId="77777777" w:rsidR="00F45C34" w:rsidRPr="00817B48" w:rsidRDefault="00F45C34" w:rsidP="00817B48">
      <w:pPr>
        <w:rPr>
          <w:b/>
          <w:szCs w:val="22"/>
        </w:rPr>
      </w:pPr>
      <w:r w:rsidRPr="00817B48">
        <w:rPr>
          <w:b/>
          <w:szCs w:val="22"/>
        </w:rPr>
        <w:t>4.2</w:t>
      </w:r>
      <w:r w:rsidRPr="00817B48">
        <w:rPr>
          <w:b/>
          <w:szCs w:val="22"/>
        </w:rPr>
        <w:tab/>
        <w:t>Dávkovanie a spôsob pod</w:t>
      </w:r>
      <w:r w:rsidR="001A4585" w:rsidRPr="00817B48">
        <w:rPr>
          <w:b/>
          <w:szCs w:val="22"/>
        </w:rPr>
        <w:t>a</w:t>
      </w:r>
      <w:r w:rsidRPr="00817B48">
        <w:rPr>
          <w:b/>
          <w:szCs w:val="22"/>
        </w:rPr>
        <w:t>nia</w:t>
      </w:r>
    </w:p>
    <w:p w14:paraId="0A9D5BC7" w14:textId="77777777" w:rsidR="00F45C34" w:rsidRPr="00817B48" w:rsidRDefault="00F45C34" w:rsidP="00817B48">
      <w:pPr>
        <w:rPr>
          <w:szCs w:val="22"/>
        </w:rPr>
      </w:pPr>
    </w:p>
    <w:p w14:paraId="51D6A819" w14:textId="77777777" w:rsidR="009B1D58" w:rsidRPr="00817B48" w:rsidRDefault="009B1D58" w:rsidP="00817B48">
      <w:pPr>
        <w:ind w:left="0" w:firstLine="0"/>
        <w:rPr>
          <w:szCs w:val="22"/>
        </w:rPr>
      </w:pPr>
      <w:r w:rsidRPr="00817B48">
        <w:rPr>
          <w:szCs w:val="22"/>
          <w:u w:val="single"/>
        </w:rPr>
        <w:t>Dávkovanie</w:t>
      </w:r>
    </w:p>
    <w:p w14:paraId="32FBB9E0" w14:textId="77777777" w:rsidR="009B1D58" w:rsidRPr="00817B48" w:rsidRDefault="009B1D58" w:rsidP="00817B48">
      <w:pPr>
        <w:ind w:left="0" w:firstLine="0"/>
        <w:rPr>
          <w:szCs w:val="22"/>
          <w:u w:val="single"/>
        </w:rPr>
      </w:pPr>
    </w:p>
    <w:p w14:paraId="7E168456" w14:textId="77777777" w:rsidR="006A3D95" w:rsidRPr="00817B48" w:rsidRDefault="006A3D95" w:rsidP="00817B48">
      <w:pPr>
        <w:ind w:left="0" w:firstLine="0"/>
        <w:rPr>
          <w:i/>
          <w:szCs w:val="22"/>
        </w:rPr>
      </w:pPr>
      <w:r w:rsidRPr="00817B48">
        <w:rPr>
          <w:i/>
          <w:szCs w:val="22"/>
        </w:rPr>
        <w:t>Dospelí</w:t>
      </w:r>
    </w:p>
    <w:p w14:paraId="40DFDFC3" w14:textId="6484088F" w:rsidR="0069547B" w:rsidRPr="00817B48" w:rsidRDefault="006A3D95" w:rsidP="00817B48">
      <w:pPr>
        <w:ind w:left="0" w:firstLine="0"/>
        <w:rPr>
          <w:szCs w:val="22"/>
        </w:rPr>
      </w:pPr>
      <w:r w:rsidRPr="00817B48">
        <w:rPr>
          <w:szCs w:val="22"/>
        </w:rPr>
        <w:t>U dospelých sa podávajú 1</w:t>
      </w:r>
      <w:r w:rsidR="00604C16" w:rsidRPr="00817B48">
        <w:rPr>
          <w:szCs w:val="22"/>
        </w:rPr>
        <w:noBreakHyphen/>
      </w:r>
      <w:r w:rsidRPr="00817B48">
        <w:rPr>
          <w:szCs w:val="22"/>
        </w:rPr>
        <w:t xml:space="preserve">2-tablety </w:t>
      </w:r>
      <w:r w:rsidR="006E1734" w:rsidRPr="00817B48">
        <w:rPr>
          <w:szCs w:val="22"/>
        </w:rPr>
        <w:t>podľa potreby niekoľko</w:t>
      </w:r>
      <w:r w:rsidR="0069547B" w:rsidRPr="00817B48">
        <w:rPr>
          <w:szCs w:val="22"/>
        </w:rPr>
        <w:t>krát</w:t>
      </w:r>
      <w:r w:rsidR="001F2157" w:rsidRPr="00817B48">
        <w:rPr>
          <w:szCs w:val="22"/>
        </w:rPr>
        <w:t xml:space="preserve"> denne (</w:t>
      </w:r>
      <w:r w:rsidR="006E1734" w:rsidRPr="00817B48">
        <w:rPr>
          <w:szCs w:val="22"/>
        </w:rPr>
        <w:t>v</w:t>
      </w:r>
      <w:r w:rsidR="00985E92" w:rsidRPr="00817B48">
        <w:rPr>
          <w:szCs w:val="22"/>
        </w:rPr>
        <w:t> </w:t>
      </w:r>
      <w:r w:rsidR="006E1734" w:rsidRPr="00817B48">
        <w:rPr>
          <w:szCs w:val="22"/>
        </w:rPr>
        <w:t>najmenej 4-hodinových intervaloch). Najvyššia</w:t>
      </w:r>
      <w:r w:rsidR="001F2157" w:rsidRPr="00817B48">
        <w:rPr>
          <w:szCs w:val="22"/>
        </w:rPr>
        <w:t xml:space="preserve"> denná dávka je </w:t>
      </w:r>
      <w:r w:rsidR="006E1734" w:rsidRPr="00817B48">
        <w:rPr>
          <w:szCs w:val="22"/>
        </w:rPr>
        <w:t>10</w:t>
      </w:r>
      <w:r w:rsidR="00604C16" w:rsidRPr="00817B48">
        <w:rPr>
          <w:szCs w:val="22"/>
        </w:rPr>
        <w:t> </w:t>
      </w:r>
      <w:r w:rsidR="006E1734" w:rsidRPr="00817B48">
        <w:rPr>
          <w:szCs w:val="22"/>
        </w:rPr>
        <w:t>tabliet</w:t>
      </w:r>
      <w:r w:rsidR="0069547B" w:rsidRPr="00817B48">
        <w:rPr>
          <w:szCs w:val="22"/>
        </w:rPr>
        <w:t xml:space="preserve"> (zodpovedá dávke 3,25</w:t>
      </w:r>
      <w:r w:rsidR="00604C16" w:rsidRPr="00817B48">
        <w:rPr>
          <w:szCs w:val="22"/>
        </w:rPr>
        <w:t> </w:t>
      </w:r>
      <w:r w:rsidR="0069547B" w:rsidRPr="00817B48">
        <w:rPr>
          <w:szCs w:val="22"/>
        </w:rPr>
        <w:t>g paracetamolu a 287,3</w:t>
      </w:r>
      <w:r w:rsidR="00604C16" w:rsidRPr="00817B48">
        <w:rPr>
          <w:szCs w:val="22"/>
        </w:rPr>
        <w:t> </w:t>
      </w:r>
      <w:r w:rsidR="0069547B" w:rsidRPr="00817B48">
        <w:rPr>
          <w:szCs w:val="22"/>
        </w:rPr>
        <w:t>mg hemihydrát kodeíniumfosfátu)</w:t>
      </w:r>
      <w:r w:rsidR="006E1734" w:rsidRPr="00817B48">
        <w:rPr>
          <w:szCs w:val="22"/>
        </w:rPr>
        <w:t xml:space="preserve">. </w:t>
      </w:r>
    </w:p>
    <w:p w14:paraId="679813E1" w14:textId="77777777" w:rsidR="00B60205" w:rsidRPr="00817B48" w:rsidRDefault="00B60205" w:rsidP="00817B48">
      <w:pPr>
        <w:ind w:left="0" w:firstLine="0"/>
        <w:rPr>
          <w:szCs w:val="22"/>
        </w:rPr>
      </w:pPr>
    </w:p>
    <w:p w14:paraId="503F88FC" w14:textId="77777777" w:rsidR="00B900B0" w:rsidRPr="00817B48" w:rsidRDefault="00B900B0" w:rsidP="00817B48">
      <w:pPr>
        <w:ind w:left="0" w:firstLine="0"/>
        <w:rPr>
          <w:i/>
          <w:szCs w:val="22"/>
        </w:rPr>
      </w:pPr>
      <w:r w:rsidRPr="00817B48">
        <w:rPr>
          <w:i/>
          <w:szCs w:val="22"/>
        </w:rPr>
        <w:t>Pediatrická populácia</w:t>
      </w:r>
    </w:p>
    <w:p w14:paraId="30771B1E" w14:textId="38493C9A" w:rsidR="00B60205" w:rsidRPr="00817B48" w:rsidRDefault="00E21E22" w:rsidP="00817B48">
      <w:pPr>
        <w:ind w:left="0" w:firstLine="0"/>
        <w:rPr>
          <w:szCs w:val="22"/>
          <w:u w:val="single"/>
        </w:rPr>
      </w:pPr>
      <w:r w:rsidRPr="00817B48">
        <w:rPr>
          <w:szCs w:val="22"/>
          <w:u w:val="single"/>
        </w:rPr>
        <w:t xml:space="preserve">Dospievajúci </w:t>
      </w:r>
      <w:r w:rsidR="00B60205" w:rsidRPr="00817B48">
        <w:rPr>
          <w:szCs w:val="22"/>
          <w:u w:val="single"/>
        </w:rPr>
        <w:t>vo veku 12 až 18 rokov</w:t>
      </w:r>
    </w:p>
    <w:p w14:paraId="64581321" w14:textId="2C688D38" w:rsidR="005E0C7E" w:rsidRPr="00817B48" w:rsidRDefault="005E0C7E" w:rsidP="00817B48">
      <w:pPr>
        <w:ind w:left="0" w:firstLine="0"/>
        <w:rPr>
          <w:szCs w:val="22"/>
        </w:rPr>
      </w:pPr>
      <w:r w:rsidRPr="00817B48">
        <w:rPr>
          <w:szCs w:val="22"/>
        </w:rPr>
        <w:t>D</w:t>
      </w:r>
      <w:r w:rsidR="00864188" w:rsidRPr="00817B48">
        <w:rPr>
          <w:szCs w:val="22"/>
        </w:rPr>
        <w:t>ospievajúcim vo veku 12 až 18</w:t>
      </w:r>
      <w:r w:rsidRPr="00817B48">
        <w:rPr>
          <w:szCs w:val="22"/>
        </w:rPr>
        <w:t xml:space="preserve"> rokov sa podáva 1</w:t>
      </w:r>
      <w:r w:rsidR="00E21E22" w:rsidRPr="00817B48">
        <w:rPr>
          <w:szCs w:val="22"/>
        </w:rPr>
        <w:t> </w:t>
      </w:r>
      <w:r w:rsidRPr="00817B48">
        <w:rPr>
          <w:szCs w:val="22"/>
        </w:rPr>
        <w:t xml:space="preserve">tableta </w:t>
      </w:r>
      <w:r w:rsidR="003E09AB" w:rsidRPr="00817B48">
        <w:rPr>
          <w:szCs w:val="22"/>
        </w:rPr>
        <w:t xml:space="preserve">v najmenej </w:t>
      </w:r>
      <w:r w:rsidRPr="00817B48">
        <w:rPr>
          <w:szCs w:val="22"/>
        </w:rPr>
        <w:t>6</w:t>
      </w:r>
      <w:r w:rsidR="00E21E22" w:rsidRPr="00817B48">
        <w:rPr>
          <w:szCs w:val="22"/>
        </w:rPr>
        <w:t> </w:t>
      </w:r>
      <w:r w:rsidRPr="00817B48">
        <w:rPr>
          <w:szCs w:val="22"/>
        </w:rPr>
        <w:t>hodin</w:t>
      </w:r>
      <w:r w:rsidR="003E09AB" w:rsidRPr="00817B48">
        <w:rPr>
          <w:szCs w:val="22"/>
        </w:rPr>
        <w:t xml:space="preserve">ových </w:t>
      </w:r>
      <w:r w:rsidR="00864188" w:rsidRPr="00817B48">
        <w:rPr>
          <w:szCs w:val="22"/>
        </w:rPr>
        <w:t>intervaloch. Najvyššia</w:t>
      </w:r>
      <w:r w:rsidR="003E09AB" w:rsidRPr="00817B48">
        <w:rPr>
          <w:szCs w:val="22"/>
        </w:rPr>
        <w:t xml:space="preserve"> denná dávka je 8</w:t>
      </w:r>
      <w:r w:rsidR="00E21E22" w:rsidRPr="00817B48">
        <w:rPr>
          <w:szCs w:val="22"/>
        </w:rPr>
        <w:t> </w:t>
      </w:r>
      <w:r w:rsidR="003E09AB" w:rsidRPr="00817B48">
        <w:rPr>
          <w:szCs w:val="22"/>
        </w:rPr>
        <w:t>tabliet.</w:t>
      </w:r>
    </w:p>
    <w:p w14:paraId="21E2D2E6" w14:textId="59D03C03" w:rsidR="00B60205" w:rsidRPr="00817B48" w:rsidRDefault="00B60205" w:rsidP="00817B48">
      <w:pPr>
        <w:ind w:left="0" w:firstLine="0"/>
        <w:rPr>
          <w:szCs w:val="22"/>
        </w:rPr>
      </w:pPr>
      <w:r w:rsidRPr="00817B48">
        <w:rPr>
          <w:szCs w:val="22"/>
        </w:rPr>
        <w:t>Použitie Korylanu sa neodporúča u dospievajúcich vo veku od</w:t>
      </w:r>
      <w:r w:rsidR="00E21E22" w:rsidRPr="00817B48">
        <w:rPr>
          <w:szCs w:val="22"/>
        </w:rPr>
        <w:t> </w:t>
      </w:r>
      <w:r w:rsidRPr="00817B48">
        <w:rPr>
          <w:szCs w:val="22"/>
        </w:rPr>
        <w:t>12 do 18</w:t>
      </w:r>
      <w:r w:rsidR="00E21E22" w:rsidRPr="00817B48">
        <w:rPr>
          <w:szCs w:val="22"/>
        </w:rPr>
        <w:t> </w:t>
      </w:r>
      <w:r w:rsidRPr="00817B48">
        <w:rPr>
          <w:szCs w:val="22"/>
        </w:rPr>
        <w:t>rokov s poš</w:t>
      </w:r>
      <w:r w:rsidR="00B900B0" w:rsidRPr="00817B48">
        <w:rPr>
          <w:szCs w:val="22"/>
        </w:rPr>
        <w:t>kodením respiračných funkcií na</w:t>
      </w:r>
      <w:r w:rsidRPr="00817B48">
        <w:rPr>
          <w:szCs w:val="22"/>
        </w:rPr>
        <w:t xml:space="preserve"> symptomatick</w:t>
      </w:r>
      <w:r w:rsidR="00B900B0" w:rsidRPr="00817B48">
        <w:rPr>
          <w:szCs w:val="22"/>
        </w:rPr>
        <w:t>ú</w:t>
      </w:r>
      <w:r w:rsidRPr="00817B48">
        <w:rPr>
          <w:szCs w:val="22"/>
        </w:rPr>
        <w:t xml:space="preserve"> liečb</w:t>
      </w:r>
      <w:r w:rsidR="00B900B0" w:rsidRPr="00817B48">
        <w:rPr>
          <w:szCs w:val="22"/>
        </w:rPr>
        <w:t>u</w:t>
      </w:r>
      <w:r w:rsidRPr="00817B48">
        <w:rPr>
          <w:szCs w:val="22"/>
        </w:rPr>
        <w:t xml:space="preserve"> kašľa a/alebo horúčky (pozri časť 4.4).</w:t>
      </w:r>
    </w:p>
    <w:p w14:paraId="15C18957" w14:textId="77777777" w:rsidR="00CC3F41" w:rsidRPr="00817B48" w:rsidRDefault="00CC3F41" w:rsidP="00817B48">
      <w:pPr>
        <w:ind w:left="0" w:firstLine="0"/>
        <w:rPr>
          <w:szCs w:val="22"/>
        </w:rPr>
      </w:pPr>
    </w:p>
    <w:p w14:paraId="3CBE8288" w14:textId="77777777" w:rsidR="00B60205" w:rsidRPr="00817B48" w:rsidRDefault="00B60205" w:rsidP="00817B48">
      <w:pPr>
        <w:ind w:left="0" w:firstLine="0"/>
        <w:rPr>
          <w:szCs w:val="22"/>
          <w:u w:val="single"/>
        </w:rPr>
      </w:pPr>
      <w:r w:rsidRPr="00817B48">
        <w:rPr>
          <w:szCs w:val="22"/>
          <w:u w:val="single"/>
        </w:rPr>
        <w:t>Deti</w:t>
      </w:r>
      <w:r w:rsidR="00B900B0" w:rsidRPr="00817B48">
        <w:rPr>
          <w:szCs w:val="22"/>
          <w:u w:val="single"/>
        </w:rPr>
        <w:t xml:space="preserve"> vo veku</w:t>
      </w:r>
      <w:r w:rsidRPr="00817B48">
        <w:rPr>
          <w:szCs w:val="22"/>
          <w:u w:val="single"/>
        </w:rPr>
        <w:t xml:space="preserve"> do 12 rokov</w:t>
      </w:r>
    </w:p>
    <w:p w14:paraId="73A27086" w14:textId="249B2D63" w:rsidR="00380B61" w:rsidRPr="00817B48" w:rsidRDefault="00380B61" w:rsidP="00817B48">
      <w:pPr>
        <w:ind w:left="0" w:firstLine="0"/>
        <w:rPr>
          <w:szCs w:val="22"/>
        </w:rPr>
      </w:pPr>
      <w:r w:rsidRPr="00817B48">
        <w:rPr>
          <w:szCs w:val="22"/>
        </w:rPr>
        <w:t>Korylan je kontraindikovaný u detí mladších ako 12</w:t>
      </w:r>
      <w:r w:rsidR="00E21E22" w:rsidRPr="00817B48">
        <w:rPr>
          <w:szCs w:val="22"/>
        </w:rPr>
        <w:t> </w:t>
      </w:r>
      <w:r w:rsidRPr="00817B48">
        <w:rPr>
          <w:szCs w:val="22"/>
        </w:rPr>
        <w:t>rokov</w:t>
      </w:r>
      <w:r w:rsidR="00B900B0" w:rsidRPr="00817B48">
        <w:rPr>
          <w:szCs w:val="22"/>
        </w:rPr>
        <w:t xml:space="preserve"> (pozri časť 4.3)</w:t>
      </w:r>
      <w:r w:rsidRPr="00817B48">
        <w:rPr>
          <w:szCs w:val="22"/>
        </w:rPr>
        <w:t>.</w:t>
      </w:r>
    </w:p>
    <w:p w14:paraId="39C3ABB5" w14:textId="77777777" w:rsidR="00380B61" w:rsidRPr="00817B48" w:rsidRDefault="00380B61" w:rsidP="00817B48">
      <w:pPr>
        <w:ind w:left="0" w:firstLine="0"/>
        <w:rPr>
          <w:szCs w:val="22"/>
          <w:highlight w:val="yellow"/>
        </w:rPr>
      </w:pPr>
    </w:p>
    <w:p w14:paraId="229F0F4E" w14:textId="77777777" w:rsidR="001F2157" w:rsidRPr="00817B48" w:rsidRDefault="001F2157" w:rsidP="00817B48">
      <w:pPr>
        <w:ind w:left="0" w:firstLine="0"/>
        <w:rPr>
          <w:i/>
          <w:szCs w:val="22"/>
        </w:rPr>
      </w:pPr>
      <w:r w:rsidRPr="00817B48">
        <w:rPr>
          <w:i/>
          <w:szCs w:val="22"/>
        </w:rPr>
        <w:t xml:space="preserve">Starší </w:t>
      </w:r>
      <w:r w:rsidR="005E0C7E" w:rsidRPr="00817B48">
        <w:rPr>
          <w:i/>
          <w:szCs w:val="22"/>
        </w:rPr>
        <w:t>pacienti</w:t>
      </w:r>
    </w:p>
    <w:p w14:paraId="4B1AE0ED" w14:textId="77777777" w:rsidR="001F2157" w:rsidRPr="00817B48" w:rsidRDefault="001F2157" w:rsidP="00817B48">
      <w:pPr>
        <w:ind w:left="0" w:firstLine="0"/>
        <w:rPr>
          <w:szCs w:val="22"/>
        </w:rPr>
      </w:pPr>
      <w:r w:rsidRPr="00817B48">
        <w:rPr>
          <w:szCs w:val="22"/>
        </w:rPr>
        <w:t xml:space="preserve">Dávkovanie </w:t>
      </w:r>
      <w:r w:rsidR="0069547B" w:rsidRPr="00817B48">
        <w:rPr>
          <w:szCs w:val="22"/>
        </w:rPr>
        <w:t xml:space="preserve">je rovnaké </w:t>
      </w:r>
      <w:r w:rsidRPr="00817B48">
        <w:rPr>
          <w:szCs w:val="22"/>
        </w:rPr>
        <w:t xml:space="preserve">ako u dospelých, </w:t>
      </w:r>
      <w:r w:rsidR="0074083C" w:rsidRPr="00817B48">
        <w:rPr>
          <w:szCs w:val="22"/>
        </w:rPr>
        <w:t xml:space="preserve">ak je to potrebné, dávku je možné znížiť </w:t>
      </w:r>
      <w:r w:rsidRPr="00817B48">
        <w:rPr>
          <w:szCs w:val="22"/>
        </w:rPr>
        <w:t>(pozri časť 4.4).</w:t>
      </w:r>
    </w:p>
    <w:p w14:paraId="6133C9C6" w14:textId="77777777" w:rsidR="00F8102C" w:rsidRPr="00817B48" w:rsidRDefault="00F8102C" w:rsidP="00817B48">
      <w:pPr>
        <w:ind w:left="0" w:firstLine="0"/>
        <w:rPr>
          <w:szCs w:val="22"/>
        </w:rPr>
      </w:pPr>
    </w:p>
    <w:p w14:paraId="1AD09D6E" w14:textId="77777777" w:rsidR="00F8102C" w:rsidRPr="00817B48" w:rsidRDefault="00F8102C" w:rsidP="00817B48">
      <w:pPr>
        <w:keepNext/>
        <w:ind w:left="0" w:firstLine="0"/>
        <w:rPr>
          <w:i/>
          <w:szCs w:val="22"/>
        </w:rPr>
      </w:pPr>
      <w:r w:rsidRPr="00817B48">
        <w:rPr>
          <w:i/>
          <w:szCs w:val="22"/>
        </w:rPr>
        <w:lastRenderedPageBreak/>
        <w:t xml:space="preserve">Pacienti </w:t>
      </w:r>
      <w:r w:rsidR="00CE228C" w:rsidRPr="00817B48">
        <w:rPr>
          <w:i/>
          <w:szCs w:val="22"/>
        </w:rPr>
        <w:t>s poruchou</w:t>
      </w:r>
      <w:r w:rsidRPr="00817B48">
        <w:rPr>
          <w:i/>
          <w:szCs w:val="22"/>
        </w:rPr>
        <w:t xml:space="preserve"> </w:t>
      </w:r>
      <w:r w:rsidR="00A20461" w:rsidRPr="00817B48">
        <w:rPr>
          <w:i/>
          <w:szCs w:val="22"/>
        </w:rPr>
        <w:t>funkci</w:t>
      </w:r>
      <w:r w:rsidR="00CE228C" w:rsidRPr="00817B48">
        <w:rPr>
          <w:i/>
          <w:szCs w:val="22"/>
        </w:rPr>
        <w:t>e</w:t>
      </w:r>
      <w:r w:rsidRPr="00817B48">
        <w:rPr>
          <w:i/>
          <w:szCs w:val="22"/>
        </w:rPr>
        <w:t xml:space="preserve"> </w:t>
      </w:r>
      <w:r w:rsidR="0074083C" w:rsidRPr="00817B48">
        <w:rPr>
          <w:i/>
          <w:szCs w:val="22"/>
        </w:rPr>
        <w:t xml:space="preserve">obličiek </w:t>
      </w:r>
      <w:r w:rsidR="00A20461" w:rsidRPr="00817B48">
        <w:rPr>
          <w:i/>
          <w:szCs w:val="22"/>
        </w:rPr>
        <w:t>alebo pečene</w:t>
      </w:r>
    </w:p>
    <w:p w14:paraId="50343909" w14:textId="77777777" w:rsidR="001F2157" w:rsidRPr="00817B48" w:rsidRDefault="001F2157" w:rsidP="00817B48">
      <w:pPr>
        <w:keepNext/>
        <w:ind w:left="0" w:firstLine="0"/>
        <w:rPr>
          <w:szCs w:val="22"/>
        </w:rPr>
      </w:pPr>
      <w:r w:rsidRPr="00817B48">
        <w:rPr>
          <w:szCs w:val="22"/>
        </w:rPr>
        <w:t xml:space="preserve">Pri poruchách funkcie pečene alebo obličiek je nutné znížiť dávku alebo predĺžiť interval medzi jednotlivými dávkami. </w:t>
      </w:r>
    </w:p>
    <w:p w14:paraId="7E7CF152" w14:textId="77777777" w:rsidR="001F2157" w:rsidRPr="00817B48" w:rsidRDefault="001F2157" w:rsidP="00817B48">
      <w:pPr>
        <w:ind w:left="0" w:firstLine="0"/>
        <w:rPr>
          <w:szCs w:val="22"/>
        </w:rPr>
      </w:pPr>
      <w:r w:rsidRPr="00817B48">
        <w:rPr>
          <w:szCs w:val="22"/>
        </w:rPr>
        <w:t xml:space="preserve">Pri </w:t>
      </w:r>
      <w:r w:rsidR="00CE228C" w:rsidRPr="00817B48">
        <w:rPr>
          <w:szCs w:val="22"/>
        </w:rPr>
        <w:t xml:space="preserve">poruchách funkcie </w:t>
      </w:r>
      <w:r w:rsidRPr="00817B48">
        <w:rPr>
          <w:szCs w:val="22"/>
        </w:rPr>
        <w:t xml:space="preserve">obličiek možno podať maximálne 1 tabletu s odstupom najmenej 6 </w:t>
      </w:r>
      <w:r w:rsidR="00BE5299" w:rsidRPr="00817B48">
        <w:rPr>
          <w:szCs w:val="22"/>
        </w:rPr>
        <w:t xml:space="preserve">– </w:t>
      </w:r>
      <w:r w:rsidRPr="00817B48">
        <w:rPr>
          <w:szCs w:val="22"/>
        </w:rPr>
        <w:t>8 hodín od predchádzajúcej dávky</w:t>
      </w:r>
      <w:r w:rsidR="005E0C7E" w:rsidRPr="00817B48">
        <w:rPr>
          <w:szCs w:val="22"/>
        </w:rPr>
        <w:t xml:space="preserve"> (pozri časť 4.3 a 4.8).</w:t>
      </w:r>
      <w:r w:rsidRPr="00817B48">
        <w:rPr>
          <w:szCs w:val="22"/>
        </w:rPr>
        <w:t xml:space="preserve"> </w:t>
      </w:r>
    </w:p>
    <w:p w14:paraId="1A42DBF0" w14:textId="77777777" w:rsidR="0074083C" w:rsidRPr="00817B48" w:rsidRDefault="0074083C" w:rsidP="00817B48">
      <w:pPr>
        <w:ind w:left="0" w:firstLine="0"/>
        <w:rPr>
          <w:szCs w:val="22"/>
        </w:rPr>
      </w:pPr>
    </w:p>
    <w:p w14:paraId="11FC577D" w14:textId="77777777" w:rsidR="0074083C" w:rsidRPr="00817B48" w:rsidRDefault="0074083C" w:rsidP="00817B48">
      <w:pPr>
        <w:ind w:left="0" w:firstLine="0"/>
        <w:rPr>
          <w:szCs w:val="22"/>
          <w:u w:val="single"/>
        </w:rPr>
      </w:pPr>
      <w:r w:rsidRPr="00817B48">
        <w:rPr>
          <w:szCs w:val="22"/>
          <w:u w:val="single"/>
        </w:rPr>
        <w:t>Spôsob pod</w:t>
      </w:r>
      <w:r w:rsidR="009001E4" w:rsidRPr="00817B48">
        <w:rPr>
          <w:szCs w:val="22"/>
          <w:u w:val="single"/>
        </w:rPr>
        <w:t>áva</w:t>
      </w:r>
      <w:r w:rsidRPr="00817B48">
        <w:rPr>
          <w:szCs w:val="22"/>
          <w:u w:val="single"/>
        </w:rPr>
        <w:t>nia</w:t>
      </w:r>
    </w:p>
    <w:p w14:paraId="18B50CF6" w14:textId="77777777" w:rsidR="009001E4" w:rsidRPr="00817B48" w:rsidRDefault="009001E4" w:rsidP="00817B48">
      <w:pPr>
        <w:ind w:left="0" w:firstLine="0"/>
        <w:rPr>
          <w:szCs w:val="22"/>
          <w:u w:val="single"/>
        </w:rPr>
      </w:pPr>
    </w:p>
    <w:p w14:paraId="74BEF5D5" w14:textId="77777777" w:rsidR="00800DBB" w:rsidRPr="00817B48" w:rsidRDefault="00800DBB" w:rsidP="00817B48">
      <w:pPr>
        <w:ind w:left="0" w:firstLine="0"/>
        <w:rPr>
          <w:szCs w:val="22"/>
        </w:rPr>
      </w:pPr>
      <w:r w:rsidRPr="00817B48">
        <w:rPr>
          <w:szCs w:val="22"/>
        </w:rPr>
        <w:t>Tablety sa užívajú celé, nerozhryznuté a musia sa zapiť dostatočným množstvom vody.</w:t>
      </w:r>
    </w:p>
    <w:p w14:paraId="5CE9DC9F" w14:textId="77777777" w:rsidR="0074083C" w:rsidRPr="00817B48" w:rsidRDefault="0074083C" w:rsidP="00817B48">
      <w:pPr>
        <w:ind w:left="0" w:firstLine="0"/>
        <w:rPr>
          <w:szCs w:val="22"/>
        </w:rPr>
      </w:pPr>
      <w:r w:rsidRPr="00817B48">
        <w:rPr>
          <w:szCs w:val="22"/>
        </w:rPr>
        <w:t>Užitie po jedle môže viesť k oneskorenému nástupu účinku.</w:t>
      </w:r>
    </w:p>
    <w:p w14:paraId="12C19D80" w14:textId="77777777" w:rsidR="006A3D95" w:rsidRPr="00817B48" w:rsidRDefault="006A3D95" w:rsidP="00817B48">
      <w:pPr>
        <w:ind w:left="0" w:firstLine="0"/>
        <w:rPr>
          <w:szCs w:val="22"/>
        </w:rPr>
      </w:pPr>
      <w:r w:rsidRPr="00817B48">
        <w:rPr>
          <w:szCs w:val="22"/>
        </w:rPr>
        <w:t>Liek nie je určený na dlhodobé podávanie (nad 10 dní).</w:t>
      </w:r>
    </w:p>
    <w:p w14:paraId="28C3F3E5" w14:textId="77777777" w:rsidR="00F45C34" w:rsidRPr="00817B48" w:rsidRDefault="00F45C34" w:rsidP="00817B48">
      <w:pPr>
        <w:rPr>
          <w:szCs w:val="22"/>
        </w:rPr>
      </w:pPr>
    </w:p>
    <w:p w14:paraId="00705B1B" w14:textId="77777777" w:rsidR="00F45C34" w:rsidRPr="00817B48" w:rsidRDefault="00F45C34" w:rsidP="00817B48">
      <w:pPr>
        <w:rPr>
          <w:szCs w:val="22"/>
        </w:rPr>
      </w:pPr>
      <w:r w:rsidRPr="00817B48">
        <w:rPr>
          <w:b/>
          <w:szCs w:val="22"/>
        </w:rPr>
        <w:t>4.3</w:t>
      </w:r>
      <w:r w:rsidRPr="00817B48">
        <w:rPr>
          <w:b/>
          <w:szCs w:val="22"/>
        </w:rPr>
        <w:tab/>
        <w:t xml:space="preserve">Kontraindikácie </w:t>
      </w:r>
    </w:p>
    <w:p w14:paraId="7163D626" w14:textId="77777777" w:rsidR="00F45C34" w:rsidRPr="00817B48" w:rsidRDefault="00F45C34" w:rsidP="00817B48">
      <w:pPr>
        <w:rPr>
          <w:szCs w:val="22"/>
        </w:rPr>
      </w:pPr>
    </w:p>
    <w:p w14:paraId="1E1B6A9E" w14:textId="77777777" w:rsidR="006F32A8" w:rsidRPr="00817B48" w:rsidRDefault="006F32A8" w:rsidP="00817B48">
      <w:pPr>
        <w:pStyle w:val="Zkladntext"/>
        <w:rPr>
          <w:szCs w:val="22"/>
        </w:rPr>
      </w:pPr>
      <w:r w:rsidRPr="00817B48">
        <w:rPr>
          <w:szCs w:val="22"/>
        </w:rPr>
        <w:t>Korylan je kontraindikovaný:</w:t>
      </w:r>
    </w:p>
    <w:p w14:paraId="1CD5E354" w14:textId="77777777" w:rsidR="00F45C34" w:rsidRPr="00817B48" w:rsidRDefault="006F32A8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>pri p</w:t>
      </w:r>
      <w:r w:rsidR="00F45C34" w:rsidRPr="00817B48">
        <w:rPr>
          <w:szCs w:val="22"/>
        </w:rPr>
        <w:t>recitlivenos</w:t>
      </w:r>
      <w:r w:rsidR="00A20461" w:rsidRPr="00817B48">
        <w:rPr>
          <w:szCs w:val="22"/>
        </w:rPr>
        <w:t>t</w:t>
      </w:r>
      <w:r w:rsidRPr="00817B48">
        <w:rPr>
          <w:szCs w:val="22"/>
        </w:rPr>
        <w:t xml:space="preserve">i na </w:t>
      </w:r>
      <w:r w:rsidR="00BE5299" w:rsidRPr="00817B48">
        <w:rPr>
          <w:szCs w:val="22"/>
        </w:rPr>
        <w:t>liečivá</w:t>
      </w:r>
      <w:r w:rsidRPr="00817B48">
        <w:rPr>
          <w:szCs w:val="22"/>
        </w:rPr>
        <w:t xml:space="preserve"> </w:t>
      </w:r>
      <w:r w:rsidR="00F45C34" w:rsidRPr="00817B48">
        <w:rPr>
          <w:szCs w:val="22"/>
        </w:rPr>
        <w:t>alebo na ktorúkoľvek z</w:t>
      </w:r>
      <w:r w:rsidR="002F213A" w:rsidRPr="00817B48">
        <w:rPr>
          <w:szCs w:val="22"/>
        </w:rPr>
        <w:t> </w:t>
      </w:r>
      <w:r w:rsidR="00F45C34" w:rsidRPr="00817B48">
        <w:rPr>
          <w:szCs w:val="22"/>
        </w:rPr>
        <w:t>pomocných látok</w:t>
      </w:r>
      <w:r w:rsidR="00B1633A" w:rsidRPr="00817B48">
        <w:rPr>
          <w:szCs w:val="22"/>
        </w:rPr>
        <w:t xml:space="preserve"> </w:t>
      </w:r>
      <w:r w:rsidR="00800DBB" w:rsidRPr="00817B48">
        <w:rPr>
          <w:szCs w:val="22"/>
        </w:rPr>
        <w:t>uvedených v časti 6</w:t>
      </w:r>
      <w:r w:rsidR="00B1633A" w:rsidRPr="00817B48">
        <w:rPr>
          <w:szCs w:val="22"/>
        </w:rPr>
        <w:t>.1</w:t>
      </w:r>
      <w:r w:rsidR="00800DBB" w:rsidRPr="00817B48">
        <w:rPr>
          <w:szCs w:val="22"/>
        </w:rPr>
        <w:t>;</w:t>
      </w:r>
    </w:p>
    <w:p w14:paraId="547EBC45" w14:textId="77777777" w:rsidR="00094F07" w:rsidRPr="00817B48" w:rsidRDefault="00F8102C" w:rsidP="00817B48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17B48">
        <w:rPr>
          <w:szCs w:val="22"/>
        </w:rPr>
        <w:t>pri akútnom zlyhaní pečene,</w:t>
      </w:r>
      <w:r w:rsidR="00E82CE7" w:rsidRPr="00817B48">
        <w:rPr>
          <w:szCs w:val="22"/>
        </w:rPr>
        <w:t xml:space="preserve"> </w:t>
      </w:r>
      <w:r w:rsidRPr="00817B48">
        <w:rPr>
          <w:szCs w:val="22"/>
        </w:rPr>
        <w:t>pri ťažkej poruche funkcie pečene</w:t>
      </w:r>
      <w:r w:rsidR="00D04502" w:rsidRPr="00817B48">
        <w:rPr>
          <w:szCs w:val="22"/>
        </w:rPr>
        <w:t>;</w:t>
      </w:r>
    </w:p>
    <w:p w14:paraId="1D098A18" w14:textId="77777777" w:rsidR="00D97978" w:rsidRPr="00817B48" w:rsidRDefault="00D97978" w:rsidP="00817B48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17B48">
        <w:rPr>
          <w:szCs w:val="22"/>
        </w:rPr>
        <w:t>po operácii žlčových ciest</w:t>
      </w:r>
      <w:r w:rsidR="00AC58C8" w:rsidRPr="00817B48">
        <w:rPr>
          <w:szCs w:val="22"/>
        </w:rPr>
        <w:t>;</w:t>
      </w:r>
    </w:p>
    <w:p w14:paraId="12038B32" w14:textId="77777777" w:rsidR="00AC58C8" w:rsidRPr="00817B48" w:rsidRDefault="00094F07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</w:t>
      </w:r>
      <w:r w:rsidRPr="00817B48">
        <w:rPr>
          <w:szCs w:val="22"/>
        </w:rPr>
        <w:t xml:space="preserve"> </w:t>
      </w:r>
      <w:r w:rsidR="000E1FA4" w:rsidRPr="00817B48">
        <w:rPr>
          <w:szCs w:val="22"/>
        </w:rPr>
        <w:t xml:space="preserve">respiračnej </w:t>
      </w:r>
      <w:r w:rsidRPr="00817B48">
        <w:rPr>
          <w:szCs w:val="22"/>
        </w:rPr>
        <w:t>depresi</w:t>
      </w:r>
      <w:r w:rsidR="000E1FA4" w:rsidRPr="00817B48">
        <w:rPr>
          <w:szCs w:val="22"/>
        </w:rPr>
        <w:t>i</w:t>
      </w:r>
      <w:r w:rsidRPr="00817B48">
        <w:rPr>
          <w:szCs w:val="22"/>
        </w:rPr>
        <w:t xml:space="preserve">, </w:t>
      </w:r>
      <w:r w:rsidR="00CE228C" w:rsidRPr="00817B48">
        <w:rPr>
          <w:szCs w:val="22"/>
        </w:rPr>
        <w:t>bronchiálnej astme</w:t>
      </w:r>
      <w:r w:rsidRPr="00817B48">
        <w:rPr>
          <w:szCs w:val="22"/>
        </w:rPr>
        <w:t xml:space="preserve"> v akútnej fáze</w:t>
      </w:r>
      <w:r w:rsidR="00AC58C8" w:rsidRPr="00817B48">
        <w:rPr>
          <w:szCs w:val="22"/>
        </w:rPr>
        <w:t>;</w:t>
      </w:r>
    </w:p>
    <w:p w14:paraId="2CFFB3CA" w14:textId="77777777" w:rsidR="00094F07" w:rsidRPr="00817B48" w:rsidRDefault="00AC58C8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</w:t>
      </w:r>
      <w:r w:rsidR="00094F07" w:rsidRPr="00817B48">
        <w:rPr>
          <w:szCs w:val="22"/>
        </w:rPr>
        <w:t xml:space="preserve"> </w:t>
      </w:r>
      <w:r w:rsidR="000E1FA4" w:rsidRPr="00817B48">
        <w:rPr>
          <w:szCs w:val="22"/>
        </w:rPr>
        <w:t xml:space="preserve">srdcovom </w:t>
      </w:r>
      <w:r w:rsidR="00094F07" w:rsidRPr="00817B48">
        <w:rPr>
          <w:szCs w:val="22"/>
        </w:rPr>
        <w:t>zlyhan</w:t>
      </w:r>
      <w:r w:rsidR="000E1FA4" w:rsidRPr="00817B48">
        <w:rPr>
          <w:szCs w:val="22"/>
        </w:rPr>
        <w:t>í</w:t>
      </w:r>
      <w:r w:rsidR="00094F07" w:rsidRPr="00817B48">
        <w:rPr>
          <w:szCs w:val="22"/>
        </w:rPr>
        <w:t xml:space="preserve"> v dôsledku chronickej pľúcnej choroby</w:t>
      </w:r>
      <w:r w:rsidRPr="00817B48">
        <w:rPr>
          <w:szCs w:val="22"/>
        </w:rPr>
        <w:t>;</w:t>
      </w:r>
    </w:p>
    <w:p w14:paraId="68A10FD1" w14:textId="6DABC1E4" w:rsidR="00094F07" w:rsidRPr="00817B48" w:rsidRDefault="00094F07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</w:t>
      </w:r>
      <w:r w:rsidRPr="00817B48">
        <w:rPr>
          <w:szCs w:val="22"/>
        </w:rPr>
        <w:t xml:space="preserve"> poranenia</w:t>
      </w:r>
      <w:r w:rsidR="000E1FA4" w:rsidRPr="00817B48">
        <w:rPr>
          <w:szCs w:val="22"/>
        </w:rPr>
        <w:t>ch</w:t>
      </w:r>
      <w:r w:rsidRPr="00817B48">
        <w:rPr>
          <w:szCs w:val="22"/>
        </w:rPr>
        <w:t xml:space="preserve"> hlavy, stav</w:t>
      </w:r>
      <w:r w:rsidR="000E1FA4" w:rsidRPr="00817B48">
        <w:rPr>
          <w:szCs w:val="22"/>
        </w:rPr>
        <w:t>och</w:t>
      </w:r>
      <w:r w:rsidRPr="00817B48">
        <w:rPr>
          <w:szCs w:val="22"/>
        </w:rPr>
        <w:t xml:space="preserve"> so zvýšen</w:t>
      </w:r>
      <w:r w:rsidR="000E1FA4" w:rsidRPr="00817B48">
        <w:rPr>
          <w:szCs w:val="22"/>
        </w:rPr>
        <w:t>ý</w:t>
      </w:r>
      <w:r w:rsidRPr="00817B48">
        <w:rPr>
          <w:szCs w:val="22"/>
        </w:rPr>
        <w:t>m vnútroleb</w:t>
      </w:r>
      <w:r w:rsidR="00C3445C" w:rsidRPr="00817B48">
        <w:rPr>
          <w:szCs w:val="22"/>
        </w:rPr>
        <w:t>kov</w:t>
      </w:r>
      <w:r w:rsidR="000E1FA4" w:rsidRPr="00817B48">
        <w:rPr>
          <w:szCs w:val="22"/>
        </w:rPr>
        <w:t>ým</w:t>
      </w:r>
      <w:r w:rsidRPr="00817B48">
        <w:rPr>
          <w:szCs w:val="22"/>
        </w:rPr>
        <w:t xml:space="preserve"> tlak</w:t>
      </w:r>
      <w:r w:rsidR="000E1FA4" w:rsidRPr="00817B48">
        <w:rPr>
          <w:szCs w:val="22"/>
        </w:rPr>
        <w:t>om</w:t>
      </w:r>
      <w:r w:rsidR="00AC58C8" w:rsidRPr="00817B48">
        <w:rPr>
          <w:szCs w:val="22"/>
        </w:rPr>
        <w:t>;</w:t>
      </w:r>
    </w:p>
    <w:p w14:paraId="05E8B10D" w14:textId="77777777" w:rsidR="00F8102C" w:rsidRPr="00817B48" w:rsidRDefault="00F8102C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 paralytickom ileu</w:t>
      </w:r>
      <w:r w:rsidR="00AC58C8" w:rsidRPr="00817B48">
        <w:rPr>
          <w:noProof/>
          <w:szCs w:val="22"/>
        </w:rPr>
        <w:t>;</w:t>
      </w:r>
    </w:p>
    <w:p w14:paraId="4ADCF752" w14:textId="56E67BC4" w:rsidR="00F8102C" w:rsidRPr="00817B48" w:rsidRDefault="00F8102C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spolu s inhibítormi MAO alebo v priebehu 14</w:t>
      </w:r>
      <w:r w:rsidR="00026A91" w:rsidRPr="00817B48">
        <w:rPr>
          <w:noProof/>
          <w:szCs w:val="22"/>
        </w:rPr>
        <w:t> </w:t>
      </w:r>
      <w:r w:rsidRPr="00817B48">
        <w:rPr>
          <w:noProof/>
          <w:szCs w:val="22"/>
        </w:rPr>
        <w:t>dní po ich vysadení</w:t>
      </w:r>
      <w:r w:rsidR="00CE228C" w:rsidRPr="00817B48">
        <w:rPr>
          <w:noProof/>
          <w:szCs w:val="22"/>
        </w:rPr>
        <w:t xml:space="preserve"> </w:t>
      </w:r>
      <w:r w:rsidR="00AC58C8" w:rsidRPr="00817B48">
        <w:rPr>
          <w:noProof/>
          <w:szCs w:val="22"/>
        </w:rPr>
        <w:t>(pozri časť 4.5);</w:t>
      </w:r>
    </w:p>
    <w:p w14:paraId="1A08D617" w14:textId="77777777" w:rsidR="001B5D96" w:rsidRPr="00817B48" w:rsidRDefault="005E0C7E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>počas dojčenia</w:t>
      </w:r>
      <w:r w:rsidR="00AC58C8" w:rsidRPr="00817B48">
        <w:rPr>
          <w:szCs w:val="22"/>
        </w:rPr>
        <w:t xml:space="preserve"> </w:t>
      </w:r>
      <w:r w:rsidR="000C62D6" w:rsidRPr="00817B48">
        <w:rPr>
          <w:noProof/>
          <w:szCs w:val="22"/>
        </w:rPr>
        <w:t>(pozri časť 4.6</w:t>
      </w:r>
      <w:r w:rsidR="00AC58C8" w:rsidRPr="00817B48">
        <w:rPr>
          <w:noProof/>
          <w:szCs w:val="22"/>
        </w:rPr>
        <w:t>);</w:t>
      </w:r>
    </w:p>
    <w:p w14:paraId="6009E6E7" w14:textId="77777777" w:rsidR="001B5D96" w:rsidRPr="00817B48" w:rsidRDefault="001B5D96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 xml:space="preserve">u všetkých pediatrických pacientov (od 0 </w:t>
      </w:r>
      <w:r w:rsidR="00C31B1A" w:rsidRPr="00817B48">
        <w:rPr>
          <w:noProof/>
          <w:szCs w:val="22"/>
        </w:rPr>
        <w:t>až</w:t>
      </w:r>
      <w:r w:rsidRPr="00817B48">
        <w:rPr>
          <w:noProof/>
          <w:szCs w:val="22"/>
        </w:rPr>
        <w:t xml:space="preserve"> 18 rokov), ktorí podstúpili tonzilektómiu a/alebo adenoidektóm</w:t>
      </w:r>
      <w:bookmarkStart w:id="0" w:name="_GoBack"/>
      <w:bookmarkEnd w:id="0"/>
      <w:r w:rsidRPr="00817B48">
        <w:rPr>
          <w:noProof/>
          <w:szCs w:val="22"/>
        </w:rPr>
        <w:t>iu kvôli syndrómu obštrukčn</w:t>
      </w:r>
      <w:r w:rsidR="00C31B1A" w:rsidRPr="00817B48">
        <w:rPr>
          <w:noProof/>
          <w:szCs w:val="22"/>
        </w:rPr>
        <w:t>ého</w:t>
      </w:r>
      <w:r w:rsidRPr="00817B48">
        <w:rPr>
          <w:noProof/>
          <w:szCs w:val="22"/>
        </w:rPr>
        <w:t xml:space="preserve"> spánkov</w:t>
      </w:r>
      <w:r w:rsidR="00C31B1A" w:rsidRPr="00817B48">
        <w:rPr>
          <w:noProof/>
          <w:szCs w:val="22"/>
        </w:rPr>
        <w:t>ého</w:t>
      </w:r>
      <w:r w:rsidRPr="00817B48">
        <w:rPr>
          <w:noProof/>
          <w:szCs w:val="22"/>
        </w:rPr>
        <w:t xml:space="preserve"> apnoe pre zvýšené riziko vznik</w:t>
      </w:r>
      <w:r w:rsidR="00E8427B" w:rsidRPr="00817B48">
        <w:rPr>
          <w:noProof/>
          <w:szCs w:val="22"/>
        </w:rPr>
        <w:t>u</w:t>
      </w:r>
      <w:r w:rsidRPr="00817B48">
        <w:rPr>
          <w:noProof/>
          <w:szCs w:val="22"/>
        </w:rPr>
        <w:t xml:space="preserve"> závažných a život ohrozujúcich nepriaznivých reakcií (pozri časť 4.4);</w:t>
      </w:r>
    </w:p>
    <w:p w14:paraId="76EC0EBF" w14:textId="77777777" w:rsidR="001209DA" w:rsidRPr="00817B48" w:rsidRDefault="00C31B1A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 xml:space="preserve">u </w:t>
      </w:r>
      <w:r w:rsidR="001B5D96" w:rsidRPr="00817B48">
        <w:rPr>
          <w:szCs w:val="22"/>
        </w:rPr>
        <w:t>pacientov, ktorí majú ultrarýchly CYP2D6 metabolizmus</w:t>
      </w:r>
      <w:r w:rsidR="001209DA" w:rsidRPr="00817B48">
        <w:rPr>
          <w:szCs w:val="22"/>
        </w:rPr>
        <w:t>;</w:t>
      </w:r>
    </w:p>
    <w:p w14:paraId="58FEA5A1" w14:textId="323693D8" w:rsidR="00094F07" w:rsidRPr="00817B48" w:rsidRDefault="001209DA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>u detí mladších ako 12 rokov</w:t>
      </w:r>
      <w:r w:rsidR="00AA0EEA">
        <w:rPr>
          <w:szCs w:val="22"/>
        </w:rPr>
        <w:t xml:space="preserve"> </w:t>
      </w:r>
      <w:r w:rsidR="00AA0EEA">
        <w:rPr>
          <w:szCs w:val="22"/>
        </w:rPr>
        <w:t>vzhľadom na zvýšené riziko vzniku závažných a život ohr</w:t>
      </w:r>
      <w:r w:rsidR="00AA0EEA">
        <w:rPr>
          <w:szCs w:val="22"/>
        </w:rPr>
        <w:t>ozujúcich nežiaducich reakcií.</w:t>
      </w:r>
    </w:p>
    <w:p w14:paraId="6E87D824" w14:textId="77777777" w:rsidR="00AC58C8" w:rsidRPr="00817B48" w:rsidRDefault="00AC58C8" w:rsidP="00817B48">
      <w:pPr>
        <w:rPr>
          <w:szCs w:val="22"/>
        </w:rPr>
      </w:pPr>
    </w:p>
    <w:p w14:paraId="6C7BBEDB" w14:textId="77777777" w:rsidR="00F45C34" w:rsidRPr="00817B48" w:rsidRDefault="00F45C34" w:rsidP="00817B48">
      <w:pPr>
        <w:rPr>
          <w:b/>
          <w:szCs w:val="22"/>
        </w:rPr>
      </w:pPr>
      <w:r w:rsidRPr="00817B48">
        <w:rPr>
          <w:b/>
          <w:szCs w:val="22"/>
        </w:rPr>
        <w:t>4.4</w:t>
      </w:r>
      <w:r w:rsidRPr="00817B48">
        <w:rPr>
          <w:b/>
          <w:szCs w:val="22"/>
        </w:rPr>
        <w:tab/>
        <w:t>Osobitné upozornenia a opatrenia pri používaní</w:t>
      </w:r>
    </w:p>
    <w:p w14:paraId="6255D968" w14:textId="77777777" w:rsidR="00F45C34" w:rsidRPr="00817B48" w:rsidRDefault="00F45C34" w:rsidP="00817B48">
      <w:pPr>
        <w:rPr>
          <w:szCs w:val="22"/>
        </w:rPr>
      </w:pPr>
    </w:p>
    <w:p w14:paraId="128262BF" w14:textId="77777777" w:rsidR="00D04502" w:rsidRPr="00817B48" w:rsidRDefault="00D04502" w:rsidP="00817B48">
      <w:pPr>
        <w:rPr>
          <w:szCs w:val="22"/>
        </w:rPr>
      </w:pPr>
      <w:r w:rsidRPr="00817B48">
        <w:rPr>
          <w:szCs w:val="22"/>
        </w:rPr>
        <w:t>Táto kombinácia sa nemá používať:</w:t>
      </w:r>
    </w:p>
    <w:p w14:paraId="2F12E572" w14:textId="77777777" w:rsidR="007B5079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 akútnych chorobách pečene;</w:t>
      </w:r>
    </w:p>
    <w:p w14:paraId="02F918C4" w14:textId="2F96B60A" w:rsidR="00D04502" w:rsidRPr="00817B48" w:rsidRDefault="00D04502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 ťažkých formách</w:t>
      </w:r>
      <w:r w:rsidRPr="00817B48">
        <w:rPr>
          <w:szCs w:val="22"/>
        </w:rPr>
        <w:t xml:space="preserve"> renálnej insuficiencie</w:t>
      </w:r>
      <w:r w:rsidRPr="00817B48">
        <w:rPr>
          <w:noProof/>
          <w:szCs w:val="22"/>
        </w:rPr>
        <w:t xml:space="preserve"> (klírens kreatinínu </w:t>
      </w:r>
      <w:r w:rsidRPr="00817B48">
        <w:rPr>
          <w:noProof/>
          <w:szCs w:val="22"/>
        </w:rPr>
        <w:sym w:font="Symbol" w:char="F03C"/>
      </w:r>
      <w:r w:rsidRPr="00817B48">
        <w:rPr>
          <w:noProof/>
          <w:szCs w:val="22"/>
        </w:rPr>
        <w:t xml:space="preserve"> 10</w:t>
      </w:r>
      <w:r w:rsidR="005D746D" w:rsidRPr="00817B48">
        <w:rPr>
          <w:noProof/>
          <w:szCs w:val="22"/>
        </w:rPr>
        <w:t> </w:t>
      </w:r>
      <w:r w:rsidRPr="00817B48">
        <w:rPr>
          <w:noProof/>
          <w:szCs w:val="22"/>
        </w:rPr>
        <w:t>ml/min);</w:t>
      </w:r>
    </w:p>
    <w:p w14:paraId="2937BC38" w14:textId="77777777" w:rsidR="007B5079" w:rsidRPr="00817B48" w:rsidRDefault="00AC58C8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 xml:space="preserve">pri </w:t>
      </w:r>
      <w:r w:rsidR="007B5079" w:rsidRPr="00817B48">
        <w:rPr>
          <w:noProof/>
          <w:szCs w:val="22"/>
        </w:rPr>
        <w:t xml:space="preserve">alkoholizme a </w:t>
      </w:r>
      <w:r w:rsidRPr="00817B48">
        <w:rPr>
          <w:noProof/>
          <w:szCs w:val="22"/>
        </w:rPr>
        <w:t>abúze omamných a psychotropných látok</w:t>
      </w:r>
      <w:r w:rsidR="007B5079" w:rsidRPr="00817B48">
        <w:rPr>
          <w:noProof/>
          <w:szCs w:val="22"/>
        </w:rPr>
        <w:t>;</w:t>
      </w:r>
      <w:r w:rsidRPr="00817B48">
        <w:rPr>
          <w:noProof/>
          <w:szCs w:val="22"/>
        </w:rPr>
        <w:t xml:space="preserve"> </w:t>
      </w:r>
    </w:p>
    <w:p w14:paraId="5A3C7FD8" w14:textId="77777777" w:rsidR="00AC58C8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 xml:space="preserve">pri </w:t>
      </w:r>
      <w:r w:rsidR="00AC58C8" w:rsidRPr="00817B48">
        <w:rPr>
          <w:noProof/>
          <w:szCs w:val="22"/>
        </w:rPr>
        <w:t>závislosti od opiátov;</w:t>
      </w:r>
    </w:p>
    <w:p w14:paraId="5E016798" w14:textId="77777777" w:rsidR="007B5079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pri poruchách vedom</w:t>
      </w:r>
      <w:r w:rsidR="007B02F4" w:rsidRPr="00817B48">
        <w:rPr>
          <w:noProof/>
          <w:szCs w:val="22"/>
        </w:rPr>
        <w:t>i</w:t>
      </w:r>
      <w:r w:rsidRPr="00817B48">
        <w:rPr>
          <w:noProof/>
          <w:szCs w:val="22"/>
        </w:rPr>
        <w:t>a;</w:t>
      </w:r>
    </w:p>
    <w:p w14:paraId="76F02229" w14:textId="77777777" w:rsidR="007B5079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noProof/>
          <w:szCs w:val="22"/>
        </w:rPr>
        <w:t>súčasne s liekmi ovplyvňujúcimi pečeň.</w:t>
      </w:r>
    </w:p>
    <w:p w14:paraId="755B66F8" w14:textId="77777777" w:rsidR="00D04502" w:rsidRPr="00817B48" w:rsidRDefault="00D04502" w:rsidP="00817B48">
      <w:pPr>
        <w:rPr>
          <w:szCs w:val="22"/>
        </w:rPr>
      </w:pPr>
    </w:p>
    <w:p w14:paraId="4E8A1D79" w14:textId="77777777" w:rsidR="004C2084" w:rsidRPr="00817B48" w:rsidRDefault="004C2084" w:rsidP="00817B48">
      <w:pPr>
        <w:rPr>
          <w:szCs w:val="22"/>
        </w:rPr>
      </w:pPr>
      <w:r w:rsidRPr="00817B48">
        <w:rPr>
          <w:szCs w:val="22"/>
        </w:rPr>
        <w:t>Zníženie dávky alebo predĺženie intervalu medzi jednotlivými dávkami je nutné pri:</w:t>
      </w:r>
    </w:p>
    <w:p w14:paraId="23997BA8" w14:textId="77777777" w:rsidR="004C2084" w:rsidRPr="00817B48" w:rsidRDefault="004C2084" w:rsidP="00817B48">
      <w:pPr>
        <w:numPr>
          <w:ilvl w:val="0"/>
          <w:numId w:val="3"/>
        </w:numPr>
        <w:rPr>
          <w:szCs w:val="22"/>
        </w:rPr>
      </w:pPr>
      <w:r w:rsidRPr="00817B48">
        <w:rPr>
          <w:szCs w:val="22"/>
        </w:rPr>
        <w:t>poruchách pečeňových funkcií (napr. pri chronickom ochorení pečene, dlhodobej konzumácii alkoholu). U pacientov s Gilbertovým syndrómom môže za určitých okolností dochádzať k zníženému metabolizmu paracetamolu. V takom prípade je potrebné znížiť dávku</w:t>
      </w:r>
      <w:r w:rsidR="007B5079" w:rsidRPr="00817B48">
        <w:rPr>
          <w:szCs w:val="22"/>
        </w:rPr>
        <w:t>.</w:t>
      </w:r>
    </w:p>
    <w:p w14:paraId="5229A78F" w14:textId="77777777" w:rsidR="004C2084" w:rsidRPr="00817B48" w:rsidRDefault="004C2084" w:rsidP="00817B48">
      <w:pPr>
        <w:numPr>
          <w:ilvl w:val="0"/>
          <w:numId w:val="3"/>
        </w:numPr>
        <w:rPr>
          <w:szCs w:val="22"/>
        </w:rPr>
      </w:pPr>
      <w:r w:rsidRPr="00817B48">
        <w:rPr>
          <w:szCs w:val="22"/>
        </w:rPr>
        <w:t>poruchách funkcie obličiek a u dialyzovaných pacientov.</w:t>
      </w:r>
    </w:p>
    <w:p w14:paraId="230DF663" w14:textId="77777777" w:rsidR="004C2084" w:rsidRPr="00817B48" w:rsidRDefault="004C2084" w:rsidP="00817B48">
      <w:pPr>
        <w:rPr>
          <w:szCs w:val="22"/>
        </w:rPr>
      </w:pPr>
    </w:p>
    <w:p w14:paraId="69B1FAD8" w14:textId="77777777" w:rsidR="007B5079" w:rsidRPr="00817B48" w:rsidRDefault="007B5079" w:rsidP="00817B48">
      <w:pPr>
        <w:ind w:left="0" w:firstLine="0"/>
        <w:rPr>
          <w:szCs w:val="22"/>
        </w:rPr>
      </w:pPr>
      <w:r w:rsidRPr="00817B48">
        <w:rPr>
          <w:szCs w:val="22"/>
        </w:rPr>
        <w:t>Zvýšená</w:t>
      </w:r>
      <w:r w:rsidR="001C2746" w:rsidRPr="00817B48">
        <w:rPr>
          <w:szCs w:val="22"/>
        </w:rPr>
        <w:t xml:space="preserve"> </w:t>
      </w:r>
      <w:r w:rsidRPr="00817B48">
        <w:rPr>
          <w:szCs w:val="22"/>
        </w:rPr>
        <w:t>opatrnosť pri užívaní je potrebná:</w:t>
      </w:r>
    </w:p>
    <w:p w14:paraId="6BF12A3A" w14:textId="77777777" w:rsidR="007B5079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 xml:space="preserve">u </w:t>
      </w:r>
      <w:r w:rsidR="00DC32BC" w:rsidRPr="00817B48">
        <w:rPr>
          <w:szCs w:val="22"/>
        </w:rPr>
        <w:t>pacientov s</w:t>
      </w:r>
      <w:r w:rsidR="00EB6983" w:rsidRPr="00817B48">
        <w:rPr>
          <w:szCs w:val="22"/>
        </w:rPr>
        <w:t xml:space="preserve"> hemolytickou a</w:t>
      </w:r>
      <w:r w:rsidRPr="00817B48">
        <w:rPr>
          <w:szCs w:val="22"/>
        </w:rPr>
        <w:t>némiou;</w:t>
      </w:r>
    </w:p>
    <w:p w14:paraId="1DEDD348" w14:textId="77777777" w:rsidR="00EB6983" w:rsidRPr="00817B48" w:rsidRDefault="007B5079" w:rsidP="00817B48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817B48">
        <w:rPr>
          <w:szCs w:val="22"/>
        </w:rPr>
        <w:t xml:space="preserve">pri deficite enzýmu </w:t>
      </w:r>
      <w:r w:rsidR="00EB6983" w:rsidRPr="00817B48">
        <w:rPr>
          <w:szCs w:val="22"/>
        </w:rPr>
        <w:t>glukózo-6-fosfátdehydrogenázy</w:t>
      </w:r>
      <w:r w:rsidRPr="00817B48">
        <w:rPr>
          <w:szCs w:val="22"/>
        </w:rPr>
        <w:t>;</w:t>
      </w:r>
      <w:r w:rsidR="00EB6983" w:rsidRPr="00817B48">
        <w:rPr>
          <w:szCs w:val="22"/>
        </w:rPr>
        <w:t xml:space="preserve"> </w:t>
      </w:r>
    </w:p>
    <w:p w14:paraId="47CF2D53" w14:textId="77777777" w:rsidR="001C2746" w:rsidRPr="00817B48" w:rsidRDefault="005E6E6E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>pri hypovolemických stavoch</w:t>
      </w:r>
      <w:r w:rsidR="001C2746" w:rsidRPr="00817B48">
        <w:rPr>
          <w:szCs w:val="22"/>
        </w:rPr>
        <w:t>;</w:t>
      </w:r>
      <w:r w:rsidRPr="00817B48">
        <w:rPr>
          <w:szCs w:val="22"/>
        </w:rPr>
        <w:t xml:space="preserve"> </w:t>
      </w:r>
    </w:p>
    <w:p w14:paraId="720A9D85" w14:textId="77777777" w:rsidR="001C2746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 xml:space="preserve">pri </w:t>
      </w:r>
      <w:r w:rsidR="005E6E6E" w:rsidRPr="00817B48">
        <w:rPr>
          <w:szCs w:val="22"/>
        </w:rPr>
        <w:t>srdcových arytmi</w:t>
      </w:r>
      <w:r w:rsidR="00CE228C" w:rsidRPr="00817B48">
        <w:rPr>
          <w:szCs w:val="22"/>
        </w:rPr>
        <w:t>á</w:t>
      </w:r>
      <w:r w:rsidR="005E6E6E" w:rsidRPr="00817B48">
        <w:rPr>
          <w:szCs w:val="22"/>
        </w:rPr>
        <w:t>ch</w:t>
      </w:r>
      <w:r w:rsidRPr="00817B48">
        <w:rPr>
          <w:szCs w:val="22"/>
        </w:rPr>
        <w:t>;</w:t>
      </w:r>
      <w:r w:rsidR="005E6E6E" w:rsidRPr="00817B48">
        <w:rPr>
          <w:szCs w:val="22"/>
        </w:rPr>
        <w:t xml:space="preserve"> </w:t>
      </w:r>
    </w:p>
    <w:p w14:paraId="1C49E563" w14:textId="77777777" w:rsidR="001C2746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 xml:space="preserve">pri </w:t>
      </w:r>
      <w:r w:rsidR="005E6E6E" w:rsidRPr="00817B48">
        <w:rPr>
          <w:szCs w:val="22"/>
        </w:rPr>
        <w:t>myast</w:t>
      </w:r>
      <w:r w:rsidR="00CE228C" w:rsidRPr="00817B48">
        <w:rPr>
          <w:szCs w:val="22"/>
        </w:rPr>
        <w:t>é</w:t>
      </w:r>
      <w:r w:rsidR="005E6E6E" w:rsidRPr="00817B48">
        <w:rPr>
          <w:szCs w:val="22"/>
        </w:rPr>
        <w:t>nii gravis</w:t>
      </w:r>
      <w:r w:rsidRPr="00817B48">
        <w:rPr>
          <w:szCs w:val="22"/>
        </w:rPr>
        <w:t>;</w:t>
      </w:r>
      <w:r w:rsidR="005E6E6E" w:rsidRPr="00817B48">
        <w:rPr>
          <w:szCs w:val="22"/>
        </w:rPr>
        <w:t xml:space="preserve"> </w:t>
      </w:r>
    </w:p>
    <w:p w14:paraId="59F1DA5C" w14:textId="77777777" w:rsidR="001C2746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 xml:space="preserve">pri </w:t>
      </w:r>
      <w:r w:rsidR="005E6E6E" w:rsidRPr="00817B48">
        <w:rPr>
          <w:szCs w:val="22"/>
        </w:rPr>
        <w:t>akútnom bruchu</w:t>
      </w:r>
      <w:r w:rsidRPr="00817B48">
        <w:rPr>
          <w:szCs w:val="22"/>
        </w:rPr>
        <w:t>;</w:t>
      </w:r>
      <w:r w:rsidR="005E6E6E" w:rsidRPr="00817B48">
        <w:rPr>
          <w:szCs w:val="22"/>
        </w:rPr>
        <w:t xml:space="preserve"> </w:t>
      </w:r>
    </w:p>
    <w:p w14:paraId="2E52DBA2" w14:textId="77777777" w:rsidR="005E6E6E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 xml:space="preserve">pri </w:t>
      </w:r>
      <w:r w:rsidR="005E6E6E" w:rsidRPr="00817B48">
        <w:rPr>
          <w:szCs w:val="22"/>
        </w:rPr>
        <w:t>žlčových kameňoch a chronickej zápche</w:t>
      </w:r>
      <w:r w:rsidRPr="00817B48">
        <w:rPr>
          <w:szCs w:val="22"/>
        </w:rPr>
        <w:t>;</w:t>
      </w:r>
    </w:p>
    <w:p w14:paraId="3BC09205" w14:textId="77777777" w:rsidR="001C2746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lastRenderedPageBreak/>
        <w:t xml:space="preserve">u </w:t>
      </w:r>
      <w:r w:rsidR="004C2084" w:rsidRPr="00817B48">
        <w:rPr>
          <w:szCs w:val="22"/>
        </w:rPr>
        <w:t>paciento</w:t>
      </w:r>
      <w:r w:rsidRPr="00817B48">
        <w:rPr>
          <w:szCs w:val="22"/>
        </w:rPr>
        <w:t>v</w:t>
      </w:r>
      <w:r w:rsidR="004C2084" w:rsidRPr="00817B48">
        <w:rPr>
          <w:szCs w:val="22"/>
        </w:rPr>
        <w:t>, u ktorých sa stav môže zhoršiť vplyvom opi</w:t>
      </w:r>
      <w:r w:rsidR="007B02F4" w:rsidRPr="00817B48">
        <w:rPr>
          <w:szCs w:val="22"/>
        </w:rPr>
        <w:t>oidov</w:t>
      </w:r>
      <w:r w:rsidR="004C2084" w:rsidRPr="00817B48">
        <w:rPr>
          <w:szCs w:val="22"/>
        </w:rPr>
        <w:t>, najmä starším ľuďom, ktorí môžu byť citliví na ich centrálne a</w:t>
      </w:r>
      <w:r w:rsidRPr="00817B48">
        <w:rPr>
          <w:szCs w:val="22"/>
        </w:rPr>
        <w:t>lebo</w:t>
      </w:r>
      <w:r w:rsidR="004C2084" w:rsidRPr="00817B48">
        <w:rPr>
          <w:szCs w:val="22"/>
        </w:rPr>
        <w:t> gastrointestinálne účinky</w:t>
      </w:r>
      <w:r w:rsidRPr="00817B48">
        <w:rPr>
          <w:szCs w:val="22"/>
        </w:rPr>
        <w:t xml:space="preserve">; </w:t>
      </w:r>
    </w:p>
    <w:p w14:paraId="65AE9E2F" w14:textId="77777777" w:rsidR="00232FCE" w:rsidRPr="00817B48" w:rsidRDefault="001C2746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>u pacientov</w:t>
      </w:r>
      <w:r w:rsidR="004C2084" w:rsidRPr="00817B48">
        <w:rPr>
          <w:szCs w:val="22"/>
        </w:rPr>
        <w:t>, ktorí súčasne užívajú lieky utlmujúce činnosť CNS</w:t>
      </w:r>
      <w:r w:rsidR="00232FCE" w:rsidRPr="00817B48">
        <w:rPr>
          <w:szCs w:val="22"/>
        </w:rPr>
        <w:t>;</w:t>
      </w:r>
    </w:p>
    <w:p w14:paraId="76F75F24" w14:textId="77777777" w:rsidR="00232FCE" w:rsidRPr="00817B48" w:rsidRDefault="00232FCE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>u</w:t>
      </w:r>
      <w:r w:rsidR="004C2084" w:rsidRPr="00817B48">
        <w:rPr>
          <w:szCs w:val="22"/>
        </w:rPr>
        <w:t xml:space="preserve"> paciento</w:t>
      </w:r>
      <w:r w:rsidRPr="00817B48">
        <w:rPr>
          <w:szCs w:val="22"/>
        </w:rPr>
        <w:t>v</w:t>
      </w:r>
      <w:r w:rsidR="004C2084" w:rsidRPr="00817B48">
        <w:rPr>
          <w:szCs w:val="22"/>
        </w:rPr>
        <w:t xml:space="preserve"> s hypertrofiou prostaty</w:t>
      </w:r>
      <w:r w:rsidRPr="00817B48">
        <w:rPr>
          <w:szCs w:val="22"/>
        </w:rPr>
        <w:t>;</w:t>
      </w:r>
      <w:r w:rsidR="004C2084" w:rsidRPr="00817B48">
        <w:rPr>
          <w:szCs w:val="22"/>
        </w:rPr>
        <w:t xml:space="preserve"> </w:t>
      </w:r>
    </w:p>
    <w:p w14:paraId="0B09E1C4" w14:textId="77777777" w:rsidR="004C2084" w:rsidRPr="00817B48" w:rsidRDefault="00232FCE" w:rsidP="00817B48">
      <w:pPr>
        <w:pStyle w:val="Zkladntext"/>
        <w:numPr>
          <w:ilvl w:val="0"/>
          <w:numId w:val="1"/>
        </w:numPr>
        <w:rPr>
          <w:szCs w:val="22"/>
        </w:rPr>
      </w:pPr>
      <w:r w:rsidRPr="00817B48">
        <w:rPr>
          <w:szCs w:val="22"/>
        </w:rPr>
        <w:t>u pacientov</w:t>
      </w:r>
      <w:r w:rsidR="004C2084" w:rsidRPr="00817B48">
        <w:rPr>
          <w:szCs w:val="22"/>
        </w:rPr>
        <w:t xml:space="preserve"> so zápalovou alebo obštrukčnou chorobou čriev.</w:t>
      </w:r>
    </w:p>
    <w:p w14:paraId="1526CF15" w14:textId="77777777" w:rsidR="004C2084" w:rsidRPr="00817B48" w:rsidRDefault="004C2084" w:rsidP="00817B48">
      <w:pPr>
        <w:ind w:left="0" w:firstLine="0"/>
        <w:rPr>
          <w:szCs w:val="22"/>
        </w:rPr>
      </w:pPr>
    </w:p>
    <w:p w14:paraId="0CE318EC" w14:textId="77777777" w:rsidR="004B7C4A" w:rsidRPr="00817B48" w:rsidRDefault="00232FCE" w:rsidP="00817B48">
      <w:pPr>
        <w:ind w:left="0" w:firstLine="0"/>
        <w:rPr>
          <w:szCs w:val="22"/>
        </w:rPr>
      </w:pPr>
      <w:r w:rsidRPr="00817B48">
        <w:rPr>
          <w:szCs w:val="22"/>
        </w:rPr>
        <w:t xml:space="preserve">Na základe postmarketingových skúseností s užívaním </w:t>
      </w:r>
      <w:r w:rsidR="005F33A9" w:rsidRPr="00817B48">
        <w:rPr>
          <w:szCs w:val="22"/>
        </w:rPr>
        <w:t>paracetamolu je známe, že sa môže vyskytnúť hepatotoxicita</w:t>
      </w:r>
      <w:r w:rsidR="00193C60" w:rsidRPr="00817B48">
        <w:rPr>
          <w:szCs w:val="22"/>
        </w:rPr>
        <w:t>,</w:t>
      </w:r>
      <w:r w:rsidR="005F33A9" w:rsidRPr="00817B48">
        <w:rPr>
          <w:szCs w:val="22"/>
        </w:rPr>
        <w:t xml:space="preserve"> dokonca i pri terapeutických dávkach, pri maximálnej terapeutickej dávke (4 g/deň) alebo pri krátkodobej liečbe u pacientov bez predchádzajúcej dysfunkcie pečene. </w:t>
      </w:r>
    </w:p>
    <w:p w14:paraId="7F3FC35D" w14:textId="77777777" w:rsidR="00232FCE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Poškodenie pečene sa môže vyvinúť pri nižších dávkach, ak spolupôsobí alkohol</w:t>
      </w:r>
      <w:r w:rsidR="00232FCE" w:rsidRPr="00817B48">
        <w:rPr>
          <w:szCs w:val="22"/>
        </w:rPr>
        <w:t xml:space="preserve"> alebo sú súčasne podávané</w:t>
      </w:r>
      <w:r w:rsidRPr="00817B48">
        <w:rPr>
          <w:szCs w:val="22"/>
        </w:rPr>
        <w:t xml:space="preserve"> induktory pečeňových enzýmov alebo iné hepatotoxické lieky (pozri časť 4.5). </w:t>
      </w:r>
    </w:p>
    <w:p w14:paraId="4C36B860" w14:textId="77777777" w:rsidR="00232FCE" w:rsidRPr="00817B48" w:rsidRDefault="00232FCE" w:rsidP="00817B48">
      <w:pPr>
        <w:ind w:left="0" w:firstLine="0"/>
        <w:rPr>
          <w:szCs w:val="22"/>
          <w:highlight w:val="green"/>
        </w:rPr>
      </w:pPr>
    </w:p>
    <w:p w14:paraId="6A4C22CC" w14:textId="77777777" w:rsidR="00557ECF" w:rsidRPr="00817B48" w:rsidRDefault="00557ECF" w:rsidP="00817B48">
      <w:pPr>
        <w:ind w:left="0" w:firstLine="0"/>
        <w:rPr>
          <w:color w:val="000000"/>
          <w:szCs w:val="22"/>
        </w:rPr>
      </w:pPr>
      <w:r w:rsidRPr="00817B48">
        <w:rPr>
          <w:bCs/>
          <w:color w:val="000000"/>
          <w:szCs w:val="22"/>
        </w:rPr>
        <w:t xml:space="preserve">Opatrnosť sa odporúča u pacientov </w:t>
      </w:r>
      <w:r w:rsidR="001278ED" w:rsidRPr="00817B48">
        <w:rPr>
          <w:bCs/>
          <w:color w:val="000000"/>
          <w:szCs w:val="22"/>
        </w:rPr>
        <w:t xml:space="preserve">s </w:t>
      </w:r>
      <w:r w:rsidRPr="00817B48">
        <w:rPr>
          <w:bCs/>
          <w:color w:val="000000"/>
          <w:szCs w:val="22"/>
        </w:rPr>
        <w:t>precitlivenosťou na kyselinu acetylsalicylovú a/alebo nesteroidné protizápalové lieky (NSAID).</w:t>
      </w:r>
    </w:p>
    <w:p w14:paraId="05DFE9D8" w14:textId="77777777" w:rsidR="00557ECF" w:rsidRPr="00817B48" w:rsidRDefault="00557ECF" w:rsidP="00817B48">
      <w:pPr>
        <w:ind w:left="0" w:firstLine="0"/>
        <w:rPr>
          <w:szCs w:val="22"/>
          <w:highlight w:val="green"/>
        </w:rPr>
      </w:pPr>
    </w:p>
    <w:p w14:paraId="7A1AAF00" w14:textId="7777777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Dlhodobá konzumácia alkoholu významne zvyšuje riziko hepatotoxicity paracetamolu, najvyššie riziko nastáva u chronických alkoholikov, ktorí krátkodobo abstinujú (12 h). Počas liečby Korylanom sa nesmie konzumovať alkohol.</w:t>
      </w:r>
    </w:p>
    <w:p w14:paraId="6CB8814B" w14:textId="77777777" w:rsidR="004C2084" w:rsidRPr="00817B48" w:rsidRDefault="004C2084" w:rsidP="00817B48">
      <w:pPr>
        <w:ind w:left="0" w:firstLine="0"/>
        <w:rPr>
          <w:szCs w:val="22"/>
        </w:rPr>
      </w:pPr>
    </w:p>
    <w:p w14:paraId="7D450278" w14:textId="77777777" w:rsidR="004C2084" w:rsidRPr="00817B48" w:rsidRDefault="005F33A9" w:rsidP="00817B48">
      <w:pPr>
        <w:ind w:left="0" w:firstLine="0"/>
        <w:rPr>
          <w:szCs w:val="22"/>
        </w:rPr>
      </w:pPr>
      <w:r w:rsidRPr="00817B48">
        <w:rPr>
          <w:szCs w:val="22"/>
        </w:rPr>
        <w:t>U pacientov so zmenami pečeňových funkcií a u</w:t>
      </w:r>
      <w:r w:rsidR="0036190A" w:rsidRPr="00817B48">
        <w:rPr>
          <w:szCs w:val="22"/>
        </w:rPr>
        <w:t> </w:t>
      </w:r>
      <w:r w:rsidRPr="00817B48">
        <w:rPr>
          <w:szCs w:val="22"/>
        </w:rPr>
        <w:t>pacientov</w:t>
      </w:r>
      <w:r w:rsidR="0036190A" w:rsidRPr="00817B48">
        <w:rPr>
          <w:szCs w:val="22"/>
        </w:rPr>
        <w:t xml:space="preserve"> dlhodobo (nad 10 dní) užívajúcich vyššie dávky paracetamolu sa odporúča pravidelná kontrola pečeňových testov.</w:t>
      </w:r>
    </w:p>
    <w:p w14:paraId="5B7CA8E8" w14:textId="77777777" w:rsidR="004C2084" w:rsidRPr="00817B48" w:rsidRDefault="004C2084" w:rsidP="00817B48">
      <w:pPr>
        <w:ind w:left="0" w:firstLine="0"/>
        <w:rPr>
          <w:szCs w:val="22"/>
        </w:rPr>
      </w:pPr>
    </w:p>
    <w:p w14:paraId="5868BB19" w14:textId="7777777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Pacientov treba upozorniť, aby súčasne neužívali iné lieky obsahujúce paracetamol a kodeín.</w:t>
      </w:r>
    </w:p>
    <w:p w14:paraId="44DEA0B9" w14:textId="77777777" w:rsidR="004C2084" w:rsidRPr="00817B48" w:rsidRDefault="004C2084" w:rsidP="00817B48">
      <w:pPr>
        <w:ind w:left="0" w:firstLine="0"/>
        <w:rPr>
          <w:szCs w:val="22"/>
        </w:rPr>
      </w:pPr>
    </w:p>
    <w:p w14:paraId="2BC8AF9A" w14:textId="7777777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V pokusoch na zvieratách vysoké dávky paracetamolu spôsobovali testikulárnu atrofiu a inhibíciu spermatogenézy. Preto je potrebné u mužov liečených na zníženú plodnosť zvážiť vhodnosť liečby Korylanom.</w:t>
      </w:r>
    </w:p>
    <w:p w14:paraId="4D056AFB" w14:textId="77777777" w:rsidR="004C2084" w:rsidRPr="00817B48" w:rsidRDefault="004C2084" w:rsidP="00817B48">
      <w:pPr>
        <w:ind w:left="0" w:firstLine="0"/>
        <w:rPr>
          <w:szCs w:val="22"/>
        </w:rPr>
      </w:pPr>
    </w:p>
    <w:p w14:paraId="63E5F653" w14:textId="7777777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Pri dlhšom užívaní vysokých dávok paracetamolu, ktoré nezodpovedá odporučeniam, sa môžu vyskytnúť bolesti hlavy, ktoré sa nesmú liečiť zvýšenými dávkami lieku. V týchto prípadoch sa analgetikum bez konzultácie s lekárom nesmie ďalej užívať.</w:t>
      </w:r>
    </w:p>
    <w:p w14:paraId="0827B183" w14:textId="77777777" w:rsidR="004C2084" w:rsidRPr="00817B48" w:rsidRDefault="004C2084" w:rsidP="00817B48">
      <w:pPr>
        <w:ind w:left="0" w:firstLine="0"/>
        <w:rPr>
          <w:szCs w:val="22"/>
        </w:rPr>
      </w:pPr>
    </w:p>
    <w:p w14:paraId="75D19C85" w14:textId="3BE67A6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Počas terapie perorálnymi antikoagulanciami a pri súčasnom dlhodobom podávaní vyšších dávok paracetamolu, najmä v kombinácii s dextropropoxyfénom či kodeínom, je nutná kontrola protrombínového času</w:t>
      </w:r>
      <w:r w:rsidR="004B7C4A" w:rsidRPr="00817B48">
        <w:rPr>
          <w:szCs w:val="22"/>
        </w:rPr>
        <w:t xml:space="preserve"> (</w:t>
      </w:r>
      <w:r w:rsidR="0036190A" w:rsidRPr="00817B48">
        <w:rPr>
          <w:szCs w:val="22"/>
        </w:rPr>
        <w:t>pozri časť</w:t>
      </w:r>
      <w:r w:rsidR="004B7C4A" w:rsidRPr="00817B48">
        <w:rPr>
          <w:szCs w:val="22"/>
        </w:rPr>
        <w:t>4.5)</w:t>
      </w:r>
      <w:r w:rsidRPr="00817B48">
        <w:rPr>
          <w:szCs w:val="22"/>
        </w:rPr>
        <w:t>.</w:t>
      </w:r>
    </w:p>
    <w:p w14:paraId="056E816C" w14:textId="77777777" w:rsidR="004C2084" w:rsidRPr="00817B48" w:rsidRDefault="004C2084" w:rsidP="00817B48">
      <w:pPr>
        <w:ind w:left="0" w:firstLine="0"/>
        <w:rPr>
          <w:szCs w:val="22"/>
        </w:rPr>
      </w:pPr>
    </w:p>
    <w:p w14:paraId="7B67BD4F" w14:textId="77777777" w:rsidR="001B5D96" w:rsidRPr="00817B48" w:rsidRDefault="001B5D96" w:rsidP="00817B48">
      <w:pPr>
        <w:ind w:left="0" w:firstLine="0"/>
        <w:rPr>
          <w:szCs w:val="22"/>
          <w:u w:val="single"/>
        </w:rPr>
      </w:pPr>
      <w:r w:rsidRPr="00817B48">
        <w:rPr>
          <w:szCs w:val="22"/>
          <w:u w:val="single"/>
        </w:rPr>
        <w:t>CYP2D6 metabolizmus</w:t>
      </w:r>
    </w:p>
    <w:p w14:paraId="55D67EED" w14:textId="13F28F45" w:rsidR="00E8427B" w:rsidRPr="00817B48" w:rsidRDefault="001B5D96" w:rsidP="00817B48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  <w:lang w:eastAsia="cs-CZ"/>
        </w:rPr>
      </w:pPr>
      <w:r w:rsidRPr="00817B48">
        <w:rPr>
          <w:szCs w:val="22"/>
        </w:rPr>
        <w:t xml:space="preserve">Kodeín je pečeňovým enzýmom CYP2D6 metabolizovaný </w:t>
      </w:r>
      <w:r w:rsidR="00E8427B" w:rsidRPr="00817B48">
        <w:rPr>
          <w:szCs w:val="22"/>
        </w:rPr>
        <w:t xml:space="preserve">na </w:t>
      </w:r>
      <w:r w:rsidRPr="00817B48">
        <w:rPr>
          <w:szCs w:val="22"/>
        </w:rPr>
        <w:t>morfín</w:t>
      </w:r>
      <w:r w:rsidR="00E8427B" w:rsidRPr="00817B48">
        <w:rPr>
          <w:szCs w:val="22"/>
        </w:rPr>
        <w:t xml:space="preserve">, </w:t>
      </w:r>
      <w:r w:rsidR="00E8427B" w:rsidRPr="00817B48">
        <w:rPr>
          <w:rFonts w:eastAsia="Calibri"/>
          <w:color w:val="000000"/>
          <w:szCs w:val="22"/>
          <w:lang w:eastAsia="cs-CZ"/>
        </w:rPr>
        <w:t>jeho aktívny metabolit. Ak má pacient nedostatok tohto enzýmu alebo ho nemá vôbec, požadovaný analgetický účinok sa nedosiahne. Odhady naznačujú, že tento nedostatok CYP2D6 má až 7</w:t>
      </w:r>
      <w:r w:rsidR="005D746D" w:rsidRPr="00817B48">
        <w:rPr>
          <w:rFonts w:eastAsia="Calibri"/>
          <w:color w:val="000000"/>
          <w:szCs w:val="22"/>
          <w:lang w:eastAsia="cs-CZ"/>
        </w:rPr>
        <w:t> </w:t>
      </w:r>
      <w:r w:rsidR="00E8427B" w:rsidRPr="00817B48">
        <w:rPr>
          <w:rFonts w:eastAsia="Calibri"/>
          <w:color w:val="000000"/>
          <w:szCs w:val="22"/>
          <w:lang w:eastAsia="cs-CZ"/>
        </w:rPr>
        <w:t xml:space="preserve">% populácie </w:t>
      </w:r>
      <w:r w:rsidR="00E8427B" w:rsidRPr="00817B48">
        <w:rPr>
          <w:rFonts w:eastAsia="Calibri"/>
          <w:color w:val="000000"/>
          <w:szCs w:val="22"/>
        </w:rPr>
        <w:t>kaukazskej</w:t>
      </w:r>
      <w:r w:rsidR="00E8427B" w:rsidRPr="00817B48">
        <w:rPr>
          <w:rFonts w:eastAsia="Calibri"/>
          <w:color w:val="000000"/>
          <w:szCs w:val="22"/>
          <w:lang w:eastAsia="cs-CZ"/>
        </w:rPr>
        <w:t xml:space="preserve"> rasy. Ak však má pacient nadmerný či ultrarýchly CYP2D6 metabolizmus, má tiež zvýšené riziko rozvoja nežiaducich účinkov opiátovej toxicity aj pri bežne predpisovaných dávkach. U týchto pacientov dochádza k rýchlej premene kodeínu na morfín, čo vedie k vyšším než očakávaným hladinám morfínu v sére. </w:t>
      </w:r>
    </w:p>
    <w:p w14:paraId="20D0346C" w14:textId="77777777" w:rsidR="00E8427B" w:rsidRPr="00817B48" w:rsidRDefault="00E8427B" w:rsidP="00817B48">
      <w:pPr>
        <w:autoSpaceDE w:val="0"/>
        <w:autoSpaceDN w:val="0"/>
        <w:adjustRightInd w:val="0"/>
        <w:ind w:left="0" w:firstLine="0"/>
        <w:rPr>
          <w:szCs w:val="22"/>
        </w:rPr>
      </w:pPr>
      <w:r w:rsidRPr="00817B48">
        <w:rPr>
          <w:rFonts w:eastAsia="Calibri"/>
          <w:color w:val="000000"/>
          <w:szCs w:val="22"/>
          <w:lang w:eastAsia="cs-CZ"/>
        </w:rPr>
        <w:t xml:space="preserve">Medzi zvyčajné príznaky opiátovej toxicity patria zmätenosť, ospalosť, plytké dýchanie, malé zreničky, nauzea, vracanie, zápcha a nechutenstvo. V závažných prípadoch tu môžu patriť príznaky obehovej a respiračnej depresie, ktoré môžu byť život ohrozujúce a veľmi zriedkavo aj smrteľné. </w:t>
      </w:r>
      <w:r w:rsidRPr="00817B48">
        <w:rPr>
          <w:szCs w:val="22"/>
        </w:rPr>
        <w:t>Odhady prevalencie ultrarýchleho metabolizmu v rôznych populáciách sú zhrnuté nižšie:</w:t>
      </w:r>
    </w:p>
    <w:p w14:paraId="6E77E368" w14:textId="77777777" w:rsidR="00E8427B" w:rsidRPr="00817B48" w:rsidRDefault="00E8427B" w:rsidP="0081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4634"/>
      </w:tblGrid>
      <w:tr w:rsidR="00E8427B" w:rsidRPr="00817B48" w14:paraId="50F32AAF" w14:textId="77777777" w:rsidTr="0063226F">
        <w:tc>
          <w:tcPr>
            <w:tcW w:w="4773" w:type="dxa"/>
            <w:shd w:val="clear" w:color="auto" w:fill="auto"/>
          </w:tcPr>
          <w:p w14:paraId="085BF443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Populácie</w:t>
            </w:r>
          </w:p>
        </w:tc>
        <w:tc>
          <w:tcPr>
            <w:tcW w:w="4773" w:type="dxa"/>
            <w:shd w:val="clear" w:color="auto" w:fill="auto"/>
          </w:tcPr>
          <w:p w14:paraId="4AB65BF9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Prevalencia %</w:t>
            </w:r>
          </w:p>
        </w:tc>
      </w:tr>
      <w:tr w:rsidR="00E8427B" w:rsidRPr="00817B48" w14:paraId="3633A28C" w14:textId="77777777" w:rsidTr="0063226F">
        <w:tc>
          <w:tcPr>
            <w:tcW w:w="4773" w:type="dxa"/>
            <w:shd w:val="clear" w:color="auto" w:fill="auto"/>
          </w:tcPr>
          <w:p w14:paraId="1BB96381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Africká/Etiópska</w:t>
            </w:r>
          </w:p>
        </w:tc>
        <w:tc>
          <w:tcPr>
            <w:tcW w:w="4773" w:type="dxa"/>
            <w:shd w:val="clear" w:color="auto" w:fill="auto"/>
          </w:tcPr>
          <w:p w14:paraId="322AFCDE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29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45CF02A0" w14:textId="77777777" w:rsidTr="0063226F">
        <w:tc>
          <w:tcPr>
            <w:tcW w:w="4773" w:type="dxa"/>
            <w:shd w:val="clear" w:color="auto" w:fill="auto"/>
          </w:tcPr>
          <w:p w14:paraId="75EF9CCA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Afroamerická</w:t>
            </w:r>
          </w:p>
        </w:tc>
        <w:tc>
          <w:tcPr>
            <w:tcW w:w="4773" w:type="dxa"/>
            <w:shd w:val="clear" w:color="auto" w:fill="auto"/>
          </w:tcPr>
          <w:p w14:paraId="045ED99D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3,4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 až 6,5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2D09FE49" w14:textId="77777777" w:rsidTr="0063226F">
        <w:tc>
          <w:tcPr>
            <w:tcW w:w="4773" w:type="dxa"/>
            <w:shd w:val="clear" w:color="auto" w:fill="auto"/>
          </w:tcPr>
          <w:p w14:paraId="31A47C82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Ázijská</w:t>
            </w:r>
          </w:p>
        </w:tc>
        <w:tc>
          <w:tcPr>
            <w:tcW w:w="4773" w:type="dxa"/>
            <w:shd w:val="clear" w:color="auto" w:fill="auto"/>
          </w:tcPr>
          <w:p w14:paraId="0E494C8A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1,2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 až 2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7AC3E19E" w14:textId="77777777" w:rsidTr="0063226F">
        <w:tc>
          <w:tcPr>
            <w:tcW w:w="4773" w:type="dxa"/>
            <w:shd w:val="clear" w:color="auto" w:fill="auto"/>
          </w:tcPr>
          <w:p w14:paraId="736CFA2D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Kaukazská</w:t>
            </w:r>
          </w:p>
        </w:tc>
        <w:tc>
          <w:tcPr>
            <w:tcW w:w="4773" w:type="dxa"/>
            <w:shd w:val="clear" w:color="auto" w:fill="auto"/>
          </w:tcPr>
          <w:p w14:paraId="36C69160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3,6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 až 6,5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1C40AE05" w14:textId="77777777" w:rsidTr="0063226F">
        <w:tc>
          <w:tcPr>
            <w:tcW w:w="4773" w:type="dxa"/>
            <w:shd w:val="clear" w:color="auto" w:fill="auto"/>
          </w:tcPr>
          <w:p w14:paraId="47B3711F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Grécka</w:t>
            </w:r>
          </w:p>
        </w:tc>
        <w:tc>
          <w:tcPr>
            <w:tcW w:w="4773" w:type="dxa"/>
            <w:shd w:val="clear" w:color="auto" w:fill="auto"/>
          </w:tcPr>
          <w:p w14:paraId="4A077C84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6</w:t>
            </w:r>
            <w:r w:rsidR="006C2968" w:rsidRPr="00817B48">
              <w:rPr>
                <w:szCs w:val="22"/>
              </w:rPr>
              <w:t>,</w:t>
            </w:r>
            <w:r w:rsidRPr="00817B48">
              <w:rPr>
                <w:szCs w:val="22"/>
              </w:rPr>
              <w:t>0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376D292D" w14:textId="77777777" w:rsidTr="0063226F">
        <w:tc>
          <w:tcPr>
            <w:tcW w:w="4773" w:type="dxa"/>
            <w:shd w:val="clear" w:color="auto" w:fill="auto"/>
          </w:tcPr>
          <w:p w14:paraId="7860B607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Maďarská</w:t>
            </w:r>
          </w:p>
        </w:tc>
        <w:tc>
          <w:tcPr>
            <w:tcW w:w="4773" w:type="dxa"/>
            <w:shd w:val="clear" w:color="auto" w:fill="auto"/>
          </w:tcPr>
          <w:p w14:paraId="31341DEF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1,9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  <w:tr w:rsidR="00E8427B" w:rsidRPr="00817B48" w14:paraId="7B0E319B" w14:textId="77777777" w:rsidTr="0063226F">
        <w:tc>
          <w:tcPr>
            <w:tcW w:w="4773" w:type="dxa"/>
            <w:shd w:val="clear" w:color="auto" w:fill="auto"/>
          </w:tcPr>
          <w:p w14:paraId="71D16488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Severoeurópska</w:t>
            </w:r>
          </w:p>
        </w:tc>
        <w:tc>
          <w:tcPr>
            <w:tcW w:w="4773" w:type="dxa"/>
            <w:shd w:val="clear" w:color="auto" w:fill="auto"/>
          </w:tcPr>
          <w:p w14:paraId="090AB6A9" w14:textId="77777777" w:rsidR="00E8427B" w:rsidRPr="00817B48" w:rsidRDefault="00E8427B" w:rsidP="00817B48">
            <w:pPr>
              <w:rPr>
                <w:szCs w:val="22"/>
              </w:rPr>
            </w:pPr>
            <w:r w:rsidRPr="00817B48">
              <w:rPr>
                <w:szCs w:val="22"/>
              </w:rPr>
              <w:t>1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  <w:r w:rsidR="00BE5299" w:rsidRPr="00817B48">
              <w:rPr>
                <w:szCs w:val="22"/>
              </w:rPr>
              <w:t> – </w:t>
            </w:r>
            <w:r w:rsidRPr="00817B48">
              <w:rPr>
                <w:szCs w:val="22"/>
              </w:rPr>
              <w:t>2</w:t>
            </w:r>
            <w:r w:rsidR="006C2968" w:rsidRPr="00817B48">
              <w:rPr>
                <w:szCs w:val="22"/>
              </w:rPr>
              <w:t> </w:t>
            </w:r>
            <w:r w:rsidRPr="00817B48">
              <w:rPr>
                <w:szCs w:val="22"/>
              </w:rPr>
              <w:t>%</w:t>
            </w:r>
          </w:p>
        </w:tc>
      </w:tr>
    </w:tbl>
    <w:p w14:paraId="6A91FAB2" w14:textId="77777777" w:rsidR="00E8427B" w:rsidRPr="00817B48" w:rsidRDefault="00E8427B" w:rsidP="00817B48">
      <w:pPr>
        <w:rPr>
          <w:szCs w:val="22"/>
        </w:rPr>
      </w:pPr>
    </w:p>
    <w:p w14:paraId="7D4B745F" w14:textId="77777777" w:rsidR="008E006E" w:rsidRPr="00817B48" w:rsidRDefault="008E006E" w:rsidP="00817B48">
      <w:pPr>
        <w:autoSpaceDE w:val="0"/>
        <w:autoSpaceDN w:val="0"/>
        <w:adjustRightInd w:val="0"/>
        <w:ind w:left="0" w:firstLine="0"/>
        <w:rPr>
          <w:rFonts w:eastAsia="Calibri"/>
          <w:szCs w:val="22"/>
          <w:u w:val="single"/>
        </w:rPr>
      </w:pPr>
      <w:r w:rsidRPr="00817B48">
        <w:rPr>
          <w:rFonts w:eastAsia="Calibri"/>
          <w:bCs/>
          <w:szCs w:val="22"/>
          <w:u w:val="single"/>
        </w:rPr>
        <w:t>Riziko súbežného používania opioidov a benzodiazepínov</w:t>
      </w:r>
    </w:p>
    <w:p w14:paraId="52BC6E6D" w14:textId="77777777" w:rsidR="008E006E" w:rsidRPr="00817B48" w:rsidRDefault="008E006E" w:rsidP="00817B48">
      <w:pPr>
        <w:autoSpaceDE w:val="0"/>
        <w:autoSpaceDN w:val="0"/>
        <w:adjustRightInd w:val="0"/>
        <w:ind w:left="0" w:firstLine="0"/>
        <w:rPr>
          <w:rFonts w:eastAsia="Calibri"/>
          <w:szCs w:val="22"/>
        </w:rPr>
      </w:pPr>
      <w:r w:rsidRPr="00817B48">
        <w:rPr>
          <w:rFonts w:eastAsia="Calibri"/>
          <w:bCs/>
          <w:szCs w:val="22"/>
        </w:rPr>
        <w:t xml:space="preserve">Súbežné používanie opioidov, vrátane kodeínu, s benzodiazepínmi môže spôsobiť útlm, respiračnú depresiu, kómu a smrť. Vzhľadom na tieto riziká treba predpisovať súbežné používanie opioidov a benzodiazepínov len pacientom, u ktorých nie je možná iná vhodná alternatívna liečba. </w:t>
      </w:r>
    </w:p>
    <w:p w14:paraId="21E526A3" w14:textId="77777777" w:rsidR="008E006E" w:rsidRPr="00817B48" w:rsidRDefault="008E006E" w:rsidP="00817B48">
      <w:pPr>
        <w:ind w:left="0" w:firstLine="0"/>
        <w:rPr>
          <w:rFonts w:eastAsia="Calibri"/>
          <w:szCs w:val="22"/>
        </w:rPr>
      </w:pPr>
      <w:r w:rsidRPr="00817B48">
        <w:rPr>
          <w:rFonts w:eastAsia="Calibri"/>
          <w:bCs/>
          <w:szCs w:val="22"/>
        </w:rPr>
        <w:t xml:space="preserve">Ak sa prijme rozhodnutie predpísať kodeín súbežne s benzodiazepínmi, majú sa predpísať najnižšie účinné dávky a minimálna dĺžka takého súbežného používania a dôkladne sledovať pacientov, pokiaľ ide o prejavy a príznaky útlmu a respiračnej depresie </w:t>
      </w:r>
      <w:r w:rsidRPr="00817B48">
        <w:rPr>
          <w:rFonts w:eastAsia="Calibri"/>
          <w:szCs w:val="22"/>
        </w:rPr>
        <w:t xml:space="preserve">(pozri časť 4.5). </w:t>
      </w:r>
    </w:p>
    <w:p w14:paraId="6F08094A" w14:textId="77777777" w:rsidR="008E006E" w:rsidRPr="00817B48" w:rsidRDefault="008E006E" w:rsidP="00817B48">
      <w:pPr>
        <w:ind w:left="0" w:firstLine="0"/>
        <w:rPr>
          <w:szCs w:val="22"/>
        </w:rPr>
      </w:pPr>
    </w:p>
    <w:p w14:paraId="22594010" w14:textId="77777777" w:rsidR="008E006E" w:rsidRPr="00817B48" w:rsidRDefault="008E006E" w:rsidP="00817B48">
      <w:pPr>
        <w:autoSpaceDE w:val="0"/>
        <w:autoSpaceDN w:val="0"/>
        <w:adjustRightInd w:val="0"/>
        <w:ind w:left="0" w:firstLine="0"/>
        <w:rPr>
          <w:rFonts w:eastAsia="Calibri"/>
          <w:szCs w:val="22"/>
          <w:u w:val="single"/>
        </w:rPr>
      </w:pPr>
      <w:r w:rsidRPr="00817B48">
        <w:rPr>
          <w:rFonts w:eastAsia="Calibri"/>
          <w:bCs/>
          <w:szCs w:val="22"/>
          <w:u w:val="single"/>
        </w:rPr>
        <w:t xml:space="preserve">Riziko spojené so súbežným používaním opioidov a alkoholu </w:t>
      </w:r>
    </w:p>
    <w:p w14:paraId="54FB7A1B" w14:textId="77777777" w:rsidR="008E006E" w:rsidRPr="00817B48" w:rsidRDefault="008E006E" w:rsidP="00817B48">
      <w:pPr>
        <w:rPr>
          <w:rFonts w:eastAsia="Calibri"/>
          <w:bCs/>
          <w:szCs w:val="22"/>
        </w:rPr>
      </w:pPr>
      <w:r w:rsidRPr="00817B48">
        <w:rPr>
          <w:rFonts w:eastAsia="Calibri"/>
          <w:bCs/>
          <w:szCs w:val="22"/>
        </w:rPr>
        <w:t xml:space="preserve">Súbežné používanie opioidov, vrátane kodeínu, s alkoholom môže spôsobiť útlm, respiračnú depresiu, </w:t>
      </w:r>
    </w:p>
    <w:p w14:paraId="4E8844E9" w14:textId="77777777" w:rsidR="008E006E" w:rsidRPr="00817B48" w:rsidRDefault="008E006E" w:rsidP="00817B48">
      <w:pPr>
        <w:rPr>
          <w:szCs w:val="22"/>
        </w:rPr>
      </w:pPr>
      <w:r w:rsidRPr="00817B48">
        <w:rPr>
          <w:rFonts w:eastAsia="Calibri"/>
          <w:bCs/>
          <w:szCs w:val="22"/>
        </w:rPr>
        <w:t xml:space="preserve">kómu a smrť. Súbežné používanie s alkoholom sa neodporúča </w:t>
      </w:r>
      <w:r w:rsidRPr="00817B48">
        <w:rPr>
          <w:rFonts w:eastAsia="Calibri"/>
          <w:szCs w:val="22"/>
        </w:rPr>
        <w:t>(pozri časť 4.5)</w:t>
      </w:r>
    </w:p>
    <w:p w14:paraId="5CC87616" w14:textId="77777777" w:rsidR="008E006E" w:rsidRPr="00817B48" w:rsidRDefault="008E006E" w:rsidP="00817B48">
      <w:pPr>
        <w:rPr>
          <w:szCs w:val="22"/>
        </w:rPr>
      </w:pPr>
    </w:p>
    <w:p w14:paraId="116702DC" w14:textId="77777777" w:rsidR="00E8427B" w:rsidRPr="00817B48" w:rsidRDefault="00E8427B" w:rsidP="00817B48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cs-CZ"/>
        </w:rPr>
      </w:pPr>
      <w:r w:rsidRPr="00817B48">
        <w:rPr>
          <w:rFonts w:eastAsia="Calibri"/>
          <w:color w:val="000000"/>
          <w:szCs w:val="22"/>
          <w:u w:val="single"/>
          <w:lang w:eastAsia="cs-CZ"/>
        </w:rPr>
        <w:t xml:space="preserve">Pooperačné použitie u detí </w:t>
      </w:r>
    </w:p>
    <w:p w14:paraId="37E575BC" w14:textId="77777777" w:rsidR="00E8427B" w:rsidRPr="00817B48" w:rsidRDefault="00E8427B" w:rsidP="00817B48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  <w:lang w:eastAsia="cs-CZ"/>
        </w:rPr>
      </w:pPr>
      <w:r w:rsidRPr="00817B48">
        <w:rPr>
          <w:rFonts w:eastAsia="Calibri"/>
          <w:color w:val="000000"/>
          <w:szCs w:val="22"/>
          <w:lang w:eastAsia="cs-CZ"/>
        </w:rPr>
        <w:t>V publikovanej literatúre existujú informácie o tom, že podanie kodeínu deťom po tonzilektómii a/alebo adenoidektómii z dôvodu obštrukčného spánkového apnoe viedlo k zriedkavým avšak život</w:t>
      </w:r>
      <w:r w:rsidR="006C2968" w:rsidRPr="00817B48">
        <w:rPr>
          <w:rFonts w:eastAsia="Calibri"/>
          <w:color w:val="000000"/>
          <w:szCs w:val="22"/>
          <w:lang w:eastAsia="cs-CZ"/>
        </w:rPr>
        <w:t xml:space="preserve"> </w:t>
      </w:r>
      <w:r w:rsidRPr="00817B48">
        <w:rPr>
          <w:rFonts w:eastAsia="Calibri"/>
          <w:color w:val="000000"/>
          <w:szCs w:val="22"/>
          <w:lang w:eastAsia="cs-CZ"/>
        </w:rPr>
        <w:t xml:space="preserve">ohrozujúcim nežiaducim príhodám vrátane úmrtia (pozri tiež časť 4.3). Všetkým deťom boli podané </w:t>
      </w:r>
    </w:p>
    <w:p w14:paraId="78E26F88" w14:textId="77777777" w:rsidR="00E8427B" w:rsidRPr="00817B48" w:rsidRDefault="00E8427B" w:rsidP="00817B48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  <w:lang w:eastAsia="cs-CZ"/>
        </w:rPr>
      </w:pPr>
      <w:r w:rsidRPr="00817B48">
        <w:rPr>
          <w:rFonts w:eastAsia="Calibri"/>
          <w:color w:val="000000"/>
          <w:szCs w:val="22"/>
          <w:lang w:eastAsia="cs-CZ"/>
        </w:rPr>
        <w:t xml:space="preserve">dávky kodeínu, ktoré boli v rámci správneho dávkovacieho rozmedzia; existujú však dôkazy o tom, že tieto deti metabolizovali kodeín na morfín buď ultrarýchlo alebo nadmerne. </w:t>
      </w:r>
    </w:p>
    <w:p w14:paraId="21DDA420" w14:textId="77777777" w:rsidR="00E8427B" w:rsidRPr="00817B48" w:rsidRDefault="00E8427B" w:rsidP="00817B48">
      <w:pPr>
        <w:autoSpaceDE w:val="0"/>
        <w:autoSpaceDN w:val="0"/>
        <w:adjustRightInd w:val="0"/>
        <w:rPr>
          <w:rFonts w:eastAsia="Calibri"/>
          <w:color w:val="000000"/>
          <w:szCs w:val="22"/>
          <w:u w:val="single"/>
          <w:lang w:eastAsia="cs-CZ"/>
        </w:rPr>
      </w:pPr>
    </w:p>
    <w:p w14:paraId="4EEE32DF" w14:textId="77777777" w:rsidR="00E8427B" w:rsidRPr="00817B48" w:rsidRDefault="00E8427B" w:rsidP="00817B48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cs-CZ"/>
        </w:rPr>
      </w:pPr>
      <w:r w:rsidRPr="00817B48">
        <w:rPr>
          <w:rFonts w:eastAsia="Calibri"/>
          <w:color w:val="000000"/>
          <w:szCs w:val="22"/>
          <w:u w:val="single"/>
          <w:lang w:eastAsia="cs-CZ"/>
        </w:rPr>
        <w:t>Deti s po</w:t>
      </w:r>
      <w:r w:rsidR="00CA6981" w:rsidRPr="00817B48">
        <w:rPr>
          <w:rFonts w:eastAsia="Calibri"/>
          <w:color w:val="000000"/>
          <w:szCs w:val="22"/>
          <w:u w:val="single"/>
          <w:lang w:eastAsia="cs-CZ"/>
        </w:rPr>
        <w:t>ruchou</w:t>
      </w:r>
      <w:r w:rsidRPr="00817B48">
        <w:rPr>
          <w:rFonts w:eastAsia="Calibri"/>
          <w:color w:val="000000"/>
          <w:szCs w:val="22"/>
          <w:u w:val="single"/>
          <w:lang w:eastAsia="cs-CZ"/>
        </w:rPr>
        <w:t xml:space="preserve"> </w:t>
      </w:r>
      <w:r w:rsidR="00CA6981" w:rsidRPr="00817B48">
        <w:rPr>
          <w:rFonts w:eastAsia="Calibri"/>
          <w:color w:val="000000"/>
          <w:szCs w:val="22"/>
          <w:u w:val="single"/>
          <w:lang w:eastAsia="cs-CZ"/>
        </w:rPr>
        <w:t>funkcie dýchania</w:t>
      </w:r>
      <w:r w:rsidRPr="00817B48">
        <w:rPr>
          <w:rFonts w:eastAsia="Calibri"/>
          <w:color w:val="000000"/>
          <w:szCs w:val="22"/>
          <w:u w:val="single"/>
          <w:lang w:eastAsia="cs-CZ"/>
        </w:rPr>
        <w:t xml:space="preserve"> </w:t>
      </w:r>
    </w:p>
    <w:p w14:paraId="23226749" w14:textId="77777777" w:rsidR="001B5D96" w:rsidRPr="00817B48" w:rsidRDefault="00E8427B" w:rsidP="00817B48">
      <w:pPr>
        <w:ind w:left="0" w:firstLine="0"/>
        <w:rPr>
          <w:szCs w:val="22"/>
          <w:u w:val="single"/>
        </w:rPr>
      </w:pPr>
      <w:r w:rsidRPr="00817B48">
        <w:rPr>
          <w:szCs w:val="22"/>
        </w:rPr>
        <w:t>Použitie kodeínu sa neodporúča u detí, u ktorých môže byť po</w:t>
      </w:r>
      <w:r w:rsidR="00CA6981" w:rsidRPr="00817B48">
        <w:rPr>
          <w:szCs w:val="22"/>
        </w:rPr>
        <w:t>rucha funkcie dýchania</w:t>
      </w:r>
      <w:r w:rsidRPr="00817B48">
        <w:rPr>
          <w:szCs w:val="22"/>
        </w:rPr>
        <w:t>, vrátane neurosvalových ochorení, závažných ochorení srdca či dýchacieho systému, infekcií horných dýchacích ciest či pľúc, mnohopočetných poranení alebo rozsiahlych chirurgických zákrokoch. Tieto faktory môžu zhoršiť príznaky morfínovej toxicity.</w:t>
      </w:r>
    </w:p>
    <w:p w14:paraId="79E11FED" w14:textId="77777777" w:rsidR="001B5D96" w:rsidRPr="00817B48" w:rsidRDefault="001B5D96" w:rsidP="00817B48">
      <w:pPr>
        <w:ind w:left="0" w:firstLine="0"/>
        <w:rPr>
          <w:szCs w:val="22"/>
        </w:rPr>
      </w:pPr>
    </w:p>
    <w:p w14:paraId="4C92C115" w14:textId="77777777" w:rsidR="004C2084" w:rsidRPr="00817B48" w:rsidRDefault="004C2084" w:rsidP="00817B48">
      <w:pPr>
        <w:ind w:left="0" w:firstLine="0"/>
        <w:rPr>
          <w:szCs w:val="22"/>
        </w:rPr>
      </w:pPr>
      <w:r w:rsidRPr="00817B48">
        <w:rPr>
          <w:szCs w:val="22"/>
        </w:rPr>
        <w:t>Pri náhlom vysadení vysokých dávok analgetík</w:t>
      </w:r>
      <w:r w:rsidR="009B77F5" w:rsidRPr="00817B48">
        <w:rPr>
          <w:szCs w:val="22"/>
        </w:rPr>
        <w:t xml:space="preserve"> užívaných dlhodobo</w:t>
      </w:r>
      <w:r w:rsidRPr="00817B48">
        <w:rPr>
          <w:szCs w:val="22"/>
        </w:rPr>
        <w:t xml:space="preserve">, ktoré nebolo v súlade s odporúčaním, sa môžu vyskytnúť bolesti hlavy a únava, bolesti svalov, nervozita a vegetatívne príznaky. Tieto príznaky odznejú v priebehu niekoľkých dní po vysadení liečby. Dovtedy sa analgetiká nesmú znova užívať a liek sa nesmie opätovne </w:t>
      </w:r>
      <w:r w:rsidR="0071004E" w:rsidRPr="00817B48">
        <w:rPr>
          <w:szCs w:val="22"/>
        </w:rPr>
        <w:t>užívať</w:t>
      </w:r>
      <w:r w:rsidRPr="00817B48">
        <w:rPr>
          <w:szCs w:val="22"/>
        </w:rPr>
        <w:t xml:space="preserve"> bez konzultácie s lekárom.</w:t>
      </w:r>
    </w:p>
    <w:p w14:paraId="35061161" w14:textId="77777777" w:rsidR="0073689A" w:rsidRPr="00817B48" w:rsidRDefault="0073689A" w:rsidP="00817B48">
      <w:pPr>
        <w:ind w:left="0" w:firstLine="0"/>
        <w:rPr>
          <w:szCs w:val="22"/>
          <w:highlight w:val="green"/>
        </w:rPr>
      </w:pPr>
    </w:p>
    <w:p w14:paraId="44D58C68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>Závažné kožné nežiaduce účinky</w:t>
      </w:r>
    </w:p>
    <w:p w14:paraId="4F784746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>Pri užívaní liekov s obsahom paracetamolu boli hlásené život ohrozujúce kožné reakcie Stevensov-</w:t>
      </w:r>
    </w:p>
    <w:p w14:paraId="54532BEF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 xml:space="preserve">Johnsonov syndróm (SJS) a toxická epidermálna nekrolýza (TEN). Pacienti musia byť informovaní o </w:t>
      </w:r>
    </w:p>
    <w:p w14:paraId="15C9520F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>zn</w:t>
      </w:r>
      <w:r w:rsidR="0041195A" w:rsidRPr="00817B48">
        <w:rPr>
          <w:szCs w:val="22"/>
        </w:rPr>
        <w:t>akoch</w:t>
      </w:r>
      <w:r w:rsidRPr="00817B48">
        <w:rPr>
          <w:szCs w:val="22"/>
        </w:rPr>
        <w:t xml:space="preserve"> a príznakoch a musia byť starostlivo sledovaní</w:t>
      </w:r>
      <w:r w:rsidR="00C77E48" w:rsidRPr="00817B48">
        <w:rPr>
          <w:szCs w:val="22"/>
        </w:rPr>
        <w:t>,</w:t>
      </w:r>
      <w:r w:rsidRPr="00817B48">
        <w:rPr>
          <w:szCs w:val="22"/>
        </w:rPr>
        <w:t xml:space="preserve"> či sa u nich nevyskytujú kožné reakcie. Ak </w:t>
      </w:r>
    </w:p>
    <w:p w14:paraId="675DC1F1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>sa objavia zn</w:t>
      </w:r>
      <w:r w:rsidR="0041195A" w:rsidRPr="00817B48">
        <w:rPr>
          <w:szCs w:val="22"/>
        </w:rPr>
        <w:t>aky</w:t>
      </w:r>
      <w:r w:rsidRPr="00817B48">
        <w:rPr>
          <w:szCs w:val="22"/>
        </w:rPr>
        <w:t xml:space="preserve"> alebo príznaky SJS a TEN (napr. progresívna kožná vyrážka, často s pľuzgiermi </w:t>
      </w:r>
    </w:p>
    <w:p w14:paraId="12E6391C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 xml:space="preserve">nebo slizničnými léziami), pacienti musia okamžite prestať užívať Korylan a vyhľadať lekársku </w:t>
      </w:r>
    </w:p>
    <w:p w14:paraId="252992A2" w14:textId="77777777" w:rsidR="0073689A" w:rsidRPr="00817B48" w:rsidRDefault="0073689A" w:rsidP="00817B48">
      <w:pPr>
        <w:rPr>
          <w:szCs w:val="22"/>
        </w:rPr>
      </w:pPr>
      <w:r w:rsidRPr="00817B48">
        <w:rPr>
          <w:szCs w:val="22"/>
        </w:rPr>
        <w:t>pomoc.</w:t>
      </w:r>
    </w:p>
    <w:p w14:paraId="46EB11D0" w14:textId="77777777" w:rsidR="004C2084" w:rsidRPr="00817B48" w:rsidRDefault="004C2084" w:rsidP="00817B48">
      <w:pPr>
        <w:ind w:left="0" w:firstLine="0"/>
        <w:rPr>
          <w:szCs w:val="22"/>
        </w:rPr>
      </w:pPr>
    </w:p>
    <w:p w14:paraId="431744E9" w14:textId="77777777" w:rsidR="00F45C34" w:rsidRPr="00817B48" w:rsidRDefault="00F45C34" w:rsidP="00817B48">
      <w:pPr>
        <w:rPr>
          <w:b/>
          <w:szCs w:val="22"/>
        </w:rPr>
      </w:pPr>
      <w:r w:rsidRPr="00817B48">
        <w:rPr>
          <w:b/>
          <w:szCs w:val="22"/>
        </w:rPr>
        <w:t>4.5</w:t>
      </w:r>
      <w:r w:rsidRPr="00817B48">
        <w:rPr>
          <w:b/>
          <w:szCs w:val="22"/>
        </w:rPr>
        <w:tab/>
        <w:t>Liekové a iné interakcie</w:t>
      </w:r>
    </w:p>
    <w:p w14:paraId="6EBB6B25" w14:textId="77777777" w:rsidR="005E6E6E" w:rsidRPr="00817B48" w:rsidRDefault="005E6E6E" w:rsidP="00817B48">
      <w:pPr>
        <w:ind w:left="0" w:firstLine="0"/>
        <w:rPr>
          <w:szCs w:val="22"/>
          <w:u w:val="single"/>
        </w:rPr>
      </w:pPr>
    </w:p>
    <w:p w14:paraId="270A55BE" w14:textId="77777777" w:rsidR="004B7C4A" w:rsidRPr="00817B48" w:rsidRDefault="003418B1" w:rsidP="00817B48">
      <w:pPr>
        <w:ind w:left="0" w:firstLine="0"/>
        <w:rPr>
          <w:bCs/>
          <w:iCs/>
          <w:szCs w:val="22"/>
          <w:u w:val="single"/>
        </w:rPr>
      </w:pPr>
      <w:r w:rsidRPr="00817B48">
        <w:rPr>
          <w:szCs w:val="22"/>
          <w:u w:val="single"/>
        </w:rPr>
        <w:t>Paracetamol</w:t>
      </w:r>
    </w:p>
    <w:p w14:paraId="528811B2" w14:textId="77777777" w:rsidR="001278ED" w:rsidRPr="00817B48" w:rsidRDefault="001278ED" w:rsidP="00817B48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817B48">
        <w:rPr>
          <w:rFonts w:eastAsia="Calibri"/>
          <w:bCs/>
          <w:color w:val="000000"/>
          <w:szCs w:val="22"/>
          <w:lang w:eastAsia="en-US"/>
        </w:rPr>
        <w:t xml:space="preserve">Riziko toxicity paracetamolu môže byť zvýšené u pacientov liečených ďalšími potenciálne hepatotoxickými liekmi alebo liekmi, ktoré spôsobujú indukciu pečeňových mikrozomálnych enzýmov ako sú niektoré antiepileptiká (okrem iných fenobarbital, fenytoín, karbamazepín, topiramát), rifampicín a alkohol. Rovnako pri súbežnom užívaní s hypnotikami, </w:t>
      </w:r>
      <w:r w:rsidRPr="00817B48">
        <w:rPr>
          <w:color w:val="000000"/>
          <w:szCs w:val="22"/>
        </w:rPr>
        <w:t>barbiturátmi, inhibítormi MAO, tricyklickými antidepresívami, ľubovníkom bodkovaným môžu inak neškodné dávky paracetamolu spôsobiť poruchy funkcie pečene.</w:t>
      </w:r>
    </w:p>
    <w:p w14:paraId="491BB1EE" w14:textId="77777777" w:rsidR="004B7C4A" w:rsidRPr="00817B48" w:rsidRDefault="004B7C4A" w:rsidP="00817B48">
      <w:pPr>
        <w:ind w:left="0" w:firstLine="0"/>
        <w:rPr>
          <w:bCs/>
          <w:iCs/>
          <w:color w:val="000000"/>
          <w:szCs w:val="22"/>
        </w:rPr>
      </w:pPr>
    </w:p>
    <w:p w14:paraId="4685D040" w14:textId="6649EBD6" w:rsidR="003418B1" w:rsidRPr="00817B48" w:rsidRDefault="0016674F" w:rsidP="00817B48">
      <w:pPr>
        <w:ind w:left="0" w:firstLine="0"/>
        <w:rPr>
          <w:bCs/>
          <w:iCs/>
          <w:color w:val="000000"/>
          <w:szCs w:val="22"/>
        </w:rPr>
      </w:pPr>
      <w:r w:rsidRPr="00817B48">
        <w:rPr>
          <w:bCs/>
          <w:iCs/>
          <w:color w:val="000000"/>
          <w:szCs w:val="22"/>
        </w:rPr>
        <w:t>Pôsobenie</w:t>
      </w:r>
      <w:r w:rsidR="003418B1" w:rsidRPr="00817B48">
        <w:rPr>
          <w:bCs/>
          <w:iCs/>
          <w:color w:val="000000"/>
          <w:szCs w:val="22"/>
        </w:rPr>
        <w:t xml:space="preserve"> cholestyram</w:t>
      </w:r>
      <w:r w:rsidR="00167E25" w:rsidRPr="00817B48">
        <w:rPr>
          <w:bCs/>
          <w:iCs/>
          <w:color w:val="000000"/>
          <w:szCs w:val="22"/>
        </w:rPr>
        <w:t>í</w:t>
      </w:r>
      <w:r w:rsidR="003418B1" w:rsidRPr="00817B48">
        <w:rPr>
          <w:bCs/>
          <w:iCs/>
          <w:color w:val="000000"/>
          <w:szCs w:val="22"/>
        </w:rPr>
        <w:t xml:space="preserve">nu </w:t>
      </w:r>
      <w:r w:rsidRPr="00817B48">
        <w:rPr>
          <w:bCs/>
          <w:iCs/>
          <w:color w:val="000000"/>
          <w:szCs w:val="22"/>
        </w:rPr>
        <w:t>môže</w:t>
      </w:r>
      <w:r w:rsidR="003418B1" w:rsidRPr="00817B48">
        <w:rPr>
          <w:bCs/>
          <w:iCs/>
          <w:color w:val="000000"/>
          <w:szCs w:val="22"/>
        </w:rPr>
        <w:t xml:space="preserve"> </w:t>
      </w:r>
      <w:r w:rsidRPr="00817B48">
        <w:rPr>
          <w:bCs/>
          <w:iCs/>
          <w:color w:val="000000"/>
          <w:szCs w:val="22"/>
        </w:rPr>
        <w:t>viesť</w:t>
      </w:r>
      <w:r w:rsidR="003418B1" w:rsidRPr="00817B48">
        <w:rPr>
          <w:bCs/>
          <w:iCs/>
          <w:color w:val="000000"/>
          <w:szCs w:val="22"/>
        </w:rPr>
        <w:t xml:space="preserve"> k</w:t>
      </w:r>
      <w:r w:rsidR="00167E25" w:rsidRPr="00817B48">
        <w:rPr>
          <w:bCs/>
          <w:iCs/>
          <w:color w:val="000000"/>
          <w:szCs w:val="22"/>
        </w:rPr>
        <w:t xml:space="preserve"> </w:t>
      </w:r>
      <w:r w:rsidRPr="00817B48">
        <w:rPr>
          <w:bCs/>
          <w:iCs/>
          <w:color w:val="000000"/>
          <w:szCs w:val="22"/>
        </w:rPr>
        <w:t>spomaleniu</w:t>
      </w:r>
      <w:r w:rsidR="003418B1" w:rsidRPr="00817B48">
        <w:rPr>
          <w:bCs/>
          <w:iCs/>
          <w:color w:val="000000"/>
          <w:szCs w:val="22"/>
        </w:rPr>
        <w:t xml:space="preserve"> absorpc</w:t>
      </w:r>
      <w:r w:rsidR="00167E25" w:rsidRPr="00817B48">
        <w:rPr>
          <w:bCs/>
          <w:iCs/>
          <w:color w:val="000000"/>
          <w:szCs w:val="22"/>
        </w:rPr>
        <w:t>i</w:t>
      </w:r>
      <w:r w:rsidR="003418B1" w:rsidRPr="00817B48">
        <w:rPr>
          <w:bCs/>
          <w:iCs/>
          <w:color w:val="000000"/>
          <w:szCs w:val="22"/>
        </w:rPr>
        <w:t xml:space="preserve">e paracetamolu, </w:t>
      </w:r>
      <w:r w:rsidR="00167E25" w:rsidRPr="00817B48">
        <w:rPr>
          <w:bCs/>
          <w:iCs/>
          <w:color w:val="000000"/>
          <w:szCs w:val="22"/>
        </w:rPr>
        <w:t xml:space="preserve">pokým </w:t>
      </w:r>
      <w:r w:rsidR="003418B1" w:rsidRPr="00817B48">
        <w:rPr>
          <w:bCs/>
          <w:iCs/>
          <w:color w:val="000000"/>
          <w:szCs w:val="22"/>
        </w:rPr>
        <w:t xml:space="preserve">metoklopramid a domperidon </w:t>
      </w:r>
      <w:r w:rsidRPr="00817B48">
        <w:rPr>
          <w:bCs/>
          <w:iCs/>
          <w:color w:val="000000"/>
          <w:szCs w:val="22"/>
        </w:rPr>
        <w:t>môžu</w:t>
      </w:r>
      <w:r w:rsidR="003418B1" w:rsidRPr="00817B48">
        <w:rPr>
          <w:bCs/>
          <w:iCs/>
          <w:color w:val="000000"/>
          <w:szCs w:val="22"/>
        </w:rPr>
        <w:t xml:space="preserve"> absorpci</w:t>
      </w:r>
      <w:r w:rsidRPr="00817B48">
        <w:rPr>
          <w:bCs/>
          <w:iCs/>
          <w:color w:val="000000"/>
          <w:szCs w:val="22"/>
        </w:rPr>
        <w:t>u</w:t>
      </w:r>
      <w:r w:rsidR="003418B1" w:rsidRPr="00817B48">
        <w:rPr>
          <w:bCs/>
          <w:iCs/>
          <w:color w:val="000000"/>
          <w:szCs w:val="22"/>
        </w:rPr>
        <w:t xml:space="preserve"> paracetamolu </w:t>
      </w:r>
      <w:r w:rsidRPr="00817B48">
        <w:rPr>
          <w:bCs/>
          <w:iCs/>
          <w:color w:val="000000"/>
          <w:szCs w:val="22"/>
        </w:rPr>
        <w:t>urýchľovať</w:t>
      </w:r>
      <w:r w:rsidR="003418B1" w:rsidRPr="00817B48">
        <w:rPr>
          <w:bCs/>
          <w:iCs/>
          <w:color w:val="000000"/>
          <w:szCs w:val="22"/>
        </w:rPr>
        <w:t>.</w:t>
      </w:r>
    </w:p>
    <w:p w14:paraId="16930A75" w14:textId="77777777" w:rsidR="003418B1" w:rsidRPr="00817B48" w:rsidRDefault="003418B1" w:rsidP="00817B48">
      <w:pPr>
        <w:ind w:left="0" w:firstLine="0"/>
        <w:rPr>
          <w:bCs/>
          <w:iCs/>
          <w:color w:val="000000"/>
          <w:szCs w:val="22"/>
        </w:rPr>
      </w:pPr>
    </w:p>
    <w:p w14:paraId="2204F0DD" w14:textId="77777777" w:rsidR="003418B1" w:rsidRPr="00817B48" w:rsidRDefault="004B7C4A" w:rsidP="00817B48">
      <w:pPr>
        <w:ind w:left="0" w:firstLine="0"/>
        <w:rPr>
          <w:bCs/>
          <w:iCs/>
          <w:color w:val="000000"/>
          <w:szCs w:val="22"/>
        </w:rPr>
      </w:pPr>
      <w:r w:rsidRPr="00817B48">
        <w:rPr>
          <w:bCs/>
          <w:iCs/>
          <w:color w:val="000000"/>
          <w:szCs w:val="22"/>
        </w:rPr>
        <w:t xml:space="preserve">Pri kombinácii s chloramfenikolom môže dôjsť k zreteľnému spomaleniu jeho vylučovania spojenému so zvýšením toxicity. </w:t>
      </w:r>
    </w:p>
    <w:p w14:paraId="32991744" w14:textId="77777777" w:rsidR="003418B1" w:rsidRPr="00817B48" w:rsidRDefault="003418B1" w:rsidP="00817B48">
      <w:pPr>
        <w:ind w:left="0" w:firstLine="0"/>
        <w:rPr>
          <w:bCs/>
          <w:iCs/>
          <w:color w:val="000000"/>
          <w:szCs w:val="22"/>
        </w:rPr>
      </w:pPr>
    </w:p>
    <w:p w14:paraId="361E6265" w14:textId="77777777" w:rsidR="004B7C4A" w:rsidRPr="00817B48" w:rsidRDefault="001278ED" w:rsidP="00817B48">
      <w:pPr>
        <w:ind w:left="0" w:firstLine="0"/>
        <w:rPr>
          <w:rFonts w:eastAsia="Calibri"/>
          <w:bCs/>
          <w:color w:val="000000"/>
          <w:szCs w:val="22"/>
          <w:lang w:eastAsia="en-US"/>
        </w:rPr>
      </w:pPr>
      <w:r w:rsidRPr="00817B48">
        <w:rPr>
          <w:rFonts w:eastAsia="Calibri"/>
          <w:bCs/>
          <w:color w:val="000000"/>
          <w:szCs w:val="22"/>
          <w:lang w:eastAsia="en-US"/>
        </w:rPr>
        <w:lastRenderedPageBreak/>
        <w:t>Paracetamol môže zvýšiť riziko krvácania u pacientov užívajúcich warfarín a iné antagonisty vitamínu</w:t>
      </w:r>
      <w:r w:rsidR="00CA6981" w:rsidRPr="00817B48">
        <w:rPr>
          <w:rFonts w:eastAsia="Calibri"/>
          <w:bCs/>
          <w:color w:val="000000"/>
          <w:szCs w:val="22"/>
          <w:lang w:eastAsia="en-US"/>
        </w:rPr>
        <w:t> </w:t>
      </w:r>
      <w:r w:rsidRPr="00817B48">
        <w:rPr>
          <w:rFonts w:eastAsia="Calibri"/>
          <w:bCs/>
          <w:color w:val="000000"/>
          <w:szCs w:val="22"/>
          <w:lang w:eastAsia="en-US"/>
        </w:rPr>
        <w:t>K. U pacientov užívajúcich paracetamol a antagonisty vita</w:t>
      </w:r>
      <w:r w:rsidR="00874E8C" w:rsidRPr="00817B48">
        <w:rPr>
          <w:rFonts w:eastAsia="Calibri"/>
          <w:bCs/>
          <w:color w:val="000000"/>
          <w:szCs w:val="22"/>
          <w:lang w:eastAsia="en-US"/>
        </w:rPr>
        <w:t xml:space="preserve">mínu K je potrebné monitorovať </w:t>
      </w:r>
      <w:r w:rsidRPr="00817B48">
        <w:rPr>
          <w:rFonts w:eastAsia="Calibri"/>
          <w:bCs/>
          <w:color w:val="000000"/>
          <w:szCs w:val="22"/>
          <w:lang w:eastAsia="en-US"/>
        </w:rPr>
        <w:t>príslušnú koaguláciu (protrombínový čas) a komplikácie zo zvýšenej krvácavosti.</w:t>
      </w:r>
    </w:p>
    <w:p w14:paraId="46B19C99" w14:textId="77777777" w:rsidR="001278ED" w:rsidRPr="00817B48" w:rsidRDefault="001278ED" w:rsidP="00817B48">
      <w:pPr>
        <w:ind w:left="0" w:firstLine="0"/>
        <w:rPr>
          <w:color w:val="000000"/>
          <w:szCs w:val="22"/>
        </w:rPr>
      </w:pPr>
    </w:p>
    <w:p w14:paraId="26D1869B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Pri súčasnom užívaní liekov alebo látok, ktoré vedú k spomalenému vyprázdňovaniu žalúdka, napr. propantelínu, môže dôjsť k spomaleniu resorpcie a oneskorenému nástupu účinku paracetamolu.</w:t>
      </w:r>
    </w:p>
    <w:p w14:paraId="4F25A6CC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</w:p>
    <w:p w14:paraId="727CCCAD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Pri súčasnom podávaní paracetamolu a lamotrigínu bolo hlásené zníženie účinnosti lamotrigínu pri zvýšení jeho pečeňového klírensu.</w:t>
      </w:r>
    </w:p>
    <w:p w14:paraId="38C5109E" w14:textId="77777777" w:rsidR="00DD53AC" w:rsidRPr="00817B48" w:rsidRDefault="00DD53AC" w:rsidP="00817B48">
      <w:pPr>
        <w:ind w:left="0" w:firstLine="0"/>
        <w:rPr>
          <w:color w:val="000000"/>
          <w:szCs w:val="22"/>
        </w:rPr>
      </w:pPr>
    </w:p>
    <w:p w14:paraId="7B1B5C54" w14:textId="5BBCD21B" w:rsidR="001278ED" w:rsidRPr="00817B48" w:rsidRDefault="001278ED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Súbežné podávanie flukloxacilínu s paracetamolom môže viesť k metabolickej acidóze, najmä u pacientov s prítomnosťou rizikových faktorov vyčerpania glutatiónu, ako je sepsa, podvýživa alebo chronický alkoholizmus.</w:t>
      </w:r>
    </w:p>
    <w:p w14:paraId="63B20809" w14:textId="77777777" w:rsidR="001278ED" w:rsidRPr="00817B48" w:rsidRDefault="001278ED" w:rsidP="00817B48">
      <w:pPr>
        <w:ind w:left="0" w:firstLine="0"/>
        <w:rPr>
          <w:color w:val="000000"/>
          <w:szCs w:val="22"/>
          <w:highlight w:val="green"/>
        </w:rPr>
      </w:pPr>
    </w:p>
    <w:p w14:paraId="3FEB357C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Súčasné dlhodobé podávanie paracetamolu a NSA</w:t>
      </w:r>
      <w:r w:rsidR="00A823B6" w:rsidRPr="00817B48">
        <w:rPr>
          <w:color w:val="000000"/>
          <w:szCs w:val="22"/>
        </w:rPr>
        <w:t>ID</w:t>
      </w:r>
      <w:r w:rsidRPr="00817B48">
        <w:rPr>
          <w:color w:val="000000"/>
          <w:szCs w:val="22"/>
        </w:rPr>
        <w:t xml:space="preserve"> (predovšetkým kyseliny acetylsalicylovej) vo vyšších dávkach zvyšuje riziko analgetickej nefropatie a ďalších renálnych nežiaducich účinkov.</w:t>
      </w:r>
    </w:p>
    <w:p w14:paraId="3D6FA552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</w:p>
    <w:p w14:paraId="7F261B5E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Perorálne kontraceptíva </w:t>
      </w:r>
      <w:r w:rsidR="003E3CD0" w:rsidRPr="00817B48">
        <w:rPr>
          <w:color w:val="000000"/>
          <w:szCs w:val="22"/>
        </w:rPr>
        <w:t xml:space="preserve">môžu </w:t>
      </w:r>
      <w:r w:rsidRPr="00817B48">
        <w:rPr>
          <w:color w:val="000000"/>
          <w:szCs w:val="22"/>
        </w:rPr>
        <w:t>zvyš</w:t>
      </w:r>
      <w:r w:rsidR="003E3CD0" w:rsidRPr="00817B48">
        <w:rPr>
          <w:color w:val="000000"/>
          <w:szCs w:val="22"/>
        </w:rPr>
        <w:t>ovať</w:t>
      </w:r>
      <w:r w:rsidRPr="00817B48">
        <w:rPr>
          <w:color w:val="000000"/>
          <w:szCs w:val="22"/>
        </w:rPr>
        <w:t xml:space="preserve"> klírens paracetamolu.</w:t>
      </w:r>
    </w:p>
    <w:p w14:paraId="73F4EA85" w14:textId="77777777" w:rsidR="003418B1" w:rsidRPr="00817B48" w:rsidRDefault="003418B1" w:rsidP="00817B48">
      <w:pPr>
        <w:ind w:left="0" w:firstLine="0"/>
        <w:rPr>
          <w:color w:val="000000"/>
          <w:szCs w:val="22"/>
          <w:highlight w:val="green"/>
        </w:rPr>
      </w:pPr>
    </w:p>
    <w:p w14:paraId="15D5D672" w14:textId="77777777" w:rsidR="003418B1" w:rsidRPr="00817B48" w:rsidRDefault="003418B1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Pri súčasnom užívaní paracetamolu a zidovudínu </w:t>
      </w:r>
      <w:r w:rsidR="00691E4C" w:rsidRPr="00817B48">
        <w:rPr>
          <w:color w:val="000000"/>
          <w:szCs w:val="22"/>
        </w:rPr>
        <w:t>bol</w:t>
      </w:r>
      <w:r w:rsidRPr="00817B48">
        <w:rPr>
          <w:color w:val="000000"/>
          <w:szCs w:val="22"/>
        </w:rPr>
        <w:t xml:space="preserve"> pozorova</w:t>
      </w:r>
      <w:r w:rsidR="00691E4C" w:rsidRPr="00817B48">
        <w:rPr>
          <w:color w:val="000000"/>
          <w:szCs w:val="22"/>
        </w:rPr>
        <w:t>ný</w:t>
      </w:r>
      <w:r w:rsidRPr="00817B48">
        <w:rPr>
          <w:color w:val="000000"/>
          <w:szCs w:val="22"/>
        </w:rPr>
        <w:t xml:space="preserve"> zvýšený sklon k rozvoju neutropénie a hepatotoxicity. Tento liek sa preto má užívať súčasne so zidovudínom len po starostlivom zvážení prínosu a rizika liečby.</w:t>
      </w:r>
    </w:p>
    <w:p w14:paraId="47909D12" w14:textId="77777777" w:rsidR="004B7C4A" w:rsidRPr="00817B48" w:rsidRDefault="004B7C4A" w:rsidP="00817B48">
      <w:pPr>
        <w:ind w:left="0" w:firstLine="0"/>
        <w:rPr>
          <w:color w:val="000000"/>
          <w:szCs w:val="22"/>
          <w:highlight w:val="green"/>
        </w:rPr>
      </w:pPr>
    </w:p>
    <w:p w14:paraId="11E68439" w14:textId="77777777" w:rsidR="00605CEE" w:rsidRPr="00817B48" w:rsidRDefault="00605CEE" w:rsidP="00817B48">
      <w:pPr>
        <w:ind w:left="0" w:firstLine="0"/>
        <w:rPr>
          <w:color w:val="000000"/>
          <w:szCs w:val="22"/>
          <w:u w:val="single"/>
        </w:rPr>
      </w:pPr>
      <w:r w:rsidRPr="00817B48">
        <w:rPr>
          <w:color w:val="000000"/>
          <w:szCs w:val="22"/>
          <w:u w:val="single"/>
        </w:rPr>
        <w:t>Kodeín</w:t>
      </w:r>
    </w:p>
    <w:p w14:paraId="536B3986" w14:textId="77777777" w:rsidR="003E3CD0" w:rsidRPr="00817B48" w:rsidRDefault="003E3CD0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Korylan je kontraindikovaný u pacientov súčasne liečený</w:t>
      </w:r>
      <w:r w:rsidR="00193C60" w:rsidRPr="00817B48">
        <w:rPr>
          <w:color w:val="000000"/>
          <w:szCs w:val="22"/>
        </w:rPr>
        <w:t>ch</w:t>
      </w:r>
      <w:r w:rsidRPr="00817B48">
        <w:rPr>
          <w:color w:val="000000"/>
          <w:szCs w:val="22"/>
        </w:rPr>
        <w:t xml:space="preserve"> (alebo ešte v priebehu 2 týždňov po ukončení liečby) inhib</w:t>
      </w:r>
      <w:r w:rsidR="00393676" w:rsidRPr="00817B48">
        <w:rPr>
          <w:color w:val="000000"/>
          <w:szCs w:val="22"/>
        </w:rPr>
        <w:t>í</w:t>
      </w:r>
      <w:r w:rsidRPr="00817B48">
        <w:rPr>
          <w:color w:val="000000"/>
          <w:szCs w:val="22"/>
        </w:rPr>
        <w:t>t</w:t>
      </w:r>
      <w:r w:rsidR="00393676" w:rsidRPr="00817B48">
        <w:rPr>
          <w:color w:val="000000"/>
          <w:szCs w:val="22"/>
        </w:rPr>
        <w:t>o</w:t>
      </w:r>
      <w:r w:rsidRPr="00817B48">
        <w:rPr>
          <w:color w:val="000000"/>
          <w:szCs w:val="22"/>
        </w:rPr>
        <w:t>rmi monoaminooxidázy kvôli r</w:t>
      </w:r>
      <w:r w:rsidR="00691E4C" w:rsidRPr="00817B48">
        <w:rPr>
          <w:color w:val="000000"/>
          <w:szCs w:val="22"/>
        </w:rPr>
        <w:t>i</w:t>
      </w:r>
      <w:r w:rsidRPr="00817B48">
        <w:rPr>
          <w:color w:val="000000"/>
          <w:szCs w:val="22"/>
        </w:rPr>
        <w:t>ziku hypertenznej krízy (pozri časť 4.3).</w:t>
      </w:r>
    </w:p>
    <w:p w14:paraId="538ABA12" w14:textId="77777777" w:rsidR="003E3CD0" w:rsidRPr="00817B48" w:rsidRDefault="003E3CD0" w:rsidP="00817B48">
      <w:pPr>
        <w:ind w:left="0" w:firstLine="0"/>
        <w:rPr>
          <w:color w:val="000000"/>
          <w:szCs w:val="22"/>
          <w:highlight w:val="green"/>
        </w:rPr>
      </w:pPr>
    </w:p>
    <w:p w14:paraId="0C113011" w14:textId="77777777" w:rsidR="004B7C4A" w:rsidRPr="00817B48" w:rsidRDefault="004B7C4A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Súčasnému užívaniu kodeínu s expektoranciami sa treba vyhýbať, pretože kodeín môže inhibovať reflex kašľa.</w:t>
      </w:r>
    </w:p>
    <w:p w14:paraId="0A6DA265" w14:textId="77777777" w:rsidR="004B7C4A" w:rsidRPr="00817B48" w:rsidRDefault="004B7C4A" w:rsidP="00817B48">
      <w:pPr>
        <w:ind w:left="0" w:firstLine="0"/>
        <w:rPr>
          <w:color w:val="000000"/>
          <w:szCs w:val="22"/>
          <w:highlight w:val="green"/>
        </w:rPr>
      </w:pPr>
    </w:p>
    <w:p w14:paraId="2AFBA23B" w14:textId="77777777" w:rsidR="003418B1" w:rsidRPr="00817B48" w:rsidRDefault="003418B1" w:rsidP="00817B48">
      <w:pPr>
        <w:ind w:left="0" w:firstLine="0"/>
        <w:rPr>
          <w:color w:val="000000"/>
          <w:szCs w:val="22"/>
        </w:rPr>
      </w:pPr>
      <w:r w:rsidRPr="00817B48">
        <w:rPr>
          <w:bCs/>
          <w:iCs/>
          <w:color w:val="000000"/>
          <w:szCs w:val="22"/>
        </w:rPr>
        <w:t>Pri súčasnom užívaní s inými liekmi spôsobujúcimi centrálny útlm (napr. sedatívami alebo hypnotikami, čiastočne tiež inými analgetikami</w:t>
      </w:r>
      <w:r w:rsidRPr="00817B48">
        <w:rPr>
          <w:color w:val="000000"/>
          <w:szCs w:val="22"/>
        </w:rPr>
        <w:t>, antihistaminikami</w:t>
      </w:r>
      <w:r w:rsidRPr="00817B48">
        <w:rPr>
          <w:bCs/>
          <w:iCs/>
          <w:color w:val="000000"/>
          <w:szCs w:val="22"/>
        </w:rPr>
        <w:t>, neuroleptikami, antidepresívami) a pri súčasnej konzumácii alkoholu môže dôjsť k zosilneniu sedatívneho účinku alebo k útlmu dychových funkcií</w:t>
      </w:r>
      <w:r w:rsidRPr="00817B48">
        <w:rPr>
          <w:color w:val="000000"/>
          <w:szCs w:val="22"/>
        </w:rPr>
        <w:t>.</w:t>
      </w:r>
    </w:p>
    <w:p w14:paraId="128B8B5A" w14:textId="77777777" w:rsidR="008E006E" w:rsidRPr="00817B48" w:rsidRDefault="008E006E" w:rsidP="00817B48">
      <w:pPr>
        <w:ind w:left="0" w:firstLine="0"/>
        <w:rPr>
          <w:color w:val="000000"/>
          <w:szCs w:val="22"/>
        </w:rPr>
      </w:pPr>
    </w:p>
    <w:p w14:paraId="0E6DADFA" w14:textId="77777777" w:rsidR="008E006E" w:rsidRPr="00817B48" w:rsidRDefault="008E006E" w:rsidP="00817B48">
      <w:pPr>
        <w:autoSpaceDE w:val="0"/>
        <w:autoSpaceDN w:val="0"/>
        <w:adjustRightInd w:val="0"/>
        <w:ind w:left="0" w:firstLine="0"/>
        <w:rPr>
          <w:rFonts w:eastAsia="Calibri"/>
          <w:szCs w:val="22"/>
          <w:u w:val="single"/>
        </w:rPr>
      </w:pPr>
      <w:r w:rsidRPr="00817B48">
        <w:rPr>
          <w:rFonts w:eastAsia="Calibri"/>
          <w:bCs/>
          <w:szCs w:val="22"/>
          <w:u w:val="single"/>
        </w:rPr>
        <w:t>Benzodiazepíny a opioidy</w:t>
      </w:r>
    </w:p>
    <w:p w14:paraId="20B7FEBA" w14:textId="77777777" w:rsidR="008E006E" w:rsidRPr="00817B48" w:rsidRDefault="008E006E" w:rsidP="00817B48">
      <w:pPr>
        <w:ind w:left="0" w:firstLine="0"/>
        <w:rPr>
          <w:rFonts w:eastAsia="Calibri"/>
          <w:szCs w:val="22"/>
        </w:rPr>
      </w:pPr>
      <w:r w:rsidRPr="00817B48">
        <w:rPr>
          <w:rFonts w:eastAsia="Calibri"/>
          <w:bCs/>
          <w:szCs w:val="22"/>
        </w:rPr>
        <w:t xml:space="preserve">Súbežné používanie benzodiazepínov a opioidov zvyšuje riziko útlmu, respiračnej depresie, kómy a smrti kvôli aditívnemu tlmivému účinku na CNS. Dávkovanie a dĺžku súbežného používania </w:t>
      </w:r>
      <w:r w:rsidRPr="00817B48">
        <w:rPr>
          <w:rFonts w:eastAsia="Calibri"/>
          <w:szCs w:val="22"/>
        </w:rPr>
        <w:t>benzodiazepínov a opioidov treba obmedziť (pozri časť 4.4).</w:t>
      </w:r>
    </w:p>
    <w:p w14:paraId="4DB3F42B" w14:textId="77777777" w:rsidR="008E006E" w:rsidRPr="00817B48" w:rsidRDefault="008E006E" w:rsidP="00817B48">
      <w:pPr>
        <w:ind w:left="0" w:firstLine="0"/>
        <w:rPr>
          <w:rFonts w:eastAsia="Calibri"/>
          <w:szCs w:val="22"/>
        </w:rPr>
      </w:pPr>
    </w:p>
    <w:p w14:paraId="0BAB0438" w14:textId="77777777" w:rsidR="008E006E" w:rsidRPr="00817B48" w:rsidRDefault="008E006E" w:rsidP="00817B48">
      <w:pPr>
        <w:autoSpaceDE w:val="0"/>
        <w:autoSpaceDN w:val="0"/>
        <w:adjustRightInd w:val="0"/>
        <w:ind w:left="0" w:firstLine="0"/>
        <w:rPr>
          <w:rFonts w:eastAsia="Calibri"/>
          <w:szCs w:val="22"/>
          <w:u w:val="single"/>
        </w:rPr>
      </w:pPr>
      <w:r w:rsidRPr="00817B48">
        <w:rPr>
          <w:rFonts w:eastAsia="Calibri"/>
          <w:bCs/>
          <w:szCs w:val="22"/>
          <w:u w:val="single"/>
        </w:rPr>
        <w:t>Alkohol a opioidy</w:t>
      </w:r>
    </w:p>
    <w:p w14:paraId="3ACD8FB7" w14:textId="5B6F1957" w:rsidR="008E006E" w:rsidRPr="00817B48" w:rsidRDefault="008E006E" w:rsidP="00817B48">
      <w:pPr>
        <w:ind w:left="0" w:firstLine="0"/>
        <w:rPr>
          <w:color w:val="000000"/>
          <w:szCs w:val="22"/>
        </w:rPr>
      </w:pPr>
      <w:r w:rsidRPr="00817B48">
        <w:rPr>
          <w:rFonts w:eastAsia="Calibri"/>
          <w:bCs/>
          <w:szCs w:val="22"/>
        </w:rPr>
        <w:t>Súbežné používanie alkoholu a opioidov zvyšuje riziko útlmu, respiračnej depresie, kómy a smrti kvôli aditívnemu tlmivému účinku na CNS. Súbežné používanie s alkoholom sa neodporúča</w:t>
      </w:r>
      <w:r w:rsidRPr="00817B48">
        <w:rPr>
          <w:rFonts w:eastAsia="Calibri"/>
          <w:szCs w:val="22"/>
        </w:rPr>
        <w:t xml:space="preserve"> (pozri časť 4.4).</w:t>
      </w:r>
    </w:p>
    <w:p w14:paraId="7B0F423C" w14:textId="77777777" w:rsidR="00F45C34" w:rsidRPr="00817B48" w:rsidRDefault="00F45C34" w:rsidP="00817B48">
      <w:pPr>
        <w:rPr>
          <w:color w:val="000000"/>
          <w:szCs w:val="22"/>
        </w:rPr>
      </w:pPr>
    </w:p>
    <w:p w14:paraId="136CE113" w14:textId="77777777" w:rsidR="00F45C34" w:rsidRPr="00817B48" w:rsidRDefault="00F45C34" w:rsidP="00817B48">
      <w:pPr>
        <w:keepNext/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4.6</w:t>
      </w:r>
      <w:r w:rsidRPr="00817B48">
        <w:rPr>
          <w:b/>
          <w:color w:val="000000"/>
          <w:szCs w:val="22"/>
        </w:rPr>
        <w:tab/>
      </w:r>
      <w:r w:rsidRPr="00817B48">
        <w:rPr>
          <w:b/>
          <w:noProof/>
          <w:color w:val="000000"/>
          <w:szCs w:val="22"/>
        </w:rPr>
        <w:t>Fertilita, g</w:t>
      </w:r>
      <w:r w:rsidRPr="00817B48">
        <w:rPr>
          <w:b/>
          <w:color w:val="000000"/>
          <w:szCs w:val="22"/>
        </w:rPr>
        <w:t>ravidita a laktácia</w:t>
      </w:r>
    </w:p>
    <w:p w14:paraId="53035152" w14:textId="77777777" w:rsidR="00F45C34" w:rsidRPr="00817B48" w:rsidRDefault="00F45C34" w:rsidP="00817B48">
      <w:pPr>
        <w:keepNext/>
        <w:rPr>
          <w:color w:val="000000"/>
          <w:szCs w:val="22"/>
        </w:rPr>
      </w:pPr>
    </w:p>
    <w:p w14:paraId="41539234" w14:textId="77777777" w:rsidR="004B7C4A" w:rsidRPr="00817B48" w:rsidRDefault="004B7C4A" w:rsidP="00817B48">
      <w:pPr>
        <w:keepNext/>
        <w:rPr>
          <w:color w:val="000000"/>
          <w:szCs w:val="22"/>
          <w:u w:val="single"/>
        </w:rPr>
      </w:pPr>
      <w:r w:rsidRPr="00817B48">
        <w:rPr>
          <w:color w:val="000000"/>
          <w:szCs w:val="22"/>
          <w:u w:val="single"/>
        </w:rPr>
        <w:t>Gravidita</w:t>
      </w:r>
    </w:p>
    <w:p w14:paraId="3E1C9F72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Bezpečnosť užívania kombinácie paracetamolu a kodeínu v gravidite u ľudí sa nepreukázala. V tejto súvislosti nie sú k dispozícii žiadne údaje zo skúšaní na zvieratách.</w:t>
      </w:r>
    </w:p>
    <w:p w14:paraId="6B1DA7FC" w14:textId="77777777" w:rsidR="00603B0F" w:rsidRPr="00817B48" w:rsidRDefault="00603B0F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V rámci preventívneho opatrenia je potrebné sa vyvarovať použitia Korylanu v priebehu tretieho trimestra gravidity a v priebehu pôrodu.</w:t>
      </w:r>
    </w:p>
    <w:p w14:paraId="6BC26B00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</w:p>
    <w:p w14:paraId="1C8FD3F7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Paracetamol a kodeín prechádzajú placentárnou bariérou.</w:t>
      </w:r>
    </w:p>
    <w:p w14:paraId="54C37309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</w:p>
    <w:p w14:paraId="692104F9" w14:textId="77777777" w:rsidR="00603B0F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 xml:space="preserve">Štúdie vykonané na dvojiciach matka − dieťa nezistili žiadne známky prípadnej súvislosti medzi použitím paracetamolu počas prvých 3 až 4 mesiacov </w:t>
      </w:r>
      <w:r w:rsidR="000D5887" w:rsidRPr="00817B48">
        <w:rPr>
          <w:bCs/>
          <w:color w:val="000000"/>
          <w:szCs w:val="22"/>
        </w:rPr>
        <w:t xml:space="preserve">gravidity </w:t>
      </w:r>
      <w:r w:rsidRPr="00817B48">
        <w:rPr>
          <w:bCs/>
          <w:color w:val="000000"/>
          <w:szCs w:val="22"/>
        </w:rPr>
        <w:t>a výskytom vývojových anomálií.</w:t>
      </w:r>
      <w:r w:rsidR="00603B0F" w:rsidRPr="00817B48">
        <w:rPr>
          <w:bCs/>
          <w:color w:val="000000"/>
          <w:szCs w:val="22"/>
        </w:rPr>
        <w:t xml:space="preserve"> </w:t>
      </w:r>
      <w:r w:rsidR="00603B0F" w:rsidRPr="00817B48">
        <w:rPr>
          <w:bCs/>
          <w:color w:val="000000"/>
          <w:szCs w:val="22"/>
        </w:rPr>
        <w:lastRenderedPageBreak/>
        <w:t>Veľký počet údajov u tehotných žien užívajúcich paracetamol naznačuje, že nedochádza k malformačnej, ani plodovej/neonatálnej toxicite. Paracetamol môže byť používaný počas tehotenstva, ak je klinicky potrebný, avšak má byť použitá najnižšia efektívna dávka počas najkratšej možnej doby a najnižšej možnej frekvencie.</w:t>
      </w:r>
    </w:p>
    <w:p w14:paraId="32C8A318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</w:p>
    <w:p w14:paraId="56259301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Pri použití u ľudí však bola zistená súvislosť medzi malformáciami dýchacej sústavy a užívaním kodeínu v prvých 3 mesiacoch gravidity.</w:t>
      </w:r>
    </w:p>
    <w:p w14:paraId="7A856B8B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</w:p>
    <w:p w14:paraId="6B7BC00F" w14:textId="77777777" w:rsidR="004B7C4A" w:rsidRPr="00817B48" w:rsidRDefault="00FF5E5E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 xml:space="preserve">Kodeín môže vyvolať respiračnú depresiu a abstinenčný syndróm u novorodencov narodených ženám, ktoré </w:t>
      </w:r>
      <w:r w:rsidR="004B7C4A" w:rsidRPr="00817B48">
        <w:rPr>
          <w:bCs/>
          <w:color w:val="000000"/>
          <w:szCs w:val="22"/>
        </w:rPr>
        <w:t>v</w:t>
      </w:r>
      <w:r w:rsidRPr="00817B48">
        <w:rPr>
          <w:bCs/>
          <w:color w:val="000000"/>
          <w:szCs w:val="22"/>
        </w:rPr>
        <w:t> priebehu tretieho trimestra gravidity užívali kodeín.</w:t>
      </w:r>
    </w:p>
    <w:p w14:paraId="0583F65D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</w:p>
    <w:p w14:paraId="328F0B74" w14:textId="77777777" w:rsidR="004B7C4A" w:rsidRPr="00817B48" w:rsidRDefault="00C10837" w:rsidP="00817B48">
      <w:pPr>
        <w:ind w:left="0" w:firstLine="0"/>
        <w:rPr>
          <w:bCs/>
          <w:color w:val="000000"/>
          <w:szCs w:val="22"/>
          <w:u w:val="single"/>
        </w:rPr>
      </w:pPr>
      <w:r w:rsidRPr="00817B48">
        <w:rPr>
          <w:bCs/>
          <w:color w:val="000000"/>
          <w:szCs w:val="22"/>
          <w:u w:val="single"/>
        </w:rPr>
        <w:t>Dojčenie</w:t>
      </w:r>
    </w:p>
    <w:p w14:paraId="34B7276D" w14:textId="77777777" w:rsidR="00BF04B1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 xml:space="preserve">Údaje o užívaní kombinácie paracetamolu a kodeínu počas dojčenia nie sú k dispozícii. </w:t>
      </w:r>
    </w:p>
    <w:p w14:paraId="7170429B" w14:textId="77777777" w:rsidR="00BF04B1" w:rsidRPr="00817B48" w:rsidRDefault="00BF04B1" w:rsidP="00817B48">
      <w:pPr>
        <w:ind w:left="0" w:firstLine="0"/>
        <w:rPr>
          <w:bCs/>
          <w:color w:val="000000"/>
          <w:szCs w:val="22"/>
        </w:rPr>
      </w:pPr>
    </w:p>
    <w:p w14:paraId="7AB8357B" w14:textId="77777777" w:rsidR="004B7C4A" w:rsidRPr="00817B48" w:rsidRDefault="004B7C4A" w:rsidP="00817B48">
      <w:pPr>
        <w:ind w:left="0" w:firstLine="0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Samotný paracetamol možno počas dojčenia užívať v bežne odporúčaných dávkach. Dojčatá dostávajú v mlieku len veľmi nízke dávky. Až doposiaľ je známy len jediný prípad nežiaduceho účinku u dojčaťa – výskyt vyrážky.</w:t>
      </w:r>
    </w:p>
    <w:p w14:paraId="07E8B596" w14:textId="77777777" w:rsidR="00BF04B1" w:rsidRPr="00817B48" w:rsidRDefault="00BF04B1" w:rsidP="00817B48">
      <w:pPr>
        <w:ind w:left="0" w:firstLine="0"/>
        <w:rPr>
          <w:bCs/>
          <w:color w:val="000000"/>
          <w:szCs w:val="22"/>
        </w:rPr>
      </w:pPr>
    </w:p>
    <w:p w14:paraId="058ADF63" w14:textId="77777777" w:rsidR="0069004F" w:rsidRPr="00817B48" w:rsidRDefault="0069004F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Kodeín sa nesmie užívať počas dojčenia.</w:t>
      </w:r>
    </w:p>
    <w:p w14:paraId="3BA88CAA" w14:textId="77777777" w:rsidR="0069004F" w:rsidRPr="00817B48" w:rsidRDefault="0069004F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Pri normálnych terapeutických dávkach môžu byť kodeín a jeho aktívny metabolit prítomné v materskom mlieku vo veľmi nízkych dávkach a je nepravdepodobné, že by nepriaznivo ovplyvnili dojča. Ak však má pacientka ultrarýchly CYP2D6 metabolizmus, môžu byť v materskom mlieku prítomné vyššie hladiny aktívneho metabolitu, morfínu, čo môže u dojčaťa vo veľmi zriedkavých prípadoch viesť k príznakom opiátovej toxicity, ktorá môže byť smrteľná.</w:t>
      </w:r>
    </w:p>
    <w:p w14:paraId="4C293C56" w14:textId="77777777" w:rsidR="0069004F" w:rsidRPr="00817B48" w:rsidRDefault="0069004F" w:rsidP="00817B48">
      <w:pPr>
        <w:ind w:left="0" w:firstLine="0"/>
        <w:rPr>
          <w:bCs/>
          <w:color w:val="000000"/>
          <w:szCs w:val="22"/>
        </w:rPr>
      </w:pPr>
    </w:p>
    <w:p w14:paraId="64FC7C44" w14:textId="7F9E981E" w:rsidR="00AF0755" w:rsidRPr="00817B48" w:rsidRDefault="00AF0755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</w:t>
      </w:r>
      <w:r w:rsidR="00B80BC0" w:rsidRPr="00817B48">
        <w:rPr>
          <w:color w:val="000000"/>
          <w:szCs w:val="22"/>
        </w:rPr>
        <w:t>očas</w:t>
      </w:r>
      <w:r w:rsidRPr="00817B48">
        <w:rPr>
          <w:color w:val="000000"/>
          <w:szCs w:val="22"/>
        </w:rPr>
        <w:t xml:space="preserve"> </w:t>
      </w:r>
      <w:r w:rsidR="000C6F80" w:rsidRPr="00817B48">
        <w:rPr>
          <w:color w:val="000000"/>
          <w:szCs w:val="22"/>
        </w:rPr>
        <w:t>dojčenia</w:t>
      </w:r>
      <w:r w:rsidRPr="00817B48">
        <w:rPr>
          <w:color w:val="000000"/>
          <w:szCs w:val="22"/>
        </w:rPr>
        <w:t xml:space="preserve"> je Korylan kontraindikovaný</w:t>
      </w:r>
      <w:r w:rsidR="00B900B0" w:rsidRPr="00817B48">
        <w:rPr>
          <w:color w:val="000000"/>
          <w:szCs w:val="22"/>
        </w:rPr>
        <w:t xml:space="preserve"> (pozri časť 4.3)</w:t>
      </w:r>
      <w:r w:rsidRPr="00817B48">
        <w:rPr>
          <w:color w:val="000000"/>
          <w:szCs w:val="22"/>
        </w:rPr>
        <w:t>.</w:t>
      </w:r>
    </w:p>
    <w:p w14:paraId="01A47A92" w14:textId="77777777" w:rsidR="00EB749D" w:rsidRPr="00817B48" w:rsidRDefault="00EB749D" w:rsidP="00817B48">
      <w:pPr>
        <w:ind w:left="0" w:firstLine="0"/>
        <w:rPr>
          <w:bCs/>
          <w:color w:val="000000"/>
          <w:szCs w:val="22"/>
          <w:u w:val="single"/>
        </w:rPr>
      </w:pPr>
    </w:p>
    <w:p w14:paraId="1DFEE71E" w14:textId="77777777" w:rsidR="008D2AD4" w:rsidRPr="00817B48" w:rsidRDefault="008D2AD4" w:rsidP="00817B48">
      <w:pPr>
        <w:ind w:left="0" w:firstLine="0"/>
        <w:rPr>
          <w:bCs/>
          <w:color w:val="000000"/>
          <w:szCs w:val="22"/>
          <w:u w:val="single"/>
        </w:rPr>
      </w:pPr>
      <w:r w:rsidRPr="00817B48">
        <w:rPr>
          <w:bCs/>
          <w:color w:val="000000"/>
          <w:szCs w:val="22"/>
          <w:u w:val="single"/>
        </w:rPr>
        <w:t xml:space="preserve">Fertilita </w:t>
      </w:r>
    </w:p>
    <w:p w14:paraId="56F52697" w14:textId="77777777" w:rsidR="008D2AD4" w:rsidRPr="00817B48" w:rsidRDefault="008D2AD4" w:rsidP="00817B48">
      <w:pPr>
        <w:ind w:left="0" w:firstLine="0"/>
        <w:rPr>
          <w:szCs w:val="22"/>
        </w:rPr>
      </w:pPr>
      <w:r w:rsidRPr="00817B48">
        <w:rPr>
          <w:szCs w:val="22"/>
        </w:rPr>
        <w:t>V pokusoch na zvieratách vysoké dávky paracetamolu spôsobovali testikulárnu atrofiu a inhibíciu spermatogenézy. Preto je potrebné u mužov liečených na zníženú plodnosť zvážiť vhodnosť liečby Korylanom.</w:t>
      </w:r>
    </w:p>
    <w:p w14:paraId="4538326A" w14:textId="77777777" w:rsidR="00BF04B1" w:rsidRPr="00817B48" w:rsidRDefault="00BF04B1" w:rsidP="00817B48">
      <w:pPr>
        <w:rPr>
          <w:color w:val="000000"/>
          <w:szCs w:val="22"/>
        </w:rPr>
      </w:pPr>
    </w:p>
    <w:p w14:paraId="17F2F410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4.7</w:t>
      </w:r>
      <w:r w:rsidRPr="00817B48">
        <w:rPr>
          <w:b/>
          <w:color w:val="000000"/>
          <w:szCs w:val="22"/>
        </w:rPr>
        <w:tab/>
        <w:t>Ovplyvnenie schopnosti viesť vozidlá a obsluhovať stroje</w:t>
      </w:r>
    </w:p>
    <w:p w14:paraId="5E89BE56" w14:textId="77777777" w:rsidR="00F45C34" w:rsidRPr="00817B48" w:rsidRDefault="00F45C34" w:rsidP="00817B48">
      <w:pPr>
        <w:rPr>
          <w:color w:val="000000"/>
          <w:szCs w:val="22"/>
        </w:rPr>
      </w:pPr>
    </w:p>
    <w:p w14:paraId="6557CFBE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Korylan môže aj pri užívaní podľa odporúčania viesť k takému ovplyvneniu reakčnej schopnosti, že dôjde k nepriaznivému ovplyvneniu schopnosti viesť vozidlá alebo obsluhovať stroje. Platí to vo zvýšenej miere pri súčasnej konzumácii alkoholu alebo súčasnom užívaní liekov s centrálnymi účinkami.</w:t>
      </w:r>
    </w:p>
    <w:p w14:paraId="74C99871" w14:textId="77777777" w:rsidR="00F45C34" w:rsidRPr="00817B48" w:rsidRDefault="00F45C34" w:rsidP="00817B48">
      <w:pPr>
        <w:rPr>
          <w:color w:val="000000"/>
          <w:szCs w:val="22"/>
        </w:rPr>
      </w:pPr>
    </w:p>
    <w:p w14:paraId="74EA20E2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4.8</w:t>
      </w:r>
      <w:r w:rsidRPr="00817B48">
        <w:rPr>
          <w:b/>
          <w:color w:val="000000"/>
          <w:szCs w:val="22"/>
        </w:rPr>
        <w:tab/>
        <w:t>Nežiaduce účinky</w:t>
      </w:r>
    </w:p>
    <w:p w14:paraId="54FC656D" w14:textId="77777777" w:rsidR="00B1633A" w:rsidRPr="00817B48" w:rsidRDefault="00B1633A" w:rsidP="00817B48">
      <w:pPr>
        <w:ind w:left="0" w:firstLine="0"/>
        <w:rPr>
          <w:color w:val="000000"/>
          <w:szCs w:val="22"/>
          <w:lang w:val="cs-CZ"/>
        </w:rPr>
      </w:pPr>
    </w:p>
    <w:p w14:paraId="71CBF304" w14:textId="77777777" w:rsidR="00B1633A" w:rsidRPr="00817B48" w:rsidRDefault="00B1633A" w:rsidP="00817B48">
      <w:pPr>
        <w:ind w:left="0" w:firstLine="0"/>
        <w:rPr>
          <w:color w:val="000000"/>
          <w:szCs w:val="22"/>
        </w:rPr>
      </w:pPr>
      <w:r w:rsidRPr="00817B48">
        <w:rPr>
          <w:iCs/>
          <w:color w:val="000000"/>
          <w:szCs w:val="22"/>
        </w:rPr>
        <w:t xml:space="preserve">Podávanie liekov obsahujúcich kombináciu paracetamolu s kodeínom môže spôsobiť nasledujúce nežiaduce účinky rozdelené do </w:t>
      </w:r>
      <w:r w:rsidRPr="00817B48">
        <w:rPr>
          <w:color w:val="000000"/>
          <w:szCs w:val="22"/>
        </w:rPr>
        <w:t>tried orgánových systémov</w:t>
      </w:r>
      <w:r w:rsidRPr="00817B48">
        <w:rPr>
          <w:iCs/>
          <w:color w:val="000000"/>
          <w:szCs w:val="22"/>
        </w:rPr>
        <w:t xml:space="preserve"> podľa terminológie MedDRA a uvedené v kategóriách podľa frekvencie výskytu:</w:t>
      </w:r>
      <w:r w:rsidRPr="00817B48">
        <w:rPr>
          <w:color w:val="000000"/>
          <w:szCs w:val="22"/>
        </w:rPr>
        <w:t xml:space="preserve"> </w:t>
      </w:r>
      <w:r w:rsidR="008A6194" w:rsidRPr="00817B48">
        <w:rPr>
          <w:color w:val="000000"/>
          <w:szCs w:val="22"/>
        </w:rPr>
        <w:t>v</w:t>
      </w:r>
      <w:r w:rsidRPr="00817B48">
        <w:rPr>
          <w:color w:val="000000"/>
          <w:szCs w:val="22"/>
        </w:rPr>
        <w:t>eľmi časté (≥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 xml:space="preserve">1/10), </w:t>
      </w:r>
      <w:r w:rsidR="008A6194" w:rsidRPr="00817B48">
        <w:rPr>
          <w:color w:val="000000"/>
          <w:szCs w:val="22"/>
        </w:rPr>
        <w:t>č</w:t>
      </w:r>
      <w:r w:rsidRPr="00817B48">
        <w:rPr>
          <w:color w:val="000000"/>
          <w:szCs w:val="22"/>
        </w:rPr>
        <w:t>asté (≥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1/100 až &lt;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 xml:space="preserve">1/10), </w:t>
      </w:r>
      <w:r w:rsidR="008A6194" w:rsidRPr="00817B48">
        <w:rPr>
          <w:color w:val="000000"/>
          <w:szCs w:val="22"/>
        </w:rPr>
        <w:t>m</w:t>
      </w:r>
      <w:r w:rsidRPr="00817B48">
        <w:rPr>
          <w:color w:val="000000"/>
          <w:szCs w:val="22"/>
        </w:rPr>
        <w:t>enej časté (&gt;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1/1</w:t>
      </w:r>
      <w:r w:rsidR="00142747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000 až &lt;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1/100</w:t>
      </w:r>
      <w:r w:rsidRPr="00817B48">
        <w:rPr>
          <w:iCs/>
          <w:color w:val="000000"/>
          <w:szCs w:val="22"/>
        </w:rPr>
        <w:t xml:space="preserve">), </w:t>
      </w:r>
      <w:r w:rsidR="008A6194" w:rsidRPr="00817B48">
        <w:rPr>
          <w:iCs/>
          <w:color w:val="000000"/>
          <w:szCs w:val="22"/>
        </w:rPr>
        <w:t>z</w:t>
      </w:r>
      <w:r w:rsidRPr="00817B48">
        <w:rPr>
          <w:color w:val="000000"/>
          <w:szCs w:val="22"/>
        </w:rPr>
        <w:t>riedkavé (&gt;</w:t>
      </w:r>
      <w:r w:rsidR="0038617A" w:rsidRPr="00817B48">
        <w:rPr>
          <w:szCs w:val="22"/>
        </w:rPr>
        <w:t> </w:t>
      </w:r>
      <w:r w:rsidRPr="00817B48">
        <w:rPr>
          <w:color w:val="000000"/>
          <w:szCs w:val="22"/>
        </w:rPr>
        <w:t>1/10</w:t>
      </w:r>
      <w:r w:rsidR="00142747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000</w:t>
      </w:r>
      <w:r w:rsidR="00142747" w:rsidRPr="00817B48">
        <w:rPr>
          <w:color w:val="000000"/>
          <w:szCs w:val="22"/>
        </w:rPr>
        <w:t xml:space="preserve"> až</w:t>
      </w:r>
      <w:r w:rsidRPr="00817B48">
        <w:rPr>
          <w:color w:val="000000"/>
          <w:szCs w:val="22"/>
        </w:rPr>
        <w:t xml:space="preserve"> &lt;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1/1</w:t>
      </w:r>
      <w:r w:rsidR="00142747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000</w:t>
      </w:r>
      <w:r w:rsidRPr="00817B48">
        <w:rPr>
          <w:iCs/>
          <w:color w:val="000000"/>
          <w:szCs w:val="22"/>
        </w:rPr>
        <w:t xml:space="preserve">), </w:t>
      </w:r>
      <w:r w:rsidR="008A6194" w:rsidRPr="00817B48">
        <w:rPr>
          <w:iCs/>
          <w:color w:val="000000"/>
          <w:szCs w:val="22"/>
        </w:rPr>
        <w:t>v</w:t>
      </w:r>
      <w:r w:rsidRPr="00817B48">
        <w:rPr>
          <w:color w:val="000000"/>
          <w:szCs w:val="22"/>
        </w:rPr>
        <w:t>eľmi zriedkavé (&lt;</w:t>
      </w:r>
      <w:r w:rsidR="0038617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1/10</w:t>
      </w:r>
      <w:r w:rsidR="00142747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000</w:t>
      </w:r>
      <w:r w:rsidRPr="00817B48">
        <w:rPr>
          <w:iCs/>
          <w:color w:val="000000"/>
          <w:szCs w:val="22"/>
        </w:rPr>
        <w:t>), neznáme (z</w:t>
      </w:r>
      <w:r w:rsidR="002E685E" w:rsidRPr="00817B48">
        <w:rPr>
          <w:iCs/>
          <w:color w:val="000000"/>
          <w:szCs w:val="22"/>
        </w:rPr>
        <w:t> </w:t>
      </w:r>
      <w:r w:rsidRPr="00817B48">
        <w:rPr>
          <w:iCs/>
          <w:color w:val="000000"/>
          <w:szCs w:val="22"/>
        </w:rPr>
        <w:t>dostupných údajov)</w:t>
      </w:r>
      <w:r w:rsidRPr="00817B48">
        <w:rPr>
          <w:color w:val="000000"/>
          <w:szCs w:val="22"/>
        </w:rPr>
        <w:t>.</w:t>
      </w:r>
    </w:p>
    <w:p w14:paraId="3836DA4A" w14:textId="77777777" w:rsidR="00B1633A" w:rsidRPr="00817B48" w:rsidRDefault="00B1633A" w:rsidP="00817B48">
      <w:pPr>
        <w:rPr>
          <w:color w:val="000000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15"/>
        <w:gridCol w:w="4376"/>
      </w:tblGrid>
      <w:tr w:rsidR="00B1633A" w:rsidRPr="00817B48" w14:paraId="15B66DE6" w14:textId="77777777" w:rsidTr="00B1633A">
        <w:trPr>
          <w:cantSplit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9D9" w14:textId="77777777" w:rsidR="00B1633A" w:rsidRPr="00817B48" w:rsidRDefault="00B1633A" w:rsidP="00817B48">
            <w:pPr>
              <w:ind w:left="0" w:firstLine="0"/>
              <w:rPr>
                <w:b/>
                <w:bCs/>
                <w:color w:val="000000"/>
                <w:szCs w:val="22"/>
              </w:rPr>
            </w:pPr>
            <w:r w:rsidRPr="00817B48">
              <w:rPr>
                <w:b/>
                <w:bCs/>
                <w:color w:val="000000"/>
                <w:szCs w:val="22"/>
              </w:rPr>
              <w:t>Trieda orgánových systémov podľa databázy MedDRA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FD1" w14:textId="77777777" w:rsidR="00B1633A" w:rsidRPr="00817B48" w:rsidRDefault="00B1633A" w:rsidP="00817B48">
            <w:pPr>
              <w:rPr>
                <w:b/>
                <w:bCs/>
                <w:color w:val="000000"/>
                <w:szCs w:val="22"/>
              </w:rPr>
            </w:pPr>
            <w:r w:rsidRPr="00817B48">
              <w:rPr>
                <w:b/>
                <w:bCs/>
                <w:color w:val="000000"/>
                <w:szCs w:val="22"/>
              </w:rPr>
              <w:t>Frekvencia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16E" w14:textId="77777777" w:rsidR="00B1633A" w:rsidRPr="00817B48" w:rsidRDefault="00B1633A" w:rsidP="00817B48">
            <w:pPr>
              <w:ind w:left="0" w:firstLine="0"/>
              <w:rPr>
                <w:b/>
                <w:bCs/>
                <w:color w:val="000000"/>
                <w:szCs w:val="22"/>
              </w:rPr>
            </w:pPr>
            <w:r w:rsidRPr="00817B48">
              <w:rPr>
                <w:b/>
                <w:bCs/>
                <w:color w:val="000000"/>
                <w:szCs w:val="22"/>
              </w:rPr>
              <w:t>Typ nežiaduceho účinku</w:t>
            </w:r>
          </w:p>
        </w:tc>
      </w:tr>
      <w:tr w:rsidR="003367AC" w:rsidRPr="00817B48" w14:paraId="0C44ADE5" w14:textId="77777777" w:rsidTr="0063226F">
        <w:trPr>
          <w:cantSplit/>
          <w:trHeight w:val="823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2C83B" w14:textId="77777777" w:rsidR="003367AC" w:rsidRPr="00817B48" w:rsidRDefault="003367AC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krvi a lymfatického systému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3157" w14:textId="77777777" w:rsidR="003367AC" w:rsidRPr="00817B48" w:rsidRDefault="003367AC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Veľmi 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909" w14:textId="77777777" w:rsidR="003367AC" w:rsidRPr="00817B48" w:rsidRDefault="003367AC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trombocytopénia, leukocytopénia,</w:t>
            </w:r>
          </w:p>
          <w:p w14:paraId="07CADB1D" w14:textId="77777777" w:rsidR="003367AC" w:rsidRPr="00817B48" w:rsidRDefault="003367AC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pancytopénia (ojedinelé prípady)</w:t>
            </w:r>
            <w:r w:rsidR="00250FF0" w:rsidRPr="00817B48">
              <w:rPr>
                <w:color w:val="000000"/>
                <w:szCs w:val="22"/>
              </w:rPr>
              <w:t>, neutropénia</w:t>
            </w:r>
          </w:p>
        </w:tc>
      </w:tr>
      <w:tr w:rsidR="003367AC" w:rsidRPr="00817B48" w14:paraId="7E698734" w14:textId="77777777" w:rsidTr="0063226F">
        <w:trPr>
          <w:cantSplit/>
          <w:trHeight w:val="823"/>
        </w:trPr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F32C" w14:textId="77777777" w:rsidR="003367AC" w:rsidRPr="00817B48" w:rsidRDefault="003367AC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5AD" w14:textId="77777777" w:rsidR="003367AC" w:rsidRPr="00817B48" w:rsidRDefault="003367AC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Neznáme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DC1" w14:textId="77777777" w:rsidR="003367AC" w:rsidRPr="00817B48" w:rsidRDefault="003367AC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agranulocytóza</w:t>
            </w:r>
          </w:p>
          <w:p w14:paraId="6EE91222" w14:textId="77777777" w:rsidR="003367AC" w:rsidRPr="00817B48" w:rsidRDefault="003367AC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hemolytická anémia u pacientov s deficitom glukózo-6-fosfátdehydrogenázy</w:t>
            </w:r>
          </w:p>
        </w:tc>
      </w:tr>
      <w:tr w:rsidR="00250FF0" w:rsidRPr="00817B48" w14:paraId="3F451F3E" w14:textId="77777777" w:rsidTr="0063226F">
        <w:trPr>
          <w:cantSplit/>
          <w:trHeight w:val="523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C29D" w14:textId="77777777" w:rsidR="00250FF0" w:rsidRPr="00817B48" w:rsidRDefault="00250FF0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lastRenderedPageBreak/>
              <w:t>Poruchy imunitného systému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CA17" w14:textId="77777777" w:rsidR="00250FF0" w:rsidRPr="00817B48" w:rsidRDefault="00250FF0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Veľmi 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205" w14:textId="77777777" w:rsidR="00250FF0" w:rsidRPr="00817B48" w:rsidRDefault="00250FF0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 xml:space="preserve">reakcie precitlivenosti ako </w:t>
            </w:r>
            <w:r w:rsidR="00DF2A54" w:rsidRPr="00817B48">
              <w:rPr>
                <w:color w:val="000000"/>
                <w:szCs w:val="22"/>
              </w:rPr>
              <w:t>angioedém</w:t>
            </w:r>
            <w:r w:rsidRPr="00817B48">
              <w:rPr>
                <w:color w:val="000000"/>
                <w:szCs w:val="22"/>
              </w:rPr>
              <w:t>, dýchavi</w:t>
            </w:r>
            <w:r w:rsidR="0038617A" w:rsidRPr="00817B48">
              <w:rPr>
                <w:color w:val="000000"/>
                <w:szCs w:val="22"/>
              </w:rPr>
              <w:t>čnosť</w:t>
            </w:r>
            <w:r w:rsidRPr="00817B48">
              <w:rPr>
                <w:color w:val="000000"/>
                <w:szCs w:val="22"/>
              </w:rPr>
              <w:t>, návaly potu, nevoľnosť, pokles krvného tlaku až šok (ojedinelé prípady)</w:t>
            </w:r>
          </w:p>
        </w:tc>
      </w:tr>
      <w:tr w:rsidR="00250FF0" w:rsidRPr="00817B48" w14:paraId="19C04586" w14:textId="77777777" w:rsidTr="0063226F">
        <w:trPr>
          <w:cantSplit/>
          <w:trHeight w:val="523"/>
        </w:trPr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48E" w14:textId="77777777" w:rsidR="00250FF0" w:rsidRPr="00817B48" w:rsidRDefault="00250FF0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CEC" w14:textId="77777777" w:rsidR="00250FF0" w:rsidRPr="00817B48" w:rsidRDefault="00250FF0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 xml:space="preserve">Neznáme 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8B57" w14:textId="2204F856" w:rsidR="00250FF0" w:rsidRPr="00817B48" w:rsidRDefault="00250FF0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anafylaktický šok</w:t>
            </w:r>
          </w:p>
        </w:tc>
      </w:tr>
      <w:tr w:rsidR="00B1633A" w:rsidRPr="00817B48" w14:paraId="46BBDDB9" w14:textId="77777777" w:rsidTr="00B1633A">
        <w:trPr>
          <w:cantSplit/>
          <w:trHeight w:val="195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F303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nervového systému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895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Č</w:t>
            </w:r>
            <w:r w:rsidR="00B1633A" w:rsidRPr="00817B48">
              <w:rPr>
                <w:color w:val="000000"/>
                <w:szCs w:val="22"/>
              </w:rPr>
              <w:t>asté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990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únava, závraty, ľahké bolesti hlavy</w:t>
            </w:r>
          </w:p>
        </w:tc>
      </w:tr>
      <w:tr w:rsidR="00B1633A" w:rsidRPr="00817B48" w14:paraId="3749E701" w14:textId="77777777" w:rsidTr="00B1633A">
        <w:trPr>
          <w:cantSplit/>
          <w:trHeight w:val="195"/>
        </w:trPr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5D4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4C5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M</w:t>
            </w:r>
            <w:r w:rsidR="00B1633A" w:rsidRPr="00817B48">
              <w:rPr>
                <w:color w:val="000000"/>
                <w:szCs w:val="22"/>
              </w:rPr>
              <w:t>enej časté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D960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spánku</w:t>
            </w:r>
          </w:p>
        </w:tc>
      </w:tr>
      <w:tr w:rsidR="00B1633A" w:rsidRPr="00817B48" w14:paraId="3C529B14" w14:textId="77777777" w:rsidTr="00B1633A">
        <w:trPr>
          <w:cantSplit/>
          <w:trHeight w:val="765"/>
        </w:trPr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4DF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AE1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V</w:t>
            </w:r>
            <w:r w:rsidR="00B1633A" w:rsidRPr="00817B48">
              <w:rPr>
                <w:color w:val="000000"/>
                <w:szCs w:val="22"/>
              </w:rPr>
              <w:t>eľmi 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89A" w14:textId="1A96028B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útlm dychových funkcií (pri vyšších dávkach alebo u pacientov so zvýšeným vnútroleb</w:t>
            </w:r>
            <w:r w:rsidR="00C3445C" w:rsidRPr="00817B48">
              <w:rPr>
                <w:color w:val="000000"/>
                <w:szCs w:val="22"/>
              </w:rPr>
              <w:t>kov</w:t>
            </w:r>
            <w:r w:rsidRPr="00817B48">
              <w:rPr>
                <w:color w:val="000000"/>
                <w:szCs w:val="22"/>
              </w:rPr>
              <w:t>ým tlakom alebo poranením hlavy)</w:t>
            </w:r>
          </w:p>
          <w:p w14:paraId="092DDDC7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eufória/dysfória (pri vysokých dávkach)</w:t>
            </w:r>
          </w:p>
          <w:p w14:paraId="3FA1C6C0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zhoršenie vizuálnej motorickej koordinácie (pri vyšších dávkach)</w:t>
            </w:r>
          </w:p>
        </w:tc>
      </w:tr>
      <w:tr w:rsidR="00B1633A" w:rsidRPr="00817B48" w14:paraId="66291664" w14:textId="77777777" w:rsidTr="00B1633A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440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oka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7C0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</w:t>
            </w:r>
            <w:r w:rsidR="00B1633A" w:rsidRPr="00817B48">
              <w:rPr>
                <w:color w:val="000000"/>
                <w:szCs w:val="22"/>
              </w:rPr>
              <w:t>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C0D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videnia/mióza (pri vysokých dávkach)</w:t>
            </w:r>
          </w:p>
        </w:tc>
      </w:tr>
      <w:tr w:rsidR="00B1633A" w:rsidRPr="00817B48" w14:paraId="293DCC00" w14:textId="77777777" w:rsidTr="00B1633A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F8F5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ucha a labyrintu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7CC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</w:t>
            </w:r>
            <w:r w:rsidR="00B1633A" w:rsidRPr="00817B48">
              <w:rPr>
                <w:color w:val="000000"/>
                <w:szCs w:val="22"/>
              </w:rPr>
              <w:t>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9F4" w14:textId="23F43420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tinitus</w:t>
            </w:r>
          </w:p>
        </w:tc>
      </w:tr>
      <w:tr w:rsidR="004158BF" w:rsidRPr="00817B48" w14:paraId="2A47832E" w14:textId="77777777" w:rsidTr="00B1633A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4FB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bCs/>
                <w:color w:val="000000"/>
                <w:szCs w:val="22"/>
              </w:rPr>
              <w:t>Poruchy srdca a srdcovej činnosti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7E1" w14:textId="77777777" w:rsidR="004158BF" w:rsidRPr="00817B48" w:rsidRDefault="004158B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 xml:space="preserve">Neznáme 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C49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bCs/>
                <w:color w:val="000000"/>
                <w:szCs w:val="22"/>
              </w:rPr>
              <w:t>Kounisov syndróm</w:t>
            </w:r>
          </w:p>
        </w:tc>
      </w:tr>
      <w:tr w:rsidR="00B1633A" w:rsidRPr="00817B48" w14:paraId="6AEDB558" w14:textId="77777777" w:rsidTr="00B1633A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A34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ciev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31A" w14:textId="77777777" w:rsidR="00B1633A" w:rsidRPr="00817B48" w:rsidRDefault="00FB70F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Č</w:t>
            </w:r>
            <w:r w:rsidR="00B1633A" w:rsidRPr="00817B48">
              <w:rPr>
                <w:color w:val="000000"/>
                <w:szCs w:val="22"/>
              </w:rPr>
              <w:t>asté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77E" w14:textId="77777777" w:rsidR="00B1633A" w:rsidRPr="00817B48" w:rsidRDefault="00B1633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pokles krvného tlaku, synkopa (pri užití vysokých dávok)</w:t>
            </w:r>
          </w:p>
        </w:tc>
      </w:tr>
      <w:tr w:rsidR="004158BF" w:rsidRPr="00817B48" w14:paraId="5590FBD2" w14:textId="77777777" w:rsidTr="0063226F">
        <w:trPr>
          <w:cantSplit/>
          <w:trHeight w:val="510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2D021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dýchacej sústavy, hrudníka a mediastína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FD7" w14:textId="77777777" w:rsidR="004158BF" w:rsidRPr="00817B48" w:rsidRDefault="004158B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A61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dýchavi</w:t>
            </w:r>
            <w:r w:rsidR="0038617A" w:rsidRPr="00817B48">
              <w:rPr>
                <w:color w:val="000000"/>
                <w:szCs w:val="22"/>
              </w:rPr>
              <w:t>čnosť</w:t>
            </w:r>
          </w:p>
        </w:tc>
      </w:tr>
      <w:tr w:rsidR="004158BF" w:rsidRPr="00817B48" w14:paraId="2F53273D" w14:textId="77777777" w:rsidTr="0063226F">
        <w:trPr>
          <w:cantSplit/>
          <w:trHeight w:val="245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864D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7BD" w14:textId="77777777" w:rsidR="004158BF" w:rsidRPr="00817B48" w:rsidRDefault="004158BF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Veľmi 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73D" w14:textId="77777777" w:rsidR="004158BF" w:rsidRPr="00817B48" w:rsidRDefault="004158BF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edém pľúc (pri vysokých dávkach, najmä u osôb s poruchou funkcie pľúc)</w:t>
            </w:r>
          </w:p>
        </w:tc>
      </w:tr>
      <w:tr w:rsidR="0038617A" w:rsidRPr="00817B48" w14:paraId="3D9A8FCF" w14:textId="77777777" w:rsidTr="0063226F">
        <w:trPr>
          <w:cantSplit/>
          <w:trHeight w:val="245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0E1A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519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 xml:space="preserve">Neznáme 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F20" w14:textId="77777777" w:rsidR="0038617A" w:rsidRPr="00817B48" w:rsidRDefault="00C95F47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snapToGrid w:val="0"/>
                <w:color w:val="000000"/>
                <w:szCs w:val="22"/>
              </w:rPr>
              <w:t>b</w:t>
            </w:r>
            <w:r w:rsidR="0038617A" w:rsidRPr="00817B48">
              <w:rPr>
                <w:snapToGrid w:val="0"/>
                <w:color w:val="000000"/>
                <w:szCs w:val="22"/>
              </w:rPr>
              <w:t>ronchospazmus</w:t>
            </w:r>
          </w:p>
        </w:tc>
      </w:tr>
      <w:tr w:rsidR="0038617A" w:rsidRPr="00817B48" w14:paraId="145AEAE3" w14:textId="77777777" w:rsidTr="00B1633A">
        <w:trPr>
          <w:cantSplit/>
          <w:trHeight w:val="245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23A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gastrointestinálneho traktu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698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Časté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1E0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nevoľnosť, vracanie (najmä na začiatku liečby), zápcha</w:t>
            </w:r>
          </w:p>
        </w:tc>
      </w:tr>
      <w:tr w:rsidR="0038617A" w:rsidRPr="00817B48" w14:paraId="05B43A5D" w14:textId="77777777" w:rsidTr="00B1633A">
        <w:trPr>
          <w:cantSplit/>
          <w:trHeight w:val="334"/>
        </w:trPr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B5E4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B35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2201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sucho v ústach</w:t>
            </w:r>
          </w:p>
        </w:tc>
      </w:tr>
      <w:tr w:rsidR="0038617A" w:rsidRPr="00817B48" w14:paraId="18575355" w14:textId="77777777" w:rsidTr="00B1633A">
        <w:trPr>
          <w:cantSplit/>
          <w:trHeight w:val="24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586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pečene a žlčových ciest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82C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Neznáme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871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cytolytická hepatitída, ktorá môže viesť k akútnemu zlyhaniu pečene</w:t>
            </w:r>
          </w:p>
        </w:tc>
      </w:tr>
      <w:tr w:rsidR="0038617A" w:rsidRPr="00817B48" w14:paraId="666DDF0C" w14:textId="77777777" w:rsidTr="00440D4F">
        <w:trPr>
          <w:cantSplit/>
          <w:trHeight w:val="246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493E8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Poruchy kože a podkožného tkaniva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5AE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Menej časté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B5A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pruritus, sčervenenie kože, žihľavka (urtikária)</w:t>
            </w:r>
          </w:p>
        </w:tc>
      </w:tr>
      <w:tr w:rsidR="0038617A" w:rsidRPr="00817B48" w14:paraId="08549A69" w14:textId="77777777" w:rsidTr="00440D4F">
        <w:trPr>
          <w:cantSplit/>
          <w:trHeight w:val="173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CA05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E28F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907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 xml:space="preserve">alergické exantémy </w:t>
            </w:r>
          </w:p>
        </w:tc>
      </w:tr>
      <w:tr w:rsidR="0038617A" w:rsidRPr="00817B48" w14:paraId="380B4251" w14:textId="77777777" w:rsidTr="0063226F">
        <w:trPr>
          <w:cantSplit/>
          <w:trHeight w:val="420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71F5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863E" w14:textId="77777777" w:rsidR="0038617A" w:rsidRPr="00817B48" w:rsidRDefault="0038617A" w:rsidP="00817B48">
            <w:pPr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Veľmi zriedkavé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EC1E2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color w:val="000000"/>
                <w:szCs w:val="22"/>
              </w:rPr>
              <w:t>erytém, žihľavka, vyrážka</w:t>
            </w:r>
          </w:p>
          <w:p w14:paraId="6F00A7E8" w14:textId="77777777" w:rsidR="0038617A" w:rsidRPr="00817B48" w:rsidRDefault="0038617A" w:rsidP="00817B48">
            <w:pPr>
              <w:ind w:left="0" w:firstLine="0"/>
              <w:rPr>
                <w:szCs w:val="22"/>
              </w:rPr>
            </w:pPr>
            <w:r w:rsidRPr="00817B48">
              <w:rPr>
                <w:szCs w:val="22"/>
              </w:rPr>
              <w:t xml:space="preserve">*toxická epidermálna nekrolýza (TEN), *Stevensov-Johnsonov syndróm (SJS), </w:t>
            </w:r>
          </w:p>
          <w:p w14:paraId="073660F4" w14:textId="319CFDED" w:rsidR="0038617A" w:rsidRPr="00817B48" w:rsidRDefault="0038617A" w:rsidP="00817B48">
            <w:pPr>
              <w:ind w:left="0" w:firstLine="0"/>
              <w:rPr>
                <w:szCs w:val="22"/>
              </w:rPr>
            </w:pPr>
            <w:r w:rsidRPr="00817B48">
              <w:rPr>
                <w:szCs w:val="22"/>
              </w:rPr>
              <w:t xml:space="preserve">*akútna generalizovná exantematózna pustulóza, </w:t>
            </w:r>
          </w:p>
          <w:p w14:paraId="4C3212E2" w14:textId="77777777" w:rsidR="0038617A" w:rsidRPr="00817B48" w:rsidRDefault="0038617A" w:rsidP="00817B48">
            <w:pPr>
              <w:ind w:left="0" w:firstLine="0"/>
              <w:rPr>
                <w:color w:val="000000"/>
                <w:szCs w:val="22"/>
              </w:rPr>
            </w:pPr>
            <w:r w:rsidRPr="00817B48">
              <w:rPr>
                <w:szCs w:val="22"/>
              </w:rPr>
              <w:t>*fixný liekový exantém</w:t>
            </w:r>
          </w:p>
        </w:tc>
      </w:tr>
    </w:tbl>
    <w:p w14:paraId="22FBEB94" w14:textId="77777777" w:rsidR="00B1633A" w:rsidRPr="00817B48" w:rsidRDefault="00C21F47" w:rsidP="00817B48">
      <w:pPr>
        <w:rPr>
          <w:szCs w:val="22"/>
        </w:rPr>
      </w:pPr>
      <w:r w:rsidRPr="00817B48">
        <w:rPr>
          <w:bCs/>
          <w:iCs/>
          <w:color w:val="000000"/>
          <w:szCs w:val="22"/>
        </w:rPr>
        <w:t>*</w:t>
      </w:r>
      <w:r w:rsidRPr="00817B48">
        <w:rPr>
          <w:szCs w:val="22"/>
        </w:rPr>
        <w:t xml:space="preserve"> Boli hlásené </w:t>
      </w:r>
      <w:r w:rsidR="0073689A" w:rsidRPr="00817B48">
        <w:rPr>
          <w:szCs w:val="22"/>
        </w:rPr>
        <w:t xml:space="preserve">ako </w:t>
      </w:r>
      <w:r w:rsidRPr="00817B48">
        <w:rPr>
          <w:szCs w:val="22"/>
        </w:rPr>
        <w:t>veľmi zriedkavé prípady závažných kožných reakcií</w:t>
      </w:r>
      <w:r w:rsidR="0073689A" w:rsidRPr="00817B48">
        <w:rPr>
          <w:szCs w:val="22"/>
        </w:rPr>
        <w:t xml:space="preserve"> (pozri časť 4.4).</w:t>
      </w:r>
    </w:p>
    <w:p w14:paraId="3589518D" w14:textId="77777777" w:rsidR="00C21F47" w:rsidRPr="00817B48" w:rsidRDefault="00C21F47" w:rsidP="00817B48">
      <w:pPr>
        <w:rPr>
          <w:bCs/>
          <w:iCs/>
          <w:color w:val="000000"/>
          <w:szCs w:val="22"/>
        </w:rPr>
      </w:pPr>
    </w:p>
    <w:p w14:paraId="700A5E52" w14:textId="77777777" w:rsidR="00B1633A" w:rsidRPr="00817B48" w:rsidRDefault="00B1633A" w:rsidP="00817B48">
      <w:pPr>
        <w:rPr>
          <w:bCs/>
          <w:iCs/>
          <w:color w:val="000000"/>
          <w:szCs w:val="22"/>
        </w:rPr>
      </w:pPr>
      <w:r w:rsidRPr="00817B48">
        <w:rPr>
          <w:bCs/>
          <w:iCs/>
          <w:color w:val="000000"/>
          <w:szCs w:val="22"/>
        </w:rPr>
        <w:t xml:space="preserve">Pri dlhotrvajúcom užívaní vyšších dávok je možný </w:t>
      </w:r>
      <w:r w:rsidR="00030E31" w:rsidRPr="00817B48">
        <w:rPr>
          <w:bCs/>
          <w:iCs/>
          <w:color w:val="000000"/>
          <w:szCs w:val="22"/>
        </w:rPr>
        <w:t>vznik</w:t>
      </w:r>
      <w:r w:rsidRPr="00817B48">
        <w:rPr>
          <w:bCs/>
          <w:iCs/>
          <w:color w:val="000000"/>
          <w:szCs w:val="22"/>
        </w:rPr>
        <w:t xml:space="preserve"> závislosti.</w:t>
      </w:r>
    </w:p>
    <w:p w14:paraId="58D1504C" w14:textId="77777777" w:rsidR="00030E31" w:rsidRPr="00817B48" w:rsidRDefault="00030E31" w:rsidP="00817B48">
      <w:pPr>
        <w:rPr>
          <w:bCs/>
          <w:iCs/>
          <w:color w:val="000000"/>
          <w:szCs w:val="22"/>
        </w:rPr>
      </w:pPr>
    </w:p>
    <w:p w14:paraId="71024BA6" w14:textId="77777777" w:rsidR="00030E31" w:rsidRPr="00817B48" w:rsidRDefault="00030E31" w:rsidP="00817B48">
      <w:pPr>
        <w:ind w:left="0" w:firstLine="0"/>
        <w:rPr>
          <w:i/>
          <w:color w:val="000000"/>
          <w:szCs w:val="22"/>
        </w:rPr>
      </w:pPr>
      <w:r w:rsidRPr="00817B48">
        <w:rPr>
          <w:i/>
          <w:color w:val="000000"/>
          <w:szCs w:val="22"/>
        </w:rPr>
        <w:t>Upozornenie</w:t>
      </w:r>
    </w:p>
    <w:p w14:paraId="001D098F" w14:textId="77777777" w:rsidR="00030E31" w:rsidRPr="00817B48" w:rsidRDefault="00E53263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Pacienta je potrebné upozorniť, aby pri prvých náznakoch reakcie z precitlivenosti liek vysadil a okamžite kontaktoval lekára.</w:t>
      </w:r>
    </w:p>
    <w:p w14:paraId="750455F0" w14:textId="77777777" w:rsidR="00B1633A" w:rsidRPr="00817B48" w:rsidRDefault="00E53263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Nie sú žiadne známky, že by užívanie fixnej kombinácie viedlo pri dodržaní zodpovedajúcich pokynov ku kvantitatívnej alebo kvalitatívnej zmene účinkov oboch zložiek známych pri ich samostatnom užívaní, alebo k rozšíren</w:t>
      </w:r>
      <w:r w:rsidR="00A06F3F" w:rsidRPr="00817B48">
        <w:rPr>
          <w:color w:val="000000"/>
          <w:szCs w:val="22"/>
        </w:rPr>
        <w:t>iu</w:t>
      </w:r>
      <w:r w:rsidRPr="00817B48">
        <w:rPr>
          <w:color w:val="000000"/>
          <w:szCs w:val="22"/>
        </w:rPr>
        <w:t xml:space="preserve"> ich spektra.</w:t>
      </w:r>
    </w:p>
    <w:p w14:paraId="4261D1B9" w14:textId="77777777" w:rsidR="00E53263" w:rsidRPr="00817B48" w:rsidRDefault="00E53263" w:rsidP="00817B48">
      <w:pPr>
        <w:rPr>
          <w:color w:val="000000"/>
          <w:szCs w:val="22"/>
        </w:rPr>
      </w:pPr>
    </w:p>
    <w:p w14:paraId="3DB77FE6" w14:textId="77777777" w:rsidR="00457E92" w:rsidRPr="00817B48" w:rsidRDefault="00457E92" w:rsidP="00817B48">
      <w:pPr>
        <w:rPr>
          <w:color w:val="000000"/>
          <w:szCs w:val="22"/>
          <w:u w:val="single"/>
        </w:rPr>
      </w:pPr>
      <w:r w:rsidRPr="00817B48">
        <w:rPr>
          <w:noProof/>
          <w:color w:val="000000"/>
          <w:szCs w:val="22"/>
          <w:u w:val="single"/>
        </w:rPr>
        <w:t>Hlásenie podozrení na nežiaduce reakcie</w:t>
      </w:r>
    </w:p>
    <w:p w14:paraId="43B25E4A" w14:textId="77777777" w:rsidR="00457E92" w:rsidRPr="00817B48" w:rsidRDefault="00457E92" w:rsidP="00817B48">
      <w:pPr>
        <w:rPr>
          <w:noProof/>
          <w:color w:val="000000"/>
          <w:szCs w:val="22"/>
        </w:rPr>
      </w:pPr>
      <w:r w:rsidRPr="00817B48">
        <w:rPr>
          <w:noProof/>
          <w:color w:val="000000"/>
          <w:szCs w:val="22"/>
        </w:rPr>
        <w:t>Hlásenie podozrení na nežiaduce reakcie po registrácii lieku je dôležité.</w:t>
      </w:r>
      <w:r w:rsidRPr="00817B48">
        <w:rPr>
          <w:color w:val="000000"/>
          <w:szCs w:val="22"/>
        </w:rPr>
        <w:t xml:space="preserve"> </w:t>
      </w:r>
      <w:r w:rsidRPr="00817B48">
        <w:rPr>
          <w:noProof/>
          <w:color w:val="000000"/>
          <w:szCs w:val="22"/>
        </w:rPr>
        <w:t xml:space="preserve">Umožňuje priebežné </w:t>
      </w:r>
    </w:p>
    <w:p w14:paraId="2CD81E84" w14:textId="77777777" w:rsidR="00457E92" w:rsidRPr="00817B48" w:rsidRDefault="00457E92" w:rsidP="00817B48">
      <w:pPr>
        <w:rPr>
          <w:noProof/>
          <w:color w:val="000000"/>
          <w:szCs w:val="22"/>
        </w:rPr>
      </w:pPr>
      <w:r w:rsidRPr="00817B48">
        <w:rPr>
          <w:noProof/>
          <w:color w:val="000000"/>
          <w:szCs w:val="22"/>
        </w:rPr>
        <w:t>monitorovanie pomeru prínosu a rizika lieku.</w:t>
      </w:r>
      <w:r w:rsidRPr="00817B48">
        <w:rPr>
          <w:color w:val="000000"/>
          <w:szCs w:val="22"/>
        </w:rPr>
        <w:t xml:space="preserve"> Od </w:t>
      </w:r>
      <w:r w:rsidRPr="00817B48">
        <w:rPr>
          <w:noProof/>
          <w:color w:val="000000"/>
          <w:szCs w:val="22"/>
        </w:rPr>
        <w:t xml:space="preserve">zdravotníckych pracovníkov sa vyžaduje, aby hlásili </w:t>
      </w:r>
    </w:p>
    <w:p w14:paraId="7A177B6D" w14:textId="453DB226" w:rsidR="00457E92" w:rsidRPr="00817B48" w:rsidRDefault="00457E92" w:rsidP="00817B48">
      <w:pPr>
        <w:rPr>
          <w:color w:val="000000"/>
          <w:szCs w:val="22"/>
        </w:rPr>
      </w:pPr>
      <w:r w:rsidRPr="00817B48">
        <w:rPr>
          <w:noProof/>
          <w:color w:val="000000"/>
          <w:szCs w:val="22"/>
        </w:rPr>
        <w:t xml:space="preserve">akékoľvek podozrenia na nežiaduce reakcie </w:t>
      </w:r>
      <w:r w:rsidR="00BE5299" w:rsidRPr="00817B48">
        <w:rPr>
          <w:noProof/>
          <w:color w:val="000000"/>
          <w:szCs w:val="22"/>
        </w:rPr>
        <w:t xml:space="preserve">na </w:t>
      </w:r>
      <w:r w:rsidRPr="00817B48">
        <w:rPr>
          <w:noProof/>
          <w:color w:val="000000"/>
          <w:szCs w:val="22"/>
          <w:highlight w:val="lightGray"/>
        </w:rPr>
        <w:t>národné</w:t>
      </w:r>
      <w:r w:rsidR="00BE5299" w:rsidRPr="00817B48">
        <w:rPr>
          <w:noProof/>
          <w:color w:val="000000"/>
          <w:szCs w:val="22"/>
          <w:highlight w:val="lightGray"/>
        </w:rPr>
        <w:t xml:space="preserve"> centrum</w:t>
      </w:r>
      <w:r w:rsidRPr="00817B48">
        <w:rPr>
          <w:noProof/>
          <w:color w:val="000000"/>
          <w:szCs w:val="22"/>
          <w:highlight w:val="lightGray"/>
        </w:rPr>
        <w:t xml:space="preserve"> hlásenia uvedené v</w:t>
      </w:r>
      <w:r w:rsidR="00D878EC" w:rsidRPr="00817B48">
        <w:rPr>
          <w:noProof/>
          <w:color w:val="000000"/>
          <w:szCs w:val="22"/>
          <w:highlight w:val="lightGray"/>
        </w:rPr>
        <w:t> </w:t>
      </w:r>
      <w:hyperlink r:id="rId8" w:history="1">
        <w:r w:rsidRPr="00817B48">
          <w:rPr>
            <w:color w:val="000000"/>
            <w:szCs w:val="22"/>
            <w:highlight w:val="lightGray"/>
          </w:rPr>
          <w:t>Prílohe</w:t>
        </w:r>
        <w:r w:rsidR="00D878EC" w:rsidRPr="00817B48">
          <w:rPr>
            <w:color w:val="000000"/>
            <w:szCs w:val="22"/>
            <w:highlight w:val="lightGray"/>
          </w:rPr>
          <w:t> </w:t>
        </w:r>
        <w:r w:rsidRPr="00817B48">
          <w:rPr>
            <w:color w:val="000000"/>
            <w:szCs w:val="22"/>
            <w:highlight w:val="lightGray"/>
          </w:rPr>
          <w:t>V</w:t>
        </w:r>
      </w:hyperlink>
      <w:r w:rsidRPr="00817B48">
        <w:rPr>
          <w:noProof/>
          <w:color w:val="000000"/>
          <w:szCs w:val="22"/>
        </w:rPr>
        <w:t>.</w:t>
      </w:r>
    </w:p>
    <w:p w14:paraId="71E6FDC1" w14:textId="6AE82874" w:rsidR="00457E92" w:rsidRPr="00817B48" w:rsidRDefault="00457E92" w:rsidP="00817B48">
      <w:pPr>
        <w:rPr>
          <w:color w:val="000000"/>
          <w:szCs w:val="22"/>
        </w:rPr>
      </w:pPr>
    </w:p>
    <w:p w14:paraId="45A1CA60" w14:textId="77777777" w:rsidR="00F45C34" w:rsidRPr="00817B48" w:rsidRDefault="00F45C34" w:rsidP="00817B48">
      <w:pPr>
        <w:keepNext/>
        <w:rPr>
          <w:color w:val="000000"/>
          <w:szCs w:val="22"/>
        </w:rPr>
      </w:pPr>
      <w:r w:rsidRPr="00817B48">
        <w:rPr>
          <w:b/>
          <w:color w:val="000000"/>
          <w:szCs w:val="22"/>
        </w:rPr>
        <w:lastRenderedPageBreak/>
        <w:t>4.9</w:t>
      </w:r>
      <w:r w:rsidRPr="00817B48">
        <w:rPr>
          <w:b/>
          <w:color w:val="000000"/>
          <w:szCs w:val="22"/>
        </w:rPr>
        <w:tab/>
        <w:t>Predávkovanie</w:t>
      </w:r>
    </w:p>
    <w:p w14:paraId="6ADDA90D" w14:textId="77777777" w:rsidR="00F45C34" w:rsidRPr="00817B48" w:rsidRDefault="00F45C34" w:rsidP="00817B48">
      <w:pPr>
        <w:keepNext/>
        <w:rPr>
          <w:color w:val="000000"/>
          <w:szCs w:val="22"/>
        </w:rPr>
      </w:pPr>
    </w:p>
    <w:p w14:paraId="54AB524E" w14:textId="77777777" w:rsidR="009871CB" w:rsidRPr="00817B48" w:rsidRDefault="009871CB" w:rsidP="00817B48">
      <w:pPr>
        <w:keepNext/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Príznaky a liečba predávkovania </w:t>
      </w:r>
      <w:r w:rsidR="00474421" w:rsidRPr="00817B48">
        <w:rPr>
          <w:color w:val="000000"/>
          <w:szCs w:val="22"/>
        </w:rPr>
        <w:t xml:space="preserve">Korylanom (kombinácia </w:t>
      </w:r>
      <w:r w:rsidRPr="00817B48">
        <w:rPr>
          <w:color w:val="000000"/>
          <w:szCs w:val="22"/>
        </w:rPr>
        <w:t>paracetamol</w:t>
      </w:r>
      <w:r w:rsidR="00474421" w:rsidRPr="00817B48">
        <w:rPr>
          <w:color w:val="000000"/>
          <w:szCs w:val="22"/>
        </w:rPr>
        <w:t>u</w:t>
      </w:r>
      <w:r w:rsidRPr="00817B48">
        <w:rPr>
          <w:color w:val="000000"/>
          <w:szCs w:val="22"/>
        </w:rPr>
        <w:t xml:space="preserve"> a</w:t>
      </w:r>
      <w:r w:rsidR="00474421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kodeín</w:t>
      </w:r>
      <w:r w:rsidR="00474421" w:rsidRPr="00817B48">
        <w:rPr>
          <w:color w:val="000000"/>
          <w:szCs w:val="22"/>
        </w:rPr>
        <w:t>u)</w:t>
      </w:r>
      <w:r w:rsidRPr="00817B48">
        <w:rPr>
          <w:color w:val="000000"/>
          <w:szCs w:val="22"/>
        </w:rPr>
        <w:t xml:space="preserve"> zodpovedajú príznako</w:t>
      </w:r>
      <w:r w:rsidR="00474421" w:rsidRPr="00817B48">
        <w:rPr>
          <w:color w:val="000000"/>
          <w:szCs w:val="22"/>
        </w:rPr>
        <w:t>m</w:t>
      </w:r>
      <w:r w:rsidRPr="00817B48">
        <w:rPr>
          <w:color w:val="000000"/>
          <w:szCs w:val="22"/>
        </w:rPr>
        <w:t xml:space="preserve"> a</w:t>
      </w:r>
      <w:r w:rsidR="00474421" w:rsidRPr="00817B48">
        <w:rPr>
          <w:color w:val="000000"/>
          <w:szCs w:val="22"/>
        </w:rPr>
        <w:t xml:space="preserve"> možnostiam</w:t>
      </w:r>
      <w:r w:rsidRPr="00817B48">
        <w:rPr>
          <w:color w:val="000000"/>
          <w:szCs w:val="22"/>
        </w:rPr>
        <w:t> liečb</w:t>
      </w:r>
      <w:r w:rsidR="00474421" w:rsidRPr="00817B48">
        <w:rPr>
          <w:color w:val="000000"/>
          <w:szCs w:val="22"/>
        </w:rPr>
        <w:t>y</w:t>
      </w:r>
      <w:r w:rsidRPr="00817B48">
        <w:rPr>
          <w:color w:val="000000"/>
          <w:szCs w:val="22"/>
        </w:rPr>
        <w:t xml:space="preserve"> pri intoxikácii jednotlivými zložkami</w:t>
      </w:r>
      <w:r w:rsidR="002169C2" w:rsidRPr="00817B48">
        <w:rPr>
          <w:color w:val="000000"/>
          <w:szCs w:val="22"/>
        </w:rPr>
        <w:t xml:space="preserve"> lieku</w:t>
      </w:r>
      <w:r w:rsidRPr="00817B48">
        <w:rPr>
          <w:color w:val="000000"/>
          <w:szCs w:val="22"/>
        </w:rPr>
        <w:t>.</w:t>
      </w:r>
    </w:p>
    <w:p w14:paraId="4B815A78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</w:p>
    <w:p w14:paraId="3C788928" w14:textId="77777777" w:rsidR="002169C2" w:rsidRPr="00817B48" w:rsidRDefault="002169C2" w:rsidP="00817B48">
      <w:pPr>
        <w:ind w:left="0" w:firstLine="0"/>
        <w:rPr>
          <w:i/>
          <w:color w:val="000000"/>
          <w:szCs w:val="22"/>
          <w:u w:val="single"/>
        </w:rPr>
      </w:pPr>
      <w:r w:rsidRPr="00817B48">
        <w:rPr>
          <w:i/>
          <w:color w:val="000000"/>
          <w:szCs w:val="22"/>
          <w:u w:val="single"/>
        </w:rPr>
        <w:t>Paracetamol</w:t>
      </w:r>
    </w:p>
    <w:p w14:paraId="77329C05" w14:textId="77777777" w:rsidR="002169C2" w:rsidRPr="00817B48" w:rsidRDefault="002169C2" w:rsidP="00817B48">
      <w:pPr>
        <w:ind w:left="0" w:firstLine="0"/>
        <w:rPr>
          <w:i/>
          <w:color w:val="000000"/>
          <w:szCs w:val="22"/>
          <w:u w:val="single"/>
        </w:rPr>
      </w:pPr>
    </w:p>
    <w:p w14:paraId="6B985982" w14:textId="77777777" w:rsidR="009871CB" w:rsidRPr="00817B48" w:rsidRDefault="009871CB" w:rsidP="00817B48">
      <w:pPr>
        <w:ind w:left="0" w:firstLine="0"/>
        <w:rPr>
          <w:bCs/>
          <w:color w:val="000000"/>
          <w:szCs w:val="22"/>
          <w:u w:val="single"/>
        </w:rPr>
      </w:pPr>
      <w:r w:rsidRPr="00817B48">
        <w:rPr>
          <w:bCs/>
          <w:color w:val="000000"/>
          <w:szCs w:val="22"/>
          <w:u w:val="single"/>
        </w:rPr>
        <w:t>Príznaky intoxikácie</w:t>
      </w:r>
    </w:p>
    <w:p w14:paraId="4EAECD6E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Prejavy intoxikácie po užití nadmerne vysokých dávok paracetamolu sa objavujú s latenciou 24 – 48</w:t>
      </w:r>
      <w:r w:rsidR="009F736A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 xml:space="preserve">hodín. </w:t>
      </w:r>
      <w:r w:rsidR="002169C2" w:rsidRPr="00817B48">
        <w:rPr>
          <w:color w:val="000000"/>
          <w:szCs w:val="22"/>
        </w:rPr>
        <w:t xml:space="preserve">Predávkovanie paracetamolom môže vyvolať pečeňovú cytolýzu, ktorá môže viesť k hepatocelulárnej nedostatočnosti, </w:t>
      </w:r>
      <w:r w:rsidR="00C10837" w:rsidRPr="00817B48">
        <w:rPr>
          <w:color w:val="000000"/>
          <w:szCs w:val="22"/>
        </w:rPr>
        <w:t>gastrointestinálne</w:t>
      </w:r>
      <w:r w:rsidR="006313ED" w:rsidRPr="00817B48">
        <w:rPr>
          <w:color w:val="000000"/>
          <w:szCs w:val="22"/>
        </w:rPr>
        <w:t>mu</w:t>
      </w:r>
      <w:r w:rsidR="00C10837" w:rsidRPr="00817B48">
        <w:rPr>
          <w:color w:val="000000"/>
          <w:szCs w:val="22"/>
        </w:rPr>
        <w:t xml:space="preserve"> krvácani</w:t>
      </w:r>
      <w:r w:rsidR="006313ED" w:rsidRPr="00817B48">
        <w:rPr>
          <w:color w:val="000000"/>
          <w:szCs w:val="22"/>
        </w:rPr>
        <w:t>u</w:t>
      </w:r>
      <w:r w:rsidR="00C10837" w:rsidRPr="00817B48">
        <w:rPr>
          <w:color w:val="000000"/>
          <w:szCs w:val="22"/>
        </w:rPr>
        <w:t xml:space="preserve">, </w:t>
      </w:r>
      <w:r w:rsidR="002169C2" w:rsidRPr="00817B48">
        <w:rPr>
          <w:color w:val="000000"/>
          <w:szCs w:val="22"/>
        </w:rPr>
        <w:t>metabolickej acidóze, encefalopatii, k</w:t>
      </w:r>
      <w:r w:rsidR="00042E08" w:rsidRPr="00817B48">
        <w:rPr>
          <w:color w:val="000000"/>
          <w:szCs w:val="22"/>
        </w:rPr>
        <w:t>óme</w:t>
      </w:r>
      <w:r w:rsidR="002169C2" w:rsidRPr="00817B48">
        <w:rPr>
          <w:color w:val="000000"/>
          <w:szCs w:val="22"/>
        </w:rPr>
        <w:t xml:space="preserve"> a úmrtiu</w:t>
      </w:r>
      <w:r w:rsidRPr="00817B48">
        <w:rPr>
          <w:color w:val="000000"/>
          <w:szCs w:val="22"/>
        </w:rPr>
        <w:t xml:space="preserve">. Nezávisle od týchto porúch </w:t>
      </w:r>
      <w:r w:rsidR="002169C2" w:rsidRPr="00817B48">
        <w:rPr>
          <w:color w:val="000000"/>
          <w:szCs w:val="22"/>
        </w:rPr>
        <w:t>môže taktiež dôjsť k pankreatitíde</w:t>
      </w:r>
      <w:r w:rsidR="0056333A" w:rsidRPr="00817B48">
        <w:rPr>
          <w:color w:val="000000"/>
          <w:szCs w:val="22"/>
        </w:rPr>
        <w:t xml:space="preserve">, </w:t>
      </w:r>
      <w:r w:rsidR="002169C2" w:rsidRPr="00817B48">
        <w:rPr>
          <w:color w:val="000000"/>
          <w:szCs w:val="22"/>
        </w:rPr>
        <w:t>akútnemu zlyhaniu</w:t>
      </w:r>
      <w:r w:rsidRPr="00817B48">
        <w:rPr>
          <w:color w:val="000000"/>
          <w:szCs w:val="22"/>
        </w:rPr>
        <w:t xml:space="preserve"> obličiek</w:t>
      </w:r>
      <w:r w:rsidR="0056333A" w:rsidRPr="00817B48">
        <w:rPr>
          <w:color w:val="000000"/>
          <w:szCs w:val="22"/>
        </w:rPr>
        <w:t xml:space="preserve"> a k pancytopénii</w:t>
      </w:r>
      <w:r w:rsidRPr="00817B48">
        <w:rPr>
          <w:color w:val="000000"/>
          <w:szCs w:val="22"/>
        </w:rPr>
        <w:t>.</w:t>
      </w:r>
    </w:p>
    <w:p w14:paraId="230BE2E2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</w:p>
    <w:p w14:paraId="1A0BBD7D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V 1. fáze </w:t>
      </w:r>
      <w:r w:rsidR="00BE5299" w:rsidRPr="00817B48">
        <w:rPr>
          <w:color w:val="000000"/>
          <w:szCs w:val="22"/>
        </w:rPr>
        <w:t>–</w:t>
      </w:r>
      <w:r w:rsidRPr="00817B48">
        <w:rPr>
          <w:color w:val="000000"/>
          <w:szCs w:val="22"/>
        </w:rPr>
        <w:t xml:space="preserve"> </w:t>
      </w:r>
      <w:r w:rsidR="00CC60DF" w:rsidRPr="00817B48">
        <w:rPr>
          <w:color w:val="000000"/>
          <w:szCs w:val="22"/>
        </w:rPr>
        <w:t xml:space="preserve">v priebehu prvých 24 hodín po predávkovaní paracetamolom sa zvyčajne objavujú </w:t>
      </w:r>
      <w:r w:rsidRPr="00817B48">
        <w:rPr>
          <w:color w:val="000000"/>
          <w:szCs w:val="22"/>
        </w:rPr>
        <w:t xml:space="preserve">nevoľnosť, vracanie, </w:t>
      </w:r>
      <w:r w:rsidR="00042E08" w:rsidRPr="00817B48">
        <w:rPr>
          <w:color w:val="000000"/>
          <w:szCs w:val="22"/>
        </w:rPr>
        <w:t xml:space="preserve">strata chute do jedla, bledosť, bolesti brucha, </w:t>
      </w:r>
      <w:r w:rsidRPr="00817B48">
        <w:rPr>
          <w:color w:val="000000"/>
          <w:szCs w:val="22"/>
        </w:rPr>
        <w:t xml:space="preserve">potenie, somnolencia a celkový pocit choroby; v 2. fáze </w:t>
      </w:r>
      <w:r w:rsidR="00CC60DF" w:rsidRPr="00817B48">
        <w:rPr>
          <w:color w:val="000000"/>
          <w:szCs w:val="22"/>
        </w:rPr>
        <w:t xml:space="preserve">– 12 až 24 hodín po akútnom predávkovaní </w:t>
      </w:r>
      <w:r w:rsidRPr="00817B48">
        <w:rPr>
          <w:color w:val="000000"/>
          <w:szCs w:val="22"/>
        </w:rPr>
        <w:t>dochádza k zlepšeniu subjektívneho stavu, objavuj</w:t>
      </w:r>
      <w:r w:rsidR="00042E08" w:rsidRPr="00817B48">
        <w:rPr>
          <w:color w:val="000000"/>
          <w:szCs w:val="22"/>
        </w:rPr>
        <w:t>e</w:t>
      </w:r>
      <w:r w:rsidRPr="00817B48">
        <w:rPr>
          <w:color w:val="000000"/>
          <w:szCs w:val="22"/>
        </w:rPr>
        <w:t xml:space="preserve"> sa však zväčšenie pečene, vzostup </w:t>
      </w:r>
      <w:r w:rsidR="00CC60DF" w:rsidRPr="00817B48">
        <w:rPr>
          <w:color w:val="000000"/>
          <w:szCs w:val="22"/>
        </w:rPr>
        <w:t>hladín pečeňových</w:t>
      </w:r>
      <w:r w:rsidRPr="00817B48">
        <w:rPr>
          <w:color w:val="000000"/>
          <w:szCs w:val="22"/>
        </w:rPr>
        <w:t xml:space="preserve"> transamináz</w:t>
      </w:r>
      <w:r w:rsidR="00042E08" w:rsidRPr="00817B48">
        <w:rPr>
          <w:color w:val="000000"/>
          <w:szCs w:val="22"/>
        </w:rPr>
        <w:t>, laktátdehydrogenázy</w:t>
      </w:r>
      <w:r w:rsidRPr="00817B48">
        <w:rPr>
          <w:color w:val="000000"/>
          <w:szCs w:val="22"/>
        </w:rPr>
        <w:t xml:space="preserve"> a</w:t>
      </w:r>
      <w:r w:rsidR="00CC60DF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bilirubínu</w:t>
      </w:r>
      <w:r w:rsidR="00CC60DF" w:rsidRPr="00817B48">
        <w:rPr>
          <w:color w:val="000000"/>
          <w:szCs w:val="22"/>
        </w:rPr>
        <w:t xml:space="preserve"> spolu s poklesom hladiny protrombínu</w:t>
      </w:r>
      <w:r w:rsidRPr="00817B48">
        <w:rPr>
          <w:color w:val="000000"/>
          <w:szCs w:val="22"/>
        </w:rPr>
        <w:t xml:space="preserve">; v 3. fáze (od 3. dňa) sa </w:t>
      </w:r>
      <w:r w:rsidR="00042E08" w:rsidRPr="00817B48">
        <w:rPr>
          <w:color w:val="000000"/>
          <w:szCs w:val="22"/>
        </w:rPr>
        <w:t>objavujú</w:t>
      </w:r>
      <w:r w:rsidRPr="00817B48">
        <w:rPr>
          <w:color w:val="000000"/>
          <w:szCs w:val="22"/>
        </w:rPr>
        <w:t xml:space="preserve"> vysoké hodnoty transamináz, ikterus, poruchy koagulácie, hypoglykémia, prechod do pečeňovej kómy.</w:t>
      </w:r>
    </w:p>
    <w:p w14:paraId="4F711F87" w14:textId="77777777" w:rsidR="00C761E7" w:rsidRPr="00817B48" w:rsidRDefault="00C761E7" w:rsidP="00817B48">
      <w:pPr>
        <w:ind w:left="0" w:firstLine="0"/>
        <w:rPr>
          <w:color w:val="000000"/>
          <w:szCs w:val="22"/>
        </w:rPr>
      </w:pPr>
    </w:p>
    <w:p w14:paraId="41D363F2" w14:textId="77777777" w:rsidR="00042E08" w:rsidRPr="00817B48" w:rsidRDefault="00042E08" w:rsidP="00817B48">
      <w:pPr>
        <w:ind w:left="0" w:firstLine="0"/>
        <w:rPr>
          <w:bCs/>
          <w:color w:val="000000"/>
          <w:szCs w:val="22"/>
          <w:u w:val="single"/>
        </w:rPr>
      </w:pPr>
      <w:r w:rsidRPr="00817B48">
        <w:rPr>
          <w:bCs/>
          <w:color w:val="000000"/>
          <w:szCs w:val="22"/>
          <w:u w:val="single"/>
        </w:rPr>
        <w:t>Liečba intoxikácie</w:t>
      </w:r>
    </w:p>
    <w:p w14:paraId="65AE15F3" w14:textId="77777777" w:rsidR="00042E08" w:rsidRPr="00817B48" w:rsidRDefault="00042E08" w:rsidP="00817B48">
      <w:pPr>
        <w:numPr>
          <w:ilvl w:val="0"/>
          <w:numId w:val="2"/>
        </w:numPr>
        <w:ind w:left="709" w:hanging="709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Počas prvých šiestich hodín sa odporúča urobiť celkové opatrenia, napr. podanie aktívneho uhlia, výplach žalúdka.</w:t>
      </w:r>
    </w:p>
    <w:p w14:paraId="628CFFB7" w14:textId="77777777" w:rsidR="00042E08" w:rsidRPr="00817B48" w:rsidRDefault="00042E08" w:rsidP="00817B48">
      <w:pPr>
        <w:numPr>
          <w:ilvl w:val="0"/>
          <w:numId w:val="2"/>
        </w:numPr>
        <w:ind w:left="709" w:hanging="709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Je vhodné opakované stanovenie plazmatickej koncentrácie paracetamolu a opakované vykonanie pečeňových testov.</w:t>
      </w:r>
    </w:p>
    <w:p w14:paraId="563AF3A9" w14:textId="77777777" w:rsidR="00042E08" w:rsidRPr="00817B48" w:rsidRDefault="00042E08" w:rsidP="00817B48">
      <w:pPr>
        <w:numPr>
          <w:ilvl w:val="0"/>
          <w:numId w:val="2"/>
        </w:numPr>
        <w:ind w:left="709" w:hanging="709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>dialýza môže viesť k zníženiu plazmatickej koncentrácie paracetamolu;</w:t>
      </w:r>
    </w:p>
    <w:p w14:paraId="2EA26E9E" w14:textId="77777777" w:rsidR="00042E08" w:rsidRPr="00817B48" w:rsidRDefault="00042E08" w:rsidP="00817B48">
      <w:pPr>
        <w:numPr>
          <w:ilvl w:val="0"/>
          <w:numId w:val="2"/>
        </w:numPr>
        <w:ind w:left="709" w:hanging="709"/>
        <w:rPr>
          <w:bCs/>
          <w:color w:val="000000"/>
          <w:szCs w:val="22"/>
        </w:rPr>
      </w:pPr>
      <w:r w:rsidRPr="00817B48">
        <w:rPr>
          <w:bCs/>
          <w:color w:val="000000"/>
          <w:szCs w:val="22"/>
        </w:rPr>
        <w:t xml:space="preserve">Vnútrožilové podanie donátorov SH-skupín, napr. </w:t>
      </w:r>
      <w:r w:rsidRPr="00817B48">
        <w:rPr>
          <w:color w:val="000000"/>
          <w:szCs w:val="22"/>
        </w:rPr>
        <w:t>merkaptamínu alebo N-acetylcysteínu, podľa možnosti v prvých 8 hodinách po intoxikácii, môže viazať cytotoxické metabolity.</w:t>
      </w:r>
    </w:p>
    <w:p w14:paraId="287A5D2B" w14:textId="77777777" w:rsidR="00042E08" w:rsidRPr="00817B48" w:rsidRDefault="00042E08" w:rsidP="00817B48">
      <w:pPr>
        <w:ind w:left="0" w:firstLine="0"/>
        <w:rPr>
          <w:color w:val="000000"/>
          <w:szCs w:val="22"/>
        </w:rPr>
      </w:pPr>
    </w:p>
    <w:p w14:paraId="7955162E" w14:textId="77777777" w:rsidR="00497214" w:rsidRPr="00817B48" w:rsidRDefault="00497214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Ďalšie možnosti terapie intoxikácie paracetamolom sa riadia rozsahom, štádiom a klinickými príznakmi v súlade s bežnými opatreniami intenzívnej starostlivosti.</w:t>
      </w:r>
    </w:p>
    <w:p w14:paraId="5040E190" w14:textId="77777777" w:rsidR="009871CB" w:rsidRPr="00817B48" w:rsidRDefault="009871CB" w:rsidP="00817B48">
      <w:pPr>
        <w:ind w:left="0" w:firstLine="0"/>
        <w:rPr>
          <w:i/>
          <w:color w:val="000000"/>
          <w:szCs w:val="22"/>
        </w:rPr>
      </w:pPr>
    </w:p>
    <w:p w14:paraId="641A3F15" w14:textId="77777777" w:rsidR="009871CB" w:rsidRPr="00817B48" w:rsidRDefault="009871CB" w:rsidP="00817B48">
      <w:pPr>
        <w:ind w:left="0" w:firstLine="0"/>
        <w:rPr>
          <w:i/>
          <w:color w:val="000000"/>
          <w:szCs w:val="22"/>
          <w:u w:val="single"/>
        </w:rPr>
      </w:pPr>
      <w:r w:rsidRPr="00817B48">
        <w:rPr>
          <w:i/>
          <w:color w:val="000000"/>
          <w:szCs w:val="22"/>
          <w:u w:val="single"/>
        </w:rPr>
        <w:t>Kodeín</w:t>
      </w:r>
    </w:p>
    <w:p w14:paraId="5DF2E670" w14:textId="77777777" w:rsidR="00497214" w:rsidRPr="00817B48" w:rsidRDefault="00497214" w:rsidP="00817B48">
      <w:pPr>
        <w:ind w:left="0" w:firstLine="0"/>
        <w:rPr>
          <w:i/>
          <w:color w:val="000000"/>
          <w:szCs w:val="22"/>
        </w:rPr>
      </w:pPr>
    </w:p>
    <w:p w14:paraId="4A7F4069" w14:textId="77777777" w:rsidR="00497214" w:rsidRPr="00817B48" w:rsidRDefault="00497214" w:rsidP="00817B48">
      <w:pPr>
        <w:ind w:left="0" w:firstLine="0"/>
        <w:rPr>
          <w:color w:val="000000"/>
          <w:szCs w:val="22"/>
        </w:rPr>
      </w:pPr>
      <w:r w:rsidRPr="00817B48">
        <w:rPr>
          <w:bCs/>
          <w:color w:val="000000"/>
          <w:szCs w:val="22"/>
          <w:u w:val="single"/>
        </w:rPr>
        <w:t>Príznaky intoxikácie</w:t>
      </w:r>
    </w:p>
    <w:p w14:paraId="0ED6E14D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Typickým príznakom predávkovania kodeínom je extrémny útlm dychových funkcií. Príznaky sú do značnej miery zhodné s príznakmi otravy morfínom a sú charakterizované extrémnou somnolenciou až kómou a väčšinou sú spojené s miózou, často s</w:t>
      </w:r>
      <w:r w:rsidR="00497214" w:rsidRPr="00817B48">
        <w:rPr>
          <w:color w:val="000000"/>
          <w:szCs w:val="22"/>
        </w:rPr>
        <w:t xml:space="preserve"> nevoľnosťou, </w:t>
      </w:r>
      <w:r w:rsidRPr="00817B48">
        <w:rPr>
          <w:color w:val="000000"/>
          <w:szCs w:val="22"/>
        </w:rPr>
        <w:t>vracaním, bolesťami hlavy,</w:t>
      </w:r>
      <w:r w:rsidR="00497214" w:rsidRPr="00817B48">
        <w:rPr>
          <w:color w:val="000000"/>
          <w:szCs w:val="22"/>
        </w:rPr>
        <w:t xml:space="preserve"> stratou chuti do jedla,</w:t>
      </w:r>
      <w:r w:rsidRPr="00817B48">
        <w:rPr>
          <w:color w:val="000000"/>
          <w:szCs w:val="22"/>
        </w:rPr>
        <w:t xml:space="preserve"> retenciou moču a stolice. Vyskytuje sa cyanóza, hypoxia, chladná pokožka, strata svalového tonusu kostrového svalstva a areflexia, niekedy bradykardia a pokles krvného tlaku; občas cerebrálne kŕče, predovšetkým u detí.</w:t>
      </w:r>
    </w:p>
    <w:p w14:paraId="648E02B0" w14:textId="77777777" w:rsidR="00497214" w:rsidRPr="00817B48" w:rsidRDefault="00497214" w:rsidP="00817B48">
      <w:pPr>
        <w:ind w:left="0" w:firstLine="0"/>
        <w:rPr>
          <w:color w:val="000000"/>
          <w:szCs w:val="22"/>
        </w:rPr>
      </w:pPr>
    </w:p>
    <w:p w14:paraId="370A1139" w14:textId="77777777" w:rsidR="00497214" w:rsidRPr="00817B48" w:rsidRDefault="00497214" w:rsidP="00817B48">
      <w:pPr>
        <w:ind w:left="0" w:firstLine="0"/>
        <w:rPr>
          <w:color w:val="000000"/>
          <w:szCs w:val="22"/>
        </w:rPr>
      </w:pPr>
      <w:r w:rsidRPr="00817B48">
        <w:rPr>
          <w:bCs/>
          <w:color w:val="000000"/>
          <w:szCs w:val="22"/>
          <w:u w:val="single"/>
        </w:rPr>
        <w:t>Liečba intoxikácie</w:t>
      </w:r>
    </w:p>
    <w:p w14:paraId="18439824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Pri dávkach vyšších ako 2 mg kodeínu/kg telesnej hmotnosti a pri rozvoji klinických príznakov sa majú monitorovať dychové funkcie až do odznenia príznakov s pripravenosťou resuscitovať</w:t>
      </w:r>
      <w:r w:rsidR="00497214" w:rsidRPr="00817B48">
        <w:rPr>
          <w:color w:val="000000"/>
          <w:szCs w:val="22"/>
        </w:rPr>
        <w:t>,</w:t>
      </w:r>
      <w:r w:rsidRPr="00817B48">
        <w:rPr>
          <w:color w:val="000000"/>
          <w:szCs w:val="22"/>
        </w:rPr>
        <w:t xml:space="preserve"> pri absencii príznakov najmenej počas 5 hodín od požitia. </w:t>
      </w:r>
    </w:p>
    <w:p w14:paraId="74306E26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</w:p>
    <w:p w14:paraId="00FE962E" w14:textId="052CCBE2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Zrušenie účinku kodeínu pri manifestnej depresii dýchania je možné dosiahnuť </w:t>
      </w:r>
      <w:r w:rsidR="0041195A" w:rsidRPr="00817B48">
        <w:rPr>
          <w:color w:val="000000"/>
          <w:szCs w:val="22"/>
        </w:rPr>
        <w:t>o</w:t>
      </w:r>
      <w:r w:rsidR="00497214" w:rsidRPr="00817B48">
        <w:rPr>
          <w:color w:val="000000"/>
          <w:szCs w:val="22"/>
        </w:rPr>
        <w:t>pioidným</w:t>
      </w:r>
      <w:r w:rsidRPr="00817B48">
        <w:rPr>
          <w:color w:val="000000"/>
          <w:szCs w:val="22"/>
        </w:rPr>
        <w:t xml:space="preserve"> antagonistom, napr. naloxónom. Trvanie účinku kodeínu je dlhšie než trvanie účinku naloxónu. Ak nevedie podanie naloxónu k požadovanému účinku, je potrebné zvážiť, či je diagnóza intoxikácie </w:t>
      </w:r>
      <w:r w:rsidR="0041195A" w:rsidRPr="00817B48">
        <w:rPr>
          <w:color w:val="000000"/>
          <w:szCs w:val="22"/>
        </w:rPr>
        <w:t>o</w:t>
      </w:r>
      <w:r w:rsidRPr="00817B48">
        <w:rPr>
          <w:color w:val="000000"/>
          <w:szCs w:val="22"/>
        </w:rPr>
        <w:t>pi</w:t>
      </w:r>
      <w:r w:rsidR="00497214" w:rsidRPr="00817B48">
        <w:rPr>
          <w:color w:val="000000"/>
          <w:szCs w:val="22"/>
        </w:rPr>
        <w:t>oidmi</w:t>
      </w:r>
      <w:r w:rsidRPr="00817B48">
        <w:rPr>
          <w:color w:val="000000"/>
          <w:szCs w:val="22"/>
        </w:rPr>
        <w:t xml:space="preserve"> správna.</w:t>
      </w:r>
    </w:p>
    <w:p w14:paraId="41D40541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</w:p>
    <w:p w14:paraId="7DDA5E56" w14:textId="77777777" w:rsidR="009871CB" w:rsidRPr="00817B48" w:rsidRDefault="009871CB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Ak nie je možné použiť naloxón, sú indikované symptomatické opatrenia, predovšetkým uloženie postihnutého do stabilizovanej polohy na boku, umelé dýchanie a liečba šoku.</w:t>
      </w:r>
    </w:p>
    <w:p w14:paraId="3D61F8BC" w14:textId="77777777" w:rsidR="009871CB" w:rsidRPr="00817B48" w:rsidRDefault="009871CB" w:rsidP="00817B48">
      <w:pPr>
        <w:rPr>
          <w:color w:val="000000"/>
          <w:szCs w:val="22"/>
        </w:rPr>
      </w:pPr>
    </w:p>
    <w:p w14:paraId="729028EC" w14:textId="77777777" w:rsidR="00F45C34" w:rsidRPr="00817B48" w:rsidRDefault="00F45C34" w:rsidP="00817B48">
      <w:pPr>
        <w:rPr>
          <w:color w:val="000000"/>
          <w:szCs w:val="22"/>
        </w:rPr>
      </w:pPr>
    </w:p>
    <w:p w14:paraId="1F7EE3C4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5.</w:t>
      </w:r>
      <w:r w:rsidRPr="00817B48">
        <w:rPr>
          <w:b/>
          <w:color w:val="000000"/>
          <w:szCs w:val="22"/>
        </w:rPr>
        <w:tab/>
        <w:t>FARMAKOLOGICKÉ VLASTNOSTI</w:t>
      </w:r>
    </w:p>
    <w:p w14:paraId="61F49DC2" w14:textId="77777777" w:rsidR="00F45C34" w:rsidRPr="00817B48" w:rsidRDefault="00F45C34" w:rsidP="00817B48">
      <w:pPr>
        <w:rPr>
          <w:color w:val="000000"/>
          <w:szCs w:val="22"/>
        </w:rPr>
      </w:pPr>
    </w:p>
    <w:p w14:paraId="0055073A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5.1</w:t>
      </w:r>
      <w:r w:rsidRPr="00817B48">
        <w:rPr>
          <w:b/>
          <w:color w:val="000000"/>
          <w:szCs w:val="22"/>
        </w:rPr>
        <w:tab/>
        <w:t>Farmakodynamické vlastnosti</w:t>
      </w:r>
    </w:p>
    <w:p w14:paraId="5902F730" w14:textId="77777777" w:rsidR="00F45C34" w:rsidRPr="00817B48" w:rsidRDefault="00F45C34" w:rsidP="00817B48">
      <w:pPr>
        <w:rPr>
          <w:color w:val="000000"/>
          <w:szCs w:val="22"/>
        </w:rPr>
      </w:pPr>
    </w:p>
    <w:p w14:paraId="61D1D257" w14:textId="792B6BA1" w:rsidR="00F45C34" w:rsidRPr="00817B48" w:rsidRDefault="00F45C34" w:rsidP="00817B48">
      <w:pPr>
        <w:ind w:left="0" w:firstLine="0"/>
        <w:outlineLvl w:val="0"/>
        <w:rPr>
          <w:color w:val="000000"/>
          <w:szCs w:val="22"/>
        </w:rPr>
      </w:pPr>
      <w:r w:rsidRPr="00817B48">
        <w:rPr>
          <w:color w:val="000000"/>
          <w:szCs w:val="22"/>
        </w:rPr>
        <w:t>Farmakot</w:t>
      </w:r>
      <w:r w:rsidR="00D90957" w:rsidRPr="00817B48">
        <w:rPr>
          <w:color w:val="000000"/>
          <w:szCs w:val="22"/>
        </w:rPr>
        <w:t>erapeutická skupina: analgetik</w:t>
      </w:r>
      <w:r w:rsidR="006A411C" w:rsidRPr="00817B48">
        <w:rPr>
          <w:color w:val="000000"/>
          <w:szCs w:val="22"/>
        </w:rPr>
        <w:t>á</w:t>
      </w:r>
      <w:r w:rsidR="00D90957" w:rsidRPr="00817B48">
        <w:rPr>
          <w:color w:val="000000"/>
          <w:szCs w:val="22"/>
        </w:rPr>
        <w:t xml:space="preserve">, </w:t>
      </w:r>
      <w:r w:rsidR="006A411C" w:rsidRPr="00817B48">
        <w:rPr>
          <w:color w:val="000000"/>
          <w:szCs w:val="22"/>
        </w:rPr>
        <w:t>prírodné ópiové alkaloidy</w:t>
      </w:r>
      <w:r w:rsidR="00BE5299" w:rsidRPr="00817B48">
        <w:rPr>
          <w:color w:val="000000"/>
          <w:szCs w:val="22"/>
        </w:rPr>
        <w:t xml:space="preserve">, </w:t>
      </w:r>
      <w:r w:rsidRPr="00817B48">
        <w:rPr>
          <w:color w:val="000000"/>
          <w:szCs w:val="22"/>
        </w:rPr>
        <w:t xml:space="preserve">ATC kód: </w:t>
      </w:r>
      <w:r w:rsidR="00D90957" w:rsidRPr="00817B48">
        <w:rPr>
          <w:color w:val="000000"/>
          <w:szCs w:val="22"/>
        </w:rPr>
        <w:t>N02AA59</w:t>
      </w:r>
    </w:p>
    <w:p w14:paraId="497F3D08" w14:textId="77777777" w:rsidR="00D90957" w:rsidRPr="00817B48" w:rsidRDefault="00D90957" w:rsidP="00817B48">
      <w:pPr>
        <w:outlineLvl w:val="0"/>
        <w:rPr>
          <w:color w:val="000000"/>
          <w:szCs w:val="22"/>
        </w:rPr>
      </w:pPr>
    </w:p>
    <w:p w14:paraId="31552530" w14:textId="77777777" w:rsidR="00D90957" w:rsidRPr="00817B48" w:rsidRDefault="00D90957" w:rsidP="00817B48">
      <w:pPr>
        <w:ind w:left="0" w:firstLine="0"/>
        <w:outlineLvl w:val="0"/>
        <w:rPr>
          <w:color w:val="000000"/>
          <w:szCs w:val="22"/>
        </w:rPr>
      </w:pPr>
      <w:r w:rsidRPr="00817B48">
        <w:rPr>
          <w:color w:val="000000"/>
          <w:szCs w:val="22"/>
        </w:rPr>
        <w:t>Paracetamol je analgeticky a antipyreticky účinná látka. Mechanizmus účinku nie je jednoznačne objasnený. Bolo preukázané, že paracetamol vedie k výrazne vyššiemu útlmu centrálnej než periférnej syntéz</w:t>
      </w:r>
      <w:r w:rsidR="00A06F3F" w:rsidRPr="00817B48">
        <w:rPr>
          <w:color w:val="000000"/>
          <w:szCs w:val="22"/>
        </w:rPr>
        <w:t>y</w:t>
      </w:r>
      <w:r w:rsidRPr="00817B48">
        <w:rPr>
          <w:color w:val="000000"/>
          <w:szCs w:val="22"/>
        </w:rPr>
        <w:t xml:space="preserve"> prostaglandínov. </w:t>
      </w:r>
      <w:r w:rsidR="009A04A6" w:rsidRPr="00817B48">
        <w:rPr>
          <w:color w:val="000000"/>
          <w:szCs w:val="22"/>
        </w:rPr>
        <w:t>Ďalší účinok spočíva v oslabení pôsobenia endogénnych pyrogénov na termoregulačné centrum v hypotalame,</w:t>
      </w:r>
      <w:r w:rsidRPr="00817B48">
        <w:rPr>
          <w:color w:val="000000"/>
          <w:szCs w:val="22"/>
        </w:rPr>
        <w:t xml:space="preserve"> </w:t>
      </w:r>
      <w:r w:rsidR="00236668" w:rsidRPr="00817B48">
        <w:rPr>
          <w:color w:val="000000"/>
          <w:szCs w:val="22"/>
        </w:rPr>
        <w:t xml:space="preserve">čo </w:t>
      </w:r>
      <w:r w:rsidRPr="00817B48">
        <w:rPr>
          <w:color w:val="000000"/>
          <w:szCs w:val="22"/>
        </w:rPr>
        <w:t>korel</w:t>
      </w:r>
      <w:r w:rsidR="00236668" w:rsidRPr="00817B48">
        <w:rPr>
          <w:color w:val="000000"/>
          <w:szCs w:val="22"/>
        </w:rPr>
        <w:t>uje s jeho</w:t>
      </w:r>
      <w:r w:rsidRPr="00817B48">
        <w:rPr>
          <w:color w:val="000000"/>
          <w:szCs w:val="22"/>
        </w:rPr>
        <w:t xml:space="preserve"> antipyretick</w:t>
      </w:r>
      <w:r w:rsidR="00236668" w:rsidRPr="00817B48">
        <w:rPr>
          <w:color w:val="000000"/>
          <w:szCs w:val="22"/>
        </w:rPr>
        <w:t>ým</w:t>
      </w:r>
      <w:r w:rsidRPr="00817B48">
        <w:rPr>
          <w:color w:val="000000"/>
          <w:szCs w:val="22"/>
        </w:rPr>
        <w:t xml:space="preserve"> účink</w:t>
      </w:r>
      <w:r w:rsidR="00236668" w:rsidRPr="00817B48">
        <w:rPr>
          <w:color w:val="000000"/>
          <w:szCs w:val="22"/>
        </w:rPr>
        <w:t>om</w:t>
      </w:r>
      <w:r w:rsidRPr="00817B48">
        <w:rPr>
          <w:color w:val="000000"/>
          <w:szCs w:val="22"/>
        </w:rPr>
        <w:t>.</w:t>
      </w:r>
    </w:p>
    <w:p w14:paraId="2A806EA4" w14:textId="77777777" w:rsidR="00D90957" w:rsidRPr="00817B48" w:rsidRDefault="00D90957" w:rsidP="00817B48">
      <w:pPr>
        <w:ind w:left="0" w:firstLine="0"/>
        <w:outlineLvl w:val="0"/>
        <w:rPr>
          <w:color w:val="000000"/>
          <w:szCs w:val="22"/>
        </w:rPr>
      </w:pPr>
    </w:p>
    <w:p w14:paraId="1C215901" w14:textId="77777777" w:rsidR="006E114D" w:rsidRPr="00817B48" w:rsidRDefault="006E114D" w:rsidP="00817B48">
      <w:pPr>
        <w:ind w:left="0" w:firstLine="0"/>
        <w:outlineLvl w:val="0"/>
        <w:rPr>
          <w:color w:val="000000"/>
          <w:szCs w:val="22"/>
        </w:rPr>
      </w:pPr>
      <w:r w:rsidRPr="00817B48">
        <w:rPr>
          <w:color w:val="000000"/>
          <w:szCs w:val="22"/>
        </w:rPr>
        <w:t>Kodeín je centrálne pôsobiace slabé analgetikum. Kodeín pôsobí prostredníctvom μ</w:t>
      </w:r>
      <w:r w:rsidR="00DF2A54" w:rsidRPr="00817B48">
        <w:rPr>
          <w:color w:val="000000"/>
          <w:szCs w:val="22"/>
        </w:rPr>
        <w:t>-</w:t>
      </w:r>
      <w:r w:rsidRPr="00817B48">
        <w:rPr>
          <w:color w:val="000000"/>
          <w:szCs w:val="22"/>
        </w:rPr>
        <w:t>opiátových receptorov, avšak má nízku afinitu k týmto receptorom a jeho analgetický účinok je umožnený premenou na morfín. U kodeínu, najmä v kombinácii s inými analgetikami ako je paracetamol, bol preukázaný účinok na akútnu nociceptívnu bolesť.</w:t>
      </w:r>
    </w:p>
    <w:p w14:paraId="46604385" w14:textId="77777777" w:rsidR="00D90957" w:rsidRPr="00817B48" w:rsidRDefault="00D90957" w:rsidP="00817B48">
      <w:pPr>
        <w:ind w:left="0" w:firstLine="0"/>
        <w:outlineLvl w:val="0"/>
        <w:rPr>
          <w:color w:val="000000"/>
          <w:szCs w:val="22"/>
        </w:rPr>
      </w:pPr>
    </w:p>
    <w:p w14:paraId="760B1C15" w14:textId="77777777" w:rsidR="00D90957" w:rsidRPr="00817B48" w:rsidRDefault="00D90957" w:rsidP="00817B48">
      <w:pPr>
        <w:ind w:left="0" w:firstLine="0"/>
        <w:outlineLvl w:val="0"/>
        <w:rPr>
          <w:color w:val="000000"/>
          <w:szCs w:val="22"/>
        </w:rPr>
      </w:pPr>
      <w:r w:rsidRPr="00817B48">
        <w:rPr>
          <w:color w:val="000000"/>
          <w:szCs w:val="22"/>
        </w:rPr>
        <w:t>Kombinácia paracetamolu a kodeínu sa v klinických štúdiách porovnávala s rôznymi analgetikami a placebom. Fixná kombinácia bola vo všetkých prípadoch štatisticky významne účinnejšia ako placebo. Niektoré štúdie naznačujú, že analgetická účinnosť kombinácie je pri zvýšení dávok oboch zložiek vyššia než analgetická účinnosť jednotlivých liečiv v monoterapii, za predpokladu, že nie je prekročená rozumná miera rizika.</w:t>
      </w:r>
    </w:p>
    <w:p w14:paraId="23413882" w14:textId="77777777" w:rsidR="00D90957" w:rsidRPr="00817B48" w:rsidRDefault="00D90957" w:rsidP="00817B48">
      <w:pPr>
        <w:outlineLvl w:val="0"/>
        <w:rPr>
          <w:color w:val="000000"/>
          <w:szCs w:val="22"/>
        </w:rPr>
      </w:pPr>
    </w:p>
    <w:p w14:paraId="182195D7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5.2</w:t>
      </w:r>
      <w:r w:rsidRPr="00817B48">
        <w:rPr>
          <w:b/>
          <w:color w:val="000000"/>
          <w:szCs w:val="22"/>
        </w:rPr>
        <w:tab/>
        <w:t>Farmakokinetické vlastnosti</w:t>
      </w:r>
    </w:p>
    <w:p w14:paraId="5B7E1EF0" w14:textId="77777777" w:rsidR="00F45C34" w:rsidRPr="00817B48" w:rsidRDefault="00F45C34" w:rsidP="00817B48">
      <w:pPr>
        <w:rPr>
          <w:color w:val="000000"/>
          <w:szCs w:val="22"/>
        </w:rPr>
      </w:pPr>
    </w:p>
    <w:p w14:paraId="1075C21E" w14:textId="77777777" w:rsidR="002833F6" w:rsidRPr="00817B48" w:rsidRDefault="002833F6" w:rsidP="00817B48">
      <w:pPr>
        <w:ind w:left="0" w:firstLine="0"/>
        <w:rPr>
          <w:color w:val="000000"/>
          <w:szCs w:val="22"/>
          <w:u w:val="single"/>
        </w:rPr>
      </w:pPr>
      <w:r w:rsidRPr="00817B48">
        <w:rPr>
          <w:color w:val="000000"/>
          <w:szCs w:val="22"/>
          <w:u w:val="single"/>
        </w:rPr>
        <w:t xml:space="preserve">Paracetamol </w:t>
      </w:r>
    </w:p>
    <w:p w14:paraId="10A4C614" w14:textId="77777777" w:rsidR="00D90957" w:rsidRPr="00817B48" w:rsidRDefault="002833F6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U ľudí dochádza p</w:t>
      </w:r>
      <w:r w:rsidR="00D90957" w:rsidRPr="00817B48">
        <w:rPr>
          <w:color w:val="000000"/>
          <w:szCs w:val="22"/>
        </w:rPr>
        <w:t xml:space="preserve">o perorálnom podaní paracetamolu k jeho rýchlej </w:t>
      </w:r>
      <w:r w:rsidR="00DD53AC" w:rsidRPr="00817B48">
        <w:rPr>
          <w:color w:val="000000"/>
          <w:szCs w:val="22"/>
        </w:rPr>
        <w:t>(</w:t>
      </w:r>
      <w:r w:rsidR="00D90957" w:rsidRPr="00817B48">
        <w:rPr>
          <w:color w:val="000000"/>
          <w:szCs w:val="22"/>
        </w:rPr>
        <w:t>maximálne koncentrácie v</w:t>
      </w:r>
      <w:r w:rsidR="00F940A8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sére</w:t>
      </w:r>
      <w:r w:rsidR="00F940A8" w:rsidRPr="00817B48">
        <w:rPr>
          <w:color w:val="000000"/>
          <w:szCs w:val="22"/>
        </w:rPr>
        <w:t xml:space="preserve"> sú dosiahnuté za 0,5 – 1,5 hodiny</w:t>
      </w:r>
      <w:r w:rsidR="00D90957" w:rsidRPr="00817B48">
        <w:rPr>
          <w:color w:val="000000"/>
          <w:szCs w:val="22"/>
        </w:rPr>
        <w:t xml:space="preserve">) a úplnej </w:t>
      </w:r>
      <w:r w:rsidRPr="00817B48">
        <w:rPr>
          <w:color w:val="000000"/>
          <w:szCs w:val="22"/>
        </w:rPr>
        <w:t>ab</w:t>
      </w:r>
      <w:r w:rsidR="00D90957" w:rsidRPr="00817B48">
        <w:rPr>
          <w:color w:val="000000"/>
          <w:szCs w:val="22"/>
        </w:rPr>
        <w:t>sorpcii. Absolútna biolog</w:t>
      </w:r>
      <w:r w:rsidR="00DD53AC" w:rsidRPr="00817B48">
        <w:rPr>
          <w:color w:val="000000"/>
          <w:szCs w:val="22"/>
        </w:rPr>
        <w:t>ická dostupnosť je medzi 65</w:t>
      </w:r>
      <w:r w:rsidR="009F736A" w:rsidRPr="00817B48">
        <w:rPr>
          <w:color w:val="000000"/>
          <w:szCs w:val="22"/>
        </w:rPr>
        <w:t> </w:t>
      </w:r>
      <w:r w:rsidR="00DD53AC" w:rsidRPr="00817B48">
        <w:rPr>
          <w:color w:val="000000"/>
          <w:szCs w:val="22"/>
        </w:rPr>
        <w:t>a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89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%. To poukazuje na 20 až 40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% efekt prvej pasáže. Užívanie nalačno je spojené so zvýšeným vstrebávaním, nemá však žiadny vplyv na biologickú dostupnosť. Pri súčasnom príjme potravy dochádza k zníženému vstrebávaniu paracetamolu a významnému poklesu jeho hladiny v plazme. Väzba na bielkoviny plazmy je nízka, môže sa však zvýšiť pri predávkovaní, úplne výnimočne však na viac než 50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%. Enzymatický metabolizmus prebieha najmä v pečeni, predovšetkým priamou konjugáciou s kyselinou glukurónovou a sírovou (55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%, resp. 35</w:t>
      </w:r>
      <w:r w:rsidR="00DF2A54" w:rsidRPr="00817B48">
        <w:rPr>
          <w:color w:val="000000"/>
          <w:szCs w:val="22"/>
        </w:rPr>
        <w:t> </w:t>
      </w:r>
      <w:r w:rsidR="00D90957" w:rsidRPr="00817B48">
        <w:rPr>
          <w:color w:val="000000"/>
          <w:szCs w:val="22"/>
        </w:rPr>
        <w:t>%). Vzniká malé množstvo p-aminofenolu a N-hydroxy-derivátu, ktoré sa konvertujú na chinón-imíny netoxické pre tkanivá. Tieto sa v závislosti od dávky viažu na glutatión.</w:t>
      </w:r>
    </w:p>
    <w:p w14:paraId="1C4FA431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365AA4BF" w14:textId="11CCE8EA" w:rsidR="00D90957" w:rsidRPr="00817B48" w:rsidRDefault="00D9095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Metabolity sa vylučujú obličkami. Menej ako 5 % dávky sa vylúči v nezmenenej forme. Celkový klírens je približne 350 ml/min. Polčas eliminácie z plazmy je 1,5 – 2,5 hodiny. K úplnému vylúčeniu dôjde v priebehu 24 hodín. Maximum účinku a priemerné trvanie účinku (4 – 6 hodín) približne korelujú s plazmatickou koncentráciou. Paracetamol prechádza placentárnou bariérou a prechádza do materského mlieka. Pri podaní jednej dávky 650 mg bola v mlieku nameraná priemerná koncentrácia 11</w:t>
      </w:r>
      <w:r w:rsidR="00E42CAD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sym w:font="Symbol" w:char="F06D"/>
      </w:r>
      <w:r w:rsidRPr="00817B48">
        <w:rPr>
          <w:color w:val="000000"/>
          <w:szCs w:val="22"/>
        </w:rPr>
        <w:t>g/ml. U osôb starších ako 65 rokov dochádza k významnému zníženiu plazmatického klírensu kreatinínu.</w:t>
      </w:r>
    </w:p>
    <w:p w14:paraId="4E6F0F06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15A038A4" w14:textId="77777777" w:rsidR="00F940A8" w:rsidRPr="00817B48" w:rsidRDefault="00F940A8" w:rsidP="00817B48">
      <w:pPr>
        <w:ind w:left="0" w:firstLine="0"/>
        <w:rPr>
          <w:color w:val="000000"/>
          <w:szCs w:val="22"/>
          <w:u w:val="single"/>
        </w:rPr>
      </w:pPr>
      <w:r w:rsidRPr="00817B48">
        <w:rPr>
          <w:color w:val="000000"/>
          <w:szCs w:val="22"/>
          <w:u w:val="single"/>
        </w:rPr>
        <w:t>Kodeín</w:t>
      </w:r>
    </w:p>
    <w:p w14:paraId="3EA9AECA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Perorálne podaný kodeín sa rýchlo </w:t>
      </w:r>
      <w:r w:rsidR="00F940A8" w:rsidRPr="00817B48">
        <w:rPr>
          <w:color w:val="000000"/>
          <w:szCs w:val="22"/>
        </w:rPr>
        <w:t>ab</w:t>
      </w:r>
      <w:r w:rsidRPr="00817B48">
        <w:rPr>
          <w:color w:val="000000"/>
          <w:szCs w:val="22"/>
        </w:rPr>
        <w:t xml:space="preserve">sorbuje. </w:t>
      </w:r>
      <w:r w:rsidR="00F940A8" w:rsidRPr="00817B48">
        <w:rPr>
          <w:color w:val="000000"/>
          <w:szCs w:val="22"/>
        </w:rPr>
        <w:t>Relatívna b</w:t>
      </w:r>
      <w:r w:rsidRPr="00817B48">
        <w:rPr>
          <w:color w:val="000000"/>
          <w:szCs w:val="22"/>
        </w:rPr>
        <w:t>iologická dos</w:t>
      </w:r>
      <w:r w:rsidR="00D8022C" w:rsidRPr="00817B48">
        <w:rPr>
          <w:color w:val="000000"/>
          <w:szCs w:val="22"/>
        </w:rPr>
        <w:t>tupnosť po perorálnom podaní (v </w:t>
      </w:r>
      <w:r w:rsidRPr="00817B48">
        <w:rPr>
          <w:color w:val="000000"/>
          <w:szCs w:val="22"/>
        </w:rPr>
        <w:t xml:space="preserve">porovnaní s dávkou podanou intramuskulárne) je na základe výrazného účinku prvej pasáže v pečeni len cca 54 %. Maximálne plazmatické koncentrácie sa dosiahnu približne po 1 hodine. Väzba na bielkoviny plazmy je 25 – 30 %. </w:t>
      </w:r>
    </w:p>
    <w:p w14:paraId="0EA3529A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2AA4A1E8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Kodeín prestupuje do krvného obehu plodu. V materskom mlieku je po užití vysokých dávok dosiahnutá farmakologicky významná koncentrácia. Metabolizmus prebieha v pečeni (značná interindividuálna variabilita).</w:t>
      </w:r>
    </w:p>
    <w:p w14:paraId="08E41175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307E769E" w14:textId="77777777" w:rsidR="00D90957" w:rsidRPr="00817B48" w:rsidRDefault="00E15A3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Kodeín je metabolizovaný hlavne glukuronid</w:t>
      </w:r>
      <w:r w:rsidR="00416B06" w:rsidRPr="00817B48">
        <w:rPr>
          <w:color w:val="000000"/>
          <w:szCs w:val="22"/>
        </w:rPr>
        <w:t>á</w:t>
      </w:r>
      <w:r w:rsidRPr="00817B48">
        <w:rPr>
          <w:color w:val="000000"/>
          <w:szCs w:val="22"/>
        </w:rPr>
        <w:t>ciou na kodeín-6-glukuronid. Vedľajšie cesty metabolizácie zahŕňajú O-demetyláciu, ktorá vedie k morfínu, N-demetyláci</w:t>
      </w:r>
      <w:r w:rsidR="00416B06" w:rsidRPr="00817B48">
        <w:rPr>
          <w:color w:val="000000"/>
          <w:szCs w:val="22"/>
        </w:rPr>
        <w:t>u</w:t>
      </w:r>
      <w:r w:rsidRPr="00817B48">
        <w:rPr>
          <w:color w:val="000000"/>
          <w:szCs w:val="22"/>
        </w:rPr>
        <w:t xml:space="preserve">, ktorá vedie </w:t>
      </w:r>
      <w:r w:rsidRPr="00817B48">
        <w:rPr>
          <w:color w:val="000000"/>
          <w:szCs w:val="22"/>
        </w:rPr>
        <w:lastRenderedPageBreak/>
        <w:t xml:space="preserve">k norkodeinu </w:t>
      </w:r>
      <w:r w:rsidR="00416B06" w:rsidRPr="00817B48">
        <w:rPr>
          <w:color w:val="000000"/>
          <w:szCs w:val="22"/>
        </w:rPr>
        <w:t>a O-demetyláciu</w:t>
      </w:r>
      <w:r w:rsidRPr="00817B48">
        <w:rPr>
          <w:color w:val="000000"/>
          <w:szCs w:val="22"/>
        </w:rPr>
        <w:t xml:space="preserve"> s N-demetyláci</w:t>
      </w:r>
      <w:r w:rsidR="00416B06" w:rsidRPr="00817B48">
        <w:rPr>
          <w:color w:val="000000"/>
          <w:szCs w:val="22"/>
        </w:rPr>
        <w:t>u</w:t>
      </w:r>
      <w:r w:rsidRPr="00817B48">
        <w:rPr>
          <w:color w:val="000000"/>
          <w:szCs w:val="22"/>
        </w:rPr>
        <w:t>, čo vedie k normorfínu. Morfín a norkodeín sa ďalej premieňajú na glukurokonjugáty.</w:t>
      </w:r>
      <w:r w:rsidR="00D90957" w:rsidRPr="00817B48">
        <w:rPr>
          <w:color w:val="000000"/>
          <w:szCs w:val="22"/>
        </w:rPr>
        <w:t xml:space="preserve"> Polčas eliminácie </w:t>
      </w:r>
      <w:r w:rsidRPr="00817B48">
        <w:rPr>
          <w:color w:val="000000"/>
          <w:szCs w:val="22"/>
        </w:rPr>
        <w:t xml:space="preserve">je </w:t>
      </w:r>
      <w:r w:rsidR="00D90957" w:rsidRPr="00817B48">
        <w:rPr>
          <w:color w:val="000000"/>
          <w:szCs w:val="22"/>
        </w:rPr>
        <w:t>3 – 5 hodín</w:t>
      </w:r>
      <w:r w:rsidRPr="00817B48">
        <w:rPr>
          <w:color w:val="000000"/>
          <w:szCs w:val="22"/>
        </w:rPr>
        <w:t>,</w:t>
      </w:r>
      <w:r w:rsidR="00D90957" w:rsidRPr="00817B48">
        <w:rPr>
          <w:color w:val="000000"/>
          <w:szCs w:val="22"/>
        </w:rPr>
        <w:t xml:space="preserve"> pri renálnej insuficiencii </w:t>
      </w:r>
      <w:r w:rsidRPr="00817B48">
        <w:rPr>
          <w:color w:val="000000"/>
          <w:szCs w:val="22"/>
        </w:rPr>
        <w:t xml:space="preserve">sa </w:t>
      </w:r>
      <w:r w:rsidR="00D90957" w:rsidRPr="00817B48">
        <w:rPr>
          <w:color w:val="000000"/>
          <w:szCs w:val="22"/>
        </w:rPr>
        <w:t xml:space="preserve">predlžuje na 9 – 18 hodín, a je </w:t>
      </w:r>
      <w:r w:rsidRPr="00817B48">
        <w:rPr>
          <w:color w:val="000000"/>
          <w:szCs w:val="22"/>
        </w:rPr>
        <w:t xml:space="preserve">tiež </w:t>
      </w:r>
      <w:r w:rsidR="00D90957" w:rsidRPr="00817B48">
        <w:rPr>
          <w:color w:val="000000"/>
          <w:szCs w:val="22"/>
        </w:rPr>
        <w:t xml:space="preserve">pomalší u starších osôb. </w:t>
      </w:r>
      <w:r w:rsidR="004961D5" w:rsidRPr="00817B48">
        <w:rPr>
          <w:color w:val="000000"/>
          <w:szCs w:val="22"/>
        </w:rPr>
        <w:t>Nezmenený kodeín (približne 10 % kodeínu ) a jeho metabolity sú vylučované prevažne močom v priebehu 48 hodín (84,4</w:t>
      </w:r>
      <w:r w:rsidR="009F736A" w:rsidRPr="00817B48">
        <w:rPr>
          <w:color w:val="000000"/>
          <w:szCs w:val="22"/>
        </w:rPr>
        <w:t xml:space="preserve"> </w:t>
      </w:r>
      <w:r w:rsidR="004961D5" w:rsidRPr="00817B48">
        <w:rPr>
          <w:color w:val="000000"/>
          <w:szCs w:val="22"/>
        </w:rPr>
        <w:t>±</w:t>
      </w:r>
      <w:r w:rsidR="009F736A" w:rsidRPr="00817B48">
        <w:rPr>
          <w:color w:val="000000"/>
          <w:szCs w:val="22"/>
        </w:rPr>
        <w:t xml:space="preserve"> </w:t>
      </w:r>
      <w:r w:rsidR="004961D5" w:rsidRPr="00817B48">
        <w:rPr>
          <w:color w:val="000000"/>
          <w:szCs w:val="22"/>
        </w:rPr>
        <w:t xml:space="preserve">15,9 %). O-demetylácia kodeínu na morfín je katalyzovaná </w:t>
      </w:r>
      <w:r w:rsidR="002E685E" w:rsidRPr="00817B48">
        <w:rPr>
          <w:color w:val="000000"/>
          <w:szCs w:val="22"/>
        </w:rPr>
        <w:t xml:space="preserve">izoenzýmami </w:t>
      </w:r>
      <w:r w:rsidR="004961D5" w:rsidRPr="00817B48">
        <w:rPr>
          <w:color w:val="000000"/>
          <w:szCs w:val="22"/>
        </w:rPr>
        <w:t>2D6 cytochrómu P450 (CYP2D6), ktorý vykazuje genetický polymorfizmus, čo môže ovplyvniť účinnosť a toxicitu kodeínu. Genetický polymorfizmus CYP2D6 vedie k fenotypom s ultrar</w:t>
      </w:r>
      <w:r w:rsidR="00355D94" w:rsidRPr="00817B48">
        <w:rPr>
          <w:color w:val="000000"/>
          <w:szCs w:val="22"/>
        </w:rPr>
        <w:t>ý</w:t>
      </w:r>
      <w:r w:rsidR="004961D5" w:rsidRPr="00817B48">
        <w:rPr>
          <w:color w:val="000000"/>
          <w:szCs w:val="22"/>
        </w:rPr>
        <w:t>chl</w:t>
      </w:r>
      <w:r w:rsidR="00355D94" w:rsidRPr="00817B48">
        <w:rPr>
          <w:color w:val="000000"/>
          <w:szCs w:val="22"/>
        </w:rPr>
        <w:t>y</w:t>
      </w:r>
      <w:r w:rsidR="004961D5" w:rsidRPr="00817B48">
        <w:rPr>
          <w:color w:val="000000"/>
          <w:szCs w:val="22"/>
        </w:rPr>
        <w:t>m, r</w:t>
      </w:r>
      <w:r w:rsidR="00355D94" w:rsidRPr="00817B48">
        <w:rPr>
          <w:color w:val="000000"/>
          <w:szCs w:val="22"/>
        </w:rPr>
        <w:t>ý</w:t>
      </w:r>
      <w:r w:rsidR="004961D5" w:rsidRPr="00817B48">
        <w:rPr>
          <w:color w:val="000000"/>
          <w:szCs w:val="22"/>
        </w:rPr>
        <w:t>chl</w:t>
      </w:r>
      <w:r w:rsidR="00355D94" w:rsidRPr="00817B48">
        <w:rPr>
          <w:color w:val="000000"/>
          <w:szCs w:val="22"/>
        </w:rPr>
        <w:t>y</w:t>
      </w:r>
      <w:r w:rsidR="004961D5" w:rsidRPr="00817B48">
        <w:rPr>
          <w:color w:val="000000"/>
          <w:szCs w:val="22"/>
        </w:rPr>
        <w:t>m a pomalým metabolizmom.</w:t>
      </w:r>
    </w:p>
    <w:p w14:paraId="7E995F51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5CEA910C" w14:textId="77777777" w:rsidR="00D90957" w:rsidRPr="00817B48" w:rsidRDefault="00D90957" w:rsidP="00817B48">
      <w:pPr>
        <w:ind w:left="0" w:firstLine="0"/>
        <w:rPr>
          <w:color w:val="000000"/>
          <w:szCs w:val="22"/>
          <w:u w:val="single"/>
        </w:rPr>
      </w:pPr>
      <w:r w:rsidRPr="00817B48">
        <w:rPr>
          <w:color w:val="000000"/>
          <w:szCs w:val="22"/>
          <w:u w:val="single"/>
        </w:rPr>
        <w:t>Osobitné skupiny pacientov</w:t>
      </w:r>
    </w:p>
    <w:p w14:paraId="2DCB657B" w14:textId="77777777" w:rsidR="00D90957" w:rsidRPr="00817B48" w:rsidRDefault="004961D5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Osoby</w:t>
      </w:r>
      <w:r w:rsidR="00D90957" w:rsidRPr="00817B48">
        <w:rPr>
          <w:color w:val="000000"/>
          <w:szCs w:val="22"/>
        </w:rPr>
        <w:t xml:space="preserve"> s pomal</w:t>
      </w:r>
      <w:r w:rsidRPr="00817B48">
        <w:rPr>
          <w:color w:val="000000"/>
          <w:szCs w:val="22"/>
        </w:rPr>
        <w:t>ým</w:t>
      </w:r>
      <w:r w:rsidR="00D90957" w:rsidRPr="00817B48">
        <w:rPr>
          <w:color w:val="000000"/>
          <w:szCs w:val="22"/>
        </w:rPr>
        <w:t xml:space="preserve"> a</w:t>
      </w:r>
      <w:r w:rsidRPr="00817B48">
        <w:rPr>
          <w:color w:val="000000"/>
          <w:szCs w:val="22"/>
        </w:rPr>
        <w:t>lebo</w:t>
      </w:r>
      <w:r w:rsidR="00D90957" w:rsidRPr="00817B48">
        <w:rPr>
          <w:color w:val="000000"/>
          <w:szCs w:val="22"/>
        </w:rPr>
        <w:t> ultrarýchl</w:t>
      </w:r>
      <w:r w:rsidRPr="00817B48">
        <w:rPr>
          <w:color w:val="000000"/>
          <w:szCs w:val="22"/>
        </w:rPr>
        <w:t>ym</w:t>
      </w:r>
      <w:r w:rsidR="00D90957" w:rsidRPr="00817B48">
        <w:rPr>
          <w:color w:val="000000"/>
          <w:szCs w:val="22"/>
        </w:rPr>
        <w:t xml:space="preserve"> </w:t>
      </w:r>
      <w:r w:rsidRPr="00817B48">
        <w:rPr>
          <w:color w:val="000000"/>
          <w:szCs w:val="22"/>
        </w:rPr>
        <w:t>metabolizmom súvisiacim s</w:t>
      </w:r>
      <w:r w:rsidR="00D90957" w:rsidRPr="00817B48">
        <w:rPr>
          <w:color w:val="000000"/>
          <w:szCs w:val="22"/>
        </w:rPr>
        <w:t xml:space="preserve"> CYP2D6</w:t>
      </w:r>
      <w:r w:rsidRPr="00817B48">
        <w:rPr>
          <w:color w:val="000000"/>
          <w:szCs w:val="22"/>
        </w:rPr>
        <w:t>.</w:t>
      </w:r>
    </w:p>
    <w:p w14:paraId="6F00FDA4" w14:textId="7D10225C" w:rsidR="00D90957" w:rsidRPr="00817B48" w:rsidRDefault="00D9095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Vzhľadom na genetickú variabilitu asi u 7 % belochov </w:t>
      </w:r>
      <w:r w:rsidR="009D0391" w:rsidRPr="00817B48">
        <w:rPr>
          <w:color w:val="000000"/>
          <w:szCs w:val="22"/>
        </w:rPr>
        <w:t xml:space="preserve">nie je </w:t>
      </w:r>
      <w:r w:rsidRPr="00817B48">
        <w:rPr>
          <w:color w:val="000000"/>
          <w:szCs w:val="22"/>
        </w:rPr>
        <w:t xml:space="preserve">enzým CYP2D6 </w:t>
      </w:r>
      <w:r w:rsidR="009D0391" w:rsidRPr="00817B48">
        <w:rPr>
          <w:color w:val="000000"/>
          <w:szCs w:val="22"/>
        </w:rPr>
        <w:t>funkčný, uvádza sa, že majú pomalý metabolizmus</w:t>
      </w:r>
      <w:r w:rsidRPr="00817B48">
        <w:rPr>
          <w:color w:val="000000"/>
          <w:szCs w:val="22"/>
        </w:rPr>
        <w:t>.</w:t>
      </w:r>
      <w:r w:rsidR="009D0391" w:rsidRPr="00817B48">
        <w:rPr>
          <w:color w:val="000000"/>
          <w:szCs w:val="22"/>
        </w:rPr>
        <w:t xml:space="preserve"> Vzhľadom na</w:t>
      </w:r>
      <w:r w:rsidR="00A00454" w:rsidRPr="00817B48">
        <w:rPr>
          <w:color w:val="000000"/>
          <w:szCs w:val="22"/>
        </w:rPr>
        <w:t xml:space="preserve"> </w:t>
      </w:r>
      <w:r w:rsidR="009D0391" w:rsidRPr="00817B48">
        <w:rPr>
          <w:color w:val="000000"/>
          <w:szCs w:val="22"/>
        </w:rPr>
        <w:t>to, že u týchto jedincov nedochádza k tvorbe morfínu, môže byť účinok nižší.</w:t>
      </w:r>
      <w:r w:rsidRPr="00817B48">
        <w:rPr>
          <w:color w:val="000000"/>
          <w:szCs w:val="22"/>
        </w:rPr>
        <w:t xml:space="preserve"> Asi 5,5</w:t>
      </w:r>
      <w:r w:rsidR="00355D94" w:rsidRPr="00817B48">
        <w:rPr>
          <w:color w:val="000000"/>
          <w:szCs w:val="22"/>
        </w:rPr>
        <w:t> </w:t>
      </w:r>
      <w:r w:rsidRPr="00817B48">
        <w:rPr>
          <w:color w:val="000000"/>
          <w:szCs w:val="22"/>
        </w:rPr>
        <w:t>% belošskej populácie má ultrarýchlu metabolickú aktivitu. Títo jedinci majú jeden alebo viac duplikátov svojich génov kódujúcich CYP2D6, a preto majú výrazne zvýšenú aktivitu CYP2D6. U nich bude dochádzať k zvýšenej koncentrácii morfínu v plazme, a teda im hrozí vyššie riziko nežiaducich reakcií súvisiacich s morfínom (pozri časti 4.4 a 4.6). Tento fakt je zvlášť dôležité mať na pamäti vtedy, ak pacient má zároveň zníženú funkciu obličiek, čo môže v konečnom dôsledku viesť k zvýšenej koncentrácii aktívneho metabolitu morfín-6-glukuronidu. Genetická variabilita so zreteľom na CY</w:t>
      </w:r>
      <w:r w:rsidR="00B1633A" w:rsidRPr="00817B48">
        <w:rPr>
          <w:color w:val="000000"/>
          <w:szCs w:val="22"/>
        </w:rPr>
        <w:t>P2D6 sa dá určiť genotypovaním.</w:t>
      </w:r>
    </w:p>
    <w:p w14:paraId="140F743E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2FEB2526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>Paracetamol a kodeín majú porovnateľné rýchlosti vstrebávania a časy dosiahnutia maximálnej plazmatickej koncentrácie, približne rovnaké trvanie účinku, rôzne, vzájomne sa doplňujúce mechanizmy účinku</w:t>
      </w:r>
      <w:r w:rsidR="00F14EC1" w:rsidRPr="00817B48">
        <w:rPr>
          <w:color w:val="000000"/>
          <w:szCs w:val="22"/>
        </w:rPr>
        <w:t>. K</w:t>
      </w:r>
      <w:r w:rsidRPr="00817B48">
        <w:rPr>
          <w:color w:val="000000"/>
          <w:szCs w:val="22"/>
        </w:rPr>
        <w:t xml:space="preserve">roky ich biologickej transformácie sa navzájom </w:t>
      </w:r>
      <w:r w:rsidR="00416B06" w:rsidRPr="00817B48">
        <w:rPr>
          <w:color w:val="000000"/>
          <w:szCs w:val="22"/>
        </w:rPr>
        <w:t>nenarúšajú</w:t>
      </w:r>
      <w:r w:rsidRPr="00817B48">
        <w:rPr>
          <w:color w:val="000000"/>
          <w:szCs w:val="22"/>
        </w:rPr>
        <w:t xml:space="preserve"> a nedochádza k žiadnemu vzájomnému obmedzeniu pri vylučovaní obličkami. Na rôznych zvieracích modeloch bol preukázaný aditívny analgetický účinok.</w:t>
      </w:r>
    </w:p>
    <w:p w14:paraId="6AFCE63D" w14:textId="77777777" w:rsidR="00D90957" w:rsidRPr="00817B48" w:rsidRDefault="00D90957" w:rsidP="00817B48">
      <w:pPr>
        <w:ind w:left="0" w:firstLine="0"/>
        <w:rPr>
          <w:color w:val="000000"/>
          <w:szCs w:val="22"/>
        </w:rPr>
      </w:pPr>
    </w:p>
    <w:p w14:paraId="03199E49" w14:textId="77777777" w:rsidR="00F45C34" w:rsidRPr="00817B48" w:rsidRDefault="00F45C34" w:rsidP="00817B48">
      <w:pPr>
        <w:keepNext/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5.3</w:t>
      </w:r>
      <w:r w:rsidRPr="00817B48">
        <w:rPr>
          <w:b/>
          <w:color w:val="000000"/>
          <w:szCs w:val="22"/>
        </w:rPr>
        <w:tab/>
        <w:t>Predklinické údaje o bezpečnosti</w:t>
      </w:r>
    </w:p>
    <w:p w14:paraId="08DA0E32" w14:textId="77777777" w:rsidR="00D90957" w:rsidRPr="00817B48" w:rsidRDefault="00D90957" w:rsidP="00817B48">
      <w:pPr>
        <w:keepNext/>
        <w:ind w:left="0" w:firstLine="0"/>
        <w:rPr>
          <w:b/>
          <w:color w:val="000000"/>
          <w:szCs w:val="22"/>
          <w:lang w:val="fr-FR"/>
        </w:rPr>
      </w:pPr>
    </w:p>
    <w:p w14:paraId="305F4612" w14:textId="77777777" w:rsidR="00F14EC1" w:rsidRPr="00817B48" w:rsidRDefault="00D90957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Paracetamol a kodeín sú </w:t>
      </w:r>
      <w:r w:rsidR="00416B06" w:rsidRPr="00817B48">
        <w:rPr>
          <w:color w:val="000000"/>
          <w:szCs w:val="22"/>
        </w:rPr>
        <w:t>často</w:t>
      </w:r>
      <w:r w:rsidR="00F14EC1" w:rsidRPr="00817B48">
        <w:rPr>
          <w:color w:val="000000"/>
          <w:szCs w:val="22"/>
        </w:rPr>
        <w:t xml:space="preserve"> používané </w:t>
      </w:r>
      <w:r w:rsidRPr="00817B48">
        <w:rPr>
          <w:color w:val="000000"/>
          <w:szCs w:val="22"/>
        </w:rPr>
        <w:t xml:space="preserve">zložky liekov a ich bezpečnostný profil je dobre </w:t>
      </w:r>
      <w:r w:rsidR="00F14EC1" w:rsidRPr="00817B48">
        <w:rPr>
          <w:color w:val="000000"/>
          <w:szCs w:val="22"/>
        </w:rPr>
        <w:t>známy</w:t>
      </w:r>
      <w:r w:rsidRPr="00817B48">
        <w:rPr>
          <w:color w:val="000000"/>
          <w:szCs w:val="22"/>
        </w:rPr>
        <w:t xml:space="preserve">. </w:t>
      </w:r>
    </w:p>
    <w:p w14:paraId="520FE9F5" w14:textId="77777777" w:rsidR="00F45C34" w:rsidRPr="00817B48" w:rsidRDefault="00D90957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Výsledky predklinických štúdií </w:t>
      </w:r>
      <w:r w:rsidR="00F14EC1" w:rsidRPr="00817B48">
        <w:rPr>
          <w:color w:val="000000"/>
          <w:szCs w:val="22"/>
        </w:rPr>
        <w:t xml:space="preserve">neprinášajú z terapeutického hľadiska žiadne nové poznatky. </w:t>
      </w:r>
    </w:p>
    <w:p w14:paraId="478F4D42" w14:textId="77777777" w:rsidR="00D90957" w:rsidRPr="00817B48" w:rsidRDefault="00D90957" w:rsidP="00817B48">
      <w:pPr>
        <w:rPr>
          <w:color w:val="000000"/>
          <w:szCs w:val="22"/>
        </w:rPr>
      </w:pPr>
    </w:p>
    <w:p w14:paraId="5F93B8B0" w14:textId="77777777" w:rsidR="00F14EC1" w:rsidRPr="00817B48" w:rsidRDefault="00F14EC1" w:rsidP="00817B48">
      <w:pPr>
        <w:rPr>
          <w:color w:val="000000"/>
          <w:szCs w:val="22"/>
        </w:rPr>
      </w:pPr>
    </w:p>
    <w:p w14:paraId="41211E5D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6.</w:t>
      </w:r>
      <w:r w:rsidRPr="00817B48">
        <w:rPr>
          <w:b/>
          <w:color w:val="000000"/>
          <w:szCs w:val="22"/>
        </w:rPr>
        <w:tab/>
        <w:t>FARMACEUTICKÉ INFORMÁCIE</w:t>
      </w:r>
    </w:p>
    <w:p w14:paraId="2E96BB3D" w14:textId="77777777" w:rsidR="00F45C34" w:rsidRPr="00817B48" w:rsidRDefault="00F45C34" w:rsidP="00817B48">
      <w:pPr>
        <w:rPr>
          <w:color w:val="000000"/>
          <w:szCs w:val="22"/>
        </w:rPr>
      </w:pPr>
    </w:p>
    <w:p w14:paraId="6799EAC0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6.1</w:t>
      </w:r>
      <w:r w:rsidRPr="00817B48">
        <w:rPr>
          <w:b/>
          <w:color w:val="000000"/>
          <w:szCs w:val="22"/>
        </w:rPr>
        <w:tab/>
        <w:t>Zoznam pomocných látok</w:t>
      </w:r>
    </w:p>
    <w:p w14:paraId="16CFAE8E" w14:textId="77777777" w:rsidR="00F45C34" w:rsidRPr="00817B48" w:rsidRDefault="00F45C34" w:rsidP="00817B48">
      <w:pPr>
        <w:rPr>
          <w:color w:val="000000"/>
          <w:szCs w:val="22"/>
        </w:rPr>
      </w:pPr>
    </w:p>
    <w:p w14:paraId="38683928" w14:textId="77777777" w:rsidR="00D90957" w:rsidRPr="00817B48" w:rsidRDefault="00015C20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mikrokryštalická celulóza</w:t>
      </w:r>
    </w:p>
    <w:p w14:paraId="11657685" w14:textId="77777777" w:rsidR="00D90957" w:rsidRPr="00817B48" w:rsidRDefault="00B27409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p</w:t>
      </w:r>
      <w:r w:rsidR="00015C20" w:rsidRPr="00817B48">
        <w:rPr>
          <w:color w:val="000000"/>
          <w:szCs w:val="22"/>
        </w:rPr>
        <w:t>ovid</w:t>
      </w:r>
      <w:r w:rsidRPr="00817B48">
        <w:rPr>
          <w:color w:val="000000"/>
          <w:szCs w:val="22"/>
        </w:rPr>
        <w:t>ó</w:t>
      </w:r>
      <w:r w:rsidR="00015C20" w:rsidRPr="00817B48">
        <w:rPr>
          <w:color w:val="000000"/>
          <w:szCs w:val="22"/>
        </w:rPr>
        <w:t xml:space="preserve">n </w:t>
      </w:r>
      <w:r w:rsidR="00D90957" w:rsidRPr="00817B48">
        <w:rPr>
          <w:color w:val="000000"/>
          <w:szCs w:val="22"/>
        </w:rPr>
        <w:t>30</w:t>
      </w:r>
    </w:p>
    <w:p w14:paraId="7C808EA0" w14:textId="77777777" w:rsidR="00D90957" w:rsidRPr="00817B48" w:rsidRDefault="00015C20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sodná soľ kroskarmelózy</w:t>
      </w:r>
    </w:p>
    <w:p w14:paraId="6AEC86CF" w14:textId="77777777" w:rsidR="00355D94" w:rsidRPr="00817B48" w:rsidRDefault="00355D94" w:rsidP="00817B48">
      <w:pPr>
        <w:ind w:left="0" w:firstLine="0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predželatínovaný </w:t>
      </w:r>
      <w:r w:rsidR="00B27409" w:rsidRPr="00817B48">
        <w:rPr>
          <w:color w:val="000000"/>
          <w:szCs w:val="22"/>
        </w:rPr>
        <w:t xml:space="preserve">kukuričný škrob </w:t>
      </w:r>
    </w:p>
    <w:p w14:paraId="0EFCA89D" w14:textId="77777777" w:rsidR="00D90957" w:rsidRPr="00817B48" w:rsidRDefault="00B27409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stearín</w:t>
      </w:r>
    </w:p>
    <w:p w14:paraId="7FF0C35B" w14:textId="4012FAEB" w:rsidR="00F45C34" w:rsidRPr="00817B48" w:rsidRDefault="00D878EC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stearan horečnatý</w:t>
      </w:r>
    </w:p>
    <w:p w14:paraId="43D79243" w14:textId="77777777" w:rsidR="00D878EC" w:rsidRPr="00817B48" w:rsidRDefault="00D878EC" w:rsidP="00817B48">
      <w:pPr>
        <w:rPr>
          <w:color w:val="000000"/>
          <w:szCs w:val="22"/>
        </w:rPr>
      </w:pPr>
    </w:p>
    <w:p w14:paraId="5283814E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6.2</w:t>
      </w:r>
      <w:r w:rsidRPr="00817B48">
        <w:rPr>
          <w:b/>
          <w:color w:val="000000"/>
          <w:szCs w:val="22"/>
        </w:rPr>
        <w:tab/>
        <w:t>Inkompatibility</w:t>
      </w:r>
    </w:p>
    <w:p w14:paraId="1A0461EF" w14:textId="77777777" w:rsidR="00F45C34" w:rsidRPr="00817B48" w:rsidRDefault="00F45C34" w:rsidP="00817B48">
      <w:pPr>
        <w:rPr>
          <w:color w:val="000000"/>
          <w:szCs w:val="22"/>
        </w:rPr>
      </w:pPr>
    </w:p>
    <w:p w14:paraId="352DC413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Neaplikovateľné.</w:t>
      </w:r>
    </w:p>
    <w:p w14:paraId="37C7D3DC" w14:textId="77777777" w:rsidR="00F45C34" w:rsidRPr="00817B48" w:rsidRDefault="00F45C34" w:rsidP="00817B48">
      <w:pPr>
        <w:rPr>
          <w:color w:val="000000"/>
          <w:szCs w:val="22"/>
        </w:rPr>
      </w:pPr>
    </w:p>
    <w:p w14:paraId="0817794A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6.3</w:t>
      </w:r>
      <w:r w:rsidRPr="00817B48">
        <w:rPr>
          <w:b/>
          <w:color w:val="000000"/>
          <w:szCs w:val="22"/>
        </w:rPr>
        <w:tab/>
        <w:t>Čas použiteľnosti</w:t>
      </w:r>
    </w:p>
    <w:p w14:paraId="0794C19C" w14:textId="77777777" w:rsidR="00F45C34" w:rsidRPr="00817B48" w:rsidRDefault="00F45C34" w:rsidP="00817B48">
      <w:pPr>
        <w:rPr>
          <w:color w:val="000000"/>
          <w:szCs w:val="22"/>
        </w:rPr>
      </w:pPr>
    </w:p>
    <w:p w14:paraId="70D43A36" w14:textId="77777777" w:rsidR="00D90957" w:rsidRPr="00817B48" w:rsidRDefault="00D90957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3 roky</w:t>
      </w:r>
    </w:p>
    <w:p w14:paraId="18CA20D5" w14:textId="77777777" w:rsidR="00F45C34" w:rsidRPr="00817B48" w:rsidRDefault="00F45C34" w:rsidP="00817B48">
      <w:pPr>
        <w:rPr>
          <w:color w:val="000000"/>
          <w:szCs w:val="22"/>
        </w:rPr>
      </w:pPr>
    </w:p>
    <w:p w14:paraId="1D5A3E8F" w14:textId="77777777" w:rsidR="00F45C34" w:rsidRPr="00817B48" w:rsidRDefault="00F45C34" w:rsidP="00817B48">
      <w:pPr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6.4</w:t>
      </w:r>
      <w:r w:rsidRPr="00817B48">
        <w:rPr>
          <w:b/>
          <w:color w:val="000000"/>
          <w:szCs w:val="22"/>
        </w:rPr>
        <w:tab/>
        <w:t>Špeciálne upozornenia na uchovávanie</w:t>
      </w:r>
    </w:p>
    <w:p w14:paraId="2A1EA9C0" w14:textId="77777777" w:rsidR="00F45C34" w:rsidRPr="00817B48" w:rsidRDefault="00F45C34" w:rsidP="00817B48">
      <w:pPr>
        <w:rPr>
          <w:color w:val="000000"/>
          <w:szCs w:val="22"/>
        </w:rPr>
      </w:pPr>
    </w:p>
    <w:p w14:paraId="7562EE42" w14:textId="77777777" w:rsidR="00D90957" w:rsidRPr="00817B48" w:rsidRDefault="00D90957" w:rsidP="00817B48">
      <w:pPr>
        <w:tabs>
          <w:tab w:val="left" w:pos="0"/>
        </w:tabs>
        <w:ind w:right="-1"/>
        <w:rPr>
          <w:color w:val="000000"/>
          <w:szCs w:val="22"/>
        </w:rPr>
      </w:pPr>
      <w:r w:rsidRPr="00817B48">
        <w:rPr>
          <w:color w:val="000000"/>
          <w:szCs w:val="22"/>
        </w:rPr>
        <w:t>Uchovávajte pri teplote do 25 °C</w:t>
      </w:r>
      <w:r w:rsidR="00015C20" w:rsidRPr="00817B48">
        <w:rPr>
          <w:color w:val="000000"/>
          <w:szCs w:val="22"/>
        </w:rPr>
        <w:t>.</w:t>
      </w:r>
      <w:r w:rsidRPr="00817B48">
        <w:rPr>
          <w:color w:val="000000"/>
          <w:szCs w:val="22"/>
        </w:rPr>
        <w:t xml:space="preserve"> </w:t>
      </w:r>
    </w:p>
    <w:p w14:paraId="6F5B4D10" w14:textId="77777777" w:rsidR="00D90957" w:rsidRPr="00817B48" w:rsidRDefault="00D90957" w:rsidP="00817B48">
      <w:pPr>
        <w:rPr>
          <w:color w:val="000000"/>
          <w:szCs w:val="22"/>
        </w:rPr>
      </w:pPr>
    </w:p>
    <w:p w14:paraId="1CA85F04" w14:textId="77777777" w:rsidR="00F45C34" w:rsidRPr="00817B48" w:rsidRDefault="00F45C34" w:rsidP="00817B48">
      <w:pPr>
        <w:keepNext/>
        <w:rPr>
          <w:color w:val="000000"/>
          <w:szCs w:val="22"/>
        </w:rPr>
      </w:pPr>
      <w:r w:rsidRPr="00817B48">
        <w:rPr>
          <w:b/>
          <w:color w:val="000000"/>
          <w:szCs w:val="22"/>
        </w:rPr>
        <w:lastRenderedPageBreak/>
        <w:t>6.5</w:t>
      </w:r>
      <w:r w:rsidRPr="00817B48">
        <w:rPr>
          <w:b/>
          <w:color w:val="000000"/>
          <w:szCs w:val="22"/>
        </w:rPr>
        <w:tab/>
        <w:t xml:space="preserve">Druh obalu a obsah balenia </w:t>
      </w:r>
    </w:p>
    <w:p w14:paraId="0251EE34" w14:textId="77777777" w:rsidR="00F45C34" w:rsidRPr="00817B48" w:rsidRDefault="00F45C34" w:rsidP="00817B48">
      <w:pPr>
        <w:keepNext/>
        <w:rPr>
          <w:color w:val="000000"/>
          <w:szCs w:val="22"/>
        </w:rPr>
      </w:pPr>
    </w:p>
    <w:p w14:paraId="1C2BFAE3" w14:textId="77777777" w:rsidR="00D90957" w:rsidRPr="00817B48" w:rsidRDefault="00D90957" w:rsidP="00817B48">
      <w:pPr>
        <w:keepNext/>
        <w:rPr>
          <w:color w:val="000000"/>
          <w:szCs w:val="22"/>
        </w:rPr>
      </w:pPr>
      <w:r w:rsidRPr="00817B48">
        <w:rPr>
          <w:color w:val="000000"/>
          <w:szCs w:val="22"/>
        </w:rPr>
        <w:t>Druh obalu: PVC/Al blister</w:t>
      </w:r>
      <w:r w:rsidR="002E685E" w:rsidRPr="00817B48">
        <w:rPr>
          <w:color w:val="000000"/>
          <w:szCs w:val="22"/>
        </w:rPr>
        <w:t>,</w:t>
      </w:r>
      <w:r w:rsidRPr="00817B48">
        <w:rPr>
          <w:color w:val="000000"/>
          <w:szCs w:val="22"/>
        </w:rPr>
        <w:t xml:space="preserve"> škatuľka</w:t>
      </w:r>
      <w:r w:rsidR="003E5A88" w:rsidRPr="00817B48">
        <w:rPr>
          <w:color w:val="000000"/>
          <w:szCs w:val="22"/>
        </w:rPr>
        <w:t>.</w:t>
      </w:r>
    </w:p>
    <w:p w14:paraId="5E44A092" w14:textId="77777777" w:rsidR="00D90957" w:rsidRPr="00817B48" w:rsidRDefault="00D90957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Veľkosť balenia: 10 tabliet</w:t>
      </w:r>
    </w:p>
    <w:p w14:paraId="09D0E42C" w14:textId="77777777" w:rsidR="00F45C34" w:rsidRPr="00817B48" w:rsidRDefault="00F45C34" w:rsidP="00817B48">
      <w:pPr>
        <w:rPr>
          <w:color w:val="000000"/>
          <w:szCs w:val="22"/>
        </w:rPr>
      </w:pPr>
    </w:p>
    <w:p w14:paraId="2DCE2B60" w14:textId="77777777" w:rsidR="00F45C34" w:rsidRPr="00817B48" w:rsidRDefault="00F45C34" w:rsidP="00817B48">
      <w:pPr>
        <w:tabs>
          <w:tab w:val="left" w:pos="0"/>
        </w:tabs>
        <w:ind w:right="-1"/>
        <w:rPr>
          <w:color w:val="000000"/>
          <w:szCs w:val="22"/>
        </w:rPr>
      </w:pPr>
      <w:r w:rsidRPr="00817B48">
        <w:rPr>
          <w:b/>
          <w:color w:val="000000"/>
          <w:szCs w:val="22"/>
        </w:rPr>
        <w:t>6.6</w:t>
      </w:r>
      <w:r w:rsidRPr="00817B48">
        <w:rPr>
          <w:b/>
          <w:color w:val="000000"/>
          <w:szCs w:val="22"/>
        </w:rPr>
        <w:tab/>
      </w:r>
      <w:r w:rsidRPr="00817B48">
        <w:rPr>
          <w:b/>
          <w:color w:val="000000"/>
          <w:szCs w:val="22"/>
          <w:lang w:val="pl-PL"/>
        </w:rPr>
        <w:t>Špeciálne opatrenia na likvidáciu</w:t>
      </w:r>
      <w:r w:rsidRPr="00817B48">
        <w:rPr>
          <w:b/>
          <w:color w:val="000000"/>
          <w:szCs w:val="22"/>
        </w:rPr>
        <w:t xml:space="preserve"> </w:t>
      </w:r>
      <w:r w:rsidR="00DD53AC" w:rsidRPr="00817B48">
        <w:rPr>
          <w:b/>
          <w:color w:val="000000"/>
          <w:szCs w:val="22"/>
          <w:lang w:val="pl-PL"/>
        </w:rPr>
        <w:t>a iné zaobchádzanie s liekom</w:t>
      </w:r>
      <w:r w:rsidR="008460BA" w:rsidRPr="00817B48">
        <w:rPr>
          <w:b/>
          <w:color w:val="000000"/>
          <w:szCs w:val="22"/>
        </w:rPr>
        <w:t xml:space="preserve"> </w:t>
      </w:r>
    </w:p>
    <w:p w14:paraId="5962CEFA" w14:textId="77777777" w:rsidR="00015C20" w:rsidRPr="00817B48" w:rsidRDefault="00015C20" w:rsidP="00817B48">
      <w:pPr>
        <w:tabs>
          <w:tab w:val="left" w:pos="0"/>
        </w:tabs>
        <w:ind w:right="-1"/>
        <w:rPr>
          <w:color w:val="000000"/>
          <w:szCs w:val="22"/>
        </w:rPr>
      </w:pPr>
    </w:p>
    <w:p w14:paraId="3EAB2323" w14:textId="77777777" w:rsidR="00015C20" w:rsidRPr="00817B48" w:rsidRDefault="00015C20" w:rsidP="00817B48">
      <w:pPr>
        <w:tabs>
          <w:tab w:val="left" w:pos="0"/>
        </w:tabs>
        <w:ind w:right="-1"/>
        <w:rPr>
          <w:color w:val="000000"/>
          <w:szCs w:val="22"/>
        </w:rPr>
      </w:pPr>
      <w:r w:rsidRPr="00817B48">
        <w:rPr>
          <w:color w:val="000000"/>
          <w:szCs w:val="22"/>
        </w:rPr>
        <w:t>Žiadne zvláštne požiadavky.</w:t>
      </w:r>
    </w:p>
    <w:p w14:paraId="466FD925" w14:textId="77777777" w:rsidR="00F45C34" w:rsidRPr="00817B48" w:rsidRDefault="00F45C34" w:rsidP="00817B48">
      <w:pPr>
        <w:tabs>
          <w:tab w:val="left" w:pos="0"/>
          <w:tab w:val="left" w:pos="8505"/>
        </w:tabs>
        <w:ind w:right="-1"/>
        <w:rPr>
          <w:color w:val="000000"/>
          <w:szCs w:val="22"/>
        </w:rPr>
      </w:pPr>
    </w:p>
    <w:p w14:paraId="4BEA3BB4" w14:textId="77777777" w:rsidR="00F45C34" w:rsidRPr="00817B48" w:rsidRDefault="00F45C34" w:rsidP="00817B48">
      <w:pPr>
        <w:rPr>
          <w:color w:val="000000"/>
          <w:szCs w:val="22"/>
        </w:rPr>
      </w:pPr>
    </w:p>
    <w:p w14:paraId="74014B5E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7.</w:t>
      </w:r>
      <w:r w:rsidRPr="00817B48">
        <w:rPr>
          <w:b/>
          <w:color w:val="000000"/>
          <w:szCs w:val="22"/>
        </w:rPr>
        <w:tab/>
        <w:t>DRŽITEĽ ROZHODNUTIA O REGISTRÁCII</w:t>
      </w:r>
    </w:p>
    <w:p w14:paraId="70B55353" w14:textId="77777777" w:rsidR="00F45C34" w:rsidRPr="00817B48" w:rsidRDefault="00F45C34" w:rsidP="00817B48">
      <w:pPr>
        <w:rPr>
          <w:color w:val="000000"/>
          <w:szCs w:val="22"/>
        </w:rPr>
      </w:pPr>
    </w:p>
    <w:p w14:paraId="774A92DB" w14:textId="77777777" w:rsidR="0041195A" w:rsidRPr="00817B48" w:rsidRDefault="00DD53AC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Zentiva</w:t>
      </w:r>
      <w:r w:rsidR="00ED2C56" w:rsidRPr="00817B48">
        <w:rPr>
          <w:color w:val="000000"/>
          <w:szCs w:val="22"/>
        </w:rPr>
        <w:t>,</w:t>
      </w:r>
      <w:r w:rsidRPr="00817B48">
        <w:rPr>
          <w:color w:val="000000"/>
          <w:szCs w:val="22"/>
        </w:rPr>
        <w:t xml:space="preserve"> k.s.</w:t>
      </w:r>
    </w:p>
    <w:p w14:paraId="02F0D792" w14:textId="77777777" w:rsidR="0041195A" w:rsidRPr="00817B48" w:rsidRDefault="00015C20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U Kabelovny 130</w:t>
      </w:r>
    </w:p>
    <w:p w14:paraId="6C8AA0D4" w14:textId="77777777" w:rsidR="0041195A" w:rsidRPr="00817B48" w:rsidRDefault="00015C20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102 37 </w:t>
      </w:r>
      <w:r w:rsidR="00DD53AC" w:rsidRPr="00817B48">
        <w:rPr>
          <w:color w:val="000000"/>
          <w:szCs w:val="22"/>
        </w:rPr>
        <w:t>Praha</w:t>
      </w:r>
      <w:r w:rsidRPr="00817B48">
        <w:rPr>
          <w:color w:val="000000"/>
          <w:szCs w:val="22"/>
        </w:rPr>
        <w:t xml:space="preserve"> 10</w:t>
      </w:r>
    </w:p>
    <w:p w14:paraId="1D48C5FA" w14:textId="77777777" w:rsidR="00DD53AC" w:rsidRPr="00817B48" w:rsidRDefault="00DD53AC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Česká republika</w:t>
      </w:r>
    </w:p>
    <w:p w14:paraId="0BDFD407" w14:textId="77777777" w:rsidR="00DD53AC" w:rsidRPr="00817B48" w:rsidRDefault="00DD53AC" w:rsidP="00817B48">
      <w:pPr>
        <w:rPr>
          <w:color w:val="000000"/>
          <w:szCs w:val="22"/>
        </w:rPr>
      </w:pPr>
    </w:p>
    <w:p w14:paraId="24D5B99B" w14:textId="77777777" w:rsidR="00DD53AC" w:rsidRPr="00817B48" w:rsidRDefault="00DD53AC" w:rsidP="00817B48">
      <w:pPr>
        <w:rPr>
          <w:color w:val="000000"/>
          <w:szCs w:val="22"/>
        </w:rPr>
      </w:pPr>
    </w:p>
    <w:p w14:paraId="363E3777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8.</w:t>
      </w:r>
      <w:r w:rsidRPr="00817B48">
        <w:rPr>
          <w:b/>
          <w:color w:val="000000"/>
          <w:szCs w:val="22"/>
        </w:rPr>
        <w:tab/>
        <w:t xml:space="preserve">REGISTRAČNÉ ČÍSLO </w:t>
      </w:r>
    </w:p>
    <w:p w14:paraId="0BE2A700" w14:textId="77777777" w:rsidR="00F45C34" w:rsidRPr="00817B48" w:rsidRDefault="00F45C34" w:rsidP="00817B48">
      <w:pPr>
        <w:rPr>
          <w:i/>
          <w:color w:val="000000"/>
          <w:szCs w:val="22"/>
        </w:rPr>
      </w:pPr>
    </w:p>
    <w:p w14:paraId="112D6B84" w14:textId="77777777" w:rsidR="00DD53AC" w:rsidRPr="00817B48" w:rsidRDefault="00DD53AC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07/0115/84–CS</w:t>
      </w:r>
    </w:p>
    <w:p w14:paraId="1682697E" w14:textId="77777777" w:rsidR="00F45C34" w:rsidRPr="00817B48" w:rsidRDefault="00F45C34" w:rsidP="00817B48">
      <w:pPr>
        <w:rPr>
          <w:color w:val="000000"/>
          <w:szCs w:val="22"/>
        </w:rPr>
      </w:pPr>
    </w:p>
    <w:p w14:paraId="2415C5A4" w14:textId="77777777" w:rsidR="00F45C34" w:rsidRPr="00817B48" w:rsidRDefault="00F45C34" w:rsidP="00817B48">
      <w:pPr>
        <w:rPr>
          <w:color w:val="000000"/>
          <w:szCs w:val="22"/>
        </w:rPr>
      </w:pPr>
    </w:p>
    <w:p w14:paraId="724BE743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9.</w:t>
      </w:r>
      <w:r w:rsidRPr="00817B48">
        <w:rPr>
          <w:b/>
          <w:color w:val="000000"/>
          <w:szCs w:val="22"/>
        </w:rPr>
        <w:tab/>
        <w:t>DÁTUM PRVEJ REGISTRÁCIE/PREDĹŽENIA REGISTRÁCIE</w:t>
      </w:r>
    </w:p>
    <w:p w14:paraId="64F3E881" w14:textId="77777777" w:rsidR="00F45C34" w:rsidRPr="00817B48" w:rsidRDefault="00F45C34" w:rsidP="00817B48">
      <w:pPr>
        <w:rPr>
          <w:color w:val="000000"/>
          <w:szCs w:val="22"/>
        </w:rPr>
      </w:pPr>
    </w:p>
    <w:p w14:paraId="7C2B7DBE" w14:textId="657AAE74" w:rsidR="00DD53AC" w:rsidRPr="00817B48" w:rsidRDefault="003E5A88" w:rsidP="00817B48">
      <w:pPr>
        <w:tabs>
          <w:tab w:val="left" w:pos="0"/>
        </w:tabs>
        <w:ind w:right="-1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Dátum prvej registrácie: </w:t>
      </w:r>
      <w:r w:rsidR="0084563B" w:rsidRPr="00817B48">
        <w:rPr>
          <w:color w:val="000000"/>
          <w:szCs w:val="22"/>
        </w:rPr>
        <w:t>5.</w:t>
      </w:r>
      <w:r w:rsidR="009F736A" w:rsidRPr="00817B48">
        <w:rPr>
          <w:color w:val="000000"/>
          <w:szCs w:val="22"/>
        </w:rPr>
        <w:t xml:space="preserve"> mar</w:t>
      </w:r>
      <w:r w:rsidR="00D878EC" w:rsidRPr="00817B48">
        <w:rPr>
          <w:color w:val="000000"/>
          <w:szCs w:val="22"/>
        </w:rPr>
        <w:t>ca</w:t>
      </w:r>
      <w:r w:rsidR="009F736A" w:rsidRPr="00817B48">
        <w:rPr>
          <w:color w:val="000000"/>
          <w:szCs w:val="22"/>
        </w:rPr>
        <w:t xml:space="preserve"> </w:t>
      </w:r>
      <w:r w:rsidR="00DD53AC" w:rsidRPr="00817B48">
        <w:rPr>
          <w:color w:val="000000"/>
          <w:szCs w:val="22"/>
        </w:rPr>
        <w:t>1984</w:t>
      </w:r>
    </w:p>
    <w:p w14:paraId="2B83DCE8" w14:textId="2E83950C" w:rsidR="00B27409" w:rsidRPr="00817B48" w:rsidRDefault="00B27409" w:rsidP="00817B48">
      <w:pPr>
        <w:tabs>
          <w:tab w:val="left" w:pos="0"/>
        </w:tabs>
        <w:ind w:right="-1"/>
        <w:rPr>
          <w:color w:val="000000"/>
          <w:szCs w:val="22"/>
        </w:rPr>
      </w:pPr>
      <w:r w:rsidRPr="00817B48">
        <w:rPr>
          <w:color w:val="000000"/>
          <w:szCs w:val="22"/>
        </w:rPr>
        <w:t xml:space="preserve">Dátum </w:t>
      </w:r>
      <w:r w:rsidR="0041195A" w:rsidRPr="00817B48">
        <w:rPr>
          <w:color w:val="000000"/>
          <w:szCs w:val="22"/>
        </w:rPr>
        <w:t xml:space="preserve">posledného </w:t>
      </w:r>
      <w:r w:rsidRPr="00817B48">
        <w:rPr>
          <w:color w:val="000000"/>
          <w:szCs w:val="22"/>
        </w:rPr>
        <w:t>predĺženia registrácie: 6.</w:t>
      </w:r>
      <w:r w:rsidR="009F736A" w:rsidRPr="00817B48">
        <w:rPr>
          <w:color w:val="000000"/>
          <w:szCs w:val="22"/>
        </w:rPr>
        <w:t xml:space="preserve"> novemb</w:t>
      </w:r>
      <w:r w:rsidR="00D878EC" w:rsidRPr="00817B48">
        <w:rPr>
          <w:color w:val="000000"/>
          <w:szCs w:val="22"/>
        </w:rPr>
        <w:t>ra</w:t>
      </w:r>
      <w:r w:rsidR="009F736A" w:rsidRPr="00817B48">
        <w:rPr>
          <w:color w:val="000000"/>
          <w:szCs w:val="22"/>
        </w:rPr>
        <w:t xml:space="preserve"> </w:t>
      </w:r>
      <w:r w:rsidRPr="00817B48">
        <w:rPr>
          <w:color w:val="000000"/>
          <w:szCs w:val="22"/>
        </w:rPr>
        <w:t>2006</w:t>
      </w:r>
    </w:p>
    <w:p w14:paraId="7CBE85EC" w14:textId="77777777" w:rsidR="00F45C34" w:rsidRPr="00817B48" w:rsidRDefault="00F45C34" w:rsidP="00817B48">
      <w:pPr>
        <w:rPr>
          <w:color w:val="000000"/>
          <w:szCs w:val="22"/>
        </w:rPr>
      </w:pPr>
    </w:p>
    <w:p w14:paraId="3424A02D" w14:textId="77777777" w:rsidR="00F45C34" w:rsidRPr="00817B48" w:rsidRDefault="00F45C34" w:rsidP="00817B48">
      <w:pPr>
        <w:rPr>
          <w:color w:val="000000"/>
          <w:szCs w:val="22"/>
        </w:rPr>
      </w:pPr>
    </w:p>
    <w:p w14:paraId="7C21B87C" w14:textId="77777777" w:rsidR="00F45C34" w:rsidRPr="00817B48" w:rsidRDefault="00F45C34" w:rsidP="00817B48">
      <w:pPr>
        <w:rPr>
          <w:b/>
          <w:color w:val="000000"/>
          <w:szCs w:val="22"/>
        </w:rPr>
      </w:pPr>
      <w:r w:rsidRPr="00817B48">
        <w:rPr>
          <w:b/>
          <w:color w:val="000000"/>
          <w:szCs w:val="22"/>
        </w:rPr>
        <w:t>10.</w:t>
      </w:r>
      <w:r w:rsidRPr="00817B48">
        <w:rPr>
          <w:b/>
          <w:color w:val="000000"/>
          <w:szCs w:val="22"/>
        </w:rPr>
        <w:tab/>
        <w:t>DÁTUM REVÍZIE TEXTU</w:t>
      </w:r>
    </w:p>
    <w:p w14:paraId="34AF5A98" w14:textId="77777777" w:rsidR="00F45C34" w:rsidRPr="00817B48" w:rsidRDefault="00F45C34" w:rsidP="00817B48">
      <w:pPr>
        <w:rPr>
          <w:color w:val="000000"/>
          <w:szCs w:val="22"/>
        </w:rPr>
      </w:pPr>
    </w:p>
    <w:p w14:paraId="74DDF8FC" w14:textId="2D2E2C66" w:rsidR="00AA58A9" w:rsidRPr="00817B48" w:rsidRDefault="00D878EC" w:rsidP="00817B48">
      <w:pPr>
        <w:rPr>
          <w:color w:val="000000"/>
          <w:szCs w:val="22"/>
        </w:rPr>
      </w:pPr>
      <w:r w:rsidRPr="00817B48">
        <w:rPr>
          <w:color w:val="000000"/>
          <w:szCs w:val="22"/>
        </w:rPr>
        <w:t>08/2019</w:t>
      </w:r>
    </w:p>
    <w:sectPr w:rsidR="00AA58A9" w:rsidRPr="00817B48" w:rsidSect="00817B4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792C9" w14:textId="77777777" w:rsidR="002545CD" w:rsidRDefault="002545CD" w:rsidP="000417F1">
      <w:r>
        <w:separator/>
      </w:r>
    </w:p>
  </w:endnote>
  <w:endnote w:type="continuationSeparator" w:id="0">
    <w:p w14:paraId="4301A090" w14:textId="77777777" w:rsidR="002545CD" w:rsidRDefault="002545CD" w:rsidP="000417F1">
      <w:r>
        <w:continuationSeparator/>
      </w:r>
    </w:p>
  </w:endnote>
  <w:endnote w:type="continuationNotice" w:id="1">
    <w:p w14:paraId="371CDC71" w14:textId="77777777" w:rsidR="002545CD" w:rsidRDefault="0025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34FC" w14:textId="25F86BAB" w:rsidR="0041195A" w:rsidRPr="00817B48" w:rsidRDefault="0041195A" w:rsidP="00817B48">
    <w:pPr>
      <w:pStyle w:val="Pta"/>
      <w:jc w:val="center"/>
      <w:rPr>
        <w:sz w:val="18"/>
        <w:szCs w:val="18"/>
      </w:rPr>
    </w:pPr>
    <w:r w:rsidRPr="00604C16">
      <w:rPr>
        <w:sz w:val="18"/>
        <w:szCs w:val="18"/>
      </w:rPr>
      <w:fldChar w:fldCharType="begin"/>
    </w:r>
    <w:r w:rsidRPr="00604C16">
      <w:rPr>
        <w:sz w:val="18"/>
        <w:szCs w:val="18"/>
      </w:rPr>
      <w:instrText>PAGE   \* MERGEFORMAT</w:instrText>
    </w:r>
    <w:r w:rsidRPr="00604C16">
      <w:rPr>
        <w:sz w:val="18"/>
        <w:szCs w:val="18"/>
      </w:rPr>
      <w:fldChar w:fldCharType="separate"/>
    </w:r>
    <w:r w:rsidR="00AA0EEA">
      <w:rPr>
        <w:noProof/>
        <w:sz w:val="18"/>
        <w:szCs w:val="18"/>
      </w:rPr>
      <w:t>2</w:t>
    </w:r>
    <w:r w:rsidRPr="00604C1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E2BCE" w14:textId="77777777" w:rsidR="009001E4" w:rsidRPr="00C45C87" w:rsidRDefault="009001E4">
    <w:pPr>
      <w:pStyle w:val="Pta"/>
      <w:jc w:val="center"/>
      <w:rPr>
        <w:sz w:val="18"/>
        <w:szCs w:val="18"/>
      </w:rPr>
    </w:pPr>
    <w:r w:rsidRPr="00C45C87">
      <w:rPr>
        <w:sz w:val="18"/>
        <w:szCs w:val="18"/>
      </w:rPr>
      <w:fldChar w:fldCharType="begin"/>
    </w:r>
    <w:r w:rsidRPr="00C45C87">
      <w:rPr>
        <w:sz w:val="18"/>
        <w:szCs w:val="18"/>
      </w:rPr>
      <w:instrText>PAGE   \* MERGEFORMAT</w:instrText>
    </w:r>
    <w:r w:rsidRPr="00C45C87">
      <w:rPr>
        <w:sz w:val="18"/>
        <w:szCs w:val="18"/>
      </w:rPr>
      <w:fldChar w:fldCharType="separate"/>
    </w:r>
    <w:r w:rsidR="002545CD">
      <w:rPr>
        <w:noProof/>
        <w:sz w:val="18"/>
        <w:szCs w:val="18"/>
      </w:rPr>
      <w:t>1</w:t>
    </w:r>
    <w:r w:rsidRPr="00C45C87">
      <w:rPr>
        <w:sz w:val="18"/>
        <w:szCs w:val="18"/>
      </w:rPr>
      <w:fldChar w:fldCharType="end"/>
    </w:r>
  </w:p>
  <w:p w14:paraId="7D8321DF" w14:textId="77777777" w:rsidR="009001E4" w:rsidRDefault="009001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ECAEE" w14:textId="77777777" w:rsidR="002545CD" w:rsidRDefault="002545CD" w:rsidP="000417F1">
      <w:r>
        <w:separator/>
      </w:r>
    </w:p>
  </w:footnote>
  <w:footnote w:type="continuationSeparator" w:id="0">
    <w:p w14:paraId="2231E8CD" w14:textId="77777777" w:rsidR="002545CD" w:rsidRDefault="002545CD" w:rsidP="000417F1">
      <w:r>
        <w:continuationSeparator/>
      </w:r>
    </w:p>
  </w:footnote>
  <w:footnote w:type="continuationNotice" w:id="1">
    <w:p w14:paraId="04D656E1" w14:textId="77777777" w:rsidR="002545CD" w:rsidRDefault="002545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631C4" w14:textId="240D1C03" w:rsidR="002545CD" w:rsidRDefault="002545CD">
    <w:pPr>
      <w:pStyle w:val="Hlavika"/>
    </w:pPr>
    <w:r w:rsidRPr="003610BD">
      <w:rPr>
        <w:sz w:val="18"/>
      </w:rPr>
      <w:t>Schválený text k rozhodnutiu o zmene, ev. č.</w:t>
    </w:r>
    <w:r>
      <w:rPr>
        <w:sz w:val="18"/>
        <w:szCs w:val="18"/>
      </w:rPr>
      <w:t>:2017/01402-ZME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DF409" w14:textId="3EE8145C" w:rsidR="009001E4" w:rsidRDefault="00C45C87" w:rsidP="00817B48">
    <w:pPr>
      <w:pStyle w:val="Hlavika"/>
      <w:rPr>
        <w:sz w:val="18"/>
        <w:szCs w:val="18"/>
      </w:rPr>
    </w:pPr>
    <w:r w:rsidRPr="00817B48">
      <w:rPr>
        <w:sz w:val="18"/>
        <w:lang w:val="sk-SK"/>
      </w:rPr>
      <w:t>Schválený text k rozhodnutiu o zmene, ev. č.</w:t>
    </w:r>
    <w:r>
      <w:rPr>
        <w:sz w:val="18"/>
        <w:szCs w:val="18"/>
      </w:rPr>
      <w:t>:</w:t>
    </w:r>
  </w:p>
  <w:p w14:paraId="3F27DE01" w14:textId="77777777" w:rsidR="0054131D" w:rsidRDefault="00541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E42E6"/>
    <w:multiLevelType w:val="singleLevel"/>
    <w:tmpl w:val="5DB683C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0F5A2DFE"/>
    <w:multiLevelType w:val="hybridMultilevel"/>
    <w:tmpl w:val="62DE5B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3FD4"/>
    <w:multiLevelType w:val="hybridMultilevel"/>
    <w:tmpl w:val="E9F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2DD0"/>
    <w:multiLevelType w:val="hybridMultilevel"/>
    <w:tmpl w:val="691A6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E6F4C"/>
    <w:multiLevelType w:val="hybridMultilevel"/>
    <w:tmpl w:val="5CB889AC"/>
    <w:lvl w:ilvl="0" w:tplc="3E444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97A1E"/>
    <w:multiLevelType w:val="hybridMultilevel"/>
    <w:tmpl w:val="62D284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A6720"/>
    <w:multiLevelType w:val="hybridMultilevel"/>
    <w:tmpl w:val="F5D47F9C"/>
    <w:lvl w:ilvl="0" w:tplc="6598DE3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B57A7"/>
    <w:multiLevelType w:val="hybridMultilevel"/>
    <w:tmpl w:val="4B1828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44D8A"/>
    <w:multiLevelType w:val="hybridMultilevel"/>
    <w:tmpl w:val="E8BC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94BD1"/>
    <w:multiLevelType w:val="hybridMultilevel"/>
    <w:tmpl w:val="A6B04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386E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CA2A59"/>
    <w:multiLevelType w:val="hybridMultilevel"/>
    <w:tmpl w:val="9054652E"/>
    <w:lvl w:ilvl="0" w:tplc="83EC7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386E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54159"/>
    <w:multiLevelType w:val="hybridMultilevel"/>
    <w:tmpl w:val="6416F5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23691"/>
    <w:multiLevelType w:val="hybridMultilevel"/>
    <w:tmpl w:val="239EE758"/>
    <w:lvl w:ilvl="0" w:tplc="9560FF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F0F2C"/>
    <w:multiLevelType w:val="hybridMultilevel"/>
    <w:tmpl w:val="691CEE2E"/>
    <w:lvl w:ilvl="0" w:tplc="15CEDED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C34"/>
    <w:rsid w:val="00003D70"/>
    <w:rsid w:val="00006289"/>
    <w:rsid w:val="00010276"/>
    <w:rsid w:val="00013A61"/>
    <w:rsid w:val="00015C20"/>
    <w:rsid w:val="000166B2"/>
    <w:rsid w:val="000212B9"/>
    <w:rsid w:val="0002161A"/>
    <w:rsid w:val="00026A91"/>
    <w:rsid w:val="00030E31"/>
    <w:rsid w:val="00032546"/>
    <w:rsid w:val="000417F1"/>
    <w:rsid w:val="00042E08"/>
    <w:rsid w:val="000527B7"/>
    <w:rsid w:val="00062E35"/>
    <w:rsid w:val="0007575A"/>
    <w:rsid w:val="000764D3"/>
    <w:rsid w:val="00080650"/>
    <w:rsid w:val="00082911"/>
    <w:rsid w:val="00094D64"/>
    <w:rsid w:val="00094F07"/>
    <w:rsid w:val="00095422"/>
    <w:rsid w:val="000B5F8E"/>
    <w:rsid w:val="000C62D6"/>
    <w:rsid w:val="000C6F80"/>
    <w:rsid w:val="000C7CDD"/>
    <w:rsid w:val="000D5887"/>
    <w:rsid w:val="000D7A30"/>
    <w:rsid w:val="000E1FA4"/>
    <w:rsid w:val="000E495A"/>
    <w:rsid w:val="000F1548"/>
    <w:rsid w:val="00105A21"/>
    <w:rsid w:val="001131AF"/>
    <w:rsid w:val="001209DA"/>
    <w:rsid w:val="001278ED"/>
    <w:rsid w:val="00130192"/>
    <w:rsid w:val="001309BC"/>
    <w:rsid w:val="00142747"/>
    <w:rsid w:val="00147F0C"/>
    <w:rsid w:val="0016366B"/>
    <w:rsid w:val="00164A2B"/>
    <w:rsid w:val="0016674F"/>
    <w:rsid w:val="00167E25"/>
    <w:rsid w:val="00184CEE"/>
    <w:rsid w:val="0019005E"/>
    <w:rsid w:val="00193C60"/>
    <w:rsid w:val="00197286"/>
    <w:rsid w:val="001A4585"/>
    <w:rsid w:val="001A6BE6"/>
    <w:rsid w:val="001A74B0"/>
    <w:rsid w:val="001B4544"/>
    <w:rsid w:val="001B542A"/>
    <w:rsid w:val="001B5D96"/>
    <w:rsid w:val="001C2746"/>
    <w:rsid w:val="001C3F83"/>
    <w:rsid w:val="001E3106"/>
    <w:rsid w:val="001F2157"/>
    <w:rsid w:val="00200C4E"/>
    <w:rsid w:val="00200F9C"/>
    <w:rsid w:val="002057FB"/>
    <w:rsid w:val="00211F65"/>
    <w:rsid w:val="002125A3"/>
    <w:rsid w:val="002169C2"/>
    <w:rsid w:val="00217793"/>
    <w:rsid w:val="00220B76"/>
    <w:rsid w:val="002244CF"/>
    <w:rsid w:val="0023043D"/>
    <w:rsid w:val="00230E15"/>
    <w:rsid w:val="00232FCE"/>
    <w:rsid w:val="00236668"/>
    <w:rsid w:val="002376D7"/>
    <w:rsid w:val="00250FF0"/>
    <w:rsid w:val="002545CD"/>
    <w:rsid w:val="00254627"/>
    <w:rsid w:val="00264C4D"/>
    <w:rsid w:val="002833F6"/>
    <w:rsid w:val="00291CEE"/>
    <w:rsid w:val="00292329"/>
    <w:rsid w:val="002928C5"/>
    <w:rsid w:val="002A1908"/>
    <w:rsid w:val="002A2CF0"/>
    <w:rsid w:val="002C05C9"/>
    <w:rsid w:val="002C2435"/>
    <w:rsid w:val="002D293E"/>
    <w:rsid w:val="002E685E"/>
    <w:rsid w:val="002F213A"/>
    <w:rsid w:val="002F2664"/>
    <w:rsid w:val="002F5120"/>
    <w:rsid w:val="003227EF"/>
    <w:rsid w:val="003367AC"/>
    <w:rsid w:val="003369A4"/>
    <w:rsid w:val="003418B1"/>
    <w:rsid w:val="00341D23"/>
    <w:rsid w:val="00343A7E"/>
    <w:rsid w:val="003528AA"/>
    <w:rsid w:val="00355D94"/>
    <w:rsid w:val="0036190A"/>
    <w:rsid w:val="00380B61"/>
    <w:rsid w:val="00385C71"/>
    <w:rsid w:val="0038617A"/>
    <w:rsid w:val="00393676"/>
    <w:rsid w:val="00393B9F"/>
    <w:rsid w:val="003A2CB7"/>
    <w:rsid w:val="003A52D9"/>
    <w:rsid w:val="003A5BA1"/>
    <w:rsid w:val="003C0109"/>
    <w:rsid w:val="003C2C80"/>
    <w:rsid w:val="003D3905"/>
    <w:rsid w:val="003E09AB"/>
    <w:rsid w:val="003E3CD0"/>
    <w:rsid w:val="003E5A88"/>
    <w:rsid w:val="003F065B"/>
    <w:rsid w:val="003F1DF8"/>
    <w:rsid w:val="003F23FC"/>
    <w:rsid w:val="003F43FE"/>
    <w:rsid w:val="00407412"/>
    <w:rsid w:val="0041195A"/>
    <w:rsid w:val="00412A1D"/>
    <w:rsid w:val="004135D1"/>
    <w:rsid w:val="00413758"/>
    <w:rsid w:val="004146CD"/>
    <w:rsid w:val="004158BF"/>
    <w:rsid w:val="00416B06"/>
    <w:rsid w:val="004210C0"/>
    <w:rsid w:val="00433200"/>
    <w:rsid w:val="00440D4F"/>
    <w:rsid w:val="00440F56"/>
    <w:rsid w:val="00457E92"/>
    <w:rsid w:val="00467A48"/>
    <w:rsid w:val="00474421"/>
    <w:rsid w:val="00477666"/>
    <w:rsid w:val="00477E61"/>
    <w:rsid w:val="004824F3"/>
    <w:rsid w:val="004918B9"/>
    <w:rsid w:val="004961D5"/>
    <w:rsid w:val="00496C3A"/>
    <w:rsid w:val="00497214"/>
    <w:rsid w:val="004A0970"/>
    <w:rsid w:val="004A1AEA"/>
    <w:rsid w:val="004A67A4"/>
    <w:rsid w:val="004B0993"/>
    <w:rsid w:val="004B7C4A"/>
    <w:rsid w:val="004C2084"/>
    <w:rsid w:val="004C3F63"/>
    <w:rsid w:val="004C6C57"/>
    <w:rsid w:val="004E769F"/>
    <w:rsid w:val="004F465F"/>
    <w:rsid w:val="004F6389"/>
    <w:rsid w:val="00500BF8"/>
    <w:rsid w:val="005173A5"/>
    <w:rsid w:val="005240D1"/>
    <w:rsid w:val="00525897"/>
    <w:rsid w:val="0054131D"/>
    <w:rsid w:val="0054436E"/>
    <w:rsid w:val="005447DB"/>
    <w:rsid w:val="00550BB4"/>
    <w:rsid w:val="00557ECF"/>
    <w:rsid w:val="0056333A"/>
    <w:rsid w:val="00563FD1"/>
    <w:rsid w:val="0057244A"/>
    <w:rsid w:val="00582E0C"/>
    <w:rsid w:val="0058671E"/>
    <w:rsid w:val="005A4429"/>
    <w:rsid w:val="005B15B7"/>
    <w:rsid w:val="005B4D8D"/>
    <w:rsid w:val="005D746D"/>
    <w:rsid w:val="005E0C7E"/>
    <w:rsid w:val="005E5F3E"/>
    <w:rsid w:val="005E6E6E"/>
    <w:rsid w:val="005F33A9"/>
    <w:rsid w:val="00603B0F"/>
    <w:rsid w:val="00604C16"/>
    <w:rsid w:val="00605CEE"/>
    <w:rsid w:val="00616E56"/>
    <w:rsid w:val="00617D49"/>
    <w:rsid w:val="00621D91"/>
    <w:rsid w:val="00624FD9"/>
    <w:rsid w:val="0063020C"/>
    <w:rsid w:val="006313ED"/>
    <w:rsid w:val="0063226F"/>
    <w:rsid w:val="00634DBD"/>
    <w:rsid w:val="0063735C"/>
    <w:rsid w:val="00640EF2"/>
    <w:rsid w:val="006551EC"/>
    <w:rsid w:val="006719E6"/>
    <w:rsid w:val="006820DC"/>
    <w:rsid w:val="006826AD"/>
    <w:rsid w:val="00685368"/>
    <w:rsid w:val="0069004F"/>
    <w:rsid w:val="00691E4C"/>
    <w:rsid w:val="0069547B"/>
    <w:rsid w:val="006A3B91"/>
    <w:rsid w:val="006A3D95"/>
    <w:rsid w:val="006A411C"/>
    <w:rsid w:val="006B2E76"/>
    <w:rsid w:val="006C2968"/>
    <w:rsid w:val="006C2B8C"/>
    <w:rsid w:val="006C3DD3"/>
    <w:rsid w:val="006D1A31"/>
    <w:rsid w:val="006D445D"/>
    <w:rsid w:val="006D44B6"/>
    <w:rsid w:val="006D4D66"/>
    <w:rsid w:val="006E114D"/>
    <w:rsid w:val="006E1734"/>
    <w:rsid w:val="006E728E"/>
    <w:rsid w:val="006F0A93"/>
    <w:rsid w:val="006F32A8"/>
    <w:rsid w:val="006F5695"/>
    <w:rsid w:val="007003D8"/>
    <w:rsid w:val="00700A77"/>
    <w:rsid w:val="00702DB0"/>
    <w:rsid w:val="0071004E"/>
    <w:rsid w:val="00712DD6"/>
    <w:rsid w:val="00724102"/>
    <w:rsid w:val="00725B71"/>
    <w:rsid w:val="00731934"/>
    <w:rsid w:val="0073689A"/>
    <w:rsid w:val="00740497"/>
    <w:rsid w:val="0074083C"/>
    <w:rsid w:val="00743D37"/>
    <w:rsid w:val="00747906"/>
    <w:rsid w:val="00771135"/>
    <w:rsid w:val="007719C5"/>
    <w:rsid w:val="007864F1"/>
    <w:rsid w:val="007B02F4"/>
    <w:rsid w:val="007B5079"/>
    <w:rsid w:val="007C0735"/>
    <w:rsid w:val="007C46C3"/>
    <w:rsid w:val="00800DBB"/>
    <w:rsid w:val="008079DA"/>
    <w:rsid w:val="00810F6F"/>
    <w:rsid w:val="00812CE1"/>
    <w:rsid w:val="00813665"/>
    <w:rsid w:val="00813EE5"/>
    <w:rsid w:val="0081658D"/>
    <w:rsid w:val="00817B48"/>
    <w:rsid w:val="00835D1C"/>
    <w:rsid w:val="00842D3B"/>
    <w:rsid w:val="0084563B"/>
    <w:rsid w:val="008460BA"/>
    <w:rsid w:val="008621B1"/>
    <w:rsid w:val="00864188"/>
    <w:rsid w:val="00870370"/>
    <w:rsid w:val="00874E8C"/>
    <w:rsid w:val="00890A84"/>
    <w:rsid w:val="00893360"/>
    <w:rsid w:val="008A6194"/>
    <w:rsid w:val="008A7157"/>
    <w:rsid w:val="008B1F72"/>
    <w:rsid w:val="008B4262"/>
    <w:rsid w:val="008C5D09"/>
    <w:rsid w:val="008D2AD4"/>
    <w:rsid w:val="008E006E"/>
    <w:rsid w:val="008F3407"/>
    <w:rsid w:val="009001E4"/>
    <w:rsid w:val="009058FD"/>
    <w:rsid w:val="00906961"/>
    <w:rsid w:val="00911273"/>
    <w:rsid w:val="009230ED"/>
    <w:rsid w:val="00944AAB"/>
    <w:rsid w:val="00947E91"/>
    <w:rsid w:val="00953432"/>
    <w:rsid w:val="0095762A"/>
    <w:rsid w:val="00962188"/>
    <w:rsid w:val="00971BA4"/>
    <w:rsid w:val="00974CCB"/>
    <w:rsid w:val="00976993"/>
    <w:rsid w:val="00982CDC"/>
    <w:rsid w:val="0098540D"/>
    <w:rsid w:val="00985E92"/>
    <w:rsid w:val="009871CB"/>
    <w:rsid w:val="009A04A6"/>
    <w:rsid w:val="009B1D58"/>
    <w:rsid w:val="009B77F5"/>
    <w:rsid w:val="009C0516"/>
    <w:rsid w:val="009C6C98"/>
    <w:rsid w:val="009D0391"/>
    <w:rsid w:val="009D03DC"/>
    <w:rsid w:val="009F57D7"/>
    <w:rsid w:val="009F5FE5"/>
    <w:rsid w:val="009F6D27"/>
    <w:rsid w:val="009F736A"/>
    <w:rsid w:val="00A00454"/>
    <w:rsid w:val="00A008D5"/>
    <w:rsid w:val="00A05A31"/>
    <w:rsid w:val="00A06F3F"/>
    <w:rsid w:val="00A20461"/>
    <w:rsid w:val="00A24871"/>
    <w:rsid w:val="00A255D1"/>
    <w:rsid w:val="00A3485B"/>
    <w:rsid w:val="00A73A3E"/>
    <w:rsid w:val="00A73FA2"/>
    <w:rsid w:val="00A8159D"/>
    <w:rsid w:val="00A823B6"/>
    <w:rsid w:val="00A84516"/>
    <w:rsid w:val="00AA0EEA"/>
    <w:rsid w:val="00AA243B"/>
    <w:rsid w:val="00AA58A9"/>
    <w:rsid w:val="00AB21FD"/>
    <w:rsid w:val="00AB5B2D"/>
    <w:rsid w:val="00AC4780"/>
    <w:rsid w:val="00AC58C8"/>
    <w:rsid w:val="00AD2625"/>
    <w:rsid w:val="00AE5203"/>
    <w:rsid w:val="00AE693A"/>
    <w:rsid w:val="00AF0755"/>
    <w:rsid w:val="00AF67FD"/>
    <w:rsid w:val="00B0004D"/>
    <w:rsid w:val="00B107DF"/>
    <w:rsid w:val="00B12A5B"/>
    <w:rsid w:val="00B1633A"/>
    <w:rsid w:val="00B27409"/>
    <w:rsid w:val="00B3640D"/>
    <w:rsid w:val="00B41897"/>
    <w:rsid w:val="00B54680"/>
    <w:rsid w:val="00B60205"/>
    <w:rsid w:val="00B6765E"/>
    <w:rsid w:val="00B75717"/>
    <w:rsid w:val="00B80BC0"/>
    <w:rsid w:val="00B900B0"/>
    <w:rsid w:val="00B90EE0"/>
    <w:rsid w:val="00B96BA0"/>
    <w:rsid w:val="00BB560E"/>
    <w:rsid w:val="00BC4CC4"/>
    <w:rsid w:val="00BC50A1"/>
    <w:rsid w:val="00BD4E65"/>
    <w:rsid w:val="00BE37AF"/>
    <w:rsid w:val="00BE5299"/>
    <w:rsid w:val="00BF04B1"/>
    <w:rsid w:val="00BF2C89"/>
    <w:rsid w:val="00C0015C"/>
    <w:rsid w:val="00C0294F"/>
    <w:rsid w:val="00C10837"/>
    <w:rsid w:val="00C12CCA"/>
    <w:rsid w:val="00C17883"/>
    <w:rsid w:val="00C21F47"/>
    <w:rsid w:val="00C30E6F"/>
    <w:rsid w:val="00C31B1A"/>
    <w:rsid w:val="00C3445C"/>
    <w:rsid w:val="00C37787"/>
    <w:rsid w:val="00C45C87"/>
    <w:rsid w:val="00C52CC9"/>
    <w:rsid w:val="00C630BE"/>
    <w:rsid w:val="00C7523F"/>
    <w:rsid w:val="00C761E7"/>
    <w:rsid w:val="00C77E48"/>
    <w:rsid w:val="00C86FF2"/>
    <w:rsid w:val="00C92322"/>
    <w:rsid w:val="00C95F47"/>
    <w:rsid w:val="00CA0116"/>
    <w:rsid w:val="00CA6981"/>
    <w:rsid w:val="00CC3F41"/>
    <w:rsid w:val="00CC60DF"/>
    <w:rsid w:val="00CD1BC6"/>
    <w:rsid w:val="00CD72AA"/>
    <w:rsid w:val="00CE21CA"/>
    <w:rsid w:val="00CE228C"/>
    <w:rsid w:val="00CE723B"/>
    <w:rsid w:val="00CF357A"/>
    <w:rsid w:val="00D04502"/>
    <w:rsid w:val="00D11C9A"/>
    <w:rsid w:val="00D20A78"/>
    <w:rsid w:val="00D233E3"/>
    <w:rsid w:val="00D41648"/>
    <w:rsid w:val="00D42674"/>
    <w:rsid w:val="00D441DB"/>
    <w:rsid w:val="00D45B25"/>
    <w:rsid w:val="00D45D26"/>
    <w:rsid w:val="00D46FD5"/>
    <w:rsid w:val="00D71930"/>
    <w:rsid w:val="00D8022C"/>
    <w:rsid w:val="00D84CE2"/>
    <w:rsid w:val="00D878EC"/>
    <w:rsid w:val="00D90957"/>
    <w:rsid w:val="00D97978"/>
    <w:rsid w:val="00DA2243"/>
    <w:rsid w:val="00DB4CC4"/>
    <w:rsid w:val="00DC32BC"/>
    <w:rsid w:val="00DC5DC4"/>
    <w:rsid w:val="00DC7455"/>
    <w:rsid w:val="00DD061B"/>
    <w:rsid w:val="00DD1387"/>
    <w:rsid w:val="00DD53AC"/>
    <w:rsid w:val="00DE32CF"/>
    <w:rsid w:val="00DF2A54"/>
    <w:rsid w:val="00DF2E00"/>
    <w:rsid w:val="00E10134"/>
    <w:rsid w:val="00E129B5"/>
    <w:rsid w:val="00E1555B"/>
    <w:rsid w:val="00E15A37"/>
    <w:rsid w:val="00E17513"/>
    <w:rsid w:val="00E21E22"/>
    <w:rsid w:val="00E25A97"/>
    <w:rsid w:val="00E318EA"/>
    <w:rsid w:val="00E35A42"/>
    <w:rsid w:val="00E42CAD"/>
    <w:rsid w:val="00E53263"/>
    <w:rsid w:val="00E66393"/>
    <w:rsid w:val="00E67E04"/>
    <w:rsid w:val="00E7411A"/>
    <w:rsid w:val="00E82CE7"/>
    <w:rsid w:val="00E8355A"/>
    <w:rsid w:val="00E8427B"/>
    <w:rsid w:val="00EA284F"/>
    <w:rsid w:val="00EB3799"/>
    <w:rsid w:val="00EB4F16"/>
    <w:rsid w:val="00EB6983"/>
    <w:rsid w:val="00EB749D"/>
    <w:rsid w:val="00EC1BE9"/>
    <w:rsid w:val="00EC602F"/>
    <w:rsid w:val="00ED2C56"/>
    <w:rsid w:val="00ED5945"/>
    <w:rsid w:val="00EF227C"/>
    <w:rsid w:val="00EF3003"/>
    <w:rsid w:val="00EF346F"/>
    <w:rsid w:val="00EF5D65"/>
    <w:rsid w:val="00EF737B"/>
    <w:rsid w:val="00F11B1D"/>
    <w:rsid w:val="00F14EC1"/>
    <w:rsid w:val="00F222A0"/>
    <w:rsid w:val="00F263C5"/>
    <w:rsid w:val="00F33A02"/>
    <w:rsid w:val="00F45BA5"/>
    <w:rsid w:val="00F45C34"/>
    <w:rsid w:val="00F47556"/>
    <w:rsid w:val="00F6606B"/>
    <w:rsid w:val="00F70D69"/>
    <w:rsid w:val="00F76BF2"/>
    <w:rsid w:val="00F8102C"/>
    <w:rsid w:val="00F81AA0"/>
    <w:rsid w:val="00F8315B"/>
    <w:rsid w:val="00F84557"/>
    <w:rsid w:val="00F940A8"/>
    <w:rsid w:val="00F97E36"/>
    <w:rsid w:val="00FA60AB"/>
    <w:rsid w:val="00FB70FF"/>
    <w:rsid w:val="00FC5E59"/>
    <w:rsid w:val="00FC60B9"/>
    <w:rsid w:val="00FC67B4"/>
    <w:rsid w:val="00FD0F23"/>
    <w:rsid w:val="00FD20BC"/>
    <w:rsid w:val="00FD766A"/>
    <w:rsid w:val="00FF0EFB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7F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E6E6E"/>
    <w:pPr>
      <w:keepNext/>
      <w:spacing w:before="120"/>
      <w:ind w:left="0" w:firstLine="0"/>
      <w:outlineLvl w:val="0"/>
    </w:pPr>
    <w:rPr>
      <w:sz w:val="24"/>
      <w:szCs w:val="20"/>
      <w:lang w:val="cs-CZ"/>
    </w:rPr>
  </w:style>
  <w:style w:type="paragraph" w:styleId="Nadpis2">
    <w:name w:val="heading 2"/>
    <w:basedOn w:val="Normlny"/>
    <w:next w:val="Normlny"/>
    <w:link w:val="Nadpis2Char"/>
    <w:qFormat/>
    <w:rsid w:val="000417F1"/>
    <w:pPr>
      <w:keepNext/>
      <w:ind w:left="0" w:firstLine="0"/>
      <w:outlineLvl w:val="1"/>
    </w:pPr>
    <w:rPr>
      <w:b/>
      <w:sz w:val="24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F45C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0417F1"/>
    <w:pPr>
      <w:ind w:left="0" w:firstLine="0"/>
    </w:pPr>
  </w:style>
  <w:style w:type="character" w:customStyle="1" w:styleId="ZkladntextChar">
    <w:name w:val="Základný text Char"/>
    <w:link w:val="Zkladntext"/>
    <w:rsid w:val="00F45C34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0417F1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F8102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5E6E6E"/>
    <w:rPr>
      <w:rFonts w:ascii="Times New Roman" w:eastAsia="Times New Roman" w:hAnsi="Times New Roman"/>
      <w:sz w:val="24"/>
      <w:lang w:val="cs-CZ" w:eastAsia="sk-SK"/>
    </w:rPr>
  </w:style>
  <w:style w:type="character" w:customStyle="1" w:styleId="Nadpis2Char">
    <w:name w:val="Nadpis 2 Char"/>
    <w:link w:val="Nadpis2"/>
    <w:rsid w:val="000417F1"/>
    <w:rPr>
      <w:rFonts w:ascii="Times New Roman" w:eastAsia="Times New Roman" w:hAnsi="Times New Roman"/>
      <w:b/>
      <w:sz w:val="24"/>
      <w:u w:val="single"/>
      <w:lang w:val="cs-CZ" w:eastAsia="sk-SK"/>
    </w:rPr>
  </w:style>
  <w:style w:type="character" w:styleId="slostrany">
    <w:name w:val="page number"/>
    <w:basedOn w:val="Predvolenpsmoodseku"/>
    <w:rsid w:val="000417F1"/>
  </w:style>
  <w:style w:type="paragraph" w:styleId="Hlavika">
    <w:name w:val="header"/>
    <w:basedOn w:val="Normlny"/>
    <w:link w:val="HlavikaChar"/>
    <w:rsid w:val="000417F1"/>
    <w:pPr>
      <w:tabs>
        <w:tab w:val="center" w:pos="4536"/>
        <w:tab w:val="right" w:pos="9072"/>
      </w:tabs>
      <w:ind w:left="0" w:firstLine="0"/>
    </w:pPr>
    <w:rPr>
      <w:sz w:val="20"/>
      <w:szCs w:val="20"/>
      <w:lang w:val="cs-CZ"/>
    </w:rPr>
  </w:style>
  <w:style w:type="character" w:customStyle="1" w:styleId="HlavikaChar">
    <w:name w:val="Hlavička Char"/>
    <w:link w:val="Hlavika"/>
    <w:rsid w:val="000417F1"/>
    <w:rPr>
      <w:rFonts w:ascii="Times New Roman" w:eastAsia="Times New Roman" w:hAnsi="Times New Roman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0BC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2746"/>
    <w:pPr>
      <w:ind w:left="708"/>
    </w:pPr>
  </w:style>
  <w:style w:type="paragraph" w:styleId="Revzia">
    <w:name w:val="Revision"/>
    <w:hidden/>
    <w:uiPriority w:val="99"/>
    <w:semiHidden/>
    <w:rsid w:val="00015C20"/>
    <w:rPr>
      <w:rFonts w:ascii="Times New Roman" w:eastAsia="Times New Roman" w:hAnsi="Times New Roman"/>
      <w:sz w:val="22"/>
      <w:szCs w:val="24"/>
    </w:rPr>
  </w:style>
  <w:style w:type="character" w:styleId="Odkaznakomentr">
    <w:name w:val="annotation reference"/>
    <w:rsid w:val="00E8427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8427B"/>
    <w:pPr>
      <w:spacing w:after="60"/>
      <w:ind w:left="0" w:firstLine="0"/>
      <w:jc w:val="both"/>
    </w:pPr>
    <w:rPr>
      <w:rFonts w:eastAsia="MS Mincho"/>
      <w:sz w:val="20"/>
      <w:szCs w:val="20"/>
      <w:lang w:val="fr-FR" w:eastAsia="fr-FR"/>
    </w:rPr>
  </w:style>
  <w:style w:type="character" w:customStyle="1" w:styleId="TextkomentraChar">
    <w:name w:val="Text komentára Char"/>
    <w:link w:val="Textkomentra"/>
    <w:rsid w:val="00E8427B"/>
    <w:rPr>
      <w:rFonts w:ascii="Times New Roman" w:eastAsia="MS Mincho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04D"/>
    <w:pPr>
      <w:spacing w:after="0"/>
      <w:ind w:left="567" w:hanging="567"/>
      <w:jc w:val="left"/>
    </w:pPr>
    <w:rPr>
      <w:rFonts w:eastAsia="Times New Roman"/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B0004D"/>
    <w:rPr>
      <w:rFonts w:ascii="Times New Roman" w:eastAsia="Times New Roman" w:hAnsi="Times New Roman"/>
      <w:b/>
      <w:bCs/>
      <w:lang w:val="fr-FR" w:eastAsia="fr-FR"/>
    </w:rPr>
  </w:style>
  <w:style w:type="paragraph" w:customStyle="1" w:styleId="Default">
    <w:name w:val="Default"/>
    <w:rsid w:val="005E0C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rsid w:val="006D4D66"/>
    <w:rPr>
      <w:color w:val="0000FF"/>
      <w:u w:val="single"/>
    </w:rPr>
  </w:style>
  <w:style w:type="character" w:customStyle="1" w:styleId="st1">
    <w:name w:val="st1"/>
    <w:rsid w:val="006D4D66"/>
  </w:style>
  <w:style w:type="character" w:styleId="Zvraznenie">
    <w:name w:val="Emphasis"/>
    <w:uiPriority w:val="20"/>
    <w:qFormat/>
    <w:rsid w:val="006D4D6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7F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E6E6E"/>
    <w:pPr>
      <w:keepNext/>
      <w:spacing w:before="120"/>
      <w:ind w:left="0" w:firstLine="0"/>
      <w:outlineLvl w:val="0"/>
    </w:pPr>
    <w:rPr>
      <w:sz w:val="24"/>
      <w:szCs w:val="20"/>
      <w:lang w:val="cs-CZ"/>
    </w:rPr>
  </w:style>
  <w:style w:type="paragraph" w:styleId="Nadpis2">
    <w:name w:val="heading 2"/>
    <w:basedOn w:val="Normlny"/>
    <w:next w:val="Normlny"/>
    <w:link w:val="Nadpis2Char"/>
    <w:qFormat/>
    <w:rsid w:val="000417F1"/>
    <w:pPr>
      <w:keepNext/>
      <w:ind w:left="0" w:firstLine="0"/>
      <w:outlineLvl w:val="1"/>
    </w:pPr>
    <w:rPr>
      <w:b/>
      <w:sz w:val="24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F45C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0417F1"/>
    <w:pPr>
      <w:ind w:left="0" w:firstLine="0"/>
    </w:pPr>
  </w:style>
  <w:style w:type="character" w:customStyle="1" w:styleId="ZkladntextChar">
    <w:name w:val="Základný text Char"/>
    <w:link w:val="Zkladntext"/>
    <w:rsid w:val="00F45C34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0417F1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F8102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5E6E6E"/>
    <w:rPr>
      <w:rFonts w:ascii="Times New Roman" w:eastAsia="Times New Roman" w:hAnsi="Times New Roman"/>
      <w:sz w:val="24"/>
      <w:lang w:val="cs-CZ" w:eastAsia="sk-SK"/>
    </w:rPr>
  </w:style>
  <w:style w:type="character" w:customStyle="1" w:styleId="Nadpis2Char">
    <w:name w:val="Nadpis 2 Char"/>
    <w:link w:val="Nadpis2"/>
    <w:rsid w:val="000417F1"/>
    <w:rPr>
      <w:rFonts w:ascii="Times New Roman" w:eastAsia="Times New Roman" w:hAnsi="Times New Roman"/>
      <w:b/>
      <w:sz w:val="24"/>
      <w:u w:val="single"/>
      <w:lang w:val="cs-CZ" w:eastAsia="sk-SK"/>
    </w:rPr>
  </w:style>
  <w:style w:type="character" w:styleId="slostrany">
    <w:name w:val="page number"/>
    <w:basedOn w:val="Predvolenpsmoodseku"/>
    <w:rsid w:val="000417F1"/>
  </w:style>
  <w:style w:type="paragraph" w:styleId="Hlavika">
    <w:name w:val="header"/>
    <w:basedOn w:val="Normlny"/>
    <w:link w:val="HlavikaChar"/>
    <w:rsid w:val="000417F1"/>
    <w:pPr>
      <w:tabs>
        <w:tab w:val="center" w:pos="4536"/>
        <w:tab w:val="right" w:pos="9072"/>
      </w:tabs>
      <w:ind w:left="0" w:firstLine="0"/>
    </w:pPr>
    <w:rPr>
      <w:sz w:val="20"/>
      <w:szCs w:val="20"/>
      <w:lang w:val="cs-CZ"/>
    </w:rPr>
  </w:style>
  <w:style w:type="character" w:customStyle="1" w:styleId="HlavikaChar">
    <w:name w:val="Hlavička Char"/>
    <w:link w:val="Hlavika"/>
    <w:rsid w:val="000417F1"/>
    <w:rPr>
      <w:rFonts w:ascii="Times New Roman" w:eastAsia="Times New Roman" w:hAnsi="Times New Roman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0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0BC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2746"/>
    <w:pPr>
      <w:ind w:left="708"/>
    </w:pPr>
  </w:style>
  <w:style w:type="paragraph" w:styleId="Revzia">
    <w:name w:val="Revision"/>
    <w:hidden/>
    <w:uiPriority w:val="99"/>
    <w:semiHidden/>
    <w:rsid w:val="00015C20"/>
    <w:rPr>
      <w:rFonts w:ascii="Times New Roman" w:eastAsia="Times New Roman" w:hAnsi="Times New Roman"/>
      <w:sz w:val="22"/>
      <w:szCs w:val="24"/>
    </w:rPr>
  </w:style>
  <w:style w:type="character" w:styleId="Odkaznakomentr">
    <w:name w:val="annotation reference"/>
    <w:rsid w:val="00E8427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8427B"/>
    <w:pPr>
      <w:spacing w:after="60"/>
      <w:ind w:left="0" w:firstLine="0"/>
      <w:jc w:val="both"/>
    </w:pPr>
    <w:rPr>
      <w:rFonts w:eastAsia="MS Mincho"/>
      <w:sz w:val="20"/>
      <w:szCs w:val="20"/>
      <w:lang w:val="fr-FR" w:eastAsia="fr-FR"/>
    </w:rPr>
  </w:style>
  <w:style w:type="character" w:customStyle="1" w:styleId="TextkomentraChar">
    <w:name w:val="Text komentára Char"/>
    <w:link w:val="Textkomentra"/>
    <w:rsid w:val="00E8427B"/>
    <w:rPr>
      <w:rFonts w:ascii="Times New Roman" w:eastAsia="MS Mincho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04D"/>
    <w:pPr>
      <w:spacing w:after="0"/>
      <w:ind w:left="567" w:hanging="567"/>
      <w:jc w:val="left"/>
    </w:pPr>
    <w:rPr>
      <w:rFonts w:eastAsia="Times New Roman"/>
      <w:b/>
      <w:bCs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B0004D"/>
    <w:rPr>
      <w:rFonts w:ascii="Times New Roman" w:eastAsia="Times New Roman" w:hAnsi="Times New Roman"/>
      <w:b/>
      <w:bCs/>
      <w:lang w:val="fr-FR" w:eastAsia="fr-FR"/>
    </w:rPr>
  </w:style>
  <w:style w:type="paragraph" w:customStyle="1" w:styleId="Default">
    <w:name w:val="Default"/>
    <w:rsid w:val="005E0C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rsid w:val="006D4D66"/>
    <w:rPr>
      <w:color w:val="0000FF"/>
      <w:u w:val="single"/>
    </w:rPr>
  </w:style>
  <w:style w:type="character" w:customStyle="1" w:styleId="st1">
    <w:name w:val="st1"/>
    <w:rsid w:val="006D4D66"/>
  </w:style>
  <w:style w:type="character" w:styleId="Zvraznenie">
    <w:name w:val="Emphasis"/>
    <w:uiPriority w:val="20"/>
    <w:qFormat/>
    <w:rsid w:val="006D4D6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zmene, ev</vt:lpstr>
    </vt:vector>
  </TitlesOfParts>
  <Company>Zentiva a.s.</Company>
  <LinksUpToDate>false</LinksUpToDate>
  <CharactersWithSpaces>28724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Jarkovská Stanislava;Tatiana.Hlavienkova@sanofi.com</dc:creator>
  <cp:lastModifiedBy>Natalia </cp:lastModifiedBy>
  <cp:revision>4</cp:revision>
  <cp:lastPrinted>2019-08-28T06:49:00Z</cp:lastPrinted>
  <dcterms:created xsi:type="dcterms:W3CDTF">2019-08-27T08:53:00Z</dcterms:created>
  <dcterms:modified xsi:type="dcterms:W3CDTF">2019-08-28T06:50:00Z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-1980637482</vt:i4>
  </property>
  <property fmtid="{D5CDD505-2E9C-101B-9397-08002B2CF9AE}" pid="4" name="_EmailSubject">
    <vt:lpwstr>[EXTERNAL] Korylan, ev.č. 2017/01402-ZME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