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95" w:rsidRDefault="00A42D95">
      <w:pPr>
        <w:jc w:val="center"/>
        <w:rPr>
          <w:b/>
        </w:rPr>
      </w:pPr>
      <w:bookmarkStart w:id="0" w:name="_GoBack"/>
      <w:bookmarkEnd w:id="0"/>
    </w:p>
    <w:p w:rsidR="00780926" w:rsidRDefault="00780926">
      <w:pPr>
        <w:jc w:val="center"/>
        <w:rPr>
          <w:b/>
        </w:rPr>
      </w:pPr>
      <w:r w:rsidRPr="00B13F68">
        <w:rPr>
          <w:b/>
        </w:rPr>
        <w:t>SÚHRN CHARAKTERISTICKÝCH VLASTNOSTÍ LIEKU</w:t>
      </w:r>
    </w:p>
    <w:p w:rsidR="007731DA" w:rsidRDefault="007731DA">
      <w:pPr>
        <w:jc w:val="center"/>
        <w:rPr>
          <w:b/>
        </w:rPr>
      </w:pPr>
    </w:p>
    <w:p w:rsidR="007731DA" w:rsidRDefault="007731DA">
      <w:pPr>
        <w:jc w:val="center"/>
        <w:rPr>
          <w:b/>
        </w:rPr>
      </w:pPr>
    </w:p>
    <w:p w:rsidR="00B06E24" w:rsidRPr="00B13F68" w:rsidRDefault="00B06E24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:rsidR="00A2416F" w:rsidRDefault="00A2416F" w:rsidP="00E41B3F">
      <w:pPr>
        <w:rPr>
          <w:szCs w:val="22"/>
        </w:rPr>
      </w:pPr>
    </w:p>
    <w:p w:rsidR="00780926" w:rsidRDefault="00BF41BC" w:rsidP="00E41B3F">
      <w:pPr>
        <w:rPr>
          <w:szCs w:val="22"/>
        </w:rPr>
      </w:pPr>
      <w:r>
        <w:rPr>
          <w:szCs w:val="22"/>
        </w:rPr>
        <w:t>Nystatin Galvex supp.</w:t>
      </w:r>
      <w:r w:rsidR="00A42D95">
        <w:rPr>
          <w:szCs w:val="22"/>
        </w:rPr>
        <w:t xml:space="preserve"> </w:t>
      </w:r>
      <w:r>
        <w:rPr>
          <w:szCs w:val="22"/>
        </w:rPr>
        <w:t>vag.</w:t>
      </w:r>
    </w:p>
    <w:p w:rsidR="00BF41BC" w:rsidRDefault="00BF41BC" w:rsidP="00E41B3F">
      <w:pPr>
        <w:rPr>
          <w:szCs w:val="22"/>
        </w:rPr>
      </w:pPr>
      <w:r w:rsidRPr="005347C7">
        <w:rPr>
          <w:szCs w:val="22"/>
        </w:rPr>
        <w:t xml:space="preserve">100 000 IU  </w:t>
      </w:r>
      <w:r w:rsidR="00A2416F">
        <w:rPr>
          <w:szCs w:val="22"/>
        </w:rPr>
        <w:t xml:space="preserve">vaginálne </w:t>
      </w:r>
      <w:r w:rsidRPr="005347C7">
        <w:rPr>
          <w:szCs w:val="22"/>
        </w:rPr>
        <w:t>čapíky</w:t>
      </w:r>
    </w:p>
    <w:p w:rsidR="004D64E9" w:rsidRDefault="004D64E9" w:rsidP="00E41B3F">
      <w:pPr>
        <w:rPr>
          <w:b/>
          <w:szCs w:val="22"/>
        </w:rPr>
      </w:pPr>
    </w:p>
    <w:p w:rsidR="00A2416F" w:rsidRDefault="00A2416F" w:rsidP="00E41B3F">
      <w:pPr>
        <w:rPr>
          <w:b/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:rsidR="00780926" w:rsidRPr="00A75ECC" w:rsidRDefault="00780926" w:rsidP="00E41B3F">
      <w:pPr>
        <w:ind w:left="0" w:firstLine="0"/>
      </w:pPr>
    </w:p>
    <w:p w:rsidR="00544751" w:rsidRDefault="00BF41BC" w:rsidP="00E41B3F">
      <w:pPr>
        <w:rPr>
          <w:noProof/>
          <w:szCs w:val="22"/>
        </w:rPr>
      </w:pPr>
      <w:r>
        <w:rPr>
          <w:noProof/>
          <w:szCs w:val="22"/>
        </w:rPr>
        <w:t>1 čapík obsahuje 100 000 IU nystatínu.</w:t>
      </w:r>
    </w:p>
    <w:p w:rsidR="00BF41BC" w:rsidRDefault="00BF41BC" w:rsidP="00E41B3F">
      <w:pPr>
        <w:rPr>
          <w:noProof/>
          <w:szCs w:val="22"/>
        </w:rPr>
      </w:pPr>
    </w:p>
    <w:p w:rsidR="00544751" w:rsidRDefault="00544751" w:rsidP="00E41B3F">
      <w:pPr>
        <w:rPr>
          <w:noProof/>
          <w:szCs w:val="22"/>
        </w:rPr>
      </w:pPr>
      <w:r>
        <w:rPr>
          <w:noProof/>
          <w:szCs w:val="22"/>
        </w:rPr>
        <w:t>Úplný zoznam pomocných látok, pozri časť 6.1</w:t>
      </w:r>
    </w:p>
    <w:p w:rsidR="00544751" w:rsidRPr="003021DE" w:rsidRDefault="00544751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780926" w:rsidRPr="003021DE" w:rsidRDefault="00780926" w:rsidP="00E41B3F"/>
    <w:p w:rsidR="00544751" w:rsidRDefault="00B53669" w:rsidP="00E41B3F">
      <w:pPr>
        <w:rPr>
          <w:szCs w:val="22"/>
        </w:rPr>
      </w:pPr>
      <w:r>
        <w:rPr>
          <w:szCs w:val="22"/>
        </w:rPr>
        <w:t>Vaginálne čapíky</w:t>
      </w:r>
    </w:p>
    <w:p w:rsidR="00544751" w:rsidRPr="003021DE" w:rsidRDefault="0094130F" w:rsidP="00E41B3F">
      <w:pPr>
        <w:rPr>
          <w:szCs w:val="22"/>
        </w:rPr>
      </w:pPr>
      <w:r>
        <w:rPr>
          <w:szCs w:val="22"/>
        </w:rPr>
        <w:t xml:space="preserve">Čapíky torpédovitého tvaru </w:t>
      </w:r>
      <w:r w:rsidR="00C07744">
        <w:rPr>
          <w:szCs w:val="22"/>
        </w:rPr>
        <w:t>na</w:t>
      </w:r>
      <w:r w:rsidR="00CA5E84">
        <w:rPr>
          <w:szCs w:val="22"/>
        </w:rPr>
        <w:t>žlt</w:t>
      </w:r>
      <w:r w:rsidR="00C07744">
        <w:rPr>
          <w:szCs w:val="22"/>
        </w:rPr>
        <w:t>le</w:t>
      </w:r>
      <w:r w:rsidR="00CA5E84">
        <w:rPr>
          <w:szCs w:val="22"/>
        </w:rPr>
        <w:t xml:space="preserve">j </w:t>
      </w:r>
      <w:r>
        <w:rPr>
          <w:szCs w:val="22"/>
        </w:rPr>
        <w:t>farby</w:t>
      </w:r>
      <w:r w:rsidR="004D64E9">
        <w:rPr>
          <w:szCs w:val="22"/>
        </w:rPr>
        <w:t>.</w:t>
      </w:r>
    </w:p>
    <w:p w:rsidR="00780926" w:rsidRDefault="00780926" w:rsidP="00E41B3F">
      <w:pPr>
        <w:rPr>
          <w:szCs w:val="22"/>
        </w:rPr>
      </w:pPr>
    </w:p>
    <w:p w:rsidR="004D64E9" w:rsidRPr="003021DE" w:rsidRDefault="004D64E9" w:rsidP="00E41B3F">
      <w:pPr>
        <w:rPr>
          <w:szCs w:val="22"/>
        </w:rPr>
      </w:pPr>
    </w:p>
    <w:p w:rsidR="00780926" w:rsidRPr="003021DE" w:rsidRDefault="00780926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:rsidR="004D64E9" w:rsidRPr="004D64E9" w:rsidRDefault="004D64E9" w:rsidP="00A42D95">
      <w:pPr>
        <w:ind w:left="0" w:firstLine="0"/>
        <w:rPr>
          <w:szCs w:val="22"/>
        </w:rPr>
      </w:pPr>
      <w:r w:rsidRPr="004D64E9">
        <w:rPr>
          <w:szCs w:val="22"/>
        </w:rPr>
        <w:t>Nystatin Galvex sup</w:t>
      </w:r>
      <w:r w:rsidR="00A42D95">
        <w:rPr>
          <w:szCs w:val="22"/>
        </w:rPr>
        <w:t>p.</w:t>
      </w:r>
      <w:r w:rsidRPr="004D64E9">
        <w:rPr>
          <w:szCs w:val="22"/>
        </w:rPr>
        <w:t>vag</w:t>
      </w:r>
      <w:r w:rsidR="00A42D95">
        <w:rPr>
          <w:szCs w:val="22"/>
        </w:rPr>
        <w:t>.</w:t>
      </w:r>
      <w:r w:rsidRPr="004D64E9">
        <w:rPr>
          <w:szCs w:val="22"/>
        </w:rPr>
        <w:t xml:space="preserve"> </w:t>
      </w:r>
      <w:r w:rsidR="00D42FC9">
        <w:rPr>
          <w:szCs w:val="22"/>
        </w:rPr>
        <w:t>je indikovaný</w:t>
      </w:r>
      <w:r w:rsidRPr="004D64E9">
        <w:rPr>
          <w:szCs w:val="22"/>
        </w:rPr>
        <w:t xml:space="preserve"> na liečbu vaginálnej kandidózy.</w:t>
      </w:r>
    </w:p>
    <w:p w:rsidR="004D64E9" w:rsidRPr="004D64E9" w:rsidRDefault="004D64E9" w:rsidP="00A42D95">
      <w:pPr>
        <w:ind w:left="0" w:firstLine="0"/>
        <w:rPr>
          <w:szCs w:val="22"/>
        </w:rPr>
      </w:pPr>
      <w:r w:rsidRPr="004D64E9">
        <w:rPr>
          <w:szCs w:val="22"/>
        </w:rPr>
        <w:t xml:space="preserve">Do spektra jeho účinku patria kvasinkové mikroorganizmy rodov </w:t>
      </w:r>
      <w:r w:rsidRPr="004D64E9">
        <w:rPr>
          <w:i/>
          <w:szCs w:val="22"/>
        </w:rPr>
        <w:t>Candida, Rhodotorula, Torulopsis a Trichosporon.</w:t>
      </w:r>
      <w:r w:rsidRPr="004D64E9">
        <w:rPr>
          <w:szCs w:val="22"/>
        </w:rPr>
        <w:t xml:space="preserve"> Dobre pôsobí </w:t>
      </w:r>
      <w:r w:rsidR="00271380">
        <w:rPr>
          <w:szCs w:val="22"/>
        </w:rPr>
        <w:t>proti</w:t>
      </w:r>
      <w:r w:rsidR="00C07744">
        <w:rPr>
          <w:szCs w:val="22"/>
        </w:rPr>
        <w:t xml:space="preserve"> </w:t>
      </w:r>
      <w:r w:rsidRPr="004D64E9">
        <w:rPr>
          <w:szCs w:val="22"/>
        </w:rPr>
        <w:t>mikromycét</w:t>
      </w:r>
      <w:r w:rsidR="00271380">
        <w:rPr>
          <w:szCs w:val="22"/>
        </w:rPr>
        <w:t>am</w:t>
      </w:r>
      <w:r w:rsidRPr="004D64E9">
        <w:rPr>
          <w:szCs w:val="22"/>
        </w:rPr>
        <w:t xml:space="preserve"> rodu </w:t>
      </w:r>
      <w:r w:rsidRPr="004D64E9">
        <w:rPr>
          <w:i/>
          <w:szCs w:val="22"/>
        </w:rPr>
        <w:t>Aspergillus</w:t>
      </w:r>
      <w:r w:rsidRPr="004D64E9">
        <w:rPr>
          <w:szCs w:val="22"/>
        </w:rPr>
        <w:t xml:space="preserve">. Neúčinkuje na baktérie, aktinomycéty a vírusy. Liek nie je vhodný na liečbu endomykóz.  </w:t>
      </w:r>
    </w:p>
    <w:p w:rsidR="004D64E9" w:rsidRPr="004D64E9" w:rsidRDefault="004D64E9" w:rsidP="00A42D95">
      <w:pPr>
        <w:ind w:left="0" w:firstLine="0"/>
        <w:rPr>
          <w:b/>
          <w:szCs w:val="22"/>
        </w:rPr>
      </w:pPr>
    </w:p>
    <w:p w:rsidR="00780926" w:rsidRPr="00B13F68" w:rsidRDefault="00780926" w:rsidP="00A42D95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:rsidR="00780926" w:rsidRPr="00B13F68" w:rsidRDefault="00780926" w:rsidP="00A42D95">
      <w:pPr>
        <w:rPr>
          <w:szCs w:val="22"/>
        </w:rPr>
      </w:pPr>
    </w:p>
    <w:p w:rsidR="00E1698A" w:rsidRPr="00B13F68" w:rsidRDefault="00E1698A" w:rsidP="00A42D95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:rsidR="004D64E9" w:rsidRPr="000910DB" w:rsidRDefault="004D64E9" w:rsidP="00A42D95">
      <w:pPr>
        <w:ind w:left="0" w:firstLine="0"/>
        <w:rPr>
          <w:szCs w:val="22"/>
        </w:rPr>
      </w:pPr>
      <w:r>
        <w:rPr>
          <w:szCs w:val="22"/>
        </w:rPr>
        <w:t xml:space="preserve">Obvykle sa  podávajú 1 až 2 čapíky každých 12 hodín. </w:t>
      </w:r>
      <w:r w:rsidRPr="000910DB">
        <w:rPr>
          <w:szCs w:val="22"/>
        </w:rPr>
        <w:t xml:space="preserve"> </w:t>
      </w:r>
      <w:r>
        <w:rPr>
          <w:szCs w:val="22"/>
        </w:rPr>
        <w:t>Liečba trvá 5 – 10 dní a má  pokračovať ešte najmenej 2 dni po odoznení príznakov a nemá sa prerušovať v prípade zlepšenia prejavov ochorenia. Liečba sa počas menštruácie neprerušuje.</w:t>
      </w:r>
      <w:r w:rsidRPr="003A7BF3">
        <w:rPr>
          <w:szCs w:val="22"/>
        </w:rPr>
        <w:t xml:space="preserve"> </w:t>
      </w:r>
      <w:r>
        <w:rPr>
          <w:szCs w:val="22"/>
        </w:rPr>
        <w:t>V prípade, že sa nedostaví terapeutický úspech medikácie, pred zmenou terapie sa odporúča vykonať mikrobiologické vyšetrenie.</w:t>
      </w:r>
    </w:p>
    <w:p w:rsidR="00E1698A" w:rsidRPr="00B13F68" w:rsidRDefault="00E1698A" w:rsidP="00A42D95">
      <w:pPr>
        <w:rPr>
          <w:szCs w:val="22"/>
        </w:rPr>
      </w:pPr>
    </w:p>
    <w:p w:rsidR="00B06E24" w:rsidRPr="003021DE" w:rsidRDefault="00B06E24" w:rsidP="00A42D95">
      <w:pPr>
        <w:rPr>
          <w:b/>
          <w:i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:rsidR="00E1698A" w:rsidRPr="00B13F68" w:rsidRDefault="004D64E9" w:rsidP="00A42D95">
      <w:pPr>
        <w:rPr>
          <w:szCs w:val="22"/>
        </w:rPr>
      </w:pPr>
      <w:r>
        <w:rPr>
          <w:szCs w:val="22"/>
        </w:rPr>
        <w:t>U dievčat je podávanie analogické ako u dospelých žien.</w:t>
      </w:r>
    </w:p>
    <w:p w:rsidR="00E1698A" w:rsidRPr="00B13F68" w:rsidRDefault="00E1698A" w:rsidP="00A42D95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1698A" w:rsidRPr="003021DE" w:rsidRDefault="00E1698A" w:rsidP="00A42D95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="00B06E24" w:rsidRPr="003021DE">
        <w:rPr>
          <w:noProof/>
          <w:szCs w:val="22"/>
          <w:u w:val="single"/>
        </w:rPr>
        <w:t xml:space="preserve"> podávania</w:t>
      </w:r>
    </w:p>
    <w:p w:rsidR="004D64E9" w:rsidRDefault="004D64E9" w:rsidP="00A42D95">
      <w:pPr>
        <w:ind w:left="0" w:firstLine="0"/>
        <w:rPr>
          <w:szCs w:val="22"/>
        </w:rPr>
      </w:pPr>
      <w:r w:rsidRPr="000910DB">
        <w:rPr>
          <w:szCs w:val="22"/>
        </w:rPr>
        <w:t xml:space="preserve">Pred použitím </w:t>
      </w:r>
      <w:r>
        <w:rPr>
          <w:szCs w:val="22"/>
        </w:rPr>
        <w:t xml:space="preserve">treba </w:t>
      </w:r>
      <w:r w:rsidRPr="000910DB">
        <w:rPr>
          <w:szCs w:val="22"/>
        </w:rPr>
        <w:t xml:space="preserve">čapík </w:t>
      </w:r>
      <w:r>
        <w:rPr>
          <w:szCs w:val="22"/>
        </w:rPr>
        <w:t>uvoľniť</w:t>
      </w:r>
      <w:r w:rsidR="00271380">
        <w:rPr>
          <w:szCs w:val="22"/>
        </w:rPr>
        <w:t xml:space="preserve"> z plastovej fólie jej</w:t>
      </w:r>
      <w:r>
        <w:rPr>
          <w:szCs w:val="22"/>
        </w:rPr>
        <w:t xml:space="preserve"> natrhnutím nad špi</w:t>
      </w:r>
      <w:r w:rsidR="00C07744">
        <w:rPr>
          <w:szCs w:val="22"/>
        </w:rPr>
        <w:t>čkou</w:t>
      </w:r>
      <w:r>
        <w:rPr>
          <w:szCs w:val="22"/>
        </w:rPr>
        <w:t xml:space="preserve"> čapíka.</w:t>
      </w:r>
      <w:r w:rsidRPr="000910DB">
        <w:rPr>
          <w:szCs w:val="22"/>
        </w:rPr>
        <w:t xml:space="preserve"> Čapík </w:t>
      </w:r>
      <w:r>
        <w:rPr>
          <w:szCs w:val="22"/>
        </w:rPr>
        <w:t xml:space="preserve">sa </w:t>
      </w:r>
      <w:r w:rsidRPr="000910DB">
        <w:rPr>
          <w:szCs w:val="22"/>
        </w:rPr>
        <w:t>zasu</w:t>
      </w:r>
      <w:r>
        <w:rPr>
          <w:szCs w:val="22"/>
        </w:rPr>
        <w:t>ni</w:t>
      </w:r>
      <w:r w:rsidRPr="000910DB">
        <w:rPr>
          <w:szCs w:val="22"/>
        </w:rPr>
        <w:t xml:space="preserve">e hlboko do </w:t>
      </w:r>
      <w:r>
        <w:rPr>
          <w:szCs w:val="22"/>
        </w:rPr>
        <w:t>pošvy.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:rsidR="004D64E9" w:rsidRDefault="004D64E9" w:rsidP="00A42D95">
      <w:pPr>
        <w:ind w:left="0" w:firstLine="0"/>
        <w:rPr>
          <w:szCs w:val="22"/>
        </w:rPr>
      </w:pPr>
    </w:p>
    <w:p w:rsidR="004D64E9" w:rsidRPr="004D64E9" w:rsidRDefault="004D64E9" w:rsidP="00A42D95">
      <w:pPr>
        <w:ind w:left="0" w:firstLine="0"/>
        <w:rPr>
          <w:szCs w:val="22"/>
        </w:rPr>
      </w:pPr>
      <w:r w:rsidRPr="004D64E9">
        <w:rPr>
          <w:szCs w:val="22"/>
        </w:rPr>
        <w:t>Precitlivenosť na nystatín alebo pomocnú látku uvedenú v časti 6.1.</w:t>
      </w:r>
    </w:p>
    <w:p w:rsidR="00780926" w:rsidRPr="003021DE" w:rsidRDefault="00780926" w:rsidP="00A42D95">
      <w:pPr>
        <w:rPr>
          <w:szCs w:val="22"/>
        </w:rPr>
      </w:pPr>
    </w:p>
    <w:p w:rsidR="00780926" w:rsidRPr="00B13F68" w:rsidRDefault="00780926" w:rsidP="00A42D95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:rsidR="00E1698A" w:rsidRPr="00B13F68" w:rsidRDefault="00E1698A" w:rsidP="00A42D95">
      <w:pPr>
        <w:rPr>
          <w:szCs w:val="22"/>
        </w:rPr>
      </w:pPr>
    </w:p>
    <w:p w:rsidR="0081554D" w:rsidRPr="00606C17" w:rsidRDefault="0081554D" w:rsidP="00A42D95">
      <w:pPr>
        <w:rPr>
          <w:szCs w:val="22"/>
        </w:rPr>
      </w:pPr>
      <w:r>
        <w:rPr>
          <w:szCs w:val="22"/>
        </w:rPr>
        <w:t xml:space="preserve">Liečba sa musí </w:t>
      </w:r>
      <w:r w:rsidR="00C07744">
        <w:rPr>
          <w:szCs w:val="22"/>
        </w:rPr>
        <w:t xml:space="preserve">ukončiť </w:t>
      </w:r>
      <w:r>
        <w:rPr>
          <w:szCs w:val="22"/>
        </w:rPr>
        <w:t>v prípade lokálneho podráždenia alebo alergickej reakcie.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:rsidR="00780926" w:rsidRPr="003021DE" w:rsidRDefault="00780926" w:rsidP="00A42D95">
      <w:pPr>
        <w:rPr>
          <w:szCs w:val="22"/>
        </w:rPr>
      </w:pPr>
    </w:p>
    <w:p w:rsidR="00780926" w:rsidRDefault="0081554D" w:rsidP="00A42D95">
      <w:pPr>
        <w:rPr>
          <w:szCs w:val="22"/>
        </w:rPr>
      </w:pPr>
      <w:r>
        <w:rPr>
          <w:szCs w:val="22"/>
        </w:rPr>
        <w:lastRenderedPageBreak/>
        <w:t>Nie sú známe.</w:t>
      </w:r>
    </w:p>
    <w:p w:rsidR="0081554D" w:rsidRPr="003021DE" w:rsidRDefault="0081554D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:rsidR="00E1698A" w:rsidRPr="00B13F68" w:rsidRDefault="00E1698A" w:rsidP="00A42D95"/>
    <w:p w:rsidR="0081554D" w:rsidRPr="0081554D" w:rsidDel="00B03419" w:rsidRDefault="0081554D" w:rsidP="00A42D95">
      <w:pPr>
        <w:ind w:left="0" w:firstLine="0"/>
        <w:rPr>
          <w:szCs w:val="22"/>
        </w:rPr>
      </w:pPr>
      <w:r w:rsidRPr="0081554D">
        <w:rPr>
          <w:szCs w:val="22"/>
        </w:rPr>
        <w:t>Nystatin Galvex supp. vag. sa môže používať aj počas gravidity a laktácie.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:rsidR="0081554D" w:rsidRDefault="0081554D" w:rsidP="00A42D95">
      <w:pPr>
        <w:ind w:left="0" w:firstLine="0"/>
        <w:rPr>
          <w:szCs w:val="22"/>
        </w:rPr>
      </w:pPr>
    </w:p>
    <w:p w:rsidR="0081554D" w:rsidRPr="0081554D" w:rsidRDefault="0081554D" w:rsidP="00A42D95">
      <w:pPr>
        <w:ind w:left="0" w:firstLine="0"/>
        <w:rPr>
          <w:szCs w:val="22"/>
        </w:rPr>
      </w:pPr>
      <w:r w:rsidRPr="00473E3C">
        <w:rPr>
          <w:szCs w:val="22"/>
        </w:rPr>
        <w:t xml:space="preserve">Liek nemá žiadny </w:t>
      </w:r>
      <w:r w:rsidR="00473E3C" w:rsidRPr="00A72672">
        <w:t xml:space="preserve">alebo má zanedbateľný </w:t>
      </w:r>
      <w:r w:rsidRPr="00473E3C">
        <w:rPr>
          <w:szCs w:val="22"/>
        </w:rPr>
        <w:t>vplyv na schopnosť viesť vozidlá a obsluhovať stroje.</w:t>
      </w:r>
      <w:r w:rsidRPr="0081554D">
        <w:rPr>
          <w:szCs w:val="22"/>
        </w:rPr>
        <w:t xml:space="preserve"> 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:rsidR="00780926" w:rsidRDefault="00780926" w:rsidP="00A42D95"/>
    <w:p w:rsidR="0006505D" w:rsidRPr="0006505D" w:rsidRDefault="0006505D" w:rsidP="00A42D95">
      <w:pPr>
        <w:ind w:left="0" w:firstLine="0"/>
        <w:rPr>
          <w:szCs w:val="22"/>
        </w:rPr>
      </w:pPr>
      <w:r w:rsidRPr="0006505D">
        <w:rPr>
          <w:szCs w:val="22"/>
        </w:rPr>
        <w:t xml:space="preserve">Po aplikácii je nystatín netoxický. Dlhodobá liečba môže zriedkavo vyvolať senzibilizáciu, čo sa prejavuje pálením alebo svrbením vaginálnej sliznice. V prípade prejavov hypersenzitivity treba podávanie lieku </w:t>
      </w:r>
      <w:r w:rsidR="00C07744">
        <w:rPr>
          <w:szCs w:val="22"/>
        </w:rPr>
        <w:t>ukončiť</w:t>
      </w:r>
      <w:r w:rsidRPr="00CD7233">
        <w:rPr>
          <w:szCs w:val="22"/>
        </w:rPr>
        <w:t>.</w:t>
      </w:r>
      <w:r w:rsidRPr="0006505D" w:rsidDel="008E4928">
        <w:rPr>
          <w:szCs w:val="22"/>
        </w:rPr>
        <w:t xml:space="preserve"> </w:t>
      </w:r>
    </w:p>
    <w:p w:rsidR="0006505D" w:rsidRDefault="0006505D" w:rsidP="00A42D95"/>
    <w:p w:rsidR="007E5956" w:rsidRPr="003021DE" w:rsidRDefault="007E5956" w:rsidP="00A42D95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7E5956" w:rsidRPr="003021DE" w:rsidRDefault="007E5956" w:rsidP="00A42D95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F66A28">
        <w:rPr>
          <w:noProof/>
          <w:szCs w:val="22"/>
        </w:rPr>
        <w:t>na</w:t>
      </w:r>
      <w:r w:rsidR="00F66A28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3021DE">
        <w:rPr>
          <w:noProof/>
          <w:szCs w:val="22"/>
        </w:rPr>
        <w:t>.</w:t>
      </w:r>
      <w:r w:rsidR="00E41B3F" w:rsidRPr="00852371">
        <w:rPr>
          <w:color w:val="008000"/>
        </w:rPr>
        <w:t>*</w:t>
      </w:r>
    </w:p>
    <w:p w:rsidR="007E5956" w:rsidRPr="003021DE" w:rsidRDefault="007E5956" w:rsidP="00A42D95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E5956" w:rsidRPr="003021DE" w:rsidRDefault="007E595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:rsidR="00780926" w:rsidRPr="003021DE" w:rsidRDefault="00780926" w:rsidP="00A42D95">
      <w:pPr>
        <w:rPr>
          <w:szCs w:val="22"/>
        </w:rPr>
      </w:pPr>
    </w:p>
    <w:p w:rsidR="0006505D" w:rsidRPr="0006505D" w:rsidRDefault="0006505D" w:rsidP="00A42D95">
      <w:pPr>
        <w:ind w:left="0" w:firstLine="0"/>
        <w:rPr>
          <w:szCs w:val="22"/>
        </w:rPr>
      </w:pPr>
      <w:r w:rsidRPr="0006505D">
        <w:rPr>
          <w:szCs w:val="22"/>
        </w:rPr>
        <w:t>Pri prípadnom predávkovaní je riziko senzibilizácie a vzniku alergie.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:rsidR="00780926" w:rsidRPr="003021DE" w:rsidRDefault="00780926" w:rsidP="00A42D95">
      <w:pPr>
        <w:rPr>
          <w:bCs/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06505D" w:rsidP="00A42D95">
      <w:pPr>
        <w:outlineLvl w:val="0"/>
        <w:rPr>
          <w:szCs w:val="22"/>
        </w:rPr>
      </w:pPr>
      <w:r>
        <w:rPr>
          <w:szCs w:val="22"/>
        </w:rPr>
        <w:t>Farmakoterapeutická skupina: antimykotikum/nystatín</w:t>
      </w:r>
      <w:r w:rsidR="00780926" w:rsidRPr="003021DE">
        <w:rPr>
          <w:szCs w:val="22"/>
        </w:rPr>
        <w:t xml:space="preserve">, ATC kód: </w:t>
      </w:r>
      <w:r>
        <w:rPr>
          <w:szCs w:val="22"/>
        </w:rPr>
        <w:t>G01AA01</w:t>
      </w:r>
    </w:p>
    <w:p w:rsidR="00780926" w:rsidRPr="003021DE" w:rsidRDefault="00780926" w:rsidP="00A42D95">
      <w:pPr>
        <w:ind w:left="0" w:firstLine="0"/>
        <w:outlineLvl w:val="0"/>
        <w:rPr>
          <w:szCs w:val="22"/>
        </w:rPr>
      </w:pPr>
    </w:p>
    <w:p w:rsidR="0006505D" w:rsidRPr="00606C17" w:rsidRDefault="0006505D" w:rsidP="00A42D95">
      <w:pPr>
        <w:rPr>
          <w:szCs w:val="22"/>
          <w:u w:val="single"/>
        </w:rPr>
      </w:pPr>
      <w:r w:rsidRPr="00606C17">
        <w:rPr>
          <w:szCs w:val="22"/>
          <w:u w:val="single"/>
        </w:rPr>
        <w:t>Mechanizmus účinku:</w:t>
      </w:r>
    </w:p>
    <w:p w:rsidR="0006505D" w:rsidRPr="008E4928" w:rsidRDefault="0006505D" w:rsidP="00A42D95">
      <w:pPr>
        <w:ind w:left="0" w:firstLine="0"/>
        <w:rPr>
          <w:szCs w:val="22"/>
        </w:rPr>
      </w:pPr>
      <w:r w:rsidRPr="008E4928">
        <w:rPr>
          <w:szCs w:val="22"/>
        </w:rPr>
        <w:t>Nystatín je antimykotikum polyénovej skupiny s fungistatickým a fungicídnym účinkom</w:t>
      </w:r>
      <w:r>
        <w:rPr>
          <w:szCs w:val="22"/>
        </w:rPr>
        <w:t>.</w:t>
      </w:r>
      <w:r w:rsidRPr="008E4928">
        <w:rPr>
          <w:szCs w:val="22"/>
        </w:rPr>
        <w:t xml:space="preserve"> </w:t>
      </w:r>
    </w:p>
    <w:p w:rsidR="0006505D" w:rsidRPr="008E4928" w:rsidRDefault="0006505D" w:rsidP="00A42D95">
      <w:pPr>
        <w:ind w:left="0" w:firstLine="0"/>
        <w:rPr>
          <w:szCs w:val="22"/>
        </w:rPr>
      </w:pPr>
      <w:r w:rsidRPr="008E4928">
        <w:rPr>
          <w:szCs w:val="22"/>
        </w:rPr>
        <w:t xml:space="preserve">Nystatín je produkovaný kmeňom </w:t>
      </w:r>
      <w:r w:rsidRPr="00CA39EE">
        <w:rPr>
          <w:i/>
          <w:szCs w:val="22"/>
        </w:rPr>
        <w:t>Streptomyces noursei</w:t>
      </w:r>
      <w:r w:rsidRPr="008E4928">
        <w:rPr>
          <w:szCs w:val="22"/>
        </w:rPr>
        <w:t xml:space="preserve">. Do spektra jeho účinku patria kvasinkové mikroorganizmy rodov </w:t>
      </w:r>
      <w:r w:rsidRPr="00CA39EE">
        <w:rPr>
          <w:i/>
          <w:szCs w:val="22"/>
        </w:rPr>
        <w:t>Candida, Rhodotorula, Torulopsis a Trichosporon.</w:t>
      </w:r>
      <w:r w:rsidRPr="008E4928">
        <w:rPr>
          <w:szCs w:val="22"/>
        </w:rPr>
        <w:t xml:space="preserve"> Dobre pôsobí </w:t>
      </w:r>
      <w:r w:rsidR="00C07744">
        <w:rPr>
          <w:szCs w:val="22"/>
        </w:rPr>
        <w:t>proti</w:t>
      </w:r>
      <w:r w:rsidRPr="008E4928">
        <w:rPr>
          <w:szCs w:val="22"/>
        </w:rPr>
        <w:t xml:space="preserve"> mikromycét</w:t>
      </w:r>
      <w:r w:rsidR="00C07744">
        <w:rPr>
          <w:szCs w:val="22"/>
        </w:rPr>
        <w:t>am</w:t>
      </w:r>
      <w:r w:rsidRPr="008E4928">
        <w:rPr>
          <w:szCs w:val="22"/>
        </w:rPr>
        <w:t xml:space="preserve"> rodu </w:t>
      </w:r>
      <w:r w:rsidRPr="00CA39EE">
        <w:rPr>
          <w:i/>
          <w:szCs w:val="22"/>
        </w:rPr>
        <w:t>Aspergillus</w:t>
      </w:r>
      <w:r w:rsidRPr="008E4928">
        <w:rPr>
          <w:szCs w:val="22"/>
        </w:rPr>
        <w:t xml:space="preserve">. Neúčinkuje </w:t>
      </w:r>
      <w:r w:rsidR="00C07744">
        <w:rPr>
          <w:szCs w:val="22"/>
        </w:rPr>
        <w:t>proti</w:t>
      </w:r>
      <w:r w:rsidRPr="008E4928">
        <w:rPr>
          <w:szCs w:val="22"/>
        </w:rPr>
        <w:t xml:space="preserve"> baktéri</w:t>
      </w:r>
      <w:r w:rsidR="00C07744">
        <w:rPr>
          <w:szCs w:val="22"/>
        </w:rPr>
        <w:t>ám</w:t>
      </w:r>
      <w:r w:rsidRPr="008E4928">
        <w:rPr>
          <w:szCs w:val="22"/>
        </w:rPr>
        <w:t>, antinomycét</w:t>
      </w:r>
      <w:r w:rsidR="00C07744">
        <w:rPr>
          <w:szCs w:val="22"/>
        </w:rPr>
        <w:t>am</w:t>
      </w:r>
      <w:r w:rsidRPr="008E4928">
        <w:rPr>
          <w:szCs w:val="22"/>
        </w:rPr>
        <w:t xml:space="preserve"> a vírus</w:t>
      </w:r>
      <w:r w:rsidR="00C07744">
        <w:rPr>
          <w:szCs w:val="22"/>
        </w:rPr>
        <w:t>om</w:t>
      </w:r>
      <w:r w:rsidRPr="008E4928">
        <w:rPr>
          <w:szCs w:val="22"/>
        </w:rPr>
        <w:t>.</w:t>
      </w:r>
    </w:p>
    <w:p w:rsidR="00E1698A" w:rsidRPr="003021DE" w:rsidRDefault="00E1698A" w:rsidP="00A42D95">
      <w:pPr>
        <w:rPr>
          <w:bCs/>
          <w:iCs/>
          <w:szCs w:val="22"/>
        </w:rPr>
      </w:pP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:rsidR="00E1698A" w:rsidRPr="003021DE" w:rsidRDefault="00E1698A" w:rsidP="00A42D95">
      <w:pPr>
        <w:rPr>
          <w:szCs w:val="22"/>
        </w:rPr>
      </w:pPr>
    </w:p>
    <w:p w:rsidR="007262FE" w:rsidRPr="00C51FEC" w:rsidRDefault="00BD4226" w:rsidP="00A42D95">
      <w:pPr>
        <w:suppressLineNumbers/>
        <w:spacing w:after="120"/>
        <w:rPr>
          <w:noProof/>
        </w:rPr>
      </w:pPr>
      <w:r>
        <w:rPr>
          <w:noProof/>
        </w:rPr>
        <w:t xml:space="preserve">Štúdie s liekom neboli vykonané. </w:t>
      </w:r>
      <w:r w:rsidR="00B10A8A">
        <w:rPr>
          <w:noProof/>
        </w:rPr>
        <w:t xml:space="preserve">Nystatín </w:t>
      </w:r>
      <w:r w:rsidR="00CD4B3B">
        <w:rPr>
          <w:noProof/>
        </w:rPr>
        <w:t>sa cez kožu a sliznicu prakticky nevstrebáva.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:rsidR="00780926" w:rsidRPr="003021DE" w:rsidRDefault="00780926" w:rsidP="00A42D95">
      <w:pPr>
        <w:rPr>
          <w:szCs w:val="22"/>
        </w:rPr>
      </w:pPr>
    </w:p>
    <w:p w:rsidR="00780926" w:rsidRPr="00B13F68" w:rsidRDefault="00C51FEC" w:rsidP="00A42D95">
      <w:pPr>
        <w:rPr>
          <w:szCs w:val="22"/>
        </w:rPr>
      </w:pPr>
      <w:r>
        <w:rPr>
          <w:szCs w:val="22"/>
        </w:rPr>
        <w:t xml:space="preserve">Nystatín je netoxická látka. </w:t>
      </w:r>
    </w:p>
    <w:p w:rsidR="00780926" w:rsidRPr="003021DE" w:rsidRDefault="00780926" w:rsidP="00A42D95">
      <w:pPr>
        <w:rPr>
          <w:szCs w:val="22"/>
        </w:rPr>
      </w:pPr>
    </w:p>
    <w:p w:rsidR="00E1698A" w:rsidRPr="003021DE" w:rsidRDefault="00E1698A" w:rsidP="00A42D95">
      <w:pPr>
        <w:rPr>
          <w:szCs w:val="22"/>
        </w:rPr>
      </w:pPr>
    </w:p>
    <w:p w:rsidR="00780926" w:rsidRPr="003021DE" w:rsidRDefault="00780926" w:rsidP="00A42D95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:rsidR="00780926" w:rsidRPr="003021DE" w:rsidRDefault="007809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:rsidR="00CD4B3B" w:rsidRDefault="00CD4B3B" w:rsidP="00A42D95"/>
    <w:p w:rsidR="00780926" w:rsidRPr="003021DE" w:rsidRDefault="00CD4B3B" w:rsidP="00A42D95">
      <w:r>
        <w:t>Tuhý tuk</w:t>
      </w:r>
    </w:p>
    <w:p w:rsidR="00780926" w:rsidRDefault="00780926" w:rsidP="00A42D95">
      <w:pPr>
        <w:rPr>
          <w:szCs w:val="22"/>
        </w:rPr>
      </w:pPr>
    </w:p>
    <w:p w:rsidR="00BD4226" w:rsidRDefault="00BD4226" w:rsidP="00A42D95">
      <w:pPr>
        <w:rPr>
          <w:szCs w:val="22"/>
        </w:rPr>
      </w:pPr>
    </w:p>
    <w:p w:rsidR="00BD4226" w:rsidRPr="003021DE" w:rsidRDefault="00BD4226" w:rsidP="00A42D95">
      <w:pPr>
        <w:rPr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:rsidR="00780926" w:rsidRDefault="00780926" w:rsidP="00A42D95">
      <w:pPr>
        <w:rPr>
          <w:szCs w:val="22"/>
        </w:rPr>
      </w:pPr>
    </w:p>
    <w:p w:rsidR="00CD4B3B" w:rsidRPr="003021DE" w:rsidRDefault="00CD4B3B" w:rsidP="00A42D95">
      <w:pPr>
        <w:rPr>
          <w:szCs w:val="22"/>
        </w:rPr>
      </w:pPr>
      <w:r>
        <w:rPr>
          <w:szCs w:val="22"/>
        </w:rPr>
        <w:t>Nie sú známe.</w:t>
      </w:r>
    </w:p>
    <w:p w:rsidR="00BD4226" w:rsidRDefault="00BD4226" w:rsidP="00A42D95">
      <w:pPr>
        <w:rPr>
          <w:b/>
          <w:szCs w:val="22"/>
        </w:rPr>
      </w:pPr>
    </w:p>
    <w:p w:rsidR="00780926" w:rsidRPr="003021DE" w:rsidRDefault="00780926" w:rsidP="00A42D95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:rsidR="00CD4B3B" w:rsidRDefault="00CD4B3B" w:rsidP="00B13F68">
      <w:pPr>
        <w:rPr>
          <w:szCs w:val="22"/>
        </w:rPr>
      </w:pPr>
    </w:p>
    <w:p w:rsidR="00780926" w:rsidRPr="003021DE" w:rsidRDefault="00CD4B3B" w:rsidP="00B13F68">
      <w:pPr>
        <w:rPr>
          <w:szCs w:val="22"/>
        </w:rPr>
      </w:pPr>
      <w:r>
        <w:rPr>
          <w:szCs w:val="22"/>
        </w:rPr>
        <w:t>2 roky</w:t>
      </w:r>
    </w:p>
    <w:p w:rsidR="00780926" w:rsidRPr="003021DE" w:rsidRDefault="00780926" w:rsidP="00B13F68"/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:rsidR="00780926" w:rsidRDefault="00780926" w:rsidP="00B13F68"/>
    <w:p w:rsidR="00C07744" w:rsidRDefault="004061B9" w:rsidP="00B13F68">
      <w:r>
        <w:t xml:space="preserve">Uchovávajte </w:t>
      </w:r>
      <w:r w:rsidR="00CD4B3B">
        <w:t xml:space="preserve"> pri teplote do 25°C. </w:t>
      </w:r>
      <w:r>
        <w:t>Uchovávajte v pôvodnom obale na ochranu</w:t>
      </w:r>
      <w:r w:rsidR="00104801">
        <w:t xml:space="preserve"> pred svetlom.</w:t>
      </w:r>
      <w:r w:rsidR="00104801" w:rsidDel="00104801">
        <w:t xml:space="preserve"> </w:t>
      </w:r>
    </w:p>
    <w:p w:rsidR="00780926" w:rsidRPr="003021DE" w:rsidRDefault="00780926" w:rsidP="00B13F68"/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:rsidR="00780926" w:rsidRPr="003021DE" w:rsidRDefault="00780926" w:rsidP="00B13F68">
      <w:pPr>
        <w:rPr>
          <w:szCs w:val="22"/>
        </w:rPr>
      </w:pPr>
    </w:p>
    <w:p w:rsidR="00CD4B3B" w:rsidRPr="00CD4B3B" w:rsidRDefault="00CD4B3B" w:rsidP="00CD4B3B">
      <w:pPr>
        <w:ind w:left="0" w:firstLine="0"/>
        <w:jc w:val="both"/>
        <w:rPr>
          <w:szCs w:val="22"/>
        </w:rPr>
      </w:pPr>
      <w:r w:rsidRPr="00CD4B3B">
        <w:rPr>
          <w:szCs w:val="22"/>
        </w:rPr>
        <w:t>Obal: strip PVC/</w:t>
      </w:r>
      <w:r w:rsidR="00515B38">
        <w:rPr>
          <w:szCs w:val="22"/>
        </w:rPr>
        <w:t>PVDC/</w:t>
      </w:r>
      <w:r w:rsidRPr="00CD4B3B">
        <w:rPr>
          <w:szCs w:val="22"/>
        </w:rPr>
        <w:t>PE, písomná informácia pre používateľ</w:t>
      </w:r>
      <w:r>
        <w:rPr>
          <w:szCs w:val="22"/>
        </w:rPr>
        <w:t>k</w:t>
      </w:r>
      <w:r w:rsidR="00CB312D">
        <w:rPr>
          <w:szCs w:val="22"/>
        </w:rPr>
        <w:t>u</w:t>
      </w:r>
      <w:r w:rsidRPr="00CD4B3B">
        <w:rPr>
          <w:szCs w:val="22"/>
        </w:rPr>
        <w:t>, papierová škatuľka.</w:t>
      </w:r>
    </w:p>
    <w:p w:rsidR="00CD4B3B" w:rsidRPr="00CD4B3B" w:rsidRDefault="00CD4B3B" w:rsidP="00CD4B3B">
      <w:pPr>
        <w:ind w:left="0" w:firstLine="0"/>
        <w:jc w:val="both"/>
        <w:rPr>
          <w:szCs w:val="22"/>
        </w:rPr>
      </w:pPr>
      <w:r w:rsidRPr="00CD4B3B">
        <w:rPr>
          <w:szCs w:val="22"/>
        </w:rPr>
        <w:t>Veľkosť balenia: 15 čapíkov</w:t>
      </w:r>
    </w:p>
    <w:p w:rsidR="00780926" w:rsidRDefault="00780926" w:rsidP="00B13F68"/>
    <w:p w:rsidR="00CD4B3B" w:rsidRPr="00A75ECC" w:rsidRDefault="00CD4B3B" w:rsidP="00B13F68"/>
    <w:p w:rsidR="00780926" w:rsidRPr="00B13F68" w:rsidRDefault="00780926" w:rsidP="00B13F68">
      <w:pPr>
        <w:rPr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</w:p>
    <w:p w:rsidR="00780926" w:rsidRDefault="00780926" w:rsidP="00E41B3F">
      <w:pPr>
        <w:rPr>
          <w:szCs w:val="22"/>
        </w:rPr>
      </w:pPr>
    </w:p>
    <w:p w:rsidR="00CD4B3B" w:rsidRDefault="00CD4B3B" w:rsidP="00CD4B3B">
      <w:pPr>
        <w:jc w:val="both"/>
        <w:rPr>
          <w:szCs w:val="22"/>
        </w:rPr>
      </w:pPr>
      <w:r>
        <w:rPr>
          <w:szCs w:val="22"/>
        </w:rPr>
        <w:t>Žiadne zvláštne požiadavky.</w:t>
      </w:r>
    </w:p>
    <w:p w:rsidR="00CD4B3B" w:rsidRDefault="00104801" w:rsidP="00104801">
      <w:pPr>
        <w:ind w:left="0" w:firstLine="0"/>
        <w:jc w:val="both"/>
        <w:rPr>
          <w:szCs w:val="22"/>
        </w:rPr>
      </w:pPr>
      <w:r w:rsidRPr="00A72672">
        <w:t>Všetok nepoužitý liek alebo odpad vzniknutý z</w:t>
      </w:r>
      <w:r>
        <w:t> </w:t>
      </w:r>
      <w:r w:rsidRPr="00BF5AB0">
        <w:t>lieku sa má z</w:t>
      </w:r>
      <w:r>
        <w:t xml:space="preserve">likvidovať v súlade s národnými </w:t>
      </w:r>
      <w:r w:rsidRPr="00BF5AB0">
        <w:t>požiadavkami</w:t>
      </w:r>
      <w:r w:rsidR="00CD4B3B" w:rsidRPr="00606C17">
        <w:rPr>
          <w:szCs w:val="22"/>
        </w:rPr>
        <w:t xml:space="preserve">. </w:t>
      </w:r>
    </w:p>
    <w:p w:rsidR="00CD4B3B" w:rsidRPr="003021DE" w:rsidRDefault="00CD4B3B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:rsidR="00780926" w:rsidRPr="003021DE" w:rsidRDefault="00780926" w:rsidP="00E41B3F">
      <w:pPr>
        <w:rPr>
          <w:szCs w:val="22"/>
        </w:rPr>
      </w:pPr>
    </w:p>
    <w:p w:rsidR="00CD4B3B" w:rsidRPr="00CD4B3B" w:rsidRDefault="00CD4B3B" w:rsidP="00CD4B3B">
      <w:pPr>
        <w:ind w:left="0" w:firstLine="0"/>
        <w:jc w:val="both"/>
        <w:rPr>
          <w:szCs w:val="22"/>
        </w:rPr>
      </w:pPr>
      <w:r w:rsidRPr="00CD4B3B">
        <w:rPr>
          <w:szCs w:val="22"/>
        </w:rPr>
        <w:t>GALVEX, spol. s r.</w:t>
      </w:r>
      <w:r w:rsidR="00BD4226">
        <w:rPr>
          <w:szCs w:val="22"/>
        </w:rPr>
        <w:t xml:space="preserve"> </w:t>
      </w:r>
      <w:r w:rsidRPr="00CD4B3B">
        <w:rPr>
          <w:szCs w:val="22"/>
        </w:rPr>
        <w:t>o., Jegorovova 37, 974 01 Banská Bystrica, Slovenská republika</w:t>
      </w:r>
    </w:p>
    <w:p w:rsidR="00780926" w:rsidRPr="003021DE" w:rsidRDefault="00780926" w:rsidP="00E41B3F">
      <w:pPr>
        <w:ind w:left="0" w:firstLine="0"/>
        <w:rPr>
          <w:szCs w:val="22"/>
        </w:rPr>
      </w:pPr>
    </w:p>
    <w:p w:rsidR="00780926" w:rsidRPr="00B13F68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:rsidR="00780926" w:rsidRPr="00B13F68" w:rsidRDefault="00780926" w:rsidP="00E41B3F"/>
    <w:p w:rsidR="00780926" w:rsidRPr="003021DE" w:rsidRDefault="005C05C3" w:rsidP="00E41B3F">
      <w:pPr>
        <w:rPr>
          <w:i/>
          <w:iCs/>
        </w:rPr>
      </w:pPr>
      <w:r>
        <w:t>26/0623/97-S</w:t>
      </w:r>
    </w:p>
    <w:p w:rsidR="00780926" w:rsidRPr="003021DE" w:rsidRDefault="00780926" w:rsidP="00A75ECC">
      <w:pPr>
        <w:rPr>
          <w:szCs w:val="22"/>
        </w:rPr>
      </w:pPr>
    </w:p>
    <w:p w:rsidR="00780926" w:rsidRPr="003021DE" w:rsidRDefault="00780926" w:rsidP="00D513D2">
      <w:pPr>
        <w:rPr>
          <w:szCs w:val="22"/>
        </w:rPr>
      </w:pPr>
    </w:p>
    <w:p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:rsidR="00780926" w:rsidRPr="003021DE" w:rsidRDefault="00780926" w:rsidP="00B13F68">
      <w:pPr>
        <w:rPr>
          <w:szCs w:val="22"/>
        </w:rPr>
      </w:pPr>
    </w:p>
    <w:p w:rsidR="001D1B4B" w:rsidRPr="00B13F68" w:rsidRDefault="001D1B4B" w:rsidP="00B13F68">
      <w:pPr>
        <w:rPr>
          <w:noProof/>
        </w:rPr>
      </w:pPr>
      <w:r w:rsidRPr="00B13F68">
        <w:rPr>
          <w:noProof/>
        </w:rPr>
        <w:t xml:space="preserve">Dátum prvej registrácie: </w:t>
      </w:r>
      <w:r w:rsidR="005C05C3">
        <w:rPr>
          <w:noProof/>
        </w:rPr>
        <w:t>16.</w:t>
      </w:r>
      <w:r w:rsidRPr="00B13F68">
        <w:t xml:space="preserve"> </w:t>
      </w:r>
      <w:r w:rsidR="005C05C3">
        <w:t>decembra 1997</w:t>
      </w:r>
    </w:p>
    <w:p w:rsidR="00780926" w:rsidRPr="003021DE" w:rsidRDefault="001D1B4B" w:rsidP="00B13F68">
      <w:pPr>
        <w:rPr>
          <w:szCs w:val="22"/>
        </w:rPr>
      </w:pPr>
      <w:r w:rsidRPr="00B13F68">
        <w:rPr>
          <w:noProof/>
        </w:rPr>
        <w:t>Dátum posledného predĺženia</w:t>
      </w:r>
      <w:r w:rsidR="00D71CEA" w:rsidRPr="00B13F68">
        <w:rPr>
          <w:noProof/>
        </w:rPr>
        <w:t xml:space="preserve"> registr</w:t>
      </w:r>
      <w:r w:rsidR="00D71CEA" w:rsidRPr="003021DE">
        <w:rPr>
          <w:noProof/>
        </w:rPr>
        <w:t>ácie</w:t>
      </w:r>
      <w:r w:rsidRPr="00B13F68">
        <w:rPr>
          <w:noProof/>
        </w:rPr>
        <w:t xml:space="preserve">: </w:t>
      </w:r>
      <w:r w:rsidR="005C05C3">
        <w:rPr>
          <w:noProof/>
        </w:rPr>
        <w:t>3. mája 2007</w:t>
      </w:r>
    </w:p>
    <w:p w:rsidR="00780926" w:rsidRPr="00B13F68" w:rsidRDefault="00780926" w:rsidP="00B13F68"/>
    <w:p w:rsidR="00780926" w:rsidRPr="003021DE" w:rsidRDefault="00780926" w:rsidP="00B13F68">
      <w:pPr>
        <w:rPr>
          <w:szCs w:val="22"/>
        </w:rPr>
      </w:pPr>
    </w:p>
    <w:p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:rsidR="00780926" w:rsidRPr="00B13F68" w:rsidRDefault="00780926" w:rsidP="00B13F68">
      <w:pPr>
        <w:rPr>
          <w:szCs w:val="22"/>
        </w:rPr>
      </w:pPr>
    </w:p>
    <w:p w:rsidR="00780926" w:rsidRPr="00D513D2" w:rsidRDefault="00104801" w:rsidP="00BD4226">
      <w:pPr>
        <w:suppressLineNumbers/>
        <w:rPr>
          <w:noProof/>
          <w:szCs w:val="22"/>
        </w:rPr>
      </w:pPr>
      <w:r>
        <w:t>0</w:t>
      </w:r>
      <w:r w:rsidR="00B82F6E">
        <w:t>9</w:t>
      </w:r>
      <w:r w:rsidR="00BD4226">
        <w:t xml:space="preserve"> </w:t>
      </w:r>
      <w:r w:rsidR="005C05C3">
        <w:t>/201</w:t>
      </w:r>
      <w:r w:rsidR="00515B38">
        <w:t>9</w:t>
      </w:r>
    </w:p>
    <w:sectPr w:rsidR="00780926" w:rsidRPr="00D513D2" w:rsidSect="00536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C5" w:rsidRDefault="00DF2CC5">
      <w:r>
        <w:separator/>
      </w:r>
    </w:p>
  </w:endnote>
  <w:endnote w:type="continuationSeparator" w:id="0">
    <w:p w:rsidR="00DF2CC5" w:rsidRDefault="00DF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6E" w:rsidRDefault="00B82F6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C" w:rsidRPr="00B13F68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33472E">
      <w:rPr>
        <w:rStyle w:val="slostrany"/>
        <w:rFonts w:ascii="Arial" w:hAnsi="Arial" w:cs="Arial"/>
        <w:noProof/>
      </w:rPr>
      <w:t>3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369A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C5" w:rsidRDefault="00DF2CC5">
      <w:r>
        <w:separator/>
      </w:r>
    </w:p>
  </w:footnote>
  <w:footnote w:type="continuationSeparator" w:id="0">
    <w:p w:rsidR="00DF2CC5" w:rsidRDefault="00DF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F6E" w:rsidRDefault="00B82F6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A0" w:rsidRPr="0033472E" w:rsidRDefault="00515B38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B82F6E"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t xml:space="preserve"> k notifikácii o zmene, ev. č.:</w:t>
    </w:r>
    <w:r w:rsidR="00B82F6E">
      <w:rPr>
        <w:rFonts w:ascii="Times New Roman" w:hAnsi="Times New Roman"/>
        <w:sz w:val="18"/>
        <w:szCs w:val="18"/>
      </w:rPr>
      <w:t xml:space="preserve"> </w:t>
    </w:r>
    <w:r w:rsidR="00B82F6E" w:rsidRPr="00B82F6E">
      <w:rPr>
        <w:rFonts w:ascii="Times New Roman" w:hAnsi="Times New Roman"/>
        <w:sz w:val="18"/>
        <w:szCs w:val="18"/>
      </w:rPr>
      <w:t>2019/04357-Z1A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D95" w:rsidRPr="005369A0" w:rsidRDefault="00A42D95">
    <w:pPr>
      <w:pStyle w:val="Hlavika"/>
      <w:rPr>
        <w:rFonts w:ascii="Times New Roman" w:hAnsi="Times New Roman"/>
        <w:sz w:val="18"/>
        <w:szCs w:val="18"/>
      </w:rPr>
    </w:pPr>
    <w:r w:rsidRPr="005369A0">
      <w:rPr>
        <w:rFonts w:ascii="Times New Roman" w:hAnsi="Times New Roman"/>
        <w:sz w:val="18"/>
        <w:szCs w:val="18"/>
      </w:rPr>
      <w:t>Príloha č. 1 k </w:t>
    </w:r>
    <w:r w:rsidR="005369A0">
      <w:rPr>
        <w:rFonts w:ascii="Times New Roman" w:hAnsi="Times New Roman"/>
        <w:sz w:val="18"/>
        <w:szCs w:val="18"/>
      </w:rPr>
      <w:t>notifikácii</w:t>
    </w:r>
    <w:r w:rsidRPr="005369A0">
      <w:rPr>
        <w:rFonts w:ascii="Times New Roman" w:hAnsi="Times New Roman"/>
        <w:sz w:val="18"/>
        <w:szCs w:val="18"/>
      </w:rPr>
      <w:t xml:space="preserve"> o zmene</w:t>
    </w:r>
    <w:r w:rsidR="005369A0">
      <w:rPr>
        <w:rFonts w:ascii="Times New Roman" w:hAnsi="Times New Roman"/>
        <w:sz w:val="18"/>
        <w:szCs w:val="18"/>
      </w:rPr>
      <w:t>,</w:t>
    </w:r>
    <w:r w:rsidRPr="005369A0">
      <w:rPr>
        <w:rFonts w:ascii="Times New Roman" w:hAnsi="Times New Roman"/>
        <w:sz w:val="18"/>
        <w:szCs w:val="18"/>
      </w:rPr>
      <w:t xml:space="preserve"> ev.č.: </w:t>
    </w:r>
    <w:r w:rsidR="005369A0">
      <w:rPr>
        <w:rFonts w:ascii="Times New Roman" w:hAnsi="Times New Roman"/>
        <w:sz w:val="18"/>
        <w:szCs w:val="18"/>
      </w:rPr>
      <w:t>2017/06287-Z1B</w:t>
    </w:r>
  </w:p>
  <w:p w:rsidR="00205FC2" w:rsidRPr="00A42D95" w:rsidRDefault="00A42D95">
    <w:pPr>
      <w:pStyle w:val="Hlavika"/>
      <w:rPr>
        <w:i/>
        <w:strike/>
        <w:sz w:val="18"/>
        <w:szCs w:val="18"/>
      </w:rPr>
    </w:pPr>
    <w:r w:rsidRPr="00A42D95">
      <w:rPr>
        <w:i/>
        <w:strike/>
        <w:sz w:val="18"/>
        <w:szCs w:val="18"/>
      </w:rPr>
      <w:t>Schválený text k rozhodnutiu o zmene v registrácii lirku, ev. č.:2011/05167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33621"/>
    <w:rsid w:val="00040726"/>
    <w:rsid w:val="00052EE2"/>
    <w:rsid w:val="00056045"/>
    <w:rsid w:val="00061445"/>
    <w:rsid w:val="0006505D"/>
    <w:rsid w:val="00077CF6"/>
    <w:rsid w:val="00090230"/>
    <w:rsid w:val="00096CAA"/>
    <w:rsid w:val="000B13AD"/>
    <w:rsid w:val="000B6759"/>
    <w:rsid w:val="000C534D"/>
    <w:rsid w:val="000D3B1B"/>
    <w:rsid w:val="000E2174"/>
    <w:rsid w:val="000E3D7D"/>
    <w:rsid w:val="000E7685"/>
    <w:rsid w:val="001001CE"/>
    <w:rsid w:val="001026C2"/>
    <w:rsid w:val="00104801"/>
    <w:rsid w:val="001114AF"/>
    <w:rsid w:val="00111E1A"/>
    <w:rsid w:val="001150F2"/>
    <w:rsid w:val="001334A2"/>
    <w:rsid w:val="00134B55"/>
    <w:rsid w:val="00135894"/>
    <w:rsid w:val="001406FE"/>
    <w:rsid w:val="00141412"/>
    <w:rsid w:val="00141BD1"/>
    <w:rsid w:val="0015367B"/>
    <w:rsid w:val="00177A4A"/>
    <w:rsid w:val="00185CB1"/>
    <w:rsid w:val="00187ECC"/>
    <w:rsid w:val="001967D9"/>
    <w:rsid w:val="001A10C6"/>
    <w:rsid w:val="001A3218"/>
    <w:rsid w:val="001B08B2"/>
    <w:rsid w:val="001B73FD"/>
    <w:rsid w:val="001C463D"/>
    <w:rsid w:val="001C4F42"/>
    <w:rsid w:val="001D1B4B"/>
    <w:rsid w:val="001D4230"/>
    <w:rsid w:val="001E470D"/>
    <w:rsid w:val="001F7CF0"/>
    <w:rsid w:val="002003FB"/>
    <w:rsid w:val="00205FC2"/>
    <w:rsid w:val="00220A3F"/>
    <w:rsid w:val="002227EB"/>
    <w:rsid w:val="0022527A"/>
    <w:rsid w:val="0025422C"/>
    <w:rsid w:val="0025696C"/>
    <w:rsid w:val="0026565D"/>
    <w:rsid w:val="00270B82"/>
    <w:rsid w:val="00271380"/>
    <w:rsid w:val="00272718"/>
    <w:rsid w:val="002776F1"/>
    <w:rsid w:val="00281C02"/>
    <w:rsid w:val="00282559"/>
    <w:rsid w:val="00284EEF"/>
    <w:rsid w:val="002A1D7C"/>
    <w:rsid w:val="002A24BE"/>
    <w:rsid w:val="002A46DA"/>
    <w:rsid w:val="002B7838"/>
    <w:rsid w:val="002C428B"/>
    <w:rsid w:val="002C5553"/>
    <w:rsid w:val="002C64A9"/>
    <w:rsid w:val="002D006B"/>
    <w:rsid w:val="002D5C3E"/>
    <w:rsid w:val="002D6730"/>
    <w:rsid w:val="003015F6"/>
    <w:rsid w:val="003021DE"/>
    <w:rsid w:val="00302F2A"/>
    <w:rsid w:val="00304677"/>
    <w:rsid w:val="00306120"/>
    <w:rsid w:val="0031186C"/>
    <w:rsid w:val="00314AD5"/>
    <w:rsid w:val="003327A6"/>
    <w:rsid w:val="00332DC3"/>
    <w:rsid w:val="0033472E"/>
    <w:rsid w:val="003461A9"/>
    <w:rsid w:val="00346633"/>
    <w:rsid w:val="00355F02"/>
    <w:rsid w:val="003724D2"/>
    <w:rsid w:val="00374CAD"/>
    <w:rsid w:val="00382713"/>
    <w:rsid w:val="003A706F"/>
    <w:rsid w:val="003C383B"/>
    <w:rsid w:val="003F2753"/>
    <w:rsid w:val="004061B9"/>
    <w:rsid w:val="004104FE"/>
    <w:rsid w:val="0041172C"/>
    <w:rsid w:val="00411A8F"/>
    <w:rsid w:val="004210D4"/>
    <w:rsid w:val="0042356B"/>
    <w:rsid w:val="00457BB5"/>
    <w:rsid w:val="004605F8"/>
    <w:rsid w:val="00473E3C"/>
    <w:rsid w:val="00486C3D"/>
    <w:rsid w:val="0048718C"/>
    <w:rsid w:val="004C0111"/>
    <w:rsid w:val="004D457B"/>
    <w:rsid w:val="004D64E9"/>
    <w:rsid w:val="004D71F7"/>
    <w:rsid w:val="004E770D"/>
    <w:rsid w:val="004F1DC7"/>
    <w:rsid w:val="004F3B6D"/>
    <w:rsid w:val="00502E37"/>
    <w:rsid w:val="00504C89"/>
    <w:rsid w:val="00510CCB"/>
    <w:rsid w:val="00515B38"/>
    <w:rsid w:val="005279ED"/>
    <w:rsid w:val="005347C7"/>
    <w:rsid w:val="005369A0"/>
    <w:rsid w:val="00536B25"/>
    <w:rsid w:val="00537894"/>
    <w:rsid w:val="00544751"/>
    <w:rsid w:val="005529E6"/>
    <w:rsid w:val="00560D93"/>
    <w:rsid w:val="0058262C"/>
    <w:rsid w:val="005C01F5"/>
    <w:rsid w:val="005C05C3"/>
    <w:rsid w:val="005E4F97"/>
    <w:rsid w:val="00607357"/>
    <w:rsid w:val="00610BC7"/>
    <w:rsid w:val="006114F0"/>
    <w:rsid w:val="00626759"/>
    <w:rsid w:val="00635C39"/>
    <w:rsid w:val="00650EBD"/>
    <w:rsid w:val="00664192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D7D4F"/>
    <w:rsid w:val="006E41C1"/>
    <w:rsid w:val="006F3CD9"/>
    <w:rsid w:val="00724E11"/>
    <w:rsid w:val="007262FE"/>
    <w:rsid w:val="0073167B"/>
    <w:rsid w:val="00734C0D"/>
    <w:rsid w:val="00740C03"/>
    <w:rsid w:val="00751BAC"/>
    <w:rsid w:val="00752FD9"/>
    <w:rsid w:val="00753F97"/>
    <w:rsid w:val="007731DA"/>
    <w:rsid w:val="00780688"/>
    <w:rsid w:val="00780926"/>
    <w:rsid w:val="007824C5"/>
    <w:rsid w:val="00783152"/>
    <w:rsid w:val="0078730F"/>
    <w:rsid w:val="00791189"/>
    <w:rsid w:val="007A4C2E"/>
    <w:rsid w:val="007C3776"/>
    <w:rsid w:val="007C71C8"/>
    <w:rsid w:val="007E1F8F"/>
    <w:rsid w:val="007E5956"/>
    <w:rsid w:val="007F570D"/>
    <w:rsid w:val="00803622"/>
    <w:rsid w:val="00803841"/>
    <w:rsid w:val="00806F1C"/>
    <w:rsid w:val="0081554D"/>
    <w:rsid w:val="0082743C"/>
    <w:rsid w:val="00837096"/>
    <w:rsid w:val="00852371"/>
    <w:rsid w:val="0085357F"/>
    <w:rsid w:val="00873520"/>
    <w:rsid w:val="00884354"/>
    <w:rsid w:val="00884AB9"/>
    <w:rsid w:val="008873CC"/>
    <w:rsid w:val="008C1B51"/>
    <w:rsid w:val="008D0713"/>
    <w:rsid w:val="008E0812"/>
    <w:rsid w:val="008E4CFA"/>
    <w:rsid w:val="008F0FB1"/>
    <w:rsid w:val="008F6BC1"/>
    <w:rsid w:val="009058FE"/>
    <w:rsid w:val="0091185E"/>
    <w:rsid w:val="00915039"/>
    <w:rsid w:val="00917595"/>
    <w:rsid w:val="0093424C"/>
    <w:rsid w:val="0094130F"/>
    <w:rsid w:val="00946672"/>
    <w:rsid w:val="0095258D"/>
    <w:rsid w:val="009612A3"/>
    <w:rsid w:val="00990742"/>
    <w:rsid w:val="00997431"/>
    <w:rsid w:val="009976B6"/>
    <w:rsid w:val="009A01EB"/>
    <w:rsid w:val="009B423F"/>
    <w:rsid w:val="009C221B"/>
    <w:rsid w:val="009C5E1E"/>
    <w:rsid w:val="009D773C"/>
    <w:rsid w:val="009E0E67"/>
    <w:rsid w:val="00A0053E"/>
    <w:rsid w:val="00A10438"/>
    <w:rsid w:val="00A236CF"/>
    <w:rsid w:val="00A2416F"/>
    <w:rsid w:val="00A2444C"/>
    <w:rsid w:val="00A244BE"/>
    <w:rsid w:val="00A31A9C"/>
    <w:rsid w:val="00A37C43"/>
    <w:rsid w:val="00A416B8"/>
    <w:rsid w:val="00A42D95"/>
    <w:rsid w:val="00A43F3E"/>
    <w:rsid w:val="00A63C0B"/>
    <w:rsid w:val="00A663F1"/>
    <w:rsid w:val="00A737B8"/>
    <w:rsid w:val="00A75ECC"/>
    <w:rsid w:val="00A80F9E"/>
    <w:rsid w:val="00A824EB"/>
    <w:rsid w:val="00A833E5"/>
    <w:rsid w:val="00A85CCE"/>
    <w:rsid w:val="00A97AC7"/>
    <w:rsid w:val="00AE4D65"/>
    <w:rsid w:val="00B04CE0"/>
    <w:rsid w:val="00B06E24"/>
    <w:rsid w:val="00B07509"/>
    <w:rsid w:val="00B07EB7"/>
    <w:rsid w:val="00B10A8A"/>
    <w:rsid w:val="00B1281C"/>
    <w:rsid w:val="00B13F68"/>
    <w:rsid w:val="00B323B9"/>
    <w:rsid w:val="00B36EA3"/>
    <w:rsid w:val="00B40744"/>
    <w:rsid w:val="00B4555C"/>
    <w:rsid w:val="00B464C1"/>
    <w:rsid w:val="00B519A3"/>
    <w:rsid w:val="00B53669"/>
    <w:rsid w:val="00B77873"/>
    <w:rsid w:val="00B82F6E"/>
    <w:rsid w:val="00B95A19"/>
    <w:rsid w:val="00BB6D67"/>
    <w:rsid w:val="00BC3A44"/>
    <w:rsid w:val="00BC65BA"/>
    <w:rsid w:val="00BC798A"/>
    <w:rsid w:val="00BD1AC2"/>
    <w:rsid w:val="00BD4226"/>
    <w:rsid w:val="00BD7004"/>
    <w:rsid w:val="00BE24F8"/>
    <w:rsid w:val="00BE3E86"/>
    <w:rsid w:val="00BE57CF"/>
    <w:rsid w:val="00BF0071"/>
    <w:rsid w:val="00BF41BC"/>
    <w:rsid w:val="00BF6308"/>
    <w:rsid w:val="00C07744"/>
    <w:rsid w:val="00C213A6"/>
    <w:rsid w:val="00C2249C"/>
    <w:rsid w:val="00C26F80"/>
    <w:rsid w:val="00C3762E"/>
    <w:rsid w:val="00C51FEC"/>
    <w:rsid w:val="00C55DBB"/>
    <w:rsid w:val="00C82AA0"/>
    <w:rsid w:val="00C85B40"/>
    <w:rsid w:val="00CA34F6"/>
    <w:rsid w:val="00CA5E84"/>
    <w:rsid w:val="00CB25B2"/>
    <w:rsid w:val="00CB312D"/>
    <w:rsid w:val="00CC644C"/>
    <w:rsid w:val="00CD175A"/>
    <w:rsid w:val="00CD4B3B"/>
    <w:rsid w:val="00CD7233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37B6E"/>
    <w:rsid w:val="00D42FC9"/>
    <w:rsid w:val="00D513D2"/>
    <w:rsid w:val="00D52196"/>
    <w:rsid w:val="00D611E6"/>
    <w:rsid w:val="00D67CF2"/>
    <w:rsid w:val="00D71CEA"/>
    <w:rsid w:val="00D770FF"/>
    <w:rsid w:val="00D92F55"/>
    <w:rsid w:val="00D96D7D"/>
    <w:rsid w:val="00D96F2E"/>
    <w:rsid w:val="00DA4090"/>
    <w:rsid w:val="00DA63C9"/>
    <w:rsid w:val="00DD452B"/>
    <w:rsid w:val="00DF2CC5"/>
    <w:rsid w:val="00E13A3E"/>
    <w:rsid w:val="00E1698A"/>
    <w:rsid w:val="00E23A3A"/>
    <w:rsid w:val="00E26B6E"/>
    <w:rsid w:val="00E41B3F"/>
    <w:rsid w:val="00E43E6D"/>
    <w:rsid w:val="00E4563B"/>
    <w:rsid w:val="00E5053B"/>
    <w:rsid w:val="00E53CD7"/>
    <w:rsid w:val="00E877C8"/>
    <w:rsid w:val="00EA405A"/>
    <w:rsid w:val="00EC1CF9"/>
    <w:rsid w:val="00EC2CE9"/>
    <w:rsid w:val="00EE1F4B"/>
    <w:rsid w:val="00EE62D2"/>
    <w:rsid w:val="00EF3069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06F7"/>
    <w:rsid w:val="00F54EF0"/>
    <w:rsid w:val="00F55076"/>
    <w:rsid w:val="00F6288E"/>
    <w:rsid w:val="00F63DAD"/>
    <w:rsid w:val="00F66A28"/>
    <w:rsid w:val="00F81142"/>
    <w:rsid w:val="00F8384D"/>
    <w:rsid w:val="00F85EAC"/>
    <w:rsid w:val="00F8664B"/>
    <w:rsid w:val="00F9666C"/>
    <w:rsid w:val="00FA099B"/>
    <w:rsid w:val="00FB533E"/>
    <w:rsid w:val="00FC6918"/>
    <w:rsid w:val="00FD3CD9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36241-A595-41DD-ADB1-9AFC4AA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4262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Bolebruchová Monika</cp:lastModifiedBy>
  <cp:revision>2</cp:revision>
  <cp:lastPrinted>2017-11-21T14:32:00Z</cp:lastPrinted>
  <dcterms:created xsi:type="dcterms:W3CDTF">2019-09-02T06:51:00Z</dcterms:created>
  <dcterms:modified xsi:type="dcterms:W3CDTF">2019-09-02T06:51:00Z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