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04630" w14:textId="77777777" w:rsidR="004027FF" w:rsidRPr="0010240A" w:rsidRDefault="004027FF" w:rsidP="00B7315D">
      <w:pPr>
        <w:jc w:val="both"/>
        <w:rPr>
          <w:sz w:val="22"/>
          <w:szCs w:val="22"/>
        </w:rPr>
      </w:pPr>
    </w:p>
    <w:p w14:paraId="2C66AB28" w14:textId="77777777" w:rsidR="00A94D41" w:rsidRPr="0079786F" w:rsidRDefault="00A94D41" w:rsidP="00B7315D">
      <w:pPr>
        <w:jc w:val="center"/>
        <w:rPr>
          <w:b/>
          <w:sz w:val="22"/>
          <w:szCs w:val="22"/>
        </w:rPr>
      </w:pPr>
      <w:r w:rsidRPr="0079786F">
        <w:rPr>
          <w:b/>
          <w:sz w:val="22"/>
          <w:szCs w:val="22"/>
        </w:rPr>
        <w:t>SÚHRN CHARAKTERISTICKÝCH VLASTNOSTÍ LIEKU</w:t>
      </w:r>
    </w:p>
    <w:p w14:paraId="79C0EF0D" w14:textId="77777777" w:rsidR="00A94D41" w:rsidRPr="00397C5E" w:rsidRDefault="00A94D41" w:rsidP="00B7315D">
      <w:pPr>
        <w:jc w:val="both"/>
        <w:rPr>
          <w:sz w:val="22"/>
          <w:szCs w:val="22"/>
        </w:rPr>
      </w:pPr>
    </w:p>
    <w:p w14:paraId="799FB789" w14:textId="77777777" w:rsidR="00A94D41" w:rsidRPr="00397C5E" w:rsidRDefault="00A94D41" w:rsidP="00B7315D">
      <w:pPr>
        <w:jc w:val="both"/>
        <w:rPr>
          <w:sz w:val="22"/>
          <w:szCs w:val="22"/>
        </w:rPr>
      </w:pPr>
    </w:p>
    <w:p w14:paraId="7F50FFAC" w14:textId="77777777" w:rsidR="00A94D41" w:rsidRPr="0079786F" w:rsidRDefault="00A94D41" w:rsidP="00B7315D">
      <w:pPr>
        <w:pStyle w:val="spc-s"/>
        <w:widowControl w:val="0"/>
        <w:tabs>
          <w:tab w:val="clear" w:pos="851"/>
        </w:tabs>
        <w:spacing w:before="0" w:after="0"/>
        <w:jc w:val="both"/>
        <w:rPr>
          <w:rFonts w:ascii="Times New Roman" w:hAnsi="Times New Roman"/>
          <w:sz w:val="22"/>
          <w:szCs w:val="22"/>
          <w:lang w:val="sk-SK"/>
        </w:rPr>
      </w:pPr>
      <w:r w:rsidRPr="0079786F">
        <w:rPr>
          <w:rFonts w:ascii="Times New Roman" w:hAnsi="Times New Roman"/>
          <w:sz w:val="22"/>
          <w:szCs w:val="22"/>
          <w:lang w:val="sk-SK"/>
        </w:rPr>
        <w:t>1.</w:t>
      </w:r>
      <w:r w:rsidRPr="0079786F">
        <w:rPr>
          <w:rFonts w:ascii="Times New Roman" w:hAnsi="Times New Roman"/>
          <w:sz w:val="22"/>
          <w:szCs w:val="22"/>
          <w:lang w:val="sk-SK"/>
        </w:rPr>
        <w:tab/>
        <w:t>NÁZOV LIEKU</w:t>
      </w:r>
    </w:p>
    <w:p w14:paraId="616D61E4" w14:textId="77777777" w:rsidR="00A94D41" w:rsidRPr="0079786F" w:rsidRDefault="00A94D41" w:rsidP="00B7315D">
      <w:pPr>
        <w:jc w:val="both"/>
        <w:rPr>
          <w:sz w:val="22"/>
          <w:szCs w:val="22"/>
        </w:rPr>
      </w:pPr>
    </w:p>
    <w:p w14:paraId="3C516422" w14:textId="77777777" w:rsidR="00A94D41" w:rsidRPr="00327CBD" w:rsidRDefault="00A94D41" w:rsidP="00B7315D">
      <w:pPr>
        <w:jc w:val="both"/>
        <w:rPr>
          <w:sz w:val="22"/>
          <w:szCs w:val="22"/>
        </w:rPr>
      </w:pPr>
      <w:r w:rsidRPr="00327CBD">
        <w:rPr>
          <w:sz w:val="22"/>
          <w:szCs w:val="22"/>
        </w:rPr>
        <w:t xml:space="preserve">Ceftron </w:t>
      </w:r>
      <w:smartTag w:uri="urn:schemas-microsoft-com:office:smarttags" w:element="metricconverter">
        <w:smartTagPr>
          <w:attr w:name="ProductID" w:val="1 g"/>
        </w:smartTagPr>
        <w:r w:rsidRPr="00327CBD">
          <w:rPr>
            <w:sz w:val="22"/>
            <w:szCs w:val="22"/>
          </w:rPr>
          <w:t>1 g</w:t>
        </w:r>
      </w:smartTag>
      <w:r w:rsidRPr="00327CBD">
        <w:rPr>
          <w:sz w:val="22"/>
          <w:szCs w:val="22"/>
        </w:rPr>
        <w:t xml:space="preserve"> </w:t>
      </w:r>
    </w:p>
    <w:p w14:paraId="197B534E" w14:textId="3BC9C818" w:rsidR="00A94D41" w:rsidRPr="0079786F" w:rsidRDefault="00327CBD" w:rsidP="00B7315D">
      <w:pPr>
        <w:jc w:val="both"/>
        <w:rPr>
          <w:sz w:val="22"/>
          <w:szCs w:val="22"/>
        </w:rPr>
      </w:pPr>
      <w:r>
        <w:rPr>
          <w:sz w:val="22"/>
          <w:szCs w:val="22"/>
        </w:rPr>
        <w:t>p</w:t>
      </w:r>
      <w:r w:rsidR="00A94D41" w:rsidRPr="0079786F">
        <w:rPr>
          <w:sz w:val="22"/>
          <w:szCs w:val="22"/>
        </w:rPr>
        <w:t>rášok na injekčný</w:t>
      </w:r>
      <w:r w:rsidR="0006607A">
        <w:rPr>
          <w:sz w:val="22"/>
          <w:szCs w:val="22"/>
        </w:rPr>
        <w:t>/</w:t>
      </w:r>
      <w:r w:rsidR="00A94D41" w:rsidRPr="0079786F">
        <w:rPr>
          <w:sz w:val="22"/>
          <w:szCs w:val="22"/>
        </w:rPr>
        <w:t>infúzny roztok</w:t>
      </w:r>
    </w:p>
    <w:p w14:paraId="2B37A0D8" w14:textId="77777777" w:rsidR="00A94D41" w:rsidRPr="0079786F" w:rsidRDefault="00A94D41" w:rsidP="00B7315D">
      <w:pPr>
        <w:jc w:val="both"/>
        <w:rPr>
          <w:sz w:val="22"/>
          <w:szCs w:val="22"/>
        </w:rPr>
      </w:pPr>
    </w:p>
    <w:p w14:paraId="10223937" w14:textId="77777777" w:rsidR="00A94D41" w:rsidRPr="0079786F" w:rsidRDefault="00A94D41" w:rsidP="00B7315D">
      <w:pPr>
        <w:jc w:val="both"/>
        <w:rPr>
          <w:sz w:val="22"/>
          <w:szCs w:val="22"/>
        </w:rPr>
      </w:pPr>
    </w:p>
    <w:p w14:paraId="0BF9B60B" w14:textId="77777777" w:rsidR="00A94D41" w:rsidRPr="0079786F" w:rsidRDefault="00A94D41" w:rsidP="00B7315D">
      <w:pPr>
        <w:pStyle w:val="spc-s"/>
        <w:widowControl w:val="0"/>
        <w:tabs>
          <w:tab w:val="clear" w:pos="851"/>
        </w:tabs>
        <w:spacing w:before="0" w:after="0"/>
        <w:jc w:val="both"/>
        <w:rPr>
          <w:rFonts w:ascii="Times New Roman" w:hAnsi="Times New Roman"/>
          <w:sz w:val="22"/>
          <w:szCs w:val="22"/>
          <w:lang w:val="sk-SK"/>
        </w:rPr>
      </w:pPr>
      <w:r w:rsidRPr="0079786F">
        <w:rPr>
          <w:rFonts w:ascii="Times New Roman" w:hAnsi="Times New Roman"/>
          <w:sz w:val="22"/>
          <w:szCs w:val="22"/>
          <w:lang w:val="sk-SK"/>
        </w:rPr>
        <w:t>2.</w:t>
      </w:r>
      <w:r w:rsidRPr="0079786F">
        <w:rPr>
          <w:rFonts w:ascii="Times New Roman" w:hAnsi="Times New Roman"/>
          <w:sz w:val="22"/>
          <w:szCs w:val="22"/>
          <w:lang w:val="sk-SK"/>
        </w:rPr>
        <w:tab/>
        <w:t>KVALITATÍVNE A KVANTITATÍVNE ZLOŽENIE</w:t>
      </w:r>
    </w:p>
    <w:p w14:paraId="05C98D48" w14:textId="77777777" w:rsidR="00A94D41" w:rsidRPr="0079786F" w:rsidRDefault="00A94D41" w:rsidP="00B7315D">
      <w:pPr>
        <w:jc w:val="both"/>
        <w:rPr>
          <w:i/>
          <w:iCs/>
          <w:sz w:val="22"/>
          <w:szCs w:val="22"/>
        </w:rPr>
      </w:pPr>
    </w:p>
    <w:p w14:paraId="08E8DD16" w14:textId="7F3B1813" w:rsidR="00DB1FF8" w:rsidRDefault="009E5A03" w:rsidP="00B7315D">
      <w:pPr>
        <w:jc w:val="both"/>
        <w:rPr>
          <w:sz w:val="22"/>
          <w:szCs w:val="22"/>
        </w:rPr>
      </w:pPr>
      <w:r w:rsidRPr="009E5A03">
        <w:rPr>
          <w:sz w:val="22"/>
          <w:szCs w:val="22"/>
        </w:rPr>
        <w:t xml:space="preserve">Jedna </w:t>
      </w:r>
      <w:r w:rsidR="00ED3C29">
        <w:rPr>
          <w:sz w:val="22"/>
          <w:szCs w:val="22"/>
        </w:rPr>
        <w:t>fľaštička</w:t>
      </w:r>
      <w:r w:rsidRPr="009E5A03">
        <w:rPr>
          <w:sz w:val="22"/>
          <w:szCs w:val="22"/>
        </w:rPr>
        <w:t xml:space="preserve"> obsahuje</w:t>
      </w:r>
      <w:r>
        <w:rPr>
          <w:sz w:val="22"/>
          <w:szCs w:val="22"/>
        </w:rPr>
        <w:t xml:space="preserve"> </w:t>
      </w:r>
      <w:r w:rsidRPr="009E5A03">
        <w:rPr>
          <w:sz w:val="22"/>
          <w:szCs w:val="22"/>
        </w:rPr>
        <w:t>1,1930 g</w:t>
      </w:r>
      <w:r>
        <w:rPr>
          <w:sz w:val="22"/>
          <w:szCs w:val="22"/>
        </w:rPr>
        <w:t xml:space="preserve"> </w:t>
      </w:r>
      <w:r w:rsidR="00BC394F">
        <w:rPr>
          <w:sz w:val="22"/>
          <w:szCs w:val="22"/>
        </w:rPr>
        <w:t>c</w:t>
      </w:r>
      <w:r w:rsidR="00A94D41" w:rsidRPr="0079786F">
        <w:rPr>
          <w:sz w:val="22"/>
          <w:szCs w:val="22"/>
        </w:rPr>
        <w:t>eftriax</w:t>
      </w:r>
      <w:r w:rsidR="00A94D41">
        <w:rPr>
          <w:sz w:val="22"/>
          <w:szCs w:val="22"/>
        </w:rPr>
        <w:t>ón</w:t>
      </w:r>
      <w:r w:rsidR="00B6592A">
        <w:rPr>
          <w:sz w:val="22"/>
          <w:szCs w:val="22"/>
        </w:rPr>
        <w:t>u</w:t>
      </w:r>
      <w:r w:rsidR="00A94D41">
        <w:rPr>
          <w:sz w:val="22"/>
          <w:szCs w:val="22"/>
        </w:rPr>
        <w:t xml:space="preserve"> sodn</w:t>
      </w:r>
      <w:r w:rsidR="00B6592A">
        <w:rPr>
          <w:sz w:val="22"/>
          <w:szCs w:val="22"/>
        </w:rPr>
        <w:t>ého</w:t>
      </w:r>
      <w:r w:rsidR="00A94D41" w:rsidRPr="0079786F">
        <w:rPr>
          <w:sz w:val="22"/>
          <w:szCs w:val="22"/>
        </w:rPr>
        <w:t xml:space="preserve">, čo zodpovedá </w:t>
      </w:r>
      <w:smartTag w:uri="urn:schemas-microsoft-com:office:smarttags" w:element="metricconverter">
        <w:smartTagPr>
          <w:attr w:name="ProductID" w:val="1 g"/>
        </w:smartTagPr>
        <w:r w:rsidR="00A94D41" w:rsidRPr="0079786F">
          <w:rPr>
            <w:sz w:val="22"/>
            <w:szCs w:val="22"/>
          </w:rPr>
          <w:t>1 g</w:t>
        </w:r>
      </w:smartTag>
      <w:r w:rsidR="00A94D41" w:rsidRPr="0079786F">
        <w:rPr>
          <w:sz w:val="22"/>
          <w:szCs w:val="22"/>
        </w:rPr>
        <w:t xml:space="preserve"> ceftriaxónu</w:t>
      </w:r>
      <w:r w:rsidR="00DB1FF8">
        <w:rPr>
          <w:sz w:val="22"/>
          <w:szCs w:val="22"/>
        </w:rPr>
        <w:t>.</w:t>
      </w:r>
    </w:p>
    <w:p w14:paraId="0FE240A0" w14:textId="77777777" w:rsidR="00DB1FF8" w:rsidRDefault="00DB1FF8" w:rsidP="00B7315D">
      <w:pPr>
        <w:jc w:val="both"/>
        <w:rPr>
          <w:sz w:val="22"/>
          <w:szCs w:val="22"/>
        </w:rPr>
      </w:pPr>
    </w:p>
    <w:p w14:paraId="051DF28E" w14:textId="0CD71A8F" w:rsidR="00B7315D" w:rsidRPr="00B7315D" w:rsidRDefault="00B7315D" w:rsidP="00B7315D">
      <w:pPr>
        <w:jc w:val="both"/>
        <w:rPr>
          <w:sz w:val="22"/>
          <w:szCs w:val="22"/>
        </w:rPr>
      </w:pPr>
      <w:r w:rsidRPr="00BF1376">
        <w:rPr>
          <w:sz w:val="22"/>
          <w:szCs w:val="22"/>
          <w:u w:val="single"/>
        </w:rPr>
        <w:t>Pomocná látka so známym účinkom</w:t>
      </w:r>
      <w:r>
        <w:rPr>
          <w:sz w:val="22"/>
          <w:szCs w:val="22"/>
          <w:u w:val="single"/>
        </w:rPr>
        <w:t xml:space="preserve">: </w:t>
      </w:r>
      <w:r>
        <w:rPr>
          <w:sz w:val="22"/>
          <w:szCs w:val="22"/>
        </w:rPr>
        <w:t>sodík</w:t>
      </w:r>
    </w:p>
    <w:p w14:paraId="78890E0F" w14:textId="33228F9B" w:rsidR="00A94D41" w:rsidRPr="0079786F" w:rsidRDefault="00DB1FF8" w:rsidP="00B7315D">
      <w:pPr>
        <w:jc w:val="both"/>
        <w:rPr>
          <w:sz w:val="22"/>
          <w:szCs w:val="22"/>
        </w:rPr>
      </w:pPr>
      <w:r>
        <w:rPr>
          <w:sz w:val="22"/>
          <w:szCs w:val="22"/>
        </w:rPr>
        <w:t>Ceftron 1 g o</w:t>
      </w:r>
      <w:r w:rsidR="00A94D41" w:rsidRPr="0079786F">
        <w:rPr>
          <w:sz w:val="22"/>
          <w:szCs w:val="22"/>
        </w:rPr>
        <w:t>bsah</w:t>
      </w:r>
      <w:r>
        <w:rPr>
          <w:sz w:val="22"/>
          <w:szCs w:val="22"/>
        </w:rPr>
        <w:t>uje</w:t>
      </w:r>
      <w:r w:rsidR="00A94D41" w:rsidRPr="0079786F">
        <w:rPr>
          <w:sz w:val="22"/>
          <w:szCs w:val="22"/>
        </w:rPr>
        <w:t xml:space="preserve"> sodík: 83 mg (</w:t>
      </w:r>
      <w:r w:rsidR="00B7315D">
        <w:rPr>
          <w:sz w:val="22"/>
          <w:szCs w:val="22"/>
        </w:rPr>
        <w:t xml:space="preserve">to </w:t>
      </w:r>
      <w:r w:rsidR="00A94D41" w:rsidRPr="0079786F">
        <w:rPr>
          <w:sz w:val="22"/>
          <w:szCs w:val="22"/>
        </w:rPr>
        <w:t>zodpovedá 3,6 mmol)</w:t>
      </w:r>
      <w:r w:rsidR="005476CF">
        <w:rPr>
          <w:sz w:val="22"/>
          <w:szCs w:val="22"/>
        </w:rPr>
        <w:t xml:space="preserve"> na jednu injekčnú liekovku</w:t>
      </w:r>
      <w:r w:rsidR="00A94D41" w:rsidRPr="0079786F">
        <w:rPr>
          <w:sz w:val="22"/>
          <w:szCs w:val="22"/>
        </w:rPr>
        <w:t>.</w:t>
      </w:r>
    </w:p>
    <w:p w14:paraId="755557EF" w14:textId="77777777" w:rsidR="00A94D41" w:rsidRPr="0079786F" w:rsidRDefault="00A94D41" w:rsidP="00B7315D">
      <w:pPr>
        <w:jc w:val="both"/>
        <w:rPr>
          <w:sz w:val="22"/>
          <w:szCs w:val="22"/>
        </w:rPr>
      </w:pPr>
    </w:p>
    <w:p w14:paraId="661B59AB" w14:textId="77777777" w:rsidR="00A94D41" w:rsidRPr="0079786F" w:rsidRDefault="00A94D41" w:rsidP="00B7315D">
      <w:pPr>
        <w:jc w:val="both"/>
        <w:rPr>
          <w:sz w:val="22"/>
          <w:szCs w:val="22"/>
        </w:rPr>
      </w:pPr>
    </w:p>
    <w:p w14:paraId="424BDA0D" w14:textId="77777777" w:rsidR="00A94D41" w:rsidRPr="0079786F" w:rsidRDefault="00A94D41" w:rsidP="00B7315D">
      <w:pPr>
        <w:pStyle w:val="spc-s"/>
        <w:widowControl w:val="0"/>
        <w:tabs>
          <w:tab w:val="clear" w:pos="851"/>
        </w:tabs>
        <w:spacing w:before="0" w:after="0"/>
        <w:jc w:val="both"/>
        <w:rPr>
          <w:rFonts w:ascii="Times New Roman" w:hAnsi="Times New Roman"/>
          <w:sz w:val="22"/>
          <w:szCs w:val="22"/>
          <w:lang w:val="sk-SK"/>
        </w:rPr>
      </w:pPr>
      <w:r w:rsidRPr="0079786F">
        <w:rPr>
          <w:rFonts w:ascii="Times New Roman" w:hAnsi="Times New Roman"/>
          <w:sz w:val="22"/>
          <w:szCs w:val="22"/>
          <w:lang w:val="sk-SK"/>
        </w:rPr>
        <w:t>3.</w:t>
      </w:r>
      <w:r w:rsidRPr="0079786F">
        <w:rPr>
          <w:rFonts w:ascii="Times New Roman" w:hAnsi="Times New Roman"/>
          <w:sz w:val="22"/>
          <w:szCs w:val="22"/>
          <w:lang w:val="sk-SK"/>
        </w:rPr>
        <w:tab/>
        <w:t>LIEKOVÁ FORMA</w:t>
      </w:r>
    </w:p>
    <w:p w14:paraId="72F8F1E5" w14:textId="77777777" w:rsidR="00A94D41" w:rsidRPr="0079786F" w:rsidRDefault="00A94D41" w:rsidP="00B7315D">
      <w:pPr>
        <w:jc w:val="both"/>
        <w:rPr>
          <w:sz w:val="22"/>
          <w:szCs w:val="22"/>
        </w:rPr>
      </w:pPr>
    </w:p>
    <w:p w14:paraId="5364E1D7" w14:textId="320E098F" w:rsidR="00A94D41" w:rsidRPr="0079786F" w:rsidRDefault="00BC394F" w:rsidP="00B7315D">
      <w:pPr>
        <w:jc w:val="both"/>
        <w:rPr>
          <w:sz w:val="22"/>
          <w:szCs w:val="22"/>
        </w:rPr>
      </w:pPr>
      <w:r>
        <w:rPr>
          <w:sz w:val="22"/>
          <w:szCs w:val="22"/>
        </w:rPr>
        <w:t>p</w:t>
      </w:r>
      <w:r w:rsidR="00A94D41">
        <w:rPr>
          <w:sz w:val="22"/>
          <w:szCs w:val="22"/>
        </w:rPr>
        <w:t>rášok na injekčný</w:t>
      </w:r>
      <w:r w:rsidR="0006607A">
        <w:rPr>
          <w:sz w:val="22"/>
          <w:szCs w:val="22"/>
        </w:rPr>
        <w:t>/</w:t>
      </w:r>
      <w:r w:rsidR="00A94D41" w:rsidRPr="0079786F">
        <w:rPr>
          <w:sz w:val="22"/>
          <w:szCs w:val="22"/>
        </w:rPr>
        <w:t>infúzny roztok</w:t>
      </w:r>
    </w:p>
    <w:p w14:paraId="6038D47D" w14:textId="77777777" w:rsidR="00A94D41" w:rsidRPr="0079786F" w:rsidRDefault="00A94D41" w:rsidP="00B7315D">
      <w:pPr>
        <w:jc w:val="both"/>
        <w:rPr>
          <w:sz w:val="22"/>
          <w:szCs w:val="22"/>
        </w:rPr>
      </w:pPr>
      <w:r w:rsidRPr="0079786F">
        <w:rPr>
          <w:sz w:val="22"/>
          <w:szCs w:val="22"/>
        </w:rPr>
        <w:t>Takmer biely alebo žltkastý kryštalický prášok.</w:t>
      </w:r>
    </w:p>
    <w:p w14:paraId="7F3CA203" w14:textId="77777777" w:rsidR="00A94D41" w:rsidRPr="0079786F" w:rsidRDefault="00A94D41" w:rsidP="00B7315D">
      <w:pPr>
        <w:jc w:val="both"/>
        <w:rPr>
          <w:sz w:val="22"/>
          <w:szCs w:val="22"/>
        </w:rPr>
      </w:pPr>
    </w:p>
    <w:p w14:paraId="54204ECA" w14:textId="77777777" w:rsidR="00A94D41" w:rsidRPr="0079786F" w:rsidRDefault="00A94D41" w:rsidP="00B7315D">
      <w:pPr>
        <w:jc w:val="both"/>
        <w:rPr>
          <w:sz w:val="22"/>
          <w:szCs w:val="22"/>
        </w:rPr>
      </w:pPr>
    </w:p>
    <w:p w14:paraId="767B8567" w14:textId="77777777" w:rsidR="00A94D41" w:rsidRDefault="00A94D41" w:rsidP="00B7315D">
      <w:pPr>
        <w:pStyle w:val="spc-s"/>
        <w:widowControl w:val="0"/>
        <w:tabs>
          <w:tab w:val="clear" w:pos="851"/>
        </w:tabs>
        <w:spacing w:before="0" w:after="0"/>
        <w:jc w:val="both"/>
        <w:rPr>
          <w:rFonts w:ascii="Times New Roman" w:hAnsi="Times New Roman"/>
          <w:bCs/>
          <w:caps/>
          <w:sz w:val="22"/>
          <w:szCs w:val="22"/>
          <w:lang w:val="sk-SK"/>
        </w:rPr>
      </w:pPr>
      <w:r w:rsidRPr="0079786F">
        <w:rPr>
          <w:rFonts w:ascii="Times New Roman" w:hAnsi="Times New Roman"/>
          <w:bCs/>
          <w:caps/>
          <w:sz w:val="22"/>
          <w:szCs w:val="22"/>
          <w:lang w:val="sk-SK"/>
        </w:rPr>
        <w:t>4.</w:t>
      </w:r>
      <w:r w:rsidRPr="0079786F">
        <w:rPr>
          <w:rFonts w:ascii="Times New Roman" w:hAnsi="Times New Roman"/>
          <w:bCs/>
          <w:caps/>
          <w:sz w:val="22"/>
          <w:szCs w:val="22"/>
          <w:lang w:val="sk-SK"/>
        </w:rPr>
        <w:tab/>
        <w:t>KLINICKÉ ÚDAJE</w:t>
      </w:r>
    </w:p>
    <w:p w14:paraId="7BB9C171" w14:textId="77777777" w:rsidR="00A94D41" w:rsidRPr="001F657E" w:rsidRDefault="00A94D41" w:rsidP="00B7315D">
      <w:pPr>
        <w:pStyle w:val="spc-s"/>
        <w:widowControl w:val="0"/>
        <w:tabs>
          <w:tab w:val="clear" w:pos="851"/>
        </w:tabs>
        <w:spacing w:before="0" w:after="0"/>
        <w:jc w:val="both"/>
        <w:rPr>
          <w:rFonts w:ascii="Times New Roman" w:hAnsi="Times New Roman"/>
          <w:b w:val="0"/>
          <w:bCs/>
          <w:caps/>
          <w:sz w:val="22"/>
          <w:szCs w:val="22"/>
          <w:lang w:val="sk-SK"/>
        </w:rPr>
      </w:pPr>
    </w:p>
    <w:p w14:paraId="203F042A" w14:textId="77777777" w:rsidR="00A94D41" w:rsidRPr="0079786F" w:rsidRDefault="00A94D41" w:rsidP="00B7315D">
      <w:pPr>
        <w:jc w:val="both"/>
        <w:rPr>
          <w:sz w:val="22"/>
          <w:szCs w:val="22"/>
        </w:rPr>
      </w:pPr>
      <w:r w:rsidRPr="0079786F">
        <w:rPr>
          <w:b/>
          <w:sz w:val="22"/>
          <w:szCs w:val="22"/>
        </w:rPr>
        <w:t>4.1</w:t>
      </w:r>
      <w:r w:rsidRPr="0079786F">
        <w:rPr>
          <w:b/>
          <w:sz w:val="22"/>
          <w:szCs w:val="22"/>
        </w:rPr>
        <w:tab/>
      </w:r>
      <w:smartTag w:uri="urn:schemas-microsoft-com:office:smarttags" w:element="PersonName">
        <w:r w:rsidRPr="0079786F">
          <w:rPr>
            <w:b/>
            <w:sz w:val="22"/>
            <w:szCs w:val="22"/>
          </w:rPr>
          <w:t>Terapeut</w:t>
        </w:r>
      </w:smartTag>
      <w:r w:rsidRPr="0079786F">
        <w:rPr>
          <w:b/>
          <w:sz w:val="22"/>
          <w:szCs w:val="22"/>
        </w:rPr>
        <w:t>ické indikácie</w:t>
      </w:r>
    </w:p>
    <w:p w14:paraId="2C8F7954" w14:textId="77777777" w:rsidR="00A94D41" w:rsidRDefault="00A94D41" w:rsidP="00B7315D">
      <w:pPr>
        <w:jc w:val="both"/>
        <w:rPr>
          <w:sz w:val="22"/>
          <w:szCs w:val="22"/>
        </w:rPr>
      </w:pPr>
    </w:p>
    <w:p w14:paraId="172E5C97" w14:textId="77777777" w:rsidR="00A94D41" w:rsidRPr="0079786F" w:rsidRDefault="00A94D41" w:rsidP="00B7315D">
      <w:pPr>
        <w:jc w:val="both"/>
        <w:rPr>
          <w:sz w:val="22"/>
          <w:szCs w:val="22"/>
        </w:rPr>
      </w:pPr>
      <w:r w:rsidRPr="0079786F">
        <w:rPr>
          <w:sz w:val="22"/>
          <w:szCs w:val="22"/>
        </w:rPr>
        <w:t xml:space="preserve">Ceftron </w:t>
      </w:r>
      <w:smartTag w:uri="urn:schemas-microsoft-com:office:smarttags" w:element="metricconverter">
        <w:smartTagPr>
          <w:attr w:name="ProductID" w:val="1 g"/>
        </w:smartTagPr>
        <w:r w:rsidRPr="0079786F">
          <w:rPr>
            <w:sz w:val="22"/>
            <w:szCs w:val="22"/>
          </w:rPr>
          <w:t>1 g</w:t>
        </w:r>
      </w:smartTag>
      <w:r w:rsidRPr="0079786F">
        <w:rPr>
          <w:sz w:val="22"/>
          <w:szCs w:val="22"/>
        </w:rPr>
        <w:t xml:space="preserve"> je indikovaný na liečbu nasledovných infekcií spôsobených mikroorganizmami citlivými na ceftriaxón (pozri časť 5.1), ak je nevyhnutná parenterálna liečba:</w:t>
      </w:r>
    </w:p>
    <w:p w14:paraId="68A2D4DC" w14:textId="77777777" w:rsidR="00A94D41" w:rsidRPr="0079786F" w:rsidRDefault="00A94D41" w:rsidP="00B7315D">
      <w:pPr>
        <w:jc w:val="both"/>
        <w:rPr>
          <w:sz w:val="22"/>
          <w:szCs w:val="22"/>
        </w:rPr>
      </w:pPr>
    </w:p>
    <w:p w14:paraId="49CCEB1D" w14:textId="77777777" w:rsidR="00A94D41" w:rsidRPr="0079786F" w:rsidRDefault="00A94D41" w:rsidP="00B7315D">
      <w:pPr>
        <w:numPr>
          <w:ilvl w:val="0"/>
          <w:numId w:val="1"/>
        </w:numPr>
        <w:tabs>
          <w:tab w:val="num" w:pos="360"/>
        </w:tabs>
        <w:ind w:left="0" w:firstLine="0"/>
        <w:jc w:val="both"/>
        <w:rPr>
          <w:sz w:val="22"/>
          <w:szCs w:val="22"/>
        </w:rPr>
      </w:pPr>
      <w:r w:rsidRPr="0079786F">
        <w:rPr>
          <w:sz w:val="22"/>
          <w:szCs w:val="22"/>
        </w:rPr>
        <w:t>Infekcie ucha, nosa a hrdla</w:t>
      </w:r>
    </w:p>
    <w:p w14:paraId="5564A6A7" w14:textId="77777777" w:rsidR="00A94D41" w:rsidRPr="0079786F" w:rsidRDefault="00A94D41" w:rsidP="00B7315D">
      <w:pPr>
        <w:numPr>
          <w:ilvl w:val="0"/>
          <w:numId w:val="1"/>
        </w:numPr>
        <w:tabs>
          <w:tab w:val="num" w:pos="360"/>
        </w:tabs>
        <w:ind w:left="0" w:firstLine="0"/>
        <w:jc w:val="both"/>
        <w:rPr>
          <w:sz w:val="22"/>
          <w:szCs w:val="22"/>
        </w:rPr>
      </w:pPr>
      <w:r w:rsidRPr="0079786F">
        <w:rPr>
          <w:sz w:val="22"/>
          <w:szCs w:val="22"/>
        </w:rPr>
        <w:t>Infekcie dolných dýchacích ciest</w:t>
      </w:r>
    </w:p>
    <w:p w14:paraId="115A3CD2" w14:textId="77777777" w:rsidR="00A94D41" w:rsidRPr="0079786F" w:rsidRDefault="00A94D41" w:rsidP="00B7315D">
      <w:pPr>
        <w:numPr>
          <w:ilvl w:val="0"/>
          <w:numId w:val="1"/>
        </w:numPr>
        <w:tabs>
          <w:tab w:val="num" w:pos="360"/>
        </w:tabs>
        <w:ind w:left="0" w:firstLine="0"/>
        <w:jc w:val="both"/>
        <w:rPr>
          <w:sz w:val="22"/>
          <w:szCs w:val="22"/>
        </w:rPr>
      </w:pPr>
      <w:r w:rsidRPr="0079786F">
        <w:rPr>
          <w:sz w:val="22"/>
          <w:szCs w:val="22"/>
        </w:rPr>
        <w:t xml:space="preserve">Infekcie obličiek a močových ciest </w:t>
      </w:r>
    </w:p>
    <w:p w14:paraId="4DDC0A32" w14:textId="77777777" w:rsidR="00A94D41" w:rsidRPr="0079786F" w:rsidRDefault="00A94D41" w:rsidP="00B7315D">
      <w:pPr>
        <w:numPr>
          <w:ilvl w:val="0"/>
          <w:numId w:val="1"/>
        </w:numPr>
        <w:tabs>
          <w:tab w:val="num" w:pos="360"/>
        </w:tabs>
        <w:ind w:left="0" w:firstLine="0"/>
        <w:jc w:val="both"/>
        <w:rPr>
          <w:sz w:val="22"/>
          <w:szCs w:val="22"/>
        </w:rPr>
      </w:pPr>
      <w:r w:rsidRPr="0079786F">
        <w:rPr>
          <w:sz w:val="22"/>
          <w:szCs w:val="22"/>
        </w:rPr>
        <w:t xml:space="preserve">Infekcie kože a mäkkých tkanív, </w:t>
      </w:r>
      <w:r w:rsidR="00E976EA">
        <w:rPr>
          <w:sz w:val="22"/>
          <w:szCs w:val="22"/>
        </w:rPr>
        <w:t>vrátane</w:t>
      </w:r>
      <w:r w:rsidR="00E976EA" w:rsidRPr="0079786F">
        <w:rPr>
          <w:sz w:val="22"/>
          <w:szCs w:val="22"/>
        </w:rPr>
        <w:t xml:space="preserve"> </w:t>
      </w:r>
      <w:r w:rsidRPr="0079786F">
        <w:rPr>
          <w:sz w:val="22"/>
          <w:szCs w:val="22"/>
        </w:rPr>
        <w:t>infekcií rán</w:t>
      </w:r>
    </w:p>
    <w:p w14:paraId="0D800C10" w14:textId="77777777" w:rsidR="00A94D41" w:rsidRPr="0079786F" w:rsidRDefault="00A94D41" w:rsidP="00B7315D">
      <w:pPr>
        <w:numPr>
          <w:ilvl w:val="0"/>
          <w:numId w:val="1"/>
        </w:numPr>
        <w:tabs>
          <w:tab w:val="num" w:pos="360"/>
        </w:tabs>
        <w:ind w:left="0" w:firstLine="0"/>
        <w:jc w:val="both"/>
        <w:rPr>
          <w:sz w:val="22"/>
          <w:szCs w:val="22"/>
        </w:rPr>
      </w:pPr>
      <w:r w:rsidRPr="0079786F">
        <w:rPr>
          <w:sz w:val="22"/>
          <w:szCs w:val="22"/>
        </w:rPr>
        <w:t xml:space="preserve">Infekcie pohlavných orgánov, </w:t>
      </w:r>
      <w:r w:rsidR="00E976EA">
        <w:rPr>
          <w:sz w:val="22"/>
          <w:szCs w:val="22"/>
        </w:rPr>
        <w:t>vrátane</w:t>
      </w:r>
      <w:r w:rsidR="00E976EA" w:rsidRPr="0079786F">
        <w:rPr>
          <w:sz w:val="22"/>
          <w:szCs w:val="22"/>
        </w:rPr>
        <w:t xml:space="preserve"> </w:t>
      </w:r>
      <w:r w:rsidRPr="0079786F">
        <w:rPr>
          <w:sz w:val="22"/>
          <w:szCs w:val="22"/>
        </w:rPr>
        <w:t>kvapavky</w:t>
      </w:r>
    </w:p>
    <w:p w14:paraId="045B8ADF" w14:textId="77777777" w:rsidR="00A94D41" w:rsidRPr="0079786F" w:rsidRDefault="00A94D41" w:rsidP="00B7315D">
      <w:pPr>
        <w:numPr>
          <w:ilvl w:val="0"/>
          <w:numId w:val="1"/>
        </w:numPr>
        <w:tabs>
          <w:tab w:val="num" w:pos="360"/>
        </w:tabs>
        <w:ind w:left="0" w:firstLine="0"/>
        <w:jc w:val="both"/>
        <w:rPr>
          <w:sz w:val="22"/>
          <w:szCs w:val="22"/>
        </w:rPr>
      </w:pPr>
      <w:r w:rsidRPr="0079786F">
        <w:rPr>
          <w:sz w:val="22"/>
          <w:szCs w:val="22"/>
        </w:rPr>
        <w:t>Brušné infekcie (peritonitída)</w:t>
      </w:r>
    </w:p>
    <w:p w14:paraId="46EB444F" w14:textId="77777777" w:rsidR="00A94D41" w:rsidRPr="0079786F" w:rsidRDefault="00A94D41" w:rsidP="00B7315D">
      <w:pPr>
        <w:numPr>
          <w:ilvl w:val="0"/>
          <w:numId w:val="1"/>
        </w:numPr>
        <w:tabs>
          <w:tab w:val="num" w:pos="360"/>
        </w:tabs>
        <w:ind w:left="0" w:firstLine="0"/>
        <w:jc w:val="both"/>
        <w:rPr>
          <w:sz w:val="22"/>
          <w:szCs w:val="22"/>
        </w:rPr>
      </w:pPr>
      <w:r w:rsidRPr="0079786F">
        <w:rPr>
          <w:sz w:val="22"/>
          <w:szCs w:val="22"/>
        </w:rPr>
        <w:t>Infekcie kostí a kĺbov</w:t>
      </w:r>
    </w:p>
    <w:p w14:paraId="4AA8667C" w14:textId="77777777" w:rsidR="00A94D41" w:rsidRPr="0079786F" w:rsidRDefault="00A94D41" w:rsidP="00B7315D">
      <w:pPr>
        <w:numPr>
          <w:ilvl w:val="0"/>
          <w:numId w:val="2"/>
        </w:numPr>
        <w:tabs>
          <w:tab w:val="num" w:pos="360"/>
        </w:tabs>
        <w:ind w:left="0" w:firstLine="0"/>
        <w:jc w:val="both"/>
        <w:rPr>
          <w:sz w:val="22"/>
          <w:szCs w:val="22"/>
        </w:rPr>
      </w:pPr>
      <w:r w:rsidRPr="0079786F">
        <w:rPr>
          <w:sz w:val="22"/>
          <w:szCs w:val="22"/>
        </w:rPr>
        <w:t>Septikémia</w:t>
      </w:r>
    </w:p>
    <w:p w14:paraId="39709071" w14:textId="77777777" w:rsidR="00A94D41" w:rsidRPr="0079786F" w:rsidRDefault="00A94D41" w:rsidP="00B7315D">
      <w:pPr>
        <w:numPr>
          <w:ilvl w:val="0"/>
          <w:numId w:val="2"/>
        </w:numPr>
        <w:tabs>
          <w:tab w:val="num" w:pos="360"/>
        </w:tabs>
        <w:ind w:left="0" w:firstLine="0"/>
        <w:jc w:val="both"/>
        <w:rPr>
          <w:sz w:val="22"/>
          <w:szCs w:val="22"/>
        </w:rPr>
      </w:pPr>
      <w:r w:rsidRPr="0079786F">
        <w:rPr>
          <w:sz w:val="22"/>
          <w:szCs w:val="22"/>
        </w:rPr>
        <w:t>Meningitída</w:t>
      </w:r>
    </w:p>
    <w:p w14:paraId="2E622062" w14:textId="77777777" w:rsidR="00A94D41" w:rsidRPr="0079786F" w:rsidRDefault="00A94D41" w:rsidP="00B7315D">
      <w:pPr>
        <w:numPr>
          <w:ilvl w:val="0"/>
          <w:numId w:val="2"/>
        </w:numPr>
        <w:tabs>
          <w:tab w:val="num" w:pos="360"/>
        </w:tabs>
        <w:ind w:left="0" w:firstLine="0"/>
        <w:jc w:val="both"/>
        <w:rPr>
          <w:sz w:val="22"/>
          <w:szCs w:val="22"/>
        </w:rPr>
      </w:pPr>
      <w:r w:rsidRPr="0079786F">
        <w:rPr>
          <w:sz w:val="22"/>
          <w:szCs w:val="22"/>
        </w:rPr>
        <w:t>Perioperačná profylaxia u pacientov so zvýšeným rizikom infekcií</w:t>
      </w:r>
    </w:p>
    <w:p w14:paraId="05812792" w14:textId="77777777" w:rsidR="00A94D41" w:rsidRPr="0079786F" w:rsidRDefault="00A94D41" w:rsidP="00B7315D">
      <w:pPr>
        <w:numPr>
          <w:ilvl w:val="0"/>
          <w:numId w:val="2"/>
        </w:numPr>
        <w:tabs>
          <w:tab w:val="num" w:pos="360"/>
        </w:tabs>
        <w:ind w:left="0" w:firstLine="0"/>
        <w:jc w:val="both"/>
        <w:rPr>
          <w:sz w:val="22"/>
          <w:szCs w:val="22"/>
        </w:rPr>
      </w:pPr>
      <w:r w:rsidRPr="0079786F">
        <w:rPr>
          <w:sz w:val="22"/>
          <w:szCs w:val="22"/>
        </w:rPr>
        <w:t>Lymská borelióza (štádiá II a III)</w:t>
      </w:r>
    </w:p>
    <w:p w14:paraId="46D7C8F5" w14:textId="77777777" w:rsidR="00A94D41" w:rsidRPr="0079786F" w:rsidRDefault="00A94D41" w:rsidP="00B7315D">
      <w:pPr>
        <w:numPr>
          <w:ilvl w:val="0"/>
          <w:numId w:val="2"/>
        </w:numPr>
        <w:tabs>
          <w:tab w:val="num" w:pos="360"/>
        </w:tabs>
        <w:ind w:left="0" w:firstLine="0"/>
        <w:jc w:val="both"/>
        <w:rPr>
          <w:sz w:val="22"/>
          <w:szCs w:val="22"/>
        </w:rPr>
      </w:pPr>
      <w:r w:rsidRPr="0079786F">
        <w:rPr>
          <w:sz w:val="22"/>
          <w:szCs w:val="22"/>
        </w:rPr>
        <w:t>Liečba neutropenickej horúčky</w:t>
      </w:r>
    </w:p>
    <w:p w14:paraId="5F452C54" w14:textId="77777777" w:rsidR="00A94D41" w:rsidRPr="0079786F" w:rsidRDefault="00A94D41" w:rsidP="00B7315D">
      <w:pPr>
        <w:jc w:val="both"/>
        <w:rPr>
          <w:sz w:val="22"/>
          <w:szCs w:val="22"/>
        </w:rPr>
      </w:pPr>
    </w:p>
    <w:p w14:paraId="7BC27DBC" w14:textId="7AF27C3E" w:rsidR="00A94D41" w:rsidRPr="0079786F" w:rsidRDefault="00A94D41" w:rsidP="00B7315D">
      <w:pPr>
        <w:jc w:val="both"/>
        <w:rPr>
          <w:sz w:val="22"/>
          <w:szCs w:val="22"/>
        </w:rPr>
      </w:pPr>
      <w:r w:rsidRPr="0079786F">
        <w:rPr>
          <w:sz w:val="22"/>
          <w:szCs w:val="22"/>
        </w:rPr>
        <w:t xml:space="preserve">Je potrebné zvážiť oficiálne odporúčania o použití vhodných antibakteriálnych </w:t>
      </w:r>
      <w:r w:rsidR="00F271DD">
        <w:rPr>
          <w:sz w:val="22"/>
          <w:szCs w:val="22"/>
        </w:rPr>
        <w:t>látok</w:t>
      </w:r>
      <w:r w:rsidR="00F271DD" w:rsidRPr="0079786F">
        <w:rPr>
          <w:sz w:val="22"/>
          <w:szCs w:val="22"/>
        </w:rPr>
        <w:t xml:space="preserve"> </w:t>
      </w:r>
      <w:r w:rsidRPr="0079786F">
        <w:rPr>
          <w:sz w:val="22"/>
          <w:szCs w:val="22"/>
        </w:rPr>
        <w:t>v danej lokalite.</w:t>
      </w:r>
    </w:p>
    <w:p w14:paraId="6F5E92B9" w14:textId="77777777" w:rsidR="00A94D41" w:rsidRPr="0079786F" w:rsidRDefault="00A94D41" w:rsidP="00B7315D">
      <w:pPr>
        <w:jc w:val="both"/>
        <w:rPr>
          <w:sz w:val="22"/>
          <w:szCs w:val="22"/>
        </w:rPr>
      </w:pPr>
    </w:p>
    <w:p w14:paraId="1A2FC61C" w14:textId="77777777" w:rsidR="00A94D41" w:rsidRPr="0079786F" w:rsidRDefault="00A94D41" w:rsidP="00B7315D">
      <w:pPr>
        <w:keepNext/>
        <w:jc w:val="both"/>
        <w:rPr>
          <w:b/>
          <w:sz w:val="22"/>
          <w:szCs w:val="22"/>
        </w:rPr>
      </w:pPr>
      <w:r w:rsidRPr="0079786F">
        <w:rPr>
          <w:b/>
          <w:sz w:val="22"/>
          <w:szCs w:val="22"/>
        </w:rPr>
        <w:t>4.2</w:t>
      </w:r>
      <w:r w:rsidRPr="0079786F">
        <w:rPr>
          <w:b/>
          <w:sz w:val="22"/>
          <w:szCs w:val="22"/>
        </w:rPr>
        <w:tab/>
        <w:t>Dávkovanie a spôsob podávania</w:t>
      </w:r>
    </w:p>
    <w:p w14:paraId="35CFE03D" w14:textId="77777777" w:rsidR="00A94D41" w:rsidRDefault="00A94D41" w:rsidP="00B7315D">
      <w:pPr>
        <w:autoSpaceDE w:val="0"/>
        <w:autoSpaceDN w:val="0"/>
        <w:adjustRightInd w:val="0"/>
        <w:jc w:val="both"/>
        <w:rPr>
          <w:sz w:val="22"/>
          <w:szCs w:val="22"/>
          <w:u w:val="single"/>
        </w:rPr>
      </w:pPr>
    </w:p>
    <w:p w14:paraId="02DA4341" w14:textId="77777777" w:rsidR="00A94D41" w:rsidRPr="0079786F" w:rsidRDefault="00A94D41" w:rsidP="00B7315D">
      <w:pPr>
        <w:autoSpaceDE w:val="0"/>
        <w:autoSpaceDN w:val="0"/>
        <w:adjustRightInd w:val="0"/>
        <w:jc w:val="both"/>
        <w:rPr>
          <w:sz w:val="22"/>
          <w:szCs w:val="22"/>
          <w:u w:val="single"/>
        </w:rPr>
      </w:pPr>
      <w:r w:rsidRPr="0079786F">
        <w:rPr>
          <w:sz w:val="22"/>
          <w:szCs w:val="22"/>
          <w:u w:val="single"/>
        </w:rPr>
        <w:t>Dávkovanie</w:t>
      </w:r>
    </w:p>
    <w:p w14:paraId="0A52C5D8" w14:textId="77777777" w:rsidR="00A94D41" w:rsidRPr="0079786F" w:rsidRDefault="00A94D41" w:rsidP="00B7315D">
      <w:pPr>
        <w:autoSpaceDE w:val="0"/>
        <w:autoSpaceDN w:val="0"/>
        <w:adjustRightInd w:val="0"/>
        <w:jc w:val="both"/>
        <w:rPr>
          <w:sz w:val="22"/>
          <w:szCs w:val="22"/>
        </w:rPr>
      </w:pPr>
    </w:p>
    <w:p w14:paraId="5E755034" w14:textId="3C24C84B" w:rsidR="00A94D41" w:rsidRPr="0079786F" w:rsidRDefault="00A94D41" w:rsidP="00B7315D">
      <w:pPr>
        <w:autoSpaceDE w:val="0"/>
        <w:autoSpaceDN w:val="0"/>
        <w:adjustRightInd w:val="0"/>
        <w:jc w:val="both"/>
        <w:rPr>
          <w:sz w:val="22"/>
          <w:szCs w:val="22"/>
        </w:rPr>
      </w:pPr>
      <w:r>
        <w:rPr>
          <w:i/>
          <w:iCs/>
          <w:sz w:val="22"/>
          <w:szCs w:val="22"/>
        </w:rPr>
        <w:t>Dospelí a dospievajúci</w:t>
      </w:r>
      <w:r w:rsidRPr="0079786F">
        <w:rPr>
          <w:i/>
          <w:iCs/>
          <w:sz w:val="22"/>
          <w:szCs w:val="22"/>
        </w:rPr>
        <w:t xml:space="preserve"> </w:t>
      </w:r>
      <w:r w:rsidR="00BC394F">
        <w:rPr>
          <w:i/>
          <w:iCs/>
          <w:sz w:val="22"/>
          <w:szCs w:val="22"/>
        </w:rPr>
        <w:t>starší ako</w:t>
      </w:r>
      <w:r w:rsidR="00BC394F" w:rsidRPr="0079786F">
        <w:rPr>
          <w:i/>
          <w:iCs/>
          <w:sz w:val="22"/>
          <w:szCs w:val="22"/>
        </w:rPr>
        <w:t xml:space="preserve"> </w:t>
      </w:r>
      <w:r w:rsidRPr="0079786F">
        <w:rPr>
          <w:i/>
          <w:iCs/>
          <w:sz w:val="22"/>
          <w:szCs w:val="22"/>
        </w:rPr>
        <w:t xml:space="preserve">12 rokov s telesnou hmotnosťou </w:t>
      </w:r>
      <w:r w:rsidRPr="0079786F">
        <w:rPr>
          <w:sz w:val="22"/>
          <w:szCs w:val="22"/>
        </w:rPr>
        <w:t xml:space="preserve">≥ </w:t>
      </w:r>
      <w:r w:rsidRPr="0079786F">
        <w:rPr>
          <w:i/>
          <w:iCs/>
          <w:sz w:val="22"/>
          <w:szCs w:val="22"/>
        </w:rPr>
        <w:t>50 kg:</w:t>
      </w:r>
    </w:p>
    <w:p w14:paraId="5592D24A" w14:textId="48861ED2" w:rsidR="00A94D41" w:rsidRPr="0079786F" w:rsidRDefault="00A14F03" w:rsidP="00B7315D">
      <w:pPr>
        <w:autoSpaceDE w:val="0"/>
        <w:autoSpaceDN w:val="0"/>
        <w:adjustRightInd w:val="0"/>
        <w:jc w:val="both"/>
        <w:rPr>
          <w:sz w:val="22"/>
          <w:szCs w:val="22"/>
        </w:rPr>
      </w:pPr>
      <w:r>
        <w:rPr>
          <w:sz w:val="22"/>
          <w:szCs w:val="22"/>
        </w:rPr>
        <w:t>Odporúčaná</w:t>
      </w:r>
      <w:r w:rsidRPr="0079786F">
        <w:rPr>
          <w:sz w:val="22"/>
          <w:szCs w:val="22"/>
        </w:rPr>
        <w:t xml:space="preserve"> </w:t>
      </w:r>
      <w:r w:rsidR="00A94D41" w:rsidRPr="0079786F">
        <w:rPr>
          <w:sz w:val="22"/>
          <w:szCs w:val="22"/>
        </w:rPr>
        <w:t xml:space="preserve">dávka je od 1 do </w:t>
      </w:r>
      <w:smartTag w:uri="urn:schemas-microsoft-com:office:smarttags" w:element="metricconverter">
        <w:smartTagPr>
          <w:attr w:name="ProductID" w:val="2 g"/>
        </w:smartTagPr>
        <w:r w:rsidR="00A94D41" w:rsidRPr="0079786F">
          <w:rPr>
            <w:sz w:val="22"/>
            <w:szCs w:val="22"/>
          </w:rPr>
          <w:t>2 g</w:t>
        </w:r>
      </w:smartTag>
      <w:r w:rsidR="00A94D41" w:rsidRPr="0079786F">
        <w:rPr>
          <w:sz w:val="22"/>
          <w:szCs w:val="22"/>
        </w:rPr>
        <w:t xml:space="preserve"> ceftriaxónu jedenkrát denne (každých 24 hodín). Pri vážnych infekciách alebo infekciách spôsobených menej citlivými mikroorganizmami je možné dávku zvýšiť až na </w:t>
      </w:r>
      <w:smartTag w:uri="urn:schemas-microsoft-com:office:smarttags" w:element="metricconverter">
        <w:smartTagPr>
          <w:attr w:name="ProductID" w:val="4 g"/>
        </w:smartTagPr>
        <w:r w:rsidR="00A94D41" w:rsidRPr="0079786F">
          <w:rPr>
            <w:sz w:val="22"/>
            <w:szCs w:val="22"/>
          </w:rPr>
          <w:t>4 g</w:t>
        </w:r>
      </w:smartTag>
      <w:r w:rsidR="00A94D41" w:rsidRPr="0079786F">
        <w:rPr>
          <w:sz w:val="22"/>
          <w:szCs w:val="22"/>
        </w:rPr>
        <w:t xml:space="preserve"> raz denne intravenózne. </w:t>
      </w:r>
    </w:p>
    <w:p w14:paraId="7C9A388C" w14:textId="77777777" w:rsidR="00A94D41" w:rsidRPr="0079786F" w:rsidRDefault="00A94D41" w:rsidP="00B7315D">
      <w:pPr>
        <w:autoSpaceDE w:val="0"/>
        <w:autoSpaceDN w:val="0"/>
        <w:adjustRightInd w:val="0"/>
        <w:jc w:val="both"/>
        <w:rPr>
          <w:sz w:val="22"/>
          <w:szCs w:val="22"/>
        </w:rPr>
      </w:pPr>
    </w:p>
    <w:p w14:paraId="437840A1" w14:textId="77777777" w:rsidR="00A94D41" w:rsidRPr="0079786F" w:rsidRDefault="00A94D41" w:rsidP="00B7315D">
      <w:pPr>
        <w:autoSpaceDE w:val="0"/>
        <w:autoSpaceDN w:val="0"/>
        <w:adjustRightInd w:val="0"/>
        <w:jc w:val="both"/>
        <w:rPr>
          <w:sz w:val="22"/>
          <w:szCs w:val="22"/>
        </w:rPr>
      </w:pPr>
      <w:r w:rsidRPr="0079786F">
        <w:rPr>
          <w:i/>
          <w:iCs/>
          <w:sz w:val="22"/>
          <w:szCs w:val="22"/>
        </w:rPr>
        <w:t>Starší:</w:t>
      </w:r>
    </w:p>
    <w:p w14:paraId="77543E5F" w14:textId="77777777" w:rsidR="00A94D41" w:rsidRPr="0079786F" w:rsidRDefault="00A94D41" w:rsidP="00B7315D">
      <w:pPr>
        <w:autoSpaceDE w:val="0"/>
        <w:autoSpaceDN w:val="0"/>
        <w:adjustRightInd w:val="0"/>
        <w:jc w:val="both"/>
        <w:rPr>
          <w:sz w:val="22"/>
          <w:szCs w:val="22"/>
        </w:rPr>
      </w:pPr>
      <w:r w:rsidRPr="0079786F">
        <w:rPr>
          <w:sz w:val="22"/>
          <w:szCs w:val="22"/>
        </w:rPr>
        <w:t>Pre starších pacientov je dávkovanie také isté ako pre dospelých – bez modifikácií.</w:t>
      </w:r>
    </w:p>
    <w:p w14:paraId="75E9B333" w14:textId="77777777" w:rsidR="00A94D41" w:rsidRPr="0079786F" w:rsidRDefault="00A94D41" w:rsidP="00B7315D">
      <w:pPr>
        <w:autoSpaceDE w:val="0"/>
        <w:autoSpaceDN w:val="0"/>
        <w:adjustRightInd w:val="0"/>
        <w:jc w:val="both"/>
        <w:rPr>
          <w:sz w:val="22"/>
          <w:szCs w:val="22"/>
        </w:rPr>
      </w:pPr>
    </w:p>
    <w:p w14:paraId="218CB2ED" w14:textId="77777777" w:rsidR="00A94D41" w:rsidRPr="00BC394F" w:rsidRDefault="00A94D41" w:rsidP="00B7315D">
      <w:pPr>
        <w:autoSpaceDE w:val="0"/>
        <w:autoSpaceDN w:val="0"/>
        <w:adjustRightInd w:val="0"/>
        <w:jc w:val="both"/>
        <w:rPr>
          <w:i/>
          <w:sz w:val="22"/>
          <w:szCs w:val="22"/>
        </w:rPr>
      </w:pPr>
      <w:r w:rsidRPr="00BC394F">
        <w:rPr>
          <w:i/>
          <w:sz w:val="22"/>
          <w:szCs w:val="22"/>
        </w:rPr>
        <w:t>Pediatrická populácia</w:t>
      </w:r>
    </w:p>
    <w:p w14:paraId="2DB8EA44" w14:textId="5C593E32" w:rsidR="00A94D41" w:rsidRPr="0079786F" w:rsidRDefault="00A94D41" w:rsidP="00B7315D">
      <w:pPr>
        <w:autoSpaceDE w:val="0"/>
        <w:autoSpaceDN w:val="0"/>
        <w:adjustRightInd w:val="0"/>
        <w:jc w:val="both"/>
        <w:rPr>
          <w:sz w:val="22"/>
          <w:szCs w:val="22"/>
        </w:rPr>
      </w:pPr>
      <w:r w:rsidRPr="0079786F">
        <w:rPr>
          <w:sz w:val="22"/>
          <w:szCs w:val="22"/>
        </w:rPr>
        <w:t xml:space="preserve">Deti s telesnou hmotnosťou </w:t>
      </w:r>
      <w:smartTag w:uri="urn:schemas-microsoft-com:office:smarttags" w:element="metricconverter">
        <w:smartTagPr>
          <w:attr w:name="ProductID" w:val="50 kg"/>
        </w:smartTagPr>
        <w:r w:rsidRPr="0079786F">
          <w:rPr>
            <w:sz w:val="22"/>
            <w:szCs w:val="22"/>
          </w:rPr>
          <w:t>50 kg</w:t>
        </w:r>
      </w:smartTag>
      <w:r w:rsidRPr="0079786F">
        <w:rPr>
          <w:sz w:val="22"/>
          <w:szCs w:val="22"/>
        </w:rPr>
        <w:t xml:space="preserve"> a viac dostávajú obvyklú dennú dávku pre dospelých </w:t>
      </w:r>
      <w:r w:rsidR="00A14F03">
        <w:rPr>
          <w:sz w:val="22"/>
          <w:szCs w:val="22"/>
        </w:rPr>
        <w:t>jedenkrát</w:t>
      </w:r>
      <w:r w:rsidR="00A14F03" w:rsidRPr="0079786F">
        <w:rPr>
          <w:sz w:val="22"/>
          <w:szCs w:val="22"/>
        </w:rPr>
        <w:t xml:space="preserve"> </w:t>
      </w:r>
      <w:r w:rsidRPr="0079786F">
        <w:rPr>
          <w:sz w:val="22"/>
          <w:szCs w:val="22"/>
        </w:rPr>
        <w:t>denne (pozri vyššie)</w:t>
      </w:r>
    </w:p>
    <w:p w14:paraId="2A000713" w14:textId="77777777" w:rsidR="00A94D41" w:rsidRPr="0079786F" w:rsidRDefault="00A94D41" w:rsidP="00B7315D">
      <w:pPr>
        <w:autoSpaceDE w:val="0"/>
        <w:autoSpaceDN w:val="0"/>
        <w:adjustRightInd w:val="0"/>
        <w:jc w:val="both"/>
        <w:rPr>
          <w:sz w:val="22"/>
          <w:szCs w:val="22"/>
        </w:rPr>
      </w:pPr>
    </w:p>
    <w:p w14:paraId="5E1C2B9B" w14:textId="77777777" w:rsidR="00A94D41" w:rsidRPr="0079786F" w:rsidRDefault="00A94D41" w:rsidP="00B7315D">
      <w:pPr>
        <w:autoSpaceDE w:val="0"/>
        <w:autoSpaceDN w:val="0"/>
        <w:adjustRightInd w:val="0"/>
        <w:jc w:val="both"/>
        <w:rPr>
          <w:sz w:val="22"/>
          <w:szCs w:val="22"/>
        </w:rPr>
      </w:pPr>
      <w:r w:rsidRPr="0079786F">
        <w:rPr>
          <w:i/>
          <w:iCs/>
          <w:sz w:val="22"/>
          <w:szCs w:val="22"/>
        </w:rPr>
        <w:t>Novorodenci (vek 0</w:t>
      </w:r>
      <w:r w:rsidR="00F97ACC">
        <w:rPr>
          <w:i/>
          <w:iCs/>
          <w:sz w:val="22"/>
          <w:szCs w:val="22"/>
        </w:rPr>
        <w:t xml:space="preserve"> </w:t>
      </w:r>
      <w:r w:rsidRPr="0079786F">
        <w:rPr>
          <w:i/>
          <w:iCs/>
          <w:sz w:val="22"/>
          <w:szCs w:val="22"/>
        </w:rPr>
        <w:t>-</w:t>
      </w:r>
      <w:r w:rsidR="00F97ACC">
        <w:rPr>
          <w:i/>
          <w:iCs/>
          <w:sz w:val="22"/>
          <w:szCs w:val="22"/>
        </w:rPr>
        <w:t xml:space="preserve"> </w:t>
      </w:r>
      <w:r w:rsidRPr="0079786F">
        <w:rPr>
          <w:i/>
          <w:iCs/>
          <w:sz w:val="22"/>
          <w:szCs w:val="22"/>
        </w:rPr>
        <w:t>14 dní):</w:t>
      </w:r>
    </w:p>
    <w:p w14:paraId="79C1D2FD" w14:textId="77777777" w:rsidR="00A94D41" w:rsidRPr="0079786F" w:rsidRDefault="00A94D41" w:rsidP="00B7315D">
      <w:pPr>
        <w:autoSpaceDE w:val="0"/>
        <w:autoSpaceDN w:val="0"/>
        <w:adjustRightInd w:val="0"/>
        <w:jc w:val="both"/>
        <w:rPr>
          <w:sz w:val="22"/>
          <w:szCs w:val="22"/>
        </w:rPr>
      </w:pPr>
      <w:r w:rsidRPr="0079786F">
        <w:rPr>
          <w:sz w:val="22"/>
          <w:szCs w:val="22"/>
        </w:rPr>
        <w:t>20 – 50 mg na kg telesnej hmotnosti intravenózne raz denne (24-hodinové intervaly).</w:t>
      </w:r>
    </w:p>
    <w:p w14:paraId="1BC83384" w14:textId="77777777" w:rsidR="00A94D41" w:rsidRPr="0079786F" w:rsidRDefault="00A94D41" w:rsidP="00B7315D">
      <w:pPr>
        <w:autoSpaceDE w:val="0"/>
        <w:autoSpaceDN w:val="0"/>
        <w:adjustRightInd w:val="0"/>
        <w:jc w:val="both"/>
        <w:rPr>
          <w:sz w:val="22"/>
          <w:szCs w:val="22"/>
        </w:rPr>
      </w:pPr>
      <w:r w:rsidRPr="0079786F">
        <w:rPr>
          <w:sz w:val="22"/>
          <w:szCs w:val="22"/>
        </w:rPr>
        <w:t>Dokonca ani pri závažných infekciách nesmie byť prekročená denná dávka 50 mg na kg telesnej hmotnosti.</w:t>
      </w:r>
    </w:p>
    <w:p w14:paraId="6A6D0F50" w14:textId="77777777" w:rsidR="00A94D41" w:rsidRPr="0079786F" w:rsidRDefault="00A94D41" w:rsidP="00B7315D">
      <w:pPr>
        <w:autoSpaceDE w:val="0"/>
        <w:autoSpaceDN w:val="0"/>
        <w:adjustRightInd w:val="0"/>
        <w:jc w:val="both"/>
        <w:rPr>
          <w:sz w:val="22"/>
          <w:szCs w:val="22"/>
        </w:rPr>
      </w:pPr>
    </w:p>
    <w:p w14:paraId="74F17163" w14:textId="77777777" w:rsidR="00A94D41" w:rsidRPr="0079786F" w:rsidRDefault="00A94D41" w:rsidP="00B7315D">
      <w:pPr>
        <w:autoSpaceDE w:val="0"/>
        <w:autoSpaceDN w:val="0"/>
        <w:adjustRightInd w:val="0"/>
        <w:jc w:val="both"/>
        <w:rPr>
          <w:sz w:val="22"/>
          <w:szCs w:val="22"/>
        </w:rPr>
      </w:pPr>
      <w:r w:rsidRPr="00BC394F">
        <w:rPr>
          <w:i/>
          <w:iCs/>
          <w:sz w:val="22"/>
          <w:szCs w:val="22"/>
        </w:rPr>
        <w:t>Det</w:t>
      </w:r>
      <w:r w:rsidR="00BC394F" w:rsidRPr="00BC394F">
        <w:rPr>
          <w:i/>
          <w:iCs/>
          <w:sz w:val="22"/>
          <w:szCs w:val="22"/>
        </w:rPr>
        <w:t>i</w:t>
      </w:r>
      <w:r w:rsidRPr="00BC394F">
        <w:rPr>
          <w:i/>
          <w:iCs/>
          <w:sz w:val="22"/>
          <w:szCs w:val="22"/>
        </w:rPr>
        <w:t xml:space="preserve"> </w:t>
      </w:r>
      <w:r w:rsidR="00BC394F" w:rsidRPr="00BC394F">
        <w:rPr>
          <w:i/>
          <w:iCs/>
          <w:sz w:val="22"/>
          <w:szCs w:val="22"/>
        </w:rPr>
        <w:t>vo</w:t>
      </w:r>
      <w:r w:rsidRPr="00BC394F">
        <w:rPr>
          <w:i/>
          <w:iCs/>
          <w:sz w:val="22"/>
          <w:szCs w:val="22"/>
        </w:rPr>
        <w:t xml:space="preserve"> veku</w:t>
      </w:r>
      <w:r w:rsidR="00BC394F" w:rsidRPr="00BC394F">
        <w:rPr>
          <w:i/>
          <w:iCs/>
          <w:sz w:val="22"/>
          <w:szCs w:val="22"/>
        </w:rPr>
        <w:t xml:space="preserve"> od</w:t>
      </w:r>
      <w:r w:rsidRPr="00BC394F">
        <w:rPr>
          <w:i/>
          <w:iCs/>
          <w:sz w:val="22"/>
          <w:szCs w:val="22"/>
        </w:rPr>
        <w:t xml:space="preserve"> 15</w:t>
      </w:r>
      <w:r w:rsidRPr="00BC394F">
        <w:rPr>
          <w:iCs/>
          <w:sz w:val="22"/>
          <w:szCs w:val="22"/>
        </w:rPr>
        <w:t xml:space="preserve"> </w:t>
      </w:r>
      <w:r w:rsidRPr="0079786F">
        <w:rPr>
          <w:i/>
          <w:iCs/>
          <w:sz w:val="22"/>
          <w:szCs w:val="22"/>
        </w:rPr>
        <w:t>dní do 12 rokov s telesnou hmotnosťou &lt; 50 kg:</w:t>
      </w:r>
    </w:p>
    <w:p w14:paraId="6D97D06F" w14:textId="77777777" w:rsidR="00A94D41" w:rsidRPr="0079786F" w:rsidRDefault="00A94D41" w:rsidP="00B7315D">
      <w:pPr>
        <w:autoSpaceDE w:val="0"/>
        <w:autoSpaceDN w:val="0"/>
        <w:adjustRightInd w:val="0"/>
        <w:jc w:val="both"/>
        <w:rPr>
          <w:sz w:val="22"/>
          <w:szCs w:val="22"/>
        </w:rPr>
      </w:pPr>
      <w:r w:rsidRPr="0079786F">
        <w:rPr>
          <w:sz w:val="22"/>
          <w:szCs w:val="22"/>
        </w:rPr>
        <w:t>20</w:t>
      </w:r>
      <w:r w:rsidR="00F97ACC">
        <w:rPr>
          <w:sz w:val="22"/>
          <w:szCs w:val="22"/>
        </w:rPr>
        <w:t xml:space="preserve"> </w:t>
      </w:r>
      <w:r w:rsidRPr="0079786F">
        <w:rPr>
          <w:sz w:val="22"/>
          <w:szCs w:val="22"/>
        </w:rPr>
        <w:t>-</w:t>
      </w:r>
      <w:r w:rsidR="00F97ACC">
        <w:rPr>
          <w:sz w:val="22"/>
          <w:szCs w:val="22"/>
        </w:rPr>
        <w:t xml:space="preserve"> </w:t>
      </w:r>
      <w:r w:rsidRPr="0079786F">
        <w:rPr>
          <w:sz w:val="22"/>
          <w:szCs w:val="22"/>
        </w:rPr>
        <w:t>80 mg na kg telesnej hmotnosti intravenózne raz denne (24-hodinové intervaly).</w:t>
      </w:r>
    </w:p>
    <w:p w14:paraId="74241AB2" w14:textId="77777777" w:rsidR="00A94D41" w:rsidRPr="0079786F" w:rsidRDefault="00A94D41" w:rsidP="00B7315D">
      <w:pPr>
        <w:autoSpaceDE w:val="0"/>
        <w:autoSpaceDN w:val="0"/>
        <w:adjustRightInd w:val="0"/>
        <w:jc w:val="both"/>
        <w:rPr>
          <w:sz w:val="22"/>
          <w:szCs w:val="22"/>
        </w:rPr>
      </w:pPr>
      <w:r w:rsidRPr="0079786F">
        <w:rPr>
          <w:sz w:val="22"/>
          <w:szCs w:val="22"/>
        </w:rPr>
        <w:t>Pri vážnych infekciách s výnimkou meningitídy nesmie byť prekročená denná dávka 80 mg na kg telesnej hmotnosti (pozri: Špeciálne odporúčané dávky).</w:t>
      </w:r>
    </w:p>
    <w:p w14:paraId="28211FEB" w14:textId="77777777" w:rsidR="00A94D41" w:rsidRPr="0079786F" w:rsidRDefault="00A94D41" w:rsidP="00B7315D">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1"/>
        <w:gridCol w:w="3018"/>
      </w:tblGrid>
      <w:tr w:rsidR="00A94D41" w:rsidRPr="0079786F" w14:paraId="31A1EB4F" w14:textId="77777777" w:rsidTr="00296648">
        <w:tc>
          <w:tcPr>
            <w:tcW w:w="3070" w:type="dxa"/>
          </w:tcPr>
          <w:p w14:paraId="19D23A96" w14:textId="77777777" w:rsidR="00A94D41" w:rsidRPr="0079786F" w:rsidRDefault="00A94D41" w:rsidP="00B7315D">
            <w:pPr>
              <w:autoSpaceDE w:val="0"/>
              <w:autoSpaceDN w:val="0"/>
              <w:adjustRightInd w:val="0"/>
              <w:jc w:val="both"/>
              <w:rPr>
                <w:sz w:val="22"/>
                <w:szCs w:val="22"/>
              </w:rPr>
            </w:pPr>
            <w:r w:rsidRPr="0079786F">
              <w:rPr>
                <w:sz w:val="22"/>
                <w:szCs w:val="22"/>
              </w:rPr>
              <w:t>Veková skupina</w:t>
            </w:r>
          </w:p>
        </w:tc>
        <w:tc>
          <w:tcPr>
            <w:tcW w:w="3070" w:type="dxa"/>
          </w:tcPr>
          <w:p w14:paraId="311E5985" w14:textId="77777777" w:rsidR="00A94D41" w:rsidRPr="0079786F" w:rsidRDefault="00A94D41" w:rsidP="00B7315D">
            <w:pPr>
              <w:autoSpaceDE w:val="0"/>
              <w:autoSpaceDN w:val="0"/>
              <w:adjustRightInd w:val="0"/>
              <w:jc w:val="both"/>
              <w:rPr>
                <w:sz w:val="22"/>
                <w:szCs w:val="22"/>
              </w:rPr>
            </w:pPr>
            <w:r w:rsidRPr="0079786F">
              <w:rPr>
                <w:sz w:val="22"/>
                <w:szCs w:val="22"/>
              </w:rPr>
              <w:t>Bežné dávkovanie</w:t>
            </w:r>
          </w:p>
        </w:tc>
        <w:tc>
          <w:tcPr>
            <w:tcW w:w="3071" w:type="dxa"/>
          </w:tcPr>
          <w:p w14:paraId="745D12AA" w14:textId="77777777" w:rsidR="00A94D41" w:rsidRPr="0079786F" w:rsidRDefault="00A94D41" w:rsidP="00B7315D">
            <w:pPr>
              <w:autoSpaceDE w:val="0"/>
              <w:autoSpaceDN w:val="0"/>
              <w:adjustRightInd w:val="0"/>
              <w:jc w:val="both"/>
              <w:rPr>
                <w:sz w:val="22"/>
                <w:szCs w:val="22"/>
              </w:rPr>
            </w:pPr>
            <w:r w:rsidRPr="0079786F">
              <w:rPr>
                <w:sz w:val="22"/>
                <w:szCs w:val="22"/>
              </w:rPr>
              <w:t>Frekvencia</w:t>
            </w:r>
          </w:p>
        </w:tc>
      </w:tr>
      <w:tr w:rsidR="00A94D41" w:rsidRPr="0079786F" w14:paraId="10134829" w14:textId="77777777" w:rsidTr="00296648">
        <w:tc>
          <w:tcPr>
            <w:tcW w:w="3070" w:type="dxa"/>
          </w:tcPr>
          <w:p w14:paraId="2BCD10BD" w14:textId="77777777" w:rsidR="00A94D41" w:rsidRPr="0079786F" w:rsidRDefault="00A94D41" w:rsidP="00B7315D">
            <w:pPr>
              <w:autoSpaceDE w:val="0"/>
              <w:autoSpaceDN w:val="0"/>
              <w:adjustRightInd w:val="0"/>
              <w:jc w:val="both"/>
              <w:rPr>
                <w:sz w:val="22"/>
                <w:szCs w:val="22"/>
              </w:rPr>
            </w:pPr>
            <w:r w:rsidRPr="0079786F">
              <w:rPr>
                <w:sz w:val="22"/>
                <w:szCs w:val="22"/>
              </w:rPr>
              <w:t>Novorodenci (vek 0</w:t>
            </w:r>
          </w:p>
          <w:p w14:paraId="7507F0BC" w14:textId="77777777" w:rsidR="00A94D41" w:rsidRPr="0079786F" w:rsidRDefault="00A94D41" w:rsidP="00B7315D">
            <w:pPr>
              <w:autoSpaceDE w:val="0"/>
              <w:autoSpaceDN w:val="0"/>
              <w:adjustRightInd w:val="0"/>
              <w:jc w:val="both"/>
              <w:rPr>
                <w:sz w:val="22"/>
                <w:szCs w:val="22"/>
              </w:rPr>
            </w:pPr>
            <w:r w:rsidRPr="0079786F">
              <w:rPr>
                <w:sz w:val="22"/>
                <w:szCs w:val="22"/>
              </w:rPr>
              <w:t>– 14 dní)</w:t>
            </w:r>
          </w:p>
        </w:tc>
        <w:tc>
          <w:tcPr>
            <w:tcW w:w="3070" w:type="dxa"/>
          </w:tcPr>
          <w:p w14:paraId="4CAB407A" w14:textId="77777777" w:rsidR="00A94D41" w:rsidRPr="0079786F" w:rsidRDefault="00A94D41" w:rsidP="00B7315D">
            <w:pPr>
              <w:autoSpaceDE w:val="0"/>
              <w:autoSpaceDN w:val="0"/>
              <w:adjustRightInd w:val="0"/>
              <w:jc w:val="both"/>
              <w:rPr>
                <w:sz w:val="22"/>
                <w:szCs w:val="22"/>
              </w:rPr>
            </w:pPr>
            <w:r w:rsidRPr="0079786F">
              <w:rPr>
                <w:sz w:val="22"/>
                <w:szCs w:val="22"/>
              </w:rPr>
              <w:t>20 – 50 mg/kg</w:t>
            </w:r>
          </w:p>
          <w:p w14:paraId="60D55C9D" w14:textId="77777777" w:rsidR="00A94D41" w:rsidRPr="0079786F" w:rsidRDefault="00A94D41" w:rsidP="00B7315D">
            <w:pPr>
              <w:autoSpaceDE w:val="0"/>
              <w:autoSpaceDN w:val="0"/>
              <w:adjustRightInd w:val="0"/>
              <w:jc w:val="both"/>
              <w:rPr>
                <w:sz w:val="22"/>
                <w:szCs w:val="22"/>
              </w:rPr>
            </w:pPr>
            <w:r w:rsidRPr="0079786F">
              <w:rPr>
                <w:sz w:val="22"/>
                <w:szCs w:val="22"/>
              </w:rPr>
              <w:t>maximum: 50 mg/kg</w:t>
            </w:r>
          </w:p>
        </w:tc>
        <w:tc>
          <w:tcPr>
            <w:tcW w:w="3071" w:type="dxa"/>
          </w:tcPr>
          <w:p w14:paraId="744EDA22" w14:textId="66B3F12F" w:rsidR="00A94D41" w:rsidRPr="0079786F" w:rsidRDefault="006D1B6E" w:rsidP="00B7315D">
            <w:pPr>
              <w:autoSpaceDE w:val="0"/>
              <w:autoSpaceDN w:val="0"/>
              <w:adjustRightInd w:val="0"/>
              <w:jc w:val="both"/>
              <w:rPr>
                <w:sz w:val="22"/>
                <w:szCs w:val="22"/>
              </w:rPr>
            </w:pPr>
            <w:r>
              <w:rPr>
                <w:sz w:val="22"/>
                <w:szCs w:val="22"/>
              </w:rPr>
              <w:t>jedenkrát</w:t>
            </w:r>
            <w:r w:rsidRPr="0079786F">
              <w:rPr>
                <w:sz w:val="22"/>
                <w:szCs w:val="22"/>
              </w:rPr>
              <w:t xml:space="preserve"> </w:t>
            </w:r>
            <w:r w:rsidR="00A94D41" w:rsidRPr="0079786F">
              <w:rPr>
                <w:sz w:val="22"/>
                <w:szCs w:val="22"/>
              </w:rPr>
              <w:t>denne</w:t>
            </w:r>
          </w:p>
        </w:tc>
      </w:tr>
      <w:tr w:rsidR="00A94D41" w:rsidRPr="0079786F" w14:paraId="3DA63FAB" w14:textId="77777777" w:rsidTr="00296648">
        <w:tc>
          <w:tcPr>
            <w:tcW w:w="3070" w:type="dxa"/>
          </w:tcPr>
          <w:p w14:paraId="4EC3FF78" w14:textId="77777777" w:rsidR="00A94D41" w:rsidRPr="0079786F" w:rsidRDefault="00A94D41" w:rsidP="00B7315D">
            <w:pPr>
              <w:autoSpaceDE w:val="0"/>
              <w:autoSpaceDN w:val="0"/>
              <w:adjustRightInd w:val="0"/>
              <w:jc w:val="both"/>
              <w:rPr>
                <w:sz w:val="22"/>
                <w:szCs w:val="22"/>
              </w:rPr>
            </w:pPr>
            <w:r w:rsidRPr="0079786F">
              <w:rPr>
                <w:sz w:val="22"/>
                <w:szCs w:val="22"/>
              </w:rPr>
              <w:t>Deti (15 dní - 12</w:t>
            </w:r>
          </w:p>
          <w:p w14:paraId="502C8FBC" w14:textId="77777777" w:rsidR="00A94D41" w:rsidRPr="0079786F" w:rsidRDefault="00A94D41" w:rsidP="00B7315D">
            <w:pPr>
              <w:autoSpaceDE w:val="0"/>
              <w:autoSpaceDN w:val="0"/>
              <w:adjustRightInd w:val="0"/>
              <w:jc w:val="both"/>
              <w:rPr>
                <w:sz w:val="22"/>
                <w:szCs w:val="22"/>
              </w:rPr>
            </w:pPr>
            <w:r w:rsidRPr="0079786F">
              <w:rPr>
                <w:sz w:val="22"/>
                <w:szCs w:val="22"/>
              </w:rPr>
              <w:t xml:space="preserve">rokov), &lt; </w:t>
            </w:r>
            <w:smartTag w:uri="urn:schemas-microsoft-com:office:smarttags" w:element="metricconverter">
              <w:smartTagPr>
                <w:attr w:name="ProductID" w:val="50 kg"/>
              </w:smartTagPr>
              <w:r w:rsidRPr="0079786F">
                <w:rPr>
                  <w:sz w:val="22"/>
                  <w:szCs w:val="22"/>
                </w:rPr>
                <w:t>50 kg</w:t>
              </w:r>
            </w:smartTag>
            <w:r w:rsidRPr="0079786F">
              <w:rPr>
                <w:sz w:val="22"/>
                <w:szCs w:val="22"/>
              </w:rPr>
              <w:t>)</w:t>
            </w:r>
          </w:p>
        </w:tc>
        <w:tc>
          <w:tcPr>
            <w:tcW w:w="3070" w:type="dxa"/>
          </w:tcPr>
          <w:p w14:paraId="589303C6" w14:textId="77777777" w:rsidR="00A94D41" w:rsidRPr="0079786F" w:rsidRDefault="00A94D41" w:rsidP="00B7315D">
            <w:pPr>
              <w:autoSpaceDE w:val="0"/>
              <w:autoSpaceDN w:val="0"/>
              <w:adjustRightInd w:val="0"/>
              <w:jc w:val="both"/>
              <w:rPr>
                <w:sz w:val="22"/>
                <w:szCs w:val="22"/>
              </w:rPr>
            </w:pPr>
            <w:r w:rsidRPr="0079786F">
              <w:rPr>
                <w:sz w:val="22"/>
                <w:szCs w:val="22"/>
              </w:rPr>
              <w:t xml:space="preserve">20 - 80 mg/kg </w:t>
            </w:r>
          </w:p>
          <w:p w14:paraId="1B04B306" w14:textId="77777777" w:rsidR="00A94D41" w:rsidRPr="0079786F" w:rsidRDefault="00A94D41" w:rsidP="00B7315D">
            <w:pPr>
              <w:autoSpaceDE w:val="0"/>
              <w:autoSpaceDN w:val="0"/>
              <w:adjustRightInd w:val="0"/>
              <w:jc w:val="both"/>
              <w:rPr>
                <w:sz w:val="22"/>
                <w:szCs w:val="22"/>
              </w:rPr>
            </w:pPr>
            <w:r w:rsidRPr="0079786F">
              <w:rPr>
                <w:sz w:val="22"/>
                <w:szCs w:val="22"/>
              </w:rPr>
              <w:t>maximum: 80 mg/kg</w:t>
            </w:r>
          </w:p>
          <w:p w14:paraId="1E54BCD5" w14:textId="77777777" w:rsidR="00A94D41" w:rsidRPr="0079786F" w:rsidRDefault="00A94D41" w:rsidP="00B7315D">
            <w:pPr>
              <w:autoSpaceDE w:val="0"/>
              <w:autoSpaceDN w:val="0"/>
              <w:adjustRightInd w:val="0"/>
              <w:jc w:val="both"/>
              <w:rPr>
                <w:sz w:val="22"/>
                <w:szCs w:val="22"/>
              </w:rPr>
            </w:pPr>
            <w:r w:rsidRPr="0079786F">
              <w:rPr>
                <w:sz w:val="22"/>
                <w:szCs w:val="22"/>
              </w:rPr>
              <w:t>(- 100 mg/kg pri meningitíde)</w:t>
            </w:r>
          </w:p>
        </w:tc>
        <w:tc>
          <w:tcPr>
            <w:tcW w:w="3071" w:type="dxa"/>
          </w:tcPr>
          <w:p w14:paraId="33DCEE14" w14:textId="20387CEE" w:rsidR="00A94D41" w:rsidRPr="0079786F" w:rsidRDefault="006D1B6E" w:rsidP="00B7315D">
            <w:pPr>
              <w:jc w:val="both"/>
              <w:rPr>
                <w:sz w:val="22"/>
                <w:szCs w:val="22"/>
              </w:rPr>
            </w:pPr>
            <w:r>
              <w:rPr>
                <w:sz w:val="22"/>
                <w:szCs w:val="22"/>
              </w:rPr>
              <w:t>jedenkrát</w:t>
            </w:r>
            <w:r w:rsidR="00A94D41" w:rsidRPr="0079786F">
              <w:rPr>
                <w:sz w:val="22"/>
                <w:szCs w:val="22"/>
              </w:rPr>
              <w:t xml:space="preserve"> denne</w:t>
            </w:r>
          </w:p>
        </w:tc>
      </w:tr>
      <w:tr w:rsidR="00A94D41" w:rsidRPr="0079786F" w14:paraId="63AB1211" w14:textId="77777777" w:rsidTr="00296648">
        <w:tc>
          <w:tcPr>
            <w:tcW w:w="3070" w:type="dxa"/>
          </w:tcPr>
          <w:p w14:paraId="2DE56B1F" w14:textId="77777777" w:rsidR="00A94D41" w:rsidRPr="0079786F" w:rsidRDefault="00A94D41" w:rsidP="00B7315D">
            <w:pPr>
              <w:autoSpaceDE w:val="0"/>
              <w:autoSpaceDN w:val="0"/>
              <w:adjustRightInd w:val="0"/>
              <w:jc w:val="both"/>
              <w:rPr>
                <w:sz w:val="22"/>
                <w:szCs w:val="22"/>
              </w:rPr>
            </w:pPr>
            <w:r>
              <w:rPr>
                <w:sz w:val="22"/>
                <w:szCs w:val="22"/>
              </w:rPr>
              <w:t>Dospievajúci</w:t>
            </w:r>
            <w:r w:rsidRPr="0079786F">
              <w:rPr>
                <w:sz w:val="22"/>
                <w:szCs w:val="22"/>
              </w:rPr>
              <w:t xml:space="preserve"> (12 - 17 rokov,</w:t>
            </w:r>
          </w:p>
          <w:p w14:paraId="554B6298" w14:textId="77777777" w:rsidR="00A94D41" w:rsidRPr="0079786F" w:rsidRDefault="00A94D41" w:rsidP="00B7315D">
            <w:pPr>
              <w:autoSpaceDE w:val="0"/>
              <w:autoSpaceDN w:val="0"/>
              <w:adjustRightInd w:val="0"/>
              <w:jc w:val="both"/>
              <w:rPr>
                <w:sz w:val="22"/>
                <w:szCs w:val="22"/>
              </w:rPr>
            </w:pPr>
            <w:r w:rsidRPr="0079786F">
              <w:rPr>
                <w:sz w:val="22"/>
                <w:szCs w:val="22"/>
              </w:rPr>
              <w:t>&gt;</w:t>
            </w:r>
            <w:smartTag w:uri="urn:schemas-microsoft-com:office:smarttags" w:element="metricconverter">
              <w:smartTagPr>
                <w:attr w:name="ProductID" w:val="50 kg"/>
              </w:smartTagPr>
              <w:r w:rsidRPr="0079786F">
                <w:rPr>
                  <w:sz w:val="22"/>
                  <w:szCs w:val="22"/>
                </w:rPr>
                <w:t>50 kg</w:t>
              </w:r>
            </w:smartTag>
            <w:r w:rsidRPr="0079786F">
              <w:rPr>
                <w:sz w:val="22"/>
                <w:szCs w:val="22"/>
              </w:rPr>
              <w:t>)</w:t>
            </w:r>
          </w:p>
        </w:tc>
        <w:tc>
          <w:tcPr>
            <w:tcW w:w="3070" w:type="dxa"/>
          </w:tcPr>
          <w:p w14:paraId="4812555C" w14:textId="77777777" w:rsidR="00A94D41" w:rsidRPr="0079786F" w:rsidRDefault="00A94D41" w:rsidP="00B7315D">
            <w:pPr>
              <w:autoSpaceDE w:val="0"/>
              <w:autoSpaceDN w:val="0"/>
              <w:adjustRightInd w:val="0"/>
              <w:jc w:val="both"/>
              <w:rPr>
                <w:sz w:val="22"/>
                <w:szCs w:val="22"/>
              </w:rPr>
            </w:pPr>
            <w:r w:rsidRPr="0079786F">
              <w:rPr>
                <w:sz w:val="22"/>
                <w:szCs w:val="22"/>
              </w:rPr>
              <w:t xml:space="preserve">1 - </w:t>
            </w:r>
            <w:smartTag w:uri="urn:schemas-microsoft-com:office:smarttags" w:element="metricconverter">
              <w:smartTagPr>
                <w:attr w:name="ProductID" w:val="2 g"/>
              </w:smartTagPr>
              <w:r w:rsidRPr="0079786F">
                <w:rPr>
                  <w:sz w:val="22"/>
                  <w:szCs w:val="22"/>
                </w:rPr>
                <w:t>2 g</w:t>
              </w:r>
            </w:smartTag>
          </w:p>
          <w:p w14:paraId="026172BB" w14:textId="77777777" w:rsidR="00A94D41" w:rsidRPr="0079786F" w:rsidRDefault="00A94D41" w:rsidP="00B7315D">
            <w:pPr>
              <w:autoSpaceDE w:val="0"/>
              <w:autoSpaceDN w:val="0"/>
              <w:adjustRightInd w:val="0"/>
              <w:jc w:val="both"/>
              <w:rPr>
                <w:sz w:val="22"/>
                <w:szCs w:val="22"/>
              </w:rPr>
            </w:pPr>
            <w:r w:rsidRPr="0079786F">
              <w:rPr>
                <w:sz w:val="22"/>
                <w:szCs w:val="22"/>
              </w:rPr>
              <w:t xml:space="preserve">maximum: </w:t>
            </w:r>
            <w:smartTag w:uri="urn:schemas-microsoft-com:office:smarttags" w:element="metricconverter">
              <w:smartTagPr>
                <w:attr w:name="ProductID" w:val="4 g"/>
              </w:smartTagPr>
              <w:r w:rsidRPr="0079786F">
                <w:rPr>
                  <w:sz w:val="22"/>
                  <w:szCs w:val="22"/>
                </w:rPr>
                <w:t>4 g</w:t>
              </w:r>
            </w:smartTag>
          </w:p>
        </w:tc>
        <w:tc>
          <w:tcPr>
            <w:tcW w:w="3071" w:type="dxa"/>
          </w:tcPr>
          <w:p w14:paraId="6F7B2E45" w14:textId="321D7CAC" w:rsidR="00A94D41" w:rsidRPr="0079786F" w:rsidRDefault="006D1B6E" w:rsidP="00B7315D">
            <w:pPr>
              <w:jc w:val="both"/>
              <w:rPr>
                <w:sz w:val="22"/>
                <w:szCs w:val="22"/>
              </w:rPr>
            </w:pPr>
            <w:r>
              <w:rPr>
                <w:sz w:val="22"/>
                <w:szCs w:val="22"/>
              </w:rPr>
              <w:t>jedenkrát</w:t>
            </w:r>
            <w:r w:rsidR="00A94D41" w:rsidRPr="0079786F">
              <w:rPr>
                <w:sz w:val="22"/>
                <w:szCs w:val="22"/>
              </w:rPr>
              <w:t xml:space="preserve"> denne</w:t>
            </w:r>
          </w:p>
        </w:tc>
      </w:tr>
      <w:tr w:rsidR="00A94D41" w:rsidRPr="0079786F" w14:paraId="56CEEA2D" w14:textId="77777777" w:rsidTr="00296648">
        <w:tc>
          <w:tcPr>
            <w:tcW w:w="3070" w:type="dxa"/>
          </w:tcPr>
          <w:p w14:paraId="34E0F077" w14:textId="77777777" w:rsidR="00A94D41" w:rsidRPr="0079786F" w:rsidRDefault="00A94D41" w:rsidP="00B7315D">
            <w:pPr>
              <w:autoSpaceDE w:val="0"/>
              <w:autoSpaceDN w:val="0"/>
              <w:adjustRightInd w:val="0"/>
              <w:jc w:val="both"/>
              <w:rPr>
                <w:sz w:val="22"/>
                <w:szCs w:val="22"/>
              </w:rPr>
            </w:pPr>
            <w:r w:rsidRPr="0079786F">
              <w:rPr>
                <w:sz w:val="22"/>
                <w:szCs w:val="22"/>
              </w:rPr>
              <w:t>Dospelí (&gt; 17 rokov)</w:t>
            </w:r>
          </w:p>
        </w:tc>
        <w:tc>
          <w:tcPr>
            <w:tcW w:w="3070" w:type="dxa"/>
          </w:tcPr>
          <w:p w14:paraId="3475DA5A" w14:textId="77777777" w:rsidR="00A94D41" w:rsidRPr="0079786F" w:rsidRDefault="00A94D41" w:rsidP="00B7315D">
            <w:pPr>
              <w:autoSpaceDE w:val="0"/>
              <w:autoSpaceDN w:val="0"/>
              <w:adjustRightInd w:val="0"/>
              <w:jc w:val="both"/>
              <w:rPr>
                <w:sz w:val="22"/>
                <w:szCs w:val="22"/>
              </w:rPr>
            </w:pPr>
            <w:r w:rsidRPr="0079786F">
              <w:rPr>
                <w:sz w:val="22"/>
                <w:szCs w:val="22"/>
              </w:rPr>
              <w:t xml:space="preserve">1 - </w:t>
            </w:r>
            <w:smartTag w:uri="urn:schemas-microsoft-com:office:smarttags" w:element="metricconverter">
              <w:smartTagPr>
                <w:attr w:name="ProductID" w:val="2 g"/>
              </w:smartTagPr>
              <w:r w:rsidRPr="0079786F">
                <w:rPr>
                  <w:sz w:val="22"/>
                  <w:szCs w:val="22"/>
                </w:rPr>
                <w:t>2 g</w:t>
              </w:r>
            </w:smartTag>
          </w:p>
          <w:p w14:paraId="28466F5C" w14:textId="77777777" w:rsidR="00A94D41" w:rsidRPr="0079786F" w:rsidRDefault="00A94D41" w:rsidP="00B7315D">
            <w:pPr>
              <w:autoSpaceDE w:val="0"/>
              <w:autoSpaceDN w:val="0"/>
              <w:adjustRightInd w:val="0"/>
              <w:jc w:val="both"/>
              <w:rPr>
                <w:sz w:val="22"/>
                <w:szCs w:val="22"/>
              </w:rPr>
            </w:pPr>
            <w:r w:rsidRPr="0079786F">
              <w:rPr>
                <w:sz w:val="22"/>
                <w:szCs w:val="22"/>
              </w:rPr>
              <w:t xml:space="preserve">maximum: </w:t>
            </w:r>
            <w:smartTag w:uri="urn:schemas-microsoft-com:office:smarttags" w:element="metricconverter">
              <w:smartTagPr>
                <w:attr w:name="ProductID" w:val="4 g"/>
              </w:smartTagPr>
              <w:r w:rsidRPr="0079786F">
                <w:rPr>
                  <w:sz w:val="22"/>
                  <w:szCs w:val="22"/>
                </w:rPr>
                <w:t>4 g</w:t>
              </w:r>
            </w:smartTag>
          </w:p>
        </w:tc>
        <w:tc>
          <w:tcPr>
            <w:tcW w:w="3071" w:type="dxa"/>
          </w:tcPr>
          <w:p w14:paraId="312AECE5" w14:textId="30448D87" w:rsidR="00A94D41" w:rsidRPr="0079786F" w:rsidRDefault="006D1B6E" w:rsidP="00B7315D">
            <w:pPr>
              <w:jc w:val="both"/>
              <w:rPr>
                <w:sz w:val="22"/>
                <w:szCs w:val="22"/>
              </w:rPr>
            </w:pPr>
            <w:r>
              <w:rPr>
                <w:sz w:val="22"/>
                <w:szCs w:val="22"/>
              </w:rPr>
              <w:t>jedenkrát</w:t>
            </w:r>
            <w:r w:rsidR="00A94D41" w:rsidRPr="0079786F">
              <w:rPr>
                <w:sz w:val="22"/>
                <w:szCs w:val="22"/>
              </w:rPr>
              <w:t xml:space="preserve"> denne</w:t>
            </w:r>
          </w:p>
        </w:tc>
      </w:tr>
      <w:tr w:rsidR="00A94D41" w:rsidRPr="0079786F" w14:paraId="1CC8B17C" w14:textId="77777777" w:rsidTr="00296648">
        <w:tc>
          <w:tcPr>
            <w:tcW w:w="3070" w:type="dxa"/>
          </w:tcPr>
          <w:p w14:paraId="5AFAAA25" w14:textId="77777777" w:rsidR="00A94D41" w:rsidRPr="0079786F" w:rsidRDefault="00A94D41" w:rsidP="00B7315D">
            <w:pPr>
              <w:autoSpaceDE w:val="0"/>
              <w:autoSpaceDN w:val="0"/>
              <w:adjustRightInd w:val="0"/>
              <w:jc w:val="both"/>
              <w:rPr>
                <w:sz w:val="22"/>
                <w:szCs w:val="22"/>
              </w:rPr>
            </w:pPr>
            <w:r w:rsidRPr="0079786F">
              <w:rPr>
                <w:sz w:val="22"/>
                <w:szCs w:val="22"/>
              </w:rPr>
              <w:t>Starší</w:t>
            </w:r>
          </w:p>
        </w:tc>
        <w:tc>
          <w:tcPr>
            <w:tcW w:w="3070" w:type="dxa"/>
          </w:tcPr>
          <w:p w14:paraId="5D5E3990" w14:textId="77777777" w:rsidR="00A94D41" w:rsidRPr="0079786F" w:rsidRDefault="00A94D41" w:rsidP="00B7315D">
            <w:pPr>
              <w:autoSpaceDE w:val="0"/>
              <w:autoSpaceDN w:val="0"/>
              <w:adjustRightInd w:val="0"/>
              <w:jc w:val="both"/>
              <w:rPr>
                <w:sz w:val="22"/>
                <w:szCs w:val="22"/>
              </w:rPr>
            </w:pPr>
            <w:r w:rsidRPr="0079786F">
              <w:rPr>
                <w:sz w:val="22"/>
                <w:szCs w:val="22"/>
              </w:rPr>
              <w:t xml:space="preserve">1 - </w:t>
            </w:r>
            <w:smartTag w:uri="urn:schemas-microsoft-com:office:smarttags" w:element="metricconverter">
              <w:smartTagPr>
                <w:attr w:name="ProductID" w:val="2 g"/>
              </w:smartTagPr>
              <w:r w:rsidRPr="0079786F">
                <w:rPr>
                  <w:sz w:val="22"/>
                  <w:szCs w:val="22"/>
                </w:rPr>
                <w:t>2 g</w:t>
              </w:r>
            </w:smartTag>
          </w:p>
          <w:p w14:paraId="02D32747" w14:textId="77777777" w:rsidR="00A94D41" w:rsidRPr="0079786F" w:rsidRDefault="00A94D41" w:rsidP="00B7315D">
            <w:pPr>
              <w:autoSpaceDE w:val="0"/>
              <w:autoSpaceDN w:val="0"/>
              <w:adjustRightInd w:val="0"/>
              <w:jc w:val="both"/>
              <w:rPr>
                <w:sz w:val="22"/>
                <w:szCs w:val="22"/>
              </w:rPr>
            </w:pPr>
            <w:r w:rsidRPr="0079786F">
              <w:rPr>
                <w:sz w:val="22"/>
                <w:szCs w:val="22"/>
              </w:rPr>
              <w:t xml:space="preserve">maximum: </w:t>
            </w:r>
            <w:smartTag w:uri="urn:schemas-microsoft-com:office:smarttags" w:element="metricconverter">
              <w:smartTagPr>
                <w:attr w:name="ProductID" w:val="4 g"/>
              </w:smartTagPr>
              <w:r w:rsidRPr="0079786F">
                <w:rPr>
                  <w:sz w:val="22"/>
                  <w:szCs w:val="22"/>
                </w:rPr>
                <w:t>4 g</w:t>
              </w:r>
            </w:smartTag>
          </w:p>
        </w:tc>
        <w:tc>
          <w:tcPr>
            <w:tcW w:w="3071" w:type="dxa"/>
          </w:tcPr>
          <w:p w14:paraId="799679B9" w14:textId="50F652FA" w:rsidR="00A94D41" w:rsidRPr="0079786F" w:rsidRDefault="006D1B6E" w:rsidP="00B7315D">
            <w:pPr>
              <w:jc w:val="both"/>
              <w:rPr>
                <w:sz w:val="22"/>
                <w:szCs w:val="22"/>
              </w:rPr>
            </w:pPr>
            <w:r>
              <w:rPr>
                <w:sz w:val="22"/>
                <w:szCs w:val="22"/>
              </w:rPr>
              <w:t>jedenkrát</w:t>
            </w:r>
            <w:r w:rsidR="00A94D41" w:rsidRPr="0079786F">
              <w:rPr>
                <w:sz w:val="22"/>
                <w:szCs w:val="22"/>
              </w:rPr>
              <w:t xml:space="preserve"> denne</w:t>
            </w:r>
          </w:p>
        </w:tc>
      </w:tr>
    </w:tbl>
    <w:p w14:paraId="5A4DB597" w14:textId="77777777" w:rsidR="00A94D41" w:rsidRPr="0079786F" w:rsidRDefault="00A94D41" w:rsidP="00B7315D">
      <w:pPr>
        <w:autoSpaceDE w:val="0"/>
        <w:autoSpaceDN w:val="0"/>
        <w:adjustRightInd w:val="0"/>
        <w:jc w:val="both"/>
        <w:rPr>
          <w:sz w:val="22"/>
          <w:szCs w:val="22"/>
        </w:rPr>
      </w:pPr>
    </w:p>
    <w:p w14:paraId="723C4FFF" w14:textId="77777777" w:rsidR="00A94D41" w:rsidRPr="0079786F" w:rsidRDefault="00A94D41" w:rsidP="00B7315D">
      <w:pPr>
        <w:autoSpaceDE w:val="0"/>
        <w:autoSpaceDN w:val="0"/>
        <w:adjustRightInd w:val="0"/>
        <w:jc w:val="both"/>
        <w:rPr>
          <w:sz w:val="22"/>
          <w:szCs w:val="22"/>
          <w:u w:val="single"/>
        </w:rPr>
      </w:pPr>
      <w:r w:rsidRPr="0079786F">
        <w:rPr>
          <w:sz w:val="22"/>
          <w:szCs w:val="22"/>
          <w:u w:val="single"/>
        </w:rPr>
        <w:t>Špeciálne odporúčané dávky</w:t>
      </w:r>
    </w:p>
    <w:p w14:paraId="0ED5EA4B" w14:textId="77777777" w:rsidR="00A94D41" w:rsidRPr="001F657E" w:rsidRDefault="00A94D41" w:rsidP="00B7315D">
      <w:pPr>
        <w:autoSpaceDE w:val="0"/>
        <w:autoSpaceDN w:val="0"/>
        <w:adjustRightInd w:val="0"/>
        <w:jc w:val="both"/>
        <w:rPr>
          <w:sz w:val="22"/>
          <w:szCs w:val="22"/>
        </w:rPr>
      </w:pPr>
    </w:p>
    <w:p w14:paraId="3F89EE14" w14:textId="77777777" w:rsidR="00A94D41" w:rsidRPr="0079786F" w:rsidRDefault="00A94D41" w:rsidP="00B7315D">
      <w:pPr>
        <w:autoSpaceDE w:val="0"/>
        <w:autoSpaceDN w:val="0"/>
        <w:adjustRightInd w:val="0"/>
        <w:jc w:val="both"/>
        <w:rPr>
          <w:sz w:val="22"/>
          <w:szCs w:val="22"/>
        </w:rPr>
      </w:pPr>
      <w:r w:rsidRPr="0079786F">
        <w:rPr>
          <w:i/>
          <w:iCs/>
          <w:sz w:val="22"/>
          <w:szCs w:val="22"/>
        </w:rPr>
        <w:t>Meningitída:</w:t>
      </w:r>
    </w:p>
    <w:p w14:paraId="297F3CE6" w14:textId="77777777" w:rsidR="00A94D41" w:rsidRPr="0079786F" w:rsidRDefault="00A94D41" w:rsidP="00B7315D">
      <w:pPr>
        <w:autoSpaceDE w:val="0"/>
        <w:autoSpaceDN w:val="0"/>
        <w:adjustRightInd w:val="0"/>
        <w:jc w:val="both"/>
        <w:rPr>
          <w:sz w:val="22"/>
          <w:szCs w:val="22"/>
        </w:rPr>
      </w:pPr>
      <w:r w:rsidRPr="0079786F">
        <w:rPr>
          <w:sz w:val="22"/>
          <w:szCs w:val="22"/>
        </w:rPr>
        <w:t xml:space="preserve">Liečba sa začína </w:t>
      </w:r>
      <w:r w:rsidR="00BC394F">
        <w:rPr>
          <w:sz w:val="22"/>
          <w:szCs w:val="22"/>
        </w:rPr>
        <w:t xml:space="preserve">so </w:t>
      </w:r>
      <w:r w:rsidRPr="0079786F">
        <w:rPr>
          <w:sz w:val="22"/>
          <w:szCs w:val="22"/>
        </w:rPr>
        <w:t xml:space="preserve">100 mg na kg telesnej hmotnosti raz denne – neprekročiť </w:t>
      </w:r>
      <w:smartTag w:uri="urn:schemas-microsoft-com:office:smarttags" w:element="metricconverter">
        <w:smartTagPr>
          <w:attr w:name="ProductID" w:val="4 g"/>
        </w:smartTagPr>
        <w:r w:rsidRPr="0079786F">
          <w:rPr>
            <w:sz w:val="22"/>
            <w:szCs w:val="22"/>
          </w:rPr>
          <w:t>4 g</w:t>
        </w:r>
      </w:smartTag>
      <w:r w:rsidRPr="0079786F">
        <w:rPr>
          <w:sz w:val="22"/>
          <w:szCs w:val="22"/>
        </w:rPr>
        <w:t xml:space="preserve"> denne. Po určení citlivosti patogénu je možné dávku adekvátne znížiť.</w:t>
      </w:r>
    </w:p>
    <w:p w14:paraId="11500FE9" w14:textId="77777777" w:rsidR="00A94D41" w:rsidRPr="0079786F" w:rsidRDefault="00A94D41" w:rsidP="00B7315D">
      <w:pPr>
        <w:autoSpaceDE w:val="0"/>
        <w:autoSpaceDN w:val="0"/>
        <w:adjustRightInd w:val="0"/>
        <w:jc w:val="both"/>
        <w:rPr>
          <w:sz w:val="22"/>
          <w:szCs w:val="22"/>
        </w:rPr>
      </w:pPr>
      <w:r w:rsidRPr="0079786F">
        <w:rPr>
          <w:sz w:val="22"/>
          <w:szCs w:val="22"/>
        </w:rPr>
        <w:t>U novorodencov vo veku 0-14 dní by dávka nemala prekročiť 50 mg/kg/24 h.</w:t>
      </w:r>
    </w:p>
    <w:p w14:paraId="477F14A4" w14:textId="77777777" w:rsidR="00A94D41" w:rsidRPr="0079786F" w:rsidRDefault="00A94D41" w:rsidP="00B7315D">
      <w:pPr>
        <w:autoSpaceDE w:val="0"/>
        <w:autoSpaceDN w:val="0"/>
        <w:adjustRightInd w:val="0"/>
        <w:jc w:val="both"/>
        <w:rPr>
          <w:sz w:val="22"/>
          <w:szCs w:val="22"/>
        </w:rPr>
      </w:pPr>
    </w:p>
    <w:p w14:paraId="7147BDDA" w14:textId="77777777" w:rsidR="00A94D41" w:rsidRPr="0079786F" w:rsidRDefault="00A94D41" w:rsidP="00B7315D">
      <w:pPr>
        <w:autoSpaceDE w:val="0"/>
        <w:autoSpaceDN w:val="0"/>
        <w:adjustRightInd w:val="0"/>
        <w:jc w:val="both"/>
        <w:rPr>
          <w:sz w:val="22"/>
          <w:szCs w:val="22"/>
        </w:rPr>
      </w:pPr>
      <w:r w:rsidRPr="0079786F">
        <w:rPr>
          <w:i/>
          <w:iCs/>
          <w:sz w:val="22"/>
          <w:szCs w:val="22"/>
        </w:rPr>
        <w:t>Perioperačná profylaxia:</w:t>
      </w:r>
    </w:p>
    <w:p w14:paraId="684B5213" w14:textId="77777777" w:rsidR="00A94D41" w:rsidRPr="0079786F" w:rsidRDefault="00A94D41" w:rsidP="00B7315D">
      <w:pPr>
        <w:autoSpaceDE w:val="0"/>
        <w:autoSpaceDN w:val="0"/>
        <w:adjustRightInd w:val="0"/>
        <w:jc w:val="both"/>
        <w:rPr>
          <w:sz w:val="22"/>
          <w:szCs w:val="22"/>
        </w:rPr>
      </w:pPr>
      <w:r w:rsidRPr="0079786F">
        <w:rPr>
          <w:sz w:val="22"/>
          <w:szCs w:val="22"/>
        </w:rPr>
        <w:t>Bežná denná dávka ceftriaxónu by mala byť podávaná 30</w:t>
      </w:r>
      <w:r w:rsidR="00E52F1F">
        <w:rPr>
          <w:sz w:val="22"/>
          <w:szCs w:val="22"/>
        </w:rPr>
        <w:t xml:space="preserve"> </w:t>
      </w:r>
      <w:r w:rsidRPr="0079786F">
        <w:rPr>
          <w:sz w:val="22"/>
          <w:szCs w:val="22"/>
        </w:rPr>
        <w:t>-</w:t>
      </w:r>
      <w:r w:rsidR="00E52F1F">
        <w:rPr>
          <w:sz w:val="22"/>
          <w:szCs w:val="22"/>
        </w:rPr>
        <w:t xml:space="preserve"> </w:t>
      </w:r>
      <w:r w:rsidRPr="0079786F">
        <w:rPr>
          <w:sz w:val="22"/>
          <w:szCs w:val="22"/>
        </w:rPr>
        <w:t>90 minút pred operáciou. Obyčajne postačuje podanie jednej dávky.</w:t>
      </w:r>
    </w:p>
    <w:p w14:paraId="2C9882BD" w14:textId="77777777" w:rsidR="00A94D41" w:rsidRPr="0079786F" w:rsidRDefault="00A94D41" w:rsidP="00B7315D">
      <w:pPr>
        <w:autoSpaceDE w:val="0"/>
        <w:autoSpaceDN w:val="0"/>
        <w:adjustRightInd w:val="0"/>
        <w:jc w:val="both"/>
        <w:rPr>
          <w:sz w:val="22"/>
          <w:szCs w:val="22"/>
        </w:rPr>
      </w:pPr>
    </w:p>
    <w:p w14:paraId="71DC4C59" w14:textId="77777777" w:rsidR="00A94D41" w:rsidRPr="0079786F" w:rsidRDefault="00A94D41" w:rsidP="00B7315D">
      <w:pPr>
        <w:autoSpaceDE w:val="0"/>
        <w:autoSpaceDN w:val="0"/>
        <w:adjustRightInd w:val="0"/>
        <w:jc w:val="both"/>
        <w:rPr>
          <w:i/>
          <w:sz w:val="22"/>
          <w:szCs w:val="22"/>
        </w:rPr>
      </w:pPr>
      <w:r w:rsidRPr="0079786F">
        <w:rPr>
          <w:i/>
          <w:sz w:val="22"/>
          <w:szCs w:val="22"/>
        </w:rPr>
        <w:t xml:space="preserve">Kvapavka: </w:t>
      </w:r>
    </w:p>
    <w:p w14:paraId="2B69DB4F" w14:textId="77777777" w:rsidR="00A94D41" w:rsidRPr="0079786F" w:rsidRDefault="00A94D41" w:rsidP="00B7315D">
      <w:pPr>
        <w:jc w:val="both"/>
        <w:rPr>
          <w:sz w:val="22"/>
          <w:szCs w:val="22"/>
        </w:rPr>
      </w:pPr>
      <w:r w:rsidRPr="0079786F">
        <w:rPr>
          <w:sz w:val="22"/>
          <w:szCs w:val="22"/>
        </w:rPr>
        <w:t>V nekomplikovaných prípadoch u d</w:t>
      </w:r>
      <w:r>
        <w:rPr>
          <w:sz w:val="22"/>
          <w:szCs w:val="22"/>
        </w:rPr>
        <w:t>ospelých pacientov a dospievajúcich</w:t>
      </w:r>
      <w:r w:rsidRPr="0079786F">
        <w:rPr>
          <w:sz w:val="22"/>
          <w:szCs w:val="22"/>
        </w:rPr>
        <w:t xml:space="preserve"> nad 12 rokov alebo s telesnou hmotnosťou nad </w:t>
      </w:r>
      <w:smartTag w:uri="urn:schemas-microsoft-com:office:smarttags" w:element="metricconverter">
        <w:smartTagPr>
          <w:attr w:name="ProductID" w:val="50 kg"/>
        </w:smartTagPr>
        <w:r w:rsidRPr="0079786F">
          <w:rPr>
            <w:sz w:val="22"/>
            <w:szCs w:val="22"/>
          </w:rPr>
          <w:t>50 kg</w:t>
        </w:r>
      </w:smartTag>
      <w:r w:rsidRPr="0079786F">
        <w:rPr>
          <w:sz w:val="22"/>
          <w:szCs w:val="22"/>
        </w:rPr>
        <w:t xml:space="preserve"> má byť podaná jedna dávka 250 mg ceftriaxónu intramuskulárne. V prípade nízkej senzitivity mikroorganizmov môže byť potrebné zvýšenie dávky. Pre tieto dávkovacie odporúčania sú dostupné iné dávkovacie formy. Pred začatím liečenia ceftriaxónom je potrebné vylúčiť koincidentnú infekciu mikroorganizmom </w:t>
      </w:r>
      <w:r w:rsidRPr="0079786F">
        <w:rPr>
          <w:i/>
          <w:sz w:val="22"/>
          <w:szCs w:val="22"/>
        </w:rPr>
        <w:t xml:space="preserve">Treponema pallidum </w:t>
      </w:r>
      <w:r w:rsidRPr="0079786F">
        <w:rPr>
          <w:sz w:val="22"/>
          <w:szCs w:val="22"/>
        </w:rPr>
        <w:t>(</w:t>
      </w:r>
      <w:r w:rsidR="00BC394F">
        <w:rPr>
          <w:sz w:val="22"/>
          <w:szCs w:val="22"/>
        </w:rPr>
        <w:t>syfilis</w:t>
      </w:r>
      <w:r w:rsidRPr="00BC394F">
        <w:rPr>
          <w:sz w:val="22"/>
          <w:szCs w:val="22"/>
        </w:rPr>
        <w:t>)</w:t>
      </w:r>
      <w:r w:rsidR="00BC394F">
        <w:rPr>
          <w:sz w:val="22"/>
          <w:szCs w:val="22"/>
        </w:rPr>
        <w:t>.</w:t>
      </w:r>
    </w:p>
    <w:p w14:paraId="170F2B9C" w14:textId="77777777" w:rsidR="00A94D41" w:rsidRPr="0079786F" w:rsidRDefault="00A94D41" w:rsidP="00B7315D">
      <w:pPr>
        <w:jc w:val="both"/>
        <w:rPr>
          <w:sz w:val="22"/>
          <w:szCs w:val="22"/>
        </w:rPr>
      </w:pPr>
    </w:p>
    <w:p w14:paraId="3C08C535" w14:textId="77777777" w:rsidR="00A94D41" w:rsidRPr="0079786F" w:rsidRDefault="00A94D41" w:rsidP="00B7315D">
      <w:pPr>
        <w:jc w:val="both"/>
        <w:rPr>
          <w:sz w:val="22"/>
          <w:szCs w:val="22"/>
        </w:rPr>
      </w:pPr>
      <w:r w:rsidRPr="0079786F">
        <w:rPr>
          <w:i/>
          <w:sz w:val="22"/>
          <w:szCs w:val="22"/>
        </w:rPr>
        <w:t>Lymská borelióza (štádiá II a III):</w:t>
      </w:r>
    </w:p>
    <w:p w14:paraId="37824B4F" w14:textId="77777777" w:rsidR="00A94D41" w:rsidRPr="0079786F" w:rsidRDefault="00A94D41" w:rsidP="00B7315D">
      <w:pPr>
        <w:jc w:val="both"/>
        <w:rPr>
          <w:sz w:val="22"/>
          <w:szCs w:val="22"/>
        </w:rPr>
      </w:pPr>
      <w:r>
        <w:rPr>
          <w:sz w:val="22"/>
          <w:szCs w:val="22"/>
        </w:rPr>
        <w:t>U dospelých a dospievajúcich</w:t>
      </w:r>
      <w:r w:rsidRPr="0079786F">
        <w:rPr>
          <w:sz w:val="22"/>
          <w:szCs w:val="22"/>
        </w:rPr>
        <w:t xml:space="preserve"> nad 12 rokov je terapeutická dávka 2g/deň ceftriaxónu a liečba by mala trvať aspoň 14 dní. V ťažkých prípadoch sú údaje o užití dávok až do </w:t>
      </w:r>
      <w:smartTag w:uri="urn:schemas-microsoft-com:office:smarttags" w:element="metricconverter">
        <w:smartTagPr>
          <w:attr w:name="ProductID" w:val="4 g"/>
        </w:smartTagPr>
        <w:r w:rsidRPr="0079786F">
          <w:rPr>
            <w:sz w:val="22"/>
            <w:szCs w:val="22"/>
          </w:rPr>
          <w:t>4 g</w:t>
        </w:r>
      </w:smartTag>
      <w:r w:rsidRPr="0079786F">
        <w:rPr>
          <w:sz w:val="22"/>
          <w:szCs w:val="22"/>
        </w:rPr>
        <w:t xml:space="preserve"> na deň.</w:t>
      </w:r>
    </w:p>
    <w:p w14:paraId="1C8FF35D" w14:textId="77777777" w:rsidR="00A94D41" w:rsidRPr="0079786F" w:rsidRDefault="00A94D41" w:rsidP="00B7315D">
      <w:pPr>
        <w:jc w:val="both"/>
        <w:rPr>
          <w:sz w:val="22"/>
          <w:szCs w:val="22"/>
        </w:rPr>
      </w:pPr>
      <w:r w:rsidRPr="0079786F">
        <w:rPr>
          <w:sz w:val="22"/>
          <w:szCs w:val="22"/>
        </w:rPr>
        <w:t xml:space="preserve">U detí do 12 rokov je dávka 50 až 100 mg/kg telesnej hmotnosti raz denne až do maximálnej dávky </w:t>
      </w:r>
      <w:smartTag w:uri="urn:schemas-microsoft-com:office:smarttags" w:element="metricconverter">
        <w:smartTagPr>
          <w:attr w:name="ProductID" w:val="2 g"/>
        </w:smartTagPr>
        <w:r w:rsidRPr="0079786F">
          <w:rPr>
            <w:sz w:val="22"/>
            <w:szCs w:val="22"/>
          </w:rPr>
          <w:t>2</w:t>
        </w:r>
        <w:r w:rsidR="00BC394F">
          <w:rPr>
            <w:sz w:val="22"/>
            <w:szCs w:val="22"/>
          </w:rPr>
          <w:t> </w:t>
        </w:r>
        <w:r w:rsidRPr="0079786F">
          <w:rPr>
            <w:sz w:val="22"/>
            <w:szCs w:val="22"/>
          </w:rPr>
          <w:t>g</w:t>
        </w:r>
      </w:smartTag>
      <w:r w:rsidRPr="0079786F">
        <w:rPr>
          <w:sz w:val="22"/>
          <w:szCs w:val="22"/>
        </w:rPr>
        <w:t xml:space="preserve"> počas najmenej 14 dní.</w:t>
      </w:r>
    </w:p>
    <w:p w14:paraId="5977EC35" w14:textId="77777777" w:rsidR="00A94D41" w:rsidRPr="0079786F" w:rsidRDefault="00A94D41" w:rsidP="00B7315D">
      <w:pPr>
        <w:autoSpaceDE w:val="0"/>
        <w:autoSpaceDN w:val="0"/>
        <w:adjustRightInd w:val="0"/>
        <w:jc w:val="both"/>
        <w:rPr>
          <w:sz w:val="22"/>
          <w:szCs w:val="22"/>
        </w:rPr>
      </w:pPr>
    </w:p>
    <w:p w14:paraId="68AD9AA6" w14:textId="77777777" w:rsidR="00A94D41" w:rsidRPr="0079786F" w:rsidRDefault="00A94D41" w:rsidP="00B7315D">
      <w:pPr>
        <w:autoSpaceDE w:val="0"/>
        <w:autoSpaceDN w:val="0"/>
        <w:adjustRightInd w:val="0"/>
        <w:jc w:val="both"/>
        <w:rPr>
          <w:sz w:val="22"/>
          <w:szCs w:val="22"/>
        </w:rPr>
      </w:pPr>
      <w:r w:rsidRPr="0079786F">
        <w:rPr>
          <w:i/>
          <w:iCs/>
          <w:sz w:val="22"/>
          <w:szCs w:val="22"/>
        </w:rPr>
        <w:t>Renálna insuficiencia:</w:t>
      </w:r>
    </w:p>
    <w:p w14:paraId="6712B3A2" w14:textId="77777777" w:rsidR="00A94D41" w:rsidRPr="0079786F" w:rsidRDefault="00A94D41" w:rsidP="00B7315D">
      <w:pPr>
        <w:autoSpaceDE w:val="0"/>
        <w:autoSpaceDN w:val="0"/>
        <w:adjustRightInd w:val="0"/>
        <w:jc w:val="both"/>
        <w:rPr>
          <w:sz w:val="22"/>
          <w:szCs w:val="22"/>
        </w:rPr>
      </w:pPr>
      <w:r w:rsidRPr="0079786F">
        <w:rPr>
          <w:sz w:val="22"/>
          <w:szCs w:val="22"/>
        </w:rPr>
        <w:t xml:space="preserve">U pacientov so zhoršenou funkciou obličiek s klírensom kreatinínu &gt;10 ml/min nie je potrebné upravovať dennú dávku ceftriaxónu za predpokladu, že funkcia pečene je v norme. Pri renálnej insuficiencii s klírensom kreatinínu ≤10 ml/min nesmie denná dávka u dospelých pacientov prekročiť </w:t>
      </w:r>
      <w:smartTag w:uri="urn:schemas-microsoft-com:office:smarttags" w:element="metricconverter">
        <w:smartTagPr>
          <w:attr w:name="ProductID" w:val="2 g"/>
        </w:smartTagPr>
        <w:r w:rsidRPr="0079786F">
          <w:rPr>
            <w:sz w:val="22"/>
            <w:szCs w:val="22"/>
          </w:rPr>
          <w:t>2</w:t>
        </w:r>
        <w:r w:rsidR="00BC394F">
          <w:rPr>
            <w:sz w:val="22"/>
            <w:szCs w:val="22"/>
          </w:rPr>
          <w:t> </w:t>
        </w:r>
        <w:r w:rsidRPr="0079786F">
          <w:rPr>
            <w:sz w:val="22"/>
            <w:szCs w:val="22"/>
          </w:rPr>
          <w:t>g</w:t>
        </w:r>
      </w:smartTag>
      <w:r w:rsidRPr="0079786F">
        <w:rPr>
          <w:sz w:val="22"/>
          <w:szCs w:val="22"/>
        </w:rPr>
        <w:t>.</w:t>
      </w:r>
    </w:p>
    <w:p w14:paraId="53824C2E" w14:textId="77777777" w:rsidR="00A94D41" w:rsidRPr="0079786F" w:rsidRDefault="00A94D41" w:rsidP="00B7315D">
      <w:pPr>
        <w:autoSpaceDE w:val="0"/>
        <w:autoSpaceDN w:val="0"/>
        <w:adjustRightInd w:val="0"/>
        <w:jc w:val="both"/>
        <w:rPr>
          <w:sz w:val="22"/>
          <w:szCs w:val="22"/>
        </w:rPr>
      </w:pPr>
      <w:r w:rsidRPr="0079786F">
        <w:rPr>
          <w:sz w:val="22"/>
          <w:szCs w:val="22"/>
        </w:rPr>
        <w:lastRenderedPageBreak/>
        <w:t xml:space="preserve"> </w:t>
      </w:r>
    </w:p>
    <w:p w14:paraId="48B163FE" w14:textId="77777777" w:rsidR="00A94D41" w:rsidRPr="0079786F" w:rsidRDefault="00A94D41" w:rsidP="00B7315D">
      <w:pPr>
        <w:autoSpaceDE w:val="0"/>
        <w:autoSpaceDN w:val="0"/>
        <w:adjustRightInd w:val="0"/>
        <w:jc w:val="both"/>
        <w:rPr>
          <w:sz w:val="22"/>
          <w:szCs w:val="22"/>
        </w:rPr>
      </w:pPr>
      <w:r w:rsidRPr="0079786F">
        <w:rPr>
          <w:i/>
          <w:iCs/>
          <w:sz w:val="22"/>
          <w:szCs w:val="22"/>
        </w:rPr>
        <w:t>Hepatálna insuficiencia:</w:t>
      </w:r>
    </w:p>
    <w:p w14:paraId="5855D499" w14:textId="77777777" w:rsidR="00A94D41" w:rsidRPr="0079786F" w:rsidRDefault="00A94D41" w:rsidP="00B7315D">
      <w:pPr>
        <w:autoSpaceDE w:val="0"/>
        <w:autoSpaceDN w:val="0"/>
        <w:adjustRightInd w:val="0"/>
        <w:jc w:val="both"/>
        <w:rPr>
          <w:sz w:val="22"/>
          <w:szCs w:val="22"/>
        </w:rPr>
      </w:pPr>
      <w:r w:rsidRPr="0079786F">
        <w:rPr>
          <w:sz w:val="22"/>
          <w:szCs w:val="22"/>
        </w:rPr>
        <w:t>U pacientov s ochorením pečene nemusí byť denná dávka ceftriaxónu zmenená za predpokladu, že funkcia obličiek je normálna (pozri časť 4.8).</w:t>
      </w:r>
    </w:p>
    <w:p w14:paraId="6FC9DCCD" w14:textId="77777777" w:rsidR="00A94D41" w:rsidRPr="0079786F" w:rsidRDefault="00A94D41" w:rsidP="00B7315D">
      <w:pPr>
        <w:autoSpaceDE w:val="0"/>
        <w:autoSpaceDN w:val="0"/>
        <w:adjustRightInd w:val="0"/>
        <w:jc w:val="both"/>
        <w:rPr>
          <w:sz w:val="22"/>
          <w:szCs w:val="22"/>
        </w:rPr>
      </w:pPr>
    </w:p>
    <w:p w14:paraId="2E28A1E7" w14:textId="77777777" w:rsidR="00A94D41" w:rsidRPr="0079786F" w:rsidRDefault="00A94D41" w:rsidP="00B7315D">
      <w:pPr>
        <w:autoSpaceDE w:val="0"/>
        <w:autoSpaceDN w:val="0"/>
        <w:adjustRightInd w:val="0"/>
        <w:jc w:val="both"/>
        <w:rPr>
          <w:i/>
          <w:sz w:val="22"/>
          <w:szCs w:val="22"/>
        </w:rPr>
      </w:pPr>
      <w:r w:rsidRPr="0079786F">
        <w:rPr>
          <w:i/>
          <w:sz w:val="22"/>
          <w:szCs w:val="22"/>
        </w:rPr>
        <w:t>Renálna a hepatálna insuficiencia:</w:t>
      </w:r>
    </w:p>
    <w:p w14:paraId="67D7F774" w14:textId="0F09ADE3" w:rsidR="00A94D41" w:rsidRPr="0079786F" w:rsidRDefault="00A94D41" w:rsidP="00B7315D">
      <w:pPr>
        <w:autoSpaceDE w:val="0"/>
        <w:autoSpaceDN w:val="0"/>
        <w:adjustRightInd w:val="0"/>
        <w:jc w:val="both"/>
        <w:rPr>
          <w:sz w:val="22"/>
          <w:szCs w:val="22"/>
        </w:rPr>
      </w:pPr>
      <w:r w:rsidRPr="0079786F">
        <w:rPr>
          <w:sz w:val="22"/>
          <w:szCs w:val="22"/>
        </w:rPr>
        <w:t xml:space="preserve">Pri ťažkej renálnej a súčasnej hepatálnej insuficiencii treba pravidelne monitorovať sérovú koncentráciu ceftriaxónu a dávkovanie treba príslušne upraviť pre deti a dospelých (pozri časť </w:t>
      </w:r>
      <w:smartTag w:uri="urn:schemas-microsoft-com:office:smarttags" w:element="metricconverter">
        <w:smartTagPr>
          <w:attr w:name="ProductID" w:val="4.4 a"/>
        </w:smartTagPr>
        <w:r w:rsidRPr="0079786F">
          <w:rPr>
            <w:sz w:val="22"/>
            <w:szCs w:val="22"/>
          </w:rPr>
          <w:t>4.4 a</w:t>
        </w:r>
      </w:smartTag>
      <w:r w:rsidRPr="0079786F">
        <w:rPr>
          <w:sz w:val="22"/>
          <w:szCs w:val="22"/>
        </w:rPr>
        <w:t xml:space="preserve"> 5.2).</w:t>
      </w:r>
    </w:p>
    <w:p w14:paraId="633D037E" w14:textId="77777777" w:rsidR="00A94D41" w:rsidRPr="0079786F" w:rsidRDefault="00A94D41" w:rsidP="00B7315D">
      <w:pPr>
        <w:autoSpaceDE w:val="0"/>
        <w:autoSpaceDN w:val="0"/>
        <w:adjustRightInd w:val="0"/>
        <w:jc w:val="both"/>
        <w:rPr>
          <w:sz w:val="22"/>
          <w:szCs w:val="22"/>
        </w:rPr>
      </w:pPr>
    </w:p>
    <w:p w14:paraId="36BBD742" w14:textId="77777777" w:rsidR="00A94D41" w:rsidRPr="0079786F" w:rsidRDefault="00A94D41" w:rsidP="00B7315D">
      <w:pPr>
        <w:autoSpaceDE w:val="0"/>
        <w:autoSpaceDN w:val="0"/>
        <w:adjustRightInd w:val="0"/>
        <w:jc w:val="both"/>
        <w:rPr>
          <w:sz w:val="22"/>
          <w:szCs w:val="22"/>
        </w:rPr>
      </w:pPr>
      <w:r w:rsidRPr="0079786F">
        <w:rPr>
          <w:i/>
          <w:iCs/>
          <w:sz w:val="22"/>
          <w:szCs w:val="22"/>
        </w:rPr>
        <w:t>Hemodialýza alebo peritoneálna dialýza:</w:t>
      </w:r>
    </w:p>
    <w:p w14:paraId="5F3DDAB0" w14:textId="77777777" w:rsidR="00A94D41" w:rsidRPr="0079786F" w:rsidRDefault="00A94D41" w:rsidP="00B7315D">
      <w:pPr>
        <w:autoSpaceDE w:val="0"/>
        <w:autoSpaceDN w:val="0"/>
        <w:adjustRightInd w:val="0"/>
        <w:jc w:val="both"/>
        <w:rPr>
          <w:sz w:val="22"/>
          <w:szCs w:val="22"/>
        </w:rPr>
      </w:pPr>
      <w:r w:rsidRPr="0079786F">
        <w:rPr>
          <w:sz w:val="22"/>
          <w:szCs w:val="22"/>
        </w:rPr>
        <w:t>Nakoľko iba veľmi malý objem ceftriaxónu prechádza dialyzačnou membránou, nie je po dialýze potrebná prídavná dávka ceftriaxónu. Keďže eliminačná rýchlosť u týchto pacientov môže byť znížená, treba monitorovať sérové koncentrácie ceftriaxónu, aby bolo možné určiť, či je potrebné upraviť dávky.</w:t>
      </w:r>
    </w:p>
    <w:p w14:paraId="62FB785D" w14:textId="77777777" w:rsidR="00A94D41" w:rsidRPr="0079786F" w:rsidRDefault="00A94D41" w:rsidP="00B7315D">
      <w:pPr>
        <w:autoSpaceDE w:val="0"/>
        <w:autoSpaceDN w:val="0"/>
        <w:adjustRightInd w:val="0"/>
        <w:jc w:val="both"/>
        <w:rPr>
          <w:color w:val="000000"/>
          <w:sz w:val="22"/>
          <w:szCs w:val="22"/>
        </w:rPr>
      </w:pPr>
      <w:r w:rsidRPr="0079786F">
        <w:rPr>
          <w:color w:val="000000"/>
          <w:sz w:val="22"/>
          <w:szCs w:val="22"/>
        </w:rPr>
        <w:t>U pacientov s kontinuálnou ambulatórnou peritoneálnou dialýzou(CAPD), je možné ceftriaxón podať buď intravenózne, alebo v prípade infekcií asociovaných s CAPD je možné pridať ho priamo do dialyzačného roztoku (napr. 1</w:t>
      </w:r>
      <w:r w:rsidR="00B16CB2">
        <w:rPr>
          <w:color w:val="000000"/>
          <w:sz w:val="22"/>
          <w:szCs w:val="22"/>
        </w:rPr>
        <w:t xml:space="preserve"> </w:t>
      </w:r>
      <w:r w:rsidRPr="0079786F">
        <w:rPr>
          <w:color w:val="000000"/>
          <w:sz w:val="22"/>
          <w:szCs w:val="22"/>
        </w:rPr>
        <w:t>-</w:t>
      </w:r>
      <w:r w:rsidR="00B16CB2">
        <w:rPr>
          <w:color w:val="000000"/>
          <w:sz w:val="22"/>
          <w:szCs w:val="22"/>
        </w:rPr>
        <w:t xml:space="preserve"> </w:t>
      </w:r>
      <w:smartTag w:uri="urn:schemas-microsoft-com:office:smarttags" w:element="metricconverter">
        <w:smartTagPr>
          <w:attr w:name="ProductID" w:val="2 g"/>
        </w:smartTagPr>
        <w:r w:rsidRPr="0079786F">
          <w:rPr>
            <w:color w:val="000000"/>
            <w:sz w:val="22"/>
            <w:szCs w:val="22"/>
          </w:rPr>
          <w:t>2</w:t>
        </w:r>
        <w:r w:rsidR="00B16CB2">
          <w:rPr>
            <w:color w:val="000000"/>
            <w:sz w:val="22"/>
            <w:szCs w:val="22"/>
          </w:rPr>
          <w:t> </w:t>
        </w:r>
        <w:r w:rsidRPr="0079786F">
          <w:rPr>
            <w:color w:val="000000"/>
            <w:sz w:val="22"/>
            <w:szCs w:val="22"/>
          </w:rPr>
          <w:t>g</w:t>
        </w:r>
      </w:smartTag>
      <w:r w:rsidRPr="0079786F">
        <w:rPr>
          <w:color w:val="000000"/>
          <w:sz w:val="22"/>
          <w:szCs w:val="22"/>
        </w:rPr>
        <w:t xml:space="preserve"> ceftriaxónu do prvého dialyzačného roztoku v patričný deň) (pozri časť 6.6).</w:t>
      </w:r>
    </w:p>
    <w:p w14:paraId="64456D3C" w14:textId="77777777" w:rsidR="00A94D41" w:rsidRPr="0079786F" w:rsidRDefault="00A94D41" w:rsidP="00B7315D">
      <w:pPr>
        <w:autoSpaceDE w:val="0"/>
        <w:autoSpaceDN w:val="0"/>
        <w:adjustRightInd w:val="0"/>
        <w:jc w:val="both"/>
        <w:rPr>
          <w:sz w:val="22"/>
          <w:szCs w:val="22"/>
          <w:u w:val="single"/>
        </w:rPr>
      </w:pPr>
    </w:p>
    <w:p w14:paraId="567C94C0" w14:textId="77777777" w:rsidR="00A94D41" w:rsidRPr="0079786F" w:rsidRDefault="00A94D41" w:rsidP="00B7315D">
      <w:pPr>
        <w:autoSpaceDE w:val="0"/>
        <w:autoSpaceDN w:val="0"/>
        <w:adjustRightInd w:val="0"/>
        <w:jc w:val="both"/>
        <w:rPr>
          <w:sz w:val="22"/>
          <w:szCs w:val="22"/>
          <w:u w:val="single"/>
        </w:rPr>
      </w:pPr>
      <w:r w:rsidRPr="0079786F">
        <w:rPr>
          <w:sz w:val="22"/>
          <w:szCs w:val="22"/>
          <w:u w:val="single"/>
        </w:rPr>
        <w:t>Spôsob podávania</w:t>
      </w:r>
    </w:p>
    <w:p w14:paraId="0463708E" w14:textId="77777777" w:rsidR="00A94D41" w:rsidRPr="0079786F" w:rsidRDefault="00A94D41" w:rsidP="00B7315D">
      <w:pPr>
        <w:autoSpaceDE w:val="0"/>
        <w:autoSpaceDN w:val="0"/>
        <w:adjustRightInd w:val="0"/>
        <w:jc w:val="both"/>
        <w:rPr>
          <w:sz w:val="22"/>
          <w:szCs w:val="22"/>
          <w:u w:val="single"/>
        </w:rPr>
      </w:pPr>
    </w:p>
    <w:p w14:paraId="75E1B327" w14:textId="77777777" w:rsidR="00A94D41" w:rsidRPr="0079786F" w:rsidRDefault="00A94D41" w:rsidP="00B7315D">
      <w:pPr>
        <w:jc w:val="both"/>
        <w:rPr>
          <w:bCs/>
          <w:sz w:val="22"/>
          <w:szCs w:val="22"/>
        </w:rPr>
      </w:pPr>
      <w:r w:rsidRPr="0079786F">
        <w:rPr>
          <w:bCs/>
          <w:sz w:val="22"/>
          <w:szCs w:val="22"/>
        </w:rPr>
        <w:t xml:space="preserve">Ceftron </w:t>
      </w:r>
      <w:smartTag w:uri="urn:schemas-microsoft-com:office:smarttags" w:element="metricconverter">
        <w:smartTagPr>
          <w:attr w:name="ProductID" w:val="1 g"/>
        </w:smartTagPr>
        <w:r w:rsidRPr="0079786F">
          <w:rPr>
            <w:bCs/>
            <w:sz w:val="22"/>
            <w:szCs w:val="22"/>
          </w:rPr>
          <w:t>1 g</w:t>
        </w:r>
      </w:smartTag>
      <w:r w:rsidRPr="0079786F">
        <w:rPr>
          <w:bCs/>
          <w:sz w:val="22"/>
          <w:szCs w:val="22"/>
        </w:rPr>
        <w:t xml:space="preserve"> sa podáva v pomalej intravenóznej bolusovej injekcii alebo hlbokou intramuskulárnou injekciou po zriedení roztoku podľa pokynov uvedených nižšie (pozri tiež časť 6.6).</w:t>
      </w:r>
    </w:p>
    <w:p w14:paraId="6EA2C884" w14:textId="77777777" w:rsidR="00A94D41" w:rsidRPr="0079786F" w:rsidRDefault="00A94D41" w:rsidP="00B7315D">
      <w:pPr>
        <w:jc w:val="both"/>
        <w:rPr>
          <w:bCs/>
          <w:sz w:val="22"/>
          <w:szCs w:val="22"/>
        </w:rPr>
      </w:pPr>
      <w:r w:rsidRPr="0079786F">
        <w:rPr>
          <w:bCs/>
          <w:sz w:val="22"/>
          <w:szCs w:val="22"/>
        </w:rPr>
        <w:t>Dávka závisí od závažnosti a miesta infekcie, citlivosti mikrobiálneho pôvodcu, veku pacienta a jeho celkového stavu.</w:t>
      </w:r>
    </w:p>
    <w:p w14:paraId="75F358C6" w14:textId="77777777" w:rsidR="00A94D41" w:rsidRPr="0079786F" w:rsidRDefault="00A94D41" w:rsidP="00B7315D">
      <w:pPr>
        <w:autoSpaceDE w:val="0"/>
        <w:autoSpaceDN w:val="0"/>
        <w:adjustRightInd w:val="0"/>
        <w:jc w:val="both"/>
        <w:rPr>
          <w:sz w:val="22"/>
          <w:szCs w:val="22"/>
          <w:u w:val="single"/>
        </w:rPr>
      </w:pPr>
    </w:p>
    <w:p w14:paraId="13A1A8A1" w14:textId="6A24BCC3" w:rsidR="00A94D41" w:rsidRPr="00251279" w:rsidRDefault="00A94D41" w:rsidP="00B7315D">
      <w:pPr>
        <w:autoSpaceDE w:val="0"/>
        <w:autoSpaceDN w:val="0"/>
        <w:adjustRightInd w:val="0"/>
        <w:jc w:val="both"/>
        <w:rPr>
          <w:sz w:val="22"/>
          <w:szCs w:val="22"/>
        </w:rPr>
      </w:pPr>
      <w:r w:rsidRPr="00251279">
        <w:rPr>
          <w:sz w:val="22"/>
          <w:szCs w:val="22"/>
        </w:rPr>
        <w:t xml:space="preserve">Z dôvodu možného vzniku precipitátov sa na </w:t>
      </w:r>
      <w:r w:rsidR="00721EAC" w:rsidRPr="00251279">
        <w:rPr>
          <w:sz w:val="22"/>
          <w:szCs w:val="22"/>
        </w:rPr>
        <w:t>rozpúšťanie</w:t>
      </w:r>
      <w:r w:rsidRPr="00251279">
        <w:rPr>
          <w:sz w:val="22"/>
          <w:szCs w:val="22"/>
        </w:rPr>
        <w:t xml:space="preserve"> ceftriaxónu a jeho ďalšie riedenie na podanie infúzie nemajú používať roztoky obsahujúce kalcium (napr. Ringerov a Hartmannov roztok). Preci</w:t>
      </w:r>
      <w:smartTag w:uri="urn:schemas-microsoft-com:office:smarttags" w:element="PersonName">
        <w:r w:rsidRPr="00251279">
          <w:rPr>
            <w:sz w:val="22"/>
            <w:szCs w:val="22"/>
          </w:rPr>
          <w:t>pit</w:t>
        </w:r>
      </w:smartTag>
      <w:r w:rsidRPr="00251279">
        <w:rPr>
          <w:sz w:val="22"/>
          <w:szCs w:val="22"/>
        </w:rPr>
        <w:t>áty ceftriaxónu a kalcia môžu vznikať taktiež pri zmiešaní ceftriaxónu a roztokov obsahujúcich kalcium v jednej infúznej linke. Z tohto dôvodu sa nesmie ceftriaxón a roztoky obsahujúce kalcium miešať a/alebo podávať zároveň (pozri časti 4.3, 4.4 a 6.2).</w:t>
      </w:r>
    </w:p>
    <w:p w14:paraId="3BCEF657" w14:textId="77777777" w:rsidR="00A94D41" w:rsidRPr="0079786F" w:rsidRDefault="00A94D41" w:rsidP="00B7315D">
      <w:pPr>
        <w:autoSpaceDE w:val="0"/>
        <w:autoSpaceDN w:val="0"/>
        <w:adjustRightInd w:val="0"/>
        <w:jc w:val="both"/>
        <w:rPr>
          <w:sz w:val="22"/>
          <w:szCs w:val="22"/>
        </w:rPr>
      </w:pPr>
    </w:p>
    <w:p w14:paraId="0DCD36E2" w14:textId="77777777" w:rsidR="00A94D41" w:rsidRPr="0079786F" w:rsidRDefault="00A94D41" w:rsidP="00B7315D">
      <w:pPr>
        <w:jc w:val="both"/>
        <w:rPr>
          <w:i/>
          <w:iCs/>
          <w:sz w:val="22"/>
          <w:szCs w:val="22"/>
        </w:rPr>
      </w:pPr>
      <w:bookmarkStart w:id="0" w:name="OLE_LINK1"/>
      <w:bookmarkStart w:id="1" w:name="OLE_LINK2"/>
      <w:r w:rsidRPr="0079786F">
        <w:rPr>
          <w:i/>
          <w:iCs/>
          <w:sz w:val="22"/>
          <w:szCs w:val="22"/>
        </w:rPr>
        <w:t>Intravenózna injekcia:</w:t>
      </w:r>
    </w:p>
    <w:p w14:paraId="14BF3653" w14:textId="01609ECE" w:rsidR="00A94D41" w:rsidRPr="0079786F" w:rsidRDefault="00A94D41" w:rsidP="00B7315D">
      <w:pPr>
        <w:jc w:val="both"/>
        <w:rPr>
          <w:sz w:val="22"/>
          <w:szCs w:val="22"/>
        </w:rPr>
      </w:pPr>
      <w:r w:rsidRPr="0079786F">
        <w:rPr>
          <w:sz w:val="22"/>
          <w:szCs w:val="22"/>
        </w:rPr>
        <w:t xml:space="preserve">Na prípravu intravenóznej injekcie sa Ceftron </w:t>
      </w:r>
      <w:smartTag w:uri="urn:schemas-microsoft-com:office:smarttags" w:element="metricconverter">
        <w:smartTagPr>
          <w:attr w:name="ProductID" w:val="1ﾠg"/>
        </w:smartTagPr>
        <w:r w:rsidRPr="0079786F">
          <w:rPr>
            <w:sz w:val="22"/>
            <w:szCs w:val="22"/>
          </w:rPr>
          <w:t>1 g</w:t>
        </w:r>
      </w:smartTag>
      <w:r w:rsidRPr="0079786F">
        <w:rPr>
          <w:sz w:val="22"/>
          <w:szCs w:val="22"/>
        </w:rPr>
        <w:t xml:space="preserve"> rozpustí v 10 ml vody na injekciu. Intravenózna injekcia sa má podávať najmenej 2</w:t>
      </w:r>
      <w:r w:rsidR="00B16CB2">
        <w:rPr>
          <w:sz w:val="22"/>
          <w:szCs w:val="22"/>
        </w:rPr>
        <w:t xml:space="preserve"> </w:t>
      </w:r>
      <w:r w:rsidRPr="0079786F">
        <w:rPr>
          <w:sz w:val="22"/>
          <w:szCs w:val="22"/>
        </w:rPr>
        <w:t>-</w:t>
      </w:r>
      <w:r w:rsidR="00B16CB2">
        <w:rPr>
          <w:sz w:val="22"/>
          <w:szCs w:val="22"/>
        </w:rPr>
        <w:t xml:space="preserve"> </w:t>
      </w:r>
      <w:r w:rsidRPr="0079786F">
        <w:rPr>
          <w:sz w:val="22"/>
          <w:szCs w:val="22"/>
        </w:rPr>
        <w:t>4 minúty priamo do žily alebo prostredníctvom hadičky formou intravenóznej infúzie obsahujúcej 0,9</w:t>
      </w:r>
      <w:r w:rsidR="00162B32">
        <w:rPr>
          <w:sz w:val="22"/>
          <w:szCs w:val="22"/>
        </w:rPr>
        <w:t xml:space="preserve"> </w:t>
      </w:r>
      <w:r w:rsidRPr="0079786F">
        <w:rPr>
          <w:sz w:val="22"/>
          <w:szCs w:val="22"/>
        </w:rPr>
        <w:t>% roztok chloridu sodného na infúziu alebo 5% roztok glukózy na infúziu.</w:t>
      </w:r>
      <w:r>
        <w:rPr>
          <w:sz w:val="22"/>
          <w:szCs w:val="22"/>
        </w:rPr>
        <w:t xml:space="preserve"> </w:t>
      </w:r>
      <w:r w:rsidRPr="0079786F">
        <w:rPr>
          <w:sz w:val="22"/>
          <w:szCs w:val="22"/>
        </w:rPr>
        <w:t xml:space="preserve">Ak sa Ceftron </w:t>
      </w:r>
      <w:smartTag w:uri="urn:schemas-microsoft-com:office:smarttags" w:element="metricconverter">
        <w:smartTagPr>
          <w:attr w:name="ProductID" w:val="1 g"/>
        </w:smartTagPr>
        <w:r w:rsidRPr="0079786F">
          <w:rPr>
            <w:sz w:val="22"/>
            <w:szCs w:val="22"/>
          </w:rPr>
          <w:t>1 g</w:t>
        </w:r>
      </w:smartTag>
      <w:r w:rsidRPr="0079786F">
        <w:rPr>
          <w:sz w:val="22"/>
          <w:szCs w:val="22"/>
        </w:rPr>
        <w:t xml:space="preserve"> injikuje príliš rýchlo (počas menej ako 1 minúty) prostredníctvom centrálneho venózneho katétra, môže sa vyskytnúť </w:t>
      </w:r>
      <w:r w:rsidR="00854359">
        <w:rPr>
          <w:sz w:val="22"/>
          <w:szCs w:val="22"/>
        </w:rPr>
        <w:t>závažná</w:t>
      </w:r>
      <w:r w:rsidR="00854359" w:rsidRPr="0079786F">
        <w:rPr>
          <w:sz w:val="22"/>
          <w:szCs w:val="22"/>
        </w:rPr>
        <w:t xml:space="preserve"> </w:t>
      </w:r>
      <w:r w:rsidRPr="0079786F">
        <w:rPr>
          <w:sz w:val="22"/>
          <w:szCs w:val="22"/>
        </w:rPr>
        <w:t>arytmia.</w:t>
      </w:r>
    </w:p>
    <w:p w14:paraId="0693C6CD" w14:textId="77777777" w:rsidR="00A94D41" w:rsidRDefault="00A94D41" w:rsidP="00B7315D">
      <w:pPr>
        <w:autoSpaceDE w:val="0"/>
        <w:autoSpaceDN w:val="0"/>
        <w:adjustRightInd w:val="0"/>
        <w:jc w:val="both"/>
        <w:rPr>
          <w:sz w:val="22"/>
          <w:szCs w:val="22"/>
        </w:rPr>
      </w:pPr>
    </w:p>
    <w:p w14:paraId="6E3E663C" w14:textId="77777777" w:rsidR="00A94D41" w:rsidRPr="0079786F" w:rsidRDefault="00A94D41" w:rsidP="00B7315D">
      <w:pPr>
        <w:autoSpaceDE w:val="0"/>
        <w:autoSpaceDN w:val="0"/>
        <w:adjustRightInd w:val="0"/>
        <w:jc w:val="both"/>
        <w:rPr>
          <w:i/>
          <w:sz w:val="22"/>
          <w:szCs w:val="22"/>
        </w:rPr>
      </w:pPr>
      <w:r w:rsidRPr="0079786F">
        <w:rPr>
          <w:i/>
          <w:sz w:val="22"/>
          <w:szCs w:val="22"/>
        </w:rPr>
        <w:t>Intramuskulárna injekcia:</w:t>
      </w:r>
    </w:p>
    <w:p w14:paraId="6AE4FBBD" w14:textId="47DB5CE8" w:rsidR="00A94D41" w:rsidRPr="0079786F" w:rsidRDefault="00A94D41" w:rsidP="00B7315D">
      <w:pPr>
        <w:autoSpaceDE w:val="0"/>
        <w:autoSpaceDN w:val="0"/>
        <w:adjustRightInd w:val="0"/>
        <w:jc w:val="both"/>
        <w:rPr>
          <w:sz w:val="22"/>
          <w:szCs w:val="22"/>
        </w:rPr>
      </w:pPr>
      <w:r w:rsidRPr="0079786F">
        <w:rPr>
          <w:sz w:val="22"/>
          <w:szCs w:val="22"/>
        </w:rPr>
        <w:t>Pre intramuskulárne podanie treba rozpustiť Ceftro</w:t>
      </w:r>
      <w:r>
        <w:rPr>
          <w:sz w:val="22"/>
          <w:szCs w:val="22"/>
        </w:rPr>
        <w:t xml:space="preserve">n 1g </w:t>
      </w:r>
      <w:r w:rsidRPr="0079786F">
        <w:rPr>
          <w:sz w:val="22"/>
          <w:szCs w:val="22"/>
        </w:rPr>
        <w:t>v 3,5 ml 1</w:t>
      </w:r>
      <w:r w:rsidR="00162B32">
        <w:rPr>
          <w:sz w:val="22"/>
          <w:szCs w:val="22"/>
        </w:rPr>
        <w:t xml:space="preserve"> </w:t>
      </w:r>
      <w:r w:rsidRPr="0079786F">
        <w:rPr>
          <w:sz w:val="22"/>
          <w:szCs w:val="22"/>
        </w:rPr>
        <w:t xml:space="preserve">% roztoku </w:t>
      </w:r>
      <w:r w:rsidR="00B16CB2">
        <w:rPr>
          <w:sz w:val="22"/>
          <w:szCs w:val="22"/>
        </w:rPr>
        <w:t>lidokaíniumchloridu</w:t>
      </w:r>
      <w:r w:rsidRPr="0079786F">
        <w:rPr>
          <w:sz w:val="22"/>
          <w:szCs w:val="22"/>
        </w:rPr>
        <w:t xml:space="preserve"> (pozri tiež časť 6.6) a vpichnúť hlboko do gluteálneho svalu. Na jednu stranu  tela sa nemá vpichnúť viac ako </w:t>
      </w:r>
      <w:smartTag w:uri="urn:schemas-microsoft-com:office:smarttags" w:element="metricconverter">
        <w:smartTagPr>
          <w:attr w:name="ProductID" w:val="1 g"/>
        </w:smartTagPr>
        <w:r w:rsidRPr="0079786F">
          <w:rPr>
            <w:sz w:val="22"/>
            <w:szCs w:val="22"/>
          </w:rPr>
          <w:t>1 g</w:t>
        </w:r>
      </w:smartTag>
      <w:r w:rsidRPr="0079786F">
        <w:rPr>
          <w:sz w:val="22"/>
          <w:szCs w:val="22"/>
        </w:rPr>
        <w:t xml:space="preserve"> ceftriaxónu. Maximálna denná dávka podaná intramuskulárne nemá presiahnuť </w:t>
      </w:r>
      <w:smartTag w:uri="urn:schemas-microsoft-com:office:smarttags" w:element="metricconverter">
        <w:smartTagPr>
          <w:attr w:name="ProductID" w:val="2 g"/>
        </w:smartTagPr>
        <w:r w:rsidRPr="0079786F">
          <w:rPr>
            <w:sz w:val="22"/>
            <w:szCs w:val="22"/>
          </w:rPr>
          <w:t>2</w:t>
        </w:r>
        <w:r w:rsidR="00B16CB2">
          <w:rPr>
            <w:sz w:val="22"/>
            <w:szCs w:val="22"/>
          </w:rPr>
          <w:t> </w:t>
        </w:r>
        <w:r w:rsidRPr="0079786F">
          <w:rPr>
            <w:sz w:val="22"/>
            <w:szCs w:val="22"/>
          </w:rPr>
          <w:t>g</w:t>
        </w:r>
      </w:smartTag>
      <w:r w:rsidRPr="0079786F">
        <w:rPr>
          <w:sz w:val="22"/>
          <w:szCs w:val="22"/>
        </w:rPr>
        <w:t xml:space="preserve">. </w:t>
      </w:r>
    </w:p>
    <w:p w14:paraId="6D9A69E2" w14:textId="77777777" w:rsidR="00A94D41" w:rsidRPr="0079786F" w:rsidRDefault="00A94D41" w:rsidP="00B7315D">
      <w:pPr>
        <w:autoSpaceDE w:val="0"/>
        <w:autoSpaceDN w:val="0"/>
        <w:adjustRightInd w:val="0"/>
        <w:jc w:val="both"/>
        <w:rPr>
          <w:sz w:val="22"/>
          <w:szCs w:val="22"/>
        </w:rPr>
      </w:pPr>
      <w:r w:rsidRPr="0079786F">
        <w:rPr>
          <w:sz w:val="22"/>
          <w:szCs w:val="22"/>
        </w:rPr>
        <w:t xml:space="preserve">Prísne sa treba vyhnúť intravazálnej injekcii, pretože intravazálne podaný lidokaín môže byť príčinou závažných nežiaducich účinkov. Do úvahy treba vziať Súhrn charakteristických vlastností lieku daného 1% roztoku </w:t>
      </w:r>
      <w:r w:rsidR="00B16CB2">
        <w:rPr>
          <w:sz w:val="22"/>
          <w:szCs w:val="22"/>
        </w:rPr>
        <w:t>lidokaíniumchloridu</w:t>
      </w:r>
      <w:r w:rsidRPr="0079786F">
        <w:rPr>
          <w:sz w:val="22"/>
          <w:szCs w:val="22"/>
        </w:rPr>
        <w:t>.</w:t>
      </w:r>
    </w:p>
    <w:p w14:paraId="57DCF66A" w14:textId="77777777" w:rsidR="00A94D41" w:rsidRPr="0079786F" w:rsidRDefault="00A94D41" w:rsidP="00B7315D">
      <w:pPr>
        <w:autoSpaceDE w:val="0"/>
        <w:autoSpaceDN w:val="0"/>
        <w:adjustRightInd w:val="0"/>
        <w:jc w:val="both"/>
        <w:rPr>
          <w:sz w:val="22"/>
          <w:szCs w:val="22"/>
        </w:rPr>
      </w:pPr>
      <w:r w:rsidRPr="0079786F">
        <w:rPr>
          <w:sz w:val="22"/>
          <w:szCs w:val="22"/>
        </w:rPr>
        <w:t xml:space="preserve">Intramuskulárne podanie Ceftron </w:t>
      </w:r>
      <w:smartTag w:uri="urn:schemas-microsoft-com:office:smarttags" w:element="metricconverter">
        <w:smartTagPr>
          <w:attr w:name="ProductID" w:val="1 g"/>
        </w:smartTagPr>
        <w:r w:rsidRPr="0079786F">
          <w:rPr>
            <w:sz w:val="22"/>
            <w:szCs w:val="22"/>
          </w:rPr>
          <w:t>1</w:t>
        </w:r>
        <w:r w:rsidR="00B16CB2">
          <w:rPr>
            <w:sz w:val="22"/>
            <w:szCs w:val="22"/>
          </w:rPr>
          <w:t> </w:t>
        </w:r>
        <w:r w:rsidRPr="0079786F">
          <w:rPr>
            <w:sz w:val="22"/>
            <w:szCs w:val="22"/>
          </w:rPr>
          <w:t>g</w:t>
        </w:r>
      </w:smartTag>
      <w:r w:rsidRPr="0079786F">
        <w:rPr>
          <w:sz w:val="22"/>
          <w:szCs w:val="22"/>
        </w:rPr>
        <w:t xml:space="preserve"> </w:t>
      </w:r>
      <w:r>
        <w:rPr>
          <w:sz w:val="22"/>
          <w:szCs w:val="22"/>
        </w:rPr>
        <w:t>je kontraindikované pri liečbe L</w:t>
      </w:r>
      <w:r w:rsidRPr="0079786F">
        <w:rPr>
          <w:sz w:val="22"/>
          <w:szCs w:val="22"/>
        </w:rPr>
        <w:t xml:space="preserve">ymskej boreliózy (štádiá II a III), ťažkých stavoch ako je sepsa alebo meningitída a u detí mladších ako 12 rokov. </w:t>
      </w:r>
    </w:p>
    <w:p w14:paraId="52E62F53" w14:textId="77777777" w:rsidR="00A94D41" w:rsidRPr="0079786F" w:rsidRDefault="00A94D41" w:rsidP="00B7315D">
      <w:pPr>
        <w:jc w:val="both"/>
        <w:rPr>
          <w:sz w:val="22"/>
          <w:szCs w:val="22"/>
        </w:rPr>
      </w:pPr>
    </w:p>
    <w:p w14:paraId="63B275CA" w14:textId="77777777" w:rsidR="00A94D41" w:rsidRPr="0079786F" w:rsidRDefault="00A94D41" w:rsidP="00B7315D">
      <w:pPr>
        <w:jc w:val="both"/>
        <w:rPr>
          <w:sz w:val="22"/>
          <w:szCs w:val="22"/>
        </w:rPr>
      </w:pPr>
      <w:r w:rsidRPr="0079786F">
        <w:rPr>
          <w:sz w:val="22"/>
          <w:szCs w:val="22"/>
        </w:rPr>
        <w:t xml:space="preserve">Zriedený roztok na injekciu má bledožltú farbu, ktorá nenarúša účinnosť ani znášanlivosť Ceftron 1g. </w:t>
      </w:r>
    </w:p>
    <w:p w14:paraId="505DC323" w14:textId="77777777" w:rsidR="00A94D41" w:rsidRPr="0079786F" w:rsidRDefault="00A94D41" w:rsidP="00B7315D">
      <w:pPr>
        <w:jc w:val="both"/>
        <w:rPr>
          <w:sz w:val="22"/>
          <w:szCs w:val="22"/>
        </w:rPr>
      </w:pPr>
      <w:r w:rsidRPr="0079786F">
        <w:rPr>
          <w:sz w:val="22"/>
          <w:szCs w:val="22"/>
        </w:rPr>
        <w:t>Zriedený roztok treba vizuálne skontrolovať. Použitý má byť iba číry roztok bez viditeľných častíc.</w:t>
      </w:r>
    </w:p>
    <w:p w14:paraId="3814001D" w14:textId="77777777" w:rsidR="00A94D41" w:rsidRPr="0079786F" w:rsidRDefault="00A94D41" w:rsidP="00B7315D">
      <w:pPr>
        <w:jc w:val="both"/>
        <w:rPr>
          <w:sz w:val="22"/>
          <w:szCs w:val="22"/>
        </w:rPr>
      </w:pPr>
      <w:r w:rsidRPr="0079786F">
        <w:rPr>
          <w:sz w:val="22"/>
          <w:szCs w:val="22"/>
        </w:rPr>
        <w:t xml:space="preserve">Zriedený prípravok je iba na jedno použitie a akékoľvek množstvo nepoužitého roztoku musí byť </w:t>
      </w:r>
      <w:r w:rsidR="00B16CB2">
        <w:rPr>
          <w:sz w:val="22"/>
          <w:szCs w:val="22"/>
        </w:rPr>
        <w:t>zlikvidované</w:t>
      </w:r>
      <w:r w:rsidRPr="0079786F">
        <w:rPr>
          <w:sz w:val="22"/>
          <w:szCs w:val="22"/>
        </w:rPr>
        <w:t>.</w:t>
      </w:r>
    </w:p>
    <w:p w14:paraId="72552FAD" w14:textId="77777777" w:rsidR="00A94D41" w:rsidRPr="0079786F" w:rsidRDefault="00A94D41" w:rsidP="00B7315D">
      <w:pPr>
        <w:jc w:val="both"/>
        <w:rPr>
          <w:sz w:val="22"/>
          <w:szCs w:val="22"/>
        </w:rPr>
      </w:pPr>
    </w:p>
    <w:bookmarkEnd w:id="0"/>
    <w:bookmarkEnd w:id="1"/>
    <w:p w14:paraId="4912E334" w14:textId="77777777" w:rsidR="00A94D41" w:rsidRPr="0079786F" w:rsidRDefault="00A94D41" w:rsidP="00B7315D">
      <w:pPr>
        <w:autoSpaceDE w:val="0"/>
        <w:autoSpaceDN w:val="0"/>
        <w:adjustRightInd w:val="0"/>
        <w:jc w:val="both"/>
        <w:rPr>
          <w:sz w:val="22"/>
          <w:szCs w:val="22"/>
          <w:u w:val="single"/>
        </w:rPr>
      </w:pPr>
      <w:r w:rsidRPr="0079786F">
        <w:rPr>
          <w:sz w:val="22"/>
          <w:szCs w:val="22"/>
          <w:u w:val="single"/>
        </w:rPr>
        <w:t>Trvanie liečby</w:t>
      </w:r>
    </w:p>
    <w:p w14:paraId="74A31655" w14:textId="77777777" w:rsidR="00A94D41" w:rsidRPr="0079786F" w:rsidRDefault="00A94D41" w:rsidP="00B7315D">
      <w:pPr>
        <w:jc w:val="both"/>
        <w:rPr>
          <w:sz w:val="22"/>
          <w:szCs w:val="22"/>
        </w:rPr>
      </w:pPr>
    </w:p>
    <w:p w14:paraId="2F9CAFEB" w14:textId="77777777" w:rsidR="00A94D41" w:rsidRPr="0079786F" w:rsidRDefault="00A94D41" w:rsidP="00B7315D">
      <w:pPr>
        <w:autoSpaceDE w:val="0"/>
        <w:autoSpaceDN w:val="0"/>
        <w:adjustRightInd w:val="0"/>
        <w:jc w:val="both"/>
        <w:rPr>
          <w:sz w:val="22"/>
          <w:szCs w:val="22"/>
        </w:rPr>
      </w:pPr>
      <w:r w:rsidRPr="0079786F">
        <w:rPr>
          <w:sz w:val="22"/>
          <w:szCs w:val="22"/>
        </w:rPr>
        <w:lastRenderedPageBreak/>
        <w:t xml:space="preserve">Normálne trvanie </w:t>
      </w:r>
      <w:r w:rsidR="00B16CB2">
        <w:rPr>
          <w:sz w:val="22"/>
          <w:szCs w:val="22"/>
        </w:rPr>
        <w:t>liečby</w:t>
      </w:r>
      <w:r w:rsidR="00B16CB2" w:rsidRPr="0079786F">
        <w:rPr>
          <w:sz w:val="22"/>
          <w:szCs w:val="22"/>
        </w:rPr>
        <w:t xml:space="preserve"> </w:t>
      </w:r>
      <w:r w:rsidRPr="0079786F">
        <w:rPr>
          <w:sz w:val="22"/>
          <w:szCs w:val="22"/>
        </w:rPr>
        <w:t>závisí od charakteru infekcie. Vo všeobecnosti by podávanie ceftriaxónu malo pokračovať najmenej 48</w:t>
      </w:r>
      <w:r w:rsidR="00E52F1F">
        <w:rPr>
          <w:sz w:val="22"/>
          <w:szCs w:val="22"/>
        </w:rPr>
        <w:t xml:space="preserve"> </w:t>
      </w:r>
      <w:r w:rsidRPr="0079786F">
        <w:rPr>
          <w:sz w:val="22"/>
          <w:szCs w:val="22"/>
        </w:rPr>
        <w:t>-</w:t>
      </w:r>
      <w:r w:rsidR="00E52F1F">
        <w:rPr>
          <w:sz w:val="22"/>
          <w:szCs w:val="22"/>
        </w:rPr>
        <w:t xml:space="preserve"> </w:t>
      </w:r>
      <w:r w:rsidRPr="0079786F">
        <w:rPr>
          <w:sz w:val="22"/>
          <w:szCs w:val="22"/>
        </w:rPr>
        <w:t>72 hodín po normalizácii telesnej teploty a získaní dôkazu o eradikácii baktérií. Do úvahy treba zobrať odporúčané dávkovania pri špeciálnych indikáciách.</w:t>
      </w:r>
    </w:p>
    <w:p w14:paraId="291599B9" w14:textId="77777777" w:rsidR="00A94D41" w:rsidRPr="0079786F" w:rsidRDefault="00A94D41" w:rsidP="00B7315D">
      <w:pPr>
        <w:jc w:val="both"/>
        <w:rPr>
          <w:sz w:val="22"/>
          <w:szCs w:val="22"/>
        </w:rPr>
      </w:pPr>
    </w:p>
    <w:p w14:paraId="3CB70F65" w14:textId="77777777" w:rsidR="00A94D41" w:rsidRPr="0079786F" w:rsidRDefault="00A94D41" w:rsidP="00B7315D">
      <w:pPr>
        <w:jc w:val="both"/>
        <w:rPr>
          <w:sz w:val="22"/>
          <w:szCs w:val="22"/>
        </w:rPr>
      </w:pPr>
      <w:r w:rsidRPr="0079786F">
        <w:rPr>
          <w:b/>
          <w:sz w:val="22"/>
          <w:szCs w:val="22"/>
        </w:rPr>
        <w:t>4.3</w:t>
      </w:r>
      <w:r w:rsidRPr="0079786F">
        <w:rPr>
          <w:b/>
          <w:sz w:val="22"/>
          <w:szCs w:val="22"/>
        </w:rPr>
        <w:tab/>
        <w:t>Kontraindikácie</w:t>
      </w:r>
    </w:p>
    <w:p w14:paraId="55D67094" w14:textId="77777777" w:rsidR="00A94D41" w:rsidRPr="0079786F" w:rsidRDefault="00A94D41" w:rsidP="00B7315D">
      <w:pPr>
        <w:autoSpaceDE w:val="0"/>
        <w:autoSpaceDN w:val="0"/>
        <w:adjustRightInd w:val="0"/>
        <w:jc w:val="both"/>
        <w:rPr>
          <w:sz w:val="22"/>
          <w:szCs w:val="22"/>
        </w:rPr>
      </w:pPr>
    </w:p>
    <w:p w14:paraId="1EA9C445" w14:textId="6B432D1E" w:rsidR="00A94D41" w:rsidRPr="0079786F" w:rsidRDefault="00A94D41" w:rsidP="00B7315D">
      <w:pPr>
        <w:autoSpaceDE w:val="0"/>
        <w:autoSpaceDN w:val="0"/>
        <w:adjustRightInd w:val="0"/>
        <w:jc w:val="both"/>
        <w:rPr>
          <w:sz w:val="22"/>
          <w:szCs w:val="22"/>
        </w:rPr>
      </w:pPr>
      <w:r w:rsidRPr="0079786F">
        <w:rPr>
          <w:sz w:val="22"/>
          <w:szCs w:val="22"/>
        </w:rPr>
        <w:t>Precitlivenosť na liečivo ceftriaxón alebo na ktorúkoľvek z pomocných látok uvedených v časti 6.1 alebo na ďalšie cefalosporíny.</w:t>
      </w:r>
    </w:p>
    <w:p w14:paraId="71DB511F" w14:textId="77777777" w:rsidR="00A94D41" w:rsidRPr="0079786F" w:rsidRDefault="00A94D41" w:rsidP="00B7315D">
      <w:pPr>
        <w:autoSpaceDE w:val="0"/>
        <w:autoSpaceDN w:val="0"/>
        <w:adjustRightInd w:val="0"/>
        <w:jc w:val="both"/>
        <w:rPr>
          <w:sz w:val="22"/>
          <w:szCs w:val="22"/>
        </w:rPr>
      </w:pPr>
    </w:p>
    <w:p w14:paraId="05C40C19" w14:textId="0B26DB54" w:rsidR="00A94D41" w:rsidRPr="0079786F" w:rsidRDefault="00A94D41" w:rsidP="00B7315D">
      <w:pPr>
        <w:autoSpaceDE w:val="0"/>
        <w:autoSpaceDN w:val="0"/>
        <w:adjustRightInd w:val="0"/>
        <w:jc w:val="both"/>
        <w:rPr>
          <w:sz w:val="22"/>
          <w:szCs w:val="22"/>
        </w:rPr>
      </w:pPr>
      <w:r w:rsidRPr="0079786F">
        <w:rPr>
          <w:sz w:val="22"/>
          <w:szCs w:val="22"/>
        </w:rPr>
        <w:t xml:space="preserve">V minulosti zaznamenaná okamžitá alebo </w:t>
      </w:r>
      <w:r w:rsidR="00E206BE">
        <w:rPr>
          <w:sz w:val="22"/>
          <w:szCs w:val="22"/>
        </w:rPr>
        <w:t>závažn</w:t>
      </w:r>
      <w:r w:rsidR="00E206BE" w:rsidRPr="0079786F">
        <w:rPr>
          <w:sz w:val="22"/>
          <w:szCs w:val="22"/>
        </w:rPr>
        <w:t xml:space="preserve">á </w:t>
      </w:r>
      <w:r w:rsidRPr="0079786F">
        <w:rPr>
          <w:sz w:val="22"/>
          <w:szCs w:val="22"/>
        </w:rPr>
        <w:t xml:space="preserve">reakcia precitlivenosti na penicilín alebo akékoľvek ďalšie beta-laktámové </w:t>
      </w:r>
      <w:r w:rsidR="00B16CB2">
        <w:rPr>
          <w:sz w:val="22"/>
          <w:szCs w:val="22"/>
        </w:rPr>
        <w:t>antibiotiká</w:t>
      </w:r>
      <w:r w:rsidR="00B16CB2" w:rsidRPr="0079786F">
        <w:rPr>
          <w:sz w:val="22"/>
          <w:szCs w:val="22"/>
        </w:rPr>
        <w:t xml:space="preserve"> </w:t>
      </w:r>
      <w:r w:rsidRPr="0079786F">
        <w:rPr>
          <w:sz w:val="22"/>
          <w:szCs w:val="22"/>
        </w:rPr>
        <w:t>(pozri časť 4.4).</w:t>
      </w:r>
    </w:p>
    <w:p w14:paraId="4D10DC0B" w14:textId="77777777" w:rsidR="00A94D41" w:rsidRPr="0079786F" w:rsidRDefault="00A94D41" w:rsidP="00B7315D">
      <w:pPr>
        <w:autoSpaceDE w:val="0"/>
        <w:autoSpaceDN w:val="0"/>
        <w:adjustRightInd w:val="0"/>
        <w:jc w:val="both"/>
        <w:rPr>
          <w:sz w:val="22"/>
          <w:szCs w:val="22"/>
        </w:rPr>
      </w:pPr>
    </w:p>
    <w:p w14:paraId="1AD67E58" w14:textId="77777777" w:rsidR="00A94D41" w:rsidRPr="0079786F" w:rsidRDefault="00A94D41" w:rsidP="00B7315D">
      <w:pPr>
        <w:pStyle w:val="knZulassung02"/>
        <w:ind w:left="567" w:right="-2" w:hanging="567"/>
        <w:jc w:val="both"/>
        <w:rPr>
          <w:rFonts w:ascii="Times New Roman" w:hAnsi="Times New Roman"/>
          <w:sz w:val="22"/>
          <w:szCs w:val="22"/>
          <w:lang w:val="sk-SK"/>
        </w:rPr>
      </w:pPr>
      <w:r w:rsidRPr="0079786F">
        <w:rPr>
          <w:rFonts w:ascii="Times New Roman" w:hAnsi="Times New Roman"/>
          <w:sz w:val="22"/>
          <w:szCs w:val="22"/>
          <w:lang w:val="sk-SK"/>
        </w:rPr>
        <w:t>Ceftriaxón je kontraindikovaný u:</w:t>
      </w:r>
    </w:p>
    <w:p w14:paraId="31B9C279" w14:textId="77777777" w:rsidR="00A94D41" w:rsidRPr="0007799E" w:rsidRDefault="00A94D41" w:rsidP="00B7315D">
      <w:pPr>
        <w:pStyle w:val="knZulassung02"/>
        <w:numPr>
          <w:ilvl w:val="0"/>
          <w:numId w:val="10"/>
        </w:numPr>
        <w:tabs>
          <w:tab w:val="num" w:pos="426"/>
        </w:tabs>
        <w:ind w:right="-2" w:hanging="720"/>
        <w:jc w:val="both"/>
        <w:rPr>
          <w:rFonts w:ascii="Times New Roman" w:hAnsi="Times New Roman"/>
          <w:sz w:val="22"/>
          <w:szCs w:val="22"/>
          <w:lang w:val="sk-SK"/>
        </w:rPr>
      </w:pPr>
      <w:r w:rsidRPr="0079786F">
        <w:rPr>
          <w:rFonts w:ascii="Times New Roman" w:hAnsi="Times New Roman"/>
          <w:sz w:val="22"/>
          <w:szCs w:val="22"/>
          <w:lang w:val="sk-SK"/>
        </w:rPr>
        <w:t xml:space="preserve">predčasne narodených detí </w:t>
      </w:r>
      <w:bookmarkStart w:id="2" w:name="_Hlk532104002"/>
      <w:r w:rsidRPr="0079786F">
        <w:rPr>
          <w:rFonts w:ascii="Times New Roman" w:hAnsi="Times New Roman"/>
          <w:sz w:val="22"/>
          <w:szCs w:val="22"/>
          <w:lang w:val="sk-SK"/>
        </w:rPr>
        <w:t xml:space="preserve">až do dosiahnutia 41 týždňov </w:t>
      </w:r>
      <w:r w:rsidRPr="005A3D64">
        <w:rPr>
          <w:rFonts w:ascii="Times New Roman" w:hAnsi="Times New Roman"/>
          <w:sz w:val="22"/>
          <w:szCs w:val="22"/>
          <w:lang w:val="sk-SK"/>
        </w:rPr>
        <w:t>(gestačné týždne + týždne života)</w:t>
      </w:r>
      <w:bookmarkEnd w:id="2"/>
      <w:r w:rsidR="00A01F6C" w:rsidRPr="005A3D64">
        <w:rPr>
          <w:rFonts w:ascii="Times New Roman" w:hAnsi="Times New Roman"/>
          <w:sz w:val="22"/>
          <w:szCs w:val="22"/>
          <w:lang w:val="sk-SK"/>
        </w:rPr>
        <w:t>*</w:t>
      </w:r>
      <w:r w:rsidRPr="0007799E">
        <w:rPr>
          <w:rFonts w:ascii="Times New Roman" w:hAnsi="Times New Roman"/>
          <w:sz w:val="22"/>
          <w:szCs w:val="22"/>
          <w:lang w:val="sk-SK"/>
        </w:rPr>
        <w:t>,</w:t>
      </w:r>
    </w:p>
    <w:p w14:paraId="3E6660E4" w14:textId="77777777" w:rsidR="00A94D41" w:rsidRPr="0079786F" w:rsidRDefault="00A94D41" w:rsidP="00B7315D">
      <w:pPr>
        <w:pStyle w:val="knZulassung02"/>
        <w:numPr>
          <w:ilvl w:val="0"/>
          <w:numId w:val="10"/>
        </w:numPr>
        <w:tabs>
          <w:tab w:val="num" w:pos="426"/>
        </w:tabs>
        <w:ind w:right="-2" w:hanging="720"/>
        <w:jc w:val="both"/>
        <w:rPr>
          <w:rFonts w:ascii="Times New Roman" w:hAnsi="Times New Roman"/>
          <w:sz w:val="22"/>
          <w:szCs w:val="22"/>
          <w:lang w:val="sk-SK"/>
        </w:rPr>
      </w:pPr>
      <w:r w:rsidRPr="0079786F">
        <w:rPr>
          <w:rFonts w:ascii="Times New Roman" w:hAnsi="Times New Roman"/>
          <w:sz w:val="22"/>
          <w:szCs w:val="22"/>
          <w:lang w:val="sk-SK"/>
        </w:rPr>
        <w:t>donosených novorodencov (do veku 28 dní)</w:t>
      </w:r>
    </w:p>
    <w:p w14:paraId="789FE8DC" w14:textId="77777777" w:rsidR="00A94D41" w:rsidRPr="0079786F" w:rsidRDefault="00A94D41" w:rsidP="00B7315D">
      <w:pPr>
        <w:pStyle w:val="knZulassung02"/>
        <w:numPr>
          <w:ilvl w:val="1"/>
          <w:numId w:val="10"/>
        </w:numPr>
        <w:tabs>
          <w:tab w:val="num" w:pos="993"/>
        </w:tabs>
        <w:ind w:left="993" w:right="-2" w:hanging="567"/>
        <w:jc w:val="both"/>
        <w:rPr>
          <w:rFonts w:ascii="Times New Roman" w:hAnsi="Times New Roman"/>
          <w:sz w:val="22"/>
          <w:szCs w:val="22"/>
          <w:lang w:val="sk-SK"/>
        </w:rPr>
      </w:pPr>
      <w:r w:rsidRPr="0079786F">
        <w:rPr>
          <w:rFonts w:ascii="Times New Roman" w:hAnsi="Times New Roman"/>
          <w:sz w:val="22"/>
          <w:szCs w:val="22"/>
          <w:lang w:val="sk-SK"/>
        </w:rPr>
        <w:t>so žltačkou alebo u tých, ktorí sú hypoalbuminemickí alebo acidotickí, pretože ide o stavy, pri ktorých dochádza k poruchám väzbovosti bilirubínu</w:t>
      </w:r>
    </w:p>
    <w:p w14:paraId="29B53E8D" w14:textId="77777777" w:rsidR="00A94D41" w:rsidRDefault="00A94D41" w:rsidP="00B7315D">
      <w:pPr>
        <w:pStyle w:val="knZulassung02"/>
        <w:numPr>
          <w:ilvl w:val="1"/>
          <w:numId w:val="10"/>
        </w:numPr>
        <w:tabs>
          <w:tab w:val="num" w:pos="993"/>
        </w:tabs>
        <w:ind w:left="993" w:right="-2" w:hanging="567"/>
        <w:jc w:val="both"/>
        <w:rPr>
          <w:rFonts w:ascii="Times New Roman" w:hAnsi="Times New Roman"/>
          <w:sz w:val="22"/>
          <w:szCs w:val="22"/>
          <w:lang w:val="sk-SK"/>
        </w:rPr>
      </w:pPr>
      <w:r w:rsidRPr="0079786F">
        <w:rPr>
          <w:rFonts w:ascii="Times New Roman" w:hAnsi="Times New Roman"/>
          <w:sz w:val="22"/>
          <w:szCs w:val="22"/>
          <w:lang w:val="sk-SK"/>
        </w:rPr>
        <w:t>ak je u nich nutná (alebo sa predpokladá, že bude nutná) i.v. liečba kalciom alebo infúziami obsahujúcimi kalcium kvôli riziku preci</w:t>
      </w:r>
      <w:smartTag w:uri="urn:schemas-microsoft-com:office:smarttags" w:element="PersonName">
        <w:r w:rsidRPr="0079786F">
          <w:rPr>
            <w:rFonts w:ascii="Times New Roman" w:hAnsi="Times New Roman"/>
            <w:sz w:val="22"/>
            <w:szCs w:val="22"/>
            <w:lang w:val="sk-SK"/>
          </w:rPr>
          <w:t>pit</w:t>
        </w:r>
      </w:smartTag>
      <w:r w:rsidRPr="0079786F">
        <w:rPr>
          <w:rFonts w:ascii="Times New Roman" w:hAnsi="Times New Roman"/>
          <w:sz w:val="22"/>
          <w:szCs w:val="22"/>
          <w:lang w:val="sk-SK"/>
        </w:rPr>
        <w:t>ácie ceftriaxónovo-kalciových solí (pozri časti 4.4, 4.8 a 6.2).</w:t>
      </w:r>
    </w:p>
    <w:p w14:paraId="292D802A" w14:textId="77777777" w:rsidR="00A01F6C" w:rsidRDefault="00A01F6C" w:rsidP="00B7315D">
      <w:pPr>
        <w:pStyle w:val="knZulassung02"/>
        <w:tabs>
          <w:tab w:val="num" w:pos="1440"/>
        </w:tabs>
        <w:ind w:left="0" w:right="-2"/>
        <w:jc w:val="both"/>
        <w:rPr>
          <w:rFonts w:ascii="Times New Roman" w:hAnsi="Times New Roman"/>
          <w:sz w:val="22"/>
          <w:szCs w:val="22"/>
          <w:lang w:val="sk-SK"/>
        </w:rPr>
      </w:pPr>
      <w:r w:rsidRPr="00A01F6C">
        <w:rPr>
          <w:rFonts w:ascii="Times New Roman" w:hAnsi="Times New Roman"/>
          <w:sz w:val="22"/>
          <w:szCs w:val="22"/>
          <w:lang w:val="sk-SK"/>
        </w:rPr>
        <w:t>*In vitro štúdie ukazujú, že ceftriaxón môže vytesňovať bilirubín z väzby na sérový albumín, čo vedie k možnému riziku bilirubínovej encefalopatie u týchto pacientov.</w:t>
      </w:r>
    </w:p>
    <w:p w14:paraId="519A9609" w14:textId="77777777" w:rsidR="00A01F6C" w:rsidRDefault="00A01F6C" w:rsidP="00B7315D">
      <w:pPr>
        <w:pStyle w:val="knZulassung02"/>
        <w:tabs>
          <w:tab w:val="num" w:pos="1440"/>
        </w:tabs>
        <w:ind w:left="0" w:right="-2"/>
        <w:jc w:val="both"/>
        <w:rPr>
          <w:rFonts w:ascii="Times New Roman" w:hAnsi="Times New Roman"/>
          <w:sz w:val="22"/>
          <w:szCs w:val="22"/>
          <w:lang w:val="sk-SK"/>
        </w:rPr>
      </w:pPr>
    </w:p>
    <w:p w14:paraId="327ABBC0" w14:textId="77777777" w:rsidR="00A01F6C" w:rsidRPr="00F64553" w:rsidRDefault="00A01F6C" w:rsidP="00B7315D">
      <w:pPr>
        <w:jc w:val="both"/>
        <w:rPr>
          <w:sz w:val="22"/>
          <w:szCs w:val="22"/>
          <w:lang w:eastAsia="en-US"/>
        </w:rPr>
      </w:pPr>
      <w:r w:rsidRPr="00F64553">
        <w:rPr>
          <w:sz w:val="22"/>
          <w:szCs w:val="22"/>
          <w:lang w:eastAsia="x-none"/>
        </w:rPr>
        <w:t>Pred intramuskulárnou injekciou ceftriaxónu, kde sa lidokaín používa ako rozpúšťadlo je potrebné vylúčiť aj kontraindikácie lidokaínu (pozri časť 4.4).</w:t>
      </w:r>
      <w:r w:rsidRPr="00F64553">
        <w:rPr>
          <w:sz w:val="22"/>
          <w:szCs w:val="22"/>
          <w:lang w:eastAsia="en-US"/>
        </w:rPr>
        <w:t xml:space="preserve"> </w:t>
      </w:r>
      <w:r>
        <w:rPr>
          <w:sz w:val="22"/>
          <w:szCs w:val="22"/>
          <w:lang w:eastAsia="en-US"/>
        </w:rPr>
        <w:t>Pozrite informácie uvedené v Súhrne charakteristických vlastností lieku pre lidokaín, hlavne kontraindikácie.</w:t>
      </w:r>
    </w:p>
    <w:p w14:paraId="29817E7B" w14:textId="77777777" w:rsidR="00A01F6C" w:rsidRDefault="00A01F6C" w:rsidP="00B7315D">
      <w:pPr>
        <w:tabs>
          <w:tab w:val="left" w:pos="567"/>
        </w:tabs>
        <w:spacing w:line="260" w:lineRule="exact"/>
        <w:jc w:val="both"/>
        <w:rPr>
          <w:sz w:val="22"/>
          <w:szCs w:val="22"/>
          <w:lang w:eastAsia="en-US"/>
        </w:rPr>
      </w:pPr>
      <w:r w:rsidRPr="00F64553">
        <w:rPr>
          <w:sz w:val="22"/>
          <w:szCs w:val="22"/>
          <w:lang w:eastAsia="en-US"/>
        </w:rPr>
        <w:t>Roztoky ceft</w:t>
      </w:r>
      <w:r>
        <w:rPr>
          <w:sz w:val="22"/>
          <w:szCs w:val="22"/>
          <w:lang w:eastAsia="en-US"/>
        </w:rPr>
        <w:t>r</w:t>
      </w:r>
      <w:r w:rsidRPr="00F64553">
        <w:rPr>
          <w:sz w:val="22"/>
          <w:szCs w:val="22"/>
          <w:lang w:eastAsia="en-US"/>
        </w:rPr>
        <w:t xml:space="preserve">iaxónu obsahujúce lidokaín sa nesmú </w:t>
      </w:r>
      <w:r>
        <w:rPr>
          <w:sz w:val="22"/>
          <w:szCs w:val="22"/>
          <w:lang w:eastAsia="en-US"/>
        </w:rPr>
        <w:t xml:space="preserve">nikdy </w:t>
      </w:r>
      <w:r w:rsidRPr="00F64553">
        <w:rPr>
          <w:sz w:val="22"/>
          <w:szCs w:val="22"/>
          <w:lang w:eastAsia="en-US"/>
        </w:rPr>
        <w:t>podávať intravenózne.</w:t>
      </w:r>
    </w:p>
    <w:p w14:paraId="4B590DF1" w14:textId="77777777" w:rsidR="00A94D41" w:rsidRPr="0079786F" w:rsidRDefault="00A94D41" w:rsidP="00B7315D">
      <w:pPr>
        <w:pStyle w:val="knZulassung02"/>
        <w:ind w:left="0" w:right="-1"/>
        <w:jc w:val="both"/>
        <w:rPr>
          <w:rFonts w:ascii="Times New Roman" w:hAnsi="Times New Roman"/>
          <w:sz w:val="22"/>
          <w:szCs w:val="22"/>
          <w:lang w:val="sk-SK"/>
        </w:rPr>
      </w:pPr>
    </w:p>
    <w:p w14:paraId="3278A0F5" w14:textId="77777777" w:rsidR="00A94D41" w:rsidRPr="0079786F" w:rsidRDefault="00A94D41" w:rsidP="00B7315D">
      <w:pPr>
        <w:jc w:val="both"/>
        <w:rPr>
          <w:sz w:val="22"/>
          <w:szCs w:val="22"/>
        </w:rPr>
      </w:pPr>
      <w:r w:rsidRPr="0079786F">
        <w:rPr>
          <w:b/>
          <w:sz w:val="22"/>
          <w:szCs w:val="22"/>
        </w:rPr>
        <w:t>4.4</w:t>
      </w:r>
      <w:r w:rsidRPr="0079786F">
        <w:rPr>
          <w:b/>
          <w:sz w:val="22"/>
          <w:szCs w:val="22"/>
        </w:rPr>
        <w:tab/>
        <w:t>Osobitné upozornenia a opatrenia pri používaní</w:t>
      </w:r>
    </w:p>
    <w:p w14:paraId="58C398A4" w14:textId="77777777" w:rsidR="00A94D41" w:rsidRPr="0079786F" w:rsidRDefault="00A94D41" w:rsidP="00B7315D">
      <w:pPr>
        <w:pStyle w:val="knZulassung02"/>
        <w:ind w:left="0" w:right="-1"/>
        <w:jc w:val="both"/>
        <w:rPr>
          <w:rFonts w:ascii="Times New Roman" w:hAnsi="Times New Roman"/>
          <w:sz w:val="22"/>
          <w:szCs w:val="22"/>
          <w:lang w:val="sk-SK"/>
        </w:rPr>
      </w:pPr>
    </w:p>
    <w:p w14:paraId="62C3A9E9" w14:textId="77777777" w:rsidR="00A94D41" w:rsidRPr="0079786F" w:rsidRDefault="00A94D41" w:rsidP="00B7315D">
      <w:pPr>
        <w:pStyle w:val="knZulassung02"/>
        <w:ind w:left="0" w:right="-1"/>
        <w:jc w:val="both"/>
        <w:rPr>
          <w:rFonts w:ascii="Times New Roman" w:hAnsi="Times New Roman"/>
          <w:sz w:val="22"/>
          <w:szCs w:val="22"/>
          <w:lang w:val="sk-SK"/>
        </w:rPr>
      </w:pPr>
      <w:r w:rsidRPr="0079786F">
        <w:rPr>
          <w:rFonts w:ascii="Times New Roman" w:hAnsi="Times New Roman"/>
          <w:sz w:val="22"/>
          <w:szCs w:val="22"/>
          <w:lang w:val="sk-SK"/>
        </w:rPr>
        <w:t xml:space="preserve">Môžu sa vyskytnúť reakcie precitlivenosti všetkých stupňov závažnosti až po anafylaktický šok (pozri časť 4.8). </w:t>
      </w:r>
    </w:p>
    <w:p w14:paraId="075A43CA" w14:textId="77777777" w:rsidR="00BC394F" w:rsidRDefault="00BC394F" w:rsidP="00B7315D">
      <w:pPr>
        <w:pStyle w:val="knZulassung02"/>
        <w:ind w:left="0" w:right="-1"/>
        <w:jc w:val="both"/>
        <w:rPr>
          <w:rFonts w:ascii="Times New Roman" w:hAnsi="Times New Roman"/>
          <w:i/>
          <w:sz w:val="22"/>
          <w:szCs w:val="22"/>
          <w:u w:val="single"/>
          <w:lang w:val="sk-SK"/>
        </w:rPr>
      </w:pPr>
    </w:p>
    <w:p w14:paraId="2CE73E54" w14:textId="77777777" w:rsidR="00A94D41" w:rsidRPr="0079786F" w:rsidRDefault="00A94D41" w:rsidP="00B7315D">
      <w:pPr>
        <w:pStyle w:val="knZulassung02"/>
        <w:ind w:left="0" w:right="-1"/>
        <w:jc w:val="both"/>
        <w:rPr>
          <w:rFonts w:ascii="Times New Roman" w:hAnsi="Times New Roman"/>
          <w:i/>
          <w:sz w:val="22"/>
          <w:szCs w:val="22"/>
          <w:u w:val="single"/>
          <w:lang w:val="sk-SK"/>
        </w:rPr>
      </w:pPr>
      <w:r>
        <w:rPr>
          <w:rFonts w:ascii="Times New Roman" w:hAnsi="Times New Roman"/>
          <w:i/>
          <w:sz w:val="22"/>
          <w:szCs w:val="22"/>
          <w:u w:val="single"/>
          <w:lang w:val="sk-SK"/>
        </w:rPr>
        <w:t>Pediatrická populácia</w:t>
      </w:r>
    </w:p>
    <w:p w14:paraId="3E4EDADB" w14:textId="77777777" w:rsidR="00A94D41" w:rsidRPr="0079786F" w:rsidRDefault="00A94D41" w:rsidP="00B7315D">
      <w:pPr>
        <w:autoSpaceDE w:val="0"/>
        <w:autoSpaceDN w:val="0"/>
        <w:adjustRightInd w:val="0"/>
        <w:jc w:val="both"/>
        <w:rPr>
          <w:sz w:val="22"/>
          <w:szCs w:val="22"/>
        </w:rPr>
      </w:pPr>
      <w:r w:rsidRPr="0079786F">
        <w:rPr>
          <w:sz w:val="22"/>
          <w:szCs w:val="22"/>
        </w:rPr>
        <w:t xml:space="preserve">Ceftriaxón sa môže vyzrážať v žlčníku a obličkách a vtedy je detekovateľný v podobe tieňov na ultrazvuku (pozri časť 4.8). To sa môže vyskytnúť u pacientov každého veku, ale s vyššou pravdepodobnosťou u dojčiat a malých detí, ktoré obyčajne dostanú väčšiu dávku ceftriaxónu vzhľadom na telesnú hmotnosť. </w:t>
      </w:r>
    </w:p>
    <w:p w14:paraId="722EE231" w14:textId="77777777" w:rsidR="00A94D41" w:rsidRPr="0079786F" w:rsidRDefault="00A94D41" w:rsidP="00B7315D">
      <w:pPr>
        <w:autoSpaceDE w:val="0"/>
        <w:autoSpaceDN w:val="0"/>
        <w:adjustRightInd w:val="0"/>
        <w:jc w:val="both"/>
        <w:rPr>
          <w:sz w:val="22"/>
          <w:szCs w:val="22"/>
        </w:rPr>
      </w:pPr>
      <w:r w:rsidRPr="0079786F">
        <w:rPr>
          <w:sz w:val="22"/>
          <w:szCs w:val="22"/>
        </w:rPr>
        <w:t>U detí sa treba vyhýbať dávkam vyšším ako 80mg/kg telesnej hmotnosti – okrem indikácie pri meningitíde – kvôli zvýšenému riziku tvorby biliárnych preci</w:t>
      </w:r>
      <w:smartTag w:uri="urn:schemas-microsoft-com:office:smarttags" w:element="PersonName">
        <w:r w:rsidRPr="0079786F">
          <w:rPr>
            <w:sz w:val="22"/>
            <w:szCs w:val="22"/>
          </w:rPr>
          <w:t>pit</w:t>
        </w:r>
      </w:smartTag>
      <w:r w:rsidRPr="0079786F">
        <w:rPr>
          <w:sz w:val="22"/>
          <w:szCs w:val="22"/>
        </w:rPr>
        <w:t>átov. Hoci v skutočnosti nie je jednoznačný dôkaz o vývoji žlčníkových kameňov alebo akútnej cholecystitídy u detí alebo novorodencov liečených ceftriaxónom, odporúča sa pri výskyte preci</w:t>
      </w:r>
      <w:smartTag w:uri="urn:schemas-microsoft-com:office:smarttags" w:element="PersonName">
        <w:r w:rsidRPr="0079786F">
          <w:rPr>
            <w:sz w:val="22"/>
            <w:szCs w:val="22"/>
          </w:rPr>
          <w:t>pit</w:t>
        </w:r>
      </w:smartTag>
      <w:r w:rsidRPr="0079786F">
        <w:rPr>
          <w:sz w:val="22"/>
          <w:szCs w:val="22"/>
        </w:rPr>
        <w:t>átov ceftriaxónu v žlčníku konzervatívny postup (pozri tiež časť 4.8).</w:t>
      </w:r>
    </w:p>
    <w:p w14:paraId="03F68589" w14:textId="6CB8C9B4" w:rsidR="0007799E" w:rsidRPr="0079786F" w:rsidRDefault="0007799E" w:rsidP="00B7315D">
      <w:pPr>
        <w:autoSpaceDE w:val="0"/>
        <w:autoSpaceDN w:val="0"/>
        <w:adjustRightInd w:val="0"/>
        <w:jc w:val="both"/>
        <w:rPr>
          <w:sz w:val="22"/>
          <w:szCs w:val="22"/>
        </w:rPr>
      </w:pPr>
      <w:r w:rsidRPr="0079786F">
        <w:rPr>
          <w:sz w:val="22"/>
          <w:szCs w:val="22"/>
        </w:rPr>
        <w:t xml:space="preserve">Pacienti s rizikovými faktormi pre stázu žlče/žlčovým kalom, napr. pred nasadením hlavnej </w:t>
      </w:r>
      <w:r>
        <w:rPr>
          <w:sz w:val="22"/>
          <w:szCs w:val="22"/>
        </w:rPr>
        <w:t>liečby</w:t>
      </w:r>
      <w:r w:rsidRPr="0079786F">
        <w:rPr>
          <w:sz w:val="22"/>
          <w:szCs w:val="22"/>
        </w:rPr>
        <w:t>, závažným ochorením a úplnou parenterálnou výživou, majú zvýšené riziko pankreatitídy (pozri tiež časť 4.8). Úloha ceftriaxónu ako spúšťača preci</w:t>
      </w:r>
      <w:smartTag w:uri="urn:schemas-microsoft-com:office:smarttags" w:element="PersonName">
        <w:r w:rsidRPr="0079786F">
          <w:rPr>
            <w:sz w:val="22"/>
            <w:szCs w:val="22"/>
          </w:rPr>
          <w:t>pit</w:t>
        </w:r>
      </w:smartTag>
      <w:r w:rsidRPr="0079786F">
        <w:rPr>
          <w:sz w:val="22"/>
          <w:szCs w:val="22"/>
        </w:rPr>
        <w:t>ácie žlče nemôže byť potvrdená.</w:t>
      </w:r>
    </w:p>
    <w:p w14:paraId="0BA85B74" w14:textId="77777777" w:rsidR="00A94D41" w:rsidRDefault="00A94D41" w:rsidP="00B7315D">
      <w:pPr>
        <w:autoSpaceDE w:val="0"/>
        <w:autoSpaceDN w:val="0"/>
        <w:adjustRightInd w:val="0"/>
        <w:jc w:val="both"/>
        <w:rPr>
          <w:sz w:val="22"/>
          <w:szCs w:val="22"/>
        </w:rPr>
      </w:pPr>
    </w:p>
    <w:p w14:paraId="6BC23440" w14:textId="1A868CD9" w:rsidR="00B7315D" w:rsidRPr="006552D6" w:rsidRDefault="00B7315D" w:rsidP="00B7315D">
      <w:pPr>
        <w:autoSpaceDE w:val="0"/>
        <w:autoSpaceDN w:val="0"/>
        <w:adjustRightInd w:val="0"/>
        <w:jc w:val="both"/>
        <w:rPr>
          <w:i/>
          <w:iCs/>
          <w:sz w:val="22"/>
          <w:szCs w:val="22"/>
          <w:u w:val="single"/>
        </w:rPr>
      </w:pPr>
      <w:r w:rsidRPr="006552D6">
        <w:rPr>
          <w:i/>
          <w:iCs/>
          <w:sz w:val="22"/>
          <w:szCs w:val="22"/>
          <w:u w:val="single"/>
        </w:rPr>
        <w:t>Reakcie z precitlivenosti</w:t>
      </w:r>
    </w:p>
    <w:p w14:paraId="0F9F9C50" w14:textId="77777777" w:rsidR="00B7315D" w:rsidRPr="00234729" w:rsidRDefault="00B7315D" w:rsidP="00B7315D">
      <w:pPr>
        <w:autoSpaceDE w:val="0"/>
        <w:autoSpaceDN w:val="0"/>
        <w:adjustRightInd w:val="0"/>
        <w:jc w:val="both"/>
        <w:rPr>
          <w:sz w:val="22"/>
          <w:szCs w:val="22"/>
        </w:rPr>
      </w:pPr>
    </w:p>
    <w:p w14:paraId="36D61C2D" w14:textId="1E6A64AD" w:rsidR="00B7315D" w:rsidRPr="00234729" w:rsidRDefault="00B7315D" w:rsidP="00B7315D">
      <w:pPr>
        <w:autoSpaceDE w:val="0"/>
        <w:autoSpaceDN w:val="0"/>
        <w:adjustRightInd w:val="0"/>
        <w:jc w:val="both"/>
        <w:rPr>
          <w:bCs/>
          <w:sz w:val="22"/>
          <w:szCs w:val="22"/>
        </w:rPr>
      </w:pPr>
      <w:r w:rsidRPr="00BF1376">
        <w:rPr>
          <w:bCs/>
          <w:sz w:val="22"/>
          <w:szCs w:val="22"/>
        </w:rPr>
        <w:t>V súvislosti s liečbou ceftriaxónu</w:t>
      </w:r>
      <w:r w:rsidRPr="00234729">
        <w:rPr>
          <w:bCs/>
          <w:sz w:val="22"/>
          <w:szCs w:val="22"/>
        </w:rPr>
        <w:t xml:space="preserve"> boli hlásené závažné kožné reakcie (Stevensov-Johnsonov syndróm alebo Lyellov syndróm/toxická epidermálna nekrolýza </w:t>
      </w:r>
      <w:r w:rsidRPr="00BF1376">
        <w:rPr>
          <w:bCs/>
          <w:sz w:val="22"/>
          <w:szCs w:val="22"/>
        </w:rPr>
        <w:t>a lieková reakcia s eozinofíliou a systémovými príznakmi (drug reaction with eosinophillia and system</w:t>
      </w:r>
      <w:r w:rsidR="003F6067" w:rsidRPr="00BF1376">
        <w:rPr>
          <w:bCs/>
          <w:sz w:val="22"/>
          <w:szCs w:val="22"/>
        </w:rPr>
        <w:t xml:space="preserve">ic symptoms, DRESS)), ktoré môžu byť život ohrozujúce alebo fatálne, </w:t>
      </w:r>
      <w:r w:rsidR="003F6067" w:rsidRPr="00234729">
        <w:rPr>
          <w:bCs/>
          <w:sz w:val="22"/>
          <w:szCs w:val="22"/>
        </w:rPr>
        <w:t>a</w:t>
      </w:r>
      <w:r w:rsidR="00845497" w:rsidRPr="00234729">
        <w:rPr>
          <w:bCs/>
          <w:sz w:val="22"/>
          <w:szCs w:val="22"/>
        </w:rPr>
        <w:t>v</w:t>
      </w:r>
      <w:r w:rsidR="003F6067" w:rsidRPr="00234729">
        <w:rPr>
          <w:bCs/>
          <w:sz w:val="22"/>
          <w:szCs w:val="22"/>
        </w:rPr>
        <w:t>šak frekvencia týchto udalostí je neznáma (pozri časť 4.8).</w:t>
      </w:r>
    </w:p>
    <w:p w14:paraId="7CC592F0" w14:textId="77777777" w:rsidR="003F6067" w:rsidRPr="00234729" w:rsidRDefault="003F6067" w:rsidP="00B7315D">
      <w:pPr>
        <w:autoSpaceDE w:val="0"/>
        <w:autoSpaceDN w:val="0"/>
        <w:adjustRightInd w:val="0"/>
        <w:jc w:val="both"/>
        <w:rPr>
          <w:bCs/>
          <w:sz w:val="22"/>
          <w:szCs w:val="22"/>
        </w:rPr>
      </w:pPr>
    </w:p>
    <w:p w14:paraId="7FFAABD1" w14:textId="77777777" w:rsidR="00562F97" w:rsidRDefault="00562F97" w:rsidP="00B7315D">
      <w:pPr>
        <w:autoSpaceDE w:val="0"/>
        <w:autoSpaceDN w:val="0"/>
        <w:adjustRightInd w:val="0"/>
        <w:jc w:val="both"/>
        <w:rPr>
          <w:bCs/>
          <w:i/>
          <w:iCs/>
          <w:sz w:val="22"/>
          <w:szCs w:val="22"/>
        </w:rPr>
      </w:pPr>
    </w:p>
    <w:p w14:paraId="4E9E8057" w14:textId="77777777" w:rsidR="00562F97" w:rsidRDefault="00562F97" w:rsidP="00B7315D">
      <w:pPr>
        <w:autoSpaceDE w:val="0"/>
        <w:autoSpaceDN w:val="0"/>
        <w:adjustRightInd w:val="0"/>
        <w:jc w:val="both"/>
        <w:rPr>
          <w:bCs/>
          <w:i/>
          <w:iCs/>
          <w:sz w:val="22"/>
          <w:szCs w:val="22"/>
        </w:rPr>
      </w:pPr>
    </w:p>
    <w:p w14:paraId="31AE568F" w14:textId="77777777" w:rsidR="00562F97" w:rsidRDefault="00562F97" w:rsidP="00B7315D">
      <w:pPr>
        <w:autoSpaceDE w:val="0"/>
        <w:autoSpaceDN w:val="0"/>
        <w:adjustRightInd w:val="0"/>
        <w:jc w:val="both"/>
        <w:rPr>
          <w:bCs/>
          <w:i/>
          <w:iCs/>
          <w:sz w:val="22"/>
          <w:szCs w:val="22"/>
        </w:rPr>
      </w:pPr>
    </w:p>
    <w:p w14:paraId="42A2ED89" w14:textId="56959B1B" w:rsidR="003F6067" w:rsidRPr="006552D6" w:rsidRDefault="003F6067" w:rsidP="00B7315D">
      <w:pPr>
        <w:autoSpaceDE w:val="0"/>
        <w:autoSpaceDN w:val="0"/>
        <w:adjustRightInd w:val="0"/>
        <w:jc w:val="both"/>
        <w:rPr>
          <w:bCs/>
          <w:i/>
          <w:iCs/>
          <w:sz w:val="22"/>
          <w:szCs w:val="22"/>
          <w:u w:val="single"/>
        </w:rPr>
      </w:pPr>
      <w:r w:rsidRPr="006552D6">
        <w:rPr>
          <w:bCs/>
          <w:i/>
          <w:iCs/>
          <w:sz w:val="22"/>
          <w:szCs w:val="22"/>
          <w:u w:val="single"/>
        </w:rPr>
        <w:lastRenderedPageBreak/>
        <w:t>Jarischova-Herxheimerova reakcia (JHR)</w:t>
      </w:r>
      <w:bookmarkStart w:id="3" w:name="_GoBack"/>
      <w:bookmarkEnd w:id="3"/>
    </w:p>
    <w:p w14:paraId="7F7F6D6B" w14:textId="77777777" w:rsidR="003F6067" w:rsidRPr="00234729" w:rsidRDefault="003F6067" w:rsidP="00B7315D">
      <w:pPr>
        <w:autoSpaceDE w:val="0"/>
        <w:autoSpaceDN w:val="0"/>
        <w:adjustRightInd w:val="0"/>
        <w:jc w:val="both"/>
        <w:rPr>
          <w:bCs/>
          <w:sz w:val="22"/>
          <w:szCs w:val="22"/>
        </w:rPr>
      </w:pPr>
    </w:p>
    <w:p w14:paraId="446C30C0" w14:textId="6EF1A36B" w:rsidR="003F6067" w:rsidRPr="00234729" w:rsidRDefault="003F6067" w:rsidP="00B7315D">
      <w:pPr>
        <w:autoSpaceDE w:val="0"/>
        <w:autoSpaceDN w:val="0"/>
        <w:adjustRightInd w:val="0"/>
        <w:jc w:val="both"/>
        <w:rPr>
          <w:bCs/>
          <w:sz w:val="22"/>
          <w:szCs w:val="22"/>
        </w:rPr>
      </w:pPr>
      <w:r w:rsidRPr="00BF1376">
        <w:rPr>
          <w:bCs/>
          <w:sz w:val="22"/>
          <w:szCs w:val="22"/>
        </w:rPr>
        <w:t>U niektorých pacientov so spirochétovými infekciami sa môže krátko po začatí liečby ceftriaxónom vyskytnúť Jarischova-Herxheimerova reakcia (JHR). JHR je zvyčajne samoregulačný stav (ustúpi bez liečby) alebo sa môže liečiť sy</w:t>
      </w:r>
      <w:r w:rsidR="00C03BE8" w:rsidRPr="00BF1376">
        <w:rPr>
          <w:bCs/>
          <w:sz w:val="22"/>
          <w:szCs w:val="22"/>
        </w:rPr>
        <w:t>mptomaticky. Ak sa táto reakcia vyskytne, liečba antibiotikami sa nemá prerušiť.</w:t>
      </w:r>
    </w:p>
    <w:p w14:paraId="145B5A30" w14:textId="77777777" w:rsidR="00B7315D" w:rsidRPr="0079786F" w:rsidRDefault="00B7315D" w:rsidP="00B7315D">
      <w:pPr>
        <w:autoSpaceDE w:val="0"/>
        <w:autoSpaceDN w:val="0"/>
        <w:adjustRightInd w:val="0"/>
        <w:jc w:val="both"/>
        <w:rPr>
          <w:sz w:val="22"/>
          <w:szCs w:val="22"/>
        </w:rPr>
      </w:pPr>
    </w:p>
    <w:p w14:paraId="54C9291C" w14:textId="77777777" w:rsidR="00A94D41" w:rsidRPr="0079786F" w:rsidRDefault="00A94D41" w:rsidP="00B7315D">
      <w:pPr>
        <w:autoSpaceDE w:val="0"/>
        <w:autoSpaceDN w:val="0"/>
        <w:adjustRightInd w:val="0"/>
        <w:jc w:val="both"/>
        <w:rPr>
          <w:b/>
          <w:i/>
          <w:sz w:val="22"/>
          <w:szCs w:val="22"/>
        </w:rPr>
      </w:pPr>
      <w:r w:rsidRPr="0079786F">
        <w:rPr>
          <w:b/>
          <w:i/>
          <w:sz w:val="22"/>
          <w:szCs w:val="22"/>
        </w:rPr>
        <w:t>Interakcie s prípravkami obsahujúcimi kalcium</w:t>
      </w:r>
    </w:p>
    <w:p w14:paraId="443B0B50" w14:textId="77777777" w:rsidR="00A94D41" w:rsidRPr="0079786F" w:rsidRDefault="00A94D41" w:rsidP="00B7315D">
      <w:pPr>
        <w:jc w:val="both"/>
        <w:rPr>
          <w:sz w:val="22"/>
          <w:szCs w:val="22"/>
        </w:rPr>
      </w:pPr>
      <w:r w:rsidRPr="0079786F">
        <w:rPr>
          <w:sz w:val="22"/>
          <w:szCs w:val="22"/>
        </w:rPr>
        <w:t>Boli popísané prípady fatálnych výskytov preci</w:t>
      </w:r>
      <w:smartTag w:uri="urn:schemas-microsoft-com:office:smarttags" w:element="PersonName">
        <w:r w:rsidRPr="0079786F">
          <w:rPr>
            <w:sz w:val="22"/>
            <w:szCs w:val="22"/>
          </w:rPr>
          <w:t>pit</w:t>
        </w:r>
      </w:smartTag>
      <w:r w:rsidRPr="0079786F">
        <w:rPr>
          <w:sz w:val="22"/>
          <w:szCs w:val="22"/>
        </w:rPr>
        <w:t>átov ceftriaxónu a kalcia v pľúcach a obličkách u nedonosených novorodencov mladších než 1 mesiac. Najmenej jeden z nich dostal ceftriaxón a kalcium v iný čas a inou intravenóznou cestou. Prípady intravaskulárnej preci</w:t>
      </w:r>
      <w:smartTag w:uri="urn:schemas-microsoft-com:office:smarttags" w:element="PersonName">
        <w:r w:rsidRPr="0079786F">
          <w:rPr>
            <w:sz w:val="22"/>
            <w:szCs w:val="22"/>
          </w:rPr>
          <w:t>pit</w:t>
        </w:r>
      </w:smartTag>
      <w:r w:rsidRPr="0079786F">
        <w:rPr>
          <w:sz w:val="22"/>
          <w:szCs w:val="22"/>
        </w:rPr>
        <w:t>ácie u iných pacientov než u novorodencov liečených ceftriaxónom a roztokmi obsahujúcimi kalcium, či inými prípravkami s obsahom kalcia neboli z dostupných vedeckých údajov potvrdené. Výsledky in vitro štúdií ukázali, že novorodenci majú v porovnaní s ostatnými vekovými skupinami zvýšené riziko vzniku týchto preci</w:t>
      </w:r>
      <w:smartTag w:uri="urn:schemas-microsoft-com:office:smarttags" w:element="PersonName">
        <w:r w:rsidRPr="0079786F">
          <w:rPr>
            <w:sz w:val="22"/>
            <w:szCs w:val="22"/>
          </w:rPr>
          <w:t>pit</w:t>
        </w:r>
      </w:smartTag>
      <w:r w:rsidRPr="0079786F">
        <w:rPr>
          <w:sz w:val="22"/>
          <w:szCs w:val="22"/>
        </w:rPr>
        <w:t>átov.</w:t>
      </w:r>
    </w:p>
    <w:p w14:paraId="282DC45F" w14:textId="77777777" w:rsidR="00A94D41" w:rsidRPr="0079786F" w:rsidRDefault="00A94D41" w:rsidP="00B7315D">
      <w:pPr>
        <w:jc w:val="both"/>
        <w:rPr>
          <w:sz w:val="22"/>
          <w:szCs w:val="22"/>
          <w:lang w:eastAsia="de-DE"/>
        </w:rPr>
      </w:pPr>
      <w:r w:rsidRPr="0079786F">
        <w:rPr>
          <w:sz w:val="22"/>
          <w:szCs w:val="22"/>
          <w:lang w:eastAsia="de-DE"/>
        </w:rPr>
        <w:t>Ceftriaxón sa nesmie miešať či podávať zároveň s akýmkoľvek intravenóznym roztokom obsahujúcim kalcium, a to ani v rozdielnych infúznych linkách alebo na rôznych miestach a to u všetkých pacientov bez ohľadu na vek. Avšak u pacientov starších ako 28 dní je možné ceftriaxón a roztoky obsahujúce kalcium podávať následne jeden po druhom za predpokladu, že sa budú podávať infúznymi linkami na odlišných miestach alebo po výmene infúzneho setu, či po dôkladnom prepláchnutí infúzneho setu fyziologickým roztokom medzi jednotlivými infúziami, aby sa zabránilo vzniku preci</w:t>
      </w:r>
      <w:smartTag w:uri="urn:schemas-microsoft-com:office:smarttags" w:element="PersonName">
        <w:r w:rsidRPr="0079786F">
          <w:rPr>
            <w:sz w:val="22"/>
            <w:szCs w:val="22"/>
            <w:lang w:eastAsia="de-DE"/>
          </w:rPr>
          <w:t>pit</w:t>
        </w:r>
      </w:smartTag>
      <w:r w:rsidRPr="0079786F">
        <w:rPr>
          <w:sz w:val="22"/>
          <w:szCs w:val="22"/>
          <w:lang w:eastAsia="de-DE"/>
        </w:rPr>
        <w:t>átov. U pacientov vyžadujúcich kontinuálnu infúziu roztokov totálnej parenterálenj výživy (TPV) obsahujúcich kalcium, môže ošetrujúci lekár zvážiť podanie alternatívnej bakteriálnej terapie, ktorá so sebou nenesie riziko vzniku preci</w:t>
      </w:r>
      <w:smartTag w:uri="urn:schemas-microsoft-com:office:smarttags" w:element="PersonName">
        <w:r w:rsidRPr="0079786F">
          <w:rPr>
            <w:sz w:val="22"/>
            <w:szCs w:val="22"/>
            <w:lang w:eastAsia="de-DE"/>
          </w:rPr>
          <w:t>pit</w:t>
        </w:r>
      </w:smartTag>
      <w:r w:rsidRPr="0079786F">
        <w:rPr>
          <w:sz w:val="22"/>
          <w:szCs w:val="22"/>
          <w:lang w:eastAsia="de-DE"/>
        </w:rPr>
        <w:t xml:space="preserve">átov. Pokiaľ sa podanie ceftriaxónu u takýchto pacientov považuje za nevyhnutné, môžu byť ceftriaxón a roztoky totálnej parenterálnej výživy podané súčasne, avšak odlišnými infúznymi linkami na odlišných miestach. Inou možnosťou je pozastavenie infúzie TPV po dobu podávania ceftriaxónu a následne prepláchnuť infúzne linky medzi obidvomi infúziami (pozri časť 4.3, 4.8, 5.2 a 6.2).  </w:t>
      </w:r>
    </w:p>
    <w:p w14:paraId="7ED32ED9" w14:textId="77777777" w:rsidR="00A94D41" w:rsidRPr="0079786F" w:rsidRDefault="00A94D41" w:rsidP="00B7315D">
      <w:pPr>
        <w:pStyle w:val="knZulassung02"/>
        <w:ind w:left="0" w:right="-1"/>
        <w:jc w:val="both"/>
        <w:rPr>
          <w:rFonts w:ascii="Times New Roman" w:hAnsi="Times New Roman"/>
          <w:sz w:val="22"/>
          <w:szCs w:val="22"/>
          <w:lang w:val="sk-SK"/>
        </w:rPr>
      </w:pPr>
    </w:p>
    <w:p w14:paraId="06B93FD5" w14:textId="77777777" w:rsidR="00A94D41" w:rsidRPr="0079786F" w:rsidRDefault="00A94D41" w:rsidP="00B7315D">
      <w:pPr>
        <w:pStyle w:val="knZulassung02"/>
        <w:ind w:left="0" w:right="-1"/>
        <w:jc w:val="both"/>
        <w:rPr>
          <w:rFonts w:ascii="Times New Roman" w:hAnsi="Times New Roman"/>
          <w:sz w:val="22"/>
          <w:szCs w:val="22"/>
          <w:lang w:val="sk-SK"/>
        </w:rPr>
      </w:pPr>
      <w:r w:rsidRPr="0079786F">
        <w:rPr>
          <w:rFonts w:ascii="Times New Roman" w:hAnsi="Times New Roman"/>
          <w:sz w:val="22"/>
          <w:szCs w:val="22"/>
          <w:lang w:val="sk-SK"/>
        </w:rPr>
        <w:t xml:space="preserve">Osobitnú pozornosť vyžaduje rozpoznanie ktoréhokoľvek typu reakcií precitlivenosti na penicilín alebo iné beta-laktámové </w:t>
      </w:r>
      <w:r w:rsidR="00162E61">
        <w:rPr>
          <w:rFonts w:ascii="Times New Roman" w:hAnsi="Times New Roman"/>
          <w:sz w:val="22"/>
          <w:szCs w:val="22"/>
          <w:lang w:val="sk-SK"/>
        </w:rPr>
        <w:t>antibiotiká</w:t>
      </w:r>
      <w:r w:rsidR="00162E61" w:rsidRPr="0079786F">
        <w:rPr>
          <w:rFonts w:ascii="Times New Roman" w:hAnsi="Times New Roman"/>
          <w:sz w:val="22"/>
          <w:szCs w:val="22"/>
          <w:lang w:val="sk-SK"/>
        </w:rPr>
        <w:t xml:space="preserve"> </w:t>
      </w:r>
      <w:r w:rsidRPr="0079786F">
        <w:rPr>
          <w:rFonts w:ascii="Times New Roman" w:hAnsi="Times New Roman"/>
          <w:sz w:val="22"/>
          <w:szCs w:val="22"/>
          <w:lang w:val="sk-SK"/>
        </w:rPr>
        <w:t>v minulosti kvôli možnej skríženej alergii.</w:t>
      </w:r>
    </w:p>
    <w:p w14:paraId="0BD291BE" w14:textId="77777777" w:rsidR="00A94D41" w:rsidRPr="0079786F" w:rsidRDefault="00A94D41" w:rsidP="00B7315D">
      <w:pPr>
        <w:autoSpaceDE w:val="0"/>
        <w:autoSpaceDN w:val="0"/>
        <w:adjustRightInd w:val="0"/>
        <w:jc w:val="both"/>
        <w:rPr>
          <w:sz w:val="22"/>
          <w:szCs w:val="22"/>
        </w:rPr>
      </w:pPr>
      <w:r w:rsidRPr="0079786F">
        <w:rPr>
          <w:sz w:val="22"/>
          <w:szCs w:val="22"/>
        </w:rPr>
        <w:t>Reakcie precitlivenosti na ceftriaxón sú pravdepodobnejšie u pacientov s akýmkoľvek iným typom precitlivenosti alebo astmou bronchiale.</w:t>
      </w:r>
    </w:p>
    <w:p w14:paraId="282DE4D1" w14:textId="77777777" w:rsidR="00A94D41" w:rsidRPr="0079786F" w:rsidRDefault="00A94D41" w:rsidP="00B7315D">
      <w:pPr>
        <w:autoSpaceDE w:val="0"/>
        <w:autoSpaceDN w:val="0"/>
        <w:adjustRightInd w:val="0"/>
        <w:jc w:val="both"/>
        <w:rPr>
          <w:sz w:val="22"/>
          <w:szCs w:val="22"/>
        </w:rPr>
      </w:pPr>
      <w:r w:rsidRPr="0079786F">
        <w:rPr>
          <w:sz w:val="22"/>
          <w:szCs w:val="22"/>
        </w:rPr>
        <w:t>S osobitnou opatrnosťou majú byť použité injekcie ceftriaxónu u pacientov s alergickou diatézou, pretože reakcie precitlivenosti sa u nich vyskytujú rýchlejšie a ich priebeh je ťažší po intravenóznej injekcii (pozri časť 4.8).</w:t>
      </w:r>
    </w:p>
    <w:p w14:paraId="03AFE1A6" w14:textId="77777777" w:rsidR="00A94D41" w:rsidRPr="0079786F" w:rsidRDefault="00A94D41" w:rsidP="00B7315D">
      <w:pPr>
        <w:autoSpaceDE w:val="0"/>
        <w:autoSpaceDN w:val="0"/>
        <w:adjustRightInd w:val="0"/>
        <w:jc w:val="both"/>
        <w:rPr>
          <w:sz w:val="22"/>
          <w:szCs w:val="22"/>
        </w:rPr>
      </w:pPr>
      <w:r w:rsidRPr="0079786F">
        <w:rPr>
          <w:sz w:val="22"/>
          <w:szCs w:val="22"/>
        </w:rPr>
        <w:t>Závažné akútne reakcie precitlivenosti a anafylaktický šok vyžadujú okamžité prerušenie podávania ceftriaxónu a začatie príslušných pohotovostných zásahov.</w:t>
      </w:r>
    </w:p>
    <w:p w14:paraId="0D7047DE" w14:textId="77777777" w:rsidR="00A94D41" w:rsidRPr="0079786F" w:rsidRDefault="00A94D41" w:rsidP="00B7315D">
      <w:pPr>
        <w:autoSpaceDE w:val="0"/>
        <w:autoSpaceDN w:val="0"/>
        <w:adjustRightInd w:val="0"/>
        <w:jc w:val="both"/>
        <w:rPr>
          <w:sz w:val="22"/>
          <w:szCs w:val="22"/>
        </w:rPr>
      </w:pPr>
      <w:r w:rsidRPr="0079786F">
        <w:rPr>
          <w:sz w:val="22"/>
          <w:szCs w:val="22"/>
        </w:rPr>
        <w:t xml:space="preserve"> </w:t>
      </w:r>
    </w:p>
    <w:p w14:paraId="2781C9B8" w14:textId="77777777" w:rsidR="00A94D41" w:rsidRPr="0079786F" w:rsidRDefault="00A94D41" w:rsidP="00B7315D">
      <w:pPr>
        <w:autoSpaceDE w:val="0"/>
        <w:autoSpaceDN w:val="0"/>
        <w:adjustRightInd w:val="0"/>
        <w:jc w:val="both"/>
        <w:rPr>
          <w:sz w:val="22"/>
          <w:szCs w:val="22"/>
        </w:rPr>
      </w:pPr>
      <w:r w:rsidRPr="0079786F">
        <w:rPr>
          <w:sz w:val="22"/>
          <w:szCs w:val="22"/>
        </w:rPr>
        <w:t>Pri ťažkom renálnom poškodení sprevádzanom hepatálnou insuficienciou sa odporúča zníženie dávky, ako je popísané v časti 4.2.</w:t>
      </w:r>
    </w:p>
    <w:p w14:paraId="392468EB" w14:textId="77777777" w:rsidR="00A94D41" w:rsidRPr="0079786F" w:rsidRDefault="00A94D41" w:rsidP="00B7315D">
      <w:pPr>
        <w:autoSpaceDE w:val="0"/>
        <w:autoSpaceDN w:val="0"/>
        <w:adjustRightInd w:val="0"/>
        <w:jc w:val="both"/>
        <w:rPr>
          <w:sz w:val="22"/>
          <w:szCs w:val="22"/>
        </w:rPr>
      </w:pPr>
      <w:r w:rsidRPr="0079786F">
        <w:rPr>
          <w:sz w:val="22"/>
          <w:szCs w:val="22"/>
        </w:rPr>
        <w:t>V prípade súbežného poškodenia funkcií obličiek a pečene treba v pravidelných intervaloch monitorovať sérovú hladinu ceftriaxónu.</w:t>
      </w:r>
    </w:p>
    <w:p w14:paraId="44D9C761" w14:textId="77777777" w:rsidR="00A94D41" w:rsidRPr="0079786F" w:rsidRDefault="00A94D41" w:rsidP="00B7315D">
      <w:pPr>
        <w:autoSpaceDE w:val="0"/>
        <w:autoSpaceDN w:val="0"/>
        <w:adjustRightInd w:val="0"/>
        <w:jc w:val="both"/>
        <w:rPr>
          <w:sz w:val="22"/>
          <w:szCs w:val="22"/>
        </w:rPr>
      </w:pPr>
    </w:p>
    <w:p w14:paraId="71C29D11" w14:textId="77777777" w:rsidR="00A94D41" w:rsidRPr="0079786F" w:rsidRDefault="00A94D41" w:rsidP="00B7315D">
      <w:pPr>
        <w:autoSpaceDE w:val="0"/>
        <w:autoSpaceDN w:val="0"/>
        <w:adjustRightInd w:val="0"/>
        <w:jc w:val="both"/>
        <w:rPr>
          <w:sz w:val="22"/>
          <w:szCs w:val="22"/>
        </w:rPr>
      </w:pPr>
      <w:r w:rsidRPr="0079786F">
        <w:rPr>
          <w:sz w:val="22"/>
          <w:szCs w:val="22"/>
        </w:rPr>
        <w:t>Každé podávanie antibiotík môže viesť k zmnoženiu patogénov rezistentných na použité liečivo. Je potrebné všímať si príznaky následnej infekcie takýmito patogénmi (</w:t>
      </w:r>
      <w:r w:rsidR="00162E61" w:rsidRPr="0079786F">
        <w:rPr>
          <w:sz w:val="22"/>
          <w:szCs w:val="22"/>
        </w:rPr>
        <w:t>v</w:t>
      </w:r>
      <w:r w:rsidR="00162E61">
        <w:rPr>
          <w:sz w:val="22"/>
          <w:szCs w:val="22"/>
        </w:rPr>
        <w:t>rátane</w:t>
      </w:r>
      <w:r w:rsidR="00162E61" w:rsidRPr="0079786F">
        <w:rPr>
          <w:sz w:val="22"/>
          <w:szCs w:val="22"/>
        </w:rPr>
        <w:t xml:space="preserve"> </w:t>
      </w:r>
      <w:r w:rsidRPr="0079786F">
        <w:rPr>
          <w:sz w:val="22"/>
          <w:szCs w:val="22"/>
        </w:rPr>
        <w:t>kvasiniek a húb).  Sekundárne infekcie je potrebné primerane liečiť (pozri tiež časť 5.1).</w:t>
      </w:r>
    </w:p>
    <w:p w14:paraId="5210844B" w14:textId="081EF455" w:rsidR="00A94D41" w:rsidRPr="0079786F" w:rsidRDefault="00A94D41" w:rsidP="00B7315D">
      <w:pPr>
        <w:autoSpaceDE w:val="0"/>
        <w:autoSpaceDN w:val="0"/>
        <w:adjustRightInd w:val="0"/>
        <w:jc w:val="both"/>
        <w:rPr>
          <w:sz w:val="22"/>
          <w:szCs w:val="22"/>
        </w:rPr>
      </w:pPr>
      <w:r w:rsidRPr="0079786F">
        <w:rPr>
          <w:sz w:val="22"/>
          <w:szCs w:val="22"/>
        </w:rPr>
        <w:t xml:space="preserve">U pacientov u ktorých sa vyvinie </w:t>
      </w:r>
      <w:r w:rsidR="001A3FFF">
        <w:rPr>
          <w:sz w:val="22"/>
          <w:szCs w:val="22"/>
        </w:rPr>
        <w:t>závažná</w:t>
      </w:r>
      <w:r w:rsidR="001A3FFF" w:rsidRPr="0079786F">
        <w:rPr>
          <w:sz w:val="22"/>
          <w:szCs w:val="22"/>
        </w:rPr>
        <w:t xml:space="preserve"> </w:t>
      </w:r>
      <w:r w:rsidRPr="0079786F">
        <w:rPr>
          <w:sz w:val="22"/>
          <w:szCs w:val="22"/>
        </w:rPr>
        <w:t xml:space="preserve">a pretrvávajúca hemoragická hnačka počas alebo po liečbe ceftriaxónom, treba myslieť na potenciálne život ohrozujúcu pseudomembranóznu kolitídu, spôsobenú väčšinou </w:t>
      </w:r>
      <w:r w:rsidRPr="0079786F">
        <w:rPr>
          <w:i/>
          <w:sz w:val="22"/>
          <w:szCs w:val="22"/>
        </w:rPr>
        <w:t>Clostridium difficile</w:t>
      </w:r>
      <w:r w:rsidRPr="0079786F">
        <w:rPr>
          <w:sz w:val="22"/>
          <w:szCs w:val="22"/>
        </w:rPr>
        <w:t xml:space="preserve"> (pozri časť 4.8).</w:t>
      </w:r>
    </w:p>
    <w:p w14:paraId="5EB01978" w14:textId="77777777" w:rsidR="00A94D41" w:rsidRPr="0079786F" w:rsidRDefault="00A94D41" w:rsidP="00B7315D">
      <w:pPr>
        <w:autoSpaceDE w:val="0"/>
        <w:autoSpaceDN w:val="0"/>
        <w:adjustRightInd w:val="0"/>
        <w:jc w:val="both"/>
        <w:rPr>
          <w:sz w:val="22"/>
          <w:szCs w:val="22"/>
        </w:rPr>
      </w:pPr>
      <w:r w:rsidRPr="0079786F">
        <w:rPr>
          <w:sz w:val="22"/>
          <w:szCs w:val="22"/>
        </w:rPr>
        <w:t>V závislosti od základnej indikácie treba zvážiť prerušenie terapie ceftriaxónom a učiniť príslušné terapeutické zásahy: príjem špecifických antibiotík/chemoterapeutík s klinicky dokázaným účinkom.</w:t>
      </w:r>
    </w:p>
    <w:p w14:paraId="24CE03D6" w14:textId="77777777" w:rsidR="00A94D41" w:rsidRPr="0079786F" w:rsidRDefault="00A94D41" w:rsidP="00B7315D">
      <w:pPr>
        <w:autoSpaceDE w:val="0"/>
        <w:autoSpaceDN w:val="0"/>
        <w:adjustRightInd w:val="0"/>
        <w:jc w:val="both"/>
        <w:rPr>
          <w:sz w:val="22"/>
          <w:szCs w:val="22"/>
        </w:rPr>
      </w:pPr>
      <w:r w:rsidRPr="0079786F">
        <w:rPr>
          <w:sz w:val="22"/>
          <w:szCs w:val="22"/>
        </w:rPr>
        <w:t>Antiperistaltiká sú kontraindikované.</w:t>
      </w:r>
    </w:p>
    <w:p w14:paraId="0E75EA28" w14:textId="77777777" w:rsidR="00A94D41" w:rsidRPr="0079786F" w:rsidRDefault="00A94D41" w:rsidP="00B7315D">
      <w:pPr>
        <w:autoSpaceDE w:val="0"/>
        <w:autoSpaceDN w:val="0"/>
        <w:adjustRightInd w:val="0"/>
        <w:jc w:val="both"/>
        <w:rPr>
          <w:sz w:val="22"/>
          <w:szCs w:val="22"/>
          <w:lang w:eastAsia="de-DE"/>
        </w:rPr>
      </w:pPr>
    </w:p>
    <w:p w14:paraId="5CA4C9F6" w14:textId="77777777" w:rsidR="00A94D41" w:rsidRDefault="00A94D41" w:rsidP="00B7315D">
      <w:pPr>
        <w:autoSpaceDE w:val="0"/>
        <w:autoSpaceDN w:val="0"/>
        <w:adjustRightInd w:val="0"/>
        <w:jc w:val="both"/>
        <w:rPr>
          <w:sz w:val="22"/>
          <w:szCs w:val="22"/>
        </w:rPr>
      </w:pPr>
      <w:r w:rsidRPr="0079786F">
        <w:rPr>
          <w:sz w:val="22"/>
          <w:szCs w:val="22"/>
        </w:rPr>
        <w:t xml:space="preserve">Kvôli riziku fyzikálnych alebo chemických inkompatibilít musí byť Ceftron </w:t>
      </w:r>
      <w:smartTag w:uri="urn:schemas-microsoft-com:office:smarttags" w:element="metricconverter">
        <w:smartTagPr>
          <w:attr w:name="ProductID" w:val="1 g"/>
        </w:smartTagPr>
        <w:r w:rsidRPr="0079786F">
          <w:rPr>
            <w:sz w:val="22"/>
            <w:szCs w:val="22"/>
          </w:rPr>
          <w:t>1 g</w:t>
        </w:r>
      </w:smartTag>
      <w:r w:rsidRPr="0079786F">
        <w:rPr>
          <w:sz w:val="22"/>
          <w:szCs w:val="22"/>
        </w:rPr>
        <w:t xml:space="preserve"> riedený a zmiešavaný iba s roztokmi špecifikovanými v časti 4.2.</w:t>
      </w:r>
    </w:p>
    <w:p w14:paraId="38E4BC82" w14:textId="77777777" w:rsidR="00CD6C65" w:rsidRDefault="00CD6C65" w:rsidP="00B7315D">
      <w:pPr>
        <w:jc w:val="both"/>
        <w:rPr>
          <w:sz w:val="22"/>
          <w:szCs w:val="22"/>
          <w:lang w:eastAsia="x-none"/>
        </w:rPr>
      </w:pPr>
    </w:p>
    <w:p w14:paraId="3A208E69" w14:textId="77777777" w:rsidR="00CD6C65" w:rsidRPr="00BF1376" w:rsidRDefault="00CD6C65" w:rsidP="00B7315D">
      <w:pPr>
        <w:autoSpaceDE w:val="0"/>
        <w:autoSpaceDN w:val="0"/>
        <w:ind w:right="284"/>
        <w:jc w:val="both"/>
        <w:rPr>
          <w:i/>
          <w:iCs/>
          <w:sz w:val="22"/>
          <w:szCs w:val="22"/>
          <w:u w:val="single"/>
          <w:lang w:eastAsia="en-US"/>
        </w:rPr>
      </w:pPr>
      <w:r w:rsidRPr="00BF1376">
        <w:rPr>
          <w:i/>
          <w:iCs/>
          <w:sz w:val="22"/>
          <w:szCs w:val="22"/>
          <w:u w:val="single"/>
          <w:lang w:eastAsia="en-US"/>
        </w:rPr>
        <w:lastRenderedPageBreak/>
        <w:t>Použitie lidokaínu</w:t>
      </w:r>
    </w:p>
    <w:p w14:paraId="0E041B0E" w14:textId="77777777" w:rsidR="00CD6C65" w:rsidRPr="00F64553" w:rsidRDefault="00CD6C65" w:rsidP="00B7315D">
      <w:pPr>
        <w:autoSpaceDE w:val="0"/>
        <w:autoSpaceDN w:val="0"/>
        <w:ind w:right="284"/>
        <w:jc w:val="both"/>
        <w:rPr>
          <w:sz w:val="22"/>
          <w:szCs w:val="22"/>
          <w:u w:val="single"/>
          <w:lang w:eastAsia="en-US"/>
        </w:rPr>
      </w:pPr>
    </w:p>
    <w:p w14:paraId="4E8E9172" w14:textId="77777777" w:rsidR="00CD6C65" w:rsidRPr="00F64553" w:rsidRDefault="00CD6C65" w:rsidP="00B7315D">
      <w:pPr>
        <w:autoSpaceDE w:val="0"/>
        <w:autoSpaceDN w:val="0"/>
        <w:ind w:right="284"/>
        <w:jc w:val="both"/>
        <w:rPr>
          <w:sz w:val="22"/>
          <w:szCs w:val="22"/>
          <w:lang w:eastAsia="en-US"/>
        </w:rPr>
      </w:pPr>
      <w:r w:rsidRPr="00F64553">
        <w:rPr>
          <w:sz w:val="22"/>
          <w:szCs w:val="22"/>
          <w:lang w:eastAsia="en-US"/>
        </w:rPr>
        <w:t>V prípade, že sa roztok lidokaínu používa ako rozpúšťadlo, roztoky ce</w:t>
      </w:r>
      <w:r>
        <w:rPr>
          <w:sz w:val="22"/>
          <w:szCs w:val="22"/>
          <w:lang w:eastAsia="en-US"/>
        </w:rPr>
        <w:t>ftriaxónu sa môžu použiť iba na</w:t>
      </w:r>
      <w:r w:rsidRPr="00F64553">
        <w:rPr>
          <w:sz w:val="22"/>
          <w:szCs w:val="22"/>
          <w:lang w:eastAsia="en-US"/>
        </w:rPr>
        <w:t xml:space="preserve"> intramuskulárnu injekciu. </w:t>
      </w:r>
      <w:r>
        <w:rPr>
          <w:sz w:val="22"/>
          <w:szCs w:val="22"/>
          <w:lang w:eastAsia="en-US"/>
        </w:rPr>
        <w:t>Pred použitím sa majú vziať do úvahy k</w:t>
      </w:r>
      <w:r w:rsidRPr="00F64553">
        <w:rPr>
          <w:sz w:val="22"/>
          <w:szCs w:val="22"/>
          <w:lang w:eastAsia="en-US"/>
        </w:rPr>
        <w:t>ontraindikácie s</w:t>
      </w:r>
      <w:r>
        <w:rPr>
          <w:sz w:val="22"/>
          <w:szCs w:val="22"/>
          <w:lang w:eastAsia="en-US"/>
        </w:rPr>
        <w:t> </w:t>
      </w:r>
      <w:r w:rsidRPr="00F64553">
        <w:rPr>
          <w:sz w:val="22"/>
          <w:szCs w:val="22"/>
          <w:lang w:eastAsia="en-US"/>
        </w:rPr>
        <w:t>lidokaínom</w:t>
      </w:r>
      <w:r>
        <w:rPr>
          <w:sz w:val="22"/>
          <w:szCs w:val="22"/>
          <w:lang w:eastAsia="en-US"/>
        </w:rPr>
        <w:t xml:space="preserve">, upozornenia a iné relevantné informácie podrobne uvedené v Súhrne charakteristických vlastností pre lidokaín </w:t>
      </w:r>
      <w:r w:rsidRPr="00F64553">
        <w:rPr>
          <w:sz w:val="22"/>
          <w:szCs w:val="22"/>
          <w:lang w:eastAsia="en-US"/>
        </w:rPr>
        <w:t>(pozri časť 4.3). Roztok lidokaínu sa nikdy nesmie podávať intravenózne.</w:t>
      </w:r>
    </w:p>
    <w:p w14:paraId="5E86AC72" w14:textId="77777777" w:rsidR="00A94D41" w:rsidRPr="0079786F" w:rsidRDefault="00A94D41" w:rsidP="00B7315D">
      <w:pPr>
        <w:autoSpaceDE w:val="0"/>
        <w:autoSpaceDN w:val="0"/>
        <w:adjustRightInd w:val="0"/>
        <w:jc w:val="both"/>
        <w:rPr>
          <w:sz w:val="22"/>
          <w:szCs w:val="22"/>
        </w:rPr>
      </w:pPr>
    </w:p>
    <w:p w14:paraId="6F9270F3" w14:textId="77777777" w:rsidR="00A94D41" w:rsidRPr="0079786F" w:rsidRDefault="00A94D41" w:rsidP="00B7315D">
      <w:pPr>
        <w:autoSpaceDE w:val="0"/>
        <w:autoSpaceDN w:val="0"/>
        <w:adjustRightInd w:val="0"/>
        <w:jc w:val="both"/>
        <w:rPr>
          <w:sz w:val="22"/>
          <w:szCs w:val="22"/>
        </w:rPr>
      </w:pPr>
      <w:r w:rsidRPr="0079786F">
        <w:rPr>
          <w:sz w:val="22"/>
          <w:szCs w:val="22"/>
        </w:rPr>
        <w:t xml:space="preserve">Cefalosporíny ako skupina majú tendenciu k adsorbcii na povrchu membrán červených krviniek a reagovať s protilátkami nasmerovanými proti liečivu a tak vyvolať pozitívny Coombsov test a príležitostne aj </w:t>
      </w:r>
      <w:r w:rsidR="00162E61">
        <w:rPr>
          <w:sz w:val="22"/>
          <w:szCs w:val="22"/>
        </w:rPr>
        <w:t>prevažne</w:t>
      </w:r>
      <w:r w:rsidR="00162E61" w:rsidRPr="0079786F">
        <w:rPr>
          <w:sz w:val="22"/>
          <w:szCs w:val="22"/>
        </w:rPr>
        <w:t xml:space="preserve"> </w:t>
      </w:r>
      <w:r w:rsidRPr="0079786F">
        <w:rPr>
          <w:sz w:val="22"/>
          <w:szCs w:val="22"/>
        </w:rPr>
        <w:t>miernu hemolyticku anémiu. Po tejto stránke môže vznikať skrížená reaktivita s penicilínmi.</w:t>
      </w:r>
    </w:p>
    <w:p w14:paraId="6003FB75" w14:textId="77777777" w:rsidR="00A94D41" w:rsidRPr="0079786F" w:rsidRDefault="00A94D41" w:rsidP="00B7315D">
      <w:pPr>
        <w:autoSpaceDE w:val="0"/>
        <w:autoSpaceDN w:val="0"/>
        <w:adjustRightInd w:val="0"/>
        <w:jc w:val="both"/>
        <w:rPr>
          <w:sz w:val="22"/>
          <w:szCs w:val="22"/>
        </w:rPr>
      </w:pPr>
    </w:p>
    <w:p w14:paraId="13D2A7F9" w14:textId="77777777" w:rsidR="00A94D41" w:rsidRPr="0079786F" w:rsidRDefault="00A94D41" w:rsidP="00B7315D">
      <w:pPr>
        <w:autoSpaceDE w:val="0"/>
        <w:autoSpaceDN w:val="0"/>
        <w:adjustRightInd w:val="0"/>
        <w:jc w:val="both"/>
        <w:rPr>
          <w:sz w:val="22"/>
          <w:szCs w:val="22"/>
        </w:rPr>
      </w:pPr>
      <w:r w:rsidRPr="0079786F">
        <w:rPr>
          <w:sz w:val="22"/>
          <w:szCs w:val="22"/>
        </w:rPr>
        <w:t>Pri podozrení na infekciu alebo dokázanej infekcii spôsobenej Pseudomonas aeruginosa treba vziať do úvahy vysoké hodnoty rezistencie na ceftriaxón (&gt; 60 %) v niektorých európskych krajinách (pozri časť 5.1). Pri infekciách spôsobených Pseudomonas aeruginosa s dokázanou citlivosťou na ceftriaxón zaručuje kombinácia s aminoglykozidmi zabránenie vzniku sekundárnej rezistencie.</w:t>
      </w:r>
    </w:p>
    <w:p w14:paraId="1382C796" w14:textId="77777777" w:rsidR="00A94D41" w:rsidRPr="0079786F" w:rsidRDefault="00A94D41" w:rsidP="00B7315D">
      <w:pPr>
        <w:autoSpaceDE w:val="0"/>
        <w:autoSpaceDN w:val="0"/>
        <w:adjustRightInd w:val="0"/>
        <w:jc w:val="both"/>
        <w:rPr>
          <w:sz w:val="22"/>
          <w:szCs w:val="22"/>
        </w:rPr>
      </w:pPr>
      <w:r w:rsidRPr="0079786F">
        <w:rPr>
          <w:sz w:val="22"/>
          <w:szCs w:val="22"/>
        </w:rPr>
        <w:t>Pri infekciách spôsobených inými baktériami u pacientov s neutropenickou horúčkou by mala byť intervenčná liečba ceftriaxónom kombinovaná s aminoglykozidmi.</w:t>
      </w:r>
    </w:p>
    <w:p w14:paraId="1B2F8DF3" w14:textId="77777777" w:rsidR="00A94D41" w:rsidRPr="0079786F" w:rsidRDefault="00A94D41" w:rsidP="00B7315D">
      <w:pPr>
        <w:autoSpaceDE w:val="0"/>
        <w:autoSpaceDN w:val="0"/>
        <w:adjustRightInd w:val="0"/>
        <w:jc w:val="both"/>
        <w:rPr>
          <w:sz w:val="22"/>
          <w:szCs w:val="22"/>
        </w:rPr>
      </w:pPr>
      <w:r w:rsidRPr="0079786F">
        <w:rPr>
          <w:sz w:val="22"/>
          <w:szCs w:val="22"/>
        </w:rPr>
        <w:t>V prípade konkomitantého podávania cefalosporínov a aminoglykozidov treba zvážiť fyzikálnu a chemickú inkompatibilitu a zvýšené riziko oto- a nefrotoxicity.</w:t>
      </w:r>
    </w:p>
    <w:p w14:paraId="0A656F8F" w14:textId="77777777" w:rsidR="00A94D41" w:rsidRPr="0079786F" w:rsidRDefault="00A94D41" w:rsidP="00B7315D">
      <w:pPr>
        <w:autoSpaceDE w:val="0"/>
        <w:autoSpaceDN w:val="0"/>
        <w:adjustRightInd w:val="0"/>
        <w:jc w:val="both"/>
        <w:rPr>
          <w:sz w:val="22"/>
          <w:szCs w:val="22"/>
        </w:rPr>
      </w:pPr>
    </w:p>
    <w:p w14:paraId="707570FA" w14:textId="77777777" w:rsidR="00A94D41" w:rsidRPr="0079786F" w:rsidRDefault="00A94D41" w:rsidP="00B7315D">
      <w:pPr>
        <w:autoSpaceDE w:val="0"/>
        <w:autoSpaceDN w:val="0"/>
        <w:adjustRightInd w:val="0"/>
        <w:jc w:val="both"/>
        <w:rPr>
          <w:sz w:val="22"/>
          <w:szCs w:val="22"/>
        </w:rPr>
      </w:pPr>
      <w:r w:rsidRPr="0079786F">
        <w:rPr>
          <w:sz w:val="22"/>
          <w:szCs w:val="22"/>
        </w:rPr>
        <w:t>Počas dlhodobého liečenia je indikované monitorovanie renálnych a hepatálnych funkcií a hematologických parametrov v pravidelných intervaloch (pozri časť 4.8).</w:t>
      </w:r>
    </w:p>
    <w:p w14:paraId="647C1137" w14:textId="77777777" w:rsidR="00A94D41" w:rsidRPr="0079786F" w:rsidRDefault="00A94D41" w:rsidP="00B7315D">
      <w:pPr>
        <w:autoSpaceDE w:val="0"/>
        <w:autoSpaceDN w:val="0"/>
        <w:adjustRightInd w:val="0"/>
        <w:jc w:val="both"/>
        <w:rPr>
          <w:sz w:val="22"/>
          <w:szCs w:val="22"/>
        </w:rPr>
      </w:pPr>
    </w:p>
    <w:p w14:paraId="06AD687D" w14:textId="071E3DED" w:rsidR="00A94D41" w:rsidRPr="0079786F" w:rsidRDefault="00A94D41" w:rsidP="00B7315D">
      <w:pPr>
        <w:autoSpaceDE w:val="0"/>
        <w:autoSpaceDN w:val="0"/>
        <w:adjustRightInd w:val="0"/>
        <w:jc w:val="both"/>
        <w:rPr>
          <w:sz w:val="22"/>
          <w:szCs w:val="22"/>
        </w:rPr>
      </w:pPr>
      <w:r w:rsidRPr="0079786F">
        <w:rPr>
          <w:sz w:val="22"/>
          <w:szCs w:val="22"/>
        </w:rPr>
        <w:t xml:space="preserve">Tento liek obsahuje 3,6 mmol (alebo 83 mg) sodíka na jednu </w:t>
      </w:r>
      <w:r w:rsidR="002B2246">
        <w:rPr>
          <w:sz w:val="22"/>
          <w:szCs w:val="22"/>
        </w:rPr>
        <w:t>injekčnú liekovku</w:t>
      </w:r>
      <w:r w:rsidRPr="0079786F">
        <w:rPr>
          <w:sz w:val="22"/>
          <w:szCs w:val="22"/>
        </w:rPr>
        <w:t xml:space="preserve">, čo </w:t>
      </w:r>
      <w:r w:rsidR="0062445E">
        <w:rPr>
          <w:sz w:val="22"/>
          <w:szCs w:val="22"/>
        </w:rPr>
        <w:t xml:space="preserve">sa rovná </w:t>
      </w:r>
      <w:r w:rsidR="003360E9">
        <w:rPr>
          <w:sz w:val="22"/>
          <w:szCs w:val="22"/>
        </w:rPr>
        <w:t>4,15</w:t>
      </w:r>
      <w:r w:rsidR="0062445E" w:rsidRPr="00911D4E">
        <w:rPr>
          <w:sz w:val="22"/>
          <w:szCs w:val="22"/>
        </w:rPr>
        <w:t xml:space="preserve"> %</w:t>
      </w:r>
      <w:r w:rsidR="0062445E">
        <w:rPr>
          <w:sz w:val="22"/>
          <w:szCs w:val="22"/>
        </w:rPr>
        <w:t xml:space="preserve"> </w:t>
      </w:r>
      <w:r w:rsidR="0062445E" w:rsidRPr="00911D4E">
        <w:rPr>
          <w:sz w:val="22"/>
          <w:szCs w:val="22"/>
        </w:rPr>
        <w:t>odporúčaného maximálneho denného príjmu</w:t>
      </w:r>
      <w:r w:rsidR="0062445E">
        <w:rPr>
          <w:sz w:val="22"/>
          <w:szCs w:val="22"/>
        </w:rPr>
        <w:t xml:space="preserve"> </w:t>
      </w:r>
      <w:r w:rsidR="0062445E" w:rsidRPr="00911D4E">
        <w:rPr>
          <w:sz w:val="22"/>
          <w:szCs w:val="22"/>
        </w:rPr>
        <w:t>sodíka v potrave pre dospelých</w:t>
      </w:r>
      <w:r w:rsidR="0062445E">
        <w:rPr>
          <w:sz w:val="22"/>
          <w:szCs w:val="22"/>
        </w:rPr>
        <w:t>.</w:t>
      </w:r>
      <w:r w:rsidR="0062445E" w:rsidRPr="0079786F">
        <w:rPr>
          <w:sz w:val="22"/>
          <w:szCs w:val="22"/>
        </w:rPr>
        <w:t xml:space="preserve"> </w:t>
      </w:r>
      <w:r w:rsidR="0062445E">
        <w:rPr>
          <w:sz w:val="22"/>
          <w:szCs w:val="22"/>
        </w:rPr>
        <w:t>To je potrebné</w:t>
      </w:r>
      <w:r w:rsidRPr="0079786F">
        <w:rPr>
          <w:sz w:val="22"/>
          <w:szCs w:val="22"/>
        </w:rPr>
        <w:t xml:space="preserve"> vziať do úvahy u pacientov s diétou s kontrolovaným príjmom sodíka.</w:t>
      </w:r>
    </w:p>
    <w:p w14:paraId="458E4067" w14:textId="77777777" w:rsidR="00A94D41" w:rsidRPr="0079786F" w:rsidRDefault="00A94D41" w:rsidP="00B7315D">
      <w:pPr>
        <w:jc w:val="both"/>
        <w:rPr>
          <w:sz w:val="22"/>
          <w:szCs w:val="22"/>
        </w:rPr>
      </w:pPr>
    </w:p>
    <w:p w14:paraId="7D4983B5" w14:textId="77777777" w:rsidR="00A94D41" w:rsidRPr="0079786F" w:rsidRDefault="00A94D41" w:rsidP="00B7315D">
      <w:pPr>
        <w:jc w:val="both"/>
        <w:rPr>
          <w:sz w:val="22"/>
          <w:szCs w:val="22"/>
        </w:rPr>
      </w:pPr>
      <w:r w:rsidRPr="0079786F">
        <w:rPr>
          <w:b/>
          <w:sz w:val="22"/>
          <w:szCs w:val="22"/>
        </w:rPr>
        <w:t>4.5</w:t>
      </w:r>
      <w:r w:rsidRPr="0079786F">
        <w:rPr>
          <w:b/>
          <w:sz w:val="22"/>
          <w:szCs w:val="22"/>
        </w:rPr>
        <w:tab/>
        <w:t>Liekové a iné interakcie</w:t>
      </w:r>
    </w:p>
    <w:p w14:paraId="084EC439" w14:textId="77777777" w:rsidR="00A94D41" w:rsidRPr="0079786F" w:rsidRDefault="00A94D41" w:rsidP="00B7315D">
      <w:pPr>
        <w:pStyle w:val="Obyajntext"/>
        <w:jc w:val="both"/>
        <w:rPr>
          <w:rFonts w:ascii="Times New Roman" w:hAnsi="Times New Roman"/>
          <w:sz w:val="22"/>
          <w:szCs w:val="22"/>
          <w:lang w:val="sk-SK"/>
        </w:rPr>
      </w:pPr>
    </w:p>
    <w:p w14:paraId="50CA6FC9" w14:textId="77777777" w:rsidR="00A94D41" w:rsidRPr="0079786F" w:rsidRDefault="00A94D41" w:rsidP="00B7315D">
      <w:pPr>
        <w:pStyle w:val="Obyajntext"/>
        <w:jc w:val="both"/>
        <w:rPr>
          <w:rFonts w:ascii="Times New Roman" w:hAnsi="Times New Roman"/>
          <w:sz w:val="22"/>
          <w:szCs w:val="22"/>
          <w:u w:val="single"/>
          <w:lang w:val="sk-SK"/>
        </w:rPr>
      </w:pPr>
      <w:r w:rsidRPr="0079786F">
        <w:rPr>
          <w:rFonts w:ascii="Times New Roman" w:hAnsi="Times New Roman"/>
          <w:sz w:val="22"/>
          <w:szCs w:val="22"/>
          <w:u w:val="single"/>
          <w:lang w:val="sk-SK"/>
        </w:rPr>
        <w:t>Bakteriostatické</w:t>
      </w:r>
      <w:r w:rsidR="00CE6F5B">
        <w:rPr>
          <w:rFonts w:ascii="Times New Roman" w:hAnsi="Times New Roman"/>
          <w:sz w:val="22"/>
          <w:szCs w:val="22"/>
          <w:u w:val="single"/>
          <w:lang w:val="sk-SK"/>
        </w:rPr>
        <w:t xml:space="preserve"> </w:t>
      </w:r>
      <w:r w:rsidRPr="0079786F">
        <w:rPr>
          <w:rFonts w:ascii="Times New Roman" w:hAnsi="Times New Roman"/>
          <w:sz w:val="22"/>
          <w:szCs w:val="22"/>
          <w:u w:val="single"/>
          <w:lang w:val="sk-SK"/>
        </w:rPr>
        <w:t>antibiotiká</w:t>
      </w:r>
    </w:p>
    <w:p w14:paraId="012F4AE3" w14:textId="77777777" w:rsidR="00A94D41" w:rsidRPr="0079786F" w:rsidRDefault="00A94D41" w:rsidP="00B7315D">
      <w:pPr>
        <w:pStyle w:val="Obyajntext"/>
        <w:jc w:val="both"/>
        <w:rPr>
          <w:rFonts w:ascii="Times New Roman" w:hAnsi="Times New Roman"/>
          <w:sz w:val="22"/>
          <w:szCs w:val="22"/>
          <w:u w:val="single"/>
          <w:lang w:val="sk-SK"/>
        </w:rPr>
      </w:pPr>
      <w:r w:rsidRPr="0079786F">
        <w:rPr>
          <w:rFonts w:ascii="Times New Roman" w:hAnsi="Times New Roman"/>
          <w:sz w:val="22"/>
          <w:szCs w:val="22"/>
          <w:lang w:val="sk-SK"/>
        </w:rPr>
        <w:t>Baktériostatické antibiotiká, ako je chloramfenikol a tetracyklín, môžu pôsobiť proti aktivite baktericídnych antibiotík typu ceftriaxónu, zvlášť pri akútnych infekciách sprevádzaných rýchlou proliferáciou mikroorganizmov.</w:t>
      </w:r>
    </w:p>
    <w:p w14:paraId="0E58AA47" w14:textId="77777777" w:rsidR="00A94D41" w:rsidRPr="0079786F" w:rsidRDefault="00A94D41" w:rsidP="00B7315D">
      <w:pPr>
        <w:pStyle w:val="Obyajntext"/>
        <w:jc w:val="both"/>
        <w:rPr>
          <w:rFonts w:ascii="Times New Roman" w:hAnsi="Times New Roman"/>
          <w:sz w:val="22"/>
          <w:szCs w:val="22"/>
          <w:lang w:val="sk-SK"/>
        </w:rPr>
      </w:pPr>
      <w:r w:rsidRPr="0079786F">
        <w:rPr>
          <w:rFonts w:ascii="Times New Roman" w:hAnsi="Times New Roman"/>
          <w:sz w:val="22"/>
          <w:szCs w:val="22"/>
          <w:lang w:val="sk-SK"/>
        </w:rPr>
        <w:t>Pri súbežnom podávaní cefalosporínov a aminoglykozidov bolo hlásené zvýšené riziko ototoxicity a nefrotoxicity. Preto môže byť potrebná úprava dávkovania. Tieto lieky musia byť podávané oso</w:t>
      </w:r>
      <w:r>
        <w:rPr>
          <w:rFonts w:ascii="Times New Roman" w:hAnsi="Times New Roman"/>
          <w:sz w:val="22"/>
          <w:szCs w:val="22"/>
          <w:lang w:val="sk-SK"/>
        </w:rPr>
        <w:t xml:space="preserve">bitne, </w:t>
      </w:r>
      <w:r w:rsidRPr="0079786F">
        <w:rPr>
          <w:rFonts w:ascii="Times New Roman" w:hAnsi="Times New Roman"/>
          <w:sz w:val="22"/>
          <w:szCs w:val="22"/>
          <w:lang w:val="sk-SK"/>
        </w:rPr>
        <w:t>aby sa zabránilo fyzikálno-chemickej inkompatibilite medzi ceftriaxónom a aminoglykozidmi.</w:t>
      </w:r>
    </w:p>
    <w:p w14:paraId="7A892807" w14:textId="77777777" w:rsidR="00A94D41" w:rsidRPr="0079786F" w:rsidRDefault="00A94D41" w:rsidP="00B7315D">
      <w:pPr>
        <w:autoSpaceDE w:val="0"/>
        <w:autoSpaceDN w:val="0"/>
        <w:adjustRightInd w:val="0"/>
        <w:jc w:val="both"/>
        <w:rPr>
          <w:sz w:val="22"/>
          <w:szCs w:val="22"/>
        </w:rPr>
      </w:pPr>
    </w:p>
    <w:p w14:paraId="7AD18FC2" w14:textId="77777777" w:rsidR="00A94D41" w:rsidRPr="0079786F" w:rsidRDefault="00A94D41" w:rsidP="00B7315D">
      <w:pPr>
        <w:autoSpaceDE w:val="0"/>
        <w:autoSpaceDN w:val="0"/>
        <w:adjustRightInd w:val="0"/>
        <w:jc w:val="both"/>
        <w:rPr>
          <w:sz w:val="22"/>
          <w:szCs w:val="22"/>
          <w:u w:val="single"/>
        </w:rPr>
      </w:pPr>
      <w:r w:rsidRPr="0079786F">
        <w:rPr>
          <w:sz w:val="22"/>
          <w:szCs w:val="22"/>
          <w:u w:val="single"/>
        </w:rPr>
        <w:t>Ceftriaxón / probenecid</w:t>
      </w:r>
    </w:p>
    <w:p w14:paraId="54850DC5" w14:textId="77777777" w:rsidR="00A94D41" w:rsidRPr="0079786F" w:rsidRDefault="00A94D41" w:rsidP="00B7315D">
      <w:pPr>
        <w:autoSpaceDE w:val="0"/>
        <w:autoSpaceDN w:val="0"/>
        <w:adjustRightInd w:val="0"/>
        <w:jc w:val="both"/>
        <w:rPr>
          <w:sz w:val="22"/>
          <w:szCs w:val="22"/>
        </w:rPr>
      </w:pPr>
      <w:r w:rsidRPr="0079786F">
        <w:rPr>
          <w:sz w:val="22"/>
          <w:szCs w:val="22"/>
        </w:rPr>
        <w:t>V protiklade k iným cefalosporínom, probenecid nebráni tubulárnej sekrécii ceftriaxónu.</w:t>
      </w:r>
    </w:p>
    <w:p w14:paraId="0F6E27FE" w14:textId="77777777" w:rsidR="00A94D41" w:rsidRPr="0079786F" w:rsidRDefault="00A94D41" w:rsidP="00B7315D">
      <w:pPr>
        <w:autoSpaceDE w:val="0"/>
        <w:autoSpaceDN w:val="0"/>
        <w:adjustRightInd w:val="0"/>
        <w:jc w:val="both"/>
        <w:rPr>
          <w:sz w:val="22"/>
          <w:szCs w:val="22"/>
        </w:rPr>
      </w:pPr>
    </w:p>
    <w:p w14:paraId="1001048E" w14:textId="77777777" w:rsidR="00A94D41" w:rsidRPr="0079786F" w:rsidRDefault="00A94D41" w:rsidP="00B7315D">
      <w:pPr>
        <w:autoSpaceDE w:val="0"/>
        <w:autoSpaceDN w:val="0"/>
        <w:adjustRightInd w:val="0"/>
        <w:jc w:val="both"/>
        <w:rPr>
          <w:sz w:val="22"/>
          <w:szCs w:val="22"/>
          <w:u w:val="single"/>
        </w:rPr>
      </w:pPr>
      <w:r w:rsidRPr="0079786F">
        <w:rPr>
          <w:sz w:val="22"/>
          <w:szCs w:val="22"/>
          <w:u w:val="single"/>
        </w:rPr>
        <w:t>Perorálne kontraceptíva</w:t>
      </w:r>
    </w:p>
    <w:p w14:paraId="121887CB" w14:textId="77777777" w:rsidR="00A94D41" w:rsidRPr="0079786F" w:rsidRDefault="00A94D41" w:rsidP="00B7315D">
      <w:pPr>
        <w:autoSpaceDE w:val="0"/>
        <w:autoSpaceDN w:val="0"/>
        <w:adjustRightInd w:val="0"/>
        <w:jc w:val="both"/>
        <w:rPr>
          <w:sz w:val="22"/>
          <w:szCs w:val="22"/>
        </w:rPr>
      </w:pPr>
      <w:r w:rsidRPr="0079786F">
        <w:rPr>
          <w:sz w:val="22"/>
          <w:szCs w:val="22"/>
        </w:rPr>
        <w:t>Ceftriaxón môže nepriaznivo ovplyvniť účinnosť hormonálnych kontraceptív. Preto je vhodné použiť doplnkové nehormonálne kontraceptívne prostriedky.</w:t>
      </w:r>
    </w:p>
    <w:p w14:paraId="521E1FCE" w14:textId="77777777" w:rsidR="00A94D41" w:rsidRPr="0079786F" w:rsidRDefault="00A94D41" w:rsidP="00B7315D">
      <w:pPr>
        <w:autoSpaceDE w:val="0"/>
        <w:autoSpaceDN w:val="0"/>
        <w:adjustRightInd w:val="0"/>
        <w:jc w:val="both"/>
        <w:rPr>
          <w:sz w:val="22"/>
          <w:szCs w:val="22"/>
        </w:rPr>
      </w:pPr>
    </w:p>
    <w:p w14:paraId="68B7105A" w14:textId="77777777" w:rsidR="00A94D41" w:rsidRPr="0079786F" w:rsidRDefault="00A94D41" w:rsidP="00B7315D">
      <w:pPr>
        <w:autoSpaceDE w:val="0"/>
        <w:autoSpaceDN w:val="0"/>
        <w:adjustRightInd w:val="0"/>
        <w:jc w:val="both"/>
        <w:rPr>
          <w:iCs/>
          <w:sz w:val="22"/>
          <w:szCs w:val="22"/>
          <w:u w:val="single"/>
        </w:rPr>
      </w:pPr>
      <w:r w:rsidRPr="0079786F">
        <w:rPr>
          <w:iCs/>
          <w:sz w:val="22"/>
          <w:szCs w:val="22"/>
          <w:u w:val="single"/>
        </w:rPr>
        <w:t>Laboratórne-diagnostické testy</w:t>
      </w:r>
    </w:p>
    <w:p w14:paraId="51FB49D3" w14:textId="77777777" w:rsidR="00A94D41" w:rsidRPr="0079786F" w:rsidRDefault="00A94D41" w:rsidP="00B7315D">
      <w:pPr>
        <w:autoSpaceDE w:val="0"/>
        <w:autoSpaceDN w:val="0"/>
        <w:adjustRightInd w:val="0"/>
        <w:jc w:val="both"/>
        <w:rPr>
          <w:sz w:val="22"/>
          <w:szCs w:val="22"/>
        </w:rPr>
      </w:pPr>
      <w:r w:rsidRPr="0079786F">
        <w:rPr>
          <w:sz w:val="22"/>
          <w:szCs w:val="22"/>
        </w:rPr>
        <w:t>Coombsov test môže byť počas liečenia ceftriaxónom falošne pozitívny (pozri časť 4.4).</w:t>
      </w:r>
    </w:p>
    <w:p w14:paraId="304C0A88" w14:textId="77777777" w:rsidR="00A94D41" w:rsidRPr="0079786F" w:rsidRDefault="00A94D41" w:rsidP="00B7315D">
      <w:pPr>
        <w:autoSpaceDE w:val="0"/>
        <w:autoSpaceDN w:val="0"/>
        <w:adjustRightInd w:val="0"/>
        <w:jc w:val="both"/>
        <w:rPr>
          <w:sz w:val="22"/>
          <w:szCs w:val="22"/>
        </w:rPr>
      </w:pPr>
      <w:r w:rsidRPr="0079786F">
        <w:rPr>
          <w:sz w:val="22"/>
          <w:szCs w:val="22"/>
        </w:rPr>
        <w:t>Neenzymatické metódy na určovanie glukózy v moči môžu viesť k falošne pozitívnym výsledkom. Z tohto dôvodu sa majú počas liečby s ceftriaxónom použiť na stanovenie glukózy v moči enzymatické metódy.</w:t>
      </w:r>
    </w:p>
    <w:p w14:paraId="703CC5F1" w14:textId="77777777" w:rsidR="00A94D41" w:rsidRPr="0079786F" w:rsidRDefault="00A94D41" w:rsidP="00B7315D">
      <w:pPr>
        <w:autoSpaceDE w:val="0"/>
        <w:autoSpaceDN w:val="0"/>
        <w:adjustRightInd w:val="0"/>
        <w:jc w:val="both"/>
        <w:rPr>
          <w:sz w:val="22"/>
          <w:szCs w:val="22"/>
        </w:rPr>
      </w:pPr>
      <w:r w:rsidRPr="0079786F">
        <w:rPr>
          <w:sz w:val="22"/>
          <w:szCs w:val="22"/>
        </w:rPr>
        <w:t>Ceftriaxón môže viesť k falošne pozitívnym výsledkom pri určovaní galaktózy v krvi.</w:t>
      </w:r>
    </w:p>
    <w:p w14:paraId="668293C7" w14:textId="77777777" w:rsidR="00A94D41" w:rsidRPr="0079786F" w:rsidRDefault="00A94D41" w:rsidP="00B7315D">
      <w:pPr>
        <w:jc w:val="both"/>
        <w:rPr>
          <w:sz w:val="22"/>
          <w:szCs w:val="22"/>
        </w:rPr>
      </w:pPr>
    </w:p>
    <w:p w14:paraId="3A6C226B" w14:textId="77777777" w:rsidR="00A94D41" w:rsidRPr="0079786F" w:rsidRDefault="00A94D41" w:rsidP="00B7315D">
      <w:pPr>
        <w:numPr>
          <w:ilvl w:val="1"/>
          <w:numId w:val="3"/>
        </w:numPr>
        <w:ind w:left="0" w:firstLine="0"/>
        <w:jc w:val="both"/>
        <w:rPr>
          <w:b/>
          <w:sz w:val="22"/>
          <w:szCs w:val="22"/>
        </w:rPr>
      </w:pPr>
      <w:r w:rsidRPr="0079786F">
        <w:rPr>
          <w:b/>
          <w:sz w:val="22"/>
          <w:szCs w:val="22"/>
        </w:rPr>
        <w:t>Fertilita, gravidita a laktácia</w:t>
      </w:r>
    </w:p>
    <w:p w14:paraId="617136A4" w14:textId="77777777" w:rsidR="00A94D41" w:rsidRDefault="00A94D41" w:rsidP="00B7315D">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2"/>
          <w:szCs w:val="22"/>
          <w:u w:val="single"/>
        </w:rPr>
      </w:pPr>
    </w:p>
    <w:p w14:paraId="4F4A0E44" w14:textId="77777777" w:rsidR="00A94D41" w:rsidRPr="00C30B9D" w:rsidRDefault="00A94D41" w:rsidP="00B7315D">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2"/>
          <w:szCs w:val="22"/>
          <w:u w:val="single"/>
        </w:rPr>
      </w:pPr>
      <w:r w:rsidRPr="00C30B9D">
        <w:rPr>
          <w:color w:val="000000"/>
          <w:sz w:val="22"/>
          <w:szCs w:val="22"/>
          <w:u w:val="single"/>
        </w:rPr>
        <w:t>Gravidita</w:t>
      </w:r>
    </w:p>
    <w:p w14:paraId="671214A0" w14:textId="0F728645" w:rsidR="00A94D41" w:rsidRDefault="00A94D41" w:rsidP="00B7315D">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2"/>
          <w:szCs w:val="22"/>
        </w:rPr>
      </w:pPr>
      <w:r w:rsidRPr="00C30B9D">
        <w:rPr>
          <w:color w:val="000000"/>
          <w:sz w:val="22"/>
          <w:szCs w:val="22"/>
        </w:rPr>
        <w:lastRenderedPageBreak/>
        <w:t>Ceftriaxón prechádza placentou k embryu/plodu. Nie sú dostatočné skúsenosti pri použití ceftriaxónu u</w:t>
      </w:r>
      <w:r w:rsidR="00C21E9E">
        <w:rPr>
          <w:color w:val="000000"/>
          <w:sz w:val="22"/>
          <w:szCs w:val="22"/>
        </w:rPr>
        <w:t> gravidných žien</w:t>
      </w:r>
      <w:r w:rsidRPr="00C30B9D">
        <w:rPr>
          <w:color w:val="000000"/>
          <w:sz w:val="22"/>
          <w:szCs w:val="22"/>
        </w:rPr>
        <w:t>: údaje z pokusov na zvieratách neodhalili žiadne nepriaznivé účinky na reprodukciu (pozri časť 5.3).</w:t>
      </w:r>
    </w:p>
    <w:p w14:paraId="2859122F" w14:textId="77777777" w:rsidR="00240CC4" w:rsidRDefault="00A94D41" w:rsidP="00B7315D">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2"/>
          <w:szCs w:val="22"/>
        </w:rPr>
      </w:pPr>
      <w:r w:rsidRPr="00C30B9D">
        <w:rPr>
          <w:color w:val="000000"/>
          <w:sz w:val="22"/>
          <w:szCs w:val="22"/>
        </w:rPr>
        <w:t xml:space="preserve">V rámci preventívnych opatrení má byť ceftriaxón počas gravidity </w:t>
      </w:r>
      <w:r w:rsidR="00B43074">
        <w:rPr>
          <w:color w:val="000000"/>
          <w:sz w:val="22"/>
          <w:szCs w:val="22"/>
        </w:rPr>
        <w:t>po</w:t>
      </w:r>
      <w:r w:rsidRPr="00C30B9D">
        <w:rPr>
          <w:color w:val="000000"/>
          <w:sz w:val="22"/>
          <w:szCs w:val="22"/>
        </w:rPr>
        <w:t>užívaný po zvážení pomeru benefit/riziko, najmä počas prvého trimestra.</w:t>
      </w:r>
      <w:r w:rsidR="00240CC4" w:rsidRPr="00240CC4">
        <w:rPr>
          <w:color w:val="000000"/>
          <w:sz w:val="22"/>
          <w:szCs w:val="22"/>
        </w:rPr>
        <w:t xml:space="preserve"> </w:t>
      </w:r>
    </w:p>
    <w:p w14:paraId="25E8707B" w14:textId="77777777" w:rsidR="00240CC4" w:rsidRPr="00C30B9D" w:rsidRDefault="00240CC4" w:rsidP="00B7315D">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2"/>
          <w:szCs w:val="22"/>
        </w:rPr>
      </w:pPr>
      <w:r>
        <w:rPr>
          <w:color w:val="000000"/>
          <w:sz w:val="22"/>
          <w:szCs w:val="22"/>
        </w:rPr>
        <w:t>Intramuskulárny c</w:t>
      </w:r>
      <w:r w:rsidRPr="00C30B9D">
        <w:rPr>
          <w:color w:val="000000"/>
          <w:sz w:val="22"/>
          <w:szCs w:val="22"/>
        </w:rPr>
        <w:t xml:space="preserve">eftriaxón </w:t>
      </w:r>
      <w:r>
        <w:rPr>
          <w:color w:val="000000"/>
          <w:sz w:val="22"/>
          <w:szCs w:val="22"/>
        </w:rPr>
        <w:t>s</w:t>
      </w:r>
      <w:r w:rsidRPr="00C30B9D">
        <w:rPr>
          <w:color w:val="000000"/>
          <w:sz w:val="22"/>
          <w:szCs w:val="22"/>
        </w:rPr>
        <w:t> lidokaín</w:t>
      </w:r>
      <w:r>
        <w:rPr>
          <w:color w:val="000000"/>
          <w:sz w:val="22"/>
          <w:szCs w:val="22"/>
        </w:rPr>
        <w:t>om</w:t>
      </w:r>
      <w:r w:rsidRPr="00C30B9D">
        <w:rPr>
          <w:color w:val="000000"/>
          <w:sz w:val="22"/>
          <w:szCs w:val="22"/>
        </w:rPr>
        <w:t xml:space="preserve"> sa nesmú požívať počas gravidity (pozri časť 4.3). Kontrolované klinické </w:t>
      </w:r>
      <w:r>
        <w:rPr>
          <w:color w:val="000000"/>
          <w:sz w:val="22"/>
          <w:szCs w:val="22"/>
        </w:rPr>
        <w:t>štúdie</w:t>
      </w:r>
      <w:r w:rsidRPr="00C30B9D">
        <w:rPr>
          <w:color w:val="000000"/>
          <w:sz w:val="22"/>
          <w:szCs w:val="22"/>
        </w:rPr>
        <w:t xml:space="preserve"> a údaje pre tehotné ženy nie sú dostupné.</w:t>
      </w:r>
      <w:r>
        <w:rPr>
          <w:color w:val="000000"/>
          <w:sz w:val="22"/>
          <w:szCs w:val="22"/>
        </w:rPr>
        <w:t xml:space="preserve"> </w:t>
      </w:r>
      <w:r w:rsidRPr="00C30B9D">
        <w:rPr>
          <w:color w:val="000000"/>
          <w:sz w:val="22"/>
          <w:szCs w:val="22"/>
        </w:rPr>
        <w:t>V pokusoch na zvieratách liečených lidokaínom sa zistili niektoré dôkazy o neurobehavior</w:t>
      </w:r>
      <w:r>
        <w:rPr>
          <w:color w:val="000000"/>
          <w:sz w:val="22"/>
          <w:szCs w:val="22"/>
        </w:rPr>
        <w:t>álnych</w:t>
      </w:r>
      <w:r w:rsidRPr="00C30B9D">
        <w:rPr>
          <w:color w:val="000000"/>
          <w:sz w:val="22"/>
          <w:szCs w:val="22"/>
        </w:rPr>
        <w:t xml:space="preserve"> zmenách, ale nezistili sa embryotoxické alebo teratogénne účinky.</w:t>
      </w:r>
    </w:p>
    <w:p w14:paraId="260FF466" w14:textId="77777777" w:rsidR="00A94D41" w:rsidRPr="00C30B9D" w:rsidRDefault="00A94D41" w:rsidP="00B7315D">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2"/>
          <w:szCs w:val="22"/>
          <w:u w:val="single"/>
        </w:rPr>
      </w:pPr>
    </w:p>
    <w:p w14:paraId="4D1FA613" w14:textId="3795B672" w:rsidR="00A94D41" w:rsidRPr="00C30B9D" w:rsidRDefault="00024177" w:rsidP="00B7315D">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2"/>
          <w:szCs w:val="22"/>
          <w:u w:val="single"/>
        </w:rPr>
      </w:pPr>
      <w:r>
        <w:rPr>
          <w:color w:val="000000"/>
          <w:sz w:val="22"/>
          <w:szCs w:val="22"/>
          <w:u w:val="single"/>
        </w:rPr>
        <w:t>Dojčenie</w:t>
      </w:r>
    </w:p>
    <w:p w14:paraId="52330982" w14:textId="3E80D369" w:rsidR="00A94D41" w:rsidRPr="00C30B9D" w:rsidRDefault="00A94D41" w:rsidP="00B7315D">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2"/>
          <w:szCs w:val="22"/>
        </w:rPr>
      </w:pPr>
      <w:r w:rsidRPr="00C30B9D">
        <w:rPr>
          <w:color w:val="000000"/>
          <w:sz w:val="22"/>
          <w:szCs w:val="22"/>
        </w:rPr>
        <w:t xml:space="preserve">Ceftriaxón je v nízkych koncentráciách vylučovaný do </w:t>
      </w:r>
      <w:r w:rsidR="00AF084D" w:rsidRPr="00C30B9D">
        <w:rPr>
          <w:color w:val="000000"/>
          <w:sz w:val="22"/>
          <w:szCs w:val="22"/>
        </w:rPr>
        <w:t xml:space="preserve">ľudského </w:t>
      </w:r>
      <w:r w:rsidRPr="00C30B9D">
        <w:rPr>
          <w:color w:val="000000"/>
          <w:sz w:val="22"/>
          <w:szCs w:val="22"/>
        </w:rPr>
        <w:t xml:space="preserve">mlieka. Ceftriaxón sa má </w:t>
      </w:r>
      <w:r w:rsidR="006C41EB">
        <w:rPr>
          <w:color w:val="000000"/>
          <w:sz w:val="22"/>
          <w:szCs w:val="22"/>
        </w:rPr>
        <w:t>po</w:t>
      </w:r>
      <w:r w:rsidRPr="00C30B9D">
        <w:rPr>
          <w:color w:val="000000"/>
          <w:sz w:val="22"/>
          <w:szCs w:val="22"/>
        </w:rPr>
        <w:t xml:space="preserve">užívať iba po stanovení pomeru benefit/riziko. </w:t>
      </w:r>
    </w:p>
    <w:p w14:paraId="0B009B91" w14:textId="058501CB" w:rsidR="00A94D41" w:rsidRDefault="00A94D41" w:rsidP="00B7315D">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2"/>
          <w:szCs w:val="22"/>
        </w:rPr>
      </w:pPr>
      <w:r w:rsidRPr="00C30B9D">
        <w:rPr>
          <w:color w:val="000000"/>
          <w:sz w:val="22"/>
          <w:szCs w:val="22"/>
        </w:rPr>
        <w:t>U dojčených detí sa m</w:t>
      </w:r>
      <w:r w:rsidRPr="00C30B9D">
        <w:rPr>
          <w:sz w:val="22"/>
          <w:szCs w:val="22"/>
        </w:rPr>
        <w:t xml:space="preserve">ôže vyskytnúť hnačka a hubová infekcia slizníc, takže </w:t>
      </w:r>
      <w:r w:rsidR="004D7604">
        <w:rPr>
          <w:sz w:val="22"/>
          <w:szCs w:val="22"/>
        </w:rPr>
        <w:t>dojčenie</w:t>
      </w:r>
      <w:r w:rsidR="004D7604" w:rsidRPr="00C30B9D">
        <w:rPr>
          <w:sz w:val="22"/>
          <w:szCs w:val="22"/>
        </w:rPr>
        <w:t xml:space="preserve"> </w:t>
      </w:r>
      <w:r w:rsidRPr="00C30B9D">
        <w:rPr>
          <w:sz w:val="22"/>
          <w:szCs w:val="22"/>
        </w:rPr>
        <w:t>sa má prerušiť. Treba myslieť na možnosť precitlivenosti.</w:t>
      </w:r>
    </w:p>
    <w:p w14:paraId="57017AA3" w14:textId="29D602F0" w:rsidR="00240CC4" w:rsidRDefault="00240CC4" w:rsidP="00B7315D">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2"/>
          <w:szCs w:val="22"/>
        </w:rPr>
      </w:pPr>
      <w:r w:rsidRPr="00C30B9D">
        <w:rPr>
          <w:color w:val="000000"/>
          <w:sz w:val="22"/>
          <w:szCs w:val="22"/>
        </w:rPr>
        <w:t xml:space="preserve">Ceftriaxón s lidokaínom sa nesmie používať počas </w:t>
      </w:r>
      <w:r>
        <w:rPr>
          <w:color w:val="000000"/>
          <w:sz w:val="22"/>
          <w:szCs w:val="22"/>
        </w:rPr>
        <w:t>dojčenia</w:t>
      </w:r>
      <w:r w:rsidRPr="00C30B9D">
        <w:rPr>
          <w:color w:val="000000"/>
          <w:sz w:val="22"/>
          <w:szCs w:val="22"/>
        </w:rPr>
        <w:t xml:space="preserve"> (pozri časť 4.3).</w:t>
      </w:r>
      <w:r w:rsidRPr="00240CC4">
        <w:rPr>
          <w:color w:val="000000"/>
          <w:sz w:val="22"/>
          <w:szCs w:val="22"/>
        </w:rPr>
        <w:t xml:space="preserve"> </w:t>
      </w:r>
      <w:r w:rsidRPr="00C30B9D">
        <w:rPr>
          <w:color w:val="000000"/>
          <w:sz w:val="22"/>
          <w:szCs w:val="22"/>
        </w:rPr>
        <w:t xml:space="preserve">Lidokaín </w:t>
      </w:r>
      <w:r>
        <w:rPr>
          <w:color w:val="000000"/>
          <w:sz w:val="22"/>
          <w:szCs w:val="22"/>
        </w:rPr>
        <w:t>(</w:t>
      </w:r>
      <w:r w:rsidRPr="00C30B9D">
        <w:rPr>
          <w:color w:val="000000"/>
          <w:sz w:val="22"/>
          <w:szCs w:val="22"/>
        </w:rPr>
        <w:t>je v nízkych koncentráciách vylučovaný do materského mlieka.</w:t>
      </w:r>
    </w:p>
    <w:p w14:paraId="39EB6DEA" w14:textId="77777777" w:rsidR="00D83AFA" w:rsidRPr="00C30B9D" w:rsidRDefault="00D83AFA" w:rsidP="00B7315D">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2"/>
          <w:szCs w:val="22"/>
        </w:rPr>
      </w:pPr>
    </w:p>
    <w:p w14:paraId="0F86C9FE" w14:textId="62F60731" w:rsidR="00A94D41" w:rsidRPr="00C30B9D" w:rsidRDefault="00A94D41" w:rsidP="00B7315D">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2"/>
          <w:szCs w:val="22"/>
        </w:rPr>
      </w:pPr>
    </w:p>
    <w:p w14:paraId="7083E6FE" w14:textId="6C5A6E79" w:rsidR="00A94D41" w:rsidRPr="0079786F" w:rsidRDefault="00A94D41" w:rsidP="00B7315D">
      <w:pPr>
        <w:numPr>
          <w:ilvl w:val="1"/>
          <w:numId w:val="4"/>
        </w:numPr>
        <w:ind w:left="0" w:firstLine="0"/>
        <w:jc w:val="both"/>
        <w:rPr>
          <w:b/>
          <w:sz w:val="22"/>
          <w:szCs w:val="22"/>
        </w:rPr>
      </w:pPr>
      <w:r w:rsidRPr="0079786F">
        <w:rPr>
          <w:b/>
          <w:sz w:val="22"/>
          <w:szCs w:val="22"/>
        </w:rPr>
        <w:t>Ovplyvnenie schopnosti viesť vozidlá a obsluhovať stroje</w:t>
      </w:r>
    </w:p>
    <w:p w14:paraId="0F419244" w14:textId="77777777" w:rsidR="00A94D41" w:rsidRPr="0079786F" w:rsidRDefault="00A94D41" w:rsidP="00B7315D">
      <w:pPr>
        <w:jc w:val="both"/>
        <w:rPr>
          <w:sz w:val="22"/>
          <w:szCs w:val="22"/>
        </w:rPr>
      </w:pPr>
    </w:p>
    <w:p w14:paraId="6194F512" w14:textId="77777777" w:rsidR="00A94D41" w:rsidRPr="0079786F" w:rsidRDefault="00A94D41" w:rsidP="00B7315D">
      <w:pPr>
        <w:autoSpaceDE w:val="0"/>
        <w:autoSpaceDN w:val="0"/>
        <w:adjustRightInd w:val="0"/>
        <w:jc w:val="both"/>
        <w:rPr>
          <w:sz w:val="22"/>
          <w:szCs w:val="22"/>
        </w:rPr>
      </w:pPr>
      <w:r w:rsidRPr="0079786F">
        <w:rPr>
          <w:sz w:val="22"/>
          <w:szCs w:val="22"/>
        </w:rPr>
        <w:t xml:space="preserve">Ceftriaxón nemá žiadny alebo </w:t>
      </w:r>
      <w:r w:rsidR="00162E61">
        <w:rPr>
          <w:sz w:val="22"/>
          <w:szCs w:val="22"/>
        </w:rPr>
        <w:t>má</w:t>
      </w:r>
      <w:r w:rsidR="00162E61" w:rsidRPr="0079786F">
        <w:rPr>
          <w:sz w:val="22"/>
          <w:szCs w:val="22"/>
        </w:rPr>
        <w:t xml:space="preserve"> </w:t>
      </w:r>
      <w:r w:rsidRPr="0079786F">
        <w:rPr>
          <w:sz w:val="22"/>
          <w:szCs w:val="22"/>
        </w:rPr>
        <w:t>zanedbateľný vplyv na schopnosť viesť vozidlá a obsluhovať stroje. Treba však vziať do úvahy nežiaduce účinky, ako je napríklad hypotenzia alebo vertigo (pozri časť 4.8).</w:t>
      </w:r>
    </w:p>
    <w:p w14:paraId="2A8AA07D" w14:textId="77777777" w:rsidR="00A94D41" w:rsidRPr="0079786F" w:rsidRDefault="00A94D41" w:rsidP="00B7315D">
      <w:pPr>
        <w:jc w:val="both"/>
        <w:rPr>
          <w:sz w:val="22"/>
          <w:szCs w:val="22"/>
        </w:rPr>
      </w:pPr>
    </w:p>
    <w:p w14:paraId="233B92EF" w14:textId="77777777" w:rsidR="00A94D41" w:rsidRDefault="00A94D41" w:rsidP="00B7315D">
      <w:pPr>
        <w:numPr>
          <w:ilvl w:val="1"/>
          <w:numId w:val="5"/>
        </w:numPr>
        <w:ind w:left="0" w:firstLine="0"/>
        <w:jc w:val="both"/>
        <w:rPr>
          <w:b/>
          <w:sz w:val="22"/>
          <w:szCs w:val="22"/>
        </w:rPr>
      </w:pPr>
      <w:r w:rsidRPr="0079786F">
        <w:rPr>
          <w:b/>
          <w:sz w:val="22"/>
          <w:szCs w:val="22"/>
        </w:rPr>
        <w:t>Nežiaduce účinky</w:t>
      </w:r>
    </w:p>
    <w:p w14:paraId="3F80A527" w14:textId="77777777" w:rsidR="00A94D41" w:rsidRPr="00306F0A" w:rsidRDefault="00A94D41" w:rsidP="00B7315D">
      <w:pPr>
        <w:jc w:val="both"/>
        <w:rPr>
          <w:sz w:val="22"/>
          <w:szCs w:val="22"/>
        </w:rPr>
      </w:pPr>
    </w:p>
    <w:p w14:paraId="454CAA33" w14:textId="77777777" w:rsidR="00A94D41" w:rsidRPr="0079786F" w:rsidRDefault="00A94D41" w:rsidP="00B7315D">
      <w:pPr>
        <w:autoSpaceDE w:val="0"/>
        <w:autoSpaceDN w:val="0"/>
        <w:adjustRightInd w:val="0"/>
        <w:jc w:val="both"/>
        <w:rPr>
          <w:sz w:val="22"/>
          <w:szCs w:val="22"/>
        </w:rPr>
      </w:pPr>
      <w:r w:rsidRPr="0079786F">
        <w:rPr>
          <w:sz w:val="22"/>
          <w:szCs w:val="22"/>
        </w:rPr>
        <w:t>Boli hlásené vzácne, závažné a v niektorých prípadoch fatálne nežiaduce účinky u nedonosených novorodencov a donosených novorodencov (mladších ako 28 dní), ktorí sa liečili intravenózne podávaným ceftriaxónom a kalciom. Post-mortem boli v pľúcach a </w:t>
      </w:r>
      <w:r w:rsidR="00162E61">
        <w:rPr>
          <w:sz w:val="22"/>
          <w:szCs w:val="22"/>
        </w:rPr>
        <w:t>obličkách</w:t>
      </w:r>
      <w:r w:rsidR="00162E61" w:rsidRPr="0079786F">
        <w:rPr>
          <w:sz w:val="22"/>
          <w:szCs w:val="22"/>
        </w:rPr>
        <w:t xml:space="preserve"> </w:t>
      </w:r>
      <w:r w:rsidRPr="0079786F">
        <w:rPr>
          <w:sz w:val="22"/>
          <w:szCs w:val="22"/>
        </w:rPr>
        <w:t>pozorované preci</w:t>
      </w:r>
      <w:smartTag w:uri="urn:schemas-microsoft-com:office:smarttags" w:element="PersonName">
        <w:r w:rsidRPr="0079786F">
          <w:rPr>
            <w:sz w:val="22"/>
            <w:szCs w:val="22"/>
          </w:rPr>
          <w:t>pit</w:t>
        </w:r>
      </w:smartTag>
      <w:r w:rsidRPr="0079786F">
        <w:rPr>
          <w:sz w:val="22"/>
          <w:szCs w:val="22"/>
        </w:rPr>
        <w:t>áty vápenatej soli ceftriaxónu. Vysoké riziko preci</w:t>
      </w:r>
      <w:smartTag w:uri="urn:schemas-microsoft-com:office:smarttags" w:element="PersonName">
        <w:r w:rsidRPr="0079786F">
          <w:rPr>
            <w:sz w:val="22"/>
            <w:szCs w:val="22"/>
          </w:rPr>
          <w:t>pit</w:t>
        </w:r>
      </w:smartTag>
      <w:r w:rsidRPr="0079786F">
        <w:rPr>
          <w:sz w:val="22"/>
          <w:szCs w:val="22"/>
        </w:rPr>
        <w:t>ácie u novorodencov je spôsobené ich nízkym objemom krvi a dlhším polčasom ceftriaxónu v porovnaní s dospelými (pozri časti 4.3, 4.4 a 5.2).</w:t>
      </w:r>
    </w:p>
    <w:p w14:paraId="292A48FC" w14:textId="77777777" w:rsidR="00A94D41" w:rsidRPr="0079786F" w:rsidRDefault="00A94D41" w:rsidP="00B7315D">
      <w:pPr>
        <w:autoSpaceDE w:val="0"/>
        <w:autoSpaceDN w:val="0"/>
        <w:adjustRightInd w:val="0"/>
        <w:jc w:val="both"/>
        <w:rPr>
          <w:sz w:val="22"/>
          <w:szCs w:val="22"/>
        </w:rPr>
      </w:pPr>
    </w:p>
    <w:p w14:paraId="563EB8F2" w14:textId="77777777" w:rsidR="00A94D41" w:rsidRDefault="00A94D41" w:rsidP="00B7315D">
      <w:pPr>
        <w:pStyle w:val="Zkladntext"/>
        <w:spacing w:after="0"/>
        <w:jc w:val="both"/>
        <w:rPr>
          <w:sz w:val="22"/>
          <w:szCs w:val="22"/>
        </w:rPr>
      </w:pPr>
      <w:r w:rsidRPr="0079786F">
        <w:rPr>
          <w:sz w:val="22"/>
          <w:szCs w:val="22"/>
        </w:rPr>
        <w:t xml:space="preserve">Nežiaduce účinky sú uvedené nižšie podľa tried orgánových systémov a frekvencie. Frekvencie sú definované ako: veľmi časté (≥1/10), časté (≥1/100 až  &lt;1/10), menej časté (≥1/1 000 až &lt;1/100), zriedkavé (≥1/10 000 až &lt;1/1000), veľmi zriedkavé (&lt;1/10 000), neznáme (z dostupných údajov). </w:t>
      </w:r>
    </w:p>
    <w:p w14:paraId="3F4A0E1B" w14:textId="77777777" w:rsidR="00F97ACC" w:rsidRDefault="00F97ACC" w:rsidP="00B7315D">
      <w:pPr>
        <w:pStyle w:val="Zkladntext"/>
        <w:spacing w:after="0"/>
        <w:jc w:val="both"/>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1531"/>
        <w:gridCol w:w="1417"/>
        <w:gridCol w:w="1418"/>
        <w:gridCol w:w="1588"/>
        <w:gridCol w:w="1247"/>
      </w:tblGrid>
      <w:tr w:rsidR="00A94D41" w:rsidRPr="0079786F" w14:paraId="574E514D" w14:textId="77777777" w:rsidTr="00BF1376">
        <w:tc>
          <w:tcPr>
            <w:tcW w:w="1413" w:type="dxa"/>
          </w:tcPr>
          <w:p w14:paraId="170BF4C2" w14:textId="77777777" w:rsidR="00A94D41" w:rsidRPr="0079786F" w:rsidRDefault="00A94D41" w:rsidP="00B7315D">
            <w:pPr>
              <w:jc w:val="both"/>
              <w:rPr>
                <w:b/>
                <w:sz w:val="22"/>
                <w:szCs w:val="22"/>
              </w:rPr>
            </w:pPr>
          </w:p>
        </w:tc>
        <w:tc>
          <w:tcPr>
            <w:tcW w:w="1417" w:type="dxa"/>
          </w:tcPr>
          <w:p w14:paraId="40B96CE0" w14:textId="77777777" w:rsidR="00A94D41" w:rsidRPr="0079786F" w:rsidRDefault="00A94D41" w:rsidP="00B7315D">
            <w:pPr>
              <w:jc w:val="both"/>
              <w:rPr>
                <w:sz w:val="22"/>
                <w:szCs w:val="22"/>
              </w:rPr>
            </w:pPr>
            <w:r w:rsidRPr="0079786F">
              <w:rPr>
                <w:sz w:val="22"/>
                <w:szCs w:val="22"/>
              </w:rPr>
              <w:t>Veľmi časté</w:t>
            </w:r>
          </w:p>
          <w:p w14:paraId="2492A245" w14:textId="77777777" w:rsidR="00A94D41" w:rsidRPr="0079786F" w:rsidRDefault="00A94D41" w:rsidP="00B7315D">
            <w:pPr>
              <w:jc w:val="both"/>
              <w:rPr>
                <w:sz w:val="22"/>
                <w:szCs w:val="22"/>
              </w:rPr>
            </w:pPr>
            <w:r w:rsidRPr="0079786F">
              <w:rPr>
                <w:sz w:val="22"/>
                <w:szCs w:val="22"/>
              </w:rPr>
              <w:t>(&gt;1/10)</w:t>
            </w:r>
          </w:p>
        </w:tc>
        <w:tc>
          <w:tcPr>
            <w:tcW w:w="1531" w:type="dxa"/>
          </w:tcPr>
          <w:p w14:paraId="28680331" w14:textId="77777777" w:rsidR="00A94D41" w:rsidRPr="0079786F" w:rsidRDefault="00A94D41" w:rsidP="00B7315D">
            <w:pPr>
              <w:jc w:val="both"/>
              <w:rPr>
                <w:sz w:val="22"/>
                <w:szCs w:val="22"/>
              </w:rPr>
            </w:pPr>
            <w:r w:rsidRPr="0079786F">
              <w:rPr>
                <w:sz w:val="22"/>
                <w:szCs w:val="22"/>
              </w:rPr>
              <w:t xml:space="preserve">Časté </w:t>
            </w:r>
          </w:p>
          <w:p w14:paraId="394F2546" w14:textId="77777777" w:rsidR="00A94D41" w:rsidRPr="0079786F" w:rsidRDefault="00A94D41" w:rsidP="00B7315D">
            <w:pPr>
              <w:jc w:val="both"/>
              <w:rPr>
                <w:sz w:val="22"/>
                <w:szCs w:val="22"/>
              </w:rPr>
            </w:pPr>
            <w:r w:rsidRPr="0079786F">
              <w:rPr>
                <w:sz w:val="22"/>
                <w:szCs w:val="22"/>
              </w:rPr>
              <w:t>(&gt;1/100; &lt;1/10)</w:t>
            </w:r>
          </w:p>
        </w:tc>
        <w:tc>
          <w:tcPr>
            <w:tcW w:w="1417" w:type="dxa"/>
          </w:tcPr>
          <w:p w14:paraId="2C55CA4B" w14:textId="77777777" w:rsidR="00A94D41" w:rsidRPr="0079786F" w:rsidRDefault="00A94D41" w:rsidP="00B7315D">
            <w:pPr>
              <w:jc w:val="both"/>
              <w:rPr>
                <w:sz w:val="22"/>
                <w:szCs w:val="22"/>
              </w:rPr>
            </w:pPr>
            <w:r w:rsidRPr="0079786F">
              <w:rPr>
                <w:sz w:val="22"/>
                <w:szCs w:val="22"/>
              </w:rPr>
              <w:t xml:space="preserve">Menej časté </w:t>
            </w:r>
          </w:p>
          <w:p w14:paraId="723E6D3E" w14:textId="77777777" w:rsidR="00A94D41" w:rsidRPr="0079786F" w:rsidRDefault="00A94D41" w:rsidP="00B7315D">
            <w:pPr>
              <w:jc w:val="both"/>
              <w:rPr>
                <w:sz w:val="22"/>
                <w:szCs w:val="22"/>
              </w:rPr>
            </w:pPr>
            <w:r w:rsidRPr="0079786F">
              <w:rPr>
                <w:sz w:val="22"/>
                <w:szCs w:val="22"/>
              </w:rPr>
              <w:t>(&gt;1/1000; &lt;1/100)</w:t>
            </w:r>
          </w:p>
        </w:tc>
        <w:tc>
          <w:tcPr>
            <w:tcW w:w="1418" w:type="dxa"/>
          </w:tcPr>
          <w:p w14:paraId="5FF1E719" w14:textId="77777777" w:rsidR="00A94D41" w:rsidRPr="0079786F" w:rsidRDefault="00A94D41" w:rsidP="00B7315D">
            <w:pPr>
              <w:jc w:val="both"/>
              <w:rPr>
                <w:sz w:val="22"/>
                <w:szCs w:val="22"/>
              </w:rPr>
            </w:pPr>
            <w:r w:rsidRPr="0079786F">
              <w:rPr>
                <w:sz w:val="22"/>
                <w:szCs w:val="22"/>
              </w:rPr>
              <w:t>Zriedkavé</w:t>
            </w:r>
          </w:p>
          <w:p w14:paraId="5E3B826C" w14:textId="77777777" w:rsidR="00A94D41" w:rsidRPr="0079786F" w:rsidRDefault="00A94D41" w:rsidP="00B7315D">
            <w:pPr>
              <w:jc w:val="both"/>
              <w:rPr>
                <w:sz w:val="22"/>
                <w:szCs w:val="22"/>
              </w:rPr>
            </w:pPr>
            <w:r w:rsidRPr="0079786F">
              <w:rPr>
                <w:sz w:val="22"/>
                <w:szCs w:val="22"/>
              </w:rPr>
              <w:t>(&gt;1/10 000; &lt;1/1000)</w:t>
            </w:r>
          </w:p>
        </w:tc>
        <w:tc>
          <w:tcPr>
            <w:tcW w:w="1588" w:type="dxa"/>
          </w:tcPr>
          <w:p w14:paraId="2C0748FF" w14:textId="77777777" w:rsidR="00A94D41" w:rsidRPr="0079786F" w:rsidRDefault="00A94D41" w:rsidP="00B7315D">
            <w:pPr>
              <w:jc w:val="both"/>
              <w:rPr>
                <w:sz w:val="22"/>
                <w:szCs w:val="22"/>
              </w:rPr>
            </w:pPr>
            <w:r w:rsidRPr="0079786F">
              <w:rPr>
                <w:sz w:val="22"/>
                <w:szCs w:val="22"/>
              </w:rPr>
              <w:t>Veľmi zriedkavé</w:t>
            </w:r>
          </w:p>
          <w:p w14:paraId="2E88175C" w14:textId="77777777" w:rsidR="00A94D41" w:rsidRPr="0079786F" w:rsidRDefault="00A94D41" w:rsidP="00B7315D">
            <w:pPr>
              <w:jc w:val="both"/>
              <w:rPr>
                <w:sz w:val="22"/>
                <w:szCs w:val="22"/>
              </w:rPr>
            </w:pPr>
            <w:r w:rsidRPr="0079786F">
              <w:rPr>
                <w:sz w:val="22"/>
                <w:szCs w:val="22"/>
              </w:rPr>
              <w:t xml:space="preserve">(&lt;1/10 000) </w:t>
            </w:r>
          </w:p>
          <w:p w14:paraId="35F4EB28" w14:textId="77777777" w:rsidR="00A94D41" w:rsidRPr="0079786F" w:rsidRDefault="00E976EA" w:rsidP="00B7315D">
            <w:pPr>
              <w:jc w:val="both"/>
              <w:rPr>
                <w:sz w:val="22"/>
                <w:szCs w:val="22"/>
              </w:rPr>
            </w:pPr>
            <w:r>
              <w:rPr>
                <w:sz w:val="22"/>
                <w:szCs w:val="22"/>
              </w:rPr>
              <w:t>vrátane</w:t>
            </w:r>
            <w:r w:rsidR="00A94D41" w:rsidRPr="0079786F">
              <w:rPr>
                <w:sz w:val="22"/>
                <w:szCs w:val="22"/>
              </w:rPr>
              <w:t xml:space="preserve"> izolovaných prípadov</w:t>
            </w:r>
          </w:p>
        </w:tc>
        <w:tc>
          <w:tcPr>
            <w:tcW w:w="1247" w:type="dxa"/>
          </w:tcPr>
          <w:p w14:paraId="0FEE22FE" w14:textId="77777777" w:rsidR="00A94D41" w:rsidRPr="0079786F" w:rsidRDefault="00A94D41" w:rsidP="00B7315D">
            <w:pPr>
              <w:jc w:val="both"/>
              <w:rPr>
                <w:sz w:val="22"/>
                <w:szCs w:val="22"/>
              </w:rPr>
            </w:pPr>
            <w:r w:rsidRPr="0079786F">
              <w:rPr>
                <w:sz w:val="22"/>
                <w:szCs w:val="22"/>
              </w:rPr>
              <w:t xml:space="preserve">Neznáme </w:t>
            </w:r>
          </w:p>
          <w:p w14:paraId="3DC12C5C" w14:textId="77777777" w:rsidR="00A94D41" w:rsidRPr="0079786F" w:rsidRDefault="00A94D41" w:rsidP="00B7315D">
            <w:pPr>
              <w:jc w:val="both"/>
              <w:rPr>
                <w:sz w:val="22"/>
                <w:szCs w:val="22"/>
              </w:rPr>
            </w:pPr>
            <w:r w:rsidRPr="0079786F">
              <w:rPr>
                <w:sz w:val="22"/>
                <w:szCs w:val="22"/>
              </w:rPr>
              <w:t>(z dostup-</w:t>
            </w:r>
          </w:p>
          <w:p w14:paraId="36CFA734" w14:textId="77777777" w:rsidR="00A94D41" w:rsidRPr="0079786F" w:rsidRDefault="00A94D41" w:rsidP="00B7315D">
            <w:pPr>
              <w:jc w:val="both"/>
              <w:rPr>
                <w:sz w:val="22"/>
                <w:szCs w:val="22"/>
              </w:rPr>
            </w:pPr>
            <w:r w:rsidRPr="0079786F">
              <w:rPr>
                <w:sz w:val="22"/>
                <w:szCs w:val="22"/>
              </w:rPr>
              <w:t>ných údajov)</w:t>
            </w:r>
          </w:p>
        </w:tc>
      </w:tr>
      <w:tr w:rsidR="00A94D41" w:rsidRPr="0079786F" w14:paraId="1F6E4004" w14:textId="77777777" w:rsidTr="00BF1376">
        <w:tc>
          <w:tcPr>
            <w:tcW w:w="1413" w:type="dxa"/>
          </w:tcPr>
          <w:p w14:paraId="7291E7E3" w14:textId="77777777" w:rsidR="00A94D41" w:rsidRPr="0079786F" w:rsidRDefault="00A94D41" w:rsidP="00B7315D">
            <w:pPr>
              <w:jc w:val="both"/>
              <w:rPr>
                <w:b/>
                <w:sz w:val="22"/>
                <w:szCs w:val="22"/>
              </w:rPr>
            </w:pPr>
            <w:r w:rsidRPr="0079786F">
              <w:rPr>
                <w:b/>
                <w:sz w:val="22"/>
                <w:szCs w:val="22"/>
              </w:rPr>
              <w:t xml:space="preserve">Infekcie </w:t>
            </w:r>
          </w:p>
          <w:p w14:paraId="6279E566" w14:textId="77777777" w:rsidR="00A94D41" w:rsidRPr="0079786F" w:rsidRDefault="00A94D41" w:rsidP="00B7315D">
            <w:pPr>
              <w:jc w:val="both"/>
              <w:rPr>
                <w:b/>
                <w:sz w:val="22"/>
                <w:szCs w:val="22"/>
              </w:rPr>
            </w:pPr>
            <w:r w:rsidRPr="0079786F">
              <w:rPr>
                <w:b/>
                <w:sz w:val="22"/>
                <w:szCs w:val="22"/>
              </w:rPr>
              <w:t>a nákazy</w:t>
            </w:r>
          </w:p>
        </w:tc>
        <w:tc>
          <w:tcPr>
            <w:tcW w:w="1417" w:type="dxa"/>
          </w:tcPr>
          <w:p w14:paraId="796276A8" w14:textId="77777777" w:rsidR="00A94D41" w:rsidRPr="0079786F" w:rsidRDefault="00A94D41" w:rsidP="00B7315D">
            <w:pPr>
              <w:jc w:val="both"/>
              <w:rPr>
                <w:sz w:val="22"/>
                <w:szCs w:val="22"/>
              </w:rPr>
            </w:pPr>
          </w:p>
        </w:tc>
        <w:tc>
          <w:tcPr>
            <w:tcW w:w="1531" w:type="dxa"/>
          </w:tcPr>
          <w:p w14:paraId="516F0DDB" w14:textId="77777777" w:rsidR="00A94D41" w:rsidRPr="0079786F" w:rsidRDefault="00A94D41" w:rsidP="00B7315D">
            <w:pPr>
              <w:jc w:val="both"/>
              <w:rPr>
                <w:sz w:val="22"/>
                <w:szCs w:val="22"/>
              </w:rPr>
            </w:pPr>
          </w:p>
        </w:tc>
        <w:tc>
          <w:tcPr>
            <w:tcW w:w="1417" w:type="dxa"/>
          </w:tcPr>
          <w:p w14:paraId="2C736A18" w14:textId="77777777" w:rsidR="00A94D41" w:rsidRPr="0079786F" w:rsidRDefault="00A94D41" w:rsidP="00B7315D">
            <w:pPr>
              <w:jc w:val="both"/>
              <w:rPr>
                <w:sz w:val="22"/>
                <w:szCs w:val="22"/>
              </w:rPr>
            </w:pPr>
            <w:r w:rsidRPr="0079786F">
              <w:rPr>
                <w:sz w:val="22"/>
                <w:szCs w:val="22"/>
              </w:rPr>
              <w:t>mykóza genitálneho traktu, superinfekcia necitlivými mikroorganizmami</w:t>
            </w:r>
          </w:p>
        </w:tc>
        <w:tc>
          <w:tcPr>
            <w:tcW w:w="1418" w:type="dxa"/>
          </w:tcPr>
          <w:p w14:paraId="62B9E4E5" w14:textId="77777777" w:rsidR="00A94D41" w:rsidRPr="0079786F" w:rsidRDefault="00A94D41" w:rsidP="00B7315D">
            <w:pPr>
              <w:jc w:val="both"/>
              <w:rPr>
                <w:sz w:val="22"/>
                <w:szCs w:val="22"/>
              </w:rPr>
            </w:pPr>
          </w:p>
        </w:tc>
        <w:tc>
          <w:tcPr>
            <w:tcW w:w="1588" w:type="dxa"/>
          </w:tcPr>
          <w:p w14:paraId="108F1EA7" w14:textId="77777777" w:rsidR="00A94D41" w:rsidRPr="0079786F" w:rsidRDefault="00A94D41" w:rsidP="00B7315D">
            <w:pPr>
              <w:jc w:val="both"/>
              <w:rPr>
                <w:sz w:val="22"/>
                <w:szCs w:val="22"/>
              </w:rPr>
            </w:pPr>
          </w:p>
        </w:tc>
        <w:tc>
          <w:tcPr>
            <w:tcW w:w="1247" w:type="dxa"/>
          </w:tcPr>
          <w:p w14:paraId="5D97B100" w14:textId="77777777" w:rsidR="00A94D41" w:rsidRPr="0079786F" w:rsidRDefault="00A94D41" w:rsidP="00B7315D">
            <w:pPr>
              <w:jc w:val="both"/>
              <w:rPr>
                <w:sz w:val="22"/>
                <w:szCs w:val="22"/>
              </w:rPr>
            </w:pPr>
          </w:p>
        </w:tc>
      </w:tr>
      <w:tr w:rsidR="00A94D41" w:rsidRPr="0079786F" w14:paraId="7ADC0ABC" w14:textId="77777777" w:rsidTr="00BF1376">
        <w:tc>
          <w:tcPr>
            <w:tcW w:w="1413" w:type="dxa"/>
          </w:tcPr>
          <w:p w14:paraId="639AAC52" w14:textId="77777777" w:rsidR="00A94D41" w:rsidRPr="0079786F" w:rsidRDefault="00A94D41" w:rsidP="00B7315D">
            <w:pPr>
              <w:jc w:val="both"/>
              <w:rPr>
                <w:b/>
                <w:sz w:val="22"/>
                <w:szCs w:val="22"/>
              </w:rPr>
            </w:pPr>
            <w:r w:rsidRPr="0079786F">
              <w:rPr>
                <w:b/>
                <w:sz w:val="22"/>
                <w:szCs w:val="22"/>
              </w:rPr>
              <w:t xml:space="preserve">Poruchy krvi </w:t>
            </w:r>
          </w:p>
          <w:p w14:paraId="3FD1C1F2" w14:textId="77777777" w:rsidR="00A94D41" w:rsidRPr="0079786F" w:rsidRDefault="00A94D41" w:rsidP="00B7315D">
            <w:pPr>
              <w:jc w:val="both"/>
              <w:rPr>
                <w:b/>
                <w:sz w:val="22"/>
                <w:szCs w:val="22"/>
              </w:rPr>
            </w:pPr>
            <w:r w:rsidRPr="0079786F">
              <w:rPr>
                <w:b/>
                <w:sz w:val="22"/>
                <w:szCs w:val="22"/>
              </w:rPr>
              <w:t>a lymfatické-ho systému</w:t>
            </w:r>
          </w:p>
        </w:tc>
        <w:tc>
          <w:tcPr>
            <w:tcW w:w="1417" w:type="dxa"/>
          </w:tcPr>
          <w:p w14:paraId="6D0A39ED" w14:textId="77777777" w:rsidR="00A94D41" w:rsidRPr="0079786F" w:rsidRDefault="00A94D41" w:rsidP="00B7315D">
            <w:pPr>
              <w:jc w:val="both"/>
              <w:rPr>
                <w:sz w:val="22"/>
                <w:szCs w:val="22"/>
              </w:rPr>
            </w:pPr>
          </w:p>
        </w:tc>
        <w:tc>
          <w:tcPr>
            <w:tcW w:w="1531" w:type="dxa"/>
          </w:tcPr>
          <w:p w14:paraId="3C5D3135" w14:textId="77777777" w:rsidR="00A94D41" w:rsidRPr="0079786F" w:rsidRDefault="00A94D41" w:rsidP="00B7315D">
            <w:pPr>
              <w:jc w:val="both"/>
              <w:rPr>
                <w:sz w:val="22"/>
                <w:szCs w:val="22"/>
              </w:rPr>
            </w:pPr>
          </w:p>
        </w:tc>
        <w:tc>
          <w:tcPr>
            <w:tcW w:w="1417" w:type="dxa"/>
          </w:tcPr>
          <w:p w14:paraId="5E359EAF" w14:textId="77777777" w:rsidR="00A94D41" w:rsidRPr="0079786F" w:rsidRDefault="00A94D41" w:rsidP="00B7315D">
            <w:pPr>
              <w:jc w:val="both"/>
              <w:rPr>
                <w:sz w:val="22"/>
                <w:szCs w:val="22"/>
              </w:rPr>
            </w:pPr>
          </w:p>
        </w:tc>
        <w:tc>
          <w:tcPr>
            <w:tcW w:w="1418" w:type="dxa"/>
          </w:tcPr>
          <w:p w14:paraId="4A159702" w14:textId="77777777" w:rsidR="00A94D41" w:rsidRPr="0079786F" w:rsidRDefault="00A94D41" w:rsidP="00B7315D">
            <w:pPr>
              <w:jc w:val="both"/>
              <w:rPr>
                <w:sz w:val="22"/>
                <w:szCs w:val="22"/>
              </w:rPr>
            </w:pPr>
            <w:r w:rsidRPr="0079786F">
              <w:rPr>
                <w:sz w:val="22"/>
                <w:szCs w:val="22"/>
              </w:rPr>
              <w:t>eozinofília, leukopénia, granulocyto</w:t>
            </w:r>
          </w:p>
          <w:p w14:paraId="394F1619" w14:textId="77777777" w:rsidR="00A94D41" w:rsidRPr="0079786F" w:rsidRDefault="00A94D41" w:rsidP="00B7315D">
            <w:pPr>
              <w:autoSpaceDE w:val="0"/>
              <w:autoSpaceDN w:val="0"/>
              <w:adjustRightInd w:val="0"/>
              <w:jc w:val="both"/>
              <w:rPr>
                <w:sz w:val="22"/>
                <w:szCs w:val="22"/>
              </w:rPr>
            </w:pPr>
            <w:r w:rsidRPr="0079786F">
              <w:rPr>
                <w:sz w:val="22"/>
                <w:szCs w:val="22"/>
              </w:rPr>
              <w:t xml:space="preserve">pénia, </w:t>
            </w:r>
          </w:p>
          <w:p w14:paraId="2A0F85EA" w14:textId="77777777" w:rsidR="00A94D41" w:rsidRPr="0079786F" w:rsidRDefault="00A94D41" w:rsidP="00B7315D">
            <w:pPr>
              <w:jc w:val="both"/>
              <w:rPr>
                <w:sz w:val="22"/>
                <w:szCs w:val="22"/>
              </w:rPr>
            </w:pPr>
          </w:p>
        </w:tc>
        <w:tc>
          <w:tcPr>
            <w:tcW w:w="1588" w:type="dxa"/>
          </w:tcPr>
          <w:p w14:paraId="30912AC4" w14:textId="77777777" w:rsidR="00A94D41" w:rsidRPr="0079786F" w:rsidRDefault="00A94D41" w:rsidP="00B7315D">
            <w:pPr>
              <w:autoSpaceDE w:val="0"/>
              <w:autoSpaceDN w:val="0"/>
              <w:adjustRightInd w:val="0"/>
              <w:jc w:val="both"/>
              <w:rPr>
                <w:sz w:val="22"/>
                <w:szCs w:val="22"/>
              </w:rPr>
            </w:pPr>
            <w:r w:rsidRPr="0079786F">
              <w:rPr>
                <w:sz w:val="22"/>
                <w:szCs w:val="22"/>
              </w:rPr>
              <w:t xml:space="preserve">agranulocytóza (&lt;500/mm3)*, poruchy koagulácie, </w:t>
            </w:r>
          </w:p>
          <w:p w14:paraId="4C2262FD" w14:textId="77777777" w:rsidR="00A94D41" w:rsidRPr="0079786F" w:rsidRDefault="00A94D41" w:rsidP="00B7315D">
            <w:pPr>
              <w:autoSpaceDE w:val="0"/>
              <w:autoSpaceDN w:val="0"/>
              <w:adjustRightInd w:val="0"/>
              <w:jc w:val="both"/>
              <w:rPr>
                <w:sz w:val="22"/>
                <w:szCs w:val="22"/>
              </w:rPr>
            </w:pPr>
            <w:r w:rsidRPr="0079786F">
              <w:rPr>
                <w:sz w:val="22"/>
                <w:szCs w:val="22"/>
              </w:rPr>
              <w:t>trombocytopénia</w:t>
            </w:r>
          </w:p>
          <w:p w14:paraId="5E3C702E" w14:textId="77777777" w:rsidR="00A94D41" w:rsidRPr="0079786F" w:rsidRDefault="00A94D41" w:rsidP="00B7315D">
            <w:pPr>
              <w:autoSpaceDE w:val="0"/>
              <w:autoSpaceDN w:val="0"/>
              <w:adjustRightInd w:val="0"/>
              <w:jc w:val="both"/>
              <w:rPr>
                <w:sz w:val="22"/>
                <w:szCs w:val="22"/>
              </w:rPr>
            </w:pPr>
            <w:r w:rsidRPr="0079786F">
              <w:rPr>
                <w:sz w:val="22"/>
                <w:szCs w:val="22"/>
              </w:rPr>
              <w:lastRenderedPageBreak/>
              <w:t>mierne predĺženie protrombínové</w:t>
            </w:r>
          </w:p>
          <w:p w14:paraId="4FA8809B" w14:textId="77777777" w:rsidR="00A94D41" w:rsidRPr="0079786F" w:rsidRDefault="00A94D41" w:rsidP="00B7315D">
            <w:pPr>
              <w:autoSpaceDE w:val="0"/>
              <w:autoSpaceDN w:val="0"/>
              <w:adjustRightInd w:val="0"/>
              <w:jc w:val="both"/>
              <w:rPr>
                <w:sz w:val="22"/>
                <w:szCs w:val="22"/>
              </w:rPr>
            </w:pPr>
            <w:r w:rsidRPr="0079786F">
              <w:rPr>
                <w:sz w:val="22"/>
                <w:szCs w:val="22"/>
              </w:rPr>
              <w:t>ho času, anémia (vrátane hemolytickej anémie)</w:t>
            </w:r>
          </w:p>
          <w:p w14:paraId="0E5AA9BB" w14:textId="77777777" w:rsidR="00A94D41" w:rsidRPr="0079786F" w:rsidRDefault="00A94D41" w:rsidP="00B7315D">
            <w:pPr>
              <w:autoSpaceDE w:val="0"/>
              <w:autoSpaceDN w:val="0"/>
              <w:adjustRightInd w:val="0"/>
              <w:jc w:val="both"/>
              <w:rPr>
                <w:sz w:val="22"/>
                <w:szCs w:val="22"/>
              </w:rPr>
            </w:pPr>
          </w:p>
          <w:p w14:paraId="472E223B" w14:textId="77777777" w:rsidR="00A94D41" w:rsidRPr="0079786F" w:rsidRDefault="00A94D41" w:rsidP="00B7315D">
            <w:pPr>
              <w:autoSpaceDE w:val="0"/>
              <w:autoSpaceDN w:val="0"/>
              <w:adjustRightInd w:val="0"/>
              <w:jc w:val="both"/>
              <w:rPr>
                <w:sz w:val="22"/>
                <w:szCs w:val="22"/>
              </w:rPr>
            </w:pPr>
          </w:p>
        </w:tc>
        <w:tc>
          <w:tcPr>
            <w:tcW w:w="1247" w:type="dxa"/>
          </w:tcPr>
          <w:p w14:paraId="4FE40D38" w14:textId="77777777" w:rsidR="00A94D41" w:rsidRPr="0079786F" w:rsidRDefault="00A94D41" w:rsidP="00B7315D">
            <w:pPr>
              <w:jc w:val="both"/>
              <w:rPr>
                <w:sz w:val="22"/>
                <w:szCs w:val="22"/>
              </w:rPr>
            </w:pPr>
          </w:p>
        </w:tc>
      </w:tr>
      <w:tr w:rsidR="00A94D41" w:rsidRPr="0079786F" w14:paraId="4A54991C" w14:textId="77777777" w:rsidTr="00BF1376">
        <w:tc>
          <w:tcPr>
            <w:tcW w:w="1413" w:type="dxa"/>
          </w:tcPr>
          <w:p w14:paraId="6694D5FD" w14:textId="77777777" w:rsidR="00A94D41" w:rsidRPr="0079786F" w:rsidRDefault="00A94D41" w:rsidP="00B7315D">
            <w:pPr>
              <w:jc w:val="both"/>
              <w:rPr>
                <w:b/>
                <w:sz w:val="22"/>
                <w:szCs w:val="22"/>
              </w:rPr>
            </w:pPr>
            <w:r w:rsidRPr="0079786F">
              <w:rPr>
                <w:b/>
                <w:sz w:val="22"/>
                <w:szCs w:val="22"/>
              </w:rPr>
              <w:t>Poruchy imunitného systému</w:t>
            </w:r>
          </w:p>
        </w:tc>
        <w:tc>
          <w:tcPr>
            <w:tcW w:w="1417" w:type="dxa"/>
          </w:tcPr>
          <w:p w14:paraId="76E24950" w14:textId="77777777" w:rsidR="00A94D41" w:rsidRPr="0079786F" w:rsidRDefault="00A94D41" w:rsidP="00B7315D">
            <w:pPr>
              <w:jc w:val="both"/>
              <w:rPr>
                <w:sz w:val="22"/>
                <w:szCs w:val="22"/>
              </w:rPr>
            </w:pPr>
          </w:p>
        </w:tc>
        <w:tc>
          <w:tcPr>
            <w:tcW w:w="1531" w:type="dxa"/>
          </w:tcPr>
          <w:p w14:paraId="62236C4F" w14:textId="77777777" w:rsidR="00A94D41" w:rsidRPr="0079786F" w:rsidRDefault="00A94D41" w:rsidP="00B7315D">
            <w:pPr>
              <w:jc w:val="both"/>
              <w:rPr>
                <w:sz w:val="22"/>
                <w:szCs w:val="22"/>
              </w:rPr>
            </w:pPr>
            <w:r w:rsidRPr="0079786F">
              <w:rPr>
                <w:sz w:val="22"/>
                <w:szCs w:val="22"/>
              </w:rPr>
              <w:t>horúčka, zimnica, pruritus, edémový opuch kože a kĺbov</w:t>
            </w:r>
          </w:p>
        </w:tc>
        <w:tc>
          <w:tcPr>
            <w:tcW w:w="1417" w:type="dxa"/>
          </w:tcPr>
          <w:p w14:paraId="03FF026C" w14:textId="77777777" w:rsidR="00A94D41" w:rsidRPr="0079786F" w:rsidRDefault="00A94D41" w:rsidP="00B7315D">
            <w:pPr>
              <w:jc w:val="both"/>
              <w:rPr>
                <w:sz w:val="22"/>
                <w:szCs w:val="22"/>
              </w:rPr>
            </w:pPr>
          </w:p>
        </w:tc>
        <w:tc>
          <w:tcPr>
            <w:tcW w:w="1418" w:type="dxa"/>
          </w:tcPr>
          <w:p w14:paraId="690C960A" w14:textId="77777777" w:rsidR="00A94D41" w:rsidRPr="0079786F" w:rsidRDefault="00A94D41" w:rsidP="00B7315D">
            <w:pPr>
              <w:jc w:val="both"/>
              <w:rPr>
                <w:sz w:val="22"/>
                <w:szCs w:val="22"/>
              </w:rPr>
            </w:pPr>
            <w:r w:rsidRPr="0079786F">
              <w:rPr>
                <w:sz w:val="22"/>
                <w:szCs w:val="22"/>
              </w:rPr>
              <w:t>anafylaktický šok, Lyellov syndróm, Stevens-Johnsonov syndróm , erythema multiforme</w:t>
            </w:r>
          </w:p>
        </w:tc>
        <w:tc>
          <w:tcPr>
            <w:tcW w:w="1588" w:type="dxa"/>
          </w:tcPr>
          <w:p w14:paraId="22E4EF4D" w14:textId="77777777" w:rsidR="00A94D41" w:rsidRPr="0079786F" w:rsidRDefault="00A94D41" w:rsidP="00B7315D">
            <w:pPr>
              <w:jc w:val="both"/>
              <w:rPr>
                <w:sz w:val="22"/>
                <w:szCs w:val="22"/>
              </w:rPr>
            </w:pPr>
          </w:p>
        </w:tc>
        <w:tc>
          <w:tcPr>
            <w:tcW w:w="1247" w:type="dxa"/>
          </w:tcPr>
          <w:p w14:paraId="43BD2581" w14:textId="3976031E" w:rsidR="00A94D41" w:rsidRPr="0079786F" w:rsidRDefault="00C03BE8" w:rsidP="00B7315D">
            <w:pPr>
              <w:jc w:val="both"/>
              <w:rPr>
                <w:sz w:val="22"/>
                <w:szCs w:val="22"/>
              </w:rPr>
            </w:pPr>
            <w:r w:rsidRPr="00BF1376">
              <w:rPr>
                <w:bCs/>
                <w:sz w:val="22"/>
                <w:szCs w:val="22"/>
                <w:u w:val="single"/>
              </w:rPr>
              <w:t>Jarischova-Herxheimerova reakcia</w:t>
            </w:r>
            <w:r w:rsidRPr="00DA0FD4">
              <w:rPr>
                <w:bCs/>
                <w:sz w:val="22"/>
                <w:szCs w:val="22"/>
              </w:rPr>
              <w:t xml:space="preserve"> (pozri</w:t>
            </w:r>
            <w:r>
              <w:rPr>
                <w:sz w:val="22"/>
                <w:szCs w:val="22"/>
              </w:rPr>
              <w:t xml:space="preserve"> časť 4.4)</w:t>
            </w:r>
          </w:p>
        </w:tc>
      </w:tr>
      <w:tr w:rsidR="00A94D41" w:rsidRPr="0079786F" w14:paraId="05A8166C" w14:textId="77777777" w:rsidTr="00BF1376">
        <w:tc>
          <w:tcPr>
            <w:tcW w:w="1413" w:type="dxa"/>
          </w:tcPr>
          <w:p w14:paraId="2A829972" w14:textId="77777777" w:rsidR="00A94D41" w:rsidRPr="0079786F" w:rsidRDefault="00A94D41" w:rsidP="00B7315D">
            <w:pPr>
              <w:jc w:val="both"/>
              <w:rPr>
                <w:b/>
                <w:sz w:val="22"/>
                <w:szCs w:val="22"/>
              </w:rPr>
            </w:pPr>
            <w:r w:rsidRPr="0079786F">
              <w:rPr>
                <w:b/>
                <w:sz w:val="22"/>
                <w:szCs w:val="22"/>
              </w:rPr>
              <w:t>Poruchy nervového systému</w:t>
            </w:r>
          </w:p>
        </w:tc>
        <w:tc>
          <w:tcPr>
            <w:tcW w:w="1417" w:type="dxa"/>
          </w:tcPr>
          <w:p w14:paraId="6F456ED2" w14:textId="77777777" w:rsidR="00A94D41" w:rsidRPr="0079786F" w:rsidRDefault="00A94D41" w:rsidP="00B7315D">
            <w:pPr>
              <w:jc w:val="both"/>
              <w:rPr>
                <w:sz w:val="22"/>
                <w:szCs w:val="22"/>
              </w:rPr>
            </w:pPr>
          </w:p>
        </w:tc>
        <w:tc>
          <w:tcPr>
            <w:tcW w:w="1531" w:type="dxa"/>
          </w:tcPr>
          <w:p w14:paraId="55B96845" w14:textId="77777777" w:rsidR="00A94D41" w:rsidRPr="0079786F" w:rsidRDefault="00A94D41" w:rsidP="00B7315D">
            <w:pPr>
              <w:jc w:val="both"/>
              <w:rPr>
                <w:sz w:val="22"/>
                <w:szCs w:val="22"/>
              </w:rPr>
            </w:pPr>
          </w:p>
        </w:tc>
        <w:tc>
          <w:tcPr>
            <w:tcW w:w="1417" w:type="dxa"/>
          </w:tcPr>
          <w:p w14:paraId="44E2142E" w14:textId="77777777" w:rsidR="00A94D41" w:rsidRPr="0079786F" w:rsidRDefault="00A94D41" w:rsidP="00B7315D">
            <w:pPr>
              <w:jc w:val="both"/>
              <w:rPr>
                <w:sz w:val="22"/>
                <w:szCs w:val="22"/>
              </w:rPr>
            </w:pPr>
            <w:r w:rsidRPr="0079786F">
              <w:rPr>
                <w:sz w:val="22"/>
                <w:szCs w:val="22"/>
              </w:rPr>
              <w:t>bolesť hlavy, mdloba, vertigo</w:t>
            </w:r>
          </w:p>
        </w:tc>
        <w:tc>
          <w:tcPr>
            <w:tcW w:w="1418" w:type="dxa"/>
          </w:tcPr>
          <w:p w14:paraId="302CFEE1" w14:textId="77777777" w:rsidR="00A94D41" w:rsidRPr="0079786F" w:rsidRDefault="00A94D41" w:rsidP="00B7315D">
            <w:pPr>
              <w:jc w:val="both"/>
              <w:rPr>
                <w:sz w:val="22"/>
                <w:szCs w:val="22"/>
              </w:rPr>
            </w:pPr>
          </w:p>
        </w:tc>
        <w:tc>
          <w:tcPr>
            <w:tcW w:w="1588" w:type="dxa"/>
          </w:tcPr>
          <w:p w14:paraId="493AD33B" w14:textId="77777777" w:rsidR="00A94D41" w:rsidRPr="0079786F" w:rsidRDefault="00A94D41" w:rsidP="00B7315D">
            <w:pPr>
              <w:jc w:val="both"/>
              <w:rPr>
                <w:sz w:val="22"/>
                <w:szCs w:val="22"/>
              </w:rPr>
            </w:pPr>
          </w:p>
        </w:tc>
        <w:tc>
          <w:tcPr>
            <w:tcW w:w="1247" w:type="dxa"/>
          </w:tcPr>
          <w:p w14:paraId="70C661F0" w14:textId="77777777" w:rsidR="00A94D41" w:rsidRPr="0079786F" w:rsidRDefault="00A94D41" w:rsidP="00B7315D">
            <w:pPr>
              <w:jc w:val="both"/>
              <w:rPr>
                <w:sz w:val="22"/>
                <w:szCs w:val="22"/>
              </w:rPr>
            </w:pPr>
          </w:p>
        </w:tc>
      </w:tr>
      <w:tr w:rsidR="00A94D41" w:rsidRPr="0079786F" w14:paraId="14ED335D" w14:textId="77777777" w:rsidTr="00BF1376">
        <w:tc>
          <w:tcPr>
            <w:tcW w:w="1413" w:type="dxa"/>
          </w:tcPr>
          <w:p w14:paraId="1C70E5CF" w14:textId="77777777" w:rsidR="00A94D41" w:rsidRPr="0079786F" w:rsidRDefault="00A94D41" w:rsidP="00B7315D">
            <w:pPr>
              <w:jc w:val="both"/>
              <w:rPr>
                <w:b/>
                <w:sz w:val="22"/>
                <w:szCs w:val="22"/>
              </w:rPr>
            </w:pPr>
            <w:r w:rsidRPr="0079786F">
              <w:rPr>
                <w:b/>
                <w:sz w:val="22"/>
                <w:szCs w:val="22"/>
              </w:rPr>
              <w:t>Poruchy gastrointestinálneho traktu</w:t>
            </w:r>
          </w:p>
        </w:tc>
        <w:tc>
          <w:tcPr>
            <w:tcW w:w="1417" w:type="dxa"/>
          </w:tcPr>
          <w:p w14:paraId="322CEEFF" w14:textId="77777777" w:rsidR="00A94D41" w:rsidRPr="0079786F" w:rsidRDefault="00A94D41" w:rsidP="00B7315D">
            <w:pPr>
              <w:jc w:val="both"/>
              <w:rPr>
                <w:sz w:val="22"/>
                <w:szCs w:val="22"/>
              </w:rPr>
            </w:pPr>
          </w:p>
        </w:tc>
        <w:tc>
          <w:tcPr>
            <w:tcW w:w="1531" w:type="dxa"/>
          </w:tcPr>
          <w:p w14:paraId="00D97A57" w14:textId="77777777" w:rsidR="00A94D41" w:rsidRPr="0079786F" w:rsidRDefault="00A94D41" w:rsidP="00B7315D">
            <w:pPr>
              <w:jc w:val="both"/>
              <w:rPr>
                <w:sz w:val="22"/>
                <w:szCs w:val="22"/>
              </w:rPr>
            </w:pPr>
          </w:p>
        </w:tc>
        <w:tc>
          <w:tcPr>
            <w:tcW w:w="1417" w:type="dxa"/>
          </w:tcPr>
          <w:p w14:paraId="32371CF2" w14:textId="77777777" w:rsidR="00A94D41" w:rsidRPr="0079786F" w:rsidRDefault="00A94D41" w:rsidP="00B7315D">
            <w:pPr>
              <w:jc w:val="both"/>
              <w:rPr>
                <w:sz w:val="22"/>
                <w:szCs w:val="22"/>
              </w:rPr>
            </w:pPr>
            <w:r w:rsidRPr="0079786F">
              <w:rPr>
                <w:sz w:val="22"/>
                <w:szCs w:val="22"/>
              </w:rPr>
              <w:t>stomatitída, glositída, anorexia, nauzea, eméza, bolesť brucha, redšia stolica alebo hnačka</w:t>
            </w:r>
          </w:p>
        </w:tc>
        <w:tc>
          <w:tcPr>
            <w:tcW w:w="1418" w:type="dxa"/>
          </w:tcPr>
          <w:p w14:paraId="075E3261" w14:textId="77777777" w:rsidR="00A94D41" w:rsidRPr="0079786F" w:rsidRDefault="00A94D41" w:rsidP="00B7315D">
            <w:pPr>
              <w:jc w:val="both"/>
              <w:rPr>
                <w:sz w:val="22"/>
                <w:szCs w:val="22"/>
              </w:rPr>
            </w:pPr>
          </w:p>
        </w:tc>
        <w:tc>
          <w:tcPr>
            <w:tcW w:w="1588" w:type="dxa"/>
          </w:tcPr>
          <w:p w14:paraId="43BF76A3" w14:textId="77777777" w:rsidR="00A94D41" w:rsidRPr="0079786F" w:rsidRDefault="00A94D41" w:rsidP="00B7315D">
            <w:pPr>
              <w:jc w:val="both"/>
              <w:rPr>
                <w:sz w:val="22"/>
                <w:szCs w:val="22"/>
              </w:rPr>
            </w:pPr>
            <w:r w:rsidRPr="0079786F">
              <w:rPr>
                <w:sz w:val="22"/>
                <w:szCs w:val="22"/>
              </w:rPr>
              <w:t>pseudomembranózna enterokolitída (pozri časť 4.4)</w:t>
            </w:r>
          </w:p>
        </w:tc>
        <w:tc>
          <w:tcPr>
            <w:tcW w:w="1247" w:type="dxa"/>
          </w:tcPr>
          <w:p w14:paraId="233720AC" w14:textId="77777777" w:rsidR="00A94D41" w:rsidRPr="0079786F" w:rsidRDefault="00A94D41" w:rsidP="00B7315D">
            <w:pPr>
              <w:jc w:val="both"/>
              <w:rPr>
                <w:sz w:val="22"/>
                <w:szCs w:val="22"/>
              </w:rPr>
            </w:pPr>
          </w:p>
        </w:tc>
      </w:tr>
      <w:tr w:rsidR="00A94D41" w:rsidRPr="0079786F" w14:paraId="056FD6F7" w14:textId="77777777" w:rsidTr="00BF1376">
        <w:tc>
          <w:tcPr>
            <w:tcW w:w="1413" w:type="dxa"/>
          </w:tcPr>
          <w:p w14:paraId="6AD83832" w14:textId="77777777" w:rsidR="00A94D41" w:rsidRPr="0079786F" w:rsidRDefault="00A94D41" w:rsidP="00B7315D">
            <w:pPr>
              <w:jc w:val="both"/>
              <w:rPr>
                <w:b/>
                <w:sz w:val="22"/>
                <w:szCs w:val="22"/>
              </w:rPr>
            </w:pPr>
            <w:r w:rsidRPr="0079786F">
              <w:rPr>
                <w:b/>
                <w:sz w:val="22"/>
                <w:szCs w:val="22"/>
              </w:rPr>
              <w:t>Poruchy pečene a žlčových ciest</w:t>
            </w:r>
          </w:p>
        </w:tc>
        <w:tc>
          <w:tcPr>
            <w:tcW w:w="1417" w:type="dxa"/>
          </w:tcPr>
          <w:p w14:paraId="03F0C5F6" w14:textId="77777777" w:rsidR="00A94D41" w:rsidRPr="0079786F" w:rsidRDefault="00A94D41" w:rsidP="00B7315D">
            <w:pPr>
              <w:jc w:val="both"/>
              <w:rPr>
                <w:sz w:val="22"/>
                <w:szCs w:val="22"/>
              </w:rPr>
            </w:pPr>
            <w:r w:rsidRPr="0079786F">
              <w:rPr>
                <w:sz w:val="22"/>
                <w:szCs w:val="22"/>
              </w:rPr>
              <w:t>symptomatická preci</w:t>
            </w:r>
            <w:smartTag w:uri="urn:schemas-microsoft-com:office:smarttags" w:element="PersonName">
              <w:r w:rsidRPr="0079786F">
                <w:rPr>
                  <w:sz w:val="22"/>
                  <w:szCs w:val="22"/>
                </w:rPr>
                <w:t>pit</w:t>
              </w:r>
            </w:smartTag>
            <w:r w:rsidRPr="0079786F">
              <w:rPr>
                <w:sz w:val="22"/>
                <w:szCs w:val="22"/>
              </w:rPr>
              <w:t>ácia ceftriaxon-kalciových solí v žlčníku u detí</w:t>
            </w:r>
          </w:p>
          <w:p w14:paraId="46E72224" w14:textId="77777777" w:rsidR="00A94D41" w:rsidRPr="0079786F" w:rsidRDefault="00A94D41" w:rsidP="00B7315D">
            <w:pPr>
              <w:jc w:val="both"/>
              <w:rPr>
                <w:sz w:val="22"/>
                <w:szCs w:val="22"/>
              </w:rPr>
            </w:pPr>
            <w:r w:rsidRPr="0079786F">
              <w:rPr>
                <w:sz w:val="22"/>
                <w:szCs w:val="22"/>
              </w:rPr>
              <w:t xml:space="preserve">/reverzibilná cholelitiáza u detí. </w:t>
            </w:r>
          </w:p>
        </w:tc>
        <w:tc>
          <w:tcPr>
            <w:tcW w:w="1531" w:type="dxa"/>
          </w:tcPr>
          <w:p w14:paraId="2C15ACA0" w14:textId="77777777" w:rsidR="00A94D41" w:rsidRPr="0079786F" w:rsidRDefault="00A94D41" w:rsidP="00B7315D">
            <w:pPr>
              <w:jc w:val="both"/>
              <w:rPr>
                <w:sz w:val="22"/>
                <w:szCs w:val="22"/>
              </w:rPr>
            </w:pPr>
            <w:r w:rsidRPr="0079786F">
              <w:rPr>
                <w:sz w:val="22"/>
                <w:szCs w:val="22"/>
              </w:rPr>
              <w:t>vzostup hladiny pečeňových enzýmov v sére (AST,ALT, alkalická fosfatáza)</w:t>
            </w:r>
          </w:p>
        </w:tc>
        <w:tc>
          <w:tcPr>
            <w:tcW w:w="1417" w:type="dxa"/>
          </w:tcPr>
          <w:p w14:paraId="568C3F07" w14:textId="77777777" w:rsidR="00A94D41" w:rsidRPr="0079786F" w:rsidRDefault="00A94D41" w:rsidP="00B7315D">
            <w:pPr>
              <w:jc w:val="both"/>
              <w:rPr>
                <w:sz w:val="22"/>
                <w:szCs w:val="22"/>
              </w:rPr>
            </w:pPr>
          </w:p>
        </w:tc>
        <w:tc>
          <w:tcPr>
            <w:tcW w:w="1418" w:type="dxa"/>
          </w:tcPr>
          <w:p w14:paraId="5D5AE5A1" w14:textId="77777777" w:rsidR="00A94D41" w:rsidRPr="0079786F" w:rsidRDefault="00A94D41" w:rsidP="00B7315D">
            <w:pPr>
              <w:jc w:val="both"/>
              <w:rPr>
                <w:sz w:val="22"/>
                <w:szCs w:val="22"/>
              </w:rPr>
            </w:pPr>
            <w:r w:rsidRPr="0079786F">
              <w:rPr>
                <w:sz w:val="22"/>
                <w:szCs w:val="22"/>
              </w:rPr>
              <w:t>Pankreatitída (pozri časť 4.4)</w:t>
            </w:r>
          </w:p>
        </w:tc>
        <w:tc>
          <w:tcPr>
            <w:tcW w:w="1588" w:type="dxa"/>
          </w:tcPr>
          <w:p w14:paraId="03283586" w14:textId="77777777" w:rsidR="00A94D41" w:rsidRPr="0079786F" w:rsidRDefault="00A94D41" w:rsidP="00B7315D">
            <w:pPr>
              <w:jc w:val="both"/>
              <w:rPr>
                <w:sz w:val="22"/>
                <w:szCs w:val="22"/>
              </w:rPr>
            </w:pPr>
          </w:p>
        </w:tc>
        <w:tc>
          <w:tcPr>
            <w:tcW w:w="1247" w:type="dxa"/>
          </w:tcPr>
          <w:p w14:paraId="3899F59A" w14:textId="77777777" w:rsidR="00A94D41" w:rsidRPr="0079786F" w:rsidRDefault="00A94D41" w:rsidP="00B7315D">
            <w:pPr>
              <w:jc w:val="both"/>
              <w:rPr>
                <w:sz w:val="22"/>
                <w:szCs w:val="22"/>
              </w:rPr>
            </w:pPr>
          </w:p>
        </w:tc>
      </w:tr>
      <w:tr w:rsidR="00A94D41" w:rsidRPr="0079786F" w14:paraId="66373442" w14:textId="77777777" w:rsidTr="00BF1376">
        <w:tc>
          <w:tcPr>
            <w:tcW w:w="1413" w:type="dxa"/>
          </w:tcPr>
          <w:p w14:paraId="2E9666D2" w14:textId="77777777" w:rsidR="00A94D41" w:rsidRPr="0079786F" w:rsidRDefault="00A94D41" w:rsidP="00B7315D">
            <w:pPr>
              <w:jc w:val="both"/>
              <w:rPr>
                <w:b/>
                <w:sz w:val="22"/>
                <w:szCs w:val="22"/>
              </w:rPr>
            </w:pPr>
            <w:r w:rsidRPr="0079786F">
              <w:rPr>
                <w:b/>
                <w:sz w:val="22"/>
                <w:szCs w:val="22"/>
              </w:rPr>
              <w:t>Poruchy kože a podkožného tkaniva</w:t>
            </w:r>
          </w:p>
        </w:tc>
        <w:tc>
          <w:tcPr>
            <w:tcW w:w="1417" w:type="dxa"/>
          </w:tcPr>
          <w:p w14:paraId="5AF35CC1" w14:textId="77777777" w:rsidR="00A94D41" w:rsidRPr="0079786F" w:rsidRDefault="00A94D41" w:rsidP="00B7315D">
            <w:pPr>
              <w:jc w:val="both"/>
              <w:rPr>
                <w:sz w:val="22"/>
                <w:szCs w:val="22"/>
              </w:rPr>
            </w:pPr>
          </w:p>
        </w:tc>
        <w:tc>
          <w:tcPr>
            <w:tcW w:w="1531" w:type="dxa"/>
          </w:tcPr>
          <w:p w14:paraId="453A497B" w14:textId="77777777" w:rsidR="00A94D41" w:rsidRPr="0079786F" w:rsidRDefault="00A94D41" w:rsidP="00B7315D">
            <w:pPr>
              <w:jc w:val="both"/>
              <w:rPr>
                <w:sz w:val="22"/>
                <w:szCs w:val="22"/>
              </w:rPr>
            </w:pPr>
            <w:r w:rsidRPr="0079786F">
              <w:rPr>
                <w:sz w:val="22"/>
                <w:szCs w:val="22"/>
              </w:rPr>
              <w:t xml:space="preserve">dermatitída, urtikária, exantém </w:t>
            </w:r>
          </w:p>
        </w:tc>
        <w:tc>
          <w:tcPr>
            <w:tcW w:w="1417" w:type="dxa"/>
          </w:tcPr>
          <w:p w14:paraId="6821C6B4" w14:textId="77777777" w:rsidR="00A94D41" w:rsidRPr="0079786F" w:rsidRDefault="00A94D41" w:rsidP="00B7315D">
            <w:pPr>
              <w:jc w:val="both"/>
              <w:rPr>
                <w:sz w:val="22"/>
                <w:szCs w:val="22"/>
              </w:rPr>
            </w:pPr>
          </w:p>
        </w:tc>
        <w:tc>
          <w:tcPr>
            <w:tcW w:w="1418" w:type="dxa"/>
          </w:tcPr>
          <w:p w14:paraId="72D0CB1E" w14:textId="77777777" w:rsidR="00A94D41" w:rsidRPr="0079786F" w:rsidRDefault="00A94D41" w:rsidP="00B7315D">
            <w:pPr>
              <w:jc w:val="both"/>
              <w:rPr>
                <w:sz w:val="22"/>
                <w:szCs w:val="22"/>
              </w:rPr>
            </w:pPr>
          </w:p>
        </w:tc>
        <w:tc>
          <w:tcPr>
            <w:tcW w:w="1588" w:type="dxa"/>
          </w:tcPr>
          <w:p w14:paraId="4F0D3509" w14:textId="77777777" w:rsidR="00A94D41" w:rsidRPr="0079786F" w:rsidRDefault="00A94D41" w:rsidP="00B7315D">
            <w:pPr>
              <w:jc w:val="both"/>
              <w:rPr>
                <w:sz w:val="22"/>
                <w:szCs w:val="22"/>
              </w:rPr>
            </w:pPr>
          </w:p>
        </w:tc>
        <w:tc>
          <w:tcPr>
            <w:tcW w:w="1247" w:type="dxa"/>
          </w:tcPr>
          <w:p w14:paraId="48B86CEA" w14:textId="3F1270BF" w:rsidR="00A94D41" w:rsidRPr="00845497" w:rsidRDefault="00C03BE8" w:rsidP="00B7315D">
            <w:pPr>
              <w:jc w:val="both"/>
              <w:rPr>
                <w:bCs/>
                <w:sz w:val="22"/>
                <w:szCs w:val="22"/>
              </w:rPr>
            </w:pPr>
            <w:r w:rsidRPr="00BF1376">
              <w:rPr>
                <w:bCs/>
                <w:sz w:val="22"/>
                <w:szCs w:val="22"/>
                <w:u w:val="single"/>
              </w:rPr>
              <w:t>lieková reakcia s</w:t>
            </w:r>
            <w:r w:rsidR="00845497">
              <w:rPr>
                <w:bCs/>
                <w:sz w:val="22"/>
                <w:szCs w:val="22"/>
                <w:u w:val="single"/>
              </w:rPr>
              <w:t> </w:t>
            </w:r>
            <w:r w:rsidRPr="00BF1376">
              <w:rPr>
                <w:bCs/>
                <w:sz w:val="22"/>
                <w:szCs w:val="22"/>
                <w:u w:val="single"/>
              </w:rPr>
              <w:t>eozinofí</w:t>
            </w:r>
            <w:r w:rsidR="00845497">
              <w:rPr>
                <w:bCs/>
                <w:sz w:val="22"/>
                <w:szCs w:val="22"/>
                <w:u w:val="single"/>
              </w:rPr>
              <w:t>-</w:t>
            </w:r>
            <w:r w:rsidRPr="00BF1376">
              <w:rPr>
                <w:bCs/>
                <w:sz w:val="22"/>
                <w:szCs w:val="22"/>
                <w:u w:val="single"/>
              </w:rPr>
              <w:t>liou a</w:t>
            </w:r>
            <w:r w:rsidR="00845497">
              <w:rPr>
                <w:bCs/>
                <w:sz w:val="22"/>
                <w:szCs w:val="22"/>
                <w:u w:val="single"/>
              </w:rPr>
              <w:t> </w:t>
            </w:r>
            <w:r w:rsidRPr="00BF1376">
              <w:rPr>
                <w:bCs/>
                <w:sz w:val="22"/>
                <w:szCs w:val="22"/>
                <w:u w:val="single"/>
              </w:rPr>
              <w:t>systémo</w:t>
            </w:r>
            <w:r w:rsidR="00845497">
              <w:rPr>
                <w:bCs/>
                <w:sz w:val="22"/>
                <w:szCs w:val="22"/>
                <w:u w:val="single"/>
              </w:rPr>
              <w:t>-</w:t>
            </w:r>
            <w:r w:rsidRPr="00BF1376">
              <w:rPr>
                <w:bCs/>
                <w:sz w:val="22"/>
                <w:szCs w:val="22"/>
                <w:u w:val="single"/>
              </w:rPr>
              <w:t xml:space="preserve">vými príznakmi (DRESS) </w:t>
            </w:r>
            <w:r w:rsidRPr="00845497">
              <w:rPr>
                <w:bCs/>
                <w:sz w:val="22"/>
                <w:szCs w:val="22"/>
              </w:rPr>
              <w:t>(pozri časť 4.4)</w:t>
            </w:r>
          </w:p>
        </w:tc>
      </w:tr>
      <w:tr w:rsidR="00A94D41" w:rsidRPr="0079786F" w14:paraId="177F991E" w14:textId="77777777" w:rsidTr="00BF1376">
        <w:tc>
          <w:tcPr>
            <w:tcW w:w="1413" w:type="dxa"/>
          </w:tcPr>
          <w:p w14:paraId="6EDCAD5A" w14:textId="77777777" w:rsidR="00A94D41" w:rsidRPr="0079786F" w:rsidRDefault="00A94D41" w:rsidP="00B7315D">
            <w:pPr>
              <w:jc w:val="both"/>
              <w:rPr>
                <w:b/>
                <w:sz w:val="22"/>
                <w:szCs w:val="22"/>
              </w:rPr>
            </w:pPr>
            <w:r w:rsidRPr="0079786F">
              <w:rPr>
                <w:b/>
                <w:sz w:val="22"/>
                <w:szCs w:val="22"/>
              </w:rPr>
              <w:t>Poruchy obličiek a močových ciest</w:t>
            </w:r>
          </w:p>
        </w:tc>
        <w:tc>
          <w:tcPr>
            <w:tcW w:w="1417" w:type="dxa"/>
          </w:tcPr>
          <w:p w14:paraId="22F34CAF" w14:textId="77777777" w:rsidR="00A94D41" w:rsidRPr="0079786F" w:rsidRDefault="00A94D41" w:rsidP="00B7315D">
            <w:pPr>
              <w:jc w:val="both"/>
              <w:rPr>
                <w:sz w:val="22"/>
                <w:szCs w:val="22"/>
              </w:rPr>
            </w:pPr>
          </w:p>
        </w:tc>
        <w:tc>
          <w:tcPr>
            <w:tcW w:w="1531" w:type="dxa"/>
          </w:tcPr>
          <w:p w14:paraId="6AD19A22" w14:textId="77777777" w:rsidR="00A94D41" w:rsidRPr="0079786F" w:rsidRDefault="00A94D41" w:rsidP="00B7315D">
            <w:pPr>
              <w:jc w:val="both"/>
              <w:rPr>
                <w:sz w:val="22"/>
                <w:szCs w:val="22"/>
              </w:rPr>
            </w:pPr>
          </w:p>
        </w:tc>
        <w:tc>
          <w:tcPr>
            <w:tcW w:w="1417" w:type="dxa"/>
          </w:tcPr>
          <w:p w14:paraId="0612EBE9" w14:textId="77777777" w:rsidR="00A94D41" w:rsidRPr="0079786F" w:rsidRDefault="00A94D41" w:rsidP="00B7315D">
            <w:pPr>
              <w:jc w:val="both"/>
              <w:rPr>
                <w:sz w:val="22"/>
                <w:szCs w:val="22"/>
              </w:rPr>
            </w:pPr>
            <w:r w:rsidRPr="0079786F">
              <w:rPr>
                <w:sz w:val="22"/>
                <w:szCs w:val="22"/>
              </w:rPr>
              <w:t>oligúria, vzostup hladiny sérového kreatinínu</w:t>
            </w:r>
          </w:p>
        </w:tc>
        <w:tc>
          <w:tcPr>
            <w:tcW w:w="1418" w:type="dxa"/>
          </w:tcPr>
          <w:p w14:paraId="1EF1104E" w14:textId="77777777" w:rsidR="00A94D41" w:rsidRPr="0079786F" w:rsidRDefault="00A94D41" w:rsidP="00B7315D">
            <w:pPr>
              <w:jc w:val="both"/>
              <w:rPr>
                <w:sz w:val="22"/>
                <w:szCs w:val="22"/>
              </w:rPr>
            </w:pPr>
            <w:r w:rsidRPr="0079786F">
              <w:rPr>
                <w:sz w:val="22"/>
                <w:szCs w:val="22"/>
              </w:rPr>
              <w:t>preci</w:t>
            </w:r>
            <w:smartTag w:uri="urn:schemas-microsoft-com:office:smarttags" w:element="PersonName">
              <w:r w:rsidRPr="0079786F">
                <w:rPr>
                  <w:sz w:val="22"/>
                  <w:szCs w:val="22"/>
                </w:rPr>
                <w:t>pit</w:t>
              </w:r>
            </w:smartTag>
            <w:r w:rsidRPr="0079786F">
              <w:rPr>
                <w:sz w:val="22"/>
                <w:szCs w:val="22"/>
              </w:rPr>
              <w:t>áty ceftriaxónu</w:t>
            </w:r>
          </w:p>
        </w:tc>
        <w:tc>
          <w:tcPr>
            <w:tcW w:w="1588" w:type="dxa"/>
          </w:tcPr>
          <w:p w14:paraId="210B3ED4" w14:textId="77777777" w:rsidR="00A94D41" w:rsidRPr="0079786F" w:rsidRDefault="00A94D41" w:rsidP="00B7315D">
            <w:pPr>
              <w:jc w:val="both"/>
              <w:rPr>
                <w:sz w:val="22"/>
                <w:szCs w:val="22"/>
              </w:rPr>
            </w:pPr>
          </w:p>
        </w:tc>
        <w:tc>
          <w:tcPr>
            <w:tcW w:w="1247" w:type="dxa"/>
          </w:tcPr>
          <w:p w14:paraId="47761139" w14:textId="77777777" w:rsidR="00A94D41" w:rsidRPr="0079786F" w:rsidRDefault="00A94D41" w:rsidP="00B7315D">
            <w:pPr>
              <w:jc w:val="both"/>
              <w:rPr>
                <w:sz w:val="22"/>
                <w:szCs w:val="22"/>
              </w:rPr>
            </w:pPr>
          </w:p>
        </w:tc>
      </w:tr>
      <w:tr w:rsidR="00A94D41" w:rsidRPr="0079786F" w14:paraId="0266170E" w14:textId="77777777" w:rsidTr="00BF1376">
        <w:tc>
          <w:tcPr>
            <w:tcW w:w="1413" w:type="dxa"/>
          </w:tcPr>
          <w:p w14:paraId="1521CC79" w14:textId="77777777" w:rsidR="00A94D41" w:rsidRPr="0079786F" w:rsidRDefault="00A94D41" w:rsidP="00B7315D">
            <w:pPr>
              <w:jc w:val="both"/>
              <w:rPr>
                <w:b/>
                <w:sz w:val="22"/>
                <w:szCs w:val="22"/>
              </w:rPr>
            </w:pPr>
            <w:r w:rsidRPr="0079786F">
              <w:rPr>
                <w:b/>
                <w:sz w:val="22"/>
                <w:szCs w:val="22"/>
              </w:rPr>
              <w:t xml:space="preserve">Celkové poruchy </w:t>
            </w:r>
            <w:r w:rsidRPr="0079786F">
              <w:rPr>
                <w:b/>
                <w:sz w:val="22"/>
                <w:szCs w:val="22"/>
              </w:rPr>
              <w:lastRenderedPageBreak/>
              <w:t>a reakcie v mieste podania</w:t>
            </w:r>
          </w:p>
        </w:tc>
        <w:tc>
          <w:tcPr>
            <w:tcW w:w="1417" w:type="dxa"/>
          </w:tcPr>
          <w:p w14:paraId="4CADF6C1" w14:textId="77777777" w:rsidR="00A94D41" w:rsidRPr="0079786F" w:rsidRDefault="00A94D41" w:rsidP="00B7315D">
            <w:pPr>
              <w:jc w:val="both"/>
              <w:rPr>
                <w:sz w:val="22"/>
                <w:szCs w:val="22"/>
              </w:rPr>
            </w:pPr>
          </w:p>
        </w:tc>
        <w:tc>
          <w:tcPr>
            <w:tcW w:w="1531" w:type="dxa"/>
          </w:tcPr>
          <w:p w14:paraId="48E017D0" w14:textId="77777777" w:rsidR="00A94D41" w:rsidRPr="0079786F" w:rsidRDefault="00A94D41" w:rsidP="00B7315D">
            <w:pPr>
              <w:jc w:val="both"/>
              <w:rPr>
                <w:sz w:val="22"/>
                <w:szCs w:val="22"/>
              </w:rPr>
            </w:pPr>
            <w:r w:rsidRPr="0079786F">
              <w:rPr>
                <w:sz w:val="22"/>
                <w:szCs w:val="22"/>
              </w:rPr>
              <w:t xml:space="preserve">flebitída, bolesť </w:t>
            </w:r>
            <w:r w:rsidRPr="0079786F">
              <w:rPr>
                <w:sz w:val="22"/>
                <w:szCs w:val="22"/>
              </w:rPr>
              <w:lastRenderedPageBreak/>
              <w:t>v mieste podania, indurácia tkaniva</w:t>
            </w:r>
          </w:p>
        </w:tc>
        <w:tc>
          <w:tcPr>
            <w:tcW w:w="1417" w:type="dxa"/>
          </w:tcPr>
          <w:p w14:paraId="57FE6E43" w14:textId="77777777" w:rsidR="00A94D41" w:rsidRPr="0079786F" w:rsidRDefault="00A94D41" w:rsidP="00B7315D">
            <w:pPr>
              <w:jc w:val="both"/>
              <w:rPr>
                <w:sz w:val="22"/>
                <w:szCs w:val="22"/>
              </w:rPr>
            </w:pPr>
          </w:p>
        </w:tc>
        <w:tc>
          <w:tcPr>
            <w:tcW w:w="1418" w:type="dxa"/>
          </w:tcPr>
          <w:p w14:paraId="56D8E92A" w14:textId="77777777" w:rsidR="00A94D41" w:rsidRPr="0079786F" w:rsidRDefault="00A94D41" w:rsidP="00B7315D">
            <w:pPr>
              <w:jc w:val="both"/>
              <w:rPr>
                <w:sz w:val="22"/>
                <w:szCs w:val="22"/>
              </w:rPr>
            </w:pPr>
          </w:p>
        </w:tc>
        <w:tc>
          <w:tcPr>
            <w:tcW w:w="1588" w:type="dxa"/>
          </w:tcPr>
          <w:p w14:paraId="5A75CE84" w14:textId="77777777" w:rsidR="00A94D41" w:rsidRPr="0079786F" w:rsidRDefault="00A94D41" w:rsidP="00B7315D">
            <w:pPr>
              <w:jc w:val="both"/>
              <w:rPr>
                <w:sz w:val="22"/>
                <w:szCs w:val="22"/>
              </w:rPr>
            </w:pPr>
          </w:p>
        </w:tc>
        <w:tc>
          <w:tcPr>
            <w:tcW w:w="1247" w:type="dxa"/>
          </w:tcPr>
          <w:p w14:paraId="74808B1F" w14:textId="77777777" w:rsidR="00A94D41" w:rsidRPr="0079786F" w:rsidRDefault="00A94D41" w:rsidP="00B7315D">
            <w:pPr>
              <w:jc w:val="both"/>
              <w:rPr>
                <w:sz w:val="22"/>
                <w:szCs w:val="22"/>
              </w:rPr>
            </w:pPr>
          </w:p>
        </w:tc>
      </w:tr>
    </w:tbl>
    <w:p w14:paraId="218F320E" w14:textId="77777777" w:rsidR="00A94D41" w:rsidRPr="0079786F" w:rsidRDefault="00A94D41" w:rsidP="00B7315D">
      <w:pPr>
        <w:autoSpaceDE w:val="0"/>
        <w:autoSpaceDN w:val="0"/>
        <w:adjustRightInd w:val="0"/>
        <w:jc w:val="both"/>
        <w:rPr>
          <w:sz w:val="22"/>
          <w:szCs w:val="22"/>
        </w:rPr>
      </w:pPr>
    </w:p>
    <w:p w14:paraId="0D7FFEE2" w14:textId="77777777" w:rsidR="00A94D41" w:rsidRPr="0079786F" w:rsidRDefault="00A94D41" w:rsidP="00B7315D">
      <w:pPr>
        <w:widowControl w:val="0"/>
        <w:jc w:val="both"/>
        <w:rPr>
          <w:sz w:val="22"/>
          <w:szCs w:val="22"/>
        </w:rPr>
      </w:pPr>
      <w:r w:rsidRPr="0079786F">
        <w:rPr>
          <w:sz w:val="22"/>
          <w:szCs w:val="22"/>
        </w:rPr>
        <w:t xml:space="preserve">* vo väčšine prípadov po 10 dňoch liečby a po podaní celkových dávok </w:t>
      </w:r>
      <w:smartTag w:uri="urn:schemas-microsoft-com:office:smarttags" w:element="metricconverter">
        <w:smartTagPr>
          <w:attr w:name="ProductID" w:val="20ﾠg"/>
        </w:smartTagPr>
        <w:r w:rsidRPr="0079786F">
          <w:rPr>
            <w:sz w:val="22"/>
            <w:szCs w:val="22"/>
          </w:rPr>
          <w:t>20 g</w:t>
        </w:r>
      </w:smartTag>
      <w:r w:rsidRPr="0079786F">
        <w:rPr>
          <w:sz w:val="22"/>
          <w:szCs w:val="22"/>
        </w:rPr>
        <w:t xml:space="preserve"> alebo viac</w:t>
      </w:r>
    </w:p>
    <w:p w14:paraId="0261ECA3" w14:textId="77777777" w:rsidR="00A94D41" w:rsidRPr="0079786F" w:rsidRDefault="00A94D41" w:rsidP="00B7315D">
      <w:pPr>
        <w:autoSpaceDE w:val="0"/>
        <w:autoSpaceDN w:val="0"/>
        <w:adjustRightInd w:val="0"/>
        <w:jc w:val="both"/>
        <w:rPr>
          <w:sz w:val="22"/>
          <w:szCs w:val="22"/>
        </w:rPr>
      </w:pPr>
    </w:p>
    <w:p w14:paraId="01BFD61A" w14:textId="77777777" w:rsidR="00A94D41" w:rsidRPr="0079786F" w:rsidRDefault="00A94D41" w:rsidP="00B7315D">
      <w:pPr>
        <w:autoSpaceDE w:val="0"/>
        <w:autoSpaceDN w:val="0"/>
        <w:adjustRightInd w:val="0"/>
        <w:jc w:val="both"/>
        <w:rPr>
          <w:sz w:val="22"/>
          <w:szCs w:val="22"/>
        </w:rPr>
      </w:pPr>
      <w:r w:rsidRPr="0079786F">
        <w:rPr>
          <w:sz w:val="22"/>
          <w:szCs w:val="22"/>
        </w:rPr>
        <w:t>Preci</w:t>
      </w:r>
      <w:smartTag w:uri="urn:schemas-microsoft-com:office:smarttags" w:element="PersonName">
        <w:r w:rsidRPr="0079786F">
          <w:rPr>
            <w:sz w:val="22"/>
            <w:szCs w:val="22"/>
          </w:rPr>
          <w:t>pit</w:t>
        </w:r>
      </w:smartTag>
      <w:r w:rsidRPr="0079786F">
        <w:rPr>
          <w:sz w:val="22"/>
          <w:szCs w:val="22"/>
        </w:rPr>
        <w:t xml:space="preserve">áty ceftriaxónu v obličkách u pediatrických pacientov, väčšinou u detí starších ako 3 roky, liečených buď vysokými dennými dávkami (napr. 80 mg/kg telesnej hmotnosti na deň a viac), alebo celkovými dávkami nad </w:t>
      </w:r>
      <w:smartTag w:uri="urn:schemas-microsoft-com:office:smarttags" w:element="metricconverter">
        <w:smartTagPr>
          <w:attr w:name="ProductID" w:val="10 g"/>
        </w:smartTagPr>
        <w:r w:rsidRPr="0079786F">
          <w:rPr>
            <w:sz w:val="22"/>
            <w:szCs w:val="22"/>
          </w:rPr>
          <w:t>10 g</w:t>
        </w:r>
      </w:smartTag>
      <w:r w:rsidRPr="0079786F">
        <w:rPr>
          <w:sz w:val="22"/>
          <w:szCs w:val="22"/>
        </w:rPr>
        <w:t xml:space="preserve"> ceftriaxónu (čo je viac ako maximálna denná dávka </w:t>
      </w:r>
      <w:smartTag w:uri="urn:schemas-microsoft-com:office:smarttags" w:element="metricconverter">
        <w:smartTagPr>
          <w:attr w:name="ProductID" w:val="4 g"/>
        </w:smartTagPr>
        <w:r w:rsidRPr="0079786F">
          <w:rPr>
            <w:sz w:val="22"/>
            <w:szCs w:val="22"/>
          </w:rPr>
          <w:t>4 g</w:t>
        </w:r>
      </w:smartTag>
      <w:r w:rsidRPr="0079786F">
        <w:rPr>
          <w:sz w:val="22"/>
          <w:szCs w:val="22"/>
        </w:rPr>
        <w:t>) a ktorí vykazovali prítomnosť závažných rizikových faktorov (napr. obmedzený prívod tekutín). Tento symptóm je však reverzibilný po vysadení ceftriaxónu.</w:t>
      </w:r>
    </w:p>
    <w:p w14:paraId="37854F5B" w14:textId="77777777" w:rsidR="00A94D41" w:rsidRPr="0079786F" w:rsidRDefault="00A94D41" w:rsidP="00B7315D">
      <w:pPr>
        <w:autoSpaceDE w:val="0"/>
        <w:autoSpaceDN w:val="0"/>
        <w:adjustRightInd w:val="0"/>
        <w:jc w:val="both"/>
        <w:rPr>
          <w:sz w:val="22"/>
          <w:szCs w:val="22"/>
        </w:rPr>
      </w:pPr>
    </w:p>
    <w:p w14:paraId="10423178" w14:textId="77777777" w:rsidR="00A94D41" w:rsidRPr="0079786F" w:rsidRDefault="00A94D41" w:rsidP="00B7315D">
      <w:pPr>
        <w:autoSpaceDE w:val="0"/>
        <w:autoSpaceDN w:val="0"/>
        <w:adjustRightInd w:val="0"/>
        <w:jc w:val="both"/>
        <w:rPr>
          <w:sz w:val="22"/>
          <w:szCs w:val="22"/>
        </w:rPr>
      </w:pPr>
      <w:r w:rsidRPr="0079786F">
        <w:rPr>
          <w:sz w:val="22"/>
          <w:szCs w:val="22"/>
        </w:rPr>
        <w:t>Liečba spirochetózy, ako j</w:t>
      </w:r>
      <w:r>
        <w:rPr>
          <w:sz w:val="22"/>
          <w:szCs w:val="22"/>
        </w:rPr>
        <w:t>e L</w:t>
      </w:r>
      <w:r w:rsidRPr="0079786F">
        <w:rPr>
          <w:sz w:val="22"/>
          <w:szCs w:val="22"/>
        </w:rPr>
        <w:t>ymská borelióza, môže vyvolať „Herxheimerovu reakciu“, ktorá sa prejavuje horúčkou, chvením, bolesťami hlavy a kĺbov. Je to následok baktericídneho účinku ceftriaxónu na Borrelia burgdorferi. Pacientov treba informovať o tom, že ide o častý následok ant</w:t>
      </w:r>
      <w:r>
        <w:rPr>
          <w:sz w:val="22"/>
          <w:szCs w:val="22"/>
        </w:rPr>
        <w:t>ibiotickej liečby L</w:t>
      </w:r>
      <w:r w:rsidRPr="0079786F">
        <w:rPr>
          <w:sz w:val="22"/>
          <w:szCs w:val="22"/>
        </w:rPr>
        <w:t>ymskej boreliózy, ktorý zvyčajne spontánne vymizne.</w:t>
      </w:r>
    </w:p>
    <w:p w14:paraId="56708B81" w14:textId="77777777" w:rsidR="00A94D41" w:rsidRPr="0079786F" w:rsidRDefault="00A94D41" w:rsidP="00B7315D">
      <w:pPr>
        <w:autoSpaceDE w:val="0"/>
        <w:autoSpaceDN w:val="0"/>
        <w:adjustRightInd w:val="0"/>
        <w:jc w:val="both"/>
        <w:rPr>
          <w:sz w:val="22"/>
          <w:szCs w:val="22"/>
        </w:rPr>
      </w:pPr>
      <w:r w:rsidRPr="0079786F">
        <w:rPr>
          <w:sz w:val="22"/>
          <w:szCs w:val="22"/>
        </w:rPr>
        <w:t>Po dlhodobej li</w:t>
      </w:r>
      <w:r>
        <w:rPr>
          <w:sz w:val="22"/>
          <w:szCs w:val="22"/>
        </w:rPr>
        <w:t>ečbe L</w:t>
      </w:r>
      <w:r w:rsidRPr="0079786F">
        <w:rPr>
          <w:sz w:val="22"/>
          <w:szCs w:val="22"/>
        </w:rPr>
        <w:t>ymskej boreliózy ceftriaxónom boli často hlásené príznaky, ako sú kožné reakcie, pruritus, horúčka, leukopénia, zvýšenie pečeňových enzýmov, respiračné poruchy a bolesť kĺbov. Tieto poruchy sa</w:t>
      </w:r>
      <w:r>
        <w:rPr>
          <w:sz w:val="22"/>
          <w:szCs w:val="22"/>
        </w:rPr>
        <w:t xml:space="preserve"> čiastočne zhodujú s príznakmi L</w:t>
      </w:r>
      <w:r w:rsidRPr="0079786F">
        <w:rPr>
          <w:sz w:val="22"/>
          <w:szCs w:val="22"/>
        </w:rPr>
        <w:t>ymskej boreliózy.</w:t>
      </w:r>
    </w:p>
    <w:p w14:paraId="36A4B592" w14:textId="77777777" w:rsidR="00A94D41" w:rsidRPr="0079786F" w:rsidRDefault="00A94D41" w:rsidP="00B7315D">
      <w:pPr>
        <w:pStyle w:val="Obyajntext"/>
        <w:tabs>
          <w:tab w:val="left" w:pos="567"/>
        </w:tabs>
        <w:jc w:val="both"/>
        <w:rPr>
          <w:rFonts w:ascii="Times New Roman" w:hAnsi="Times New Roman"/>
          <w:sz w:val="22"/>
          <w:szCs w:val="22"/>
          <w:lang w:val="sk-SK"/>
        </w:rPr>
      </w:pPr>
    </w:p>
    <w:p w14:paraId="67D6767B" w14:textId="77777777" w:rsidR="00A94D41" w:rsidRDefault="00A94D41" w:rsidP="00B7315D">
      <w:pPr>
        <w:pStyle w:val="Obyajntext"/>
        <w:tabs>
          <w:tab w:val="left" w:pos="567"/>
        </w:tabs>
        <w:jc w:val="both"/>
        <w:rPr>
          <w:rFonts w:ascii="Times New Roman" w:hAnsi="Times New Roman"/>
          <w:sz w:val="22"/>
          <w:szCs w:val="22"/>
          <w:lang w:val="sk-SK"/>
        </w:rPr>
      </w:pPr>
      <w:r w:rsidRPr="0079786F">
        <w:rPr>
          <w:rFonts w:ascii="Times New Roman" w:hAnsi="Times New Roman"/>
          <w:sz w:val="22"/>
          <w:szCs w:val="22"/>
          <w:lang w:val="sk-SK"/>
        </w:rPr>
        <w:t xml:space="preserve">Boli zaznamenané údaje o sonografických abnormalitách v žlčníku u pacientov liečených ceftriaxónom; niektorí z týchto pacientov </w:t>
      </w:r>
      <w:r w:rsidR="00D12C44">
        <w:rPr>
          <w:rFonts w:ascii="Times New Roman" w:hAnsi="Times New Roman"/>
          <w:sz w:val="22"/>
          <w:szCs w:val="22"/>
          <w:lang w:val="sk-SK"/>
        </w:rPr>
        <w:t xml:space="preserve">mali </w:t>
      </w:r>
      <w:r w:rsidRPr="0079786F">
        <w:rPr>
          <w:rFonts w:ascii="Times New Roman" w:hAnsi="Times New Roman"/>
          <w:sz w:val="22"/>
          <w:szCs w:val="22"/>
          <w:lang w:val="sk-SK"/>
        </w:rPr>
        <w:t>tiež príznaky ochorenia žlčníka. Tieto abnormality sa na sonografii javia ako hyperechogénne bez akustického tieňa alebo ako hyperechogénne s akustickým tieňovaním naznačujúcim žlčový kal, čo môže byť chybne interpretované ako žlčové kamene. Chemickú podstatu sonograficky detekovaného materiálu predominantne určuje ceftriaxón-kalciová soľ. Stav sa javí ako prechodný a reverzibilný po vysadení ceftriaxónu a začatí konzervatívnej starostlivosti o pacienta.</w:t>
      </w:r>
    </w:p>
    <w:p w14:paraId="298C41B9" w14:textId="77777777" w:rsidR="00A94D41" w:rsidRDefault="00A94D41" w:rsidP="00B7315D">
      <w:pPr>
        <w:pStyle w:val="Obyajntext"/>
        <w:tabs>
          <w:tab w:val="left" w:pos="567"/>
        </w:tabs>
        <w:jc w:val="both"/>
        <w:rPr>
          <w:rFonts w:ascii="Times New Roman" w:hAnsi="Times New Roman"/>
          <w:sz w:val="22"/>
          <w:szCs w:val="22"/>
          <w:lang w:val="sk-SK"/>
        </w:rPr>
      </w:pPr>
      <w:r w:rsidRPr="0079786F">
        <w:rPr>
          <w:rFonts w:ascii="Times New Roman" w:hAnsi="Times New Roman"/>
          <w:sz w:val="22"/>
          <w:szCs w:val="22"/>
          <w:lang w:val="sk-SK"/>
        </w:rPr>
        <w:t xml:space="preserve"> </w:t>
      </w:r>
    </w:p>
    <w:p w14:paraId="04C22569" w14:textId="77777777" w:rsidR="00A94D41" w:rsidRPr="00EE1988" w:rsidRDefault="00A94D41" w:rsidP="00B7315D">
      <w:pPr>
        <w:pStyle w:val="Zkladntext"/>
        <w:spacing w:after="0"/>
        <w:jc w:val="both"/>
        <w:rPr>
          <w:sz w:val="22"/>
          <w:szCs w:val="22"/>
          <w:u w:val="single"/>
        </w:rPr>
      </w:pPr>
      <w:r w:rsidRPr="00251279">
        <w:rPr>
          <w:sz w:val="22"/>
          <w:szCs w:val="22"/>
          <w:u w:val="single"/>
        </w:rPr>
        <w:t>Hlásenie podozrení na nežiaduce reakcie</w:t>
      </w:r>
    </w:p>
    <w:p w14:paraId="2721E066" w14:textId="77777777" w:rsidR="00A94D41" w:rsidRDefault="00A94D41" w:rsidP="00B7315D">
      <w:pPr>
        <w:pStyle w:val="Zkladntext"/>
        <w:spacing w:after="0"/>
        <w:jc w:val="both"/>
        <w:rPr>
          <w:noProof/>
          <w:sz w:val="22"/>
          <w:szCs w:val="22"/>
        </w:rPr>
      </w:pPr>
      <w:r w:rsidRPr="00251279">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9206B7">
        <w:rPr>
          <w:noProof/>
          <w:sz w:val="22"/>
          <w:szCs w:val="22"/>
        </w:rPr>
        <w:t>na</w:t>
      </w:r>
      <w:r w:rsidR="009206B7" w:rsidRPr="00727C7B">
        <w:rPr>
          <w:noProof/>
          <w:sz w:val="22"/>
          <w:szCs w:val="22"/>
        </w:rPr>
        <w:t xml:space="preserve"> </w:t>
      </w:r>
      <w:r w:rsidRPr="00727C7B">
        <w:rPr>
          <w:noProof/>
          <w:sz w:val="22"/>
          <w:szCs w:val="22"/>
          <w:highlight w:val="lightGray"/>
        </w:rPr>
        <w:t xml:space="preserve">národné </w:t>
      </w:r>
      <w:r w:rsidR="009206B7">
        <w:rPr>
          <w:noProof/>
          <w:sz w:val="22"/>
          <w:szCs w:val="22"/>
          <w:highlight w:val="lightGray"/>
        </w:rPr>
        <w:t>centrum</w:t>
      </w:r>
      <w:r w:rsidRPr="00727C7B">
        <w:rPr>
          <w:noProof/>
          <w:sz w:val="22"/>
          <w:szCs w:val="22"/>
          <w:highlight w:val="lightGray"/>
        </w:rPr>
        <w:t xml:space="preserve"> hlásenia uvedené v </w:t>
      </w:r>
      <w:hyperlink r:id="rId7" w:history="1">
        <w:r w:rsidRPr="00727C7B">
          <w:rPr>
            <w:rStyle w:val="Hypertextovprepojenie"/>
            <w:noProof/>
            <w:sz w:val="22"/>
            <w:szCs w:val="22"/>
            <w:highlight w:val="lightGray"/>
          </w:rPr>
          <w:t>Prílohe V</w:t>
        </w:r>
      </w:hyperlink>
      <w:r w:rsidRPr="00727C7B">
        <w:rPr>
          <w:color w:val="008000"/>
          <w:sz w:val="22"/>
          <w:szCs w:val="22"/>
          <w:highlight w:val="lightGray"/>
        </w:rPr>
        <w:t>*</w:t>
      </w:r>
      <w:r w:rsidRPr="00727C7B">
        <w:rPr>
          <w:noProof/>
          <w:sz w:val="22"/>
          <w:szCs w:val="22"/>
        </w:rPr>
        <w:t>.</w:t>
      </w:r>
    </w:p>
    <w:p w14:paraId="59AA65D2" w14:textId="77777777" w:rsidR="00A94D41" w:rsidRPr="0079786F" w:rsidRDefault="00A94D41" w:rsidP="00B7315D">
      <w:pPr>
        <w:pStyle w:val="Zkladntext"/>
        <w:spacing w:after="0"/>
        <w:jc w:val="both"/>
      </w:pPr>
    </w:p>
    <w:p w14:paraId="79110F0A" w14:textId="77777777" w:rsidR="00A94D41" w:rsidRPr="0079786F" w:rsidRDefault="00A94D41" w:rsidP="00B7315D">
      <w:pPr>
        <w:numPr>
          <w:ilvl w:val="1"/>
          <w:numId w:val="6"/>
        </w:numPr>
        <w:ind w:left="0" w:firstLine="0"/>
        <w:jc w:val="both"/>
        <w:rPr>
          <w:b/>
          <w:sz w:val="22"/>
          <w:szCs w:val="22"/>
        </w:rPr>
      </w:pPr>
      <w:r w:rsidRPr="0079786F">
        <w:rPr>
          <w:b/>
          <w:sz w:val="22"/>
          <w:szCs w:val="22"/>
        </w:rPr>
        <w:t>Predávkovanie</w:t>
      </w:r>
    </w:p>
    <w:p w14:paraId="1E7AE61A" w14:textId="77777777" w:rsidR="00A94D41" w:rsidRPr="0079786F" w:rsidRDefault="00A94D41" w:rsidP="00B7315D">
      <w:pPr>
        <w:autoSpaceDE w:val="0"/>
        <w:autoSpaceDN w:val="0"/>
        <w:adjustRightInd w:val="0"/>
        <w:jc w:val="both"/>
        <w:rPr>
          <w:sz w:val="22"/>
          <w:szCs w:val="22"/>
        </w:rPr>
      </w:pPr>
    </w:p>
    <w:p w14:paraId="6BDA2379" w14:textId="77777777" w:rsidR="00A94D41" w:rsidRPr="0079786F" w:rsidRDefault="00A94D41" w:rsidP="00B7315D">
      <w:pPr>
        <w:autoSpaceDE w:val="0"/>
        <w:autoSpaceDN w:val="0"/>
        <w:adjustRightInd w:val="0"/>
        <w:jc w:val="both"/>
        <w:rPr>
          <w:sz w:val="22"/>
          <w:szCs w:val="22"/>
        </w:rPr>
      </w:pPr>
      <w:r w:rsidRPr="0079786F">
        <w:rPr>
          <w:sz w:val="22"/>
          <w:szCs w:val="22"/>
        </w:rPr>
        <w:t>Neboli zaznamenané žiadne prípady predávkovania.</w:t>
      </w:r>
    </w:p>
    <w:p w14:paraId="2A8FC35B" w14:textId="77777777" w:rsidR="00A94D41" w:rsidRPr="0079786F" w:rsidRDefault="00A94D41" w:rsidP="00B7315D">
      <w:pPr>
        <w:autoSpaceDE w:val="0"/>
        <w:autoSpaceDN w:val="0"/>
        <w:adjustRightInd w:val="0"/>
        <w:jc w:val="both"/>
        <w:rPr>
          <w:sz w:val="22"/>
          <w:szCs w:val="22"/>
        </w:rPr>
      </w:pPr>
    </w:p>
    <w:p w14:paraId="68465133" w14:textId="77777777" w:rsidR="00A94D41" w:rsidRPr="0079786F" w:rsidRDefault="00A94D41" w:rsidP="00B7315D">
      <w:pPr>
        <w:autoSpaceDE w:val="0"/>
        <w:autoSpaceDN w:val="0"/>
        <w:adjustRightInd w:val="0"/>
        <w:jc w:val="both"/>
        <w:rPr>
          <w:sz w:val="22"/>
          <w:szCs w:val="22"/>
          <w:u w:val="single"/>
        </w:rPr>
      </w:pPr>
      <w:r w:rsidRPr="0079786F">
        <w:rPr>
          <w:sz w:val="22"/>
          <w:szCs w:val="22"/>
          <w:u w:val="single"/>
        </w:rPr>
        <w:t>Príznaky intoxikácie</w:t>
      </w:r>
    </w:p>
    <w:p w14:paraId="6CA5F4E1" w14:textId="77777777" w:rsidR="00A94D41" w:rsidRPr="0079786F" w:rsidRDefault="00A94D41" w:rsidP="00B7315D">
      <w:pPr>
        <w:autoSpaceDE w:val="0"/>
        <w:autoSpaceDN w:val="0"/>
        <w:adjustRightInd w:val="0"/>
        <w:jc w:val="both"/>
        <w:rPr>
          <w:sz w:val="22"/>
          <w:szCs w:val="22"/>
        </w:rPr>
      </w:pPr>
      <w:r w:rsidRPr="0079786F">
        <w:rPr>
          <w:sz w:val="22"/>
          <w:szCs w:val="22"/>
        </w:rPr>
        <w:t>Očakávané typické príznaky predávkovania sa zhodujú s profilom nežiaducich účinkov.</w:t>
      </w:r>
    </w:p>
    <w:p w14:paraId="35B05666" w14:textId="77777777" w:rsidR="00A94D41" w:rsidRPr="0079786F" w:rsidRDefault="00A94D41" w:rsidP="00B7315D">
      <w:pPr>
        <w:autoSpaceDE w:val="0"/>
        <w:autoSpaceDN w:val="0"/>
        <w:adjustRightInd w:val="0"/>
        <w:jc w:val="both"/>
        <w:rPr>
          <w:sz w:val="22"/>
          <w:szCs w:val="22"/>
        </w:rPr>
      </w:pPr>
      <w:r w:rsidRPr="0079786F">
        <w:rPr>
          <w:sz w:val="22"/>
          <w:szCs w:val="22"/>
        </w:rPr>
        <w:t>Veľmi zriedkavo sa vyskytli koliky pri súčasnej nefropatii alebo cholelitiáze pri použití vysokých dávok podávaných častejšie a rýchlejšie než sa odporúča.</w:t>
      </w:r>
    </w:p>
    <w:p w14:paraId="48EF47DE" w14:textId="77777777" w:rsidR="00A94D41" w:rsidRPr="0079786F" w:rsidRDefault="00A94D41" w:rsidP="00B7315D">
      <w:pPr>
        <w:autoSpaceDE w:val="0"/>
        <w:autoSpaceDN w:val="0"/>
        <w:adjustRightInd w:val="0"/>
        <w:jc w:val="both"/>
        <w:rPr>
          <w:sz w:val="22"/>
          <w:szCs w:val="22"/>
        </w:rPr>
      </w:pPr>
    </w:p>
    <w:p w14:paraId="1EA4EE0F" w14:textId="77777777" w:rsidR="00A94D41" w:rsidRPr="0079786F" w:rsidRDefault="00A94D41" w:rsidP="00B7315D">
      <w:pPr>
        <w:autoSpaceDE w:val="0"/>
        <w:autoSpaceDN w:val="0"/>
        <w:adjustRightInd w:val="0"/>
        <w:jc w:val="both"/>
        <w:rPr>
          <w:sz w:val="22"/>
          <w:szCs w:val="22"/>
          <w:u w:val="single"/>
        </w:rPr>
      </w:pPr>
      <w:r w:rsidRPr="0079786F">
        <w:rPr>
          <w:sz w:val="22"/>
          <w:szCs w:val="22"/>
          <w:u w:val="single"/>
        </w:rPr>
        <w:t>Liečba intoxikácie</w:t>
      </w:r>
    </w:p>
    <w:p w14:paraId="384D8A32" w14:textId="77777777" w:rsidR="00A94D41" w:rsidRPr="0079786F" w:rsidRDefault="00A94D41" w:rsidP="00B7315D">
      <w:pPr>
        <w:autoSpaceDE w:val="0"/>
        <w:autoSpaceDN w:val="0"/>
        <w:adjustRightInd w:val="0"/>
        <w:jc w:val="both"/>
        <w:rPr>
          <w:sz w:val="22"/>
          <w:szCs w:val="22"/>
        </w:rPr>
      </w:pPr>
      <w:r w:rsidRPr="0079786F">
        <w:rPr>
          <w:sz w:val="22"/>
          <w:szCs w:val="22"/>
        </w:rPr>
        <w:t>Nadmerná sérová koncentrácia ceftriaxónu nemôže byť zredukovaná hemodialýzou alebo peritoneálnou dialýzou. Neexistuje špecifické antidotum. Liečba je symptomatická.</w:t>
      </w:r>
    </w:p>
    <w:p w14:paraId="11BB645A" w14:textId="77777777" w:rsidR="00A94D41" w:rsidRPr="0079786F" w:rsidRDefault="00A94D41" w:rsidP="00B7315D">
      <w:pPr>
        <w:numPr>
          <w:ilvl w:val="12"/>
          <w:numId w:val="0"/>
        </w:numPr>
        <w:jc w:val="both"/>
        <w:rPr>
          <w:iCs/>
          <w:color w:val="000000"/>
          <w:sz w:val="22"/>
          <w:szCs w:val="22"/>
        </w:rPr>
      </w:pPr>
    </w:p>
    <w:p w14:paraId="5D058F69" w14:textId="77777777" w:rsidR="00A94D41" w:rsidRPr="0079786F" w:rsidRDefault="00A94D41" w:rsidP="00B7315D">
      <w:pPr>
        <w:numPr>
          <w:ilvl w:val="12"/>
          <w:numId w:val="0"/>
        </w:numPr>
        <w:jc w:val="both"/>
        <w:rPr>
          <w:iCs/>
          <w:color w:val="000000"/>
          <w:sz w:val="22"/>
          <w:szCs w:val="22"/>
        </w:rPr>
      </w:pPr>
    </w:p>
    <w:p w14:paraId="395B8A42" w14:textId="77777777" w:rsidR="00A94D41" w:rsidRPr="0079786F" w:rsidRDefault="00A94D41" w:rsidP="00B7315D">
      <w:pPr>
        <w:pStyle w:val="spc-s"/>
        <w:widowControl w:val="0"/>
        <w:tabs>
          <w:tab w:val="clear" w:pos="851"/>
        </w:tabs>
        <w:spacing w:before="0" w:after="0"/>
        <w:jc w:val="both"/>
        <w:rPr>
          <w:rFonts w:ascii="Times New Roman" w:hAnsi="Times New Roman"/>
          <w:bCs/>
          <w:sz w:val="22"/>
          <w:szCs w:val="22"/>
          <w:lang w:val="sk-SK"/>
        </w:rPr>
      </w:pPr>
      <w:r w:rsidRPr="0079786F">
        <w:rPr>
          <w:rFonts w:ascii="Times New Roman" w:hAnsi="Times New Roman"/>
          <w:bCs/>
          <w:sz w:val="22"/>
          <w:szCs w:val="22"/>
          <w:lang w:val="sk-SK"/>
        </w:rPr>
        <w:t>5.</w:t>
      </w:r>
      <w:r w:rsidRPr="0079786F">
        <w:rPr>
          <w:rFonts w:ascii="Times New Roman" w:hAnsi="Times New Roman"/>
          <w:bCs/>
          <w:sz w:val="22"/>
          <w:szCs w:val="22"/>
          <w:lang w:val="sk-SK"/>
        </w:rPr>
        <w:tab/>
        <w:t>FARMAKOLOGICKÉ VLASTNOSTI</w:t>
      </w:r>
    </w:p>
    <w:p w14:paraId="07D3DB06" w14:textId="77777777" w:rsidR="00A94D41" w:rsidRPr="0079786F" w:rsidRDefault="00A94D41" w:rsidP="00B7315D">
      <w:pPr>
        <w:pStyle w:val="spc-s"/>
        <w:widowControl w:val="0"/>
        <w:tabs>
          <w:tab w:val="clear" w:pos="851"/>
        </w:tabs>
        <w:spacing w:before="0" w:after="0"/>
        <w:jc w:val="both"/>
        <w:rPr>
          <w:rFonts w:ascii="Times New Roman" w:hAnsi="Times New Roman"/>
          <w:bCs/>
          <w:sz w:val="22"/>
          <w:szCs w:val="22"/>
          <w:lang w:val="sk-SK"/>
        </w:rPr>
      </w:pPr>
    </w:p>
    <w:p w14:paraId="65862EDF" w14:textId="77777777" w:rsidR="00A94D41" w:rsidRPr="0079786F" w:rsidRDefault="00A94D41" w:rsidP="00B7315D">
      <w:pPr>
        <w:numPr>
          <w:ilvl w:val="1"/>
          <w:numId w:val="7"/>
        </w:numPr>
        <w:tabs>
          <w:tab w:val="clear" w:pos="705"/>
          <w:tab w:val="num" w:pos="600"/>
        </w:tabs>
        <w:ind w:left="0" w:firstLine="0"/>
        <w:jc w:val="both"/>
        <w:rPr>
          <w:b/>
          <w:bCs/>
          <w:sz w:val="22"/>
          <w:szCs w:val="22"/>
        </w:rPr>
      </w:pPr>
      <w:r w:rsidRPr="0079786F">
        <w:rPr>
          <w:b/>
          <w:bCs/>
          <w:sz w:val="22"/>
          <w:szCs w:val="22"/>
        </w:rPr>
        <w:t>Farmakodynamické vlastnosti</w:t>
      </w:r>
    </w:p>
    <w:p w14:paraId="67C11BF8" w14:textId="77777777" w:rsidR="00A94D41" w:rsidRPr="0079786F" w:rsidRDefault="00A94D41" w:rsidP="00B7315D">
      <w:pPr>
        <w:jc w:val="both"/>
        <w:rPr>
          <w:b/>
          <w:bCs/>
          <w:sz w:val="22"/>
          <w:szCs w:val="22"/>
        </w:rPr>
      </w:pPr>
    </w:p>
    <w:p w14:paraId="765AD5B4" w14:textId="09781A31" w:rsidR="00A94D41" w:rsidRPr="0079786F" w:rsidRDefault="00A94D41" w:rsidP="00B7315D">
      <w:pPr>
        <w:tabs>
          <w:tab w:val="left" w:pos="8505"/>
        </w:tabs>
        <w:ind w:right="566"/>
        <w:jc w:val="both"/>
        <w:rPr>
          <w:bCs/>
          <w:iCs/>
          <w:sz w:val="22"/>
          <w:szCs w:val="22"/>
        </w:rPr>
      </w:pPr>
      <w:r w:rsidRPr="00251279">
        <w:rPr>
          <w:bCs/>
          <w:iCs/>
          <w:sz w:val="22"/>
          <w:szCs w:val="22"/>
        </w:rPr>
        <w:t>Farmakoterapeutická skupina</w:t>
      </w:r>
      <w:r w:rsidRPr="00EE1988">
        <w:rPr>
          <w:bCs/>
          <w:iCs/>
          <w:sz w:val="22"/>
          <w:szCs w:val="22"/>
        </w:rPr>
        <w:t>:</w:t>
      </w:r>
      <w:r w:rsidRPr="0079786F">
        <w:rPr>
          <w:bCs/>
          <w:iCs/>
          <w:sz w:val="22"/>
          <w:szCs w:val="22"/>
        </w:rPr>
        <w:t xml:space="preserve"> </w:t>
      </w:r>
      <w:r w:rsidR="004866A1">
        <w:rPr>
          <w:bCs/>
          <w:iCs/>
          <w:sz w:val="22"/>
          <w:szCs w:val="22"/>
        </w:rPr>
        <w:t>antibiotiká na systémové pou</w:t>
      </w:r>
      <w:r w:rsidR="003E4A56">
        <w:rPr>
          <w:bCs/>
          <w:iCs/>
          <w:sz w:val="22"/>
          <w:szCs w:val="22"/>
        </w:rPr>
        <w:t>žitie</w:t>
      </w:r>
      <w:r w:rsidR="004866A1">
        <w:rPr>
          <w:bCs/>
          <w:iCs/>
          <w:sz w:val="22"/>
          <w:szCs w:val="22"/>
        </w:rPr>
        <w:t xml:space="preserve">, </w:t>
      </w:r>
      <w:r w:rsidR="00564A01">
        <w:rPr>
          <w:bCs/>
          <w:iCs/>
          <w:sz w:val="22"/>
          <w:szCs w:val="22"/>
        </w:rPr>
        <w:t>c</w:t>
      </w:r>
      <w:r w:rsidRPr="0079786F">
        <w:rPr>
          <w:bCs/>
          <w:iCs/>
          <w:sz w:val="22"/>
          <w:szCs w:val="22"/>
        </w:rPr>
        <w:t>efalosporíny tretej generácie</w:t>
      </w:r>
    </w:p>
    <w:p w14:paraId="15C547B7" w14:textId="77777777" w:rsidR="00A94D41" w:rsidRPr="0079786F" w:rsidRDefault="00A94D41" w:rsidP="00B7315D">
      <w:pPr>
        <w:jc w:val="both"/>
        <w:rPr>
          <w:bCs/>
          <w:sz w:val="22"/>
          <w:szCs w:val="22"/>
        </w:rPr>
      </w:pPr>
      <w:r w:rsidRPr="00251279">
        <w:rPr>
          <w:bCs/>
          <w:sz w:val="22"/>
          <w:szCs w:val="22"/>
        </w:rPr>
        <w:t>ATC kód:</w:t>
      </w:r>
      <w:r w:rsidRPr="0079786F">
        <w:rPr>
          <w:bCs/>
          <w:sz w:val="22"/>
          <w:szCs w:val="22"/>
        </w:rPr>
        <w:t xml:space="preserve"> J01DD04</w:t>
      </w:r>
    </w:p>
    <w:p w14:paraId="4C5CEB8E" w14:textId="77777777" w:rsidR="00A94D41" w:rsidRPr="0079786F" w:rsidRDefault="00A94D41" w:rsidP="00B7315D">
      <w:pPr>
        <w:jc w:val="both"/>
        <w:rPr>
          <w:bCs/>
          <w:sz w:val="22"/>
          <w:szCs w:val="22"/>
        </w:rPr>
      </w:pPr>
    </w:p>
    <w:p w14:paraId="23C589A5" w14:textId="77777777" w:rsidR="00A94D41" w:rsidRPr="0079786F" w:rsidRDefault="00A94D41" w:rsidP="00B7315D">
      <w:pPr>
        <w:jc w:val="both"/>
        <w:rPr>
          <w:bCs/>
          <w:sz w:val="22"/>
          <w:szCs w:val="22"/>
          <w:u w:val="single"/>
        </w:rPr>
      </w:pPr>
      <w:r>
        <w:rPr>
          <w:bCs/>
          <w:sz w:val="22"/>
          <w:szCs w:val="22"/>
          <w:u w:val="single"/>
        </w:rPr>
        <w:t>Mechanizmus</w:t>
      </w:r>
      <w:r w:rsidRPr="0079786F">
        <w:rPr>
          <w:bCs/>
          <w:sz w:val="22"/>
          <w:szCs w:val="22"/>
          <w:u w:val="single"/>
        </w:rPr>
        <w:t xml:space="preserve"> účinku</w:t>
      </w:r>
    </w:p>
    <w:p w14:paraId="6C3E375C" w14:textId="77777777" w:rsidR="00A94D41" w:rsidRPr="0079786F" w:rsidRDefault="00A94D41" w:rsidP="00B7315D">
      <w:pPr>
        <w:jc w:val="both"/>
        <w:rPr>
          <w:bCs/>
          <w:sz w:val="22"/>
          <w:szCs w:val="22"/>
        </w:rPr>
      </w:pPr>
      <w:r w:rsidRPr="0079786F">
        <w:rPr>
          <w:bCs/>
          <w:sz w:val="22"/>
          <w:szCs w:val="22"/>
        </w:rPr>
        <w:t>Baktericídna aktivita ceftriaxónu vyplýva z inhibície syntézy bakteriálnej bunkovej steny (počas fázy rastu) spôsobenej inhibíciou penicilín-viažucich proteínov (PBP) typu transpeptidáz.</w:t>
      </w:r>
    </w:p>
    <w:p w14:paraId="29DEBC02" w14:textId="77777777" w:rsidR="00A94D41" w:rsidRPr="0079786F" w:rsidRDefault="00A94D41" w:rsidP="00B7315D">
      <w:pPr>
        <w:jc w:val="both"/>
        <w:rPr>
          <w:bCs/>
          <w:sz w:val="22"/>
          <w:szCs w:val="22"/>
        </w:rPr>
      </w:pPr>
    </w:p>
    <w:p w14:paraId="60DF6EAB" w14:textId="77777777" w:rsidR="00A94D41" w:rsidRPr="0079786F" w:rsidRDefault="00A94D41" w:rsidP="00B7315D">
      <w:pPr>
        <w:jc w:val="both"/>
        <w:rPr>
          <w:bCs/>
          <w:sz w:val="22"/>
          <w:szCs w:val="22"/>
          <w:u w:val="single"/>
        </w:rPr>
      </w:pPr>
      <w:r w:rsidRPr="0079786F">
        <w:rPr>
          <w:bCs/>
          <w:sz w:val="22"/>
          <w:szCs w:val="22"/>
          <w:u w:val="single"/>
        </w:rPr>
        <w:t>Spojenie farmakokinetiky a farmakodynamiky</w:t>
      </w:r>
    </w:p>
    <w:p w14:paraId="76A57D12" w14:textId="77777777" w:rsidR="00A94D41" w:rsidRPr="0079786F" w:rsidRDefault="00A94D41" w:rsidP="00B7315D">
      <w:pPr>
        <w:jc w:val="both"/>
        <w:rPr>
          <w:bCs/>
          <w:sz w:val="22"/>
          <w:szCs w:val="22"/>
        </w:rPr>
      </w:pPr>
      <w:r w:rsidRPr="0079786F">
        <w:rPr>
          <w:bCs/>
          <w:sz w:val="22"/>
          <w:szCs w:val="22"/>
        </w:rPr>
        <w:t>Rozsah baktericídnej aktivity závisí od trvania času, počas ktorého sérová hladina presahuje minimálnu inhibičnú koncentráciu (MIC) pre daný patogén.</w:t>
      </w:r>
    </w:p>
    <w:p w14:paraId="45BC0B68" w14:textId="77777777" w:rsidR="00A94D41" w:rsidRPr="0079786F" w:rsidRDefault="00A94D41" w:rsidP="00B7315D">
      <w:pPr>
        <w:jc w:val="both"/>
        <w:rPr>
          <w:bCs/>
          <w:sz w:val="22"/>
          <w:szCs w:val="22"/>
        </w:rPr>
      </w:pPr>
    </w:p>
    <w:p w14:paraId="5A0E75F6" w14:textId="77777777" w:rsidR="00A94D41" w:rsidRPr="0079786F" w:rsidRDefault="00A94D41" w:rsidP="00B7315D">
      <w:pPr>
        <w:jc w:val="both"/>
        <w:rPr>
          <w:bCs/>
          <w:sz w:val="22"/>
          <w:szCs w:val="22"/>
          <w:u w:val="single"/>
        </w:rPr>
      </w:pPr>
      <w:r w:rsidRPr="0079786F">
        <w:rPr>
          <w:bCs/>
          <w:sz w:val="22"/>
          <w:szCs w:val="22"/>
          <w:u w:val="single"/>
        </w:rPr>
        <w:t>Mechanizmus rezistencie</w:t>
      </w:r>
    </w:p>
    <w:p w14:paraId="0D6A5401" w14:textId="7A37CA93" w:rsidR="00A94D41" w:rsidRPr="0079786F" w:rsidRDefault="00A94D41" w:rsidP="00B7315D">
      <w:pPr>
        <w:tabs>
          <w:tab w:val="left" w:pos="480"/>
        </w:tabs>
        <w:jc w:val="both"/>
        <w:rPr>
          <w:bCs/>
          <w:sz w:val="22"/>
          <w:szCs w:val="22"/>
        </w:rPr>
      </w:pPr>
      <w:r w:rsidRPr="0079786F">
        <w:rPr>
          <w:bCs/>
          <w:sz w:val="22"/>
          <w:szCs w:val="22"/>
        </w:rPr>
        <w:t>-</w:t>
      </w:r>
      <w:r w:rsidRPr="0079786F">
        <w:rPr>
          <w:bCs/>
          <w:sz w:val="22"/>
          <w:szCs w:val="22"/>
        </w:rPr>
        <w:tab/>
        <w:t>inaktivácia β-laktamázami. Ceftriaxón môže byť hydrolyzovaný určitými β-laktamázami, zvlášť širok</w:t>
      </w:r>
      <w:r w:rsidR="00720FC1">
        <w:rPr>
          <w:bCs/>
          <w:sz w:val="22"/>
          <w:szCs w:val="22"/>
        </w:rPr>
        <w:t>ospektráln</w:t>
      </w:r>
      <w:r w:rsidR="000B6714">
        <w:rPr>
          <w:bCs/>
          <w:sz w:val="22"/>
          <w:szCs w:val="22"/>
        </w:rPr>
        <w:t>ymi</w:t>
      </w:r>
      <w:r w:rsidRPr="0079786F">
        <w:rPr>
          <w:bCs/>
          <w:sz w:val="22"/>
          <w:szCs w:val="22"/>
        </w:rPr>
        <w:t xml:space="preserve">  β-laktamáz</w:t>
      </w:r>
      <w:r w:rsidR="000B6714">
        <w:rPr>
          <w:bCs/>
          <w:sz w:val="22"/>
          <w:szCs w:val="22"/>
        </w:rPr>
        <w:t>ami</w:t>
      </w:r>
      <w:r w:rsidRPr="0079786F">
        <w:rPr>
          <w:bCs/>
          <w:sz w:val="22"/>
          <w:szCs w:val="22"/>
        </w:rPr>
        <w:t xml:space="preserve"> (ESBLs), ktoré je možné nájsť u kmeňov </w:t>
      </w:r>
      <w:r w:rsidRPr="0079786F">
        <w:rPr>
          <w:bCs/>
          <w:i/>
          <w:sz w:val="22"/>
          <w:szCs w:val="22"/>
        </w:rPr>
        <w:t>Escherichia coli</w:t>
      </w:r>
      <w:r w:rsidRPr="0079786F">
        <w:rPr>
          <w:bCs/>
          <w:sz w:val="22"/>
          <w:szCs w:val="22"/>
        </w:rPr>
        <w:t xml:space="preserve"> alebo </w:t>
      </w:r>
      <w:r w:rsidRPr="0079786F">
        <w:rPr>
          <w:bCs/>
          <w:i/>
          <w:sz w:val="22"/>
          <w:szCs w:val="22"/>
        </w:rPr>
        <w:t>Klebsiella pneumoniae</w:t>
      </w:r>
      <w:r w:rsidRPr="0079786F">
        <w:rPr>
          <w:bCs/>
          <w:sz w:val="22"/>
          <w:szCs w:val="22"/>
        </w:rPr>
        <w:t>, alebo chromozomálne kódovanými induktívnymi alebo konštitutívnymi β-laktamázami typu AmpC, ktoré je možné nájsť u kmeňov</w:t>
      </w:r>
      <w:r w:rsidRPr="0079786F">
        <w:rPr>
          <w:bCs/>
          <w:i/>
          <w:sz w:val="22"/>
          <w:szCs w:val="22"/>
        </w:rPr>
        <w:t xml:space="preserve"> Enterobacter cloacae</w:t>
      </w:r>
      <w:r w:rsidRPr="0079786F">
        <w:rPr>
          <w:bCs/>
          <w:sz w:val="22"/>
          <w:szCs w:val="22"/>
        </w:rPr>
        <w:t xml:space="preserve">. Z toho dôvodu infekcie spôsobené patogénmi s chromozomálne zakódovanými induktívnymi AmpC-β-laktamázami by nemali byť liečené ceftriaxónom ani v prípade dokázanej </w:t>
      </w:r>
      <w:r w:rsidRPr="0079786F">
        <w:rPr>
          <w:bCs/>
          <w:i/>
          <w:sz w:val="22"/>
          <w:szCs w:val="22"/>
        </w:rPr>
        <w:t>in vitro</w:t>
      </w:r>
      <w:r w:rsidRPr="0079786F">
        <w:rPr>
          <w:bCs/>
          <w:sz w:val="22"/>
          <w:szCs w:val="22"/>
        </w:rPr>
        <w:t xml:space="preserve"> citlivosti, kvôli riziku selekcie zmutovaných baktérií s konštitutívnou, odbrzdenou expresiou AmpC-β-laktamáz. </w:t>
      </w:r>
    </w:p>
    <w:p w14:paraId="432550A7" w14:textId="77777777" w:rsidR="00A94D41" w:rsidRPr="0079786F" w:rsidRDefault="00A94D41" w:rsidP="00B7315D">
      <w:pPr>
        <w:tabs>
          <w:tab w:val="left" w:pos="480"/>
        </w:tabs>
        <w:jc w:val="both"/>
        <w:rPr>
          <w:bCs/>
          <w:sz w:val="22"/>
          <w:szCs w:val="22"/>
        </w:rPr>
      </w:pPr>
    </w:p>
    <w:p w14:paraId="0993E98B" w14:textId="77777777" w:rsidR="00A94D41" w:rsidRPr="0079786F" w:rsidRDefault="00A94D41" w:rsidP="00B7315D">
      <w:pPr>
        <w:numPr>
          <w:ilvl w:val="0"/>
          <w:numId w:val="10"/>
        </w:numPr>
        <w:tabs>
          <w:tab w:val="clear" w:pos="720"/>
          <w:tab w:val="num" w:pos="66"/>
          <w:tab w:val="left" w:pos="426"/>
        </w:tabs>
        <w:ind w:left="0" w:firstLine="0"/>
        <w:jc w:val="both"/>
        <w:rPr>
          <w:bCs/>
          <w:sz w:val="22"/>
          <w:szCs w:val="22"/>
        </w:rPr>
      </w:pPr>
      <w:r w:rsidRPr="0079786F">
        <w:rPr>
          <w:bCs/>
          <w:sz w:val="22"/>
          <w:szCs w:val="22"/>
        </w:rPr>
        <w:t xml:space="preserve">znížená afinita penicilín-viažucich proteínov (PBP) k ceftriaxónu. Získaná rezistencia u pneumokokov a iných streptokokov je spôsobená modifikáciou už existujúcich PBP, ako následok procesu mutácie. V protiklade k tomuto, čo sa týka meticilín – (oxacilin) rezistentného u stafylokokov, je za rezistenciu zodpovedná tvorba prídavných PBP so zníženou afinitou k ceftriaxónu. </w:t>
      </w:r>
    </w:p>
    <w:p w14:paraId="0A7328EE" w14:textId="77777777" w:rsidR="00A94D41" w:rsidRPr="0079786F" w:rsidRDefault="00A94D41" w:rsidP="00B7315D">
      <w:pPr>
        <w:tabs>
          <w:tab w:val="left" w:pos="360"/>
        </w:tabs>
        <w:jc w:val="both"/>
        <w:rPr>
          <w:bCs/>
          <w:sz w:val="22"/>
          <w:szCs w:val="22"/>
        </w:rPr>
      </w:pPr>
    </w:p>
    <w:p w14:paraId="7EF5E51C" w14:textId="77777777" w:rsidR="00A94D41" w:rsidRPr="0079786F" w:rsidRDefault="00A94D41" w:rsidP="00B7315D">
      <w:pPr>
        <w:tabs>
          <w:tab w:val="left" w:pos="480"/>
        </w:tabs>
        <w:jc w:val="both"/>
        <w:rPr>
          <w:bCs/>
          <w:sz w:val="22"/>
          <w:szCs w:val="22"/>
        </w:rPr>
      </w:pPr>
      <w:r w:rsidRPr="0079786F">
        <w:rPr>
          <w:bCs/>
          <w:sz w:val="22"/>
          <w:szCs w:val="22"/>
        </w:rPr>
        <w:t>-</w:t>
      </w:r>
      <w:r w:rsidRPr="0079786F">
        <w:rPr>
          <w:bCs/>
          <w:sz w:val="22"/>
          <w:szCs w:val="22"/>
        </w:rPr>
        <w:tab/>
        <w:t>nedostatočná penetrácia ceftriaxónu cez vonkajšiu bunkovú stenu gram-negatívnych baktérií, takže inhibícia PBP je nepostačujúca.</w:t>
      </w:r>
    </w:p>
    <w:p w14:paraId="3A635B48" w14:textId="77777777" w:rsidR="00A94D41" w:rsidRPr="0079786F" w:rsidRDefault="00A94D41" w:rsidP="00B7315D">
      <w:pPr>
        <w:tabs>
          <w:tab w:val="left" w:pos="480"/>
        </w:tabs>
        <w:jc w:val="both"/>
        <w:rPr>
          <w:bCs/>
          <w:sz w:val="22"/>
          <w:szCs w:val="22"/>
        </w:rPr>
      </w:pPr>
    </w:p>
    <w:p w14:paraId="10B1B998" w14:textId="77777777" w:rsidR="00A94D41" w:rsidRPr="0079786F" w:rsidRDefault="00A94D41" w:rsidP="00B7315D">
      <w:pPr>
        <w:tabs>
          <w:tab w:val="left" w:pos="480"/>
        </w:tabs>
        <w:jc w:val="both"/>
        <w:rPr>
          <w:bCs/>
          <w:sz w:val="22"/>
          <w:szCs w:val="22"/>
        </w:rPr>
      </w:pPr>
      <w:r w:rsidRPr="0079786F">
        <w:rPr>
          <w:bCs/>
          <w:sz w:val="22"/>
          <w:szCs w:val="22"/>
        </w:rPr>
        <w:t>-</w:t>
      </w:r>
      <w:r w:rsidRPr="0079786F">
        <w:rPr>
          <w:bCs/>
          <w:sz w:val="22"/>
          <w:szCs w:val="22"/>
        </w:rPr>
        <w:tab/>
        <w:t>prítomnosť transportného mechanizmu (výtokové pumpy), schopné aktívne transportovať ceftriaxón von z bunky.</w:t>
      </w:r>
    </w:p>
    <w:p w14:paraId="0D29A6EE" w14:textId="77777777" w:rsidR="00A94D41" w:rsidRPr="0079786F" w:rsidRDefault="00A94D41" w:rsidP="00B7315D">
      <w:pPr>
        <w:tabs>
          <w:tab w:val="left" w:pos="480"/>
        </w:tabs>
        <w:jc w:val="both"/>
        <w:rPr>
          <w:bCs/>
          <w:sz w:val="22"/>
          <w:szCs w:val="22"/>
        </w:rPr>
      </w:pPr>
    </w:p>
    <w:p w14:paraId="11F5C078" w14:textId="77777777" w:rsidR="00A94D41" w:rsidRPr="0079786F" w:rsidRDefault="00A94D41" w:rsidP="00B7315D">
      <w:pPr>
        <w:tabs>
          <w:tab w:val="left" w:pos="480"/>
        </w:tabs>
        <w:jc w:val="both"/>
        <w:rPr>
          <w:bCs/>
          <w:sz w:val="22"/>
          <w:szCs w:val="22"/>
        </w:rPr>
      </w:pPr>
      <w:r w:rsidRPr="0079786F">
        <w:rPr>
          <w:bCs/>
          <w:sz w:val="22"/>
          <w:szCs w:val="22"/>
        </w:rPr>
        <w:t>V jednej bakteriálnej bunke sa môže súčasne objaviť viac ako jeden z vyššie spomenutých mechanizmov rezistencie.</w:t>
      </w:r>
    </w:p>
    <w:p w14:paraId="1BE5846D" w14:textId="77777777" w:rsidR="00A94D41" w:rsidRPr="0079786F" w:rsidRDefault="00A94D41" w:rsidP="00B7315D">
      <w:pPr>
        <w:tabs>
          <w:tab w:val="left" w:pos="480"/>
        </w:tabs>
        <w:jc w:val="both"/>
        <w:rPr>
          <w:bCs/>
          <w:sz w:val="22"/>
          <w:szCs w:val="22"/>
        </w:rPr>
      </w:pPr>
    </w:p>
    <w:p w14:paraId="4F16125A" w14:textId="77777777" w:rsidR="00A94D41" w:rsidRPr="0079786F" w:rsidRDefault="00A94D41" w:rsidP="00B7315D">
      <w:pPr>
        <w:tabs>
          <w:tab w:val="left" w:pos="480"/>
        </w:tabs>
        <w:jc w:val="both"/>
        <w:rPr>
          <w:bCs/>
          <w:sz w:val="22"/>
          <w:szCs w:val="22"/>
        </w:rPr>
      </w:pPr>
      <w:r w:rsidRPr="0079786F">
        <w:rPr>
          <w:bCs/>
          <w:sz w:val="22"/>
          <w:szCs w:val="22"/>
        </w:rPr>
        <w:t>Čiastočná alebo kompletná skrížená rezistencia na ceftriaxón sa vyskytuje pri ďalších cefalosporínoch ako je cefotaxím alebo ceftazidím.</w:t>
      </w:r>
    </w:p>
    <w:p w14:paraId="1CCAEED9" w14:textId="77777777" w:rsidR="00A94D41" w:rsidRPr="0079786F" w:rsidRDefault="00A94D41" w:rsidP="00B7315D">
      <w:pPr>
        <w:tabs>
          <w:tab w:val="left" w:pos="480"/>
        </w:tabs>
        <w:jc w:val="both"/>
        <w:rPr>
          <w:bCs/>
          <w:sz w:val="22"/>
          <w:szCs w:val="22"/>
        </w:rPr>
      </w:pPr>
    </w:p>
    <w:p w14:paraId="3039C0BE" w14:textId="77777777" w:rsidR="00A94D41" w:rsidRPr="0079786F" w:rsidRDefault="00A94D41" w:rsidP="00B7315D">
      <w:pPr>
        <w:tabs>
          <w:tab w:val="left" w:pos="480"/>
        </w:tabs>
        <w:jc w:val="both"/>
        <w:rPr>
          <w:bCs/>
          <w:sz w:val="22"/>
          <w:szCs w:val="22"/>
          <w:u w:val="single"/>
        </w:rPr>
      </w:pPr>
      <w:r w:rsidRPr="0079786F">
        <w:rPr>
          <w:bCs/>
          <w:sz w:val="22"/>
          <w:szCs w:val="22"/>
          <w:u w:val="single"/>
        </w:rPr>
        <w:t>Citlivosť</w:t>
      </w:r>
    </w:p>
    <w:p w14:paraId="32A3FE8F" w14:textId="77777777" w:rsidR="00A94D41" w:rsidRPr="0079786F" w:rsidRDefault="00A94D41" w:rsidP="00B7315D">
      <w:pPr>
        <w:tabs>
          <w:tab w:val="left" w:pos="480"/>
        </w:tabs>
        <w:jc w:val="both"/>
        <w:rPr>
          <w:bCs/>
          <w:sz w:val="22"/>
          <w:szCs w:val="22"/>
        </w:rPr>
      </w:pPr>
    </w:p>
    <w:p w14:paraId="58697D01" w14:textId="77777777" w:rsidR="00A94D41" w:rsidRPr="0079786F" w:rsidRDefault="00A94D41" w:rsidP="00B7315D">
      <w:pPr>
        <w:tabs>
          <w:tab w:val="left" w:pos="480"/>
        </w:tabs>
        <w:jc w:val="both"/>
        <w:rPr>
          <w:bCs/>
          <w:sz w:val="22"/>
          <w:szCs w:val="22"/>
        </w:rPr>
      </w:pPr>
      <w:r w:rsidRPr="0079786F">
        <w:rPr>
          <w:bCs/>
          <w:sz w:val="22"/>
          <w:szCs w:val="22"/>
        </w:rPr>
        <w:t>Na testovanie ceftriaxónu sa používajú bežné dilučné sety. Pre citlivé a rezistentné mikróby boli definované nasledovné minimálne inhibičné koncentrácie:</w:t>
      </w:r>
    </w:p>
    <w:p w14:paraId="61ED6D06" w14:textId="77777777" w:rsidR="00A94D41" w:rsidRPr="0079786F" w:rsidRDefault="00A94D41" w:rsidP="00B7315D">
      <w:pPr>
        <w:tabs>
          <w:tab w:val="left" w:pos="480"/>
        </w:tabs>
        <w:jc w:val="both"/>
        <w:rPr>
          <w:bCs/>
          <w:sz w:val="22"/>
          <w:szCs w:val="22"/>
        </w:rPr>
      </w:pPr>
    </w:p>
    <w:p w14:paraId="6C7C5AF7" w14:textId="4963518D" w:rsidR="00A94D41" w:rsidRPr="0079786F" w:rsidRDefault="00A94D41" w:rsidP="00B7315D">
      <w:pPr>
        <w:pStyle w:val="Zarkazkladnhotextu3"/>
        <w:spacing w:line="240" w:lineRule="auto"/>
        <w:ind w:left="0"/>
        <w:rPr>
          <w:sz w:val="22"/>
          <w:szCs w:val="22"/>
          <w:lang w:val="sk-SK"/>
        </w:rPr>
      </w:pPr>
      <w:r w:rsidRPr="0079786F">
        <w:rPr>
          <w:sz w:val="22"/>
          <w:szCs w:val="22"/>
          <w:lang w:val="sk-SK"/>
        </w:rPr>
        <w:t>EUCAST</w:t>
      </w:r>
      <w:r w:rsidR="003D3364">
        <w:rPr>
          <w:sz w:val="22"/>
          <w:szCs w:val="22"/>
          <w:lang w:val="sk-SK"/>
        </w:rPr>
        <w:t xml:space="preserve"> – Európsky výbor pre testovanie antimikrobiálnej citlivosti</w:t>
      </w:r>
      <w:r w:rsidRPr="0079786F">
        <w:rPr>
          <w:sz w:val="22"/>
          <w:szCs w:val="22"/>
          <w:lang w:val="sk-SK"/>
        </w:rPr>
        <w:t xml:space="preserve"> (European Committee on Antimicrobial Susceptibility Testing) </w:t>
      </w:r>
      <w:r w:rsidR="003D3364">
        <w:rPr>
          <w:sz w:val="22"/>
          <w:szCs w:val="22"/>
          <w:lang w:val="sk-SK"/>
        </w:rPr>
        <w:t>hraničné hodnoty</w:t>
      </w:r>
      <w:r w:rsidRPr="0079786F">
        <w:rPr>
          <w:sz w:val="22"/>
          <w:szCs w:val="22"/>
          <w:lang w:val="sk-SK"/>
        </w:rPr>
        <w:t xml:space="preserve">: </w:t>
      </w:r>
    </w:p>
    <w:p w14:paraId="79BAA31F" w14:textId="77777777" w:rsidR="00A94D41" w:rsidRPr="0079786F" w:rsidRDefault="00A94D41" w:rsidP="00B7315D">
      <w:pPr>
        <w:pStyle w:val="Zarkazkladnhotextu3"/>
        <w:spacing w:line="240" w:lineRule="auto"/>
        <w:ind w:left="0"/>
        <w:rPr>
          <w:sz w:val="22"/>
          <w:szCs w:val="22"/>
          <w:lang w:val="sk-SK"/>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0"/>
        <w:gridCol w:w="1690"/>
        <w:gridCol w:w="1260"/>
        <w:gridCol w:w="1260"/>
        <w:gridCol w:w="1260"/>
      </w:tblGrid>
      <w:tr w:rsidR="00A94D41" w:rsidRPr="0079786F" w14:paraId="0B4C9DF5" w14:textId="77777777" w:rsidTr="00296648">
        <w:trPr>
          <w:trHeight w:val="128"/>
        </w:trPr>
        <w:tc>
          <w:tcPr>
            <w:tcW w:w="3350" w:type="dxa"/>
            <w:vMerge w:val="restart"/>
          </w:tcPr>
          <w:p w14:paraId="0810E3F6" w14:textId="77777777" w:rsidR="00A94D41" w:rsidRPr="0079786F" w:rsidRDefault="00A94D41" w:rsidP="00B7315D">
            <w:pPr>
              <w:jc w:val="both"/>
              <w:rPr>
                <w:sz w:val="22"/>
                <w:szCs w:val="22"/>
              </w:rPr>
            </w:pPr>
            <w:r w:rsidRPr="0079786F">
              <w:rPr>
                <w:sz w:val="22"/>
                <w:szCs w:val="22"/>
              </w:rPr>
              <w:t>Patogén</w:t>
            </w:r>
          </w:p>
        </w:tc>
        <w:tc>
          <w:tcPr>
            <w:tcW w:w="2950" w:type="dxa"/>
            <w:gridSpan w:val="2"/>
          </w:tcPr>
          <w:p w14:paraId="0B06060C" w14:textId="023C7AA6" w:rsidR="00A94D41" w:rsidRDefault="00A94D41" w:rsidP="00B7315D">
            <w:pPr>
              <w:tabs>
                <w:tab w:val="left" w:pos="540"/>
              </w:tabs>
              <w:jc w:val="both"/>
              <w:rPr>
                <w:sz w:val="22"/>
                <w:szCs w:val="22"/>
              </w:rPr>
            </w:pPr>
            <w:r>
              <w:rPr>
                <w:sz w:val="22"/>
                <w:szCs w:val="22"/>
              </w:rPr>
              <w:t xml:space="preserve">MIC </w:t>
            </w:r>
            <w:r w:rsidR="003D3364">
              <w:rPr>
                <w:sz w:val="22"/>
                <w:szCs w:val="22"/>
              </w:rPr>
              <w:t>hraničná hodnota</w:t>
            </w:r>
          </w:p>
          <w:p w14:paraId="0122BE40" w14:textId="77777777" w:rsidR="00A94D41" w:rsidRPr="0079786F" w:rsidRDefault="00A94D41" w:rsidP="00B7315D">
            <w:pPr>
              <w:tabs>
                <w:tab w:val="left" w:pos="540"/>
              </w:tabs>
              <w:jc w:val="both"/>
              <w:rPr>
                <w:sz w:val="22"/>
                <w:szCs w:val="22"/>
              </w:rPr>
            </w:pPr>
          </w:p>
        </w:tc>
        <w:tc>
          <w:tcPr>
            <w:tcW w:w="2520" w:type="dxa"/>
            <w:gridSpan w:val="2"/>
            <w:shd w:val="clear" w:color="auto" w:fill="auto"/>
          </w:tcPr>
          <w:p w14:paraId="2CE94018" w14:textId="6539DF69" w:rsidR="00A94D41" w:rsidRPr="0079786F" w:rsidRDefault="003D3364" w:rsidP="00B7315D">
            <w:pPr>
              <w:tabs>
                <w:tab w:val="left" w:pos="540"/>
              </w:tabs>
              <w:jc w:val="both"/>
              <w:rPr>
                <w:sz w:val="22"/>
                <w:szCs w:val="22"/>
              </w:rPr>
            </w:pPr>
            <w:r>
              <w:rPr>
                <w:sz w:val="22"/>
                <w:szCs w:val="22"/>
              </w:rPr>
              <w:t>Hraničná hodnota</w:t>
            </w:r>
            <w:r w:rsidR="00A94D41">
              <w:rPr>
                <w:sz w:val="22"/>
                <w:szCs w:val="22"/>
              </w:rPr>
              <w:t xml:space="preserve"> diskového testu</w:t>
            </w:r>
          </w:p>
        </w:tc>
      </w:tr>
      <w:tr w:rsidR="00A94D41" w:rsidRPr="0079786F" w14:paraId="38D990D2" w14:textId="77777777" w:rsidTr="00296648">
        <w:trPr>
          <w:trHeight w:val="127"/>
        </w:trPr>
        <w:tc>
          <w:tcPr>
            <w:tcW w:w="3350" w:type="dxa"/>
            <w:vMerge/>
          </w:tcPr>
          <w:p w14:paraId="155478B1" w14:textId="77777777" w:rsidR="00A94D41" w:rsidRPr="0079786F" w:rsidRDefault="00A94D41" w:rsidP="00B7315D">
            <w:pPr>
              <w:jc w:val="both"/>
              <w:rPr>
                <w:sz w:val="22"/>
                <w:szCs w:val="22"/>
              </w:rPr>
            </w:pPr>
          </w:p>
        </w:tc>
        <w:tc>
          <w:tcPr>
            <w:tcW w:w="1690" w:type="dxa"/>
          </w:tcPr>
          <w:p w14:paraId="64A6CE5E" w14:textId="77777777" w:rsidR="00A94D41" w:rsidRPr="0079786F" w:rsidRDefault="00A94D41" w:rsidP="00B7315D">
            <w:pPr>
              <w:tabs>
                <w:tab w:val="left" w:pos="540"/>
              </w:tabs>
              <w:jc w:val="both"/>
              <w:rPr>
                <w:sz w:val="22"/>
                <w:szCs w:val="22"/>
              </w:rPr>
            </w:pPr>
            <w:r>
              <w:rPr>
                <w:sz w:val="22"/>
                <w:szCs w:val="22"/>
              </w:rPr>
              <w:t>Citlivý</w:t>
            </w:r>
          </w:p>
        </w:tc>
        <w:tc>
          <w:tcPr>
            <w:tcW w:w="1260" w:type="dxa"/>
          </w:tcPr>
          <w:p w14:paraId="6E47C6D9" w14:textId="77777777" w:rsidR="00A94D41" w:rsidRPr="0079786F" w:rsidRDefault="00A94D41" w:rsidP="00B7315D">
            <w:pPr>
              <w:tabs>
                <w:tab w:val="left" w:pos="540"/>
              </w:tabs>
              <w:jc w:val="both"/>
              <w:rPr>
                <w:sz w:val="22"/>
                <w:szCs w:val="22"/>
              </w:rPr>
            </w:pPr>
            <w:r>
              <w:rPr>
                <w:sz w:val="22"/>
                <w:szCs w:val="22"/>
              </w:rPr>
              <w:t>Rezistentný</w:t>
            </w:r>
          </w:p>
        </w:tc>
        <w:tc>
          <w:tcPr>
            <w:tcW w:w="1260" w:type="dxa"/>
            <w:shd w:val="clear" w:color="auto" w:fill="auto"/>
          </w:tcPr>
          <w:p w14:paraId="52A45B22" w14:textId="77777777" w:rsidR="00A94D41" w:rsidRPr="0079786F" w:rsidRDefault="00A94D41" w:rsidP="00B7315D">
            <w:pPr>
              <w:tabs>
                <w:tab w:val="left" w:pos="540"/>
              </w:tabs>
              <w:jc w:val="both"/>
              <w:rPr>
                <w:sz w:val="22"/>
                <w:szCs w:val="22"/>
              </w:rPr>
            </w:pPr>
            <w:r>
              <w:rPr>
                <w:sz w:val="22"/>
                <w:szCs w:val="22"/>
              </w:rPr>
              <w:t>Citlivý</w:t>
            </w:r>
          </w:p>
        </w:tc>
        <w:tc>
          <w:tcPr>
            <w:tcW w:w="1260" w:type="dxa"/>
            <w:shd w:val="clear" w:color="auto" w:fill="auto"/>
          </w:tcPr>
          <w:p w14:paraId="0648FB33" w14:textId="77777777" w:rsidR="00A94D41" w:rsidRPr="0079786F" w:rsidRDefault="00A94D41" w:rsidP="00B7315D">
            <w:pPr>
              <w:tabs>
                <w:tab w:val="left" w:pos="540"/>
              </w:tabs>
              <w:jc w:val="both"/>
              <w:rPr>
                <w:sz w:val="22"/>
                <w:szCs w:val="22"/>
              </w:rPr>
            </w:pPr>
            <w:r>
              <w:rPr>
                <w:sz w:val="22"/>
                <w:szCs w:val="22"/>
              </w:rPr>
              <w:t>Rezistentný</w:t>
            </w:r>
          </w:p>
        </w:tc>
      </w:tr>
      <w:tr w:rsidR="00A94D41" w:rsidRPr="0079786F" w14:paraId="61E55BA6" w14:textId="77777777" w:rsidTr="00296648">
        <w:tc>
          <w:tcPr>
            <w:tcW w:w="3350" w:type="dxa"/>
          </w:tcPr>
          <w:p w14:paraId="0D959219" w14:textId="77777777" w:rsidR="00A94D41" w:rsidRPr="0079786F" w:rsidRDefault="00A94D41" w:rsidP="00B7315D">
            <w:pPr>
              <w:jc w:val="both"/>
              <w:rPr>
                <w:i/>
                <w:sz w:val="22"/>
                <w:szCs w:val="22"/>
              </w:rPr>
            </w:pPr>
            <w:r w:rsidRPr="0079786F">
              <w:rPr>
                <w:i/>
                <w:sz w:val="22"/>
                <w:szCs w:val="22"/>
              </w:rPr>
              <w:t>Enterobacteriaceae</w:t>
            </w:r>
          </w:p>
        </w:tc>
        <w:tc>
          <w:tcPr>
            <w:tcW w:w="1690" w:type="dxa"/>
          </w:tcPr>
          <w:p w14:paraId="3E127956" w14:textId="77777777" w:rsidR="00A94D41" w:rsidRPr="0079786F" w:rsidRDefault="00A94D41" w:rsidP="00B7315D">
            <w:pPr>
              <w:tabs>
                <w:tab w:val="left" w:pos="540"/>
              </w:tabs>
              <w:jc w:val="both"/>
              <w:rPr>
                <w:i/>
                <w:sz w:val="22"/>
                <w:szCs w:val="22"/>
              </w:rPr>
            </w:pPr>
            <w:r w:rsidRPr="0079786F">
              <w:rPr>
                <w:i/>
                <w:sz w:val="22"/>
                <w:szCs w:val="22"/>
              </w:rPr>
              <w:sym w:font="Symbol" w:char="F0A3"/>
            </w:r>
            <w:r w:rsidRPr="0079786F">
              <w:rPr>
                <w:i/>
                <w:sz w:val="22"/>
                <w:szCs w:val="22"/>
              </w:rPr>
              <w:t xml:space="preserve"> 1 mg/l</w:t>
            </w:r>
          </w:p>
        </w:tc>
        <w:tc>
          <w:tcPr>
            <w:tcW w:w="1260" w:type="dxa"/>
          </w:tcPr>
          <w:p w14:paraId="65C5B12E" w14:textId="77777777" w:rsidR="00A94D41" w:rsidRPr="0079786F" w:rsidRDefault="00A94D41" w:rsidP="00B7315D">
            <w:pPr>
              <w:tabs>
                <w:tab w:val="left" w:pos="540"/>
              </w:tabs>
              <w:jc w:val="both"/>
              <w:rPr>
                <w:i/>
                <w:sz w:val="22"/>
                <w:szCs w:val="22"/>
              </w:rPr>
            </w:pPr>
            <w:r w:rsidRPr="0079786F">
              <w:rPr>
                <w:i/>
                <w:sz w:val="22"/>
                <w:szCs w:val="22"/>
              </w:rPr>
              <w:t>&gt; 2 mg/l</w:t>
            </w:r>
          </w:p>
        </w:tc>
        <w:tc>
          <w:tcPr>
            <w:tcW w:w="1260" w:type="dxa"/>
          </w:tcPr>
          <w:p w14:paraId="6C2B22DA" w14:textId="77777777" w:rsidR="00A94D41" w:rsidRPr="0079786F" w:rsidRDefault="00A94D41" w:rsidP="00B7315D">
            <w:pPr>
              <w:tabs>
                <w:tab w:val="left" w:pos="540"/>
              </w:tabs>
              <w:jc w:val="both"/>
              <w:rPr>
                <w:i/>
                <w:sz w:val="22"/>
                <w:szCs w:val="22"/>
              </w:rPr>
            </w:pPr>
            <w:r>
              <w:rPr>
                <w:i/>
                <w:sz w:val="22"/>
                <w:szCs w:val="22"/>
              </w:rPr>
              <w:t xml:space="preserve">≥ </w:t>
            </w:r>
            <w:smartTag w:uri="urn:schemas-microsoft-com:office:smarttags" w:element="metricconverter">
              <w:smartTagPr>
                <w:attr w:name="ProductID" w:val="23 mm"/>
              </w:smartTagPr>
              <w:r>
                <w:rPr>
                  <w:i/>
                  <w:sz w:val="22"/>
                  <w:szCs w:val="22"/>
                </w:rPr>
                <w:t>23 mm</w:t>
              </w:r>
            </w:smartTag>
          </w:p>
        </w:tc>
        <w:tc>
          <w:tcPr>
            <w:tcW w:w="1260" w:type="dxa"/>
          </w:tcPr>
          <w:p w14:paraId="4DE4E9AC" w14:textId="77777777" w:rsidR="00A94D41" w:rsidRPr="0079786F" w:rsidRDefault="00A94D41" w:rsidP="00B7315D">
            <w:pPr>
              <w:tabs>
                <w:tab w:val="left" w:pos="540"/>
              </w:tabs>
              <w:jc w:val="both"/>
              <w:rPr>
                <w:i/>
                <w:sz w:val="22"/>
                <w:szCs w:val="22"/>
              </w:rPr>
            </w:pPr>
            <w:r>
              <w:rPr>
                <w:i/>
                <w:sz w:val="22"/>
                <w:szCs w:val="22"/>
              </w:rPr>
              <w:t xml:space="preserve">&lt; </w:t>
            </w:r>
            <w:smartTag w:uri="urn:schemas-microsoft-com:office:smarttags" w:element="metricconverter">
              <w:smartTagPr>
                <w:attr w:name="ProductID" w:val="20 mm"/>
              </w:smartTagPr>
              <w:r>
                <w:rPr>
                  <w:i/>
                  <w:sz w:val="22"/>
                  <w:szCs w:val="22"/>
                </w:rPr>
                <w:t>20 mm</w:t>
              </w:r>
            </w:smartTag>
          </w:p>
        </w:tc>
      </w:tr>
      <w:tr w:rsidR="00A94D41" w:rsidRPr="0079786F" w14:paraId="71D0EB60" w14:textId="77777777" w:rsidTr="00296648">
        <w:tc>
          <w:tcPr>
            <w:tcW w:w="3350" w:type="dxa"/>
          </w:tcPr>
          <w:p w14:paraId="36F9EC49" w14:textId="77777777" w:rsidR="00A94D41" w:rsidRPr="0079786F" w:rsidRDefault="00A94D41" w:rsidP="00B7315D">
            <w:pPr>
              <w:jc w:val="both"/>
              <w:rPr>
                <w:i/>
                <w:sz w:val="22"/>
                <w:szCs w:val="22"/>
              </w:rPr>
            </w:pPr>
            <w:r w:rsidRPr="0079786F">
              <w:rPr>
                <w:i/>
                <w:sz w:val="22"/>
                <w:szCs w:val="22"/>
              </w:rPr>
              <w:t>Staphylococcus spp.</w:t>
            </w:r>
          </w:p>
        </w:tc>
        <w:tc>
          <w:tcPr>
            <w:tcW w:w="1690" w:type="dxa"/>
          </w:tcPr>
          <w:p w14:paraId="2CEA8576" w14:textId="77777777" w:rsidR="00A94D41" w:rsidRPr="0079786F" w:rsidRDefault="00A94D41" w:rsidP="00B7315D">
            <w:pPr>
              <w:tabs>
                <w:tab w:val="left" w:pos="540"/>
              </w:tabs>
              <w:jc w:val="both"/>
              <w:rPr>
                <w:i/>
                <w:sz w:val="22"/>
                <w:szCs w:val="22"/>
              </w:rPr>
            </w:pPr>
            <w:r w:rsidRPr="0079786F">
              <w:rPr>
                <w:i/>
                <w:sz w:val="22"/>
                <w:szCs w:val="22"/>
              </w:rPr>
              <w:t>--*</w:t>
            </w:r>
          </w:p>
        </w:tc>
        <w:tc>
          <w:tcPr>
            <w:tcW w:w="1260" w:type="dxa"/>
          </w:tcPr>
          <w:p w14:paraId="3C0ECAA5" w14:textId="77777777" w:rsidR="00A94D41" w:rsidRPr="0079786F" w:rsidRDefault="00A94D41" w:rsidP="00B7315D">
            <w:pPr>
              <w:tabs>
                <w:tab w:val="left" w:pos="540"/>
              </w:tabs>
              <w:jc w:val="both"/>
              <w:rPr>
                <w:i/>
                <w:sz w:val="22"/>
                <w:szCs w:val="22"/>
              </w:rPr>
            </w:pPr>
            <w:r w:rsidRPr="0079786F">
              <w:rPr>
                <w:i/>
                <w:sz w:val="22"/>
                <w:szCs w:val="22"/>
              </w:rPr>
              <w:t>--*</w:t>
            </w:r>
          </w:p>
        </w:tc>
        <w:tc>
          <w:tcPr>
            <w:tcW w:w="1260" w:type="dxa"/>
          </w:tcPr>
          <w:p w14:paraId="1E81006C" w14:textId="77777777" w:rsidR="00A94D41" w:rsidRPr="0079786F" w:rsidRDefault="00A94D41" w:rsidP="00B7315D">
            <w:pPr>
              <w:tabs>
                <w:tab w:val="left" w:pos="540"/>
              </w:tabs>
              <w:jc w:val="both"/>
              <w:rPr>
                <w:i/>
                <w:sz w:val="22"/>
                <w:szCs w:val="22"/>
              </w:rPr>
            </w:pPr>
            <w:r w:rsidRPr="0079786F">
              <w:rPr>
                <w:i/>
                <w:sz w:val="22"/>
                <w:szCs w:val="22"/>
              </w:rPr>
              <w:t>--*</w:t>
            </w:r>
          </w:p>
        </w:tc>
        <w:tc>
          <w:tcPr>
            <w:tcW w:w="1260" w:type="dxa"/>
          </w:tcPr>
          <w:p w14:paraId="55F9F8F6" w14:textId="77777777" w:rsidR="00A94D41" w:rsidRPr="0079786F" w:rsidRDefault="00A94D41" w:rsidP="00B7315D">
            <w:pPr>
              <w:tabs>
                <w:tab w:val="left" w:pos="540"/>
              </w:tabs>
              <w:jc w:val="both"/>
              <w:rPr>
                <w:i/>
                <w:sz w:val="22"/>
                <w:szCs w:val="22"/>
              </w:rPr>
            </w:pPr>
            <w:r w:rsidRPr="0079786F">
              <w:rPr>
                <w:i/>
                <w:sz w:val="22"/>
                <w:szCs w:val="22"/>
              </w:rPr>
              <w:t>--*</w:t>
            </w:r>
          </w:p>
        </w:tc>
      </w:tr>
      <w:tr w:rsidR="00A94D41" w:rsidRPr="0079786F" w14:paraId="1969F755" w14:textId="77777777" w:rsidTr="00296648">
        <w:tc>
          <w:tcPr>
            <w:tcW w:w="3350" w:type="dxa"/>
          </w:tcPr>
          <w:p w14:paraId="76E2C54C" w14:textId="77777777" w:rsidR="00A94D41" w:rsidRPr="0079786F" w:rsidRDefault="00A94D41" w:rsidP="00B7315D">
            <w:pPr>
              <w:jc w:val="both"/>
              <w:rPr>
                <w:i/>
                <w:sz w:val="22"/>
                <w:szCs w:val="22"/>
              </w:rPr>
            </w:pPr>
            <w:r w:rsidRPr="0079786F">
              <w:rPr>
                <w:i/>
                <w:sz w:val="22"/>
                <w:szCs w:val="22"/>
              </w:rPr>
              <w:t>Streptococcus (serolog. Gr. A, B, C, G)</w:t>
            </w:r>
          </w:p>
        </w:tc>
        <w:tc>
          <w:tcPr>
            <w:tcW w:w="1690" w:type="dxa"/>
          </w:tcPr>
          <w:p w14:paraId="74B7E586" w14:textId="77777777" w:rsidR="00A94D41" w:rsidRPr="0079786F" w:rsidRDefault="00A94D41" w:rsidP="00B7315D">
            <w:pPr>
              <w:tabs>
                <w:tab w:val="left" w:pos="540"/>
              </w:tabs>
              <w:jc w:val="both"/>
              <w:rPr>
                <w:i/>
                <w:sz w:val="22"/>
                <w:szCs w:val="22"/>
              </w:rPr>
            </w:pPr>
            <w:r w:rsidRPr="0079786F">
              <w:rPr>
                <w:i/>
                <w:sz w:val="22"/>
                <w:szCs w:val="22"/>
              </w:rPr>
              <w:t>--**</w:t>
            </w:r>
          </w:p>
        </w:tc>
        <w:tc>
          <w:tcPr>
            <w:tcW w:w="1260" w:type="dxa"/>
          </w:tcPr>
          <w:p w14:paraId="4DED3BB1" w14:textId="77777777" w:rsidR="00A94D41" w:rsidRPr="0079786F" w:rsidRDefault="00A94D41" w:rsidP="00B7315D">
            <w:pPr>
              <w:tabs>
                <w:tab w:val="left" w:pos="540"/>
              </w:tabs>
              <w:jc w:val="both"/>
              <w:rPr>
                <w:i/>
                <w:sz w:val="22"/>
                <w:szCs w:val="22"/>
              </w:rPr>
            </w:pPr>
            <w:r w:rsidRPr="0079786F">
              <w:rPr>
                <w:i/>
                <w:sz w:val="22"/>
                <w:szCs w:val="22"/>
              </w:rPr>
              <w:t>--**</w:t>
            </w:r>
          </w:p>
        </w:tc>
        <w:tc>
          <w:tcPr>
            <w:tcW w:w="1260" w:type="dxa"/>
          </w:tcPr>
          <w:p w14:paraId="2117D270" w14:textId="77777777" w:rsidR="00A94D41" w:rsidRPr="0079786F" w:rsidRDefault="00A94D41" w:rsidP="00B7315D">
            <w:pPr>
              <w:tabs>
                <w:tab w:val="left" w:pos="540"/>
              </w:tabs>
              <w:jc w:val="both"/>
              <w:rPr>
                <w:i/>
                <w:sz w:val="22"/>
                <w:szCs w:val="22"/>
              </w:rPr>
            </w:pPr>
            <w:r w:rsidRPr="0079786F">
              <w:rPr>
                <w:i/>
                <w:sz w:val="22"/>
                <w:szCs w:val="22"/>
              </w:rPr>
              <w:t>--**</w:t>
            </w:r>
          </w:p>
        </w:tc>
        <w:tc>
          <w:tcPr>
            <w:tcW w:w="1260" w:type="dxa"/>
          </w:tcPr>
          <w:p w14:paraId="29F0E410" w14:textId="77777777" w:rsidR="00A94D41" w:rsidRPr="0079786F" w:rsidRDefault="00A94D41" w:rsidP="00B7315D">
            <w:pPr>
              <w:tabs>
                <w:tab w:val="left" w:pos="540"/>
              </w:tabs>
              <w:jc w:val="both"/>
              <w:rPr>
                <w:i/>
                <w:sz w:val="22"/>
                <w:szCs w:val="22"/>
              </w:rPr>
            </w:pPr>
            <w:r w:rsidRPr="0079786F">
              <w:rPr>
                <w:i/>
                <w:sz w:val="22"/>
                <w:szCs w:val="22"/>
              </w:rPr>
              <w:t>--**</w:t>
            </w:r>
          </w:p>
        </w:tc>
      </w:tr>
      <w:tr w:rsidR="00A94D41" w:rsidRPr="0079786F" w14:paraId="6445E92B" w14:textId="77777777" w:rsidTr="00296648">
        <w:tc>
          <w:tcPr>
            <w:tcW w:w="3350" w:type="dxa"/>
          </w:tcPr>
          <w:p w14:paraId="1142303A" w14:textId="77777777" w:rsidR="00A94D41" w:rsidRPr="0079786F" w:rsidRDefault="00A94D41" w:rsidP="00B7315D">
            <w:pPr>
              <w:jc w:val="both"/>
              <w:rPr>
                <w:i/>
                <w:sz w:val="22"/>
                <w:szCs w:val="22"/>
              </w:rPr>
            </w:pPr>
            <w:r w:rsidRPr="0079786F">
              <w:rPr>
                <w:i/>
                <w:sz w:val="22"/>
                <w:szCs w:val="22"/>
              </w:rPr>
              <w:t>Streptococcus pneumoniae</w:t>
            </w:r>
          </w:p>
        </w:tc>
        <w:tc>
          <w:tcPr>
            <w:tcW w:w="1690" w:type="dxa"/>
          </w:tcPr>
          <w:p w14:paraId="3340EB53" w14:textId="77777777" w:rsidR="00A94D41" w:rsidRPr="0079786F" w:rsidRDefault="00A94D41" w:rsidP="00B7315D">
            <w:pPr>
              <w:tabs>
                <w:tab w:val="left" w:pos="540"/>
              </w:tabs>
              <w:jc w:val="both"/>
              <w:rPr>
                <w:i/>
                <w:sz w:val="22"/>
                <w:szCs w:val="22"/>
              </w:rPr>
            </w:pPr>
            <w:r w:rsidRPr="0079786F">
              <w:rPr>
                <w:i/>
                <w:sz w:val="22"/>
                <w:szCs w:val="22"/>
              </w:rPr>
              <w:sym w:font="Symbol" w:char="F0A3"/>
            </w:r>
            <w:r w:rsidRPr="0079786F">
              <w:rPr>
                <w:i/>
                <w:sz w:val="22"/>
                <w:szCs w:val="22"/>
              </w:rPr>
              <w:t xml:space="preserve"> 0.5 mg/l***</w:t>
            </w:r>
          </w:p>
        </w:tc>
        <w:tc>
          <w:tcPr>
            <w:tcW w:w="1260" w:type="dxa"/>
          </w:tcPr>
          <w:p w14:paraId="5C90A937" w14:textId="77777777" w:rsidR="00A94D41" w:rsidRPr="0079786F" w:rsidRDefault="00A94D41" w:rsidP="00B7315D">
            <w:pPr>
              <w:tabs>
                <w:tab w:val="left" w:pos="540"/>
              </w:tabs>
              <w:jc w:val="both"/>
              <w:rPr>
                <w:i/>
                <w:sz w:val="22"/>
                <w:szCs w:val="22"/>
              </w:rPr>
            </w:pPr>
            <w:r w:rsidRPr="0079786F">
              <w:rPr>
                <w:i/>
                <w:sz w:val="22"/>
                <w:szCs w:val="22"/>
              </w:rPr>
              <w:t>&gt; 2 mg/l</w:t>
            </w:r>
          </w:p>
        </w:tc>
        <w:tc>
          <w:tcPr>
            <w:tcW w:w="1260" w:type="dxa"/>
          </w:tcPr>
          <w:p w14:paraId="34B8898F" w14:textId="77777777" w:rsidR="00A94D41" w:rsidRPr="0079786F" w:rsidRDefault="00A94D41" w:rsidP="00B7315D">
            <w:pPr>
              <w:tabs>
                <w:tab w:val="left" w:pos="540"/>
              </w:tabs>
              <w:jc w:val="both"/>
              <w:rPr>
                <w:i/>
                <w:sz w:val="22"/>
                <w:szCs w:val="22"/>
              </w:rPr>
            </w:pPr>
            <w:r w:rsidRPr="0079786F">
              <w:rPr>
                <w:i/>
                <w:sz w:val="22"/>
                <w:szCs w:val="22"/>
              </w:rPr>
              <w:t>--****</w:t>
            </w:r>
          </w:p>
        </w:tc>
        <w:tc>
          <w:tcPr>
            <w:tcW w:w="1260" w:type="dxa"/>
          </w:tcPr>
          <w:p w14:paraId="2681FFFA" w14:textId="77777777" w:rsidR="00A94D41" w:rsidRPr="0079786F" w:rsidRDefault="00A94D41" w:rsidP="00B7315D">
            <w:pPr>
              <w:tabs>
                <w:tab w:val="left" w:pos="540"/>
              </w:tabs>
              <w:jc w:val="both"/>
              <w:rPr>
                <w:i/>
                <w:sz w:val="22"/>
                <w:szCs w:val="22"/>
              </w:rPr>
            </w:pPr>
            <w:r w:rsidRPr="0079786F">
              <w:rPr>
                <w:i/>
                <w:sz w:val="22"/>
                <w:szCs w:val="22"/>
              </w:rPr>
              <w:t>--****</w:t>
            </w:r>
          </w:p>
        </w:tc>
      </w:tr>
      <w:tr w:rsidR="00A94D41" w:rsidRPr="0079786F" w14:paraId="40150E20" w14:textId="77777777" w:rsidTr="00296648">
        <w:tc>
          <w:tcPr>
            <w:tcW w:w="3350" w:type="dxa"/>
          </w:tcPr>
          <w:p w14:paraId="690EFE2B" w14:textId="77777777" w:rsidR="00A94D41" w:rsidRPr="0079786F" w:rsidRDefault="00A94D41" w:rsidP="00B7315D">
            <w:pPr>
              <w:jc w:val="both"/>
              <w:rPr>
                <w:i/>
                <w:sz w:val="22"/>
                <w:szCs w:val="22"/>
              </w:rPr>
            </w:pPr>
            <w:r w:rsidRPr="0079786F">
              <w:rPr>
                <w:i/>
                <w:sz w:val="22"/>
                <w:szCs w:val="22"/>
              </w:rPr>
              <w:t>Haemophilus influenzae</w:t>
            </w:r>
          </w:p>
        </w:tc>
        <w:tc>
          <w:tcPr>
            <w:tcW w:w="1690" w:type="dxa"/>
          </w:tcPr>
          <w:p w14:paraId="7F39B8DE" w14:textId="77777777" w:rsidR="00A94D41" w:rsidRPr="0079786F" w:rsidRDefault="00A94D41" w:rsidP="00B7315D">
            <w:pPr>
              <w:tabs>
                <w:tab w:val="left" w:pos="540"/>
              </w:tabs>
              <w:jc w:val="both"/>
              <w:rPr>
                <w:i/>
                <w:sz w:val="22"/>
                <w:szCs w:val="22"/>
              </w:rPr>
            </w:pPr>
            <w:r w:rsidRPr="0079786F">
              <w:rPr>
                <w:i/>
                <w:sz w:val="22"/>
                <w:szCs w:val="22"/>
              </w:rPr>
              <w:sym w:font="Symbol" w:char="F0A3"/>
            </w:r>
            <w:r w:rsidRPr="0079786F">
              <w:rPr>
                <w:i/>
                <w:sz w:val="22"/>
                <w:szCs w:val="22"/>
              </w:rPr>
              <w:t xml:space="preserve"> 0.12 mg/l***</w:t>
            </w:r>
          </w:p>
        </w:tc>
        <w:tc>
          <w:tcPr>
            <w:tcW w:w="1260" w:type="dxa"/>
          </w:tcPr>
          <w:p w14:paraId="64762983" w14:textId="77777777" w:rsidR="00A94D41" w:rsidRPr="0079786F" w:rsidRDefault="00A94D41" w:rsidP="00B7315D">
            <w:pPr>
              <w:tabs>
                <w:tab w:val="left" w:pos="540"/>
              </w:tabs>
              <w:jc w:val="both"/>
              <w:rPr>
                <w:i/>
                <w:sz w:val="22"/>
                <w:szCs w:val="22"/>
              </w:rPr>
            </w:pPr>
            <w:r w:rsidRPr="0079786F">
              <w:rPr>
                <w:i/>
                <w:sz w:val="22"/>
                <w:szCs w:val="22"/>
              </w:rPr>
              <w:t>&gt; 0.12 mg/l</w:t>
            </w:r>
          </w:p>
        </w:tc>
        <w:tc>
          <w:tcPr>
            <w:tcW w:w="1260" w:type="dxa"/>
          </w:tcPr>
          <w:p w14:paraId="24237303" w14:textId="77777777" w:rsidR="00A94D41" w:rsidRPr="0079786F" w:rsidRDefault="00A94D41" w:rsidP="00B7315D">
            <w:pPr>
              <w:tabs>
                <w:tab w:val="left" w:pos="540"/>
              </w:tabs>
              <w:jc w:val="both"/>
              <w:rPr>
                <w:i/>
                <w:sz w:val="22"/>
                <w:szCs w:val="22"/>
              </w:rPr>
            </w:pPr>
            <w:r>
              <w:rPr>
                <w:i/>
                <w:sz w:val="22"/>
                <w:szCs w:val="22"/>
              </w:rPr>
              <w:t xml:space="preserve">≥ </w:t>
            </w:r>
            <w:smartTag w:uri="urn:schemas-microsoft-com:office:smarttags" w:element="metricconverter">
              <w:smartTagPr>
                <w:attr w:name="ProductID" w:val="30 mm"/>
              </w:smartTagPr>
              <w:r>
                <w:rPr>
                  <w:i/>
                  <w:sz w:val="22"/>
                  <w:szCs w:val="22"/>
                </w:rPr>
                <w:t>30 mm</w:t>
              </w:r>
            </w:smartTag>
          </w:p>
        </w:tc>
        <w:tc>
          <w:tcPr>
            <w:tcW w:w="1260" w:type="dxa"/>
          </w:tcPr>
          <w:p w14:paraId="7F000D8E" w14:textId="77777777" w:rsidR="00A94D41" w:rsidRPr="0079786F" w:rsidRDefault="00A94D41" w:rsidP="00B7315D">
            <w:pPr>
              <w:tabs>
                <w:tab w:val="left" w:pos="540"/>
              </w:tabs>
              <w:jc w:val="both"/>
              <w:rPr>
                <w:i/>
                <w:sz w:val="22"/>
                <w:szCs w:val="22"/>
              </w:rPr>
            </w:pPr>
            <w:r>
              <w:rPr>
                <w:i/>
                <w:sz w:val="22"/>
                <w:szCs w:val="22"/>
              </w:rPr>
              <w:t xml:space="preserve">&lt; </w:t>
            </w:r>
            <w:smartTag w:uri="urn:schemas-microsoft-com:office:smarttags" w:element="metricconverter">
              <w:smartTagPr>
                <w:attr w:name="ProductID" w:val="30 mm"/>
              </w:smartTagPr>
              <w:r>
                <w:rPr>
                  <w:i/>
                  <w:sz w:val="22"/>
                  <w:szCs w:val="22"/>
                </w:rPr>
                <w:t>30 mm</w:t>
              </w:r>
            </w:smartTag>
          </w:p>
        </w:tc>
      </w:tr>
      <w:tr w:rsidR="00A94D41" w:rsidRPr="0079786F" w14:paraId="7ABB16CD" w14:textId="77777777" w:rsidTr="00296648">
        <w:tc>
          <w:tcPr>
            <w:tcW w:w="3350" w:type="dxa"/>
          </w:tcPr>
          <w:p w14:paraId="02CBC01D" w14:textId="77777777" w:rsidR="00A94D41" w:rsidRPr="0079786F" w:rsidRDefault="00A94D41" w:rsidP="00B7315D">
            <w:pPr>
              <w:jc w:val="both"/>
              <w:rPr>
                <w:i/>
                <w:sz w:val="22"/>
                <w:szCs w:val="22"/>
              </w:rPr>
            </w:pPr>
            <w:r w:rsidRPr="0079786F">
              <w:rPr>
                <w:i/>
                <w:sz w:val="22"/>
                <w:szCs w:val="22"/>
              </w:rPr>
              <w:t>Moraxella catarrhalis</w:t>
            </w:r>
          </w:p>
        </w:tc>
        <w:tc>
          <w:tcPr>
            <w:tcW w:w="1690" w:type="dxa"/>
          </w:tcPr>
          <w:p w14:paraId="5D95CDE2" w14:textId="77777777" w:rsidR="00A94D41" w:rsidRPr="0079786F" w:rsidRDefault="00A94D41" w:rsidP="00B7315D">
            <w:pPr>
              <w:tabs>
                <w:tab w:val="left" w:pos="540"/>
              </w:tabs>
              <w:jc w:val="both"/>
              <w:rPr>
                <w:i/>
                <w:sz w:val="22"/>
                <w:szCs w:val="22"/>
              </w:rPr>
            </w:pPr>
            <w:r w:rsidRPr="0079786F">
              <w:rPr>
                <w:i/>
                <w:sz w:val="22"/>
                <w:szCs w:val="22"/>
              </w:rPr>
              <w:sym w:font="Symbol" w:char="F0A3"/>
            </w:r>
            <w:r>
              <w:rPr>
                <w:i/>
                <w:sz w:val="22"/>
                <w:szCs w:val="22"/>
              </w:rPr>
              <w:t xml:space="preserve"> 1</w:t>
            </w:r>
            <w:r w:rsidRPr="0079786F">
              <w:rPr>
                <w:i/>
                <w:sz w:val="22"/>
                <w:szCs w:val="22"/>
              </w:rPr>
              <w:t xml:space="preserve"> mg/l</w:t>
            </w:r>
          </w:p>
        </w:tc>
        <w:tc>
          <w:tcPr>
            <w:tcW w:w="1260" w:type="dxa"/>
          </w:tcPr>
          <w:p w14:paraId="57083D88" w14:textId="77777777" w:rsidR="00A94D41" w:rsidRPr="0079786F" w:rsidRDefault="00A94D41" w:rsidP="00B7315D">
            <w:pPr>
              <w:tabs>
                <w:tab w:val="left" w:pos="540"/>
              </w:tabs>
              <w:jc w:val="both"/>
              <w:rPr>
                <w:i/>
                <w:sz w:val="22"/>
                <w:szCs w:val="22"/>
              </w:rPr>
            </w:pPr>
            <w:r>
              <w:rPr>
                <w:i/>
                <w:sz w:val="22"/>
                <w:szCs w:val="22"/>
              </w:rPr>
              <w:t>&gt; 2</w:t>
            </w:r>
            <w:r w:rsidRPr="0079786F">
              <w:rPr>
                <w:i/>
                <w:sz w:val="22"/>
                <w:szCs w:val="22"/>
              </w:rPr>
              <w:t xml:space="preserve"> mg/l</w:t>
            </w:r>
          </w:p>
        </w:tc>
        <w:tc>
          <w:tcPr>
            <w:tcW w:w="1260" w:type="dxa"/>
          </w:tcPr>
          <w:p w14:paraId="722D607F" w14:textId="77777777" w:rsidR="00A94D41" w:rsidRPr="0079786F" w:rsidRDefault="00A94D41" w:rsidP="00B7315D">
            <w:pPr>
              <w:tabs>
                <w:tab w:val="left" w:pos="540"/>
              </w:tabs>
              <w:jc w:val="both"/>
              <w:rPr>
                <w:i/>
                <w:sz w:val="22"/>
                <w:szCs w:val="22"/>
              </w:rPr>
            </w:pPr>
            <w:r>
              <w:rPr>
                <w:i/>
                <w:sz w:val="22"/>
                <w:szCs w:val="22"/>
              </w:rPr>
              <w:t xml:space="preserve">≥  </w:t>
            </w:r>
            <w:smartTag w:uri="urn:schemas-microsoft-com:office:smarttags" w:element="metricconverter">
              <w:smartTagPr>
                <w:attr w:name="ProductID" w:val="24 mm"/>
              </w:smartTagPr>
              <w:r>
                <w:rPr>
                  <w:i/>
                  <w:sz w:val="22"/>
                  <w:szCs w:val="22"/>
                </w:rPr>
                <w:t>24 mm</w:t>
              </w:r>
            </w:smartTag>
          </w:p>
        </w:tc>
        <w:tc>
          <w:tcPr>
            <w:tcW w:w="1260" w:type="dxa"/>
          </w:tcPr>
          <w:p w14:paraId="51DBDD06" w14:textId="77777777" w:rsidR="00A94D41" w:rsidRPr="0079786F" w:rsidRDefault="00A94D41" w:rsidP="00B7315D">
            <w:pPr>
              <w:tabs>
                <w:tab w:val="left" w:pos="540"/>
              </w:tabs>
              <w:jc w:val="both"/>
              <w:rPr>
                <w:i/>
                <w:sz w:val="22"/>
                <w:szCs w:val="22"/>
              </w:rPr>
            </w:pPr>
            <w:r>
              <w:rPr>
                <w:i/>
                <w:sz w:val="22"/>
                <w:szCs w:val="22"/>
              </w:rPr>
              <w:t>&lt; 21mm</w:t>
            </w:r>
          </w:p>
        </w:tc>
      </w:tr>
      <w:tr w:rsidR="00A94D41" w:rsidRPr="0079786F" w14:paraId="527C1518" w14:textId="77777777" w:rsidTr="00296648">
        <w:tc>
          <w:tcPr>
            <w:tcW w:w="3350" w:type="dxa"/>
          </w:tcPr>
          <w:p w14:paraId="7666BEB0" w14:textId="77777777" w:rsidR="00A94D41" w:rsidRPr="0079786F" w:rsidRDefault="00A94D41" w:rsidP="00B7315D">
            <w:pPr>
              <w:jc w:val="both"/>
              <w:rPr>
                <w:i/>
                <w:sz w:val="22"/>
                <w:szCs w:val="22"/>
              </w:rPr>
            </w:pPr>
            <w:r w:rsidRPr="0079786F">
              <w:rPr>
                <w:i/>
                <w:sz w:val="22"/>
                <w:szCs w:val="22"/>
              </w:rPr>
              <w:t>Neisseria gonorrhoeae</w:t>
            </w:r>
          </w:p>
        </w:tc>
        <w:tc>
          <w:tcPr>
            <w:tcW w:w="1690" w:type="dxa"/>
          </w:tcPr>
          <w:p w14:paraId="5EAE6ED4" w14:textId="77777777" w:rsidR="00A94D41" w:rsidRPr="0079786F" w:rsidRDefault="00A94D41" w:rsidP="00B7315D">
            <w:pPr>
              <w:tabs>
                <w:tab w:val="left" w:pos="540"/>
              </w:tabs>
              <w:jc w:val="both"/>
              <w:rPr>
                <w:i/>
                <w:sz w:val="22"/>
                <w:szCs w:val="22"/>
              </w:rPr>
            </w:pPr>
            <w:r w:rsidRPr="0079786F">
              <w:rPr>
                <w:i/>
                <w:sz w:val="22"/>
                <w:szCs w:val="22"/>
              </w:rPr>
              <w:sym w:font="Symbol" w:char="F0A3"/>
            </w:r>
            <w:r w:rsidRPr="0079786F">
              <w:rPr>
                <w:i/>
                <w:sz w:val="22"/>
                <w:szCs w:val="22"/>
              </w:rPr>
              <w:t xml:space="preserve"> 0.12 mg/l</w:t>
            </w:r>
          </w:p>
        </w:tc>
        <w:tc>
          <w:tcPr>
            <w:tcW w:w="1260" w:type="dxa"/>
          </w:tcPr>
          <w:p w14:paraId="64DEB5D2" w14:textId="77777777" w:rsidR="00A94D41" w:rsidRPr="0079786F" w:rsidRDefault="00A94D41" w:rsidP="00B7315D">
            <w:pPr>
              <w:tabs>
                <w:tab w:val="left" w:pos="540"/>
              </w:tabs>
              <w:jc w:val="both"/>
              <w:rPr>
                <w:i/>
                <w:sz w:val="22"/>
                <w:szCs w:val="22"/>
              </w:rPr>
            </w:pPr>
            <w:r w:rsidRPr="0079786F">
              <w:rPr>
                <w:i/>
                <w:sz w:val="22"/>
                <w:szCs w:val="22"/>
              </w:rPr>
              <w:t>&gt; 0.12 mg/l</w:t>
            </w:r>
          </w:p>
        </w:tc>
        <w:tc>
          <w:tcPr>
            <w:tcW w:w="1260" w:type="dxa"/>
          </w:tcPr>
          <w:p w14:paraId="4EF22E54" w14:textId="77777777" w:rsidR="00A94D41" w:rsidRPr="0079786F" w:rsidRDefault="00A94D41" w:rsidP="00B7315D">
            <w:pPr>
              <w:tabs>
                <w:tab w:val="left" w:pos="540"/>
              </w:tabs>
              <w:jc w:val="both"/>
              <w:rPr>
                <w:i/>
                <w:sz w:val="22"/>
                <w:szCs w:val="22"/>
              </w:rPr>
            </w:pPr>
            <w:r>
              <w:rPr>
                <w:i/>
                <w:sz w:val="22"/>
                <w:szCs w:val="22"/>
              </w:rPr>
              <w:t>-</w:t>
            </w:r>
          </w:p>
        </w:tc>
        <w:tc>
          <w:tcPr>
            <w:tcW w:w="1260" w:type="dxa"/>
          </w:tcPr>
          <w:p w14:paraId="3BE81BB7" w14:textId="77777777" w:rsidR="00A94D41" w:rsidRPr="0079786F" w:rsidRDefault="00A94D41" w:rsidP="00B7315D">
            <w:pPr>
              <w:tabs>
                <w:tab w:val="left" w:pos="540"/>
              </w:tabs>
              <w:jc w:val="both"/>
              <w:rPr>
                <w:i/>
                <w:sz w:val="22"/>
                <w:szCs w:val="22"/>
              </w:rPr>
            </w:pPr>
            <w:r>
              <w:rPr>
                <w:i/>
                <w:sz w:val="22"/>
                <w:szCs w:val="22"/>
              </w:rPr>
              <w:t>-</w:t>
            </w:r>
          </w:p>
        </w:tc>
      </w:tr>
      <w:tr w:rsidR="00A94D41" w:rsidRPr="0079786F" w14:paraId="7A7E8715" w14:textId="77777777" w:rsidTr="00296648">
        <w:tc>
          <w:tcPr>
            <w:tcW w:w="3350" w:type="dxa"/>
          </w:tcPr>
          <w:p w14:paraId="7D421CD8" w14:textId="77777777" w:rsidR="00A94D41" w:rsidRPr="0079786F" w:rsidRDefault="00A94D41" w:rsidP="00B7315D">
            <w:pPr>
              <w:jc w:val="both"/>
              <w:rPr>
                <w:i/>
                <w:sz w:val="22"/>
                <w:szCs w:val="22"/>
              </w:rPr>
            </w:pPr>
            <w:r w:rsidRPr="0079786F">
              <w:rPr>
                <w:i/>
                <w:sz w:val="22"/>
                <w:szCs w:val="22"/>
              </w:rPr>
              <w:t>Neisseria meningitidis</w:t>
            </w:r>
          </w:p>
        </w:tc>
        <w:tc>
          <w:tcPr>
            <w:tcW w:w="1690" w:type="dxa"/>
          </w:tcPr>
          <w:p w14:paraId="6C599695" w14:textId="77777777" w:rsidR="00A94D41" w:rsidRPr="0079786F" w:rsidRDefault="00A94D41" w:rsidP="00B7315D">
            <w:pPr>
              <w:tabs>
                <w:tab w:val="left" w:pos="540"/>
              </w:tabs>
              <w:jc w:val="both"/>
              <w:rPr>
                <w:i/>
                <w:sz w:val="22"/>
                <w:szCs w:val="22"/>
              </w:rPr>
            </w:pPr>
            <w:r w:rsidRPr="0079786F">
              <w:rPr>
                <w:i/>
                <w:sz w:val="22"/>
                <w:szCs w:val="22"/>
              </w:rPr>
              <w:sym w:font="Symbol" w:char="F0A3"/>
            </w:r>
            <w:r w:rsidRPr="0079786F">
              <w:rPr>
                <w:i/>
                <w:sz w:val="22"/>
                <w:szCs w:val="22"/>
              </w:rPr>
              <w:t xml:space="preserve"> 0.12 mg/l***</w:t>
            </w:r>
          </w:p>
        </w:tc>
        <w:tc>
          <w:tcPr>
            <w:tcW w:w="1260" w:type="dxa"/>
          </w:tcPr>
          <w:p w14:paraId="43F2C5BE" w14:textId="77777777" w:rsidR="00A94D41" w:rsidRPr="0079786F" w:rsidRDefault="00A94D41" w:rsidP="00B7315D">
            <w:pPr>
              <w:tabs>
                <w:tab w:val="left" w:pos="540"/>
              </w:tabs>
              <w:jc w:val="both"/>
              <w:rPr>
                <w:i/>
                <w:sz w:val="22"/>
                <w:szCs w:val="22"/>
              </w:rPr>
            </w:pPr>
            <w:r w:rsidRPr="0079786F">
              <w:rPr>
                <w:i/>
                <w:sz w:val="22"/>
                <w:szCs w:val="22"/>
              </w:rPr>
              <w:t>&gt; 0.12 mg/l</w:t>
            </w:r>
          </w:p>
        </w:tc>
        <w:tc>
          <w:tcPr>
            <w:tcW w:w="1260" w:type="dxa"/>
          </w:tcPr>
          <w:p w14:paraId="5398EE5A" w14:textId="77777777" w:rsidR="00A94D41" w:rsidRPr="0079786F" w:rsidRDefault="00A94D41" w:rsidP="00B7315D">
            <w:pPr>
              <w:tabs>
                <w:tab w:val="left" w:pos="540"/>
              </w:tabs>
              <w:jc w:val="both"/>
              <w:rPr>
                <w:i/>
                <w:sz w:val="22"/>
                <w:szCs w:val="22"/>
              </w:rPr>
            </w:pPr>
            <w:r>
              <w:rPr>
                <w:i/>
                <w:sz w:val="22"/>
                <w:szCs w:val="22"/>
              </w:rPr>
              <w:t>-</w:t>
            </w:r>
          </w:p>
        </w:tc>
        <w:tc>
          <w:tcPr>
            <w:tcW w:w="1260" w:type="dxa"/>
          </w:tcPr>
          <w:p w14:paraId="2CFCD4DA" w14:textId="77777777" w:rsidR="00A94D41" w:rsidRPr="0079786F" w:rsidRDefault="00A94D41" w:rsidP="00B7315D">
            <w:pPr>
              <w:tabs>
                <w:tab w:val="left" w:pos="540"/>
              </w:tabs>
              <w:jc w:val="both"/>
              <w:rPr>
                <w:i/>
                <w:sz w:val="22"/>
                <w:szCs w:val="22"/>
              </w:rPr>
            </w:pPr>
            <w:r>
              <w:rPr>
                <w:i/>
                <w:sz w:val="22"/>
                <w:szCs w:val="22"/>
              </w:rPr>
              <w:t>-</w:t>
            </w:r>
          </w:p>
        </w:tc>
      </w:tr>
      <w:tr w:rsidR="00A94D41" w:rsidRPr="0079786F" w14:paraId="4F17361C" w14:textId="77777777" w:rsidTr="00296648">
        <w:tc>
          <w:tcPr>
            <w:tcW w:w="3350" w:type="dxa"/>
          </w:tcPr>
          <w:p w14:paraId="6311334D" w14:textId="77777777" w:rsidR="00A94D41" w:rsidRPr="0079786F" w:rsidRDefault="00A94D41" w:rsidP="00B7315D">
            <w:pPr>
              <w:jc w:val="both"/>
              <w:rPr>
                <w:i/>
                <w:sz w:val="22"/>
                <w:szCs w:val="22"/>
              </w:rPr>
            </w:pPr>
            <w:r>
              <w:rPr>
                <w:i/>
                <w:sz w:val="22"/>
                <w:szCs w:val="22"/>
              </w:rPr>
              <w:t>Druhovo nešpecifické hraničné hodnoty</w:t>
            </w:r>
            <w:r w:rsidRPr="0079786F">
              <w:rPr>
                <w:i/>
                <w:sz w:val="22"/>
                <w:szCs w:val="22"/>
              </w:rPr>
              <w:t>****</w:t>
            </w:r>
            <w:r w:rsidRPr="0079786F">
              <w:rPr>
                <w:sz w:val="22"/>
                <w:szCs w:val="22"/>
              </w:rPr>
              <w:t>*</w:t>
            </w:r>
          </w:p>
        </w:tc>
        <w:tc>
          <w:tcPr>
            <w:tcW w:w="1690" w:type="dxa"/>
          </w:tcPr>
          <w:p w14:paraId="25EA08C9" w14:textId="77777777" w:rsidR="00A94D41" w:rsidRPr="0079786F" w:rsidRDefault="00A94D41" w:rsidP="00B7315D">
            <w:pPr>
              <w:tabs>
                <w:tab w:val="left" w:pos="540"/>
              </w:tabs>
              <w:jc w:val="both"/>
              <w:rPr>
                <w:i/>
                <w:sz w:val="22"/>
                <w:szCs w:val="22"/>
              </w:rPr>
            </w:pPr>
            <w:r w:rsidRPr="0079786F">
              <w:rPr>
                <w:i/>
                <w:sz w:val="22"/>
                <w:szCs w:val="22"/>
              </w:rPr>
              <w:sym w:font="Symbol" w:char="F0A3"/>
            </w:r>
            <w:r w:rsidRPr="0079786F">
              <w:rPr>
                <w:i/>
                <w:sz w:val="22"/>
                <w:szCs w:val="22"/>
              </w:rPr>
              <w:t xml:space="preserve"> 1 mg/l</w:t>
            </w:r>
          </w:p>
        </w:tc>
        <w:tc>
          <w:tcPr>
            <w:tcW w:w="1260" w:type="dxa"/>
          </w:tcPr>
          <w:p w14:paraId="1E5FCB82" w14:textId="77777777" w:rsidR="00A94D41" w:rsidRPr="0079786F" w:rsidRDefault="00A94D41" w:rsidP="00B7315D">
            <w:pPr>
              <w:tabs>
                <w:tab w:val="left" w:pos="540"/>
              </w:tabs>
              <w:jc w:val="both"/>
              <w:rPr>
                <w:i/>
                <w:sz w:val="22"/>
                <w:szCs w:val="22"/>
              </w:rPr>
            </w:pPr>
            <w:r w:rsidRPr="0079786F">
              <w:rPr>
                <w:i/>
                <w:sz w:val="22"/>
                <w:szCs w:val="22"/>
              </w:rPr>
              <w:t>&gt; 2 mg/l</w:t>
            </w:r>
          </w:p>
        </w:tc>
        <w:tc>
          <w:tcPr>
            <w:tcW w:w="1260" w:type="dxa"/>
          </w:tcPr>
          <w:p w14:paraId="5C0EEE73" w14:textId="77777777" w:rsidR="00A94D41" w:rsidRPr="0079786F" w:rsidRDefault="00A94D41" w:rsidP="00B7315D">
            <w:pPr>
              <w:tabs>
                <w:tab w:val="left" w:pos="540"/>
              </w:tabs>
              <w:jc w:val="both"/>
              <w:rPr>
                <w:i/>
                <w:sz w:val="22"/>
                <w:szCs w:val="22"/>
              </w:rPr>
            </w:pPr>
            <w:r>
              <w:rPr>
                <w:i/>
                <w:sz w:val="22"/>
                <w:szCs w:val="22"/>
              </w:rPr>
              <w:t>-</w:t>
            </w:r>
          </w:p>
        </w:tc>
        <w:tc>
          <w:tcPr>
            <w:tcW w:w="1260" w:type="dxa"/>
          </w:tcPr>
          <w:p w14:paraId="43DEA2C5" w14:textId="77777777" w:rsidR="00A94D41" w:rsidRPr="0079786F" w:rsidRDefault="00A94D41" w:rsidP="00B7315D">
            <w:pPr>
              <w:tabs>
                <w:tab w:val="left" w:pos="540"/>
              </w:tabs>
              <w:jc w:val="both"/>
              <w:rPr>
                <w:i/>
                <w:sz w:val="22"/>
                <w:szCs w:val="22"/>
              </w:rPr>
            </w:pPr>
            <w:r>
              <w:rPr>
                <w:i/>
                <w:sz w:val="22"/>
                <w:szCs w:val="22"/>
              </w:rPr>
              <w:t>-</w:t>
            </w:r>
          </w:p>
        </w:tc>
      </w:tr>
    </w:tbl>
    <w:p w14:paraId="4883A225" w14:textId="77777777" w:rsidR="00A94D41" w:rsidRPr="001054CC" w:rsidRDefault="00A94D41" w:rsidP="00B7315D">
      <w:pPr>
        <w:pStyle w:val="Zarkazkladnhotextu"/>
        <w:tabs>
          <w:tab w:val="left" w:pos="709"/>
        </w:tabs>
        <w:spacing w:after="0"/>
        <w:ind w:left="0"/>
        <w:jc w:val="both"/>
        <w:rPr>
          <w:sz w:val="22"/>
          <w:szCs w:val="22"/>
        </w:rPr>
      </w:pPr>
      <w:r w:rsidRPr="0079786F">
        <w:rPr>
          <w:sz w:val="22"/>
          <w:szCs w:val="22"/>
        </w:rPr>
        <w:t>*</w:t>
      </w:r>
      <w:r>
        <w:rPr>
          <w:sz w:val="22"/>
          <w:szCs w:val="22"/>
        </w:rPr>
        <w:t xml:space="preserve"> Citlivosť stafylokokov na cefalosporíny je odvodená od citlivosti na cefoxitín.</w:t>
      </w:r>
    </w:p>
    <w:p w14:paraId="7CF03456" w14:textId="77777777" w:rsidR="00A94D41" w:rsidRPr="00C65181" w:rsidRDefault="00A94D41" w:rsidP="00B7315D">
      <w:pPr>
        <w:pStyle w:val="Zarkazkladnhotextu"/>
        <w:tabs>
          <w:tab w:val="left" w:pos="709"/>
        </w:tabs>
        <w:spacing w:after="0"/>
        <w:ind w:left="0"/>
        <w:jc w:val="both"/>
        <w:rPr>
          <w:sz w:val="22"/>
          <w:szCs w:val="22"/>
        </w:rPr>
      </w:pPr>
      <w:r w:rsidRPr="005B1B14">
        <w:rPr>
          <w:sz w:val="22"/>
          <w:szCs w:val="22"/>
        </w:rPr>
        <w:t>**</w:t>
      </w:r>
      <w:r>
        <w:rPr>
          <w:sz w:val="22"/>
          <w:szCs w:val="22"/>
        </w:rPr>
        <w:t xml:space="preserve"> Citlivosť beta-hemolytických streptokokov skupiny A,B,C a G na beta-laktámy je odvodená od citlivosti na penicilín.</w:t>
      </w:r>
    </w:p>
    <w:p w14:paraId="2614D1B6" w14:textId="77777777" w:rsidR="00A94D41" w:rsidRDefault="00A94D41" w:rsidP="00B7315D">
      <w:pPr>
        <w:pStyle w:val="Zarkazkladnhotextu"/>
        <w:tabs>
          <w:tab w:val="left" w:pos="709"/>
        </w:tabs>
        <w:spacing w:after="0"/>
        <w:ind w:left="0"/>
        <w:jc w:val="both"/>
        <w:rPr>
          <w:sz w:val="22"/>
          <w:szCs w:val="22"/>
        </w:rPr>
      </w:pPr>
      <w:r w:rsidRPr="00B20A8D">
        <w:rPr>
          <w:sz w:val="22"/>
          <w:szCs w:val="22"/>
        </w:rPr>
        <w:lastRenderedPageBreak/>
        <w:t xml:space="preserve">*** Izoláty s hodnotami MIC prevyšujúcimi hraničné hodnoty citlivosti sú veľmi vzácne a neboli doteraz hlásené. Identifikácia a testy antimikrobiálnej citlivosti sa musia zopakovať a ak sa výsledok potvrdí, izolát sa pošle do referenčného laboratória. Do doby, kým sú pozorované známky klinickej odpovede u potvrdených izolátov s hodnotami MIC prevyšujúcimi hraničné hodnoty, musia byť </w:t>
      </w:r>
      <w:r w:rsidRPr="00E465B0">
        <w:rPr>
          <w:sz w:val="22"/>
          <w:szCs w:val="22"/>
        </w:rPr>
        <w:t xml:space="preserve">hlásené ako rezistentné. </w:t>
      </w:r>
    </w:p>
    <w:p w14:paraId="07BE005F" w14:textId="783CA652" w:rsidR="00A94D41" w:rsidRDefault="00A94D41" w:rsidP="00B7315D">
      <w:pPr>
        <w:pStyle w:val="Zarkazkladnhotextu"/>
        <w:tabs>
          <w:tab w:val="left" w:pos="709"/>
        </w:tabs>
        <w:spacing w:after="0"/>
        <w:ind w:left="0"/>
        <w:jc w:val="both"/>
        <w:rPr>
          <w:sz w:val="22"/>
          <w:szCs w:val="22"/>
        </w:rPr>
      </w:pPr>
      <w:r w:rsidRPr="0079786F">
        <w:rPr>
          <w:i/>
          <w:sz w:val="22"/>
          <w:szCs w:val="22"/>
        </w:rPr>
        <w:t>****</w:t>
      </w:r>
      <w:r>
        <w:rPr>
          <w:sz w:val="22"/>
          <w:szCs w:val="22"/>
        </w:rPr>
        <w:t xml:space="preserve"> Zisťovanie beta-laktámovej rezistencie s 1µg diskom oxacilínu. Izoláty klasifikované ako citlivé, môžu byť považované za citlivé na cefepím, cefotaxím, cefpodoxím, ceftriaxón, cefuroxím a </w:t>
      </w:r>
      <w:r w:rsidR="00B8120B">
        <w:rPr>
          <w:sz w:val="22"/>
          <w:szCs w:val="22"/>
          <w:lang w:val="sk-SK"/>
        </w:rPr>
        <w:t xml:space="preserve"> </w:t>
      </w:r>
      <w:r>
        <w:rPr>
          <w:sz w:val="22"/>
          <w:szCs w:val="22"/>
        </w:rPr>
        <w:t>cefuroxím</w:t>
      </w:r>
      <w:r w:rsidR="008B4E08">
        <w:rPr>
          <w:sz w:val="22"/>
          <w:szCs w:val="22"/>
          <w:lang w:val="sk-SK"/>
        </w:rPr>
        <w:t>-</w:t>
      </w:r>
      <w:r w:rsidR="008B4E08">
        <w:rPr>
          <w:sz w:val="22"/>
          <w:szCs w:val="22"/>
        </w:rPr>
        <w:t>axetil</w:t>
      </w:r>
      <w:r>
        <w:rPr>
          <w:sz w:val="22"/>
          <w:szCs w:val="22"/>
        </w:rPr>
        <w:t>. Izoláty klasifikované ako rezistentné voči oxacilínu by sa mali testovať metódou MIC s činidlom používaným v klinickej praxi.</w:t>
      </w:r>
    </w:p>
    <w:p w14:paraId="1F20FA68" w14:textId="77777777" w:rsidR="00A94D41" w:rsidRPr="0079786F" w:rsidRDefault="00A94D41" w:rsidP="00B7315D">
      <w:pPr>
        <w:tabs>
          <w:tab w:val="left" w:pos="540"/>
        </w:tabs>
        <w:jc w:val="both"/>
        <w:rPr>
          <w:sz w:val="22"/>
          <w:szCs w:val="22"/>
        </w:rPr>
      </w:pPr>
      <w:r w:rsidRPr="00B20A8D">
        <w:rPr>
          <w:sz w:val="22"/>
          <w:szCs w:val="22"/>
        </w:rPr>
        <w:t xml:space="preserve">***** Hraničné hodnoty sa vzťahujú na dennú intravenóznu dávku 1 x </w:t>
      </w:r>
      <w:smartTag w:uri="urn:schemas-microsoft-com:office:smarttags" w:element="metricconverter">
        <w:smartTagPr>
          <w:attr w:name="ProductID" w:val="1 g"/>
        </w:smartTagPr>
        <w:r w:rsidRPr="00B20A8D">
          <w:rPr>
            <w:sz w:val="22"/>
            <w:szCs w:val="22"/>
          </w:rPr>
          <w:t>1</w:t>
        </w:r>
        <w:r w:rsidR="00ED3BE3">
          <w:rPr>
            <w:sz w:val="22"/>
            <w:szCs w:val="22"/>
          </w:rPr>
          <w:t> </w:t>
        </w:r>
        <w:r w:rsidRPr="00B20A8D">
          <w:rPr>
            <w:sz w:val="22"/>
            <w:szCs w:val="22"/>
          </w:rPr>
          <w:t>g</w:t>
        </w:r>
      </w:smartTag>
      <w:r w:rsidRPr="00B20A8D">
        <w:rPr>
          <w:sz w:val="22"/>
          <w:szCs w:val="22"/>
        </w:rPr>
        <w:t xml:space="preserve"> a vysokú dávku aspoň </w:t>
      </w:r>
      <w:r w:rsidRPr="00B20A8D">
        <w:rPr>
          <w:sz w:val="22"/>
          <w:szCs w:val="22"/>
        </w:rPr>
        <w:br/>
        <w:t xml:space="preserve">1 x </w:t>
      </w:r>
      <w:smartTag w:uri="urn:schemas-microsoft-com:office:smarttags" w:element="metricconverter">
        <w:smartTagPr>
          <w:attr w:name="ProductID" w:val="2 g"/>
        </w:smartTagPr>
        <w:r w:rsidRPr="00B20A8D">
          <w:rPr>
            <w:sz w:val="22"/>
            <w:szCs w:val="22"/>
          </w:rPr>
          <w:t>2</w:t>
        </w:r>
        <w:r w:rsidR="00ED3BE3">
          <w:rPr>
            <w:sz w:val="22"/>
            <w:szCs w:val="22"/>
          </w:rPr>
          <w:t> </w:t>
        </w:r>
        <w:r w:rsidRPr="00B20A8D">
          <w:rPr>
            <w:sz w:val="22"/>
            <w:szCs w:val="22"/>
          </w:rPr>
          <w:t>g</w:t>
        </w:r>
      </w:smartTag>
      <w:r w:rsidRPr="00B20A8D">
        <w:rPr>
          <w:sz w:val="22"/>
          <w:szCs w:val="22"/>
        </w:rPr>
        <w:t>.</w:t>
      </w:r>
    </w:p>
    <w:p w14:paraId="4F331C9B" w14:textId="77777777" w:rsidR="00A94D41" w:rsidRPr="0079786F" w:rsidRDefault="00A94D41" w:rsidP="00B7315D">
      <w:pPr>
        <w:tabs>
          <w:tab w:val="left" w:pos="480"/>
        </w:tabs>
        <w:jc w:val="both"/>
        <w:rPr>
          <w:bCs/>
          <w:sz w:val="22"/>
          <w:szCs w:val="22"/>
        </w:rPr>
      </w:pPr>
    </w:p>
    <w:p w14:paraId="76DD4251" w14:textId="77777777" w:rsidR="00A94D41" w:rsidRPr="0079786F" w:rsidRDefault="00A94D41" w:rsidP="00B7315D">
      <w:pPr>
        <w:tabs>
          <w:tab w:val="left" w:pos="480"/>
        </w:tabs>
        <w:jc w:val="both"/>
        <w:rPr>
          <w:bCs/>
          <w:sz w:val="22"/>
          <w:szCs w:val="22"/>
        </w:rPr>
      </w:pPr>
      <w:r w:rsidRPr="0079786F">
        <w:rPr>
          <w:sz w:val="22"/>
          <w:szCs w:val="22"/>
        </w:rPr>
        <w:t xml:space="preserve">Prevalencia získanej rezistencie sa u vybraných kmeňov môže líšiť geograficky a v čase, je žiaduca miestna informácia o rezistencii, obzvlášť pri liečbe závažných infekcií. Podľa potreby treba vyhľadať odbornú radu vtedy, ak je lokálna prevalencia rezistencie taká, že použitie prostriedku minimálne pri niektorých typoch infekcií je otázne. Predovšetkým v prípade závažných infekcií alebo zlyhania </w:t>
      </w:r>
      <w:r w:rsidR="00ED3BE3">
        <w:rPr>
          <w:sz w:val="22"/>
          <w:szCs w:val="22"/>
        </w:rPr>
        <w:t>liečby</w:t>
      </w:r>
      <w:r w:rsidR="00ED3BE3" w:rsidRPr="0079786F">
        <w:rPr>
          <w:sz w:val="22"/>
          <w:szCs w:val="22"/>
        </w:rPr>
        <w:t xml:space="preserve"> </w:t>
      </w:r>
      <w:r w:rsidRPr="0079786F">
        <w:rPr>
          <w:sz w:val="22"/>
          <w:szCs w:val="22"/>
        </w:rPr>
        <w:t>sa treba usilovať o mikrobiologickú diagnózu zahŕňajúcu overenie mikróba a jeho citlivosti.</w:t>
      </w:r>
    </w:p>
    <w:p w14:paraId="21461FBA" w14:textId="77777777" w:rsidR="00A94D41" w:rsidRPr="0079786F" w:rsidRDefault="00A94D41" w:rsidP="00B7315D">
      <w:pPr>
        <w:jc w:val="both"/>
        <w:rPr>
          <w:bCs/>
          <w:sz w:val="22"/>
          <w:szCs w:val="22"/>
        </w:rPr>
      </w:pPr>
    </w:p>
    <w:p w14:paraId="1A3BF79E" w14:textId="77777777" w:rsidR="00A94D41" w:rsidRPr="0079786F" w:rsidRDefault="00A94D41" w:rsidP="00B7315D">
      <w:pPr>
        <w:jc w:val="both"/>
        <w:rPr>
          <w:b/>
          <w:bCs/>
          <w:sz w:val="22"/>
          <w:szCs w:val="22"/>
        </w:rPr>
      </w:pPr>
      <w:r w:rsidRPr="0079786F">
        <w:rPr>
          <w:b/>
          <w:bCs/>
          <w:sz w:val="22"/>
          <w:szCs w:val="22"/>
        </w:rPr>
        <w:t>Bežne citlivé druhy</w:t>
      </w:r>
    </w:p>
    <w:p w14:paraId="09972219" w14:textId="77777777" w:rsidR="00A94D41" w:rsidRPr="00A63A95" w:rsidRDefault="00A94D41" w:rsidP="00B7315D">
      <w:pPr>
        <w:jc w:val="both"/>
        <w:rPr>
          <w:bCs/>
          <w:sz w:val="22"/>
          <w:szCs w:val="22"/>
        </w:rPr>
      </w:pPr>
    </w:p>
    <w:p w14:paraId="0603C751" w14:textId="77777777" w:rsidR="00A94D41" w:rsidRPr="0079786F" w:rsidRDefault="00A94D41" w:rsidP="00B7315D">
      <w:pPr>
        <w:jc w:val="both"/>
        <w:rPr>
          <w:b/>
          <w:bCs/>
          <w:sz w:val="22"/>
          <w:szCs w:val="22"/>
        </w:rPr>
      </w:pPr>
      <w:r w:rsidRPr="0079786F">
        <w:rPr>
          <w:b/>
          <w:bCs/>
          <w:sz w:val="22"/>
          <w:szCs w:val="22"/>
        </w:rPr>
        <w:t>Gram pozitívne aeróbne mikróby</w:t>
      </w:r>
    </w:p>
    <w:p w14:paraId="5A0224AC" w14:textId="77777777" w:rsidR="00A94D41" w:rsidRPr="0079786F" w:rsidRDefault="00A94D41" w:rsidP="00B7315D">
      <w:pPr>
        <w:jc w:val="both"/>
        <w:rPr>
          <w:i/>
          <w:sz w:val="22"/>
          <w:szCs w:val="22"/>
        </w:rPr>
      </w:pPr>
      <w:r w:rsidRPr="0079786F">
        <w:rPr>
          <w:i/>
          <w:sz w:val="22"/>
          <w:szCs w:val="22"/>
        </w:rPr>
        <w:t>Staphylococcus aureus* MSSA</w:t>
      </w:r>
    </w:p>
    <w:p w14:paraId="1F45C7CF" w14:textId="77777777" w:rsidR="00A94D41" w:rsidRPr="0079786F" w:rsidRDefault="00A94D41" w:rsidP="00B7315D">
      <w:pPr>
        <w:jc w:val="both"/>
        <w:rPr>
          <w:i/>
          <w:iCs/>
          <w:sz w:val="22"/>
          <w:szCs w:val="22"/>
        </w:rPr>
      </w:pPr>
      <w:r w:rsidRPr="0079786F">
        <w:rPr>
          <w:i/>
          <w:iCs/>
          <w:sz w:val="22"/>
          <w:szCs w:val="22"/>
        </w:rPr>
        <w:t>Streptococcus agalactiae</w:t>
      </w:r>
    </w:p>
    <w:p w14:paraId="530F0433" w14:textId="77777777" w:rsidR="00A94D41" w:rsidRPr="0079786F" w:rsidRDefault="00A94D41" w:rsidP="00B7315D">
      <w:pPr>
        <w:jc w:val="both"/>
        <w:rPr>
          <w:sz w:val="22"/>
          <w:szCs w:val="22"/>
        </w:rPr>
      </w:pPr>
      <w:r w:rsidRPr="0079786F">
        <w:rPr>
          <w:i/>
          <w:iCs/>
          <w:sz w:val="22"/>
          <w:szCs w:val="22"/>
        </w:rPr>
        <w:t>Streptococcus pneumoniae</w:t>
      </w:r>
      <w:r w:rsidRPr="0079786F">
        <w:rPr>
          <w:sz w:val="22"/>
          <w:szCs w:val="22"/>
        </w:rPr>
        <w:t>*</w:t>
      </w:r>
    </w:p>
    <w:p w14:paraId="0220F49E" w14:textId="77777777" w:rsidR="00A94D41" w:rsidRPr="0079786F" w:rsidRDefault="00A94D41" w:rsidP="00B7315D">
      <w:pPr>
        <w:jc w:val="both"/>
        <w:rPr>
          <w:sz w:val="22"/>
          <w:szCs w:val="22"/>
        </w:rPr>
      </w:pPr>
      <w:r w:rsidRPr="0079786F">
        <w:rPr>
          <w:i/>
          <w:iCs/>
          <w:sz w:val="22"/>
          <w:szCs w:val="22"/>
        </w:rPr>
        <w:t>Streptococcus pyogenes</w:t>
      </w:r>
      <w:r w:rsidRPr="0079786F">
        <w:rPr>
          <w:sz w:val="22"/>
          <w:szCs w:val="22"/>
        </w:rPr>
        <w:t>*</w:t>
      </w:r>
    </w:p>
    <w:p w14:paraId="45550DF1" w14:textId="77777777" w:rsidR="00A94D41" w:rsidRPr="0079786F" w:rsidRDefault="00A94D41" w:rsidP="00B7315D">
      <w:pPr>
        <w:jc w:val="both"/>
        <w:rPr>
          <w:sz w:val="22"/>
          <w:szCs w:val="22"/>
        </w:rPr>
      </w:pPr>
    </w:p>
    <w:p w14:paraId="6B04A766" w14:textId="77777777" w:rsidR="00A94D41" w:rsidRPr="0079786F" w:rsidRDefault="00A94D41" w:rsidP="00B7315D">
      <w:pPr>
        <w:jc w:val="both"/>
        <w:rPr>
          <w:b/>
          <w:bCs/>
          <w:sz w:val="22"/>
          <w:szCs w:val="22"/>
        </w:rPr>
      </w:pPr>
      <w:r w:rsidRPr="0079786F">
        <w:rPr>
          <w:b/>
          <w:bCs/>
          <w:sz w:val="22"/>
          <w:szCs w:val="22"/>
        </w:rPr>
        <w:t>Gram-negatívne aeróbne mikróby</w:t>
      </w:r>
    </w:p>
    <w:p w14:paraId="2C96E486" w14:textId="77777777" w:rsidR="00A94D41" w:rsidRPr="0079786F" w:rsidRDefault="00A94D41" w:rsidP="00B7315D">
      <w:pPr>
        <w:jc w:val="both"/>
        <w:rPr>
          <w:i/>
          <w:iCs/>
          <w:sz w:val="22"/>
          <w:szCs w:val="22"/>
        </w:rPr>
      </w:pPr>
      <w:r w:rsidRPr="0079786F">
        <w:rPr>
          <w:i/>
          <w:iCs/>
          <w:sz w:val="22"/>
          <w:szCs w:val="22"/>
        </w:rPr>
        <w:t>Borrelia burgdorferi</w:t>
      </w:r>
    </w:p>
    <w:p w14:paraId="33C9B4E2" w14:textId="77777777" w:rsidR="00A94D41" w:rsidRPr="0079786F" w:rsidRDefault="00A94D41" w:rsidP="00B7315D">
      <w:pPr>
        <w:jc w:val="both"/>
        <w:rPr>
          <w:sz w:val="22"/>
          <w:szCs w:val="22"/>
        </w:rPr>
      </w:pPr>
      <w:r w:rsidRPr="0079786F">
        <w:rPr>
          <w:i/>
          <w:iCs/>
          <w:sz w:val="22"/>
          <w:szCs w:val="22"/>
        </w:rPr>
        <w:t>Escherichia coli</w:t>
      </w:r>
      <w:r w:rsidRPr="0079786F">
        <w:rPr>
          <w:sz w:val="22"/>
          <w:szCs w:val="22"/>
        </w:rPr>
        <w:t>*</w:t>
      </w:r>
      <w:r w:rsidRPr="0079786F">
        <w:rPr>
          <w:sz w:val="22"/>
          <w:szCs w:val="22"/>
          <w:vertAlign w:val="superscript"/>
        </w:rPr>
        <w:t>1</w:t>
      </w:r>
    </w:p>
    <w:p w14:paraId="5C2D1186" w14:textId="77777777" w:rsidR="00A94D41" w:rsidRPr="0079786F" w:rsidRDefault="00A94D41" w:rsidP="00B7315D">
      <w:pPr>
        <w:jc w:val="both"/>
        <w:rPr>
          <w:sz w:val="22"/>
          <w:szCs w:val="22"/>
        </w:rPr>
      </w:pPr>
      <w:r w:rsidRPr="0079786F">
        <w:rPr>
          <w:i/>
          <w:iCs/>
          <w:sz w:val="22"/>
          <w:szCs w:val="22"/>
        </w:rPr>
        <w:t>Haemophilus influenzae</w:t>
      </w:r>
      <w:r w:rsidRPr="0079786F">
        <w:rPr>
          <w:sz w:val="22"/>
          <w:szCs w:val="22"/>
        </w:rPr>
        <w:t>*</w:t>
      </w:r>
    </w:p>
    <w:p w14:paraId="48063033" w14:textId="77777777" w:rsidR="00A94D41" w:rsidRPr="0079786F" w:rsidRDefault="00A94D41" w:rsidP="00B7315D">
      <w:pPr>
        <w:jc w:val="both"/>
        <w:rPr>
          <w:i/>
          <w:iCs/>
          <w:sz w:val="22"/>
          <w:szCs w:val="22"/>
        </w:rPr>
      </w:pPr>
      <w:r w:rsidRPr="0079786F">
        <w:rPr>
          <w:i/>
          <w:iCs/>
          <w:sz w:val="22"/>
          <w:szCs w:val="22"/>
        </w:rPr>
        <w:t>Moraxella catarrhalis*</w:t>
      </w:r>
    </w:p>
    <w:p w14:paraId="3073EB4C" w14:textId="77777777" w:rsidR="00A94D41" w:rsidRPr="0079786F" w:rsidRDefault="00A94D41" w:rsidP="00B7315D">
      <w:pPr>
        <w:jc w:val="both"/>
        <w:rPr>
          <w:i/>
          <w:iCs/>
          <w:sz w:val="22"/>
          <w:szCs w:val="22"/>
        </w:rPr>
      </w:pPr>
      <w:r w:rsidRPr="0079786F">
        <w:rPr>
          <w:i/>
          <w:iCs/>
          <w:sz w:val="22"/>
          <w:szCs w:val="22"/>
        </w:rPr>
        <w:t>Morganella morganii</w:t>
      </w:r>
      <w:r w:rsidRPr="0079786F">
        <w:rPr>
          <w:i/>
          <w:iCs/>
          <w:sz w:val="22"/>
          <w:szCs w:val="22"/>
          <w:vertAlign w:val="superscript"/>
        </w:rPr>
        <w:t>1</w:t>
      </w:r>
    </w:p>
    <w:p w14:paraId="6A16831F" w14:textId="77777777" w:rsidR="00A94D41" w:rsidRPr="0079786F" w:rsidRDefault="00A94D41" w:rsidP="00B7315D">
      <w:pPr>
        <w:jc w:val="both"/>
        <w:rPr>
          <w:i/>
          <w:iCs/>
          <w:sz w:val="22"/>
          <w:szCs w:val="22"/>
        </w:rPr>
      </w:pPr>
      <w:r w:rsidRPr="0079786F">
        <w:rPr>
          <w:i/>
          <w:iCs/>
          <w:sz w:val="22"/>
          <w:szCs w:val="22"/>
        </w:rPr>
        <w:t>Neisseria gonorrhoeae</w:t>
      </w:r>
    </w:p>
    <w:p w14:paraId="7CB12528" w14:textId="77777777" w:rsidR="00A94D41" w:rsidRPr="0079786F" w:rsidRDefault="00A94D41" w:rsidP="00B7315D">
      <w:pPr>
        <w:jc w:val="both"/>
        <w:rPr>
          <w:sz w:val="22"/>
          <w:szCs w:val="22"/>
        </w:rPr>
      </w:pPr>
      <w:r w:rsidRPr="0079786F">
        <w:rPr>
          <w:i/>
          <w:iCs/>
          <w:sz w:val="22"/>
          <w:szCs w:val="22"/>
        </w:rPr>
        <w:t>Neisseria meningitidis</w:t>
      </w:r>
      <w:r w:rsidRPr="0079786F">
        <w:rPr>
          <w:sz w:val="22"/>
          <w:szCs w:val="22"/>
        </w:rPr>
        <w:t>*</w:t>
      </w:r>
    </w:p>
    <w:p w14:paraId="32EB7B20" w14:textId="77777777" w:rsidR="00A94D41" w:rsidRPr="0079786F" w:rsidRDefault="00A94D41" w:rsidP="00B7315D">
      <w:pPr>
        <w:jc w:val="both"/>
        <w:rPr>
          <w:i/>
          <w:iCs/>
          <w:sz w:val="22"/>
          <w:szCs w:val="22"/>
        </w:rPr>
      </w:pPr>
      <w:r w:rsidRPr="0079786F">
        <w:rPr>
          <w:i/>
          <w:iCs/>
          <w:sz w:val="22"/>
          <w:szCs w:val="22"/>
        </w:rPr>
        <w:t>Proteus mirabilis</w:t>
      </w:r>
      <w:r w:rsidRPr="0079786F">
        <w:rPr>
          <w:sz w:val="22"/>
          <w:szCs w:val="22"/>
        </w:rPr>
        <w:t>*</w:t>
      </w:r>
      <w:r w:rsidRPr="0079786F">
        <w:rPr>
          <w:i/>
          <w:iCs/>
          <w:sz w:val="22"/>
          <w:szCs w:val="22"/>
          <w:vertAlign w:val="superscript"/>
        </w:rPr>
        <w:t>1</w:t>
      </w:r>
    </w:p>
    <w:p w14:paraId="0EDF3D64" w14:textId="77777777" w:rsidR="00A94D41" w:rsidRPr="0079786F" w:rsidRDefault="00A94D41" w:rsidP="00B7315D">
      <w:pPr>
        <w:pStyle w:val="Hlavika"/>
        <w:tabs>
          <w:tab w:val="clear" w:pos="4536"/>
          <w:tab w:val="clear" w:pos="9072"/>
        </w:tabs>
        <w:jc w:val="both"/>
        <w:rPr>
          <w:rFonts w:ascii="Times New Roman" w:hAnsi="Times New Roman"/>
          <w:sz w:val="22"/>
          <w:szCs w:val="22"/>
          <w:lang w:val="sk-SK"/>
        </w:rPr>
      </w:pPr>
    </w:p>
    <w:p w14:paraId="2542D2BD" w14:textId="77777777" w:rsidR="00A94D41" w:rsidRPr="0079786F" w:rsidRDefault="00A94D41" w:rsidP="00B7315D">
      <w:pPr>
        <w:jc w:val="both"/>
        <w:rPr>
          <w:b/>
          <w:bCs/>
          <w:sz w:val="22"/>
          <w:szCs w:val="22"/>
        </w:rPr>
      </w:pPr>
      <w:r w:rsidRPr="0079786F">
        <w:rPr>
          <w:b/>
          <w:bCs/>
          <w:sz w:val="22"/>
          <w:szCs w:val="22"/>
        </w:rPr>
        <w:t>Druhy u ktorých môže byť problémom získaná rezistencia</w:t>
      </w:r>
    </w:p>
    <w:p w14:paraId="0F9B52FD" w14:textId="77777777" w:rsidR="00A94D41" w:rsidRPr="00F97ACC" w:rsidRDefault="00A94D41" w:rsidP="00B7315D">
      <w:pPr>
        <w:jc w:val="both"/>
        <w:rPr>
          <w:bCs/>
          <w:sz w:val="22"/>
          <w:szCs w:val="22"/>
        </w:rPr>
      </w:pPr>
    </w:p>
    <w:p w14:paraId="54CB5B79" w14:textId="77777777" w:rsidR="00A94D41" w:rsidRPr="0079786F" w:rsidRDefault="00A94D41" w:rsidP="00B7315D">
      <w:pPr>
        <w:jc w:val="both"/>
        <w:rPr>
          <w:b/>
          <w:bCs/>
          <w:sz w:val="22"/>
          <w:szCs w:val="22"/>
        </w:rPr>
      </w:pPr>
      <w:r w:rsidRPr="0079786F">
        <w:rPr>
          <w:b/>
          <w:bCs/>
          <w:sz w:val="22"/>
          <w:szCs w:val="22"/>
        </w:rPr>
        <w:t>Gram-pozitívne aeróbne mikróby</w:t>
      </w:r>
    </w:p>
    <w:p w14:paraId="18810734" w14:textId="77777777" w:rsidR="00A94D41" w:rsidRPr="0079786F" w:rsidRDefault="00A94D41" w:rsidP="00B7315D">
      <w:pPr>
        <w:jc w:val="both"/>
        <w:rPr>
          <w:i/>
          <w:iCs/>
          <w:sz w:val="22"/>
          <w:szCs w:val="22"/>
        </w:rPr>
      </w:pPr>
      <w:r w:rsidRPr="0079786F">
        <w:rPr>
          <w:i/>
          <w:iCs/>
          <w:sz w:val="22"/>
          <w:szCs w:val="22"/>
        </w:rPr>
        <w:t>Staphylococcus aureus</w:t>
      </w:r>
    </w:p>
    <w:p w14:paraId="28FE0BFE" w14:textId="77777777" w:rsidR="00A94D41" w:rsidRPr="0079786F" w:rsidRDefault="00A94D41" w:rsidP="00B7315D">
      <w:pPr>
        <w:jc w:val="both"/>
        <w:rPr>
          <w:sz w:val="22"/>
          <w:szCs w:val="22"/>
        </w:rPr>
      </w:pPr>
      <w:r w:rsidRPr="0079786F">
        <w:rPr>
          <w:i/>
          <w:iCs/>
          <w:sz w:val="22"/>
          <w:szCs w:val="22"/>
        </w:rPr>
        <w:t>Staphylococcus epidermidis</w:t>
      </w:r>
      <w:r w:rsidRPr="0079786F">
        <w:rPr>
          <w:i/>
          <w:iCs/>
          <w:sz w:val="22"/>
          <w:szCs w:val="22"/>
          <w:vertAlign w:val="superscript"/>
        </w:rPr>
        <w:t>+</w:t>
      </w:r>
    </w:p>
    <w:p w14:paraId="351EC84B" w14:textId="77777777" w:rsidR="00A94D41" w:rsidRPr="0079786F" w:rsidRDefault="00A94D41" w:rsidP="00B7315D">
      <w:pPr>
        <w:jc w:val="both"/>
        <w:rPr>
          <w:i/>
          <w:iCs/>
          <w:sz w:val="22"/>
          <w:szCs w:val="22"/>
        </w:rPr>
      </w:pPr>
      <w:r w:rsidRPr="0079786F">
        <w:rPr>
          <w:i/>
          <w:iCs/>
          <w:sz w:val="22"/>
          <w:szCs w:val="22"/>
        </w:rPr>
        <w:t>Staphylococcus haemolyticus</w:t>
      </w:r>
      <w:r w:rsidRPr="0079786F">
        <w:rPr>
          <w:i/>
          <w:iCs/>
          <w:sz w:val="22"/>
          <w:szCs w:val="22"/>
          <w:vertAlign w:val="superscript"/>
        </w:rPr>
        <w:t>+</w:t>
      </w:r>
    </w:p>
    <w:p w14:paraId="78F6C7D9" w14:textId="77777777" w:rsidR="00A94D41" w:rsidRPr="0079786F" w:rsidRDefault="00A94D41" w:rsidP="00B7315D">
      <w:pPr>
        <w:jc w:val="both"/>
        <w:rPr>
          <w:sz w:val="22"/>
          <w:szCs w:val="22"/>
        </w:rPr>
      </w:pPr>
      <w:r w:rsidRPr="0079786F">
        <w:rPr>
          <w:i/>
          <w:iCs/>
          <w:sz w:val="22"/>
          <w:szCs w:val="22"/>
        </w:rPr>
        <w:t>Staphylococcus hominis</w:t>
      </w:r>
      <w:r w:rsidRPr="0079786F">
        <w:rPr>
          <w:i/>
          <w:iCs/>
          <w:sz w:val="22"/>
          <w:szCs w:val="22"/>
          <w:vertAlign w:val="superscript"/>
        </w:rPr>
        <w:t>+</w:t>
      </w:r>
    </w:p>
    <w:p w14:paraId="2E5DD189" w14:textId="77777777" w:rsidR="00A94D41" w:rsidRPr="0079786F" w:rsidRDefault="00A94D41" w:rsidP="00B7315D">
      <w:pPr>
        <w:jc w:val="both"/>
        <w:rPr>
          <w:sz w:val="22"/>
          <w:szCs w:val="22"/>
        </w:rPr>
      </w:pPr>
    </w:p>
    <w:p w14:paraId="603C386E" w14:textId="77777777" w:rsidR="00A94D41" w:rsidRPr="0079786F" w:rsidRDefault="00A94D41" w:rsidP="00B7315D">
      <w:pPr>
        <w:jc w:val="both"/>
        <w:rPr>
          <w:b/>
          <w:bCs/>
          <w:sz w:val="22"/>
          <w:szCs w:val="22"/>
        </w:rPr>
      </w:pPr>
      <w:r w:rsidRPr="0079786F">
        <w:rPr>
          <w:b/>
          <w:bCs/>
          <w:sz w:val="22"/>
          <w:szCs w:val="22"/>
        </w:rPr>
        <w:t>Gram-negatívne aeróbne mikróby</w:t>
      </w:r>
    </w:p>
    <w:p w14:paraId="014DAEA1" w14:textId="77777777" w:rsidR="00A94D41" w:rsidRPr="0079786F" w:rsidRDefault="00A94D41" w:rsidP="00B7315D">
      <w:pPr>
        <w:jc w:val="both"/>
        <w:rPr>
          <w:i/>
          <w:iCs/>
          <w:sz w:val="22"/>
          <w:szCs w:val="22"/>
        </w:rPr>
      </w:pPr>
      <w:r w:rsidRPr="0079786F">
        <w:rPr>
          <w:i/>
          <w:iCs/>
          <w:sz w:val="22"/>
          <w:szCs w:val="22"/>
        </w:rPr>
        <w:t>Acinetobacter baumannii</w:t>
      </w:r>
      <w:r w:rsidRPr="0079786F">
        <w:rPr>
          <w:sz w:val="22"/>
          <w:szCs w:val="22"/>
          <w:vertAlign w:val="superscript"/>
        </w:rPr>
        <w:t>$</w:t>
      </w:r>
      <w:r w:rsidRPr="0079786F">
        <w:rPr>
          <w:i/>
          <w:iCs/>
          <w:sz w:val="22"/>
          <w:szCs w:val="22"/>
          <w:vertAlign w:val="superscript"/>
        </w:rPr>
        <w:t>+</w:t>
      </w:r>
    </w:p>
    <w:p w14:paraId="1C3101B9" w14:textId="77777777" w:rsidR="00A94D41" w:rsidRPr="0079786F" w:rsidRDefault="00A94D41" w:rsidP="00B7315D">
      <w:pPr>
        <w:jc w:val="both"/>
        <w:rPr>
          <w:i/>
          <w:iCs/>
          <w:sz w:val="22"/>
          <w:szCs w:val="22"/>
        </w:rPr>
      </w:pPr>
      <w:r w:rsidRPr="0079786F">
        <w:rPr>
          <w:i/>
          <w:iCs/>
          <w:sz w:val="22"/>
          <w:szCs w:val="22"/>
        </w:rPr>
        <w:t>Citrobacter freundii</w:t>
      </w:r>
      <w:r w:rsidRPr="0079786F">
        <w:rPr>
          <w:i/>
          <w:iCs/>
          <w:sz w:val="22"/>
          <w:szCs w:val="22"/>
          <w:vertAlign w:val="superscript"/>
        </w:rPr>
        <w:t>1</w:t>
      </w:r>
    </w:p>
    <w:p w14:paraId="1F1BE8A2" w14:textId="77777777" w:rsidR="00A94D41" w:rsidRPr="0079786F" w:rsidRDefault="00A94D41" w:rsidP="00B7315D">
      <w:pPr>
        <w:jc w:val="both"/>
        <w:rPr>
          <w:i/>
          <w:iCs/>
          <w:sz w:val="22"/>
          <w:szCs w:val="22"/>
        </w:rPr>
      </w:pPr>
      <w:r w:rsidRPr="0079786F">
        <w:rPr>
          <w:i/>
          <w:iCs/>
          <w:sz w:val="22"/>
          <w:szCs w:val="22"/>
        </w:rPr>
        <w:t>Enterobacter aerogenes</w:t>
      </w:r>
    </w:p>
    <w:p w14:paraId="0CB84657" w14:textId="77777777" w:rsidR="00A94D41" w:rsidRPr="0079786F" w:rsidRDefault="00A94D41" w:rsidP="00B7315D">
      <w:pPr>
        <w:jc w:val="both"/>
        <w:rPr>
          <w:i/>
          <w:iCs/>
          <w:sz w:val="22"/>
          <w:szCs w:val="22"/>
        </w:rPr>
      </w:pPr>
      <w:r w:rsidRPr="0079786F">
        <w:rPr>
          <w:i/>
          <w:iCs/>
          <w:sz w:val="22"/>
          <w:szCs w:val="22"/>
        </w:rPr>
        <w:t>Enterobacter cloacae</w:t>
      </w:r>
    </w:p>
    <w:p w14:paraId="146F2B46" w14:textId="77777777" w:rsidR="00A94D41" w:rsidRPr="0079786F" w:rsidRDefault="00A94D41" w:rsidP="00B7315D">
      <w:pPr>
        <w:jc w:val="both"/>
        <w:rPr>
          <w:i/>
          <w:iCs/>
          <w:sz w:val="22"/>
          <w:szCs w:val="22"/>
        </w:rPr>
      </w:pPr>
      <w:r w:rsidRPr="0079786F">
        <w:rPr>
          <w:i/>
          <w:iCs/>
          <w:sz w:val="22"/>
          <w:szCs w:val="22"/>
        </w:rPr>
        <w:t>Klebsiella pneumoniae*</w:t>
      </w:r>
      <w:r w:rsidRPr="0079786F">
        <w:rPr>
          <w:i/>
          <w:iCs/>
          <w:sz w:val="22"/>
          <w:szCs w:val="22"/>
          <w:vertAlign w:val="superscript"/>
        </w:rPr>
        <w:t>1</w:t>
      </w:r>
    </w:p>
    <w:p w14:paraId="07DBC5FB" w14:textId="77777777" w:rsidR="00A94D41" w:rsidRPr="0079786F" w:rsidRDefault="00A94D41" w:rsidP="00B7315D">
      <w:pPr>
        <w:jc w:val="both"/>
        <w:rPr>
          <w:i/>
          <w:iCs/>
          <w:sz w:val="22"/>
          <w:szCs w:val="22"/>
        </w:rPr>
      </w:pPr>
      <w:r w:rsidRPr="0079786F">
        <w:rPr>
          <w:i/>
          <w:iCs/>
          <w:sz w:val="22"/>
          <w:szCs w:val="22"/>
        </w:rPr>
        <w:t>Klebsiella oxytoca</w:t>
      </w:r>
    </w:p>
    <w:p w14:paraId="1546EA17" w14:textId="77777777" w:rsidR="00A94D41" w:rsidRPr="0079786F" w:rsidRDefault="00A94D41" w:rsidP="00B7315D">
      <w:pPr>
        <w:jc w:val="both"/>
        <w:rPr>
          <w:i/>
          <w:iCs/>
          <w:sz w:val="22"/>
          <w:szCs w:val="22"/>
        </w:rPr>
      </w:pPr>
      <w:r w:rsidRPr="0079786F">
        <w:rPr>
          <w:i/>
          <w:iCs/>
          <w:sz w:val="22"/>
          <w:szCs w:val="22"/>
        </w:rPr>
        <w:t>Proteus vulgaris</w:t>
      </w:r>
    </w:p>
    <w:p w14:paraId="5C8F4384" w14:textId="77777777" w:rsidR="00A94D41" w:rsidRPr="0079786F" w:rsidRDefault="00A94D41" w:rsidP="00B7315D">
      <w:pPr>
        <w:jc w:val="both"/>
        <w:rPr>
          <w:sz w:val="22"/>
          <w:szCs w:val="22"/>
        </w:rPr>
      </w:pPr>
      <w:r w:rsidRPr="0079786F">
        <w:rPr>
          <w:i/>
          <w:iCs/>
          <w:sz w:val="22"/>
          <w:szCs w:val="22"/>
        </w:rPr>
        <w:t>Serratia marcescens</w:t>
      </w:r>
    </w:p>
    <w:p w14:paraId="7F1E0843" w14:textId="77777777" w:rsidR="00A94D41" w:rsidRPr="0079786F" w:rsidRDefault="00A94D41" w:rsidP="00B7315D">
      <w:pPr>
        <w:jc w:val="both"/>
        <w:rPr>
          <w:sz w:val="22"/>
          <w:szCs w:val="22"/>
        </w:rPr>
      </w:pPr>
    </w:p>
    <w:p w14:paraId="3E2FEAAD" w14:textId="77777777" w:rsidR="00A94D41" w:rsidRPr="0079786F" w:rsidRDefault="00A94D41" w:rsidP="00B7315D">
      <w:pPr>
        <w:jc w:val="both"/>
        <w:rPr>
          <w:sz w:val="22"/>
          <w:szCs w:val="22"/>
        </w:rPr>
      </w:pPr>
      <w:r w:rsidRPr="0079786F">
        <w:rPr>
          <w:b/>
          <w:bCs/>
          <w:sz w:val="22"/>
          <w:szCs w:val="22"/>
        </w:rPr>
        <w:t>Anaeróby</w:t>
      </w:r>
    </w:p>
    <w:p w14:paraId="4F4ABDE5" w14:textId="77777777" w:rsidR="00A94D41" w:rsidRPr="0079786F" w:rsidRDefault="00A94D41" w:rsidP="00B7315D">
      <w:pPr>
        <w:jc w:val="both"/>
        <w:rPr>
          <w:sz w:val="22"/>
          <w:szCs w:val="22"/>
        </w:rPr>
      </w:pPr>
      <w:r w:rsidRPr="0079786F">
        <w:rPr>
          <w:i/>
          <w:iCs/>
          <w:sz w:val="22"/>
          <w:szCs w:val="22"/>
        </w:rPr>
        <w:t>Bacteroides fragilis</w:t>
      </w:r>
    </w:p>
    <w:p w14:paraId="0163EC3D" w14:textId="77777777" w:rsidR="00A94D41" w:rsidRPr="0079786F" w:rsidRDefault="00A94D41" w:rsidP="00B7315D">
      <w:pPr>
        <w:jc w:val="both"/>
        <w:rPr>
          <w:sz w:val="22"/>
          <w:szCs w:val="22"/>
        </w:rPr>
      </w:pPr>
    </w:p>
    <w:p w14:paraId="716A7ECE" w14:textId="77777777" w:rsidR="00A94D41" w:rsidRPr="0079786F" w:rsidRDefault="00A94D41" w:rsidP="00B7315D">
      <w:pPr>
        <w:jc w:val="both"/>
        <w:rPr>
          <w:b/>
          <w:bCs/>
          <w:sz w:val="22"/>
          <w:szCs w:val="22"/>
        </w:rPr>
      </w:pPr>
      <w:r w:rsidRPr="0079786F">
        <w:rPr>
          <w:b/>
          <w:bCs/>
          <w:sz w:val="22"/>
          <w:szCs w:val="22"/>
        </w:rPr>
        <w:lastRenderedPageBreak/>
        <w:t>Prirodzene rezistentné druhy</w:t>
      </w:r>
    </w:p>
    <w:p w14:paraId="1D8F89D8" w14:textId="77777777" w:rsidR="00A94D41" w:rsidRPr="0079786F" w:rsidRDefault="00A94D41" w:rsidP="00B7315D">
      <w:pPr>
        <w:jc w:val="both"/>
        <w:rPr>
          <w:sz w:val="22"/>
          <w:szCs w:val="22"/>
        </w:rPr>
      </w:pPr>
    </w:p>
    <w:p w14:paraId="26A7DCCA" w14:textId="77777777" w:rsidR="00A94D41" w:rsidRPr="0079786F" w:rsidRDefault="00A94D41" w:rsidP="00B7315D">
      <w:pPr>
        <w:jc w:val="both"/>
        <w:rPr>
          <w:b/>
          <w:bCs/>
          <w:sz w:val="22"/>
          <w:szCs w:val="22"/>
        </w:rPr>
      </w:pPr>
      <w:r w:rsidRPr="0079786F">
        <w:rPr>
          <w:b/>
          <w:bCs/>
          <w:sz w:val="22"/>
          <w:szCs w:val="22"/>
        </w:rPr>
        <w:t>Gram-pozitívne aeróbne mikróby</w:t>
      </w:r>
    </w:p>
    <w:p w14:paraId="10CE0980" w14:textId="77777777" w:rsidR="00A94D41" w:rsidRPr="0079786F" w:rsidRDefault="00A94D41" w:rsidP="00B7315D">
      <w:pPr>
        <w:jc w:val="both"/>
        <w:rPr>
          <w:i/>
          <w:iCs/>
          <w:sz w:val="22"/>
          <w:szCs w:val="22"/>
        </w:rPr>
      </w:pPr>
      <w:r w:rsidRPr="0079786F">
        <w:rPr>
          <w:i/>
          <w:iCs/>
          <w:sz w:val="22"/>
          <w:szCs w:val="22"/>
        </w:rPr>
        <w:t>Enterococcus spp.</w:t>
      </w:r>
    </w:p>
    <w:p w14:paraId="4B4F3E5A" w14:textId="77777777" w:rsidR="00A94D41" w:rsidRPr="0079786F" w:rsidRDefault="00A94D41" w:rsidP="00B7315D">
      <w:pPr>
        <w:jc w:val="both"/>
        <w:rPr>
          <w:i/>
          <w:iCs/>
          <w:sz w:val="22"/>
          <w:szCs w:val="22"/>
        </w:rPr>
      </w:pPr>
      <w:r w:rsidRPr="0079786F">
        <w:rPr>
          <w:i/>
          <w:iCs/>
          <w:sz w:val="22"/>
          <w:szCs w:val="22"/>
        </w:rPr>
        <w:t>Listeria monocytogenes</w:t>
      </w:r>
    </w:p>
    <w:p w14:paraId="3A17EE25" w14:textId="77777777" w:rsidR="00A94D41" w:rsidRPr="0079786F" w:rsidRDefault="00A94D41" w:rsidP="00B7315D">
      <w:pPr>
        <w:jc w:val="both"/>
        <w:rPr>
          <w:i/>
          <w:iCs/>
          <w:sz w:val="22"/>
          <w:szCs w:val="22"/>
        </w:rPr>
      </w:pPr>
      <w:r w:rsidRPr="0079786F">
        <w:rPr>
          <w:i/>
          <w:iCs/>
          <w:sz w:val="22"/>
          <w:szCs w:val="22"/>
        </w:rPr>
        <w:t>Staphylococcus aureus MRSA</w:t>
      </w:r>
    </w:p>
    <w:p w14:paraId="4317C70D" w14:textId="77777777" w:rsidR="00A94D41" w:rsidRPr="0079786F" w:rsidRDefault="00A94D41" w:rsidP="00B7315D">
      <w:pPr>
        <w:jc w:val="both"/>
        <w:rPr>
          <w:i/>
          <w:iCs/>
          <w:sz w:val="22"/>
          <w:szCs w:val="22"/>
        </w:rPr>
      </w:pPr>
    </w:p>
    <w:p w14:paraId="023C0DC0" w14:textId="77777777" w:rsidR="00A94D41" w:rsidRPr="0079786F" w:rsidRDefault="00A94D41" w:rsidP="00B7315D">
      <w:pPr>
        <w:jc w:val="both"/>
        <w:rPr>
          <w:b/>
          <w:bCs/>
          <w:sz w:val="22"/>
          <w:szCs w:val="22"/>
        </w:rPr>
      </w:pPr>
      <w:r w:rsidRPr="0079786F">
        <w:rPr>
          <w:b/>
          <w:bCs/>
          <w:sz w:val="22"/>
          <w:szCs w:val="22"/>
        </w:rPr>
        <w:t>Gram-negatívne aeróbne mikróby</w:t>
      </w:r>
    </w:p>
    <w:p w14:paraId="54E831ED" w14:textId="77777777" w:rsidR="00A94D41" w:rsidRPr="0079786F" w:rsidRDefault="00A94D41" w:rsidP="00B7315D">
      <w:pPr>
        <w:jc w:val="both"/>
        <w:rPr>
          <w:i/>
          <w:iCs/>
          <w:sz w:val="22"/>
          <w:szCs w:val="22"/>
        </w:rPr>
      </w:pPr>
      <w:r w:rsidRPr="0079786F">
        <w:rPr>
          <w:i/>
          <w:iCs/>
          <w:sz w:val="22"/>
          <w:szCs w:val="22"/>
        </w:rPr>
        <w:t>Pseudomonas aeruginosa</w:t>
      </w:r>
    </w:p>
    <w:p w14:paraId="6AD02D42" w14:textId="77777777" w:rsidR="00A94D41" w:rsidRPr="0079786F" w:rsidRDefault="00A94D41" w:rsidP="00B7315D">
      <w:pPr>
        <w:jc w:val="both"/>
        <w:rPr>
          <w:i/>
          <w:iCs/>
          <w:sz w:val="22"/>
          <w:szCs w:val="22"/>
        </w:rPr>
      </w:pPr>
      <w:r w:rsidRPr="0079786F">
        <w:rPr>
          <w:i/>
          <w:iCs/>
          <w:sz w:val="22"/>
          <w:szCs w:val="22"/>
        </w:rPr>
        <w:t>Stenotrophomonas maltophilia</w:t>
      </w:r>
    </w:p>
    <w:p w14:paraId="4F653DDA" w14:textId="77777777" w:rsidR="00A94D41" w:rsidRPr="0079786F" w:rsidRDefault="00A94D41" w:rsidP="00B7315D">
      <w:pPr>
        <w:jc w:val="both"/>
        <w:rPr>
          <w:i/>
          <w:iCs/>
          <w:sz w:val="22"/>
          <w:szCs w:val="22"/>
        </w:rPr>
      </w:pPr>
    </w:p>
    <w:p w14:paraId="7A02BE37" w14:textId="77777777" w:rsidR="00A94D41" w:rsidRPr="0079786F" w:rsidRDefault="00A94D41" w:rsidP="00B7315D">
      <w:pPr>
        <w:jc w:val="both"/>
        <w:rPr>
          <w:i/>
          <w:iCs/>
          <w:sz w:val="22"/>
          <w:szCs w:val="22"/>
        </w:rPr>
      </w:pPr>
      <w:r w:rsidRPr="0079786F">
        <w:rPr>
          <w:b/>
          <w:bCs/>
          <w:sz w:val="22"/>
          <w:szCs w:val="22"/>
        </w:rPr>
        <w:t>Anaeróby</w:t>
      </w:r>
    </w:p>
    <w:p w14:paraId="56484502" w14:textId="77777777" w:rsidR="00A94D41" w:rsidRPr="0079786F" w:rsidRDefault="00A94D41" w:rsidP="00B7315D">
      <w:pPr>
        <w:jc w:val="both"/>
        <w:rPr>
          <w:i/>
          <w:iCs/>
          <w:sz w:val="22"/>
          <w:szCs w:val="22"/>
        </w:rPr>
      </w:pPr>
      <w:r w:rsidRPr="0079786F">
        <w:rPr>
          <w:i/>
          <w:iCs/>
          <w:sz w:val="22"/>
          <w:szCs w:val="22"/>
        </w:rPr>
        <w:t>Clostridium difficile</w:t>
      </w:r>
    </w:p>
    <w:p w14:paraId="2D8C2F7A" w14:textId="77777777" w:rsidR="00A94D41" w:rsidRPr="0079786F" w:rsidRDefault="00A94D41" w:rsidP="00B7315D">
      <w:pPr>
        <w:jc w:val="both"/>
        <w:rPr>
          <w:i/>
          <w:iCs/>
          <w:sz w:val="22"/>
          <w:szCs w:val="22"/>
        </w:rPr>
      </w:pPr>
    </w:p>
    <w:p w14:paraId="76061550" w14:textId="77777777" w:rsidR="00A94D41" w:rsidRPr="0079786F" w:rsidRDefault="00A94D41" w:rsidP="00B7315D">
      <w:pPr>
        <w:jc w:val="both"/>
        <w:rPr>
          <w:b/>
          <w:bCs/>
          <w:sz w:val="22"/>
          <w:szCs w:val="22"/>
        </w:rPr>
      </w:pPr>
      <w:r w:rsidRPr="0079786F">
        <w:rPr>
          <w:b/>
          <w:bCs/>
          <w:sz w:val="22"/>
          <w:szCs w:val="22"/>
        </w:rPr>
        <w:t>Ďalšie</w:t>
      </w:r>
    </w:p>
    <w:p w14:paraId="626C8E87" w14:textId="77777777" w:rsidR="00A94D41" w:rsidRPr="0079786F" w:rsidRDefault="00A94D41" w:rsidP="00B7315D">
      <w:pPr>
        <w:jc w:val="both"/>
        <w:rPr>
          <w:i/>
          <w:iCs/>
          <w:sz w:val="22"/>
          <w:szCs w:val="22"/>
        </w:rPr>
      </w:pPr>
      <w:r w:rsidRPr="0079786F">
        <w:rPr>
          <w:i/>
          <w:iCs/>
          <w:sz w:val="22"/>
          <w:szCs w:val="22"/>
        </w:rPr>
        <w:t>Chlamydia spp.</w:t>
      </w:r>
    </w:p>
    <w:p w14:paraId="79A4C39B" w14:textId="77777777" w:rsidR="00A94D41" w:rsidRPr="0079786F" w:rsidRDefault="00A94D41" w:rsidP="00B7315D">
      <w:pPr>
        <w:jc w:val="both"/>
        <w:rPr>
          <w:i/>
          <w:iCs/>
          <w:sz w:val="22"/>
          <w:szCs w:val="22"/>
        </w:rPr>
      </w:pPr>
      <w:r w:rsidRPr="0079786F">
        <w:rPr>
          <w:i/>
          <w:iCs/>
          <w:sz w:val="22"/>
          <w:szCs w:val="22"/>
        </w:rPr>
        <w:t>Chlamydophila spp.</w:t>
      </w:r>
    </w:p>
    <w:p w14:paraId="40F10719" w14:textId="77777777" w:rsidR="00A94D41" w:rsidRPr="0079786F" w:rsidRDefault="00A94D41" w:rsidP="00B7315D">
      <w:pPr>
        <w:jc w:val="both"/>
        <w:rPr>
          <w:i/>
          <w:iCs/>
          <w:sz w:val="22"/>
          <w:szCs w:val="22"/>
        </w:rPr>
      </w:pPr>
      <w:r w:rsidRPr="0079786F">
        <w:rPr>
          <w:i/>
          <w:iCs/>
          <w:sz w:val="22"/>
          <w:szCs w:val="22"/>
        </w:rPr>
        <w:t>Legionella pneumophila</w:t>
      </w:r>
    </w:p>
    <w:p w14:paraId="79AA123C" w14:textId="77777777" w:rsidR="00A94D41" w:rsidRPr="0079786F" w:rsidRDefault="00A94D41" w:rsidP="00B7315D">
      <w:pPr>
        <w:jc w:val="both"/>
        <w:rPr>
          <w:i/>
          <w:iCs/>
          <w:sz w:val="22"/>
          <w:szCs w:val="22"/>
        </w:rPr>
      </w:pPr>
      <w:r w:rsidRPr="0079786F">
        <w:rPr>
          <w:i/>
          <w:iCs/>
          <w:sz w:val="22"/>
          <w:szCs w:val="22"/>
        </w:rPr>
        <w:t>Mycoplasma spp.</w:t>
      </w:r>
    </w:p>
    <w:p w14:paraId="0C8A84EE" w14:textId="77777777" w:rsidR="00A94D41" w:rsidRPr="0079786F" w:rsidRDefault="00A94D41" w:rsidP="00B7315D">
      <w:pPr>
        <w:jc w:val="both"/>
        <w:rPr>
          <w:b/>
          <w:bCs/>
          <w:sz w:val="22"/>
          <w:szCs w:val="22"/>
        </w:rPr>
      </w:pPr>
      <w:r w:rsidRPr="0079786F">
        <w:rPr>
          <w:i/>
          <w:iCs/>
          <w:sz w:val="22"/>
          <w:szCs w:val="22"/>
        </w:rPr>
        <w:t xml:space="preserve">Treponema pallidum </w:t>
      </w:r>
    </w:p>
    <w:p w14:paraId="391A5F20" w14:textId="77777777" w:rsidR="00A94D41" w:rsidRPr="0079786F" w:rsidRDefault="00A94D41" w:rsidP="00B7315D">
      <w:pPr>
        <w:jc w:val="both"/>
        <w:rPr>
          <w:i/>
          <w:iCs/>
          <w:sz w:val="22"/>
          <w:szCs w:val="22"/>
        </w:rPr>
      </w:pPr>
    </w:p>
    <w:p w14:paraId="43C01F19" w14:textId="77777777" w:rsidR="00A94D41" w:rsidRPr="0079786F" w:rsidRDefault="00A94D41" w:rsidP="00B7315D">
      <w:pPr>
        <w:jc w:val="both"/>
        <w:rPr>
          <w:sz w:val="22"/>
          <w:szCs w:val="22"/>
        </w:rPr>
      </w:pPr>
      <w:r w:rsidRPr="0079786F">
        <w:rPr>
          <w:sz w:val="22"/>
          <w:szCs w:val="22"/>
        </w:rPr>
        <w:t>* Klinická účinnosť bola demonštrovaná u citlivých izolátov v schválených klinických indikáciách</w:t>
      </w:r>
    </w:p>
    <w:p w14:paraId="3C75DF12" w14:textId="77777777" w:rsidR="00A94D41" w:rsidRPr="0079786F" w:rsidRDefault="00A94D41" w:rsidP="00B7315D">
      <w:pPr>
        <w:jc w:val="both"/>
        <w:rPr>
          <w:sz w:val="22"/>
          <w:szCs w:val="22"/>
        </w:rPr>
      </w:pPr>
      <w:r w:rsidRPr="0079786F">
        <w:rPr>
          <w:sz w:val="22"/>
          <w:szCs w:val="22"/>
          <w:vertAlign w:val="superscript"/>
        </w:rPr>
        <w:t>$</w:t>
      </w:r>
      <w:r w:rsidRPr="0079786F">
        <w:rPr>
          <w:sz w:val="22"/>
          <w:szCs w:val="22"/>
        </w:rPr>
        <w:t xml:space="preserve"> Druhy s prirodzene intermediárnou citlivosťou</w:t>
      </w:r>
    </w:p>
    <w:p w14:paraId="10FB78FA" w14:textId="77777777" w:rsidR="00A94D41" w:rsidRPr="0079786F" w:rsidRDefault="00A94D41" w:rsidP="00B7315D">
      <w:pPr>
        <w:jc w:val="both"/>
        <w:rPr>
          <w:sz w:val="22"/>
          <w:szCs w:val="22"/>
        </w:rPr>
      </w:pPr>
      <w:r w:rsidRPr="0079786F">
        <w:rPr>
          <w:sz w:val="22"/>
          <w:szCs w:val="22"/>
          <w:vertAlign w:val="superscript"/>
        </w:rPr>
        <w:t>1</w:t>
      </w:r>
      <w:r w:rsidRPr="0079786F">
        <w:rPr>
          <w:sz w:val="22"/>
          <w:szCs w:val="22"/>
        </w:rPr>
        <w:t xml:space="preserve"> Niektoré kmene produkujú induktívne alebo stabilné odbrzdené chromozomálne kódované cefalosporinázy a ESBL (širokospektrálne beta-laktamázy) a teda sú klinicky rezistentné na cefalosporíny.</w:t>
      </w:r>
    </w:p>
    <w:p w14:paraId="1A5CD495" w14:textId="77777777" w:rsidR="00A94D41" w:rsidRPr="0079786F" w:rsidRDefault="00A94D41" w:rsidP="00B7315D">
      <w:pPr>
        <w:jc w:val="both"/>
        <w:rPr>
          <w:sz w:val="22"/>
          <w:szCs w:val="22"/>
        </w:rPr>
      </w:pPr>
      <w:r w:rsidRPr="0079786F">
        <w:rPr>
          <w:sz w:val="22"/>
          <w:szCs w:val="22"/>
          <w:vertAlign w:val="superscript"/>
        </w:rPr>
        <w:t>+</w:t>
      </w:r>
      <w:r w:rsidRPr="0079786F">
        <w:rPr>
          <w:sz w:val="22"/>
          <w:szCs w:val="22"/>
        </w:rPr>
        <w:t xml:space="preserve"> Druhy, pre ktoré sa pozoroval 50</w:t>
      </w:r>
      <w:r w:rsidR="00827FFA">
        <w:rPr>
          <w:sz w:val="22"/>
          <w:szCs w:val="22"/>
        </w:rPr>
        <w:t xml:space="preserve"> </w:t>
      </w:r>
      <w:r w:rsidRPr="0079786F">
        <w:rPr>
          <w:sz w:val="22"/>
          <w:szCs w:val="22"/>
        </w:rPr>
        <w:t>%-ný podiel rezistencie v jednej alebo viacerých oblastiach/ krajinách v rámci EÚ.</w:t>
      </w:r>
    </w:p>
    <w:p w14:paraId="76540FB9" w14:textId="77777777" w:rsidR="00A94D41" w:rsidRPr="0079786F" w:rsidRDefault="00A94D41" w:rsidP="00B7315D">
      <w:pPr>
        <w:jc w:val="both"/>
        <w:rPr>
          <w:sz w:val="22"/>
          <w:szCs w:val="22"/>
        </w:rPr>
      </w:pPr>
    </w:p>
    <w:p w14:paraId="11EC23DF" w14:textId="77777777" w:rsidR="00A94D41" w:rsidRPr="0079786F" w:rsidRDefault="00A94D41" w:rsidP="00B7315D">
      <w:pPr>
        <w:numPr>
          <w:ilvl w:val="1"/>
          <w:numId w:val="8"/>
        </w:numPr>
        <w:ind w:left="0" w:firstLine="0"/>
        <w:jc w:val="both"/>
        <w:rPr>
          <w:b/>
          <w:sz w:val="22"/>
          <w:szCs w:val="22"/>
        </w:rPr>
      </w:pPr>
      <w:r w:rsidRPr="0079786F">
        <w:rPr>
          <w:b/>
          <w:sz w:val="22"/>
          <w:szCs w:val="22"/>
        </w:rPr>
        <w:t>Farmakokinetické vlastnosti</w:t>
      </w:r>
    </w:p>
    <w:p w14:paraId="2B28D8A3" w14:textId="77777777" w:rsidR="00A94D41" w:rsidRPr="0079786F" w:rsidRDefault="00A94D41" w:rsidP="00B7315D">
      <w:pPr>
        <w:autoSpaceDE w:val="0"/>
        <w:autoSpaceDN w:val="0"/>
        <w:adjustRightInd w:val="0"/>
        <w:jc w:val="both"/>
        <w:rPr>
          <w:sz w:val="22"/>
          <w:szCs w:val="22"/>
        </w:rPr>
      </w:pPr>
    </w:p>
    <w:p w14:paraId="590BA8A6" w14:textId="77777777" w:rsidR="00A94D41" w:rsidRPr="0079786F" w:rsidRDefault="00A94D41" w:rsidP="00B7315D">
      <w:pPr>
        <w:autoSpaceDE w:val="0"/>
        <w:autoSpaceDN w:val="0"/>
        <w:adjustRightInd w:val="0"/>
        <w:jc w:val="both"/>
        <w:rPr>
          <w:sz w:val="22"/>
          <w:szCs w:val="22"/>
        </w:rPr>
      </w:pPr>
      <w:r w:rsidRPr="0079786F">
        <w:rPr>
          <w:sz w:val="22"/>
          <w:szCs w:val="22"/>
        </w:rPr>
        <w:t>Ceftriaxón je cefalosporín na parenterálne, intravenózne a intramuskulárne podávanie. Ceftriaxón sa nevstrebáva po perorálnej aplikácii.</w:t>
      </w:r>
    </w:p>
    <w:p w14:paraId="2F51D46D" w14:textId="77777777" w:rsidR="00A94D41" w:rsidRPr="0079786F" w:rsidRDefault="00A94D41" w:rsidP="00B7315D">
      <w:pPr>
        <w:autoSpaceDE w:val="0"/>
        <w:autoSpaceDN w:val="0"/>
        <w:adjustRightInd w:val="0"/>
        <w:jc w:val="both"/>
        <w:rPr>
          <w:sz w:val="22"/>
          <w:szCs w:val="22"/>
        </w:rPr>
      </w:pPr>
      <w:r w:rsidRPr="0079786F">
        <w:rPr>
          <w:sz w:val="22"/>
          <w:szCs w:val="22"/>
        </w:rPr>
        <w:t>Po dávke 1</w:t>
      </w:r>
      <w:r w:rsidR="001D4542">
        <w:rPr>
          <w:sz w:val="22"/>
          <w:szCs w:val="22"/>
        </w:rPr>
        <w:t xml:space="preserve"> </w:t>
      </w:r>
      <w:r w:rsidRPr="0079786F">
        <w:rPr>
          <w:sz w:val="22"/>
          <w:szCs w:val="22"/>
        </w:rPr>
        <w:t>–</w:t>
      </w:r>
      <w:r w:rsidR="001D4542">
        <w:rPr>
          <w:sz w:val="22"/>
          <w:szCs w:val="22"/>
        </w:rPr>
        <w:t xml:space="preserve"> </w:t>
      </w:r>
      <w:r w:rsidRPr="0079786F">
        <w:rPr>
          <w:sz w:val="22"/>
          <w:szCs w:val="22"/>
        </w:rPr>
        <w:t>2 g koncentrácie zotrvávali nad hodnotami MIC pre väčšinu infekciu-spôsobujúcich patogénov počas viac ako 24 hodín vo viac ako 60 rôznych tkanivách (</w:t>
      </w:r>
      <w:r w:rsidR="00ED3BE3" w:rsidRPr="0079786F">
        <w:rPr>
          <w:sz w:val="22"/>
          <w:szCs w:val="22"/>
        </w:rPr>
        <w:t>v</w:t>
      </w:r>
      <w:r w:rsidR="00ED3BE3">
        <w:rPr>
          <w:sz w:val="22"/>
          <w:szCs w:val="22"/>
        </w:rPr>
        <w:t>rátane</w:t>
      </w:r>
      <w:r w:rsidR="00ED3BE3" w:rsidRPr="0079786F">
        <w:rPr>
          <w:sz w:val="22"/>
          <w:szCs w:val="22"/>
        </w:rPr>
        <w:t xml:space="preserve"> </w:t>
      </w:r>
      <w:r w:rsidRPr="0079786F">
        <w:rPr>
          <w:sz w:val="22"/>
          <w:szCs w:val="22"/>
        </w:rPr>
        <w:t>pľúc, srdca, žlčových ciest, pečene, tonzíl, stredného ucha, nosovej sliznice, kostí) a vo viacerých telesných tekutinách (zahŕňajúc cerebrospinálny mok, pleurálnu tekutinu, ako aj prostatickú a synoviálnu tekutinu).</w:t>
      </w:r>
    </w:p>
    <w:p w14:paraId="714F378E" w14:textId="77777777" w:rsidR="00A94D41" w:rsidRPr="00F97ACC" w:rsidRDefault="00A94D41" w:rsidP="00B7315D">
      <w:pPr>
        <w:autoSpaceDE w:val="0"/>
        <w:autoSpaceDN w:val="0"/>
        <w:adjustRightInd w:val="0"/>
        <w:jc w:val="both"/>
        <w:rPr>
          <w:sz w:val="22"/>
          <w:szCs w:val="22"/>
        </w:rPr>
      </w:pPr>
    </w:p>
    <w:p w14:paraId="07133A40" w14:textId="77777777" w:rsidR="00A94D41" w:rsidRPr="0079786F" w:rsidRDefault="00A94D41" w:rsidP="00B7315D">
      <w:pPr>
        <w:autoSpaceDE w:val="0"/>
        <w:autoSpaceDN w:val="0"/>
        <w:adjustRightInd w:val="0"/>
        <w:jc w:val="both"/>
        <w:rPr>
          <w:sz w:val="22"/>
          <w:szCs w:val="22"/>
          <w:u w:val="single"/>
        </w:rPr>
      </w:pPr>
      <w:r w:rsidRPr="0079786F">
        <w:rPr>
          <w:sz w:val="22"/>
          <w:szCs w:val="22"/>
          <w:u w:val="single"/>
        </w:rPr>
        <w:t>Absorpcia</w:t>
      </w:r>
    </w:p>
    <w:p w14:paraId="07AE5FE0" w14:textId="77777777" w:rsidR="00A94D41" w:rsidRPr="0079786F" w:rsidRDefault="00A94D41" w:rsidP="00B7315D">
      <w:pPr>
        <w:autoSpaceDE w:val="0"/>
        <w:autoSpaceDN w:val="0"/>
        <w:adjustRightInd w:val="0"/>
        <w:jc w:val="both"/>
        <w:rPr>
          <w:sz w:val="22"/>
          <w:szCs w:val="22"/>
        </w:rPr>
      </w:pPr>
      <w:r w:rsidRPr="0079786F">
        <w:rPr>
          <w:sz w:val="22"/>
          <w:szCs w:val="22"/>
        </w:rPr>
        <w:t>Ceftriaxón je kompletne biologicky dostupný po intramuskulárnom podaní s oneskoreným vrcholom plazmatických koncentrácií (okolo 80 mg/l) vyskytujúcim sa po 2 až 3 hodinách po aplikácii.</w:t>
      </w:r>
    </w:p>
    <w:p w14:paraId="47A0D7CF" w14:textId="77777777" w:rsidR="00A94D41" w:rsidRPr="0079786F" w:rsidRDefault="00A94D41" w:rsidP="00B7315D">
      <w:pPr>
        <w:jc w:val="both"/>
        <w:rPr>
          <w:sz w:val="22"/>
          <w:szCs w:val="22"/>
        </w:rPr>
      </w:pPr>
    </w:p>
    <w:p w14:paraId="00840C53" w14:textId="77777777" w:rsidR="00A94D41" w:rsidRPr="0079786F" w:rsidRDefault="00A94D41" w:rsidP="00B7315D">
      <w:pPr>
        <w:jc w:val="both"/>
        <w:rPr>
          <w:sz w:val="22"/>
          <w:szCs w:val="22"/>
          <w:u w:val="single"/>
        </w:rPr>
      </w:pPr>
      <w:r w:rsidRPr="0079786F">
        <w:rPr>
          <w:bCs/>
          <w:iCs/>
          <w:sz w:val="22"/>
          <w:szCs w:val="22"/>
          <w:u w:val="single"/>
        </w:rPr>
        <w:t xml:space="preserve">Distribúcia </w:t>
      </w:r>
    </w:p>
    <w:p w14:paraId="64D983BF" w14:textId="77777777" w:rsidR="00A94D41" w:rsidRPr="0079786F" w:rsidRDefault="00A94D41" w:rsidP="00B7315D">
      <w:pPr>
        <w:autoSpaceDE w:val="0"/>
        <w:autoSpaceDN w:val="0"/>
        <w:adjustRightInd w:val="0"/>
        <w:jc w:val="both"/>
        <w:rPr>
          <w:sz w:val="22"/>
          <w:szCs w:val="22"/>
        </w:rPr>
      </w:pPr>
      <w:r w:rsidRPr="0079786F">
        <w:rPr>
          <w:sz w:val="22"/>
          <w:szCs w:val="22"/>
        </w:rPr>
        <w:t>Ceftriaxón je dobre distribuovaný do rôznych kompartmentov a tiež prechádza placentárnou bariérou. Stredný distribučný objem u zdravých dospelých je 0.13 l/kg.</w:t>
      </w:r>
    </w:p>
    <w:p w14:paraId="07A02E0D" w14:textId="77777777" w:rsidR="00A94D41" w:rsidRPr="0079786F" w:rsidRDefault="00A94D41" w:rsidP="00B7315D">
      <w:pPr>
        <w:autoSpaceDE w:val="0"/>
        <w:autoSpaceDN w:val="0"/>
        <w:adjustRightInd w:val="0"/>
        <w:jc w:val="both"/>
        <w:rPr>
          <w:sz w:val="22"/>
          <w:szCs w:val="22"/>
        </w:rPr>
      </w:pPr>
    </w:p>
    <w:p w14:paraId="27136ABD" w14:textId="77777777" w:rsidR="00A94D41" w:rsidRPr="0079786F" w:rsidRDefault="00A94D41" w:rsidP="00B7315D">
      <w:pPr>
        <w:autoSpaceDE w:val="0"/>
        <w:autoSpaceDN w:val="0"/>
        <w:adjustRightInd w:val="0"/>
        <w:jc w:val="both"/>
        <w:rPr>
          <w:sz w:val="22"/>
          <w:szCs w:val="22"/>
        </w:rPr>
      </w:pPr>
      <w:r w:rsidRPr="0079786F">
        <w:rPr>
          <w:sz w:val="22"/>
          <w:szCs w:val="22"/>
        </w:rPr>
        <w:t>Ceftriaxón sa reverzibilne viaže na albumín. Viaže sa na 95% pri plazmatických koncentráciách nižších ako 100 mg/l s percentom viazanosti klesajúcim pri stúpajúcej koncentrácii (do 85% pri plazmatickej koncentrácii ceftriaxónu 300 μg/ml ).</w:t>
      </w:r>
    </w:p>
    <w:p w14:paraId="2EF2891D" w14:textId="77777777" w:rsidR="00A94D41" w:rsidRPr="0079786F" w:rsidRDefault="00A94D41" w:rsidP="00B7315D">
      <w:pPr>
        <w:autoSpaceDE w:val="0"/>
        <w:autoSpaceDN w:val="0"/>
        <w:adjustRightInd w:val="0"/>
        <w:jc w:val="both"/>
        <w:rPr>
          <w:sz w:val="22"/>
          <w:szCs w:val="22"/>
        </w:rPr>
      </w:pPr>
    </w:p>
    <w:p w14:paraId="2982D6B5" w14:textId="77777777" w:rsidR="00A94D41" w:rsidRPr="0079786F" w:rsidRDefault="00A94D41" w:rsidP="00B7315D">
      <w:pPr>
        <w:autoSpaceDE w:val="0"/>
        <w:autoSpaceDN w:val="0"/>
        <w:adjustRightInd w:val="0"/>
        <w:jc w:val="both"/>
        <w:rPr>
          <w:sz w:val="22"/>
          <w:szCs w:val="22"/>
          <w:u w:val="single"/>
        </w:rPr>
      </w:pPr>
      <w:r w:rsidRPr="0079786F">
        <w:rPr>
          <w:sz w:val="22"/>
          <w:szCs w:val="22"/>
          <w:u w:val="single"/>
        </w:rPr>
        <w:t>Sérové hladiny</w:t>
      </w:r>
    </w:p>
    <w:p w14:paraId="1B73A7EF" w14:textId="77777777" w:rsidR="00A94D41" w:rsidRPr="0079786F" w:rsidRDefault="00A94D41" w:rsidP="00B7315D">
      <w:pPr>
        <w:autoSpaceDE w:val="0"/>
        <w:autoSpaceDN w:val="0"/>
        <w:adjustRightInd w:val="0"/>
        <w:jc w:val="both"/>
        <w:rPr>
          <w:sz w:val="22"/>
          <w:szCs w:val="22"/>
        </w:rPr>
      </w:pPr>
      <w:r w:rsidRPr="0079786F">
        <w:rPr>
          <w:sz w:val="22"/>
          <w:szCs w:val="22"/>
        </w:rPr>
        <w:t xml:space="preserve">Po 30-minútovej intravenóznej infúzii </w:t>
      </w:r>
      <w:smartTag w:uri="urn:schemas-microsoft-com:office:smarttags" w:element="metricconverter">
        <w:smartTagPr>
          <w:attr w:name="ProductID" w:val="1 g"/>
        </w:smartTagPr>
        <w:r w:rsidRPr="0079786F">
          <w:rPr>
            <w:sz w:val="22"/>
            <w:szCs w:val="22"/>
          </w:rPr>
          <w:t>1 g</w:t>
        </w:r>
      </w:smartTag>
      <w:r w:rsidRPr="0079786F">
        <w:rPr>
          <w:sz w:val="22"/>
          <w:szCs w:val="22"/>
        </w:rPr>
        <w:t xml:space="preserve"> ceftriaxónu boli sérové hladiny ihneď po zastavení infúzie 123,2 μg/ml, a 94,81 μg/ml po 1,5 h, 57,8 μg/ml po 4 h, 20,2 μg/ml po 12 h a 4,6 μg/ml po 24</w:t>
      </w:r>
      <w:r w:rsidR="00ED3BE3">
        <w:rPr>
          <w:sz w:val="22"/>
          <w:szCs w:val="22"/>
        </w:rPr>
        <w:t> </w:t>
      </w:r>
      <w:r w:rsidRPr="0079786F">
        <w:rPr>
          <w:sz w:val="22"/>
          <w:szCs w:val="22"/>
        </w:rPr>
        <w:t>hodinách od začiatku infúzie.</w:t>
      </w:r>
    </w:p>
    <w:p w14:paraId="3EFE4EEC" w14:textId="77777777" w:rsidR="00A94D41" w:rsidRPr="0079786F" w:rsidRDefault="00A94D41" w:rsidP="00B7315D">
      <w:pPr>
        <w:autoSpaceDE w:val="0"/>
        <w:autoSpaceDN w:val="0"/>
        <w:adjustRightInd w:val="0"/>
        <w:jc w:val="both"/>
        <w:rPr>
          <w:i/>
          <w:sz w:val="22"/>
          <w:szCs w:val="22"/>
        </w:rPr>
      </w:pPr>
      <w:r w:rsidRPr="0079786F">
        <w:rPr>
          <w:sz w:val="22"/>
          <w:szCs w:val="22"/>
        </w:rPr>
        <w:t xml:space="preserve">Následne po intramuskulárnej injekcii </w:t>
      </w:r>
      <w:smartTag w:uri="urn:schemas-microsoft-com:office:smarttags" w:element="metricconverter">
        <w:smartTagPr>
          <w:attr w:name="ProductID" w:val="1 g"/>
        </w:smartTagPr>
        <w:r w:rsidRPr="0079786F">
          <w:rPr>
            <w:sz w:val="22"/>
            <w:szCs w:val="22"/>
          </w:rPr>
          <w:t>1 g</w:t>
        </w:r>
      </w:smartTag>
      <w:r w:rsidRPr="0079786F">
        <w:rPr>
          <w:sz w:val="22"/>
          <w:szCs w:val="22"/>
        </w:rPr>
        <w:t xml:space="preserve"> ceftriaxónu  dosahovali sérové koncentrácie množstvo 79,2 μg/ml po 1.5 hodine a neskoršie 58,2 µg/ml 4 h, 35,5 µg/ml 12 h a 7,8 μg/ml 24 h po injekcii. </w:t>
      </w:r>
    </w:p>
    <w:p w14:paraId="3D267812" w14:textId="77777777" w:rsidR="00A94D41" w:rsidRPr="0079786F" w:rsidRDefault="00A94D41" w:rsidP="00B7315D">
      <w:pPr>
        <w:autoSpaceDE w:val="0"/>
        <w:autoSpaceDN w:val="0"/>
        <w:adjustRightInd w:val="0"/>
        <w:jc w:val="both"/>
        <w:rPr>
          <w:sz w:val="22"/>
          <w:szCs w:val="22"/>
        </w:rPr>
      </w:pPr>
    </w:p>
    <w:p w14:paraId="07D91732" w14:textId="77777777" w:rsidR="00A94D41" w:rsidRPr="0079786F" w:rsidRDefault="00A94D41" w:rsidP="00B7315D">
      <w:pPr>
        <w:autoSpaceDE w:val="0"/>
        <w:autoSpaceDN w:val="0"/>
        <w:adjustRightInd w:val="0"/>
        <w:jc w:val="both"/>
        <w:rPr>
          <w:sz w:val="22"/>
          <w:szCs w:val="22"/>
        </w:rPr>
      </w:pPr>
      <w:r w:rsidRPr="0079786F">
        <w:rPr>
          <w:sz w:val="22"/>
          <w:szCs w:val="22"/>
        </w:rPr>
        <w:lastRenderedPageBreak/>
        <w:t>Ceftriaxón prechádza cez zapálené mozgové obaly novorodencov, dojčiat a detí. V cerebrospinálnom likvore sú v čase približne do 4 hodín dosahované vrcholové koncentrácie 18 mg/l po dávke 50</w:t>
      </w:r>
      <w:r w:rsidR="00ED3BE3">
        <w:rPr>
          <w:sz w:val="22"/>
          <w:szCs w:val="22"/>
        </w:rPr>
        <w:t xml:space="preserve"> </w:t>
      </w:r>
      <w:r w:rsidRPr="0079786F">
        <w:rPr>
          <w:sz w:val="22"/>
          <w:szCs w:val="22"/>
        </w:rPr>
        <w:t>-</w:t>
      </w:r>
      <w:r w:rsidR="00ED3BE3">
        <w:rPr>
          <w:sz w:val="22"/>
          <w:szCs w:val="22"/>
        </w:rPr>
        <w:t xml:space="preserve"> </w:t>
      </w:r>
      <w:r w:rsidRPr="0079786F">
        <w:rPr>
          <w:sz w:val="22"/>
          <w:szCs w:val="22"/>
        </w:rPr>
        <w:t>100</w:t>
      </w:r>
      <w:r w:rsidR="00ED3BE3">
        <w:rPr>
          <w:sz w:val="22"/>
          <w:szCs w:val="22"/>
        </w:rPr>
        <w:t>  </w:t>
      </w:r>
      <w:r w:rsidRPr="0079786F">
        <w:rPr>
          <w:sz w:val="22"/>
          <w:szCs w:val="22"/>
        </w:rPr>
        <w:t>mg/kg intravenózne. U dospelých pacientov s meningitídou sú terapeutické koncentrácie dosahované po 2</w:t>
      </w:r>
      <w:r w:rsidR="00ED3BE3">
        <w:rPr>
          <w:sz w:val="22"/>
          <w:szCs w:val="22"/>
        </w:rPr>
        <w:t xml:space="preserve"> </w:t>
      </w:r>
      <w:r w:rsidRPr="0079786F">
        <w:rPr>
          <w:sz w:val="22"/>
          <w:szCs w:val="22"/>
        </w:rPr>
        <w:t>-</w:t>
      </w:r>
      <w:r w:rsidR="00ED3BE3">
        <w:rPr>
          <w:sz w:val="22"/>
          <w:szCs w:val="22"/>
        </w:rPr>
        <w:t xml:space="preserve"> </w:t>
      </w:r>
      <w:r w:rsidRPr="0079786F">
        <w:rPr>
          <w:sz w:val="22"/>
          <w:szCs w:val="22"/>
        </w:rPr>
        <w:t>24 hodinách pri dávke 50 mg/kg.</w:t>
      </w:r>
    </w:p>
    <w:p w14:paraId="2E5B85AC" w14:textId="77777777" w:rsidR="00A94D41" w:rsidRPr="0079786F" w:rsidRDefault="00A94D41" w:rsidP="00B7315D">
      <w:pPr>
        <w:autoSpaceDE w:val="0"/>
        <w:autoSpaceDN w:val="0"/>
        <w:adjustRightInd w:val="0"/>
        <w:jc w:val="both"/>
        <w:rPr>
          <w:sz w:val="22"/>
          <w:szCs w:val="22"/>
        </w:rPr>
      </w:pPr>
    </w:p>
    <w:p w14:paraId="0823ED48" w14:textId="77777777" w:rsidR="00A94D41" w:rsidRPr="0079786F" w:rsidRDefault="00A94D41" w:rsidP="00B7315D">
      <w:pPr>
        <w:autoSpaceDE w:val="0"/>
        <w:autoSpaceDN w:val="0"/>
        <w:adjustRightInd w:val="0"/>
        <w:jc w:val="both"/>
        <w:rPr>
          <w:sz w:val="22"/>
          <w:szCs w:val="22"/>
        </w:rPr>
      </w:pPr>
      <w:r w:rsidRPr="0079786F">
        <w:rPr>
          <w:sz w:val="22"/>
          <w:szCs w:val="22"/>
        </w:rPr>
        <w:t>Ceftriaxón prechádza cez placentu a je v nízkych koncentráciách vylučovaný do materského mlieka.</w:t>
      </w:r>
    </w:p>
    <w:p w14:paraId="655295CE" w14:textId="77777777" w:rsidR="00A94D41" w:rsidRPr="0079786F" w:rsidRDefault="00A94D41" w:rsidP="00B7315D">
      <w:pPr>
        <w:jc w:val="both"/>
        <w:rPr>
          <w:sz w:val="22"/>
          <w:szCs w:val="22"/>
        </w:rPr>
      </w:pPr>
    </w:p>
    <w:p w14:paraId="2C49F7F3" w14:textId="77777777" w:rsidR="00A94D41" w:rsidRPr="0079786F" w:rsidRDefault="00A94D41" w:rsidP="00B7315D">
      <w:pPr>
        <w:jc w:val="both"/>
        <w:rPr>
          <w:bCs/>
          <w:iCs/>
          <w:sz w:val="22"/>
          <w:szCs w:val="22"/>
          <w:u w:val="single"/>
        </w:rPr>
      </w:pPr>
      <w:r w:rsidRPr="0079786F">
        <w:rPr>
          <w:bCs/>
          <w:iCs/>
          <w:sz w:val="22"/>
          <w:szCs w:val="22"/>
          <w:u w:val="single"/>
        </w:rPr>
        <w:t xml:space="preserve">Biotransformácia </w:t>
      </w:r>
    </w:p>
    <w:p w14:paraId="2CB9DF46" w14:textId="77777777" w:rsidR="00A94D41" w:rsidRPr="0079786F" w:rsidRDefault="00A94D41" w:rsidP="00B7315D">
      <w:pPr>
        <w:autoSpaceDE w:val="0"/>
        <w:autoSpaceDN w:val="0"/>
        <w:adjustRightInd w:val="0"/>
        <w:jc w:val="both"/>
        <w:rPr>
          <w:sz w:val="22"/>
          <w:szCs w:val="22"/>
        </w:rPr>
      </w:pPr>
      <w:r w:rsidRPr="0079786F">
        <w:rPr>
          <w:sz w:val="22"/>
          <w:szCs w:val="22"/>
        </w:rPr>
        <w:t>Ceftriaxón nie je metabolizovaný systémovo, ale je rozkladaný v tenkom čreve činnosťou baktérií.</w:t>
      </w:r>
    </w:p>
    <w:p w14:paraId="71B74A88" w14:textId="77777777" w:rsidR="00A94D41" w:rsidRPr="0079786F" w:rsidRDefault="00A94D41" w:rsidP="00B7315D">
      <w:pPr>
        <w:jc w:val="both"/>
        <w:rPr>
          <w:sz w:val="22"/>
          <w:szCs w:val="22"/>
        </w:rPr>
      </w:pPr>
    </w:p>
    <w:p w14:paraId="1FB335E6" w14:textId="77777777" w:rsidR="00A94D41" w:rsidRPr="0079786F" w:rsidRDefault="00A94D41" w:rsidP="00B7315D">
      <w:pPr>
        <w:jc w:val="both"/>
        <w:rPr>
          <w:sz w:val="22"/>
          <w:szCs w:val="22"/>
          <w:u w:val="single"/>
        </w:rPr>
      </w:pPr>
      <w:r w:rsidRPr="0079786F">
        <w:rPr>
          <w:bCs/>
          <w:iCs/>
          <w:sz w:val="22"/>
          <w:szCs w:val="22"/>
          <w:u w:val="single"/>
        </w:rPr>
        <w:t>Eliminácia</w:t>
      </w:r>
    </w:p>
    <w:p w14:paraId="39278103" w14:textId="77777777" w:rsidR="00A94D41" w:rsidRPr="0079786F" w:rsidRDefault="00A94D41" w:rsidP="00B7315D">
      <w:pPr>
        <w:autoSpaceDE w:val="0"/>
        <w:autoSpaceDN w:val="0"/>
        <w:adjustRightInd w:val="0"/>
        <w:jc w:val="both"/>
        <w:rPr>
          <w:sz w:val="22"/>
          <w:szCs w:val="22"/>
        </w:rPr>
      </w:pPr>
      <w:r w:rsidRPr="0079786F">
        <w:rPr>
          <w:sz w:val="22"/>
          <w:szCs w:val="22"/>
        </w:rPr>
        <w:t xml:space="preserve">V rozsahu dávky od 0,15 do </w:t>
      </w:r>
      <w:smartTag w:uri="urn:schemas-microsoft-com:office:smarttags" w:element="metricconverter">
        <w:smartTagPr>
          <w:attr w:name="ProductID" w:val="3 g"/>
        </w:smartTagPr>
        <w:r w:rsidRPr="0079786F">
          <w:rPr>
            <w:sz w:val="22"/>
            <w:szCs w:val="22"/>
          </w:rPr>
          <w:t>3 g</w:t>
        </w:r>
      </w:smartTag>
      <w:r w:rsidRPr="0079786F">
        <w:rPr>
          <w:sz w:val="22"/>
          <w:szCs w:val="22"/>
        </w:rPr>
        <w:t xml:space="preserve"> sa hodnoty eliminačného polčasu pohybujú od 6 do 9 hodín, celkový plazmatický klírens od 0,6</w:t>
      </w:r>
      <w:r w:rsidR="001D4542">
        <w:rPr>
          <w:sz w:val="22"/>
          <w:szCs w:val="22"/>
        </w:rPr>
        <w:t xml:space="preserve"> </w:t>
      </w:r>
      <w:r w:rsidRPr="0079786F">
        <w:rPr>
          <w:sz w:val="22"/>
          <w:szCs w:val="22"/>
        </w:rPr>
        <w:t>–</w:t>
      </w:r>
      <w:r w:rsidR="001D4542">
        <w:rPr>
          <w:sz w:val="22"/>
          <w:szCs w:val="22"/>
        </w:rPr>
        <w:t xml:space="preserve"> </w:t>
      </w:r>
      <w:r w:rsidRPr="0079786F">
        <w:rPr>
          <w:sz w:val="22"/>
          <w:szCs w:val="22"/>
        </w:rPr>
        <w:t>1,4 l/h a renálny klírens od 0,3</w:t>
      </w:r>
      <w:r w:rsidR="001D4542">
        <w:rPr>
          <w:sz w:val="22"/>
          <w:szCs w:val="22"/>
        </w:rPr>
        <w:t xml:space="preserve"> </w:t>
      </w:r>
      <w:r w:rsidRPr="0079786F">
        <w:rPr>
          <w:sz w:val="22"/>
          <w:szCs w:val="22"/>
        </w:rPr>
        <w:t>–</w:t>
      </w:r>
      <w:r w:rsidR="001D4542">
        <w:rPr>
          <w:sz w:val="22"/>
          <w:szCs w:val="22"/>
        </w:rPr>
        <w:t xml:space="preserve"> </w:t>
      </w:r>
      <w:r w:rsidRPr="0079786F">
        <w:rPr>
          <w:sz w:val="22"/>
          <w:szCs w:val="22"/>
        </w:rPr>
        <w:t>0,7 l/h.</w:t>
      </w:r>
    </w:p>
    <w:p w14:paraId="3B8D1C5E" w14:textId="77777777" w:rsidR="00A94D41" w:rsidRPr="0079786F" w:rsidRDefault="00A94D41" w:rsidP="00B7315D">
      <w:pPr>
        <w:autoSpaceDE w:val="0"/>
        <w:autoSpaceDN w:val="0"/>
        <w:adjustRightInd w:val="0"/>
        <w:jc w:val="both"/>
        <w:rPr>
          <w:sz w:val="22"/>
          <w:szCs w:val="22"/>
        </w:rPr>
      </w:pPr>
      <w:r w:rsidRPr="0079786F">
        <w:rPr>
          <w:sz w:val="22"/>
          <w:szCs w:val="22"/>
        </w:rPr>
        <w:t>50</w:t>
      </w:r>
      <w:r w:rsidR="00ED3BE3">
        <w:rPr>
          <w:sz w:val="22"/>
          <w:szCs w:val="22"/>
        </w:rPr>
        <w:t xml:space="preserve"> - </w:t>
      </w:r>
      <w:r w:rsidRPr="0079786F">
        <w:rPr>
          <w:sz w:val="22"/>
          <w:szCs w:val="22"/>
        </w:rPr>
        <w:t>60</w:t>
      </w:r>
      <w:r w:rsidR="00ED3BE3">
        <w:rPr>
          <w:sz w:val="22"/>
          <w:szCs w:val="22"/>
        </w:rPr>
        <w:t> </w:t>
      </w:r>
      <w:r w:rsidRPr="0079786F">
        <w:rPr>
          <w:sz w:val="22"/>
          <w:szCs w:val="22"/>
        </w:rPr>
        <w:t xml:space="preserve">% ceftriaxónu sa eliminuje v podobe nezmeneného liečiva do moču, </w:t>
      </w:r>
      <w:r w:rsidR="00ED3BE3">
        <w:rPr>
          <w:sz w:val="22"/>
          <w:szCs w:val="22"/>
        </w:rPr>
        <w:t>zatiaľ čo</w:t>
      </w:r>
      <w:r w:rsidR="00ED3BE3" w:rsidRPr="0079786F">
        <w:rPr>
          <w:sz w:val="22"/>
          <w:szCs w:val="22"/>
        </w:rPr>
        <w:t xml:space="preserve"> </w:t>
      </w:r>
      <w:r w:rsidRPr="0079786F">
        <w:rPr>
          <w:sz w:val="22"/>
          <w:szCs w:val="22"/>
        </w:rPr>
        <w:t>zvyšok sa vylučuje prostredníctvom žlče do stolice v podobe mikrobiologicky inaktívnych metabolitov.</w:t>
      </w:r>
    </w:p>
    <w:p w14:paraId="2F86188B" w14:textId="77777777" w:rsidR="00A94D41" w:rsidRPr="0079786F" w:rsidRDefault="00A94D41" w:rsidP="00B7315D">
      <w:pPr>
        <w:autoSpaceDE w:val="0"/>
        <w:autoSpaceDN w:val="0"/>
        <w:adjustRightInd w:val="0"/>
        <w:jc w:val="both"/>
        <w:rPr>
          <w:sz w:val="22"/>
          <w:szCs w:val="22"/>
        </w:rPr>
      </w:pPr>
      <w:r w:rsidRPr="0079786F">
        <w:rPr>
          <w:sz w:val="22"/>
          <w:szCs w:val="22"/>
        </w:rPr>
        <w:t>Ceftriaxón sa koncentruje v moči. Močové koncentrácie sú 5</w:t>
      </w:r>
      <w:r w:rsidR="00ED3BE3">
        <w:rPr>
          <w:sz w:val="22"/>
          <w:szCs w:val="22"/>
        </w:rPr>
        <w:t xml:space="preserve"> </w:t>
      </w:r>
      <w:r w:rsidRPr="0079786F">
        <w:rPr>
          <w:sz w:val="22"/>
          <w:szCs w:val="22"/>
        </w:rPr>
        <w:t>-</w:t>
      </w:r>
      <w:r w:rsidR="00ED3BE3">
        <w:rPr>
          <w:sz w:val="22"/>
          <w:szCs w:val="22"/>
        </w:rPr>
        <w:t xml:space="preserve"> </w:t>
      </w:r>
      <w:r w:rsidRPr="0079786F">
        <w:rPr>
          <w:sz w:val="22"/>
          <w:szCs w:val="22"/>
        </w:rPr>
        <w:t>10-krát vyššie ako plazmatické.</w:t>
      </w:r>
    </w:p>
    <w:p w14:paraId="46685088" w14:textId="77777777" w:rsidR="00A94D41" w:rsidRPr="0079786F" w:rsidRDefault="00A94D41" w:rsidP="00B7315D">
      <w:pPr>
        <w:autoSpaceDE w:val="0"/>
        <w:autoSpaceDN w:val="0"/>
        <w:adjustRightInd w:val="0"/>
        <w:jc w:val="both"/>
        <w:rPr>
          <w:sz w:val="22"/>
          <w:szCs w:val="22"/>
        </w:rPr>
      </w:pPr>
      <w:r w:rsidRPr="0079786F">
        <w:rPr>
          <w:sz w:val="22"/>
          <w:szCs w:val="22"/>
        </w:rPr>
        <w:t>Ceftriaxón nemôže byť odstránený dialýzou. To platí tak pre hemodialýzu ako aj pre peritoneálnu dialýzu.</w:t>
      </w:r>
    </w:p>
    <w:p w14:paraId="2AE6488D" w14:textId="77777777" w:rsidR="00A94D41" w:rsidRPr="0079786F" w:rsidRDefault="00A94D41" w:rsidP="00B7315D">
      <w:pPr>
        <w:autoSpaceDE w:val="0"/>
        <w:autoSpaceDN w:val="0"/>
        <w:adjustRightInd w:val="0"/>
        <w:jc w:val="both"/>
        <w:rPr>
          <w:sz w:val="22"/>
          <w:szCs w:val="22"/>
        </w:rPr>
      </w:pPr>
    </w:p>
    <w:p w14:paraId="5F7A0636" w14:textId="77777777" w:rsidR="00A94D41" w:rsidRPr="0079786F" w:rsidRDefault="00A94D41" w:rsidP="00B7315D">
      <w:pPr>
        <w:autoSpaceDE w:val="0"/>
        <w:autoSpaceDN w:val="0"/>
        <w:adjustRightInd w:val="0"/>
        <w:jc w:val="both"/>
        <w:rPr>
          <w:sz w:val="22"/>
          <w:szCs w:val="22"/>
        </w:rPr>
      </w:pPr>
      <w:r w:rsidRPr="0079786F">
        <w:rPr>
          <w:sz w:val="22"/>
          <w:szCs w:val="22"/>
        </w:rPr>
        <w:t>Vylučovanie močom prebieha prostredníctvom glomerulárnej filtrácie. Neuplatňuje sa žiadna tubulárna sekrécia. Z tohto dôvodu sa neočakáva vzostup sérových hladín pri súčasnom podaní probenecidu a v skutočnosti nebol zistený ani pri vysokom dávkovaní, napr. 1</w:t>
      </w:r>
      <w:r w:rsidR="00ED3BE3">
        <w:rPr>
          <w:sz w:val="22"/>
          <w:szCs w:val="22"/>
        </w:rPr>
        <w:t xml:space="preserve"> </w:t>
      </w:r>
      <w:r w:rsidRPr="0079786F">
        <w:rPr>
          <w:sz w:val="22"/>
          <w:szCs w:val="22"/>
        </w:rPr>
        <w:t>-</w:t>
      </w:r>
      <w:r w:rsidR="00ED3BE3">
        <w:rPr>
          <w:sz w:val="22"/>
          <w:szCs w:val="22"/>
        </w:rPr>
        <w:t xml:space="preserve"> </w:t>
      </w:r>
      <w:smartTag w:uri="urn:schemas-microsoft-com:office:smarttags" w:element="metricconverter">
        <w:smartTagPr>
          <w:attr w:name="ProductID" w:val="2 g"/>
        </w:smartTagPr>
        <w:r w:rsidRPr="0079786F">
          <w:rPr>
            <w:sz w:val="22"/>
            <w:szCs w:val="22"/>
          </w:rPr>
          <w:t>2 g</w:t>
        </w:r>
      </w:smartTag>
      <w:r w:rsidRPr="0079786F">
        <w:rPr>
          <w:sz w:val="22"/>
          <w:szCs w:val="22"/>
        </w:rPr>
        <w:t xml:space="preserve"> probenecidu.</w:t>
      </w:r>
    </w:p>
    <w:p w14:paraId="674D4046" w14:textId="77777777" w:rsidR="00A94D41" w:rsidRPr="0079786F" w:rsidRDefault="00A94D41" w:rsidP="00B7315D">
      <w:pPr>
        <w:autoSpaceDE w:val="0"/>
        <w:autoSpaceDN w:val="0"/>
        <w:adjustRightInd w:val="0"/>
        <w:jc w:val="both"/>
        <w:rPr>
          <w:sz w:val="22"/>
          <w:szCs w:val="22"/>
        </w:rPr>
      </w:pPr>
    </w:p>
    <w:p w14:paraId="19A7A489" w14:textId="77777777" w:rsidR="00A94D41" w:rsidRPr="0079786F" w:rsidRDefault="00A94D41" w:rsidP="00B7315D">
      <w:pPr>
        <w:autoSpaceDE w:val="0"/>
        <w:autoSpaceDN w:val="0"/>
        <w:adjustRightInd w:val="0"/>
        <w:jc w:val="both"/>
        <w:rPr>
          <w:sz w:val="22"/>
          <w:szCs w:val="22"/>
          <w:u w:val="single"/>
        </w:rPr>
      </w:pPr>
      <w:r>
        <w:rPr>
          <w:sz w:val="22"/>
          <w:szCs w:val="22"/>
          <w:u w:val="single"/>
        </w:rPr>
        <w:t>Linearita/nelinearita</w:t>
      </w:r>
    </w:p>
    <w:p w14:paraId="4F5FCCD9" w14:textId="77777777" w:rsidR="00A94D41" w:rsidRPr="0079786F" w:rsidRDefault="00A94D41" w:rsidP="00B7315D">
      <w:pPr>
        <w:autoSpaceDE w:val="0"/>
        <w:autoSpaceDN w:val="0"/>
        <w:adjustRightInd w:val="0"/>
        <w:jc w:val="both"/>
        <w:rPr>
          <w:sz w:val="22"/>
          <w:szCs w:val="22"/>
        </w:rPr>
      </w:pPr>
      <w:r w:rsidRPr="0079786F">
        <w:rPr>
          <w:sz w:val="22"/>
          <w:szCs w:val="22"/>
        </w:rPr>
        <w:t xml:space="preserve">Farmakokinetika ceftriaxónu nie je lineárna so zreteľom na dávku. Táto nelineárnosť sa vysvetľuje od koncentrácie závislým poklesom väzbovosti na plazmatické proteíny, čo vedie k príslušnému vzostupu distribúcie a eliminácie. </w:t>
      </w:r>
    </w:p>
    <w:p w14:paraId="294279B3" w14:textId="77777777" w:rsidR="00A94D41" w:rsidRPr="0079786F" w:rsidRDefault="00A94D41" w:rsidP="00B7315D">
      <w:pPr>
        <w:jc w:val="both"/>
        <w:rPr>
          <w:sz w:val="22"/>
          <w:szCs w:val="22"/>
        </w:rPr>
      </w:pPr>
      <w:r w:rsidRPr="0079786F">
        <w:rPr>
          <w:sz w:val="22"/>
          <w:szCs w:val="22"/>
        </w:rPr>
        <w:t xml:space="preserve">S výnimkou eliminačného polčasu sú všetky farmakokinetické parametre dávkovo závislé. Opakované dávkovanie od 0,5 do </w:t>
      </w:r>
      <w:smartTag w:uri="urn:schemas-microsoft-com:office:smarttags" w:element="metricconverter">
        <w:smartTagPr>
          <w:attr w:name="ProductID" w:val="2 g"/>
        </w:smartTagPr>
        <w:r w:rsidRPr="0079786F">
          <w:rPr>
            <w:sz w:val="22"/>
            <w:szCs w:val="22"/>
          </w:rPr>
          <w:t>2 g</w:t>
        </w:r>
      </w:smartTag>
      <w:r w:rsidRPr="0079786F">
        <w:rPr>
          <w:sz w:val="22"/>
          <w:szCs w:val="22"/>
        </w:rPr>
        <w:t xml:space="preserve"> vedie k 15 % </w:t>
      </w:r>
      <w:r w:rsidR="00ED3BE3">
        <w:rPr>
          <w:sz w:val="22"/>
          <w:szCs w:val="22"/>
        </w:rPr>
        <w:t xml:space="preserve">- </w:t>
      </w:r>
      <w:r w:rsidRPr="0079786F">
        <w:rPr>
          <w:sz w:val="22"/>
          <w:szCs w:val="22"/>
        </w:rPr>
        <w:t>36 % nárastu hodnôt oproti jednej dávke.</w:t>
      </w:r>
    </w:p>
    <w:p w14:paraId="76438BD6" w14:textId="77777777" w:rsidR="00A94D41" w:rsidRPr="0079786F" w:rsidRDefault="00A94D41" w:rsidP="00B7315D">
      <w:pPr>
        <w:jc w:val="both"/>
        <w:rPr>
          <w:sz w:val="22"/>
          <w:szCs w:val="22"/>
        </w:rPr>
      </w:pPr>
    </w:p>
    <w:p w14:paraId="18587958" w14:textId="77777777" w:rsidR="00A94D41" w:rsidRPr="0079786F" w:rsidRDefault="00A94D41" w:rsidP="00B7315D">
      <w:pPr>
        <w:autoSpaceDE w:val="0"/>
        <w:autoSpaceDN w:val="0"/>
        <w:adjustRightInd w:val="0"/>
        <w:jc w:val="both"/>
        <w:rPr>
          <w:b/>
          <w:i/>
          <w:sz w:val="22"/>
          <w:szCs w:val="22"/>
        </w:rPr>
      </w:pPr>
      <w:r w:rsidRPr="0079786F">
        <w:rPr>
          <w:b/>
          <w:i/>
          <w:sz w:val="22"/>
          <w:szCs w:val="22"/>
        </w:rPr>
        <w:t>Osobitné skupiny pacientov</w:t>
      </w:r>
    </w:p>
    <w:p w14:paraId="1533EE54" w14:textId="77777777" w:rsidR="00A94D41" w:rsidRPr="0079786F" w:rsidRDefault="00A94D41" w:rsidP="00B7315D">
      <w:pPr>
        <w:autoSpaceDE w:val="0"/>
        <w:autoSpaceDN w:val="0"/>
        <w:adjustRightInd w:val="0"/>
        <w:jc w:val="both"/>
        <w:rPr>
          <w:i/>
          <w:iCs/>
          <w:sz w:val="22"/>
          <w:szCs w:val="22"/>
        </w:rPr>
      </w:pPr>
      <w:r w:rsidRPr="0079786F">
        <w:rPr>
          <w:i/>
          <w:iCs/>
          <w:sz w:val="22"/>
          <w:szCs w:val="22"/>
        </w:rPr>
        <w:t xml:space="preserve">Starší </w:t>
      </w:r>
      <w:r w:rsidR="00ED3BE3">
        <w:rPr>
          <w:i/>
          <w:iCs/>
          <w:sz w:val="22"/>
          <w:szCs w:val="22"/>
        </w:rPr>
        <w:t>ako</w:t>
      </w:r>
      <w:r w:rsidR="00ED3BE3" w:rsidRPr="0079786F">
        <w:rPr>
          <w:i/>
          <w:iCs/>
          <w:sz w:val="22"/>
          <w:szCs w:val="22"/>
        </w:rPr>
        <w:t xml:space="preserve"> </w:t>
      </w:r>
      <w:r w:rsidRPr="0079786F">
        <w:rPr>
          <w:i/>
          <w:iCs/>
          <w:sz w:val="22"/>
          <w:szCs w:val="22"/>
        </w:rPr>
        <w:t>75</w:t>
      </w:r>
      <w:r w:rsidR="00ED3BE3">
        <w:rPr>
          <w:i/>
          <w:iCs/>
          <w:sz w:val="22"/>
          <w:szCs w:val="22"/>
        </w:rPr>
        <w:t xml:space="preserve"> </w:t>
      </w:r>
      <w:r w:rsidRPr="0079786F">
        <w:rPr>
          <w:i/>
          <w:iCs/>
          <w:sz w:val="22"/>
          <w:szCs w:val="22"/>
        </w:rPr>
        <w:t>rokov:</w:t>
      </w:r>
    </w:p>
    <w:p w14:paraId="044AB954" w14:textId="77777777" w:rsidR="00A94D41" w:rsidRPr="0079786F" w:rsidRDefault="00A94D41" w:rsidP="00B7315D">
      <w:pPr>
        <w:autoSpaceDE w:val="0"/>
        <w:autoSpaceDN w:val="0"/>
        <w:adjustRightInd w:val="0"/>
        <w:jc w:val="both"/>
        <w:rPr>
          <w:sz w:val="22"/>
          <w:szCs w:val="22"/>
        </w:rPr>
      </w:pPr>
      <w:r w:rsidRPr="0079786F">
        <w:rPr>
          <w:sz w:val="22"/>
          <w:szCs w:val="22"/>
        </w:rPr>
        <w:t>Plazmatický eliminačný polčas ceftriaxónu je asi 2</w:t>
      </w:r>
      <w:r w:rsidR="00ED3BE3">
        <w:rPr>
          <w:sz w:val="22"/>
          <w:szCs w:val="22"/>
        </w:rPr>
        <w:t xml:space="preserve"> </w:t>
      </w:r>
      <w:r w:rsidRPr="0079786F">
        <w:rPr>
          <w:sz w:val="22"/>
          <w:szCs w:val="22"/>
        </w:rPr>
        <w:t>-</w:t>
      </w:r>
      <w:r w:rsidR="00ED3BE3">
        <w:rPr>
          <w:sz w:val="22"/>
          <w:szCs w:val="22"/>
        </w:rPr>
        <w:t xml:space="preserve"> </w:t>
      </w:r>
      <w:r w:rsidRPr="0079786F">
        <w:rPr>
          <w:sz w:val="22"/>
          <w:szCs w:val="22"/>
        </w:rPr>
        <w:t xml:space="preserve">3 násobne dlhší v porovnaní s mladými dospelými. </w:t>
      </w:r>
    </w:p>
    <w:p w14:paraId="41B47075" w14:textId="77777777" w:rsidR="00A94D41" w:rsidRPr="0079786F" w:rsidRDefault="00A94D41" w:rsidP="00B7315D">
      <w:pPr>
        <w:autoSpaceDE w:val="0"/>
        <w:autoSpaceDN w:val="0"/>
        <w:adjustRightInd w:val="0"/>
        <w:jc w:val="both"/>
        <w:rPr>
          <w:sz w:val="22"/>
          <w:szCs w:val="22"/>
        </w:rPr>
      </w:pPr>
    </w:p>
    <w:p w14:paraId="424B0109" w14:textId="77777777" w:rsidR="00A94D41" w:rsidRPr="0079786F" w:rsidRDefault="00A94D41" w:rsidP="00B7315D">
      <w:pPr>
        <w:autoSpaceDE w:val="0"/>
        <w:autoSpaceDN w:val="0"/>
        <w:adjustRightInd w:val="0"/>
        <w:jc w:val="both"/>
        <w:rPr>
          <w:i/>
          <w:sz w:val="22"/>
          <w:szCs w:val="22"/>
        </w:rPr>
      </w:pPr>
      <w:r w:rsidRPr="0079786F">
        <w:rPr>
          <w:i/>
          <w:sz w:val="22"/>
          <w:szCs w:val="22"/>
        </w:rPr>
        <w:t>Novorodenci:</w:t>
      </w:r>
    </w:p>
    <w:p w14:paraId="52738984" w14:textId="77777777" w:rsidR="00A94D41" w:rsidRPr="0079786F" w:rsidRDefault="00A94D41" w:rsidP="00B7315D">
      <w:pPr>
        <w:autoSpaceDE w:val="0"/>
        <w:autoSpaceDN w:val="0"/>
        <w:adjustRightInd w:val="0"/>
        <w:jc w:val="both"/>
        <w:rPr>
          <w:sz w:val="22"/>
          <w:szCs w:val="22"/>
        </w:rPr>
      </w:pPr>
      <w:r w:rsidRPr="0079786F">
        <w:rPr>
          <w:sz w:val="22"/>
          <w:szCs w:val="22"/>
        </w:rPr>
        <w:t>U novorodencov od veku 3 dní dosahuje polčas ceftriaxónu v sére hodnoty približne 16 hodín, u novorodencov vo veku od 9 do 30 dní približne 9 hodín.</w:t>
      </w:r>
    </w:p>
    <w:p w14:paraId="356F5F3A" w14:textId="77777777" w:rsidR="00A94D41" w:rsidRPr="0079786F" w:rsidRDefault="00A94D41" w:rsidP="00B7315D">
      <w:pPr>
        <w:autoSpaceDE w:val="0"/>
        <w:autoSpaceDN w:val="0"/>
        <w:adjustRightInd w:val="0"/>
        <w:jc w:val="both"/>
        <w:rPr>
          <w:sz w:val="22"/>
          <w:szCs w:val="22"/>
        </w:rPr>
      </w:pPr>
    </w:p>
    <w:p w14:paraId="0CA4F87C" w14:textId="77777777" w:rsidR="00A94D41" w:rsidRPr="0079786F" w:rsidRDefault="00A94D41" w:rsidP="00B7315D">
      <w:pPr>
        <w:autoSpaceDE w:val="0"/>
        <w:autoSpaceDN w:val="0"/>
        <w:adjustRightInd w:val="0"/>
        <w:jc w:val="both"/>
        <w:rPr>
          <w:i/>
          <w:iCs/>
          <w:sz w:val="22"/>
          <w:szCs w:val="22"/>
        </w:rPr>
      </w:pPr>
      <w:r w:rsidRPr="0079786F">
        <w:rPr>
          <w:i/>
          <w:iCs/>
          <w:sz w:val="22"/>
          <w:szCs w:val="22"/>
        </w:rPr>
        <w:t>Pacienti so zhoršenou funkciou obličiek a/alebo pečene:</w:t>
      </w:r>
    </w:p>
    <w:p w14:paraId="2FDD5A4E" w14:textId="77777777" w:rsidR="00A94D41" w:rsidRPr="0079786F" w:rsidRDefault="00A94D41" w:rsidP="00B7315D">
      <w:pPr>
        <w:autoSpaceDE w:val="0"/>
        <w:autoSpaceDN w:val="0"/>
        <w:adjustRightInd w:val="0"/>
        <w:jc w:val="both"/>
        <w:rPr>
          <w:sz w:val="22"/>
          <w:szCs w:val="22"/>
        </w:rPr>
      </w:pPr>
      <w:r w:rsidRPr="0079786F">
        <w:rPr>
          <w:sz w:val="22"/>
          <w:szCs w:val="22"/>
        </w:rPr>
        <w:t xml:space="preserve">Pacienti so zhoršenou funkciou obličiek majú zvýšenú exkréciu ceftriaxónu do žlče. Pacienti so zhoršenou funkciou pečene vykazujú zvýšenú exkréciu ceftriaxónu obličkami. Plazmatický eliminačný polčas ceftriaxónu nie je v týchto skupinách pacientov takmer vôbec predĺžený. </w:t>
      </w:r>
    </w:p>
    <w:p w14:paraId="59DE3116" w14:textId="77777777" w:rsidR="00A94D41" w:rsidRPr="0079786F" w:rsidRDefault="00A94D41" w:rsidP="00B7315D">
      <w:pPr>
        <w:autoSpaceDE w:val="0"/>
        <w:autoSpaceDN w:val="0"/>
        <w:adjustRightInd w:val="0"/>
        <w:jc w:val="both"/>
        <w:rPr>
          <w:sz w:val="22"/>
          <w:szCs w:val="22"/>
        </w:rPr>
      </w:pPr>
      <w:r w:rsidRPr="0079786F">
        <w:rPr>
          <w:sz w:val="22"/>
          <w:szCs w:val="22"/>
        </w:rPr>
        <w:t>Pacienti so súčasným zhoršením funkcií obličiek aj pečene môžu mať predĺžený plazmatický eliminačný polčas ceftriaxónu.</w:t>
      </w:r>
    </w:p>
    <w:p w14:paraId="3C0DEF29" w14:textId="77777777" w:rsidR="00A94D41" w:rsidRPr="0079786F" w:rsidRDefault="00A94D41" w:rsidP="00B7315D">
      <w:pPr>
        <w:autoSpaceDE w:val="0"/>
        <w:autoSpaceDN w:val="0"/>
        <w:adjustRightInd w:val="0"/>
        <w:jc w:val="both"/>
        <w:rPr>
          <w:sz w:val="22"/>
          <w:szCs w:val="22"/>
        </w:rPr>
      </w:pPr>
      <w:r w:rsidRPr="0079786F">
        <w:rPr>
          <w:sz w:val="22"/>
          <w:szCs w:val="22"/>
        </w:rPr>
        <w:t>V terminálnom štádiu renálnej insuficiencie je polčas charakteristicky dlhší a dosahuje približne 14 hodín.</w:t>
      </w:r>
    </w:p>
    <w:p w14:paraId="7D9CCD62" w14:textId="77777777" w:rsidR="00A94D41" w:rsidRPr="0079786F" w:rsidRDefault="00A94D41" w:rsidP="00B7315D">
      <w:pPr>
        <w:autoSpaceDE w:val="0"/>
        <w:autoSpaceDN w:val="0"/>
        <w:adjustRightInd w:val="0"/>
        <w:jc w:val="both"/>
        <w:rPr>
          <w:sz w:val="22"/>
          <w:szCs w:val="22"/>
        </w:rPr>
      </w:pPr>
    </w:p>
    <w:p w14:paraId="03803279" w14:textId="77777777" w:rsidR="00A94D41" w:rsidRPr="0079786F" w:rsidRDefault="00A94D41" w:rsidP="00B7315D">
      <w:pPr>
        <w:autoSpaceDE w:val="0"/>
        <w:autoSpaceDN w:val="0"/>
        <w:adjustRightInd w:val="0"/>
        <w:jc w:val="both"/>
        <w:rPr>
          <w:b/>
          <w:i/>
          <w:sz w:val="22"/>
          <w:szCs w:val="22"/>
        </w:rPr>
      </w:pPr>
      <w:r w:rsidRPr="0079786F">
        <w:rPr>
          <w:b/>
          <w:i/>
          <w:sz w:val="22"/>
          <w:szCs w:val="22"/>
        </w:rPr>
        <w:t>Farmakokinetika v špeciálnych klinických situáciách</w:t>
      </w:r>
    </w:p>
    <w:p w14:paraId="681D07D3" w14:textId="77777777" w:rsidR="00A94D41" w:rsidRPr="0079786F" w:rsidRDefault="00A94D41" w:rsidP="00B7315D">
      <w:pPr>
        <w:autoSpaceDE w:val="0"/>
        <w:autoSpaceDN w:val="0"/>
        <w:adjustRightInd w:val="0"/>
        <w:jc w:val="both"/>
        <w:rPr>
          <w:sz w:val="22"/>
          <w:szCs w:val="22"/>
        </w:rPr>
      </w:pPr>
      <w:r w:rsidRPr="0079786F">
        <w:rPr>
          <w:sz w:val="22"/>
          <w:szCs w:val="22"/>
        </w:rPr>
        <w:t>V prvom týždni života je 80</w:t>
      </w:r>
      <w:r>
        <w:rPr>
          <w:sz w:val="22"/>
          <w:szCs w:val="22"/>
        </w:rPr>
        <w:t xml:space="preserve"> </w:t>
      </w:r>
      <w:r w:rsidRPr="0079786F">
        <w:rPr>
          <w:sz w:val="22"/>
          <w:szCs w:val="22"/>
        </w:rPr>
        <w:t>% dávky vylučovanej močom. Po prvom mesiaci života toto percento klesá na podobnú úroveň ako majú dospelí. U detí mladších než 8 dní je priemerný polčas eliminácie zvyčajne 2</w:t>
      </w:r>
      <w:r w:rsidR="00162BFC">
        <w:rPr>
          <w:sz w:val="22"/>
          <w:szCs w:val="22"/>
        </w:rPr>
        <w:t xml:space="preserve"> - </w:t>
      </w:r>
      <w:r w:rsidRPr="0079786F">
        <w:rPr>
          <w:sz w:val="22"/>
          <w:szCs w:val="22"/>
        </w:rPr>
        <w:t>3</w:t>
      </w:r>
      <w:r w:rsidR="00162BFC">
        <w:rPr>
          <w:sz w:val="22"/>
          <w:szCs w:val="22"/>
        </w:rPr>
        <w:t>-</w:t>
      </w:r>
      <w:r w:rsidRPr="0079786F">
        <w:rPr>
          <w:sz w:val="22"/>
          <w:szCs w:val="22"/>
        </w:rPr>
        <w:t>krát dlhší než u mladých dospelých.</w:t>
      </w:r>
    </w:p>
    <w:p w14:paraId="3CC20883" w14:textId="77777777" w:rsidR="00A94D41" w:rsidRPr="0079786F" w:rsidRDefault="00A94D41" w:rsidP="00B7315D">
      <w:pPr>
        <w:jc w:val="both"/>
        <w:rPr>
          <w:sz w:val="22"/>
          <w:szCs w:val="22"/>
        </w:rPr>
      </w:pPr>
    </w:p>
    <w:p w14:paraId="7ACD61C7" w14:textId="77777777" w:rsidR="00A94D41" w:rsidRPr="0079786F" w:rsidRDefault="00A94D41" w:rsidP="00B7315D">
      <w:pPr>
        <w:jc w:val="both"/>
        <w:rPr>
          <w:sz w:val="22"/>
          <w:szCs w:val="22"/>
        </w:rPr>
      </w:pPr>
      <w:r w:rsidRPr="0079786F">
        <w:rPr>
          <w:b/>
          <w:sz w:val="22"/>
          <w:szCs w:val="22"/>
        </w:rPr>
        <w:t>5.3</w:t>
      </w:r>
      <w:r w:rsidRPr="0079786F">
        <w:rPr>
          <w:b/>
          <w:sz w:val="22"/>
          <w:szCs w:val="22"/>
        </w:rPr>
        <w:tab/>
        <w:t>Predklinické údaje o bezpečnosti</w:t>
      </w:r>
    </w:p>
    <w:p w14:paraId="342D077B" w14:textId="77777777" w:rsidR="00A94D41" w:rsidRPr="0079786F" w:rsidRDefault="00A94D41" w:rsidP="00B7315D">
      <w:pPr>
        <w:autoSpaceDE w:val="0"/>
        <w:autoSpaceDN w:val="0"/>
        <w:adjustRightInd w:val="0"/>
        <w:jc w:val="both"/>
        <w:rPr>
          <w:sz w:val="22"/>
          <w:szCs w:val="22"/>
        </w:rPr>
      </w:pPr>
    </w:p>
    <w:p w14:paraId="3E84BAA6" w14:textId="77777777" w:rsidR="00A94D41" w:rsidRPr="0079786F" w:rsidRDefault="00A94D41" w:rsidP="00B7315D">
      <w:pPr>
        <w:autoSpaceDE w:val="0"/>
        <w:autoSpaceDN w:val="0"/>
        <w:adjustRightInd w:val="0"/>
        <w:jc w:val="both"/>
        <w:rPr>
          <w:sz w:val="22"/>
          <w:szCs w:val="22"/>
        </w:rPr>
      </w:pPr>
      <w:r w:rsidRPr="0079786F">
        <w:rPr>
          <w:sz w:val="22"/>
          <w:szCs w:val="22"/>
        </w:rPr>
        <w:t xml:space="preserve">Nežiaduce účinky (napr. gastrointestinálne poruchy a nefrotoxicita) spojené s vysokými parenterálnymi dávkami cefalosporínov sa ukázali byť reverzibilnými u zvierat počas opakovaného dávkovania. Po </w:t>
      </w:r>
      <w:r w:rsidRPr="0079786F">
        <w:rPr>
          <w:sz w:val="22"/>
          <w:szCs w:val="22"/>
        </w:rPr>
        <w:lastRenderedPageBreak/>
        <w:t xml:space="preserve">vysokých dávkach boli u opíc a psov pozorované hnačky, tvorba žlčových </w:t>
      </w:r>
      <w:r w:rsidR="00162BFC" w:rsidRPr="0079786F">
        <w:rPr>
          <w:sz w:val="22"/>
          <w:szCs w:val="22"/>
        </w:rPr>
        <w:t>kam</w:t>
      </w:r>
      <w:r w:rsidR="00162BFC">
        <w:rPr>
          <w:sz w:val="22"/>
          <w:szCs w:val="22"/>
        </w:rPr>
        <w:t>eň</w:t>
      </w:r>
      <w:r w:rsidR="00162BFC" w:rsidRPr="0079786F">
        <w:rPr>
          <w:sz w:val="22"/>
          <w:szCs w:val="22"/>
        </w:rPr>
        <w:t xml:space="preserve">ov </w:t>
      </w:r>
      <w:r w:rsidRPr="0079786F">
        <w:rPr>
          <w:sz w:val="22"/>
          <w:szCs w:val="22"/>
        </w:rPr>
        <w:t>v žlčníku a nefropatia.</w:t>
      </w:r>
    </w:p>
    <w:p w14:paraId="04F9384B" w14:textId="77777777" w:rsidR="00A94D41" w:rsidRPr="0079786F" w:rsidRDefault="00A94D41" w:rsidP="00B7315D">
      <w:pPr>
        <w:autoSpaceDE w:val="0"/>
        <w:autoSpaceDN w:val="0"/>
        <w:adjustRightInd w:val="0"/>
        <w:jc w:val="both"/>
        <w:rPr>
          <w:sz w:val="22"/>
          <w:szCs w:val="22"/>
        </w:rPr>
      </w:pPr>
      <w:r w:rsidRPr="0079786F">
        <w:rPr>
          <w:sz w:val="22"/>
          <w:szCs w:val="22"/>
        </w:rPr>
        <w:t>Ceftriaxón nemá účinok na plodnosť alebo reprodukciu. Ceftriaxón nevykázal žiaden mutagénny potenciál.</w:t>
      </w:r>
    </w:p>
    <w:p w14:paraId="67F13B62" w14:textId="77777777" w:rsidR="00A94D41" w:rsidRPr="0079786F" w:rsidRDefault="00A94D41" w:rsidP="00B7315D">
      <w:pPr>
        <w:jc w:val="both"/>
        <w:rPr>
          <w:sz w:val="22"/>
          <w:szCs w:val="22"/>
        </w:rPr>
      </w:pPr>
    </w:p>
    <w:p w14:paraId="2C8009E6" w14:textId="77777777" w:rsidR="00A94D41" w:rsidRPr="0079786F" w:rsidRDefault="00A94D41" w:rsidP="00B7315D">
      <w:pPr>
        <w:jc w:val="both"/>
        <w:rPr>
          <w:sz w:val="22"/>
          <w:szCs w:val="22"/>
        </w:rPr>
      </w:pPr>
    </w:p>
    <w:p w14:paraId="47089A97" w14:textId="77777777" w:rsidR="00A94D41" w:rsidRPr="0079786F" w:rsidRDefault="00A94D41" w:rsidP="00B7315D">
      <w:pPr>
        <w:pStyle w:val="spc-s"/>
        <w:widowControl w:val="0"/>
        <w:tabs>
          <w:tab w:val="clear" w:pos="851"/>
        </w:tabs>
        <w:spacing w:before="0" w:after="0"/>
        <w:jc w:val="both"/>
        <w:rPr>
          <w:rFonts w:ascii="Times New Roman" w:hAnsi="Times New Roman"/>
          <w:bCs/>
          <w:sz w:val="22"/>
          <w:szCs w:val="22"/>
          <w:lang w:val="sk-SK"/>
        </w:rPr>
      </w:pPr>
      <w:r w:rsidRPr="0079786F">
        <w:rPr>
          <w:rFonts w:ascii="Times New Roman" w:hAnsi="Times New Roman"/>
          <w:bCs/>
          <w:sz w:val="22"/>
          <w:szCs w:val="22"/>
          <w:lang w:val="sk-SK"/>
        </w:rPr>
        <w:t>6.</w:t>
      </w:r>
      <w:r w:rsidRPr="0079786F">
        <w:rPr>
          <w:rFonts w:ascii="Times New Roman" w:hAnsi="Times New Roman"/>
          <w:bCs/>
          <w:sz w:val="22"/>
          <w:szCs w:val="22"/>
          <w:lang w:val="sk-SK"/>
        </w:rPr>
        <w:tab/>
        <w:t>FARMACEUTICKÉ INFORMÁCIE</w:t>
      </w:r>
    </w:p>
    <w:p w14:paraId="301F6B1F" w14:textId="77777777" w:rsidR="00A94D41" w:rsidRPr="0079786F" w:rsidRDefault="00A94D41" w:rsidP="00B7315D">
      <w:pPr>
        <w:jc w:val="both"/>
        <w:rPr>
          <w:b/>
          <w:sz w:val="22"/>
          <w:szCs w:val="22"/>
        </w:rPr>
      </w:pPr>
    </w:p>
    <w:p w14:paraId="405D5D0D" w14:textId="77777777" w:rsidR="00A94D41" w:rsidRDefault="00A94D41" w:rsidP="00B7315D">
      <w:pPr>
        <w:jc w:val="both"/>
        <w:rPr>
          <w:sz w:val="22"/>
          <w:szCs w:val="22"/>
        </w:rPr>
      </w:pPr>
      <w:r w:rsidRPr="0079786F">
        <w:rPr>
          <w:b/>
          <w:sz w:val="22"/>
          <w:szCs w:val="22"/>
        </w:rPr>
        <w:t>6.1</w:t>
      </w:r>
      <w:r w:rsidRPr="0079786F">
        <w:rPr>
          <w:b/>
          <w:sz w:val="22"/>
          <w:szCs w:val="22"/>
        </w:rPr>
        <w:tab/>
        <w:t>Zoznam pomocných látok</w:t>
      </w:r>
    </w:p>
    <w:p w14:paraId="58C79EED" w14:textId="77777777" w:rsidR="00A94D41" w:rsidRPr="0079786F" w:rsidRDefault="00A94D41" w:rsidP="00B7315D">
      <w:pPr>
        <w:jc w:val="both"/>
        <w:rPr>
          <w:sz w:val="22"/>
          <w:szCs w:val="22"/>
        </w:rPr>
      </w:pPr>
    </w:p>
    <w:p w14:paraId="7D28D6D1" w14:textId="77777777" w:rsidR="00A94D41" w:rsidRPr="0079786F" w:rsidRDefault="00A94D41" w:rsidP="00B7315D">
      <w:pPr>
        <w:jc w:val="both"/>
        <w:rPr>
          <w:sz w:val="22"/>
          <w:szCs w:val="22"/>
        </w:rPr>
      </w:pPr>
      <w:r w:rsidRPr="0079786F">
        <w:rPr>
          <w:sz w:val="22"/>
          <w:szCs w:val="22"/>
        </w:rPr>
        <w:t>Žiadne.</w:t>
      </w:r>
    </w:p>
    <w:p w14:paraId="22C5FF45" w14:textId="77777777" w:rsidR="00A94D41" w:rsidRPr="0079786F" w:rsidRDefault="00A94D41" w:rsidP="00B7315D">
      <w:pPr>
        <w:jc w:val="both"/>
        <w:rPr>
          <w:sz w:val="22"/>
          <w:szCs w:val="22"/>
        </w:rPr>
      </w:pPr>
    </w:p>
    <w:p w14:paraId="20DED0E9" w14:textId="77777777" w:rsidR="00A94D41" w:rsidRDefault="00A94D41" w:rsidP="00B7315D">
      <w:pPr>
        <w:jc w:val="both"/>
        <w:rPr>
          <w:b/>
          <w:sz w:val="22"/>
          <w:szCs w:val="22"/>
        </w:rPr>
      </w:pPr>
      <w:r w:rsidRPr="0079786F">
        <w:rPr>
          <w:b/>
          <w:sz w:val="22"/>
          <w:szCs w:val="22"/>
        </w:rPr>
        <w:t>6.2</w:t>
      </w:r>
      <w:r w:rsidRPr="0079786F">
        <w:rPr>
          <w:b/>
          <w:sz w:val="22"/>
          <w:szCs w:val="22"/>
        </w:rPr>
        <w:tab/>
        <w:t>Inkompatibility</w:t>
      </w:r>
    </w:p>
    <w:p w14:paraId="1F014221" w14:textId="77777777" w:rsidR="00A94D41" w:rsidRPr="0079786F" w:rsidRDefault="00A94D41" w:rsidP="00B7315D">
      <w:pPr>
        <w:jc w:val="both"/>
        <w:rPr>
          <w:b/>
          <w:sz w:val="22"/>
          <w:szCs w:val="22"/>
        </w:rPr>
      </w:pPr>
    </w:p>
    <w:p w14:paraId="0E52AA68" w14:textId="77777777" w:rsidR="00A94D41" w:rsidRPr="0079786F" w:rsidRDefault="00A94D41" w:rsidP="00B7315D">
      <w:pPr>
        <w:jc w:val="both"/>
        <w:rPr>
          <w:bCs/>
          <w:iCs/>
          <w:sz w:val="22"/>
          <w:szCs w:val="22"/>
        </w:rPr>
      </w:pPr>
      <w:r w:rsidRPr="0079786F">
        <w:rPr>
          <w:bCs/>
          <w:iCs/>
          <w:sz w:val="22"/>
          <w:szCs w:val="22"/>
        </w:rPr>
        <w:t xml:space="preserve">Ceftron </w:t>
      </w:r>
      <w:smartTag w:uri="urn:schemas-microsoft-com:office:smarttags" w:element="metricconverter">
        <w:smartTagPr>
          <w:attr w:name="ProductID" w:val="1 g"/>
        </w:smartTagPr>
        <w:r w:rsidRPr="0079786F">
          <w:rPr>
            <w:bCs/>
            <w:iCs/>
            <w:sz w:val="22"/>
            <w:szCs w:val="22"/>
          </w:rPr>
          <w:t>1 g</w:t>
        </w:r>
      </w:smartTag>
      <w:r w:rsidRPr="0079786F">
        <w:rPr>
          <w:bCs/>
          <w:iCs/>
          <w:sz w:val="22"/>
          <w:szCs w:val="22"/>
        </w:rPr>
        <w:t xml:space="preserve"> nesmie byť riedený s inými roztokmi okrem tých, ktoré sú uvedené v časti 6.6. Zriedený roztok sa nesmie pridávať k infúznym roztokom (cez hadicu infúznej súpravy) okrem tých roztokov, ktoré sú uvedené v časti 4.2!</w:t>
      </w:r>
    </w:p>
    <w:p w14:paraId="14601706" w14:textId="77777777" w:rsidR="00A94D41" w:rsidRPr="0079786F" w:rsidRDefault="00A94D41" w:rsidP="00B7315D">
      <w:pPr>
        <w:jc w:val="both"/>
        <w:rPr>
          <w:sz w:val="22"/>
          <w:szCs w:val="22"/>
        </w:rPr>
      </w:pPr>
      <w:r w:rsidRPr="0079786F">
        <w:rPr>
          <w:sz w:val="22"/>
          <w:szCs w:val="22"/>
        </w:rPr>
        <w:t>Roztoky obsahujúce ceftriaxón sa nesmú miešať alebo pridávať k iným látkam. Z dôvodu možného vzniku preci</w:t>
      </w:r>
      <w:smartTag w:uri="urn:schemas-microsoft-com:office:smarttags" w:element="PersonName">
        <w:r w:rsidRPr="0079786F">
          <w:rPr>
            <w:sz w:val="22"/>
            <w:szCs w:val="22"/>
          </w:rPr>
          <w:t>pit</w:t>
        </w:r>
      </w:smartTag>
      <w:r w:rsidRPr="0079786F">
        <w:rPr>
          <w:sz w:val="22"/>
          <w:szCs w:val="22"/>
        </w:rPr>
        <w:t xml:space="preserve">átov sa nemajú pre rozpúšťanie a ďalšie riedenie ceftriaxónu na intravenózne podanie používať roztoky obsahujúce kalcium (napr. Ringerov či Hartmannov roztok) Ceftriaxón sa nesmie miešať alebo podávať súčasne s roztokmi obsahujúcimi kalcium (pozri časti 4.2, 4.3, 4.4 a 4.8). </w:t>
      </w:r>
    </w:p>
    <w:p w14:paraId="45600058" w14:textId="77777777" w:rsidR="00A94D41" w:rsidRPr="0079786F" w:rsidRDefault="00A94D41" w:rsidP="00B7315D">
      <w:pPr>
        <w:jc w:val="both"/>
        <w:rPr>
          <w:bCs/>
          <w:iCs/>
          <w:sz w:val="22"/>
          <w:szCs w:val="22"/>
        </w:rPr>
      </w:pPr>
      <w:r w:rsidRPr="0079786F">
        <w:rPr>
          <w:bCs/>
          <w:iCs/>
          <w:sz w:val="22"/>
          <w:szCs w:val="22"/>
        </w:rPr>
        <w:t>Na základe údajov z literatúry je ceftriaxón inkompatibilný s amsakrínom, vankomycínom, flukonazolom a aminoglykozidmi.</w:t>
      </w:r>
    </w:p>
    <w:p w14:paraId="0EFA0E88" w14:textId="77777777" w:rsidR="00A94D41" w:rsidRPr="0079786F" w:rsidRDefault="00A94D41" w:rsidP="00B7315D">
      <w:pPr>
        <w:jc w:val="both"/>
        <w:rPr>
          <w:sz w:val="22"/>
          <w:szCs w:val="22"/>
        </w:rPr>
      </w:pPr>
    </w:p>
    <w:p w14:paraId="2A0C33BA" w14:textId="77777777" w:rsidR="00A94D41" w:rsidRDefault="00A94D41" w:rsidP="00B7315D">
      <w:pPr>
        <w:jc w:val="both"/>
        <w:rPr>
          <w:sz w:val="22"/>
          <w:szCs w:val="22"/>
        </w:rPr>
      </w:pPr>
      <w:r w:rsidRPr="0079786F">
        <w:rPr>
          <w:b/>
          <w:sz w:val="22"/>
          <w:szCs w:val="22"/>
        </w:rPr>
        <w:t>6.3</w:t>
      </w:r>
      <w:r w:rsidRPr="0079786F">
        <w:rPr>
          <w:b/>
          <w:sz w:val="22"/>
          <w:szCs w:val="22"/>
        </w:rPr>
        <w:tab/>
        <w:t>Čas použiteľnosti</w:t>
      </w:r>
    </w:p>
    <w:p w14:paraId="31292284" w14:textId="77777777" w:rsidR="00A94D41" w:rsidRPr="0079786F" w:rsidRDefault="00A94D41" w:rsidP="00B7315D">
      <w:pPr>
        <w:jc w:val="both"/>
        <w:rPr>
          <w:sz w:val="22"/>
          <w:szCs w:val="22"/>
        </w:rPr>
      </w:pPr>
    </w:p>
    <w:p w14:paraId="121DE16C" w14:textId="77777777" w:rsidR="00A94D41" w:rsidRPr="0079786F" w:rsidRDefault="00A94D41" w:rsidP="00B7315D">
      <w:pPr>
        <w:jc w:val="both"/>
        <w:rPr>
          <w:sz w:val="22"/>
          <w:szCs w:val="22"/>
        </w:rPr>
      </w:pPr>
      <w:r w:rsidRPr="0079786F">
        <w:rPr>
          <w:sz w:val="22"/>
          <w:szCs w:val="22"/>
        </w:rPr>
        <w:t>3 roky</w:t>
      </w:r>
    </w:p>
    <w:p w14:paraId="1F5D99F1" w14:textId="77777777" w:rsidR="00A94D41" w:rsidRPr="0079786F" w:rsidRDefault="00A94D41" w:rsidP="00B7315D">
      <w:pPr>
        <w:jc w:val="both"/>
        <w:rPr>
          <w:sz w:val="22"/>
          <w:szCs w:val="22"/>
        </w:rPr>
      </w:pPr>
    </w:p>
    <w:p w14:paraId="64E784BF" w14:textId="77777777" w:rsidR="00A94D41" w:rsidRPr="0079786F" w:rsidRDefault="00A94D41" w:rsidP="00B7315D">
      <w:pPr>
        <w:jc w:val="both"/>
        <w:rPr>
          <w:sz w:val="22"/>
          <w:szCs w:val="22"/>
        </w:rPr>
      </w:pPr>
      <w:r w:rsidRPr="0079786F">
        <w:rPr>
          <w:sz w:val="22"/>
          <w:szCs w:val="22"/>
        </w:rPr>
        <w:t>Po prvom otvorení:</w:t>
      </w:r>
    </w:p>
    <w:p w14:paraId="20DC7732" w14:textId="77777777" w:rsidR="00A94D41" w:rsidRPr="0079786F" w:rsidRDefault="00A94D41" w:rsidP="00B7315D">
      <w:pPr>
        <w:jc w:val="both"/>
        <w:rPr>
          <w:sz w:val="22"/>
          <w:szCs w:val="22"/>
        </w:rPr>
      </w:pPr>
      <w:r w:rsidRPr="00DC729B">
        <w:rPr>
          <w:sz w:val="22"/>
          <w:szCs w:val="22"/>
        </w:rPr>
        <w:t xml:space="preserve">Chemická a fyzikálna stabilita bola preukázaná počas 24 hodín pri teplote 2 až </w:t>
      </w:r>
      <w:smartTag w:uri="urn:schemas-microsoft-com:office:smarttags" w:element="metricconverter">
        <w:smartTagPr>
          <w:attr w:name="ProductID" w:val="8 ﾰC"/>
        </w:smartTagPr>
        <w:r w:rsidRPr="00DC729B">
          <w:rPr>
            <w:sz w:val="22"/>
            <w:szCs w:val="22"/>
          </w:rPr>
          <w:t>8 °C</w:t>
        </w:r>
      </w:smartTag>
      <w:r w:rsidRPr="00DC729B">
        <w:rPr>
          <w:sz w:val="22"/>
          <w:szCs w:val="22"/>
        </w:rPr>
        <w:t>.</w:t>
      </w:r>
    </w:p>
    <w:p w14:paraId="44D56A8B" w14:textId="77777777" w:rsidR="00A94D41" w:rsidRPr="0079786F" w:rsidRDefault="00A94D41" w:rsidP="00B7315D">
      <w:pPr>
        <w:jc w:val="both"/>
        <w:rPr>
          <w:sz w:val="22"/>
          <w:szCs w:val="22"/>
        </w:rPr>
      </w:pPr>
      <w:r w:rsidRPr="0079786F">
        <w:rPr>
          <w:sz w:val="22"/>
          <w:szCs w:val="22"/>
        </w:rPr>
        <w:t xml:space="preserve">Z mikrobiologického hľadiska sa má liek použiť okamžite. Ak sa nepoužije okamžite, za dobu použiteľnosti a podmienky uchovávania pred použitím je zodpovedný používateľ, pričom doba použiteľnosti bežne nemá byť dlhšia ako 24 hodín pri teplote 2 až </w:t>
      </w:r>
      <w:smartTag w:uri="urn:schemas-microsoft-com:office:smarttags" w:element="metricconverter">
        <w:smartTagPr>
          <w:attr w:name="ProductID" w:val="8 ﾰC"/>
        </w:smartTagPr>
        <w:r w:rsidRPr="0079786F">
          <w:rPr>
            <w:sz w:val="22"/>
            <w:szCs w:val="22"/>
          </w:rPr>
          <w:t>8 °C</w:t>
        </w:r>
      </w:smartTag>
      <w:r w:rsidRPr="0079786F">
        <w:rPr>
          <w:sz w:val="22"/>
          <w:szCs w:val="22"/>
        </w:rPr>
        <w:t>, ak príprava a riedenie neprebehli za kontrolovaných a validovaných aseptických podmienok.</w:t>
      </w:r>
    </w:p>
    <w:p w14:paraId="4A6524DF" w14:textId="77777777" w:rsidR="00A94D41" w:rsidRPr="0079786F" w:rsidRDefault="00A94D41" w:rsidP="00B7315D">
      <w:pPr>
        <w:jc w:val="both"/>
        <w:rPr>
          <w:sz w:val="22"/>
          <w:szCs w:val="22"/>
        </w:rPr>
      </w:pPr>
    </w:p>
    <w:p w14:paraId="254458B4" w14:textId="77777777" w:rsidR="00A94D41" w:rsidRDefault="00A94D41" w:rsidP="00B7315D">
      <w:pPr>
        <w:numPr>
          <w:ilvl w:val="1"/>
          <w:numId w:val="9"/>
        </w:numPr>
        <w:ind w:left="0" w:firstLine="0"/>
        <w:jc w:val="both"/>
        <w:rPr>
          <w:b/>
          <w:sz w:val="22"/>
          <w:szCs w:val="22"/>
        </w:rPr>
      </w:pPr>
      <w:r w:rsidRPr="0079786F">
        <w:rPr>
          <w:b/>
          <w:sz w:val="22"/>
          <w:szCs w:val="22"/>
        </w:rPr>
        <w:t>Špeciálne upozornenia na uchovávanie</w:t>
      </w:r>
    </w:p>
    <w:p w14:paraId="4A0BB520" w14:textId="77777777" w:rsidR="00A94D41" w:rsidRPr="00D02991" w:rsidRDefault="00A94D41" w:rsidP="00B7315D">
      <w:pPr>
        <w:jc w:val="both"/>
        <w:rPr>
          <w:sz w:val="22"/>
          <w:szCs w:val="22"/>
        </w:rPr>
      </w:pPr>
    </w:p>
    <w:p w14:paraId="3E306E42" w14:textId="77777777" w:rsidR="00A94D41" w:rsidRPr="0079786F" w:rsidRDefault="00A94D41" w:rsidP="00B7315D">
      <w:pPr>
        <w:pStyle w:val="Zkladntext"/>
        <w:spacing w:after="0"/>
        <w:jc w:val="both"/>
        <w:rPr>
          <w:sz w:val="22"/>
          <w:szCs w:val="22"/>
        </w:rPr>
      </w:pPr>
      <w:r w:rsidRPr="0079786F">
        <w:rPr>
          <w:sz w:val="22"/>
          <w:szCs w:val="22"/>
        </w:rPr>
        <w:t>Uchovávajte pri teplote do 25</w:t>
      </w:r>
      <w:r>
        <w:rPr>
          <w:sz w:val="22"/>
          <w:szCs w:val="22"/>
        </w:rPr>
        <w:t xml:space="preserve"> </w:t>
      </w:r>
      <w:r w:rsidRPr="0079786F">
        <w:rPr>
          <w:sz w:val="22"/>
          <w:szCs w:val="22"/>
        </w:rPr>
        <w:t>˚C v pôvodnom obale na ochranu pred svetlom.</w:t>
      </w:r>
    </w:p>
    <w:p w14:paraId="6302A773" w14:textId="77777777" w:rsidR="00A94D41" w:rsidRPr="0079786F" w:rsidRDefault="00A94D41" w:rsidP="00B7315D">
      <w:pPr>
        <w:jc w:val="both"/>
        <w:rPr>
          <w:sz w:val="22"/>
          <w:szCs w:val="22"/>
        </w:rPr>
      </w:pPr>
      <w:r w:rsidRPr="0079786F">
        <w:rPr>
          <w:sz w:val="22"/>
          <w:szCs w:val="22"/>
        </w:rPr>
        <w:t>Podmienky na uchovávanie zriedeného lieku pozri časť 6.3.</w:t>
      </w:r>
    </w:p>
    <w:p w14:paraId="77DEDFEF" w14:textId="77777777" w:rsidR="00A94D41" w:rsidRPr="0079786F" w:rsidRDefault="00A94D41" w:rsidP="00B7315D">
      <w:pPr>
        <w:jc w:val="both"/>
        <w:rPr>
          <w:sz w:val="22"/>
          <w:szCs w:val="22"/>
        </w:rPr>
      </w:pPr>
    </w:p>
    <w:p w14:paraId="3C41C903" w14:textId="77777777" w:rsidR="00A94D41" w:rsidRDefault="00A94D41" w:rsidP="00B7315D">
      <w:pPr>
        <w:numPr>
          <w:ilvl w:val="1"/>
          <w:numId w:val="9"/>
        </w:numPr>
        <w:ind w:left="0" w:firstLine="0"/>
        <w:jc w:val="both"/>
        <w:rPr>
          <w:b/>
          <w:bCs/>
          <w:sz w:val="22"/>
          <w:szCs w:val="22"/>
        </w:rPr>
      </w:pPr>
      <w:r w:rsidRPr="0079786F">
        <w:rPr>
          <w:b/>
          <w:bCs/>
          <w:sz w:val="22"/>
          <w:szCs w:val="22"/>
        </w:rPr>
        <w:t>Druh obalu a obsah balenia</w:t>
      </w:r>
    </w:p>
    <w:p w14:paraId="42C9553A" w14:textId="77777777" w:rsidR="00A94D41" w:rsidRPr="00D02991" w:rsidRDefault="00A94D41" w:rsidP="00B7315D">
      <w:pPr>
        <w:jc w:val="both"/>
        <w:rPr>
          <w:bCs/>
          <w:sz w:val="22"/>
          <w:szCs w:val="22"/>
        </w:rPr>
      </w:pPr>
    </w:p>
    <w:p w14:paraId="7B609EAF" w14:textId="3191F49E" w:rsidR="0018198F" w:rsidRPr="000C1DEF" w:rsidRDefault="00ED3C29" w:rsidP="00B7315D">
      <w:pPr>
        <w:jc w:val="both"/>
        <w:rPr>
          <w:sz w:val="22"/>
          <w:szCs w:val="22"/>
          <w:lang w:val="cs-CZ"/>
        </w:rPr>
      </w:pPr>
      <w:bookmarkStart w:id="4" w:name="_Hlk527961432"/>
      <w:r>
        <w:rPr>
          <w:sz w:val="22"/>
          <w:szCs w:val="22"/>
        </w:rPr>
        <w:t>Fľaštička</w:t>
      </w:r>
      <w:r w:rsidR="0018198F" w:rsidRPr="000C1DEF">
        <w:rPr>
          <w:sz w:val="22"/>
          <w:szCs w:val="22"/>
        </w:rPr>
        <w:t xml:space="preserve"> z bezfarebného skla</w:t>
      </w:r>
      <w:r w:rsidR="003114E7">
        <w:rPr>
          <w:sz w:val="22"/>
          <w:szCs w:val="22"/>
        </w:rPr>
        <w:t xml:space="preserve"> III. HT</w:t>
      </w:r>
      <w:r w:rsidR="0018198F" w:rsidRPr="000C1DEF">
        <w:rPr>
          <w:sz w:val="22"/>
          <w:szCs w:val="22"/>
        </w:rPr>
        <w:t xml:space="preserve"> s obrubou, gumová zátka, hliníkový uzáver s odnímateľným pla</w:t>
      </w:r>
      <w:r w:rsidR="0018198F">
        <w:rPr>
          <w:sz w:val="22"/>
          <w:szCs w:val="22"/>
        </w:rPr>
        <w:t>s</w:t>
      </w:r>
      <w:r w:rsidR="0018198F" w:rsidRPr="000C1DEF">
        <w:rPr>
          <w:sz w:val="22"/>
          <w:szCs w:val="22"/>
        </w:rPr>
        <w:t xml:space="preserve">tovým </w:t>
      </w:r>
      <w:r w:rsidR="0092013D" w:rsidRPr="000C1DEF">
        <w:rPr>
          <w:sz w:val="22"/>
          <w:szCs w:val="22"/>
        </w:rPr>
        <w:t>(flip off)</w:t>
      </w:r>
      <w:r w:rsidR="0092013D">
        <w:rPr>
          <w:sz w:val="22"/>
          <w:szCs w:val="22"/>
        </w:rPr>
        <w:t xml:space="preserve"> </w:t>
      </w:r>
      <w:r w:rsidR="0018198F" w:rsidRPr="000C1DEF">
        <w:rPr>
          <w:sz w:val="22"/>
          <w:szCs w:val="22"/>
        </w:rPr>
        <w:t>viečkom, škatuľka.</w:t>
      </w:r>
    </w:p>
    <w:bookmarkEnd w:id="4"/>
    <w:p w14:paraId="40D76371" w14:textId="4F627FF2" w:rsidR="00A94D41" w:rsidRPr="0079786F" w:rsidRDefault="00A94D41" w:rsidP="00B7315D">
      <w:pPr>
        <w:tabs>
          <w:tab w:val="left" w:pos="8505"/>
        </w:tabs>
        <w:ind w:right="566"/>
        <w:jc w:val="both"/>
        <w:rPr>
          <w:sz w:val="22"/>
          <w:szCs w:val="22"/>
        </w:rPr>
      </w:pPr>
    </w:p>
    <w:p w14:paraId="220EC9EF" w14:textId="77777777" w:rsidR="00A94D41" w:rsidRPr="0079786F" w:rsidRDefault="00A94D41" w:rsidP="00B7315D">
      <w:pPr>
        <w:tabs>
          <w:tab w:val="left" w:pos="8505"/>
        </w:tabs>
        <w:ind w:right="566"/>
        <w:jc w:val="both"/>
        <w:rPr>
          <w:b/>
          <w:sz w:val="22"/>
          <w:szCs w:val="22"/>
        </w:rPr>
      </w:pPr>
      <w:r w:rsidRPr="0079786F">
        <w:rPr>
          <w:sz w:val="22"/>
          <w:szCs w:val="22"/>
        </w:rPr>
        <w:t xml:space="preserve">Veľkosť balenia: 1 x </w:t>
      </w:r>
      <w:smartTag w:uri="urn:schemas-microsoft-com:office:smarttags" w:element="metricconverter">
        <w:smartTagPr>
          <w:attr w:name="ProductID" w:val="1 g"/>
        </w:smartTagPr>
        <w:r w:rsidRPr="0079786F">
          <w:rPr>
            <w:sz w:val="22"/>
            <w:szCs w:val="22"/>
          </w:rPr>
          <w:t>1 g</w:t>
        </w:r>
      </w:smartTag>
      <w:r w:rsidRPr="0079786F">
        <w:rPr>
          <w:sz w:val="22"/>
          <w:szCs w:val="22"/>
        </w:rPr>
        <w:t xml:space="preserve">, 10 x </w:t>
      </w:r>
      <w:smartTag w:uri="urn:schemas-microsoft-com:office:smarttags" w:element="metricconverter">
        <w:smartTagPr>
          <w:attr w:name="ProductID" w:val="1 g"/>
        </w:smartTagPr>
        <w:r w:rsidRPr="0079786F">
          <w:rPr>
            <w:sz w:val="22"/>
            <w:szCs w:val="22"/>
          </w:rPr>
          <w:t>1 g</w:t>
        </w:r>
      </w:smartTag>
    </w:p>
    <w:p w14:paraId="2C658E2C" w14:textId="77777777" w:rsidR="00A94D41" w:rsidRPr="0079786F" w:rsidRDefault="00A94D41" w:rsidP="00B7315D">
      <w:pPr>
        <w:jc w:val="both"/>
        <w:rPr>
          <w:sz w:val="22"/>
          <w:szCs w:val="22"/>
        </w:rPr>
      </w:pPr>
    </w:p>
    <w:p w14:paraId="4F0BF83D" w14:textId="77777777" w:rsidR="00A94D41" w:rsidRPr="0079786F" w:rsidRDefault="00A94D41" w:rsidP="00B7315D">
      <w:pPr>
        <w:jc w:val="both"/>
        <w:rPr>
          <w:sz w:val="22"/>
          <w:szCs w:val="22"/>
        </w:rPr>
      </w:pPr>
      <w:r w:rsidRPr="0079786F">
        <w:rPr>
          <w:sz w:val="22"/>
          <w:szCs w:val="22"/>
        </w:rPr>
        <w:t>N</w:t>
      </w:r>
      <w:r>
        <w:rPr>
          <w:sz w:val="22"/>
          <w:szCs w:val="22"/>
        </w:rPr>
        <w:t>a trh nemusia byť uvedené</w:t>
      </w:r>
      <w:r w:rsidRPr="0079786F">
        <w:rPr>
          <w:sz w:val="22"/>
          <w:szCs w:val="22"/>
        </w:rPr>
        <w:t xml:space="preserve"> všetky veľkosti balenia.</w:t>
      </w:r>
    </w:p>
    <w:p w14:paraId="193F163A" w14:textId="77777777" w:rsidR="00A94D41" w:rsidRPr="0079786F" w:rsidRDefault="00A94D41" w:rsidP="00B7315D">
      <w:pPr>
        <w:jc w:val="both"/>
        <w:rPr>
          <w:sz w:val="22"/>
          <w:szCs w:val="22"/>
        </w:rPr>
      </w:pPr>
    </w:p>
    <w:p w14:paraId="24446F49" w14:textId="77777777" w:rsidR="00A94D41" w:rsidRDefault="00A94D41" w:rsidP="00B7315D">
      <w:pPr>
        <w:numPr>
          <w:ilvl w:val="1"/>
          <w:numId w:val="9"/>
        </w:numPr>
        <w:ind w:left="0" w:firstLine="0"/>
        <w:jc w:val="both"/>
        <w:rPr>
          <w:b/>
          <w:bCs/>
          <w:sz w:val="22"/>
          <w:szCs w:val="22"/>
        </w:rPr>
      </w:pPr>
      <w:r w:rsidRPr="0079786F">
        <w:rPr>
          <w:b/>
          <w:bCs/>
          <w:sz w:val="22"/>
          <w:szCs w:val="22"/>
        </w:rPr>
        <w:t>Špeciálne opatrenia na likvidáciu a iné zaobchádzanie s</w:t>
      </w:r>
      <w:r>
        <w:rPr>
          <w:b/>
          <w:bCs/>
          <w:sz w:val="22"/>
          <w:szCs w:val="22"/>
        </w:rPr>
        <w:t> </w:t>
      </w:r>
      <w:r w:rsidRPr="0079786F">
        <w:rPr>
          <w:b/>
          <w:bCs/>
          <w:sz w:val="22"/>
          <w:szCs w:val="22"/>
        </w:rPr>
        <w:t>liekom</w:t>
      </w:r>
    </w:p>
    <w:p w14:paraId="706E108B" w14:textId="77777777" w:rsidR="00A94D41" w:rsidRPr="00D02991" w:rsidRDefault="00A94D41" w:rsidP="00B7315D">
      <w:pPr>
        <w:jc w:val="both"/>
        <w:rPr>
          <w:bCs/>
          <w:sz w:val="22"/>
          <w:szCs w:val="22"/>
        </w:rPr>
      </w:pPr>
    </w:p>
    <w:p w14:paraId="497D9A35" w14:textId="77777777" w:rsidR="00A94D41" w:rsidRPr="0079786F" w:rsidRDefault="00A94D41" w:rsidP="00B7315D">
      <w:pPr>
        <w:jc w:val="both"/>
        <w:rPr>
          <w:sz w:val="22"/>
          <w:szCs w:val="22"/>
        </w:rPr>
      </w:pPr>
      <w:r w:rsidRPr="0079786F">
        <w:rPr>
          <w:sz w:val="22"/>
          <w:szCs w:val="22"/>
        </w:rPr>
        <w:t>Ceftriaxón sa nesmie miešať v jednej striekačke s akýmkoľvek iným liekom okrem 1</w:t>
      </w:r>
      <w:r>
        <w:rPr>
          <w:sz w:val="22"/>
          <w:szCs w:val="22"/>
        </w:rPr>
        <w:t xml:space="preserve"> </w:t>
      </w:r>
      <w:r w:rsidRPr="0079786F">
        <w:rPr>
          <w:sz w:val="22"/>
          <w:szCs w:val="22"/>
        </w:rPr>
        <w:t xml:space="preserve">% roztoku </w:t>
      </w:r>
      <w:r w:rsidR="00B16CB2">
        <w:rPr>
          <w:sz w:val="22"/>
          <w:szCs w:val="22"/>
        </w:rPr>
        <w:t>lidokaíniumchloridu</w:t>
      </w:r>
      <w:r w:rsidRPr="0079786F">
        <w:rPr>
          <w:sz w:val="22"/>
          <w:szCs w:val="22"/>
        </w:rPr>
        <w:t xml:space="preserve"> (iba na intramuskulárnu injekciu).</w:t>
      </w:r>
    </w:p>
    <w:p w14:paraId="7291CAE1" w14:textId="77777777" w:rsidR="00A94D41" w:rsidRPr="0079786F" w:rsidRDefault="00A94D41" w:rsidP="00B7315D">
      <w:pPr>
        <w:jc w:val="both"/>
        <w:rPr>
          <w:sz w:val="22"/>
          <w:szCs w:val="22"/>
        </w:rPr>
      </w:pPr>
    </w:p>
    <w:p w14:paraId="5E20FB98" w14:textId="77777777" w:rsidR="00A94D41" w:rsidRPr="0079786F" w:rsidRDefault="00A94D41" w:rsidP="00B7315D">
      <w:pPr>
        <w:jc w:val="both"/>
        <w:rPr>
          <w:sz w:val="22"/>
          <w:szCs w:val="22"/>
        </w:rPr>
      </w:pPr>
      <w:r w:rsidRPr="0079786F">
        <w:rPr>
          <w:sz w:val="22"/>
          <w:szCs w:val="22"/>
        </w:rPr>
        <w:t>Zriedený roztok má byť pretrepaný až do 60 sekúnd</w:t>
      </w:r>
      <w:r w:rsidR="00162BFC">
        <w:rPr>
          <w:sz w:val="22"/>
          <w:szCs w:val="22"/>
        </w:rPr>
        <w:t>,</w:t>
      </w:r>
      <w:r w:rsidRPr="0079786F">
        <w:rPr>
          <w:sz w:val="22"/>
          <w:szCs w:val="22"/>
        </w:rPr>
        <w:t xml:space="preserve"> aby bolo zaistené kompletné rozpustenie ceftriaxónu. </w:t>
      </w:r>
    </w:p>
    <w:p w14:paraId="3260D8C0" w14:textId="77777777" w:rsidR="00A94D41" w:rsidRPr="0079786F" w:rsidRDefault="00A94D41" w:rsidP="00B7315D">
      <w:pPr>
        <w:jc w:val="both"/>
        <w:rPr>
          <w:sz w:val="22"/>
          <w:szCs w:val="22"/>
        </w:rPr>
      </w:pPr>
    </w:p>
    <w:p w14:paraId="4868121E" w14:textId="77777777" w:rsidR="00A94D41" w:rsidRPr="0079786F" w:rsidRDefault="00A94D41" w:rsidP="00B7315D">
      <w:pPr>
        <w:jc w:val="both"/>
        <w:rPr>
          <w:i/>
          <w:iCs/>
          <w:sz w:val="22"/>
          <w:szCs w:val="22"/>
        </w:rPr>
      </w:pPr>
      <w:r w:rsidRPr="0079786F">
        <w:rPr>
          <w:i/>
          <w:iCs/>
          <w:sz w:val="22"/>
          <w:szCs w:val="22"/>
        </w:rPr>
        <w:lastRenderedPageBreak/>
        <w:t xml:space="preserve">Intramuskulárna injekcia: </w:t>
      </w:r>
    </w:p>
    <w:p w14:paraId="5B8BF6F7" w14:textId="77777777" w:rsidR="00A94D41" w:rsidRPr="0079786F" w:rsidRDefault="00A94D41" w:rsidP="00B7315D">
      <w:pPr>
        <w:jc w:val="both"/>
        <w:rPr>
          <w:sz w:val="22"/>
          <w:szCs w:val="22"/>
        </w:rPr>
      </w:pPr>
      <w:r w:rsidRPr="0079786F">
        <w:rPr>
          <w:sz w:val="22"/>
          <w:szCs w:val="22"/>
        </w:rPr>
        <w:t xml:space="preserve">Ceftron </w:t>
      </w:r>
      <w:smartTag w:uri="urn:schemas-microsoft-com:office:smarttags" w:element="metricconverter">
        <w:smartTagPr>
          <w:attr w:name="ProductID" w:val="1ﾠg"/>
        </w:smartTagPr>
        <w:r w:rsidRPr="0079786F">
          <w:rPr>
            <w:sz w:val="22"/>
            <w:szCs w:val="22"/>
          </w:rPr>
          <w:t>1 g</w:t>
        </w:r>
      </w:smartTag>
      <w:r w:rsidRPr="0079786F">
        <w:rPr>
          <w:sz w:val="22"/>
          <w:szCs w:val="22"/>
        </w:rPr>
        <w:t xml:space="preserve"> sa rozpustí v 3,5 ml 1</w:t>
      </w:r>
      <w:r w:rsidR="00B23D35">
        <w:rPr>
          <w:sz w:val="22"/>
          <w:szCs w:val="22"/>
        </w:rPr>
        <w:t xml:space="preserve"> </w:t>
      </w:r>
      <w:r w:rsidRPr="0079786F">
        <w:rPr>
          <w:sz w:val="22"/>
          <w:szCs w:val="22"/>
        </w:rPr>
        <w:t xml:space="preserve">% roztoku </w:t>
      </w:r>
      <w:r w:rsidR="00B16CB2">
        <w:rPr>
          <w:sz w:val="22"/>
          <w:szCs w:val="22"/>
        </w:rPr>
        <w:t>lidokaíniumchloridu</w:t>
      </w:r>
      <w:r w:rsidRPr="0079786F">
        <w:rPr>
          <w:sz w:val="22"/>
          <w:szCs w:val="22"/>
        </w:rPr>
        <w:t xml:space="preserve">. Roztok treba podať hlbokou intragluteálnou injekciou. </w:t>
      </w:r>
    </w:p>
    <w:p w14:paraId="238E5B6B" w14:textId="10D337C4" w:rsidR="00A94D41" w:rsidRPr="0079786F" w:rsidRDefault="00A94D41" w:rsidP="00B7315D">
      <w:pPr>
        <w:jc w:val="both"/>
        <w:rPr>
          <w:sz w:val="22"/>
          <w:szCs w:val="22"/>
        </w:rPr>
      </w:pPr>
      <w:r w:rsidRPr="0079786F">
        <w:rPr>
          <w:sz w:val="22"/>
          <w:szCs w:val="22"/>
        </w:rPr>
        <w:t xml:space="preserve">Roztoky lidokaínu sa </w:t>
      </w:r>
      <w:r w:rsidR="00A24BC6">
        <w:rPr>
          <w:sz w:val="22"/>
          <w:szCs w:val="22"/>
        </w:rPr>
        <w:t>nesmú</w:t>
      </w:r>
      <w:r w:rsidR="00A24BC6" w:rsidRPr="0079786F">
        <w:rPr>
          <w:sz w:val="22"/>
          <w:szCs w:val="22"/>
        </w:rPr>
        <w:t xml:space="preserve"> </w:t>
      </w:r>
      <w:r w:rsidRPr="0079786F">
        <w:rPr>
          <w:sz w:val="22"/>
          <w:szCs w:val="22"/>
        </w:rPr>
        <w:t>podávať intravenózne.</w:t>
      </w:r>
    </w:p>
    <w:p w14:paraId="2755CAC0" w14:textId="77777777" w:rsidR="00A94D41" w:rsidRPr="0079786F" w:rsidRDefault="00A94D41" w:rsidP="00B7315D">
      <w:pPr>
        <w:jc w:val="both"/>
        <w:rPr>
          <w:sz w:val="22"/>
          <w:szCs w:val="22"/>
        </w:rPr>
      </w:pPr>
    </w:p>
    <w:p w14:paraId="214FE80A" w14:textId="77777777" w:rsidR="00A94D41" w:rsidRPr="0079786F" w:rsidRDefault="00A94D41" w:rsidP="00B7315D">
      <w:pPr>
        <w:jc w:val="both"/>
        <w:rPr>
          <w:i/>
          <w:iCs/>
          <w:sz w:val="22"/>
          <w:szCs w:val="22"/>
        </w:rPr>
      </w:pPr>
      <w:r w:rsidRPr="0079786F">
        <w:rPr>
          <w:i/>
          <w:iCs/>
          <w:sz w:val="22"/>
          <w:szCs w:val="22"/>
        </w:rPr>
        <w:t>Intravenózna injekcia:</w:t>
      </w:r>
    </w:p>
    <w:p w14:paraId="11859BA1" w14:textId="77777777" w:rsidR="00A94D41" w:rsidRPr="0079786F" w:rsidRDefault="00A94D41" w:rsidP="00B7315D">
      <w:pPr>
        <w:jc w:val="both"/>
        <w:rPr>
          <w:b/>
          <w:sz w:val="22"/>
          <w:szCs w:val="22"/>
        </w:rPr>
      </w:pPr>
      <w:r w:rsidRPr="0079786F">
        <w:rPr>
          <w:sz w:val="22"/>
          <w:szCs w:val="22"/>
        </w:rPr>
        <w:t xml:space="preserve">Ceftron </w:t>
      </w:r>
      <w:smartTag w:uri="urn:schemas-microsoft-com:office:smarttags" w:element="metricconverter">
        <w:smartTagPr>
          <w:attr w:name="ProductID" w:val="1ﾠg"/>
        </w:smartTagPr>
        <w:r w:rsidRPr="0079786F">
          <w:rPr>
            <w:sz w:val="22"/>
            <w:szCs w:val="22"/>
          </w:rPr>
          <w:t>1 g</w:t>
        </w:r>
      </w:smartTag>
      <w:r w:rsidRPr="0079786F">
        <w:rPr>
          <w:sz w:val="22"/>
          <w:szCs w:val="22"/>
        </w:rPr>
        <w:t xml:space="preserve"> sa rozpustí v 10 ml vody na injekciu. Injekciu treba podávať najmenej počas 2</w:t>
      </w:r>
      <w:r w:rsidR="00162BFC">
        <w:rPr>
          <w:sz w:val="22"/>
          <w:szCs w:val="22"/>
        </w:rPr>
        <w:t xml:space="preserve"> </w:t>
      </w:r>
      <w:r w:rsidRPr="0079786F">
        <w:rPr>
          <w:sz w:val="22"/>
          <w:szCs w:val="22"/>
        </w:rPr>
        <w:t>-</w:t>
      </w:r>
      <w:r w:rsidR="00162BFC">
        <w:rPr>
          <w:sz w:val="22"/>
          <w:szCs w:val="22"/>
        </w:rPr>
        <w:t xml:space="preserve"> </w:t>
      </w:r>
      <w:r w:rsidRPr="0079786F">
        <w:rPr>
          <w:sz w:val="22"/>
          <w:szCs w:val="22"/>
        </w:rPr>
        <w:t>4</w:t>
      </w:r>
      <w:r w:rsidR="00162BFC">
        <w:rPr>
          <w:sz w:val="22"/>
          <w:szCs w:val="22"/>
        </w:rPr>
        <w:t> </w:t>
      </w:r>
      <w:r w:rsidRPr="0079786F">
        <w:rPr>
          <w:sz w:val="22"/>
          <w:szCs w:val="22"/>
        </w:rPr>
        <w:t>minút, priamo do žily alebo v hadičke na intravenóznu infúziu. Pre kompatibilitu pozri časť 4.2.</w:t>
      </w:r>
    </w:p>
    <w:p w14:paraId="4DB03AB7" w14:textId="77777777" w:rsidR="00A94D41" w:rsidRPr="0079786F" w:rsidRDefault="00A94D41" w:rsidP="00B7315D">
      <w:pPr>
        <w:jc w:val="both"/>
        <w:rPr>
          <w:sz w:val="22"/>
          <w:szCs w:val="22"/>
        </w:rPr>
      </w:pPr>
    </w:p>
    <w:p w14:paraId="7CC96667" w14:textId="77777777" w:rsidR="00A94D41" w:rsidRPr="0079786F" w:rsidRDefault="00A94D41" w:rsidP="00B7315D">
      <w:pPr>
        <w:jc w:val="both"/>
        <w:rPr>
          <w:sz w:val="22"/>
          <w:szCs w:val="22"/>
        </w:rPr>
      </w:pPr>
      <w:r w:rsidRPr="0079786F">
        <w:rPr>
          <w:sz w:val="22"/>
          <w:szCs w:val="22"/>
        </w:rPr>
        <w:t xml:space="preserve">Zriedený roztok na injekciu je bledožltej farby, ktorá nenarúša účinnosť ani znášanlivosť lieku Ceftron </w:t>
      </w:r>
      <w:smartTag w:uri="urn:schemas-microsoft-com:office:smarttags" w:element="metricconverter">
        <w:smartTagPr>
          <w:attr w:name="ProductID" w:val="1 g"/>
        </w:smartTagPr>
        <w:r w:rsidRPr="0079786F">
          <w:rPr>
            <w:sz w:val="22"/>
            <w:szCs w:val="22"/>
          </w:rPr>
          <w:t>1 g</w:t>
        </w:r>
      </w:smartTag>
      <w:r w:rsidRPr="0079786F">
        <w:rPr>
          <w:sz w:val="22"/>
          <w:szCs w:val="22"/>
        </w:rPr>
        <w:t xml:space="preserve">. </w:t>
      </w:r>
    </w:p>
    <w:p w14:paraId="556A7B26" w14:textId="77777777" w:rsidR="00A94D41" w:rsidRPr="0079786F" w:rsidRDefault="00A94D41" w:rsidP="00B7315D">
      <w:pPr>
        <w:jc w:val="both"/>
        <w:rPr>
          <w:sz w:val="22"/>
          <w:szCs w:val="22"/>
        </w:rPr>
      </w:pPr>
      <w:r w:rsidRPr="0079786F">
        <w:rPr>
          <w:sz w:val="22"/>
          <w:szCs w:val="22"/>
        </w:rPr>
        <w:t xml:space="preserve">Zriedené roztoky treba vizuálne skontrolovať. Použité majú byť iba číre roztoky bez viditeľných častíc. Zriedený prípravok je iba na jedno použitie a akýkoľvek nepoužitý roztok musí byť </w:t>
      </w:r>
      <w:r w:rsidR="00162BFC">
        <w:rPr>
          <w:sz w:val="22"/>
          <w:szCs w:val="22"/>
        </w:rPr>
        <w:t>zlikvidovaný</w:t>
      </w:r>
      <w:r w:rsidRPr="0079786F">
        <w:rPr>
          <w:sz w:val="22"/>
          <w:szCs w:val="22"/>
        </w:rPr>
        <w:t>.</w:t>
      </w:r>
    </w:p>
    <w:p w14:paraId="710332D9" w14:textId="77777777" w:rsidR="00A94D41" w:rsidRPr="0079786F" w:rsidRDefault="00A94D41" w:rsidP="00B7315D">
      <w:pPr>
        <w:jc w:val="both"/>
        <w:rPr>
          <w:sz w:val="22"/>
          <w:szCs w:val="22"/>
        </w:rPr>
      </w:pPr>
    </w:p>
    <w:p w14:paraId="22C2AB11" w14:textId="77777777" w:rsidR="00A94D41" w:rsidRPr="0079786F" w:rsidRDefault="00A94D41" w:rsidP="00B7315D">
      <w:pPr>
        <w:jc w:val="both"/>
        <w:rPr>
          <w:sz w:val="22"/>
          <w:szCs w:val="22"/>
        </w:rPr>
      </w:pPr>
      <w:r w:rsidRPr="0079786F">
        <w:rPr>
          <w:sz w:val="22"/>
          <w:szCs w:val="22"/>
        </w:rPr>
        <w:t>Nepoužitý liek alebo odpad vzniknutý z lieku treba vrátiť do lekárne.</w:t>
      </w:r>
    </w:p>
    <w:p w14:paraId="212964F3" w14:textId="77777777" w:rsidR="00A94D41" w:rsidRDefault="00A94D41" w:rsidP="00B7315D">
      <w:pPr>
        <w:jc w:val="both"/>
        <w:rPr>
          <w:sz w:val="22"/>
          <w:szCs w:val="22"/>
        </w:rPr>
      </w:pPr>
    </w:p>
    <w:p w14:paraId="4C12737A" w14:textId="77777777" w:rsidR="00A94D41" w:rsidRPr="0079786F" w:rsidRDefault="00A94D41" w:rsidP="00B7315D">
      <w:pPr>
        <w:jc w:val="both"/>
        <w:rPr>
          <w:sz w:val="22"/>
          <w:szCs w:val="22"/>
        </w:rPr>
      </w:pPr>
    </w:p>
    <w:p w14:paraId="7AE4E7CF" w14:textId="77777777" w:rsidR="00A94D41" w:rsidRPr="0079786F" w:rsidRDefault="00A94D41" w:rsidP="00B7315D">
      <w:pPr>
        <w:jc w:val="both"/>
        <w:rPr>
          <w:sz w:val="22"/>
          <w:szCs w:val="22"/>
        </w:rPr>
      </w:pPr>
      <w:r w:rsidRPr="0079786F">
        <w:rPr>
          <w:b/>
          <w:sz w:val="22"/>
          <w:szCs w:val="22"/>
        </w:rPr>
        <w:t>7.</w:t>
      </w:r>
      <w:r w:rsidRPr="0079786F">
        <w:rPr>
          <w:b/>
          <w:sz w:val="22"/>
          <w:szCs w:val="22"/>
        </w:rPr>
        <w:tab/>
        <w:t>DRŽITEĽ ROZHODNUTIA O REGISTRÁCII</w:t>
      </w:r>
    </w:p>
    <w:p w14:paraId="3A9DDDE5" w14:textId="77777777" w:rsidR="00A94D41" w:rsidRPr="0079786F" w:rsidRDefault="00A94D41" w:rsidP="00B7315D">
      <w:pPr>
        <w:jc w:val="both"/>
        <w:rPr>
          <w:sz w:val="22"/>
          <w:szCs w:val="22"/>
        </w:rPr>
      </w:pPr>
    </w:p>
    <w:p w14:paraId="55567108" w14:textId="77777777" w:rsidR="00E8356F" w:rsidRPr="005527BC" w:rsidRDefault="00E8356F" w:rsidP="00B7315D">
      <w:pPr>
        <w:pStyle w:val="Nadpis4"/>
        <w:tabs>
          <w:tab w:val="left" w:pos="567"/>
        </w:tabs>
        <w:spacing w:before="0" w:after="0" w:line="240" w:lineRule="auto"/>
        <w:rPr>
          <w:rFonts w:ascii="Times New Roman" w:hAnsi="Times New Roman" w:cs="Times New Roman"/>
          <w:b w:val="0"/>
          <w:bCs w:val="0"/>
          <w:sz w:val="22"/>
          <w:szCs w:val="22"/>
          <w:lang w:val="sk-SK"/>
        </w:rPr>
      </w:pPr>
      <w:r>
        <w:rPr>
          <w:rFonts w:ascii="Times New Roman" w:hAnsi="Times New Roman" w:cs="Times New Roman"/>
          <w:b w:val="0"/>
          <w:bCs w:val="0"/>
          <w:sz w:val="22"/>
          <w:szCs w:val="22"/>
          <w:lang w:val="sk-SK"/>
        </w:rPr>
        <w:t xml:space="preserve">BB Pharma a.s., </w:t>
      </w:r>
      <w:r w:rsidR="005A4155">
        <w:rPr>
          <w:rFonts w:ascii="Times New Roman" w:hAnsi="Times New Roman" w:cs="Times New Roman"/>
          <w:b w:val="0"/>
          <w:bCs w:val="0"/>
          <w:sz w:val="22"/>
          <w:szCs w:val="22"/>
          <w:lang w:val="sk-SK"/>
        </w:rPr>
        <w:t>Durychova 101/66</w:t>
      </w:r>
      <w:r>
        <w:rPr>
          <w:rFonts w:ascii="Times New Roman" w:hAnsi="Times New Roman" w:cs="Times New Roman"/>
          <w:b w:val="0"/>
          <w:bCs w:val="0"/>
          <w:sz w:val="22"/>
          <w:szCs w:val="22"/>
          <w:lang w:val="sk-SK"/>
        </w:rPr>
        <w:t xml:space="preserve">, </w:t>
      </w:r>
      <w:r w:rsidR="005A4155">
        <w:rPr>
          <w:rFonts w:ascii="Times New Roman" w:hAnsi="Times New Roman" w:cs="Times New Roman"/>
          <w:b w:val="0"/>
          <w:bCs w:val="0"/>
          <w:sz w:val="22"/>
          <w:szCs w:val="22"/>
          <w:lang w:val="sk-SK"/>
        </w:rPr>
        <w:t xml:space="preserve">142 </w:t>
      </w:r>
      <w:r>
        <w:rPr>
          <w:rFonts w:ascii="Times New Roman" w:hAnsi="Times New Roman" w:cs="Times New Roman"/>
          <w:b w:val="0"/>
          <w:bCs w:val="0"/>
          <w:sz w:val="22"/>
          <w:szCs w:val="22"/>
          <w:lang w:val="sk-SK"/>
        </w:rPr>
        <w:t>00 Praha 4</w:t>
      </w:r>
      <w:r w:rsidR="005A4155">
        <w:rPr>
          <w:rFonts w:ascii="Times New Roman" w:hAnsi="Times New Roman" w:cs="Times New Roman"/>
          <w:b w:val="0"/>
          <w:bCs w:val="0"/>
          <w:sz w:val="22"/>
          <w:szCs w:val="22"/>
          <w:lang w:val="sk-SK"/>
        </w:rPr>
        <w:t xml:space="preserve"> - Lhotka</w:t>
      </w:r>
      <w:r>
        <w:rPr>
          <w:rFonts w:ascii="Times New Roman" w:hAnsi="Times New Roman" w:cs="Times New Roman"/>
          <w:b w:val="0"/>
          <w:bCs w:val="0"/>
          <w:sz w:val="22"/>
          <w:szCs w:val="22"/>
          <w:lang w:val="sk-SK"/>
        </w:rPr>
        <w:t>, Česká republika</w:t>
      </w:r>
    </w:p>
    <w:p w14:paraId="703B2DC0" w14:textId="77777777" w:rsidR="00A94D41" w:rsidRDefault="00A94D41" w:rsidP="00B7315D">
      <w:pPr>
        <w:jc w:val="both"/>
        <w:rPr>
          <w:sz w:val="22"/>
          <w:szCs w:val="22"/>
        </w:rPr>
      </w:pPr>
    </w:p>
    <w:p w14:paraId="29570388" w14:textId="77777777" w:rsidR="00E8356F" w:rsidRPr="0079786F" w:rsidRDefault="00E8356F" w:rsidP="00B7315D">
      <w:pPr>
        <w:jc w:val="both"/>
        <w:rPr>
          <w:sz w:val="22"/>
          <w:szCs w:val="22"/>
        </w:rPr>
      </w:pPr>
    </w:p>
    <w:p w14:paraId="0A2F37B9" w14:textId="77777777" w:rsidR="00A94D41" w:rsidRPr="0079786F" w:rsidRDefault="00A94D41" w:rsidP="00B7315D">
      <w:pPr>
        <w:jc w:val="both"/>
        <w:rPr>
          <w:sz w:val="22"/>
          <w:szCs w:val="22"/>
        </w:rPr>
      </w:pPr>
      <w:r w:rsidRPr="0079786F">
        <w:rPr>
          <w:b/>
          <w:sz w:val="22"/>
          <w:szCs w:val="22"/>
        </w:rPr>
        <w:t>8.</w:t>
      </w:r>
      <w:r w:rsidRPr="0079786F">
        <w:rPr>
          <w:b/>
          <w:sz w:val="22"/>
          <w:szCs w:val="22"/>
        </w:rPr>
        <w:tab/>
        <w:t xml:space="preserve">REGISTRAČNÉ ČÍSLO </w:t>
      </w:r>
    </w:p>
    <w:p w14:paraId="50797A57" w14:textId="77777777" w:rsidR="00A94D41" w:rsidRDefault="00A94D41" w:rsidP="00B7315D">
      <w:pPr>
        <w:jc w:val="both"/>
        <w:rPr>
          <w:sz w:val="22"/>
          <w:szCs w:val="22"/>
        </w:rPr>
      </w:pPr>
    </w:p>
    <w:p w14:paraId="5F57360B" w14:textId="77777777" w:rsidR="00A94D41" w:rsidRDefault="00A94D41" w:rsidP="00B7315D">
      <w:pPr>
        <w:jc w:val="both"/>
        <w:rPr>
          <w:sz w:val="22"/>
          <w:szCs w:val="22"/>
        </w:rPr>
      </w:pPr>
      <w:r>
        <w:rPr>
          <w:sz w:val="22"/>
          <w:szCs w:val="22"/>
        </w:rPr>
        <w:t>15/</w:t>
      </w:r>
      <w:r w:rsidR="0042715B">
        <w:rPr>
          <w:sz w:val="22"/>
          <w:szCs w:val="22"/>
        </w:rPr>
        <w:t>0279</w:t>
      </w:r>
      <w:r>
        <w:rPr>
          <w:sz w:val="22"/>
          <w:szCs w:val="22"/>
        </w:rPr>
        <w:t>/13-S</w:t>
      </w:r>
    </w:p>
    <w:p w14:paraId="2FC1270D" w14:textId="77777777" w:rsidR="00A94D41" w:rsidRPr="0079786F" w:rsidRDefault="00A94D41" w:rsidP="00B7315D">
      <w:pPr>
        <w:jc w:val="both"/>
        <w:rPr>
          <w:sz w:val="22"/>
          <w:szCs w:val="22"/>
        </w:rPr>
      </w:pPr>
    </w:p>
    <w:p w14:paraId="2003FC82" w14:textId="77777777" w:rsidR="00A94D41" w:rsidRPr="0079786F" w:rsidRDefault="00A94D41" w:rsidP="00B7315D">
      <w:pPr>
        <w:jc w:val="both"/>
        <w:rPr>
          <w:sz w:val="22"/>
          <w:szCs w:val="22"/>
        </w:rPr>
      </w:pPr>
    </w:p>
    <w:p w14:paraId="53FAD873" w14:textId="77777777" w:rsidR="00A94D41" w:rsidRPr="0079786F" w:rsidRDefault="00A94D41" w:rsidP="00B7315D">
      <w:pPr>
        <w:jc w:val="both"/>
        <w:rPr>
          <w:sz w:val="22"/>
          <w:szCs w:val="22"/>
        </w:rPr>
      </w:pPr>
      <w:r w:rsidRPr="0079786F">
        <w:rPr>
          <w:b/>
          <w:sz w:val="22"/>
          <w:szCs w:val="22"/>
        </w:rPr>
        <w:t>9.</w:t>
      </w:r>
      <w:r w:rsidRPr="0079786F">
        <w:rPr>
          <w:b/>
          <w:sz w:val="22"/>
          <w:szCs w:val="22"/>
        </w:rPr>
        <w:tab/>
        <w:t>DÁTUM PRVEJ REGISTRÁCIE/ PREDĹŽENIA REGISTRÁCIE</w:t>
      </w:r>
    </w:p>
    <w:p w14:paraId="594E89B8" w14:textId="77777777" w:rsidR="00A94D41" w:rsidRPr="0079786F" w:rsidRDefault="00A94D41" w:rsidP="00B7315D">
      <w:pPr>
        <w:jc w:val="both"/>
        <w:rPr>
          <w:i/>
          <w:sz w:val="22"/>
          <w:szCs w:val="22"/>
        </w:rPr>
      </w:pPr>
    </w:p>
    <w:p w14:paraId="35063ECC" w14:textId="77777777" w:rsidR="00A94D41" w:rsidRDefault="00AF084D" w:rsidP="00B7315D">
      <w:pPr>
        <w:jc w:val="both"/>
        <w:rPr>
          <w:sz w:val="22"/>
          <w:szCs w:val="22"/>
        </w:rPr>
      </w:pPr>
      <w:r>
        <w:rPr>
          <w:sz w:val="22"/>
          <w:szCs w:val="22"/>
        </w:rPr>
        <w:t>Dátum prvej registrácie: 27.</w:t>
      </w:r>
      <w:r w:rsidR="00BC394F">
        <w:rPr>
          <w:sz w:val="22"/>
          <w:szCs w:val="22"/>
        </w:rPr>
        <w:t xml:space="preserve"> jún </w:t>
      </w:r>
      <w:r>
        <w:rPr>
          <w:sz w:val="22"/>
          <w:szCs w:val="22"/>
        </w:rPr>
        <w:t>2013</w:t>
      </w:r>
    </w:p>
    <w:p w14:paraId="4BA3E19D" w14:textId="77777777" w:rsidR="00BC394F" w:rsidRDefault="00BC394F" w:rsidP="00B7315D">
      <w:pPr>
        <w:jc w:val="both"/>
        <w:rPr>
          <w:sz w:val="22"/>
          <w:szCs w:val="22"/>
        </w:rPr>
      </w:pPr>
      <w:r>
        <w:rPr>
          <w:sz w:val="22"/>
          <w:szCs w:val="22"/>
        </w:rPr>
        <w:t>Dátum posledného predĺženia registrácie:</w:t>
      </w:r>
    </w:p>
    <w:p w14:paraId="69132524" w14:textId="77777777" w:rsidR="00A94D41" w:rsidRDefault="00A94D41" w:rsidP="00B7315D">
      <w:pPr>
        <w:jc w:val="both"/>
        <w:rPr>
          <w:sz w:val="22"/>
          <w:szCs w:val="22"/>
        </w:rPr>
      </w:pPr>
    </w:p>
    <w:p w14:paraId="1E84BF81" w14:textId="77777777" w:rsidR="00AF084D" w:rsidRPr="0079786F" w:rsidRDefault="00AF084D" w:rsidP="00B7315D">
      <w:pPr>
        <w:jc w:val="both"/>
        <w:rPr>
          <w:sz w:val="22"/>
          <w:szCs w:val="22"/>
        </w:rPr>
      </w:pPr>
    </w:p>
    <w:p w14:paraId="65B38124" w14:textId="77777777" w:rsidR="00A31DE3" w:rsidRPr="0079786F" w:rsidRDefault="00A94D41" w:rsidP="00B7315D">
      <w:pPr>
        <w:jc w:val="both"/>
        <w:rPr>
          <w:b/>
          <w:sz w:val="22"/>
          <w:szCs w:val="22"/>
        </w:rPr>
      </w:pPr>
      <w:r w:rsidRPr="0079786F">
        <w:rPr>
          <w:b/>
          <w:sz w:val="22"/>
          <w:szCs w:val="22"/>
        </w:rPr>
        <w:t>10.</w:t>
      </w:r>
      <w:r w:rsidRPr="0079786F">
        <w:rPr>
          <w:b/>
          <w:sz w:val="22"/>
          <w:szCs w:val="22"/>
        </w:rPr>
        <w:tab/>
        <w:t>DÁTUM REVÍZIE TEXTU</w:t>
      </w:r>
    </w:p>
    <w:p w14:paraId="326E34A5" w14:textId="77777777" w:rsidR="00A94D41" w:rsidRPr="0079786F" w:rsidRDefault="00A94D41" w:rsidP="00B7315D">
      <w:pPr>
        <w:jc w:val="both"/>
        <w:rPr>
          <w:sz w:val="22"/>
          <w:szCs w:val="22"/>
        </w:rPr>
      </w:pPr>
    </w:p>
    <w:p w14:paraId="4AFE774E" w14:textId="320485D3" w:rsidR="00C96F24" w:rsidRDefault="003B6B0E" w:rsidP="00B7315D">
      <w:pPr>
        <w:numPr>
          <w:ilvl w:val="12"/>
          <w:numId w:val="0"/>
        </w:numPr>
        <w:ind w:right="-2"/>
        <w:jc w:val="both"/>
      </w:pPr>
      <w:r>
        <w:rPr>
          <w:sz w:val="22"/>
          <w:szCs w:val="22"/>
        </w:rPr>
        <w:t>09/2019</w:t>
      </w:r>
    </w:p>
    <w:sectPr w:rsidR="00C96F24" w:rsidSect="00E8356F">
      <w:headerReference w:type="default" r:id="rId8"/>
      <w:footerReference w:type="default" r:id="rId9"/>
      <w:pgSz w:w="11906" w:h="16838"/>
      <w:pgMar w:top="1134"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EFA7A9" w16cid:durableId="2112A0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C0710" w14:textId="77777777" w:rsidR="00BE5745" w:rsidRDefault="00BE5745">
      <w:r>
        <w:separator/>
      </w:r>
    </w:p>
  </w:endnote>
  <w:endnote w:type="continuationSeparator" w:id="0">
    <w:p w14:paraId="4EE97762" w14:textId="77777777" w:rsidR="00BE5745" w:rsidRDefault="00BE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C69E4" w14:textId="7ABACFC8" w:rsidR="00B7315D" w:rsidRPr="00BF1376" w:rsidRDefault="00B7315D" w:rsidP="00BF1376">
    <w:pPr>
      <w:pStyle w:val="Pta"/>
      <w:jc w:val="center"/>
      <w:rPr>
        <w:sz w:val="18"/>
        <w:szCs w:val="18"/>
      </w:rPr>
    </w:pPr>
    <w:r w:rsidRPr="00B7315D">
      <w:rPr>
        <w:sz w:val="18"/>
        <w:szCs w:val="18"/>
      </w:rPr>
      <w:fldChar w:fldCharType="begin"/>
    </w:r>
    <w:r w:rsidRPr="00B7315D">
      <w:rPr>
        <w:sz w:val="18"/>
        <w:szCs w:val="18"/>
      </w:rPr>
      <w:instrText>PAGE   \* MERGEFORMAT</w:instrText>
    </w:r>
    <w:r w:rsidRPr="00B7315D">
      <w:rPr>
        <w:sz w:val="18"/>
        <w:szCs w:val="18"/>
      </w:rPr>
      <w:fldChar w:fldCharType="separate"/>
    </w:r>
    <w:r w:rsidR="00431FA3" w:rsidRPr="00431FA3">
      <w:rPr>
        <w:noProof/>
        <w:sz w:val="18"/>
        <w:szCs w:val="18"/>
        <w:lang w:val="sk-SK"/>
      </w:rPr>
      <w:t>15</w:t>
    </w:r>
    <w:r w:rsidRPr="00B7315D">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6B83F" w14:textId="77777777" w:rsidR="00BE5745" w:rsidRDefault="00BE5745">
      <w:r>
        <w:separator/>
      </w:r>
    </w:p>
  </w:footnote>
  <w:footnote w:type="continuationSeparator" w:id="0">
    <w:p w14:paraId="7B7956E1" w14:textId="77777777" w:rsidR="00BE5745" w:rsidRDefault="00BE5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23DF" w14:textId="77777777" w:rsidR="00AA2780" w:rsidRPr="00E8356F" w:rsidRDefault="00AA2780" w:rsidP="00AA2780">
    <w:pPr>
      <w:pStyle w:val="Hlavika"/>
      <w:rPr>
        <w:rFonts w:ascii="Times New Roman" w:hAnsi="Times New Roman"/>
        <w:sz w:val="18"/>
        <w:szCs w:val="18"/>
        <w:lang w:val="sk-SK"/>
      </w:rPr>
    </w:pPr>
    <w:r w:rsidRPr="00720235">
      <w:rPr>
        <w:rFonts w:ascii="Times New Roman" w:hAnsi="Times New Roman"/>
        <w:sz w:val="18"/>
        <w:szCs w:val="18"/>
        <w:lang w:val="sk-SK"/>
      </w:rPr>
      <w:t xml:space="preserve">Príloha č. </w:t>
    </w:r>
    <w:r>
      <w:rPr>
        <w:rFonts w:ascii="Times New Roman" w:hAnsi="Times New Roman"/>
        <w:sz w:val="18"/>
        <w:szCs w:val="18"/>
        <w:lang w:val="sk-SK"/>
      </w:rPr>
      <w:t>1</w:t>
    </w:r>
    <w:r w:rsidRPr="00720235">
      <w:rPr>
        <w:rFonts w:ascii="Times New Roman" w:hAnsi="Times New Roman"/>
        <w:sz w:val="18"/>
        <w:szCs w:val="18"/>
        <w:lang w:val="sk-SK"/>
      </w:rPr>
      <w:t xml:space="preserve"> k notifikácii o zmene, ev. č.: </w:t>
    </w:r>
    <w:r>
      <w:rPr>
        <w:rFonts w:ascii="Times New Roman" w:hAnsi="Times New Roman"/>
        <w:sz w:val="18"/>
        <w:szCs w:val="18"/>
        <w:lang w:val="sk-SK"/>
      </w:rPr>
      <w:t>2019/04002-Z1B</w:t>
    </w:r>
  </w:p>
  <w:p w14:paraId="6CEE4DD6" w14:textId="77777777" w:rsidR="00176440" w:rsidRPr="00EB76D6" w:rsidRDefault="00176440" w:rsidP="00E8356F">
    <w:pPr>
      <w:pStyle w:val="Hlavika"/>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37D46"/>
    <w:multiLevelType w:val="multilevel"/>
    <w:tmpl w:val="5A3ABF44"/>
    <w:lvl w:ilvl="0">
      <w:start w:val="4"/>
      <w:numFmt w:val="decimal"/>
      <w:lvlText w:val="%1"/>
      <w:lvlJc w:val="left"/>
      <w:pPr>
        <w:tabs>
          <w:tab w:val="num" w:pos="570"/>
        </w:tabs>
        <w:ind w:left="570" w:hanging="570"/>
      </w:pPr>
      <w:rPr>
        <w:rFonts w:cs="Times New Roman"/>
      </w:rPr>
    </w:lvl>
    <w:lvl w:ilvl="1">
      <w:start w:val="6"/>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1F8E40CF"/>
    <w:multiLevelType w:val="singleLevel"/>
    <w:tmpl w:val="3998EF06"/>
    <w:lvl w:ilvl="0">
      <w:numFmt w:val="bullet"/>
      <w:lvlText w:val="–"/>
      <w:lvlJc w:val="left"/>
      <w:pPr>
        <w:tabs>
          <w:tab w:val="num" w:pos="420"/>
        </w:tabs>
        <w:ind w:left="420" w:hanging="420"/>
      </w:pPr>
      <w:rPr>
        <w:rFonts w:hint="default"/>
      </w:rPr>
    </w:lvl>
  </w:abstractNum>
  <w:abstractNum w:abstractNumId="2" w15:restartNumberingAfterBreak="0">
    <w:nsid w:val="25572922"/>
    <w:multiLevelType w:val="hybridMultilevel"/>
    <w:tmpl w:val="07CA4C6A"/>
    <w:lvl w:ilvl="0" w:tplc="25B2865C">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A244F4A"/>
    <w:multiLevelType w:val="multilevel"/>
    <w:tmpl w:val="3216E6CA"/>
    <w:lvl w:ilvl="0">
      <w:start w:val="4"/>
      <w:numFmt w:val="decimal"/>
      <w:lvlText w:val="%1"/>
      <w:lvlJc w:val="left"/>
      <w:pPr>
        <w:tabs>
          <w:tab w:val="num" w:pos="570"/>
        </w:tabs>
        <w:ind w:left="570" w:hanging="570"/>
      </w:pPr>
      <w:rPr>
        <w:rFonts w:cs="Times New Roman"/>
      </w:rPr>
    </w:lvl>
    <w:lvl w:ilvl="1">
      <w:start w:val="7"/>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368E30D3"/>
    <w:multiLevelType w:val="multilevel"/>
    <w:tmpl w:val="1E90F400"/>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42812041"/>
    <w:multiLevelType w:val="singleLevel"/>
    <w:tmpl w:val="3998EF06"/>
    <w:lvl w:ilvl="0">
      <w:numFmt w:val="bullet"/>
      <w:lvlText w:val="–"/>
      <w:lvlJc w:val="left"/>
      <w:pPr>
        <w:tabs>
          <w:tab w:val="num" w:pos="420"/>
        </w:tabs>
        <w:ind w:left="420" w:hanging="420"/>
      </w:pPr>
      <w:rPr>
        <w:rFonts w:hint="default"/>
      </w:rPr>
    </w:lvl>
  </w:abstractNum>
  <w:abstractNum w:abstractNumId="6" w15:restartNumberingAfterBreak="0">
    <w:nsid w:val="5A6C3821"/>
    <w:multiLevelType w:val="multilevel"/>
    <w:tmpl w:val="D5F0DB0C"/>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67E32EC6"/>
    <w:multiLevelType w:val="multilevel"/>
    <w:tmpl w:val="1D4AE982"/>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5"/>
  </w:num>
  <w:num w:numId="2">
    <w:abstractNumId w:val="1"/>
  </w:num>
  <w:num w:numId="3">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7"/>
  </w:num>
  <w:num w:numId="9">
    <w:abstractNumId w:val="4"/>
  </w:num>
  <w:num w:numId="1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41"/>
    <w:rsid w:val="00002B81"/>
    <w:rsid w:val="00024177"/>
    <w:rsid w:val="0006607A"/>
    <w:rsid w:val="0007799E"/>
    <w:rsid w:val="00077DC6"/>
    <w:rsid w:val="00090364"/>
    <w:rsid w:val="000A66EA"/>
    <w:rsid w:val="000B6714"/>
    <w:rsid w:val="000D4BA7"/>
    <w:rsid w:val="00100BD6"/>
    <w:rsid w:val="0010240A"/>
    <w:rsid w:val="00115BFD"/>
    <w:rsid w:val="001264B3"/>
    <w:rsid w:val="00162B32"/>
    <w:rsid w:val="00162BFC"/>
    <w:rsid w:val="00162E61"/>
    <w:rsid w:val="001656BA"/>
    <w:rsid w:val="00176440"/>
    <w:rsid w:val="0018198F"/>
    <w:rsid w:val="0019002F"/>
    <w:rsid w:val="001A3FFF"/>
    <w:rsid w:val="001C736F"/>
    <w:rsid w:val="001D4542"/>
    <w:rsid w:val="001D723A"/>
    <w:rsid w:val="001F657E"/>
    <w:rsid w:val="0021496A"/>
    <w:rsid w:val="00234729"/>
    <w:rsid w:val="00240CC4"/>
    <w:rsid w:val="00263C87"/>
    <w:rsid w:val="0026619E"/>
    <w:rsid w:val="00296648"/>
    <w:rsid w:val="002A5518"/>
    <w:rsid w:val="002B2246"/>
    <w:rsid w:val="002C57AF"/>
    <w:rsid w:val="002C6E17"/>
    <w:rsid w:val="002E1E4A"/>
    <w:rsid w:val="00306F0A"/>
    <w:rsid w:val="00307076"/>
    <w:rsid w:val="003114E7"/>
    <w:rsid w:val="00321545"/>
    <w:rsid w:val="00327CBD"/>
    <w:rsid w:val="0033491A"/>
    <w:rsid w:val="003360E9"/>
    <w:rsid w:val="00396ADE"/>
    <w:rsid w:val="00397C5E"/>
    <w:rsid w:val="003B66F1"/>
    <w:rsid w:val="003B6B0E"/>
    <w:rsid w:val="003D3364"/>
    <w:rsid w:val="003E4A56"/>
    <w:rsid w:val="003F5F70"/>
    <w:rsid w:val="003F6067"/>
    <w:rsid w:val="004027FF"/>
    <w:rsid w:val="0042715B"/>
    <w:rsid w:val="00427F30"/>
    <w:rsid w:val="004316DC"/>
    <w:rsid w:val="00431FA3"/>
    <w:rsid w:val="00455DA0"/>
    <w:rsid w:val="004866A1"/>
    <w:rsid w:val="004D7604"/>
    <w:rsid w:val="004E31C0"/>
    <w:rsid w:val="004F1E44"/>
    <w:rsid w:val="004F602F"/>
    <w:rsid w:val="0050406E"/>
    <w:rsid w:val="005045C7"/>
    <w:rsid w:val="00513119"/>
    <w:rsid w:val="005230DA"/>
    <w:rsid w:val="005476CF"/>
    <w:rsid w:val="00562F97"/>
    <w:rsid w:val="00564A01"/>
    <w:rsid w:val="00565F55"/>
    <w:rsid w:val="005A3D64"/>
    <w:rsid w:val="005A4155"/>
    <w:rsid w:val="005D1192"/>
    <w:rsid w:val="005E0979"/>
    <w:rsid w:val="00612C97"/>
    <w:rsid w:val="0062445E"/>
    <w:rsid w:val="006552D6"/>
    <w:rsid w:val="0069076F"/>
    <w:rsid w:val="006C41EB"/>
    <w:rsid w:val="006D1B6E"/>
    <w:rsid w:val="006E24AA"/>
    <w:rsid w:val="00720235"/>
    <w:rsid w:val="00720FC1"/>
    <w:rsid w:val="00721EAC"/>
    <w:rsid w:val="00730200"/>
    <w:rsid w:val="00743148"/>
    <w:rsid w:val="007507C1"/>
    <w:rsid w:val="00762A10"/>
    <w:rsid w:val="007649D7"/>
    <w:rsid w:val="00772AED"/>
    <w:rsid w:val="00772CB8"/>
    <w:rsid w:val="00793FF9"/>
    <w:rsid w:val="007F1B7B"/>
    <w:rsid w:val="008007F5"/>
    <w:rsid w:val="0081067D"/>
    <w:rsid w:val="00816215"/>
    <w:rsid w:val="0082785E"/>
    <w:rsid w:val="00827FFA"/>
    <w:rsid w:val="008368DF"/>
    <w:rsid w:val="00845497"/>
    <w:rsid w:val="00854359"/>
    <w:rsid w:val="00857AF9"/>
    <w:rsid w:val="00857FC9"/>
    <w:rsid w:val="00860F13"/>
    <w:rsid w:val="008658B9"/>
    <w:rsid w:val="008813DE"/>
    <w:rsid w:val="00897271"/>
    <w:rsid w:val="008A30B2"/>
    <w:rsid w:val="008B4E08"/>
    <w:rsid w:val="008C2E4E"/>
    <w:rsid w:val="008F21F1"/>
    <w:rsid w:val="00906F19"/>
    <w:rsid w:val="0092013D"/>
    <w:rsid w:val="009206B7"/>
    <w:rsid w:val="00933A3B"/>
    <w:rsid w:val="009406BB"/>
    <w:rsid w:val="00940CBE"/>
    <w:rsid w:val="009B0936"/>
    <w:rsid w:val="009B29A3"/>
    <w:rsid w:val="009B4735"/>
    <w:rsid w:val="009B666E"/>
    <w:rsid w:val="009D43D1"/>
    <w:rsid w:val="009D7DA1"/>
    <w:rsid w:val="009E5A03"/>
    <w:rsid w:val="009F429F"/>
    <w:rsid w:val="00A01F6C"/>
    <w:rsid w:val="00A14F03"/>
    <w:rsid w:val="00A1655D"/>
    <w:rsid w:val="00A24BC6"/>
    <w:rsid w:val="00A24D2C"/>
    <w:rsid w:val="00A31DE3"/>
    <w:rsid w:val="00A40FEC"/>
    <w:rsid w:val="00A4718B"/>
    <w:rsid w:val="00A63A95"/>
    <w:rsid w:val="00A94D41"/>
    <w:rsid w:val="00AA2780"/>
    <w:rsid w:val="00AD576C"/>
    <w:rsid w:val="00AE2040"/>
    <w:rsid w:val="00AF084D"/>
    <w:rsid w:val="00B16CB2"/>
    <w:rsid w:val="00B23D35"/>
    <w:rsid w:val="00B321AF"/>
    <w:rsid w:val="00B4084D"/>
    <w:rsid w:val="00B43074"/>
    <w:rsid w:val="00B6592A"/>
    <w:rsid w:val="00B660B6"/>
    <w:rsid w:val="00B7315D"/>
    <w:rsid w:val="00B8120B"/>
    <w:rsid w:val="00B87BD8"/>
    <w:rsid w:val="00B97AA1"/>
    <w:rsid w:val="00BA4CF2"/>
    <w:rsid w:val="00BA7F6F"/>
    <w:rsid w:val="00BC394F"/>
    <w:rsid w:val="00BE5745"/>
    <w:rsid w:val="00BF1376"/>
    <w:rsid w:val="00BF70BA"/>
    <w:rsid w:val="00C03BE8"/>
    <w:rsid w:val="00C21E9E"/>
    <w:rsid w:val="00C3085D"/>
    <w:rsid w:val="00C30B9D"/>
    <w:rsid w:val="00C7160F"/>
    <w:rsid w:val="00C96F24"/>
    <w:rsid w:val="00CB6725"/>
    <w:rsid w:val="00CB7EB0"/>
    <w:rsid w:val="00CD6C65"/>
    <w:rsid w:val="00CE6F5B"/>
    <w:rsid w:val="00D02991"/>
    <w:rsid w:val="00D03CB2"/>
    <w:rsid w:val="00D12C44"/>
    <w:rsid w:val="00D30520"/>
    <w:rsid w:val="00D33BC1"/>
    <w:rsid w:val="00D83AFA"/>
    <w:rsid w:val="00D90B24"/>
    <w:rsid w:val="00D95F08"/>
    <w:rsid w:val="00DA0FD4"/>
    <w:rsid w:val="00DA7542"/>
    <w:rsid w:val="00DB1FF8"/>
    <w:rsid w:val="00DF684D"/>
    <w:rsid w:val="00E10D5F"/>
    <w:rsid w:val="00E206BE"/>
    <w:rsid w:val="00E20AC7"/>
    <w:rsid w:val="00E52F1F"/>
    <w:rsid w:val="00E60B15"/>
    <w:rsid w:val="00E6193B"/>
    <w:rsid w:val="00E73052"/>
    <w:rsid w:val="00E80ED6"/>
    <w:rsid w:val="00E81854"/>
    <w:rsid w:val="00E8356F"/>
    <w:rsid w:val="00E942DC"/>
    <w:rsid w:val="00E976EA"/>
    <w:rsid w:val="00EB76D6"/>
    <w:rsid w:val="00EC4CB8"/>
    <w:rsid w:val="00ED3BE3"/>
    <w:rsid w:val="00ED3C29"/>
    <w:rsid w:val="00EE215B"/>
    <w:rsid w:val="00EE5322"/>
    <w:rsid w:val="00F061E1"/>
    <w:rsid w:val="00F271DD"/>
    <w:rsid w:val="00F42800"/>
    <w:rsid w:val="00F63CE5"/>
    <w:rsid w:val="00F97ACC"/>
    <w:rsid w:val="00FF2D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1A37DF5"/>
  <w15:chartTrackingRefBased/>
  <w15:docId w15:val="{3A6A40F0-3A29-4D68-B2E7-D2BEDE5E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4D41"/>
    <w:rPr>
      <w:sz w:val="24"/>
      <w:szCs w:val="24"/>
    </w:rPr>
  </w:style>
  <w:style w:type="paragraph" w:styleId="Nadpis3">
    <w:name w:val="heading 3"/>
    <w:basedOn w:val="Normlny"/>
    <w:next w:val="Normlny"/>
    <w:link w:val="Nadpis3Char"/>
    <w:qFormat/>
    <w:rsid w:val="00A94D41"/>
    <w:pPr>
      <w:keepNext/>
      <w:outlineLvl w:val="2"/>
    </w:pPr>
    <w:rPr>
      <w:rFonts w:ascii="Arial" w:hAnsi="Arial"/>
      <w:b/>
      <w:sz w:val="20"/>
      <w:szCs w:val="20"/>
      <w:lang w:val="x-none" w:eastAsia="en-US"/>
    </w:rPr>
  </w:style>
  <w:style w:type="paragraph" w:styleId="Nadpis4">
    <w:name w:val="heading 4"/>
    <w:basedOn w:val="Normlny"/>
    <w:next w:val="Normlny"/>
    <w:qFormat/>
    <w:rsid w:val="00E8356F"/>
    <w:pPr>
      <w:keepNext/>
      <w:spacing w:before="240" w:after="60" w:line="240" w:lineRule="atLeast"/>
      <w:jc w:val="both"/>
      <w:outlineLvl w:val="3"/>
    </w:pPr>
    <w:rPr>
      <w:rFonts w:ascii="Arial" w:hAnsi="Arial" w:cs="Arial"/>
      <w:b/>
      <w:bCs/>
      <w:sz w:val="28"/>
      <w:szCs w:val="28"/>
      <w:lang w:val="de-DE"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sid w:val="00A94D41"/>
    <w:rPr>
      <w:rFonts w:ascii="Arial" w:hAnsi="Arial"/>
      <w:b/>
      <w:lang w:eastAsia="en-US"/>
    </w:rPr>
  </w:style>
  <w:style w:type="paragraph" w:styleId="Hlavika">
    <w:name w:val="header"/>
    <w:basedOn w:val="Normlny"/>
    <w:link w:val="HlavikaChar"/>
    <w:rsid w:val="00A94D41"/>
    <w:pPr>
      <w:tabs>
        <w:tab w:val="center" w:pos="4536"/>
        <w:tab w:val="right" w:pos="9072"/>
      </w:tabs>
    </w:pPr>
    <w:rPr>
      <w:rFonts w:ascii="Arial" w:hAnsi="Arial"/>
      <w:sz w:val="20"/>
      <w:szCs w:val="20"/>
      <w:lang w:val="de-DE" w:eastAsia="de-DE"/>
    </w:rPr>
  </w:style>
  <w:style w:type="character" w:customStyle="1" w:styleId="HlavikaChar">
    <w:name w:val="Hlavička Char"/>
    <w:link w:val="Hlavika"/>
    <w:rsid w:val="00A94D41"/>
    <w:rPr>
      <w:rFonts w:ascii="Arial" w:hAnsi="Arial"/>
      <w:lang w:val="de-DE" w:eastAsia="de-DE"/>
    </w:rPr>
  </w:style>
  <w:style w:type="paragraph" w:customStyle="1" w:styleId="spc-s">
    <w:name w:val="spc-üs"/>
    <w:basedOn w:val="Normlny"/>
    <w:rsid w:val="00A94D41"/>
    <w:pPr>
      <w:tabs>
        <w:tab w:val="left" w:pos="851"/>
      </w:tabs>
      <w:spacing w:before="240" w:after="200"/>
    </w:pPr>
    <w:rPr>
      <w:rFonts w:ascii="Arial" w:hAnsi="Arial"/>
      <w:b/>
      <w:sz w:val="20"/>
      <w:szCs w:val="20"/>
      <w:lang w:val="de-DE" w:eastAsia="de-DE"/>
    </w:rPr>
  </w:style>
  <w:style w:type="paragraph" w:customStyle="1" w:styleId="knZulassung02">
    <w:name w:val="knZulassung02"/>
    <w:basedOn w:val="Normlny"/>
    <w:rsid w:val="00A94D41"/>
    <w:pPr>
      <w:autoSpaceDE w:val="0"/>
      <w:autoSpaceDN w:val="0"/>
      <w:ind w:left="1843" w:right="284"/>
    </w:pPr>
    <w:rPr>
      <w:rFonts w:ascii="Courier" w:hAnsi="Courier"/>
      <w:lang w:val="de-DE" w:eastAsia="de-DE"/>
    </w:rPr>
  </w:style>
  <w:style w:type="paragraph" w:styleId="Obyajntext">
    <w:name w:val="Plain Text"/>
    <w:basedOn w:val="Normlny"/>
    <w:link w:val="ObyajntextChar"/>
    <w:rsid w:val="00A94D41"/>
    <w:pPr>
      <w:autoSpaceDE w:val="0"/>
      <w:autoSpaceDN w:val="0"/>
    </w:pPr>
    <w:rPr>
      <w:rFonts w:ascii="Courier New" w:hAnsi="Courier New"/>
      <w:sz w:val="20"/>
      <w:szCs w:val="20"/>
      <w:lang w:val="en-GB" w:eastAsia="en-US"/>
    </w:rPr>
  </w:style>
  <w:style w:type="character" w:customStyle="1" w:styleId="ObyajntextChar">
    <w:name w:val="Obyčajný text Char"/>
    <w:link w:val="Obyajntext"/>
    <w:rsid w:val="00A94D41"/>
    <w:rPr>
      <w:rFonts w:ascii="Courier New" w:hAnsi="Courier New" w:cs="Courier New"/>
      <w:lang w:val="en-GB" w:eastAsia="en-US"/>
    </w:rPr>
  </w:style>
  <w:style w:type="paragraph" w:styleId="Zarkazkladnhotextu3">
    <w:name w:val="Body Text Indent 3"/>
    <w:basedOn w:val="Normlny"/>
    <w:link w:val="Zarkazkladnhotextu3Char"/>
    <w:rsid w:val="00A94D41"/>
    <w:pPr>
      <w:spacing w:line="288" w:lineRule="auto"/>
      <w:ind w:left="851"/>
      <w:jc w:val="both"/>
    </w:pPr>
    <w:rPr>
      <w:lang w:val="en-GB" w:eastAsia="de-DE"/>
    </w:rPr>
  </w:style>
  <w:style w:type="character" w:customStyle="1" w:styleId="Zarkazkladnhotextu3Char">
    <w:name w:val="Zarážka základného textu 3 Char"/>
    <w:link w:val="Zarkazkladnhotextu3"/>
    <w:rsid w:val="00A94D41"/>
    <w:rPr>
      <w:sz w:val="24"/>
      <w:szCs w:val="24"/>
      <w:lang w:val="en-GB" w:eastAsia="de-DE"/>
    </w:rPr>
  </w:style>
  <w:style w:type="paragraph" w:styleId="Zarkazkladnhotextu">
    <w:name w:val="Body Text Indent"/>
    <w:basedOn w:val="Normlny"/>
    <w:link w:val="ZarkazkladnhotextuChar"/>
    <w:rsid w:val="00A94D41"/>
    <w:pPr>
      <w:spacing w:after="120"/>
      <w:ind w:left="283"/>
    </w:pPr>
    <w:rPr>
      <w:lang w:val="x-none" w:eastAsia="x-none"/>
    </w:rPr>
  </w:style>
  <w:style w:type="character" w:customStyle="1" w:styleId="ZarkazkladnhotextuChar">
    <w:name w:val="Zarážka základného textu Char"/>
    <w:link w:val="Zarkazkladnhotextu"/>
    <w:rsid w:val="00A94D41"/>
    <w:rPr>
      <w:sz w:val="24"/>
      <w:szCs w:val="24"/>
    </w:rPr>
  </w:style>
  <w:style w:type="paragraph" w:styleId="Pta">
    <w:name w:val="footer"/>
    <w:basedOn w:val="Normlny"/>
    <w:link w:val="PtaChar"/>
    <w:uiPriority w:val="99"/>
    <w:rsid w:val="00A94D41"/>
    <w:pPr>
      <w:tabs>
        <w:tab w:val="center" w:pos="4536"/>
        <w:tab w:val="right" w:pos="9072"/>
      </w:tabs>
    </w:pPr>
    <w:rPr>
      <w:lang w:val="x-none" w:eastAsia="x-none"/>
    </w:rPr>
  </w:style>
  <w:style w:type="character" w:customStyle="1" w:styleId="PtaChar">
    <w:name w:val="Päta Char"/>
    <w:link w:val="Pta"/>
    <w:uiPriority w:val="99"/>
    <w:rsid w:val="00A94D41"/>
    <w:rPr>
      <w:sz w:val="24"/>
      <w:szCs w:val="24"/>
    </w:rPr>
  </w:style>
  <w:style w:type="paragraph" w:styleId="Zkladntext">
    <w:name w:val="Body Text"/>
    <w:basedOn w:val="Normlny"/>
    <w:link w:val="ZkladntextChar"/>
    <w:rsid w:val="00A94D41"/>
    <w:pPr>
      <w:spacing w:after="120"/>
    </w:pPr>
    <w:rPr>
      <w:lang w:val="x-none" w:eastAsia="x-none"/>
    </w:rPr>
  </w:style>
  <w:style w:type="character" w:customStyle="1" w:styleId="ZkladntextChar">
    <w:name w:val="Základný text Char"/>
    <w:link w:val="Zkladntext"/>
    <w:rsid w:val="00A94D41"/>
    <w:rPr>
      <w:sz w:val="24"/>
      <w:szCs w:val="24"/>
    </w:rPr>
  </w:style>
  <w:style w:type="character" w:styleId="Hypertextovprepojenie">
    <w:name w:val="Hyperlink"/>
    <w:rsid w:val="00A94D41"/>
    <w:rPr>
      <w:color w:val="0000FF"/>
      <w:u w:val="single"/>
    </w:rPr>
  </w:style>
  <w:style w:type="character" w:styleId="PouitHypertextovPrepojenie">
    <w:name w:val="FollowedHyperlink"/>
    <w:uiPriority w:val="99"/>
    <w:semiHidden/>
    <w:unhideWhenUsed/>
    <w:rsid w:val="00A94D41"/>
    <w:rPr>
      <w:color w:val="800080"/>
      <w:u w:val="single"/>
    </w:rPr>
  </w:style>
  <w:style w:type="paragraph" w:styleId="truktradokumentu">
    <w:name w:val="Document Map"/>
    <w:basedOn w:val="Normlny"/>
    <w:semiHidden/>
    <w:rsid w:val="00090364"/>
    <w:pPr>
      <w:shd w:val="clear" w:color="auto" w:fill="000080"/>
    </w:pPr>
    <w:rPr>
      <w:rFonts w:ascii="Tahoma" w:hAnsi="Tahoma" w:cs="Tahoma"/>
      <w:sz w:val="20"/>
      <w:szCs w:val="20"/>
    </w:rPr>
  </w:style>
  <w:style w:type="paragraph" w:styleId="Textbubliny">
    <w:name w:val="Balloon Text"/>
    <w:basedOn w:val="Normlny"/>
    <w:semiHidden/>
    <w:rsid w:val="00E8356F"/>
    <w:rPr>
      <w:rFonts w:ascii="Tahoma" w:hAnsi="Tahoma" w:cs="Tahoma"/>
      <w:sz w:val="16"/>
      <w:szCs w:val="16"/>
    </w:rPr>
  </w:style>
  <w:style w:type="paragraph" w:styleId="Odsekzoznamu">
    <w:name w:val="List Paragraph"/>
    <w:basedOn w:val="Normlny"/>
    <w:uiPriority w:val="34"/>
    <w:qFormat/>
    <w:rsid w:val="0033491A"/>
    <w:pPr>
      <w:ind w:left="720"/>
      <w:contextualSpacing/>
    </w:pPr>
  </w:style>
  <w:style w:type="character" w:styleId="Odkaznakomentr">
    <w:name w:val="annotation reference"/>
    <w:basedOn w:val="Predvolenpsmoodseku"/>
    <w:uiPriority w:val="99"/>
    <w:semiHidden/>
    <w:unhideWhenUsed/>
    <w:rsid w:val="00A24BC6"/>
    <w:rPr>
      <w:sz w:val="16"/>
      <w:szCs w:val="16"/>
    </w:rPr>
  </w:style>
  <w:style w:type="paragraph" w:styleId="Textkomentra">
    <w:name w:val="annotation text"/>
    <w:basedOn w:val="Normlny"/>
    <w:link w:val="TextkomentraChar"/>
    <w:uiPriority w:val="99"/>
    <w:semiHidden/>
    <w:unhideWhenUsed/>
    <w:rsid w:val="00A24BC6"/>
    <w:rPr>
      <w:sz w:val="20"/>
      <w:szCs w:val="20"/>
    </w:rPr>
  </w:style>
  <w:style w:type="character" w:customStyle="1" w:styleId="TextkomentraChar">
    <w:name w:val="Text komentára Char"/>
    <w:basedOn w:val="Predvolenpsmoodseku"/>
    <w:link w:val="Textkomentra"/>
    <w:uiPriority w:val="99"/>
    <w:semiHidden/>
    <w:rsid w:val="00A24BC6"/>
  </w:style>
  <w:style w:type="paragraph" w:styleId="Predmetkomentra">
    <w:name w:val="annotation subject"/>
    <w:basedOn w:val="Textkomentra"/>
    <w:next w:val="Textkomentra"/>
    <w:link w:val="PredmetkomentraChar"/>
    <w:uiPriority w:val="99"/>
    <w:semiHidden/>
    <w:unhideWhenUsed/>
    <w:rsid w:val="00A24BC6"/>
    <w:rPr>
      <w:b/>
      <w:bCs/>
    </w:rPr>
  </w:style>
  <w:style w:type="character" w:customStyle="1" w:styleId="PredmetkomentraChar">
    <w:name w:val="Predmet komentára Char"/>
    <w:basedOn w:val="TextkomentraChar"/>
    <w:link w:val="Predmetkomentra"/>
    <w:uiPriority w:val="99"/>
    <w:semiHidden/>
    <w:rsid w:val="00A24BC6"/>
    <w:rPr>
      <w:b/>
      <w:bCs/>
    </w:rPr>
  </w:style>
  <w:style w:type="character" w:customStyle="1" w:styleId="Nevyrieenzmienka1">
    <w:name w:val="Nevyriešená zmienka1"/>
    <w:basedOn w:val="Predvolenpsmoodseku"/>
    <w:uiPriority w:val="99"/>
    <w:semiHidden/>
    <w:unhideWhenUsed/>
    <w:rsid w:val="000B6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5781</Words>
  <Characters>32955</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Schválený text k rozhodnutiu o registrácii, ev</vt:lpstr>
    </vt:vector>
  </TitlesOfParts>
  <Company>Hewlett-Packard</Company>
  <LinksUpToDate>false</LinksUpToDate>
  <CharactersWithSpaces>38659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subject/>
  <dc:creator>Sarkar</dc:creator>
  <cp:keywords/>
  <cp:lastModifiedBy>Repiščáková, Janka</cp:lastModifiedBy>
  <cp:revision>11</cp:revision>
  <cp:lastPrinted>2019-09-04T08:56:00Z</cp:lastPrinted>
  <dcterms:created xsi:type="dcterms:W3CDTF">2019-09-03T08:57:00Z</dcterms:created>
  <dcterms:modified xsi:type="dcterms:W3CDTF">2019-09-04T08:56:00Z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