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7B82D" w14:textId="77777777" w:rsidR="009E0FD0" w:rsidRPr="006E5174" w:rsidRDefault="009E0FD0" w:rsidP="007501FF">
      <w:pPr>
        <w:pStyle w:val="DocumentHeading"/>
        <w:spacing w:after="0"/>
        <w:jc w:val="center"/>
        <w:rPr>
          <w:sz w:val="22"/>
          <w:szCs w:val="22"/>
        </w:rPr>
      </w:pPr>
      <w:r w:rsidRPr="006E5174">
        <w:rPr>
          <w:sz w:val="22"/>
          <w:szCs w:val="22"/>
        </w:rPr>
        <w:t>SÚHRN CHARAKTERISTICKÝCH VLASTNOSTÍ LIEKU</w:t>
      </w:r>
    </w:p>
    <w:p w14:paraId="0A318EC3" w14:textId="77777777" w:rsidR="00570EB1" w:rsidRDefault="00570EB1" w:rsidP="007501FF">
      <w:pPr>
        <w:spacing w:after="0"/>
        <w:rPr>
          <w:lang w:bidi="ar-QA"/>
        </w:rPr>
      </w:pPr>
    </w:p>
    <w:p w14:paraId="78E10035" w14:textId="77777777" w:rsidR="006E5174" w:rsidRPr="006E5174" w:rsidRDefault="006E5174" w:rsidP="007501FF">
      <w:pPr>
        <w:spacing w:after="0"/>
        <w:rPr>
          <w:lang w:bidi="ar-QA"/>
        </w:rPr>
      </w:pPr>
    </w:p>
    <w:p w14:paraId="2A3E7E6C" w14:textId="388E50A8" w:rsidR="009E0FD0" w:rsidRPr="006E5174" w:rsidRDefault="00CA1F15" w:rsidP="007501FF">
      <w:pPr>
        <w:pStyle w:val="Nadpis1"/>
        <w:tabs>
          <w:tab w:val="left" w:pos="567"/>
        </w:tabs>
        <w:spacing w:before="0" w:beforeAutospacing="0"/>
        <w:ind w:left="0" w:firstLine="0"/>
      </w:pPr>
      <w:r w:rsidRPr="006E5174">
        <w:t>NÁZOV LIEKU</w:t>
      </w:r>
    </w:p>
    <w:p w14:paraId="70BF4647" w14:textId="77777777" w:rsidR="006E5174" w:rsidRDefault="006E5174" w:rsidP="007501FF">
      <w:pPr>
        <w:pStyle w:val="Normlnysozarkami"/>
        <w:spacing w:after="0"/>
        <w:ind w:left="0"/>
      </w:pPr>
    </w:p>
    <w:p w14:paraId="603C0B18" w14:textId="77777777" w:rsidR="00733AB0" w:rsidRDefault="00FD7EF8" w:rsidP="007501FF">
      <w:pPr>
        <w:pStyle w:val="Normlnysozarkami"/>
        <w:spacing w:after="0"/>
        <w:ind w:left="0"/>
      </w:pPr>
      <w:proofErr w:type="spellStart"/>
      <w:r w:rsidRPr="006E5174">
        <w:t>Fomicyt</w:t>
      </w:r>
      <w:proofErr w:type="spellEnd"/>
      <w:r w:rsidR="006A6D37" w:rsidRPr="006E5174">
        <w:t xml:space="preserve"> </w:t>
      </w:r>
    </w:p>
    <w:p w14:paraId="3A84B5D3" w14:textId="7A8284A9" w:rsidR="009E0FD0" w:rsidRDefault="006A6D37" w:rsidP="007501FF">
      <w:pPr>
        <w:pStyle w:val="Normlnysozarkami"/>
        <w:spacing w:after="0"/>
        <w:ind w:left="0"/>
      </w:pPr>
      <w:r w:rsidRPr="006E5174">
        <w:t>40 mg/ml prášok na infúzny roztok</w:t>
      </w:r>
    </w:p>
    <w:p w14:paraId="74F80182" w14:textId="77777777" w:rsidR="006E5174" w:rsidRDefault="006E5174" w:rsidP="007501FF">
      <w:pPr>
        <w:pStyle w:val="Normlnysozarkami"/>
        <w:spacing w:after="0"/>
        <w:ind w:left="0"/>
      </w:pPr>
    </w:p>
    <w:p w14:paraId="695ED1D5" w14:textId="77777777" w:rsidR="006E5174" w:rsidRPr="006E5174" w:rsidRDefault="006E5174" w:rsidP="007501FF">
      <w:pPr>
        <w:pStyle w:val="Normlnysozarkami"/>
        <w:spacing w:after="0"/>
        <w:ind w:left="0"/>
      </w:pPr>
    </w:p>
    <w:p w14:paraId="10402929" w14:textId="31DE2C4D" w:rsidR="009E0FD0" w:rsidRPr="006E5174" w:rsidRDefault="00CA1F15" w:rsidP="007501FF">
      <w:pPr>
        <w:pStyle w:val="Nadpis1"/>
        <w:tabs>
          <w:tab w:val="left" w:pos="567"/>
        </w:tabs>
        <w:spacing w:before="0" w:beforeAutospacing="0"/>
        <w:ind w:left="0" w:firstLine="0"/>
      </w:pPr>
      <w:r w:rsidRPr="006E5174">
        <w:t>KVALITATÍVNE A KVANTITATÍVNE ZLOŽENIE</w:t>
      </w:r>
    </w:p>
    <w:p w14:paraId="75A4D116" w14:textId="77777777" w:rsidR="006E5174" w:rsidRDefault="006E5174" w:rsidP="007501FF">
      <w:pPr>
        <w:spacing w:after="0"/>
      </w:pPr>
    </w:p>
    <w:p w14:paraId="0877C4A4" w14:textId="713730C5" w:rsidR="003242A1" w:rsidRPr="006E5174" w:rsidRDefault="003242A1" w:rsidP="007501FF">
      <w:pPr>
        <w:spacing w:after="0"/>
      </w:pPr>
      <w:r w:rsidRPr="006E5174">
        <w:t xml:space="preserve">Jeden ml infúzneho roztoku obsahuje 40 mg </w:t>
      </w:r>
      <w:proofErr w:type="spellStart"/>
      <w:r w:rsidRPr="006E5174">
        <w:t>fosfomycínu</w:t>
      </w:r>
      <w:proofErr w:type="spellEnd"/>
      <w:r w:rsidRPr="006E5174">
        <w:t xml:space="preserve">. </w:t>
      </w:r>
    </w:p>
    <w:p w14:paraId="7C284BA4" w14:textId="77777777" w:rsidR="00733AB0" w:rsidRDefault="00733AB0" w:rsidP="007501FF">
      <w:pPr>
        <w:spacing w:after="0"/>
      </w:pPr>
    </w:p>
    <w:p w14:paraId="75BF8AA3" w14:textId="6D56D94B" w:rsidR="00A34767" w:rsidRPr="00733AB0" w:rsidRDefault="001B2771" w:rsidP="007501FF">
      <w:pPr>
        <w:spacing w:after="0"/>
      </w:pPr>
      <w:r w:rsidRPr="006E5174">
        <w:t xml:space="preserve">Jedna fľaša s 2,69 g prášku obsahuje 2,64 g </w:t>
      </w:r>
      <w:proofErr w:type="spellStart"/>
      <w:r w:rsidRPr="006E5174">
        <w:t>fosfomycínu</w:t>
      </w:r>
      <w:proofErr w:type="spellEnd"/>
      <w:r w:rsidRPr="006E5174">
        <w:t xml:space="preserve"> </w:t>
      </w:r>
      <w:proofErr w:type="spellStart"/>
      <w:r w:rsidRPr="006E5174">
        <w:t>disodného</w:t>
      </w:r>
      <w:proofErr w:type="spellEnd"/>
      <w:r w:rsidRPr="006E5174">
        <w:t xml:space="preserve">, čo zodpovedá 2 g </w:t>
      </w:r>
      <w:proofErr w:type="spellStart"/>
      <w:r w:rsidRPr="006E5174">
        <w:t>fosfomycínu</w:t>
      </w:r>
      <w:proofErr w:type="spellEnd"/>
      <w:r w:rsidRPr="006E5174">
        <w:t xml:space="preserve"> a 0,64 g sodíka v roztoku s 50 ml rozpúšťadla.</w:t>
      </w:r>
    </w:p>
    <w:p w14:paraId="30EAC359" w14:textId="77777777" w:rsidR="00733AB0" w:rsidRDefault="00733AB0" w:rsidP="007501FF">
      <w:pPr>
        <w:spacing w:after="0"/>
      </w:pPr>
    </w:p>
    <w:p w14:paraId="50367EDB" w14:textId="37DB0975" w:rsidR="00130C35" w:rsidRPr="00733AB0" w:rsidRDefault="001B2771" w:rsidP="007501FF">
      <w:pPr>
        <w:spacing w:after="0"/>
      </w:pPr>
      <w:r w:rsidRPr="00733AB0">
        <w:t xml:space="preserve">Jedna fľaša s 5,38 g prášku obsahuje 5,28 g </w:t>
      </w:r>
      <w:proofErr w:type="spellStart"/>
      <w:r w:rsidRPr="00733AB0">
        <w:t>fosfomycínu</w:t>
      </w:r>
      <w:proofErr w:type="spellEnd"/>
      <w:r w:rsidRPr="00733AB0">
        <w:t xml:space="preserve"> </w:t>
      </w:r>
      <w:proofErr w:type="spellStart"/>
      <w:r w:rsidRPr="00733AB0">
        <w:t>disodného</w:t>
      </w:r>
      <w:proofErr w:type="spellEnd"/>
      <w:r w:rsidRPr="00733AB0">
        <w:t xml:space="preserve">, čo zodpovedá 4 g </w:t>
      </w:r>
      <w:proofErr w:type="spellStart"/>
      <w:r w:rsidRPr="00733AB0">
        <w:t>fosfomycínu</w:t>
      </w:r>
      <w:proofErr w:type="spellEnd"/>
      <w:r w:rsidRPr="00733AB0">
        <w:t xml:space="preserve"> a 1,28 g sodíka v roztoku s 100 ml rozpúšťadla.</w:t>
      </w:r>
    </w:p>
    <w:p w14:paraId="3954EF0B" w14:textId="77777777" w:rsidR="00733AB0" w:rsidRDefault="00733AB0" w:rsidP="007501FF">
      <w:pPr>
        <w:spacing w:after="0"/>
      </w:pPr>
    </w:p>
    <w:p w14:paraId="55AD8A46" w14:textId="6906A70B" w:rsidR="003242A1" w:rsidRPr="006E5174" w:rsidRDefault="001B2771" w:rsidP="007501FF">
      <w:pPr>
        <w:spacing w:after="0"/>
      </w:pPr>
      <w:r w:rsidRPr="00733AB0">
        <w:t xml:space="preserve">Jedna fľaša s 10,76 g prášku obsahuje 10,56 g </w:t>
      </w:r>
      <w:proofErr w:type="spellStart"/>
      <w:r w:rsidRPr="00733AB0">
        <w:t>fosfomycínu</w:t>
      </w:r>
      <w:proofErr w:type="spellEnd"/>
      <w:r w:rsidRPr="00733AB0">
        <w:t xml:space="preserve"> </w:t>
      </w:r>
      <w:proofErr w:type="spellStart"/>
      <w:r w:rsidRPr="00733AB0">
        <w:t>disodného</w:t>
      </w:r>
      <w:proofErr w:type="spellEnd"/>
      <w:r w:rsidRPr="00733AB0">
        <w:t xml:space="preserve">, čo zodpovedá 8 g </w:t>
      </w:r>
      <w:proofErr w:type="spellStart"/>
      <w:r w:rsidRPr="00733AB0">
        <w:t>fosfomycínu</w:t>
      </w:r>
      <w:proofErr w:type="spellEnd"/>
      <w:r w:rsidRPr="00733AB0">
        <w:t xml:space="preserve"> a 2,56 g sodíka v roztoku s 200 ml rozpúšťadla.</w:t>
      </w:r>
    </w:p>
    <w:p w14:paraId="0A635E4E" w14:textId="77777777" w:rsidR="00733AB0" w:rsidRDefault="00733AB0" w:rsidP="007501FF">
      <w:pPr>
        <w:pStyle w:val="Normlnysozarkami"/>
        <w:spacing w:after="0"/>
        <w:ind w:left="0"/>
      </w:pPr>
    </w:p>
    <w:p w14:paraId="7D9E7CC9" w14:textId="77777777" w:rsidR="009E0FD0" w:rsidRDefault="003242A1" w:rsidP="007501FF">
      <w:pPr>
        <w:pStyle w:val="Normlnysozarkami"/>
        <w:spacing w:after="0"/>
        <w:ind w:left="0"/>
      </w:pPr>
      <w:r w:rsidRPr="00733AB0">
        <w:t>Úplný zoznam pomocných látok, pozri časť 6.1.</w:t>
      </w:r>
    </w:p>
    <w:p w14:paraId="4EF62ABC" w14:textId="77777777" w:rsidR="006E5174" w:rsidRDefault="006E5174" w:rsidP="007501FF">
      <w:pPr>
        <w:pStyle w:val="Normlnysozarkami"/>
        <w:spacing w:after="0"/>
        <w:ind w:left="0"/>
      </w:pPr>
    </w:p>
    <w:p w14:paraId="54D23DF2" w14:textId="77777777" w:rsidR="006E5174" w:rsidRPr="006E5174" w:rsidRDefault="006E5174" w:rsidP="007501FF">
      <w:pPr>
        <w:pStyle w:val="Normlnysozarkami"/>
        <w:spacing w:after="0"/>
        <w:ind w:left="0"/>
      </w:pPr>
    </w:p>
    <w:p w14:paraId="442637A9" w14:textId="7090899C" w:rsidR="009E0FD0" w:rsidRPr="006E5174" w:rsidRDefault="009E0FD0" w:rsidP="007501FF">
      <w:pPr>
        <w:pStyle w:val="Nadpis1"/>
        <w:tabs>
          <w:tab w:val="left" w:pos="567"/>
        </w:tabs>
        <w:spacing w:before="0" w:beforeAutospacing="0"/>
        <w:ind w:left="0" w:firstLine="0"/>
      </w:pPr>
      <w:r w:rsidRPr="006E5174">
        <w:t>LIEKOVÁ FORMA</w:t>
      </w:r>
    </w:p>
    <w:p w14:paraId="209F49FA" w14:textId="77777777" w:rsidR="006E5174" w:rsidRDefault="006E5174" w:rsidP="007501FF">
      <w:pPr>
        <w:pStyle w:val="Normlnysozarkami"/>
        <w:spacing w:after="0"/>
        <w:ind w:left="0"/>
      </w:pPr>
    </w:p>
    <w:p w14:paraId="093225FD" w14:textId="77777777" w:rsidR="009E0FD0" w:rsidRPr="006E5174" w:rsidRDefault="000442A7" w:rsidP="007501FF">
      <w:pPr>
        <w:pStyle w:val="Normlnysozarkami"/>
        <w:spacing w:after="0"/>
        <w:ind w:left="0"/>
        <w:rPr>
          <w:spacing w:val="-3"/>
        </w:rPr>
      </w:pPr>
      <w:r w:rsidRPr="006E5174">
        <w:t>Prášok na infúzny roztok.</w:t>
      </w:r>
    </w:p>
    <w:p w14:paraId="212579A1" w14:textId="77777777" w:rsidR="00733AB0" w:rsidRDefault="00733AB0" w:rsidP="007501FF">
      <w:pPr>
        <w:pStyle w:val="Normlnysozarkami"/>
        <w:spacing w:after="0"/>
        <w:ind w:left="0"/>
      </w:pPr>
    </w:p>
    <w:p w14:paraId="63E81B59" w14:textId="654080B1" w:rsidR="000442A7" w:rsidRDefault="000442A7" w:rsidP="007501FF">
      <w:pPr>
        <w:pStyle w:val="Normlnysozarkami"/>
        <w:spacing w:after="0"/>
        <w:ind w:left="0"/>
      </w:pPr>
      <w:r w:rsidRPr="006E5174">
        <w:t>Biely až krémov</w:t>
      </w:r>
      <w:r w:rsidR="00733AB0">
        <w:t>o sfarbený</w:t>
      </w:r>
      <w:r w:rsidRPr="006E5174">
        <w:t xml:space="preserve"> prášok.</w:t>
      </w:r>
    </w:p>
    <w:p w14:paraId="19E5C63A" w14:textId="77777777" w:rsidR="006E5174" w:rsidRDefault="006E5174" w:rsidP="007501FF">
      <w:pPr>
        <w:pStyle w:val="Normlnysozarkami"/>
        <w:spacing w:after="0"/>
        <w:ind w:left="0"/>
      </w:pPr>
    </w:p>
    <w:p w14:paraId="1EF260B6" w14:textId="77777777" w:rsidR="006E5174" w:rsidRPr="006E5174" w:rsidRDefault="006E5174" w:rsidP="007501FF">
      <w:pPr>
        <w:pStyle w:val="Normlnysozarkami"/>
        <w:spacing w:after="0"/>
        <w:ind w:left="0"/>
      </w:pPr>
    </w:p>
    <w:p w14:paraId="5A6E0743" w14:textId="249EFEE0" w:rsidR="009E0FD0" w:rsidRDefault="00CA1F15" w:rsidP="007501FF">
      <w:pPr>
        <w:pStyle w:val="Nadpis1"/>
        <w:tabs>
          <w:tab w:val="left" w:pos="567"/>
        </w:tabs>
        <w:spacing w:before="0" w:beforeAutospacing="0"/>
        <w:ind w:left="0" w:firstLine="0"/>
      </w:pPr>
      <w:r w:rsidRPr="006E5174">
        <w:t>KLINICKÉ ÚDAJE</w:t>
      </w:r>
    </w:p>
    <w:p w14:paraId="5FE31476" w14:textId="77777777" w:rsidR="006E5174" w:rsidRPr="006E5174" w:rsidRDefault="006E5174" w:rsidP="007501FF">
      <w:pPr>
        <w:pStyle w:val="Normlnysozarkami"/>
        <w:spacing w:after="0"/>
      </w:pPr>
    </w:p>
    <w:p w14:paraId="4A197EB0" w14:textId="35DCC51D" w:rsidR="009E0FD0" w:rsidRPr="006E5174" w:rsidRDefault="009E0FD0" w:rsidP="007501FF">
      <w:pPr>
        <w:pStyle w:val="Nadpis2"/>
        <w:tabs>
          <w:tab w:val="left" w:pos="567"/>
        </w:tabs>
        <w:spacing w:before="0"/>
        <w:ind w:left="0" w:firstLine="0"/>
      </w:pPr>
      <w:r w:rsidRPr="006E5174">
        <w:t>Terapeutické indikácie</w:t>
      </w:r>
    </w:p>
    <w:p w14:paraId="5D9FC0DD" w14:textId="77777777" w:rsidR="00733AB0" w:rsidRDefault="00733AB0" w:rsidP="007501FF">
      <w:pPr>
        <w:autoSpaceDE w:val="0"/>
        <w:autoSpaceDN w:val="0"/>
        <w:adjustRightInd w:val="0"/>
        <w:spacing w:after="0"/>
      </w:pPr>
    </w:p>
    <w:p w14:paraId="4F1E0E9D" w14:textId="18F4CB96" w:rsidR="00A34767" w:rsidRPr="006E5174" w:rsidRDefault="006F37AC" w:rsidP="007501FF">
      <w:pPr>
        <w:autoSpaceDE w:val="0"/>
        <w:autoSpaceDN w:val="0"/>
        <w:adjustRightInd w:val="0"/>
        <w:spacing w:after="0"/>
      </w:pPr>
      <w:proofErr w:type="spellStart"/>
      <w:r w:rsidRPr="006E5174">
        <w:t>Fosfomycín</w:t>
      </w:r>
      <w:proofErr w:type="spellEnd"/>
      <w:r w:rsidRPr="006E5174">
        <w:t xml:space="preserve"> je indikovaný na liečbu nasledujúcich infekcií u dospelých a detí, vrátane novorodencov (pozri časť 5.1): </w:t>
      </w:r>
    </w:p>
    <w:p w14:paraId="4F236D5C" w14:textId="77C73D3F" w:rsidR="00A34767" w:rsidRPr="006E5174" w:rsidRDefault="00DF24CD" w:rsidP="007501FF">
      <w:pPr>
        <w:pStyle w:val="Odsekzoznamu"/>
        <w:numPr>
          <w:ilvl w:val="0"/>
          <w:numId w:val="38"/>
        </w:numPr>
        <w:tabs>
          <w:tab w:val="left" w:pos="720"/>
          <w:tab w:val="left" w:pos="2160"/>
          <w:tab w:val="left" w:pos="5670"/>
        </w:tabs>
        <w:spacing w:after="0"/>
        <w:ind w:left="0" w:firstLine="0"/>
        <w:rPr>
          <w:snapToGrid w:val="0"/>
          <w:color w:val="000000"/>
        </w:rPr>
      </w:pPr>
      <w:proofErr w:type="spellStart"/>
      <w:r w:rsidRPr="006E5174">
        <w:rPr>
          <w:snapToGrid w:val="0"/>
          <w:color w:val="000000"/>
        </w:rPr>
        <w:t>osteomyelitída</w:t>
      </w:r>
      <w:proofErr w:type="spellEnd"/>
      <w:r w:rsidRPr="006E5174">
        <w:rPr>
          <w:snapToGrid w:val="0"/>
          <w:color w:val="000000"/>
        </w:rPr>
        <w:t>,</w:t>
      </w:r>
      <w:r w:rsidRPr="006E5174">
        <w:rPr>
          <w:snapToGrid w:val="0"/>
          <w:color w:val="000000"/>
        </w:rPr>
        <w:tab/>
      </w:r>
      <w:r w:rsidRPr="006E5174">
        <w:rPr>
          <w:snapToGrid w:val="0"/>
          <w:color w:val="000000"/>
        </w:rPr>
        <w:tab/>
      </w:r>
    </w:p>
    <w:p w14:paraId="1D273179" w14:textId="6B4F529F" w:rsidR="00A34767" w:rsidRPr="00733AB0" w:rsidRDefault="001466C5" w:rsidP="007501FF">
      <w:pPr>
        <w:pStyle w:val="Odsekzoznamu"/>
        <w:numPr>
          <w:ilvl w:val="0"/>
          <w:numId w:val="38"/>
        </w:numPr>
        <w:tabs>
          <w:tab w:val="left" w:pos="720"/>
          <w:tab w:val="left" w:pos="2160"/>
          <w:tab w:val="left" w:pos="5670"/>
        </w:tabs>
        <w:spacing w:after="0"/>
        <w:ind w:left="0" w:firstLine="0"/>
        <w:rPr>
          <w:snapToGrid w:val="0"/>
          <w:color w:val="000000"/>
        </w:rPr>
      </w:pPr>
      <w:r w:rsidRPr="00733AB0">
        <w:rPr>
          <w:snapToGrid w:val="0"/>
          <w:color w:val="000000"/>
        </w:rPr>
        <w:t>komplikované infekcie močových ciest,</w:t>
      </w:r>
    </w:p>
    <w:p w14:paraId="03A1BAA3" w14:textId="6AEA1EC1" w:rsidR="00A34767" w:rsidRPr="00733AB0" w:rsidRDefault="001466C5" w:rsidP="007501FF">
      <w:pPr>
        <w:pStyle w:val="Odsekzoznamu"/>
        <w:numPr>
          <w:ilvl w:val="0"/>
          <w:numId w:val="38"/>
        </w:numPr>
        <w:tabs>
          <w:tab w:val="left" w:pos="720"/>
          <w:tab w:val="left" w:pos="2160"/>
          <w:tab w:val="left" w:pos="5670"/>
        </w:tabs>
        <w:spacing w:after="0"/>
        <w:ind w:left="0" w:firstLine="0"/>
        <w:rPr>
          <w:snapToGrid w:val="0"/>
          <w:color w:val="000000"/>
        </w:rPr>
      </w:pPr>
      <w:proofErr w:type="spellStart"/>
      <w:r w:rsidRPr="00733AB0">
        <w:rPr>
          <w:snapToGrid w:val="0"/>
          <w:color w:val="000000"/>
        </w:rPr>
        <w:t>nozokomiálne</w:t>
      </w:r>
      <w:proofErr w:type="spellEnd"/>
      <w:r w:rsidRPr="00733AB0">
        <w:rPr>
          <w:snapToGrid w:val="0"/>
          <w:color w:val="000000"/>
        </w:rPr>
        <w:t xml:space="preserve"> infekcie dolných dýchacích ciest,</w:t>
      </w:r>
    </w:p>
    <w:p w14:paraId="6E81C439" w14:textId="59261ADE" w:rsidR="00A34767" w:rsidRPr="00733AB0" w:rsidRDefault="001466C5" w:rsidP="007501FF">
      <w:pPr>
        <w:pStyle w:val="Odsekzoznamu"/>
        <w:numPr>
          <w:ilvl w:val="0"/>
          <w:numId w:val="38"/>
        </w:numPr>
        <w:tabs>
          <w:tab w:val="left" w:pos="720"/>
          <w:tab w:val="left" w:pos="2160"/>
          <w:tab w:val="left" w:pos="5670"/>
        </w:tabs>
        <w:spacing w:after="0"/>
        <w:ind w:left="0" w:firstLine="0"/>
        <w:rPr>
          <w:snapToGrid w:val="0"/>
          <w:color w:val="000000"/>
        </w:rPr>
      </w:pPr>
      <w:r w:rsidRPr="00733AB0">
        <w:rPr>
          <w:snapToGrid w:val="0"/>
          <w:color w:val="000000"/>
        </w:rPr>
        <w:t xml:space="preserve">bakteriálna </w:t>
      </w:r>
      <w:proofErr w:type="spellStart"/>
      <w:r w:rsidRPr="00733AB0">
        <w:rPr>
          <w:snapToGrid w:val="0"/>
          <w:color w:val="000000"/>
        </w:rPr>
        <w:t>meningitída</w:t>
      </w:r>
      <w:proofErr w:type="spellEnd"/>
      <w:r w:rsidRPr="00733AB0">
        <w:rPr>
          <w:snapToGrid w:val="0"/>
          <w:color w:val="000000"/>
        </w:rPr>
        <w:t>,</w:t>
      </w:r>
    </w:p>
    <w:p w14:paraId="0351A3B7" w14:textId="58B6057D" w:rsidR="000442A7" w:rsidRPr="00733AB0" w:rsidRDefault="001466C5" w:rsidP="007501FF">
      <w:pPr>
        <w:pStyle w:val="Odsekzoznamu"/>
        <w:numPr>
          <w:ilvl w:val="0"/>
          <w:numId w:val="38"/>
        </w:numPr>
        <w:tabs>
          <w:tab w:val="left" w:pos="720"/>
          <w:tab w:val="left" w:pos="2160"/>
          <w:tab w:val="left" w:pos="5670"/>
        </w:tabs>
        <w:spacing w:after="0"/>
        <w:ind w:left="709" w:hanging="709"/>
        <w:rPr>
          <w:snapToGrid w:val="0"/>
          <w:color w:val="000000"/>
        </w:rPr>
      </w:pPr>
      <w:proofErr w:type="spellStart"/>
      <w:r w:rsidRPr="00733AB0">
        <w:rPr>
          <w:snapToGrid w:val="0"/>
          <w:color w:val="000000"/>
        </w:rPr>
        <w:t>bakterémia</w:t>
      </w:r>
      <w:proofErr w:type="spellEnd"/>
      <w:r w:rsidRPr="00733AB0">
        <w:rPr>
          <w:snapToGrid w:val="0"/>
          <w:color w:val="000000"/>
        </w:rPr>
        <w:t>, ktorá sa vyskytuje v súvislosti s ktoroukoľvek vyššie uvedenou infekciou alebo pre ktorú existuje podozrenie na súvislosť s ktoroukoľvek vyššie uvedenou infekciou.</w:t>
      </w:r>
    </w:p>
    <w:p w14:paraId="61E214A1" w14:textId="77777777" w:rsidR="00733AB0" w:rsidRDefault="00733AB0" w:rsidP="007501FF">
      <w:pPr>
        <w:spacing w:after="0"/>
        <w:rPr>
          <w:snapToGrid w:val="0"/>
          <w:color w:val="000000"/>
        </w:rPr>
      </w:pPr>
    </w:p>
    <w:p w14:paraId="6E025142" w14:textId="02330805" w:rsidR="00C20FD0" w:rsidRPr="006E5174" w:rsidRDefault="006F37AC" w:rsidP="007501FF">
      <w:pPr>
        <w:spacing w:after="0"/>
        <w:rPr>
          <w:snapToGrid w:val="0"/>
          <w:color w:val="000000"/>
        </w:rPr>
      </w:pPr>
      <w:proofErr w:type="spellStart"/>
      <w:r w:rsidRPr="00733AB0">
        <w:rPr>
          <w:snapToGrid w:val="0"/>
          <w:color w:val="000000"/>
        </w:rPr>
        <w:t>Fosfomycín</w:t>
      </w:r>
      <w:proofErr w:type="spellEnd"/>
      <w:r w:rsidRPr="00733AB0">
        <w:rPr>
          <w:snapToGrid w:val="0"/>
          <w:color w:val="000000"/>
        </w:rPr>
        <w:t xml:space="preserve"> sa má používať len v prípadoch, ak sa použitie bežne odporúčaných antibiotík na úvodnú liečbu vyššie uvedených infekcií nepovažuje sa vhodné, alebo ak liečba týmito alternatívnymi antibiotikami nebola účinná. </w:t>
      </w:r>
    </w:p>
    <w:p w14:paraId="13B52434" w14:textId="77777777" w:rsidR="00733AB0" w:rsidRDefault="00733AB0" w:rsidP="007501FF">
      <w:pPr>
        <w:spacing w:after="0"/>
      </w:pPr>
    </w:p>
    <w:p w14:paraId="6270BAE7" w14:textId="1C7E987C" w:rsidR="003D460E" w:rsidRPr="00733AB0" w:rsidDel="00CB1671" w:rsidRDefault="003D460E" w:rsidP="007501FF">
      <w:pPr>
        <w:spacing w:after="0"/>
        <w:rPr>
          <w:snapToGrid w:val="0"/>
        </w:rPr>
      </w:pPr>
      <w:r w:rsidRPr="00733AB0">
        <w:t xml:space="preserve">Informácie týkajúce sa kombinácie s inými antibiotikami </w:t>
      </w:r>
      <w:r w:rsidR="008F6998">
        <w:t>pozri</w:t>
      </w:r>
      <w:r w:rsidRPr="00733AB0">
        <w:t xml:space="preserve"> čas</w:t>
      </w:r>
      <w:r w:rsidR="008F6998">
        <w:t>ť</w:t>
      </w:r>
      <w:r w:rsidRPr="00733AB0">
        <w:t> 4.4 a 4.5.</w:t>
      </w:r>
    </w:p>
    <w:p w14:paraId="273A93A4" w14:textId="77777777" w:rsidR="00733AB0" w:rsidRDefault="00733AB0" w:rsidP="007501FF">
      <w:pPr>
        <w:spacing w:after="0"/>
        <w:rPr>
          <w:snapToGrid w:val="0"/>
          <w:color w:val="000000"/>
        </w:rPr>
      </w:pPr>
    </w:p>
    <w:p w14:paraId="69F45081" w14:textId="2AD90EC2" w:rsidR="000442A7" w:rsidRDefault="000442A7" w:rsidP="007501FF">
      <w:pPr>
        <w:spacing w:after="0"/>
        <w:rPr>
          <w:snapToGrid w:val="0"/>
          <w:color w:val="000000"/>
        </w:rPr>
      </w:pPr>
      <w:r w:rsidRPr="00733AB0">
        <w:rPr>
          <w:snapToGrid w:val="0"/>
          <w:color w:val="000000"/>
        </w:rPr>
        <w:t>Majú sa zohľadniť oficiálne pokyny o vhodnom používaní antibiotík.</w:t>
      </w:r>
    </w:p>
    <w:p w14:paraId="0AFCE8F3" w14:textId="77777777" w:rsidR="006E5174" w:rsidRPr="006E5174" w:rsidRDefault="006E5174" w:rsidP="007501FF">
      <w:pPr>
        <w:spacing w:after="0"/>
        <w:rPr>
          <w:snapToGrid w:val="0"/>
          <w:color w:val="000000"/>
        </w:rPr>
      </w:pPr>
    </w:p>
    <w:p w14:paraId="00E4DF26" w14:textId="1D00C443" w:rsidR="009E0FD0" w:rsidRPr="006E5174" w:rsidRDefault="009E0FD0" w:rsidP="007501FF">
      <w:pPr>
        <w:pStyle w:val="Nadpis2"/>
        <w:tabs>
          <w:tab w:val="left" w:pos="567"/>
        </w:tabs>
        <w:spacing w:before="0"/>
        <w:ind w:left="0" w:firstLine="0"/>
      </w:pPr>
      <w:r w:rsidRPr="006E5174">
        <w:t>Dávkovanie a spôsob podávania</w:t>
      </w:r>
    </w:p>
    <w:p w14:paraId="0D3ECFA0" w14:textId="77777777" w:rsidR="00733AB0" w:rsidRDefault="00733AB0" w:rsidP="007501FF">
      <w:pPr>
        <w:spacing w:after="0"/>
      </w:pPr>
    </w:p>
    <w:p w14:paraId="675155FF" w14:textId="6625A1B0" w:rsidR="003242A1" w:rsidRPr="00733AB0" w:rsidRDefault="003242A1" w:rsidP="007501FF">
      <w:pPr>
        <w:spacing w:after="0"/>
        <w:rPr>
          <w:spacing w:val="-3"/>
        </w:rPr>
      </w:pPr>
      <w:r w:rsidRPr="00733AB0">
        <w:lastRenderedPageBreak/>
        <w:t xml:space="preserve">Denná dávka </w:t>
      </w:r>
      <w:proofErr w:type="spellStart"/>
      <w:r w:rsidRPr="00733AB0">
        <w:t>fosfomycínu</w:t>
      </w:r>
      <w:proofErr w:type="spellEnd"/>
      <w:r w:rsidRPr="00733AB0">
        <w:t xml:space="preserve"> sa stanoví na základe indikácie, závažnosti a miesta infekcie, citlivosti </w:t>
      </w:r>
      <w:r w:rsidR="008F6998">
        <w:t>patogénu/</w:t>
      </w:r>
      <w:r w:rsidRPr="00733AB0">
        <w:t xml:space="preserve">patogénov na </w:t>
      </w:r>
      <w:proofErr w:type="spellStart"/>
      <w:r w:rsidRPr="00733AB0">
        <w:t>fosfomycín</w:t>
      </w:r>
      <w:proofErr w:type="spellEnd"/>
      <w:r w:rsidRPr="00733AB0">
        <w:t xml:space="preserve"> a funkcie obličiek. U detí sa dávka tiež stanovuje podľa veku a telesnej hmotnosti. </w:t>
      </w:r>
    </w:p>
    <w:p w14:paraId="2F6DAAC4" w14:textId="77777777" w:rsidR="008F6998" w:rsidRDefault="008F6998" w:rsidP="007501FF">
      <w:pPr>
        <w:spacing w:after="0"/>
        <w:rPr>
          <w:b/>
        </w:rPr>
      </w:pPr>
    </w:p>
    <w:p w14:paraId="365D0363" w14:textId="1C5880E6" w:rsidR="003242A1" w:rsidRPr="00733AB0" w:rsidRDefault="00ED71D0" w:rsidP="007501FF">
      <w:pPr>
        <w:spacing w:after="0"/>
        <w:rPr>
          <w:b/>
          <w:spacing w:val="-3"/>
        </w:rPr>
      </w:pPr>
      <w:r w:rsidRPr="00733AB0">
        <w:rPr>
          <w:b/>
        </w:rPr>
        <w:t>Dospelí a dospievajúci vo veku ≥ 12 rokov (&gt; 40 kg):</w:t>
      </w:r>
    </w:p>
    <w:p w14:paraId="2957B38D" w14:textId="77777777" w:rsidR="00895D51" w:rsidRPr="006E5174" w:rsidRDefault="00ED71D0" w:rsidP="006E5174">
      <w:pPr>
        <w:spacing w:after="0"/>
        <w:rPr>
          <w:spacing w:val="-3"/>
        </w:rPr>
      </w:pPr>
      <w:proofErr w:type="spellStart"/>
      <w:r w:rsidRPr="00733AB0">
        <w:t>Fosfomycín</w:t>
      </w:r>
      <w:proofErr w:type="spellEnd"/>
      <w:r w:rsidRPr="00733AB0">
        <w:t xml:space="preserve"> sa primárne vylučuje nezmenený obličkami. Všeobecné pokyny na dávkovanie pre dospelých s odhadovaným </w:t>
      </w:r>
      <w:proofErr w:type="spellStart"/>
      <w:r w:rsidRPr="00733AB0">
        <w:t>klírensom</w:t>
      </w:r>
      <w:proofErr w:type="spellEnd"/>
      <w:r w:rsidRPr="00733AB0">
        <w:t xml:space="preserve"> </w:t>
      </w:r>
      <w:proofErr w:type="spellStart"/>
      <w:r w:rsidRPr="00733AB0">
        <w:t>kreatinínu</w:t>
      </w:r>
      <w:proofErr w:type="spellEnd"/>
      <w:r w:rsidRPr="00733AB0">
        <w:t xml:space="preserve"> &gt; 80 ml/min. sú nasledovné:</w:t>
      </w:r>
    </w:p>
    <w:p w14:paraId="248FDFBF" w14:textId="77777777" w:rsidR="00FC4129" w:rsidRPr="006E5174" w:rsidRDefault="00FC4129" w:rsidP="006E5174">
      <w:pPr>
        <w:spacing w:after="0"/>
      </w:pPr>
    </w:p>
    <w:tbl>
      <w:tblPr>
        <w:tblW w:w="7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0"/>
        <w:gridCol w:w="3427"/>
      </w:tblGrid>
      <w:tr w:rsidR="006A1940" w:rsidRPr="006E5174" w14:paraId="1B42490C" w14:textId="77777777" w:rsidTr="007501FF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6CB7" w14:textId="77777777" w:rsidR="006A1940" w:rsidRPr="006E5174" w:rsidRDefault="006A1940" w:rsidP="007501FF">
            <w:pPr>
              <w:spacing w:after="0"/>
              <w:rPr>
                <w:b/>
                <w:bCs/>
                <w:snapToGrid w:val="0"/>
                <w:color w:val="000000"/>
              </w:rPr>
            </w:pPr>
            <w:r w:rsidRPr="006E5174">
              <w:rPr>
                <w:b/>
                <w:bCs/>
                <w:snapToGrid w:val="0"/>
                <w:color w:val="000000"/>
              </w:rPr>
              <w:t>Indikácia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8983" w14:textId="77777777" w:rsidR="006A1940" w:rsidRPr="006E5174" w:rsidRDefault="006A1940" w:rsidP="007501FF">
            <w:pPr>
              <w:spacing w:after="0"/>
              <w:rPr>
                <w:b/>
                <w:bCs/>
                <w:snapToGrid w:val="0"/>
                <w:color w:val="000000"/>
              </w:rPr>
            </w:pPr>
            <w:r w:rsidRPr="006E5174">
              <w:rPr>
                <w:b/>
                <w:bCs/>
                <w:snapToGrid w:val="0"/>
                <w:color w:val="000000"/>
              </w:rPr>
              <w:t xml:space="preserve">Denná dávka </w:t>
            </w:r>
          </w:p>
        </w:tc>
      </w:tr>
      <w:tr w:rsidR="006A1940" w:rsidRPr="006E5174" w14:paraId="3B4D48D9" w14:textId="77777777" w:rsidTr="007501FF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1EE9" w14:textId="77777777" w:rsidR="006A1940" w:rsidRPr="006E5174" w:rsidRDefault="00DF24CD" w:rsidP="007501FF">
            <w:pPr>
              <w:spacing w:after="0"/>
              <w:rPr>
                <w:snapToGrid w:val="0"/>
                <w:color w:val="000000"/>
              </w:rPr>
            </w:pPr>
            <w:proofErr w:type="spellStart"/>
            <w:r w:rsidRPr="006E5174">
              <w:rPr>
                <w:snapToGrid w:val="0"/>
                <w:color w:val="000000"/>
              </w:rPr>
              <w:t>Osteomyelitída</w:t>
            </w:r>
            <w:proofErr w:type="spellEnd"/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AA68" w14:textId="74BC7F92" w:rsidR="006A1940" w:rsidRPr="006E5174" w:rsidRDefault="00C04357" w:rsidP="007501FF">
            <w:pPr>
              <w:spacing w:after="0"/>
              <w:rPr>
                <w:snapToGrid w:val="0"/>
                <w:color w:val="000000"/>
              </w:rPr>
            </w:pPr>
            <w:r w:rsidRPr="006E5174">
              <w:rPr>
                <w:snapToGrid w:val="0"/>
                <w:color w:val="000000"/>
              </w:rPr>
              <w:t xml:space="preserve">12–24 g </w:t>
            </w:r>
            <w:r w:rsidRPr="006E5174">
              <w:rPr>
                <w:snapToGrid w:val="0"/>
                <w:color w:val="000000"/>
                <w:vertAlign w:val="superscript"/>
              </w:rPr>
              <w:t>a</w:t>
            </w:r>
            <w:r w:rsidRPr="006E5174">
              <w:rPr>
                <w:snapToGrid w:val="0"/>
                <w:color w:val="000000"/>
              </w:rPr>
              <w:t xml:space="preserve"> rozdelených na 2–3 dávky</w:t>
            </w:r>
          </w:p>
        </w:tc>
      </w:tr>
      <w:tr w:rsidR="006A1940" w:rsidRPr="006E5174" w14:paraId="25E98A91" w14:textId="77777777" w:rsidTr="007501FF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8A58" w14:textId="77777777" w:rsidR="006A1940" w:rsidRPr="006E5174" w:rsidRDefault="006A1940" w:rsidP="007501FF">
            <w:pPr>
              <w:spacing w:after="0"/>
              <w:rPr>
                <w:snapToGrid w:val="0"/>
                <w:color w:val="000000"/>
              </w:rPr>
            </w:pPr>
            <w:r w:rsidRPr="006E5174">
              <w:rPr>
                <w:snapToGrid w:val="0"/>
                <w:color w:val="000000"/>
              </w:rPr>
              <w:t>Komplikované infekcie močových ciest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1FD3" w14:textId="544DA2BB" w:rsidR="006A1940" w:rsidRPr="006E5174" w:rsidRDefault="00C04357" w:rsidP="007501FF">
            <w:pPr>
              <w:spacing w:after="0"/>
              <w:rPr>
                <w:snapToGrid w:val="0"/>
                <w:color w:val="000000"/>
              </w:rPr>
            </w:pPr>
            <w:r w:rsidRPr="006E5174">
              <w:rPr>
                <w:snapToGrid w:val="0"/>
                <w:color w:val="000000"/>
              </w:rPr>
              <w:t>12–16 g rozdelených na 2–3 dávky</w:t>
            </w:r>
          </w:p>
        </w:tc>
      </w:tr>
      <w:tr w:rsidR="006A1940" w:rsidRPr="006E5174" w14:paraId="3569C0A8" w14:textId="77777777" w:rsidTr="007501FF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6E6" w14:textId="77777777" w:rsidR="006A1940" w:rsidRPr="006E5174" w:rsidRDefault="006A1940" w:rsidP="007501FF">
            <w:pPr>
              <w:spacing w:after="0"/>
              <w:rPr>
                <w:snapToGrid w:val="0"/>
                <w:color w:val="000000"/>
              </w:rPr>
            </w:pPr>
            <w:proofErr w:type="spellStart"/>
            <w:r w:rsidRPr="006E5174">
              <w:rPr>
                <w:snapToGrid w:val="0"/>
                <w:color w:val="000000"/>
              </w:rPr>
              <w:t>Nozokomiálne</w:t>
            </w:r>
            <w:proofErr w:type="spellEnd"/>
            <w:r w:rsidRPr="006E5174">
              <w:rPr>
                <w:snapToGrid w:val="0"/>
                <w:color w:val="000000"/>
              </w:rPr>
              <w:t xml:space="preserve"> infekcie dolných dýchacích ciest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AE34" w14:textId="350A85CB" w:rsidR="006A1940" w:rsidRPr="006E5174" w:rsidRDefault="00C04357" w:rsidP="007501FF">
            <w:pPr>
              <w:spacing w:after="0"/>
              <w:rPr>
                <w:snapToGrid w:val="0"/>
                <w:color w:val="000000"/>
              </w:rPr>
            </w:pPr>
            <w:r w:rsidRPr="006E5174">
              <w:rPr>
                <w:snapToGrid w:val="0"/>
                <w:color w:val="000000"/>
              </w:rPr>
              <w:t xml:space="preserve">12–24 g </w:t>
            </w:r>
            <w:r w:rsidRPr="006E5174">
              <w:rPr>
                <w:snapToGrid w:val="0"/>
                <w:color w:val="000000"/>
                <w:vertAlign w:val="superscript"/>
              </w:rPr>
              <w:t>a</w:t>
            </w:r>
            <w:r w:rsidRPr="006E5174">
              <w:rPr>
                <w:snapToGrid w:val="0"/>
                <w:color w:val="000000"/>
              </w:rPr>
              <w:t xml:space="preserve"> rozdelených na 2–3 dávky</w:t>
            </w:r>
          </w:p>
        </w:tc>
      </w:tr>
      <w:tr w:rsidR="006A1940" w:rsidRPr="006E5174" w14:paraId="248492B1" w14:textId="77777777" w:rsidTr="007501FF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B69D" w14:textId="77777777" w:rsidR="006A1940" w:rsidRPr="006E5174" w:rsidRDefault="006A1940" w:rsidP="007501FF">
            <w:pPr>
              <w:spacing w:after="0"/>
              <w:rPr>
                <w:snapToGrid w:val="0"/>
                <w:color w:val="000000"/>
              </w:rPr>
            </w:pPr>
            <w:r w:rsidRPr="006E5174">
              <w:rPr>
                <w:snapToGrid w:val="0"/>
                <w:color w:val="000000"/>
              </w:rPr>
              <w:t xml:space="preserve">Bakteriálna </w:t>
            </w:r>
            <w:proofErr w:type="spellStart"/>
            <w:r w:rsidRPr="006E5174">
              <w:rPr>
                <w:snapToGrid w:val="0"/>
                <w:color w:val="000000"/>
              </w:rPr>
              <w:t>meningitída</w:t>
            </w:r>
            <w:proofErr w:type="spellEnd"/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66BF" w14:textId="6FBB93E3" w:rsidR="006A1940" w:rsidRPr="006E5174" w:rsidRDefault="00C04357" w:rsidP="007501FF">
            <w:pPr>
              <w:spacing w:after="0"/>
              <w:rPr>
                <w:snapToGrid w:val="0"/>
                <w:color w:val="000000"/>
              </w:rPr>
            </w:pPr>
            <w:r w:rsidRPr="006E5174">
              <w:rPr>
                <w:snapToGrid w:val="0"/>
                <w:color w:val="000000"/>
              </w:rPr>
              <w:t xml:space="preserve">16–24 g </w:t>
            </w:r>
            <w:r w:rsidRPr="006E5174">
              <w:rPr>
                <w:snapToGrid w:val="0"/>
                <w:color w:val="000000"/>
                <w:vertAlign w:val="superscript"/>
              </w:rPr>
              <w:t>a</w:t>
            </w:r>
            <w:r w:rsidRPr="006E5174">
              <w:rPr>
                <w:snapToGrid w:val="0"/>
                <w:color w:val="000000"/>
              </w:rPr>
              <w:t xml:space="preserve"> rozdelených na 3–4 dávky</w:t>
            </w:r>
          </w:p>
        </w:tc>
      </w:tr>
    </w:tbl>
    <w:p w14:paraId="1D3CF7AC" w14:textId="77777777" w:rsidR="008F6998" w:rsidRDefault="008F6998" w:rsidP="007501FF">
      <w:pPr>
        <w:spacing w:after="0"/>
        <w:ind w:hanging="142"/>
      </w:pPr>
    </w:p>
    <w:p w14:paraId="0CFC59F5" w14:textId="77777777" w:rsidR="000266D5" w:rsidRPr="008F6998" w:rsidRDefault="000266D5" w:rsidP="007501FF">
      <w:pPr>
        <w:spacing w:after="0"/>
      </w:pPr>
      <w:r w:rsidRPr="008F6998">
        <w:t>Jednotlivé dávky nesmú prekročiť 8 g.</w:t>
      </w:r>
    </w:p>
    <w:p w14:paraId="46F64C7D" w14:textId="77777777" w:rsidR="008F6998" w:rsidRDefault="008F6998" w:rsidP="007501FF">
      <w:pPr>
        <w:spacing w:after="0"/>
        <w:ind w:hanging="142"/>
        <w:rPr>
          <w:vertAlign w:val="superscript"/>
        </w:rPr>
      </w:pPr>
    </w:p>
    <w:p w14:paraId="4813D4AF" w14:textId="0F0FFCE5" w:rsidR="006A1940" w:rsidRPr="008F6998" w:rsidRDefault="008B6F48" w:rsidP="007501FF">
      <w:pPr>
        <w:spacing w:after="0"/>
      </w:pPr>
      <w:r w:rsidRPr="008F6998">
        <w:rPr>
          <w:vertAlign w:val="superscript"/>
        </w:rPr>
        <w:t>a</w:t>
      </w:r>
      <w:r w:rsidR="008F6998">
        <w:t xml:space="preserve"> </w:t>
      </w:r>
      <w:r w:rsidRPr="008F6998">
        <w:t>Režim vysok</w:t>
      </w:r>
      <w:r w:rsidR="00F00A2B">
        <w:t>ých</w:t>
      </w:r>
      <w:r w:rsidRPr="008F6998">
        <w:t xml:space="preserve"> dáv</w:t>
      </w:r>
      <w:r w:rsidR="00F00A2B">
        <w:t>ok</w:t>
      </w:r>
      <w:r w:rsidRPr="008F6998">
        <w:t xml:space="preserve"> s 3 rozdelenými dávkami sa m</w:t>
      </w:r>
      <w:r w:rsidR="001F5516">
        <w:t>á</w:t>
      </w:r>
      <w:r w:rsidRPr="008F6998">
        <w:t xml:space="preserve"> používať pri závažných infekciách, pre ktoré sa predpokladá alebo pre ktoré je známe, že sú spôsobené menej citlivými baktériami.</w:t>
      </w:r>
    </w:p>
    <w:p w14:paraId="77AD7203" w14:textId="77777777" w:rsidR="008F6998" w:rsidRDefault="008F6998" w:rsidP="007501FF">
      <w:pPr>
        <w:spacing w:after="0"/>
      </w:pPr>
    </w:p>
    <w:p w14:paraId="3BD31EC2" w14:textId="7F7F6256" w:rsidR="008B6F48" w:rsidRPr="008F6998" w:rsidRDefault="000266D5" w:rsidP="007501FF">
      <w:pPr>
        <w:spacing w:after="0"/>
      </w:pPr>
      <w:r w:rsidRPr="008F6998">
        <w:t xml:space="preserve">Obzvlášť pre dávky vyššie ako 16 g/deň sú k dispozícii len obmedzené údaje o bezpečnosti. Pri predpisovaní takýchto dávok sa odporúča potupovať </w:t>
      </w:r>
      <w:r w:rsidR="008F6998" w:rsidRPr="00B22272">
        <w:t>osobitne</w:t>
      </w:r>
      <w:r w:rsidR="008F6998">
        <w:t xml:space="preserve"> </w:t>
      </w:r>
      <w:r w:rsidRPr="008F6998">
        <w:t>opatrne.</w:t>
      </w:r>
    </w:p>
    <w:p w14:paraId="57FF5E96" w14:textId="77777777" w:rsidR="008F6998" w:rsidRDefault="008F6998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2D4FC282" w14:textId="77777777" w:rsidR="00A34767" w:rsidRPr="008F6998" w:rsidRDefault="00A34767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8F6998">
        <w:rPr>
          <w:szCs w:val="22"/>
        </w:rPr>
        <w:t xml:space="preserve">Dávkovanie pri obličkovej nedostatočnosti </w:t>
      </w:r>
    </w:p>
    <w:p w14:paraId="53FBD74C" w14:textId="77777777" w:rsidR="008F6998" w:rsidRDefault="008F6998" w:rsidP="007501FF">
      <w:pPr>
        <w:spacing w:after="0"/>
        <w:rPr>
          <w:snapToGrid w:val="0"/>
          <w:color w:val="000000"/>
        </w:rPr>
      </w:pPr>
    </w:p>
    <w:p w14:paraId="67E5BA62" w14:textId="73659144" w:rsidR="003C1E30" w:rsidRPr="008F6998" w:rsidRDefault="003C1E30" w:rsidP="007501FF">
      <w:pPr>
        <w:spacing w:after="0"/>
        <w:rPr>
          <w:snapToGrid w:val="0"/>
          <w:color w:val="000000"/>
        </w:rPr>
      </w:pPr>
      <w:r w:rsidRPr="008F6998">
        <w:rPr>
          <w:snapToGrid w:val="0"/>
          <w:color w:val="000000"/>
        </w:rPr>
        <w:t xml:space="preserve">Odporúčania dávok pre pacientov s poruchou funkcie obličiek sa zakladajú na </w:t>
      </w:r>
      <w:proofErr w:type="spellStart"/>
      <w:r w:rsidRPr="008F6998">
        <w:rPr>
          <w:snapToGrid w:val="0"/>
          <w:color w:val="000000"/>
        </w:rPr>
        <w:t>farmakokinetickom</w:t>
      </w:r>
      <w:proofErr w:type="spellEnd"/>
      <w:r w:rsidRPr="008F6998">
        <w:rPr>
          <w:snapToGrid w:val="0"/>
          <w:color w:val="000000"/>
        </w:rPr>
        <w:t xml:space="preserve"> modelovaní a obmedzených klinických údajoch. Bezpečnosť a účinnosť sa doteraz nevyhodnocovali</w:t>
      </w:r>
      <w:r w:rsidR="00A046C9">
        <w:rPr>
          <w:snapToGrid w:val="0"/>
          <w:color w:val="000000"/>
        </w:rPr>
        <w:t xml:space="preserve"> v klinických skúšaniach</w:t>
      </w:r>
      <w:r w:rsidRPr="008F6998">
        <w:rPr>
          <w:snapToGrid w:val="0"/>
          <w:color w:val="000000"/>
        </w:rPr>
        <w:t>.</w:t>
      </w:r>
    </w:p>
    <w:p w14:paraId="0FFAB7CC" w14:textId="77777777" w:rsidR="00A046C9" w:rsidRDefault="00A046C9" w:rsidP="007501FF">
      <w:pPr>
        <w:spacing w:after="0"/>
        <w:rPr>
          <w:snapToGrid w:val="0"/>
          <w:color w:val="000000"/>
        </w:rPr>
      </w:pPr>
    </w:p>
    <w:p w14:paraId="732C348A" w14:textId="2529B16A" w:rsidR="00B9576A" w:rsidRPr="00A046C9" w:rsidRDefault="00B9576A" w:rsidP="007501FF">
      <w:pPr>
        <w:spacing w:after="0"/>
        <w:rPr>
          <w:snapToGrid w:val="0"/>
          <w:color w:val="000000"/>
        </w:rPr>
      </w:pPr>
      <w:r w:rsidRPr="00A046C9">
        <w:rPr>
          <w:snapToGrid w:val="0"/>
          <w:color w:val="000000"/>
        </w:rPr>
        <w:t xml:space="preserve">Nie je známe, či sú pre pacientov s odhadovaným </w:t>
      </w:r>
      <w:proofErr w:type="spellStart"/>
      <w:r w:rsidRPr="00A046C9">
        <w:rPr>
          <w:snapToGrid w:val="0"/>
          <w:color w:val="000000"/>
        </w:rPr>
        <w:t>klírensom</w:t>
      </w:r>
      <w:proofErr w:type="spellEnd"/>
      <w:r w:rsidRPr="00A046C9">
        <w:rPr>
          <w:snapToGrid w:val="0"/>
          <w:color w:val="000000"/>
        </w:rPr>
        <w:t xml:space="preserve"> </w:t>
      </w:r>
      <w:proofErr w:type="spellStart"/>
      <w:r w:rsidRPr="00A046C9">
        <w:rPr>
          <w:snapToGrid w:val="0"/>
          <w:color w:val="000000"/>
        </w:rPr>
        <w:t>kreatinínu</w:t>
      </w:r>
      <w:proofErr w:type="spellEnd"/>
      <w:r w:rsidRPr="00A046C9">
        <w:rPr>
          <w:snapToGrid w:val="0"/>
          <w:color w:val="000000"/>
        </w:rPr>
        <w:t xml:space="preserve"> 40–80 ml potrebné zníženia dávok. V týchto prípadoch sa má postupovať veľmi opatrne, a to najmä, ak sa zvažuje použitie dávok </w:t>
      </w:r>
      <w:r w:rsidRPr="00B22272">
        <w:rPr>
          <w:snapToGrid w:val="0"/>
          <w:color w:val="000000"/>
        </w:rPr>
        <w:t>v horn</w:t>
      </w:r>
      <w:r w:rsidR="00B22272">
        <w:rPr>
          <w:snapToGrid w:val="0"/>
          <w:color w:val="000000"/>
        </w:rPr>
        <w:t>ej</w:t>
      </w:r>
      <w:r w:rsidRPr="00B22272">
        <w:rPr>
          <w:snapToGrid w:val="0"/>
          <w:color w:val="000000"/>
        </w:rPr>
        <w:t xml:space="preserve"> </w:t>
      </w:r>
      <w:r w:rsidR="00B22272">
        <w:rPr>
          <w:snapToGrid w:val="0"/>
          <w:color w:val="000000"/>
        </w:rPr>
        <w:t>hranici</w:t>
      </w:r>
      <w:r w:rsidRPr="00A046C9">
        <w:rPr>
          <w:snapToGrid w:val="0"/>
          <w:color w:val="000000"/>
        </w:rPr>
        <w:t xml:space="preserve"> odporúčaného rozsahu.</w:t>
      </w:r>
    </w:p>
    <w:p w14:paraId="12F6E727" w14:textId="77777777" w:rsidR="00A046C9" w:rsidRDefault="00A046C9" w:rsidP="007501FF">
      <w:pPr>
        <w:spacing w:after="0"/>
        <w:rPr>
          <w:snapToGrid w:val="0"/>
          <w:color w:val="000000"/>
        </w:rPr>
      </w:pPr>
    </w:p>
    <w:p w14:paraId="01E88467" w14:textId="4152CCB9" w:rsidR="00A34767" w:rsidRPr="00A046C9" w:rsidRDefault="00A34767" w:rsidP="007501FF">
      <w:pPr>
        <w:spacing w:after="0"/>
        <w:rPr>
          <w:snapToGrid w:val="0"/>
          <w:color w:val="000000"/>
        </w:rPr>
      </w:pPr>
      <w:r w:rsidRPr="00A046C9">
        <w:rPr>
          <w:snapToGrid w:val="0"/>
          <w:color w:val="000000"/>
        </w:rPr>
        <w:t xml:space="preserve">U pacientov s poruchou funkcie obličiek sa musí dávka </w:t>
      </w:r>
      <w:proofErr w:type="spellStart"/>
      <w:r w:rsidRPr="00A046C9">
        <w:t>fosfomycínu</w:t>
      </w:r>
      <w:proofErr w:type="spellEnd"/>
      <w:r w:rsidRPr="00A046C9">
        <w:rPr>
          <w:snapToGrid w:val="0"/>
          <w:color w:val="000000"/>
        </w:rPr>
        <w:t xml:space="preserve"> upraviť podľa stupňa poruchy funkcie obličiek.</w:t>
      </w:r>
    </w:p>
    <w:p w14:paraId="250E70A7" w14:textId="77777777" w:rsidR="00A046C9" w:rsidRDefault="00A046C9" w:rsidP="007501FF">
      <w:pPr>
        <w:spacing w:after="0"/>
        <w:rPr>
          <w:snapToGrid w:val="0"/>
          <w:color w:val="000000"/>
        </w:rPr>
      </w:pPr>
    </w:p>
    <w:p w14:paraId="502C170B" w14:textId="77777777" w:rsidR="00160729" w:rsidRPr="006E5174" w:rsidRDefault="00344C7F" w:rsidP="007501FF">
      <w:pPr>
        <w:spacing w:after="0"/>
        <w:rPr>
          <w:snapToGrid w:val="0"/>
          <w:color w:val="000000"/>
        </w:rPr>
      </w:pPr>
      <w:r w:rsidRPr="00A046C9">
        <w:rPr>
          <w:snapToGrid w:val="0"/>
          <w:color w:val="000000"/>
        </w:rPr>
        <w:t xml:space="preserve">Titrácia dávky sa má zakladať na hodnotách </w:t>
      </w:r>
      <w:proofErr w:type="spellStart"/>
      <w:r w:rsidRPr="00A046C9">
        <w:rPr>
          <w:snapToGrid w:val="0"/>
          <w:color w:val="000000"/>
        </w:rPr>
        <w:t>klírensu</w:t>
      </w:r>
      <w:proofErr w:type="spellEnd"/>
      <w:r w:rsidRPr="00A046C9">
        <w:rPr>
          <w:snapToGrid w:val="0"/>
          <w:color w:val="000000"/>
        </w:rPr>
        <w:t xml:space="preserve"> </w:t>
      </w:r>
      <w:proofErr w:type="spellStart"/>
      <w:r w:rsidRPr="00A046C9">
        <w:rPr>
          <w:snapToGrid w:val="0"/>
          <w:color w:val="000000"/>
        </w:rPr>
        <w:t>kreatinínu</w:t>
      </w:r>
      <w:proofErr w:type="spellEnd"/>
      <w:r w:rsidRPr="00A046C9">
        <w:rPr>
          <w:snapToGrid w:val="0"/>
          <w:color w:val="000000"/>
        </w:rPr>
        <w:t xml:space="preserve">. U dospelých sa </w:t>
      </w:r>
      <w:proofErr w:type="spellStart"/>
      <w:r w:rsidRPr="00A046C9">
        <w:rPr>
          <w:snapToGrid w:val="0"/>
          <w:color w:val="000000"/>
        </w:rPr>
        <w:t>klírens</w:t>
      </w:r>
      <w:proofErr w:type="spellEnd"/>
      <w:r w:rsidRPr="00A046C9">
        <w:rPr>
          <w:snapToGrid w:val="0"/>
          <w:color w:val="000000"/>
        </w:rPr>
        <w:t xml:space="preserve"> </w:t>
      </w:r>
      <w:proofErr w:type="spellStart"/>
      <w:r w:rsidRPr="00A046C9">
        <w:rPr>
          <w:snapToGrid w:val="0"/>
          <w:color w:val="000000"/>
        </w:rPr>
        <w:t>kreatinínu</w:t>
      </w:r>
      <w:proofErr w:type="spellEnd"/>
      <w:r w:rsidRPr="00A046C9">
        <w:rPr>
          <w:snapToGrid w:val="0"/>
          <w:color w:val="000000"/>
        </w:rPr>
        <w:t xml:space="preserve"> môže vypočítať podľa nasledujúceho </w:t>
      </w:r>
      <w:proofErr w:type="spellStart"/>
      <w:r w:rsidRPr="00A046C9">
        <w:rPr>
          <w:snapToGrid w:val="0"/>
          <w:color w:val="000000"/>
        </w:rPr>
        <w:t>Cockroftovho</w:t>
      </w:r>
      <w:proofErr w:type="spellEnd"/>
      <w:r w:rsidRPr="00A046C9">
        <w:rPr>
          <w:snapToGrid w:val="0"/>
          <w:color w:val="000000"/>
        </w:rPr>
        <w:t xml:space="preserve"> a </w:t>
      </w:r>
      <w:proofErr w:type="spellStart"/>
      <w:r w:rsidRPr="00A046C9">
        <w:rPr>
          <w:snapToGrid w:val="0"/>
          <w:color w:val="000000"/>
        </w:rPr>
        <w:t>Gaultovho</w:t>
      </w:r>
      <w:proofErr w:type="spellEnd"/>
      <w:r w:rsidRPr="00A046C9">
        <w:rPr>
          <w:snapToGrid w:val="0"/>
          <w:color w:val="000000"/>
        </w:rPr>
        <w:t xml:space="preserve"> vzorca:</w:t>
      </w:r>
    </w:p>
    <w:p w14:paraId="467CE09B" w14:textId="77777777" w:rsidR="00FC4129" w:rsidRPr="006E5174" w:rsidRDefault="00FC4129" w:rsidP="006E5174">
      <w:pPr>
        <w:spacing w:after="0"/>
        <w:rPr>
          <w:snapToGrid w:val="0"/>
          <w:color w:val="000000"/>
          <w:lang w:bidi="ar-QA"/>
        </w:rPr>
      </w:pPr>
    </w:p>
    <w:tbl>
      <w:tblPr>
        <w:tblW w:w="8647" w:type="dxa"/>
        <w:tblInd w:w="284" w:type="dxa"/>
        <w:tblLook w:val="01E0" w:firstRow="1" w:lastRow="1" w:firstColumn="1" w:lastColumn="1" w:noHBand="0" w:noVBand="0"/>
      </w:tblPr>
      <w:tblGrid>
        <w:gridCol w:w="4633"/>
        <w:gridCol w:w="3380"/>
        <w:gridCol w:w="634"/>
      </w:tblGrid>
      <w:tr w:rsidR="00A34767" w:rsidRPr="006E5174" w14:paraId="645BCDD3" w14:textId="77777777" w:rsidTr="007501FF">
        <w:tc>
          <w:tcPr>
            <w:tcW w:w="4633" w:type="dxa"/>
            <w:vMerge w:val="restart"/>
          </w:tcPr>
          <w:p w14:paraId="3FC18276" w14:textId="77777777" w:rsidR="00A34767" w:rsidRPr="006E5174" w:rsidRDefault="00A34767" w:rsidP="007501FF">
            <w:pPr>
              <w:spacing w:after="0"/>
              <w:ind w:left="-61"/>
              <w:rPr>
                <w:snapToGrid w:val="0"/>
                <w:color w:val="000000"/>
              </w:rPr>
            </w:pPr>
            <w:proofErr w:type="spellStart"/>
            <w:r w:rsidRPr="006E5174">
              <w:rPr>
                <w:snapToGrid w:val="0"/>
                <w:color w:val="000000"/>
              </w:rPr>
              <w:t>Klírens</w:t>
            </w:r>
            <w:proofErr w:type="spellEnd"/>
            <w:r w:rsidRPr="006E5174">
              <w:rPr>
                <w:snapToGrid w:val="0"/>
                <w:color w:val="000000"/>
              </w:rPr>
              <w:t xml:space="preserve"> </w:t>
            </w:r>
            <w:proofErr w:type="spellStart"/>
            <w:r w:rsidRPr="006E5174">
              <w:rPr>
                <w:snapToGrid w:val="0"/>
                <w:color w:val="000000"/>
              </w:rPr>
              <w:t>kreatinínu</w:t>
            </w:r>
            <w:proofErr w:type="spellEnd"/>
            <w:r w:rsidRPr="006E5174">
              <w:rPr>
                <w:snapToGrid w:val="0"/>
                <w:color w:val="000000"/>
              </w:rPr>
              <w:t xml:space="preserve"> (CL</w:t>
            </w:r>
            <w:r w:rsidRPr="006E5174">
              <w:rPr>
                <w:snapToGrid w:val="0"/>
                <w:color w:val="000000"/>
                <w:vertAlign w:val="subscript"/>
              </w:rPr>
              <w:t>CR</w:t>
            </w:r>
            <w:r w:rsidRPr="006E5174">
              <w:rPr>
                <w:snapToGrid w:val="0"/>
                <w:color w:val="000000"/>
              </w:rPr>
              <w:t>) u mužov [ml/min] =</w:t>
            </w:r>
          </w:p>
        </w:tc>
        <w:tc>
          <w:tcPr>
            <w:tcW w:w="4014" w:type="dxa"/>
            <w:gridSpan w:val="2"/>
            <w:tcBorders>
              <w:bottom w:val="single" w:sz="4" w:space="0" w:color="auto"/>
            </w:tcBorders>
          </w:tcPr>
          <w:p w14:paraId="7DB6AEC6" w14:textId="77777777" w:rsidR="00A34767" w:rsidRPr="006E5174" w:rsidRDefault="00A34767" w:rsidP="007501FF">
            <w:pPr>
              <w:spacing w:after="0"/>
              <w:ind w:right="-108"/>
              <w:rPr>
                <w:snapToGrid w:val="0"/>
                <w:color w:val="000000"/>
              </w:rPr>
            </w:pPr>
            <w:r w:rsidRPr="006E5174">
              <w:rPr>
                <w:snapToGrid w:val="0"/>
                <w:color w:val="000000"/>
              </w:rPr>
              <w:t>(140 – vek [roky]) x telesná hmotnosť [kg]</w:t>
            </w:r>
          </w:p>
        </w:tc>
      </w:tr>
      <w:tr w:rsidR="00A34767" w:rsidRPr="006E5174" w14:paraId="10E04F51" w14:textId="77777777" w:rsidTr="007501FF">
        <w:trPr>
          <w:gridAfter w:val="1"/>
          <w:wAfter w:w="634" w:type="dxa"/>
        </w:trPr>
        <w:tc>
          <w:tcPr>
            <w:tcW w:w="4633" w:type="dxa"/>
            <w:vMerge/>
          </w:tcPr>
          <w:p w14:paraId="30F40712" w14:textId="77777777" w:rsidR="002A34C5" w:rsidRPr="006E5174" w:rsidRDefault="002A34C5" w:rsidP="007501FF">
            <w:pPr>
              <w:spacing w:after="0"/>
              <w:rPr>
                <w:snapToGrid w:val="0"/>
                <w:color w:val="000000"/>
                <w:lang w:bidi="ar-QA"/>
              </w:rPr>
            </w:pPr>
          </w:p>
        </w:tc>
        <w:tc>
          <w:tcPr>
            <w:tcW w:w="3380" w:type="dxa"/>
            <w:tcBorders>
              <w:top w:val="single" w:sz="4" w:space="0" w:color="auto"/>
            </w:tcBorders>
          </w:tcPr>
          <w:p w14:paraId="1CC01B34" w14:textId="77777777" w:rsidR="002A34C5" w:rsidRPr="006E5174" w:rsidRDefault="00A34767" w:rsidP="007501FF">
            <w:pPr>
              <w:spacing w:after="0"/>
              <w:rPr>
                <w:snapToGrid w:val="0"/>
                <w:color w:val="000000"/>
              </w:rPr>
            </w:pPr>
            <w:r w:rsidRPr="006E5174">
              <w:rPr>
                <w:snapToGrid w:val="0"/>
                <w:color w:val="000000"/>
              </w:rPr>
              <w:t xml:space="preserve">72 x sérový </w:t>
            </w:r>
            <w:proofErr w:type="spellStart"/>
            <w:r w:rsidRPr="006E5174">
              <w:rPr>
                <w:snapToGrid w:val="0"/>
                <w:color w:val="000000"/>
              </w:rPr>
              <w:t>kreatinín</w:t>
            </w:r>
            <w:proofErr w:type="spellEnd"/>
            <w:r w:rsidRPr="006E5174">
              <w:rPr>
                <w:snapToGrid w:val="0"/>
                <w:color w:val="000000"/>
              </w:rPr>
              <w:t xml:space="preserve"> [mg/dl]</w:t>
            </w:r>
          </w:p>
        </w:tc>
      </w:tr>
    </w:tbl>
    <w:p w14:paraId="41C4745A" w14:textId="77777777" w:rsidR="00A046C9" w:rsidRDefault="00A046C9" w:rsidP="007501FF">
      <w:pPr>
        <w:spacing w:after="0"/>
        <w:rPr>
          <w:snapToGrid w:val="0"/>
          <w:color w:val="000000"/>
        </w:rPr>
      </w:pPr>
    </w:p>
    <w:p w14:paraId="084F9D76" w14:textId="77777777" w:rsidR="004C28C1" w:rsidRPr="00A046C9" w:rsidRDefault="00A34767" w:rsidP="007501FF">
      <w:pPr>
        <w:spacing w:after="0"/>
        <w:rPr>
          <w:snapToGrid w:val="0"/>
          <w:color w:val="000000"/>
        </w:rPr>
      </w:pPr>
      <w:r w:rsidRPr="00A046C9">
        <w:rPr>
          <w:snapToGrid w:val="0"/>
          <w:color w:val="000000"/>
        </w:rPr>
        <w:t>Na vypočítanie CL</w:t>
      </w:r>
      <w:r w:rsidRPr="00A046C9">
        <w:rPr>
          <w:snapToGrid w:val="0"/>
          <w:color w:val="000000"/>
          <w:vertAlign w:val="subscript"/>
        </w:rPr>
        <w:t>CR</w:t>
      </w:r>
      <w:r w:rsidRPr="00A046C9">
        <w:rPr>
          <w:snapToGrid w:val="0"/>
          <w:color w:val="000000"/>
        </w:rPr>
        <w:t xml:space="preserve"> u žien sa výsledok tohto vzorca vynásobí 0,85.</w:t>
      </w:r>
    </w:p>
    <w:p w14:paraId="28B076A4" w14:textId="77777777" w:rsidR="00A046C9" w:rsidRDefault="00A046C9" w:rsidP="007501FF">
      <w:pPr>
        <w:spacing w:after="0"/>
      </w:pPr>
    </w:p>
    <w:p w14:paraId="715872D5" w14:textId="77777777" w:rsidR="00A34767" w:rsidRPr="00A046C9" w:rsidRDefault="00A34767" w:rsidP="007501FF">
      <w:pPr>
        <w:spacing w:after="0"/>
      </w:pPr>
      <w:r w:rsidRPr="00A046C9">
        <w:t>Tabuľka dávkovania pre pacientov s poruchou funkcie obličiek:</w:t>
      </w:r>
    </w:p>
    <w:p w14:paraId="693A53B5" w14:textId="77777777" w:rsidR="00A34767" w:rsidRPr="00A046C9" w:rsidRDefault="00A34767" w:rsidP="007501FF">
      <w:pPr>
        <w:spacing w:after="0"/>
        <w:rPr>
          <w:snapToGrid w:val="0"/>
          <w:color w:val="000000"/>
          <w:lang w:bidi="ar-Q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418"/>
        <w:gridCol w:w="3441"/>
      </w:tblGrid>
      <w:tr w:rsidR="00FE03AC" w:rsidRPr="006E5174" w14:paraId="576C7843" w14:textId="77777777" w:rsidTr="007501FF">
        <w:trPr>
          <w:trHeight w:val="905"/>
          <w:jc w:val="center"/>
        </w:trPr>
        <w:tc>
          <w:tcPr>
            <w:tcW w:w="1373" w:type="dxa"/>
          </w:tcPr>
          <w:p w14:paraId="7DAA2A2E" w14:textId="77777777" w:rsidR="00FE03AC" w:rsidRPr="00A046C9" w:rsidRDefault="00FE03AC" w:rsidP="007501FF">
            <w:pPr>
              <w:spacing w:after="0"/>
              <w:rPr>
                <w:spacing w:val="-4"/>
                <w:w w:val="105"/>
                <w:vertAlign w:val="subscript"/>
              </w:rPr>
            </w:pPr>
            <w:r w:rsidRPr="00A046C9">
              <w:t>CL</w:t>
            </w:r>
            <w:r w:rsidRPr="00A046C9">
              <w:rPr>
                <w:vertAlign w:val="subscript"/>
              </w:rPr>
              <w:t>CR pacient</w:t>
            </w:r>
          </w:p>
        </w:tc>
        <w:tc>
          <w:tcPr>
            <w:tcW w:w="1418" w:type="dxa"/>
          </w:tcPr>
          <w:p w14:paraId="04212857" w14:textId="77777777" w:rsidR="00FE03AC" w:rsidRPr="00A046C9" w:rsidRDefault="00FE03AC" w:rsidP="007501FF">
            <w:pPr>
              <w:spacing w:after="0"/>
              <w:rPr>
                <w:spacing w:val="-4"/>
                <w:w w:val="105"/>
              </w:rPr>
            </w:pPr>
            <w:r w:rsidRPr="006E5174">
              <w:t>CL</w:t>
            </w:r>
            <w:r w:rsidRPr="006E5174">
              <w:rPr>
                <w:vertAlign w:val="subscript"/>
              </w:rPr>
              <w:t>CR pacient</w:t>
            </w:r>
            <w:r w:rsidRPr="006E5174">
              <w:t>/</w:t>
            </w:r>
            <w:r w:rsidRPr="006E5174">
              <w:br/>
            </w:r>
            <w:r w:rsidRPr="00EC254E">
              <w:t>CL</w:t>
            </w:r>
            <w:r w:rsidRPr="00EC254E">
              <w:rPr>
                <w:vertAlign w:val="subscript"/>
              </w:rPr>
              <w:t>CR normálny</w:t>
            </w:r>
          </w:p>
        </w:tc>
        <w:tc>
          <w:tcPr>
            <w:tcW w:w="3441" w:type="dxa"/>
          </w:tcPr>
          <w:p w14:paraId="07154E60" w14:textId="77777777" w:rsidR="00FE03AC" w:rsidRPr="006E5174" w:rsidRDefault="00FE03AC" w:rsidP="007501FF">
            <w:pPr>
              <w:spacing w:after="0"/>
              <w:rPr>
                <w:spacing w:val="-4"/>
                <w:w w:val="105"/>
              </w:rPr>
            </w:pPr>
            <w:r w:rsidRPr="006E5174">
              <w:t>Denné odporúčanie pre dávkovanie</w:t>
            </w:r>
            <w:r w:rsidRPr="006E5174">
              <w:rPr>
                <w:snapToGrid w:val="0"/>
                <w:color w:val="000000"/>
                <w:vertAlign w:val="superscript"/>
              </w:rPr>
              <w:t xml:space="preserve"> a</w:t>
            </w:r>
          </w:p>
        </w:tc>
      </w:tr>
      <w:tr w:rsidR="00FE03AC" w:rsidRPr="006E5174" w14:paraId="6596BDD8" w14:textId="77777777" w:rsidTr="007501FF">
        <w:trPr>
          <w:jc w:val="center"/>
        </w:trPr>
        <w:tc>
          <w:tcPr>
            <w:tcW w:w="1373" w:type="dxa"/>
          </w:tcPr>
          <w:p w14:paraId="774E95CD" w14:textId="77777777" w:rsidR="00FE03AC" w:rsidRPr="006E5174" w:rsidRDefault="00FE03AC" w:rsidP="007501FF">
            <w:pPr>
              <w:spacing w:after="0"/>
              <w:rPr>
                <w:spacing w:val="-4"/>
                <w:w w:val="105"/>
              </w:rPr>
            </w:pPr>
            <w:r w:rsidRPr="006E5174">
              <w:t>40 ml/min</w:t>
            </w:r>
          </w:p>
        </w:tc>
        <w:tc>
          <w:tcPr>
            <w:tcW w:w="1418" w:type="dxa"/>
          </w:tcPr>
          <w:p w14:paraId="1CD5D628" w14:textId="77777777" w:rsidR="00FE03AC" w:rsidRPr="006E5174" w:rsidRDefault="00FE03AC" w:rsidP="007501FF">
            <w:pPr>
              <w:spacing w:after="0"/>
              <w:rPr>
                <w:spacing w:val="-4"/>
                <w:w w:val="105"/>
              </w:rPr>
            </w:pPr>
            <w:r w:rsidRPr="006E5174">
              <w:t>0,333</w:t>
            </w:r>
          </w:p>
        </w:tc>
        <w:tc>
          <w:tcPr>
            <w:tcW w:w="3441" w:type="dxa"/>
          </w:tcPr>
          <w:p w14:paraId="52857999" w14:textId="35972EC8" w:rsidR="00FE03AC" w:rsidRPr="006E5174" w:rsidRDefault="0092272F" w:rsidP="007501FF">
            <w:pPr>
              <w:spacing w:after="0"/>
              <w:rPr>
                <w:spacing w:val="-4"/>
                <w:w w:val="105"/>
              </w:rPr>
            </w:pPr>
            <w:r w:rsidRPr="006E5174">
              <w:t>70 % (v 2</w:t>
            </w:r>
            <w:r w:rsidRPr="006E5174">
              <w:rPr>
                <w:snapToGrid w:val="0"/>
                <w:color w:val="000000"/>
              </w:rPr>
              <w:t>–</w:t>
            </w:r>
            <w:r w:rsidRPr="006E5174">
              <w:t>3 rozdelených dávkach)</w:t>
            </w:r>
          </w:p>
        </w:tc>
      </w:tr>
      <w:tr w:rsidR="00FE03AC" w:rsidRPr="006E5174" w14:paraId="17A392E2" w14:textId="77777777" w:rsidTr="007501FF">
        <w:trPr>
          <w:jc w:val="center"/>
        </w:trPr>
        <w:tc>
          <w:tcPr>
            <w:tcW w:w="1373" w:type="dxa"/>
          </w:tcPr>
          <w:p w14:paraId="62FDEA72" w14:textId="77777777" w:rsidR="00FE03AC" w:rsidRPr="006E5174" w:rsidRDefault="00FE03AC" w:rsidP="007501FF">
            <w:pPr>
              <w:spacing w:after="0"/>
              <w:rPr>
                <w:spacing w:val="-4"/>
                <w:w w:val="105"/>
              </w:rPr>
            </w:pPr>
            <w:r w:rsidRPr="006E5174">
              <w:t>30 ml/min</w:t>
            </w:r>
          </w:p>
        </w:tc>
        <w:tc>
          <w:tcPr>
            <w:tcW w:w="1418" w:type="dxa"/>
          </w:tcPr>
          <w:p w14:paraId="42181598" w14:textId="77777777" w:rsidR="00FE03AC" w:rsidRPr="006E5174" w:rsidRDefault="00FE03AC" w:rsidP="007501FF">
            <w:pPr>
              <w:spacing w:after="0"/>
              <w:rPr>
                <w:spacing w:val="-4"/>
                <w:w w:val="105"/>
              </w:rPr>
            </w:pPr>
            <w:r w:rsidRPr="006E5174">
              <w:t>0,250</w:t>
            </w:r>
          </w:p>
        </w:tc>
        <w:tc>
          <w:tcPr>
            <w:tcW w:w="3441" w:type="dxa"/>
          </w:tcPr>
          <w:p w14:paraId="31013D90" w14:textId="03EA8E45" w:rsidR="00FE03AC" w:rsidRPr="006E5174" w:rsidRDefault="00D20DAB" w:rsidP="007501FF">
            <w:pPr>
              <w:spacing w:after="0"/>
              <w:rPr>
                <w:spacing w:val="-4"/>
                <w:w w:val="105"/>
              </w:rPr>
            </w:pPr>
            <w:r w:rsidRPr="006E5174">
              <w:t>60 % (v 2</w:t>
            </w:r>
            <w:r w:rsidRPr="006E5174">
              <w:rPr>
                <w:snapToGrid w:val="0"/>
                <w:color w:val="000000"/>
              </w:rPr>
              <w:t>–</w:t>
            </w:r>
            <w:r w:rsidRPr="006E5174">
              <w:t>3 rozdelených dávkach)</w:t>
            </w:r>
          </w:p>
        </w:tc>
      </w:tr>
      <w:tr w:rsidR="00FE03AC" w:rsidRPr="006E5174" w14:paraId="65437281" w14:textId="77777777" w:rsidTr="007501FF">
        <w:trPr>
          <w:jc w:val="center"/>
        </w:trPr>
        <w:tc>
          <w:tcPr>
            <w:tcW w:w="1373" w:type="dxa"/>
          </w:tcPr>
          <w:p w14:paraId="7946AC35" w14:textId="77777777" w:rsidR="00FE03AC" w:rsidRPr="006E5174" w:rsidRDefault="00FE03AC" w:rsidP="007501FF">
            <w:pPr>
              <w:spacing w:after="0"/>
              <w:rPr>
                <w:spacing w:val="-4"/>
                <w:w w:val="105"/>
              </w:rPr>
            </w:pPr>
            <w:r w:rsidRPr="006E5174">
              <w:t>20 ml/min</w:t>
            </w:r>
          </w:p>
        </w:tc>
        <w:tc>
          <w:tcPr>
            <w:tcW w:w="1418" w:type="dxa"/>
          </w:tcPr>
          <w:p w14:paraId="274971BB" w14:textId="77777777" w:rsidR="00FE03AC" w:rsidRPr="006E5174" w:rsidRDefault="00FE03AC" w:rsidP="007501FF">
            <w:pPr>
              <w:spacing w:after="0"/>
              <w:rPr>
                <w:spacing w:val="-4"/>
                <w:w w:val="105"/>
              </w:rPr>
            </w:pPr>
            <w:r w:rsidRPr="006E5174">
              <w:t>0,167</w:t>
            </w:r>
          </w:p>
        </w:tc>
        <w:tc>
          <w:tcPr>
            <w:tcW w:w="3441" w:type="dxa"/>
          </w:tcPr>
          <w:p w14:paraId="479CCBCE" w14:textId="586097D9" w:rsidR="00FE03AC" w:rsidRPr="006E5174" w:rsidRDefault="00D56E12" w:rsidP="007501FF">
            <w:pPr>
              <w:spacing w:after="0"/>
              <w:rPr>
                <w:spacing w:val="-4"/>
                <w:w w:val="105"/>
              </w:rPr>
            </w:pPr>
            <w:r w:rsidRPr="006E5174">
              <w:t>40 % (v 2</w:t>
            </w:r>
            <w:r w:rsidRPr="006E5174">
              <w:rPr>
                <w:snapToGrid w:val="0"/>
                <w:color w:val="000000"/>
              </w:rPr>
              <w:t>–</w:t>
            </w:r>
            <w:r w:rsidRPr="006E5174">
              <w:t>3 rozdelených dávkach)</w:t>
            </w:r>
          </w:p>
        </w:tc>
      </w:tr>
      <w:tr w:rsidR="00FE03AC" w:rsidRPr="006E5174" w14:paraId="2C55917A" w14:textId="77777777" w:rsidTr="007501FF">
        <w:trPr>
          <w:jc w:val="center"/>
        </w:trPr>
        <w:tc>
          <w:tcPr>
            <w:tcW w:w="1373" w:type="dxa"/>
          </w:tcPr>
          <w:p w14:paraId="678CA271" w14:textId="77777777" w:rsidR="00FE03AC" w:rsidRPr="006E5174" w:rsidRDefault="00FE03AC" w:rsidP="007501FF">
            <w:pPr>
              <w:spacing w:after="0"/>
              <w:rPr>
                <w:spacing w:val="-4"/>
                <w:w w:val="105"/>
              </w:rPr>
            </w:pPr>
            <w:r w:rsidRPr="006E5174">
              <w:t>10 ml/min</w:t>
            </w:r>
          </w:p>
        </w:tc>
        <w:tc>
          <w:tcPr>
            <w:tcW w:w="1418" w:type="dxa"/>
          </w:tcPr>
          <w:p w14:paraId="1940B241" w14:textId="77777777" w:rsidR="00FE03AC" w:rsidRPr="006E5174" w:rsidRDefault="00FE03AC" w:rsidP="007501FF">
            <w:pPr>
              <w:spacing w:after="0"/>
              <w:rPr>
                <w:spacing w:val="-4"/>
                <w:w w:val="105"/>
              </w:rPr>
            </w:pPr>
            <w:r w:rsidRPr="006E5174">
              <w:t>0,083</w:t>
            </w:r>
          </w:p>
        </w:tc>
        <w:tc>
          <w:tcPr>
            <w:tcW w:w="3441" w:type="dxa"/>
          </w:tcPr>
          <w:p w14:paraId="62031BFD" w14:textId="0CAE552C" w:rsidR="00FE03AC" w:rsidRPr="006E5174" w:rsidRDefault="00D56E12" w:rsidP="007501FF">
            <w:pPr>
              <w:spacing w:after="0"/>
              <w:rPr>
                <w:spacing w:val="-4"/>
                <w:w w:val="105"/>
              </w:rPr>
            </w:pPr>
            <w:r w:rsidRPr="006E5174">
              <w:t>20 % (v 1</w:t>
            </w:r>
            <w:r w:rsidRPr="006E5174">
              <w:rPr>
                <w:snapToGrid w:val="0"/>
                <w:color w:val="000000"/>
              </w:rPr>
              <w:t>–</w:t>
            </w:r>
            <w:r w:rsidRPr="006E5174">
              <w:t>2 rozdelených dávkach)</w:t>
            </w:r>
          </w:p>
        </w:tc>
      </w:tr>
    </w:tbl>
    <w:p w14:paraId="155A0B23" w14:textId="77777777" w:rsidR="00A046C9" w:rsidRDefault="00A046C9" w:rsidP="007501FF">
      <w:pPr>
        <w:spacing w:after="0"/>
        <w:ind w:hanging="142"/>
        <w:rPr>
          <w:snapToGrid w:val="0"/>
          <w:color w:val="000000"/>
          <w:vertAlign w:val="superscript"/>
        </w:rPr>
      </w:pPr>
    </w:p>
    <w:p w14:paraId="69BAC39E" w14:textId="4B87E84E" w:rsidR="009159EE" w:rsidRDefault="003B2AB5" w:rsidP="007501FF">
      <w:pPr>
        <w:spacing w:after="0"/>
      </w:pPr>
      <w:r w:rsidRPr="00A046C9">
        <w:rPr>
          <w:snapToGrid w:val="0"/>
          <w:color w:val="000000"/>
          <w:vertAlign w:val="superscript"/>
        </w:rPr>
        <w:t>a</w:t>
      </w:r>
      <w:r w:rsidR="00A046C9">
        <w:t xml:space="preserve"> </w:t>
      </w:r>
      <w:r w:rsidRPr="00A046C9">
        <w:t>Dávka je vyjadrená ako podiel dávky, ktorá sa považuje za primeranú, ak by mal pacient normálnu funkciu obličiek.</w:t>
      </w:r>
    </w:p>
    <w:p w14:paraId="2381D3AC" w14:textId="77777777" w:rsidR="00A046C9" w:rsidRPr="00A046C9" w:rsidRDefault="00A046C9" w:rsidP="007501FF">
      <w:pPr>
        <w:spacing w:after="0"/>
        <w:rPr>
          <w:snapToGrid w:val="0"/>
          <w:color w:val="000000"/>
        </w:rPr>
      </w:pPr>
    </w:p>
    <w:p w14:paraId="3CEF7D7C" w14:textId="2EE5D11D" w:rsidR="00A34767" w:rsidRDefault="00A34767" w:rsidP="007501FF">
      <w:pPr>
        <w:spacing w:after="0"/>
        <w:rPr>
          <w:snapToGrid w:val="0"/>
          <w:color w:val="000000"/>
        </w:rPr>
      </w:pPr>
      <w:r w:rsidRPr="00A046C9">
        <w:rPr>
          <w:snapToGrid w:val="0"/>
          <w:color w:val="000000"/>
        </w:rPr>
        <w:t>Prvá dávka sa má zvýšiť o 100 % (</w:t>
      </w:r>
      <w:proofErr w:type="spellStart"/>
      <w:r w:rsidRPr="00A046C9">
        <w:rPr>
          <w:snapToGrid w:val="0"/>
          <w:color w:val="000000"/>
        </w:rPr>
        <w:t>nasycovacia</w:t>
      </w:r>
      <w:proofErr w:type="spellEnd"/>
      <w:r w:rsidRPr="00A046C9">
        <w:rPr>
          <w:snapToGrid w:val="0"/>
          <w:color w:val="000000"/>
        </w:rPr>
        <w:t xml:space="preserve"> dávka), avšak nesmie prekročiť 8 g.</w:t>
      </w:r>
    </w:p>
    <w:p w14:paraId="7C09422A" w14:textId="77777777" w:rsidR="00A046C9" w:rsidRPr="00A046C9" w:rsidRDefault="00A046C9" w:rsidP="007501FF">
      <w:pPr>
        <w:spacing w:after="0"/>
        <w:rPr>
          <w:snapToGrid w:val="0"/>
          <w:color w:val="000000"/>
        </w:rPr>
      </w:pPr>
    </w:p>
    <w:p w14:paraId="4AADC5E7" w14:textId="4907C8EB" w:rsidR="00895D51" w:rsidRPr="00A046C9" w:rsidRDefault="00A34767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3C6975">
        <w:rPr>
          <w:szCs w:val="22"/>
        </w:rPr>
        <w:t>Pac</w:t>
      </w:r>
      <w:r w:rsidRPr="00A046C9">
        <w:rPr>
          <w:szCs w:val="22"/>
        </w:rPr>
        <w:t xml:space="preserve">ienti </w:t>
      </w:r>
      <w:r w:rsidR="00EC254E">
        <w:rPr>
          <w:szCs w:val="22"/>
        </w:rPr>
        <w:t>podstupujúci liečbu nahradzujúcu funkciu obličiek</w:t>
      </w:r>
    </w:p>
    <w:p w14:paraId="0A3C47C9" w14:textId="77777777" w:rsidR="00A046C9" w:rsidRDefault="00A046C9" w:rsidP="007501FF">
      <w:pPr>
        <w:pStyle w:val="Zkladntext3"/>
        <w:spacing w:before="0" w:after="0"/>
        <w:rPr>
          <w:sz w:val="22"/>
          <w:szCs w:val="22"/>
        </w:rPr>
      </w:pPr>
    </w:p>
    <w:p w14:paraId="078E102E" w14:textId="2084998B" w:rsidR="00834A6F" w:rsidRPr="006E5174" w:rsidRDefault="00A34767" w:rsidP="007501FF">
      <w:pPr>
        <w:pStyle w:val="Zkladntext3"/>
        <w:spacing w:before="0" w:after="0"/>
        <w:rPr>
          <w:sz w:val="22"/>
          <w:szCs w:val="22"/>
        </w:rPr>
      </w:pPr>
      <w:r w:rsidRPr="00A046C9">
        <w:rPr>
          <w:sz w:val="22"/>
          <w:szCs w:val="22"/>
        </w:rPr>
        <w:t xml:space="preserve">Pacienti liečení chronickou prerušovanou dialýzou (každých 48 hodín) majú na konci každej dialýzy dostať 2 g </w:t>
      </w:r>
      <w:proofErr w:type="spellStart"/>
      <w:r w:rsidRPr="00A046C9">
        <w:rPr>
          <w:sz w:val="22"/>
          <w:szCs w:val="22"/>
        </w:rPr>
        <w:t>fosfomycínu</w:t>
      </w:r>
      <w:proofErr w:type="spellEnd"/>
      <w:r w:rsidRPr="00A046C9">
        <w:rPr>
          <w:sz w:val="22"/>
          <w:szCs w:val="22"/>
        </w:rPr>
        <w:t>.</w:t>
      </w:r>
    </w:p>
    <w:p w14:paraId="79170E9B" w14:textId="77777777" w:rsidR="00677216" w:rsidRDefault="00677216" w:rsidP="007501FF">
      <w:pPr>
        <w:spacing w:after="0"/>
        <w:rPr>
          <w:bCs/>
          <w:snapToGrid w:val="0"/>
          <w:color w:val="000000"/>
        </w:rPr>
      </w:pPr>
    </w:p>
    <w:p w14:paraId="700F5F58" w14:textId="4D855D10" w:rsidR="00283CAD" w:rsidRPr="006E5174" w:rsidRDefault="00344C7F" w:rsidP="007501FF">
      <w:pPr>
        <w:spacing w:after="0"/>
        <w:rPr>
          <w:bCs/>
          <w:snapToGrid w:val="0"/>
          <w:color w:val="000000"/>
        </w:rPr>
      </w:pPr>
      <w:r w:rsidRPr="006E5174">
        <w:rPr>
          <w:bCs/>
          <w:snapToGrid w:val="0"/>
          <w:color w:val="000000"/>
        </w:rPr>
        <w:t xml:space="preserve">Počas kontinuálnej </w:t>
      </w:r>
      <w:proofErr w:type="spellStart"/>
      <w:r w:rsidRPr="006E5174">
        <w:rPr>
          <w:bCs/>
          <w:snapToGrid w:val="0"/>
          <w:color w:val="000000"/>
        </w:rPr>
        <w:t>venovenóznej</w:t>
      </w:r>
      <w:proofErr w:type="spellEnd"/>
      <w:r w:rsidRPr="006E5174">
        <w:rPr>
          <w:bCs/>
          <w:snapToGrid w:val="0"/>
          <w:color w:val="000000"/>
        </w:rPr>
        <w:t xml:space="preserve"> </w:t>
      </w:r>
      <w:proofErr w:type="spellStart"/>
      <w:r w:rsidRPr="006E5174">
        <w:rPr>
          <w:bCs/>
          <w:snapToGrid w:val="0"/>
          <w:color w:val="000000"/>
        </w:rPr>
        <w:t>hemofiltrácie</w:t>
      </w:r>
      <w:proofErr w:type="spellEnd"/>
      <w:r w:rsidRPr="006E5174">
        <w:rPr>
          <w:bCs/>
          <w:snapToGrid w:val="0"/>
          <w:color w:val="000000"/>
        </w:rPr>
        <w:t xml:space="preserve"> (</w:t>
      </w:r>
      <w:proofErr w:type="spellStart"/>
      <w:r w:rsidRPr="006E5174">
        <w:rPr>
          <w:bCs/>
          <w:snapToGrid w:val="0"/>
          <w:color w:val="000000"/>
        </w:rPr>
        <w:t>postdilučná</w:t>
      </w:r>
      <w:proofErr w:type="spellEnd"/>
      <w:r w:rsidRPr="006E5174">
        <w:rPr>
          <w:bCs/>
          <w:snapToGrid w:val="0"/>
          <w:color w:val="000000"/>
        </w:rPr>
        <w:t xml:space="preserve"> CVVHF) sa </w:t>
      </w:r>
      <w:proofErr w:type="spellStart"/>
      <w:r w:rsidRPr="006E5174">
        <w:rPr>
          <w:bCs/>
          <w:snapToGrid w:val="0"/>
          <w:color w:val="000000"/>
        </w:rPr>
        <w:t>fosfomycín</w:t>
      </w:r>
      <w:proofErr w:type="spellEnd"/>
      <w:r w:rsidRPr="006E5174">
        <w:rPr>
          <w:bCs/>
          <w:snapToGrid w:val="0"/>
          <w:color w:val="000000"/>
        </w:rPr>
        <w:t xml:space="preserve"> účinne eliminuje. U pacientov liečených </w:t>
      </w:r>
      <w:proofErr w:type="spellStart"/>
      <w:r w:rsidRPr="006E5174">
        <w:rPr>
          <w:bCs/>
          <w:snapToGrid w:val="0"/>
          <w:color w:val="000000"/>
        </w:rPr>
        <w:t>postdilučnou</w:t>
      </w:r>
      <w:proofErr w:type="spellEnd"/>
      <w:r w:rsidRPr="006E5174">
        <w:rPr>
          <w:bCs/>
          <w:snapToGrid w:val="0"/>
          <w:color w:val="000000"/>
        </w:rPr>
        <w:t xml:space="preserve"> CVVHF nie je potrebná žiadna úprava dávky (pozri časť 5.2). </w:t>
      </w:r>
    </w:p>
    <w:p w14:paraId="04983C6F" w14:textId="77777777" w:rsidR="00677216" w:rsidRDefault="00677216" w:rsidP="007501FF">
      <w:pPr>
        <w:spacing w:after="0"/>
        <w:rPr>
          <w:bCs/>
          <w:snapToGrid w:val="0"/>
          <w:color w:val="000000"/>
        </w:rPr>
      </w:pPr>
    </w:p>
    <w:p w14:paraId="18C99A5F" w14:textId="6C7EB6A8" w:rsidR="002D44A5" w:rsidRPr="006E5174" w:rsidRDefault="00E07915" w:rsidP="007501FF">
      <w:pPr>
        <w:spacing w:after="0"/>
        <w:rPr>
          <w:bCs/>
          <w:snapToGrid w:val="0"/>
          <w:color w:val="000000"/>
        </w:rPr>
      </w:pPr>
      <w:r w:rsidRPr="006E5174">
        <w:rPr>
          <w:bCs/>
          <w:snapToGrid w:val="0"/>
          <w:color w:val="000000"/>
        </w:rPr>
        <w:t xml:space="preserve">Nie sú k dispozícii žiadne klinické údaje pre intravenózne podávaný </w:t>
      </w:r>
      <w:proofErr w:type="spellStart"/>
      <w:r w:rsidRPr="006E5174">
        <w:rPr>
          <w:bCs/>
          <w:snapToGrid w:val="0"/>
          <w:color w:val="000000"/>
        </w:rPr>
        <w:t>fosfomycín</w:t>
      </w:r>
      <w:proofErr w:type="spellEnd"/>
      <w:r w:rsidRPr="006E5174">
        <w:rPr>
          <w:bCs/>
          <w:snapToGrid w:val="0"/>
          <w:color w:val="000000"/>
        </w:rPr>
        <w:t xml:space="preserve"> u pacientov podstupujúcich </w:t>
      </w:r>
      <w:proofErr w:type="spellStart"/>
      <w:r w:rsidRPr="006E5174">
        <w:rPr>
          <w:bCs/>
          <w:snapToGrid w:val="0"/>
          <w:color w:val="000000"/>
        </w:rPr>
        <w:t>predilučnú</w:t>
      </w:r>
      <w:proofErr w:type="spellEnd"/>
      <w:r w:rsidRPr="006E5174">
        <w:rPr>
          <w:bCs/>
          <w:snapToGrid w:val="0"/>
          <w:color w:val="000000"/>
        </w:rPr>
        <w:t xml:space="preserve"> CVVHF alebo iné formy</w:t>
      </w:r>
      <w:r w:rsidR="00EC254E">
        <w:rPr>
          <w:bCs/>
          <w:snapToGrid w:val="0"/>
          <w:color w:val="000000"/>
        </w:rPr>
        <w:t xml:space="preserve"> liečby</w:t>
      </w:r>
      <w:r w:rsidRPr="006E5174">
        <w:rPr>
          <w:bCs/>
          <w:snapToGrid w:val="0"/>
          <w:color w:val="000000"/>
        </w:rPr>
        <w:t xml:space="preserve"> n</w:t>
      </w:r>
      <w:r w:rsidR="00EC254E">
        <w:rPr>
          <w:bCs/>
          <w:snapToGrid w:val="0"/>
          <w:color w:val="000000"/>
        </w:rPr>
        <w:t>a</w:t>
      </w:r>
      <w:r w:rsidRPr="006E5174">
        <w:rPr>
          <w:bCs/>
          <w:snapToGrid w:val="0"/>
          <w:color w:val="000000"/>
        </w:rPr>
        <w:t>hrad</w:t>
      </w:r>
      <w:r w:rsidR="00EC254E">
        <w:rPr>
          <w:bCs/>
          <w:snapToGrid w:val="0"/>
          <w:color w:val="000000"/>
        </w:rPr>
        <w:t>zujúcej funkciu obličiek</w:t>
      </w:r>
      <w:r w:rsidRPr="006E5174">
        <w:rPr>
          <w:bCs/>
          <w:snapToGrid w:val="0"/>
          <w:color w:val="000000"/>
        </w:rPr>
        <w:t>.</w:t>
      </w:r>
    </w:p>
    <w:p w14:paraId="5F5325FF" w14:textId="77777777" w:rsidR="00677216" w:rsidRDefault="00677216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0933FB77" w14:textId="77777777" w:rsidR="00B359D8" w:rsidRPr="006E5174" w:rsidRDefault="00375D6E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6E5174">
        <w:rPr>
          <w:szCs w:val="22"/>
        </w:rPr>
        <w:t xml:space="preserve">Porucha funkcie pečene </w:t>
      </w:r>
    </w:p>
    <w:p w14:paraId="13E57FE8" w14:textId="77777777" w:rsidR="00677216" w:rsidRDefault="00677216" w:rsidP="007501FF">
      <w:pPr>
        <w:spacing w:after="0"/>
        <w:rPr>
          <w:bCs/>
          <w:snapToGrid w:val="0"/>
          <w:color w:val="000000"/>
        </w:rPr>
      </w:pPr>
    </w:p>
    <w:p w14:paraId="2A42CC9D" w14:textId="77777777" w:rsidR="00B359D8" w:rsidRPr="006E5174" w:rsidRDefault="004C28C1" w:rsidP="007501FF">
      <w:pPr>
        <w:spacing w:after="0"/>
        <w:rPr>
          <w:bCs/>
          <w:snapToGrid w:val="0"/>
          <w:color w:val="000000"/>
        </w:rPr>
      </w:pPr>
      <w:r w:rsidRPr="006E5174">
        <w:rPr>
          <w:bCs/>
          <w:snapToGrid w:val="0"/>
          <w:color w:val="000000"/>
        </w:rPr>
        <w:t>Neexistujú žiadne údaje, ktoré by naznačovali potrebu úpravy dávky u pacientov s poruchou funkcie pečene.</w:t>
      </w:r>
    </w:p>
    <w:p w14:paraId="666899B5" w14:textId="77777777" w:rsidR="00677216" w:rsidRDefault="00677216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5FB06858" w14:textId="77777777" w:rsidR="00B359D8" w:rsidRPr="006E5174" w:rsidRDefault="00B359D8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6E5174">
        <w:rPr>
          <w:szCs w:val="22"/>
        </w:rPr>
        <w:t>Starší pacienti</w:t>
      </w:r>
    </w:p>
    <w:p w14:paraId="55DD97F5" w14:textId="77777777" w:rsidR="00677216" w:rsidRDefault="00677216" w:rsidP="007501FF">
      <w:pPr>
        <w:spacing w:after="0"/>
        <w:rPr>
          <w:bCs/>
          <w:snapToGrid w:val="0"/>
          <w:color w:val="000000"/>
        </w:rPr>
      </w:pPr>
    </w:p>
    <w:p w14:paraId="0D9FD27C" w14:textId="267A859F" w:rsidR="007C5BB8" w:rsidRPr="006E5174" w:rsidRDefault="00B359D8" w:rsidP="007501FF">
      <w:pPr>
        <w:spacing w:after="0"/>
        <w:rPr>
          <w:bCs/>
          <w:snapToGrid w:val="0"/>
          <w:color w:val="000000"/>
        </w:rPr>
      </w:pPr>
      <w:r w:rsidRPr="006E5174">
        <w:rPr>
          <w:bCs/>
          <w:snapToGrid w:val="0"/>
          <w:color w:val="000000"/>
        </w:rPr>
        <w:t>U starších pacientov sa majú použiť dávky odporúčané pre dospelých. Pri používaní dávok v </w:t>
      </w:r>
      <w:r w:rsidRPr="00EC254E">
        <w:rPr>
          <w:bCs/>
          <w:snapToGrid w:val="0"/>
          <w:color w:val="000000"/>
        </w:rPr>
        <w:t>horn</w:t>
      </w:r>
      <w:r w:rsidR="00EC254E">
        <w:rPr>
          <w:bCs/>
          <w:snapToGrid w:val="0"/>
          <w:color w:val="000000"/>
        </w:rPr>
        <w:t>ej</w:t>
      </w:r>
      <w:r w:rsidRPr="00EC254E">
        <w:rPr>
          <w:bCs/>
          <w:snapToGrid w:val="0"/>
          <w:color w:val="000000"/>
        </w:rPr>
        <w:t xml:space="preserve"> </w:t>
      </w:r>
      <w:r w:rsidR="00EC254E">
        <w:rPr>
          <w:bCs/>
          <w:snapToGrid w:val="0"/>
          <w:color w:val="000000"/>
        </w:rPr>
        <w:t>hranici</w:t>
      </w:r>
      <w:r w:rsidRPr="006E5174">
        <w:rPr>
          <w:bCs/>
          <w:snapToGrid w:val="0"/>
          <w:color w:val="000000"/>
        </w:rPr>
        <w:t xml:space="preserve"> odporúčaného rozsahu sa má postupovať opatrne (pozri tiež odporúčania pre dávkovanie u pacientov s poruchou funkcie obličiek).</w:t>
      </w:r>
    </w:p>
    <w:p w14:paraId="311B7EBA" w14:textId="77777777" w:rsidR="00677216" w:rsidRDefault="00677216" w:rsidP="007501FF">
      <w:pPr>
        <w:spacing w:after="0"/>
        <w:rPr>
          <w:u w:val="single"/>
        </w:rPr>
      </w:pPr>
    </w:p>
    <w:p w14:paraId="475AA2B5" w14:textId="77777777" w:rsidR="00012DC7" w:rsidRPr="006E5174" w:rsidRDefault="00012DC7" w:rsidP="007501FF">
      <w:pPr>
        <w:spacing w:after="0"/>
        <w:rPr>
          <w:u w:val="single"/>
        </w:rPr>
      </w:pPr>
      <w:r w:rsidRPr="006E5174">
        <w:rPr>
          <w:u w:val="single"/>
        </w:rPr>
        <w:t>Pediatrická populácia</w:t>
      </w:r>
    </w:p>
    <w:p w14:paraId="06D96E8E" w14:textId="77777777" w:rsidR="00677216" w:rsidRDefault="00677216" w:rsidP="007501FF">
      <w:pPr>
        <w:pStyle w:val="Formatvorlageberschrift3NichtKursivUnterstrichenLinks125cm"/>
        <w:keepNext w:val="0"/>
        <w:spacing w:before="0" w:line="240" w:lineRule="auto"/>
        <w:ind w:left="0"/>
        <w:rPr>
          <w:szCs w:val="22"/>
          <w:u w:val="none"/>
        </w:rPr>
      </w:pPr>
    </w:p>
    <w:p w14:paraId="7B20D46A" w14:textId="4A077F7A" w:rsidR="00012DC7" w:rsidRPr="006E5174" w:rsidRDefault="00012DC7" w:rsidP="007501FF">
      <w:pPr>
        <w:pStyle w:val="Formatvorlageberschrift3NichtKursivUnterstrichenLinks125cm"/>
        <w:keepNext w:val="0"/>
        <w:spacing w:before="0" w:line="240" w:lineRule="auto"/>
        <w:ind w:left="0"/>
        <w:rPr>
          <w:szCs w:val="22"/>
          <w:u w:val="none"/>
        </w:rPr>
      </w:pPr>
      <w:r w:rsidRPr="006E5174">
        <w:rPr>
          <w:szCs w:val="22"/>
          <w:u w:val="none"/>
        </w:rPr>
        <w:t>Odporúčan</w:t>
      </w:r>
      <w:r w:rsidR="00AC10E0">
        <w:rPr>
          <w:szCs w:val="22"/>
          <w:u w:val="none"/>
        </w:rPr>
        <w:t>é</w:t>
      </w:r>
      <w:r w:rsidRPr="006E5174">
        <w:rPr>
          <w:szCs w:val="22"/>
          <w:u w:val="none"/>
        </w:rPr>
        <w:t xml:space="preserve"> dáv</w:t>
      </w:r>
      <w:r w:rsidR="00AC10E0">
        <w:rPr>
          <w:szCs w:val="22"/>
          <w:u w:val="none"/>
        </w:rPr>
        <w:t>ky</w:t>
      </w:r>
      <w:r w:rsidRPr="006E5174">
        <w:rPr>
          <w:szCs w:val="22"/>
          <w:u w:val="none"/>
        </w:rPr>
        <w:t xml:space="preserve"> sa zakladajú na veľmi obmedzených údajoch.</w:t>
      </w:r>
    </w:p>
    <w:p w14:paraId="5E72EDEA" w14:textId="77777777" w:rsidR="00677216" w:rsidRDefault="00677216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3581DE78" w14:textId="77777777" w:rsidR="00012DC7" w:rsidRPr="006E5174" w:rsidRDefault="00012DC7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6E5174">
        <w:rPr>
          <w:szCs w:val="22"/>
        </w:rPr>
        <w:t>Novorodenci, dojčatá a deti vo veku &lt; 12 rokov (&lt; 40 kg)</w:t>
      </w:r>
    </w:p>
    <w:p w14:paraId="7DAF3CAF" w14:textId="77777777" w:rsidR="00BB6F77" w:rsidRDefault="00BB6F77" w:rsidP="007501FF">
      <w:pPr>
        <w:pStyle w:val="Formatvorlageberschrift3NichtKursivUnterstrichenLinks125cm"/>
        <w:spacing w:before="0" w:line="240" w:lineRule="auto"/>
        <w:ind w:left="0"/>
        <w:rPr>
          <w:szCs w:val="22"/>
          <w:u w:val="none"/>
        </w:rPr>
      </w:pPr>
    </w:p>
    <w:p w14:paraId="339BBF36" w14:textId="77777777" w:rsidR="00FD7EF8" w:rsidRDefault="005209DD" w:rsidP="007501FF">
      <w:pPr>
        <w:pStyle w:val="Formatvorlageberschrift3NichtKursivUnterstrichenLinks125cm"/>
        <w:spacing w:before="0" w:line="240" w:lineRule="auto"/>
        <w:ind w:left="0"/>
        <w:rPr>
          <w:szCs w:val="22"/>
          <w:u w:val="none"/>
        </w:rPr>
      </w:pPr>
      <w:r w:rsidRPr="006E5174">
        <w:rPr>
          <w:szCs w:val="22"/>
          <w:u w:val="none"/>
        </w:rPr>
        <w:t xml:space="preserve">Dávkovanie </w:t>
      </w:r>
      <w:proofErr w:type="spellStart"/>
      <w:r w:rsidRPr="006E5174">
        <w:rPr>
          <w:szCs w:val="22"/>
          <w:u w:val="none"/>
        </w:rPr>
        <w:t>fosfomycínu</w:t>
      </w:r>
      <w:proofErr w:type="spellEnd"/>
      <w:r w:rsidRPr="006E5174">
        <w:rPr>
          <w:szCs w:val="22"/>
          <w:u w:val="none"/>
        </w:rPr>
        <w:t xml:space="preserve"> u detí sa má zakladať na veku a telesnej hmotnosti:</w:t>
      </w:r>
    </w:p>
    <w:p w14:paraId="46B7F930" w14:textId="77777777" w:rsidR="00BB6F77" w:rsidRPr="006E5174" w:rsidRDefault="00BB6F77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tbl>
      <w:tblPr>
        <w:tblW w:w="821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106"/>
      </w:tblGrid>
      <w:tr w:rsidR="005209DD" w:rsidRPr="006E5174" w14:paraId="7F24A8E5" w14:textId="77777777" w:rsidTr="00A86A9D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FAC" w14:textId="77777777" w:rsidR="005209DD" w:rsidRPr="006E5174" w:rsidRDefault="005209DD" w:rsidP="007501FF">
            <w:pPr>
              <w:spacing w:after="0"/>
              <w:rPr>
                <w:b/>
                <w:bCs/>
                <w:snapToGrid w:val="0"/>
                <w:color w:val="000000"/>
              </w:rPr>
            </w:pPr>
            <w:r w:rsidRPr="006E5174">
              <w:rPr>
                <w:b/>
                <w:bCs/>
                <w:snapToGrid w:val="0"/>
                <w:color w:val="000000"/>
              </w:rPr>
              <w:t>Vek/telesná hmotnosť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E0BF" w14:textId="77777777" w:rsidR="005209DD" w:rsidRPr="006E5174" w:rsidRDefault="005209DD" w:rsidP="007501FF">
            <w:pPr>
              <w:spacing w:after="0"/>
              <w:rPr>
                <w:b/>
                <w:bCs/>
                <w:snapToGrid w:val="0"/>
                <w:color w:val="000000"/>
              </w:rPr>
            </w:pPr>
            <w:r w:rsidRPr="006E5174">
              <w:rPr>
                <w:b/>
                <w:bCs/>
                <w:snapToGrid w:val="0"/>
                <w:color w:val="000000"/>
              </w:rPr>
              <w:t>Denná dávka</w:t>
            </w:r>
          </w:p>
        </w:tc>
      </w:tr>
      <w:tr w:rsidR="005209DD" w:rsidRPr="006E5174" w14:paraId="0F2596D3" w14:textId="77777777" w:rsidTr="00A86A9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B28" w14:textId="77777777" w:rsidR="005209DD" w:rsidRPr="006E5174" w:rsidRDefault="005209DD" w:rsidP="007501FF">
            <w:pPr>
              <w:spacing w:after="0"/>
              <w:rPr>
                <w:snapToGrid w:val="0"/>
                <w:color w:val="000000"/>
              </w:rPr>
            </w:pPr>
            <w:r w:rsidRPr="006E5174">
              <w:rPr>
                <w:snapToGrid w:val="0"/>
                <w:color w:val="000000"/>
              </w:rPr>
              <w:t xml:space="preserve">Predčasne narodení novorodenci </w:t>
            </w:r>
            <w:r w:rsidRPr="006E5174">
              <w:rPr>
                <w:snapToGrid w:val="0"/>
                <w:color w:val="000000"/>
              </w:rPr>
              <w:br/>
              <w:t xml:space="preserve">(vek </w:t>
            </w:r>
            <w:r w:rsidRPr="006E5174">
              <w:rPr>
                <w:snapToGrid w:val="0"/>
                <w:color w:val="000000"/>
                <w:vertAlign w:val="superscript"/>
              </w:rPr>
              <w:t>a</w:t>
            </w:r>
            <w:r w:rsidRPr="006E5174">
              <w:rPr>
                <w:snapToGrid w:val="0"/>
                <w:color w:val="000000"/>
              </w:rPr>
              <w:t xml:space="preserve"> &lt; 40 týždňov)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2203" w14:textId="77777777" w:rsidR="005209DD" w:rsidRPr="006E5174" w:rsidRDefault="00471488" w:rsidP="007501FF">
            <w:pPr>
              <w:spacing w:after="0"/>
              <w:rPr>
                <w:snapToGrid w:val="0"/>
                <w:color w:val="000000"/>
              </w:rPr>
            </w:pPr>
            <w:r w:rsidRPr="006E5174">
              <w:rPr>
                <w:snapToGrid w:val="0"/>
                <w:color w:val="000000"/>
              </w:rPr>
              <w:t xml:space="preserve">100 mg/kg telesnej hmotnosti </w:t>
            </w:r>
            <w:r w:rsidRPr="006E5174">
              <w:rPr>
                <w:snapToGrid w:val="0"/>
                <w:color w:val="000000"/>
              </w:rPr>
              <w:br/>
              <w:t xml:space="preserve">v 2 rozdelených dávkach </w:t>
            </w:r>
          </w:p>
        </w:tc>
      </w:tr>
      <w:tr w:rsidR="005209DD" w:rsidRPr="006E5174" w14:paraId="056612A8" w14:textId="77777777" w:rsidTr="00A86A9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C5F0" w14:textId="17063DB2" w:rsidR="005209DD" w:rsidRPr="006E5174" w:rsidRDefault="005209DD" w:rsidP="007501FF">
            <w:pPr>
              <w:spacing w:after="0"/>
              <w:rPr>
                <w:snapToGrid w:val="0"/>
                <w:color w:val="000000"/>
              </w:rPr>
            </w:pPr>
            <w:r w:rsidRPr="006E5174">
              <w:rPr>
                <w:snapToGrid w:val="0"/>
                <w:color w:val="000000"/>
              </w:rPr>
              <w:t xml:space="preserve">Novorodenci </w:t>
            </w:r>
            <w:r w:rsidRPr="006E5174">
              <w:rPr>
                <w:snapToGrid w:val="0"/>
                <w:color w:val="000000"/>
              </w:rPr>
              <w:br/>
              <w:t xml:space="preserve">(vek </w:t>
            </w:r>
            <w:r w:rsidRPr="006E5174">
              <w:rPr>
                <w:snapToGrid w:val="0"/>
                <w:color w:val="000000"/>
                <w:vertAlign w:val="superscript"/>
              </w:rPr>
              <w:t>a</w:t>
            </w:r>
            <w:r w:rsidRPr="006E5174">
              <w:rPr>
                <w:snapToGrid w:val="0"/>
                <w:color w:val="000000"/>
              </w:rPr>
              <w:t xml:space="preserve"> 40–44 týždňov)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6540" w14:textId="77777777" w:rsidR="005209DD" w:rsidRPr="006E5174" w:rsidRDefault="00471488" w:rsidP="007501FF">
            <w:pPr>
              <w:spacing w:after="0"/>
              <w:rPr>
                <w:snapToGrid w:val="0"/>
                <w:color w:val="000000"/>
              </w:rPr>
            </w:pPr>
            <w:r w:rsidRPr="006E5174">
              <w:rPr>
                <w:snapToGrid w:val="0"/>
                <w:color w:val="000000"/>
              </w:rPr>
              <w:t xml:space="preserve">200 mg/kg telesnej hmotnosti </w:t>
            </w:r>
            <w:r w:rsidRPr="006E5174">
              <w:rPr>
                <w:snapToGrid w:val="0"/>
                <w:color w:val="000000"/>
              </w:rPr>
              <w:br/>
              <w:t>v 3 rozdelených dávkach</w:t>
            </w:r>
          </w:p>
        </w:tc>
      </w:tr>
      <w:tr w:rsidR="005209DD" w:rsidRPr="006E5174" w14:paraId="415A5448" w14:textId="77777777" w:rsidTr="00A86A9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8AB" w14:textId="65799ECB" w:rsidR="005209DD" w:rsidRPr="006E5174" w:rsidRDefault="005209DD" w:rsidP="007501FF">
            <w:pPr>
              <w:spacing w:after="0"/>
              <w:rPr>
                <w:snapToGrid w:val="0"/>
                <w:color w:val="000000"/>
              </w:rPr>
            </w:pPr>
            <w:r w:rsidRPr="006E5174">
              <w:rPr>
                <w:snapToGrid w:val="0"/>
                <w:color w:val="000000"/>
              </w:rPr>
              <w:t xml:space="preserve">Dojčatá vo veku 1–12 mesiacov </w:t>
            </w:r>
            <w:r w:rsidRPr="006E5174">
              <w:rPr>
                <w:snapToGrid w:val="0"/>
                <w:color w:val="000000"/>
              </w:rPr>
              <w:br/>
              <w:t>(telesná hmotnosť do 10 kg)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1675" w14:textId="05CDB661" w:rsidR="005209DD" w:rsidRPr="006E5174" w:rsidRDefault="005209DD" w:rsidP="007501FF">
            <w:pPr>
              <w:spacing w:after="0"/>
              <w:rPr>
                <w:snapToGrid w:val="0"/>
                <w:color w:val="000000"/>
              </w:rPr>
            </w:pPr>
            <w:r w:rsidRPr="006E5174">
              <w:rPr>
                <w:snapToGrid w:val="0"/>
                <w:color w:val="000000"/>
              </w:rPr>
              <w:t xml:space="preserve">200–300 </w:t>
            </w:r>
            <w:r w:rsidRPr="006E5174">
              <w:rPr>
                <w:snapToGrid w:val="0"/>
                <w:color w:val="000000"/>
                <w:vertAlign w:val="superscript"/>
              </w:rPr>
              <w:t>b</w:t>
            </w:r>
            <w:r w:rsidRPr="006E5174">
              <w:rPr>
                <w:snapToGrid w:val="0"/>
                <w:color w:val="000000"/>
              </w:rPr>
              <w:t xml:space="preserve"> mg/kg telesnej hmotnosti </w:t>
            </w:r>
            <w:r w:rsidRPr="006E5174">
              <w:rPr>
                <w:snapToGrid w:val="0"/>
                <w:color w:val="000000"/>
              </w:rPr>
              <w:br/>
              <w:t>v 3 rozdelených dávkach</w:t>
            </w:r>
          </w:p>
        </w:tc>
      </w:tr>
      <w:tr w:rsidR="005209DD" w:rsidRPr="006E5174" w14:paraId="2DBF6CAD" w14:textId="77777777" w:rsidTr="00A86A9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1676" w14:textId="1C2B760E" w:rsidR="005209DD" w:rsidRPr="006E5174" w:rsidRDefault="005209DD" w:rsidP="007501FF">
            <w:pPr>
              <w:spacing w:after="0"/>
              <w:rPr>
                <w:snapToGrid w:val="0"/>
                <w:color w:val="000000"/>
              </w:rPr>
            </w:pPr>
            <w:r w:rsidRPr="006E5174">
              <w:rPr>
                <w:snapToGrid w:val="0"/>
                <w:color w:val="000000"/>
              </w:rPr>
              <w:t xml:space="preserve">Dojčatá a deti vo veku 1–12 rokov </w:t>
            </w:r>
            <w:r w:rsidRPr="006E5174">
              <w:rPr>
                <w:snapToGrid w:val="0"/>
                <w:color w:val="000000"/>
              </w:rPr>
              <w:br/>
              <w:t>(telesná hmotnosť 10–40 kg)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9193" w14:textId="70CDE2BA" w:rsidR="005209DD" w:rsidRPr="006E5174" w:rsidRDefault="00012DC7" w:rsidP="007501FF">
            <w:pPr>
              <w:spacing w:after="0"/>
              <w:rPr>
                <w:snapToGrid w:val="0"/>
                <w:color w:val="000000"/>
              </w:rPr>
            </w:pPr>
            <w:r w:rsidRPr="006E5174">
              <w:rPr>
                <w:snapToGrid w:val="0"/>
                <w:color w:val="000000"/>
              </w:rPr>
              <w:t xml:space="preserve">200–400 </w:t>
            </w:r>
            <w:r w:rsidRPr="006E5174">
              <w:rPr>
                <w:snapToGrid w:val="0"/>
                <w:color w:val="000000"/>
                <w:vertAlign w:val="superscript"/>
              </w:rPr>
              <w:t>b</w:t>
            </w:r>
            <w:r w:rsidRPr="006E5174">
              <w:rPr>
                <w:snapToGrid w:val="0"/>
                <w:color w:val="000000"/>
              </w:rPr>
              <w:t xml:space="preserve"> mg/kg telesnej hmotnosti </w:t>
            </w:r>
            <w:r w:rsidRPr="006E5174">
              <w:rPr>
                <w:snapToGrid w:val="0"/>
                <w:color w:val="000000"/>
              </w:rPr>
              <w:br/>
              <w:t xml:space="preserve">v 3–4 rozdelených dávkach </w:t>
            </w:r>
          </w:p>
        </w:tc>
      </w:tr>
    </w:tbl>
    <w:p w14:paraId="1ADF8AC5" w14:textId="77777777" w:rsidR="00BB6F77" w:rsidRDefault="00BB6F77" w:rsidP="007501FF">
      <w:pPr>
        <w:spacing w:after="0"/>
        <w:ind w:hanging="142"/>
        <w:rPr>
          <w:vertAlign w:val="superscript"/>
        </w:rPr>
      </w:pPr>
    </w:p>
    <w:p w14:paraId="23B8EC23" w14:textId="1CB247A2" w:rsidR="003B2AB5" w:rsidRPr="006E5174" w:rsidRDefault="005209DD" w:rsidP="007501FF">
      <w:pPr>
        <w:spacing w:after="0"/>
      </w:pPr>
      <w:r w:rsidRPr="006E5174">
        <w:rPr>
          <w:vertAlign w:val="superscript"/>
        </w:rPr>
        <w:t>a</w:t>
      </w:r>
      <w:r w:rsidR="00AC10E0">
        <w:t xml:space="preserve"> </w:t>
      </w:r>
      <w:r w:rsidRPr="006E5174">
        <w:t xml:space="preserve">Súčet </w:t>
      </w:r>
      <w:proofErr w:type="spellStart"/>
      <w:r w:rsidRPr="006E5174">
        <w:t>gestačného</w:t>
      </w:r>
      <w:proofErr w:type="spellEnd"/>
      <w:r w:rsidRPr="006E5174">
        <w:t xml:space="preserve"> a </w:t>
      </w:r>
      <w:proofErr w:type="spellStart"/>
      <w:r w:rsidRPr="006E5174">
        <w:t>postnatálneho</w:t>
      </w:r>
      <w:proofErr w:type="spellEnd"/>
      <w:r w:rsidRPr="006E5174">
        <w:t xml:space="preserve"> veku</w:t>
      </w:r>
    </w:p>
    <w:p w14:paraId="49DFD8B4" w14:textId="77777777" w:rsidR="00BB6F77" w:rsidRDefault="00BB6F77" w:rsidP="007501FF">
      <w:pPr>
        <w:spacing w:after="0"/>
        <w:ind w:hanging="142"/>
        <w:rPr>
          <w:vertAlign w:val="superscript"/>
        </w:rPr>
      </w:pPr>
    </w:p>
    <w:p w14:paraId="0847B28A" w14:textId="0551F43F" w:rsidR="003B2AB5" w:rsidRPr="006E5174" w:rsidRDefault="00F21CC7" w:rsidP="007501FF">
      <w:pPr>
        <w:spacing w:after="0"/>
        <w:rPr>
          <w:snapToGrid w:val="0"/>
          <w:color w:val="000000"/>
        </w:rPr>
      </w:pPr>
      <w:r w:rsidRPr="006E5174">
        <w:rPr>
          <w:vertAlign w:val="superscript"/>
        </w:rPr>
        <w:t>b</w:t>
      </w:r>
      <w:r w:rsidR="00AC10E0">
        <w:t xml:space="preserve"> </w:t>
      </w:r>
      <w:r w:rsidRPr="006E5174">
        <w:t xml:space="preserve">Pri ťažkých alebo závažných infekciách (ako je </w:t>
      </w:r>
      <w:proofErr w:type="spellStart"/>
      <w:r w:rsidRPr="006E5174">
        <w:t>meningitída</w:t>
      </w:r>
      <w:proofErr w:type="spellEnd"/>
      <w:r w:rsidRPr="006E5174">
        <w:t>) sa môže zvážiť režim vysok</w:t>
      </w:r>
      <w:r w:rsidR="00AC10E0">
        <w:t>ých</w:t>
      </w:r>
      <w:r w:rsidRPr="006E5174">
        <w:t xml:space="preserve"> dáv</w:t>
      </w:r>
      <w:r w:rsidR="00AC10E0">
        <w:t>ok</w:t>
      </w:r>
      <w:r w:rsidRPr="006E5174">
        <w:t>, a to najmä vtedy, ak sa predpokladá alebo je známe, že infekcie sú spôsobené stredne citlivými organizmami.</w:t>
      </w:r>
    </w:p>
    <w:p w14:paraId="51710248" w14:textId="77777777" w:rsidR="00AC10E0" w:rsidRDefault="00AC10E0" w:rsidP="007501FF">
      <w:pPr>
        <w:spacing w:after="0"/>
      </w:pPr>
    </w:p>
    <w:p w14:paraId="419917F9" w14:textId="77777777" w:rsidR="005209DD" w:rsidRPr="006E5174" w:rsidRDefault="003C3594" w:rsidP="007501FF">
      <w:pPr>
        <w:spacing w:after="0"/>
        <w:rPr>
          <w:vertAlign w:val="superscript"/>
        </w:rPr>
      </w:pPr>
      <w:r w:rsidRPr="006E5174">
        <w:t>Pre deti s poruchou funkcie obličiek nie je možné uviesť odporúčania na dávkovanie.</w:t>
      </w:r>
    </w:p>
    <w:p w14:paraId="2B89520D" w14:textId="77777777" w:rsidR="00BB6F77" w:rsidRDefault="00BB6F77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29397C02" w14:textId="77777777" w:rsidR="003C3594" w:rsidRPr="006E5174" w:rsidRDefault="00A34767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6E5174">
        <w:rPr>
          <w:szCs w:val="22"/>
        </w:rPr>
        <w:t xml:space="preserve">Spôsob a dĺžka podávania </w:t>
      </w:r>
    </w:p>
    <w:p w14:paraId="4E1D7C56" w14:textId="77777777" w:rsidR="00BB6F77" w:rsidRDefault="00BB6F77" w:rsidP="007501FF">
      <w:pPr>
        <w:pStyle w:val="Normlnysozarkami"/>
        <w:spacing w:after="0"/>
        <w:ind w:left="0"/>
        <w:rPr>
          <w:i/>
        </w:rPr>
      </w:pPr>
    </w:p>
    <w:p w14:paraId="1D571652" w14:textId="77777777" w:rsidR="00A34767" w:rsidRPr="006E5174" w:rsidRDefault="00A34767" w:rsidP="007501FF">
      <w:pPr>
        <w:pStyle w:val="Normlnysozarkami"/>
        <w:spacing w:after="0"/>
        <w:ind w:left="0"/>
        <w:rPr>
          <w:i/>
        </w:rPr>
      </w:pPr>
      <w:r w:rsidRPr="006E5174">
        <w:rPr>
          <w:i/>
        </w:rPr>
        <w:t xml:space="preserve">Spôsob podávania </w:t>
      </w:r>
    </w:p>
    <w:p w14:paraId="5C37D13F" w14:textId="77777777" w:rsidR="00BB6F77" w:rsidRDefault="00BB6F77" w:rsidP="007501FF">
      <w:pPr>
        <w:spacing w:after="0"/>
      </w:pPr>
    </w:p>
    <w:p w14:paraId="3100071B" w14:textId="084122AE" w:rsidR="00A34767" w:rsidRPr="006E5174" w:rsidRDefault="001E7F07" w:rsidP="007501FF">
      <w:pPr>
        <w:spacing w:after="0"/>
        <w:rPr>
          <w:snapToGrid w:val="0"/>
          <w:color w:val="000000"/>
        </w:rPr>
      </w:pPr>
      <w:proofErr w:type="spellStart"/>
      <w:r w:rsidRPr="006E5174">
        <w:lastRenderedPageBreak/>
        <w:t>Fosfomycín</w:t>
      </w:r>
      <w:proofErr w:type="spellEnd"/>
      <w:r w:rsidRPr="006E5174">
        <w:t xml:space="preserve"> </w:t>
      </w:r>
      <w:proofErr w:type="spellStart"/>
      <w:r w:rsidRPr="006E5174">
        <w:t>disodný</w:t>
      </w:r>
      <w:proofErr w:type="spellEnd"/>
      <w:r w:rsidRPr="006E5174">
        <w:t xml:space="preserve"> </w:t>
      </w:r>
      <w:r w:rsidRPr="006E5174">
        <w:rPr>
          <w:snapToGrid w:val="0"/>
          <w:color w:val="000000"/>
        </w:rPr>
        <w:t>je určený na intravenózne podanie. Dĺžka podávania infúzie má byť aspoň 15 minút pri veľkosti balenia 2 g, aspoň 30 minút pri veľkosti balenia 4 g a aspoň 60 minút pri veľkosti balenia 8 g.</w:t>
      </w:r>
    </w:p>
    <w:p w14:paraId="1170BFB4" w14:textId="77777777" w:rsidR="00AC10E0" w:rsidRDefault="00AC10E0" w:rsidP="007501FF">
      <w:pPr>
        <w:spacing w:after="0"/>
        <w:rPr>
          <w:snapToGrid w:val="0"/>
          <w:color w:val="000000"/>
        </w:rPr>
      </w:pPr>
    </w:p>
    <w:p w14:paraId="691D5CF0" w14:textId="77777777" w:rsidR="00A34767" w:rsidRPr="006E5174" w:rsidRDefault="005831AB" w:rsidP="007501FF">
      <w:pPr>
        <w:spacing w:after="0"/>
        <w:rPr>
          <w:snapToGrid w:val="0"/>
          <w:color w:val="000000"/>
        </w:rPr>
      </w:pPr>
      <w:r w:rsidRPr="006E5174">
        <w:rPr>
          <w:snapToGrid w:val="0"/>
          <w:color w:val="000000"/>
        </w:rPr>
        <w:t>Použite len číre roztoky.</w:t>
      </w:r>
    </w:p>
    <w:p w14:paraId="2D770F6B" w14:textId="77777777" w:rsidR="00AC10E0" w:rsidRDefault="00AC10E0" w:rsidP="007501FF">
      <w:pPr>
        <w:spacing w:after="0"/>
        <w:rPr>
          <w:snapToGrid w:val="0"/>
          <w:color w:val="000000"/>
        </w:rPr>
      </w:pPr>
    </w:p>
    <w:p w14:paraId="268363FE" w14:textId="45DC1CA4" w:rsidR="00A34767" w:rsidRPr="006E5174" w:rsidRDefault="00A34767" w:rsidP="007501FF">
      <w:pPr>
        <w:spacing w:after="0"/>
        <w:rPr>
          <w:snapToGrid w:val="0"/>
          <w:color w:val="000000"/>
        </w:rPr>
      </w:pPr>
      <w:r w:rsidRPr="006E5174">
        <w:rPr>
          <w:snapToGrid w:val="0"/>
          <w:color w:val="000000"/>
        </w:rPr>
        <w:t xml:space="preserve">Keďže neúmyselné </w:t>
      </w:r>
      <w:proofErr w:type="spellStart"/>
      <w:r w:rsidRPr="006E5174">
        <w:rPr>
          <w:snapToGrid w:val="0"/>
          <w:color w:val="000000"/>
        </w:rPr>
        <w:t>intraarteriálne</w:t>
      </w:r>
      <w:proofErr w:type="spellEnd"/>
      <w:r w:rsidRPr="006E5174">
        <w:rPr>
          <w:snapToGrid w:val="0"/>
          <w:color w:val="000000"/>
        </w:rPr>
        <w:t xml:space="preserve"> podanie lieku špecificky neodporúčaného na </w:t>
      </w:r>
      <w:proofErr w:type="spellStart"/>
      <w:r w:rsidRPr="006E5174">
        <w:rPr>
          <w:snapToGrid w:val="0"/>
          <w:color w:val="000000"/>
        </w:rPr>
        <w:t>intraarteriálnu</w:t>
      </w:r>
      <w:proofErr w:type="spellEnd"/>
      <w:r w:rsidRPr="006E5174">
        <w:rPr>
          <w:snapToGrid w:val="0"/>
          <w:color w:val="000000"/>
        </w:rPr>
        <w:t xml:space="preserve"> liečbu môže mať škodlivé účinky, je nevyhnutné aby sa </w:t>
      </w:r>
      <w:proofErr w:type="spellStart"/>
      <w:r w:rsidRPr="006E5174">
        <w:t>fosfomycín</w:t>
      </w:r>
      <w:proofErr w:type="spellEnd"/>
      <w:r w:rsidRPr="006E5174">
        <w:rPr>
          <w:snapToGrid w:val="0"/>
          <w:color w:val="000000"/>
        </w:rPr>
        <w:t xml:space="preserve"> podával len do žíl.</w:t>
      </w:r>
    </w:p>
    <w:p w14:paraId="4B974A19" w14:textId="77777777" w:rsidR="00AC10E0" w:rsidRDefault="00AC10E0" w:rsidP="007501FF">
      <w:pPr>
        <w:spacing w:after="0"/>
        <w:rPr>
          <w:snapToGrid w:val="0"/>
          <w:color w:val="000000"/>
        </w:rPr>
      </w:pPr>
    </w:p>
    <w:p w14:paraId="199FC3F8" w14:textId="75C98BA7" w:rsidR="00A34767" w:rsidRPr="006E5174" w:rsidRDefault="00A34767" w:rsidP="007501FF">
      <w:pPr>
        <w:spacing w:after="0"/>
        <w:rPr>
          <w:snapToGrid w:val="0"/>
          <w:color w:val="000000"/>
        </w:rPr>
      </w:pPr>
      <w:r w:rsidRPr="006E5174">
        <w:rPr>
          <w:snapToGrid w:val="0"/>
          <w:color w:val="000000"/>
        </w:rPr>
        <w:t>Informácie týkajúce sa prípravy infúzneho roztoku</w:t>
      </w:r>
      <w:r w:rsidR="00345378">
        <w:rPr>
          <w:snapToGrid w:val="0"/>
          <w:color w:val="000000"/>
        </w:rPr>
        <w:t>,</w:t>
      </w:r>
      <w:r w:rsidRPr="006E5174">
        <w:rPr>
          <w:snapToGrid w:val="0"/>
          <w:color w:val="000000"/>
        </w:rPr>
        <w:t xml:space="preserve"> </w:t>
      </w:r>
      <w:r w:rsidR="00AC10E0">
        <w:rPr>
          <w:snapToGrid w:val="0"/>
          <w:color w:val="000000"/>
        </w:rPr>
        <w:t xml:space="preserve">pozri </w:t>
      </w:r>
      <w:r w:rsidRPr="006E5174">
        <w:rPr>
          <w:snapToGrid w:val="0"/>
          <w:color w:val="000000"/>
        </w:rPr>
        <w:t>čas</w:t>
      </w:r>
      <w:r w:rsidR="00AC10E0">
        <w:rPr>
          <w:snapToGrid w:val="0"/>
          <w:color w:val="000000"/>
        </w:rPr>
        <w:t>ť</w:t>
      </w:r>
      <w:r w:rsidRPr="006E5174">
        <w:rPr>
          <w:snapToGrid w:val="0"/>
          <w:color w:val="000000"/>
        </w:rPr>
        <w:t> 6.6.</w:t>
      </w:r>
    </w:p>
    <w:p w14:paraId="06026CD7" w14:textId="77777777" w:rsidR="00AC10E0" w:rsidRDefault="00AC10E0" w:rsidP="007501FF">
      <w:pPr>
        <w:pStyle w:val="Normlnysozarkami"/>
        <w:spacing w:after="0"/>
        <w:ind w:left="0"/>
        <w:rPr>
          <w:i/>
        </w:rPr>
      </w:pPr>
    </w:p>
    <w:p w14:paraId="7232CE2C" w14:textId="77777777" w:rsidR="00A34767" w:rsidRPr="006E5174" w:rsidRDefault="00A34767" w:rsidP="007501FF">
      <w:pPr>
        <w:pStyle w:val="Normlnysozarkami"/>
        <w:spacing w:after="0"/>
        <w:ind w:left="0"/>
        <w:rPr>
          <w:i/>
        </w:rPr>
      </w:pPr>
      <w:r w:rsidRPr="00B4146A">
        <w:rPr>
          <w:i/>
        </w:rPr>
        <w:t>Trvanie liečby</w:t>
      </w:r>
    </w:p>
    <w:p w14:paraId="501D34EC" w14:textId="77777777" w:rsidR="00345378" w:rsidRDefault="00345378" w:rsidP="007501FF">
      <w:pPr>
        <w:spacing w:after="0"/>
        <w:rPr>
          <w:snapToGrid w:val="0"/>
          <w:color w:val="000000"/>
        </w:rPr>
      </w:pPr>
    </w:p>
    <w:p w14:paraId="37267FE9" w14:textId="77777777" w:rsidR="00FC4129" w:rsidRDefault="00FC4129" w:rsidP="007501FF">
      <w:pPr>
        <w:spacing w:after="0"/>
        <w:rPr>
          <w:snapToGrid w:val="0"/>
          <w:color w:val="000000"/>
        </w:rPr>
      </w:pPr>
      <w:r w:rsidRPr="006E5174">
        <w:rPr>
          <w:snapToGrid w:val="0"/>
          <w:color w:val="000000"/>
        </w:rPr>
        <w:t xml:space="preserve">Pri trvaní liečby sa má vziať do úvahy typ infekcie, závažnosť infekcie ako aj pacientova klinická odpoveď. Pri rozhodovaní o trvaní liečby sa majú dodržiavať </w:t>
      </w:r>
      <w:r w:rsidRPr="001E4B3F">
        <w:rPr>
          <w:snapToGrid w:val="0"/>
          <w:color w:val="000000"/>
        </w:rPr>
        <w:t>príslušné</w:t>
      </w:r>
      <w:r w:rsidRPr="006E5174">
        <w:rPr>
          <w:snapToGrid w:val="0"/>
          <w:color w:val="000000"/>
        </w:rPr>
        <w:t xml:space="preserve"> liečebné pokyny.</w:t>
      </w:r>
    </w:p>
    <w:p w14:paraId="78E28CC4" w14:textId="77777777" w:rsidR="006E5174" w:rsidRPr="006E5174" w:rsidRDefault="006E5174" w:rsidP="007501FF">
      <w:pPr>
        <w:spacing w:after="0"/>
        <w:rPr>
          <w:snapToGrid w:val="0"/>
          <w:color w:val="000000"/>
        </w:rPr>
      </w:pPr>
    </w:p>
    <w:p w14:paraId="0B2701E3" w14:textId="20D1D6D8" w:rsidR="009E0FD0" w:rsidRDefault="00CA1F15" w:rsidP="007501FF">
      <w:pPr>
        <w:pStyle w:val="Nadpis2"/>
        <w:tabs>
          <w:tab w:val="left" w:pos="567"/>
        </w:tabs>
        <w:spacing w:before="0"/>
        <w:ind w:left="0" w:firstLine="0"/>
      </w:pPr>
      <w:r w:rsidRPr="006E5174">
        <w:t>Kontraindikácie</w:t>
      </w:r>
    </w:p>
    <w:p w14:paraId="57470808" w14:textId="77777777" w:rsidR="006E5174" w:rsidRPr="006E5174" w:rsidRDefault="006E5174" w:rsidP="007501FF">
      <w:pPr>
        <w:pStyle w:val="Normlnysozarkami"/>
        <w:spacing w:after="0"/>
      </w:pPr>
    </w:p>
    <w:p w14:paraId="728024E6" w14:textId="328FF9CD" w:rsidR="003242A1" w:rsidRDefault="003242A1" w:rsidP="007501FF">
      <w:pPr>
        <w:numPr>
          <w:ilvl w:val="0"/>
          <w:numId w:val="32"/>
        </w:numPr>
        <w:tabs>
          <w:tab w:val="left" w:pos="567"/>
        </w:tabs>
        <w:spacing w:after="0"/>
        <w:ind w:left="0" w:firstLine="0"/>
      </w:pPr>
      <w:r w:rsidRPr="006E5174">
        <w:rPr>
          <w:snapToGrid w:val="0"/>
          <w:color w:val="000000"/>
        </w:rPr>
        <w:t xml:space="preserve">Precitlivenosť na liečivo </w:t>
      </w:r>
      <w:proofErr w:type="spellStart"/>
      <w:r w:rsidRPr="006E5174">
        <w:rPr>
          <w:snapToGrid w:val="0"/>
          <w:color w:val="000000"/>
        </w:rPr>
        <w:t>fosfomycín</w:t>
      </w:r>
      <w:proofErr w:type="spellEnd"/>
      <w:r w:rsidRPr="006E5174">
        <w:rPr>
          <w:snapToGrid w:val="0"/>
          <w:color w:val="000000"/>
        </w:rPr>
        <w:t xml:space="preserve"> alebo na ktorúkoľvek z</w:t>
      </w:r>
      <w:r w:rsidRPr="006E5174">
        <w:t> pomocných látok uvedených v časti 6.1.</w:t>
      </w:r>
    </w:p>
    <w:p w14:paraId="5B0C0AFF" w14:textId="77777777" w:rsidR="006E5174" w:rsidRPr="006E5174" w:rsidRDefault="006E5174" w:rsidP="007501FF">
      <w:pPr>
        <w:spacing w:after="0"/>
      </w:pPr>
    </w:p>
    <w:p w14:paraId="391477AD" w14:textId="3FE5EB96" w:rsidR="009E0FD0" w:rsidRPr="006E5174" w:rsidRDefault="009E0FD0" w:rsidP="007501FF">
      <w:pPr>
        <w:pStyle w:val="Nadpis2"/>
        <w:tabs>
          <w:tab w:val="left" w:pos="567"/>
        </w:tabs>
        <w:spacing w:before="0"/>
        <w:ind w:left="0" w:firstLine="0"/>
      </w:pPr>
      <w:r w:rsidRPr="006E5174">
        <w:t>Osobitné upozornenia a opatrenia pri používaní</w:t>
      </w:r>
    </w:p>
    <w:p w14:paraId="780ECEA5" w14:textId="77777777" w:rsidR="006E5174" w:rsidRDefault="006E5174" w:rsidP="007501FF">
      <w:pPr>
        <w:spacing w:after="0"/>
      </w:pPr>
    </w:p>
    <w:p w14:paraId="614005E2" w14:textId="4FFF7EC0" w:rsidR="00FC4129" w:rsidRPr="00733AB0" w:rsidRDefault="00B337F4" w:rsidP="007501FF">
      <w:pPr>
        <w:spacing w:after="0"/>
        <w:rPr>
          <w:spacing w:val="-3"/>
        </w:rPr>
      </w:pPr>
      <w:r w:rsidRPr="006E5174">
        <w:t>Pri zohľadnení zvyšných citlivostí liečen</w:t>
      </w:r>
      <w:r w:rsidR="00B4146A">
        <w:t>ého</w:t>
      </w:r>
      <w:r w:rsidRPr="006E5174">
        <w:t xml:space="preserve"> </w:t>
      </w:r>
      <w:r w:rsidR="00B4146A">
        <w:t>patogénu/</w:t>
      </w:r>
      <w:r w:rsidRPr="006E5174">
        <w:t xml:space="preserve">patogénov sa má zvážiť súbežné podávanie intravenózneho </w:t>
      </w:r>
      <w:proofErr w:type="spellStart"/>
      <w:r w:rsidRPr="006E5174">
        <w:t>fosfomycínu</w:t>
      </w:r>
      <w:proofErr w:type="spellEnd"/>
      <w:r w:rsidRPr="006E5174">
        <w:t xml:space="preserve"> s ďalším antibi</w:t>
      </w:r>
      <w:r w:rsidRPr="00733AB0">
        <w:t xml:space="preserve">otikom. Nie je známe, či je rozvoj rezistencie voči intravenózne podávanému </w:t>
      </w:r>
      <w:proofErr w:type="spellStart"/>
      <w:r w:rsidRPr="00733AB0">
        <w:t>fosfomycínu</w:t>
      </w:r>
      <w:proofErr w:type="spellEnd"/>
      <w:r w:rsidRPr="00733AB0">
        <w:t xml:space="preserve"> vyšší, keď sa používa v </w:t>
      </w:r>
      <w:proofErr w:type="spellStart"/>
      <w:r w:rsidRPr="00733AB0">
        <w:t>monoterapii</w:t>
      </w:r>
      <w:proofErr w:type="spellEnd"/>
      <w:r w:rsidRPr="00733AB0">
        <w:t>. Súbežné podávanie s inými antibiotikami sa má tiež zvážiť kvôli prevencii výskytu rezistencie.</w:t>
      </w:r>
    </w:p>
    <w:p w14:paraId="546599AC" w14:textId="77777777" w:rsidR="00345378" w:rsidRDefault="00345378" w:rsidP="007501FF">
      <w:pPr>
        <w:spacing w:after="0"/>
      </w:pPr>
    </w:p>
    <w:p w14:paraId="440BF9F0" w14:textId="17AE79F9" w:rsidR="006646C2" w:rsidRPr="006E5174" w:rsidRDefault="003242A1" w:rsidP="007501FF">
      <w:pPr>
        <w:spacing w:after="0"/>
        <w:rPr>
          <w:spacing w:val="-3"/>
        </w:rPr>
      </w:pPr>
      <w:r w:rsidRPr="00733AB0">
        <w:t xml:space="preserve">1 g </w:t>
      </w:r>
      <w:proofErr w:type="spellStart"/>
      <w:r w:rsidRPr="00733AB0">
        <w:t>fosfomycínu</w:t>
      </w:r>
      <w:proofErr w:type="spellEnd"/>
      <w:r w:rsidRPr="00733AB0">
        <w:t xml:space="preserve"> (čo zodpovedá 1,32 g </w:t>
      </w:r>
      <w:proofErr w:type="spellStart"/>
      <w:r w:rsidRPr="00733AB0">
        <w:t>fosfomycínu</w:t>
      </w:r>
      <w:proofErr w:type="spellEnd"/>
      <w:r w:rsidRPr="00733AB0">
        <w:t xml:space="preserve"> </w:t>
      </w:r>
      <w:proofErr w:type="spellStart"/>
      <w:r w:rsidRPr="00733AB0">
        <w:t>disodnému</w:t>
      </w:r>
      <w:proofErr w:type="spellEnd"/>
      <w:r w:rsidRPr="00733AB0">
        <w:t>) obsahuje 14 mmol (320 mg) sodíka, čo zodpovedá 16 % WHO odporúčaného maximálneho denného príjmu 2 g sodíka v </w:t>
      </w:r>
      <w:r w:rsidR="00D00339">
        <w:t>po</w:t>
      </w:r>
      <w:r w:rsidRPr="00733AB0">
        <w:t xml:space="preserve">trave pre dospelú osobu. Jedna fľaša obsahujúca 2 g </w:t>
      </w:r>
      <w:proofErr w:type="spellStart"/>
      <w:r w:rsidRPr="00733AB0">
        <w:t>fosfomycínu</w:t>
      </w:r>
      <w:proofErr w:type="spellEnd"/>
      <w:r w:rsidRPr="00733AB0">
        <w:t xml:space="preserve"> obsahuje 28 mmol (640 mg) sodíka, jedna fľaša obsahujúca 4 g </w:t>
      </w:r>
      <w:proofErr w:type="spellStart"/>
      <w:r w:rsidRPr="00733AB0">
        <w:t>fosfomycínu</w:t>
      </w:r>
      <w:proofErr w:type="spellEnd"/>
      <w:r w:rsidRPr="00733AB0">
        <w:t xml:space="preserve"> obsahuje 56 mmol (1 280 mg) sodíka a jedna fľaša obsahujúca 8 g </w:t>
      </w:r>
      <w:proofErr w:type="spellStart"/>
      <w:r w:rsidRPr="00733AB0">
        <w:t>fosfomycínu</w:t>
      </w:r>
      <w:proofErr w:type="spellEnd"/>
      <w:r w:rsidRPr="00733AB0">
        <w:t xml:space="preserve"> obsahuje 111 mmol (2 560 mg) sodíka. </w:t>
      </w:r>
    </w:p>
    <w:p w14:paraId="58C53C4A" w14:textId="77777777" w:rsidR="00345378" w:rsidRDefault="00345378" w:rsidP="007501FF">
      <w:pPr>
        <w:spacing w:after="0"/>
      </w:pPr>
    </w:p>
    <w:p w14:paraId="2D80A718" w14:textId="7515669E" w:rsidR="00CB1671" w:rsidRPr="006E5174" w:rsidRDefault="0005306A" w:rsidP="007501FF">
      <w:pPr>
        <w:spacing w:after="0"/>
        <w:rPr>
          <w:spacing w:val="-3"/>
        </w:rPr>
      </w:pPr>
      <w:r w:rsidRPr="006E5174">
        <w:t xml:space="preserve">Vysoká záťaž sodíkom súvisiaca s používaním </w:t>
      </w:r>
      <w:proofErr w:type="spellStart"/>
      <w:r w:rsidRPr="006E5174">
        <w:t>fosfomycínu</w:t>
      </w:r>
      <w:proofErr w:type="spellEnd"/>
      <w:r w:rsidRPr="006E5174">
        <w:t xml:space="preserve"> môže viesť k zníženým hladinám draslíka v sére alebo plazme. Počas liečby sa odporúča diéta s nízkym obsahom sodíka. V niektorých prípadoch môže byť potrebná náhrada draslíka. Počas liečby sa musia sledovať hladiny sérových elektrolytov a </w:t>
      </w:r>
      <w:r w:rsidRPr="001E4B3F">
        <w:t>rovnováha vody</w:t>
      </w:r>
      <w:r w:rsidRPr="006E5174">
        <w:t xml:space="preserve">. Pri používaní </w:t>
      </w:r>
      <w:proofErr w:type="spellStart"/>
      <w:r w:rsidRPr="006E5174">
        <w:t>fosfomycínu</w:t>
      </w:r>
      <w:proofErr w:type="spellEnd"/>
      <w:r w:rsidRPr="006E5174">
        <w:t xml:space="preserve"> u pacientov so srdcovou nedostatočnosťou, hypertenziou, </w:t>
      </w:r>
      <w:proofErr w:type="spellStart"/>
      <w:r w:rsidRPr="006E5174">
        <w:t>hyperaldosteronizmom</w:t>
      </w:r>
      <w:proofErr w:type="spellEnd"/>
      <w:r w:rsidRPr="006E5174">
        <w:t xml:space="preserve">, </w:t>
      </w:r>
      <w:proofErr w:type="spellStart"/>
      <w:r w:rsidRPr="006E5174">
        <w:t>hypernatriémiou</w:t>
      </w:r>
      <w:proofErr w:type="spellEnd"/>
      <w:r w:rsidRPr="006E5174">
        <w:t xml:space="preserve"> alebo pľúcnym edémom sa odporúča postupovať opatrne. Počas dlhodobej liečby vysokými dávkami sa majú sledovať hladiny draslíka v krvi, a to hlavne u pacientov so srdcovým zlyhaním liečeným </w:t>
      </w:r>
      <w:proofErr w:type="spellStart"/>
      <w:r w:rsidRPr="006E5174">
        <w:t>digitalisovým</w:t>
      </w:r>
      <w:proofErr w:type="spellEnd"/>
      <w:r w:rsidRPr="006E5174">
        <w:t xml:space="preserve"> liekom (možná </w:t>
      </w:r>
      <w:proofErr w:type="spellStart"/>
      <w:r w:rsidRPr="006E5174">
        <w:t>hypokaliémia</w:t>
      </w:r>
      <w:proofErr w:type="spellEnd"/>
      <w:r w:rsidRPr="006E5174">
        <w:t>, pozri časť 4.8).</w:t>
      </w:r>
    </w:p>
    <w:p w14:paraId="21A6D6CD" w14:textId="77777777" w:rsidR="00345378" w:rsidRDefault="00345378" w:rsidP="007501FF">
      <w:pPr>
        <w:pStyle w:val="Normlnywebov"/>
        <w:spacing w:before="0" w:beforeAutospacing="0" w:after="0"/>
        <w:rPr>
          <w:snapToGrid w:val="0"/>
          <w:sz w:val="22"/>
          <w:szCs w:val="22"/>
        </w:rPr>
      </w:pPr>
    </w:p>
    <w:p w14:paraId="47757BEB" w14:textId="22A75A08" w:rsidR="006646C2" w:rsidRPr="006E5174" w:rsidRDefault="006646C2" w:rsidP="007501FF">
      <w:pPr>
        <w:pStyle w:val="Normlnywebov"/>
        <w:spacing w:before="0" w:beforeAutospacing="0" w:after="0"/>
        <w:rPr>
          <w:sz w:val="22"/>
          <w:szCs w:val="22"/>
        </w:rPr>
      </w:pPr>
      <w:r w:rsidRPr="006E5174">
        <w:rPr>
          <w:snapToGrid w:val="0"/>
          <w:sz w:val="22"/>
          <w:szCs w:val="22"/>
        </w:rPr>
        <w:t>Vo veľmi zriedkavých prípadoch sa môžu vyskytnúť akútne, potenciálne život ohrozujúce reakcie z precitlivenosti (</w:t>
      </w:r>
      <w:proofErr w:type="spellStart"/>
      <w:r w:rsidRPr="006E5174">
        <w:rPr>
          <w:snapToGrid w:val="0"/>
          <w:sz w:val="22"/>
          <w:szCs w:val="22"/>
        </w:rPr>
        <w:t>anafylaktický</w:t>
      </w:r>
      <w:proofErr w:type="spellEnd"/>
      <w:r w:rsidRPr="006E5174">
        <w:rPr>
          <w:snapToGrid w:val="0"/>
          <w:sz w:val="22"/>
          <w:szCs w:val="22"/>
        </w:rPr>
        <w:t xml:space="preserve"> šok). Pri prvých prejavoch (vrátane potenia, nevoľnosti, </w:t>
      </w:r>
      <w:proofErr w:type="spellStart"/>
      <w:r w:rsidRPr="006E5174">
        <w:rPr>
          <w:snapToGrid w:val="0"/>
          <w:sz w:val="22"/>
          <w:szCs w:val="22"/>
        </w:rPr>
        <w:t>cyanózy</w:t>
      </w:r>
      <w:proofErr w:type="spellEnd"/>
      <w:r w:rsidRPr="006E5174">
        <w:rPr>
          <w:snapToGrid w:val="0"/>
          <w:sz w:val="22"/>
          <w:szCs w:val="22"/>
        </w:rPr>
        <w:t xml:space="preserve">) sa musí infúzia </w:t>
      </w:r>
      <w:proofErr w:type="spellStart"/>
      <w:r w:rsidRPr="006E5174">
        <w:rPr>
          <w:snapToGrid w:val="0"/>
          <w:sz w:val="22"/>
          <w:szCs w:val="22"/>
        </w:rPr>
        <w:t>fosfomycínu</w:t>
      </w:r>
      <w:proofErr w:type="spellEnd"/>
      <w:r w:rsidRPr="006E5174">
        <w:rPr>
          <w:snapToGrid w:val="0"/>
          <w:sz w:val="22"/>
          <w:szCs w:val="22"/>
        </w:rPr>
        <w:t xml:space="preserve"> okamžite prerušiť. Intravenózna </w:t>
      </w:r>
      <w:r w:rsidRPr="001E4B3F">
        <w:rPr>
          <w:snapToGrid w:val="0"/>
          <w:sz w:val="22"/>
          <w:szCs w:val="22"/>
        </w:rPr>
        <w:t>linka sa</w:t>
      </w:r>
      <w:r w:rsidRPr="006E5174">
        <w:rPr>
          <w:snapToGrid w:val="0"/>
          <w:sz w:val="22"/>
          <w:szCs w:val="22"/>
        </w:rPr>
        <w:t xml:space="preserve"> má ponechať na mieste. V závislosti od klinickej situácie môže byť potrebné zaviesť vhodné núdzové opatrenia.</w:t>
      </w:r>
    </w:p>
    <w:p w14:paraId="188B29E0" w14:textId="77777777" w:rsidR="00345378" w:rsidRDefault="00345378" w:rsidP="007501FF">
      <w:pPr>
        <w:pStyle w:val="Normlnywebov"/>
        <w:spacing w:before="0" w:beforeAutospacing="0" w:after="0"/>
        <w:rPr>
          <w:snapToGrid w:val="0"/>
          <w:sz w:val="22"/>
          <w:szCs w:val="22"/>
        </w:rPr>
      </w:pPr>
    </w:p>
    <w:p w14:paraId="011FD199" w14:textId="5C7D66B3" w:rsidR="00FA4CD1" w:rsidRPr="006E5174" w:rsidRDefault="001D39C3" w:rsidP="007501FF">
      <w:pPr>
        <w:pStyle w:val="Normlnywebov"/>
        <w:spacing w:before="0" w:beforeAutospacing="0" w:after="0"/>
        <w:rPr>
          <w:snapToGrid w:val="0"/>
          <w:sz w:val="22"/>
          <w:szCs w:val="22"/>
        </w:rPr>
      </w:pPr>
      <w:r w:rsidRPr="00B87488">
        <w:rPr>
          <w:snapToGrid w:val="0"/>
          <w:sz w:val="22"/>
          <w:szCs w:val="22"/>
        </w:rPr>
        <w:t>Sk</w:t>
      </w:r>
      <w:r w:rsidRPr="006E5174">
        <w:rPr>
          <w:snapToGrid w:val="0"/>
          <w:sz w:val="22"/>
          <w:szCs w:val="22"/>
        </w:rPr>
        <w:t xml:space="preserve">oro pri všetkých antibiotikách vrátane </w:t>
      </w:r>
      <w:proofErr w:type="spellStart"/>
      <w:r w:rsidRPr="006E5174">
        <w:rPr>
          <w:snapToGrid w:val="0"/>
          <w:sz w:val="22"/>
          <w:szCs w:val="22"/>
        </w:rPr>
        <w:t>fosfomycínu</w:t>
      </w:r>
      <w:proofErr w:type="spellEnd"/>
      <w:r w:rsidRPr="006E5174">
        <w:rPr>
          <w:snapToGrid w:val="0"/>
          <w:sz w:val="22"/>
          <w:szCs w:val="22"/>
        </w:rPr>
        <w:t xml:space="preserve"> sa hlásil výskyt </w:t>
      </w:r>
      <w:proofErr w:type="spellStart"/>
      <w:r w:rsidRPr="006E5174">
        <w:rPr>
          <w:snapToGrid w:val="0"/>
          <w:sz w:val="22"/>
          <w:szCs w:val="22"/>
        </w:rPr>
        <w:t>kolitídy</w:t>
      </w:r>
      <w:proofErr w:type="spellEnd"/>
      <w:r w:rsidRPr="006E5174">
        <w:rPr>
          <w:snapToGrid w:val="0"/>
          <w:sz w:val="22"/>
          <w:szCs w:val="22"/>
        </w:rPr>
        <w:t xml:space="preserve"> a </w:t>
      </w:r>
      <w:proofErr w:type="spellStart"/>
      <w:r w:rsidRPr="006E5174">
        <w:rPr>
          <w:snapToGrid w:val="0"/>
          <w:sz w:val="22"/>
          <w:szCs w:val="22"/>
        </w:rPr>
        <w:t>pseudomembranóznej</w:t>
      </w:r>
      <w:proofErr w:type="spellEnd"/>
      <w:r w:rsidRPr="006E5174">
        <w:rPr>
          <w:snapToGrid w:val="0"/>
          <w:sz w:val="22"/>
          <w:szCs w:val="22"/>
        </w:rPr>
        <w:t xml:space="preserve"> </w:t>
      </w:r>
      <w:proofErr w:type="spellStart"/>
      <w:r w:rsidRPr="006E5174">
        <w:rPr>
          <w:snapToGrid w:val="0"/>
          <w:sz w:val="22"/>
          <w:szCs w:val="22"/>
        </w:rPr>
        <w:t>kolitídy</w:t>
      </w:r>
      <w:proofErr w:type="spellEnd"/>
      <w:r w:rsidRPr="006E5174">
        <w:rPr>
          <w:snapToGrid w:val="0"/>
          <w:sz w:val="22"/>
          <w:szCs w:val="22"/>
        </w:rPr>
        <w:t xml:space="preserve"> súvisiacich s antibiotikami, ktoré môžu mať rozsah</w:t>
      </w:r>
      <w:r w:rsidR="001E4B3F">
        <w:rPr>
          <w:snapToGrid w:val="0"/>
          <w:sz w:val="22"/>
          <w:szCs w:val="22"/>
        </w:rPr>
        <w:t xml:space="preserve"> závažnosti</w:t>
      </w:r>
      <w:r w:rsidRPr="006E5174">
        <w:rPr>
          <w:snapToGrid w:val="0"/>
          <w:sz w:val="22"/>
          <w:szCs w:val="22"/>
        </w:rPr>
        <w:t xml:space="preserve"> od miernej po život ohrozujúcu. Preto je dôležité zvážiť túto diagnózu u pacientov, u ktorých sa vyskytne hnačka počas alebo po podávaní </w:t>
      </w:r>
      <w:proofErr w:type="spellStart"/>
      <w:r w:rsidRPr="006E5174">
        <w:rPr>
          <w:snapToGrid w:val="0"/>
          <w:sz w:val="22"/>
          <w:szCs w:val="22"/>
        </w:rPr>
        <w:t>fosfomycínu</w:t>
      </w:r>
      <w:proofErr w:type="spellEnd"/>
      <w:r w:rsidRPr="006E5174">
        <w:rPr>
          <w:snapToGrid w:val="0"/>
          <w:sz w:val="22"/>
          <w:szCs w:val="22"/>
        </w:rPr>
        <w:t xml:space="preserve">. Má sa zvážiť ukončenie liečby </w:t>
      </w:r>
      <w:proofErr w:type="spellStart"/>
      <w:r w:rsidRPr="006E5174">
        <w:rPr>
          <w:snapToGrid w:val="0"/>
          <w:sz w:val="22"/>
          <w:szCs w:val="22"/>
        </w:rPr>
        <w:t>fosfomycínom</w:t>
      </w:r>
      <w:proofErr w:type="spellEnd"/>
      <w:r w:rsidRPr="006E5174">
        <w:rPr>
          <w:snapToGrid w:val="0"/>
          <w:sz w:val="22"/>
          <w:szCs w:val="22"/>
        </w:rPr>
        <w:t xml:space="preserve"> a podanie špecifickej liečby baktérie </w:t>
      </w:r>
      <w:proofErr w:type="spellStart"/>
      <w:r w:rsidRPr="006E5174">
        <w:rPr>
          <w:i/>
          <w:snapToGrid w:val="0"/>
          <w:sz w:val="22"/>
          <w:szCs w:val="22"/>
        </w:rPr>
        <w:t>Clostridium</w:t>
      </w:r>
      <w:proofErr w:type="spellEnd"/>
      <w:r w:rsidRPr="006E5174">
        <w:rPr>
          <w:i/>
          <w:snapToGrid w:val="0"/>
          <w:sz w:val="22"/>
          <w:szCs w:val="22"/>
        </w:rPr>
        <w:t xml:space="preserve"> </w:t>
      </w:r>
      <w:proofErr w:type="spellStart"/>
      <w:r w:rsidRPr="006E5174">
        <w:rPr>
          <w:i/>
          <w:snapToGrid w:val="0"/>
          <w:sz w:val="22"/>
          <w:szCs w:val="22"/>
        </w:rPr>
        <w:t>difficile</w:t>
      </w:r>
      <w:proofErr w:type="spellEnd"/>
      <w:r w:rsidRPr="006E5174">
        <w:rPr>
          <w:snapToGrid w:val="0"/>
          <w:sz w:val="22"/>
          <w:szCs w:val="22"/>
        </w:rPr>
        <w:t xml:space="preserve">. </w:t>
      </w:r>
      <w:r w:rsidR="00C011E1">
        <w:rPr>
          <w:snapToGrid w:val="0"/>
          <w:sz w:val="22"/>
          <w:szCs w:val="22"/>
        </w:rPr>
        <w:t>Nem</w:t>
      </w:r>
      <w:r w:rsidRPr="006E5174">
        <w:rPr>
          <w:snapToGrid w:val="0"/>
          <w:sz w:val="22"/>
          <w:szCs w:val="22"/>
        </w:rPr>
        <w:t xml:space="preserve">ajú sa podať lieky </w:t>
      </w:r>
      <w:proofErr w:type="spellStart"/>
      <w:r w:rsidRPr="006E5174">
        <w:rPr>
          <w:snapToGrid w:val="0"/>
          <w:sz w:val="22"/>
          <w:szCs w:val="22"/>
        </w:rPr>
        <w:t>inhibujúce</w:t>
      </w:r>
      <w:proofErr w:type="spellEnd"/>
      <w:r w:rsidRPr="006E5174">
        <w:rPr>
          <w:snapToGrid w:val="0"/>
          <w:sz w:val="22"/>
          <w:szCs w:val="22"/>
        </w:rPr>
        <w:t xml:space="preserve"> </w:t>
      </w:r>
      <w:proofErr w:type="spellStart"/>
      <w:r w:rsidRPr="006E5174">
        <w:rPr>
          <w:snapToGrid w:val="0"/>
          <w:sz w:val="22"/>
          <w:szCs w:val="22"/>
        </w:rPr>
        <w:t>peristaltiku</w:t>
      </w:r>
      <w:proofErr w:type="spellEnd"/>
      <w:r w:rsidRPr="006E5174">
        <w:rPr>
          <w:snapToGrid w:val="0"/>
          <w:sz w:val="22"/>
          <w:szCs w:val="22"/>
        </w:rPr>
        <w:t xml:space="preserve">. </w:t>
      </w:r>
    </w:p>
    <w:p w14:paraId="2DD24114" w14:textId="77777777" w:rsidR="00345378" w:rsidRDefault="00345378" w:rsidP="007501FF">
      <w:pPr>
        <w:pStyle w:val="Normlnywebov"/>
        <w:spacing w:before="0" w:beforeAutospacing="0" w:after="0"/>
        <w:rPr>
          <w:snapToGrid w:val="0"/>
          <w:sz w:val="22"/>
          <w:szCs w:val="22"/>
        </w:rPr>
      </w:pPr>
    </w:p>
    <w:p w14:paraId="3CB88B49" w14:textId="6C6DF868" w:rsidR="00923C77" w:rsidRDefault="00923C77" w:rsidP="007501FF">
      <w:pPr>
        <w:pStyle w:val="Normlnywebov"/>
        <w:spacing w:before="0" w:beforeAutospacing="0" w:after="0"/>
        <w:rPr>
          <w:snapToGrid w:val="0"/>
          <w:sz w:val="22"/>
          <w:szCs w:val="22"/>
        </w:rPr>
      </w:pPr>
      <w:r w:rsidRPr="006E5174">
        <w:rPr>
          <w:snapToGrid w:val="0"/>
          <w:sz w:val="22"/>
          <w:szCs w:val="22"/>
        </w:rPr>
        <w:lastRenderedPageBreak/>
        <w:t>U pacientov so závažnou obličkovou nedostatočnosťou (</w:t>
      </w:r>
      <w:proofErr w:type="spellStart"/>
      <w:r w:rsidRPr="006E5174">
        <w:rPr>
          <w:snapToGrid w:val="0"/>
          <w:sz w:val="22"/>
          <w:szCs w:val="22"/>
        </w:rPr>
        <w:t>klírens</w:t>
      </w:r>
      <w:proofErr w:type="spellEnd"/>
      <w:r w:rsidRPr="006E5174">
        <w:rPr>
          <w:snapToGrid w:val="0"/>
          <w:sz w:val="22"/>
          <w:szCs w:val="22"/>
        </w:rPr>
        <w:t xml:space="preserve"> </w:t>
      </w:r>
      <w:proofErr w:type="spellStart"/>
      <w:r w:rsidRPr="006E5174">
        <w:rPr>
          <w:snapToGrid w:val="0"/>
          <w:sz w:val="22"/>
          <w:szCs w:val="22"/>
        </w:rPr>
        <w:t>kreatinínu</w:t>
      </w:r>
      <w:proofErr w:type="spellEnd"/>
      <w:r w:rsidRPr="006E5174">
        <w:rPr>
          <w:snapToGrid w:val="0"/>
          <w:sz w:val="22"/>
          <w:szCs w:val="22"/>
        </w:rPr>
        <w:t xml:space="preserve"> ≤ 40ml/min.) je eliminácia </w:t>
      </w:r>
      <w:proofErr w:type="spellStart"/>
      <w:r w:rsidRPr="006E5174">
        <w:rPr>
          <w:snapToGrid w:val="0"/>
          <w:sz w:val="22"/>
          <w:szCs w:val="22"/>
        </w:rPr>
        <w:t>fosfomycínu</w:t>
      </w:r>
      <w:proofErr w:type="spellEnd"/>
      <w:r w:rsidRPr="006E5174">
        <w:rPr>
          <w:snapToGrid w:val="0"/>
          <w:sz w:val="22"/>
          <w:szCs w:val="22"/>
        </w:rPr>
        <w:t xml:space="preserve"> výrazne spomalená. Pozri časť 4.2 ohľadne vhodného dávkovania </w:t>
      </w:r>
      <w:proofErr w:type="spellStart"/>
      <w:r w:rsidRPr="006E5174">
        <w:rPr>
          <w:sz w:val="22"/>
          <w:szCs w:val="22"/>
        </w:rPr>
        <w:t>fosfomycínu</w:t>
      </w:r>
      <w:proofErr w:type="spellEnd"/>
      <w:r w:rsidRPr="006E5174">
        <w:rPr>
          <w:sz w:val="22"/>
          <w:szCs w:val="22"/>
        </w:rPr>
        <w:t xml:space="preserve"> pri </w:t>
      </w:r>
      <w:r w:rsidRPr="006E5174">
        <w:rPr>
          <w:snapToGrid w:val="0"/>
          <w:sz w:val="22"/>
          <w:szCs w:val="22"/>
        </w:rPr>
        <w:t>obličkovej nedostatočnosti.</w:t>
      </w:r>
    </w:p>
    <w:p w14:paraId="39D4CA99" w14:textId="77777777" w:rsidR="006E5174" w:rsidRPr="006E5174" w:rsidRDefault="006E5174" w:rsidP="007501FF">
      <w:pPr>
        <w:pStyle w:val="Normlnywebov"/>
        <w:spacing w:before="0" w:beforeAutospacing="0" w:after="0"/>
        <w:rPr>
          <w:snapToGrid w:val="0"/>
          <w:sz w:val="22"/>
          <w:szCs w:val="22"/>
        </w:rPr>
      </w:pPr>
    </w:p>
    <w:p w14:paraId="0EC44BE9" w14:textId="1746AE09" w:rsidR="009E0FD0" w:rsidRPr="006E5174" w:rsidRDefault="009E0FD0" w:rsidP="007501FF">
      <w:pPr>
        <w:pStyle w:val="Nadpis2"/>
        <w:tabs>
          <w:tab w:val="left" w:pos="567"/>
        </w:tabs>
        <w:spacing w:before="0"/>
        <w:ind w:left="0" w:firstLine="0"/>
      </w:pPr>
      <w:r w:rsidRPr="006E5174">
        <w:t>Liekové a iné interakcie</w:t>
      </w:r>
    </w:p>
    <w:p w14:paraId="336D13C5" w14:textId="77777777" w:rsidR="006E5174" w:rsidRDefault="006E5174" w:rsidP="007501FF">
      <w:pPr>
        <w:pStyle w:val="Nadpis3"/>
        <w:spacing w:before="0" w:after="0"/>
        <w:rPr>
          <w:i w:val="0"/>
          <w:iCs w:val="0"/>
          <w:snapToGrid w:val="0"/>
          <w:color w:val="000000"/>
        </w:rPr>
      </w:pPr>
    </w:p>
    <w:p w14:paraId="1BA0E72A" w14:textId="5E66D261" w:rsidR="00A34767" w:rsidRPr="006E5174" w:rsidRDefault="00AA49A5" w:rsidP="007501FF">
      <w:pPr>
        <w:pStyle w:val="Nadpis3"/>
        <w:spacing w:before="0" w:after="0"/>
        <w:rPr>
          <w:b/>
          <w:bCs/>
          <w:i w:val="0"/>
          <w:iCs w:val="0"/>
        </w:rPr>
      </w:pPr>
      <w:r w:rsidRPr="006E5174">
        <w:rPr>
          <w:i w:val="0"/>
          <w:iCs w:val="0"/>
          <w:snapToGrid w:val="0"/>
          <w:color w:val="000000"/>
        </w:rPr>
        <w:t>S </w:t>
      </w:r>
      <w:proofErr w:type="spellStart"/>
      <w:r w:rsidRPr="006E5174">
        <w:rPr>
          <w:i w:val="0"/>
          <w:iCs w:val="0"/>
          <w:snapToGrid w:val="0"/>
          <w:color w:val="000000"/>
        </w:rPr>
        <w:t>fosfomycínom</w:t>
      </w:r>
      <w:proofErr w:type="spellEnd"/>
      <w:r w:rsidRPr="006E5174">
        <w:rPr>
          <w:i w:val="0"/>
          <w:iCs w:val="0"/>
          <w:snapToGrid w:val="0"/>
          <w:color w:val="000000"/>
        </w:rPr>
        <w:t xml:space="preserve"> sa neuskutočnili žiadne liekové interakčné štúdie. Doteraz sa nehlásili žiadne klinicky významné farmakologické interakcie medzi </w:t>
      </w:r>
      <w:proofErr w:type="spellStart"/>
      <w:r w:rsidRPr="006E5174">
        <w:rPr>
          <w:i w:val="0"/>
          <w:iCs w:val="0"/>
          <w:snapToGrid w:val="0"/>
          <w:color w:val="000000"/>
        </w:rPr>
        <w:t>fosfomycínom</w:t>
      </w:r>
      <w:proofErr w:type="spellEnd"/>
      <w:r w:rsidRPr="006E5174">
        <w:rPr>
          <w:i w:val="0"/>
          <w:iCs w:val="0"/>
          <w:snapToGrid w:val="0"/>
          <w:color w:val="000000"/>
        </w:rPr>
        <w:t xml:space="preserve"> a inými látkami (liekmi, </w:t>
      </w:r>
      <w:proofErr w:type="spellStart"/>
      <w:r w:rsidRPr="006E5174">
        <w:rPr>
          <w:i w:val="0"/>
          <w:iCs w:val="0"/>
          <w:snapToGrid w:val="0"/>
          <w:color w:val="000000"/>
        </w:rPr>
        <w:t>stimulanciami</w:t>
      </w:r>
      <w:proofErr w:type="spellEnd"/>
      <w:r w:rsidRPr="006E5174">
        <w:rPr>
          <w:i w:val="0"/>
          <w:iCs w:val="0"/>
          <w:snapToGrid w:val="0"/>
          <w:color w:val="000000"/>
        </w:rPr>
        <w:t xml:space="preserve"> alebo potravinami).</w:t>
      </w:r>
      <w:r w:rsidRPr="006E5174">
        <w:rPr>
          <w:b/>
          <w:bCs/>
          <w:i w:val="0"/>
          <w:iCs w:val="0"/>
        </w:rPr>
        <w:t xml:space="preserve"> </w:t>
      </w:r>
    </w:p>
    <w:p w14:paraId="702B1DE3" w14:textId="77777777" w:rsidR="00B87488" w:rsidRDefault="00B87488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06D0EE9C" w14:textId="77777777" w:rsidR="00A34767" w:rsidRPr="00733AB0" w:rsidRDefault="00A34767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733AB0">
        <w:rPr>
          <w:szCs w:val="22"/>
        </w:rPr>
        <w:t>Kombinácia s inými antibiotikami</w:t>
      </w:r>
    </w:p>
    <w:p w14:paraId="41267671" w14:textId="77777777" w:rsidR="00B87488" w:rsidRDefault="00B87488" w:rsidP="007501FF">
      <w:pPr>
        <w:spacing w:after="0"/>
        <w:rPr>
          <w:snapToGrid w:val="0"/>
          <w:color w:val="000000"/>
        </w:rPr>
      </w:pPr>
    </w:p>
    <w:p w14:paraId="185E7A91" w14:textId="2CB3FC5A" w:rsidR="00A34767" w:rsidRDefault="00A34767" w:rsidP="007501FF">
      <w:pPr>
        <w:spacing w:after="0"/>
        <w:rPr>
          <w:snapToGrid w:val="0"/>
          <w:color w:val="000000"/>
        </w:rPr>
      </w:pPr>
      <w:r w:rsidRPr="00733AB0">
        <w:rPr>
          <w:snapToGrid w:val="0"/>
          <w:color w:val="000000"/>
        </w:rPr>
        <w:t xml:space="preserve">Testy </w:t>
      </w:r>
      <w:r w:rsidRPr="007501FF">
        <w:rPr>
          <w:i/>
          <w:snapToGrid w:val="0"/>
          <w:color w:val="000000"/>
        </w:rPr>
        <w:t>in vitro</w:t>
      </w:r>
      <w:r w:rsidRPr="00733AB0">
        <w:rPr>
          <w:snapToGrid w:val="0"/>
          <w:color w:val="000000"/>
        </w:rPr>
        <w:t xml:space="preserve"> preukázali, že kombinácia </w:t>
      </w:r>
      <w:proofErr w:type="spellStart"/>
      <w:r w:rsidRPr="00733AB0">
        <w:rPr>
          <w:snapToGrid w:val="0"/>
          <w:color w:val="000000"/>
        </w:rPr>
        <w:t>fosfomycínu</w:t>
      </w:r>
      <w:proofErr w:type="spellEnd"/>
      <w:r w:rsidRPr="00733AB0">
        <w:rPr>
          <w:snapToGrid w:val="0"/>
          <w:color w:val="000000"/>
        </w:rPr>
        <w:t xml:space="preserve"> s β-</w:t>
      </w:r>
      <w:proofErr w:type="spellStart"/>
      <w:r w:rsidRPr="00733AB0">
        <w:rPr>
          <w:snapToGrid w:val="0"/>
          <w:color w:val="000000"/>
        </w:rPr>
        <w:t>laktámovými</w:t>
      </w:r>
      <w:proofErr w:type="spellEnd"/>
      <w:r w:rsidRPr="00733AB0">
        <w:rPr>
          <w:snapToGrid w:val="0"/>
          <w:color w:val="000000"/>
        </w:rPr>
        <w:t xml:space="preserve"> antibiotikami ako je penicilín, </w:t>
      </w:r>
      <w:proofErr w:type="spellStart"/>
      <w:r w:rsidRPr="00733AB0">
        <w:rPr>
          <w:snapToGrid w:val="0"/>
          <w:color w:val="000000"/>
        </w:rPr>
        <w:t>ampicilín</w:t>
      </w:r>
      <w:proofErr w:type="spellEnd"/>
      <w:r w:rsidRPr="00733AB0">
        <w:rPr>
          <w:snapToGrid w:val="0"/>
          <w:color w:val="000000"/>
        </w:rPr>
        <w:t xml:space="preserve">, </w:t>
      </w:r>
      <w:proofErr w:type="spellStart"/>
      <w:r w:rsidRPr="00733AB0">
        <w:rPr>
          <w:snapToGrid w:val="0"/>
          <w:color w:val="000000"/>
        </w:rPr>
        <w:t>cefazolín</w:t>
      </w:r>
      <w:proofErr w:type="spellEnd"/>
      <w:r w:rsidRPr="00733AB0">
        <w:rPr>
          <w:snapToGrid w:val="0"/>
          <w:color w:val="000000"/>
        </w:rPr>
        <w:t xml:space="preserve"> alebo </w:t>
      </w:r>
      <w:proofErr w:type="spellStart"/>
      <w:r w:rsidRPr="001E4B3F">
        <w:rPr>
          <w:snapToGrid w:val="0"/>
          <w:color w:val="000000"/>
        </w:rPr>
        <w:t>karbapenémová</w:t>
      </w:r>
      <w:proofErr w:type="spellEnd"/>
      <w:r w:rsidRPr="001E4B3F">
        <w:rPr>
          <w:snapToGrid w:val="0"/>
          <w:color w:val="000000"/>
        </w:rPr>
        <w:t xml:space="preserve"> trieda</w:t>
      </w:r>
      <w:r w:rsidRPr="00733AB0">
        <w:rPr>
          <w:snapToGrid w:val="0"/>
          <w:color w:val="000000"/>
        </w:rPr>
        <w:t xml:space="preserve"> zvyčajne preukazuje </w:t>
      </w:r>
      <w:r w:rsidR="00B87488">
        <w:rPr>
          <w:snapToGrid w:val="0"/>
          <w:color w:val="000000"/>
        </w:rPr>
        <w:t xml:space="preserve">aditívny až </w:t>
      </w:r>
      <w:r w:rsidRPr="00733AB0">
        <w:rPr>
          <w:snapToGrid w:val="0"/>
          <w:color w:val="000000"/>
        </w:rPr>
        <w:t xml:space="preserve">synergistický účinok. To isté platí pre kombináciu </w:t>
      </w:r>
      <w:proofErr w:type="spellStart"/>
      <w:r w:rsidRPr="00733AB0">
        <w:rPr>
          <w:snapToGrid w:val="0"/>
          <w:color w:val="000000"/>
        </w:rPr>
        <w:t>fosfomycínu</w:t>
      </w:r>
      <w:proofErr w:type="spellEnd"/>
      <w:r w:rsidRPr="00733AB0">
        <w:rPr>
          <w:snapToGrid w:val="0"/>
          <w:color w:val="000000"/>
        </w:rPr>
        <w:t xml:space="preserve"> s väčšinou </w:t>
      </w:r>
      <w:proofErr w:type="spellStart"/>
      <w:r w:rsidRPr="00733AB0">
        <w:rPr>
          <w:snapToGrid w:val="0"/>
          <w:color w:val="000000"/>
        </w:rPr>
        <w:t>protistafylokokových</w:t>
      </w:r>
      <w:proofErr w:type="spellEnd"/>
      <w:r w:rsidRPr="00733AB0">
        <w:rPr>
          <w:snapToGrid w:val="0"/>
          <w:color w:val="000000"/>
        </w:rPr>
        <w:t xml:space="preserve"> (</w:t>
      </w:r>
      <w:proofErr w:type="spellStart"/>
      <w:r w:rsidRPr="00733AB0">
        <w:rPr>
          <w:snapToGrid w:val="0"/>
          <w:color w:val="000000"/>
        </w:rPr>
        <w:t>linezolid</w:t>
      </w:r>
      <w:proofErr w:type="spellEnd"/>
      <w:r w:rsidRPr="00733AB0">
        <w:rPr>
          <w:snapToGrid w:val="0"/>
          <w:color w:val="000000"/>
        </w:rPr>
        <w:t xml:space="preserve">, </w:t>
      </w:r>
      <w:proofErr w:type="spellStart"/>
      <w:r w:rsidR="00C86B22">
        <w:rPr>
          <w:snapToGrid w:val="0"/>
          <w:color w:val="000000"/>
        </w:rPr>
        <w:t>ch</w:t>
      </w:r>
      <w:r w:rsidRPr="00733AB0">
        <w:rPr>
          <w:snapToGrid w:val="0"/>
          <w:color w:val="000000"/>
        </w:rPr>
        <w:t>inupristín</w:t>
      </w:r>
      <w:proofErr w:type="spellEnd"/>
      <w:r w:rsidRPr="00733AB0">
        <w:rPr>
          <w:snapToGrid w:val="0"/>
          <w:color w:val="000000"/>
        </w:rPr>
        <w:t>/</w:t>
      </w:r>
      <w:proofErr w:type="spellStart"/>
      <w:r w:rsidRPr="00733AB0">
        <w:rPr>
          <w:snapToGrid w:val="0"/>
          <w:color w:val="000000"/>
        </w:rPr>
        <w:t>dalfopristín</w:t>
      </w:r>
      <w:proofErr w:type="spellEnd"/>
      <w:r w:rsidRPr="00733AB0">
        <w:rPr>
          <w:snapToGrid w:val="0"/>
          <w:color w:val="000000"/>
        </w:rPr>
        <w:t xml:space="preserve">, </w:t>
      </w:r>
      <w:proofErr w:type="spellStart"/>
      <w:r w:rsidRPr="00733AB0">
        <w:rPr>
          <w:snapToGrid w:val="0"/>
          <w:color w:val="000000"/>
        </w:rPr>
        <w:t>moxifloxacín</w:t>
      </w:r>
      <w:proofErr w:type="spellEnd"/>
      <w:r w:rsidRPr="00733AB0">
        <w:rPr>
          <w:snapToGrid w:val="0"/>
          <w:color w:val="000000"/>
        </w:rPr>
        <w:t xml:space="preserve">) </w:t>
      </w:r>
      <w:r w:rsidR="00C86B22">
        <w:rPr>
          <w:snapToGrid w:val="0"/>
          <w:color w:val="000000"/>
        </w:rPr>
        <w:t>liečiv</w:t>
      </w:r>
      <w:r w:rsidRPr="00733AB0">
        <w:rPr>
          <w:snapToGrid w:val="0"/>
          <w:color w:val="000000"/>
        </w:rPr>
        <w:t xml:space="preserve"> pri liečbe stafylokokových infekcií. Kombinácia </w:t>
      </w:r>
      <w:proofErr w:type="spellStart"/>
      <w:r w:rsidRPr="00733AB0">
        <w:rPr>
          <w:snapToGrid w:val="0"/>
          <w:color w:val="000000"/>
        </w:rPr>
        <w:t>fosfomycínu</w:t>
      </w:r>
      <w:proofErr w:type="spellEnd"/>
      <w:r w:rsidRPr="00733AB0">
        <w:rPr>
          <w:snapToGrid w:val="0"/>
          <w:color w:val="000000"/>
        </w:rPr>
        <w:t xml:space="preserve"> s </w:t>
      </w:r>
      <w:proofErr w:type="spellStart"/>
      <w:r w:rsidRPr="00733AB0">
        <w:rPr>
          <w:snapToGrid w:val="0"/>
          <w:color w:val="000000"/>
        </w:rPr>
        <w:t>aminoglykozidmi</w:t>
      </w:r>
      <w:proofErr w:type="spellEnd"/>
      <w:r w:rsidRPr="00733AB0">
        <w:rPr>
          <w:snapToGrid w:val="0"/>
          <w:color w:val="000000"/>
        </w:rPr>
        <w:t xml:space="preserve"> má prevažne neutrálny až aditívny účinok.</w:t>
      </w:r>
    </w:p>
    <w:p w14:paraId="7A9C2B47" w14:textId="77777777" w:rsidR="006E5174" w:rsidRPr="006E5174" w:rsidRDefault="006E5174" w:rsidP="007501FF">
      <w:pPr>
        <w:spacing w:after="0"/>
        <w:rPr>
          <w:snapToGrid w:val="0"/>
          <w:color w:val="000000"/>
        </w:rPr>
      </w:pPr>
    </w:p>
    <w:p w14:paraId="7B90C05F" w14:textId="2A5E4959" w:rsidR="009E0FD0" w:rsidRPr="006E5174" w:rsidRDefault="00957512" w:rsidP="007501FF">
      <w:pPr>
        <w:pStyle w:val="Nadpis2"/>
        <w:tabs>
          <w:tab w:val="left" w:pos="567"/>
        </w:tabs>
        <w:spacing w:before="0"/>
        <w:ind w:left="0" w:firstLine="0"/>
      </w:pPr>
      <w:proofErr w:type="spellStart"/>
      <w:r w:rsidRPr="006E5174">
        <w:t>Fertilita</w:t>
      </w:r>
      <w:proofErr w:type="spellEnd"/>
      <w:r w:rsidRPr="006E5174">
        <w:t>, gravidita a laktácia</w:t>
      </w:r>
    </w:p>
    <w:p w14:paraId="54354445" w14:textId="77777777" w:rsidR="006E5174" w:rsidRDefault="006E5174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7B310973" w14:textId="77777777" w:rsidR="00957512" w:rsidRPr="006E5174" w:rsidRDefault="00957512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proofErr w:type="spellStart"/>
      <w:r w:rsidRPr="006E5174">
        <w:rPr>
          <w:szCs w:val="22"/>
        </w:rPr>
        <w:t>Fertilita</w:t>
      </w:r>
      <w:proofErr w:type="spellEnd"/>
    </w:p>
    <w:p w14:paraId="17E8B54F" w14:textId="77777777" w:rsidR="00C86B22" w:rsidRDefault="00C86B22" w:rsidP="007501FF">
      <w:pPr>
        <w:keepNext/>
        <w:spacing w:after="0"/>
      </w:pPr>
    </w:p>
    <w:p w14:paraId="2344743E" w14:textId="29A1AE0E" w:rsidR="00D81DC6" w:rsidRPr="00733AB0" w:rsidRDefault="00D81DC6" w:rsidP="007501FF">
      <w:pPr>
        <w:keepNext/>
        <w:spacing w:after="0"/>
        <w:rPr>
          <w:bCs/>
          <w:spacing w:val="-3"/>
        </w:rPr>
      </w:pPr>
      <w:r w:rsidRPr="00733AB0">
        <w:t xml:space="preserve">Doteraz sa u ľudí pri liečbe </w:t>
      </w:r>
      <w:proofErr w:type="spellStart"/>
      <w:r w:rsidRPr="00733AB0">
        <w:t>fosfomycínom</w:t>
      </w:r>
      <w:proofErr w:type="spellEnd"/>
      <w:r w:rsidRPr="00733AB0">
        <w:t xml:space="preserve"> nehlásilo žiadne zníženie </w:t>
      </w:r>
      <w:proofErr w:type="spellStart"/>
      <w:r w:rsidRPr="00733AB0">
        <w:t>fertility</w:t>
      </w:r>
      <w:proofErr w:type="spellEnd"/>
      <w:r w:rsidRPr="00733AB0">
        <w:t xml:space="preserve">. U samcov a samíc potkanov sa po perorálnom podaní </w:t>
      </w:r>
      <w:proofErr w:type="spellStart"/>
      <w:r w:rsidRPr="00733AB0">
        <w:t>fosfomycínu</w:t>
      </w:r>
      <w:proofErr w:type="spellEnd"/>
      <w:r w:rsidRPr="00733AB0">
        <w:t xml:space="preserve"> v </w:t>
      </w:r>
      <w:proofErr w:type="spellStart"/>
      <w:r w:rsidRPr="00733AB0">
        <w:t>supraterapeutických</w:t>
      </w:r>
      <w:proofErr w:type="spellEnd"/>
      <w:r w:rsidRPr="00733AB0">
        <w:t xml:space="preserve"> dávkach pozorovalo zníženie </w:t>
      </w:r>
      <w:proofErr w:type="spellStart"/>
      <w:r w:rsidRPr="00733AB0">
        <w:t>fertility</w:t>
      </w:r>
      <w:proofErr w:type="spellEnd"/>
      <w:r w:rsidRPr="00733AB0">
        <w:t xml:space="preserve"> (pozri časť 5.3).</w:t>
      </w:r>
    </w:p>
    <w:p w14:paraId="55804BA0" w14:textId="77777777" w:rsidR="00C86B22" w:rsidRDefault="00C86B22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142C44EB" w14:textId="77777777" w:rsidR="003242A1" w:rsidRPr="00733AB0" w:rsidRDefault="003242A1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733AB0">
        <w:rPr>
          <w:szCs w:val="22"/>
        </w:rPr>
        <w:t>Gravidita</w:t>
      </w:r>
    </w:p>
    <w:p w14:paraId="35E20E3F" w14:textId="77777777" w:rsidR="00C86B22" w:rsidRDefault="00C86B22" w:rsidP="007501FF">
      <w:pPr>
        <w:spacing w:after="0"/>
      </w:pPr>
    </w:p>
    <w:p w14:paraId="015CAF69" w14:textId="7050F5A7" w:rsidR="006646C2" w:rsidRPr="006E5174" w:rsidRDefault="006646C2" w:rsidP="007501FF">
      <w:pPr>
        <w:spacing w:after="0"/>
        <w:rPr>
          <w:spacing w:val="-3"/>
        </w:rPr>
      </w:pPr>
      <w:r w:rsidRPr="006E5174">
        <w:t xml:space="preserve">Pre </w:t>
      </w:r>
      <w:proofErr w:type="spellStart"/>
      <w:r w:rsidRPr="006E5174">
        <w:t>fosfomycín</w:t>
      </w:r>
      <w:proofErr w:type="spellEnd"/>
      <w:r w:rsidRPr="006E5174">
        <w:t xml:space="preserve"> nie sú k dispozícii žiadne klinické údaje týkajúce sa gravidít. Štúdie na zvieratách nepreukázali priame alebo nepriame účinky z hľadiska gravidity, </w:t>
      </w:r>
      <w:proofErr w:type="spellStart"/>
      <w:r w:rsidRPr="006E5174">
        <w:t>embyronálneho</w:t>
      </w:r>
      <w:proofErr w:type="spellEnd"/>
      <w:r w:rsidRPr="006E5174">
        <w:t>/</w:t>
      </w:r>
      <w:proofErr w:type="spellStart"/>
      <w:r w:rsidRPr="006E5174">
        <w:t>fetálneho</w:t>
      </w:r>
      <w:proofErr w:type="spellEnd"/>
      <w:r w:rsidRPr="006E5174">
        <w:t xml:space="preserve"> vývoja, pôrodu alebo </w:t>
      </w:r>
      <w:proofErr w:type="spellStart"/>
      <w:r w:rsidRPr="006E5174">
        <w:t>postnatálneho</w:t>
      </w:r>
      <w:proofErr w:type="spellEnd"/>
      <w:r w:rsidRPr="006E5174">
        <w:t xml:space="preserve"> vývoja (pozri časť 5.3). </w:t>
      </w:r>
      <w:proofErr w:type="spellStart"/>
      <w:r w:rsidRPr="006E5174">
        <w:t>Fosfomycín</w:t>
      </w:r>
      <w:proofErr w:type="spellEnd"/>
      <w:r w:rsidRPr="006E5174">
        <w:t xml:space="preserve"> sa preto nemá predpisovať tehotným ženám, pokiaľ prínos neprevyšuje riziko.</w:t>
      </w:r>
    </w:p>
    <w:p w14:paraId="3C49478D" w14:textId="77777777" w:rsidR="00C86B22" w:rsidRDefault="00C86B22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5BC1FFEC" w14:textId="77777777" w:rsidR="003242A1" w:rsidRPr="006E5174" w:rsidRDefault="003242A1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6E5174">
        <w:rPr>
          <w:szCs w:val="22"/>
        </w:rPr>
        <w:t>Dojčenie</w:t>
      </w:r>
    </w:p>
    <w:p w14:paraId="624ABCB2" w14:textId="77777777" w:rsidR="00C86B22" w:rsidRDefault="00C86B22" w:rsidP="007501FF">
      <w:pPr>
        <w:spacing w:after="0"/>
      </w:pPr>
    </w:p>
    <w:p w14:paraId="3C83E417" w14:textId="34D92562" w:rsidR="003242A1" w:rsidRDefault="003242A1" w:rsidP="007501FF">
      <w:pPr>
        <w:spacing w:after="0"/>
      </w:pPr>
      <w:r w:rsidRPr="006E5174">
        <w:t xml:space="preserve">Po podaní </w:t>
      </w:r>
      <w:proofErr w:type="spellStart"/>
      <w:r w:rsidRPr="006E5174">
        <w:t>fosfomycínu</w:t>
      </w:r>
      <w:proofErr w:type="spellEnd"/>
      <w:r w:rsidRPr="006E5174">
        <w:t xml:space="preserve"> sa v</w:t>
      </w:r>
      <w:r w:rsidR="00123569">
        <w:t> </w:t>
      </w:r>
      <w:r w:rsidR="00F00A2B">
        <w:t>materskom</w:t>
      </w:r>
      <w:r w:rsidRPr="006E5174">
        <w:t xml:space="preserve"> mlieku nachádzali malé množstvá </w:t>
      </w:r>
      <w:proofErr w:type="spellStart"/>
      <w:r w:rsidRPr="006E5174">
        <w:t>fosfomycínu</w:t>
      </w:r>
      <w:proofErr w:type="spellEnd"/>
      <w:r w:rsidRPr="006E5174">
        <w:t xml:space="preserve">. </w:t>
      </w:r>
      <w:proofErr w:type="spellStart"/>
      <w:r w:rsidRPr="006E5174">
        <w:t>Fosfomycín</w:t>
      </w:r>
      <w:proofErr w:type="spellEnd"/>
      <w:r w:rsidRPr="006E5174">
        <w:t xml:space="preserve"> sa preto nemá podávať počas dojčenia, pokiaľ prínos neprevyšuje riziko.</w:t>
      </w:r>
    </w:p>
    <w:p w14:paraId="39F62121" w14:textId="77777777" w:rsidR="006E5174" w:rsidRPr="006E5174" w:rsidRDefault="006E5174" w:rsidP="007501FF">
      <w:pPr>
        <w:spacing w:after="0"/>
        <w:rPr>
          <w:spacing w:val="-3"/>
        </w:rPr>
      </w:pPr>
    </w:p>
    <w:p w14:paraId="2AD2261E" w14:textId="2AC85C06" w:rsidR="009E0FD0" w:rsidRPr="006E5174" w:rsidRDefault="009E0FD0" w:rsidP="007501FF">
      <w:pPr>
        <w:pStyle w:val="Nadpis2"/>
        <w:tabs>
          <w:tab w:val="left" w:pos="567"/>
        </w:tabs>
        <w:spacing w:before="0"/>
        <w:ind w:left="0" w:firstLine="0"/>
      </w:pPr>
      <w:r w:rsidRPr="006E5174">
        <w:t>Ovplyvnenie schopnosti viesť vozidlá a obsluhovať stroje</w:t>
      </w:r>
    </w:p>
    <w:p w14:paraId="5F226002" w14:textId="77777777" w:rsidR="006E5174" w:rsidRDefault="006E5174" w:rsidP="007501FF">
      <w:pPr>
        <w:pStyle w:val="Zarkazkladnhotextu"/>
        <w:spacing w:after="0"/>
        <w:ind w:left="0"/>
      </w:pPr>
    </w:p>
    <w:p w14:paraId="5B0D059E" w14:textId="77777777" w:rsidR="001C24F5" w:rsidRDefault="00A34767" w:rsidP="007501FF">
      <w:pPr>
        <w:pStyle w:val="Zarkazkladnhotextu"/>
        <w:spacing w:after="0"/>
        <w:ind w:left="0"/>
      </w:pPr>
      <w:r w:rsidRPr="006E5174">
        <w:t>Aj keď sa liek podá správne, môžu sa príležitostne vyskytnúť nežiaduce účinky, ktoré majú vplyv na schopnosť viesť vozidlá a obsluhovať stroje (pozri tiež časť 4.8).</w:t>
      </w:r>
    </w:p>
    <w:p w14:paraId="224D36F2" w14:textId="77777777" w:rsidR="006E5174" w:rsidRPr="006E5174" w:rsidRDefault="006E5174" w:rsidP="007501FF">
      <w:pPr>
        <w:pStyle w:val="Zarkazkladnhotextu"/>
        <w:spacing w:after="0"/>
        <w:ind w:left="0"/>
      </w:pPr>
    </w:p>
    <w:p w14:paraId="1D9D6B7F" w14:textId="53432B62" w:rsidR="009E0FD0" w:rsidRPr="006E5174" w:rsidRDefault="009E0FD0" w:rsidP="007501FF">
      <w:pPr>
        <w:pStyle w:val="Nadpis2"/>
        <w:tabs>
          <w:tab w:val="left" w:pos="567"/>
        </w:tabs>
        <w:spacing w:before="0"/>
        <w:ind w:left="0" w:firstLine="0"/>
      </w:pPr>
      <w:r w:rsidRPr="006E5174">
        <w:t>Nežiaduce účinky</w:t>
      </w:r>
    </w:p>
    <w:p w14:paraId="38F30C0F" w14:textId="77777777" w:rsidR="006E5174" w:rsidRDefault="006E5174" w:rsidP="007501FF">
      <w:pPr>
        <w:pStyle w:val="Normlnysozarkami"/>
        <w:spacing w:after="0"/>
        <w:ind w:left="0"/>
        <w:rPr>
          <w:u w:val="single"/>
        </w:rPr>
      </w:pPr>
    </w:p>
    <w:p w14:paraId="3B31AC99" w14:textId="77777777" w:rsidR="007443A9" w:rsidRPr="006E5174" w:rsidRDefault="007443A9" w:rsidP="007501FF">
      <w:pPr>
        <w:pStyle w:val="Normlnysozarkami"/>
        <w:spacing w:after="0"/>
        <w:ind w:left="0"/>
        <w:rPr>
          <w:u w:val="single"/>
        </w:rPr>
      </w:pPr>
      <w:r w:rsidRPr="006E5174">
        <w:rPr>
          <w:u w:val="single"/>
        </w:rPr>
        <w:t>Súhrn bezpečnostného profilu</w:t>
      </w:r>
    </w:p>
    <w:p w14:paraId="21E21968" w14:textId="0939DFE0" w:rsidR="00B337F4" w:rsidRPr="00733AB0" w:rsidRDefault="007443A9" w:rsidP="007501FF">
      <w:pPr>
        <w:spacing w:after="0"/>
      </w:pPr>
      <w:r w:rsidRPr="006E5174">
        <w:t xml:space="preserve">Najčastejšie hlásenými nežiaducimi reakciami počas liečby sú </w:t>
      </w:r>
      <w:proofErr w:type="spellStart"/>
      <w:r w:rsidRPr="006E5174">
        <w:t>gastrointestinálne</w:t>
      </w:r>
      <w:proofErr w:type="spellEnd"/>
      <w:r w:rsidRPr="006E5174">
        <w:t xml:space="preserve"> poruchy a reakcie </w:t>
      </w:r>
      <w:r w:rsidRPr="00733AB0">
        <w:t xml:space="preserve">v mieste vpichu injekcie. Ďalšie dôležité nežiaduce reakcie zahŕňajú </w:t>
      </w:r>
      <w:proofErr w:type="spellStart"/>
      <w:r w:rsidRPr="00733AB0">
        <w:t>hypokaliémiu</w:t>
      </w:r>
      <w:proofErr w:type="spellEnd"/>
      <w:r w:rsidRPr="00733AB0">
        <w:t xml:space="preserve"> alebo </w:t>
      </w:r>
      <w:proofErr w:type="spellStart"/>
      <w:r w:rsidRPr="00733AB0">
        <w:t>hypernatriémiu</w:t>
      </w:r>
      <w:proofErr w:type="spellEnd"/>
      <w:r w:rsidRPr="00733AB0">
        <w:t>.</w:t>
      </w:r>
    </w:p>
    <w:p w14:paraId="55278DC2" w14:textId="77777777" w:rsidR="00594444" w:rsidRDefault="00594444" w:rsidP="007501FF">
      <w:pPr>
        <w:spacing w:after="0"/>
        <w:rPr>
          <w:u w:val="single"/>
        </w:rPr>
      </w:pPr>
    </w:p>
    <w:p w14:paraId="59AE87CA" w14:textId="77777777" w:rsidR="007443A9" w:rsidRPr="00733AB0" w:rsidRDefault="007443A9" w:rsidP="007501FF">
      <w:pPr>
        <w:spacing w:after="0"/>
        <w:rPr>
          <w:u w:val="single"/>
        </w:rPr>
      </w:pPr>
      <w:r w:rsidRPr="00733AB0">
        <w:rPr>
          <w:u w:val="single"/>
        </w:rPr>
        <w:t>Tabuľkový zoznam nežiaducich reakcií</w:t>
      </w:r>
    </w:p>
    <w:p w14:paraId="69763B58" w14:textId="77777777" w:rsidR="00594444" w:rsidRDefault="00594444" w:rsidP="007501FF">
      <w:pPr>
        <w:spacing w:after="0"/>
      </w:pPr>
    </w:p>
    <w:p w14:paraId="179C26EE" w14:textId="77777777" w:rsidR="003242A1" w:rsidRPr="00733AB0" w:rsidRDefault="003242A1" w:rsidP="007501FF">
      <w:pPr>
        <w:spacing w:after="0"/>
        <w:rPr>
          <w:spacing w:val="-3"/>
        </w:rPr>
      </w:pPr>
      <w:r w:rsidRPr="00733AB0">
        <w:t>Nežiaduce účinky sú zoradené podľa telesných systémov a frekvencií podľa nasledujúcej klasifikácie:</w:t>
      </w:r>
    </w:p>
    <w:p w14:paraId="5C8E2411" w14:textId="6BA80EA7" w:rsidR="003242A1" w:rsidRPr="006E5174" w:rsidRDefault="003242A1" w:rsidP="006E5174">
      <w:pPr>
        <w:spacing w:after="0"/>
        <w:rPr>
          <w:spacing w:val="-3"/>
        </w:rPr>
      </w:pPr>
      <w:r w:rsidRPr="006E5174">
        <w:t xml:space="preserve">Veľmi časté: </w:t>
      </w:r>
      <w:r w:rsidRPr="006E5174">
        <w:tab/>
        <w:t>≥ 1/10</w:t>
      </w:r>
    </w:p>
    <w:p w14:paraId="540A9570" w14:textId="77CF8013" w:rsidR="003242A1" w:rsidRPr="006E5174" w:rsidRDefault="003242A1" w:rsidP="006E5174">
      <w:pPr>
        <w:spacing w:after="0"/>
        <w:rPr>
          <w:spacing w:val="-3"/>
        </w:rPr>
      </w:pPr>
      <w:r w:rsidRPr="006E5174">
        <w:t xml:space="preserve">Časté: </w:t>
      </w:r>
      <w:r w:rsidRPr="006E5174">
        <w:tab/>
      </w:r>
      <w:r w:rsidR="00594444">
        <w:tab/>
      </w:r>
      <w:r w:rsidRPr="006E5174">
        <w:t>≥ 1/100 až &lt; 1/10</w:t>
      </w:r>
    </w:p>
    <w:p w14:paraId="3513CDCB" w14:textId="0ACAB43D" w:rsidR="003242A1" w:rsidRPr="006E5174" w:rsidRDefault="003242A1" w:rsidP="006E5174">
      <w:pPr>
        <w:spacing w:after="0"/>
        <w:rPr>
          <w:spacing w:val="-3"/>
        </w:rPr>
      </w:pPr>
      <w:r w:rsidRPr="006E5174">
        <w:t xml:space="preserve">Menej časté: </w:t>
      </w:r>
      <w:r w:rsidRPr="006E5174">
        <w:tab/>
        <w:t>≥ 1/1 000 až &lt; 1/100</w:t>
      </w:r>
    </w:p>
    <w:p w14:paraId="53CAB1FF" w14:textId="1EC2B4E2" w:rsidR="003242A1" w:rsidRPr="006E5174" w:rsidRDefault="003242A1" w:rsidP="006E5174">
      <w:pPr>
        <w:spacing w:after="0"/>
        <w:rPr>
          <w:spacing w:val="-3"/>
        </w:rPr>
      </w:pPr>
      <w:r w:rsidRPr="006E5174">
        <w:lastRenderedPageBreak/>
        <w:t xml:space="preserve">Zriedkavé: </w:t>
      </w:r>
      <w:r w:rsidRPr="006E5174">
        <w:tab/>
        <w:t>≥ 1/10 000 až &lt; 1/1 000</w:t>
      </w:r>
    </w:p>
    <w:p w14:paraId="221B67E5" w14:textId="77777777" w:rsidR="003242A1" w:rsidRPr="006E5174" w:rsidRDefault="003242A1" w:rsidP="007501FF">
      <w:pPr>
        <w:spacing w:after="0"/>
        <w:rPr>
          <w:spacing w:val="-3"/>
        </w:rPr>
      </w:pPr>
      <w:r w:rsidRPr="006E5174">
        <w:t xml:space="preserve">Veľmi zriedkavé: </w:t>
      </w:r>
      <w:r w:rsidRPr="006E5174">
        <w:tab/>
        <w:t>&lt; 1/10 000</w:t>
      </w:r>
    </w:p>
    <w:p w14:paraId="106D7105" w14:textId="77777777" w:rsidR="006D7F07" w:rsidRPr="006E5174" w:rsidRDefault="006D7F07" w:rsidP="007501FF">
      <w:pPr>
        <w:spacing w:after="0"/>
        <w:rPr>
          <w:spacing w:val="-3"/>
        </w:rPr>
      </w:pPr>
      <w:r w:rsidRPr="006E5174">
        <w:t xml:space="preserve">Neznáme: </w:t>
      </w:r>
      <w:r w:rsidRPr="006E5174">
        <w:tab/>
        <w:t>z dostupných údajov</w:t>
      </w:r>
    </w:p>
    <w:p w14:paraId="51958277" w14:textId="77777777" w:rsidR="007917C3" w:rsidRPr="006E5174" w:rsidRDefault="007917C3" w:rsidP="007501FF">
      <w:pPr>
        <w:spacing w:after="0"/>
        <w:rPr>
          <w:spacing w:val="-3"/>
          <w:lang w:eastAsia="en-US" w:bidi="ar-QA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1964"/>
        <w:gridCol w:w="3844"/>
      </w:tblGrid>
      <w:tr w:rsidR="007917C3" w:rsidRPr="006E5174" w14:paraId="591E5E72" w14:textId="77777777" w:rsidTr="003D460E">
        <w:trPr>
          <w:tblHeader/>
        </w:trPr>
        <w:tc>
          <w:tcPr>
            <w:tcW w:w="1679" w:type="dxa"/>
          </w:tcPr>
          <w:p w14:paraId="6FBAEB2A" w14:textId="77777777" w:rsidR="007917C3" w:rsidRPr="006E5174" w:rsidRDefault="007917C3" w:rsidP="007501FF">
            <w:pPr>
              <w:tabs>
                <w:tab w:val="left" w:pos="2514"/>
              </w:tabs>
              <w:spacing w:after="0"/>
              <w:rPr>
                <w:b/>
              </w:rPr>
            </w:pPr>
            <w:r w:rsidRPr="006E5174">
              <w:rPr>
                <w:b/>
              </w:rPr>
              <w:t>Trieda orgánových systémov</w:t>
            </w:r>
          </w:p>
        </w:tc>
        <w:tc>
          <w:tcPr>
            <w:tcW w:w="2074" w:type="dxa"/>
          </w:tcPr>
          <w:p w14:paraId="70DCA596" w14:textId="77777777" w:rsidR="007917C3" w:rsidRPr="006E5174" w:rsidRDefault="007917C3" w:rsidP="007501FF">
            <w:pPr>
              <w:tabs>
                <w:tab w:val="left" w:pos="2514"/>
              </w:tabs>
              <w:spacing w:after="0"/>
              <w:rPr>
                <w:b/>
              </w:rPr>
            </w:pPr>
            <w:r w:rsidRPr="006E5174">
              <w:rPr>
                <w:b/>
              </w:rPr>
              <w:t>Kategória frekvencie</w:t>
            </w:r>
          </w:p>
        </w:tc>
        <w:tc>
          <w:tcPr>
            <w:tcW w:w="4043" w:type="dxa"/>
          </w:tcPr>
          <w:p w14:paraId="5BC96B18" w14:textId="77777777" w:rsidR="007917C3" w:rsidRPr="006E5174" w:rsidRDefault="007917C3" w:rsidP="007501FF">
            <w:pPr>
              <w:tabs>
                <w:tab w:val="left" w:pos="2514"/>
              </w:tabs>
              <w:spacing w:after="0"/>
              <w:rPr>
                <w:b/>
              </w:rPr>
            </w:pPr>
            <w:r w:rsidRPr="006E5174">
              <w:rPr>
                <w:b/>
              </w:rPr>
              <w:t>Nežiaduce liekové reakcie</w:t>
            </w:r>
          </w:p>
        </w:tc>
      </w:tr>
      <w:tr w:rsidR="007917C3" w:rsidRPr="006E5174" w14:paraId="6A5900DB" w14:textId="77777777" w:rsidTr="003D460E">
        <w:tc>
          <w:tcPr>
            <w:tcW w:w="1679" w:type="dxa"/>
            <w:vMerge w:val="restart"/>
          </w:tcPr>
          <w:p w14:paraId="7D1A1660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Poruchy krvi a lymfatického systému</w:t>
            </w:r>
          </w:p>
        </w:tc>
        <w:tc>
          <w:tcPr>
            <w:tcW w:w="2074" w:type="dxa"/>
          </w:tcPr>
          <w:p w14:paraId="6CD94E58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zriedkavé</w:t>
            </w:r>
          </w:p>
        </w:tc>
        <w:tc>
          <w:tcPr>
            <w:tcW w:w="4043" w:type="dxa"/>
          </w:tcPr>
          <w:p w14:paraId="679F6E57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proofErr w:type="spellStart"/>
            <w:r w:rsidRPr="006E5174">
              <w:t>aplastická</w:t>
            </w:r>
            <w:proofErr w:type="spellEnd"/>
            <w:r w:rsidRPr="006E5174">
              <w:t xml:space="preserve"> anémia, </w:t>
            </w:r>
            <w:proofErr w:type="spellStart"/>
            <w:r w:rsidRPr="006E5174">
              <w:t>eozinofília</w:t>
            </w:r>
            <w:proofErr w:type="spellEnd"/>
          </w:p>
        </w:tc>
      </w:tr>
      <w:tr w:rsidR="007917C3" w:rsidRPr="006E5174" w14:paraId="681816CE" w14:textId="77777777" w:rsidTr="003D460E">
        <w:tc>
          <w:tcPr>
            <w:tcW w:w="1679" w:type="dxa"/>
            <w:vMerge/>
          </w:tcPr>
          <w:p w14:paraId="7382B80F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</w:p>
        </w:tc>
        <w:tc>
          <w:tcPr>
            <w:tcW w:w="2074" w:type="dxa"/>
          </w:tcPr>
          <w:p w14:paraId="78DC03DE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neznáma frekvencia</w:t>
            </w:r>
          </w:p>
        </w:tc>
        <w:tc>
          <w:tcPr>
            <w:tcW w:w="4043" w:type="dxa"/>
          </w:tcPr>
          <w:p w14:paraId="2B8D558F" w14:textId="0FE4CE02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proofErr w:type="spellStart"/>
            <w:r w:rsidRPr="006E5174">
              <w:t>agranulocytóza</w:t>
            </w:r>
            <w:proofErr w:type="spellEnd"/>
            <w:r w:rsidRPr="006E5174">
              <w:t xml:space="preserve">, </w:t>
            </w:r>
            <w:proofErr w:type="spellStart"/>
            <w:r w:rsidRPr="006E5174">
              <w:t>gr</w:t>
            </w:r>
            <w:r w:rsidR="001B014F">
              <w:t>a</w:t>
            </w:r>
            <w:r w:rsidRPr="006E5174">
              <w:t>nulocytopénia</w:t>
            </w:r>
            <w:proofErr w:type="spellEnd"/>
            <w:r w:rsidRPr="006E5174">
              <w:t xml:space="preserve">, </w:t>
            </w:r>
            <w:proofErr w:type="spellStart"/>
            <w:r w:rsidRPr="006E5174">
              <w:t>leukopénia</w:t>
            </w:r>
            <w:proofErr w:type="spellEnd"/>
            <w:r w:rsidRPr="006E5174">
              <w:t xml:space="preserve">, </w:t>
            </w:r>
            <w:proofErr w:type="spellStart"/>
            <w:r w:rsidRPr="006E5174">
              <w:t>pancytopénia</w:t>
            </w:r>
            <w:proofErr w:type="spellEnd"/>
            <w:r w:rsidRPr="006E5174">
              <w:t xml:space="preserve">, </w:t>
            </w:r>
            <w:proofErr w:type="spellStart"/>
            <w:r w:rsidRPr="006E5174">
              <w:t>trombocytopénia</w:t>
            </w:r>
            <w:proofErr w:type="spellEnd"/>
            <w:r w:rsidRPr="006E5174">
              <w:t xml:space="preserve">, </w:t>
            </w:r>
            <w:proofErr w:type="spellStart"/>
            <w:r w:rsidRPr="006E5174">
              <w:t>neutropénia</w:t>
            </w:r>
            <w:proofErr w:type="spellEnd"/>
          </w:p>
        </w:tc>
      </w:tr>
      <w:tr w:rsidR="007917C3" w:rsidRPr="006E5174" w14:paraId="0BEFD8ED" w14:textId="77777777" w:rsidTr="003D460E">
        <w:tc>
          <w:tcPr>
            <w:tcW w:w="1679" w:type="dxa"/>
          </w:tcPr>
          <w:p w14:paraId="7F2FBE17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Poruchy imunitného systému</w:t>
            </w:r>
          </w:p>
        </w:tc>
        <w:tc>
          <w:tcPr>
            <w:tcW w:w="2074" w:type="dxa"/>
          </w:tcPr>
          <w:p w14:paraId="659C6FB7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rPr>
                <w:snapToGrid w:val="0"/>
              </w:rPr>
              <w:t xml:space="preserve">veľmi zriedkavé </w:t>
            </w:r>
          </w:p>
        </w:tc>
        <w:tc>
          <w:tcPr>
            <w:tcW w:w="4043" w:type="dxa"/>
          </w:tcPr>
          <w:p w14:paraId="3D76A6F5" w14:textId="77777777" w:rsidR="007917C3" w:rsidRPr="006E5174" w:rsidRDefault="007917C3" w:rsidP="007501FF">
            <w:pPr>
              <w:tabs>
                <w:tab w:val="left" w:pos="2514"/>
              </w:tabs>
              <w:spacing w:after="0"/>
              <w:rPr>
                <w:snapToGrid w:val="0"/>
              </w:rPr>
            </w:pPr>
            <w:proofErr w:type="spellStart"/>
            <w:r w:rsidRPr="006E5174">
              <w:rPr>
                <w:snapToGrid w:val="0"/>
              </w:rPr>
              <w:t>anafylaktický</w:t>
            </w:r>
            <w:proofErr w:type="spellEnd"/>
            <w:r w:rsidRPr="006E5174">
              <w:rPr>
                <w:snapToGrid w:val="0"/>
              </w:rPr>
              <w:t xml:space="preserve"> šok (pozri časť 4.4)</w:t>
            </w:r>
          </w:p>
        </w:tc>
      </w:tr>
      <w:tr w:rsidR="003D460E" w:rsidRPr="006E5174" w14:paraId="5D2FAEE4" w14:textId="77777777" w:rsidTr="003D460E">
        <w:tc>
          <w:tcPr>
            <w:tcW w:w="1679" w:type="dxa"/>
            <w:vMerge w:val="restart"/>
          </w:tcPr>
          <w:p w14:paraId="0B61C05C" w14:textId="77777777" w:rsidR="003D460E" w:rsidRPr="006E5174" w:rsidRDefault="003D460E" w:rsidP="007501FF">
            <w:pPr>
              <w:tabs>
                <w:tab w:val="left" w:pos="2514"/>
              </w:tabs>
              <w:spacing w:after="0"/>
            </w:pPr>
            <w:r w:rsidRPr="006E5174">
              <w:t>Poruchy metabolizmu a výživy</w:t>
            </w:r>
          </w:p>
        </w:tc>
        <w:tc>
          <w:tcPr>
            <w:tcW w:w="2074" w:type="dxa"/>
          </w:tcPr>
          <w:p w14:paraId="401D4F1B" w14:textId="46C19F66" w:rsidR="003D460E" w:rsidRPr="006E5174" w:rsidRDefault="003D460E" w:rsidP="007501FF">
            <w:pPr>
              <w:tabs>
                <w:tab w:val="left" w:pos="2514"/>
              </w:tabs>
              <w:spacing w:after="0"/>
            </w:pPr>
            <w:r w:rsidRPr="006E5174">
              <w:rPr>
                <w:snapToGrid w:val="0"/>
              </w:rPr>
              <w:t>časté</w:t>
            </w:r>
          </w:p>
        </w:tc>
        <w:tc>
          <w:tcPr>
            <w:tcW w:w="4043" w:type="dxa"/>
          </w:tcPr>
          <w:p w14:paraId="3F7095CD" w14:textId="0D0CE667" w:rsidR="003D460E" w:rsidRPr="006E5174" w:rsidRDefault="003D460E" w:rsidP="007501FF">
            <w:pPr>
              <w:tabs>
                <w:tab w:val="left" w:pos="2514"/>
              </w:tabs>
              <w:spacing w:afterLines="60" w:after="144"/>
            </w:pPr>
            <w:proofErr w:type="spellStart"/>
            <w:r w:rsidRPr="006E5174">
              <w:t>h</w:t>
            </w:r>
            <w:r w:rsidRPr="006E5174">
              <w:rPr>
                <w:snapToGrid w:val="0"/>
              </w:rPr>
              <w:t>ypernatriémia</w:t>
            </w:r>
            <w:proofErr w:type="spellEnd"/>
            <w:r w:rsidRPr="006E5174">
              <w:rPr>
                <w:snapToGrid w:val="0"/>
              </w:rPr>
              <w:t xml:space="preserve"> a/alebo </w:t>
            </w:r>
            <w:proofErr w:type="spellStart"/>
            <w:r w:rsidRPr="006E5174">
              <w:rPr>
                <w:snapToGrid w:val="0"/>
              </w:rPr>
              <w:t>hypokaliémia</w:t>
            </w:r>
            <w:proofErr w:type="spellEnd"/>
            <w:r w:rsidRPr="006E5174">
              <w:rPr>
                <w:snapToGrid w:val="0"/>
              </w:rPr>
              <w:t xml:space="preserve"> (pozri časť 4.4)</w:t>
            </w:r>
          </w:p>
        </w:tc>
      </w:tr>
      <w:tr w:rsidR="003D460E" w:rsidRPr="006E5174" w14:paraId="188C3378" w14:textId="77777777" w:rsidTr="003D460E">
        <w:tc>
          <w:tcPr>
            <w:tcW w:w="1679" w:type="dxa"/>
            <w:vMerge/>
          </w:tcPr>
          <w:p w14:paraId="773E1CB9" w14:textId="77777777" w:rsidR="003D460E" w:rsidRPr="006E5174" w:rsidRDefault="003D460E" w:rsidP="007501FF">
            <w:pPr>
              <w:tabs>
                <w:tab w:val="left" w:pos="2514"/>
              </w:tabs>
              <w:spacing w:after="0"/>
            </w:pPr>
          </w:p>
        </w:tc>
        <w:tc>
          <w:tcPr>
            <w:tcW w:w="2074" w:type="dxa"/>
          </w:tcPr>
          <w:p w14:paraId="24E0CC76" w14:textId="61116BB7" w:rsidR="003D460E" w:rsidRPr="006E5174" w:rsidDel="003D460E" w:rsidRDefault="003D460E" w:rsidP="007501FF">
            <w:pPr>
              <w:tabs>
                <w:tab w:val="left" w:pos="2514"/>
              </w:tabs>
              <w:spacing w:after="0"/>
              <w:rPr>
                <w:snapToGrid w:val="0"/>
              </w:rPr>
            </w:pPr>
            <w:r w:rsidRPr="006E5174">
              <w:rPr>
                <w:snapToGrid w:val="0"/>
              </w:rPr>
              <w:t>menej časté</w:t>
            </w:r>
          </w:p>
        </w:tc>
        <w:tc>
          <w:tcPr>
            <w:tcW w:w="4043" w:type="dxa"/>
          </w:tcPr>
          <w:p w14:paraId="5F108A08" w14:textId="07FA04E8" w:rsidR="003D460E" w:rsidRPr="006E5174" w:rsidRDefault="003D460E" w:rsidP="007501FF">
            <w:pPr>
              <w:tabs>
                <w:tab w:val="left" w:pos="2514"/>
              </w:tabs>
              <w:spacing w:afterLines="60" w:after="144"/>
            </w:pPr>
            <w:r w:rsidRPr="006E5174">
              <w:t>znížená chuť do jedla, edém</w:t>
            </w:r>
          </w:p>
        </w:tc>
      </w:tr>
      <w:tr w:rsidR="007917C3" w:rsidRPr="006E5174" w14:paraId="7059403D" w14:textId="77777777" w:rsidTr="003D460E">
        <w:tc>
          <w:tcPr>
            <w:tcW w:w="1679" w:type="dxa"/>
          </w:tcPr>
          <w:p w14:paraId="09553D5E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Psychické poruchy</w:t>
            </w:r>
          </w:p>
        </w:tc>
        <w:tc>
          <w:tcPr>
            <w:tcW w:w="2074" w:type="dxa"/>
          </w:tcPr>
          <w:p w14:paraId="261FFF24" w14:textId="77777777" w:rsidR="007917C3" w:rsidRPr="006E5174" w:rsidRDefault="007917C3" w:rsidP="007501FF">
            <w:pPr>
              <w:tabs>
                <w:tab w:val="left" w:pos="2514"/>
              </w:tabs>
              <w:spacing w:after="0"/>
              <w:rPr>
                <w:snapToGrid w:val="0"/>
              </w:rPr>
            </w:pPr>
            <w:r w:rsidRPr="006E5174">
              <w:t>neznáma frekvencia</w:t>
            </w:r>
          </w:p>
        </w:tc>
        <w:tc>
          <w:tcPr>
            <w:tcW w:w="4043" w:type="dxa"/>
          </w:tcPr>
          <w:p w14:paraId="348BC033" w14:textId="77777777" w:rsidR="007917C3" w:rsidRPr="006E5174" w:rsidRDefault="007917C3" w:rsidP="007501FF">
            <w:pPr>
              <w:tabs>
                <w:tab w:val="left" w:pos="2514"/>
              </w:tabs>
              <w:spacing w:afterLines="60" w:after="144"/>
              <w:rPr>
                <w:snapToGrid w:val="0"/>
              </w:rPr>
            </w:pPr>
            <w:r w:rsidRPr="006E5174">
              <w:t>zmätenosť</w:t>
            </w:r>
          </w:p>
        </w:tc>
      </w:tr>
      <w:tr w:rsidR="007917C3" w:rsidRPr="006E5174" w14:paraId="20037D8F" w14:textId="77777777" w:rsidTr="003D460E">
        <w:tc>
          <w:tcPr>
            <w:tcW w:w="1679" w:type="dxa"/>
          </w:tcPr>
          <w:p w14:paraId="2B024A97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Poruchy nervového systému</w:t>
            </w:r>
          </w:p>
        </w:tc>
        <w:tc>
          <w:tcPr>
            <w:tcW w:w="2074" w:type="dxa"/>
          </w:tcPr>
          <w:p w14:paraId="11F44206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menej časté</w:t>
            </w:r>
          </w:p>
        </w:tc>
        <w:tc>
          <w:tcPr>
            <w:tcW w:w="4043" w:type="dxa"/>
          </w:tcPr>
          <w:p w14:paraId="62959860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proofErr w:type="spellStart"/>
            <w:r w:rsidRPr="006E5174">
              <w:t>dysgeúzia</w:t>
            </w:r>
            <w:proofErr w:type="spellEnd"/>
            <w:r w:rsidRPr="006E5174">
              <w:t>, bolesť hlavy</w:t>
            </w:r>
          </w:p>
        </w:tc>
      </w:tr>
      <w:tr w:rsidR="007917C3" w:rsidRPr="006E5174" w14:paraId="4F9F7EA5" w14:textId="77777777" w:rsidTr="003D460E">
        <w:tc>
          <w:tcPr>
            <w:tcW w:w="1679" w:type="dxa"/>
          </w:tcPr>
          <w:p w14:paraId="40F492E4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Poruchy oka</w:t>
            </w:r>
          </w:p>
        </w:tc>
        <w:tc>
          <w:tcPr>
            <w:tcW w:w="2074" w:type="dxa"/>
          </w:tcPr>
          <w:p w14:paraId="01B41AA9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veľmi zriedkavé</w:t>
            </w:r>
          </w:p>
        </w:tc>
        <w:tc>
          <w:tcPr>
            <w:tcW w:w="4043" w:type="dxa"/>
          </w:tcPr>
          <w:p w14:paraId="756F7319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poruchy zraku</w:t>
            </w:r>
          </w:p>
        </w:tc>
      </w:tr>
      <w:tr w:rsidR="007917C3" w:rsidRPr="006E5174" w14:paraId="66A6ADE8" w14:textId="77777777" w:rsidTr="003D460E">
        <w:tc>
          <w:tcPr>
            <w:tcW w:w="1679" w:type="dxa"/>
          </w:tcPr>
          <w:p w14:paraId="34CA5463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Poruchy ucha a labyrintu</w:t>
            </w:r>
          </w:p>
        </w:tc>
        <w:tc>
          <w:tcPr>
            <w:tcW w:w="2074" w:type="dxa"/>
          </w:tcPr>
          <w:p w14:paraId="511428A4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rPr>
                <w:snapToGrid w:val="0"/>
              </w:rPr>
              <w:t>menej časté</w:t>
            </w:r>
          </w:p>
        </w:tc>
        <w:tc>
          <w:tcPr>
            <w:tcW w:w="4043" w:type="dxa"/>
          </w:tcPr>
          <w:p w14:paraId="0D67EAC8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rPr>
                <w:snapToGrid w:val="0"/>
              </w:rPr>
              <w:t>závrat</w:t>
            </w:r>
          </w:p>
        </w:tc>
      </w:tr>
      <w:tr w:rsidR="007917C3" w:rsidRPr="006E5174" w14:paraId="6FD5A059" w14:textId="77777777" w:rsidTr="003D460E">
        <w:tc>
          <w:tcPr>
            <w:tcW w:w="1679" w:type="dxa"/>
          </w:tcPr>
          <w:p w14:paraId="236A806A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Poruchy srdca a srdcovej činnosti</w:t>
            </w:r>
          </w:p>
        </w:tc>
        <w:tc>
          <w:tcPr>
            <w:tcW w:w="2074" w:type="dxa"/>
          </w:tcPr>
          <w:p w14:paraId="47CD21E6" w14:textId="77777777" w:rsidR="007917C3" w:rsidRPr="006E5174" w:rsidRDefault="007917C3" w:rsidP="007501FF">
            <w:pPr>
              <w:tabs>
                <w:tab w:val="left" w:pos="2514"/>
              </w:tabs>
              <w:spacing w:after="0"/>
              <w:rPr>
                <w:u w:val="single"/>
              </w:rPr>
            </w:pPr>
            <w:r w:rsidRPr="006E5174">
              <w:t>neznáma frekvencia</w:t>
            </w:r>
          </w:p>
        </w:tc>
        <w:tc>
          <w:tcPr>
            <w:tcW w:w="4043" w:type="dxa"/>
          </w:tcPr>
          <w:p w14:paraId="239A41A8" w14:textId="77777777" w:rsidR="007917C3" w:rsidRPr="006E5174" w:rsidRDefault="007917C3" w:rsidP="007501FF">
            <w:pPr>
              <w:tabs>
                <w:tab w:val="left" w:pos="2514"/>
              </w:tabs>
              <w:spacing w:after="0"/>
              <w:rPr>
                <w:u w:val="single"/>
              </w:rPr>
            </w:pPr>
            <w:proofErr w:type="spellStart"/>
            <w:r w:rsidRPr="006E5174">
              <w:t>tachykardia</w:t>
            </w:r>
            <w:proofErr w:type="spellEnd"/>
          </w:p>
        </w:tc>
      </w:tr>
      <w:tr w:rsidR="007917C3" w:rsidRPr="006E5174" w14:paraId="6CCF902C" w14:textId="77777777" w:rsidTr="003D460E">
        <w:tc>
          <w:tcPr>
            <w:tcW w:w="1679" w:type="dxa"/>
            <w:vMerge w:val="restart"/>
          </w:tcPr>
          <w:p w14:paraId="717559C2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Poruchy dýchacej sústavy, hrudníka a </w:t>
            </w:r>
            <w:proofErr w:type="spellStart"/>
            <w:r w:rsidRPr="006E5174">
              <w:t>mediastína</w:t>
            </w:r>
            <w:proofErr w:type="spellEnd"/>
          </w:p>
        </w:tc>
        <w:tc>
          <w:tcPr>
            <w:tcW w:w="2074" w:type="dxa"/>
          </w:tcPr>
          <w:p w14:paraId="3E01692E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menej časté</w:t>
            </w:r>
          </w:p>
        </w:tc>
        <w:tc>
          <w:tcPr>
            <w:tcW w:w="4043" w:type="dxa"/>
          </w:tcPr>
          <w:p w14:paraId="572CCD5F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dýchavičnosť</w:t>
            </w:r>
          </w:p>
        </w:tc>
      </w:tr>
      <w:tr w:rsidR="007917C3" w:rsidRPr="006E5174" w14:paraId="5DF03D42" w14:textId="77777777" w:rsidTr="003D460E">
        <w:tc>
          <w:tcPr>
            <w:tcW w:w="1679" w:type="dxa"/>
            <w:vMerge/>
          </w:tcPr>
          <w:p w14:paraId="71DADFF1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</w:p>
        </w:tc>
        <w:tc>
          <w:tcPr>
            <w:tcW w:w="2074" w:type="dxa"/>
          </w:tcPr>
          <w:p w14:paraId="74CE1968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neznáma frekvencia</w:t>
            </w:r>
          </w:p>
        </w:tc>
        <w:tc>
          <w:tcPr>
            <w:tcW w:w="4043" w:type="dxa"/>
          </w:tcPr>
          <w:p w14:paraId="21B1AA89" w14:textId="77777777" w:rsidR="007917C3" w:rsidRPr="006E5174" w:rsidRDefault="007917C3" w:rsidP="007501FF">
            <w:pPr>
              <w:tabs>
                <w:tab w:val="left" w:pos="2514"/>
              </w:tabs>
              <w:spacing w:afterLines="60" w:after="144"/>
            </w:pPr>
            <w:r w:rsidRPr="006E5174">
              <w:t>astmatický záchvat</w:t>
            </w:r>
          </w:p>
          <w:p w14:paraId="37E81812" w14:textId="77777777" w:rsidR="007917C3" w:rsidRPr="006E5174" w:rsidRDefault="007917C3" w:rsidP="007501FF">
            <w:pPr>
              <w:tabs>
                <w:tab w:val="left" w:pos="2514"/>
              </w:tabs>
              <w:spacing w:afterLines="60" w:after="144"/>
            </w:pPr>
          </w:p>
        </w:tc>
      </w:tr>
      <w:tr w:rsidR="007917C3" w:rsidRPr="006E5174" w14:paraId="5BEF3CE8" w14:textId="77777777" w:rsidTr="003D460E">
        <w:tc>
          <w:tcPr>
            <w:tcW w:w="1679" w:type="dxa"/>
            <w:vMerge w:val="restart"/>
          </w:tcPr>
          <w:p w14:paraId="646AFB32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 xml:space="preserve">Poruchy </w:t>
            </w:r>
            <w:proofErr w:type="spellStart"/>
            <w:r w:rsidRPr="006E5174">
              <w:t>gastrointestinálneho</w:t>
            </w:r>
            <w:proofErr w:type="spellEnd"/>
            <w:r w:rsidRPr="006E5174">
              <w:t xml:space="preserve"> traktu</w:t>
            </w:r>
          </w:p>
        </w:tc>
        <w:tc>
          <w:tcPr>
            <w:tcW w:w="2074" w:type="dxa"/>
          </w:tcPr>
          <w:p w14:paraId="77338E6B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rPr>
                <w:snapToGrid w:val="0"/>
              </w:rPr>
              <w:t>časté</w:t>
            </w:r>
          </w:p>
        </w:tc>
        <w:tc>
          <w:tcPr>
            <w:tcW w:w="4043" w:type="dxa"/>
          </w:tcPr>
          <w:p w14:paraId="0FEB963C" w14:textId="77777777" w:rsidR="007917C3" w:rsidRPr="006E5174" w:rsidRDefault="007917C3" w:rsidP="007501FF">
            <w:pPr>
              <w:tabs>
                <w:tab w:val="left" w:pos="2514"/>
              </w:tabs>
              <w:spacing w:afterLines="60" w:after="144"/>
            </w:pPr>
            <w:r w:rsidRPr="006E5174">
              <w:rPr>
                <w:snapToGrid w:val="0"/>
              </w:rPr>
              <w:t>napínanie, bolesť žalúdka</w:t>
            </w:r>
          </w:p>
        </w:tc>
      </w:tr>
      <w:tr w:rsidR="007917C3" w:rsidRPr="006E5174" w14:paraId="3CB82E01" w14:textId="77777777" w:rsidTr="003D460E">
        <w:tc>
          <w:tcPr>
            <w:tcW w:w="1679" w:type="dxa"/>
            <w:vMerge/>
          </w:tcPr>
          <w:p w14:paraId="04008A91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</w:p>
        </w:tc>
        <w:tc>
          <w:tcPr>
            <w:tcW w:w="2074" w:type="dxa"/>
          </w:tcPr>
          <w:p w14:paraId="23D0A0F0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menej časté</w:t>
            </w:r>
          </w:p>
        </w:tc>
        <w:tc>
          <w:tcPr>
            <w:tcW w:w="4043" w:type="dxa"/>
          </w:tcPr>
          <w:p w14:paraId="15BADCE0" w14:textId="77777777" w:rsidR="007917C3" w:rsidRPr="006E5174" w:rsidRDefault="007917C3" w:rsidP="007501FF">
            <w:pPr>
              <w:tabs>
                <w:tab w:val="left" w:pos="2514"/>
              </w:tabs>
              <w:spacing w:afterLines="60" w:after="144"/>
            </w:pPr>
            <w:r w:rsidRPr="006E5174">
              <w:t>nevoľnosť, vracanie, hnačka</w:t>
            </w:r>
          </w:p>
        </w:tc>
      </w:tr>
      <w:tr w:rsidR="007917C3" w:rsidRPr="006E5174" w14:paraId="4ABBFA1E" w14:textId="77777777" w:rsidTr="003D460E">
        <w:tc>
          <w:tcPr>
            <w:tcW w:w="1679" w:type="dxa"/>
            <w:vMerge/>
          </w:tcPr>
          <w:p w14:paraId="00C9B1C9" w14:textId="77777777" w:rsidR="007917C3" w:rsidRPr="006E5174" w:rsidRDefault="007917C3" w:rsidP="007501FF">
            <w:pPr>
              <w:tabs>
                <w:tab w:val="left" w:pos="2514"/>
              </w:tabs>
              <w:spacing w:after="0"/>
              <w:rPr>
                <w:spacing w:val="-3"/>
                <w:lang w:eastAsia="en-US"/>
              </w:rPr>
            </w:pPr>
          </w:p>
        </w:tc>
        <w:tc>
          <w:tcPr>
            <w:tcW w:w="2074" w:type="dxa"/>
          </w:tcPr>
          <w:p w14:paraId="54B62231" w14:textId="77777777" w:rsidR="007917C3" w:rsidRPr="006E5174" w:rsidRDefault="007917C3" w:rsidP="007501FF">
            <w:pPr>
              <w:tabs>
                <w:tab w:val="left" w:pos="2514"/>
              </w:tabs>
              <w:spacing w:after="0"/>
              <w:rPr>
                <w:spacing w:val="-3"/>
              </w:rPr>
            </w:pPr>
            <w:r w:rsidRPr="006E5174">
              <w:t>neznáma frekvencia</w:t>
            </w:r>
          </w:p>
        </w:tc>
        <w:tc>
          <w:tcPr>
            <w:tcW w:w="4043" w:type="dxa"/>
          </w:tcPr>
          <w:p w14:paraId="6A4A9827" w14:textId="77777777" w:rsidR="007917C3" w:rsidRPr="006E5174" w:rsidRDefault="007917C3" w:rsidP="007501FF">
            <w:pPr>
              <w:tabs>
                <w:tab w:val="left" w:pos="2514"/>
              </w:tabs>
              <w:spacing w:afterLines="60" w:after="144"/>
              <w:rPr>
                <w:snapToGrid w:val="0"/>
              </w:rPr>
            </w:pPr>
            <w:proofErr w:type="spellStart"/>
            <w:r w:rsidRPr="006E5174">
              <w:t>pseudomembranózna</w:t>
            </w:r>
            <w:proofErr w:type="spellEnd"/>
            <w:r w:rsidRPr="006E5174">
              <w:t xml:space="preserve"> </w:t>
            </w:r>
            <w:proofErr w:type="spellStart"/>
            <w:r w:rsidRPr="006E5174">
              <w:t>kolitída</w:t>
            </w:r>
            <w:proofErr w:type="spellEnd"/>
            <w:r w:rsidRPr="006E5174">
              <w:t xml:space="preserve"> (pozri časť 4.4)</w:t>
            </w:r>
          </w:p>
        </w:tc>
      </w:tr>
      <w:tr w:rsidR="007917C3" w:rsidRPr="006E5174" w14:paraId="413A08BD" w14:textId="77777777" w:rsidTr="003D460E">
        <w:tc>
          <w:tcPr>
            <w:tcW w:w="1679" w:type="dxa"/>
            <w:vMerge w:val="restart"/>
          </w:tcPr>
          <w:p w14:paraId="28772498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Poruchy pečene a žlčových ciest</w:t>
            </w:r>
          </w:p>
        </w:tc>
        <w:tc>
          <w:tcPr>
            <w:tcW w:w="2074" w:type="dxa"/>
          </w:tcPr>
          <w:p w14:paraId="7DC3B0EF" w14:textId="77777777" w:rsidR="007917C3" w:rsidRPr="006E5174" w:rsidRDefault="007917C3" w:rsidP="007501FF">
            <w:pPr>
              <w:tabs>
                <w:tab w:val="left" w:pos="2514"/>
              </w:tabs>
              <w:spacing w:after="0"/>
              <w:rPr>
                <w:snapToGrid w:val="0"/>
              </w:rPr>
            </w:pPr>
            <w:r w:rsidRPr="006E5174">
              <w:t>menej časté</w:t>
            </w:r>
          </w:p>
        </w:tc>
        <w:tc>
          <w:tcPr>
            <w:tcW w:w="4043" w:type="dxa"/>
          </w:tcPr>
          <w:p w14:paraId="5767B93C" w14:textId="77777777" w:rsidR="007917C3" w:rsidRPr="006E5174" w:rsidRDefault="007917C3" w:rsidP="007501FF">
            <w:pPr>
              <w:tabs>
                <w:tab w:val="left" w:pos="2514"/>
              </w:tabs>
              <w:spacing w:afterLines="60" w:after="144"/>
              <w:rPr>
                <w:snapToGrid w:val="0"/>
              </w:rPr>
            </w:pPr>
            <w:r w:rsidRPr="006E5174">
              <w:rPr>
                <w:snapToGrid w:val="0"/>
              </w:rPr>
              <w:t xml:space="preserve">zvýšené krvné hladiny alkalickej </w:t>
            </w:r>
            <w:proofErr w:type="spellStart"/>
            <w:r w:rsidRPr="006E5174">
              <w:rPr>
                <w:snapToGrid w:val="0"/>
              </w:rPr>
              <w:t>fosfatázy</w:t>
            </w:r>
            <w:proofErr w:type="spellEnd"/>
            <w:r w:rsidRPr="006E5174">
              <w:rPr>
                <w:snapToGrid w:val="0"/>
              </w:rPr>
              <w:t xml:space="preserve">, </w:t>
            </w:r>
            <w:proofErr w:type="spellStart"/>
            <w:r w:rsidRPr="006E5174">
              <w:rPr>
                <w:snapToGrid w:val="0"/>
              </w:rPr>
              <w:t>aspartátaminotransferázy</w:t>
            </w:r>
            <w:proofErr w:type="spellEnd"/>
            <w:r w:rsidRPr="006E5174">
              <w:rPr>
                <w:snapToGrid w:val="0"/>
              </w:rPr>
              <w:t xml:space="preserve"> a </w:t>
            </w:r>
            <w:proofErr w:type="spellStart"/>
            <w:r w:rsidRPr="006E5174">
              <w:rPr>
                <w:snapToGrid w:val="0"/>
              </w:rPr>
              <w:t>alanínaminotransferázy</w:t>
            </w:r>
            <w:proofErr w:type="spellEnd"/>
            <w:r w:rsidRPr="006E5174">
              <w:rPr>
                <w:snapToGrid w:val="0"/>
              </w:rPr>
              <w:t xml:space="preserve"> (prechodné)</w:t>
            </w:r>
          </w:p>
        </w:tc>
      </w:tr>
      <w:tr w:rsidR="007917C3" w:rsidRPr="006E5174" w14:paraId="11027596" w14:textId="77777777" w:rsidTr="003D460E">
        <w:tc>
          <w:tcPr>
            <w:tcW w:w="1679" w:type="dxa"/>
            <w:vMerge/>
          </w:tcPr>
          <w:p w14:paraId="6A6E219C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</w:p>
        </w:tc>
        <w:tc>
          <w:tcPr>
            <w:tcW w:w="2074" w:type="dxa"/>
          </w:tcPr>
          <w:p w14:paraId="1E0C4D8B" w14:textId="77777777" w:rsidR="007917C3" w:rsidRPr="006E5174" w:rsidRDefault="007917C3" w:rsidP="007501FF">
            <w:pPr>
              <w:tabs>
                <w:tab w:val="left" w:pos="2514"/>
              </w:tabs>
              <w:spacing w:after="0"/>
              <w:rPr>
                <w:snapToGrid w:val="0"/>
              </w:rPr>
            </w:pPr>
            <w:r w:rsidRPr="006E5174">
              <w:rPr>
                <w:snapToGrid w:val="0"/>
              </w:rPr>
              <w:t>veľmi zriedkavé</w:t>
            </w:r>
          </w:p>
        </w:tc>
        <w:tc>
          <w:tcPr>
            <w:tcW w:w="4043" w:type="dxa"/>
          </w:tcPr>
          <w:p w14:paraId="5907883D" w14:textId="37E94FA1" w:rsidR="007917C3" w:rsidRPr="006E5174" w:rsidRDefault="007917C3" w:rsidP="007501FF">
            <w:pPr>
              <w:tabs>
                <w:tab w:val="left" w:pos="2514"/>
              </w:tabs>
              <w:spacing w:afterLines="60" w:after="144"/>
              <w:rPr>
                <w:snapToGrid w:val="0"/>
              </w:rPr>
            </w:pPr>
            <w:proofErr w:type="spellStart"/>
            <w:r w:rsidRPr="006E5174">
              <w:rPr>
                <w:snapToGrid w:val="0"/>
              </w:rPr>
              <w:t>stukovatenie</w:t>
            </w:r>
            <w:proofErr w:type="spellEnd"/>
            <w:r w:rsidRPr="006E5174">
              <w:rPr>
                <w:snapToGrid w:val="0"/>
              </w:rPr>
              <w:t xml:space="preserve"> pečene (úplne reverzibilné po ukončení používania </w:t>
            </w:r>
            <w:proofErr w:type="spellStart"/>
            <w:r w:rsidRPr="006E5174">
              <w:rPr>
                <w:snapToGrid w:val="0"/>
              </w:rPr>
              <w:t>fosfomycínu</w:t>
            </w:r>
            <w:proofErr w:type="spellEnd"/>
            <w:r w:rsidRPr="006E5174">
              <w:rPr>
                <w:snapToGrid w:val="0"/>
              </w:rPr>
              <w:t>)</w:t>
            </w:r>
          </w:p>
        </w:tc>
      </w:tr>
      <w:tr w:rsidR="007917C3" w:rsidRPr="006E5174" w14:paraId="1D029174" w14:textId="77777777" w:rsidTr="003D460E">
        <w:tc>
          <w:tcPr>
            <w:tcW w:w="1679" w:type="dxa"/>
            <w:vMerge/>
          </w:tcPr>
          <w:p w14:paraId="2665C4C6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</w:p>
        </w:tc>
        <w:tc>
          <w:tcPr>
            <w:tcW w:w="2074" w:type="dxa"/>
          </w:tcPr>
          <w:p w14:paraId="293AAC22" w14:textId="77777777" w:rsidR="007917C3" w:rsidRPr="006E5174" w:rsidRDefault="007917C3" w:rsidP="007501FF">
            <w:pPr>
              <w:tabs>
                <w:tab w:val="left" w:pos="2514"/>
              </w:tabs>
              <w:spacing w:after="0"/>
              <w:rPr>
                <w:snapToGrid w:val="0"/>
              </w:rPr>
            </w:pPr>
            <w:r w:rsidRPr="006E5174">
              <w:t xml:space="preserve">neznáma frekvencia </w:t>
            </w:r>
          </w:p>
        </w:tc>
        <w:tc>
          <w:tcPr>
            <w:tcW w:w="4043" w:type="dxa"/>
          </w:tcPr>
          <w:p w14:paraId="4AEA63C6" w14:textId="705158DC" w:rsidR="007917C3" w:rsidRPr="006E5174" w:rsidRDefault="007917C3" w:rsidP="007501FF">
            <w:pPr>
              <w:tabs>
                <w:tab w:val="left" w:pos="2514"/>
              </w:tabs>
              <w:spacing w:afterLines="60" w:after="144"/>
              <w:rPr>
                <w:snapToGrid w:val="0"/>
              </w:rPr>
            </w:pPr>
            <w:r w:rsidRPr="006E5174">
              <w:t xml:space="preserve">hepatitída, </w:t>
            </w:r>
            <w:proofErr w:type="spellStart"/>
            <w:r w:rsidRPr="006E5174">
              <w:t>cholestatická</w:t>
            </w:r>
            <w:proofErr w:type="spellEnd"/>
            <w:r w:rsidRPr="006E5174">
              <w:t xml:space="preserve"> hepatitída, žltačka, zvýšené hladiny </w:t>
            </w:r>
            <w:proofErr w:type="spellStart"/>
            <w:r w:rsidRPr="006E5174">
              <w:t>gamaglutamyltransferázy</w:t>
            </w:r>
            <w:proofErr w:type="spellEnd"/>
          </w:p>
        </w:tc>
      </w:tr>
      <w:tr w:rsidR="007917C3" w:rsidRPr="006E5174" w14:paraId="6817A05F" w14:textId="77777777" w:rsidTr="003D460E">
        <w:tc>
          <w:tcPr>
            <w:tcW w:w="1679" w:type="dxa"/>
            <w:vMerge w:val="restart"/>
          </w:tcPr>
          <w:p w14:paraId="0692BF8C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Poruchy kože a podkožného tkaniva</w:t>
            </w:r>
          </w:p>
        </w:tc>
        <w:tc>
          <w:tcPr>
            <w:tcW w:w="2074" w:type="dxa"/>
          </w:tcPr>
          <w:p w14:paraId="46CB1E5F" w14:textId="7C0BF3DD" w:rsidR="007917C3" w:rsidRPr="006E5174" w:rsidRDefault="003D460E" w:rsidP="007501FF">
            <w:pPr>
              <w:tabs>
                <w:tab w:val="left" w:pos="2514"/>
              </w:tabs>
              <w:spacing w:after="0"/>
            </w:pPr>
            <w:r w:rsidRPr="006E5174">
              <w:t>časté</w:t>
            </w:r>
          </w:p>
        </w:tc>
        <w:tc>
          <w:tcPr>
            <w:tcW w:w="4043" w:type="dxa"/>
          </w:tcPr>
          <w:p w14:paraId="79590B68" w14:textId="5936F17B" w:rsidR="007917C3" w:rsidRPr="006E5174" w:rsidRDefault="003D460E" w:rsidP="007501FF">
            <w:pPr>
              <w:tabs>
                <w:tab w:val="left" w:pos="2514"/>
              </w:tabs>
              <w:spacing w:afterLines="60" w:after="144"/>
            </w:pPr>
            <w:proofErr w:type="spellStart"/>
            <w:r w:rsidRPr="006E5174">
              <w:t>erytematózna</w:t>
            </w:r>
            <w:proofErr w:type="spellEnd"/>
            <w:r w:rsidRPr="006E5174">
              <w:t xml:space="preserve"> vyrážka</w:t>
            </w:r>
          </w:p>
        </w:tc>
      </w:tr>
      <w:tr w:rsidR="003D460E" w:rsidRPr="006E5174" w14:paraId="6D7CFC84" w14:textId="77777777" w:rsidTr="003D460E">
        <w:tc>
          <w:tcPr>
            <w:tcW w:w="1679" w:type="dxa"/>
            <w:vMerge/>
          </w:tcPr>
          <w:p w14:paraId="499C8416" w14:textId="77777777" w:rsidR="003D460E" w:rsidRPr="006E5174" w:rsidRDefault="003D460E" w:rsidP="007501FF">
            <w:pPr>
              <w:tabs>
                <w:tab w:val="left" w:pos="2514"/>
              </w:tabs>
              <w:spacing w:after="0"/>
            </w:pPr>
          </w:p>
        </w:tc>
        <w:tc>
          <w:tcPr>
            <w:tcW w:w="2074" w:type="dxa"/>
          </w:tcPr>
          <w:p w14:paraId="14841830" w14:textId="19022692" w:rsidR="003D460E" w:rsidRPr="006E5174" w:rsidRDefault="003D460E" w:rsidP="007501FF">
            <w:pPr>
              <w:tabs>
                <w:tab w:val="left" w:pos="2514"/>
              </w:tabs>
              <w:spacing w:after="0"/>
              <w:rPr>
                <w:snapToGrid w:val="0"/>
              </w:rPr>
            </w:pPr>
            <w:r w:rsidRPr="006E5174">
              <w:rPr>
                <w:snapToGrid w:val="0"/>
              </w:rPr>
              <w:t>menej časté</w:t>
            </w:r>
          </w:p>
        </w:tc>
        <w:tc>
          <w:tcPr>
            <w:tcW w:w="4043" w:type="dxa"/>
          </w:tcPr>
          <w:p w14:paraId="2AA094E6" w14:textId="21ACC4F0" w:rsidR="003D460E" w:rsidRPr="006E5174" w:rsidRDefault="003D460E" w:rsidP="007501FF">
            <w:pPr>
              <w:tabs>
                <w:tab w:val="left" w:pos="2514"/>
              </w:tabs>
              <w:spacing w:afterLines="60" w:after="144"/>
              <w:rPr>
                <w:snapToGrid w:val="0"/>
              </w:rPr>
            </w:pPr>
            <w:r w:rsidRPr="006E5174">
              <w:rPr>
                <w:snapToGrid w:val="0"/>
              </w:rPr>
              <w:t>vyrážka</w:t>
            </w:r>
          </w:p>
        </w:tc>
      </w:tr>
      <w:tr w:rsidR="007917C3" w:rsidRPr="006E5174" w14:paraId="48D84477" w14:textId="77777777" w:rsidTr="003D460E">
        <w:tc>
          <w:tcPr>
            <w:tcW w:w="1679" w:type="dxa"/>
            <w:vMerge/>
          </w:tcPr>
          <w:p w14:paraId="6D7045A2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</w:p>
        </w:tc>
        <w:tc>
          <w:tcPr>
            <w:tcW w:w="2074" w:type="dxa"/>
          </w:tcPr>
          <w:p w14:paraId="072C51FD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neznáma frekvencia</w:t>
            </w:r>
          </w:p>
        </w:tc>
        <w:tc>
          <w:tcPr>
            <w:tcW w:w="4043" w:type="dxa"/>
          </w:tcPr>
          <w:p w14:paraId="4A520D62" w14:textId="77777777" w:rsidR="007917C3" w:rsidRPr="006E5174" w:rsidRDefault="007917C3" w:rsidP="007501FF">
            <w:pPr>
              <w:tabs>
                <w:tab w:val="left" w:pos="2514"/>
              </w:tabs>
              <w:spacing w:afterLines="60" w:after="144"/>
            </w:pPr>
            <w:proofErr w:type="spellStart"/>
            <w:r w:rsidRPr="006E5174">
              <w:t>angioedém</w:t>
            </w:r>
            <w:proofErr w:type="spellEnd"/>
            <w:r w:rsidRPr="006E5174">
              <w:t>, edém tváre, svrbenie, žihľavka</w:t>
            </w:r>
          </w:p>
        </w:tc>
      </w:tr>
      <w:tr w:rsidR="007917C3" w:rsidRPr="006E5174" w14:paraId="6D34BAEA" w14:textId="77777777" w:rsidTr="003D460E">
        <w:tc>
          <w:tcPr>
            <w:tcW w:w="1679" w:type="dxa"/>
            <w:vMerge w:val="restart"/>
          </w:tcPr>
          <w:p w14:paraId="2BC7573B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t>Celkové poruchy a reakcie v mieste podania</w:t>
            </w:r>
          </w:p>
        </w:tc>
        <w:tc>
          <w:tcPr>
            <w:tcW w:w="2074" w:type="dxa"/>
          </w:tcPr>
          <w:p w14:paraId="196A4FA6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rPr>
                <w:snapToGrid w:val="0"/>
              </w:rPr>
              <w:t>časté</w:t>
            </w:r>
          </w:p>
        </w:tc>
        <w:tc>
          <w:tcPr>
            <w:tcW w:w="4043" w:type="dxa"/>
          </w:tcPr>
          <w:p w14:paraId="1E7E4549" w14:textId="77777777" w:rsidR="007917C3" w:rsidRPr="006E5174" w:rsidRDefault="007917C3" w:rsidP="007501FF">
            <w:pPr>
              <w:tabs>
                <w:tab w:val="left" w:pos="2514"/>
              </w:tabs>
              <w:spacing w:afterLines="60" w:after="144"/>
            </w:pPr>
            <w:proofErr w:type="spellStart"/>
            <w:r w:rsidRPr="006E5174">
              <w:rPr>
                <w:snapToGrid w:val="0"/>
              </w:rPr>
              <w:t>flebitída</w:t>
            </w:r>
            <w:proofErr w:type="spellEnd"/>
            <w:r w:rsidRPr="006E5174">
              <w:rPr>
                <w:snapToGrid w:val="0"/>
              </w:rPr>
              <w:t xml:space="preserve"> v mieste vpichu injekcie</w:t>
            </w:r>
          </w:p>
        </w:tc>
      </w:tr>
      <w:tr w:rsidR="007917C3" w:rsidRPr="006E5174" w14:paraId="7E778BEB" w14:textId="77777777" w:rsidTr="003D460E">
        <w:tc>
          <w:tcPr>
            <w:tcW w:w="1679" w:type="dxa"/>
            <w:vMerge/>
          </w:tcPr>
          <w:p w14:paraId="1AF38218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</w:p>
        </w:tc>
        <w:tc>
          <w:tcPr>
            <w:tcW w:w="2074" w:type="dxa"/>
          </w:tcPr>
          <w:p w14:paraId="0AD29988" w14:textId="77777777" w:rsidR="007917C3" w:rsidRPr="006E5174" w:rsidRDefault="007917C3" w:rsidP="007501FF">
            <w:pPr>
              <w:tabs>
                <w:tab w:val="left" w:pos="2514"/>
              </w:tabs>
              <w:spacing w:after="0"/>
            </w:pPr>
            <w:r w:rsidRPr="006E5174">
              <w:rPr>
                <w:snapToGrid w:val="0"/>
              </w:rPr>
              <w:t>menej časté</w:t>
            </w:r>
          </w:p>
        </w:tc>
        <w:tc>
          <w:tcPr>
            <w:tcW w:w="4043" w:type="dxa"/>
          </w:tcPr>
          <w:p w14:paraId="4C589C78" w14:textId="77777777" w:rsidR="007917C3" w:rsidRPr="006E5174" w:rsidRDefault="007917C3" w:rsidP="007501FF">
            <w:pPr>
              <w:tabs>
                <w:tab w:val="left" w:pos="2514"/>
              </w:tabs>
              <w:spacing w:afterLines="60" w:after="144"/>
            </w:pPr>
            <w:r w:rsidRPr="006E5174">
              <w:rPr>
                <w:snapToGrid w:val="0"/>
              </w:rPr>
              <w:t>únava</w:t>
            </w:r>
          </w:p>
        </w:tc>
      </w:tr>
    </w:tbl>
    <w:p w14:paraId="4B3FBEE4" w14:textId="77777777" w:rsidR="00851184" w:rsidRPr="006E5174" w:rsidRDefault="00851184" w:rsidP="007501FF">
      <w:pPr>
        <w:autoSpaceDE w:val="0"/>
        <w:autoSpaceDN w:val="0"/>
        <w:adjustRightInd w:val="0"/>
        <w:spacing w:after="0"/>
        <w:rPr>
          <w:u w:val="single"/>
        </w:rPr>
      </w:pPr>
      <w:r w:rsidRPr="006E5174">
        <w:rPr>
          <w:u w:val="single"/>
        </w:rPr>
        <w:lastRenderedPageBreak/>
        <w:t>Popis vybraných nežiaducich reakcií</w:t>
      </w:r>
    </w:p>
    <w:p w14:paraId="68101B86" w14:textId="77777777" w:rsidR="00D91CA0" w:rsidRDefault="00D91CA0" w:rsidP="007501FF">
      <w:pPr>
        <w:autoSpaceDE w:val="0"/>
        <w:autoSpaceDN w:val="0"/>
        <w:adjustRightInd w:val="0"/>
        <w:spacing w:after="0"/>
      </w:pPr>
    </w:p>
    <w:p w14:paraId="5BE016E5" w14:textId="428D938F" w:rsidR="00B337F4" w:rsidRPr="006E5174" w:rsidRDefault="00B337F4" w:rsidP="007501FF">
      <w:pPr>
        <w:autoSpaceDE w:val="0"/>
        <w:autoSpaceDN w:val="0"/>
        <w:adjustRightInd w:val="0"/>
        <w:spacing w:after="0"/>
      </w:pPr>
      <w:proofErr w:type="spellStart"/>
      <w:r w:rsidRPr="006E5174">
        <w:t>Hypokaliémia</w:t>
      </w:r>
      <w:proofErr w:type="spellEnd"/>
      <w:r w:rsidRPr="006E5174">
        <w:t xml:space="preserve"> môže mať za následok rozptýlené príznaky ako je slabosť, únava alebo edém alebo svalové </w:t>
      </w:r>
      <w:proofErr w:type="spellStart"/>
      <w:r w:rsidRPr="006E5174">
        <w:t>zášklby</w:t>
      </w:r>
      <w:proofErr w:type="spellEnd"/>
      <w:r w:rsidRPr="006E5174">
        <w:t xml:space="preserve">. Závažné formy môžu spôsobiť </w:t>
      </w:r>
      <w:proofErr w:type="spellStart"/>
      <w:r w:rsidRPr="006E5174">
        <w:t>hyporeflexiu</w:t>
      </w:r>
      <w:proofErr w:type="spellEnd"/>
      <w:r w:rsidRPr="006E5174">
        <w:t xml:space="preserve"> a srdcovú </w:t>
      </w:r>
      <w:proofErr w:type="spellStart"/>
      <w:r w:rsidRPr="006E5174">
        <w:t>arytmiu</w:t>
      </w:r>
      <w:proofErr w:type="spellEnd"/>
      <w:r w:rsidRPr="006E5174">
        <w:t xml:space="preserve">. </w:t>
      </w:r>
      <w:proofErr w:type="spellStart"/>
      <w:r w:rsidRPr="006E5174">
        <w:t>Hypernatriémia</w:t>
      </w:r>
      <w:proofErr w:type="spellEnd"/>
      <w:r w:rsidRPr="006E5174">
        <w:t xml:space="preserve"> sa môže spájať s hypertenziou a prejavmi nadbytku tekutín ako je napríklad edém (pozri časť 4.4).</w:t>
      </w:r>
    </w:p>
    <w:p w14:paraId="14AA65CD" w14:textId="77777777" w:rsidR="00D91CA0" w:rsidRDefault="00D91CA0" w:rsidP="007501FF">
      <w:pPr>
        <w:autoSpaceDE w:val="0"/>
        <w:autoSpaceDN w:val="0"/>
        <w:adjustRightInd w:val="0"/>
        <w:spacing w:after="0"/>
        <w:rPr>
          <w:u w:val="single"/>
        </w:rPr>
      </w:pPr>
    </w:p>
    <w:p w14:paraId="3EDB3EC3" w14:textId="77777777" w:rsidR="00851184" w:rsidRPr="006E5174" w:rsidRDefault="00851184" w:rsidP="007501FF">
      <w:pPr>
        <w:autoSpaceDE w:val="0"/>
        <w:autoSpaceDN w:val="0"/>
        <w:adjustRightInd w:val="0"/>
        <w:spacing w:after="0"/>
        <w:rPr>
          <w:u w:val="single"/>
        </w:rPr>
      </w:pPr>
      <w:r w:rsidRPr="006E5174">
        <w:rPr>
          <w:u w:val="single"/>
        </w:rPr>
        <w:t>Pediatrická populácia</w:t>
      </w:r>
    </w:p>
    <w:p w14:paraId="4CFCCA68" w14:textId="77777777" w:rsidR="00D91CA0" w:rsidRDefault="00D91CA0" w:rsidP="007501FF">
      <w:pPr>
        <w:autoSpaceDE w:val="0"/>
        <w:autoSpaceDN w:val="0"/>
        <w:adjustRightInd w:val="0"/>
        <w:spacing w:after="0"/>
      </w:pPr>
    </w:p>
    <w:p w14:paraId="7C038412" w14:textId="18EDD2BF" w:rsidR="00851184" w:rsidRPr="006E5174" w:rsidRDefault="00851184" w:rsidP="007501FF">
      <w:pPr>
        <w:autoSpaceDE w:val="0"/>
        <w:autoSpaceDN w:val="0"/>
        <w:adjustRightInd w:val="0"/>
        <w:spacing w:after="0"/>
        <w:rPr>
          <w:u w:val="single"/>
        </w:rPr>
      </w:pPr>
      <w:r w:rsidRPr="006E5174">
        <w:t xml:space="preserve">K dispozícii sú iba obmedzené údaje týkajúce sa </w:t>
      </w:r>
      <w:r w:rsidR="00D91CA0">
        <w:t xml:space="preserve">bezpečnosti u </w:t>
      </w:r>
      <w:r w:rsidRPr="006E5174">
        <w:t>pediatrickej populácie. Očakávajú sa podobné frekvencie, typy a závažnosť nežiaducich reakcií ako u dospelej populácie.</w:t>
      </w:r>
    </w:p>
    <w:p w14:paraId="3169016B" w14:textId="77777777" w:rsidR="00733AB0" w:rsidRDefault="00733AB0" w:rsidP="007501FF">
      <w:pPr>
        <w:autoSpaceDE w:val="0"/>
        <w:autoSpaceDN w:val="0"/>
        <w:adjustRightInd w:val="0"/>
        <w:spacing w:after="0"/>
        <w:rPr>
          <w:bCs/>
          <w:u w:val="single"/>
        </w:rPr>
      </w:pPr>
    </w:p>
    <w:p w14:paraId="77A7DC62" w14:textId="77777777" w:rsidR="00733AB0" w:rsidRPr="00733AB0" w:rsidRDefault="00733AB0" w:rsidP="00733AB0">
      <w:pPr>
        <w:spacing w:after="0"/>
        <w:rPr>
          <w:u w:val="single"/>
          <w:lang w:eastAsia="sk-SK"/>
        </w:rPr>
      </w:pPr>
      <w:r w:rsidRPr="00733AB0">
        <w:rPr>
          <w:u w:val="single"/>
          <w:lang w:eastAsia="sk-SK"/>
        </w:rPr>
        <w:t>Hlásenie podozrení na nežiaduce reakcie</w:t>
      </w:r>
    </w:p>
    <w:p w14:paraId="0AAA07A1" w14:textId="162ED0FC" w:rsidR="00FD7EF8" w:rsidRDefault="00733AB0" w:rsidP="007501FF">
      <w:pPr>
        <w:autoSpaceDE w:val="0"/>
        <w:autoSpaceDN w:val="0"/>
        <w:adjustRightInd w:val="0"/>
        <w:spacing w:after="0"/>
        <w:rPr>
          <w:rStyle w:val="Hypertextovprepojenie"/>
        </w:rPr>
      </w:pPr>
      <w:r w:rsidRPr="00733AB0">
        <w:rPr>
          <w:lang w:eastAsia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733AB0">
        <w:rPr>
          <w:highlight w:val="lightGray"/>
          <w:lang w:eastAsia="sk-SK"/>
        </w:rPr>
        <w:t>národné centrum hlásenia uvedené v </w:t>
      </w:r>
      <w:hyperlink r:id="rId8" w:history="1">
        <w:r w:rsidRPr="00733AB0">
          <w:rPr>
            <w:color w:val="0000FF"/>
            <w:highlight w:val="lightGray"/>
            <w:u w:val="single"/>
            <w:lang w:eastAsia="sk-SK"/>
          </w:rPr>
          <w:t>Prílohe V</w:t>
        </w:r>
      </w:hyperlink>
      <w:r w:rsidRPr="00733AB0">
        <w:rPr>
          <w:highlight w:val="lightGray"/>
          <w:lang w:eastAsia="sk-SK"/>
        </w:rPr>
        <w:t>.</w:t>
      </w:r>
    </w:p>
    <w:p w14:paraId="44CA0E49" w14:textId="77777777" w:rsidR="006E5174" w:rsidRPr="006E5174" w:rsidRDefault="006E5174" w:rsidP="007501FF">
      <w:pPr>
        <w:spacing w:after="0"/>
      </w:pPr>
    </w:p>
    <w:p w14:paraId="05F9DF1D" w14:textId="65460315" w:rsidR="00A34767" w:rsidRPr="006E5174" w:rsidRDefault="00CA1F15" w:rsidP="007501FF">
      <w:pPr>
        <w:pStyle w:val="Nadpis2"/>
        <w:tabs>
          <w:tab w:val="left" w:pos="567"/>
        </w:tabs>
        <w:spacing w:before="0"/>
        <w:ind w:left="0" w:firstLine="0"/>
      </w:pPr>
      <w:r w:rsidRPr="006E5174">
        <w:t>Predávkovanie</w:t>
      </w:r>
    </w:p>
    <w:p w14:paraId="311D4650" w14:textId="77777777" w:rsidR="006E5174" w:rsidRDefault="006E5174" w:rsidP="007501FF">
      <w:pPr>
        <w:spacing w:after="0"/>
      </w:pPr>
    </w:p>
    <w:p w14:paraId="5DF1062B" w14:textId="7878BA22" w:rsidR="00DE0FB2" w:rsidRDefault="0057472F" w:rsidP="007501FF">
      <w:pPr>
        <w:spacing w:after="0"/>
      </w:pPr>
      <w:r w:rsidRPr="006E5174">
        <w:t xml:space="preserve">Skúsenosti ohľadne predávkovania </w:t>
      </w:r>
      <w:proofErr w:type="spellStart"/>
      <w:r w:rsidRPr="006E5174">
        <w:t>fosfomycínom</w:t>
      </w:r>
      <w:proofErr w:type="spellEnd"/>
      <w:r w:rsidRPr="006E5174">
        <w:t xml:space="preserve"> sú obmedzené. Pri </w:t>
      </w:r>
      <w:proofErr w:type="spellStart"/>
      <w:r w:rsidRPr="006E5174">
        <w:t>parenterálnom</w:t>
      </w:r>
      <w:proofErr w:type="spellEnd"/>
      <w:r w:rsidRPr="006E5174">
        <w:t xml:space="preserve"> použití </w:t>
      </w:r>
      <w:proofErr w:type="spellStart"/>
      <w:r w:rsidRPr="006E5174">
        <w:t>fosfomycínu</w:t>
      </w:r>
      <w:proofErr w:type="spellEnd"/>
      <w:r w:rsidRPr="006E5174">
        <w:t xml:space="preserve"> sa hlásili prípady hypotónie, ospalosti, poruchy elektrolytov, </w:t>
      </w:r>
      <w:proofErr w:type="spellStart"/>
      <w:r w:rsidRPr="006E5174">
        <w:t>trombocytopénie</w:t>
      </w:r>
      <w:proofErr w:type="spellEnd"/>
      <w:r w:rsidRPr="006E5174">
        <w:t xml:space="preserve"> a </w:t>
      </w:r>
      <w:proofErr w:type="spellStart"/>
      <w:r w:rsidRPr="006E5174">
        <w:t>hypoprotrombinémie</w:t>
      </w:r>
      <w:proofErr w:type="spellEnd"/>
      <w:r w:rsidRPr="006E5174">
        <w:t xml:space="preserve">. V prípade predávkovania je potrebné pacienta sledovať (hlavne hladiny plazmatických/sérových elektrolytov) a liečba má byť symptomatická a podporná. Odporúča sa rehydratácia na podporu eliminácie močom. </w:t>
      </w:r>
      <w:proofErr w:type="spellStart"/>
      <w:r w:rsidRPr="006E5174">
        <w:t>Fosfomycín</w:t>
      </w:r>
      <w:proofErr w:type="spellEnd"/>
      <w:r w:rsidRPr="006E5174">
        <w:t xml:space="preserve"> sa účinne eliminuje z tela dialýzou s priemerným polčasom eliminácie približne 4 hodiny.</w:t>
      </w:r>
    </w:p>
    <w:p w14:paraId="4B1F33E4" w14:textId="77777777" w:rsidR="006E5174" w:rsidRDefault="006E5174" w:rsidP="007501FF">
      <w:pPr>
        <w:spacing w:after="0"/>
      </w:pPr>
    </w:p>
    <w:p w14:paraId="0716A0F3" w14:textId="77777777" w:rsidR="006E5174" w:rsidRPr="006E5174" w:rsidRDefault="006E5174" w:rsidP="007501FF">
      <w:pPr>
        <w:spacing w:after="0"/>
      </w:pPr>
    </w:p>
    <w:p w14:paraId="02868707" w14:textId="461F2FE8" w:rsidR="009E0FD0" w:rsidRDefault="009E0FD0" w:rsidP="007501FF">
      <w:pPr>
        <w:pStyle w:val="Nadpis1"/>
        <w:tabs>
          <w:tab w:val="left" w:pos="567"/>
        </w:tabs>
        <w:spacing w:before="0" w:beforeAutospacing="0"/>
        <w:ind w:left="0" w:firstLine="0"/>
      </w:pPr>
      <w:r w:rsidRPr="006E5174">
        <w:t>FARMAKOLOGICKÉ VLASTNOSTI</w:t>
      </w:r>
    </w:p>
    <w:p w14:paraId="0A294C11" w14:textId="77777777" w:rsidR="006E5174" w:rsidRPr="006E5174" w:rsidRDefault="006E5174" w:rsidP="007501FF">
      <w:pPr>
        <w:pStyle w:val="Normlnysozarkami"/>
      </w:pPr>
    </w:p>
    <w:p w14:paraId="7DF6BE21" w14:textId="6AF7D827" w:rsidR="009E0FD0" w:rsidRPr="006E5174" w:rsidRDefault="009E0FD0" w:rsidP="007501FF">
      <w:pPr>
        <w:pStyle w:val="Nadpis2"/>
        <w:tabs>
          <w:tab w:val="left" w:pos="567"/>
        </w:tabs>
        <w:spacing w:before="0"/>
        <w:ind w:left="0" w:firstLine="0"/>
      </w:pPr>
      <w:proofErr w:type="spellStart"/>
      <w:r w:rsidRPr="006E5174">
        <w:t>Farmakodynamické</w:t>
      </w:r>
      <w:proofErr w:type="spellEnd"/>
      <w:r w:rsidRPr="006E5174">
        <w:t xml:space="preserve"> vlastnosti</w:t>
      </w:r>
    </w:p>
    <w:p w14:paraId="6D57EE15" w14:textId="77777777" w:rsidR="006E5174" w:rsidRDefault="006E5174" w:rsidP="007501FF">
      <w:pPr>
        <w:spacing w:after="0"/>
      </w:pPr>
    </w:p>
    <w:p w14:paraId="7DE8E6BB" w14:textId="1D14011B" w:rsidR="003242A1" w:rsidRPr="006E5174" w:rsidRDefault="003242A1" w:rsidP="007501FF">
      <w:pPr>
        <w:spacing w:after="0"/>
        <w:rPr>
          <w:spacing w:val="-3"/>
        </w:rPr>
      </w:pPr>
      <w:proofErr w:type="spellStart"/>
      <w:r w:rsidRPr="006E5174">
        <w:t>Farmakoterapeutická</w:t>
      </w:r>
      <w:proofErr w:type="spellEnd"/>
      <w:r w:rsidRPr="006E5174">
        <w:t xml:space="preserve"> skupina: antibiotiká na systémové použitie, iné antib</w:t>
      </w:r>
      <w:r w:rsidR="00D91CA0">
        <w:t>akteriálne liečivá</w:t>
      </w:r>
    </w:p>
    <w:p w14:paraId="76BAB07E" w14:textId="77777777" w:rsidR="00D91CA0" w:rsidRDefault="00D91CA0" w:rsidP="007501FF">
      <w:pPr>
        <w:spacing w:after="0"/>
      </w:pPr>
    </w:p>
    <w:p w14:paraId="6AE896AE" w14:textId="77777777" w:rsidR="003242A1" w:rsidRPr="00733AB0" w:rsidRDefault="003242A1" w:rsidP="007501FF">
      <w:pPr>
        <w:spacing w:after="0"/>
        <w:rPr>
          <w:spacing w:val="-3"/>
        </w:rPr>
      </w:pPr>
      <w:r w:rsidRPr="00733AB0">
        <w:t>ATC kód: J01XX01</w:t>
      </w:r>
    </w:p>
    <w:p w14:paraId="2402DA9E" w14:textId="77777777" w:rsidR="006E5174" w:rsidRDefault="006E5174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77E99010" w14:textId="77777777" w:rsidR="00A34767" w:rsidRPr="006E5174" w:rsidRDefault="00A34767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6E5174">
        <w:rPr>
          <w:szCs w:val="22"/>
        </w:rPr>
        <w:t>Mechanizmus účinku</w:t>
      </w:r>
    </w:p>
    <w:p w14:paraId="15765D22" w14:textId="77777777" w:rsidR="00D91CA0" w:rsidRDefault="00D91CA0" w:rsidP="007501FF">
      <w:pPr>
        <w:spacing w:after="0"/>
        <w:rPr>
          <w:snapToGrid w:val="0"/>
        </w:rPr>
      </w:pPr>
    </w:p>
    <w:p w14:paraId="5648A395" w14:textId="477CD139" w:rsidR="00A34767" w:rsidRPr="00733AB0" w:rsidRDefault="00A34767" w:rsidP="007501FF">
      <w:pPr>
        <w:spacing w:after="0"/>
        <w:rPr>
          <w:snapToGrid w:val="0"/>
        </w:rPr>
      </w:pPr>
      <w:proofErr w:type="spellStart"/>
      <w:r w:rsidRPr="00733AB0">
        <w:rPr>
          <w:snapToGrid w:val="0"/>
        </w:rPr>
        <w:t>Fosfomycín</w:t>
      </w:r>
      <w:proofErr w:type="spellEnd"/>
      <w:r w:rsidRPr="00733AB0">
        <w:rPr>
          <w:snapToGrid w:val="0"/>
        </w:rPr>
        <w:t xml:space="preserve"> </w:t>
      </w:r>
      <w:r w:rsidR="002930DC">
        <w:rPr>
          <w:snapToGrid w:val="0"/>
        </w:rPr>
        <w:t xml:space="preserve">pôsobí </w:t>
      </w:r>
      <w:r w:rsidRPr="00733AB0">
        <w:rPr>
          <w:snapToGrid w:val="0"/>
        </w:rPr>
        <w:t>baktericídn</w:t>
      </w:r>
      <w:r w:rsidR="002930DC">
        <w:rPr>
          <w:snapToGrid w:val="0"/>
        </w:rPr>
        <w:t>e</w:t>
      </w:r>
      <w:r w:rsidRPr="00733AB0">
        <w:rPr>
          <w:snapToGrid w:val="0"/>
        </w:rPr>
        <w:t xml:space="preserve"> na </w:t>
      </w:r>
      <w:proofErr w:type="spellStart"/>
      <w:r w:rsidRPr="00733AB0">
        <w:rPr>
          <w:snapToGrid w:val="0"/>
        </w:rPr>
        <w:t>proliferujúce</w:t>
      </w:r>
      <w:proofErr w:type="spellEnd"/>
      <w:r w:rsidRPr="00733AB0">
        <w:rPr>
          <w:snapToGrid w:val="0"/>
        </w:rPr>
        <w:t xml:space="preserve"> patogény blokovaním enzýmovej syntézy bunkovej steny baktérií. </w:t>
      </w:r>
      <w:proofErr w:type="spellStart"/>
      <w:r w:rsidRPr="00733AB0">
        <w:rPr>
          <w:snapToGrid w:val="0"/>
        </w:rPr>
        <w:t>Fosfomycín</w:t>
      </w:r>
      <w:proofErr w:type="spellEnd"/>
      <w:r w:rsidRPr="00733AB0">
        <w:rPr>
          <w:snapToGrid w:val="0"/>
        </w:rPr>
        <w:t xml:space="preserve"> </w:t>
      </w:r>
      <w:proofErr w:type="spellStart"/>
      <w:r w:rsidRPr="00733AB0">
        <w:rPr>
          <w:snapToGrid w:val="0"/>
        </w:rPr>
        <w:t>inhibuje</w:t>
      </w:r>
      <w:proofErr w:type="spellEnd"/>
      <w:r w:rsidRPr="00733AB0">
        <w:rPr>
          <w:snapToGrid w:val="0"/>
        </w:rPr>
        <w:t xml:space="preserve"> prvý stupeň syntézy intracelulárnej bunkovej steny blokovaním </w:t>
      </w:r>
      <w:proofErr w:type="spellStart"/>
      <w:r w:rsidRPr="00733AB0">
        <w:rPr>
          <w:snapToGrid w:val="0"/>
        </w:rPr>
        <w:t>peptidoglykánovej</w:t>
      </w:r>
      <w:proofErr w:type="spellEnd"/>
      <w:r w:rsidRPr="00733AB0">
        <w:rPr>
          <w:snapToGrid w:val="0"/>
        </w:rPr>
        <w:t xml:space="preserve"> syntézy.</w:t>
      </w:r>
    </w:p>
    <w:p w14:paraId="365FE38A" w14:textId="77777777" w:rsidR="00D91CA0" w:rsidRDefault="00D91CA0" w:rsidP="007501FF">
      <w:pPr>
        <w:spacing w:after="0"/>
        <w:rPr>
          <w:snapToGrid w:val="0"/>
        </w:rPr>
      </w:pPr>
    </w:p>
    <w:p w14:paraId="3BB86904" w14:textId="77777777" w:rsidR="00A34767" w:rsidRPr="00733AB0" w:rsidRDefault="00A34767" w:rsidP="007501FF">
      <w:pPr>
        <w:spacing w:after="0"/>
        <w:rPr>
          <w:snapToGrid w:val="0"/>
        </w:rPr>
      </w:pPr>
      <w:proofErr w:type="spellStart"/>
      <w:r w:rsidRPr="00733AB0">
        <w:rPr>
          <w:snapToGrid w:val="0"/>
        </w:rPr>
        <w:t>Fosfomycín</w:t>
      </w:r>
      <w:proofErr w:type="spellEnd"/>
      <w:r w:rsidRPr="00733AB0">
        <w:rPr>
          <w:snapToGrid w:val="0"/>
        </w:rPr>
        <w:t xml:space="preserve"> sa aktívne transportuje do buniek baktérií prostredníctvom dvoch rôznych transportných systémov (transportný systém sn-glycerol-3-fosfátu a hexózy-6).</w:t>
      </w:r>
    </w:p>
    <w:p w14:paraId="78DFA23C" w14:textId="77777777" w:rsidR="00D91CA0" w:rsidRDefault="00D91CA0" w:rsidP="007501FF">
      <w:pPr>
        <w:pStyle w:val="Formatvorlageberschrift3NichtKursivUnterstrichenLinks125cm"/>
        <w:spacing w:before="0" w:line="240" w:lineRule="auto"/>
        <w:ind w:left="0"/>
        <w:rPr>
          <w:snapToGrid w:val="0"/>
          <w:szCs w:val="22"/>
        </w:rPr>
      </w:pPr>
    </w:p>
    <w:p w14:paraId="2CA188C9" w14:textId="77777777" w:rsidR="00A34767" w:rsidRPr="008F6998" w:rsidRDefault="00A34767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proofErr w:type="spellStart"/>
      <w:r w:rsidRPr="00733AB0">
        <w:rPr>
          <w:snapToGrid w:val="0"/>
          <w:szCs w:val="22"/>
        </w:rPr>
        <w:t>Farmakokinetický</w:t>
      </w:r>
      <w:proofErr w:type="spellEnd"/>
      <w:r w:rsidRPr="00733AB0">
        <w:rPr>
          <w:snapToGrid w:val="0"/>
          <w:szCs w:val="22"/>
        </w:rPr>
        <w:t>/</w:t>
      </w:r>
      <w:proofErr w:type="spellStart"/>
      <w:r w:rsidRPr="00733AB0">
        <w:rPr>
          <w:snapToGrid w:val="0"/>
          <w:szCs w:val="22"/>
        </w:rPr>
        <w:t>farmakodynamický</w:t>
      </w:r>
      <w:proofErr w:type="spellEnd"/>
      <w:r w:rsidRPr="00733AB0">
        <w:rPr>
          <w:snapToGrid w:val="0"/>
          <w:szCs w:val="22"/>
        </w:rPr>
        <w:t xml:space="preserve"> vzťah</w:t>
      </w:r>
    </w:p>
    <w:p w14:paraId="64879A6F" w14:textId="77777777" w:rsidR="002930DC" w:rsidRDefault="002930DC" w:rsidP="007501FF">
      <w:pPr>
        <w:spacing w:after="0"/>
        <w:rPr>
          <w:snapToGrid w:val="0"/>
        </w:rPr>
      </w:pPr>
    </w:p>
    <w:p w14:paraId="4C0941B0" w14:textId="6598AF0F" w:rsidR="00E65770" w:rsidRPr="00A046C9" w:rsidRDefault="00E65770" w:rsidP="007501FF">
      <w:pPr>
        <w:spacing w:after="0"/>
      </w:pPr>
      <w:r w:rsidRPr="00A046C9">
        <w:rPr>
          <w:snapToGrid w:val="0"/>
        </w:rPr>
        <w:t>Obmedzené</w:t>
      </w:r>
      <w:r w:rsidRPr="00A046C9">
        <w:t xml:space="preserve"> údaje naznačujú, že </w:t>
      </w:r>
      <w:proofErr w:type="spellStart"/>
      <w:r w:rsidRPr="00A046C9">
        <w:t>fosfomycín</w:t>
      </w:r>
      <w:proofErr w:type="spellEnd"/>
      <w:r w:rsidRPr="00A046C9">
        <w:t xml:space="preserve"> najpravdepodobnejšie účinkuje časovo závislým spôsobom.</w:t>
      </w:r>
    </w:p>
    <w:p w14:paraId="413C8F95" w14:textId="77777777" w:rsidR="002930DC" w:rsidRDefault="002930DC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1A29DF65" w14:textId="77777777" w:rsidR="00A34767" w:rsidRPr="006E5174" w:rsidRDefault="00A34767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6E5174">
        <w:rPr>
          <w:szCs w:val="22"/>
        </w:rPr>
        <w:t>Mechanizmus vzniku rezistencie</w:t>
      </w:r>
    </w:p>
    <w:p w14:paraId="4D9E8916" w14:textId="77777777" w:rsidR="002930DC" w:rsidRDefault="002930DC" w:rsidP="007501FF">
      <w:pPr>
        <w:spacing w:after="0"/>
      </w:pPr>
    </w:p>
    <w:p w14:paraId="6F59AB8B" w14:textId="729437F3" w:rsidR="00A34767" w:rsidRPr="006E5174" w:rsidRDefault="00A34767" w:rsidP="007501FF">
      <w:pPr>
        <w:spacing w:after="0"/>
      </w:pPr>
      <w:r w:rsidRPr="006E5174">
        <w:t xml:space="preserve">Hlavným mechanizmom vzniku rezistencie je chromozómová mutácia spôsobujúca zmenu bakteriálneho transportného systému pre </w:t>
      </w:r>
      <w:proofErr w:type="spellStart"/>
      <w:r w:rsidRPr="006E5174">
        <w:t>fosfomycín</w:t>
      </w:r>
      <w:proofErr w:type="spellEnd"/>
      <w:r w:rsidRPr="006E5174">
        <w:t>. Ďalš</w:t>
      </w:r>
      <w:r w:rsidR="00606972">
        <w:t>ie</w:t>
      </w:r>
      <w:r w:rsidRPr="006E5174">
        <w:t xml:space="preserve"> mechanizm</w:t>
      </w:r>
      <w:r w:rsidR="00606972">
        <w:t>y</w:t>
      </w:r>
      <w:r w:rsidRPr="006E5174">
        <w:t xml:space="preserve"> vzniku rezistencie pochádzajúce z </w:t>
      </w:r>
      <w:proofErr w:type="spellStart"/>
      <w:r w:rsidRPr="006E5174">
        <w:t>plazmidov</w:t>
      </w:r>
      <w:proofErr w:type="spellEnd"/>
      <w:r w:rsidRPr="006E5174">
        <w:t xml:space="preserve"> alebo </w:t>
      </w:r>
      <w:proofErr w:type="spellStart"/>
      <w:r w:rsidRPr="006E5174">
        <w:t>transpozónov</w:t>
      </w:r>
      <w:proofErr w:type="spellEnd"/>
      <w:r w:rsidRPr="006E5174">
        <w:t xml:space="preserve"> spôsobujú enzymatickú </w:t>
      </w:r>
      <w:proofErr w:type="spellStart"/>
      <w:r w:rsidRPr="006E5174">
        <w:t>inaktiváciu</w:t>
      </w:r>
      <w:proofErr w:type="spellEnd"/>
      <w:r w:rsidRPr="006E5174">
        <w:t xml:space="preserve"> </w:t>
      </w:r>
      <w:proofErr w:type="spellStart"/>
      <w:r w:rsidRPr="006E5174">
        <w:t>fosfomycínu</w:t>
      </w:r>
      <w:proofErr w:type="spellEnd"/>
      <w:r w:rsidRPr="006E5174">
        <w:t xml:space="preserve"> väzbou molekuly na </w:t>
      </w:r>
      <w:proofErr w:type="spellStart"/>
      <w:r w:rsidRPr="006E5174">
        <w:t>glutatión</w:t>
      </w:r>
      <w:proofErr w:type="spellEnd"/>
      <w:r w:rsidRPr="006E5174">
        <w:t xml:space="preserve"> alebo štiepen</w:t>
      </w:r>
      <w:r w:rsidR="00AA73E9">
        <w:t>ie</w:t>
      </w:r>
      <w:r w:rsidRPr="006E5174">
        <w:t xml:space="preserve"> väzby uhlíka a fosforu v molekule </w:t>
      </w:r>
      <w:proofErr w:type="spellStart"/>
      <w:r w:rsidRPr="006E5174">
        <w:t>fosfomycínu</w:t>
      </w:r>
      <w:proofErr w:type="spellEnd"/>
      <w:r w:rsidR="002930DC">
        <w:t>, v uvedenom poradí</w:t>
      </w:r>
      <w:r w:rsidRPr="006E5174">
        <w:t>.</w:t>
      </w:r>
    </w:p>
    <w:p w14:paraId="4B5D1940" w14:textId="77777777" w:rsidR="002930DC" w:rsidRDefault="002930DC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38FCB73F" w14:textId="77777777" w:rsidR="00AE3806" w:rsidRPr="006E5174" w:rsidRDefault="00AE3806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6E5174">
        <w:rPr>
          <w:szCs w:val="22"/>
        </w:rPr>
        <w:t>Skrížená rezistencia</w:t>
      </w:r>
    </w:p>
    <w:p w14:paraId="520EC4FA" w14:textId="39E93E20" w:rsidR="00AE3806" w:rsidRPr="006E5174" w:rsidRDefault="00AE3806" w:rsidP="007501FF">
      <w:pPr>
        <w:spacing w:after="0"/>
      </w:pPr>
      <w:r w:rsidRPr="006E5174">
        <w:t xml:space="preserve">Spôsob účinku </w:t>
      </w:r>
      <w:proofErr w:type="spellStart"/>
      <w:r w:rsidRPr="006E5174">
        <w:t>fosfomycínu</w:t>
      </w:r>
      <w:proofErr w:type="spellEnd"/>
      <w:r w:rsidRPr="006E5174">
        <w:t xml:space="preserve"> sa odlišuje od iných tried antibiotík. </w:t>
      </w:r>
      <w:proofErr w:type="spellStart"/>
      <w:r w:rsidR="00606972">
        <w:t>F</w:t>
      </w:r>
      <w:r w:rsidRPr="006E5174">
        <w:t>osfomycín</w:t>
      </w:r>
      <w:proofErr w:type="spellEnd"/>
      <w:r w:rsidRPr="006E5174">
        <w:t xml:space="preserve"> vo všeobecnosti preukazuje účinok </w:t>
      </w:r>
      <w:r w:rsidRPr="006E5174">
        <w:rPr>
          <w:i/>
        </w:rPr>
        <w:t>in vitro</w:t>
      </w:r>
      <w:r w:rsidRPr="006E5174">
        <w:t xml:space="preserve"> proti klinickým </w:t>
      </w:r>
      <w:proofErr w:type="spellStart"/>
      <w:r w:rsidRPr="006E5174">
        <w:t>izolátom</w:t>
      </w:r>
      <w:proofErr w:type="spellEnd"/>
      <w:r w:rsidRPr="006E5174">
        <w:t xml:space="preserve"> stafylokokov rezistentných voči </w:t>
      </w:r>
      <w:proofErr w:type="spellStart"/>
      <w:r w:rsidRPr="006E5174">
        <w:t>meticilínu</w:t>
      </w:r>
      <w:proofErr w:type="spellEnd"/>
      <w:r w:rsidRPr="006E5174">
        <w:t xml:space="preserve">, </w:t>
      </w:r>
      <w:proofErr w:type="spellStart"/>
      <w:r w:rsidRPr="006E5174">
        <w:t>enterokokov</w:t>
      </w:r>
      <w:proofErr w:type="spellEnd"/>
      <w:r w:rsidRPr="006E5174">
        <w:t xml:space="preserve"> rezistentných voči </w:t>
      </w:r>
      <w:proofErr w:type="spellStart"/>
      <w:r w:rsidRPr="006E5174">
        <w:t>vankomycínu</w:t>
      </w:r>
      <w:proofErr w:type="spellEnd"/>
      <w:r w:rsidRPr="006E5174">
        <w:t>, streptokokov rezistentných voči penicilínu a </w:t>
      </w:r>
      <w:proofErr w:type="spellStart"/>
      <w:r w:rsidRPr="006E5174">
        <w:t>erytromycínu</w:t>
      </w:r>
      <w:proofErr w:type="spellEnd"/>
      <w:r w:rsidRPr="006E5174">
        <w:t xml:space="preserve"> a </w:t>
      </w:r>
      <w:proofErr w:type="spellStart"/>
      <w:r w:rsidRPr="006E5174">
        <w:t>mutlirezistentných</w:t>
      </w:r>
      <w:proofErr w:type="spellEnd"/>
      <w:r w:rsidRPr="006E5174">
        <w:t xml:space="preserve"> baktérií </w:t>
      </w:r>
      <w:proofErr w:type="spellStart"/>
      <w:r w:rsidRPr="006E5174">
        <w:rPr>
          <w:i/>
        </w:rPr>
        <w:t>Pseudomonas</w:t>
      </w:r>
      <w:proofErr w:type="spellEnd"/>
      <w:r w:rsidRPr="006E5174">
        <w:t>.</w:t>
      </w:r>
    </w:p>
    <w:p w14:paraId="24C7CAF0" w14:textId="77777777" w:rsidR="00606972" w:rsidRDefault="00606972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1BA7838A" w14:textId="77777777" w:rsidR="00AE3806" w:rsidRPr="006E5174" w:rsidRDefault="00AE3806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proofErr w:type="spellStart"/>
      <w:r w:rsidRPr="006E5174">
        <w:rPr>
          <w:szCs w:val="22"/>
        </w:rPr>
        <w:t>Antimikrobiálne</w:t>
      </w:r>
      <w:proofErr w:type="spellEnd"/>
      <w:r w:rsidRPr="006E5174">
        <w:rPr>
          <w:szCs w:val="22"/>
        </w:rPr>
        <w:t xml:space="preserve"> spektrum </w:t>
      </w:r>
      <w:proofErr w:type="spellStart"/>
      <w:r w:rsidRPr="006E5174">
        <w:rPr>
          <w:szCs w:val="22"/>
        </w:rPr>
        <w:t>fosfomycínu</w:t>
      </w:r>
      <w:proofErr w:type="spellEnd"/>
      <w:r w:rsidRPr="006E5174">
        <w:rPr>
          <w:szCs w:val="22"/>
        </w:rPr>
        <w:t xml:space="preserve"> (</w:t>
      </w:r>
      <w:r w:rsidRPr="007501FF">
        <w:rPr>
          <w:i/>
          <w:szCs w:val="22"/>
        </w:rPr>
        <w:t>in vitro</w:t>
      </w:r>
      <w:r w:rsidRPr="006E5174">
        <w:rPr>
          <w:szCs w:val="22"/>
        </w:rPr>
        <w:t>)</w:t>
      </w:r>
    </w:p>
    <w:p w14:paraId="046DFB03" w14:textId="77777777" w:rsidR="00AE3806" w:rsidRPr="006E5174" w:rsidRDefault="00AE3806" w:rsidP="007501FF">
      <w:pPr>
        <w:spacing w:after="0"/>
        <w:rPr>
          <w:snapToGrid w:val="0"/>
        </w:rPr>
      </w:pPr>
      <w:r w:rsidRPr="006E5174">
        <w:rPr>
          <w:snapToGrid w:val="0"/>
        </w:rPr>
        <w:t xml:space="preserve">Údaje predpovedajú len pravdepodobnosť citlivosti mikroorganizmov voči </w:t>
      </w:r>
      <w:proofErr w:type="spellStart"/>
      <w:r w:rsidRPr="006E5174">
        <w:rPr>
          <w:snapToGrid w:val="0"/>
        </w:rPr>
        <w:t>fosfomycínu</w:t>
      </w:r>
      <w:proofErr w:type="spellEnd"/>
      <w:r w:rsidRPr="006E5174">
        <w:rPr>
          <w:snapToGrid w:val="0"/>
        </w:rPr>
        <w:t>.</w:t>
      </w:r>
    </w:p>
    <w:p w14:paraId="393DB290" w14:textId="77777777" w:rsidR="00606972" w:rsidRDefault="00606972" w:rsidP="007501FF">
      <w:pPr>
        <w:spacing w:after="0"/>
        <w:rPr>
          <w:snapToGrid w:val="0"/>
        </w:rPr>
      </w:pPr>
    </w:p>
    <w:p w14:paraId="0A434635" w14:textId="0EF80A4B" w:rsidR="00AE3806" w:rsidRDefault="00AE3806" w:rsidP="007501FF">
      <w:pPr>
        <w:spacing w:after="0"/>
        <w:rPr>
          <w:snapToGrid w:val="0"/>
        </w:rPr>
      </w:pPr>
      <w:r w:rsidRPr="006E5174">
        <w:rPr>
          <w:snapToGrid w:val="0"/>
        </w:rPr>
        <w:t xml:space="preserve">Pre intravenózne podávaný </w:t>
      </w:r>
      <w:proofErr w:type="spellStart"/>
      <w:r w:rsidRPr="006E5174">
        <w:rPr>
          <w:snapToGrid w:val="0"/>
        </w:rPr>
        <w:t>fosfomycín</w:t>
      </w:r>
      <w:proofErr w:type="spellEnd"/>
      <w:r w:rsidRPr="006E5174">
        <w:rPr>
          <w:snapToGrid w:val="0"/>
        </w:rPr>
        <w:t xml:space="preserve"> sú hraničné hodnoty </w:t>
      </w:r>
      <w:r w:rsidR="00606972">
        <w:rPr>
          <w:snapToGrid w:val="0"/>
        </w:rPr>
        <w:t xml:space="preserve">citlivosti </w:t>
      </w:r>
      <w:r w:rsidRPr="006E5174">
        <w:rPr>
          <w:snapToGrid w:val="0"/>
        </w:rPr>
        <w:t xml:space="preserve">stanovené Európskym výborom pre testovanie </w:t>
      </w:r>
      <w:proofErr w:type="spellStart"/>
      <w:r w:rsidRPr="006E5174">
        <w:rPr>
          <w:snapToGrid w:val="0"/>
        </w:rPr>
        <w:t>antimikrobiálnej</w:t>
      </w:r>
      <w:proofErr w:type="spellEnd"/>
      <w:r w:rsidRPr="006E5174">
        <w:rPr>
          <w:snapToGrid w:val="0"/>
        </w:rPr>
        <w:t xml:space="preserve"> citlivosti nasledovné (tabuľka hraničných hodnôt EUCAST verzia 5.0, 2015):</w:t>
      </w:r>
    </w:p>
    <w:p w14:paraId="54BCE2B8" w14:textId="77777777" w:rsidR="00606972" w:rsidRPr="006E5174" w:rsidRDefault="00606972" w:rsidP="007501FF">
      <w:pPr>
        <w:spacing w:after="0"/>
        <w:rPr>
          <w:snapToGrid w:val="0"/>
        </w:rPr>
      </w:pPr>
    </w:p>
    <w:tbl>
      <w:tblPr>
        <w:tblW w:w="765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0"/>
        <w:gridCol w:w="2498"/>
        <w:gridCol w:w="1793"/>
      </w:tblGrid>
      <w:tr w:rsidR="00AE3806" w:rsidRPr="006E5174" w14:paraId="272DEF86" w14:textId="77777777" w:rsidTr="00B07EF9">
        <w:tc>
          <w:tcPr>
            <w:tcW w:w="3360" w:type="dxa"/>
            <w:shd w:val="clear" w:color="auto" w:fill="auto"/>
          </w:tcPr>
          <w:p w14:paraId="3AAF2AE7" w14:textId="696C257E" w:rsidR="00AE3806" w:rsidRPr="006E5174" w:rsidRDefault="005857A6" w:rsidP="007501FF">
            <w:pPr>
              <w:spacing w:after="0"/>
            </w:pPr>
            <w:r w:rsidRPr="006E5174">
              <w:t>Druh</w:t>
            </w:r>
          </w:p>
        </w:tc>
        <w:tc>
          <w:tcPr>
            <w:tcW w:w="2498" w:type="dxa"/>
            <w:shd w:val="clear" w:color="auto" w:fill="auto"/>
          </w:tcPr>
          <w:p w14:paraId="6D0DA9DF" w14:textId="589E76CA" w:rsidR="00AE3806" w:rsidRPr="006E5174" w:rsidRDefault="00AE3806" w:rsidP="007501FF">
            <w:pPr>
              <w:spacing w:after="0"/>
            </w:pPr>
            <w:r w:rsidRPr="006E5174">
              <w:rPr>
                <w:snapToGrid w:val="0"/>
              </w:rPr>
              <w:t>citlivé</w:t>
            </w:r>
          </w:p>
        </w:tc>
        <w:tc>
          <w:tcPr>
            <w:tcW w:w="1793" w:type="dxa"/>
            <w:shd w:val="clear" w:color="auto" w:fill="auto"/>
          </w:tcPr>
          <w:p w14:paraId="403AB491" w14:textId="1BA7763B" w:rsidR="00AE3806" w:rsidRPr="006E5174" w:rsidRDefault="00AE3806" w:rsidP="007501FF">
            <w:pPr>
              <w:spacing w:after="0"/>
            </w:pPr>
            <w:r w:rsidRPr="006E5174">
              <w:t>rezistentné</w:t>
            </w:r>
          </w:p>
        </w:tc>
      </w:tr>
      <w:tr w:rsidR="00AE3806" w:rsidRPr="006E5174" w14:paraId="32F45A2F" w14:textId="77777777" w:rsidTr="00B07EF9">
        <w:tc>
          <w:tcPr>
            <w:tcW w:w="3360" w:type="dxa"/>
            <w:shd w:val="clear" w:color="auto" w:fill="auto"/>
          </w:tcPr>
          <w:p w14:paraId="284AC125" w14:textId="77777777" w:rsidR="00AE3806" w:rsidRPr="006E5174" w:rsidRDefault="00AE3806" w:rsidP="007501FF">
            <w:pPr>
              <w:spacing w:after="0"/>
              <w:ind w:firstLine="12"/>
              <w:outlineLvl w:val="0"/>
              <w:rPr>
                <w:iCs/>
              </w:rPr>
            </w:pPr>
            <w:proofErr w:type="spellStart"/>
            <w:r w:rsidRPr="006E5174">
              <w:rPr>
                <w:i/>
                <w:iCs/>
              </w:rPr>
              <w:t>Enterobacteriaceae</w:t>
            </w:r>
            <w:proofErr w:type="spellEnd"/>
          </w:p>
        </w:tc>
        <w:tc>
          <w:tcPr>
            <w:tcW w:w="2498" w:type="dxa"/>
            <w:shd w:val="clear" w:color="auto" w:fill="auto"/>
          </w:tcPr>
          <w:p w14:paraId="56E07DA2" w14:textId="77777777" w:rsidR="00AE3806" w:rsidRPr="006E5174" w:rsidRDefault="00AE3806" w:rsidP="007501FF">
            <w:pPr>
              <w:spacing w:after="0"/>
            </w:pPr>
            <w:r w:rsidRPr="006E5174">
              <w:sym w:font="Symbol" w:char="F0A3"/>
            </w:r>
            <w:r w:rsidRPr="006E5174">
              <w:t xml:space="preserve"> 32 mg/l</w:t>
            </w:r>
          </w:p>
        </w:tc>
        <w:tc>
          <w:tcPr>
            <w:tcW w:w="1793" w:type="dxa"/>
            <w:shd w:val="clear" w:color="auto" w:fill="auto"/>
          </w:tcPr>
          <w:p w14:paraId="7D409DD8" w14:textId="77777777" w:rsidR="00AE3806" w:rsidRPr="006E5174" w:rsidRDefault="00AE3806" w:rsidP="007501FF">
            <w:pPr>
              <w:spacing w:after="0"/>
            </w:pPr>
            <w:r w:rsidRPr="006E5174">
              <w:t>&gt; 32 mg/l</w:t>
            </w:r>
          </w:p>
        </w:tc>
      </w:tr>
      <w:tr w:rsidR="00AE3806" w:rsidRPr="006E5174" w14:paraId="554807FA" w14:textId="77777777" w:rsidTr="00B07EF9">
        <w:tc>
          <w:tcPr>
            <w:tcW w:w="3360" w:type="dxa"/>
            <w:shd w:val="clear" w:color="auto" w:fill="auto"/>
          </w:tcPr>
          <w:p w14:paraId="63349A82" w14:textId="77777777" w:rsidR="00AE3806" w:rsidRPr="006E5174" w:rsidRDefault="00AE3806" w:rsidP="007501FF">
            <w:pPr>
              <w:spacing w:after="0"/>
              <w:ind w:firstLine="12"/>
              <w:outlineLvl w:val="0"/>
              <w:rPr>
                <w:i/>
                <w:iCs/>
              </w:rPr>
            </w:pPr>
            <w:proofErr w:type="spellStart"/>
            <w:r w:rsidRPr="006E5174">
              <w:rPr>
                <w:i/>
                <w:iCs/>
              </w:rPr>
              <w:t>Staphylococcus</w:t>
            </w:r>
            <w:proofErr w:type="spellEnd"/>
            <w:r w:rsidRPr="006E5174">
              <w:rPr>
                <w:i/>
                <w:iCs/>
              </w:rPr>
              <w:t xml:space="preserve"> </w:t>
            </w:r>
            <w:proofErr w:type="spellStart"/>
            <w:r w:rsidRPr="006E5174">
              <w:t>spp</w:t>
            </w:r>
            <w:proofErr w:type="spellEnd"/>
            <w:r w:rsidRPr="006E5174">
              <w:t>.</w:t>
            </w:r>
          </w:p>
        </w:tc>
        <w:tc>
          <w:tcPr>
            <w:tcW w:w="2498" w:type="dxa"/>
            <w:shd w:val="clear" w:color="auto" w:fill="auto"/>
          </w:tcPr>
          <w:p w14:paraId="74185A78" w14:textId="77777777" w:rsidR="00AE3806" w:rsidRPr="006E5174" w:rsidRDefault="00AE3806" w:rsidP="007501FF">
            <w:pPr>
              <w:spacing w:after="0"/>
            </w:pPr>
            <w:r w:rsidRPr="006E5174">
              <w:sym w:font="Symbol" w:char="F0A3"/>
            </w:r>
            <w:r w:rsidRPr="006E5174">
              <w:t xml:space="preserve"> 32 mg/l</w:t>
            </w:r>
          </w:p>
        </w:tc>
        <w:tc>
          <w:tcPr>
            <w:tcW w:w="1793" w:type="dxa"/>
            <w:shd w:val="clear" w:color="auto" w:fill="auto"/>
          </w:tcPr>
          <w:p w14:paraId="6553A75A" w14:textId="77777777" w:rsidR="00AE3806" w:rsidRPr="006E5174" w:rsidRDefault="00AE3806" w:rsidP="007501FF">
            <w:pPr>
              <w:spacing w:after="0"/>
            </w:pPr>
            <w:r w:rsidRPr="006E5174">
              <w:t>&gt; 32 mg/l</w:t>
            </w:r>
          </w:p>
        </w:tc>
      </w:tr>
    </w:tbl>
    <w:p w14:paraId="525E7909" w14:textId="77777777" w:rsidR="00AE3806" w:rsidRPr="006E5174" w:rsidRDefault="00AE3806" w:rsidP="007501FF">
      <w:pPr>
        <w:spacing w:after="0"/>
        <w:rPr>
          <w:snapToGrid w:val="0"/>
          <w:lang w:bidi="ar-QA"/>
        </w:rPr>
      </w:pPr>
    </w:p>
    <w:p w14:paraId="5C8E0A82" w14:textId="440114E9" w:rsidR="00AE3806" w:rsidRPr="006E5174" w:rsidRDefault="00606972" w:rsidP="007501FF">
      <w:pPr>
        <w:spacing w:after="0"/>
        <w:rPr>
          <w:snapToGrid w:val="0"/>
        </w:rPr>
      </w:pPr>
      <w:r>
        <w:rPr>
          <w:snapToGrid w:val="0"/>
        </w:rPr>
        <w:t>Výskyt</w:t>
      </w:r>
      <w:r w:rsidR="00AE3806" w:rsidRPr="006E5174">
        <w:rPr>
          <w:snapToGrid w:val="0"/>
        </w:rPr>
        <w:t xml:space="preserve"> získanej rezistencie sa môže u individuálnych druhov líšiť geograficky a v priebehu času. Preto sú hlavne na zabezpečenie vhodnej liečby závažných infekcií potrebné lokálne informácie o situácii týkajúcej sa rezistencie.</w:t>
      </w:r>
    </w:p>
    <w:p w14:paraId="6D529A76" w14:textId="77777777" w:rsidR="00606972" w:rsidRDefault="00606972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277DDF95" w14:textId="77777777" w:rsidR="00A34767" w:rsidRPr="006E5174" w:rsidRDefault="00A34767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6E5174">
        <w:rPr>
          <w:szCs w:val="22"/>
        </w:rPr>
        <w:t xml:space="preserve">Spektrum účinnosti </w:t>
      </w:r>
      <w:proofErr w:type="spellStart"/>
      <w:r w:rsidRPr="006E5174">
        <w:rPr>
          <w:szCs w:val="22"/>
        </w:rPr>
        <w:t>fosfomycínu</w:t>
      </w:r>
      <w:proofErr w:type="spellEnd"/>
      <w:r w:rsidRPr="006E5174">
        <w:rPr>
          <w:szCs w:val="22"/>
        </w:rPr>
        <w:t xml:space="preserve"> </w:t>
      </w:r>
      <w:r w:rsidRPr="007501FF">
        <w:rPr>
          <w:i/>
          <w:szCs w:val="22"/>
        </w:rPr>
        <w:t>in vitro</w:t>
      </w:r>
      <w:r w:rsidRPr="006E5174">
        <w:rPr>
          <w:szCs w:val="22"/>
        </w:rPr>
        <w:t xml:space="preserve"> a rezistencia</w:t>
      </w:r>
    </w:p>
    <w:p w14:paraId="14FC971B" w14:textId="77777777" w:rsidR="00606972" w:rsidRDefault="00606972" w:rsidP="007501FF">
      <w:pPr>
        <w:spacing w:after="0"/>
      </w:pPr>
    </w:p>
    <w:p w14:paraId="22F71E2A" w14:textId="5D233DA6" w:rsidR="00A34767" w:rsidRPr="006E5174" w:rsidRDefault="00A34767" w:rsidP="007501FF">
      <w:pPr>
        <w:spacing w:after="0"/>
      </w:pPr>
      <w:r w:rsidRPr="006E5174">
        <w:t>Nasledujúca tabuľka sa zakladá na hraničných hodnotách podľa EUCAST a zahŕňa organizmy relevantné pre schválené indikácie:</w:t>
      </w:r>
    </w:p>
    <w:p w14:paraId="20A48326" w14:textId="77777777" w:rsidR="001E6CDC" w:rsidRPr="006E5174" w:rsidRDefault="001E6CDC" w:rsidP="007501FF">
      <w:pPr>
        <w:spacing w:after="0"/>
        <w:ind w:firstLine="709"/>
        <w:rPr>
          <w:lang w:bidi="ar-QA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</w:tblGrid>
      <w:tr w:rsidR="001E6CDC" w:rsidRPr="006E5174" w14:paraId="69BF451F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D84C494" w14:textId="77777777" w:rsidR="001E6CDC" w:rsidRPr="006E5174" w:rsidRDefault="001E6CDC" w:rsidP="007501FF">
            <w:pPr>
              <w:spacing w:after="0"/>
              <w:ind w:firstLine="71"/>
              <w:rPr>
                <w:b/>
                <w:bCs/>
              </w:rPr>
            </w:pPr>
            <w:r w:rsidRPr="006E5174">
              <w:rPr>
                <w:b/>
                <w:bCs/>
              </w:rPr>
              <w:t xml:space="preserve">Všeobecne citlivé druhy </w:t>
            </w:r>
          </w:p>
          <w:p w14:paraId="19764845" w14:textId="77777777" w:rsidR="001E6CDC" w:rsidRPr="006E5174" w:rsidRDefault="001E6CDC" w:rsidP="007501FF">
            <w:pPr>
              <w:pStyle w:val="MusterTitel"/>
              <w:spacing w:before="0" w:after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GB" w:bidi="ar-QA"/>
              </w:rPr>
            </w:pPr>
          </w:p>
        </w:tc>
      </w:tr>
      <w:tr w:rsidR="001E6CDC" w:rsidRPr="006E5174" w14:paraId="462F6FE5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B018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5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Aeróbne, </w:t>
            </w:r>
            <w:proofErr w:type="spellStart"/>
            <w:r w:rsidRPr="006E5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grampozitívne</w:t>
            </w:r>
            <w:proofErr w:type="spellEnd"/>
            <w:r w:rsidRPr="006E5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mikroorganizmy</w:t>
            </w:r>
          </w:p>
        </w:tc>
      </w:tr>
      <w:tr w:rsidR="001E6CDC" w:rsidRPr="006E5174" w14:paraId="6D7322B0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829A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Staphylococcus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aureus</w:t>
            </w:r>
            <w:proofErr w:type="spellEnd"/>
          </w:p>
        </w:tc>
      </w:tr>
      <w:tr w:rsidR="001E6CDC" w:rsidRPr="006E5174" w14:paraId="1AE10E47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A47C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Streptococcus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pyogenes</w:t>
            </w:r>
            <w:proofErr w:type="spellEnd"/>
          </w:p>
        </w:tc>
      </w:tr>
      <w:tr w:rsidR="001E6CDC" w:rsidRPr="006E5174" w14:paraId="1FD0275C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7C8E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Streptococcus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pneumoniae</w:t>
            </w:r>
            <w:proofErr w:type="spellEnd"/>
          </w:p>
        </w:tc>
      </w:tr>
      <w:tr w:rsidR="001E6CDC" w:rsidRPr="006E5174" w14:paraId="5ECC1ACC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E64F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5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Aeróbne, </w:t>
            </w:r>
            <w:proofErr w:type="spellStart"/>
            <w:r w:rsidRPr="006E5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gramnegatívne</w:t>
            </w:r>
            <w:proofErr w:type="spellEnd"/>
            <w:r w:rsidRPr="006E5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mikroorganizmy</w:t>
            </w:r>
          </w:p>
        </w:tc>
      </w:tr>
      <w:tr w:rsidR="001E6CDC" w:rsidRPr="006E5174" w14:paraId="70203B60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E37E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Citrobacter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Cs/>
                <w:sz w:val="22"/>
                <w:szCs w:val="22"/>
              </w:rPr>
              <w:t>spp</w:t>
            </w:r>
            <w:proofErr w:type="spellEnd"/>
            <w:r w:rsidRPr="006E5174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</w:p>
        </w:tc>
      </w:tr>
      <w:tr w:rsidR="001E6CDC" w:rsidRPr="006E5174" w14:paraId="5ECB986D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394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Edwardsiella</w:t>
            </w:r>
            <w:proofErr w:type="spellEnd"/>
            <w:r w:rsidRPr="006E517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Cs/>
                <w:sz w:val="22"/>
                <w:szCs w:val="22"/>
              </w:rPr>
              <w:t>spp</w:t>
            </w:r>
            <w:proofErr w:type="spellEnd"/>
            <w:r w:rsidRPr="006E5174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</w:p>
        </w:tc>
      </w:tr>
      <w:tr w:rsidR="001E6CDC" w:rsidRPr="006E5174" w14:paraId="6EE3A3EF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6843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Enterobacter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cancerogenus</w:t>
            </w:r>
            <w:proofErr w:type="spellEnd"/>
          </w:p>
        </w:tc>
      </w:tr>
      <w:tr w:rsidR="001E6CDC" w:rsidRPr="006E5174" w14:paraId="76C53304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009C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Escherichia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coli</w:t>
            </w:r>
            <w:proofErr w:type="spellEnd"/>
          </w:p>
        </w:tc>
      </w:tr>
      <w:tr w:rsidR="001E6CDC" w:rsidRPr="006E5174" w14:paraId="561DD7D0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1233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Haemophilus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influenzae</w:t>
            </w:r>
            <w:proofErr w:type="spellEnd"/>
          </w:p>
        </w:tc>
      </w:tr>
      <w:tr w:rsidR="001E6CDC" w:rsidRPr="006E5174" w14:paraId="117C7B88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239F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Klebsiella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oxytoca</w:t>
            </w:r>
            <w:proofErr w:type="spellEnd"/>
          </w:p>
        </w:tc>
      </w:tr>
      <w:tr w:rsidR="001E6CDC" w:rsidRPr="006E5174" w14:paraId="47D5CE55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D20A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Neisseria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Cs/>
                <w:sz w:val="22"/>
                <w:szCs w:val="22"/>
              </w:rPr>
              <w:t>spp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1E6CDC" w:rsidRPr="006E5174" w14:paraId="2FE0B536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60BA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Proteus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mirabilis</w:t>
            </w:r>
            <w:proofErr w:type="spellEnd"/>
          </w:p>
        </w:tc>
      </w:tr>
      <w:tr w:rsidR="001E6CDC" w:rsidRPr="006E5174" w14:paraId="10D7BA7F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92FC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Proteus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penneri</w:t>
            </w:r>
            <w:proofErr w:type="spellEnd"/>
          </w:p>
        </w:tc>
      </w:tr>
      <w:tr w:rsidR="001E6CDC" w:rsidRPr="006E5174" w14:paraId="6FBB8AB9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51A9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Providencia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rettgeri</w:t>
            </w:r>
            <w:proofErr w:type="spellEnd"/>
          </w:p>
        </w:tc>
      </w:tr>
      <w:tr w:rsidR="001E6CDC" w:rsidRPr="006E5174" w14:paraId="6B43A230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24AB" w14:textId="77777777" w:rsidR="001E6CDC" w:rsidRPr="006E5174" w:rsidRDefault="001E6CDC" w:rsidP="007501FF">
            <w:pPr>
              <w:pStyle w:val="MusterTitel"/>
              <w:spacing w:before="0" w:after="0"/>
              <w:ind w:left="0" w:firstLine="6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5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Anaeróbne mikroorganizmy</w:t>
            </w:r>
          </w:p>
        </w:tc>
      </w:tr>
      <w:tr w:rsidR="001E6CDC" w:rsidRPr="006E5174" w14:paraId="747B4F80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0520" w14:textId="77777777" w:rsidR="001E6CDC" w:rsidRPr="006E5174" w:rsidRDefault="001E6CDC" w:rsidP="007501FF">
            <w:pPr>
              <w:spacing w:after="0"/>
              <w:ind w:firstLine="67"/>
              <w:rPr>
                <w:i/>
                <w:iCs/>
              </w:rPr>
            </w:pPr>
            <w:proofErr w:type="spellStart"/>
            <w:r w:rsidRPr="006E5174">
              <w:rPr>
                <w:i/>
                <w:iCs/>
              </w:rPr>
              <w:t>Peptococcus</w:t>
            </w:r>
            <w:proofErr w:type="spellEnd"/>
            <w:r w:rsidRPr="006E5174">
              <w:rPr>
                <w:i/>
                <w:iCs/>
              </w:rPr>
              <w:t xml:space="preserve"> </w:t>
            </w:r>
            <w:proofErr w:type="spellStart"/>
            <w:r w:rsidRPr="006E5174">
              <w:rPr>
                <w:i/>
                <w:iCs/>
              </w:rPr>
              <w:t>spp</w:t>
            </w:r>
            <w:proofErr w:type="spellEnd"/>
            <w:r w:rsidRPr="006E5174">
              <w:rPr>
                <w:i/>
                <w:iCs/>
              </w:rPr>
              <w:t>.</w:t>
            </w:r>
          </w:p>
        </w:tc>
      </w:tr>
      <w:tr w:rsidR="001E6CDC" w:rsidRPr="006E5174" w14:paraId="27FC5450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C827" w14:textId="77777777" w:rsidR="001E6CDC" w:rsidRPr="006E5174" w:rsidRDefault="001E6CDC" w:rsidP="007501FF">
            <w:pPr>
              <w:spacing w:after="0"/>
              <w:ind w:firstLine="67"/>
              <w:rPr>
                <w:i/>
                <w:iCs/>
              </w:rPr>
            </w:pPr>
            <w:proofErr w:type="spellStart"/>
            <w:r w:rsidRPr="006E5174">
              <w:rPr>
                <w:i/>
                <w:iCs/>
              </w:rPr>
              <w:t>Peptostreptococcus</w:t>
            </w:r>
            <w:proofErr w:type="spellEnd"/>
            <w:r w:rsidRPr="006E5174">
              <w:rPr>
                <w:i/>
                <w:iCs/>
              </w:rPr>
              <w:t xml:space="preserve"> </w:t>
            </w:r>
            <w:proofErr w:type="spellStart"/>
            <w:r w:rsidRPr="006E5174">
              <w:rPr>
                <w:i/>
                <w:iCs/>
              </w:rPr>
              <w:t>spp</w:t>
            </w:r>
            <w:proofErr w:type="spellEnd"/>
            <w:r w:rsidRPr="006E5174">
              <w:rPr>
                <w:i/>
                <w:iCs/>
              </w:rPr>
              <w:t>.</w:t>
            </w:r>
          </w:p>
        </w:tc>
      </w:tr>
      <w:tr w:rsidR="001E6CDC" w:rsidRPr="006E5174" w14:paraId="6514E3F7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16ABE3B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5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Druhy, pri ktorých môže byť problematická získaná rezistencia </w:t>
            </w:r>
          </w:p>
          <w:p w14:paraId="4710A849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QA"/>
              </w:rPr>
            </w:pPr>
          </w:p>
        </w:tc>
      </w:tr>
      <w:tr w:rsidR="001E6CDC" w:rsidRPr="006E5174" w14:paraId="0BC2D76B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66B3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Grampozitívne</w:t>
            </w:r>
            <w:proofErr w:type="spellEnd"/>
            <w:r w:rsidRPr="006E5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mikroorganizmy</w:t>
            </w:r>
          </w:p>
        </w:tc>
      </w:tr>
      <w:tr w:rsidR="001E6CDC" w:rsidRPr="006E5174" w14:paraId="361CC386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D70C" w14:textId="77777777" w:rsidR="001E6CDC" w:rsidRPr="006E5174" w:rsidRDefault="001E6CDC" w:rsidP="007501FF">
            <w:pPr>
              <w:spacing w:after="0"/>
              <w:ind w:firstLine="71"/>
              <w:rPr>
                <w:i/>
                <w:iCs/>
              </w:rPr>
            </w:pPr>
            <w:proofErr w:type="spellStart"/>
            <w:r w:rsidRPr="006E5174">
              <w:rPr>
                <w:i/>
                <w:iCs/>
              </w:rPr>
              <w:t>Enterococcus</w:t>
            </w:r>
            <w:proofErr w:type="spellEnd"/>
            <w:r w:rsidRPr="006E5174">
              <w:rPr>
                <w:i/>
                <w:iCs/>
              </w:rPr>
              <w:t xml:space="preserve"> </w:t>
            </w:r>
            <w:proofErr w:type="spellStart"/>
            <w:r w:rsidRPr="006E5174">
              <w:rPr>
                <w:i/>
                <w:iCs/>
              </w:rPr>
              <w:t>faecalis</w:t>
            </w:r>
            <w:proofErr w:type="spellEnd"/>
          </w:p>
        </w:tc>
      </w:tr>
      <w:tr w:rsidR="001E6CDC" w:rsidRPr="006E5174" w14:paraId="0B9EB788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AF32" w14:textId="77777777" w:rsidR="001E6CDC" w:rsidRPr="006E5174" w:rsidRDefault="001E6CDC" w:rsidP="007501FF">
            <w:pPr>
              <w:spacing w:after="0"/>
              <w:ind w:firstLine="71"/>
              <w:rPr>
                <w:i/>
                <w:iCs/>
              </w:rPr>
            </w:pPr>
            <w:proofErr w:type="spellStart"/>
            <w:r w:rsidRPr="006E5174">
              <w:rPr>
                <w:i/>
                <w:iCs/>
              </w:rPr>
              <w:t>Staphylococcus</w:t>
            </w:r>
            <w:proofErr w:type="spellEnd"/>
            <w:r w:rsidRPr="006E5174">
              <w:rPr>
                <w:i/>
                <w:iCs/>
              </w:rPr>
              <w:t xml:space="preserve"> </w:t>
            </w:r>
            <w:proofErr w:type="spellStart"/>
            <w:r w:rsidRPr="006E5174">
              <w:rPr>
                <w:i/>
                <w:iCs/>
              </w:rPr>
              <w:t>epidermidis</w:t>
            </w:r>
            <w:proofErr w:type="spellEnd"/>
          </w:p>
        </w:tc>
      </w:tr>
      <w:tr w:rsidR="001E6CDC" w:rsidRPr="006E5174" w14:paraId="3C9D9B04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5F52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Gramnegatívne</w:t>
            </w:r>
            <w:proofErr w:type="spellEnd"/>
            <w:r w:rsidRPr="006E5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mikroorganizmy</w:t>
            </w:r>
          </w:p>
        </w:tc>
      </w:tr>
      <w:tr w:rsidR="001E6CDC" w:rsidRPr="006E5174" w14:paraId="041E213C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B436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Enterobacter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cloacae</w:t>
            </w:r>
            <w:proofErr w:type="spellEnd"/>
          </w:p>
        </w:tc>
      </w:tr>
      <w:tr w:rsidR="001E6CDC" w:rsidRPr="006E5174" w14:paraId="4451B8F2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B552" w14:textId="402C1F64" w:rsidR="001E6CDC" w:rsidRPr="006E5174" w:rsidRDefault="001E6CDC" w:rsidP="007501FF">
            <w:pPr>
              <w:spacing w:after="0"/>
              <w:ind w:firstLine="71"/>
              <w:rPr>
                <w:i/>
                <w:iCs/>
              </w:rPr>
            </w:pPr>
            <w:proofErr w:type="spellStart"/>
            <w:r w:rsidRPr="006E5174">
              <w:rPr>
                <w:i/>
                <w:iCs/>
              </w:rPr>
              <w:t>Klebsiella</w:t>
            </w:r>
            <w:proofErr w:type="spellEnd"/>
            <w:r w:rsidRPr="006E5174">
              <w:rPr>
                <w:i/>
                <w:iCs/>
              </w:rPr>
              <w:t xml:space="preserve"> </w:t>
            </w:r>
            <w:proofErr w:type="spellStart"/>
            <w:r w:rsidRPr="006E5174">
              <w:rPr>
                <w:i/>
                <w:iCs/>
              </w:rPr>
              <w:t>pneumonia</w:t>
            </w:r>
            <w:proofErr w:type="spellEnd"/>
          </w:p>
        </w:tc>
      </w:tr>
      <w:tr w:rsidR="001E6CDC" w:rsidRPr="006E5174" w14:paraId="06AFC608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F18F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Proteus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inconstans</w:t>
            </w:r>
            <w:proofErr w:type="spellEnd"/>
          </w:p>
        </w:tc>
      </w:tr>
      <w:tr w:rsidR="001E6CDC" w:rsidRPr="006E5174" w14:paraId="3E824504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D489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Pseudomonas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aeruginosa</w:t>
            </w:r>
            <w:proofErr w:type="spellEnd"/>
          </w:p>
        </w:tc>
      </w:tr>
      <w:tr w:rsidR="001E6CDC" w:rsidRPr="006E5174" w14:paraId="28F891EC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7B9A" w14:textId="77777777" w:rsidR="001E6CDC" w:rsidRPr="006E5174" w:rsidRDefault="001E6CDC" w:rsidP="007501FF">
            <w:pPr>
              <w:spacing w:after="0"/>
              <w:ind w:firstLine="71"/>
              <w:rPr>
                <w:i/>
                <w:iCs/>
              </w:rPr>
            </w:pPr>
            <w:proofErr w:type="spellStart"/>
            <w:r w:rsidRPr="006E5174">
              <w:rPr>
                <w:i/>
                <w:iCs/>
              </w:rPr>
              <w:t>Serratia</w:t>
            </w:r>
            <w:proofErr w:type="spellEnd"/>
            <w:r w:rsidRPr="006E5174">
              <w:rPr>
                <w:i/>
                <w:iCs/>
              </w:rPr>
              <w:t xml:space="preserve"> </w:t>
            </w:r>
            <w:proofErr w:type="spellStart"/>
            <w:r w:rsidRPr="006E5174">
              <w:rPr>
                <w:i/>
                <w:iCs/>
              </w:rPr>
              <w:t>marcescens</w:t>
            </w:r>
            <w:proofErr w:type="spellEnd"/>
          </w:p>
        </w:tc>
      </w:tr>
      <w:tr w:rsidR="001E6CDC" w:rsidRPr="006E5174" w14:paraId="2EE7315E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4F6E620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5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Prirodzene rezistentné mikroorganizmy</w:t>
            </w:r>
          </w:p>
        </w:tc>
      </w:tr>
      <w:tr w:rsidR="001E6CDC" w:rsidRPr="006E5174" w14:paraId="09958565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6F53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Gramnegatívne</w:t>
            </w:r>
            <w:proofErr w:type="spellEnd"/>
            <w:r w:rsidRPr="006E5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mikroorganizmy</w:t>
            </w:r>
          </w:p>
        </w:tc>
      </w:tr>
      <w:tr w:rsidR="001E6CDC" w:rsidRPr="006E5174" w14:paraId="38120ABF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16AF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Morganella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morganii</w:t>
            </w:r>
            <w:proofErr w:type="spellEnd"/>
          </w:p>
        </w:tc>
      </w:tr>
      <w:tr w:rsidR="001E6CDC" w:rsidRPr="006E5174" w14:paraId="306B4C79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80A0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5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Anaeróbne mikroorganizmy</w:t>
            </w:r>
          </w:p>
        </w:tc>
      </w:tr>
      <w:tr w:rsidR="001E6CDC" w:rsidRPr="006E5174" w14:paraId="7BDE77BD" w14:textId="77777777" w:rsidTr="008A776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8956" w14:textId="77777777" w:rsidR="001E6CDC" w:rsidRPr="006E5174" w:rsidRDefault="001E6CDC" w:rsidP="007501FF">
            <w:pPr>
              <w:pStyle w:val="MusterTitel"/>
              <w:spacing w:before="0" w:after="0"/>
              <w:ind w:left="0" w:firstLine="71"/>
              <w:jc w:val="left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Bacteroides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spp</w:t>
            </w:r>
            <w:proofErr w:type="spellEnd"/>
            <w:r w:rsidRPr="006E51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</w:tbl>
    <w:p w14:paraId="043098AE" w14:textId="77777777" w:rsidR="0041481F" w:rsidRDefault="0041481F" w:rsidP="007501FF">
      <w:pPr>
        <w:spacing w:after="0"/>
      </w:pPr>
    </w:p>
    <w:p w14:paraId="1DF1BD1D" w14:textId="0ABCA9A9" w:rsidR="00A34767" w:rsidRDefault="00A34767" w:rsidP="007501FF">
      <w:pPr>
        <w:spacing w:after="0"/>
      </w:pPr>
      <w:r w:rsidRPr="006E5174">
        <w:t xml:space="preserve">Fyziologicky dôležité </w:t>
      </w:r>
      <w:proofErr w:type="spellStart"/>
      <w:r w:rsidRPr="006E5174">
        <w:t>apatogénne</w:t>
      </w:r>
      <w:proofErr w:type="spellEnd"/>
      <w:r w:rsidRPr="006E5174">
        <w:t xml:space="preserve"> anaeróbne druhy </w:t>
      </w:r>
      <w:proofErr w:type="spellStart"/>
      <w:r w:rsidRPr="006E5174">
        <w:rPr>
          <w:i/>
        </w:rPr>
        <w:t>Lactobacillus</w:t>
      </w:r>
      <w:proofErr w:type="spellEnd"/>
      <w:r w:rsidRPr="006E5174">
        <w:t xml:space="preserve"> a </w:t>
      </w:r>
      <w:proofErr w:type="spellStart"/>
      <w:r w:rsidRPr="006E5174">
        <w:rPr>
          <w:i/>
        </w:rPr>
        <w:t>Bifidobacterium</w:t>
      </w:r>
      <w:proofErr w:type="spellEnd"/>
      <w:r w:rsidRPr="006E5174">
        <w:t xml:space="preserve"> nie sú citlivé voči </w:t>
      </w:r>
      <w:proofErr w:type="spellStart"/>
      <w:r w:rsidRPr="006E5174">
        <w:t>fosfomycínu</w:t>
      </w:r>
      <w:proofErr w:type="spellEnd"/>
      <w:r w:rsidRPr="006E5174">
        <w:t>.</w:t>
      </w:r>
    </w:p>
    <w:p w14:paraId="1C89AAC7" w14:textId="77777777" w:rsidR="006E5174" w:rsidRPr="006E5174" w:rsidRDefault="006E5174" w:rsidP="007501FF">
      <w:pPr>
        <w:spacing w:after="0"/>
      </w:pPr>
    </w:p>
    <w:p w14:paraId="5DF0B370" w14:textId="44E6C42A" w:rsidR="009E0FD0" w:rsidRPr="006E5174" w:rsidRDefault="009E0FD0" w:rsidP="007501FF">
      <w:pPr>
        <w:pStyle w:val="Nadpis2"/>
        <w:tabs>
          <w:tab w:val="left" w:pos="567"/>
        </w:tabs>
        <w:spacing w:before="0"/>
        <w:ind w:left="0" w:firstLine="0"/>
      </w:pPr>
      <w:proofErr w:type="spellStart"/>
      <w:r w:rsidRPr="006E5174">
        <w:t>Farmakokinetické</w:t>
      </w:r>
      <w:proofErr w:type="spellEnd"/>
      <w:r w:rsidRPr="006E5174">
        <w:t xml:space="preserve"> vlastnosti</w:t>
      </w:r>
    </w:p>
    <w:p w14:paraId="557CD16A" w14:textId="77777777" w:rsidR="006E5174" w:rsidRDefault="006E5174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7620A879" w14:textId="77777777" w:rsidR="003242A1" w:rsidRPr="006E5174" w:rsidRDefault="00F55D11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proofErr w:type="spellStart"/>
      <w:r w:rsidRPr="006E5174">
        <w:rPr>
          <w:szCs w:val="22"/>
        </w:rPr>
        <w:t>Farmakokinetické</w:t>
      </w:r>
      <w:proofErr w:type="spellEnd"/>
      <w:r w:rsidRPr="006E5174">
        <w:rPr>
          <w:szCs w:val="22"/>
        </w:rPr>
        <w:t xml:space="preserve"> vlastnosti</w:t>
      </w:r>
    </w:p>
    <w:p w14:paraId="575E0188" w14:textId="77777777" w:rsidR="0041481F" w:rsidRDefault="0041481F" w:rsidP="007501FF">
      <w:pPr>
        <w:pStyle w:val="Normlnysozarkami"/>
        <w:spacing w:after="0"/>
        <w:ind w:left="0"/>
      </w:pPr>
    </w:p>
    <w:p w14:paraId="5DEC3386" w14:textId="788C0CD4" w:rsidR="003242A1" w:rsidRPr="006E5174" w:rsidRDefault="003242A1" w:rsidP="007501FF">
      <w:pPr>
        <w:pStyle w:val="Normlnysozarkami"/>
        <w:spacing w:after="0"/>
        <w:ind w:left="0"/>
      </w:pPr>
      <w:r w:rsidRPr="00733AB0">
        <w:t xml:space="preserve">Jednorazová intravenózna infúzia 4 g a 8 g </w:t>
      </w:r>
      <w:proofErr w:type="spellStart"/>
      <w:r w:rsidRPr="00733AB0">
        <w:t>fosfomycínu</w:t>
      </w:r>
      <w:proofErr w:type="spellEnd"/>
      <w:r w:rsidRPr="00733AB0">
        <w:t xml:space="preserve"> u mladých, zdravých mužov viedla k maximálnym sérovým koncentráciám (</w:t>
      </w:r>
      <w:proofErr w:type="spellStart"/>
      <w:r w:rsidRPr="00733AB0">
        <w:t>C</w:t>
      </w:r>
      <w:r w:rsidRPr="00733AB0">
        <w:rPr>
          <w:vertAlign w:val="subscript"/>
        </w:rPr>
        <w:t>max</w:t>
      </w:r>
      <w:proofErr w:type="spellEnd"/>
      <w:r w:rsidRPr="00733AB0">
        <w:t>) približne 200 a 400 </w:t>
      </w:r>
      <w:proofErr w:type="spellStart"/>
      <w:r w:rsidRPr="00733AB0">
        <w:t>μg</w:t>
      </w:r>
      <w:proofErr w:type="spellEnd"/>
      <w:r w:rsidRPr="00733AB0">
        <w:t xml:space="preserve">/ml, v uvedenom poradí. Sérový polčas bol približne 2 hodiny. U starších </w:t>
      </w:r>
      <w:r w:rsidR="0041481F">
        <w:t>a/</w:t>
      </w:r>
      <w:r w:rsidRPr="00733AB0">
        <w:t>alebo kriticky chorých mužov a ži</w:t>
      </w:r>
      <w:r w:rsidRPr="006E5174">
        <w:t xml:space="preserve">en viedla jednorazová, intravenózna dávka 8 g </w:t>
      </w:r>
      <w:proofErr w:type="spellStart"/>
      <w:r w:rsidRPr="006E5174">
        <w:t>fosfomycínu</w:t>
      </w:r>
      <w:proofErr w:type="spellEnd"/>
      <w:r w:rsidRPr="006E5174">
        <w:t xml:space="preserve"> k</w:t>
      </w:r>
      <w:r w:rsidR="0041481F">
        <w:t xml:space="preserve"> priemerným </w:t>
      </w:r>
      <w:r w:rsidRPr="006E5174">
        <w:t xml:space="preserve">hodnotám </w:t>
      </w:r>
      <w:proofErr w:type="spellStart"/>
      <w:r w:rsidRPr="006E5174">
        <w:t>C</w:t>
      </w:r>
      <w:r w:rsidRPr="006E5174">
        <w:rPr>
          <w:vertAlign w:val="subscript"/>
        </w:rPr>
        <w:t>max</w:t>
      </w:r>
      <w:proofErr w:type="spellEnd"/>
      <w:r w:rsidRPr="006E5174">
        <w:t xml:space="preserve"> a plazmatickým polčasom približne 350–380 </w:t>
      </w:r>
      <w:proofErr w:type="spellStart"/>
      <w:r w:rsidRPr="006E5174">
        <w:t>μg</w:t>
      </w:r>
      <w:proofErr w:type="spellEnd"/>
      <w:r w:rsidRPr="006E5174">
        <w:t xml:space="preserve">/ml a 3,6–3,8 h, v uvedenom poradí. </w:t>
      </w:r>
    </w:p>
    <w:p w14:paraId="4C6DB2B2" w14:textId="77777777" w:rsidR="0041481F" w:rsidRDefault="0041481F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49818866" w14:textId="77777777" w:rsidR="003242A1" w:rsidRPr="006E5174" w:rsidRDefault="003242A1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6E5174">
        <w:rPr>
          <w:szCs w:val="22"/>
        </w:rPr>
        <w:t>Distribúcia</w:t>
      </w:r>
    </w:p>
    <w:p w14:paraId="276D2CE9" w14:textId="77777777" w:rsidR="0041481F" w:rsidRDefault="0041481F" w:rsidP="007501FF">
      <w:pPr>
        <w:pStyle w:val="Normlnysozarkami"/>
        <w:spacing w:after="0"/>
        <w:ind w:left="0"/>
      </w:pPr>
    </w:p>
    <w:p w14:paraId="095AA067" w14:textId="1A82BFE5" w:rsidR="003242A1" w:rsidRPr="006E5174" w:rsidRDefault="00123569" w:rsidP="007501FF">
      <w:pPr>
        <w:pStyle w:val="Normlnysozarkami"/>
        <w:spacing w:after="0"/>
        <w:ind w:left="0"/>
      </w:pPr>
      <w:r>
        <w:t>Zdanlivý</w:t>
      </w:r>
      <w:r w:rsidR="00FB6218" w:rsidRPr="006E5174">
        <w:t xml:space="preserve"> </w:t>
      </w:r>
      <w:r>
        <w:t xml:space="preserve">distribučný </w:t>
      </w:r>
      <w:r w:rsidR="00FB6218" w:rsidRPr="006E5174">
        <w:t xml:space="preserve">objem </w:t>
      </w:r>
      <w:proofErr w:type="spellStart"/>
      <w:r w:rsidR="00FB6218" w:rsidRPr="006E5174">
        <w:t>fosfomycínu</w:t>
      </w:r>
      <w:proofErr w:type="spellEnd"/>
      <w:r w:rsidR="00FB6218" w:rsidRPr="006E5174">
        <w:t xml:space="preserve"> je približne 0,30 l/kg telesnej hmotnosti. </w:t>
      </w:r>
      <w:proofErr w:type="spellStart"/>
      <w:r w:rsidR="00FB6218" w:rsidRPr="006E5174">
        <w:t>Fosfomycín</w:t>
      </w:r>
      <w:proofErr w:type="spellEnd"/>
      <w:r w:rsidR="00FB6218" w:rsidRPr="006E5174">
        <w:t xml:space="preserve"> sa dobre distribuuje do tkanív. Vysoké koncentrácie sa dosahujú v očiach, kostiach, sekrétoch z rán, svaloch, koži, podkoží, pľúcach a žlči. U pacientov so zápalom mozgových blán, dosahujú koncentrácie v mozgovomiechovom moku približne 20–50 % príslušných sérových hladín. </w:t>
      </w:r>
      <w:proofErr w:type="spellStart"/>
      <w:r w:rsidR="00FB6218" w:rsidRPr="006E5174">
        <w:t>Fosfomycín</w:t>
      </w:r>
      <w:proofErr w:type="spellEnd"/>
      <w:r w:rsidR="00FB6218" w:rsidRPr="006E5174">
        <w:t xml:space="preserve"> prechádza cez placentárnu bariéru. Nízke množstvá sa vyskytovali v ľudskom mlieku (približne 8 % sérovej koncentrácie). Väzba na plazmatické proteíny je zanedbateľná.</w:t>
      </w:r>
    </w:p>
    <w:p w14:paraId="22609CBF" w14:textId="77777777" w:rsidR="0041481F" w:rsidRDefault="0041481F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74C83FBE" w14:textId="77777777" w:rsidR="003242A1" w:rsidRPr="006E5174" w:rsidRDefault="003242A1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6E5174">
        <w:rPr>
          <w:szCs w:val="22"/>
        </w:rPr>
        <w:t>Metabolizmus</w:t>
      </w:r>
    </w:p>
    <w:p w14:paraId="19890240" w14:textId="77777777" w:rsidR="00123569" w:rsidRDefault="00123569" w:rsidP="007501FF">
      <w:pPr>
        <w:pStyle w:val="Normlnysozarkami"/>
        <w:spacing w:after="0"/>
        <w:ind w:left="0"/>
      </w:pPr>
    </w:p>
    <w:p w14:paraId="4142624C" w14:textId="77777777" w:rsidR="003242A1" w:rsidRPr="006E5174" w:rsidRDefault="00FB6218" w:rsidP="007501FF">
      <w:pPr>
        <w:pStyle w:val="Normlnysozarkami"/>
        <w:spacing w:after="0"/>
        <w:ind w:left="0"/>
      </w:pPr>
      <w:proofErr w:type="spellStart"/>
      <w:r w:rsidRPr="006E5174">
        <w:t>Fosfomycín</w:t>
      </w:r>
      <w:proofErr w:type="spellEnd"/>
      <w:r w:rsidRPr="006E5174">
        <w:t xml:space="preserve"> sa nemetabolizuje v pečeni a neprechádza </w:t>
      </w:r>
      <w:proofErr w:type="spellStart"/>
      <w:r w:rsidRPr="006E5174">
        <w:t>enterohepatickou</w:t>
      </w:r>
      <w:proofErr w:type="spellEnd"/>
      <w:r w:rsidRPr="006E5174">
        <w:t xml:space="preserve"> cirkuláciou. U pacientov s poruchou funkcie pečene sa neočakáva žiadna akumulácia.</w:t>
      </w:r>
    </w:p>
    <w:p w14:paraId="1F9B07DA" w14:textId="77777777" w:rsidR="00123569" w:rsidRDefault="00123569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2AC1C445" w14:textId="77777777" w:rsidR="003242A1" w:rsidRPr="006E5174" w:rsidRDefault="003242A1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6E5174">
        <w:rPr>
          <w:szCs w:val="22"/>
        </w:rPr>
        <w:t>Eliminácia</w:t>
      </w:r>
    </w:p>
    <w:p w14:paraId="382812BD" w14:textId="77777777" w:rsidR="00123569" w:rsidRDefault="00123569" w:rsidP="007501FF">
      <w:pPr>
        <w:pStyle w:val="Normlnysozarkami"/>
        <w:spacing w:after="0"/>
        <w:ind w:left="0"/>
      </w:pPr>
    </w:p>
    <w:p w14:paraId="6693498E" w14:textId="5001EB55" w:rsidR="00EE0D9B" w:rsidRPr="006E5174" w:rsidRDefault="00EE0D9B" w:rsidP="007501FF">
      <w:pPr>
        <w:pStyle w:val="Normlnysozarkami"/>
        <w:spacing w:after="0"/>
        <w:ind w:left="0"/>
      </w:pPr>
      <w:r w:rsidRPr="006E5174">
        <w:t xml:space="preserve">80–90 % množstva </w:t>
      </w:r>
      <w:proofErr w:type="spellStart"/>
      <w:r w:rsidRPr="006E5174">
        <w:t>fosfomycínu</w:t>
      </w:r>
      <w:proofErr w:type="spellEnd"/>
      <w:r w:rsidRPr="006E5174">
        <w:t xml:space="preserve"> podaného zdravým dospelým sa po jednorazovom intravenóznom podaní eliminuje obličkami do 10 hodín. </w:t>
      </w:r>
      <w:proofErr w:type="spellStart"/>
      <w:r w:rsidRPr="006E5174">
        <w:t>Fosfomycín</w:t>
      </w:r>
      <w:proofErr w:type="spellEnd"/>
      <w:r w:rsidRPr="006E5174">
        <w:t xml:space="preserve"> sa nemetabolizuje, tzn. že sa eliminuje biologicky aktívna zložka. U pacientov s normálnou funkciou obličiek až miernou poruchou funkcie obličiek (</w:t>
      </w:r>
      <w:proofErr w:type="spellStart"/>
      <w:r w:rsidRPr="006E5174">
        <w:t>klírens</w:t>
      </w:r>
      <w:proofErr w:type="spellEnd"/>
      <w:r w:rsidRPr="006E5174">
        <w:t xml:space="preserve"> </w:t>
      </w:r>
      <w:proofErr w:type="spellStart"/>
      <w:r w:rsidRPr="006E5174">
        <w:t>kreatinínu</w:t>
      </w:r>
      <w:proofErr w:type="spellEnd"/>
      <w:r w:rsidRPr="006E5174">
        <w:t xml:space="preserve"> ≥ 40 ml/min) sa približne 50–60 % celkovej dávky vylúči do prvých 3–4 hodín. </w:t>
      </w:r>
    </w:p>
    <w:p w14:paraId="173382ED" w14:textId="77777777" w:rsidR="00420EC4" w:rsidRDefault="00420EC4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3B79B928" w14:textId="77777777" w:rsidR="00FB6218" w:rsidRPr="006E5174" w:rsidRDefault="00FB6218" w:rsidP="007501FF">
      <w:pPr>
        <w:pStyle w:val="Formatvorlageberschrift3NichtKursivUnterstrichenLinks125cm"/>
        <w:spacing w:before="0" w:line="240" w:lineRule="auto"/>
        <w:ind w:left="0"/>
        <w:rPr>
          <w:iCs/>
          <w:szCs w:val="22"/>
        </w:rPr>
      </w:pPr>
      <w:proofErr w:type="spellStart"/>
      <w:r w:rsidRPr="006E5174">
        <w:rPr>
          <w:szCs w:val="22"/>
        </w:rPr>
        <w:t>Linearita</w:t>
      </w:r>
      <w:proofErr w:type="spellEnd"/>
    </w:p>
    <w:p w14:paraId="5EF714B0" w14:textId="77777777" w:rsidR="00420EC4" w:rsidRDefault="00420EC4" w:rsidP="007501FF">
      <w:pPr>
        <w:pStyle w:val="Normlnysozarkami"/>
        <w:spacing w:after="0"/>
        <w:ind w:left="0"/>
      </w:pPr>
    </w:p>
    <w:p w14:paraId="47C114F0" w14:textId="74AE085F" w:rsidR="00FB6218" w:rsidRPr="006E5174" w:rsidRDefault="00FB6218" w:rsidP="007501FF">
      <w:pPr>
        <w:pStyle w:val="Normlnysozarkami"/>
        <w:spacing w:after="0"/>
        <w:ind w:left="0"/>
        <w:rPr>
          <w:u w:val="single"/>
        </w:rPr>
      </w:pPr>
      <w:proofErr w:type="spellStart"/>
      <w:r w:rsidRPr="006E5174">
        <w:t>Fosfomycín</w:t>
      </w:r>
      <w:proofErr w:type="spellEnd"/>
      <w:r w:rsidRPr="006E5174">
        <w:t xml:space="preserve"> preukazuje po intravenóznej infúzii terapeuticky používaných dávok lineárne </w:t>
      </w:r>
      <w:proofErr w:type="spellStart"/>
      <w:r w:rsidRPr="006E5174">
        <w:t>farmakokinetické</w:t>
      </w:r>
      <w:proofErr w:type="spellEnd"/>
      <w:r w:rsidRPr="006E5174">
        <w:t xml:space="preserve"> </w:t>
      </w:r>
      <w:r w:rsidR="001E4B3F">
        <w:t>vlastnosti</w:t>
      </w:r>
      <w:r w:rsidRPr="006E5174">
        <w:t>.</w:t>
      </w:r>
    </w:p>
    <w:p w14:paraId="2E32691C" w14:textId="77777777" w:rsidR="00420EC4" w:rsidRDefault="00420EC4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554D1A1F" w14:textId="77777777" w:rsidR="00FB6218" w:rsidRPr="006E5174" w:rsidRDefault="00FB6218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6E5174">
        <w:rPr>
          <w:szCs w:val="22"/>
        </w:rPr>
        <w:t>Osobitné skupiny pacientov</w:t>
      </w:r>
    </w:p>
    <w:p w14:paraId="47E182A6" w14:textId="77777777" w:rsidR="00420EC4" w:rsidRDefault="00420EC4" w:rsidP="007501FF">
      <w:pPr>
        <w:pStyle w:val="Normlnysozarkami"/>
        <w:spacing w:after="0"/>
        <w:ind w:left="0"/>
      </w:pPr>
    </w:p>
    <w:p w14:paraId="09EFF66D" w14:textId="77777777" w:rsidR="00F55D11" w:rsidRPr="006E5174" w:rsidRDefault="00F55D11" w:rsidP="007501FF">
      <w:pPr>
        <w:pStyle w:val="Normlnysozarkami"/>
        <w:spacing w:after="0"/>
        <w:ind w:left="0"/>
        <w:rPr>
          <w:iCs/>
        </w:rPr>
      </w:pPr>
      <w:r w:rsidRPr="006E5174">
        <w:t>Pre osobitné skupiny pacientov sú k dispozícii len veľmi obmedzené údaje.</w:t>
      </w:r>
    </w:p>
    <w:p w14:paraId="315DE48F" w14:textId="77777777" w:rsidR="00420EC4" w:rsidRDefault="00420EC4" w:rsidP="007501FF">
      <w:pPr>
        <w:pStyle w:val="Normlnysozarkami"/>
        <w:spacing w:after="0"/>
        <w:ind w:left="0"/>
        <w:rPr>
          <w:i/>
          <w:iCs/>
        </w:rPr>
      </w:pPr>
    </w:p>
    <w:p w14:paraId="55CD5AEF" w14:textId="77777777" w:rsidR="00FB6218" w:rsidRPr="006E5174" w:rsidRDefault="00FB6218" w:rsidP="007501FF">
      <w:pPr>
        <w:pStyle w:val="Normlnysozarkami"/>
        <w:spacing w:after="0"/>
        <w:ind w:left="0"/>
        <w:rPr>
          <w:i/>
          <w:iCs/>
        </w:rPr>
      </w:pPr>
      <w:r w:rsidRPr="006E5174">
        <w:rPr>
          <w:i/>
          <w:iCs/>
        </w:rPr>
        <w:t>Starší pacienti</w:t>
      </w:r>
    </w:p>
    <w:p w14:paraId="7A161C03" w14:textId="77777777" w:rsidR="00420EC4" w:rsidRDefault="00420EC4" w:rsidP="007501FF">
      <w:pPr>
        <w:pStyle w:val="Normlnysozarkami"/>
        <w:spacing w:after="0"/>
        <w:ind w:left="0"/>
      </w:pPr>
    </w:p>
    <w:p w14:paraId="42266A86" w14:textId="77777777" w:rsidR="00FB6218" w:rsidRPr="006E5174" w:rsidRDefault="00FB6218" w:rsidP="007501FF">
      <w:pPr>
        <w:pStyle w:val="Normlnysozarkami"/>
        <w:spacing w:after="0"/>
        <w:ind w:left="0"/>
      </w:pPr>
      <w:r w:rsidRPr="006E5174">
        <w:lastRenderedPageBreak/>
        <w:t>Na základe samotného veku nie je potrebná žiadna úprava dávky. Má sa však vyhodnotiť funkcia obličiek a pri dôkaze poruchy funkcie obličiek sa má dávka znížiť (pozri časť 4.2).</w:t>
      </w:r>
    </w:p>
    <w:p w14:paraId="3D3D85AB" w14:textId="77777777" w:rsidR="00420EC4" w:rsidRDefault="00420EC4" w:rsidP="007501FF">
      <w:pPr>
        <w:pStyle w:val="Normlnysozarkami"/>
        <w:spacing w:after="0"/>
        <w:ind w:left="0"/>
        <w:rPr>
          <w:i/>
          <w:iCs/>
        </w:rPr>
      </w:pPr>
    </w:p>
    <w:p w14:paraId="56D17F81" w14:textId="77777777" w:rsidR="00FB6218" w:rsidRPr="006E5174" w:rsidRDefault="00F55D11" w:rsidP="007501FF">
      <w:pPr>
        <w:pStyle w:val="Normlnysozarkami"/>
        <w:spacing w:after="0"/>
        <w:ind w:left="0"/>
        <w:rPr>
          <w:i/>
          <w:iCs/>
        </w:rPr>
      </w:pPr>
      <w:r w:rsidRPr="006E5174">
        <w:rPr>
          <w:i/>
          <w:iCs/>
        </w:rPr>
        <w:t>Pediatrická populácia</w:t>
      </w:r>
    </w:p>
    <w:p w14:paraId="7C3DBE38" w14:textId="77777777" w:rsidR="00420EC4" w:rsidRDefault="00420EC4" w:rsidP="007501FF">
      <w:pPr>
        <w:pStyle w:val="Normlnysozarkami"/>
        <w:spacing w:after="0"/>
        <w:ind w:left="0"/>
      </w:pPr>
    </w:p>
    <w:p w14:paraId="3E155620" w14:textId="0F985132" w:rsidR="00FB6218" w:rsidRPr="006E5174" w:rsidRDefault="00FB6218" w:rsidP="007501FF">
      <w:pPr>
        <w:pStyle w:val="Normlnysozarkami"/>
        <w:spacing w:after="0"/>
        <w:ind w:left="0"/>
      </w:pPr>
      <w:proofErr w:type="spellStart"/>
      <w:r w:rsidRPr="006E5174">
        <w:t>Farmakokinetické</w:t>
      </w:r>
      <w:proofErr w:type="spellEnd"/>
      <w:r w:rsidRPr="006E5174">
        <w:t xml:space="preserve"> vlastnosti </w:t>
      </w:r>
      <w:proofErr w:type="spellStart"/>
      <w:r w:rsidRPr="006E5174">
        <w:t>fosfomycínu</w:t>
      </w:r>
      <w:proofErr w:type="spellEnd"/>
      <w:r w:rsidRPr="006E5174">
        <w:t xml:space="preserve"> u detí a dospievajúcich vo veku 3–15 rokov ako aj u </w:t>
      </w:r>
      <w:r w:rsidR="00420EC4">
        <w:t>donosených</w:t>
      </w:r>
      <w:r w:rsidRPr="006E5174">
        <w:t xml:space="preserve"> novorodencov s normálnou funkciou obličiek sú vo všeobecnosti podobné ako u dospelých osôb. U novorodencov a dojčiat do 12 mesiacov so zdravými obličkami je však miera </w:t>
      </w:r>
      <w:proofErr w:type="spellStart"/>
      <w:r w:rsidRPr="006E5174">
        <w:t>glomerulárnej</w:t>
      </w:r>
      <w:proofErr w:type="spellEnd"/>
      <w:r w:rsidRPr="006E5174">
        <w:t xml:space="preserve"> filtrácie fyziologicky znížená v porovnaní so staršími deťmi a dospelými. To </w:t>
      </w:r>
      <w:r w:rsidR="00C8424C">
        <w:t>súvisí</w:t>
      </w:r>
      <w:r w:rsidRPr="006E5174">
        <w:t xml:space="preserve"> s predĺžením polčasu eliminácie </w:t>
      </w:r>
      <w:proofErr w:type="spellStart"/>
      <w:r w:rsidRPr="006E5174">
        <w:t>fosfomycínu</w:t>
      </w:r>
      <w:proofErr w:type="spellEnd"/>
      <w:r w:rsidRPr="006E5174">
        <w:t xml:space="preserve"> v závislosti od štádia vývoja obličiek. </w:t>
      </w:r>
    </w:p>
    <w:p w14:paraId="67B76706" w14:textId="77777777" w:rsidR="00420EC4" w:rsidRDefault="00420EC4" w:rsidP="007501FF">
      <w:pPr>
        <w:pStyle w:val="Normlnysozarkami"/>
        <w:spacing w:after="0"/>
        <w:ind w:left="0"/>
        <w:rPr>
          <w:i/>
          <w:iCs/>
        </w:rPr>
      </w:pPr>
    </w:p>
    <w:p w14:paraId="5395D06E" w14:textId="77777777" w:rsidR="00FB6218" w:rsidRPr="006E5174" w:rsidRDefault="00FB6218" w:rsidP="007501FF">
      <w:pPr>
        <w:pStyle w:val="Normlnysozarkami"/>
        <w:spacing w:after="0"/>
        <w:ind w:left="0"/>
        <w:rPr>
          <w:i/>
          <w:iCs/>
        </w:rPr>
      </w:pPr>
      <w:r w:rsidRPr="006E5174">
        <w:rPr>
          <w:i/>
          <w:iCs/>
        </w:rPr>
        <w:t>Obličková nedostatočnosť</w:t>
      </w:r>
    </w:p>
    <w:p w14:paraId="01F8349D" w14:textId="77777777" w:rsidR="00420EC4" w:rsidRDefault="00420EC4" w:rsidP="007501FF">
      <w:pPr>
        <w:pStyle w:val="Normlnysozarkami"/>
        <w:spacing w:after="0"/>
        <w:ind w:left="0"/>
      </w:pPr>
    </w:p>
    <w:p w14:paraId="3569FEC1" w14:textId="13EED6B1" w:rsidR="00FB6218" w:rsidRPr="006E5174" w:rsidRDefault="00FB6218" w:rsidP="007501FF">
      <w:pPr>
        <w:pStyle w:val="Normlnysozarkami"/>
        <w:spacing w:after="0"/>
        <w:ind w:left="0"/>
      </w:pPr>
      <w:r w:rsidRPr="006E5174">
        <w:t xml:space="preserve">U pacientov s poruchou funkcie obličiek je polčas eliminácie zvýšený priamo úmerne k stupňu obličkovej nedostatočnosti. U pacientov s hodnotami </w:t>
      </w:r>
      <w:proofErr w:type="spellStart"/>
      <w:r w:rsidRPr="006E5174">
        <w:t>klírensu</w:t>
      </w:r>
      <w:proofErr w:type="spellEnd"/>
      <w:r w:rsidRPr="006E5174">
        <w:t xml:space="preserve"> </w:t>
      </w:r>
      <w:proofErr w:type="spellStart"/>
      <w:r w:rsidRPr="006E5174">
        <w:t>kreatinínu</w:t>
      </w:r>
      <w:proofErr w:type="spellEnd"/>
      <w:r w:rsidRPr="006E5174">
        <w:t xml:space="preserve"> 40 ml/min alebo menej je potrebná úprava dávky (ďalšie informácie nájdete aj v časti 4.2 „Dávkovanie pri obličkovej nedostatočnosti“)</w:t>
      </w:r>
    </w:p>
    <w:p w14:paraId="3579FBCC" w14:textId="77777777" w:rsidR="00C8424C" w:rsidRDefault="00C8424C" w:rsidP="007501FF">
      <w:pPr>
        <w:pStyle w:val="Normlnysozarkami"/>
        <w:spacing w:after="0"/>
        <w:ind w:left="0" w:firstLine="11"/>
      </w:pPr>
    </w:p>
    <w:p w14:paraId="6ECCDFD2" w14:textId="4CAEF441" w:rsidR="00CB1671" w:rsidRPr="006E5174" w:rsidRDefault="00CB1671" w:rsidP="007501FF">
      <w:pPr>
        <w:pStyle w:val="Normlnysozarkami"/>
        <w:spacing w:after="0"/>
        <w:ind w:left="0" w:firstLine="11"/>
        <w:rPr>
          <w:bCs/>
          <w:snapToGrid w:val="0"/>
          <w:color w:val="000000"/>
        </w:rPr>
      </w:pPr>
      <w:r w:rsidRPr="006E5174">
        <w:t xml:space="preserve">V štúdii skúmajúcej 12 pacientov podstupujúcich CVVHF sa použili obvyklé </w:t>
      </w:r>
      <w:proofErr w:type="spellStart"/>
      <w:r w:rsidRPr="006E5174">
        <w:t>polyetylénsulfónové</w:t>
      </w:r>
      <w:proofErr w:type="spellEnd"/>
      <w:r w:rsidRPr="006E5174">
        <w:t xml:space="preserve"> </w:t>
      </w:r>
      <w:proofErr w:type="spellStart"/>
      <w:r w:rsidRPr="006E5174">
        <w:t>hemofiltre</w:t>
      </w:r>
      <w:proofErr w:type="spellEnd"/>
      <w:r w:rsidRPr="006E5174">
        <w:t xml:space="preserve"> s povrchom membrány 1,2 m</w:t>
      </w:r>
      <w:r w:rsidRPr="006E5174">
        <w:rPr>
          <w:vertAlign w:val="superscript"/>
        </w:rPr>
        <w:t>2</w:t>
      </w:r>
      <w:r w:rsidRPr="006E5174">
        <w:t xml:space="preserve"> a priemernou rýchlosťou </w:t>
      </w:r>
      <w:proofErr w:type="spellStart"/>
      <w:r w:rsidRPr="006E5174">
        <w:t>ultrafiltrácie</w:t>
      </w:r>
      <w:proofErr w:type="spellEnd"/>
      <w:r w:rsidRPr="006E5174">
        <w:t xml:space="preserve"> 25 ml/min. V tejto klinickej situácii boli priemerné plazmatické hodnoty </w:t>
      </w:r>
      <w:proofErr w:type="spellStart"/>
      <w:r w:rsidRPr="006E5174">
        <w:t>klírensu</w:t>
      </w:r>
      <w:proofErr w:type="spellEnd"/>
      <w:r w:rsidRPr="006E5174">
        <w:t xml:space="preserve"> a polčasu eliminácie 100 ml/min a 12 h.</w:t>
      </w:r>
      <w:r w:rsidRPr="006E5174">
        <w:rPr>
          <w:bCs/>
          <w:snapToGrid w:val="0"/>
          <w:color w:val="000000"/>
        </w:rPr>
        <w:t xml:space="preserve"> </w:t>
      </w:r>
    </w:p>
    <w:p w14:paraId="2A071FF0" w14:textId="77777777" w:rsidR="00420EC4" w:rsidRDefault="00420EC4" w:rsidP="007501FF">
      <w:pPr>
        <w:pStyle w:val="Normlnysozarkami"/>
        <w:spacing w:after="0"/>
        <w:ind w:left="0" w:firstLine="11"/>
        <w:rPr>
          <w:i/>
          <w:iCs/>
        </w:rPr>
      </w:pPr>
    </w:p>
    <w:p w14:paraId="3E5EF014" w14:textId="44B36E01" w:rsidR="00FB6218" w:rsidRPr="006E5174" w:rsidRDefault="00FB6218" w:rsidP="007501FF">
      <w:pPr>
        <w:pStyle w:val="Normlnysozarkami"/>
        <w:spacing w:after="0"/>
        <w:ind w:left="0" w:firstLine="11"/>
        <w:rPr>
          <w:i/>
          <w:iCs/>
        </w:rPr>
      </w:pPr>
      <w:r w:rsidRPr="006E5174">
        <w:rPr>
          <w:i/>
          <w:iCs/>
        </w:rPr>
        <w:t>Pečeňová nedostatočnosť</w:t>
      </w:r>
    </w:p>
    <w:p w14:paraId="6E60F6CE" w14:textId="77777777" w:rsidR="00420EC4" w:rsidRDefault="00420EC4" w:rsidP="007501FF">
      <w:pPr>
        <w:pStyle w:val="Normlnysozarkami"/>
        <w:spacing w:after="0"/>
        <w:ind w:left="0"/>
      </w:pPr>
    </w:p>
    <w:p w14:paraId="5B2D116C" w14:textId="77777777" w:rsidR="00FB6218" w:rsidRDefault="00FB6218" w:rsidP="007501FF">
      <w:pPr>
        <w:pStyle w:val="Normlnysozarkami"/>
        <w:spacing w:after="0"/>
        <w:ind w:left="0"/>
      </w:pPr>
      <w:r w:rsidRPr="006E5174">
        <w:t xml:space="preserve">U pacientov s pečeňovou nedostatočnosťou nie je potrebná žiadna úprava dávky, keďže u tejto skupiny pacientov nie sú ovplyvnené </w:t>
      </w:r>
      <w:proofErr w:type="spellStart"/>
      <w:r w:rsidRPr="006E5174">
        <w:t>farmakokinetické</w:t>
      </w:r>
      <w:proofErr w:type="spellEnd"/>
      <w:r w:rsidRPr="006E5174">
        <w:t xml:space="preserve"> vlastnosti </w:t>
      </w:r>
      <w:proofErr w:type="spellStart"/>
      <w:r w:rsidRPr="006E5174">
        <w:t>fosfomycínu</w:t>
      </w:r>
      <w:proofErr w:type="spellEnd"/>
      <w:r w:rsidRPr="006E5174">
        <w:t>.</w:t>
      </w:r>
    </w:p>
    <w:p w14:paraId="307AA41A" w14:textId="77777777" w:rsidR="006E5174" w:rsidRPr="006E5174" w:rsidRDefault="006E5174" w:rsidP="007501FF">
      <w:pPr>
        <w:pStyle w:val="Normlnysozarkami"/>
        <w:spacing w:after="0"/>
        <w:ind w:left="0"/>
      </w:pPr>
    </w:p>
    <w:p w14:paraId="6B02341F" w14:textId="7E67EAD2" w:rsidR="009E0FD0" w:rsidRPr="006E5174" w:rsidRDefault="009E0FD0" w:rsidP="007501FF">
      <w:pPr>
        <w:pStyle w:val="Nadpis2"/>
        <w:tabs>
          <w:tab w:val="left" w:pos="567"/>
        </w:tabs>
        <w:spacing w:before="0"/>
        <w:ind w:left="0" w:firstLine="0"/>
      </w:pPr>
      <w:r w:rsidRPr="006E5174">
        <w:t>Predklinické údaje o bezpečnosti</w:t>
      </w:r>
    </w:p>
    <w:p w14:paraId="029BB937" w14:textId="77777777" w:rsidR="006E5174" w:rsidRDefault="006E5174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4E968BF0" w14:textId="77777777" w:rsidR="00476CFC" w:rsidRPr="006E5174" w:rsidRDefault="00476CFC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proofErr w:type="spellStart"/>
      <w:r w:rsidRPr="006E5174">
        <w:rPr>
          <w:szCs w:val="22"/>
        </w:rPr>
        <w:t>Subakútna</w:t>
      </w:r>
      <w:proofErr w:type="spellEnd"/>
      <w:r w:rsidRPr="006E5174">
        <w:rPr>
          <w:szCs w:val="22"/>
        </w:rPr>
        <w:t xml:space="preserve"> a chronická toxicita</w:t>
      </w:r>
    </w:p>
    <w:p w14:paraId="23BDA118" w14:textId="77777777" w:rsidR="00C8424C" w:rsidRDefault="00C8424C" w:rsidP="007501FF">
      <w:pPr>
        <w:spacing w:after="0"/>
        <w:rPr>
          <w:snapToGrid w:val="0"/>
        </w:rPr>
      </w:pPr>
    </w:p>
    <w:p w14:paraId="59689A1B" w14:textId="592C369F" w:rsidR="00214556" w:rsidRPr="006E5174" w:rsidRDefault="00D96006" w:rsidP="007501FF">
      <w:pPr>
        <w:spacing w:after="0"/>
        <w:rPr>
          <w:snapToGrid w:val="0"/>
        </w:rPr>
      </w:pPr>
      <w:r w:rsidRPr="00733AB0">
        <w:rPr>
          <w:snapToGrid w:val="0"/>
        </w:rPr>
        <w:t xml:space="preserve">Toxicita </w:t>
      </w:r>
      <w:proofErr w:type="spellStart"/>
      <w:r w:rsidRPr="00733AB0">
        <w:rPr>
          <w:snapToGrid w:val="0"/>
        </w:rPr>
        <w:t>fosfomycínu</w:t>
      </w:r>
      <w:proofErr w:type="spellEnd"/>
      <w:r w:rsidRPr="00733AB0">
        <w:rPr>
          <w:snapToGrid w:val="0"/>
        </w:rPr>
        <w:t xml:space="preserve"> po opakovanom podávaní až po dobu 6 mesiacov sa hodnotila u potkanov, psov, králikov a opíc. Pri vysokých </w:t>
      </w:r>
      <w:proofErr w:type="spellStart"/>
      <w:r w:rsidRPr="00733AB0">
        <w:rPr>
          <w:snapToGrid w:val="0"/>
        </w:rPr>
        <w:t>intraperitoneálnych</w:t>
      </w:r>
      <w:proofErr w:type="spellEnd"/>
      <w:r w:rsidRPr="00733AB0">
        <w:rPr>
          <w:snapToGrid w:val="0"/>
        </w:rPr>
        <w:t xml:space="preserve"> dávkach </w:t>
      </w:r>
      <w:proofErr w:type="spellStart"/>
      <w:r w:rsidRPr="00733AB0">
        <w:rPr>
          <w:snapToGrid w:val="0"/>
        </w:rPr>
        <w:t>fosfomycínu</w:t>
      </w:r>
      <w:proofErr w:type="spellEnd"/>
      <w:r w:rsidRPr="00733AB0">
        <w:rPr>
          <w:snapToGrid w:val="0"/>
        </w:rPr>
        <w:t xml:space="preserve"> (&gt; 500 mg/kg/deň) sa u potkanov vyvinuli zástava dýchania, </w:t>
      </w:r>
      <w:proofErr w:type="spellStart"/>
      <w:r w:rsidRPr="00733AB0">
        <w:rPr>
          <w:snapToGrid w:val="0"/>
        </w:rPr>
        <w:t>tetanické</w:t>
      </w:r>
      <w:proofErr w:type="spellEnd"/>
      <w:r w:rsidRPr="00733AB0">
        <w:rPr>
          <w:snapToGrid w:val="0"/>
        </w:rPr>
        <w:t xml:space="preserve"> kŕče, anémia, znížené hladiny proteínov v krvi, zvýšená hladina sérového cholesterolu a znížená hladina krvnej glukózy. Okrem toho sa u psov a opíc vyskytla hnačka spôsobená zmenami črevnej flóry súvisiacimi s antibiotikom po intravenóznom podávaní dávok vyšších ako 250 mg/kg/deň a 500 mg/kg/deň, v uvedenom poradí. U králikov sa po intravenóznom podávaní 400 mg/kg/deň počas 1 mesiaca nepozorovala žiadna toxicita.</w:t>
      </w:r>
    </w:p>
    <w:p w14:paraId="3CD9E358" w14:textId="77777777" w:rsidR="00C8424C" w:rsidRDefault="00C8424C" w:rsidP="007501FF">
      <w:pPr>
        <w:pStyle w:val="Normlnysozarkami"/>
        <w:spacing w:after="0"/>
        <w:ind w:left="0"/>
        <w:rPr>
          <w:snapToGrid w:val="0"/>
          <w:u w:val="single"/>
        </w:rPr>
      </w:pPr>
    </w:p>
    <w:p w14:paraId="475FFCB3" w14:textId="77777777" w:rsidR="00692C82" w:rsidRPr="006E5174" w:rsidRDefault="00486829" w:rsidP="007501FF">
      <w:pPr>
        <w:pStyle w:val="Normlnysozarkami"/>
        <w:spacing w:after="0"/>
        <w:ind w:left="0"/>
        <w:rPr>
          <w:snapToGrid w:val="0"/>
          <w:u w:val="single"/>
        </w:rPr>
      </w:pPr>
      <w:r w:rsidRPr="006E5174">
        <w:rPr>
          <w:snapToGrid w:val="0"/>
          <w:u w:val="single"/>
        </w:rPr>
        <w:t>Reprodukčná toxicita</w:t>
      </w:r>
    </w:p>
    <w:p w14:paraId="0DF387B4" w14:textId="77777777" w:rsidR="00C8424C" w:rsidRDefault="00C8424C" w:rsidP="007501FF">
      <w:pPr>
        <w:pStyle w:val="Normlnysozarkami"/>
        <w:spacing w:after="0"/>
        <w:ind w:left="0"/>
        <w:rPr>
          <w:i/>
        </w:rPr>
      </w:pPr>
    </w:p>
    <w:p w14:paraId="486E399E" w14:textId="77777777" w:rsidR="00476CFC" w:rsidRPr="006E5174" w:rsidRDefault="00476CFC" w:rsidP="007501FF">
      <w:pPr>
        <w:pStyle w:val="Normlnysozarkami"/>
        <w:spacing w:after="0"/>
        <w:ind w:left="0"/>
        <w:rPr>
          <w:i/>
        </w:rPr>
      </w:pPr>
      <w:proofErr w:type="spellStart"/>
      <w:r w:rsidRPr="006E5174">
        <w:rPr>
          <w:i/>
        </w:rPr>
        <w:t>Fertilita</w:t>
      </w:r>
      <w:proofErr w:type="spellEnd"/>
    </w:p>
    <w:p w14:paraId="26C7F24E" w14:textId="77777777" w:rsidR="009B52AE" w:rsidRDefault="009B52AE" w:rsidP="007501FF">
      <w:pPr>
        <w:spacing w:after="0"/>
        <w:rPr>
          <w:snapToGrid w:val="0"/>
        </w:rPr>
      </w:pPr>
    </w:p>
    <w:p w14:paraId="47A5387E" w14:textId="77777777" w:rsidR="00FA4CD1" w:rsidRPr="006E5174" w:rsidRDefault="00476CFC" w:rsidP="007501FF">
      <w:pPr>
        <w:spacing w:after="0"/>
        <w:rPr>
          <w:snapToGrid w:val="0"/>
        </w:rPr>
      </w:pPr>
      <w:r w:rsidRPr="006E5174">
        <w:rPr>
          <w:snapToGrid w:val="0"/>
        </w:rPr>
        <w:t xml:space="preserve">U samcov a samíc potkanov sa po opakovanom podávaní (cez </w:t>
      </w:r>
      <w:proofErr w:type="spellStart"/>
      <w:r w:rsidRPr="006E5174">
        <w:rPr>
          <w:snapToGrid w:val="0"/>
        </w:rPr>
        <w:t>faryngeálnu</w:t>
      </w:r>
      <w:proofErr w:type="spellEnd"/>
      <w:r w:rsidRPr="006E5174">
        <w:rPr>
          <w:snapToGrid w:val="0"/>
        </w:rPr>
        <w:t xml:space="preserve"> trubicu) až 1 400 mg/kg/deň pozorovalo pri najvyššej testovanej dávke zníženie </w:t>
      </w:r>
      <w:proofErr w:type="spellStart"/>
      <w:r w:rsidRPr="006E5174">
        <w:rPr>
          <w:snapToGrid w:val="0"/>
        </w:rPr>
        <w:t>fertility</w:t>
      </w:r>
      <w:proofErr w:type="spellEnd"/>
      <w:r w:rsidRPr="006E5174">
        <w:rPr>
          <w:snapToGrid w:val="0"/>
        </w:rPr>
        <w:t>.</w:t>
      </w:r>
    </w:p>
    <w:p w14:paraId="5FA753BB" w14:textId="77777777" w:rsidR="009B52AE" w:rsidRDefault="009B52AE" w:rsidP="007501FF">
      <w:pPr>
        <w:pStyle w:val="Normlnysozarkami"/>
        <w:spacing w:after="0"/>
        <w:ind w:left="0"/>
        <w:rPr>
          <w:i/>
          <w:snapToGrid w:val="0"/>
        </w:rPr>
      </w:pPr>
    </w:p>
    <w:p w14:paraId="2875084D" w14:textId="77777777" w:rsidR="00476CFC" w:rsidRPr="006E5174" w:rsidRDefault="00476CFC" w:rsidP="007501FF">
      <w:pPr>
        <w:pStyle w:val="Normlnysozarkami"/>
        <w:spacing w:after="0"/>
        <w:ind w:left="0"/>
        <w:rPr>
          <w:i/>
          <w:snapToGrid w:val="0"/>
        </w:rPr>
      </w:pPr>
      <w:proofErr w:type="spellStart"/>
      <w:r w:rsidRPr="006E5174">
        <w:rPr>
          <w:i/>
          <w:snapToGrid w:val="0"/>
        </w:rPr>
        <w:t>Teratogenita</w:t>
      </w:r>
      <w:proofErr w:type="spellEnd"/>
      <w:r w:rsidRPr="006E5174">
        <w:rPr>
          <w:i/>
          <w:snapToGrid w:val="0"/>
        </w:rPr>
        <w:t xml:space="preserve"> </w:t>
      </w:r>
    </w:p>
    <w:p w14:paraId="31440C05" w14:textId="77777777" w:rsidR="009B52AE" w:rsidRDefault="009B52AE" w:rsidP="007501FF">
      <w:pPr>
        <w:spacing w:after="0"/>
        <w:rPr>
          <w:snapToGrid w:val="0"/>
        </w:rPr>
      </w:pPr>
    </w:p>
    <w:p w14:paraId="2CCC333D" w14:textId="77777777" w:rsidR="00476CFC" w:rsidRPr="006E5174" w:rsidRDefault="00EE0D9B" w:rsidP="007501FF">
      <w:pPr>
        <w:spacing w:after="0"/>
        <w:rPr>
          <w:snapToGrid w:val="0"/>
        </w:rPr>
      </w:pPr>
      <w:proofErr w:type="spellStart"/>
      <w:r w:rsidRPr="006E5174">
        <w:rPr>
          <w:snapToGrid w:val="0"/>
        </w:rPr>
        <w:t>Fosfomycín</w:t>
      </w:r>
      <w:proofErr w:type="spellEnd"/>
      <w:r w:rsidRPr="006E5174">
        <w:rPr>
          <w:snapToGrid w:val="0"/>
        </w:rPr>
        <w:t xml:space="preserve"> sa podával myšiam, potkanom a králikom cez </w:t>
      </w:r>
      <w:proofErr w:type="spellStart"/>
      <w:r w:rsidRPr="006E5174">
        <w:rPr>
          <w:snapToGrid w:val="0"/>
        </w:rPr>
        <w:t>faryngeálnu</w:t>
      </w:r>
      <w:proofErr w:type="spellEnd"/>
      <w:r w:rsidRPr="006E5174">
        <w:rPr>
          <w:snapToGrid w:val="0"/>
        </w:rPr>
        <w:t xml:space="preserve"> trubicu v maximálnych dávkach 2 x 120 mg/kg/deň, 1 400 mg/kg/deň a 420 mg/kg/deň, v uvedenom poradí, alebo intravenózne myšiam a králikom v dávkach 55,3 mg/kg/deň a až do 250 mg/kg/deň, v uvedenom poradí. Nepreukázal sa žiadny dôkaz </w:t>
      </w:r>
      <w:proofErr w:type="spellStart"/>
      <w:r w:rsidRPr="006E5174">
        <w:rPr>
          <w:snapToGrid w:val="0"/>
        </w:rPr>
        <w:t>emybrotoxicity</w:t>
      </w:r>
      <w:proofErr w:type="spellEnd"/>
      <w:r w:rsidRPr="006E5174">
        <w:rPr>
          <w:snapToGrid w:val="0"/>
        </w:rPr>
        <w:t xml:space="preserve"> ani </w:t>
      </w:r>
      <w:proofErr w:type="spellStart"/>
      <w:r w:rsidRPr="006E5174">
        <w:rPr>
          <w:snapToGrid w:val="0"/>
        </w:rPr>
        <w:t>teratogenity</w:t>
      </w:r>
      <w:proofErr w:type="spellEnd"/>
      <w:r w:rsidRPr="006E5174">
        <w:rPr>
          <w:snapToGrid w:val="0"/>
        </w:rPr>
        <w:t>.</w:t>
      </w:r>
    </w:p>
    <w:p w14:paraId="1A8DE28D" w14:textId="77777777" w:rsidR="009B52AE" w:rsidRDefault="009B52AE" w:rsidP="007501FF">
      <w:pPr>
        <w:pStyle w:val="Normlnysozarkami"/>
        <w:spacing w:after="0"/>
        <w:ind w:left="0"/>
        <w:rPr>
          <w:i/>
        </w:rPr>
      </w:pPr>
    </w:p>
    <w:p w14:paraId="30D666A8" w14:textId="77777777" w:rsidR="00476CFC" w:rsidRPr="006E5174" w:rsidRDefault="00476CFC" w:rsidP="007501FF">
      <w:pPr>
        <w:pStyle w:val="Normlnysozarkami"/>
        <w:spacing w:after="0"/>
        <w:ind w:left="0"/>
        <w:rPr>
          <w:i/>
        </w:rPr>
      </w:pPr>
      <w:proofErr w:type="spellStart"/>
      <w:r w:rsidRPr="006E5174">
        <w:rPr>
          <w:i/>
        </w:rPr>
        <w:t>Perinatálna</w:t>
      </w:r>
      <w:proofErr w:type="spellEnd"/>
      <w:r w:rsidRPr="006E5174">
        <w:rPr>
          <w:i/>
        </w:rPr>
        <w:t xml:space="preserve"> a </w:t>
      </w:r>
      <w:proofErr w:type="spellStart"/>
      <w:r w:rsidRPr="006E5174">
        <w:rPr>
          <w:i/>
        </w:rPr>
        <w:t>postnatálna</w:t>
      </w:r>
      <w:proofErr w:type="spellEnd"/>
      <w:r w:rsidRPr="006E5174">
        <w:rPr>
          <w:i/>
        </w:rPr>
        <w:t xml:space="preserve"> toxicita </w:t>
      </w:r>
    </w:p>
    <w:p w14:paraId="503900AE" w14:textId="77777777" w:rsidR="009B52AE" w:rsidRDefault="009B52AE" w:rsidP="007501FF">
      <w:pPr>
        <w:spacing w:after="0"/>
        <w:rPr>
          <w:snapToGrid w:val="0"/>
        </w:rPr>
      </w:pPr>
    </w:p>
    <w:p w14:paraId="2C2CF70D" w14:textId="77777777" w:rsidR="00476CFC" w:rsidRPr="006E5174" w:rsidRDefault="00476CFC" w:rsidP="007501FF">
      <w:pPr>
        <w:spacing w:after="0"/>
        <w:rPr>
          <w:snapToGrid w:val="0"/>
        </w:rPr>
      </w:pPr>
      <w:r w:rsidRPr="006E5174">
        <w:rPr>
          <w:snapToGrid w:val="0"/>
        </w:rPr>
        <w:lastRenderedPageBreak/>
        <w:t xml:space="preserve">Potkanom sa podávala maximálna dávka 2 800 mg/kg/deň cez </w:t>
      </w:r>
      <w:proofErr w:type="spellStart"/>
      <w:r w:rsidRPr="006E5174">
        <w:rPr>
          <w:snapToGrid w:val="0"/>
        </w:rPr>
        <w:t>faryngeálnu</w:t>
      </w:r>
      <w:proofErr w:type="spellEnd"/>
      <w:r w:rsidRPr="006E5174">
        <w:rPr>
          <w:snapToGrid w:val="0"/>
        </w:rPr>
        <w:t xml:space="preserve"> trubicu. Nepreukázal sa žiadny dôkaz </w:t>
      </w:r>
      <w:proofErr w:type="spellStart"/>
      <w:r w:rsidRPr="006E5174">
        <w:rPr>
          <w:snapToGrid w:val="0"/>
        </w:rPr>
        <w:t>fetálnej</w:t>
      </w:r>
      <w:proofErr w:type="spellEnd"/>
      <w:r w:rsidRPr="006E5174">
        <w:rPr>
          <w:snapToGrid w:val="0"/>
        </w:rPr>
        <w:t xml:space="preserve"> ani </w:t>
      </w:r>
      <w:proofErr w:type="spellStart"/>
      <w:r w:rsidRPr="006E5174">
        <w:rPr>
          <w:snapToGrid w:val="0"/>
        </w:rPr>
        <w:t>peri</w:t>
      </w:r>
      <w:proofErr w:type="spellEnd"/>
      <w:r w:rsidRPr="006E5174">
        <w:rPr>
          <w:snapToGrid w:val="0"/>
        </w:rPr>
        <w:t>- a </w:t>
      </w:r>
      <w:proofErr w:type="spellStart"/>
      <w:r w:rsidRPr="006E5174">
        <w:rPr>
          <w:snapToGrid w:val="0"/>
        </w:rPr>
        <w:t>postnatálenj</w:t>
      </w:r>
      <w:proofErr w:type="spellEnd"/>
      <w:r w:rsidRPr="006E5174">
        <w:rPr>
          <w:snapToGrid w:val="0"/>
        </w:rPr>
        <w:t xml:space="preserve"> toxicity.</w:t>
      </w:r>
    </w:p>
    <w:p w14:paraId="35DBFBA9" w14:textId="77777777" w:rsidR="009B52AE" w:rsidRDefault="009B52AE" w:rsidP="007501FF">
      <w:pPr>
        <w:pStyle w:val="Normlnysozarkami"/>
        <w:spacing w:after="0"/>
        <w:ind w:left="0"/>
        <w:rPr>
          <w:u w:val="single"/>
        </w:rPr>
      </w:pPr>
    </w:p>
    <w:p w14:paraId="540E7428" w14:textId="77777777" w:rsidR="00476CFC" w:rsidRPr="006E5174" w:rsidRDefault="00476CFC" w:rsidP="007501FF">
      <w:pPr>
        <w:pStyle w:val="Normlnysozarkami"/>
        <w:spacing w:after="0"/>
        <w:ind w:left="0"/>
        <w:rPr>
          <w:u w:val="single"/>
        </w:rPr>
      </w:pPr>
      <w:proofErr w:type="spellStart"/>
      <w:r w:rsidRPr="006E5174">
        <w:rPr>
          <w:u w:val="single"/>
        </w:rPr>
        <w:t>Mutagenita</w:t>
      </w:r>
      <w:proofErr w:type="spellEnd"/>
      <w:r w:rsidRPr="006E5174">
        <w:rPr>
          <w:u w:val="single"/>
        </w:rPr>
        <w:t xml:space="preserve"> </w:t>
      </w:r>
    </w:p>
    <w:p w14:paraId="5352642D" w14:textId="77777777" w:rsidR="009B52AE" w:rsidRDefault="009B52AE" w:rsidP="007501FF">
      <w:pPr>
        <w:spacing w:after="0"/>
        <w:rPr>
          <w:snapToGrid w:val="0"/>
        </w:rPr>
      </w:pPr>
    </w:p>
    <w:p w14:paraId="498AF27B" w14:textId="77777777" w:rsidR="00476CFC" w:rsidRDefault="00476CFC" w:rsidP="007501FF">
      <w:pPr>
        <w:spacing w:after="0"/>
        <w:rPr>
          <w:snapToGrid w:val="0"/>
        </w:rPr>
      </w:pPr>
      <w:r w:rsidRPr="006E5174">
        <w:rPr>
          <w:snapToGrid w:val="0"/>
        </w:rPr>
        <w:t xml:space="preserve">Na testovanie </w:t>
      </w:r>
      <w:proofErr w:type="spellStart"/>
      <w:r w:rsidRPr="006E5174">
        <w:rPr>
          <w:snapToGrid w:val="0"/>
        </w:rPr>
        <w:t>alkylačnej</w:t>
      </w:r>
      <w:proofErr w:type="spellEnd"/>
      <w:r w:rsidRPr="006E5174">
        <w:rPr>
          <w:snapToGrid w:val="0"/>
        </w:rPr>
        <w:t xml:space="preserve"> kapacity a mutagénneho účinku </w:t>
      </w:r>
      <w:proofErr w:type="spellStart"/>
      <w:r w:rsidRPr="006E5174">
        <w:rPr>
          <w:snapToGrid w:val="0"/>
        </w:rPr>
        <w:t>fosfomycínu</w:t>
      </w:r>
      <w:proofErr w:type="spellEnd"/>
      <w:r w:rsidRPr="006E5174">
        <w:rPr>
          <w:snapToGrid w:val="0"/>
        </w:rPr>
        <w:t xml:space="preserve"> sa vykonali </w:t>
      </w:r>
      <w:r w:rsidRPr="007501FF">
        <w:rPr>
          <w:i/>
          <w:snapToGrid w:val="0"/>
        </w:rPr>
        <w:t>in vitro</w:t>
      </w:r>
      <w:r w:rsidRPr="006E5174">
        <w:rPr>
          <w:snapToGrid w:val="0"/>
        </w:rPr>
        <w:t xml:space="preserve"> testy. </w:t>
      </w:r>
      <w:proofErr w:type="spellStart"/>
      <w:r w:rsidRPr="006E5174">
        <w:rPr>
          <w:snapToGrid w:val="0"/>
        </w:rPr>
        <w:t>Fosfomycín</w:t>
      </w:r>
      <w:proofErr w:type="spellEnd"/>
      <w:r w:rsidRPr="006E5174">
        <w:rPr>
          <w:snapToGrid w:val="0"/>
        </w:rPr>
        <w:t xml:space="preserve"> nepreukázal žiadny </w:t>
      </w:r>
      <w:proofErr w:type="spellStart"/>
      <w:r w:rsidRPr="006E5174">
        <w:rPr>
          <w:snapToGrid w:val="0"/>
        </w:rPr>
        <w:t>alkylačný</w:t>
      </w:r>
      <w:proofErr w:type="spellEnd"/>
      <w:r w:rsidRPr="006E5174">
        <w:rPr>
          <w:snapToGrid w:val="0"/>
        </w:rPr>
        <w:t xml:space="preserve"> účinok. V </w:t>
      </w:r>
      <w:proofErr w:type="spellStart"/>
      <w:r w:rsidRPr="006E5174">
        <w:rPr>
          <w:snapToGrid w:val="0"/>
        </w:rPr>
        <w:t>Amesovom</w:t>
      </w:r>
      <w:proofErr w:type="spellEnd"/>
      <w:r w:rsidRPr="006E5174">
        <w:rPr>
          <w:snapToGrid w:val="0"/>
        </w:rPr>
        <w:t xml:space="preserve"> test sa nepozoroval žiadny mutagénny účinok pri testovaní kmeňov </w:t>
      </w:r>
      <w:proofErr w:type="spellStart"/>
      <w:r w:rsidRPr="006E5174">
        <w:rPr>
          <w:i/>
          <w:snapToGrid w:val="0"/>
        </w:rPr>
        <w:t>Salmonella</w:t>
      </w:r>
      <w:proofErr w:type="spellEnd"/>
      <w:r w:rsidRPr="006E5174">
        <w:rPr>
          <w:i/>
          <w:snapToGrid w:val="0"/>
        </w:rPr>
        <w:t xml:space="preserve"> </w:t>
      </w:r>
      <w:proofErr w:type="spellStart"/>
      <w:r w:rsidRPr="006E5174">
        <w:rPr>
          <w:i/>
          <w:snapToGrid w:val="0"/>
        </w:rPr>
        <w:t>typhimurium</w:t>
      </w:r>
      <w:proofErr w:type="spellEnd"/>
      <w:r w:rsidRPr="006E5174">
        <w:rPr>
          <w:snapToGrid w:val="0"/>
        </w:rPr>
        <w:t xml:space="preserve"> (TA 98, TA 100, TA 1535, TA 1537 a TA 1538 s pridaním a bez pridania </w:t>
      </w:r>
      <w:proofErr w:type="spellStart"/>
      <w:r w:rsidRPr="006E5174">
        <w:rPr>
          <w:snapToGrid w:val="0"/>
        </w:rPr>
        <w:t>homogenátu</w:t>
      </w:r>
      <w:proofErr w:type="spellEnd"/>
      <w:r w:rsidRPr="006E5174">
        <w:rPr>
          <w:snapToGrid w:val="0"/>
        </w:rPr>
        <w:t xml:space="preserve"> potkanej pečene) po expozícii </w:t>
      </w:r>
      <w:proofErr w:type="spellStart"/>
      <w:r w:rsidRPr="006E5174">
        <w:rPr>
          <w:snapToGrid w:val="0"/>
        </w:rPr>
        <w:t>fosfomycínu</w:t>
      </w:r>
      <w:proofErr w:type="spellEnd"/>
      <w:r w:rsidRPr="006E5174">
        <w:rPr>
          <w:snapToGrid w:val="0"/>
        </w:rPr>
        <w:t xml:space="preserve"> až 1 600 µg/ml.</w:t>
      </w:r>
    </w:p>
    <w:p w14:paraId="2B1D2CC0" w14:textId="77777777" w:rsidR="006E5174" w:rsidRDefault="006E5174" w:rsidP="007501FF">
      <w:pPr>
        <w:spacing w:after="0"/>
        <w:rPr>
          <w:snapToGrid w:val="0"/>
        </w:rPr>
      </w:pPr>
    </w:p>
    <w:p w14:paraId="194A9D51" w14:textId="77777777" w:rsidR="006E5174" w:rsidRPr="006E5174" w:rsidRDefault="006E5174" w:rsidP="007501FF">
      <w:pPr>
        <w:spacing w:after="0"/>
        <w:rPr>
          <w:snapToGrid w:val="0"/>
        </w:rPr>
      </w:pPr>
    </w:p>
    <w:p w14:paraId="72852B40" w14:textId="2175C544" w:rsidR="009E0FD0" w:rsidRDefault="009E0FD0" w:rsidP="007501FF">
      <w:pPr>
        <w:pStyle w:val="Nadpis1"/>
        <w:tabs>
          <w:tab w:val="left" w:pos="567"/>
        </w:tabs>
        <w:spacing w:before="0" w:beforeAutospacing="0"/>
        <w:ind w:left="0" w:firstLine="0"/>
      </w:pPr>
      <w:r w:rsidRPr="006E5174">
        <w:t>FARMACEUTICKÉ INFORMÁCIE</w:t>
      </w:r>
    </w:p>
    <w:p w14:paraId="534288C5" w14:textId="77777777" w:rsidR="006E5174" w:rsidRPr="006E5174" w:rsidRDefault="006E5174" w:rsidP="007501FF">
      <w:pPr>
        <w:pStyle w:val="Normlnysozarkami"/>
        <w:spacing w:after="0"/>
      </w:pPr>
    </w:p>
    <w:p w14:paraId="79D93CE5" w14:textId="04A7910B" w:rsidR="009E0FD0" w:rsidRPr="006E5174" w:rsidRDefault="00CA1F15" w:rsidP="007501FF">
      <w:pPr>
        <w:pStyle w:val="Nadpis2"/>
        <w:tabs>
          <w:tab w:val="left" w:pos="567"/>
        </w:tabs>
        <w:spacing w:before="0"/>
        <w:ind w:left="0" w:firstLine="0"/>
      </w:pPr>
      <w:r w:rsidRPr="006E5174">
        <w:t>Zoznam pomocných látok</w:t>
      </w:r>
    </w:p>
    <w:p w14:paraId="179CB994" w14:textId="77777777" w:rsidR="006E5174" w:rsidRDefault="006E5174" w:rsidP="007501FF">
      <w:pPr>
        <w:spacing w:after="0"/>
      </w:pPr>
    </w:p>
    <w:p w14:paraId="1E0206C5" w14:textId="77777777" w:rsidR="003242A1" w:rsidRDefault="003242A1" w:rsidP="007501FF">
      <w:pPr>
        <w:spacing w:after="0"/>
      </w:pPr>
      <w:r w:rsidRPr="006E5174">
        <w:t>Kyselina jantárová.</w:t>
      </w:r>
    </w:p>
    <w:p w14:paraId="72883050" w14:textId="77777777" w:rsidR="006E5174" w:rsidRPr="006E5174" w:rsidRDefault="006E5174" w:rsidP="007501FF">
      <w:pPr>
        <w:spacing w:after="0"/>
      </w:pPr>
    </w:p>
    <w:p w14:paraId="4ECA647E" w14:textId="0B2B1FE0" w:rsidR="009E0FD0" w:rsidRPr="006E5174" w:rsidRDefault="00CA1F15" w:rsidP="007501FF">
      <w:pPr>
        <w:pStyle w:val="Nadpis2"/>
        <w:tabs>
          <w:tab w:val="left" w:pos="567"/>
        </w:tabs>
        <w:spacing w:before="0"/>
        <w:ind w:left="0" w:firstLine="0"/>
      </w:pPr>
      <w:r w:rsidRPr="006E5174">
        <w:t>Inkompatibility</w:t>
      </w:r>
    </w:p>
    <w:p w14:paraId="3C4D1681" w14:textId="77777777" w:rsidR="006E5174" w:rsidRDefault="006E5174" w:rsidP="007501FF">
      <w:pPr>
        <w:spacing w:after="0"/>
      </w:pPr>
    </w:p>
    <w:p w14:paraId="457E2711" w14:textId="6EDD450A" w:rsidR="003242A1" w:rsidRDefault="003242A1" w:rsidP="007501FF">
      <w:pPr>
        <w:spacing w:after="0"/>
      </w:pPr>
      <w:r w:rsidRPr="006E5174">
        <w:t xml:space="preserve">Aj keď sa </w:t>
      </w:r>
      <w:r w:rsidR="0011466E">
        <w:t>nezistili</w:t>
      </w:r>
      <w:r w:rsidRPr="006E5174">
        <w:t xml:space="preserve"> žiadne chemické/farmaceutické inkompatibility, roztoky </w:t>
      </w:r>
      <w:proofErr w:type="spellStart"/>
      <w:r w:rsidR="00FD7EF8" w:rsidRPr="006E5174">
        <w:t>Fomicyt</w:t>
      </w:r>
      <w:r w:rsidR="0011466E">
        <w:t>u</w:t>
      </w:r>
      <w:proofErr w:type="spellEnd"/>
      <w:r w:rsidRPr="006E5174">
        <w:t xml:space="preserve"> sa nesmú miešať s inými </w:t>
      </w:r>
      <w:proofErr w:type="spellStart"/>
      <w:r w:rsidRPr="006E5174">
        <w:t>parenterálnymi</w:t>
      </w:r>
      <w:proofErr w:type="spellEnd"/>
      <w:r w:rsidRPr="006E5174">
        <w:t xml:space="preserve"> prípravkami okrem tých, ktoré sú uvedené v časti 6.6.</w:t>
      </w:r>
    </w:p>
    <w:p w14:paraId="74653132" w14:textId="77777777" w:rsidR="006E5174" w:rsidRPr="006E5174" w:rsidRDefault="006E5174" w:rsidP="007501FF">
      <w:pPr>
        <w:spacing w:after="0"/>
      </w:pPr>
    </w:p>
    <w:p w14:paraId="13AD833B" w14:textId="250DD005" w:rsidR="009E0FD0" w:rsidRPr="006E5174" w:rsidRDefault="009E0FD0" w:rsidP="007501FF">
      <w:pPr>
        <w:pStyle w:val="Nadpis2"/>
        <w:tabs>
          <w:tab w:val="left" w:pos="567"/>
        </w:tabs>
        <w:spacing w:before="0"/>
        <w:ind w:left="0" w:firstLine="0"/>
      </w:pPr>
      <w:r w:rsidRPr="006E5174">
        <w:t>Čas použiteľnosti</w:t>
      </w:r>
    </w:p>
    <w:p w14:paraId="62BB181B" w14:textId="77777777" w:rsidR="006E5174" w:rsidRDefault="006E5174" w:rsidP="007501FF">
      <w:pPr>
        <w:spacing w:after="0"/>
      </w:pPr>
    </w:p>
    <w:p w14:paraId="02902FED" w14:textId="77777777" w:rsidR="003242A1" w:rsidRPr="006E5174" w:rsidRDefault="003242A1" w:rsidP="007501FF">
      <w:pPr>
        <w:spacing w:after="0"/>
      </w:pPr>
      <w:r w:rsidRPr="006E5174">
        <w:t>4 roky.</w:t>
      </w:r>
    </w:p>
    <w:p w14:paraId="1806957D" w14:textId="77777777" w:rsidR="0011466E" w:rsidRDefault="0011466E" w:rsidP="007501FF">
      <w:pPr>
        <w:spacing w:after="0"/>
      </w:pPr>
    </w:p>
    <w:p w14:paraId="294E8B60" w14:textId="39AE9242" w:rsidR="005F2CD5" w:rsidRPr="00733AB0" w:rsidRDefault="005F2CD5" w:rsidP="007501FF">
      <w:pPr>
        <w:spacing w:after="0"/>
      </w:pPr>
      <w:r w:rsidRPr="006E5174">
        <w:t xml:space="preserve">Chemická a fyzikálna stabilita pri používaní konečného zriedeného roztoku, ktorý bol pripravený pri sterilných podmienkach, sa preukázala </w:t>
      </w:r>
      <w:r w:rsidR="0011466E">
        <w:t>počas</w:t>
      </w:r>
      <w:r w:rsidRPr="006E5174">
        <w:t xml:space="preserve"> 24 hodín pri teplote 25 °C, keď je roztok chránený pred svetlom. </w:t>
      </w:r>
    </w:p>
    <w:p w14:paraId="4FA19E46" w14:textId="77777777" w:rsidR="0011466E" w:rsidRDefault="0011466E" w:rsidP="007501FF">
      <w:pPr>
        <w:spacing w:after="0"/>
      </w:pPr>
    </w:p>
    <w:p w14:paraId="45459A25" w14:textId="07318CBD" w:rsidR="005F2CD5" w:rsidRDefault="005F2CD5" w:rsidP="007501FF">
      <w:pPr>
        <w:spacing w:after="0"/>
      </w:pPr>
      <w:r w:rsidRPr="00733AB0">
        <w:t xml:space="preserve">Z mikrobiologického hľadiska sa má liek použiť okamžite. Ak sa liek nepoužije okamžite, za čas a podmienky </w:t>
      </w:r>
      <w:r w:rsidR="0011466E">
        <w:t>uchovávania</w:t>
      </w:r>
      <w:r w:rsidRPr="00733AB0">
        <w:t xml:space="preserve"> pr</w:t>
      </w:r>
      <w:r w:rsidR="0011466E">
        <w:t>ed</w:t>
      </w:r>
      <w:r w:rsidRPr="00733AB0">
        <w:t xml:space="preserve"> použití</w:t>
      </w:r>
      <w:r w:rsidR="0011466E">
        <w:t>m</w:t>
      </w:r>
      <w:r w:rsidRPr="00733AB0">
        <w:t xml:space="preserve"> zodpovedá používateľ a</w:t>
      </w:r>
      <w:r w:rsidR="009D644C">
        <w:t> obvykle</w:t>
      </w:r>
      <w:r w:rsidR="00516CEC">
        <w:t xml:space="preserve"> </w:t>
      </w:r>
      <w:r w:rsidRPr="00733AB0">
        <w:t>nem</w:t>
      </w:r>
      <w:r w:rsidR="00516CEC">
        <w:t>ajú</w:t>
      </w:r>
      <w:r w:rsidRPr="00733AB0">
        <w:t xml:space="preserve"> byť dlhšie ako 24 hodín pri teplote 2 až 8 °C, </w:t>
      </w:r>
      <w:r w:rsidR="0011466E">
        <w:t>pokiaľ</w:t>
      </w:r>
      <w:r w:rsidRPr="00733AB0">
        <w:t xml:space="preserve"> sa príprava neuskutočnila pri kontrolovaných a validovaných sterilných podmienkach.</w:t>
      </w:r>
    </w:p>
    <w:p w14:paraId="1F9A37A3" w14:textId="77777777" w:rsidR="006E5174" w:rsidRPr="006E5174" w:rsidRDefault="006E5174" w:rsidP="007501FF">
      <w:pPr>
        <w:spacing w:after="0"/>
      </w:pPr>
    </w:p>
    <w:p w14:paraId="1A376718" w14:textId="47662371" w:rsidR="009E0FD0" w:rsidRPr="006E5174" w:rsidRDefault="009E0FD0" w:rsidP="007501FF">
      <w:pPr>
        <w:pStyle w:val="Nadpis2"/>
        <w:tabs>
          <w:tab w:val="left" w:pos="567"/>
        </w:tabs>
        <w:spacing w:before="0"/>
        <w:ind w:left="0" w:firstLine="0"/>
      </w:pPr>
      <w:r w:rsidRPr="006E5174">
        <w:t>Špeciálne upozornenia na uchovávanie</w:t>
      </w:r>
    </w:p>
    <w:p w14:paraId="1CA8033E" w14:textId="77777777" w:rsidR="0011466E" w:rsidRDefault="0011466E" w:rsidP="007501FF">
      <w:pPr>
        <w:spacing w:after="0"/>
      </w:pPr>
    </w:p>
    <w:p w14:paraId="31798356" w14:textId="77777777" w:rsidR="00071181" w:rsidRPr="006E5174" w:rsidRDefault="00071181" w:rsidP="007501FF">
      <w:pPr>
        <w:spacing w:after="0"/>
        <w:rPr>
          <w:spacing w:val="-3"/>
        </w:rPr>
      </w:pPr>
      <w:r w:rsidRPr="006E5174">
        <w:t>Tento liek nevyžaduje žiadne zvláštne podmienky na uchovávanie.</w:t>
      </w:r>
    </w:p>
    <w:p w14:paraId="39EE0BAC" w14:textId="77777777" w:rsidR="0011466E" w:rsidRDefault="0011466E" w:rsidP="007501FF">
      <w:pPr>
        <w:spacing w:after="0"/>
      </w:pPr>
    </w:p>
    <w:p w14:paraId="1DB04ACB" w14:textId="16A5D904" w:rsidR="00D130D7" w:rsidRDefault="0011466E" w:rsidP="007501FF">
      <w:pPr>
        <w:spacing w:after="0"/>
      </w:pPr>
      <w:r>
        <w:t>Podmienky na</w:t>
      </w:r>
      <w:r w:rsidR="00D130D7" w:rsidRPr="00733AB0">
        <w:t xml:space="preserve"> uchovávani</w:t>
      </w:r>
      <w:r>
        <w:t>e</w:t>
      </w:r>
      <w:r w:rsidR="00D130D7" w:rsidRPr="00733AB0">
        <w:t xml:space="preserve"> infúzneho roztoku</w:t>
      </w:r>
      <w:r>
        <w:t>,</w:t>
      </w:r>
      <w:r w:rsidR="00D130D7" w:rsidRPr="00733AB0">
        <w:t xml:space="preserve"> </w:t>
      </w:r>
      <w:r>
        <w:t xml:space="preserve">pozri </w:t>
      </w:r>
      <w:r w:rsidR="00D130D7" w:rsidRPr="00733AB0">
        <w:t>čas</w:t>
      </w:r>
      <w:r>
        <w:t>ť</w:t>
      </w:r>
      <w:r w:rsidR="00D130D7" w:rsidRPr="00733AB0">
        <w:t> 6.3.</w:t>
      </w:r>
    </w:p>
    <w:p w14:paraId="749123AF" w14:textId="77777777" w:rsidR="0011466E" w:rsidRPr="00733AB0" w:rsidRDefault="0011466E" w:rsidP="007501FF">
      <w:pPr>
        <w:spacing w:after="0"/>
        <w:rPr>
          <w:spacing w:val="-3"/>
        </w:rPr>
      </w:pPr>
    </w:p>
    <w:p w14:paraId="0F320B57" w14:textId="7BB6E8C8" w:rsidR="009E0FD0" w:rsidRPr="00733AB0" w:rsidRDefault="009E0FD0" w:rsidP="007501FF">
      <w:pPr>
        <w:pStyle w:val="Nadpis2"/>
        <w:tabs>
          <w:tab w:val="left" w:pos="567"/>
        </w:tabs>
        <w:spacing w:before="0"/>
        <w:ind w:left="0" w:firstLine="0"/>
      </w:pPr>
      <w:r w:rsidRPr="00733AB0">
        <w:t>Druh obalu a obsah balenia</w:t>
      </w:r>
    </w:p>
    <w:p w14:paraId="720C6274" w14:textId="77777777" w:rsidR="006E5174" w:rsidRDefault="006E5174" w:rsidP="007501FF">
      <w:pPr>
        <w:spacing w:after="0"/>
      </w:pPr>
    </w:p>
    <w:p w14:paraId="0DE9C7EC" w14:textId="08D637D8" w:rsidR="003242A1" w:rsidRPr="006E5174" w:rsidRDefault="003242A1" w:rsidP="007501FF">
      <w:pPr>
        <w:spacing w:after="0"/>
        <w:rPr>
          <w:spacing w:val="-3"/>
        </w:rPr>
      </w:pPr>
      <w:r w:rsidRPr="006E5174">
        <w:t>Fľaše z číreho skla typu I s gumovou zátkou (</w:t>
      </w:r>
      <w:proofErr w:type="spellStart"/>
      <w:r w:rsidRPr="006E5174">
        <w:t>brómbutylová</w:t>
      </w:r>
      <w:proofErr w:type="spellEnd"/>
      <w:r w:rsidRPr="006E5174">
        <w:t xml:space="preserve"> guma) a </w:t>
      </w:r>
      <w:r w:rsidRPr="001F5516">
        <w:t>sťahovacím viečkom</w:t>
      </w:r>
      <w:r w:rsidRPr="006E5174">
        <w:t xml:space="preserve"> obsahujúce 2 g (v 30 ml fľaši), 4 g (v 30 ml fľaši) alebo 8 g (v 50 ml fľaši) </w:t>
      </w:r>
      <w:proofErr w:type="spellStart"/>
      <w:r w:rsidR="00FD7EF8" w:rsidRPr="006E5174">
        <w:t>Fomicyt</w:t>
      </w:r>
      <w:r w:rsidR="009A0113">
        <w:t>u</w:t>
      </w:r>
      <w:proofErr w:type="spellEnd"/>
      <w:r w:rsidRPr="006E5174">
        <w:t xml:space="preserve"> v baleniach po 10 f</w:t>
      </w:r>
      <w:r w:rsidR="001F5516">
        <w:t>l</w:t>
      </w:r>
      <w:r w:rsidR="009A0113">
        <w:t>iaš</w:t>
      </w:r>
      <w:r w:rsidRPr="006E5174">
        <w:t>.</w:t>
      </w:r>
    </w:p>
    <w:p w14:paraId="0F8E0B3E" w14:textId="77777777" w:rsidR="009A0113" w:rsidRDefault="009A0113" w:rsidP="007501FF">
      <w:pPr>
        <w:spacing w:after="0"/>
      </w:pPr>
    </w:p>
    <w:p w14:paraId="5CA76EDE" w14:textId="77777777" w:rsidR="009D045B" w:rsidRDefault="009D045B" w:rsidP="007501FF">
      <w:pPr>
        <w:spacing w:after="0"/>
      </w:pPr>
      <w:r w:rsidRPr="00733AB0">
        <w:t>Na trh nemusia byť uvedené všetky veľkosti balenia.</w:t>
      </w:r>
    </w:p>
    <w:p w14:paraId="5358DC7E" w14:textId="77777777" w:rsidR="006E5174" w:rsidRPr="006E5174" w:rsidRDefault="006E5174" w:rsidP="007501FF">
      <w:pPr>
        <w:spacing w:after="0"/>
        <w:rPr>
          <w:spacing w:val="-3"/>
        </w:rPr>
      </w:pPr>
    </w:p>
    <w:p w14:paraId="1E551517" w14:textId="4957B2E3" w:rsidR="009E0FD0" w:rsidRPr="006E5174" w:rsidRDefault="009E0FD0" w:rsidP="007501FF">
      <w:pPr>
        <w:pStyle w:val="Nadpis2"/>
        <w:tabs>
          <w:tab w:val="left" w:pos="567"/>
        </w:tabs>
        <w:spacing w:before="0"/>
        <w:ind w:left="0" w:firstLine="0"/>
      </w:pPr>
      <w:r w:rsidRPr="006E5174">
        <w:t>Špeciálne opatrenia na likvidáciu a iné zaobchádzanie s liekom</w:t>
      </w:r>
    </w:p>
    <w:p w14:paraId="130FC031" w14:textId="77777777" w:rsidR="006E5174" w:rsidRDefault="006E5174" w:rsidP="007501FF">
      <w:pPr>
        <w:spacing w:after="0"/>
        <w:rPr>
          <w:b/>
        </w:rPr>
      </w:pPr>
    </w:p>
    <w:p w14:paraId="4116D00C" w14:textId="77777777" w:rsidR="002C1990" w:rsidRPr="006E5174" w:rsidRDefault="002C1990" w:rsidP="007501FF">
      <w:pPr>
        <w:spacing w:after="0"/>
        <w:rPr>
          <w:b/>
        </w:rPr>
      </w:pPr>
      <w:r w:rsidRPr="006E5174">
        <w:rPr>
          <w:b/>
        </w:rPr>
        <w:t>Len na jednorazové použitie.</w:t>
      </w:r>
    </w:p>
    <w:p w14:paraId="57520338" w14:textId="77777777" w:rsidR="009A0113" w:rsidRDefault="009A0113" w:rsidP="007501FF">
      <w:pPr>
        <w:spacing w:after="0"/>
      </w:pPr>
    </w:p>
    <w:p w14:paraId="23383B25" w14:textId="77777777" w:rsidR="00FA4CD1" w:rsidRPr="00733AB0" w:rsidRDefault="00FA4CD1" w:rsidP="007501FF">
      <w:pPr>
        <w:spacing w:after="0"/>
      </w:pPr>
      <w:r w:rsidRPr="00733AB0">
        <w:t>Všetok nepoužitý liek alebo odpad vzniknutý z lieku sa má zlikvidovať v súlade s národnými požiadavkami.</w:t>
      </w:r>
    </w:p>
    <w:p w14:paraId="7F12D952" w14:textId="77777777" w:rsidR="0011466E" w:rsidRDefault="0011466E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</w:p>
    <w:p w14:paraId="3F41CBAA" w14:textId="77777777" w:rsidR="00A34767" w:rsidRPr="00733AB0" w:rsidRDefault="00A34767" w:rsidP="007501FF">
      <w:pPr>
        <w:pStyle w:val="Formatvorlageberschrift3NichtKursivUnterstrichenLinks125cm"/>
        <w:spacing w:before="0" w:line="240" w:lineRule="auto"/>
        <w:ind w:left="0"/>
        <w:rPr>
          <w:szCs w:val="22"/>
        </w:rPr>
      </w:pPr>
      <w:r w:rsidRPr="00733AB0">
        <w:rPr>
          <w:szCs w:val="22"/>
        </w:rPr>
        <w:t xml:space="preserve">Príprava infúzneho roztoku </w:t>
      </w:r>
    </w:p>
    <w:p w14:paraId="017FEA1E" w14:textId="1D2909A6" w:rsidR="009C00E5" w:rsidRPr="00733AB0" w:rsidRDefault="00FD7EF8" w:rsidP="006E5174">
      <w:pPr>
        <w:pStyle w:val="Formatvorlageberschrift3NichtKursivUnterstrichenLinks125cm"/>
        <w:keepNext w:val="0"/>
        <w:widowControl w:val="0"/>
        <w:spacing w:before="0" w:line="240" w:lineRule="auto"/>
        <w:ind w:left="0"/>
        <w:rPr>
          <w:szCs w:val="22"/>
          <w:u w:val="none"/>
        </w:rPr>
      </w:pPr>
      <w:proofErr w:type="spellStart"/>
      <w:r w:rsidRPr="00733AB0">
        <w:rPr>
          <w:b/>
          <w:szCs w:val="22"/>
          <w:u w:val="none"/>
        </w:rPr>
        <w:t>Fomicyt</w:t>
      </w:r>
      <w:proofErr w:type="spellEnd"/>
      <w:r w:rsidR="009C00E5" w:rsidRPr="00733AB0">
        <w:rPr>
          <w:b/>
          <w:szCs w:val="22"/>
          <w:u w:val="none"/>
        </w:rPr>
        <w:t xml:space="preserve"> sa musí pred podaním rekonštituovať a zriediť.</w:t>
      </w:r>
      <w:r w:rsidR="009C00E5" w:rsidRPr="00733AB0">
        <w:rPr>
          <w:szCs w:val="22"/>
          <w:u w:val="none"/>
        </w:rPr>
        <w:t xml:space="preserve"> Ako rozpúšťadlo na rekonštitúciu a zriedenie sa môžu použiť voda na injekci</w:t>
      </w:r>
      <w:r w:rsidR="009A0113">
        <w:rPr>
          <w:szCs w:val="22"/>
          <w:u w:val="none"/>
        </w:rPr>
        <w:t>e</w:t>
      </w:r>
      <w:r w:rsidR="009C00E5" w:rsidRPr="00733AB0">
        <w:rPr>
          <w:szCs w:val="22"/>
          <w:u w:val="none"/>
        </w:rPr>
        <w:t xml:space="preserve"> a infúzia glukózy 50 mg/ml (5 %) alebo infúzia glukózy 100 mg/ml (10 %). Nesmú sa použiť rozpúšťadlá obsahujúce chlorid sodný (pozri časť 4.4).</w:t>
      </w:r>
    </w:p>
    <w:p w14:paraId="535341B6" w14:textId="77777777" w:rsidR="009C00E5" w:rsidRPr="006E5174" w:rsidRDefault="009C00E5" w:rsidP="006E5174">
      <w:pPr>
        <w:pStyle w:val="Formatvorlageberschrift3NichtKursivUnterstrichenLinks125cm"/>
        <w:keepNext w:val="0"/>
        <w:widowControl w:val="0"/>
        <w:spacing w:before="0" w:line="240" w:lineRule="auto"/>
        <w:ind w:left="0"/>
        <w:rPr>
          <w:szCs w:val="22"/>
          <w:u w:val="none"/>
          <w:lang w:eastAsia="en-US" w:bidi="ar-QA"/>
        </w:rPr>
      </w:pPr>
    </w:p>
    <w:p w14:paraId="2DE37BFC" w14:textId="77777777" w:rsidR="009C00E5" w:rsidRPr="006E5174" w:rsidRDefault="009C00E5" w:rsidP="006E5174">
      <w:pPr>
        <w:pStyle w:val="Formatvorlageberschrift3NichtKursivUnterstrichenLinks125cm"/>
        <w:keepNext w:val="0"/>
        <w:widowControl w:val="0"/>
        <w:spacing w:before="0" w:line="240" w:lineRule="auto"/>
        <w:ind w:left="0"/>
        <w:rPr>
          <w:szCs w:val="22"/>
        </w:rPr>
      </w:pPr>
      <w:r w:rsidRPr="006E5174">
        <w:rPr>
          <w:szCs w:val="22"/>
        </w:rPr>
        <w:t>Rekonštitúcia</w:t>
      </w:r>
    </w:p>
    <w:p w14:paraId="0B1841B6" w14:textId="77777777" w:rsidR="009C00E5" w:rsidRPr="006E5174" w:rsidRDefault="009C00E5" w:rsidP="00733AB0">
      <w:pPr>
        <w:pStyle w:val="Formatvorlageberschrift3NichtKursivUnterstrichenLinks125cm"/>
        <w:keepNext w:val="0"/>
        <w:widowControl w:val="0"/>
        <w:spacing w:before="0" w:line="240" w:lineRule="auto"/>
        <w:ind w:left="0"/>
        <w:rPr>
          <w:szCs w:val="22"/>
          <w:u w:val="none"/>
        </w:rPr>
      </w:pPr>
      <w:r w:rsidRPr="006E5174">
        <w:rPr>
          <w:szCs w:val="22"/>
          <w:u w:val="none"/>
        </w:rPr>
        <w:t>Pred rekonštitúciou injekčnú liekovku pretrepte, aby sa uvoľnil prášok. Rekonštituujte 2 g alebo 4 g injekčné liekovky s 20 ml a 8 g injekčnú liekovku so 40 ml rozpúšťadla. Dobre pretrepte, aby sa prášok rozpustil. Pri rozpúšťaní prášku dochádza k miernemu otepleniu roztoku.</w:t>
      </w:r>
    </w:p>
    <w:p w14:paraId="3C9DA611" w14:textId="16A83A09" w:rsidR="009C00E5" w:rsidRPr="006E5174" w:rsidRDefault="009C00E5" w:rsidP="00733AB0">
      <w:pPr>
        <w:pStyle w:val="Formatvorlageberschrift3NichtKursivUnterstrichenLinks125cm"/>
        <w:keepNext w:val="0"/>
        <w:widowControl w:val="0"/>
        <w:spacing w:before="0" w:line="240" w:lineRule="auto"/>
        <w:ind w:left="0"/>
        <w:rPr>
          <w:szCs w:val="22"/>
          <w:u w:val="none"/>
        </w:rPr>
      </w:pPr>
      <w:r w:rsidRPr="006E5174">
        <w:rPr>
          <w:b/>
          <w:szCs w:val="22"/>
          <w:u w:val="none"/>
        </w:rPr>
        <w:t>Upozornenie:</w:t>
      </w:r>
      <w:r w:rsidRPr="006E5174">
        <w:rPr>
          <w:szCs w:val="22"/>
          <w:u w:val="none"/>
        </w:rPr>
        <w:t xml:space="preserve"> Tento prechodný roztok nie je určený na priamu infúziu. Roztok </w:t>
      </w:r>
      <w:r w:rsidR="00A31244">
        <w:rPr>
          <w:szCs w:val="22"/>
          <w:u w:val="none"/>
        </w:rPr>
        <w:t>odoberte</w:t>
      </w:r>
      <w:r w:rsidRPr="006E5174">
        <w:rPr>
          <w:szCs w:val="22"/>
          <w:u w:val="none"/>
        </w:rPr>
        <w:t xml:space="preserve"> </w:t>
      </w:r>
      <w:r w:rsidR="00A4260D">
        <w:rPr>
          <w:szCs w:val="22"/>
          <w:u w:val="none"/>
        </w:rPr>
        <w:t xml:space="preserve">celý </w:t>
      </w:r>
      <w:r w:rsidRPr="006E5174">
        <w:rPr>
          <w:szCs w:val="22"/>
          <w:u w:val="none"/>
        </w:rPr>
        <w:t xml:space="preserve">z pôvodnej injekčnej liekovky. Preneste </w:t>
      </w:r>
      <w:r w:rsidR="00A31244" w:rsidRPr="001E4B3F">
        <w:rPr>
          <w:szCs w:val="22"/>
          <w:u w:val="none"/>
        </w:rPr>
        <w:t>o</w:t>
      </w:r>
      <w:r w:rsidR="008F014F" w:rsidRPr="001E4B3F">
        <w:rPr>
          <w:szCs w:val="22"/>
          <w:u w:val="none"/>
        </w:rPr>
        <w:t>dobrat</w:t>
      </w:r>
      <w:r w:rsidR="00A31244" w:rsidRPr="001E4B3F">
        <w:rPr>
          <w:szCs w:val="22"/>
          <w:u w:val="none"/>
        </w:rPr>
        <w:t>ý</w:t>
      </w:r>
      <w:r w:rsidRPr="006E5174">
        <w:rPr>
          <w:szCs w:val="22"/>
          <w:u w:val="none"/>
        </w:rPr>
        <w:t xml:space="preserve"> roztok do infúzneho vaku alebo inej vhodnej infúznej nádoby na ďalšie zriedenie, ako je uvedené nasledovne</w:t>
      </w:r>
      <w:r w:rsidR="00A31244">
        <w:rPr>
          <w:szCs w:val="22"/>
          <w:u w:val="none"/>
        </w:rPr>
        <w:t>.</w:t>
      </w:r>
    </w:p>
    <w:p w14:paraId="3C0CCB31" w14:textId="77777777" w:rsidR="009C00E5" w:rsidRPr="006E5174" w:rsidRDefault="009C00E5" w:rsidP="00733AB0">
      <w:pPr>
        <w:pStyle w:val="Formatvorlageberschrift3NichtKursivUnterstrichenLinks125cm"/>
        <w:keepNext w:val="0"/>
        <w:widowControl w:val="0"/>
        <w:spacing w:before="0" w:line="240" w:lineRule="auto"/>
        <w:ind w:left="0"/>
        <w:rPr>
          <w:szCs w:val="22"/>
          <w:u w:val="none"/>
          <w:lang w:eastAsia="en-US" w:bidi="ar-QA"/>
        </w:rPr>
      </w:pPr>
    </w:p>
    <w:p w14:paraId="0CF26CAE" w14:textId="77777777" w:rsidR="009C00E5" w:rsidRPr="006E5174" w:rsidRDefault="009C00E5">
      <w:pPr>
        <w:pStyle w:val="Formatvorlageberschrift3NichtKursivUnterstrichenLinks125cm"/>
        <w:keepNext w:val="0"/>
        <w:widowControl w:val="0"/>
        <w:spacing w:before="0" w:line="240" w:lineRule="auto"/>
        <w:ind w:left="0"/>
        <w:rPr>
          <w:szCs w:val="22"/>
        </w:rPr>
      </w:pPr>
      <w:r w:rsidRPr="006E5174">
        <w:rPr>
          <w:szCs w:val="22"/>
        </w:rPr>
        <w:t>Zriedenie</w:t>
      </w:r>
    </w:p>
    <w:p w14:paraId="4B400E60" w14:textId="77777777" w:rsidR="009C00E5" w:rsidRPr="006E5174" w:rsidRDefault="009C00E5">
      <w:pPr>
        <w:pStyle w:val="Formatvorlageberschrift3NichtKursivUnterstrichenLinks125cm"/>
        <w:keepNext w:val="0"/>
        <w:widowControl w:val="0"/>
        <w:spacing w:before="0" w:line="240" w:lineRule="auto"/>
        <w:ind w:left="0"/>
        <w:rPr>
          <w:szCs w:val="22"/>
          <w:u w:val="none"/>
        </w:rPr>
      </w:pPr>
      <w:r w:rsidRPr="006E5174">
        <w:rPr>
          <w:szCs w:val="22"/>
          <w:u w:val="none"/>
        </w:rPr>
        <w:t xml:space="preserve">Preneste rekonštituovaný obsah </w:t>
      </w:r>
      <w:r w:rsidRPr="006E5174">
        <w:rPr>
          <w:b/>
          <w:szCs w:val="22"/>
          <w:u w:val="none"/>
        </w:rPr>
        <w:t>2 g injekčných liekoviek</w:t>
      </w:r>
      <w:r w:rsidRPr="006E5174">
        <w:rPr>
          <w:szCs w:val="22"/>
          <w:u w:val="none"/>
        </w:rPr>
        <w:t xml:space="preserve"> do infúznej nádoby s ďalšími </w:t>
      </w:r>
      <w:r w:rsidRPr="006E5174">
        <w:rPr>
          <w:b/>
          <w:szCs w:val="22"/>
          <w:u w:val="none"/>
        </w:rPr>
        <w:t>30 ml</w:t>
      </w:r>
      <w:r w:rsidRPr="006E5174">
        <w:rPr>
          <w:szCs w:val="22"/>
          <w:u w:val="none"/>
        </w:rPr>
        <w:t xml:space="preserve"> rozpúšťadla. </w:t>
      </w:r>
    </w:p>
    <w:p w14:paraId="7374576F" w14:textId="77777777" w:rsidR="009C00E5" w:rsidRPr="006E5174" w:rsidRDefault="009C00E5">
      <w:pPr>
        <w:pStyle w:val="Formatvorlageberschrift3NichtKursivUnterstrichenLinks125cm"/>
        <w:keepNext w:val="0"/>
        <w:widowControl w:val="0"/>
        <w:spacing w:before="0" w:line="240" w:lineRule="auto"/>
        <w:ind w:left="0"/>
        <w:rPr>
          <w:szCs w:val="22"/>
          <w:u w:val="none"/>
        </w:rPr>
      </w:pPr>
      <w:r w:rsidRPr="006E5174">
        <w:rPr>
          <w:szCs w:val="22"/>
          <w:u w:val="none"/>
        </w:rPr>
        <w:t xml:space="preserve">Preneste rekonštituovaný obsah </w:t>
      </w:r>
      <w:r w:rsidRPr="006E5174">
        <w:rPr>
          <w:b/>
          <w:szCs w:val="22"/>
          <w:u w:val="none"/>
        </w:rPr>
        <w:t>4 g injekčných liekoviek</w:t>
      </w:r>
      <w:r w:rsidRPr="006E5174">
        <w:rPr>
          <w:szCs w:val="22"/>
          <w:u w:val="none"/>
        </w:rPr>
        <w:t xml:space="preserve"> do infúznej nádoby s ďalšími </w:t>
      </w:r>
      <w:r w:rsidRPr="006E5174">
        <w:rPr>
          <w:b/>
          <w:szCs w:val="22"/>
          <w:u w:val="none"/>
        </w:rPr>
        <w:t>80 ml</w:t>
      </w:r>
      <w:r w:rsidRPr="006E5174">
        <w:rPr>
          <w:szCs w:val="22"/>
          <w:u w:val="none"/>
        </w:rPr>
        <w:t xml:space="preserve"> rozpúšťadla. </w:t>
      </w:r>
    </w:p>
    <w:p w14:paraId="514B2001" w14:textId="77777777" w:rsidR="009C00E5" w:rsidRPr="006E5174" w:rsidRDefault="009C00E5">
      <w:pPr>
        <w:pStyle w:val="Formatvorlageberschrift3NichtKursivUnterstrichenLinks125cm"/>
        <w:keepNext w:val="0"/>
        <w:widowControl w:val="0"/>
        <w:spacing w:before="0" w:line="240" w:lineRule="auto"/>
        <w:ind w:left="0"/>
        <w:rPr>
          <w:szCs w:val="22"/>
          <w:u w:val="none"/>
        </w:rPr>
      </w:pPr>
      <w:r w:rsidRPr="006E5174">
        <w:rPr>
          <w:szCs w:val="22"/>
          <w:u w:val="none"/>
        </w:rPr>
        <w:t xml:space="preserve">Preneste rekonštituovaný obsah </w:t>
      </w:r>
      <w:r w:rsidRPr="006E5174">
        <w:rPr>
          <w:b/>
          <w:szCs w:val="22"/>
          <w:u w:val="none"/>
        </w:rPr>
        <w:t>8 g injekčných liekoviek</w:t>
      </w:r>
      <w:r w:rsidRPr="006E5174">
        <w:rPr>
          <w:szCs w:val="22"/>
          <w:u w:val="none"/>
        </w:rPr>
        <w:t xml:space="preserve"> do infúznej nádoby s ďalšími </w:t>
      </w:r>
      <w:r w:rsidRPr="006E5174">
        <w:rPr>
          <w:b/>
          <w:szCs w:val="22"/>
          <w:u w:val="none"/>
        </w:rPr>
        <w:t>160 ml</w:t>
      </w:r>
      <w:r w:rsidRPr="006E5174">
        <w:rPr>
          <w:szCs w:val="22"/>
          <w:u w:val="none"/>
        </w:rPr>
        <w:t xml:space="preserve"> rozpúšťadla. </w:t>
      </w:r>
    </w:p>
    <w:p w14:paraId="67B852E8" w14:textId="77777777" w:rsidR="00A31244" w:rsidRDefault="00A31244" w:rsidP="007501FF">
      <w:pPr>
        <w:spacing w:after="0"/>
      </w:pPr>
    </w:p>
    <w:p w14:paraId="50324D6B" w14:textId="0D54013F" w:rsidR="00A34767" w:rsidRPr="006E5174" w:rsidRDefault="009C00E5" w:rsidP="007501FF">
      <w:pPr>
        <w:spacing w:after="0"/>
        <w:rPr>
          <w:snapToGrid w:val="0"/>
          <w:color w:val="000000"/>
        </w:rPr>
      </w:pPr>
      <w:r w:rsidRPr="006E5174">
        <w:t>Výsledný infúzny roztok je číry a bezfarebný až jemne žltý.</w:t>
      </w:r>
    </w:p>
    <w:p w14:paraId="2551827F" w14:textId="77777777" w:rsidR="00A31244" w:rsidRDefault="00A31244" w:rsidP="007501FF">
      <w:pPr>
        <w:spacing w:after="0"/>
        <w:rPr>
          <w:snapToGrid w:val="0"/>
          <w:color w:val="000000"/>
          <w:u w:val="single"/>
        </w:rPr>
      </w:pPr>
    </w:p>
    <w:p w14:paraId="4ECE2128" w14:textId="4EC7293C" w:rsidR="00A77A5F" w:rsidRPr="0013629C" w:rsidRDefault="0013629C" w:rsidP="007501FF">
      <w:pPr>
        <w:spacing w:after="0"/>
        <w:rPr>
          <w:snapToGrid w:val="0"/>
          <w:color w:val="000000"/>
          <w:u w:val="single"/>
        </w:rPr>
      </w:pPr>
      <w:r>
        <w:rPr>
          <w:snapToGrid w:val="0"/>
          <w:color w:val="000000"/>
          <w:u w:val="single"/>
        </w:rPr>
        <w:t>H</w:t>
      </w:r>
      <w:r w:rsidR="00A77A5F" w:rsidRPr="0013629C">
        <w:rPr>
          <w:snapToGrid w:val="0"/>
          <w:color w:val="000000"/>
          <w:u w:val="single"/>
        </w:rPr>
        <w:t>odnoty</w:t>
      </w:r>
      <w:r>
        <w:rPr>
          <w:snapToGrid w:val="0"/>
          <w:color w:val="000000"/>
          <w:u w:val="single"/>
        </w:rPr>
        <w:t xml:space="preserve"> navýšenia objemu</w:t>
      </w:r>
    </w:p>
    <w:p w14:paraId="54DACAF4" w14:textId="4985C4F4" w:rsidR="00A77A5F" w:rsidRPr="006E5174" w:rsidRDefault="0013629C" w:rsidP="006E5174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>H</w:t>
      </w:r>
      <w:r w:rsidR="00A77A5F" w:rsidRPr="0013629C">
        <w:rPr>
          <w:snapToGrid w:val="0"/>
          <w:color w:val="000000"/>
        </w:rPr>
        <w:t>odnoty</w:t>
      </w:r>
      <w:r w:rsidR="00A77A5F" w:rsidRPr="006E5174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navýšenia objemu </w:t>
      </w:r>
      <w:r w:rsidR="00A77A5F" w:rsidRPr="006E5174">
        <w:rPr>
          <w:snapToGrid w:val="0"/>
          <w:color w:val="000000"/>
        </w:rPr>
        <w:t>pre roztoky sú 1 ml pre 2 g veľkosť balenia, 2 ml pre 4 g veľkosť balenia a 4 ml pre 8 g veľkosť balenia.</w:t>
      </w:r>
    </w:p>
    <w:p w14:paraId="68A8E128" w14:textId="22537A49" w:rsidR="00A77A5F" w:rsidRDefault="00A77A5F" w:rsidP="007501FF">
      <w:pPr>
        <w:spacing w:after="0"/>
        <w:rPr>
          <w:snapToGrid w:val="0"/>
          <w:color w:val="000000"/>
        </w:rPr>
      </w:pPr>
      <w:r w:rsidRPr="006E5174">
        <w:rPr>
          <w:snapToGrid w:val="0"/>
          <w:color w:val="000000"/>
        </w:rPr>
        <w:t xml:space="preserve">Tieto objemy zodpovedajú zvýšeniu objemu o 2 %. Má sa to vziať do úvahy, keď sa </w:t>
      </w:r>
      <w:r w:rsidR="004A72DB">
        <w:rPr>
          <w:snapToGrid w:val="0"/>
          <w:color w:val="000000"/>
        </w:rPr>
        <w:t>ne</w:t>
      </w:r>
      <w:r w:rsidRPr="006E5174">
        <w:rPr>
          <w:snapToGrid w:val="0"/>
          <w:color w:val="000000"/>
        </w:rPr>
        <w:t>použije celý objem konečného zriedeného roztoku.</w:t>
      </w:r>
    </w:p>
    <w:p w14:paraId="5E4CD949" w14:textId="77777777" w:rsidR="006E5174" w:rsidRDefault="006E5174" w:rsidP="007501FF">
      <w:pPr>
        <w:spacing w:after="0"/>
        <w:rPr>
          <w:snapToGrid w:val="0"/>
          <w:color w:val="000000"/>
        </w:rPr>
      </w:pPr>
    </w:p>
    <w:p w14:paraId="4538BC48" w14:textId="77777777" w:rsidR="006E5174" w:rsidRPr="006E5174" w:rsidRDefault="006E5174" w:rsidP="007501FF">
      <w:pPr>
        <w:spacing w:after="0"/>
        <w:rPr>
          <w:snapToGrid w:val="0"/>
          <w:color w:val="000000"/>
        </w:rPr>
      </w:pPr>
    </w:p>
    <w:p w14:paraId="31D2B8AA" w14:textId="1101D967" w:rsidR="009E0FD0" w:rsidRPr="006E5174" w:rsidRDefault="009E0FD0" w:rsidP="007501FF">
      <w:pPr>
        <w:pStyle w:val="Nadpis1"/>
        <w:tabs>
          <w:tab w:val="left" w:pos="567"/>
        </w:tabs>
        <w:spacing w:before="0" w:beforeAutospacing="0"/>
        <w:ind w:left="0" w:firstLine="0"/>
      </w:pPr>
      <w:r w:rsidRPr="006E5174">
        <w:t>DRŽITEĽ ROZHODNUTIA O REGISTRÁCII</w:t>
      </w:r>
    </w:p>
    <w:p w14:paraId="4C0D308F" w14:textId="77777777" w:rsidR="005933DB" w:rsidRDefault="005933DB" w:rsidP="007501FF">
      <w:pPr>
        <w:spacing w:after="0"/>
      </w:pPr>
    </w:p>
    <w:p w14:paraId="423FAAEB" w14:textId="45ED35FD" w:rsidR="001E57C9" w:rsidRPr="006E5174" w:rsidRDefault="001E57C9" w:rsidP="007501FF">
      <w:pPr>
        <w:spacing w:after="0"/>
      </w:pPr>
      <w:r w:rsidRPr="00D80E06">
        <w:t>I</w:t>
      </w:r>
      <w:r w:rsidR="00526F0E">
        <w:t>n</w:t>
      </w:r>
      <w:bookmarkStart w:id="0" w:name="_GoBack"/>
      <w:bookmarkEnd w:id="0"/>
      <w:r w:rsidR="00526F0E">
        <w:t>fectopharm</w:t>
      </w:r>
      <w:r w:rsidRPr="006E5174">
        <w:t xml:space="preserve"> </w:t>
      </w:r>
      <w:proofErr w:type="spellStart"/>
      <w:r w:rsidRPr="006E5174">
        <w:t>Arzneimittel</w:t>
      </w:r>
      <w:proofErr w:type="spellEnd"/>
      <w:r w:rsidRPr="006E5174">
        <w:t xml:space="preserve"> </w:t>
      </w:r>
      <w:proofErr w:type="spellStart"/>
      <w:r w:rsidRPr="006E5174">
        <w:t>und</w:t>
      </w:r>
      <w:proofErr w:type="spellEnd"/>
      <w:r w:rsidRPr="006E5174">
        <w:t xml:space="preserve"> </w:t>
      </w:r>
      <w:proofErr w:type="spellStart"/>
      <w:r w:rsidRPr="006E5174">
        <w:t>Consilium</w:t>
      </w:r>
      <w:proofErr w:type="spellEnd"/>
      <w:r w:rsidRPr="006E5174">
        <w:t xml:space="preserve"> </w:t>
      </w:r>
      <w:proofErr w:type="spellStart"/>
      <w:r w:rsidRPr="006E5174">
        <w:t>GmbH</w:t>
      </w:r>
      <w:proofErr w:type="spellEnd"/>
    </w:p>
    <w:p w14:paraId="1F8CDF47" w14:textId="77777777" w:rsidR="001E57C9" w:rsidRPr="006E5174" w:rsidRDefault="001E57C9" w:rsidP="006E5174">
      <w:pPr>
        <w:spacing w:after="0"/>
      </w:pPr>
      <w:r w:rsidRPr="006E5174">
        <w:t>Von-</w:t>
      </w:r>
      <w:proofErr w:type="spellStart"/>
      <w:r w:rsidRPr="006E5174">
        <w:t>Humboldt</w:t>
      </w:r>
      <w:proofErr w:type="spellEnd"/>
      <w:r w:rsidRPr="006E5174">
        <w:t>-</w:t>
      </w:r>
      <w:proofErr w:type="spellStart"/>
      <w:r w:rsidRPr="006E5174">
        <w:t>Straße</w:t>
      </w:r>
      <w:proofErr w:type="spellEnd"/>
      <w:r w:rsidRPr="006E5174">
        <w:t xml:space="preserve"> 1</w:t>
      </w:r>
    </w:p>
    <w:p w14:paraId="7A5E5B77" w14:textId="2BE19C88" w:rsidR="001E57C9" w:rsidRPr="00733AB0" w:rsidRDefault="001E57C9" w:rsidP="006E5174">
      <w:pPr>
        <w:spacing w:after="0"/>
      </w:pPr>
      <w:r w:rsidRPr="00733AB0">
        <w:t xml:space="preserve">64646 </w:t>
      </w:r>
      <w:proofErr w:type="spellStart"/>
      <w:r w:rsidRPr="00733AB0">
        <w:t>Heppenheim</w:t>
      </w:r>
      <w:proofErr w:type="spellEnd"/>
    </w:p>
    <w:p w14:paraId="1CE0C9F8" w14:textId="10E7D8AC" w:rsidR="00B755AD" w:rsidRDefault="001E57C9" w:rsidP="006E5174">
      <w:pPr>
        <w:spacing w:after="0"/>
      </w:pPr>
      <w:r w:rsidRPr="00733AB0">
        <w:t>Nemecko</w:t>
      </w:r>
    </w:p>
    <w:p w14:paraId="1ACC8C00" w14:textId="77777777" w:rsidR="006E5174" w:rsidRDefault="006E5174" w:rsidP="006E5174">
      <w:pPr>
        <w:spacing w:after="0"/>
      </w:pPr>
    </w:p>
    <w:p w14:paraId="34239DF0" w14:textId="77777777" w:rsidR="006E5174" w:rsidRPr="006E5174" w:rsidRDefault="006E5174" w:rsidP="006E5174">
      <w:pPr>
        <w:spacing w:after="0"/>
      </w:pPr>
    </w:p>
    <w:p w14:paraId="7CA5B90D" w14:textId="093EE9B9" w:rsidR="009E0FD0" w:rsidRPr="006E5174" w:rsidRDefault="009E0FD0" w:rsidP="007501FF">
      <w:pPr>
        <w:pStyle w:val="Nadpis1"/>
        <w:tabs>
          <w:tab w:val="left" w:pos="567"/>
        </w:tabs>
        <w:spacing w:before="0" w:beforeAutospacing="0"/>
        <w:ind w:left="0" w:firstLine="0"/>
      </w:pPr>
      <w:r w:rsidRPr="006E5174">
        <w:t>REGISTRAČNÉ ČÍSL</w:t>
      </w:r>
      <w:r w:rsidR="006E5174">
        <w:t>O</w:t>
      </w:r>
    </w:p>
    <w:p w14:paraId="59776AF2" w14:textId="77777777" w:rsidR="006E5174" w:rsidRDefault="006E5174" w:rsidP="007501FF">
      <w:pPr>
        <w:spacing w:after="0"/>
      </w:pPr>
    </w:p>
    <w:p w14:paraId="554EAD3D" w14:textId="746D75D7" w:rsidR="006E5174" w:rsidRDefault="007501FF" w:rsidP="007501FF">
      <w:pPr>
        <w:spacing w:after="0"/>
      </w:pPr>
      <w:r w:rsidRPr="007501FF">
        <w:t>15/0271/19-S</w:t>
      </w:r>
    </w:p>
    <w:p w14:paraId="4658E982" w14:textId="77777777" w:rsidR="006E5174" w:rsidRDefault="006E5174" w:rsidP="007501FF">
      <w:pPr>
        <w:spacing w:after="0"/>
      </w:pPr>
    </w:p>
    <w:p w14:paraId="644F1716" w14:textId="4D99094A" w:rsidR="001B2771" w:rsidRPr="006E5174" w:rsidRDefault="001B2771" w:rsidP="007501FF">
      <w:pPr>
        <w:spacing w:after="0"/>
      </w:pPr>
    </w:p>
    <w:p w14:paraId="2856921E" w14:textId="16AC535A" w:rsidR="009E0FD0" w:rsidRPr="006E5174" w:rsidRDefault="009751EB" w:rsidP="007501FF">
      <w:pPr>
        <w:pStyle w:val="Nadpis1"/>
        <w:tabs>
          <w:tab w:val="left" w:pos="567"/>
        </w:tabs>
        <w:spacing w:before="0" w:beforeAutospacing="0"/>
        <w:ind w:left="0" w:firstLine="0"/>
      </w:pPr>
      <w:r w:rsidRPr="006E5174">
        <w:t>DÁTUM PRVEJ REGISTRÁCIE/PREDĹŽENIA REGISTRÁCIE</w:t>
      </w:r>
    </w:p>
    <w:p w14:paraId="7567AF7E" w14:textId="77777777" w:rsidR="006E5174" w:rsidRDefault="006E5174" w:rsidP="007501FF">
      <w:pPr>
        <w:spacing w:after="0"/>
      </w:pPr>
    </w:p>
    <w:p w14:paraId="25C47D12" w14:textId="77777777" w:rsidR="006E5174" w:rsidRDefault="006E5174" w:rsidP="007501FF">
      <w:pPr>
        <w:spacing w:after="0"/>
      </w:pPr>
    </w:p>
    <w:p w14:paraId="03662B15" w14:textId="030646BC" w:rsidR="001B2771" w:rsidRPr="006E5174" w:rsidRDefault="001B2771" w:rsidP="007501FF">
      <w:pPr>
        <w:spacing w:after="0"/>
      </w:pPr>
    </w:p>
    <w:p w14:paraId="78E56B22" w14:textId="01877B9E" w:rsidR="002D5AAC" w:rsidRPr="006E5174" w:rsidRDefault="009E0FD0" w:rsidP="007501FF">
      <w:pPr>
        <w:pStyle w:val="Nadpis1"/>
        <w:tabs>
          <w:tab w:val="left" w:pos="567"/>
        </w:tabs>
        <w:spacing w:before="0" w:beforeAutospacing="0"/>
        <w:ind w:left="0" w:firstLine="0"/>
      </w:pPr>
      <w:r w:rsidRPr="006E5174">
        <w:t>DÁTUM REVÍZIE TEXTU</w:t>
      </w:r>
    </w:p>
    <w:p w14:paraId="6360EC38" w14:textId="77777777" w:rsidR="006E5174" w:rsidRDefault="006E5174" w:rsidP="007501FF">
      <w:pPr>
        <w:spacing w:after="0"/>
      </w:pPr>
    </w:p>
    <w:p w14:paraId="1853104A" w14:textId="264EBDA8" w:rsidR="006E5174" w:rsidRDefault="006E5174" w:rsidP="007501FF">
      <w:pPr>
        <w:spacing w:after="0"/>
      </w:pPr>
      <w:r>
        <w:t>0</w:t>
      </w:r>
      <w:r w:rsidR="007501FF">
        <w:t>9</w:t>
      </w:r>
      <w:r>
        <w:t>/2019</w:t>
      </w:r>
    </w:p>
    <w:p w14:paraId="58E4B485" w14:textId="77777777" w:rsidR="006E5174" w:rsidRDefault="006E5174" w:rsidP="007501FF">
      <w:pPr>
        <w:spacing w:after="0"/>
      </w:pPr>
    </w:p>
    <w:p w14:paraId="3DE9C7F7" w14:textId="22D44E86" w:rsidR="001B2771" w:rsidRPr="006E5174" w:rsidRDefault="001B2771" w:rsidP="007501FF">
      <w:pPr>
        <w:spacing w:after="0"/>
      </w:pPr>
    </w:p>
    <w:sectPr w:rsidR="001B2771" w:rsidRPr="006E5174" w:rsidSect="007501FF">
      <w:headerReference w:type="default" r:id="rId9"/>
      <w:footerReference w:type="default" r:id="rId10"/>
      <w:pgSz w:w="11906" w:h="16838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4E3D0" w14:textId="77777777" w:rsidR="0013629C" w:rsidRDefault="0013629C">
      <w:r>
        <w:separator/>
      </w:r>
    </w:p>
  </w:endnote>
  <w:endnote w:type="continuationSeparator" w:id="0">
    <w:p w14:paraId="12AEB9F4" w14:textId="77777777" w:rsidR="0013629C" w:rsidRDefault="0013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3966383"/>
      <w:docPartObj>
        <w:docPartGallery w:val="Page Numbers (Bottom of Page)"/>
        <w:docPartUnique/>
      </w:docPartObj>
    </w:sdtPr>
    <w:sdtEndPr/>
    <w:sdtContent>
      <w:p w14:paraId="1F84CDC6" w14:textId="0FB47EE2" w:rsidR="0013629C" w:rsidRDefault="0013629C" w:rsidP="007501FF">
        <w:pPr>
          <w:pStyle w:val="Pta"/>
          <w:jc w:val="center"/>
        </w:pPr>
        <w:r w:rsidRPr="007501FF">
          <w:rPr>
            <w:sz w:val="18"/>
            <w:szCs w:val="18"/>
          </w:rPr>
          <w:fldChar w:fldCharType="begin"/>
        </w:r>
        <w:r w:rsidRPr="007501FF">
          <w:rPr>
            <w:sz w:val="18"/>
            <w:szCs w:val="18"/>
          </w:rPr>
          <w:instrText>PAGE   \* MERGEFORMAT</w:instrText>
        </w:r>
        <w:r w:rsidRPr="007501FF">
          <w:rPr>
            <w:sz w:val="18"/>
            <w:szCs w:val="18"/>
          </w:rPr>
          <w:fldChar w:fldCharType="separate"/>
        </w:r>
        <w:r w:rsidR="00526F0E">
          <w:rPr>
            <w:noProof/>
            <w:sz w:val="18"/>
            <w:szCs w:val="18"/>
          </w:rPr>
          <w:t>12</w:t>
        </w:r>
        <w:r w:rsidRPr="007501F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A5FDC" w14:textId="77777777" w:rsidR="0013629C" w:rsidRDefault="0013629C">
      <w:r>
        <w:separator/>
      </w:r>
    </w:p>
  </w:footnote>
  <w:footnote w:type="continuationSeparator" w:id="0">
    <w:p w14:paraId="68F2C661" w14:textId="77777777" w:rsidR="0013629C" w:rsidRDefault="00136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5A4C6" w14:textId="342A27CC" w:rsidR="00BD0817" w:rsidRPr="006E5174" w:rsidRDefault="0013629C" w:rsidP="007501FF">
    <w:pPr>
      <w:spacing w:after="0"/>
      <w:ind w:left="567" w:hanging="567"/>
      <w:rPr>
        <w:sz w:val="18"/>
        <w:szCs w:val="18"/>
        <w:lang w:eastAsia="sk-SK"/>
      </w:rPr>
    </w:pPr>
    <w:r w:rsidRPr="006E5174">
      <w:rPr>
        <w:sz w:val="18"/>
        <w:szCs w:val="18"/>
        <w:lang w:eastAsia="sk-SK"/>
      </w:rPr>
      <w:t xml:space="preserve">Schválený text k rozhodnutiu o registrácii, ev. č.: </w:t>
    </w:r>
    <w:r>
      <w:rPr>
        <w:sz w:val="18"/>
        <w:szCs w:val="18"/>
        <w:lang w:eastAsia="sk-SK"/>
      </w:rPr>
      <w:t>2019/01238-REG</w:t>
    </w:r>
  </w:p>
  <w:p w14:paraId="49ACEC9C" w14:textId="45D53550" w:rsidR="0013629C" w:rsidRDefault="0013629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94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6835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529E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2845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2E59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084A5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2495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F3C46D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459E3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E8F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B3350C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C721408"/>
    <w:multiLevelType w:val="multilevel"/>
    <w:tmpl w:val="B3A65E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48C04C2"/>
    <w:multiLevelType w:val="hybridMultilevel"/>
    <w:tmpl w:val="9F527D2A"/>
    <w:lvl w:ilvl="0" w:tplc="A710B35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83E1B"/>
    <w:multiLevelType w:val="hybridMultilevel"/>
    <w:tmpl w:val="83F6024E"/>
    <w:lvl w:ilvl="0" w:tplc="00000001">
      <w:start w:val="1"/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horndale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8C23BD"/>
    <w:multiLevelType w:val="hybridMultilevel"/>
    <w:tmpl w:val="A0C076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14AC5"/>
    <w:multiLevelType w:val="hybridMultilevel"/>
    <w:tmpl w:val="C3D0BFA4"/>
    <w:lvl w:ilvl="0" w:tplc="F2A2C688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2D1B3008"/>
    <w:multiLevelType w:val="hybridMultilevel"/>
    <w:tmpl w:val="AC1AF208"/>
    <w:lvl w:ilvl="0" w:tplc="00000001">
      <w:start w:val="1"/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horndale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C813E8"/>
    <w:multiLevelType w:val="hybridMultilevel"/>
    <w:tmpl w:val="EEEEA278"/>
    <w:lvl w:ilvl="0" w:tplc="85AE048C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 w15:restartNumberingAfterBreak="0">
    <w:nsid w:val="31856DD8"/>
    <w:multiLevelType w:val="hybridMultilevel"/>
    <w:tmpl w:val="B87E4B04"/>
    <w:lvl w:ilvl="0" w:tplc="68C26B3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190172A"/>
    <w:multiLevelType w:val="hybridMultilevel"/>
    <w:tmpl w:val="D3E0B024"/>
    <w:lvl w:ilvl="0" w:tplc="FA4016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B81DAC"/>
    <w:multiLevelType w:val="multilevel"/>
    <w:tmpl w:val="03AC2DB4"/>
    <w:lvl w:ilvl="0">
      <w:start w:val="4"/>
      <w:numFmt w:val="decimal"/>
      <w:lvlText w:val="%1."/>
      <w:lvlJc w:val="left"/>
      <w:pPr>
        <w:tabs>
          <w:tab w:val="num" w:pos="1069"/>
        </w:tabs>
        <w:ind w:left="992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59"/>
        </w:tabs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01"/>
        </w:tabs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03"/>
        </w:tabs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45"/>
        </w:tabs>
        <w:ind w:left="3645" w:hanging="1800"/>
      </w:pPr>
      <w:rPr>
        <w:rFonts w:hint="default"/>
      </w:rPr>
    </w:lvl>
  </w:abstractNum>
  <w:abstractNum w:abstractNumId="21" w15:restartNumberingAfterBreak="0">
    <w:nsid w:val="44467E21"/>
    <w:multiLevelType w:val="hybridMultilevel"/>
    <w:tmpl w:val="7DAE191E"/>
    <w:lvl w:ilvl="0" w:tplc="B3763452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2" w15:restartNumberingAfterBreak="0">
    <w:nsid w:val="459C360E"/>
    <w:multiLevelType w:val="multilevel"/>
    <w:tmpl w:val="BE566440"/>
    <w:lvl w:ilvl="0">
      <w:start w:val="1"/>
      <w:numFmt w:val="bullet"/>
      <w:pStyle w:val="BulletList"/>
      <w:lvlText w:val=""/>
      <w:lvlJc w:val="left"/>
      <w:pPr>
        <w:tabs>
          <w:tab w:val="num" w:pos="1843"/>
        </w:tabs>
        <w:ind w:left="1843" w:hanging="425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2268"/>
        </w:tabs>
        <w:ind w:left="2268" w:hanging="425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693"/>
        </w:tabs>
        <w:ind w:left="2693" w:hanging="425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46B8435B"/>
    <w:multiLevelType w:val="multilevel"/>
    <w:tmpl w:val="48AC4EA6"/>
    <w:lvl w:ilvl="0">
      <w:start w:val="1"/>
      <w:numFmt w:val="decimal"/>
      <w:pStyle w:val="Nadpis1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B9021F1"/>
    <w:multiLevelType w:val="hybridMultilevel"/>
    <w:tmpl w:val="179E5E2A"/>
    <w:lvl w:ilvl="0" w:tplc="00000001">
      <w:start w:val="1"/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horndale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5475044"/>
    <w:multiLevelType w:val="hybridMultilevel"/>
    <w:tmpl w:val="56F209B4"/>
    <w:lvl w:ilvl="0" w:tplc="C86A17E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ECD1747"/>
    <w:multiLevelType w:val="hybridMultilevel"/>
    <w:tmpl w:val="730C2BC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2F652A8"/>
    <w:multiLevelType w:val="singleLevel"/>
    <w:tmpl w:val="6986CAA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64236DD9"/>
    <w:multiLevelType w:val="multilevel"/>
    <w:tmpl w:val="63C0252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6F62EE8"/>
    <w:multiLevelType w:val="hybridMultilevel"/>
    <w:tmpl w:val="7742A76A"/>
    <w:lvl w:ilvl="0" w:tplc="04070007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9756D1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4442F41"/>
    <w:multiLevelType w:val="hybridMultilevel"/>
    <w:tmpl w:val="584E41F4"/>
    <w:lvl w:ilvl="0" w:tplc="32347EDC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2" w15:restartNumberingAfterBreak="0">
    <w:nsid w:val="74C866D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33" w15:restartNumberingAfterBreak="0">
    <w:nsid w:val="7786329A"/>
    <w:multiLevelType w:val="hybridMultilevel"/>
    <w:tmpl w:val="1AB4C1B0"/>
    <w:lvl w:ilvl="0" w:tplc="26ECB65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A0B5C8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AF014C9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2"/>
  </w:num>
  <w:num w:numId="2">
    <w:abstractNumId w:val="28"/>
  </w:num>
  <w:num w:numId="3">
    <w:abstractNumId w:val="28"/>
  </w:num>
  <w:num w:numId="4">
    <w:abstractNumId w:val="28"/>
  </w:num>
  <w:num w:numId="5">
    <w:abstractNumId w:val="28"/>
  </w:num>
  <w:num w:numId="6">
    <w:abstractNumId w:val="35"/>
  </w:num>
  <w:num w:numId="7">
    <w:abstractNumId w:val="34"/>
  </w:num>
  <w:num w:numId="8">
    <w:abstractNumId w:val="30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3"/>
  </w:num>
  <w:num w:numId="22">
    <w:abstractNumId w:val="16"/>
  </w:num>
  <w:num w:numId="23">
    <w:abstractNumId w:val="20"/>
  </w:num>
  <w:num w:numId="24">
    <w:abstractNumId w:val="32"/>
  </w:num>
  <w:num w:numId="25">
    <w:abstractNumId w:val="24"/>
  </w:num>
  <w:num w:numId="26">
    <w:abstractNumId w:val="17"/>
  </w:num>
  <w:num w:numId="27">
    <w:abstractNumId w:val="21"/>
  </w:num>
  <w:num w:numId="28">
    <w:abstractNumId w:val="31"/>
  </w:num>
  <w:num w:numId="29">
    <w:abstractNumId w:val="15"/>
  </w:num>
  <w:num w:numId="30">
    <w:abstractNumId w:val="26"/>
  </w:num>
  <w:num w:numId="31">
    <w:abstractNumId w:val="25"/>
  </w:num>
  <w:num w:numId="32">
    <w:abstractNumId w:val="33"/>
  </w:num>
  <w:num w:numId="33">
    <w:abstractNumId w:val="12"/>
  </w:num>
  <w:num w:numId="34">
    <w:abstractNumId w:val="29"/>
  </w:num>
  <w:num w:numId="35">
    <w:abstractNumId w:val="14"/>
  </w:num>
  <w:num w:numId="36">
    <w:abstractNumId w:val="23"/>
  </w:num>
  <w:num w:numId="37">
    <w:abstractNumId w:val="11"/>
  </w:num>
  <w:num w:numId="38">
    <w:abstractNumId w:val="1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0F"/>
    <w:rsid w:val="00012DC7"/>
    <w:rsid w:val="00016F30"/>
    <w:rsid w:val="000220B2"/>
    <w:rsid w:val="000266D5"/>
    <w:rsid w:val="000442A7"/>
    <w:rsid w:val="00047C64"/>
    <w:rsid w:val="0005306A"/>
    <w:rsid w:val="00053C91"/>
    <w:rsid w:val="000557E6"/>
    <w:rsid w:val="00060CFD"/>
    <w:rsid w:val="00071181"/>
    <w:rsid w:val="0007345B"/>
    <w:rsid w:val="000802E2"/>
    <w:rsid w:val="000919E2"/>
    <w:rsid w:val="000927FB"/>
    <w:rsid w:val="000A1583"/>
    <w:rsid w:val="000A3182"/>
    <w:rsid w:val="000B17D2"/>
    <w:rsid w:val="000B7F0B"/>
    <w:rsid w:val="000C498B"/>
    <w:rsid w:val="000C6707"/>
    <w:rsid w:val="000D70FB"/>
    <w:rsid w:val="000F371F"/>
    <w:rsid w:val="000F6318"/>
    <w:rsid w:val="00104BCE"/>
    <w:rsid w:val="001108B4"/>
    <w:rsid w:val="0011109B"/>
    <w:rsid w:val="0011466E"/>
    <w:rsid w:val="00123569"/>
    <w:rsid w:val="00126D61"/>
    <w:rsid w:val="00130C35"/>
    <w:rsid w:val="0013629C"/>
    <w:rsid w:val="001434EC"/>
    <w:rsid w:val="001460FB"/>
    <w:rsid w:val="001466C5"/>
    <w:rsid w:val="001500AF"/>
    <w:rsid w:val="00154BB9"/>
    <w:rsid w:val="00160729"/>
    <w:rsid w:val="00162EC7"/>
    <w:rsid w:val="00171D97"/>
    <w:rsid w:val="001774B6"/>
    <w:rsid w:val="00177CD2"/>
    <w:rsid w:val="00182898"/>
    <w:rsid w:val="001870D0"/>
    <w:rsid w:val="00195C06"/>
    <w:rsid w:val="001975BA"/>
    <w:rsid w:val="001A1364"/>
    <w:rsid w:val="001A24CC"/>
    <w:rsid w:val="001B014F"/>
    <w:rsid w:val="001B2327"/>
    <w:rsid w:val="001B2771"/>
    <w:rsid w:val="001B2DB9"/>
    <w:rsid w:val="001B4BCF"/>
    <w:rsid w:val="001C24F5"/>
    <w:rsid w:val="001C5002"/>
    <w:rsid w:val="001C58CF"/>
    <w:rsid w:val="001D16AF"/>
    <w:rsid w:val="001D39C3"/>
    <w:rsid w:val="001E05A4"/>
    <w:rsid w:val="001E4B3F"/>
    <w:rsid w:val="001E57C9"/>
    <w:rsid w:val="001E6CDC"/>
    <w:rsid w:val="001E7F07"/>
    <w:rsid w:val="001F1F2A"/>
    <w:rsid w:val="001F5516"/>
    <w:rsid w:val="002009C1"/>
    <w:rsid w:val="00207856"/>
    <w:rsid w:val="00210959"/>
    <w:rsid w:val="00214556"/>
    <w:rsid w:val="002476EC"/>
    <w:rsid w:val="00250BA9"/>
    <w:rsid w:val="00253FC3"/>
    <w:rsid w:val="002561CE"/>
    <w:rsid w:val="00272193"/>
    <w:rsid w:val="00277F72"/>
    <w:rsid w:val="00280D8D"/>
    <w:rsid w:val="00283CAD"/>
    <w:rsid w:val="0028441C"/>
    <w:rsid w:val="00292BBB"/>
    <w:rsid w:val="002930DC"/>
    <w:rsid w:val="00297039"/>
    <w:rsid w:val="002972F0"/>
    <w:rsid w:val="002A34C5"/>
    <w:rsid w:val="002A725D"/>
    <w:rsid w:val="002C1990"/>
    <w:rsid w:val="002D44A5"/>
    <w:rsid w:val="002D5861"/>
    <w:rsid w:val="002D5AAC"/>
    <w:rsid w:val="002E7483"/>
    <w:rsid w:val="002F02FA"/>
    <w:rsid w:val="002F4933"/>
    <w:rsid w:val="002F6F2C"/>
    <w:rsid w:val="003047E1"/>
    <w:rsid w:val="0031469F"/>
    <w:rsid w:val="003242A1"/>
    <w:rsid w:val="003243A2"/>
    <w:rsid w:val="00333F12"/>
    <w:rsid w:val="00344C7F"/>
    <w:rsid w:val="00345378"/>
    <w:rsid w:val="003531EC"/>
    <w:rsid w:val="003535DB"/>
    <w:rsid w:val="00355F42"/>
    <w:rsid w:val="00360011"/>
    <w:rsid w:val="00367335"/>
    <w:rsid w:val="00372699"/>
    <w:rsid w:val="00373809"/>
    <w:rsid w:val="00375D6E"/>
    <w:rsid w:val="00376449"/>
    <w:rsid w:val="00383EC2"/>
    <w:rsid w:val="0039521F"/>
    <w:rsid w:val="003A0EE4"/>
    <w:rsid w:val="003B0C9C"/>
    <w:rsid w:val="003B2AB5"/>
    <w:rsid w:val="003B74DC"/>
    <w:rsid w:val="003C1324"/>
    <w:rsid w:val="003C1A70"/>
    <w:rsid w:val="003C1E30"/>
    <w:rsid w:val="003C3594"/>
    <w:rsid w:val="003C50A3"/>
    <w:rsid w:val="003C53FC"/>
    <w:rsid w:val="003C54E5"/>
    <w:rsid w:val="003C5C83"/>
    <w:rsid w:val="003C674C"/>
    <w:rsid w:val="003C6975"/>
    <w:rsid w:val="003D460E"/>
    <w:rsid w:val="003D4C0C"/>
    <w:rsid w:val="003F0056"/>
    <w:rsid w:val="003F27FE"/>
    <w:rsid w:val="003F4E04"/>
    <w:rsid w:val="003F54F7"/>
    <w:rsid w:val="003F77B7"/>
    <w:rsid w:val="00414400"/>
    <w:rsid w:val="0041481F"/>
    <w:rsid w:val="00416FD1"/>
    <w:rsid w:val="0042064D"/>
    <w:rsid w:val="00420EC4"/>
    <w:rsid w:val="00434250"/>
    <w:rsid w:val="00435D9C"/>
    <w:rsid w:val="00437DA6"/>
    <w:rsid w:val="00444ADB"/>
    <w:rsid w:val="00456150"/>
    <w:rsid w:val="00457AC6"/>
    <w:rsid w:val="004650A7"/>
    <w:rsid w:val="00471488"/>
    <w:rsid w:val="00476CFC"/>
    <w:rsid w:val="00481D5F"/>
    <w:rsid w:val="00484173"/>
    <w:rsid w:val="004844AE"/>
    <w:rsid w:val="00486829"/>
    <w:rsid w:val="0049465C"/>
    <w:rsid w:val="00497654"/>
    <w:rsid w:val="00497925"/>
    <w:rsid w:val="004A301E"/>
    <w:rsid w:val="004A4C72"/>
    <w:rsid w:val="004A6441"/>
    <w:rsid w:val="004A72DB"/>
    <w:rsid w:val="004B23F6"/>
    <w:rsid w:val="004B3B6F"/>
    <w:rsid w:val="004C28C1"/>
    <w:rsid w:val="004C2BD4"/>
    <w:rsid w:val="004D2CCB"/>
    <w:rsid w:val="004D2E8F"/>
    <w:rsid w:val="004D508A"/>
    <w:rsid w:val="004E0D7D"/>
    <w:rsid w:val="004E2454"/>
    <w:rsid w:val="004E46C7"/>
    <w:rsid w:val="004E4A3E"/>
    <w:rsid w:val="004E6229"/>
    <w:rsid w:val="004F0028"/>
    <w:rsid w:val="004F56D2"/>
    <w:rsid w:val="005018D7"/>
    <w:rsid w:val="00502D73"/>
    <w:rsid w:val="00516CEC"/>
    <w:rsid w:val="00520543"/>
    <w:rsid w:val="005209DD"/>
    <w:rsid w:val="00526F0E"/>
    <w:rsid w:val="00527E7A"/>
    <w:rsid w:val="00531291"/>
    <w:rsid w:val="00540BD5"/>
    <w:rsid w:val="005564A4"/>
    <w:rsid w:val="00556BEC"/>
    <w:rsid w:val="00565445"/>
    <w:rsid w:val="00567614"/>
    <w:rsid w:val="00570EB1"/>
    <w:rsid w:val="00574284"/>
    <w:rsid w:val="0057472F"/>
    <w:rsid w:val="00574D3D"/>
    <w:rsid w:val="00575C32"/>
    <w:rsid w:val="005831AB"/>
    <w:rsid w:val="005857A6"/>
    <w:rsid w:val="00586CA3"/>
    <w:rsid w:val="005933DB"/>
    <w:rsid w:val="00594444"/>
    <w:rsid w:val="0059581A"/>
    <w:rsid w:val="00596EAA"/>
    <w:rsid w:val="005A039C"/>
    <w:rsid w:val="005A5E5F"/>
    <w:rsid w:val="005A6EBE"/>
    <w:rsid w:val="005B66C9"/>
    <w:rsid w:val="005C2640"/>
    <w:rsid w:val="005C297F"/>
    <w:rsid w:val="005D286A"/>
    <w:rsid w:val="005D290C"/>
    <w:rsid w:val="005E2396"/>
    <w:rsid w:val="005E2BE2"/>
    <w:rsid w:val="005F2CD5"/>
    <w:rsid w:val="005F4911"/>
    <w:rsid w:val="005F7118"/>
    <w:rsid w:val="0060192F"/>
    <w:rsid w:val="0060598B"/>
    <w:rsid w:val="00606972"/>
    <w:rsid w:val="00614259"/>
    <w:rsid w:val="00616DBE"/>
    <w:rsid w:val="006200C3"/>
    <w:rsid w:val="0062030F"/>
    <w:rsid w:val="00620AA7"/>
    <w:rsid w:val="0062415F"/>
    <w:rsid w:val="006329B8"/>
    <w:rsid w:val="00643C22"/>
    <w:rsid w:val="00644FBC"/>
    <w:rsid w:val="0065701A"/>
    <w:rsid w:val="006634BA"/>
    <w:rsid w:val="006646C2"/>
    <w:rsid w:val="00664885"/>
    <w:rsid w:val="00667138"/>
    <w:rsid w:val="00676AAB"/>
    <w:rsid w:val="00677216"/>
    <w:rsid w:val="00680BAB"/>
    <w:rsid w:val="00680F97"/>
    <w:rsid w:val="006915A3"/>
    <w:rsid w:val="00692C82"/>
    <w:rsid w:val="0069340F"/>
    <w:rsid w:val="006A1940"/>
    <w:rsid w:val="006A31EE"/>
    <w:rsid w:val="006A4F71"/>
    <w:rsid w:val="006A6D37"/>
    <w:rsid w:val="006A714F"/>
    <w:rsid w:val="006A7D64"/>
    <w:rsid w:val="006B6165"/>
    <w:rsid w:val="006C3172"/>
    <w:rsid w:val="006C7FC6"/>
    <w:rsid w:val="006D10A5"/>
    <w:rsid w:val="006D20E6"/>
    <w:rsid w:val="006D7F07"/>
    <w:rsid w:val="006E5174"/>
    <w:rsid w:val="006F275D"/>
    <w:rsid w:val="006F37AC"/>
    <w:rsid w:val="00700E2D"/>
    <w:rsid w:val="00701E13"/>
    <w:rsid w:val="007047AC"/>
    <w:rsid w:val="0071358E"/>
    <w:rsid w:val="007165EF"/>
    <w:rsid w:val="00716660"/>
    <w:rsid w:val="00720A9E"/>
    <w:rsid w:val="00724B00"/>
    <w:rsid w:val="00725538"/>
    <w:rsid w:val="007259F9"/>
    <w:rsid w:val="00727236"/>
    <w:rsid w:val="007331D4"/>
    <w:rsid w:val="00733AB0"/>
    <w:rsid w:val="00742C04"/>
    <w:rsid w:val="00743262"/>
    <w:rsid w:val="007443A9"/>
    <w:rsid w:val="00747E1C"/>
    <w:rsid w:val="007501FF"/>
    <w:rsid w:val="0075733D"/>
    <w:rsid w:val="00762315"/>
    <w:rsid w:val="00771762"/>
    <w:rsid w:val="00774732"/>
    <w:rsid w:val="00780BF4"/>
    <w:rsid w:val="007865C4"/>
    <w:rsid w:val="007917C3"/>
    <w:rsid w:val="0079271B"/>
    <w:rsid w:val="007A1018"/>
    <w:rsid w:val="007A396B"/>
    <w:rsid w:val="007B4A85"/>
    <w:rsid w:val="007B66C3"/>
    <w:rsid w:val="007C00F2"/>
    <w:rsid w:val="007C3712"/>
    <w:rsid w:val="007C5BB8"/>
    <w:rsid w:val="007D34EA"/>
    <w:rsid w:val="007D3512"/>
    <w:rsid w:val="007F18FB"/>
    <w:rsid w:val="007F3966"/>
    <w:rsid w:val="00805FBC"/>
    <w:rsid w:val="008108DE"/>
    <w:rsid w:val="00817739"/>
    <w:rsid w:val="00820020"/>
    <w:rsid w:val="008332DC"/>
    <w:rsid w:val="00834A6F"/>
    <w:rsid w:val="00845272"/>
    <w:rsid w:val="00851184"/>
    <w:rsid w:val="00852477"/>
    <w:rsid w:val="008539D8"/>
    <w:rsid w:val="0086423C"/>
    <w:rsid w:val="00865B5A"/>
    <w:rsid w:val="00865F17"/>
    <w:rsid w:val="00873247"/>
    <w:rsid w:val="008811C4"/>
    <w:rsid w:val="008855A2"/>
    <w:rsid w:val="008871E0"/>
    <w:rsid w:val="00893F52"/>
    <w:rsid w:val="00895CCB"/>
    <w:rsid w:val="00895D51"/>
    <w:rsid w:val="008A5868"/>
    <w:rsid w:val="008A7763"/>
    <w:rsid w:val="008B2A38"/>
    <w:rsid w:val="008B4FAA"/>
    <w:rsid w:val="008B6F48"/>
    <w:rsid w:val="008C0715"/>
    <w:rsid w:val="008C6624"/>
    <w:rsid w:val="008C7EB2"/>
    <w:rsid w:val="008E28D5"/>
    <w:rsid w:val="008F014F"/>
    <w:rsid w:val="008F2375"/>
    <w:rsid w:val="008F4E25"/>
    <w:rsid w:val="008F50A6"/>
    <w:rsid w:val="008F6998"/>
    <w:rsid w:val="008F74D0"/>
    <w:rsid w:val="00900B85"/>
    <w:rsid w:val="009044CB"/>
    <w:rsid w:val="00905165"/>
    <w:rsid w:val="00905325"/>
    <w:rsid w:val="009116C8"/>
    <w:rsid w:val="009118B5"/>
    <w:rsid w:val="00914B9E"/>
    <w:rsid w:val="009159EE"/>
    <w:rsid w:val="0092272F"/>
    <w:rsid w:val="00923C77"/>
    <w:rsid w:val="009321C4"/>
    <w:rsid w:val="0094056A"/>
    <w:rsid w:val="00945E15"/>
    <w:rsid w:val="00953CCE"/>
    <w:rsid w:val="00954990"/>
    <w:rsid w:val="00957512"/>
    <w:rsid w:val="00960D10"/>
    <w:rsid w:val="00965069"/>
    <w:rsid w:val="0097374D"/>
    <w:rsid w:val="009751EB"/>
    <w:rsid w:val="0098523C"/>
    <w:rsid w:val="00987008"/>
    <w:rsid w:val="009940C0"/>
    <w:rsid w:val="009947D4"/>
    <w:rsid w:val="009A0113"/>
    <w:rsid w:val="009A565C"/>
    <w:rsid w:val="009A57C8"/>
    <w:rsid w:val="009B0479"/>
    <w:rsid w:val="009B0EE9"/>
    <w:rsid w:val="009B1326"/>
    <w:rsid w:val="009B52AE"/>
    <w:rsid w:val="009C00E5"/>
    <w:rsid w:val="009C4134"/>
    <w:rsid w:val="009D045B"/>
    <w:rsid w:val="009D3956"/>
    <w:rsid w:val="009D644C"/>
    <w:rsid w:val="009D6CD6"/>
    <w:rsid w:val="009E0FD0"/>
    <w:rsid w:val="009E7B7B"/>
    <w:rsid w:val="009F29E7"/>
    <w:rsid w:val="009F474A"/>
    <w:rsid w:val="00A043EF"/>
    <w:rsid w:val="00A046C9"/>
    <w:rsid w:val="00A053B4"/>
    <w:rsid w:val="00A06AED"/>
    <w:rsid w:val="00A23A6F"/>
    <w:rsid w:val="00A25A0C"/>
    <w:rsid w:val="00A3092E"/>
    <w:rsid w:val="00A31244"/>
    <w:rsid w:val="00A33647"/>
    <w:rsid w:val="00A34767"/>
    <w:rsid w:val="00A4260D"/>
    <w:rsid w:val="00A523D3"/>
    <w:rsid w:val="00A61AAF"/>
    <w:rsid w:val="00A63811"/>
    <w:rsid w:val="00A70129"/>
    <w:rsid w:val="00A70FF7"/>
    <w:rsid w:val="00A73E35"/>
    <w:rsid w:val="00A76D27"/>
    <w:rsid w:val="00A77A5F"/>
    <w:rsid w:val="00A8024F"/>
    <w:rsid w:val="00A83406"/>
    <w:rsid w:val="00A86A9D"/>
    <w:rsid w:val="00A86D59"/>
    <w:rsid w:val="00A9117F"/>
    <w:rsid w:val="00A959B9"/>
    <w:rsid w:val="00A97DCC"/>
    <w:rsid w:val="00AA1EC0"/>
    <w:rsid w:val="00AA49A5"/>
    <w:rsid w:val="00AA73E9"/>
    <w:rsid w:val="00AC050F"/>
    <w:rsid w:val="00AC10E0"/>
    <w:rsid w:val="00AC612E"/>
    <w:rsid w:val="00AD5CD4"/>
    <w:rsid w:val="00AE3806"/>
    <w:rsid w:val="00AE422D"/>
    <w:rsid w:val="00AF0C7F"/>
    <w:rsid w:val="00AF140C"/>
    <w:rsid w:val="00AF5267"/>
    <w:rsid w:val="00AF5B1A"/>
    <w:rsid w:val="00AF6574"/>
    <w:rsid w:val="00B05C44"/>
    <w:rsid w:val="00B066E5"/>
    <w:rsid w:val="00B07EF9"/>
    <w:rsid w:val="00B119DC"/>
    <w:rsid w:val="00B1336B"/>
    <w:rsid w:val="00B13C7E"/>
    <w:rsid w:val="00B16B2B"/>
    <w:rsid w:val="00B17C94"/>
    <w:rsid w:val="00B22272"/>
    <w:rsid w:val="00B337F4"/>
    <w:rsid w:val="00B3560D"/>
    <w:rsid w:val="00B35801"/>
    <w:rsid w:val="00B359D8"/>
    <w:rsid w:val="00B36403"/>
    <w:rsid w:val="00B36C2F"/>
    <w:rsid w:val="00B4146A"/>
    <w:rsid w:val="00B42193"/>
    <w:rsid w:val="00B4493A"/>
    <w:rsid w:val="00B44C2B"/>
    <w:rsid w:val="00B53968"/>
    <w:rsid w:val="00B53DBE"/>
    <w:rsid w:val="00B70AF6"/>
    <w:rsid w:val="00B755AD"/>
    <w:rsid w:val="00B770DF"/>
    <w:rsid w:val="00B77A9E"/>
    <w:rsid w:val="00B80FAA"/>
    <w:rsid w:val="00B87488"/>
    <w:rsid w:val="00B90174"/>
    <w:rsid w:val="00B91073"/>
    <w:rsid w:val="00B91A13"/>
    <w:rsid w:val="00B9576A"/>
    <w:rsid w:val="00B96975"/>
    <w:rsid w:val="00B96F42"/>
    <w:rsid w:val="00BA260D"/>
    <w:rsid w:val="00BA3916"/>
    <w:rsid w:val="00BA47F0"/>
    <w:rsid w:val="00BA5ACF"/>
    <w:rsid w:val="00BB6DF7"/>
    <w:rsid w:val="00BB6F77"/>
    <w:rsid w:val="00BC3D1F"/>
    <w:rsid w:val="00BC653B"/>
    <w:rsid w:val="00BC7BA4"/>
    <w:rsid w:val="00BD0817"/>
    <w:rsid w:val="00BD0A25"/>
    <w:rsid w:val="00BD1622"/>
    <w:rsid w:val="00BD4947"/>
    <w:rsid w:val="00BE48C5"/>
    <w:rsid w:val="00BE494F"/>
    <w:rsid w:val="00BE59C5"/>
    <w:rsid w:val="00BF2396"/>
    <w:rsid w:val="00BF37E6"/>
    <w:rsid w:val="00BF6CC9"/>
    <w:rsid w:val="00C011E1"/>
    <w:rsid w:val="00C04357"/>
    <w:rsid w:val="00C10225"/>
    <w:rsid w:val="00C14F33"/>
    <w:rsid w:val="00C20FD0"/>
    <w:rsid w:val="00C309C6"/>
    <w:rsid w:val="00C34CDD"/>
    <w:rsid w:val="00C37E13"/>
    <w:rsid w:val="00C42977"/>
    <w:rsid w:val="00C44B0E"/>
    <w:rsid w:val="00C50BF5"/>
    <w:rsid w:val="00C533D2"/>
    <w:rsid w:val="00C66763"/>
    <w:rsid w:val="00C71DBE"/>
    <w:rsid w:val="00C76826"/>
    <w:rsid w:val="00C8424C"/>
    <w:rsid w:val="00C86B22"/>
    <w:rsid w:val="00C91E92"/>
    <w:rsid w:val="00C96ACC"/>
    <w:rsid w:val="00CA1F15"/>
    <w:rsid w:val="00CA22DF"/>
    <w:rsid w:val="00CA3649"/>
    <w:rsid w:val="00CA3934"/>
    <w:rsid w:val="00CA6E55"/>
    <w:rsid w:val="00CA7CB7"/>
    <w:rsid w:val="00CB0DA0"/>
    <w:rsid w:val="00CB1671"/>
    <w:rsid w:val="00CB288B"/>
    <w:rsid w:val="00CB5090"/>
    <w:rsid w:val="00CB7CA8"/>
    <w:rsid w:val="00CD0D5A"/>
    <w:rsid w:val="00CD3EEB"/>
    <w:rsid w:val="00CD5C03"/>
    <w:rsid w:val="00D00339"/>
    <w:rsid w:val="00D03A4D"/>
    <w:rsid w:val="00D130D7"/>
    <w:rsid w:val="00D13C5F"/>
    <w:rsid w:val="00D20DAB"/>
    <w:rsid w:val="00D30F17"/>
    <w:rsid w:val="00D320C4"/>
    <w:rsid w:val="00D40DBA"/>
    <w:rsid w:val="00D43A19"/>
    <w:rsid w:val="00D56846"/>
    <w:rsid w:val="00D56E12"/>
    <w:rsid w:val="00D6193E"/>
    <w:rsid w:val="00D61C89"/>
    <w:rsid w:val="00D64670"/>
    <w:rsid w:val="00D65BCC"/>
    <w:rsid w:val="00D75D2A"/>
    <w:rsid w:val="00D766FF"/>
    <w:rsid w:val="00D80E06"/>
    <w:rsid w:val="00D81DC6"/>
    <w:rsid w:val="00D836E2"/>
    <w:rsid w:val="00D85C49"/>
    <w:rsid w:val="00D87AEB"/>
    <w:rsid w:val="00D91CA0"/>
    <w:rsid w:val="00D96006"/>
    <w:rsid w:val="00D973C2"/>
    <w:rsid w:val="00DA0CB9"/>
    <w:rsid w:val="00DA6276"/>
    <w:rsid w:val="00DA795B"/>
    <w:rsid w:val="00DB1FA1"/>
    <w:rsid w:val="00DB53F7"/>
    <w:rsid w:val="00DB6F2A"/>
    <w:rsid w:val="00DC3354"/>
    <w:rsid w:val="00DC731C"/>
    <w:rsid w:val="00DD3D37"/>
    <w:rsid w:val="00DD62DF"/>
    <w:rsid w:val="00DE00AB"/>
    <w:rsid w:val="00DE0FB2"/>
    <w:rsid w:val="00DE13D3"/>
    <w:rsid w:val="00DE22FE"/>
    <w:rsid w:val="00DE4014"/>
    <w:rsid w:val="00DE40D9"/>
    <w:rsid w:val="00DF176F"/>
    <w:rsid w:val="00DF24CD"/>
    <w:rsid w:val="00DF3A55"/>
    <w:rsid w:val="00E01F34"/>
    <w:rsid w:val="00E048D0"/>
    <w:rsid w:val="00E07915"/>
    <w:rsid w:val="00E07929"/>
    <w:rsid w:val="00E128AB"/>
    <w:rsid w:val="00E16BE0"/>
    <w:rsid w:val="00E25C96"/>
    <w:rsid w:val="00E333CE"/>
    <w:rsid w:val="00E36051"/>
    <w:rsid w:val="00E4258B"/>
    <w:rsid w:val="00E44DD3"/>
    <w:rsid w:val="00E5231A"/>
    <w:rsid w:val="00E626FE"/>
    <w:rsid w:val="00E63330"/>
    <w:rsid w:val="00E65770"/>
    <w:rsid w:val="00E857D8"/>
    <w:rsid w:val="00E9115A"/>
    <w:rsid w:val="00E92480"/>
    <w:rsid w:val="00E93337"/>
    <w:rsid w:val="00E97CDD"/>
    <w:rsid w:val="00EA0A15"/>
    <w:rsid w:val="00EA7898"/>
    <w:rsid w:val="00EA7D91"/>
    <w:rsid w:val="00EB455B"/>
    <w:rsid w:val="00EC00BD"/>
    <w:rsid w:val="00EC1EB3"/>
    <w:rsid w:val="00EC254E"/>
    <w:rsid w:val="00EC69AF"/>
    <w:rsid w:val="00EC782D"/>
    <w:rsid w:val="00ED55D4"/>
    <w:rsid w:val="00ED71D0"/>
    <w:rsid w:val="00EE0D9B"/>
    <w:rsid w:val="00EE694C"/>
    <w:rsid w:val="00EE714D"/>
    <w:rsid w:val="00EE7904"/>
    <w:rsid w:val="00EF13B1"/>
    <w:rsid w:val="00F00A2B"/>
    <w:rsid w:val="00F21CC7"/>
    <w:rsid w:val="00F2573E"/>
    <w:rsid w:val="00F32196"/>
    <w:rsid w:val="00F40731"/>
    <w:rsid w:val="00F40CC7"/>
    <w:rsid w:val="00F50EC0"/>
    <w:rsid w:val="00F55D11"/>
    <w:rsid w:val="00F610F0"/>
    <w:rsid w:val="00F70EF5"/>
    <w:rsid w:val="00F71666"/>
    <w:rsid w:val="00F73C82"/>
    <w:rsid w:val="00F74B49"/>
    <w:rsid w:val="00F75F5F"/>
    <w:rsid w:val="00F80DA9"/>
    <w:rsid w:val="00F838F6"/>
    <w:rsid w:val="00F8462D"/>
    <w:rsid w:val="00F917F2"/>
    <w:rsid w:val="00FA33B7"/>
    <w:rsid w:val="00FA4CD1"/>
    <w:rsid w:val="00FA5DE6"/>
    <w:rsid w:val="00FA7A39"/>
    <w:rsid w:val="00FB01FB"/>
    <w:rsid w:val="00FB6218"/>
    <w:rsid w:val="00FC2FD5"/>
    <w:rsid w:val="00FC4129"/>
    <w:rsid w:val="00FD15D6"/>
    <w:rsid w:val="00FD348B"/>
    <w:rsid w:val="00FD448E"/>
    <w:rsid w:val="00FD4FE8"/>
    <w:rsid w:val="00FD57B6"/>
    <w:rsid w:val="00FD7EF8"/>
    <w:rsid w:val="00FE03AC"/>
    <w:rsid w:val="00FE0BFC"/>
    <w:rsid w:val="00F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oNotEmbedSmartTags/>
  <w:decimalSymbol w:val=","/>
  <w:listSeparator w:val=";"/>
  <w14:docId w14:val="7707BAC1"/>
  <w15:chartTrackingRefBased/>
  <w15:docId w15:val="{662859B2-910A-4F0F-9F3A-FEFE166C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7904"/>
    <w:pPr>
      <w:spacing w:after="120"/>
    </w:pPr>
    <w:rPr>
      <w:sz w:val="22"/>
      <w:szCs w:val="22"/>
      <w:lang w:eastAsia="en-GB"/>
    </w:rPr>
  </w:style>
  <w:style w:type="paragraph" w:styleId="Nadpis1">
    <w:name w:val="heading 1"/>
    <w:basedOn w:val="Normlny"/>
    <w:next w:val="Normlnysozarkami"/>
    <w:qFormat/>
    <w:rsid w:val="00CA7CB7"/>
    <w:pPr>
      <w:keepNext/>
      <w:numPr>
        <w:numId w:val="36"/>
      </w:numPr>
      <w:spacing w:before="100" w:beforeAutospacing="1" w:after="0"/>
      <w:ind w:left="709" w:hanging="709"/>
      <w:outlineLvl w:val="0"/>
    </w:pPr>
    <w:rPr>
      <w:b/>
      <w:bCs/>
      <w:kern w:val="28"/>
      <w:lang w:bidi="ar-QA"/>
    </w:rPr>
  </w:style>
  <w:style w:type="paragraph" w:styleId="Nadpis2">
    <w:name w:val="heading 2"/>
    <w:basedOn w:val="Normlny"/>
    <w:next w:val="Normlnysozarkami"/>
    <w:qFormat/>
    <w:rsid w:val="00CA7CB7"/>
    <w:pPr>
      <w:keepNext/>
      <w:numPr>
        <w:ilvl w:val="1"/>
        <w:numId w:val="36"/>
      </w:numPr>
      <w:spacing w:before="240" w:after="0"/>
      <w:ind w:left="709" w:hanging="709"/>
      <w:outlineLvl w:val="1"/>
    </w:pPr>
    <w:rPr>
      <w:b/>
      <w:bCs/>
      <w:lang w:bidi="ar-QA"/>
    </w:rPr>
  </w:style>
  <w:style w:type="paragraph" w:styleId="Nadpis3">
    <w:name w:val="heading 3"/>
    <w:basedOn w:val="Normlny"/>
    <w:next w:val="Normlny"/>
    <w:qFormat/>
    <w:rsid w:val="00EE7904"/>
    <w:pPr>
      <w:keepNext/>
      <w:spacing w:before="240" w:after="60"/>
      <w:outlineLvl w:val="2"/>
    </w:pPr>
    <w:rPr>
      <w:i/>
      <w:iCs/>
    </w:rPr>
  </w:style>
  <w:style w:type="paragraph" w:styleId="Nadpis4">
    <w:name w:val="heading 4"/>
    <w:basedOn w:val="Normlny"/>
    <w:next w:val="Normlny"/>
    <w:qFormat/>
    <w:rsid w:val="00EE7904"/>
    <w:pPr>
      <w:keepNext/>
      <w:spacing w:before="240" w:after="60"/>
      <w:outlineLvl w:val="3"/>
    </w:pPr>
  </w:style>
  <w:style w:type="paragraph" w:styleId="Nadpis5">
    <w:name w:val="heading 5"/>
    <w:basedOn w:val="Normlny"/>
    <w:next w:val="Normlny"/>
    <w:qFormat/>
    <w:rsid w:val="00476C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qFormat/>
    <w:rsid w:val="00476CFC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ulletList">
    <w:name w:val="Bullet List"/>
    <w:basedOn w:val="Normlny"/>
    <w:rsid w:val="00EE7904"/>
    <w:pPr>
      <w:numPr>
        <w:numId w:val="1"/>
      </w:numPr>
    </w:pPr>
  </w:style>
  <w:style w:type="paragraph" w:customStyle="1" w:styleId="Table">
    <w:name w:val="Table"/>
    <w:basedOn w:val="Normlny"/>
    <w:rsid w:val="00EE7904"/>
    <w:pPr>
      <w:spacing w:before="40" w:after="40"/>
    </w:pPr>
  </w:style>
  <w:style w:type="paragraph" w:customStyle="1" w:styleId="DocumentHeading">
    <w:name w:val="Document Heading"/>
    <w:basedOn w:val="Normlny"/>
    <w:next w:val="Normlny"/>
    <w:rsid w:val="00EE7904"/>
    <w:rPr>
      <w:b/>
      <w:bCs/>
      <w:sz w:val="28"/>
      <w:szCs w:val="28"/>
    </w:rPr>
  </w:style>
  <w:style w:type="paragraph" w:customStyle="1" w:styleId="SectionHeading">
    <w:name w:val="Section Heading"/>
    <w:basedOn w:val="Normlny"/>
    <w:next w:val="Normlny"/>
    <w:rsid w:val="00EE7904"/>
    <w:rPr>
      <w:b/>
      <w:bCs/>
      <w:sz w:val="28"/>
      <w:szCs w:val="28"/>
    </w:rPr>
  </w:style>
  <w:style w:type="paragraph" w:styleId="Popis">
    <w:name w:val="caption"/>
    <w:basedOn w:val="Normlny"/>
    <w:next w:val="Normlny"/>
    <w:qFormat/>
    <w:rsid w:val="00EE7904"/>
    <w:pPr>
      <w:jc w:val="center"/>
    </w:pPr>
    <w:rPr>
      <w:i/>
      <w:iCs/>
      <w:sz w:val="18"/>
      <w:szCs w:val="18"/>
    </w:rPr>
  </w:style>
  <w:style w:type="paragraph" w:customStyle="1" w:styleId="CaptionStyle">
    <w:name w:val="Caption Style"/>
    <w:basedOn w:val="Popis"/>
    <w:rsid w:val="00EE7904"/>
  </w:style>
  <w:style w:type="paragraph" w:styleId="truktradokumentu">
    <w:name w:val="Document Map"/>
    <w:basedOn w:val="Normlny"/>
    <w:semiHidden/>
    <w:rsid w:val="005F71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ysozarkami">
    <w:name w:val="Normal Indent"/>
    <w:basedOn w:val="Normlny"/>
    <w:rsid w:val="009E0FD0"/>
    <w:pPr>
      <w:ind w:left="720"/>
    </w:pPr>
  </w:style>
  <w:style w:type="paragraph" w:styleId="Hlavika">
    <w:name w:val="header"/>
    <w:basedOn w:val="Normlny"/>
    <w:rsid w:val="003242A1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242A1"/>
    <w:pPr>
      <w:tabs>
        <w:tab w:val="center" w:pos="4536"/>
        <w:tab w:val="right" w:pos="9072"/>
      </w:tabs>
    </w:pPr>
  </w:style>
  <w:style w:type="paragraph" w:customStyle="1" w:styleId="Dashed">
    <w:name w:val="_ Dashed"/>
    <w:basedOn w:val="Normlny"/>
    <w:rsid w:val="003242A1"/>
    <w:pPr>
      <w:suppressAutoHyphens/>
      <w:spacing w:after="0"/>
      <w:ind w:left="284" w:hanging="284"/>
      <w:jc w:val="both"/>
    </w:pPr>
    <w:rPr>
      <w:rFonts w:ascii="Arial" w:hAnsi="Arial" w:cs="Arial"/>
      <w:spacing w:val="-3"/>
      <w:lang w:eastAsia="en-US"/>
    </w:rPr>
  </w:style>
  <w:style w:type="character" w:styleId="slostrany">
    <w:name w:val="page number"/>
    <w:basedOn w:val="Predvolenpsmoodseku"/>
    <w:rsid w:val="006D7F07"/>
  </w:style>
  <w:style w:type="paragraph" w:styleId="Zkladntext3">
    <w:name w:val="Body Text 3"/>
    <w:basedOn w:val="Normlny"/>
    <w:rsid w:val="00A34767"/>
    <w:pPr>
      <w:spacing w:before="120"/>
    </w:pPr>
    <w:rPr>
      <w:color w:val="000000"/>
      <w:sz w:val="24"/>
      <w:szCs w:val="24"/>
      <w:lang w:eastAsia="de-DE"/>
    </w:rPr>
  </w:style>
  <w:style w:type="table" w:styleId="Mriekatabuky">
    <w:name w:val="Table Grid"/>
    <w:basedOn w:val="Normlnatabuka"/>
    <w:rsid w:val="00A3476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rsid w:val="00A34767"/>
    <w:pPr>
      <w:ind w:left="283"/>
    </w:pPr>
  </w:style>
  <w:style w:type="paragraph" w:styleId="Zkladntext">
    <w:name w:val="Body Text"/>
    <w:basedOn w:val="Normlny"/>
    <w:rsid w:val="00A34767"/>
  </w:style>
  <w:style w:type="paragraph" w:styleId="Textpoznmkypodiarou">
    <w:name w:val="footnote text"/>
    <w:basedOn w:val="Normlny"/>
    <w:semiHidden/>
    <w:rsid w:val="00A34767"/>
    <w:pPr>
      <w:spacing w:after="0"/>
    </w:pPr>
    <w:rPr>
      <w:rFonts w:ascii="Arial" w:hAnsi="Arial" w:cs="Arial"/>
      <w:sz w:val="20"/>
      <w:szCs w:val="20"/>
      <w:lang w:eastAsia="de-DE"/>
    </w:rPr>
  </w:style>
  <w:style w:type="character" w:styleId="Odkaznapoznmkupodiarou">
    <w:name w:val="footnote reference"/>
    <w:basedOn w:val="Predvolenpsmoodseku"/>
    <w:semiHidden/>
    <w:rsid w:val="00A34767"/>
    <w:rPr>
      <w:vertAlign w:val="superscript"/>
    </w:rPr>
  </w:style>
  <w:style w:type="paragraph" w:customStyle="1" w:styleId="MusterTitel">
    <w:name w:val="Muster_Titel"/>
    <w:basedOn w:val="Nzov"/>
    <w:rsid w:val="00A34767"/>
    <w:pPr>
      <w:spacing w:before="480" w:after="480"/>
      <w:ind w:left="567"/>
      <w:outlineLvl w:val="9"/>
    </w:pPr>
    <w:rPr>
      <w:b w:val="0"/>
      <w:bCs w:val="0"/>
      <w:kern w:val="1"/>
      <w:sz w:val="28"/>
      <w:szCs w:val="28"/>
      <w:lang w:eastAsia="de-DE"/>
    </w:rPr>
  </w:style>
  <w:style w:type="paragraph" w:styleId="Nzov">
    <w:name w:val="Title"/>
    <w:basedOn w:val="Normlny"/>
    <w:qFormat/>
    <w:rsid w:val="00A3476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ywebov">
    <w:name w:val="Normal (Web)"/>
    <w:basedOn w:val="Normlny"/>
    <w:rsid w:val="006646C2"/>
    <w:pPr>
      <w:spacing w:before="100" w:beforeAutospacing="1" w:after="75"/>
    </w:pPr>
    <w:rPr>
      <w:color w:val="000000"/>
      <w:sz w:val="24"/>
      <w:szCs w:val="24"/>
      <w:lang w:eastAsia="de-DE"/>
    </w:rPr>
  </w:style>
  <w:style w:type="paragraph" w:styleId="Textbubliny">
    <w:name w:val="Balloon Text"/>
    <w:basedOn w:val="Normlny"/>
    <w:semiHidden/>
    <w:rsid w:val="000442A7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rsid w:val="007917C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917C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7917C3"/>
    <w:rPr>
      <w:lang w:val="sk-SK" w:eastAsia="en-GB"/>
    </w:rPr>
  </w:style>
  <w:style w:type="paragraph" w:styleId="Predmetkomentra">
    <w:name w:val="annotation subject"/>
    <w:basedOn w:val="Textkomentra"/>
    <w:next w:val="Textkomentra"/>
    <w:link w:val="PredmetkomentraChar"/>
    <w:rsid w:val="007917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7917C3"/>
    <w:rPr>
      <w:b/>
      <w:bCs/>
      <w:lang w:val="sk-SK" w:eastAsia="en-GB"/>
    </w:rPr>
  </w:style>
  <w:style w:type="paragraph" w:customStyle="1" w:styleId="Formatvorlageberschrift3NichtKursivUnterstrichenLinks125cm">
    <w:name w:val="Formatvorlage Überschrift 3 + Nicht Kursiv Unterstrichen Links:  125 cm..."/>
    <w:basedOn w:val="Nadpis3"/>
    <w:rsid w:val="007917C3"/>
    <w:pPr>
      <w:spacing w:after="0" w:line="276" w:lineRule="auto"/>
      <w:ind w:left="709"/>
    </w:pPr>
    <w:rPr>
      <w:i w:val="0"/>
      <w:iCs w:val="0"/>
      <w:szCs w:val="20"/>
      <w:u w:val="single"/>
    </w:rPr>
  </w:style>
  <w:style w:type="character" w:styleId="Hypertextovprepojenie">
    <w:name w:val="Hyperlink"/>
    <w:basedOn w:val="Predvolenpsmoodseku"/>
    <w:rsid w:val="00614259"/>
    <w:rPr>
      <w:color w:val="0000FF"/>
      <w:u w:val="single"/>
    </w:rPr>
  </w:style>
  <w:style w:type="character" w:customStyle="1" w:styleId="hps">
    <w:name w:val="hps"/>
    <w:rsid w:val="00437DA6"/>
  </w:style>
  <w:style w:type="paragraph" w:styleId="Zkladntext2">
    <w:name w:val="Body Text 2"/>
    <w:basedOn w:val="Normlny"/>
    <w:link w:val="Zkladntext2Char"/>
    <w:rsid w:val="00437DA6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37DA6"/>
    <w:rPr>
      <w:sz w:val="22"/>
      <w:szCs w:val="22"/>
      <w:lang w:val="sk-SK" w:eastAsia="en-GB"/>
    </w:rPr>
  </w:style>
  <w:style w:type="paragraph" w:styleId="Zarkazkladnhotextu3">
    <w:name w:val="Body Text Indent 3"/>
    <w:basedOn w:val="Normlny"/>
    <w:link w:val="Zarkazkladnhotextu3Char"/>
    <w:rsid w:val="00437DA6"/>
    <w:pPr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37DA6"/>
    <w:rPr>
      <w:sz w:val="16"/>
      <w:szCs w:val="16"/>
      <w:lang w:val="sk-SK" w:eastAsia="en-GB"/>
    </w:rPr>
  </w:style>
  <w:style w:type="paragraph" w:styleId="Zarkazkladnhotextu2">
    <w:name w:val="Body Text Indent 2"/>
    <w:basedOn w:val="Normlny"/>
    <w:link w:val="Zarkazkladnhotextu2Char"/>
    <w:rsid w:val="00437DA6"/>
    <w:pPr>
      <w:spacing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37DA6"/>
    <w:rPr>
      <w:sz w:val="22"/>
      <w:szCs w:val="22"/>
      <w:lang w:val="sk-SK" w:eastAsia="en-GB"/>
    </w:rPr>
  </w:style>
  <w:style w:type="paragraph" w:styleId="Revzia">
    <w:name w:val="Revision"/>
    <w:hidden/>
    <w:uiPriority w:val="99"/>
    <w:semiHidden/>
    <w:rsid w:val="00437DA6"/>
    <w:rPr>
      <w:sz w:val="22"/>
      <w:szCs w:val="22"/>
      <w:lang w:eastAsia="en-GB"/>
    </w:rPr>
  </w:style>
  <w:style w:type="character" w:customStyle="1" w:styleId="PtaChar">
    <w:name w:val="Päta Char"/>
    <w:basedOn w:val="Predvolenpsmoodseku"/>
    <w:link w:val="Pta"/>
    <w:uiPriority w:val="99"/>
    <w:rsid w:val="00586CA3"/>
    <w:rPr>
      <w:sz w:val="22"/>
      <w:szCs w:val="22"/>
      <w:lang w:val="sk-SK" w:eastAsia="en-GB"/>
    </w:rPr>
  </w:style>
  <w:style w:type="paragraph" w:styleId="Odsekzoznamu">
    <w:name w:val="List Paragraph"/>
    <w:basedOn w:val="Normlny"/>
    <w:uiPriority w:val="34"/>
    <w:qFormat/>
    <w:rsid w:val="00CA7CB7"/>
    <w:pPr>
      <w:ind w:left="720"/>
      <w:contextualSpacing/>
    </w:pPr>
  </w:style>
  <w:style w:type="character" w:customStyle="1" w:styleId="TextChar1">
    <w:name w:val="Text Char1"/>
    <w:link w:val="Text"/>
    <w:locked/>
    <w:rsid w:val="00FD7EF8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FD7EF8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F828C-4374-4C38-861B-B9A3FAA4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3630</Words>
  <Characters>23124</Characters>
  <Application>Microsoft Office Word</Application>
  <DocSecurity>0</DocSecurity>
  <Lines>192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 IB Summary of Product Characteristics</vt:lpstr>
      <vt:lpstr>Part IB Summary of Product Characteristics</vt:lpstr>
    </vt:vector>
  </TitlesOfParts>
  <Company>Accenture</Company>
  <LinksUpToDate>false</LinksUpToDate>
  <CharactersWithSpaces>26701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IB Summary of Product Characteristics</dc:title>
  <dc:subject/>
  <dc:creator>Author</dc:creator>
  <cp:keywords/>
  <cp:lastModifiedBy>Lacková, Beáta</cp:lastModifiedBy>
  <cp:revision>20</cp:revision>
  <cp:lastPrinted>2019-07-09T12:29:00Z</cp:lastPrinted>
  <dcterms:created xsi:type="dcterms:W3CDTF">2019-07-16T12:49:00Z</dcterms:created>
  <dcterms:modified xsi:type="dcterms:W3CDTF">2019-09-04T06:29:00Z</dcterms:modified>
</cp:coreProperties>
</file>