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2084" w14:textId="77777777" w:rsidR="00EC442C" w:rsidRPr="00E350D1" w:rsidRDefault="00EC442C" w:rsidP="00EC442C">
      <w:pPr>
        <w:tabs>
          <w:tab w:val="left" w:pos="567"/>
        </w:tabs>
        <w:ind w:left="567" w:hanging="567"/>
        <w:rPr>
          <w:b/>
          <w:i/>
          <w:sz w:val="22"/>
          <w:szCs w:val="22"/>
          <w:lang w:val="sk-SK"/>
        </w:rPr>
      </w:pPr>
      <w:bookmarkStart w:id="0" w:name="_GoBack"/>
      <w:bookmarkEnd w:id="0"/>
    </w:p>
    <w:p w14:paraId="0F0234AF" w14:textId="77777777" w:rsidR="00EC442C" w:rsidRPr="00366F86" w:rsidRDefault="00EC442C" w:rsidP="00EC442C">
      <w:pPr>
        <w:tabs>
          <w:tab w:val="left" w:pos="567"/>
        </w:tabs>
        <w:ind w:left="567" w:hanging="567"/>
        <w:jc w:val="center"/>
        <w:rPr>
          <w:b/>
          <w:sz w:val="22"/>
          <w:szCs w:val="22"/>
          <w:lang w:val="sk-SK"/>
        </w:rPr>
      </w:pPr>
    </w:p>
    <w:p w14:paraId="62ABD10C" w14:textId="77777777" w:rsidR="00EC442C" w:rsidRPr="00487D7C" w:rsidRDefault="00EC442C" w:rsidP="00EC442C">
      <w:pPr>
        <w:tabs>
          <w:tab w:val="left" w:pos="567"/>
        </w:tabs>
        <w:ind w:left="567" w:hanging="567"/>
        <w:jc w:val="center"/>
        <w:rPr>
          <w:b/>
          <w:sz w:val="22"/>
          <w:szCs w:val="22"/>
          <w:lang w:val="sk-SK"/>
        </w:rPr>
      </w:pPr>
      <w:r w:rsidRPr="00487D7C">
        <w:rPr>
          <w:b/>
          <w:sz w:val="22"/>
          <w:szCs w:val="22"/>
          <w:lang w:val="sk-SK"/>
        </w:rPr>
        <w:t>SÚHRN CHARAKTERISTICKÝCH VLASTNOSTÍ LIEKU</w:t>
      </w:r>
    </w:p>
    <w:p w14:paraId="747FB164" w14:textId="77777777" w:rsidR="00EC442C" w:rsidRPr="00487D7C" w:rsidRDefault="00EC442C" w:rsidP="00EC442C">
      <w:pPr>
        <w:tabs>
          <w:tab w:val="left" w:pos="567"/>
        </w:tabs>
        <w:ind w:left="567" w:hanging="567"/>
        <w:jc w:val="center"/>
        <w:rPr>
          <w:b/>
          <w:sz w:val="22"/>
          <w:szCs w:val="22"/>
          <w:lang w:val="sk-SK"/>
        </w:rPr>
      </w:pPr>
    </w:p>
    <w:p w14:paraId="61C54914" w14:textId="77777777" w:rsidR="00EC442C" w:rsidRPr="00487D7C" w:rsidRDefault="00EC442C" w:rsidP="00EC442C">
      <w:pPr>
        <w:tabs>
          <w:tab w:val="left" w:pos="567"/>
        </w:tabs>
        <w:ind w:left="567" w:hanging="567"/>
        <w:jc w:val="center"/>
        <w:rPr>
          <w:b/>
          <w:sz w:val="22"/>
          <w:szCs w:val="22"/>
          <w:lang w:val="sk-SK"/>
        </w:rPr>
      </w:pPr>
    </w:p>
    <w:p w14:paraId="689178ED"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1.</w:t>
      </w:r>
      <w:r w:rsidRPr="00487D7C">
        <w:rPr>
          <w:b/>
          <w:sz w:val="22"/>
          <w:szCs w:val="22"/>
          <w:lang w:val="sk-SK"/>
        </w:rPr>
        <w:tab/>
      </w:r>
      <w:r w:rsidRPr="00487D7C">
        <w:rPr>
          <w:b/>
          <w:sz w:val="22"/>
          <w:szCs w:val="22"/>
          <w:lang w:val="sk-SK"/>
        </w:rPr>
        <w:tab/>
        <w:t>NÁZOV LIEKU</w:t>
      </w:r>
    </w:p>
    <w:p w14:paraId="2FD9152F" w14:textId="77777777" w:rsidR="00EC442C" w:rsidRPr="00487D7C" w:rsidRDefault="00EC442C" w:rsidP="00EC442C">
      <w:pPr>
        <w:tabs>
          <w:tab w:val="left" w:pos="567"/>
        </w:tabs>
        <w:ind w:left="567" w:hanging="567"/>
        <w:rPr>
          <w:sz w:val="22"/>
          <w:szCs w:val="22"/>
          <w:lang w:val="sk-SK"/>
        </w:rPr>
      </w:pPr>
    </w:p>
    <w:p w14:paraId="360E73EE" w14:textId="77777777" w:rsidR="00EC442C" w:rsidRPr="00487D7C" w:rsidRDefault="00D3744F" w:rsidP="00EC442C">
      <w:pPr>
        <w:tabs>
          <w:tab w:val="left" w:pos="567"/>
        </w:tabs>
        <w:ind w:left="567" w:hanging="567"/>
        <w:rPr>
          <w:sz w:val="22"/>
          <w:szCs w:val="22"/>
          <w:lang w:val="sk-SK"/>
        </w:rPr>
      </w:pPr>
      <w:r>
        <w:rPr>
          <w:sz w:val="22"/>
          <w:szCs w:val="22"/>
          <w:lang w:val="sk-SK"/>
        </w:rPr>
        <w:t>Apleria</w:t>
      </w:r>
      <w:r w:rsidR="00EC442C" w:rsidRPr="00487D7C">
        <w:rPr>
          <w:sz w:val="22"/>
          <w:szCs w:val="22"/>
          <w:lang w:val="sk-SK"/>
        </w:rPr>
        <w:t xml:space="preserve"> 25 mg filmom obalené tablety</w:t>
      </w:r>
    </w:p>
    <w:p w14:paraId="638252B7" w14:textId="77777777" w:rsidR="00EC442C" w:rsidRPr="00487D7C" w:rsidRDefault="00D3744F" w:rsidP="00EC442C">
      <w:pPr>
        <w:tabs>
          <w:tab w:val="left" w:pos="567"/>
        </w:tabs>
        <w:ind w:left="567" w:hanging="567"/>
        <w:rPr>
          <w:sz w:val="22"/>
          <w:szCs w:val="22"/>
          <w:lang w:val="sk-SK"/>
        </w:rPr>
      </w:pPr>
      <w:r>
        <w:rPr>
          <w:sz w:val="22"/>
          <w:szCs w:val="22"/>
          <w:lang w:val="sk-SK"/>
        </w:rPr>
        <w:t>Apleria</w:t>
      </w:r>
      <w:r w:rsidR="00EC442C" w:rsidRPr="00487D7C">
        <w:rPr>
          <w:sz w:val="22"/>
          <w:szCs w:val="22"/>
          <w:lang w:val="sk-SK"/>
        </w:rPr>
        <w:t xml:space="preserve"> 50 mg filmom obalené tablety</w:t>
      </w:r>
    </w:p>
    <w:p w14:paraId="19AC2DD8" w14:textId="77777777" w:rsidR="00EC442C" w:rsidRPr="00487D7C" w:rsidRDefault="00EC442C" w:rsidP="00EC442C">
      <w:pPr>
        <w:tabs>
          <w:tab w:val="left" w:pos="567"/>
        </w:tabs>
        <w:ind w:left="567" w:hanging="567"/>
        <w:rPr>
          <w:sz w:val="22"/>
          <w:szCs w:val="22"/>
          <w:lang w:val="sk-SK"/>
        </w:rPr>
      </w:pPr>
    </w:p>
    <w:p w14:paraId="7D677881" w14:textId="77777777" w:rsidR="00EC442C" w:rsidRPr="00487D7C" w:rsidRDefault="00EC442C" w:rsidP="00EC442C">
      <w:pPr>
        <w:tabs>
          <w:tab w:val="left" w:pos="567"/>
        </w:tabs>
        <w:ind w:left="567" w:hanging="567"/>
        <w:rPr>
          <w:sz w:val="22"/>
          <w:szCs w:val="22"/>
          <w:lang w:val="sk-SK"/>
        </w:rPr>
      </w:pPr>
    </w:p>
    <w:p w14:paraId="0586E02F"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2.</w:t>
      </w:r>
      <w:r w:rsidRPr="00487D7C">
        <w:rPr>
          <w:b/>
          <w:sz w:val="22"/>
          <w:szCs w:val="22"/>
          <w:lang w:val="sk-SK"/>
        </w:rPr>
        <w:tab/>
      </w:r>
      <w:r w:rsidRPr="00487D7C">
        <w:rPr>
          <w:b/>
          <w:sz w:val="22"/>
          <w:szCs w:val="22"/>
          <w:lang w:val="sk-SK"/>
        </w:rPr>
        <w:tab/>
        <w:t>KVALITATÍVNE A KVANTITATÍVNE ZLOŽENIE</w:t>
      </w:r>
    </w:p>
    <w:p w14:paraId="22530D2B" w14:textId="77777777" w:rsidR="00EC442C" w:rsidRPr="00487D7C" w:rsidRDefault="00EC442C" w:rsidP="00EC442C">
      <w:pPr>
        <w:tabs>
          <w:tab w:val="left" w:pos="567"/>
        </w:tabs>
        <w:ind w:left="567" w:hanging="567"/>
        <w:rPr>
          <w:sz w:val="22"/>
          <w:szCs w:val="22"/>
          <w:lang w:val="sk-SK"/>
        </w:rPr>
      </w:pPr>
    </w:p>
    <w:p w14:paraId="672CF6E5" w14:textId="77777777" w:rsidR="00EC442C" w:rsidRPr="00487D7C" w:rsidRDefault="00D3744F" w:rsidP="00EC442C">
      <w:pPr>
        <w:tabs>
          <w:tab w:val="left" w:pos="567"/>
        </w:tabs>
        <w:ind w:left="567" w:hanging="567"/>
        <w:rPr>
          <w:sz w:val="22"/>
          <w:szCs w:val="22"/>
          <w:lang w:val="sk-SK"/>
        </w:rPr>
      </w:pPr>
      <w:r>
        <w:rPr>
          <w:sz w:val="22"/>
          <w:szCs w:val="22"/>
          <w:lang w:val="sk-SK"/>
        </w:rPr>
        <w:t xml:space="preserve">25 mg: </w:t>
      </w:r>
      <w:r w:rsidR="00EC442C" w:rsidRPr="00487D7C">
        <w:rPr>
          <w:sz w:val="22"/>
          <w:szCs w:val="22"/>
          <w:lang w:val="sk-SK"/>
        </w:rPr>
        <w:t xml:space="preserve">Každá </w:t>
      </w:r>
      <w:r>
        <w:rPr>
          <w:sz w:val="22"/>
          <w:szCs w:val="22"/>
          <w:lang w:val="sk-SK"/>
        </w:rPr>
        <w:t xml:space="preserve">filmom obalená </w:t>
      </w:r>
      <w:r w:rsidR="00EC442C" w:rsidRPr="00487D7C">
        <w:rPr>
          <w:sz w:val="22"/>
          <w:szCs w:val="22"/>
          <w:lang w:val="sk-SK"/>
        </w:rPr>
        <w:t>tableta obsahuje 25 mg eplerenónu.</w:t>
      </w:r>
    </w:p>
    <w:p w14:paraId="4308ABF2" w14:textId="77777777" w:rsidR="00EC442C" w:rsidRPr="00487D7C" w:rsidRDefault="00D3744F" w:rsidP="00EC442C">
      <w:pPr>
        <w:tabs>
          <w:tab w:val="left" w:pos="567"/>
        </w:tabs>
        <w:ind w:left="567" w:hanging="567"/>
        <w:rPr>
          <w:sz w:val="22"/>
          <w:szCs w:val="22"/>
          <w:lang w:val="sk-SK"/>
        </w:rPr>
      </w:pPr>
      <w:r>
        <w:rPr>
          <w:sz w:val="22"/>
          <w:szCs w:val="22"/>
          <w:lang w:val="sk-SK"/>
        </w:rPr>
        <w:t xml:space="preserve">50 mg: </w:t>
      </w:r>
      <w:r w:rsidR="00EC442C" w:rsidRPr="00487D7C">
        <w:rPr>
          <w:sz w:val="22"/>
          <w:szCs w:val="22"/>
          <w:lang w:val="sk-SK"/>
        </w:rPr>
        <w:t xml:space="preserve">Každá </w:t>
      </w:r>
      <w:r>
        <w:rPr>
          <w:sz w:val="22"/>
          <w:szCs w:val="22"/>
          <w:lang w:val="sk-SK"/>
        </w:rPr>
        <w:t xml:space="preserve">filmom obalená </w:t>
      </w:r>
      <w:r w:rsidR="00EC442C" w:rsidRPr="00487D7C">
        <w:rPr>
          <w:sz w:val="22"/>
          <w:szCs w:val="22"/>
          <w:lang w:val="sk-SK"/>
        </w:rPr>
        <w:t>tableta obsahuje 50 mg eplerenónu.</w:t>
      </w:r>
    </w:p>
    <w:p w14:paraId="3EB94D50" w14:textId="77777777" w:rsidR="00EC442C" w:rsidRPr="00487D7C" w:rsidRDefault="00EC442C" w:rsidP="00EC442C">
      <w:pPr>
        <w:tabs>
          <w:tab w:val="left" w:pos="567"/>
        </w:tabs>
        <w:ind w:left="567" w:hanging="567"/>
        <w:rPr>
          <w:sz w:val="22"/>
          <w:szCs w:val="22"/>
          <w:lang w:val="sk-SK"/>
        </w:rPr>
      </w:pPr>
    </w:p>
    <w:p w14:paraId="65D7CD34" w14:textId="325ED67E" w:rsidR="00EC442C" w:rsidRPr="00E350D1" w:rsidRDefault="00EC442C" w:rsidP="00EC442C">
      <w:pPr>
        <w:tabs>
          <w:tab w:val="left" w:pos="567"/>
        </w:tabs>
        <w:ind w:left="567" w:hanging="567"/>
        <w:rPr>
          <w:sz w:val="22"/>
          <w:szCs w:val="22"/>
          <w:u w:val="single"/>
          <w:lang w:val="sk-SK"/>
        </w:rPr>
      </w:pPr>
      <w:r w:rsidRPr="00E350D1">
        <w:rPr>
          <w:sz w:val="22"/>
          <w:szCs w:val="22"/>
          <w:u w:val="single"/>
          <w:lang w:val="sk-SK"/>
        </w:rPr>
        <w:t>Pomocn</w:t>
      </w:r>
      <w:r w:rsidR="00231BD8">
        <w:rPr>
          <w:sz w:val="22"/>
          <w:szCs w:val="22"/>
          <w:u w:val="single"/>
          <w:lang w:val="sk-SK"/>
        </w:rPr>
        <w:t>á</w:t>
      </w:r>
      <w:r w:rsidRPr="00E350D1">
        <w:rPr>
          <w:sz w:val="22"/>
          <w:szCs w:val="22"/>
          <w:u w:val="single"/>
          <w:lang w:val="sk-SK"/>
        </w:rPr>
        <w:t xml:space="preserve"> látk</w:t>
      </w:r>
      <w:r w:rsidR="00231BD8">
        <w:rPr>
          <w:sz w:val="22"/>
          <w:szCs w:val="22"/>
          <w:u w:val="single"/>
          <w:lang w:val="sk-SK"/>
        </w:rPr>
        <w:t>a</w:t>
      </w:r>
      <w:r w:rsidRPr="00E350D1">
        <w:rPr>
          <w:sz w:val="22"/>
          <w:szCs w:val="22"/>
          <w:u w:val="single"/>
          <w:lang w:val="sk-SK"/>
        </w:rPr>
        <w:t xml:space="preserve"> so známym účinkom</w:t>
      </w:r>
      <w:r w:rsidR="00D3744F">
        <w:rPr>
          <w:sz w:val="22"/>
          <w:szCs w:val="22"/>
          <w:u w:val="single"/>
          <w:lang w:val="sk-SK"/>
        </w:rPr>
        <w:t>: monohydrát laktózy</w:t>
      </w:r>
    </w:p>
    <w:p w14:paraId="22E8273F" w14:textId="77777777" w:rsidR="00EC442C" w:rsidRPr="00E350D1" w:rsidRDefault="00EC442C" w:rsidP="00EC442C">
      <w:pPr>
        <w:tabs>
          <w:tab w:val="left" w:pos="567"/>
        </w:tabs>
        <w:ind w:left="567" w:hanging="567"/>
        <w:rPr>
          <w:sz w:val="22"/>
          <w:szCs w:val="22"/>
          <w:u w:val="single"/>
          <w:lang w:val="sk-SK"/>
        </w:rPr>
      </w:pPr>
    </w:p>
    <w:p w14:paraId="3F36702E" w14:textId="7B577AE2" w:rsidR="00EC442C" w:rsidRPr="00487D7C" w:rsidRDefault="00BF51A0" w:rsidP="00E8271C">
      <w:pPr>
        <w:tabs>
          <w:tab w:val="left" w:pos="567"/>
        </w:tabs>
        <w:rPr>
          <w:sz w:val="22"/>
          <w:szCs w:val="22"/>
          <w:lang w:val="sk-SK"/>
        </w:rPr>
      </w:pPr>
      <w:r>
        <w:rPr>
          <w:sz w:val="22"/>
          <w:szCs w:val="22"/>
          <w:lang w:val="sk-SK"/>
        </w:rPr>
        <w:t xml:space="preserve">25 mg: </w:t>
      </w:r>
      <w:r w:rsidRPr="00487D7C">
        <w:rPr>
          <w:sz w:val="22"/>
          <w:szCs w:val="22"/>
          <w:lang w:val="sk-SK"/>
        </w:rPr>
        <w:t xml:space="preserve">Každá </w:t>
      </w:r>
      <w:r>
        <w:rPr>
          <w:sz w:val="22"/>
          <w:szCs w:val="22"/>
          <w:lang w:val="sk-SK"/>
        </w:rPr>
        <w:t xml:space="preserve">filmom obalená </w:t>
      </w:r>
      <w:r w:rsidRPr="00487D7C">
        <w:rPr>
          <w:sz w:val="22"/>
          <w:szCs w:val="22"/>
          <w:lang w:val="sk-SK"/>
        </w:rPr>
        <w:t xml:space="preserve">tableta </w:t>
      </w:r>
      <w:r w:rsidR="00EC442C" w:rsidRPr="00487D7C">
        <w:rPr>
          <w:sz w:val="22"/>
          <w:szCs w:val="22"/>
          <w:lang w:val="sk-SK"/>
        </w:rPr>
        <w:t>obsah</w:t>
      </w:r>
      <w:r>
        <w:rPr>
          <w:sz w:val="22"/>
          <w:szCs w:val="22"/>
          <w:lang w:val="sk-SK"/>
        </w:rPr>
        <w:t>uje 34,5 mg</w:t>
      </w:r>
      <w:r w:rsidR="00265F7C">
        <w:rPr>
          <w:sz w:val="22"/>
          <w:szCs w:val="22"/>
          <w:lang w:val="sk-SK"/>
        </w:rPr>
        <w:t xml:space="preserve"> monohydrátu</w:t>
      </w:r>
      <w:r>
        <w:rPr>
          <w:sz w:val="22"/>
          <w:szCs w:val="22"/>
          <w:lang w:val="sk-SK"/>
        </w:rPr>
        <w:t xml:space="preserve"> laktózy</w:t>
      </w:r>
      <w:r w:rsidR="00265F7C">
        <w:rPr>
          <w:sz w:val="22"/>
          <w:szCs w:val="22"/>
          <w:lang w:val="sk-SK"/>
        </w:rPr>
        <w:t>.</w:t>
      </w:r>
    </w:p>
    <w:p w14:paraId="267A7BD0" w14:textId="66122B82" w:rsidR="00BF51A0" w:rsidRPr="00487D7C" w:rsidRDefault="00BF51A0" w:rsidP="00BF51A0">
      <w:pPr>
        <w:tabs>
          <w:tab w:val="left" w:pos="567"/>
        </w:tabs>
        <w:ind w:left="567" w:hanging="567"/>
        <w:rPr>
          <w:sz w:val="22"/>
          <w:szCs w:val="22"/>
          <w:lang w:val="sk-SK"/>
        </w:rPr>
      </w:pPr>
      <w:r>
        <w:rPr>
          <w:sz w:val="22"/>
          <w:szCs w:val="22"/>
          <w:lang w:val="sk-SK"/>
        </w:rPr>
        <w:t xml:space="preserve">50 mg: </w:t>
      </w:r>
      <w:r w:rsidRPr="00487D7C">
        <w:rPr>
          <w:sz w:val="22"/>
          <w:szCs w:val="22"/>
          <w:lang w:val="sk-SK"/>
        </w:rPr>
        <w:t xml:space="preserve">Každá </w:t>
      </w:r>
      <w:r>
        <w:rPr>
          <w:sz w:val="22"/>
          <w:szCs w:val="22"/>
          <w:lang w:val="sk-SK"/>
        </w:rPr>
        <w:t xml:space="preserve">filmom obalená </w:t>
      </w:r>
      <w:r w:rsidRPr="00487D7C">
        <w:rPr>
          <w:sz w:val="22"/>
          <w:szCs w:val="22"/>
          <w:lang w:val="sk-SK"/>
        </w:rPr>
        <w:t>tableta obsah</w:t>
      </w:r>
      <w:r>
        <w:rPr>
          <w:sz w:val="22"/>
          <w:szCs w:val="22"/>
          <w:lang w:val="sk-SK"/>
        </w:rPr>
        <w:t>uje 69 mg</w:t>
      </w:r>
      <w:r w:rsidR="00265F7C">
        <w:rPr>
          <w:sz w:val="22"/>
          <w:szCs w:val="22"/>
          <w:lang w:val="sk-SK"/>
        </w:rPr>
        <w:t xml:space="preserve"> monohydrátu</w:t>
      </w:r>
      <w:r>
        <w:rPr>
          <w:sz w:val="22"/>
          <w:szCs w:val="22"/>
          <w:lang w:val="sk-SK"/>
        </w:rPr>
        <w:t xml:space="preserve"> laktózy</w:t>
      </w:r>
      <w:r w:rsidR="00265F7C">
        <w:rPr>
          <w:sz w:val="22"/>
          <w:szCs w:val="22"/>
          <w:lang w:val="sk-SK"/>
        </w:rPr>
        <w:t>.</w:t>
      </w:r>
    </w:p>
    <w:p w14:paraId="43ECB201" w14:textId="77777777" w:rsidR="00EC442C" w:rsidRPr="00487D7C" w:rsidRDefault="00EC442C" w:rsidP="00EC442C">
      <w:pPr>
        <w:tabs>
          <w:tab w:val="left" w:pos="567"/>
        </w:tabs>
        <w:ind w:left="567" w:hanging="567"/>
        <w:rPr>
          <w:sz w:val="22"/>
          <w:szCs w:val="22"/>
          <w:lang w:val="sk-SK"/>
        </w:rPr>
      </w:pPr>
    </w:p>
    <w:p w14:paraId="6A75A93A" w14:textId="666076FB" w:rsidR="00EC442C" w:rsidRPr="00487D7C" w:rsidRDefault="00265F7C" w:rsidP="00EC442C">
      <w:pPr>
        <w:tabs>
          <w:tab w:val="left" w:pos="567"/>
        </w:tabs>
        <w:ind w:left="567" w:hanging="567"/>
        <w:rPr>
          <w:bCs/>
          <w:sz w:val="22"/>
          <w:szCs w:val="22"/>
          <w:lang w:val="sk-SK"/>
        </w:rPr>
      </w:pPr>
      <w:r>
        <w:rPr>
          <w:bCs/>
          <w:sz w:val="22"/>
          <w:szCs w:val="22"/>
          <w:lang w:val="sk-SK"/>
        </w:rPr>
        <w:t>Ú</w:t>
      </w:r>
      <w:r w:rsidR="00EC442C" w:rsidRPr="00487D7C">
        <w:rPr>
          <w:bCs/>
          <w:sz w:val="22"/>
          <w:szCs w:val="22"/>
          <w:lang w:val="sk-SK"/>
        </w:rPr>
        <w:t>plný zoznam pomocných látok, pozri časť 6.1.</w:t>
      </w:r>
    </w:p>
    <w:p w14:paraId="3EEA003E" w14:textId="77777777" w:rsidR="00EC442C" w:rsidRPr="00487D7C" w:rsidRDefault="00EC442C" w:rsidP="00EC442C">
      <w:pPr>
        <w:tabs>
          <w:tab w:val="left" w:pos="567"/>
        </w:tabs>
        <w:ind w:left="567" w:hanging="567"/>
        <w:rPr>
          <w:sz w:val="22"/>
          <w:szCs w:val="22"/>
          <w:lang w:val="sk-SK"/>
        </w:rPr>
      </w:pPr>
    </w:p>
    <w:p w14:paraId="32183320" w14:textId="77777777" w:rsidR="00EC442C" w:rsidRPr="00487D7C" w:rsidRDefault="00EC442C" w:rsidP="00EC442C">
      <w:pPr>
        <w:tabs>
          <w:tab w:val="left" w:pos="567"/>
        </w:tabs>
        <w:ind w:left="567" w:hanging="567"/>
        <w:rPr>
          <w:sz w:val="22"/>
          <w:szCs w:val="22"/>
          <w:lang w:val="sk-SK"/>
        </w:rPr>
      </w:pPr>
    </w:p>
    <w:p w14:paraId="656E1BFA"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3.</w:t>
      </w:r>
      <w:r w:rsidRPr="00487D7C">
        <w:rPr>
          <w:b/>
          <w:sz w:val="22"/>
          <w:szCs w:val="22"/>
          <w:lang w:val="sk-SK"/>
        </w:rPr>
        <w:tab/>
      </w:r>
      <w:r w:rsidRPr="00487D7C">
        <w:rPr>
          <w:b/>
          <w:sz w:val="22"/>
          <w:szCs w:val="22"/>
          <w:lang w:val="sk-SK"/>
        </w:rPr>
        <w:tab/>
        <w:t>LIEKOVÁ FORMA</w:t>
      </w:r>
    </w:p>
    <w:p w14:paraId="4C343F5B" w14:textId="77777777" w:rsidR="00EC442C" w:rsidRPr="00487D7C" w:rsidRDefault="00EC442C" w:rsidP="00EC442C">
      <w:pPr>
        <w:tabs>
          <w:tab w:val="left" w:pos="567"/>
        </w:tabs>
        <w:ind w:left="567" w:hanging="567"/>
        <w:rPr>
          <w:b/>
          <w:sz w:val="22"/>
          <w:szCs w:val="22"/>
          <w:lang w:val="sk-SK"/>
        </w:rPr>
      </w:pPr>
    </w:p>
    <w:p w14:paraId="0B6F515D" w14:textId="77777777" w:rsidR="00EC442C" w:rsidRPr="00487D7C" w:rsidRDefault="00EC442C" w:rsidP="00EC442C">
      <w:pPr>
        <w:tabs>
          <w:tab w:val="left" w:pos="357"/>
          <w:tab w:val="left" w:pos="567"/>
        </w:tabs>
        <w:ind w:left="567" w:hanging="567"/>
        <w:rPr>
          <w:bCs/>
          <w:sz w:val="22"/>
          <w:szCs w:val="22"/>
          <w:lang w:val="sk-SK"/>
        </w:rPr>
      </w:pPr>
      <w:r w:rsidRPr="00487D7C">
        <w:rPr>
          <w:bCs/>
          <w:sz w:val="22"/>
          <w:szCs w:val="22"/>
          <w:lang w:val="sk-SK"/>
        </w:rPr>
        <w:t>Filmom obalená tableta</w:t>
      </w:r>
      <w:r w:rsidR="00E9293B">
        <w:rPr>
          <w:bCs/>
          <w:sz w:val="22"/>
          <w:szCs w:val="22"/>
          <w:lang w:val="sk-SK"/>
        </w:rPr>
        <w:t xml:space="preserve"> (tableta)</w:t>
      </w:r>
      <w:r>
        <w:rPr>
          <w:bCs/>
          <w:sz w:val="22"/>
          <w:szCs w:val="22"/>
          <w:lang w:val="sk-SK"/>
        </w:rPr>
        <w:t>.</w:t>
      </w:r>
    </w:p>
    <w:p w14:paraId="48912551" w14:textId="77777777" w:rsidR="00EC442C" w:rsidRPr="00487D7C" w:rsidRDefault="00EC442C" w:rsidP="00EC442C">
      <w:pPr>
        <w:tabs>
          <w:tab w:val="left" w:pos="357"/>
          <w:tab w:val="left" w:pos="567"/>
        </w:tabs>
        <w:ind w:left="567" w:hanging="567"/>
        <w:rPr>
          <w:bCs/>
          <w:sz w:val="22"/>
          <w:szCs w:val="22"/>
          <w:lang w:val="sk-SK"/>
        </w:rPr>
      </w:pPr>
    </w:p>
    <w:p w14:paraId="39B73D7A" w14:textId="2FBDDC6C" w:rsidR="00170D84" w:rsidRPr="00487D7C" w:rsidRDefault="00EC442C" w:rsidP="00EC442C">
      <w:pPr>
        <w:tabs>
          <w:tab w:val="left" w:pos="567"/>
        </w:tabs>
        <w:rPr>
          <w:sz w:val="22"/>
          <w:szCs w:val="22"/>
          <w:lang w:val="sk-SK"/>
        </w:rPr>
      </w:pPr>
      <w:r w:rsidRPr="00487D7C">
        <w:rPr>
          <w:sz w:val="22"/>
          <w:szCs w:val="22"/>
          <w:lang w:val="sk-SK"/>
        </w:rPr>
        <w:t>25 mg</w:t>
      </w:r>
      <w:r w:rsidR="00D54C8D">
        <w:rPr>
          <w:sz w:val="22"/>
          <w:szCs w:val="22"/>
          <w:lang w:val="sk-SK"/>
        </w:rPr>
        <w:t>: Žlté, okrúhle, bikonvexné, filmom obalené tablety</w:t>
      </w:r>
      <w:r w:rsidRPr="00487D7C">
        <w:rPr>
          <w:sz w:val="22"/>
          <w:szCs w:val="22"/>
          <w:lang w:val="sk-SK"/>
        </w:rPr>
        <w:t>,</w:t>
      </w:r>
      <w:r w:rsidR="00D54C8D">
        <w:rPr>
          <w:sz w:val="22"/>
          <w:szCs w:val="22"/>
          <w:lang w:val="sk-SK"/>
        </w:rPr>
        <w:t xml:space="preserve"> s označením 25 na jednej strane. Rozmery: priemer 6 mm.</w:t>
      </w:r>
    </w:p>
    <w:p w14:paraId="650303C1" w14:textId="77777777" w:rsidR="00EC442C" w:rsidRPr="00487D7C" w:rsidRDefault="00EC442C" w:rsidP="00EC442C">
      <w:pPr>
        <w:tabs>
          <w:tab w:val="left" w:pos="567"/>
        </w:tabs>
        <w:rPr>
          <w:sz w:val="22"/>
          <w:szCs w:val="22"/>
          <w:lang w:val="sk-SK"/>
        </w:rPr>
      </w:pPr>
      <w:r w:rsidRPr="00487D7C">
        <w:rPr>
          <w:sz w:val="22"/>
          <w:szCs w:val="22"/>
          <w:lang w:val="sk-SK"/>
        </w:rPr>
        <w:t xml:space="preserve">50 mg: </w:t>
      </w:r>
      <w:r w:rsidR="00D54C8D">
        <w:rPr>
          <w:sz w:val="22"/>
          <w:szCs w:val="22"/>
          <w:lang w:val="sk-SK"/>
        </w:rPr>
        <w:t>Žlté, okrúhle, bikonvexné, filmom obalené tablety</w:t>
      </w:r>
      <w:r w:rsidR="00D54C8D" w:rsidRPr="00487D7C">
        <w:rPr>
          <w:sz w:val="22"/>
          <w:szCs w:val="22"/>
          <w:lang w:val="sk-SK"/>
        </w:rPr>
        <w:t>,</w:t>
      </w:r>
      <w:r w:rsidR="00D54C8D">
        <w:rPr>
          <w:sz w:val="22"/>
          <w:szCs w:val="22"/>
          <w:lang w:val="sk-SK"/>
        </w:rPr>
        <w:t xml:space="preserve"> s označením 50 na jednej strane. Rozmery: priemer 7,5 mm.</w:t>
      </w:r>
    </w:p>
    <w:p w14:paraId="3FB3EDE4" w14:textId="77777777" w:rsidR="00EC442C" w:rsidRPr="00487D7C" w:rsidRDefault="00EC442C" w:rsidP="00EC442C">
      <w:pPr>
        <w:tabs>
          <w:tab w:val="left" w:pos="567"/>
        </w:tabs>
        <w:ind w:left="567" w:hanging="567"/>
        <w:rPr>
          <w:sz w:val="22"/>
          <w:szCs w:val="22"/>
          <w:lang w:val="sk-SK"/>
        </w:rPr>
      </w:pPr>
    </w:p>
    <w:p w14:paraId="74BA0816" w14:textId="77777777" w:rsidR="00EC442C" w:rsidRPr="00487D7C" w:rsidRDefault="00EC442C" w:rsidP="00EC442C">
      <w:pPr>
        <w:tabs>
          <w:tab w:val="left" w:pos="567"/>
        </w:tabs>
        <w:ind w:left="567" w:hanging="567"/>
        <w:rPr>
          <w:sz w:val="22"/>
          <w:szCs w:val="22"/>
          <w:lang w:val="sk-SK"/>
        </w:rPr>
      </w:pPr>
    </w:p>
    <w:p w14:paraId="1FD5200B"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4.</w:t>
      </w:r>
      <w:r w:rsidRPr="00487D7C">
        <w:rPr>
          <w:b/>
          <w:sz w:val="22"/>
          <w:szCs w:val="22"/>
          <w:lang w:val="sk-SK"/>
        </w:rPr>
        <w:tab/>
      </w:r>
      <w:r w:rsidRPr="00487D7C">
        <w:rPr>
          <w:b/>
          <w:sz w:val="22"/>
          <w:szCs w:val="22"/>
          <w:lang w:val="sk-SK"/>
        </w:rPr>
        <w:tab/>
        <w:t>KLINICKÉ ÚDAJE</w:t>
      </w:r>
    </w:p>
    <w:p w14:paraId="4E3AF6C6" w14:textId="77777777" w:rsidR="00EC442C" w:rsidRPr="00487D7C" w:rsidRDefault="00EC442C" w:rsidP="00EC442C">
      <w:pPr>
        <w:tabs>
          <w:tab w:val="left" w:pos="567"/>
        </w:tabs>
        <w:ind w:left="567" w:hanging="567"/>
        <w:rPr>
          <w:sz w:val="22"/>
          <w:szCs w:val="22"/>
          <w:lang w:val="sk-SK"/>
        </w:rPr>
      </w:pPr>
    </w:p>
    <w:p w14:paraId="4719ED49" w14:textId="77777777" w:rsidR="00EC442C" w:rsidRPr="00487D7C" w:rsidRDefault="00EC442C" w:rsidP="00EC442C">
      <w:pPr>
        <w:pStyle w:val="Nadpis2"/>
        <w:tabs>
          <w:tab w:val="left" w:pos="567"/>
        </w:tabs>
        <w:spacing w:before="0" w:after="0"/>
        <w:ind w:left="567" w:hanging="567"/>
        <w:rPr>
          <w:rFonts w:ascii="Times New Roman" w:hAnsi="Times New Roman" w:cs="Times New Roman"/>
          <w:bCs w:val="0"/>
          <w:i w:val="0"/>
          <w:sz w:val="22"/>
          <w:szCs w:val="22"/>
          <w:lang w:val="sk-SK"/>
        </w:rPr>
      </w:pPr>
      <w:r w:rsidRPr="00487D7C">
        <w:rPr>
          <w:rFonts w:ascii="Times New Roman" w:hAnsi="Times New Roman" w:cs="Times New Roman"/>
          <w:bCs w:val="0"/>
          <w:i w:val="0"/>
          <w:sz w:val="22"/>
          <w:szCs w:val="22"/>
          <w:lang w:val="sk-SK"/>
        </w:rPr>
        <w:t>4.1</w:t>
      </w:r>
      <w:r w:rsidRPr="00487D7C">
        <w:rPr>
          <w:rFonts w:ascii="Times New Roman" w:hAnsi="Times New Roman" w:cs="Times New Roman"/>
          <w:bCs w:val="0"/>
          <w:i w:val="0"/>
          <w:sz w:val="22"/>
          <w:szCs w:val="22"/>
          <w:lang w:val="sk-SK"/>
        </w:rPr>
        <w:tab/>
      </w:r>
      <w:r w:rsidRPr="00487D7C">
        <w:rPr>
          <w:rFonts w:ascii="Times New Roman" w:hAnsi="Times New Roman" w:cs="Times New Roman"/>
          <w:bCs w:val="0"/>
          <w:i w:val="0"/>
          <w:sz w:val="22"/>
          <w:szCs w:val="22"/>
          <w:lang w:val="sk-SK"/>
        </w:rPr>
        <w:tab/>
        <w:t>Terapeutické indikácie</w:t>
      </w:r>
    </w:p>
    <w:p w14:paraId="48B0DDD0" w14:textId="77777777" w:rsidR="00EC442C" w:rsidRPr="00487D7C" w:rsidRDefault="00EC442C" w:rsidP="00EC442C">
      <w:pPr>
        <w:tabs>
          <w:tab w:val="left" w:pos="567"/>
        </w:tabs>
        <w:ind w:left="567" w:hanging="567"/>
        <w:rPr>
          <w:b/>
          <w:sz w:val="22"/>
          <w:szCs w:val="22"/>
          <w:lang w:val="sk-SK"/>
        </w:rPr>
      </w:pPr>
    </w:p>
    <w:p w14:paraId="443A5BAA" w14:textId="77777777" w:rsidR="00EC442C" w:rsidRPr="00487D7C" w:rsidRDefault="00EC442C" w:rsidP="00EC442C">
      <w:pPr>
        <w:tabs>
          <w:tab w:val="left" w:pos="567"/>
        </w:tabs>
        <w:rPr>
          <w:sz w:val="22"/>
          <w:szCs w:val="22"/>
          <w:lang w:val="sk-SK"/>
        </w:rPr>
      </w:pPr>
      <w:r w:rsidRPr="00487D7C">
        <w:rPr>
          <w:sz w:val="22"/>
          <w:szCs w:val="22"/>
          <w:lang w:val="sk-SK"/>
        </w:rPr>
        <w:t>Eplerenón je indikovaný:</w:t>
      </w:r>
    </w:p>
    <w:p w14:paraId="0DDB6034" w14:textId="21BDE8DD" w:rsidR="00EC442C" w:rsidRPr="00487D7C" w:rsidRDefault="00126361" w:rsidP="00EC442C">
      <w:pPr>
        <w:numPr>
          <w:ilvl w:val="0"/>
          <w:numId w:val="1"/>
        </w:numPr>
        <w:tabs>
          <w:tab w:val="left" w:pos="567"/>
        </w:tabs>
        <w:ind w:left="567" w:hanging="567"/>
        <w:rPr>
          <w:sz w:val="22"/>
          <w:szCs w:val="22"/>
          <w:lang w:val="sk-SK"/>
        </w:rPr>
      </w:pPr>
      <w:r>
        <w:rPr>
          <w:sz w:val="22"/>
          <w:szCs w:val="22"/>
          <w:lang w:val="sk-SK"/>
        </w:rPr>
        <w:t>k</w:t>
      </w:r>
      <w:r w:rsidR="00EC442C" w:rsidRPr="00487D7C">
        <w:rPr>
          <w:sz w:val="22"/>
          <w:szCs w:val="22"/>
          <w:lang w:val="sk-SK"/>
        </w:rPr>
        <w:t xml:space="preserve"> štandardnej liečb</w:t>
      </w:r>
      <w:r w:rsidR="00E816D0">
        <w:rPr>
          <w:sz w:val="22"/>
          <w:szCs w:val="22"/>
          <w:lang w:val="sk-SK"/>
        </w:rPr>
        <w:t>e</w:t>
      </w:r>
      <w:r w:rsidR="00EC442C" w:rsidRPr="00487D7C">
        <w:rPr>
          <w:sz w:val="22"/>
          <w:szCs w:val="22"/>
          <w:lang w:val="sk-SK"/>
        </w:rPr>
        <w:t xml:space="preserve"> zahŕňajúcej betablokátory, na zníženie rizika kardiovaskulárnej (KV) mortality a morbidity u stabilizovaných pacientov s dysfunkciou ľavej komory (ejekčná frakcia ľavej komory LVEF ≤ 40 %) a klinickými </w:t>
      </w:r>
      <w:r>
        <w:rPr>
          <w:sz w:val="22"/>
          <w:szCs w:val="22"/>
          <w:lang w:val="sk-SK"/>
        </w:rPr>
        <w:t>prejavmi</w:t>
      </w:r>
      <w:r w:rsidR="00EC442C" w:rsidRPr="00487D7C">
        <w:rPr>
          <w:sz w:val="22"/>
          <w:szCs w:val="22"/>
          <w:lang w:val="sk-SK"/>
        </w:rPr>
        <w:t xml:space="preserve"> zlyhávania</w:t>
      </w:r>
      <w:r>
        <w:rPr>
          <w:sz w:val="22"/>
          <w:szCs w:val="22"/>
          <w:lang w:val="sk-SK"/>
        </w:rPr>
        <w:t xml:space="preserve"> srdca</w:t>
      </w:r>
      <w:r w:rsidR="00EC442C" w:rsidRPr="00487D7C">
        <w:rPr>
          <w:sz w:val="22"/>
          <w:szCs w:val="22"/>
          <w:lang w:val="sk-SK"/>
        </w:rPr>
        <w:t xml:space="preserve"> po nedávno prekonanom infarkte myokardu (IM).</w:t>
      </w:r>
    </w:p>
    <w:p w14:paraId="34065D65" w14:textId="77777777" w:rsidR="00EC442C" w:rsidRPr="00487D7C" w:rsidRDefault="00EC442C" w:rsidP="00EC442C">
      <w:pPr>
        <w:tabs>
          <w:tab w:val="left" w:pos="567"/>
        </w:tabs>
        <w:rPr>
          <w:sz w:val="22"/>
          <w:szCs w:val="22"/>
          <w:lang w:val="sk-SK"/>
        </w:rPr>
      </w:pPr>
    </w:p>
    <w:p w14:paraId="7339AF80" w14:textId="0D0E8C8D" w:rsidR="00EC442C" w:rsidRPr="00487D7C" w:rsidRDefault="00170D84" w:rsidP="00EC442C">
      <w:pPr>
        <w:numPr>
          <w:ilvl w:val="0"/>
          <w:numId w:val="1"/>
        </w:numPr>
        <w:tabs>
          <w:tab w:val="left" w:pos="567"/>
        </w:tabs>
        <w:ind w:left="567" w:hanging="567"/>
        <w:rPr>
          <w:sz w:val="22"/>
          <w:szCs w:val="22"/>
          <w:lang w:val="sk-SK"/>
        </w:rPr>
      </w:pPr>
      <w:r>
        <w:rPr>
          <w:sz w:val="22"/>
          <w:szCs w:val="22"/>
          <w:lang w:val="sk-SK"/>
        </w:rPr>
        <w:t xml:space="preserve">k </w:t>
      </w:r>
      <w:r w:rsidR="00EC442C" w:rsidRPr="00487D7C">
        <w:rPr>
          <w:sz w:val="22"/>
          <w:szCs w:val="22"/>
          <w:lang w:val="sk-SK"/>
        </w:rPr>
        <w:t>štandardnej optimálnej liečb</w:t>
      </w:r>
      <w:r w:rsidR="00E816D0">
        <w:rPr>
          <w:sz w:val="22"/>
          <w:szCs w:val="22"/>
          <w:lang w:val="sk-SK"/>
        </w:rPr>
        <w:t>e</w:t>
      </w:r>
      <w:r w:rsidR="00EC442C" w:rsidRPr="00487D7C">
        <w:rPr>
          <w:sz w:val="22"/>
          <w:szCs w:val="22"/>
          <w:lang w:val="sk-SK"/>
        </w:rPr>
        <w:t xml:space="preserve"> na zníženie rizika KV mortality a morbidity u dospelých pacientov s</w:t>
      </w:r>
      <w:r w:rsidR="00E816D0">
        <w:rPr>
          <w:sz w:val="22"/>
          <w:szCs w:val="22"/>
          <w:lang w:val="sk-SK"/>
        </w:rPr>
        <w:t xml:space="preserve"> (chronickým)</w:t>
      </w:r>
      <w:r w:rsidR="00EC442C" w:rsidRPr="00487D7C">
        <w:rPr>
          <w:sz w:val="22"/>
          <w:szCs w:val="22"/>
          <w:lang w:val="sk-SK"/>
        </w:rPr>
        <w:t xml:space="preserve"> zlyhávaním</w:t>
      </w:r>
      <w:r w:rsidR="00E816D0">
        <w:rPr>
          <w:sz w:val="22"/>
          <w:szCs w:val="22"/>
          <w:lang w:val="sk-SK"/>
        </w:rPr>
        <w:t xml:space="preserve"> srdca</w:t>
      </w:r>
      <w:r w:rsidR="00EC442C" w:rsidRPr="00487D7C">
        <w:rPr>
          <w:sz w:val="22"/>
          <w:szCs w:val="22"/>
          <w:lang w:val="sk-SK"/>
        </w:rPr>
        <w:t xml:space="preserve"> podľa New York Hear</w:t>
      </w:r>
      <w:r w:rsidR="004A6E77">
        <w:rPr>
          <w:sz w:val="22"/>
          <w:szCs w:val="22"/>
          <w:lang w:val="sk-SK"/>
        </w:rPr>
        <w:t xml:space="preserve">t Association (NYHA) triedy II </w:t>
      </w:r>
      <w:r w:rsidR="00EC442C" w:rsidRPr="00487D7C">
        <w:rPr>
          <w:sz w:val="22"/>
          <w:szCs w:val="22"/>
          <w:lang w:val="sk-SK"/>
        </w:rPr>
        <w:t>a systolickou dysfunkciou ľavej komory (LVEF ≤ 30 %) (pozri časť 5.1).</w:t>
      </w:r>
    </w:p>
    <w:p w14:paraId="070EAA1B" w14:textId="77777777" w:rsidR="00EC442C" w:rsidRPr="00487D7C" w:rsidRDefault="00EC442C" w:rsidP="00EC442C">
      <w:pPr>
        <w:tabs>
          <w:tab w:val="left" w:pos="567"/>
        </w:tabs>
        <w:ind w:left="567" w:hanging="567"/>
        <w:rPr>
          <w:sz w:val="22"/>
          <w:szCs w:val="22"/>
          <w:lang w:val="sk-SK"/>
        </w:rPr>
      </w:pPr>
    </w:p>
    <w:p w14:paraId="58A070CD" w14:textId="77777777" w:rsidR="00EC442C" w:rsidRPr="00487D7C" w:rsidRDefault="00EC442C" w:rsidP="00EC442C">
      <w:pPr>
        <w:tabs>
          <w:tab w:val="left" w:pos="567"/>
        </w:tabs>
        <w:rPr>
          <w:b/>
          <w:sz w:val="22"/>
          <w:szCs w:val="22"/>
          <w:lang w:val="sk-SK"/>
        </w:rPr>
      </w:pPr>
      <w:r w:rsidRPr="00487D7C">
        <w:rPr>
          <w:b/>
          <w:sz w:val="22"/>
          <w:szCs w:val="22"/>
          <w:lang w:val="sk-SK"/>
        </w:rPr>
        <w:t>4.2</w:t>
      </w:r>
      <w:r w:rsidRPr="00487D7C">
        <w:rPr>
          <w:b/>
          <w:sz w:val="22"/>
          <w:szCs w:val="22"/>
          <w:lang w:val="sk-SK"/>
        </w:rPr>
        <w:tab/>
      </w:r>
      <w:r w:rsidRPr="00487D7C">
        <w:rPr>
          <w:b/>
          <w:sz w:val="22"/>
          <w:szCs w:val="22"/>
          <w:lang w:val="sk-SK"/>
        </w:rPr>
        <w:tab/>
        <w:t>Dávkovanie a spôsob podávania</w:t>
      </w:r>
    </w:p>
    <w:p w14:paraId="1E143BA5" w14:textId="77777777" w:rsidR="00EC442C" w:rsidRPr="00487D7C" w:rsidRDefault="00EC442C" w:rsidP="00EC442C">
      <w:pPr>
        <w:tabs>
          <w:tab w:val="left" w:pos="567"/>
        </w:tabs>
        <w:rPr>
          <w:b/>
          <w:sz w:val="22"/>
          <w:szCs w:val="22"/>
          <w:lang w:val="sk-SK"/>
        </w:rPr>
      </w:pPr>
    </w:p>
    <w:p w14:paraId="0940F43F" w14:textId="77777777" w:rsidR="00EC442C" w:rsidRPr="00B75EA4" w:rsidRDefault="00EC442C" w:rsidP="00EC442C">
      <w:pPr>
        <w:tabs>
          <w:tab w:val="left" w:pos="567"/>
        </w:tabs>
        <w:rPr>
          <w:sz w:val="22"/>
          <w:szCs w:val="22"/>
          <w:u w:val="single"/>
          <w:lang w:val="sk-SK"/>
        </w:rPr>
      </w:pPr>
      <w:r w:rsidRPr="00B75EA4">
        <w:rPr>
          <w:sz w:val="22"/>
          <w:szCs w:val="22"/>
          <w:u w:val="single"/>
          <w:lang w:val="sk-SK"/>
        </w:rPr>
        <w:t>Dávkovanie</w:t>
      </w:r>
    </w:p>
    <w:p w14:paraId="1BE6DD6B" w14:textId="2B92B16C" w:rsidR="00EC442C" w:rsidRPr="00487D7C" w:rsidRDefault="00EC442C" w:rsidP="00EC442C">
      <w:pPr>
        <w:tabs>
          <w:tab w:val="left" w:pos="567"/>
        </w:tabs>
        <w:rPr>
          <w:sz w:val="22"/>
          <w:szCs w:val="22"/>
          <w:lang w:val="sk-SK"/>
        </w:rPr>
      </w:pPr>
      <w:r w:rsidRPr="00487D7C">
        <w:rPr>
          <w:sz w:val="22"/>
          <w:szCs w:val="22"/>
          <w:lang w:val="sk-SK"/>
        </w:rPr>
        <w:t>Na individuáln</w:t>
      </w:r>
      <w:r w:rsidR="00D909ED">
        <w:rPr>
          <w:sz w:val="22"/>
          <w:szCs w:val="22"/>
          <w:lang w:val="sk-SK"/>
        </w:rPr>
        <w:t>u</w:t>
      </w:r>
      <w:r w:rsidRPr="00487D7C">
        <w:rPr>
          <w:sz w:val="22"/>
          <w:szCs w:val="22"/>
          <w:lang w:val="sk-SK"/>
        </w:rPr>
        <w:t xml:space="preserve"> </w:t>
      </w:r>
      <w:r w:rsidR="00D909ED">
        <w:rPr>
          <w:sz w:val="22"/>
          <w:szCs w:val="22"/>
          <w:lang w:val="sk-SK"/>
        </w:rPr>
        <w:t>úpravu</w:t>
      </w:r>
      <w:r w:rsidRPr="00487D7C">
        <w:rPr>
          <w:sz w:val="22"/>
          <w:szCs w:val="22"/>
          <w:lang w:val="sk-SK"/>
        </w:rPr>
        <w:t xml:space="preserve"> dávkovania sú k dispozícii sily 25 mg a 50 mg</w:t>
      </w:r>
      <w:r w:rsidRPr="005B38E9">
        <w:rPr>
          <w:sz w:val="22"/>
          <w:szCs w:val="22"/>
          <w:lang w:val="sk-SK"/>
        </w:rPr>
        <w:t>. Maximáln</w:t>
      </w:r>
      <w:r w:rsidR="005B38E9" w:rsidRPr="00E8271C">
        <w:rPr>
          <w:sz w:val="22"/>
          <w:szCs w:val="22"/>
          <w:lang w:val="sk-SK"/>
        </w:rPr>
        <w:t>a</w:t>
      </w:r>
      <w:r w:rsidRPr="005B38E9">
        <w:rPr>
          <w:sz w:val="22"/>
          <w:szCs w:val="22"/>
          <w:lang w:val="sk-SK"/>
        </w:rPr>
        <w:t xml:space="preserve"> dávk</w:t>
      </w:r>
      <w:r w:rsidR="005B38E9" w:rsidRPr="00D909ED">
        <w:rPr>
          <w:sz w:val="22"/>
          <w:szCs w:val="22"/>
          <w:lang w:val="sk-SK"/>
        </w:rPr>
        <w:t>a</w:t>
      </w:r>
      <w:r w:rsidRPr="00D909ED">
        <w:rPr>
          <w:sz w:val="22"/>
          <w:szCs w:val="22"/>
          <w:lang w:val="sk-SK"/>
        </w:rPr>
        <w:t xml:space="preserve"> je 50 mg denne.</w:t>
      </w:r>
    </w:p>
    <w:p w14:paraId="02C9251F" w14:textId="77777777" w:rsidR="00EC442C" w:rsidRPr="00487D7C" w:rsidRDefault="00EC442C" w:rsidP="00EC442C">
      <w:pPr>
        <w:tabs>
          <w:tab w:val="left" w:pos="567"/>
        </w:tabs>
        <w:rPr>
          <w:sz w:val="22"/>
          <w:szCs w:val="22"/>
          <w:lang w:val="sk-SK"/>
        </w:rPr>
      </w:pPr>
    </w:p>
    <w:p w14:paraId="79A1C22B" w14:textId="35AD3C86" w:rsidR="00B75EA4" w:rsidRDefault="00EC442C" w:rsidP="00EC442C">
      <w:pPr>
        <w:keepNext/>
        <w:tabs>
          <w:tab w:val="left" w:pos="567"/>
        </w:tabs>
        <w:rPr>
          <w:i/>
          <w:sz w:val="22"/>
          <w:szCs w:val="22"/>
          <w:lang w:val="sk-SK"/>
        </w:rPr>
      </w:pPr>
      <w:r w:rsidRPr="00487D7C">
        <w:rPr>
          <w:i/>
          <w:sz w:val="22"/>
          <w:szCs w:val="22"/>
          <w:lang w:val="sk-SK"/>
        </w:rPr>
        <w:lastRenderedPageBreak/>
        <w:t xml:space="preserve">Pre pacientov so  zlyhávaním </w:t>
      </w:r>
      <w:r w:rsidR="00E816D0">
        <w:rPr>
          <w:i/>
          <w:sz w:val="22"/>
          <w:szCs w:val="22"/>
          <w:lang w:val="sk-SK"/>
        </w:rPr>
        <w:t xml:space="preserve">srdca </w:t>
      </w:r>
      <w:r w:rsidRPr="00487D7C">
        <w:rPr>
          <w:i/>
          <w:sz w:val="22"/>
          <w:szCs w:val="22"/>
          <w:lang w:val="sk-SK"/>
        </w:rPr>
        <w:t>po IM</w:t>
      </w:r>
    </w:p>
    <w:p w14:paraId="4DA2D665" w14:textId="77777777" w:rsidR="00EC442C" w:rsidRPr="00B75EA4" w:rsidRDefault="00EC442C" w:rsidP="00EC442C">
      <w:pPr>
        <w:keepNext/>
        <w:tabs>
          <w:tab w:val="left" w:pos="567"/>
        </w:tabs>
        <w:rPr>
          <w:i/>
          <w:sz w:val="22"/>
          <w:szCs w:val="22"/>
          <w:lang w:val="sk-SK"/>
        </w:rPr>
      </w:pPr>
      <w:r w:rsidRPr="00487D7C">
        <w:rPr>
          <w:sz w:val="22"/>
          <w:szCs w:val="22"/>
          <w:lang w:val="sk-SK"/>
        </w:rPr>
        <w:t xml:space="preserve">Odporúčaná udržiavacia dávka eplerenónu je 50 mg </w:t>
      </w:r>
      <w:r w:rsidR="00987A0F">
        <w:rPr>
          <w:sz w:val="22"/>
          <w:szCs w:val="22"/>
          <w:lang w:val="sk-SK"/>
        </w:rPr>
        <w:t>jedenkrát</w:t>
      </w:r>
      <w:r w:rsidRPr="00487D7C">
        <w:rPr>
          <w:sz w:val="22"/>
          <w:szCs w:val="22"/>
          <w:lang w:val="sk-SK"/>
        </w:rPr>
        <w:t xml:space="preserve"> denne. Liečba má začať dáv</w:t>
      </w:r>
      <w:r w:rsidR="00987A0F">
        <w:rPr>
          <w:sz w:val="22"/>
          <w:szCs w:val="22"/>
          <w:lang w:val="sk-SK"/>
        </w:rPr>
        <w:t>kou 25 mg jedenkrát denne a titrovať na cieľovú dávku</w:t>
      </w:r>
      <w:r w:rsidRPr="00487D7C">
        <w:rPr>
          <w:sz w:val="22"/>
          <w:szCs w:val="22"/>
          <w:lang w:val="sk-SK"/>
        </w:rPr>
        <w:t xml:space="preserve"> 50 mg </w:t>
      </w:r>
      <w:r w:rsidR="00987A0F">
        <w:rPr>
          <w:sz w:val="22"/>
          <w:szCs w:val="22"/>
          <w:lang w:val="sk-SK"/>
        </w:rPr>
        <w:t>jedenkrát</w:t>
      </w:r>
      <w:r w:rsidRPr="00487D7C">
        <w:rPr>
          <w:sz w:val="22"/>
          <w:szCs w:val="22"/>
          <w:lang w:val="sk-SK"/>
        </w:rPr>
        <w:t xml:space="preserve"> denne najlepšie počas 4 týždňov, pri kontrole hladiny draslíka v sére (pozri tabuľku 1). Liečba eplerenónom sa ma začať do 3 </w:t>
      </w:r>
      <w:r w:rsidRPr="00487D7C">
        <w:rPr>
          <w:sz w:val="22"/>
          <w:szCs w:val="22"/>
          <w:lang w:val="sk-SK"/>
        </w:rPr>
        <w:noBreakHyphen/>
        <w:t> 14 dní po akútnom IM.</w:t>
      </w:r>
    </w:p>
    <w:p w14:paraId="7B07CB50" w14:textId="77777777" w:rsidR="00EC442C" w:rsidRPr="00487D7C" w:rsidRDefault="00EC442C" w:rsidP="00EC442C">
      <w:pPr>
        <w:tabs>
          <w:tab w:val="left" w:pos="567"/>
        </w:tabs>
        <w:rPr>
          <w:sz w:val="22"/>
          <w:szCs w:val="22"/>
          <w:lang w:val="sk-SK"/>
        </w:rPr>
      </w:pPr>
    </w:p>
    <w:p w14:paraId="750FA81B" w14:textId="06AB0A81" w:rsidR="00EC442C" w:rsidRPr="00487D7C" w:rsidRDefault="00EC442C" w:rsidP="00EC442C">
      <w:pPr>
        <w:tabs>
          <w:tab w:val="left" w:pos="567"/>
        </w:tabs>
        <w:rPr>
          <w:i/>
          <w:sz w:val="22"/>
          <w:szCs w:val="22"/>
          <w:lang w:val="sk-SK"/>
        </w:rPr>
      </w:pPr>
      <w:r w:rsidRPr="00487D7C">
        <w:rPr>
          <w:i/>
          <w:sz w:val="22"/>
          <w:szCs w:val="22"/>
          <w:lang w:val="sk-SK"/>
        </w:rPr>
        <w:t xml:space="preserve">Pre pacientov s </w:t>
      </w:r>
      <w:r w:rsidR="00E816D0">
        <w:rPr>
          <w:i/>
          <w:sz w:val="22"/>
          <w:szCs w:val="22"/>
          <w:lang w:val="sk-SK"/>
        </w:rPr>
        <w:t xml:space="preserve">(chronickým) </w:t>
      </w:r>
      <w:r w:rsidR="00E816D0" w:rsidRPr="00487D7C">
        <w:rPr>
          <w:i/>
          <w:sz w:val="22"/>
          <w:szCs w:val="22"/>
          <w:lang w:val="sk-SK"/>
        </w:rPr>
        <w:t>zlyhávaním</w:t>
      </w:r>
      <w:r w:rsidR="00E816D0">
        <w:rPr>
          <w:i/>
          <w:sz w:val="22"/>
          <w:szCs w:val="22"/>
          <w:lang w:val="sk-SK"/>
        </w:rPr>
        <w:t xml:space="preserve"> srdca </w:t>
      </w:r>
      <w:r w:rsidRPr="00487D7C">
        <w:rPr>
          <w:i/>
          <w:sz w:val="22"/>
          <w:szCs w:val="22"/>
          <w:lang w:val="sk-SK"/>
        </w:rPr>
        <w:t xml:space="preserve">triedy NYHA II </w:t>
      </w:r>
    </w:p>
    <w:p w14:paraId="74B11150" w14:textId="6ABE9C53" w:rsidR="00EC442C" w:rsidRPr="00487D7C" w:rsidRDefault="00EC442C" w:rsidP="00EC442C">
      <w:pPr>
        <w:tabs>
          <w:tab w:val="left" w:pos="567"/>
        </w:tabs>
        <w:rPr>
          <w:sz w:val="22"/>
          <w:szCs w:val="22"/>
          <w:lang w:val="sk-SK"/>
        </w:rPr>
      </w:pPr>
      <w:r w:rsidRPr="00487D7C">
        <w:rPr>
          <w:sz w:val="22"/>
          <w:szCs w:val="22"/>
          <w:lang w:val="sk-SK"/>
        </w:rPr>
        <w:t xml:space="preserve">Pre pacientov s chronickým zlyhávaním </w:t>
      </w:r>
      <w:r w:rsidR="00E816D0">
        <w:rPr>
          <w:sz w:val="22"/>
          <w:szCs w:val="22"/>
          <w:lang w:val="sk-SK"/>
        </w:rPr>
        <w:t xml:space="preserve">srdca </w:t>
      </w:r>
      <w:r w:rsidRPr="00487D7C">
        <w:rPr>
          <w:sz w:val="22"/>
          <w:szCs w:val="22"/>
          <w:lang w:val="sk-SK"/>
        </w:rPr>
        <w:t>triedy NYHA II sa má liečba začať dávkou 25 mg jedenkrát denne a titrovať na cieľovú dávku 50 mg jedenkrát denne najlepšie počas 4 týždňov; pri tom je potrebné vziať do úvahy séro</w:t>
      </w:r>
      <w:r w:rsidR="004F5DB2">
        <w:rPr>
          <w:sz w:val="22"/>
          <w:szCs w:val="22"/>
          <w:lang w:val="sk-SK"/>
        </w:rPr>
        <w:t xml:space="preserve">vú hladinu draslíka (pozri </w:t>
      </w:r>
      <w:r w:rsidR="00444E4E">
        <w:rPr>
          <w:sz w:val="22"/>
          <w:szCs w:val="22"/>
          <w:lang w:val="sk-SK"/>
        </w:rPr>
        <w:t>t</w:t>
      </w:r>
      <w:r w:rsidRPr="00487D7C">
        <w:rPr>
          <w:sz w:val="22"/>
          <w:szCs w:val="22"/>
          <w:lang w:val="sk-SK"/>
        </w:rPr>
        <w:t>abuľku 1 a časť 4.4).</w:t>
      </w:r>
    </w:p>
    <w:p w14:paraId="47F20D7E" w14:textId="77777777" w:rsidR="00EC442C" w:rsidRPr="00487D7C" w:rsidRDefault="00EC442C" w:rsidP="00EC442C">
      <w:pPr>
        <w:tabs>
          <w:tab w:val="left" w:pos="567"/>
        </w:tabs>
        <w:rPr>
          <w:sz w:val="22"/>
          <w:szCs w:val="22"/>
          <w:lang w:val="sk-SK"/>
        </w:rPr>
      </w:pPr>
    </w:p>
    <w:p w14:paraId="2BFC761D" w14:textId="77777777" w:rsidR="00EC442C" w:rsidRPr="00487D7C" w:rsidRDefault="00EC442C" w:rsidP="00EC442C">
      <w:pPr>
        <w:tabs>
          <w:tab w:val="left" w:pos="567"/>
        </w:tabs>
        <w:rPr>
          <w:sz w:val="22"/>
          <w:szCs w:val="22"/>
          <w:lang w:val="sk-SK"/>
        </w:rPr>
      </w:pPr>
      <w:r w:rsidRPr="00487D7C">
        <w:rPr>
          <w:sz w:val="22"/>
          <w:szCs w:val="22"/>
          <w:lang w:val="sk-SK"/>
        </w:rPr>
        <w:t>Liečba eplerenónom sa nemá začínať u pacientov s hladinou draslíka v sére &gt; 5,0 mmol/l (pozri časť 4.3).</w:t>
      </w:r>
    </w:p>
    <w:p w14:paraId="0F4BFA20" w14:textId="77777777" w:rsidR="00EC442C" w:rsidRPr="00487D7C" w:rsidRDefault="00EC442C" w:rsidP="00EC442C">
      <w:pPr>
        <w:tabs>
          <w:tab w:val="left" w:pos="567"/>
        </w:tabs>
        <w:rPr>
          <w:sz w:val="22"/>
          <w:szCs w:val="22"/>
          <w:lang w:val="sk-SK"/>
        </w:rPr>
      </w:pPr>
    </w:p>
    <w:p w14:paraId="70C74AF4" w14:textId="77777777" w:rsidR="00EC442C" w:rsidRPr="00487D7C" w:rsidRDefault="00EC442C" w:rsidP="00EC442C">
      <w:pPr>
        <w:tabs>
          <w:tab w:val="left" w:pos="567"/>
        </w:tabs>
        <w:rPr>
          <w:sz w:val="22"/>
          <w:szCs w:val="22"/>
          <w:lang w:val="sk-SK"/>
        </w:rPr>
      </w:pPr>
      <w:r w:rsidRPr="00487D7C">
        <w:rPr>
          <w:sz w:val="22"/>
          <w:szCs w:val="22"/>
          <w:lang w:val="sk-SK"/>
        </w:rPr>
        <w:t>Hladina draslíka v sére sa musí vyšetriť pred začatím liečby eplerenónom, počas prvého týždňa a jeden mesiac po začatí liečby alebo úprave dávky. Hladina draslíka v sére sa má podľa potreby ďalej pravidelne kontrolovať.</w:t>
      </w:r>
    </w:p>
    <w:p w14:paraId="28936EB9" w14:textId="77777777" w:rsidR="00EC442C" w:rsidRPr="00487D7C" w:rsidRDefault="00EC442C" w:rsidP="00EC442C">
      <w:pPr>
        <w:tabs>
          <w:tab w:val="left" w:pos="567"/>
        </w:tabs>
        <w:rPr>
          <w:sz w:val="22"/>
          <w:szCs w:val="22"/>
          <w:lang w:val="sk-SK"/>
        </w:rPr>
      </w:pPr>
    </w:p>
    <w:p w14:paraId="3B0B8141" w14:textId="5759A30E" w:rsidR="00EC442C" w:rsidRPr="00487D7C" w:rsidRDefault="00EC442C" w:rsidP="00EC442C">
      <w:pPr>
        <w:tabs>
          <w:tab w:val="left" w:pos="567"/>
        </w:tabs>
        <w:rPr>
          <w:sz w:val="22"/>
          <w:szCs w:val="22"/>
          <w:lang w:val="sk-SK"/>
        </w:rPr>
      </w:pPr>
      <w:r w:rsidRPr="00487D7C">
        <w:rPr>
          <w:sz w:val="22"/>
          <w:szCs w:val="22"/>
          <w:lang w:val="sk-SK"/>
        </w:rPr>
        <w:t>Po začatí liečby sa má dávka upraviť podľa hladin</w:t>
      </w:r>
      <w:r w:rsidR="004F5DB2">
        <w:rPr>
          <w:sz w:val="22"/>
          <w:szCs w:val="22"/>
          <w:lang w:val="sk-SK"/>
        </w:rPr>
        <w:t xml:space="preserve">y draslíka v sére, ako ukazuje </w:t>
      </w:r>
      <w:r w:rsidR="001E017A">
        <w:rPr>
          <w:sz w:val="22"/>
          <w:szCs w:val="22"/>
          <w:lang w:val="sk-SK"/>
        </w:rPr>
        <w:t>t</w:t>
      </w:r>
      <w:r w:rsidRPr="00487D7C">
        <w:rPr>
          <w:sz w:val="22"/>
          <w:szCs w:val="22"/>
          <w:lang w:val="sk-SK"/>
        </w:rPr>
        <w:t>abuľka 1.</w:t>
      </w:r>
    </w:p>
    <w:p w14:paraId="436A707B" w14:textId="77777777" w:rsidR="00EC442C" w:rsidRPr="00487D7C" w:rsidRDefault="00EC442C" w:rsidP="00EC442C">
      <w:pPr>
        <w:tabs>
          <w:tab w:val="left" w:pos="567"/>
        </w:tabs>
        <w:rPr>
          <w:sz w:val="22"/>
          <w:szCs w:val="22"/>
          <w:lang w:val="sk-SK"/>
        </w:rPr>
      </w:pPr>
    </w:p>
    <w:p w14:paraId="6569FEAA" w14:textId="77777777" w:rsidR="00EC442C" w:rsidRPr="00487D7C" w:rsidRDefault="00EC442C" w:rsidP="00EC442C">
      <w:pPr>
        <w:tabs>
          <w:tab w:val="left" w:pos="567"/>
        </w:tabs>
        <w:rPr>
          <w:sz w:val="22"/>
          <w:szCs w:val="22"/>
          <w:lang w:val="sk-SK"/>
        </w:rPr>
      </w:pPr>
      <w:r w:rsidRPr="00487D7C">
        <w:rPr>
          <w:sz w:val="22"/>
          <w:szCs w:val="22"/>
          <w:lang w:val="sk-SK"/>
        </w:rPr>
        <w:t>Tabuľka 1: Úprava dávky eplerenónu po začatí liečby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1701"/>
        <w:gridCol w:w="3402"/>
      </w:tblGrid>
      <w:tr w:rsidR="00EC442C" w:rsidRPr="00487D7C" w14:paraId="121B1A5B" w14:textId="77777777" w:rsidTr="00E60189">
        <w:tc>
          <w:tcPr>
            <w:tcW w:w="3317" w:type="dxa"/>
            <w:tcBorders>
              <w:top w:val="single" w:sz="4" w:space="0" w:color="auto"/>
              <w:left w:val="single" w:sz="4" w:space="0" w:color="auto"/>
              <w:bottom w:val="single" w:sz="4" w:space="0" w:color="auto"/>
              <w:right w:val="single" w:sz="4" w:space="0" w:color="auto"/>
            </w:tcBorders>
          </w:tcPr>
          <w:p w14:paraId="2E5BB3C0" w14:textId="77777777" w:rsidR="00EC442C" w:rsidRPr="00487D7C" w:rsidRDefault="00EC442C" w:rsidP="00E60189">
            <w:pPr>
              <w:tabs>
                <w:tab w:val="left" w:pos="567"/>
              </w:tabs>
              <w:rPr>
                <w:sz w:val="22"/>
                <w:szCs w:val="22"/>
                <w:lang w:val="sk-SK"/>
              </w:rPr>
            </w:pPr>
            <w:r w:rsidRPr="00487D7C">
              <w:rPr>
                <w:b/>
                <w:sz w:val="22"/>
                <w:szCs w:val="22"/>
                <w:lang w:val="sk-SK"/>
              </w:rPr>
              <w:t>Hladina draslíka v sére (mmol/l)</w:t>
            </w:r>
          </w:p>
        </w:tc>
        <w:tc>
          <w:tcPr>
            <w:tcW w:w="1701" w:type="dxa"/>
            <w:tcBorders>
              <w:top w:val="single" w:sz="4" w:space="0" w:color="auto"/>
              <w:left w:val="single" w:sz="4" w:space="0" w:color="auto"/>
              <w:bottom w:val="single" w:sz="4" w:space="0" w:color="auto"/>
              <w:right w:val="single" w:sz="4" w:space="0" w:color="auto"/>
            </w:tcBorders>
          </w:tcPr>
          <w:p w14:paraId="0F0B871F" w14:textId="77777777" w:rsidR="00EC442C" w:rsidRPr="00487D7C" w:rsidRDefault="00EC442C" w:rsidP="00E60189">
            <w:pPr>
              <w:tabs>
                <w:tab w:val="left" w:pos="567"/>
              </w:tabs>
              <w:rPr>
                <w:sz w:val="22"/>
                <w:szCs w:val="22"/>
                <w:lang w:val="sk-SK"/>
              </w:rPr>
            </w:pPr>
            <w:r w:rsidRPr="00487D7C">
              <w:rPr>
                <w:b/>
                <w:sz w:val="22"/>
                <w:szCs w:val="22"/>
                <w:lang w:val="sk-SK"/>
              </w:rPr>
              <w:t>Zásah</w:t>
            </w:r>
          </w:p>
        </w:tc>
        <w:tc>
          <w:tcPr>
            <w:tcW w:w="3402" w:type="dxa"/>
            <w:tcBorders>
              <w:top w:val="single" w:sz="4" w:space="0" w:color="auto"/>
              <w:left w:val="single" w:sz="4" w:space="0" w:color="auto"/>
              <w:bottom w:val="single" w:sz="4" w:space="0" w:color="auto"/>
              <w:right w:val="single" w:sz="4" w:space="0" w:color="auto"/>
            </w:tcBorders>
          </w:tcPr>
          <w:p w14:paraId="484B76D8" w14:textId="77777777" w:rsidR="00EC442C" w:rsidRPr="00487D7C" w:rsidRDefault="00EC442C" w:rsidP="00E60189">
            <w:pPr>
              <w:tabs>
                <w:tab w:val="left" w:pos="567"/>
              </w:tabs>
              <w:rPr>
                <w:sz w:val="22"/>
                <w:szCs w:val="22"/>
                <w:lang w:val="sk-SK"/>
              </w:rPr>
            </w:pPr>
            <w:r w:rsidRPr="00487D7C">
              <w:rPr>
                <w:b/>
                <w:sz w:val="22"/>
                <w:szCs w:val="22"/>
                <w:lang w:val="sk-SK"/>
              </w:rPr>
              <w:t>Úprava dávky</w:t>
            </w:r>
          </w:p>
        </w:tc>
      </w:tr>
      <w:tr w:rsidR="00EC442C" w:rsidRPr="00487D7C" w14:paraId="031B7CD6" w14:textId="77777777" w:rsidTr="00E60189">
        <w:tc>
          <w:tcPr>
            <w:tcW w:w="3317" w:type="dxa"/>
            <w:tcBorders>
              <w:top w:val="single" w:sz="4" w:space="0" w:color="auto"/>
              <w:left w:val="single" w:sz="4" w:space="0" w:color="auto"/>
              <w:bottom w:val="single" w:sz="4" w:space="0" w:color="auto"/>
              <w:right w:val="single" w:sz="4" w:space="0" w:color="auto"/>
            </w:tcBorders>
          </w:tcPr>
          <w:p w14:paraId="34CEDF63" w14:textId="77777777" w:rsidR="00EC442C" w:rsidRPr="00487D7C" w:rsidRDefault="00EC442C" w:rsidP="00E60189">
            <w:pPr>
              <w:tabs>
                <w:tab w:val="left" w:pos="567"/>
              </w:tabs>
              <w:rPr>
                <w:sz w:val="22"/>
                <w:szCs w:val="22"/>
                <w:lang w:val="sk-SK"/>
              </w:rPr>
            </w:pPr>
            <w:r w:rsidRPr="00487D7C">
              <w:rPr>
                <w:sz w:val="22"/>
                <w:szCs w:val="22"/>
                <w:lang w:val="sk-SK"/>
              </w:rPr>
              <w:t>&lt; 5,0</w:t>
            </w:r>
          </w:p>
        </w:tc>
        <w:tc>
          <w:tcPr>
            <w:tcW w:w="1701" w:type="dxa"/>
            <w:tcBorders>
              <w:top w:val="single" w:sz="4" w:space="0" w:color="auto"/>
              <w:left w:val="single" w:sz="4" w:space="0" w:color="auto"/>
              <w:bottom w:val="single" w:sz="4" w:space="0" w:color="auto"/>
              <w:right w:val="single" w:sz="4" w:space="0" w:color="auto"/>
            </w:tcBorders>
          </w:tcPr>
          <w:p w14:paraId="7F5CB9FE" w14:textId="77777777" w:rsidR="00EC442C" w:rsidRPr="00487D7C" w:rsidRDefault="004F5DB2" w:rsidP="00E60189">
            <w:pPr>
              <w:tabs>
                <w:tab w:val="left" w:pos="567"/>
              </w:tabs>
              <w:rPr>
                <w:sz w:val="22"/>
                <w:szCs w:val="22"/>
                <w:lang w:val="sk-SK"/>
              </w:rPr>
            </w:pPr>
            <w:r>
              <w:rPr>
                <w:sz w:val="22"/>
                <w:szCs w:val="22"/>
                <w:lang w:val="sk-SK"/>
              </w:rPr>
              <w:t>Z</w:t>
            </w:r>
            <w:r w:rsidR="00EC442C" w:rsidRPr="00487D7C">
              <w:rPr>
                <w:sz w:val="22"/>
                <w:szCs w:val="22"/>
                <w:lang w:val="sk-SK"/>
              </w:rPr>
              <w:t>výšiť</w:t>
            </w:r>
          </w:p>
        </w:tc>
        <w:tc>
          <w:tcPr>
            <w:tcW w:w="3402" w:type="dxa"/>
            <w:tcBorders>
              <w:top w:val="single" w:sz="4" w:space="0" w:color="auto"/>
              <w:left w:val="single" w:sz="4" w:space="0" w:color="auto"/>
              <w:bottom w:val="single" w:sz="4" w:space="0" w:color="auto"/>
              <w:right w:val="single" w:sz="4" w:space="0" w:color="auto"/>
            </w:tcBorders>
          </w:tcPr>
          <w:p w14:paraId="23584E18" w14:textId="34FF752B" w:rsidR="00EC442C" w:rsidRPr="00487D7C" w:rsidRDefault="00E95BA8" w:rsidP="00E60189">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každý druhý deň</w:t>
            </w:r>
            <w:r w:rsidR="00EC442C" w:rsidRPr="00487D7C">
              <w:rPr>
                <w:sz w:val="22"/>
                <w:szCs w:val="22"/>
                <w:lang w:val="sk-SK"/>
              </w:rPr>
              <w:t xml:space="preserve"> na 25</w:t>
            </w:r>
            <w:r w:rsidR="00E8271C">
              <w:rPr>
                <w:sz w:val="22"/>
                <w:szCs w:val="22"/>
                <w:lang w:val="sk-SK"/>
              </w:rPr>
              <w:t xml:space="preserve"> mg</w:t>
            </w:r>
            <w:r w:rsidR="00EC442C" w:rsidRPr="00487D7C">
              <w:rPr>
                <w:sz w:val="22"/>
                <w:szCs w:val="22"/>
                <w:lang w:val="sk-SK"/>
              </w:rPr>
              <w:t> </w:t>
            </w:r>
            <w:r>
              <w:rPr>
                <w:sz w:val="22"/>
                <w:szCs w:val="22"/>
                <w:lang w:val="sk-SK"/>
              </w:rPr>
              <w:t>jedenkrát denne</w:t>
            </w:r>
          </w:p>
          <w:p w14:paraId="0DB8BC46" w14:textId="0B520AD9" w:rsidR="00EC442C" w:rsidRPr="00487D7C" w:rsidRDefault="00E95BA8" w:rsidP="00E95BA8">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j</w:t>
            </w:r>
            <w:r w:rsidR="00B371C7">
              <w:rPr>
                <w:sz w:val="22"/>
                <w:szCs w:val="22"/>
                <w:lang w:val="sk-SK"/>
              </w:rPr>
              <w:t>e</w:t>
            </w:r>
            <w:r>
              <w:rPr>
                <w:sz w:val="22"/>
                <w:szCs w:val="22"/>
                <w:lang w:val="sk-SK"/>
              </w:rPr>
              <w:t>denkrát denne</w:t>
            </w:r>
            <w:r w:rsidRPr="00487D7C">
              <w:rPr>
                <w:sz w:val="22"/>
                <w:szCs w:val="22"/>
                <w:lang w:val="sk-SK"/>
              </w:rPr>
              <w:t xml:space="preserve"> </w:t>
            </w:r>
            <w:r w:rsidR="00EC442C" w:rsidRPr="00487D7C">
              <w:rPr>
                <w:sz w:val="22"/>
                <w:szCs w:val="22"/>
                <w:lang w:val="sk-SK"/>
              </w:rPr>
              <w:t xml:space="preserve">na 50 mg </w:t>
            </w:r>
            <w:r>
              <w:rPr>
                <w:sz w:val="22"/>
                <w:szCs w:val="22"/>
                <w:lang w:val="sk-SK"/>
              </w:rPr>
              <w:t>jedenkrát denne</w:t>
            </w:r>
          </w:p>
        </w:tc>
      </w:tr>
      <w:tr w:rsidR="00EC442C" w:rsidRPr="00487D7C" w14:paraId="06D84109" w14:textId="77777777" w:rsidTr="00E60189">
        <w:tc>
          <w:tcPr>
            <w:tcW w:w="3317" w:type="dxa"/>
            <w:tcBorders>
              <w:top w:val="single" w:sz="4" w:space="0" w:color="auto"/>
              <w:left w:val="single" w:sz="4" w:space="0" w:color="auto"/>
              <w:bottom w:val="single" w:sz="4" w:space="0" w:color="auto"/>
              <w:right w:val="single" w:sz="4" w:space="0" w:color="auto"/>
            </w:tcBorders>
          </w:tcPr>
          <w:p w14:paraId="5090C215" w14:textId="77777777" w:rsidR="00EC442C" w:rsidRPr="00487D7C" w:rsidRDefault="00EC442C" w:rsidP="00E60189">
            <w:pPr>
              <w:tabs>
                <w:tab w:val="left" w:pos="567"/>
              </w:tabs>
              <w:rPr>
                <w:sz w:val="22"/>
                <w:szCs w:val="22"/>
                <w:lang w:val="sk-SK"/>
              </w:rPr>
            </w:pPr>
            <w:r w:rsidRPr="00487D7C">
              <w:rPr>
                <w:sz w:val="22"/>
                <w:szCs w:val="22"/>
                <w:lang w:val="sk-SK"/>
              </w:rPr>
              <w:t>5,0 – 5,4 </w:t>
            </w:r>
          </w:p>
        </w:tc>
        <w:tc>
          <w:tcPr>
            <w:tcW w:w="1701" w:type="dxa"/>
            <w:tcBorders>
              <w:top w:val="single" w:sz="4" w:space="0" w:color="auto"/>
              <w:left w:val="single" w:sz="4" w:space="0" w:color="auto"/>
              <w:bottom w:val="single" w:sz="4" w:space="0" w:color="auto"/>
              <w:right w:val="single" w:sz="4" w:space="0" w:color="auto"/>
            </w:tcBorders>
          </w:tcPr>
          <w:p w14:paraId="5C727D24" w14:textId="77777777" w:rsidR="00EC442C" w:rsidRPr="00487D7C" w:rsidRDefault="004F5DB2" w:rsidP="00E60189">
            <w:pPr>
              <w:tabs>
                <w:tab w:val="left" w:pos="567"/>
              </w:tabs>
              <w:rPr>
                <w:sz w:val="22"/>
                <w:szCs w:val="22"/>
                <w:lang w:val="sk-SK"/>
              </w:rPr>
            </w:pPr>
            <w:r>
              <w:rPr>
                <w:sz w:val="22"/>
                <w:szCs w:val="22"/>
                <w:lang w:val="sk-SK"/>
              </w:rPr>
              <w:t>U</w:t>
            </w:r>
            <w:r w:rsidR="00EC442C" w:rsidRPr="00487D7C">
              <w:rPr>
                <w:sz w:val="22"/>
                <w:szCs w:val="22"/>
                <w:lang w:val="sk-SK"/>
              </w:rPr>
              <w:t>držať</w:t>
            </w:r>
          </w:p>
        </w:tc>
        <w:tc>
          <w:tcPr>
            <w:tcW w:w="3402" w:type="dxa"/>
            <w:tcBorders>
              <w:top w:val="single" w:sz="4" w:space="0" w:color="auto"/>
              <w:left w:val="single" w:sz="4" w:space="0" w:color="auto"/>
              <w:bottom w:val="single" w:sz="4" w:space="0" w:color="auto"/>
              <w:right w:val="single" w:sz="4" w:space="0" w:color="auto"/>
            </w:tcBorders>
          </w:tcPr>
          <w:p w14:paraId="2F37B2EF" w14:textId="77777777" w:rsidR="00EC442C" w:rsidRPr="00487D7C" w:rsidRDefault="00EC442C" w:rsidP="00E60189">
            <w:pPr>
              <w:tabs>
                <w:tab w:val="left" w:pos="567"/>
              </w:tabs>
              <w:rPr>
                <w:sz w:val="22"/>
                <w:szCs w:val="22"/>
                <w:lang w:val="sk-SK"/>
              </w:rPr>
            </w:pPr>
            <w:r w:rsidRPr="00487D7C">
              <w:rPr>
                <w:sz w:val="22"/>
                <w:szCs w:val="22"/>
                <w:lang w:val="sk-SK"/>
              </w:rPr>
              <w:t>Bez úpravy dávky</w:t>
            </w:r>
          </w:p>
        </w:tc>
      </w:tr>
      <w:tr w:rsidR="00EC442C" w:rsidRPr="00487D7C" w14:paraId="18D2C462" w14:textId="77777777" w:rsidTr="00E60189">
        <w:tc>
          <w:tcPr>
            <w:tcW w:w="3317" w:type="dxa"/>
            <w:tcBorders>
              <w:top w:val="single" w:sz="4" w:space="0" w:color="auto"/>
              <w:left w:val="single" w:sz="4" w:space="0" w:color="auto"/>
              <w:bottom w:val="single" w:sz="4" w:space="0" w:color="auto"/>
              <w:right w:val="single" w:sz="4" w:space="0" w:color="auto"/>
            </w:tcBorders>
          </w:tcPr>
          <w:p w14:paraId="3143B150" w14:textId="77777777" w:rsidR="00EC442C" w:rsidRPr="00487D7C" w:rsidRDefault="00EC442C" w:rsidP="00E60189">
            <w:pPr>
              <w:tabs>
                <w:tab w:val="left" w:pos="567"/>
              </w:tabs>
              <w:rPr>
                <w:sz w:val="22"/>
                <w:szCs w:val="22"/>
                <w:lang w:val="sk-SK"/>
              </w:rPr>
            </w:pPr>
            <w:r w:rsidRPr="00487D7C">
              <w:rPr>
                <w:sz w:val="22"/>
                <w:szCs w:val="22"/>
                <w:lang w:val="sk-SK"/>
              </w:rPr>
              <w:t>5,5 – 5,9</w:t>
            </w:r>
          </w:p>
        </w:tc>
        <w:tc>
          <w:tcPr>
            <w:tcW w:w="1701" w:type="dxa"/>
            <w:tcBorders>
              <w:top w:val="single" w:sz="4" w:space="0" w:color="auto"/>
              <w:left w:val="single" w:sz="4" w:space="0" w:color="auto"/>
              <w:bottom w:val="single" w:sz="4" w:space="0" w:color="auto"/>
              <w:right w:val="single" w:sz="4" w:space="0" w:color="auto"/>
            </w:tcBorders>
          </w:tcPr>
          <w:p w14:paraId="0CF62900" w14:textId="77777777" w:rsidR="00EC442C" w:rsidRPr="00487D7C" w:rsidRDefault="004F5DB2" w:rsidP="00E60189">
            <w:pPr>
              <w:tabs>
                <w:tab w:val="left" w:pos="567"/>
              </w:tabs>
              <w:rPr>
                <w:sz w:val="22"/>
                <w:szCs w:val="22"/>
                <w:lang w:val="sk-SK"/>
              </w:rPr>
            </w:pPr>
            <w:r>
              <w:rPr>
                <w:sz w:val="22"/>
                <w:szCs w:val="22"/>
                <w:lang w:val="sk-SK"/>
              </w:rPr>
              <w:t>Z</w:t>
            </w:r>
            <w:r w:rsidR="00EC442C" w:rsidRPr="00487D7C">
              <w:rPr>
                <w:sz w:val="22"/>
                <w:szCs w:val="22"/>
                <w:lang w:val="sk-SK"/>
              </w:rPr>
              <w:t>nížiť</w:t>
            </w:r>
          </w:p>
        </w:tc>
        <w:tc>
          <w:tcPr>
            <w:tcW w:w="3402" w:type="dxa"/>
            <w:tcBorders>
              <w:top w:val="single" w:sz="4" w:space="0" w:color="auto"/>
              <w:left w:val="single" w:sz="4" w:space="0" w:color="auto"/>
              <w:bottom w:val="single" w:sz="4" w:space="0" w:color="auto"/>
              <w:right w:val="single" w:sz="4" w:space="0" w:color="auto"/>
            </w:tcBorders>
          </w:tcPr>
          <w:p w14:paraId="5A8F9DCB" w14:textId="1BEC9703" w:rsidR="00EC442C" w:rsidRPr="00487D7C" w:rsidRDefault="00E95BA8" w:rsidP="00E60189">
            <w:pPr>
              <w:tabs>
                <w:tab w:val="left" w:pos="567"/>
              </w:tabs>
              <w:rPr>
                <w:sz w:val="22"/>
                <w:szCs w:val="22"/>
                <w:lang w:val="sk-SK"/>
              </w:rPr>
            </w:pPr>
            <w:r>
              <w:rPr>
                <w:sz w:val="22"/>
                <w:szCs w:val="22"/>
                <w:lang w:val="sk-SK"/>
              </w:rPr>
              <w:t xml:space="preserve">Z </w:t>
            </w:r>
            <w:r w:rsidR="00EC442C" w:rsidRPr="00487D7C">
              <w:rPr>
                <w:sz w:val="22"/>
                <w:szCs w:val="22"/>
                <w:lang w:val="sk-SK"/>
              </w:rPr>
              <w:t xml:space="preserve">50 mg </w:t>
            </w:r>
            <w:r>
              <w:rPr>
                <w:sz w:val="22"/>
                <w:szCs w:val="22"/>
                <w:lang w:val="sk-SK"/>
              </w:rPr>
              <w:t>jedenkrát denne</w:t>
            </w:r>
            <w:r w:rsidR="00EC442C" w:rsidRPr="00487D7C">
              <w:rPr>
                <w:sz w:val="22"/>
                <w:szCs w:val="22"/>
                <w:lang w:val="sk-SK"/>
              </w:rPr>
              <w:t xml:space="preserve"> na 25 mg </w:t>
            </w:r>
            <w:r>
              <w:rPr>
                <w:sz w:val="22"/>
                <w:szCs w:val="22"/>
                <w:lang w:val="sk-SK"/>
              </w:rPr>
              <w:t>jedenkrát denne</w:t>
            </w:r>
          </w:p>
          <w:p w14:paraId="52A568CF" w14:textId="473EC3C5" w:rsidR="00EC442C" w:rsidRPr="00487D7C" w:rsidRDefault="00E95BA8" w:rsidP="00E60189">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jedenkrát denne</w:t>
            </w:r>
            <w:r w:rsidR="00EC442C" w:rsidRPr="00487D7C">
              <w:rPr>
                <w:sz w:val="22"/>
                <w:szCs w:val="22"/>
                <w:lang w:val="sk-SK"/>
              </w:rPr>
              <w:t xml:space="preserve"> na 25 mg </w:t>
            </w:r>
            <w:r>
              <w:rPr>
                <w:sz w:val="22"/>
                <w:szCs w:val="22"/>
                <w:lang w:val="sk-SK"/>
              </w:rPr>
              <w:t>každý druhý deň</w:t>
            </w:r>
          </w:p>
          <w:p w14:paraId="2EB2B4E7" w14:textId="31150202" w:rsidR="00EC442C" w:rsidRPr="00487D7C" w:rsidRDefault="00E95BA8" w:rsidP="00E95BA8">
            <w:pPr>
              <w:tabs>
                <w:tab w:val="left" w:pos="567"/>
              </w:tabs>
              <w:rPr>
                <w:sz w:val="22"/>
                <w:szCs w:val="22"/>
                <w:lang w:val="sk-SK"/>
              </w:rPr>
            </w:pPr>
            <w:r>
              <w:rPr>
                <w:sz w:val="22"/>
                <w:szCs w:val="22"/>
                <w:lang w:val="sk-SK"/>
              </w:rPr>
              <w:t xml:space="preserve">Z </w:t>
            </w:r>
            <w:r w:rsidR="00EC442C" w:rsidRPr="00487D7C">
              <w:rPr>
                <w:sz w:val="22"/>
                <w:szCs w:val="22"/>
                <w:lang w:val="sk-SK"/>
              </w:rPr>
              <w:t xml:space="preserve">25 mg </w:t>
            </w:r>
            <w:r>
              <w:rPr>
                <w:sz w:val="22"/>
                <w:szCs w:val="22"/>
                <w:lang w:val="sk-SK"/>
              </w:rPr>
              <w:t>každý druhý deň</w:t>
            </w:r>
            <w:r w:rsidRPr="00487D7C">
              <w:rPr>
                <w:sz w:val="22"/>
                <w:szCs w:val="22"/>
                <w:lang w:val="sk-SK"/>
              </w:rPr>
              <w:t xml:space="preserve"> </w:t>
            </w:r>
            <w:r w:rsidR="00E8271C">
              <w:rPr>
                <w:sz w:val="22"/>
                <w:szCs w:val="22"/>
                <w:lang w:val="sk-SK"/>
              </w:rPr>
              <w:t>až do</w:t>
            </w:r>
            <w:r w:rsidR="00EC442C" w:rsidRPr="00487D7C">
              <w:rPr>
                <w:sz w:val="22"/>
                <w:szCs w:val="22"/>
                <w:lang w:val="sk-SK"/>
              </w:rPr>
              <w:t xml:space="preserve"> </w:t>
            </w:r>
            <w:r w:rsidR="00E8271C">
              <w:rPr>
                <w:sz w:val="22"/>
                <w:szCs w:val="22"/>
                <w:lang w:val="sk-SK"/>
              </w:rPr>
              <w:t>ukončenia užívania</w:t>
            </w:r>
          </w:p>
        </w:tc>
      </w:tr>
      <w:tr w:rsidR="00EC442C" w:rsidRPr="00487D7C" w14:paraId="301E4AF5" w14:textId="77777777" w:rsidTr="00E60189">
        <w:tc>
          <w:tcPr>
            <w:tcW w:w="3317" w:type="dxa"/>
            <w:tcBorders>
              <w:top w:val="single" w:sz="4" w:space="0" w:color="auto"/>
              <w:left w:val="single" w:sz="4" w:space="0" w:color="auto"/>
              <w:bottom w:val="single" w:sz="4" w:space="0" w:color="auto"/>
              <w:right w:val="single" w:sz="4" w:space="0" w:color="auto"/>
            </w:tcBorders>
          </w:tcPr>
          <w:p w14:paraId="68C49B7F" w14:textId="77777777" w:rsidR="00EC442C" w:rsidRPr="00487D7C" w:rsidRDefault="00EC442C" w:rsidP="00E60189">
            <w:pPr>
              <w:tabs>
                <w:tab w:val="left" w:pos="567"/>
              </w:tabs>
              <w:rPr>
                <w:sz w:val="22"/>
                <w:szCs w:val="22"/>
                <w:lang w:val="sk-SK"/>
              </w:rPr>
            </w:pPr>
            <w:r w:rsidRPr="00487D7C">
              <w:rPr>
                <w:sz w:val="22"/>
                <w:szCs w:val="22"/>
                <w:lang w:val="sk-SK"/>
              </w:rPr>
              <w:sym w:font="Symbol" w:char="00B3"/>
            </w:r>
            <w:r w:rsidRPr="00487D7C">
              <w:rPr>
                <w:sz w:val="22"/>
                <w:szCs w:val="22"/>
                <w:lang w:val="sk-SK"/>
              </w:rPr>
              <w:t> 6,0</w:t>
            </w:r>
          </w:p>
        </w:tc>
        <w:tc>
          <w:tcPr>
            <w:tcW w:w="1701" w:type="dxa"/>
            <w:tcBorders>
              <w:top w:val="single" w:sz="4" w:space="0" w:color="auto"/>
              <w:left w:val="single" w:sz="4" w:space="0" w:color="auto"/>
              <w:bottom w:val="single" w:sz="4" w:space="0" w:color="auto"/>
              <w:right w:val="single" w:sz="4" w:space="0" w:color="auto"/>
            </w:tcBorders>
          </w:tcPr>
          <w:p w14:paraId="598E444E" w14:textId="43690EB9" w:rsidR="00EC442C" w:rsidRPr="00487D7C" w:rsidRDefault="007F25C3" w:rsidP="00E60189">
            <w:pPr>
              <w:tabs>
                <w:tab w:val="left" w:pos="567"/>
              </w:tabs>
              <w:rPr>
                <w:sz w:val="22"/>
                <w:szCs w:val="22"/>
                <w:lang w:val="sk-SK"/>
              </w:rPr>
            </w:pPr>
            <w:r>
              <w:rPr>
                <w:sz w:val="22"/>
                <w:szCs w:val="22"/>
                <w:lang w:val="sk-SK"/>
              </w:rPr>
              <w:t>Ukončiť</w:t>
            </w:r>
          </w:p>
        </w:tc>
        <w:tc>
          <w:tcPr>
            <w:tcW w:w="3402" w:type="dxa"/>
            <w:tcBorders>
              <w:top w:val="single" w:sz="4" w:space="0" w:color="auto"/>
              <w:left w:val="single" w:sz="4" w:space="0" w:color="auto"/>
              <w:bottom w:val="single" w:sz="4" w:space="0" w:color="auto"/>
              <w:right w:val="single" w:sz="4" w:space="0" w:color="auto"/>
            </w:tcBorders>
          </w:tcPr>
          <w:p w14:paraId="41DF5720" w14:textId="77777777" w:rsidR="00EC442C" w:rsidRPr="00487D7C" w:rsidRDefault="00EC442C" w:rsidP="00E60189">
            <w:pPr>
              <w:tabs>
                <w:tab w:val="left" w:pos="567"/>
              </w:tabs>
              <w:rPr>
                <w:sz w:val="22"/>
                <w:szCs w:val="22"/>
                <w:lang w:val="sk-SK"/>
              </w:rPr>
            </w:pPr>
            <w:r w:rsidRPr="00487D7C">
              <w:rPr>
                <w:sz w:val="22"/>
                <w:szCs w:val="22"/>
                <w:lang w:val="sk-SK"/>
              </w:rPr>
              <w:t>neaplikovateľné</w:t>
            </w:r>
          </w:p>
        </w:tc>
      </w:tr>
    </w:tbl>
    <w:p w14:paraId="2D77EE00" w14:textId="77777777" w:rsidR="00EC442C" w:rsidRPr="00487D7C" w:rsidRDefault="00EC442C" w:rsidP="00EC442C">
      <w:pPr>
        <w:tabs>
          <w:tab w:val="left" w:pos="567"/>
        </w:tabs>
        <w:rPr>
          <w:sz w:val="22"/>
          <w:szCs w:val="22"/>
          <w:lang w:val="sk-SK"/>
        </w:rPr>
      </w:pPr>
    </w:p>
    <w:p w14:paraId="6CF2524F" w14:textId="77777777" w:rsidR="00EC442C" w:rsidRPr="00487D7C" w:rsidRDefault="00EC442C" w:rsidP="00EC442C">
      <w:pPr>
        <w:tabs>
          <w:tab w:val="left" w:pos="567"/>
        </w:tabs>
        <w:rPr>
          <w:sz w:val="22"/>
          <w:szCs w:val="22"/>
          <w:lang w:val="sk-SK"/>
        </w:rPr>
      </w:pPr>
      <w:r w:rsidRPr="00487D7C">
        <w:rPr>
          <w:sz w:val="22"/>
          <w:szCs w:val="22"/>
          <w:lang w:val="sk-SK"/>
        </w:rPr>
        <w:t xml:space="preserve">Ak sa preruší liečba eplerenónom z dôvodu hladiny draslíka v sére </w:t>
      </w:r>
      <w:r w:rsidRPr="00487D7C">
        <w:rPr>
          <w:sz w:val="22"/>
          <w:szCs w:val="22"/>
          <w:lang w:val="sk-SK"/>
        </w:rPr>
        <w:sym w:font="Symbol" w:char="00B3"/>
      </w:r>
      <w:r w:rsidRPr="00487D7C">
        <w:rPr>
          <w:sz w:val="22"/>
          <w:szCs w:val="22"/>
          <w:lang w:val="sk-SK"/>
        </w:rPr>
        <w:t> 6,0 mmol/l, eplerenón sa môže opäť začať podávať v dávke 25 mg každý druhý deň, ak hladina draslíka v sére klesne pod 5,0 mmol/l.</w:t>
      </w:r>
    </w:p>
    <w:p w14:paraId="274C9883" w14:textId="77777777" w:rsidR="00EC442C" w:rsidRPr="00487D7C" w:rsidRDefault="00EC442C" w:rsidP="00EC442C">
      <w:pPr>
        <w:tabs>
          <w:tab w:val="left" w:pos="567"/>
        </w:tabs>
        <w:rPr>
          <w:sz w:val="22"/>
          <w:szCs w:val="22"/>
          <w:lang w:val="sk-SK"/>
        </w:rPr>
      </w:pPr>
    </w:p>
    <w:p w14:paraId="40839E26" w14:textId="77777777" w:rsidR="00EC442C" w:rsidRPr="00487D7C" w:rsidRDefault="00EC442C" w:rsidP="00EC442C">
      <w:pPr>
        <w:tabs>
          <w:tab w:val="left" w:pos="567"/>
        </w:tabs>
        <w:rPr>
          <w:i/>
          <w:sz w:val="22"/>
          <w:szCs w:val="22"/>
          <w:lang w:val="sk-SK"/>
        </w:rPr>
      </w:pPr>
      <w:r w:rsidRPr="00487D7C">
        <w:rPr>
          <w:i/>
          <w:sz w:val="22"/>
          <w:szCs w:val="22"/>
          <w:lang w:val="sk-SK"/>
        </w:rPr>
        <w:t>Pediatrická populácia</w:t>
      </w:r>
    </w:p>
    <w:p w14:paraId="1456F95D" w14:textId="77777777" w:rsidR="00EC442C" w:rsidRPr="00487D7C" w:rsidRDefault="00EC442C" w:rsidP="00EC442C">
      <w:pPr>
        <w:tabs>
          <w:tab w:val="left" w:pos="567"/>
        </w:tabs>
        <w:rPr>
          <w:sz w:val="22"/>
          <w:szCs w:val="22"/>
          <w:lang w:val="sk-SK"/>
        </w:rPr>
      </w:pPr>
      <w:r w:rsidRPr="00487D7C">
        <w:rPr>
          <w:sz w:val="22"/>
          <w:szCs w:val="22"/>
          <w:lang w:val="sk-SK"/>
        </w:rPr>
        <w:t>Bezpečnosť a účinnosť eplerenónu u detí a dospievajúcich neboli stanovené. V súčasnosti sú dostupné údaje opísané v časti 5.1 a 5.2.</w:t>
      </w:r>
    </w:p>
    <w:p w14:paraId="67A92B4A" w14:textId="77777777" w:rsidR="00EC442C" w:rsidRPr="00487D7C" w:rsidRDefault="00EC442C" w:rsidP="00EC442C">
      <w:pPr>
        <w:tabs>
          <w:tab w:val="left" w:pos="567"/>
        </w:tabs>
        <w:rPr>
          <w:sz w:val="22"/>
          <w:szCs w:val="22"/>
          <w:lang w:val="sk-SK"/>
        </w:rPr>
      </w:pPr>
    </w:p>
    <w:p w14:paraId="5FEEB329" w14:textId="482606E3" w:rsidR="00EC442C" w:rsidRPr="00487D7C" w:rsidRDefault="00EC442C" w:rsidP="00EC442C">
      <w:pPr>
        <w:tabs>
          <w:tab w:val="left" w:pos="567"/>
        </w:tabs>
        <w:rPr>
          <w:i/>
          <w:sz w:val="22"/>
          <w:szCs w:val="22"/>
          <w:lang w:val="sk-SK"/>
        </w:rPr>
      </w:pPr>
      <w:r w:rsidRPr="00487D7C">
        <w:rPr>
          <w:i/>
          <w:sz w:val="22"/>
          <w:szCs w:val="22"/>
          <w:lang w:val="sk-SK"/>
        </w:rPr>
        <w:t xml:space="preserve">Starší </w:t>
      </w:r>
      <w:r w:rsidR="001E017A">
        <w:rPr>
          <w:i/>
          <w:sz w:val="22"/>
          <w:szCs w:val="22"/>
          <w:lang w:val="sk-SK"/>
        </w:rPr>
        <w:t>pacienti</w:t>
      </w:r>
    </w:p>
    <w:p w14:paraId="635C20B5" w14:textId="5EBADC66" w:rsidR="00EC442C" w:rsidRPr="00487D7C" w:rsidRDefault="001E017A" w:rsidP="00EC442C">
      <w:pPr>
        <w:tabs>
          <w:tab w:val="left" w:pos="567"/>
        </w:tabs>
        <w:rPr>
          <w:sz w:val="22"/>
          <w:szCs w:val="22"/>
          <w:lang w:val="sk-SK"/>
        </w:rPr>
      </w:pPr>
      <w:r>
        <w:rPr>
          <w:sz w:val="22"/>
          <w:szCs w:val="22"/>
          <w:lang w:val="sk-SK"/>
        </w:rPr>
        <w:t>U starších pacientov</w:t>
      </w:r>
      <w:r w:rsidR="00EC442C" w:rsidRPr="00487D7C">
        <w:rPr>
          <w:sz w:val="22"/>
          <w:szCs w:val="22"/>
          <w:lang w:val="sk-SK"/>
        </w:rPr>
        <w:t xml:space="preserve"> sa nevyžaduje úprava úvodnej dávky. Z dôvodu vekom podmieneného zníženia obličkových funkcií je však u starších pacientov zvýšené riziko hyperkaliémie. Toto riziko sa môže ďalej zvýšiť pri pridruženej komorbidite spojenej so zvýšenou systémovou expozíciou, zvlášť pri </w:t>
      </w:r>
      <w:r w:rsidR="00936DBE">
        <w:rPr>
          <w:sz w:val="22"/>
          <w:szCs w:val="22"/>
          <w:lang w:val="sk-SK"/>
        </w:rPr>
        <w:t>miernom</w:t>
      </w:r>
      <w:r w:rsidR="00EC442C" w:rsidRPr="00487D7C">
        <w:rPr>
          <w:sz w:val="22"/>
          <w:szCs w:val="22"/>
          <w:lang w:val="sk-SK"/>
        </w:rPr>
        <w:t xml:space="preserve"> až strednom stupni </w:t>
      </w:r>
      <w:r>
        <w:rPr>
          <w:sz w:val="22"/>
          <w:szCs w:val="22"/>
          <w:lang w:val="sk-SK"/>
        </w:rPr>
        <w:t>poruchy</w:t>
      </w:r>
      <w:r w:rsidR="00EC442C" w:rsidRPr="00487D7C">
        <w:rPr>
          <w:sz w:val="22"/>
          <w:szCs w:val="22"/>
          <w:lang w:val="sk-SK"/>
        </w:rPr>
        <w:t xml:space="preserve"> funkcie pečene. Odporúča sa pravidelné monitorovanie hladiny draslíka v sére (pozri časť 4.4).</w:t>
      </w:r>
    </w:p>
    <w:p w14:paraId="605FA069" w14:textId="77777777" w:rsidR="00EC442C" w:rsidRPr="00487D7C" w:rsidRDefault="00EC442C" w:rsidP="00EC442C">
      <w:pPr>
        <w:tabs>
          <w:tab w:val="left" w:pos="567"/>
        </w:tabs>
        <w:rPr>
          <w:sz w:val="22"/>
          <w:szCs w:val="22"/>
          <w:lang w:val="sk-SK"/>
        </w:rPr>
      </w:pPr>
    </w:p>
    <w:p w14:paraId="4F99C21F" w14:textId="77777777" w:rsidR="00EC442C" w:rsidRPr="00487D7C" w:rsidRDefault="00EC442C" w:rsidP="00EC442C">
      <w:pPr>
        <w:tabs>
          <w:tab w:val="left" w:pos="567"/>
        </w:tabs>
        <w:rPr>
          <w:i/>
          <w:sz w:val="22"/>
          <w:szCs w:val="22"/>
          <w:lang w:val="sk-SK"/>
        </w:rPr>
      </w:pPr>
      <w:r w:rsidRPr="00487D7C">
        <w:rPr>
          <w:i/>
          <w:sz w:val="22"/>
          <w:szCs w:val="22"/>
          <w:lang w:val="sk-SK"/>
        </w:rPr>
        <w:t>Po</w:t>
      </w:r>
      <w:r>
        <w:rPr>
          <w:i/>
          <w:sz w:val="22"/>
          <w:szCs w:val="22"/>
          <w:lang w:val="sk-SK"/>
        </w:rPr>
        <w:t xml:space="preserve">rucha </w:t>
      </w:r>
      <w:r w:rsidRPr="00487D7C">
        <w:rPr>
          <w:i/>
          <w:sz w:val="22"/>
          <w:szCs w:val="22"/>
          <w:lang w:val="sk-SK"/>
        </w:rPr>
        <w:t>funkcie obličiek</w:t>
      </w:r>
    </w:p>
    <w:p w14:paraId="58B90144" w14:textId="41A61005" w:rsidR="00EC442C" w:rsidRPr="00487D7C" w:rsidRDefault="00EC442C" w:rsidP="00EC442C">
      <w:pPr>
        <w:tabs>
          <w:tab w:val="left" w:pos="567"/>
        </w:tabs>
        <w:rPr>
          <w:sz w:val="22"/>
          <w:szCs w:val="22"/>
          <w:lang w:val="sk-SK"/>
        </w:rPr>
      </w:pPr>
      <w:r w:rsidRPr="00487D7C">
        <w:rPr>
          <w:sz w:val="22"/>
          <w:szCs w:val="22"/>
          <w:lang w:val="sk-SK"/>
        </w:rPr>
        <w:t>U pacientov s</w:t>
      </w:r>
      <w:r>
        <w:rPr>
          <w:sz w:val="22"/>
          <w:szCs w:val="22"/>
          <w:lang w:val="sk-SK"/>
        </w:rPr>
        <w:t xml:space="preserve"> miernou poruchou </w:t>
      </w:r>
      <w:r w:rsidRPr="00487D7C">
        <w:rPr>
          <w:sz w:val="22"/>
          <w:szCs w:val="22"/>
          <w:lang w:val="sk-SK"/>
        </w:rPr>
        <w:t>funkcie obličiek sa nevyžaduje úprava úvodnej dávky. Odporúča sa pravidelné monitorovanie hladiny draslíka v sére s úpravou</w:t>
      </w:r>
      <w:r w:rsidR="00936DBE">
        <w:rPr>
          <w:sz w:val="22"/>
          <w:szCs w:val="22"/>
          <w:lang w:val="sk-SK"/>
        </w:rPr>
        <w:t xml:space="preserve"> dávky podľa </w:t>
      </w:r>
      <w:r w:rsidR="001E017A">
        <w:rPr>
          <w:sz w:val="22"/>
          <w:szCs w:val="22"/>
          <w:lang w:val="sk-SK"/>
        </w:rPr>
        <w:t>t</w:t>
      </w:r>
      <w:r w:rsidRPr="00487D7C">
        <w:rPr>
          <w:sz w:val="22"/>
          <w:szCs w:val="22"/>
          <w:lang w:val="sk-SK"/>
        </w:rPr>
        <w:t>abuľky 1.</w:t>
      </w:r>
    </w:p>
    <w:p w14:paraId="4C727E05" w14:textId="77777777" w:rsidR="00EC442C" w:rsidRPr="00487D7C" w:rsidRDefault="00EC442C" w:rsidP="00EC442C">
      <w:pPr>
        <w:tabs>
          <w:tab w:val="left" w:pos="567"/>
        </w:tabs>
        <w:rPr>
          <w:sz w:val="22"/>
          <w:szCs w:val="22"/>
          <w:lang w:val="sk-SK"/>
        </w:rPr>
      </w:pPr>
    </w:p>
    <w:p w14:paraId="5F596A5E" w14:textId="1AC156ED" w:rsidR="00EC442C" w:rsidRPr="00487D7C" w:rsidRDefault="00EC442C" w:rsidP="00EC442C">
      <w:pPr>
        <w:tabs>
          <w:tab w:val="left" w:pos="567"/>
        </w:tabs>
        <w:rPr>
          <w:sz w:val="22"/>
          <w:szCs w:val="22"/>
          <w:lang w:val="sk-SK"/>
        </w:rPr>
      </w:pPr>
      <w:r w:rsidRPr="00487D7C">
        <w:rPr>
          <w:sz w:val="22"/>
          <w:szCs w:val="22"/>
          <w:lang w:val="sk-SK"/>
        </w:rPr>
        <w:t>Pacienti so stredne ťažkou poruchou funkcie obličiek (CrCl 30</w:t>
      </w:r>
      <w:r w:rsidRPr="00487D7C">
        <w:rPr>
          <w:sz w:val="22"/>
          <w:szCs w:val="22"/>
          <w:lang w:val="sk-SK"/>
        </w:rPr>
        <w:noBreakHyphen/>
        <w:t>60 ml/min) majú začať dávkou 25 mg každý druhý deň a dávka sa má upraviť na z</w:t>
      </w:r>
      <w:r w:rsidR="00936DBE">
        <w:rPr>
          <w:sz w:val="22"/>
          <w:szCs w:val="22"/>
          <w:lang w:val="sk-SK"/>
        </w:rPr>
        <w:t xml:space="preserve">áklade hladiny draslíka (pozri </w:t>
      </w:r>
      <w:r w:rsidR="001E017A">
        <w:rPr>
          <w:sz w:val="22"/>
          <w:szCs w:val="22"/>
          <w:lang w:val="sk-SK"/>
        </w:rPr>
        <w:t>t</w:t>
      </w:r>
      <w:r w:rsidRPr="00487D7C">
        <w:rPr>
          <w:sz w:val="22"/>
          <w:szCs w:val="22"/>
          <w:lang w:val="sk-SK"/>
        </w:rPr>
        <w:t xml:space="preserve">abuľku 1). Odporúča sa pravidelné sledovanie </w:t>
      </w:r>
      <w:r w:rsidR="00936DBE">
        <w:rPr>
          <w:sz w:val="22"/>
          <w:szCs w:val="22"/>
          <w:lang w:val="sk-SK"/>
        </w:rPr>
        <w:t>hladiny</w:t>
      </w:r>
      <w:r w:rsidRPr="00487D7C">
        <w:rPr>
          <w:sz w:val="22"/>
          <w:szCs w:val="22"/>
          <w:lang w:val="sk-SK"/>
        </w:rPr>
        <w:t xml:space="preserve"> draslíka</w:t>
      </w:r>
      <w:r w:rsidR="00936DBE">
        <w:rPr>
          <w:sz w:val="22"/>
          <w:szCs w:val="22"/>
          <w:lang w:val="sk-SK"/>
        </w:rPr>
        <w:t xml:space="preserve"> v sére</w:t>
      </w:r>
      <w:r w:rsidRPr="00487D7C">
        <w:rPr>
          <w:sz w:val="22"/>
          <w:szCs w:val="22"/>
          <w:lang w:val="sk-SK"/>
        </w:rPr>
        <w:t xml:space="preserve"> (pozri časť 4.4).</w:t>
      </w:r>
    </w:p>
    <w:p w14:paraId="04528F37" w14:textId="77777777" w:rsidR="00EC442C" w:rsidRPr="00487D7C" w:rsidRDefault="00EC442C" w:rsidP="00EC442C">
      <w:pPr>
        <w:tabs>
          <w:tab w:val="left" w:pos="567"/>
        </w:tabs>
        <w:rPr>
          <w:sz w:val="22"/>
          <w:szCs w:val="22"/>
          <w:lang w:val="sk-SK"/>
        </w:rPr>
      </w:pPr>
    </w:p>
    <w:p w14:paraId="6E4CD624" w14:textId="6DE2FDDB" w:rsidR="00EC442C" w:rsidRPr="00487D7C" w:rsidRDefault="00EC442C" w:rsidP="00EC442C">
      <w:pPr>
        <w:tabs>
          <w:tab w:val="left" w:pos="567"/>
        </w:tabs>
        <w:rPr>
          <w:sz w:val="22"/>
          <w:szCs w:val="22"/>
          <w:lang w:val="sk-SK"/>
        </w:rPr>
      </w:pPr>
      <w:r w:rsidRPr="00487D7C">
        <w:rPr>
          <w:sz w:val="22"/>
          <w:szCs w:val="22"/>
          <w:lang w:val="sk-SK"/>
        </w:rPr>
        <w:lastRenderedPageBreak/>
        <w:t>Nie sú k dispozícii žiadne skúsenosti u </w:t>
      </w:r>
      <w:r w:rsidR="007F25C3">
        <w:rPr>
          <w:sz w:val="22"/>
          <w:szCs w:val="22"/>
          <w:lang w:val="sk-SK"/>
        </w:rPr>
        <w:t>pacientov s CrCl &lt; 50 ml/min so</w:t>
      </w:r>
      <w:r w:rsidRPr="00487D7C">
        <w:rPr>
          <w:sz w:val="22"/>
          <w:szCs w:val="22"/>
          <w:lang w:val="sk-SK"/>
        </w:rPr>
        <w:t xml:space="preserve"> zlyhávaním</w:t>
      </w:r>
      <w:r w:rsidR="001E017A">
        <w:rPr>
          <w:sz w:val="22"/>
          <w:szCs w:val="22"/>
          <w:lang w:val="sk-SK"/>
        </w:rPr>
        <w:t xml:space="preserve"> srdca</w:t>
      </w:r>
      <w:r w:rsidRPr="00487D7C">
        <w:rPr>
          <w:sz w:val="22"/>
          <w:szCs w:val="22"/>
          <w:lang w:val="sk-SK"/>
        </w:rPr>
        <w:t xml:space="preserve"> po IM. Eplerenón sa má u týchto pacientov používať</w:t>
      </w:r>
      <w:r w:rsidR="001E017A">
        <w:rPr>
          <w:sz w:val="22"/>
          <w:szCs w:val="22"/>
          <w:lang w:val="sk-SK"/>
        </w:rPr>
        <w:t xml:space="preserve"> s</w:t>
      </w:r>
      <w:r w:rsidRPr="00487D7C">
        <w:rPr>
          <w:sz w:val="22"/>
          <w:szCs w:val="22"/>
          <w:lang w:val="sk-SK"/>
        </w:rPr>
        <w:t xml:space="preserve"> opatrn</w:t>
      </w:r>
      <w:r w:rsidR="001E017A">
        <w:rPr>
          <w:sz w:val="22"/>
          <w:szCs w:val="22"/>
          <w:lang w:val="sk-SK"/>
        </w:rPr>
        <w:t>osťou</w:t>
      </w:r>
      <w:r w:rsidRPr="00487D7C">
        <w:rPr>
          <w:sz w:val="22"/>
          <w:szCs w:val="22"/>
          <w:lang w:val="sk-SK"/>
        </w:rPr>
        <w:t>. Dávky vyššie ako 25 mg denne sa neskúmali u pacientov s CrCl &lt; 50 ml/min.</w:t>
      </w:r>
    </w:p>
    <w:p w14:paraId="14C026E1" w14:textId="77777777" w:rsidR="00EC442C" w:rsidRPr="00487D7C" w:rsidRDefault="00EC442C" w:rsidP="00EC442C">
      <w:pPr>
        <w:tabs>
          <w:tab w:val="left" w:pos="567"/>
        </w:tabs>
        <w:rPr>
          <w:sz w:val="22"/>
          <w:szCs w:val="22"/>
          <w:lang w:val="sk-SK"/>
        </w:rPr>
      </w:pPr>
    </w:p>
    <w:p w14:paraId="2AA04CB2" w14:textId="77777777" w:rsidR="00936DBE" w:rsidRDefault="00EC442C" w:rsidP="00EC442C">
      <w:pPr>
        <w:tabs>
          <w:tab w:val="left" w:pos="567"/>
        </w:tabs>
        <w:rPr>
          <w:sz w:val="22"/>
          <w:szCs w:val="22"/>
          <w:lang w:val="sk-SK"/>
        </w:rPr>
      </w:pPr>
      <w:r w:rsidRPr="00973F81">
        <w:rPr>
          <w:sz w:val="22"/>
          <w:szCs w:val="22"/>
          <w:lang w:val="sk-SK"/>
        </w:rPr>
        <w:t>Používanie u</w:t>
      </w:r>
      <w:r w:rsidRPr="00457B9E">
        <w:rPr>
          <w:sz w:val="22"/>
          <w:szCs w:val="22"/>
          <w:lang w:val="sk-SK"/>
        </w:rPr>
        <w:t xml:space="preserve"> pacientov</w:t>
      </w:r>
      <w:r w:rsidRPr="00487D7C">
        <w:rPr>
          <w:sz w:val="22"/>
          <w:szCs w:val="22"/>
          <w:lang w:val="sk-SK"/>
        </w:rPr>
        <w:t xml:space="preserve"> s ťažkou poruchou funkcie obličiek (CrCl &lt; 30 ml/min) je kontraindikované (pozri časť 4.3). </w:t>
      </w:r>
    </w:p>
    <w:p w14:paraId="62AB2307" w14:textId="77777777" w:rsidR="00EC442C" w:rsidRPr="00487D7C" w:rsidRDefault="00EC442C" w:rsidP="00EC442C">
      <w:pPr>
        <w:tabs>
          <w:tab w:val="left" w:pos="567"/>
        </w:tabs>
        <w:rPr>
          <w:sz w:val="22"/>
          <w:szCs w:val="22"/>
          <w:lang w:val="sk-SK"/>
        </w:rPr>
      </w:pPr>
      <w:r w:rsidRPr="00487D7C">
        <w:rPr>
          <w:sz w:val="22"/>
          <w:szCs w:val="22"/>
          <w:lang w:val="sk-SK"/>
        </w:rPr>
        <w:t>Eplerenón nie je dialyzovateľný.</w:t>
      </w:r>
    </w:p>
    <w:p w14:paraId="5A6B9FA1" w14:textId="77777777" w:rsidR="00EC442C" w:rsidRPr="00487D7C" w:rsidRDefault="00EC442C" w:rsidP="00EC442C">
      <w:pPr>
        <w:tabs>
          <w:tab w:val="left" w:pos="567"/>
        </w:tabs>
        <w:rPr>
          <w:sz w:val="22"/>
          <w:szCs w:val="22"/>
          <w:lang w:val="sk-SK"/>
        </w:rPr>
      </w:pPr>
    </w:p>
    <w:p w14:paraId="6DD7C664" w14:textId="77777777" w:rsidR="00EC442C" w:rsidRPr="00487D7C" w:rsidRDefault="00EC442C" w:rsidP="00EC442C">
      <w:pPr>
        <w:tabs>
          <w:tab w:val="left" w:pos="567"/>
        </w:tabs>
        <w:rPr>
          <w:i/>
          <w:sz w:val="22"/>
          <w:szCs w:val="22"/>
          <w:lang w:val="sk-SK"/>
        </w:rPr>
      </w:pPr>
      <w:r w:rsidRPr="00487D7C">
        <w:rPr>
          <w:i/>
          <w:sz w:val="22"/>
          <w:szCs w:val="22"/>
          <w:lang w:val="sk-SK"/>
        </w:rPr>
        <w:t>Po</w:t>
      </w:r>
      <w:r>
        <w:rPr>
          <w:i/>
          <w:sz w:val="22"/>
          <w:szCs w:val="22"/>
          <w:lang w:val="sk-SK"/>
        </w:rPr>
        <w:t>rucha</w:t>
      </w:r>
      <w:r w:rsidRPr="00487D7C">
        <w:rPr>
          <w:i/>
          <w:sz w:val="22"/>
          <w:szCs w:val="22"/>
          <w:lang w:val="sk-SK"/>
        </w:rPr>
        <w:t xml:space="preserve"> funkcie pečene</w:t>
      </w:r>
    </w:p>
    <w:p w14:paraId="09E2E18B" w14:textId="77777777" w:rsidR="00EC442C" w:rsidRPr="00487D7C" w:rsidRDefault="00EC442C" w:rsidP="00EC442C">
      <w:pPr>
        <w:tabs>
          <w:tab w:val="left" w:pos="567"/>
        </w:tabs>
        <w:rPr>
          <w:sz w:val="22"/>
          <w:szCs w:val="22"/>
          <w:lang w:val="sk-SK"/>
        </w:rPr>
      </w:pPr>
      <w:r w:rsidRPr="00487D7C">
        <w:rPr>
          <w:sz w:val="22"/>
          <w:szCs w:val="22"/>
          <w:lang w:val="sk-SK"/>
        </w:rPr>
        <w:t>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funkcie pečene sa nevyžaduje úprava úvodnej dávky. Z dôvodu zvýšenej systémovej expozície eplerenónom 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funkcie pečene sa u týchto pacientov odporúča časté a pravidelné monitorovanie hladiny draslíka v sére, zvlášť u starších pacientov (pozri časť 4.4).</w:t>
      </w:r>
    </w:p>
    <w:p w14:paraId="5FF344AC" w14:textId="77777777" w:rsidR="00EC442C" w:rsidRPr="00487D7C" w:rsidRDefault="00EC442C" w:rsidP="00EC442C">
      <w:pPr>
        <w:tabs>
          <w:tab w:val="left" w:pos="567"/>
        </w:tabs>
        <w:rPr>
          <w:sz w:val="22"/>
          <w:szCs w:val="22"/>
          <w:lang w:val="sk-SK"/>
        </w:rPr>
      </w:pPr>
    </w:p>
    <w:p w14:paraId="129E56A6" w14:textId="77777777" w:rsidR="00EC442C" w:rsidRPr="00487D7C" w:rsidRDefault="00EC442C" w:rsidP="00EC442C">
      <w:pPr>
        <w:tabs>
          <w:tab w:val="left" w:pos="567"/>
        </w:tabs>
        <w:rPr>
          <w:i/>
          <w:sz w:val="22"/>
          <w:szCs w:val="22"/>
          <w:lang w:val="sk-SK"/>
        </w:rPr>
      </w:pPr>
      <w:r w:rsidRPr="00487D7C">
        <w:rPr>
          <w:i/>
          <w:sz w:val="22"/>
          <w:szCs w:val="22"/>
          <w:lang w:val="sk-SK"/>
        </w:rPr>
        <w:t>S</w:t>
      </w:r>
      <w:r>
        <w:rPr>
          <w:i/>
          <w:sz w:val="22"/>
          <w:szCs w:val="22"/>
          <w:lang w:val="sk-SK"/>
        </w:rPr>
        <w:t>úbežná</w:t>
      </w:r>
      <w:r w:rsidRPr="00487D7C">
        <w:rPr>
          <w:i/>
          <w:sz w:val="22"/>
          <w:szCs w:val="22"/>
          <w:lang w:val="sk-SK"/>
        </w:rPr>
        <w:t xml:space="preserve"> liečba</w:t>
      </w:r>
    </w:p>
    <w:p w14:paraId="5F6EE1D0" w14:textId="77777777" w:rsidR="00EC442C" w:rsidRPr="00487D7C" w:rsidRDefault="00EC442C" w:rsidP="00EC442C">
      <w:pPr>
        <w:tabs>
          <w:tab w:val="left" w:pos="567"/>
        </w:tabs>
        <w:rPr>
          <w:sz w:val="22"/>
          <w:szCs w:val="22"/>
          <w:lang w:val="sk-SK"/>
        </w:rPr>
      </w:pPr>
      <w:r w:rsidRPr="00487D7C">
        <w:rPr>
          <w:sz w:val="22"/>
          <w:szCs w:val="22"/>
          <w:lang w:val="sk-SK"/>
        </w:rPr>
        <w:t>V prípade s</w:t>
      </w:r>
      <w:r>
        <w:rPr>
          <w:sz w:val="22"/>
          <w:szCs w:val="22"/>
          <w:lang w:val="sk-SK"/>
        </w:rPr>
        <w:t>úbežnej</w:t>
      </w:r>
      <w:r w:rsidRPr="00487D7C">
        <w:rPr>
          <w:sz w:val="22"/>
          <w:szCs w:val="22"/>
          <w:lang w:val="sk-SK"/>
        </w:rPr>
        <w:t xml:space="preserve"> liečby stredne silnými inhibítormi CYP3A4, napr. amiodar</w:t>
      </w:r>
      <w:r>
        <w:rPr>
          <w:sz w:val="22"/>
          <w:szCs w:val="22"/>
          <w:lang w:val="sk-SK"/>
        </w:rPr>
        <w:t>ó</w:t>
      </w:r>
      <w:r w:rsidRPr="00487D7C">
        <w:rPr>
          <w:sz w:val="22"/>
          <w:szCs w:val="22"/>
          <w:lang w:val="sk-SK"/>
        </w:rPr>
        <w:t xml:space="preserve">nom, diltiazemom a verapamilom, liečba eplerenónom sa môže začať dávkou 25 mg </w:t>
      </w:r>
      <w:r w:rsidR="00936DBE">
        <w:rPr>
          <w:sz w:val="22"/>
          <w:szCs w:val="22"/>
          <w:lang w:val="sk-SK"/>
        </w:rPr>
        <w:t>jedenkrát</w:t>
      </w:r>
      <w:r w:rsidRPr="00487D7C">
        <w:rPr>
          <w:sz w:val="22"/>
          <w:szCs w:val="22"/>
          <w:lang w:val="sk-SK"/>
        </w:rPr>
        <w:t xml:space="preserve"> denne. Dávka nesmie prekročiť 25 mg </w:t>
      </w:r>
      <w:r w:rsidR="00936DBE">
        <w:rPr>
          <w:sz w:val="22"/>
          <w:szCs w:val="22"/>
          <w:lang w:val="sk-SK"/>
        </w:rPr>
        <w:t>jedenkrát</w:t>
      </w:r>
      <w:r w:rsidRPr="00487D7C">
        <w:rPr>
          <w:sz w:val="22"/>
          <w:szCs w:val="22"/>
          <w:lang w:val="sk-SK"/>
        </w:rPr>
        <w:t xml:space="preserve"> denne (pozri časť 4.5).</w:t>
      </w:r>
    </w:p>
    <w:p w14:paraId="3BD9DBA7" w14:textId="77777777" w:rsidR="00EC442C" w:rsidRPr="00487D7C" w:rsidRDefault="00EC442C" w:rsidP="00EC442C">
      <w:pPr>
        <w:tabs>
          <w:tab w:val="left" w:pos="567"/>
        </w:tabs>
        <w:rPr>
          <w:sz w:val="22"/>
          <w:szCs w:val="22"/>
          <w:lang w:val="sk-SK"/>
        </w:rPr>
      </w:pPr>
    </w:p>
    <w:p w14:paraId="2FCC6F82" w14:textId="77777777" w:rsidR="00EC442C" w:rsidRPr="00487D7C" w:rsidRDefault="00EC442C" w:rsidP="00EC442C">
      <w:pPr>
        <w:tabs>
          <w:tab w:val="left" w:pos="567"/>
        </w:tabs>
        <w:rPr>
          <w:sz w:val="22"/>
          <w:szCs w:val="22"/>
          <w:lang w:val="sk-SK"/>
        </w:rPr>
      </w:pPr>
      <w:r w:rsidRPr="00487D7C">
        <w:rPr>
          <w:sz w:val="22"/>
          <w:szCs w:val="22"/>
          <w:lang w:val="sk-SK"/>
        </w:rPr>
        <w:t>Eplerenón sa môže podávať spolu s jedlom alebo bez jedla (pozri časť 5.2).</w:t>
      </w:r>
    </w:p>
    <w:p w14:paraId="50DE9FE6" w14:textId="77777777" w:rsidR="00EC442C" w:rsidRPr="00487D7C" w:rsidRDefault="00EC442C" w:rsidP="00EC442C">
      <w:pPr>
        <w:tabs>
          <w:tab w:val="left" w:pos="567"/>
        </w:tabs>
        <w:rPr>
          <w:sz w:val="22"/>
          <w:szCs w:val="22"/>
          <w:lang w:val="sk-SK"/>
        </w:rPr>
      </w:pPr>
    </w:p>
    <w:p w14:paraId="07A913F3" w14:textId="77777777" w:rsidR="00EC442C" w:rsidRPr="00487D7C" w:rsidRDefault="00EC442C" w:rsidP="00EC442C">
      <w:pPr>
        <w:tabs>
          <w:tab w:val="left" w:pos="567"/>
        </w:tabs>
        <w:suppressAutoHyphens/>
        <w:rPr>
          <w:b/>
          <w:bCs/>
          <w:sz w:val="22"/>
          <w:szCs w:val="22"/>
          <w:lang w:val="sk-SK"/>
        </w:rPr>
      </w:pPr>
      <w:r w:rsidRPr="00487D7C">
        <w:rPr>
          <w:b/>
          <w:bCs/>
          <w:sz w:val="22"/>
          <w:szCs w:val="22"/>
          <w:lang w:val="sk-SK"/>
        </w:rPr>
        <w:t>4.3</w:t>
      </w:r>
      <w:r w:rsidRPr="00487D7C">
        <w:rPr>
          <w:b/>
          <w:bCs/>
          <w:sz w:val="22"/>
          <w:szCs w:val="22"/>
          <w:lang w:val="sk-SK"/>
        </w:rPr>
        <w:tab/>
      </w:r>
      <w:r w:rsidRPr="00487D7C">
        <w:rPr>
          <w:b/>
          <w:bCs/>
          <w:sz w:val="22"/>
          <w:szCs w:val="22"/>
          <w:lang w:val="sk-SK"/>
        </w:rPr>
        <w:tab/>
        <w:t>Kontraindikácie</w:t>
      </w:r>
    </w:p>
    <w:p w14:paraId="7C6EF923" w14:textId="77777777" w:rsidR="00EC442C" w:rsidRPr="00487D7C" w:rsidRDefault="00EC442C" w:rsidP="00EC442C">
      <w:pPr>
        <w:tabs>
          <w:tab w:val="left" w:pos="567"/>
        </w:tabs>
        <w:rPr>
          <w:b/>
          <w:sz w:val="22"/>
          <w:szCs w:val="22"/>
          <w:lang w:val="sk-SK"/>
        </w:rPr>
      </w:pPr>
    </w:p>
    <w:p w14:paraId="4858A5D5" w14:textId="77777777"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 xml:space="preserve">Precitlivenosť na liečivo alebo na ktorúkoľvek z pomocných látok uvedených v časti 6.1. </w:t>
      </w:r>
    </w:p>
    <w:p w14:paraId="0BDEA86F" w14:textId="77777777"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Pacienti s hladinou draslíka v sére &gt; 5,0 mmol/l pri začatí liečby.</w:t>
      </w:r>
    </w:p>
    <w:p w14:paraId="77F06BCF" w14:textId="33713931"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Pacienti s ťažk</w:t>
      </w:r>
      <w:r>
        <w:rPr>
          <w:sz w:val="22"/>
          <w:szCs w:val="22"/>
          <w:lang w:val="sk-SK"/>
        </w:rPr>
        <w:t xml:space="preserve">ou </w:t>
      </w:r>
      <w:r w:rsidRPr="00487D7C">
        <w:rPr>
          <w:sz w:val="22"/>
          <w:szCs w:val="22"/>
          <w:lang w:val="sk-SK"/>
        </w:rPr>
        <w:t>renáln</w:t>
      </w:r>
      <w:r>
        <w:rPr>
          <w:sz w:val="22"/>
          <w:szCs w:val="22"/>
          <w:lang w:val="sk-SK"/>
        </w:rPr>
        <w:t>ou</w:t>
      </w:r>
      <w:r w:rsidRPr="00487D7C">
        <w:rPr>
          <w:sz w:val="22"/>
          <w:szCs w:val="22"/>
          <w:lang w:val="sk-SK"/>
        </w:rPr>
        <w:t xml:space="preserve"> insuficienci</w:t>
      </w:r>
      <w:r w:rsidR="001E017A">
        <w:rPr>
          <w:sz w:val="22"/>
          <w:szCs w:val="22"/>
          <w:lang w:val="sk-SK"/>
        </w:rPr>
        <w:t>ou</w:t>
      </w:r>
      <w:r w:rsidRPr="00487D7C">
        <w:rPr>
          <w:sz w:val="22"/>
          <w:szCs w:val="22"/>
          <w:lang w:val="sk-SK"/>
        </w:rPr>
        <w:t xml:space="preserve"> </w:t>
      </w:r>
      <w:r w:rsidRPr="00EF79C0">
        <w:rPr>
          <w:sz w:val="22"/>
          <w:szCs w:val="22"/>
          <w:lang w:val="sk-SK"/>
        </w:rPr>
        <w:t>(eGFR</w:t>
      </w:r>
      <w:r w:rsidRPr="007D6660">
        <w:rPr>
          <w:sz w:val="22"/>
          <w:szCs w:val="22"/>
          <w:lang w:val="sk-SK"/>
        </w:rPr>
        <w:t xml:space="preserve"> &lt;</w:t>
      </w:r>
      <w:r w:rsidRPr="00487D7C">
        <w:rPr>
          <w:sz w:val="22"/>
          <w:szCs w:val="22"/>
          <w:lang w:val="sk-SK"/>
        </w:rPr>
        <w:t> 30 ml za minútu na 1,73 m</w:t>
      </w:r>
      <w:r w:rsidRPr="00487D7C">
        <w:rPr>
          <w:sz w:val="22"/>
          <w:szCs w:val="22"/>
          <w:vertAlign w:val="superscript"/>
          <w:lang w:val="sk-SK"/>
        </w:rPr>
        <w:t>2</w:t>
      </w:r>
      <w:r w:rsidRPr="00487D7C">
        <w:rPr>
          <w:sz w:val="22"/>
          <w:szCs w:val="22"/>
          <w:lang w:val="sk-SK"/>
        </w:rPr>
        <w:t>).</w:t>
      </w:r>
    </w:p>
    <w:p w14:paraId="5D64DAF6" w14:textId="19ABD69C" w:rsidR="00EC442C" w:rsidRPr="00487D7C" w:rsidRDefault="00EC442C" w:rsidP="00EC442C">
      <w:pPr>
        <w:numPr>
          <w:ilvl w:val="0"/>
          <w:numId w:val="2"/>
        </w:numPr>
        <w:tabs>
          <w:tab w:val="num" w:pos="567"/>
        </w:tabs>
        <w:ind w:left="567" w:hanging="567"/>
        <w:rPr>
          <w:sz w:val="22"/>
          <w:szCs w:val="22"/>
          <w:lang w:val="sk-SK"/>
        </w:rPr>
      </w:pPr>
      <w:r w:rsidRPr="00487D7C">
        <w:rPr>
          <w:sz w:val="22"/>
          <w:szCs w:val="22"/>
          <w:lang w:val="sk-SK"/>
        </w:rPr>
        <w:t>Pacienti s ťažk</w:t>
      </w:r>
      <w:r>
        <w:rPr>
          <w:sz w:val="22"/>
          <w:szCs w:val="22"/>
          <w:lang w:val="sk-SK"/>
        </w:rPr>
        <w:t>ou</w:t>
      </w:r>
      <w:r w:rsidRPr="00487D7C">
        <w:rPr>
          <w:sz w:val="22"/>
          <w:szCs w:val="22"/>
          <w:lang w:val="sk-SK"/>
        </w:rPr>
        <w:t xml:space="preserve"> </w:t>
      </w:r>
      <w:r>
        <w:rPr>
          <w:sz w:val="22"/>
          <w:szCs w:val="22"/>
          <w:lang w:val="sk-SK"/>
        </w:rPr>
        <w:t>hepatálnou insuficienciou</w:t>
      </w:r>
      <w:r w:rsidRPr="00487D7C">
        <w:rPr>
          <w:sz w:val="22"/>
          <w:szCs w:val="22"/>
          <w:lang w:val="sk-SK"/>
        </w:rPr>
        <w:t xml:space="preserve"> (</w:t>
      </w:r>
      <w:r w:rsidR="001E017A">
        <w:rPr>
          <w:sz w:val="22"/>
          <w:szCs w:val="22"/>
          <w:lang w:val="sk-SK"/>
        </w:rPr>
        <w:t>trieda</w:t>
      </w:r>
      <w:r w:rsidRPr="00487D7C">
        <w:rPr>
          <w:sz w:val="22"/>
          <w:szCs w:val="22"/>
          <w:lang w:val="sk-SK"/>
        </w:rPr>
        <w:t> C podľa Childa</w:t>
      </w:r>
      <w:r w:rsidRPr="00487D7C">
        <w:rPr>
          <w:sz w:val="22"/>
          <w:szCs w:val="22"/>
          <w:lang w:val="sk-SK"/>
        </w:rPr>
        <w:noBreakHyphen/>
        <w:t>Pugha).</w:t>
      </w:r>
    </w:p>
    <w:p w14:paraId="0130E577" w14:textId="7054CEEC" w:rsidR="00EC442C" w:rsidRPr="00487D7C" w:rsidRDefault="00EC442C" w:rsidP="00EC442C">
      <w:pPr>
        <w:numPr>
          <w:ilvl w:val="0"/>
          <w:numId w:val="2"/>
        </w:numPr>
        <w:tabs>
          <w:tab w:val="num" w:pos="567"/>
        </w:tabs>
        <w:ind w:left="567" w:hanging="567"/>
        <w:rPr>
          <w:b/>
          <w:sz w:val="22"/>
          <w:szCs w:val="22"/>
          <w:lang w:val="sk-SK"/>
        </w:rPr>
      </w:pPr>
      <w:r w:rsidRPr="00487D7C">
        <w:rPr>
          <w:sz w:val="22"/>
          <w:szCs w:val="22"/>
          <w:lang w:val="sk-SK"/>
        </w:rPr>
        <w:t>Pacienti, ktorí užívajú draslík šetriace diuretiká alebo silné inhibítory CYP3A4 (napr. itrakonazol, ketokonazol, ritonavir, nelfinavir, klaritromycín, telitromycín a nefazod</w:t>
      </w:r>
      <w:r w:rsidR="001E017A">
        <w:rPr>
          <w:sz w:val="22"/>
          <w:szCs w:val="22"/>
          <w:lang w:val="sk-SK"/>
        </w:rPr>
        <w:t>ó</w:t>
      </w:r>
      <w:r w:rsidRPr="00487D7C">
        <w:rPr>
          <w:sz w:val="22"/>
          <w:szCs w:val="22"/>
          <w:lang w:val="sk-SK"/>
        </w:rPr>
        <w:t>n) (pozri časť 4.5).</w:t>
      </w:r>
    </w:p>
    <w:p w14:paraId="4BDFAE64" w14:textId="0093330B" w:rsidR="00EC442C" w:rsidRPr="00487D7C" w:rsidRDefault="00EC442C" w:rsidP="00EC442C">
      <w:pPr>
        <w:numPr>
          <w:ilvl w:val="0"/>
          <w:numId w:val="2"/>
        </w:numPr>
        <w:tabs>
          <w:tab w:val="num" w:pos="567"/>
        </w:tabs>
        <w:ind w:left="567" w:hanging="567"/>
        <w:rPr>
          <w:sz w:val="22"/>
          <w:szCs w:val="22"/>
          <w:lang w:val="sk-SK"/>
        </w:rPr>
      </w:pPr>
      <w:r>
        <w:rPr>
          <w:sz w:val="22"/>
          <w:szCs w:val="22"/>
          <w:lang w:val="sk-SK"/>
        </w:rPr>
        <w:t>K</w:t>
      </w:r>
      <w:r w:rsidRPr="00487D7C">
        <w:rPr>
          <w:sz w:val="22"/>
          <w:szCs w:val="22"/>
          <w:lang w:val="sk-SK"/>
        </w:rPr>
        <w:t>ombináci</w:t>
      </w:r>
      <w:r>
        <w:rPr>
          <w:sz w:val="22"/>
          <w:szCs w:val="22"/>
          <w:lang w:val="sk-SK"/>
        </w:rPr>
        <w:t>a</w:t>
      </w:r>
      <w:r w:rsidRPr="00487D7C">
        <w:rPr>
          <w:sz w:val="22"/>
          <w:szCs w:val="22"/>
          <w:lang w:val="sk-SK"/>
        </w:rPr>
        <w:t xml:space="preserve"> inhibítora  enzýmu</w:t>
      </w:r>
      <w:r w:rsidR="001E017A">
        <w:rPr>
          <w:sz w:val="22"/>
          <w:szCs w:val="22"/>
          <w:lang w:val="sk-SK"/>
        </w:rPr>
        <w:t xml:space="preserve"> konvertujúceho angiotenzín</w:t>
      </w:r>
      <w:r w:rsidRPr="00487D7C">
        <w:rPr>
          <w:sz w:val="22"/>
          <w:szCs w:val="22"/>
          <w:lang w:val="sk-SK"/>
        </w:rPr>
        <w:t xml:space="preserve"> (ACE) a blokátora receptora angiotenzínu (ARB)</w:t>
      </w:r>
      <w:r>
        <w:rPr>
          <w:sz w:val="22"/>
          <w:szCs w:val="22"/>
          <w:lang w:val="sk-SK"/>
        </w:rPr>
        <w:t xml:space="preserve"> s eplerenónom</w:t>
      </w:r>
      <w:r w:rsidRPr="00487D7C">
        <w:rPr>
          <w:sz w:val="22"/>
          <w:szCs w:val="22"/>
          <w:lang w:val="sk-SK"/>
        </w:rPr>
        <w:t>.</w:t>
      </w:r>
    </w:p>
    <w:p w14:paraId="5F3219F4" w14:textId="77777777" w:rsidR="00EC442C" w:rsidRPr="00487D7C" w:rsidRDefault="00EC442C" w:rsidP="00EC442C">
      <w:pPr>
        <w:tabs>
          <w:tab w:val="left" w:pos="567"/>
        </w:tabs>
        <w:rPr>
          <w:sz w:val="22"/>
          <w:szCs w:val="22"/>
          <w:lang w:val="sk-SK"/>
        </w:rPr>
      </w:pPr>
    </w:p>
    <w:p w14:paraId="201A92F7" w14:textId="77777777" w:rsidR="00EC442C" w:rsidRPr="00487D7C" w:rsidRDefault="00EC442C" w:rsidP="00EC442C">
      <w:pPr>
        <w:tabs>
          <w:tab w:val="left" w:pos="567"/>
        </w:tabs>
        <w:rPr>
          <w:b/>
          <w:sz w:val="22"/>
          <w:szCs w:val="22"/>
          <w:lang w:val="sk-SK"/>
        </w:rPr>
      </w:pPr>
      <w:r w:rsidRPr="00487D7C">
        <w:rPr>
          <w:b/>
          <w:sz w:val="22"/>
          <w:szCs w:val="22"/>
          <w:lang w:val="sk-SK"/>
        </w:rPr>
        <w:t>4.4</w:t>
      </w:r>
      <w:r w:rsidRPr="00487D7C">
        <w:rPr>
          <w:b/>
          <w:sz w:val="22"/>
          <w:szCs w:val="22"/>
          <w:lang w:val="sk-SK"/>
        </w:rPr>
        <w:tab/>
      </w:r>
      <w:r w:rsidRPr="00487D7C">
        <w:rPr>
          <w:b/>
          <w:sz w:val="22"/>
          <w:szCs w:val="22"/>
          <w:lang w:val="sk-SK"/>
        </w:rPr>
        <w:tab/>
        <w:t>Osobitné upozornenia a opatrenia pri používaní</w:t>
      </w:r>
    </w:p>
    <w:p w14:paraId="3684C1BB" w14:textId="77777777" w:rsidR="00EC442C" w:rsidRPr="00487D7C" w:rsidRDefault="00EC442C" w:rsidP="00EC442C">
      <w:pPr>
        <w:tabs>
          <w:tab w:val="left" w:pos="567"/>
        </w:tabs>
        <w:rPr>
          <w:sz w:val="22"/>
          <w:szCs w:val="22"/>
          <w:lang w:val="sk-SK"/>
        </w:rPr>
      </w:pPr>
    </w:p>
    <w:p w14:paraId="1E08FF06" w14:textId="77777777" w:rsidR="00EC442C" w:rsidRPr="00307574" w:rsidRDefault="00EC442C" w:rsidP="00EC442C">
      <w:pPr>
        <w:tabs>
          <w:tab w:val="left" w:pos="567"/>
        </w:tabs>
        <w:rPr>
          <w:i/>
          <w:sz w:val="22"/>
          <w:szCs w:val="22"/>
          <w:lang w:val="sk-SK"/>
        </w:rPr>
      </w:pPr>
      <w:r w:rsidRPr="00307574">
        <w:rPr>
          <w:i/>
          <w:sz w:val="22"/>
          <w:szCs w:val="22"/>
          <w:lang w:val="sk-SK"/>
        </w:rPr>
        <w:t>Hyperkaliémia</w:t>
      </w:r>
    </w:p>
    <w:p w14:paraId="5A2C45B8" w14:textId="77777777" w:rsidR="00EC442C" w:rsidRPr="00487D7C" w:rsidRDefault="00EC442C" w:rsidP="00EC442C">
      <w:pPr>
        <w:tabs>
          <w:tab w:val="left" w:pos="567"/>
        </w:tabs>
        <w:rPr>
          <w:sz w:val="22"/>
          <w:szCs w:val="22"/>
          <w:lang w:val="sk-SK"/>
        </w:rPr>
      </w:pPr>
      <w:r w:rsidRPr="00487D7C">
        <w:rPr>
          <w:sz w:val="22"/>
          <w:szCs w:val="22"/>
          <w:lang w:val="sk-SK"/>
        </w:rPr>
        <w:t>Pri liečbe eplerenónom sa v súlade s jeho mechanizmom účinku môže vyskytnúť hyperkaliémia. Pri začatí liečby a pri zmene dávky sa u všetkých pacientov musí monitorovať hladina draslíka v sére. Ďalej sa odporúča pravidelné monitorovanie, zvlášť u pacientov s rizikom vzniku hyperkaliémie, ako sú starší pacienti, pacienti s</w:t>
      </w:r>
      <w:r>
        <w:rPr>
          <w:sz w:val="22"/>
          <w:szCs w:val="22"/>
          <w:lang w:val="sk-SK"/>
        </w:rPr>
        <w:t> renálnou insuficienciou</w:t>
      </w:r>
      <w:r w:rsidRPr="00487D7C">
        <w:rPr>
          <w:sz w:val="22"/>
          <w:szCs w:val="22"/>
          <w:lang w:val="sk-SK"/>
        </w:rPr>
        <w:t xml:space="preserve"> (pozri časť 4.2) a pacienti s diabetom. Použitie draslíkových suplementov sa po začatí liečby eplerenónom neodporúča z dôvodu zvýšeného rizika hyperkaliémie. Potvrdilo sa, že pri znížení dávky eplerenónu sa zníži hladina draslíka v sére. V jednej štúdii sa potvrdilo, že pridanie hydrochlorotiazidu k liečbe eplerenónom kompenzovalo zvýšenie hladiny draslíka v sére.</w:t>
      </w:r>
    </w:p>
    <w:p w14:paraId="6F7B9B0D" w14:textId="77777777" w:rsidR="00EC442C" w:rsidRPr="00487D7C" w:rsidRDefault="00EC442C" w:rsidP="00EC442C">
      <w:pPr>
        <w:tabs>
          <w:tab w:val="left" w:pos="567"/>
        </w:tabs>
        <w:rPr>
          <w:sz w:val="22"/>
          <w:szCs w:val="22"/>
          <w:lang w:val="sk-SK"/>
        </w:rPr>
      </w:pPr>
    </w:p>
    <w:p w14:paraId="73F8418C" w14:textId="77777777" w:rsidR="00EC442C" w:rsidRPr="00487D7C" w:rsidRDefault="00EC442C" w:rsidP="00EC442C">
      <w:pPr>
        <w:tabs>
          <w:tab w:val="left" w:pos="567"/>
        </w:tabs>
        <w:rPr>
          <w:sz w:val="22"/>
          <w:szCs w:val="22"/>
          <w:lang w:val="sk-SK"/>
        </w:rPr>
      </w:pPr>
      <w:r w:rsidRPr="00487D7C">
        <w:rPr>
          <w:sz w:val="22"/>
          <w:szCs w:val="22"/>
          <w:lang w:val="sk-SK"/>
        </w:rPr>
        <w:t xml:space="preserve">Riziko hyperkaliémie sa môže zvýšiť pri používaní eplerenónu v kombinácii s inhibítorom ACE a/alebo ARB. </w:t>
      </w:r>
      <w:r>
        <w:rPr>
          <w:sz w:val="22"/>
          <w:szCs w:val="22"/>
          <w:lang w:val="sk-SK"/>
        </w:rPr>
        <w:t>N</w:t>
      </w:r>
      <w:r w:rsidRPr="00487D7C">
        <w:rPr>
          <w:sz w:val="22"/>
          <w:szCs w:val="22"/>
          <w:lang w:val="sk-SK"/>
        </w:rPr>
        <w:t xml:space="preserve">emá </w:t>
      </w:r>
      <w:r>
        <w:rPr>
          <w:sz w:val="22"/>
          <w:szCs w:val="22"/>
          <w:lang w:val="sk-SK"/>
        </w:rPr>
        <w:t xml:space="preserve">sa </w:t>
      </w:r>
      <w:r w:rsidRPr="00487D7C">
        <w:rPr>
          <w:sz w:val="22"/>
          <w:szCs w:val="22"/>
          <w:lang w:val="sk-SK"/>
        </w:rPr>
        <w:t>používať kombináci</w:t>
      </w:r>
      <w:r>
        <w:rPr>
          <w:sz w:val="22"/>
          <w:szCs w:val="22"/>
          <w:lang w:val="sk-SK"/>
        </w:rPr>
        <w:t>a</w:t>
      </w:r>
      <w:r w:rsidRPr="00487D7C">
        <w:rPr>
          <w:sz w:val="22"/>
          <w:szCs w:val="22"/>
          <w:lang w:val="sk-SK"/>
        </w:rPr>
        <w:t xml:space="preserve"> inhibítora ACE a</w:t>
      </w:r>
      <w:r>
        <w:rPr>
          <w:sz w:val="22"/>
          <w:szCs w:val="22"/>
          <w:lang w:val="sk-SK"/>
        </w:rPr>
        <w:t> </w:t>
      </w:r>
      <w:r w:rsidRPr="00487D7C">
        <w:rPr>
          <w:sz w:val="22"/>
          <w:szCs w:val="22"/>
          <w:lang w:val="sk-SK"/>
        </w:rPr>
        <w:t>ARB</w:t>
      </w:r>
      <w:r>
        <w:rPr>
          <w:sz w:val="22"/>
          <w:szCs w:val="22"/>
          <w:lang w:val="sk-SK"/>
        </w:rPr>
        <w:t xml:space="preserve"> s eplerenónom</w:t>
      </w:r>
      <w:r w:rsidRPr="00487D7C">
        <w:rPr>
          <w:sz w:val="22"/>
          <w:szCs w:val="22"/>
          <w:lang w:val="sk-SK"/>
        </w:rPr>
        <w:t xml:space="preserve"> (pozri časti 4.3 a 4.5).</w:t>
      </w:r>
    </w:p>
    <w:p w14:paraId="15F79392" w14:textId="77777777" w:rsidR="00EC442C" w:rsidRPr="00487D7C" w:rsidRDefault="00EC442C" w:rsidP="00EC442C">
      <w:pPr>
        <w:tabs>
          <w:tab w:val="left" w:pos="567"/>
        </w:tabs>
        <w:rPr>
          <w:sz w:val="22"/>
          <w:szCs w:val="22"/>
          <w:lang w:val="sk-SK"/>
        </w:rPr>
      </w:pPr>
    </w:p>
    <w:p w14:paraId="55E4F751" w14:textId="77777777" w:rsidR="00EC442C" w:rsidRPr="00307574" w:rsidRDefault="00EC442C" w:rsidP="00EC442C">
      <w:pPr>
        <w:tabs>
          <w:tab w:val="left" w:pos="567"/>
        </w:tabs>
        <w:rPr>
          <w:sz w:val="22"/>
          <w:szCs w:val="22"/>
          <w:lang w:val="sk-SK"/>
        </w:rPr>
      </w:pPr>
      <w:r w:rsidRPr="00307574">
        <w:rPr>
          <w:i/>
          <w:sz w:val="22"/>
          <w:szCs w:val="22"/>
          <w:lang w:val="sk-SK"/>
        </w:rPr>
        <w:t>Porucha funkcie obličiek</w:t>
      </w:r>
    </w:p>
    <w:p w14:paraId="4BF0CFDE" w14:textId="2A19D17D" w:rsidR="00EC442C" w:rsidRPr="00487D7C" w:rsidRDefault="00EC442C" w:rsidP="00EC442C">
      <w:pPr>
        <w:tabs>
          <w:tab w:val="left" w:pos="567"/>
        </w:tabs>
        <w:rPr>
          <w:sz w:val="22"/>
          <w:szCs w:val="22"/>
          <w:lang w:val="sk-SK"/>
        </w:rPr>
      </w:pPr>
      <w:r w:rsidRPr="00487D7C">
        <w:rPr>
          <w:sz w:val="22"/>
          <w:szCs w:val="22"/>
          <w:lang w:val="sk-SK"/>
        </w:rPr>
        <w:t>U pacientov s po</w:t>
      </w:r>
      <w:r>
        <w:rPr>
          <w:sz w:val="22"/>
          <w:szCs w:val="22"/>
          <w:lang w:val="sk-SK"/>
        </w:rPr>
        <w:t>ruchou</w:t>
      </w:r>
      <w:r w:rsidRPr="00487D7C">
        <w:rPr>
          <w:sz w:val="22"/>
          <w:szCs w:val="22"/>
          <w:lang w:val="sk-SK"/>
        </w:rPr>
        <w:t xml:space="preserve"> funkcie obličiek vrátane diabetickej mikroalbuminúrie sa má pravidelne monitorovať hladina draslíka v sére. Riziko hyperkaliémie sa zvyšuje s poklesom funkcie obličiek. Hoci sú údaje zo štúdie </w:t>
      </w:r>
      <w:r w:rsidRPr="00E350D1">
        <w:rPr>
          <w:sz w:val="22"/>
          <w:szCs w:val="22"/>
          <w:lang w:val="sk-SK"/>
        </w:rPr>
        <w:t>E</w:t>
      </w:r>
      <w:r w:rsidRPr="00487D7C">
        <w:rPr>
          <w:sz w:val="22"/>
          <w:szCs w:val="22"/>
          <w:lang w:val="sk-SK"/>
        </w:rPr>
        <w:t xml:space="preserve">plerenone </w:t>
      </w:r>
      <w:r w:rsidRPr="00E350D1">
        <w:rPr>
          <w:sz w:val="22"/>
          <w:szCs w:val="22"/>
          <w:lang w:val="sk-SK"/>
        </w:rPr>
        <w:t>P</w:t>
      </w:r>
      <w:r w:rsidRPr="00487D7C">
        <w:rPr>
          <w:sz w:val="22"/>
          <w:szCs w:val="22"/>
          <w:lang w:val="sk-SK"/>
        </w:rPr>
        <w:t>ost</w:t>
      </w:r>
      <w:r w:rsidRPr="00487D7C">
        <w:rPr>
          <w:sz w:val="22"/>
          <w:szCs w:val="22"/>
          <w:lang w:val="sk-SK"/>
        </w:rPr>
        <w:noBreakHyphen/>
        <w:t xml:space="preserve">acute Myocardial Infarction </w:t>
      </w:r>
      <w:r w:rsidRPr="00E350D1">
        <w:rPr>
          <w:sz w:val="22"/>
          <w:szCs w:val="22"/>
          <w:lang w:val="sk-SK"/>
        </w:rPr>
        <w:t>H</w:t>
      </w:r>
      <w:r w:rsidRPr="00487D7C">
        <w:rPr>
          <w:sz w:val="22"/>
          <w:szCs w:val="22"/>
          <w:lang w:val="sk-SK"/>
        </w:rPr>
        <w:t xml:space="preserve">eart failure </w:t>
      </w:r>
      <w:r w:rsidRPr="00E350D1">
        <w:rPr>
          <w:sz w:val="22"/>
          <w:szCs w:val="22"/>
          <w:lang w:val="sk-SK"/>
        </w:rPr>
        <w:t>E</w:t>
      </w:r>
      <w:r w:rsidRPr="00487D7C">
        <w:rPr>
          <w:sz w:val="22"/>
          <w:szCs w:val="22"/>
          <w:lang w:val="sk-SK"/>
        </w:rPr>
        <w:t xml:space="preserve">fficacy and Survival </w:t>
      </w:r>
      <w:r w:rsidRPr="00E350D1">
        <w:rPr>
          <w:sz w:val="22"/>
          <w:szCs w:val="22"/>
          <w:lang w:val="sk-SK"/>
        </w:rPr>
        <w:t>S</w:t>
      </w:r>
      <w:r w:rsidRPr="00487D7C">
        <w:rPr>
          <w:sz w:val="22"/>
          <w:szCs w:val="22"/>
          <w:lang w:val="sk-SK"/>
        </w:rPr>
        <w:t>tudy (EPHESUS) u pacientov s diabetom 2. typu a mikroalbuminúriou obmedzené, u tohto malého počtu pacientov sa pozoroval zvýšený výskyt hyperkaliémie. Preto</w:t>
      </w:r>
      <w:r w:rsidR="00371D43">
        <w:rPr>
          <w:sz w:val="22"/>
          <w:szCs w:val="22"/>
          <w:lang w:val="sk-SK"/>
        </w:rPr>
        <w:t xml:space="preserve"> je potrebné</w:t>
      </w:r>
      <w:r w:rsidRPr="00487D7C">
        <w:rPr>
          <w:sz w:val="22"/>
          <w:szCs w:val="22"/>
          <w:lang w:val="sk-SK"/>
        </w:rPr>
        <w:t xml:space="preserve"> týchto pacientov  liečiť s opatrnosťou. Eplerenón nie je dialyzovateľný.</w:t>
      </w:r>
    </w:p>
    <w:p w14:paraId="706351A2" w14:textId="77777777" w:rsidR="00EC442C" w:rsidRPr="00487D7C" w:rsidRDefault="00EC442C" w:rsidP="00EC442C">
      <w:pPr>
        <w:tabs>
          <w:tab w:val="left" w:pos="567"/>
        </w:tabs>
        <w:rPr>
          <w:sz w:val="22"/>
          <w:szCs w:val="22"/>
          <w:lang w:val="sk-SK"/>
        </w:rPr>
      </w:pPr>
    </w:p>
    <w:p w14:paraId="2D3FB9D3" w14:textId="77777777" w:rsidR="00EC442C" w:rsidRPr="00307574" w:rsidRDefault="00EC442C" w:rsidP="00EC442C">
      <w:pPr>
        <w:tabs>
          <w:tab w:val="left" w:pos="567"/>
        </w:tabs>
        <w:rPr>
          <w:i/>
          <w:sz w:val="22"/>
          <w:szCs w:val="22"/>
          <w:lang w:val="sk-SK"/>
        </w:rPr>
      </w:pPr>
      <w:r w:rsidRPr="00307574">
        <w:rPr>
          <w:i/>
          <w:sz w:val="22"/>
          <w:szCs w:val="22"/>
          <w:lang w:val="sk-SK"/>
        </w:rPr>
        <w:lastRenderedPageBreak/>
        <w:t>Porucha funkcie pečene</w:t>
      </w:r>
    </w:p>
    <w:p w14:paraId="00C8A4CE" w14:textId="2F23723F" w:rsidR="00EC442C" w:rsidRPr="00487D7C" w:rsidRDefault="00EC442C" w:rsidP="00EC442C">
      <w:pPr>
        <w:tabs>
          <w:tab w:val="left" w:pos="567"/>
        </w:tabs>
        <w:rPr>
          <w:sz w:val="22"/>
          <w:szCs w:val="22"/>
          <w:lang w:val="sk-SK"/>
        </w:rPr>
      </w:pPr>
      <w:r w:rsidRPr="00487D7C">
        <w:rPr>
          <w:sz w:val="22"/>
          <w:szCs w:val="22"/>
          <w:lang w:val="sk-SK"/>
        </w:rPr>
        <w:t xml:space="preserve">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w:t>
      </w:r>
      <w:r>
        <w:rPr>
          <w:sz w:val="22"/>
          <w:szCs w:val="22"/>
          <w:lang w:val="sk-SK"/>
        </w:rPr>
        <w:t xml:space="preserve">funkcie </w:t>
      </w:r>
      <w:r w:rsidRPr="00487D7C">
        <w:rPr>
          <w:sz w:val="22"/>
          <w:szCs w:val="22"/>
          <w:lang w:val="sk-SK"/>
        </w:rPr>
        <w:t>pečene (</w:t>
      </w:r>
      <w:r w:rsidR="00371D43">
        <w:rPr>
          <w:sz w:val="22"/>
          <w:szCs w:val="22"/>
          <w:lang w:val="sk-SK"/>
        </w:rPr>
        <w:t>trieda</w:t>
      </w:r>
      <w:r w:rsidRPr="00487D7C">
        <w:rPr>
          <w:sz w:val="22"/>
          <w:szCs w:val="22"/>
          <w:lang w:val="sk-SK"/>
        </w:rPr>
        <w:t xml:space="preserve"> A a B podľa Childa-Pugha) sa nepozorovalo zvýšenie hladiny draslíka v sére nad 5,5 mmol/l. U pacientov s </w:t>
      </w:r>
      <w:r>
        <w:rPr>
          <w:sz w:val="22"/>
          <w:szCs w:val="22"/>
          <w:lang w:val="sk-SK"/>
        </w:rPr>
        <w:t>miernou</w:t>
      </w:r>
      <w:r w:rsidRPr="00487D7C">
        <w:rPr>
          <w:sz w:val="22"/>
          <w:szCs w:val="22"/>
          <w:lang w:val="sk-SK"/>
        </w:rPr>
        <w:t xml:space="preserve"> až stredn</w:t>
      </w:r>
      <w:r>
        <w:rPr>
          <w:sz w:val="22"/>
          <w:szCs w:val="22"/>
          <w:lang w:val="sk-SK"/>
        </w:rPr>
        <w:t>e ťažkou poruchou</w:t>
      </w:r>
      <w:r w:rsidRPr="00487D7C">
        <w:rPr>
          <w:sz w:val="22"/>
          <w:szCs w:val="22"/>
          <w:lang w:val="sk-SK"/>
        </w:rPr>
        <w:t xml:space="preserve"> funkcie pečene sa majú monitorovať hladiny elektrolytov. Podávanie eplerenónu sa nehodnotilo u pacientov s ťažkým stupňom </w:t>
      </w:r>
      <w:r w:rsidR="00371D43">
        <w:rPr>
          <w:sz w:val="22"/>
          <w:szCs w:val="22"/>
          <w:lang w:val="sk-SK"/>
        </w:rPr>
        <w:t>poruchy</w:t>
      </w:r>
      <w:r w:rsidR="00371D43" w:rsidRPr="00487D7C">
        <w:rPr>
          <w:sz w:val="22"/>
          <w:szCs w:val="22"/>
          <w:lang w:val="sk-SK"/>
        </w:rPr>
        <w:t xml:space="preserve"> </w:t>
      </w:r>
      <w:r w:rsidRPr="00487D7C">
        <w:rPr>
          <w:sz w:val="22"/>
          <w:szCs w:val="22"/>
          <w:lang w:val="sk-SK"/>
        </w:rPr>
        <w:t>funkcie pečene, a preto je jeho použitie kontraindikované (pozri časti 4.2 a 4.3).</w:t>
      </w:r>
    </w:p>
    <w:p w14:paraId="2C671B73" w14:textId="77777777" w:rsidR="00EC442C" w:rsidRPr="00487D7C" w:rsidRDefault="00EC442C" w:rsidP="00EC442C">
      <w:pPr>
        <w:tabs>
          <w:tab w:val="left" w:pos="567"/>
        </w:tabs>
        <w:rPr>
          <w:sz w:val="22"/>
          <w:szCs w:val="22"/>
          <w:lang w:val="sk-SK"/>
        </w:rPr>
      </w:pPr>
    </w:p>
    <w:p w14:paraId="0A94CF7E" w14:textId="77777777" w:rsidR="00EC442C" w:rsidRPr="00872D6E" w:rsidRDefault="00EC442C" w:rsidP="00EC442C">
      <w:pPr>
        <w:tabs>
          <w:tab w:val="left" w:pos="567"/>
        </w:tabs>
        <w:rPr>
          <w:i/>
          <w:sz w:val="22"/>
          <w:szCs w:val="22"/>
          <w:lang w:val="sk-SK"/>
        </w:rPr>
      </w:pPr>
      <w:r w:rsidRPr="00872D6E">
        <w:rPr>
          <w:i/>
          <w:sz w:val="22"/>
          <w:szCs w:val="22"/>
          <w:lang w:val="sk-SK"/>
        </w:rPr>
        <w:t>Induktory CYP3A4</w:t>
      </w:r>
    </w:p>
    <w:p w14:paraId="09E8C30C" w14:textId="77777777" w:rsidR="00EC442C" w:rsidRPr="00487D7C" w:rsidRDefault="00EC442C" w:rsidP="00EC442C">
      <w:pPr>
        <w:tabs>
          <w:tab w:val="left" w:pos="567"/>
        </w:tabs>
        <w:rPr>
          <w:sz w:val="22"/>
          <w:szCs w:val="22"/>
          <w:lang w:val="sk-SK"/>
        </w:rPr>
      </w:pPr>
      <w:r w:rsidRPr="00487D7C">
        <w:rPr>
          <w:sz w:val="22"/>
          <w:szCs w:val="22"/>
          <w:lang w:val="sk-SK"/>
        </w:rPr>
        <w:t>Súbežné podávanie eplerenónu spolu so silnými induktormi CYP3A4 sa neodporúča (pozri časť 4.5).</w:t>
      </w:r>
    </w:p>
    <w:p w14:paraId="7C48960D" w14:textId="77777777" w:rsidR="00371D43" w:rsidRDefault="00371D43" w:rsidP="00EC442C">
      <w:pPr>
        <w:tabs>
          <w:tab w:val="left" w:pos="567"/>
        </w:tabs>
        <w:rPr>
          <w:sz w:val="22"/>
          <w:szCs w:val="22"/>
          <w:lang w:val="sk-SK"/>
        </w:rPr>
      </w:pPr>
    </w:p>
    <w:p w14:paraId="418F49E9" w14:textId="77777777" w:rsidR="00EC442C" w:rsidRPr="00487D7C" w:rsidRDefault="00EC442C" w:rsidP="00EC442C">
      <w:pPr>
        <w:tabs>
          <w:tab w:val="left" w:pos="567"/>
        </w:tabs>
        <w:rPr>
          <w:sz w:val="22"/>
          <w:szCs w:val="22"/>
          <w:lang w:val="sk-SK"/>
        </w:rPr>
      </w:pPr>
      <w:r w:rsidRPr="00872D6E">
        <w:rPr>
          <w:sz w:val="22"/>
          <w:szCs w:val="22"/>
          <w:lang w:val="sk-SK"/>
        </w:rPr>
        <w:t>Lítium, cyklosporín, takrolimus</w:t>
      </w:r>
      <w:r w:rsidRPr="00487D7C">
        <w:rPr>
          <w:sz w:val="22"/>
          <w:szCs w:val="22"/>
          <w:lang w:val="sk-SK"/>
        </w:rPr>
        <w:t xml:space="preserve"> sa nemajú podávať počas liečby eplerenónom (pozri časť 4.5).</w:t>
      </w:r>
    </w:p>
    <w:p w14:paraId="311347B9" w14:textId="77777777" w:rsidR="00EC442C" w:rsidRPr="00487D7C" w:rsidRDefault="00EC442C" w:rsidP="00EC442C">
      <w:pPr>
        <w:tabs>
          <w:tab w:val="left" w:pos="567"/>
        </w:tabs>
        <w:rPr>
          <w:sz w:val="22"/>
          <w:szCs w:val="22"/>
          <w:lang w:val="sk-SK"/>
        </w:rPr>
      </w:pPr>
    </w:p>
    <w:p w14:paraId="3B45A2DE" w14:textId="65553870" w:rsidR="00EC442C" w:rsidRDefault="00C7235A" w:rsidP="00EC442C">
      <w:pPr>
        <w:tabs>
          <w:tab w:val="left" w:pos="567"/>
        </w:tabs>
        <w:rPr>
          <w:sz w:val="22"/>
          <w:szCs w:val="22"/>
          <w:lang w:val="sk-SK"/>
        </w:rPr>
      </w:pPr>
      <w:r w:rsidRPr="007F25C3">
        <w:rPr>
          <w:sz w:val="22"/>
          <w:szCs w:val="22"/>
          <w:lang w:val="sk-SK"/>
        </w:rPr>
        <w:t xml:space="preserve">Apleria obsahuje laktózu. </w:t>
      </w:r>
      <w:r w:rsidR="00872D6E" w:rsidRPr="007F25C3">
        <w:rPr>
          <w:sz w:val="22"/>
          <w:szCs w:val="22"/>
          <w:lang w:val="sk-SK"/>
        </w:rPr>
        <w:t>Pacienti</w:t>
      </w:r>
      <w:r w:rsidR="00872D6E" w:rsidRPr="00C7235A">
        <w:rPr>
          <w:sz w:val="22"/>
          <w:szCs w:val="22"/>
          <w:lang w:val="sk-SK"/>
        </w:rPr>
        <w:t xml:space="preserve"> </w:t>
      </w:r>
      <w:r w:rsidR="00EC442C" w:rsidRPr="00C7235A">
        <w:rPr>
          <w:sz w:val="22"/>
          <w:szCs w:val="22"/>
          <w:lang w:val="sk-SK"/>
        </w:rPr>
        <w:t>so zriedkav</w:t>
      </w:r>
      <w:r w:rsidR="00872D6E" w:rsidRPr="00C7235A">
        <w:rPr>
          <w:sz w:val="22"/>
          <w:szCs w:val="22"/>
          <w:lang w:val="sk-SK"/>
        </w:rPr>
        <w:t xml:space="preserve">ými dedičnými </w:t>
      </w:r>
      <w:r w:rsidR="00007F3E" w:rsidRPr="00C7235A">
        <w:rPr>
          <w:sz w:val="22"/>
          <w:szCs w:val="22"/>
          <w:lang w:val="sk-SK"/>
        </w:rPr>
        <w:t xml:space="preserve">problémami </w:t>
      </w:r>
      <w:r w:rsidR="00EC442C" w:rsidRPr="003E76ED">
        <w:rPr>
          <w:sz w:val="22"/>
          <w:szCs w:val="22"/>
          <w:lang w:val="sk-SK"/>
        </w:rPr>
        <w:t>galaktóz</w:t>
      </w:r>
      <w:r w:rsidR="00007F3E" w:rsidRPr="00C7235A">
        <w:rPr>
          <w:sz w:val="22"/>
          <w:szCs w:val="22"/>
          <w:lang w:val="sk-SK"/>
        </w:rPr>
        <w:t>ovej intolerancie</w:t>
      </w:r>
      <w:r w:rsidR="00EC442C" w:rsidRPr="00C7235A">
        <w:rPr>
          <w:sz w:val="22"/>
          <w:szCs w:val="22"/>
          <w:lang w:val="sk-SK"/>
        </w:rPr>
        <w:t xml:space="preserve">, </w:t>
      </w:r>
      <w:r w:rsidR="00007F3E" w:rsidRPr="00C7235A">
        <w:rPr>
          <w:sz w:val="22"/>
          <w:szCs w:val="22"/>
          <w:lang w:val="sk-SK"/>
        </w:rPr>
        <w:t xml:space="preserve">celkovým </w:t>
      </w:r>
      <w:r w:rsidR="00EC442C" w:rsidRPr="00C7235A">
        <w:rPr>
          <w:sz w:val="22"/>
          <w:szCs w:val="22"/>
          <w:lang w:val="sk-SK"/>
        </w:rPr>
        <w:t>deficit</w:t>
      </w:r>
      <w:r w:rsidR="00007F3E" w:rsidRPr="00C7235A">
        <w:rPr>
          <w:sz w:val="22"/>
          <w:szCs w:val="22"/>
          <w:lang w:val="sk-SK"/>
        </w:rPr>
        <w:t>om</w:t>
      </w:r>
      <w:r w:rsidR="00EC442C" w:rsidRPr="00C7235A">
        <w:rPr>
          <w:sz w:val="22"/>
          <w:szCs w:val="22"/>
          <w:lang w:val="sk-SK"/>
        </w:rPr>
        <w:t xml:space="preserve"> laktázy alebo g</w:t>
      </w:r>
      <w:r w:rsidR="00872D6E" w:rsidRPr="00C7235A">
        <w:rPr>
          <w:sz w:val="22"/>
          <w:szCs w:val="22"/>
          <w:lang w:val="sk-SK"/>
        </w:rPr>
        <w:t>lukózo</w:t>
      </w:r>
      <w:r w:rsidR="00872D6E" w:rsidRPr="00C7235A">
        <w:rPr>
          <w:sz w:val="22"/>
          <w:szCs w:val="22"/>
          <w:lang w:val="sk-SK"/>
        </w:rPr>
        <w:noBreakHyphen/>
        <w:t>galaktózov</w:t>
      </w:r>
      <w:r w:rsidR="00007F3E" w:rsidRPr="00C7235A">
        <w:rPr>
          <w:sz w:val="22"/>
          <w:szCs w:val="22"/>
          <w:lang w:val="sk-SK"/>
        </w:rPr>
        <w:t>ou</w:t>
      </w:r>
      <w:r w:rsidR="00872D6E" w:rsidRPr="00C7235A">
        <w:rPr>
          <w:sz w:val="22"/>
          <w:szCs w:val="22"/>
          <w:lang w:val="sk-SK"/>
        </w:rPr>
        <w:t xml:space="preserve"> malabsorpci</w:t>
      </w:r>
      <w:r w:rsidR="00007F3E" w:rsidRPr="00C7235A">
        <w:rPr>
          <w:sz w:val="22"/>
          <w:szCs w:val="22"/>
          <w:lang w:val="sk-SK"/>
        </w:rPr>
        <w:t>ou</w:t>
      </w:r>
      <w:r w:rsidR="00872D6E" w:rsidRPr="00C7235A">
        <w:rPr>
          <w:sz w:val="22"/>
          <w:szCs w:val="22"/>
          <w:lang w:val="sk-SK"/>
        </w:rPr>
        <w:t xml:space="preserve"> </w:t>
      </w:r>
      <w:r w:rsidR="00007F3E" w:rsidRPr="00C7235A">
        <w:rPr>
          <w:sz w:val="22"/>
          <w:szCs w:val="22"/>
          <w:lang w:val="sk-SK"/>
        </w:rPr>
        <w:t>nesmú</w:t>
      </w:r>
      <w:r w:rsidR="00872D6E" w:rsidRPr="00C7235A">
        <w:rPr>
          <w:sz w:val="22"/>
          <w:szCs w:val="22"/>
          <w:lang w:val="sk-SK"/>
        </w:rPr>
        <w:t xml:space="preserve"> užívať tento liek.</w:t>
      </w:r>
    </w:p>
    <w:p w14:paraId="492A7D20" w14:textId="77777777" w:rsidR="00C7235A" w:rsidRDefault="00C7235A" w:rsidP="00EC442C">
      <w:pPr>
        <w:tabs>
          <w:tab w:val="left" w:pos="567"/>
        </w:tabs>
        <w:rPr>
          <w:sz w:val="22"/>
          <w:szCs w:val="22"/>
          <w:lang w:val="sk-SK"/>
        </w:rPr>
      </w:pPr>
    </w:p>
    <w:p w14:paraId="58E72B43" w14:textId="2F4F4CB6" w:rsidR="00B371C7" w:rsidRPr="00487D7C" w:rsidRDefault="00B371C7" w:rsidP="00EC442C">
      <w:pPr>
        <w:tabs>
          <w:tab w:val="left" w:pos="567"/>
        </w:tabs>
        <w:rPr>
          <w:sz w:val="22"/>
          <w:szCs w:val="22"/>
          <w:lang w:val="sk-SK"/>
        </w:rPr>
      </w:pPr>
      <w:r>
        <w:rPr>
          <w:sz w:val="22"/>
          <w:szCs w:val="22"/>
          <w:lang w:val="sk-SK"/>
        </w:rPr>
        <w:t>Apleria obsahuje sodík. Tento liek obsahuje menej ako 1 mmol sodíka (23 mg) v dávke, t.j. v podstate zanedbateľné množstvo sodíka.</w:t>
      </w:r>
    </w:p>
    <w:p w14:paraId="7985F94F" w14:textId="77777777" w:rsidR="00EC442C" w:rsidRPr="00487D7C" w:rsidRDefault="00EC442C" w:rsidP="00EC442C">
      <w:pPr>
        <w:tabs>
          <w:tab w:val="left" w:pos="567"/>
        </w:tabs>
        <w:rPr>
          <w:sz w:val="22"/>
          <w:szCs w:val="22"/>
          <w:lang w:val="sk-SK"/>
        </w:rPr>
      </w:pPr>
    </w:p>
    <w:p w14:paraId="23BA43A9" w14:textId="77777777" w:rsidR="00EC442C" w:rsidRPr="00487D7C" w:rsidRDefault="00EC442C" w:rsidP="00EC442C">
      <w:pPr>
        <w:tabs>
          <w:tab w:val="left" w:pos="567"/>
        </w:tabs>
        <w:rPr>
          <w:b/>
          <w:bCs/>
          <w:sz w:val="22"/>
          <w:szCs w:val="22"/>
          <w:lang w:val="sk-SK"/>
        </w:rPr>
      </w:pPr>
      <w:r w:rsidRPr="00487D7C">
        <w:rPr>
          <w:b/>
          <w:bCs/>
          <w:sz w:val="22"/>
          <w:szCs w:val="22"/>
          <w:lang w:val="sk-SK"/>
        </w:rPr>
        <w:t>4.5</w:t>
      </w:r>
      <w:r w:rsidRPr="00487D7C">
        <w:rPr>
          <w:b/>
          <w:bCs/>
          <w:sz w:val="22"/>
          <w:szCs w:val="22"/>
          <w:lang w:val="sk-SK"/>
        </w:rPr>
        <w:tab/>
      </w:r>
      <w:r w:rsidRPr="00487D7C">
        <w:rPr>
          <w:b/>
          <w:sz w:val="22"/>
          <w:szCs w:val="22"/>
          <w:lang w:val="sk-SK"/>
        </w:rPr>
        <w:t>Liekové a iné interakcie</w:t>
      </w:r>
    </w:p>
    <w:p w14:paraId="3BC27CE4" w14:textId="77777777" w:rsidR="00EC442C" w:rsidRPr="00487D7C" w:rsidRDefault="00EC442C" w:rsidP="00EC442C">
      <w:pPr>
        <w:rPr>
          <w:b/>
          <w:sz w:val="22"/>
          <w:szCs w:val="22"/>
          <w:lang w:val="sk-SK"/>
        </w:rPr>
      </w:pPr>
    </w:p>
    <w:p w14:paraId="2F3E1025" w14:textId="77777777" w:rsidR="00EC442C" w:rsidRPr="00A66429" w:rsidRDefault="00EC442C" w:rsidP="00EC442C">
      <w:pPr>
        <w:rPr>
          <w:sz w:val="22"/>
          <w:szCs w:val="22"/>
          <w:u w:val="single"/>
          <w:lang w:val="sk-SK"/>
        </w:rPr>
      </w:pPr>
      <w:r w:rsidRPr="00A66429">
        <w:rPr>
          <w:sz w:val="22"/>
          <w:szCs w:val="22"/>
          <w:u w:val="single"/>
          <w:lang w:val="sk-SK"/>
        </w:rPr>
        <w:t>Farmakodynamické interakcie</w:t>
      </w:r>
    </w:p>
    <w:p w14:paraId="7AFE22B2" w14:textId="77777777" w:rsidR="00EC442C" w:rsidRPr="00487D7C" w:rsidRDefault="00EC442C" w:rsidP="00EC442C">
      <w:pPr>
        <w:tabs>
          <w:tab w:val="left" w:pos="567"/>
        </w:tabs>
        <w:rPr>
          <w:b/>
          <w:sz w:val="22"/>
          <w:szCs w:val="22"/>
          <w:lang w:val="sk-SK"/>
        </w:rPr>
      </w:pPr>
    </w:p>
    <w:p w14:paraId="0285FCE8" w14:textId="77777777" w:rsidR="00EC442C" w:rsidRDefault="00EC442C" w:rsidP="00EC442C">
      <w:pPr>
        <w:tabs>
          <w:tab w:val="left" w:pos="567"/>
        </w:tabs>
        <w:rPr>
          <w:i/>
          <w:sz w:val="22"/>
          <w:szCs w:val="22"/>
          <w:lang w:val="sk-SK"/>
        </w:rPr>
      </w:pPr>
      <w:r w:rsidRPr="00487D7C">
        <w:rPr>
          <w:i/>
          <w:sz w:val="22"/>
          <w:szCs w:val="22"/>
          <w:lang w:val="sk-SK"/>
        </w:rPr>
        <w:t>Draslík šetriace diuretiká a draslíkové suplementy</w:t>
      </w:r>
    </w:p>
    <w:p w14:paraId="6943F5AB" w14:textId="77777777" w:rsidR="00A66429" w:rsidRPr="00487D7C" w:rsidRDefault="00A66429" w:rsidP="00EC442C">
      <w:pPr>
        <w:tabs>
          <w:tab w:val="left" w:pos="567"/>
        </w:tabs>
        <w:rPr>
          <w:sz w:val="22"/>
          <w:szCs w:val="22"/>
          <w:lang w:val="sk-SK"/>
        </w:rPr>
      </w:pPr>
    </w:p>
    <w:p w14:paraId="6F349376" w14:textId="77777777" w:rsidR="00EC442C" w:rsidRPr="00487D7C" w:rsidRDefault="00EC442C" w:rsidP="00EC442C">
      <w:pPr>
        <w:tabs>
          <w:tab w:val="left" w:pos="567"/>
        </w:tabs>
        <w:rPr>
          <w:sz w:val="22"/>
          <w:szCs w:val="22"/>
          <w:lang w:val="sk-SK"/>
        </w:rPr>
      </w:pPr>
      <w:r w:rsidRPr="00487D7C">
        <w:rPr>
          <w:sz w:val="22"/>
          <w:szCs w:val="22"/>
          <w:lang w:val="sk-SK"/>
        </w:rPr>
        <w:t>Vzhľadom na zvýšené riziko hyperkaliémie sa eplerenón nemá podávať pacientom, ktorí užívajú iné draslík šetriace diuretiká a draslíkové suplementy (pozri časť 4.3). Draslík šetriace diuretiká môžu tiež zvyšovať účinok antihypertenzív a iných diuretík.</w:t>
      </w:r>
    </w:p>
    <w:p w14:paraId="4F0A0DC0" w14:textId="77777777" w:rsidR="00EC442C" w:rsidRPr="00487D7C" w:rsidRDefault="00EC442C" w:rsidP="00EC442C">
      <w:pPr>
        <w:tabs>
          <w:tab w:val="left" w:pos="567"/>
        </w:tabs>
        <w:rPr>
          <w:sz w:val="22"/>
          <w:szCs w:val="22"/>
          <w:lang w:val="sk-SK"/>
        </w:rPr>
      </w:pPr>
    </w:p>
    <w:p w14:paraId="4FBE7091" w14:textId="1E0F34C2" w:rsidR="00EC442C" w:rsidRDefault="00EC442C" w:rsidP="00EC442C">
      <w:pPr>
        <w:tabs>
          <w:tab w:val="left" w:pos="567"/>
        </w:tabs>
        <w:rPr>
          <w:i/>
          <w:sz w:val="22"/>
          <w:szCs w:val="22"/>
          <w:lang w:val="sk-SK"/>
        </w:rPr>
      </w:pPr>
      <w:r w:rsidRPr="00487D7C">
        <w:rPr>
          <w:i/>
          <w:sz w:val="22"/>
          <w:szCs w:val="22"/>
          <w:lang w:val="sk-SK"/>
        </w:rPr>
        <w:t> </w:t>
      </w:r>
      <w:r w:rsidR="00E60189">
        <w:rPr>
          <w:i/>
          <w:sz w:val="22"/>
          <w:szCs w:val="22"/>
          <w:lang w:val="sk-SK"/>
        </w:rPr>
        <w:t>I</w:t>
      </w:r>
      <w:r w:rsidRPr="00487D7C">
        <w:rPr>
          <w:i/>
          <w:sz w:val="22"/>
          <w:szCs w:val="22"/>
          <w:lang w:val="sk-SK"/>
        </w:rPr>
        <w:t>nhibítory</w:t>
      </w:r>
      <w:r w:rsidR="00E60189">
        <w:rPr>
          <w:i/>
          <w:sz w:val="22"/>
          <w:szCs w:val="22"/>
          <w:lang w:val="sk-SK"/>
        </w:rPr>
        <w:t xml:space="preserve"> </w:t>
      </w:r>
      <w:r w:rsidR="00E60189" w:rsidRPr="00487D7C">
        <w:rPr>
          <w:i/>
          <w:sz w:val="22"/>
          <w:szCs w:val="22"/>
          <w:lang w:val="sk-SK"/>
        </w:rPr>
        <w:t>ACE</w:t>
      </w:r>
      <w:r w:rsidRPr="00487D7C">
        <w:rPr>
          <w:i/>
          <w:sz w:val="22"/>
          <w:szCs w:val="22"/>
          <w:lang w:val="sk-SK"/>
        </w:rPr>
        <w:t>, blokátory receptorov angiotenzínu (ARB)</w:t>
      </w:r>
    </w:p>
    <w:p w14:paraId="57F14124" w14:textId="77777777" w:rsidR="00A66429" w:rsidRPr="00487D7C" w:rsidRDefault="00A66429" w:rsidP="00EC442C">
      <w:pPr>
        <w:tabs>
          <w:tab w:val="left" w:pos="567"/>
        </w:tabs>
        <w:rPr>
          <w:i/>
          <w:sz w:val="22"/>
          <w:szCs w:val="22"/>
          <w:lang w:val="sk-SK"/>
        </w:rPr>
      </w:pPr>
    </w:p>
    <w:p w14:paraId="5D5CF371" w14:textId="77777777" w:rsidR="00EC442C" w:rsidRPr="00487D7C" w:rsidRDefault="00EC442C" w:rsidP="00EC442C">
      <w:pPr>
        <w:tabs>
          <w:tab w:val="left" w:pos="567"/>
        </w:tabs>
        <w:rPr>
          <w:sz w:val="22"/>
          <w:szCs w:val="22"/>
          <w:lang w:val="sk-SK"/>
        </w:rPr>
      </w:pPr>
      <w:r w:rsidRPr="00487D7C">
        <w:rPr>
          <w:sz w:val="22"/>
          <w:szCs w:val="22"/>
          <w:lang w:val="sk-SK"/>
        </w:rPr>
        <w:t>Pri používaní eplerenónu v kombinácii s inhibítorom ACE a/alebo ARB sa môže zvýšiť riziko hyperkaliémie. Odporúča sa dôkladné sledovanie sérového draslíka a renálnej funkcie, predovšetkým u pacientov vystavených riziku poruchy renálnej funkcie, napr. u starších pacientov. Trojkombinácia inhibítora ACE a ARB s eplerenónom sa nemá používať (pozri časti 4.3 a 4.4).</w:t>
      </w:r>
    </w:p>
    <w:p w14:paraId="51F42F6F" w14:textId="77777777" w:rsidR="00EC442C" w:rsidRPr="00487D7C" w:rsidRDefault="00EC442C" w:rsidP="00EC442C">
      <w:pPr>
        <w:tabs>
          <w:tab w:val="left" w:pos="567"/>
        </w:tabs>
        <w:rPr>
          <w:sz w:val="22"/>
          <w:szCs w:val="22"/>
          <w:lang w:val="sk-SK"/>
        </w:rPr>
      </w:pPr>
    </w:p>
    <w:p w14:paraId="1FCC990E" w14:textId="77777777" w:rsidR="00EC442C" w:rsidRDefault="00EC442C" w:rsidP="00EC442C">
      <w:pPr>
        <w:tabs>
          <w:tab w:val="left" w:pos="567"/>
        </w:tabs>
        <w:rPr>
          <w:i/>
          <w:sz w:val="22"/>
          <w:szCs w:val="22"/>
          <w:lang w:val="sk-SK"/>
        </w:rPr>
      </w:pPr>
      <w:r w:rsidRPr="00487D7C">
        <w:rPr>
          <w:i/>
          <w:sz w:val="22"/>
          <w:szCs w:val="22"/>
          <w:lang w:val="sk-SK"/>
        </w:rPr>
        <w:t>Lítium</w:t>
      </w:r>
    </w:p>
    <w:p w14:paraId="07187EDD" w14:textId="77777777" w:rsidR="00095AB8" w:rsidRPr="00487D7C" w:rsidRDefault="00095AB8" w:rsidP="00EC442C">
      <w:pPr>
        <w:tabs>
          <w:tab w:val="left" w:pos="567"/>
        </w:tabs>
        <w:rPr>
          <w:i/>
          <w:sz w:val="22"/>
          <w:szCs w:val="22"/>
          <w:lang w:val="sk-SK"/>
        </w:rPr>
      </w:pPr>
    </w:p>
    <w:p w14:paraId="51C7906B" w14:textId="5FAFEF53" w:rsidR="00EC442C" w:rsidRPr="00487D7C" w:rsidRDefault="00EC442C" w:rsidP="00EC442C">
      <w:pPr>
        <w:tabs>
          <w:tab w:val="left" w:pos="567"/>
        </w:tabs>
        <w:rPr>
          <w:sz w:val="22"/>
          <w:szCs w:val="22"/>
          <w:lang w:val="sk-SK"/>
        </w:rPr>
      </w:pPr>
      <w:r w:rsidRPr="00487D7C">
        <w:rPr>
          <w:sz w:val="22"/>
          <w:szCs w:val="22"/>
          <w:lang w:val="sk-SK"/>
        </w:rPr>
        <w:t xml:space="preserve">Štúdie interakcií eplerenónu s lítiom sa nerobili. </w:t>
      </w:r>
      <w:r w:rsidR="00444E4E">
        <w:rPr>
          <w:sz w:val="22"/>
          <w:szCs w:val="22"/>
          <w:lang w:val="sk-SK"/>
        </w:rPr>
        <w:t>T</w:t>
      </w:r>
      <w:r w:rsidRPr="00487D7C">
        <w:rPr>
          <w:sz w:val="22"/>
          <w:szCs w:val="22"/>
          <w:lang w:val="sk-SK"/>
        </w:rPr>
        <w:t xml:space="preserve">oxicita lítia </w:t>
      </w:r>
      <w:r w:rsidR="00444E4E">
        <w:rPr>
          <w:sz w:val="22"/>
          <w:szCs w:val="22"/>
          <w:lang w:val="sk-SK"/>
        </w:rPr>
        <w:t xml:space="preserve">však </w:t>
      </w:r>
      <w:r w:rsidRPr="00487D7C">
        <w:rPr>
          <w:sz w:val="22"/>
          <w:szCs w:val="22"/>
          <w:lang w:val="sk-SK"/>
        </w:rPr>
        <w:t>bola hlásená u pacientov, ktorí dostávali lítium súbežne s diuretikami a </w:t>
      </w:r>
      <w:r w:rsidR="00E60189" w:rsidRPr="00487D7C" w:rsidDel="00E60189">
        <w:rPr>
          <w:sz w:val="22"/>
          <w:szCs w:val="22"/>
          <w:lang w:val="sk-SK"/>
        </w:rPr>
        <w:t xml:space="preserve"> </w:t>
      </w:r>
      <w:r w:rsidRPr="00487D7C">
        <w:rPr>
          <w:sz w:val="22"/>
          <w:szCs w:val="22"/>
          <w:lang w:val="sk-SK"/>
        </w:rPr>
        <w:t>inhibítormi</w:t>
      </w:r>
      <w:r w:rsidR="00E60189">
        <w:rPr>
          <w:sz w:val="22"/>
          <w:szCs w:val="22"/>
          <w:lang w:val="sk-SK"/>
        </w:rPr>
        <w:t xml:space="preserve"> ACE</w:t>
      </w:r>
      <w:r w:rsidRPr="00487D7C">
        <w:rPr>
          <w:sz w:val="22"/>
          <w:szCs w:val="22"/>
          <w:lang w:val="sk-SK"/>
        </w:rPr>
        <w:t xml:space="preserve"> (pozri časť 4.4). Eplerenón a lítium sa nemajú podávať </w:t>
      </w:r>
      <w:r>
        <w:rPr>
          <w:sz w:val="22"/>
          <w:szCs w:val="22"/>
          <w:lang w:val="sk-SK"/>
        </w:rPr>
        <w:t>súbežne</w:t>
      </w:r>
      <w:r w:rsidRPr="00487D7C">
        <w:rPr>
          <w:sz w:val="22"/>
          <w:szCs w:val="22"/>
          <w:lang w:val="sk-SK"/>
        </w:rPr>
        <w:t xml:space="preserve">. V prípade, že je táto kombinácia nevyhnutná, hladinu lítia v sére sa musí monitorovať (pozri časť 4.4). </w:t>
      </w:r>
    </w:p>
    <w:p w14:paraId="6FFC322F" w14:textId="77777777" w:rsidR="00EC442C" w:rsidRPr="00487D7C" w:rsidRDefault="00EC442C" w:rsidP="00EC442C">
      <w:pPr>
        <w:tabs>
          <w:tab w:val="left" w:pos="567"/>
        </w:tabs>
        <w:rPr>
          <w:sz w:val="22"/>
          <w:szCs w:val="22"/>
          <w:lang w:val="sk-SK"/>
        </w:rPr>
      </w:pPr>
    </w:p>
    <w:p w14:paraId="391E22B2" w14:textId="77777777" w:rsidR="00EC442C" w:rsidRDefault="00EC442C" w:rsidP="00EC442C">
      <w:pPr>
        <w:tabs>
          <w:tab w:val="left" w:pos="567"/>
        </w:tabs>
        <w:rPr>
          <w:i/>
          <w:sz w:val="22"/>
          <w:szCs w:val="22"/>
          <w:lang w:val="sk-SK"/>
        </w:rPr>
      </w:pPr>
      <w:r w:rsidRPr="00487D7C">
        <w:rPr>
          <w:i/>
          <w:sz w:val="22"/>
          <w:szCs w:val="22"/>
          <w:lang w:val="sk-SK"/>
        </w:rPr>
        <w:t>Cyklosporín, takrolimus</w:t>
      </w:r>
    </w:p>
    <w:p w14:paraId="5425D69D" w14:textId="77777777" w:rsidR="00095AB8" w:rsidRPr="00487D7C" w:rsidRDefault="00095AB8" w:rsidP="00EC442C">
      <w:pPr>
        <w:tabs>
          <w:tab w:val="left" w:pos="567"/>
        </w:tabs>
        <w:rPr>
          <w:i/>
          <w:sz w:val="22"/>
          <w:szCs w:val="22"/>
          <w:lang w:val="sk-SK"/>
        </w:rPr>
      </w:pPr>
    </w:p>
    <w:p w14:paraId="4AA7179B" w14:textId="77777777" w:rsidR="00EC442C" w:rsidRPr="00487D7C" w:rsidRDefault="00EC442C" w:rsidP="00EC442C">
      <w:pPr>
        <w:tabs>
          <w:tab w:val="left" w:pos="567"/>
        </w:tabs>
        <w:rPr>
          <w:sz w:val="22"/>
          <w:szCs w:val="22"/>
          <w:lang w:val="sk-SK"/>
        </w:rPr>
      </w:pPr>
      <w:r w:rsidRPr="00487D7C">
        <w:rPr>
          <w:sz w:val="22"/>
          <w:szCs w:val="22"/>
          <w:lang w:val="sk-SK"/>
        </w:rPr>
        <w:t>Cyklosporín a takrolimus môžu viesť k po</w:t>
      </w:r>
      <w:r>
        <w:rPr>
          <w:sz w:val="22"/>
          <w:szCs w:val="22"/>
          <w:lang w:val="sk-SK"/>
        </w:rPr>
        <w:t>ruche</w:t>
      </w:r>
      <w:r w:rsidRPr="00487D7C">
        <w:rPr>
          <w:sz w:val="22"/>
          <w:szCs w:val="22"/>
          <w:lang w:val="sk-SK"/>
        </w:rPr>
        <w:t xml:space="preserve"> funkcie obličiek a zvýšiť riziko hyperkaliémie. Eplerenón sa nemá </w:t>
      </w:r>
      <w:r w:rsidR="00095AB8">
        <w:rPr>
          <w:sz w:val="22"/>
          <w:szCs w:val="22"/>
          <w:lang w:val="sk-SK"/>
        </w:rPr>
        <w:t>užívať súbežne</w:t>
      </w:r>
      <w:r w:rsidRPr="00487D7C">
        <w:rPr>
          <w:sz w:val="22"/>
          <w:szCs w:val="22"/>
          <w:lang w:val="sk-SK"/>
        </w:rPr>
        <w:t xml:space="preserve"> s cyklosporínom a</w:t>
      </w:r>
      <w:r w:rsidR="00095AB8">
        <w:rPr>
          <w:sz w:val="22"/>
          <w:szCs w:val="22"/>
          <w:lang w:val="sk-SK"/>
        </w:rPr>
        <w:t>lebo</w:t>
      </w:r>
      <w:r w:rsidRPr="00487D7C">
        <w:rPr>
          <w:sz w:val="22"/>
          <w:szCs w:val="22"/>
          <w:lang w:val="sk-SK"/>
        </w:rPr>
        <w:t> takrolimom. Ak sa cyklosporín alebo takrolimus má podávať počas liečby eplerenónom, odporúča sa dôkladné monitorovanie hladiny draslíka v sére a funkcie obličiek (pozri časť 4.4).</w:t>
      </w:r>
    </w:p>
    <w:p w14:paraId="07417598" w14:textId="77777777" w:rsidR="00EC442C" w:rsidRPr="00487D7C" w:rsidRDefault="00EC442C" w:rsidP="00EC442C">
      <w:pPr>
        <w:tabs>
          <w:tab w:val="left" w:pos="567"/>
        </w:tabs>
        <w:rPr>
          <w:sz w:val="22"/>
          <w:szCs w:val="22"/>
          <w:lang w:val="sk-SK"/>
        </w:rPr>
      </w:pPr>
    </w:p>
    <w:p w14:paraId="75490B5A" w14:textId="7B7D27C7" w:rsidR="00EC442C" w:rsidRDefault="00EC442C" w:rsidP="00EC442C">
      <w:pPr>
        <w:tabs>
          <w:tab w:val="left" w:pos="567"/>
        </w:tabs>
        <w:rPr>
          <w:i/>
          <w:sz w:val="22"/>
          <w:szCs w:val="22"/>
          <w:lang w:val="sk-SK"/>
        </w:rPr>
      </w:pPr>
      <w:r w:rsidRPr="00487D7C">
        <w:rPr>
          <w:i/>
          <w:sz w:val="22"/>
          <w:szCs w:val="22"/>
          <w:lang w:val="sk-SK"/>
        </w:rPr>
        <w:t>Nesteroid</w:t>
      </w:r>
      <w:r w:rsidR="00E60189">
        <w:rPr>
          <w:i/>
          <w:sz w:val="22"/>
          <w:szCs w:val="22"/>
          <w:lang w:val="sk-SK"/>
        </w:rPr>
        <w:t>né</w:t>
      </w:r>
      <w:r w:rsidRPr="00487D7C">
        <w:rPr>
          <w:i/>
          <w:sz w:val="22"/>
          <w:szCs w:val="22"/>
          <w:lang w:val="sk-SK"/>
        </w:rPr>
        <w:t xml:space="preserve"> antiflogistiká (NSAID)</w:t>
      </w:r>
    </w:p>
    <w:p w14:paraId="0E45724F" w14:textId="77777777" w:rsidR="00095AB8" w:rsidRPr="00487D7C" w:rsidRDefault="00095AB8" w:rsidP="00EC442C">
      <w:pPr>
        <w:tabs>
          <w:tab w:val="left" w:pos="567"/>
        </w:tabs>
        <w:rPr>
          <w:i/>
          <w:sz w:val="22"/>
          <w:szCs w:val="22"/>
          <w:lang w:val="sk-SK"/>
        </w:rPr>
      </w:pPr>
    </w:p>
    <w:p w14:paraId="193F08DC" w14:textId="237D0208" w:rsidR="00EC442C" w:rsidRPr="00487D7C" w:rsidRDefault="00EC442C" w:rsidP="00EC442C">
      <w:pPr>
        <w:tabs>
          <w:tab w:val="left" w:pos="567"/>
        </w:tabs>
        <w:rPr>
          <w:sz w:val="22"/>
          <w:szCs w:val="22"/>
          <w:lang w:val="sk-SK"/>
        </w:rPr>
      </w:pPr>
      <w:r w:rsidRPr="00487D7C">
        <w:rPr>
          <w:sz w:val="22"/>
          <w:szCs w:val="22"/>
          <w:lang w:val="sk-SK"/>
        </w:rPr>
        <w:t xml:space="preserve">Liečba  NSAID môže viesť k akútnemu obličkovému zlyhaniu </w:t>
      </w:r>
      <w:r w:rsidR="00444E4E">
        <w:rPr>
          <w:sz w:val="22"/>
          <w:szCs w:val="22"/>
          <w:lang w:val="sk-SK"/>
        </w:rPr>
        <w:t xml:space="preserve">priamym </w:t>
      </w:r>
      <w:r w:rsidRPr="00487D7C">
        <w:rPr>
          <w:sz w:val="22"/>
          <w:szCs w:val="22"/>
          <w:lang w:val="sk-SK"/>
        </w:rPr>
        <w:t>účinkom  na glomerulárnu filtráciu, najmä u rizikových pacientov (starší a/alebo de</w:t>
      </w:r>
      <w:r w:rsidR="001D5B6C">
        <w:rPr>
          <w:sz w:val="22"/>
          <w:szCs w:val="22"/>
          <w:lang w:val="sk-SK"/>
        </w:rPr>
        <w:t>hydratovaní pacienti). Pacien</w:t>
      </w:r>
      <w:r w:rsidR="00E60189">
        <w:rPr>
          <w:sz w:val="22"/>
          <w:szCs w:val="22"/>
          <w:lang w:val="sk-SK"/>
        </w:rPr>
        <w:t>ti</w:t>
      </w:r>
      <w:r w:rsidRPr="00487D7C">
        <w:rPr>
          <w:sz w:val="22"/>
          <w:szCs w:val="22"/>
          <w:lang w:val="sk-SK"/>
        </w:rPr>
        <w:t>, ktorí užívajú eplerenón s NSAID,  musia</w:t>
      </w:r>
      <w:r w:rsidR="00E60189">
        <w:rPr>
          <w:sz w:val="22"/>
          <w:szCs w:val="22"/>
          <w:lang w:val="sk-SK"/>
        </w:rPr>
        <w:t xml:space="preserve"> byť</w:t>
      </w:r>
      <w:r w:rsidRPr="00487D7C">
        <w:rPr>
          <w:sz w:val="22"/>
          <w:szCs w:val="22"/>
          <w:lang w:val="sk-SK"/>
        </w:rPr>
        <w:t xml:space="preserve"> pred začatím liečby</w:t>
      </w:r>
      <w:r w:rsidR="00E60189">
        <w:rPr>
          <w:sz w:val="22"/>
          <w:szCs w:val="22"/>
          <w:lang w:val="sk-SK"/>
        </w:rPr>
        <w:t xml:space="preserve"> primerane hydratovaní a má sa monitorovať ich funkcia obličiek.</w:t>
      </w:r>
    </w:p>
    <w:p w14:paraId="22439054" w14:textId="77777777" w:rsidR="00EC442C" w:rsidRPr="00487D7C" w:rsidRDefault="00EC442C" w:rsidP="00EC442C">
      <w:pPr>
        <w:tabs>
          <w:tab w:val="left" w:pos="567"/>
        </w:tabs>
        <w:rPr>
          <w:sz w:val="22"/>
          <w:szCs w:val="22"/>
          <w:lang w:val="sk-SK"/>
        </w:rPr>
      </w:pPr>
    </w:p>
    <w:p w14:paraId="1504A708" w14:textId="77777777" w:rsidR="00EC442C" w:rsidRDefault="00EC442C" w:rsidP="00EC442C">
      <w:pPr>
        <w:tabs>
          <w:tab w:val="left" w:pos="567"/>
        </w:tabs>
        <w:rPr>
          <w:i/>
          <w:sz w:val="22"/>
          <w:szCs w:val="22"/>
          <w:lang w:val="sk-SK"/>
        </w:rPr>
      </w:pPr>
      <w:r w:rsidRPr="00487D7C">
        <w:rPr>
          <w:i/>
          <w:sz w:val="22"/>
          <w:szCs w:val="22"/>
          <w:lang w:val="sk-SK"/>
        </w:rPr>
        <w:t>Trimetoprim</w:t>
      </w:r>
    </w:p>
    <w:p w14:paraId="6E88A071" w14:textId="77777777" w:rsidR="001D5B6C" w:rsidRPr="00487D7C" w:rsidRDefault="001D5B6C" w:rsidP="00EC442C">
      <w:pPr>
        <w:tabs>
          <w:tab w:val="left" w:pos="567"/>
        </w:tabs>
        <w:rPr>
          <w:i/>
          <w:sz w:val="22"/>
          <w:szCs w:val="22"/>
          <w:lang w:val="sk-SK"/>
        </w:rPr>
      </w:pPr>
    </w:p>
    <w:p w14:paraId="0A7FF448" w14:textId="0DC3BAFC" w:rsidR="00EC442C" w:rsidRPr="00487D7C" w:rsidRDefault="00EC442C" w:rsidP="00EC442C">
      <w:pPr>
        <w:tabs>
          <w:tab w:val="left" w:pos="567"/>
        </w:tabs>
        <w:rPr>
          <w:sz w:val="22"/>
          <w:szCs w:val="22"/>
          <w:lang w:val="sk-SK"/>
        </w:rPr>
      </w:pPr>
      <w:r w:rsidRPr="00487D7C">
        <w:rPr>
          <w:sz w:val="22"/>
          <w:szCs w:val="22"/>
          <w:lang w:val="sk-SK"/>
        </w:rPr>
        <w:t>Súbežné podávanie trimetoprimu s eplerenónom zvyšuje riziko hyperkaliémie. Hladina draslíka v sére a obličkové funkcie sa majú monitorovať, zvlášť u pacientov s </w:t>
      </w:r>
      <w:r w:rsidR="00E60189" w:rsidRPr="00487D7C">
        <w:rPr>
          <w:sz w:val="22"/>
          <w:szCs w:val="22"/>
          <w:lang w:val="sk-SK"/>
        </w:rPr>
        <w:t>po</w:t>
      </w:r>
      <w:r w:rsidR="00E60189">
        <w:rPr>
          <w:sz w:val="22"/>
          <w:szCs w:val="22"/>
          <w:lang w:val="sk-SK"/>
        </w:rPr>
        <w:t>ruchou</w:t>
      </w:r>
      <w:r w:rsidR="00E60189" w:rsidRPr="00487D7C">
        <w:rPr>
          <w:sz w:val="22"/>
          <w:szCs w:val="22"/>
          <w:lang w:val="sk-SK"/>
        </w:rPr>
        <w:t xml:space="preserve"> </w:t>
      </w:r>
      <w:r w:rsidRPr="00487D7C">
        <w:rPr>
          <w:sz w:val="22"/>
          <w:szCs w:val="22"/>
          <w:lang w:val="sk-SK"/>
        </w:rPr>
        <w:t xml:space="preserve">funkcie obličiek a u starších </w:t>
      </w:r>
      <w:r>
        <w:rPr>
          <w:sz w:val="22"/>
          <w:szCs w:val="22"/>
          <w:lang w:val="sk-SK"/>
        </w:rPr>
        <w:t>ľudí</w:t>
      </w:r>
      <w:r w:rsidRPr="00487D7C">
        <w:rPr>
          <w:sz w:val="22"/>
          <w:szCs w:val="22"/>
          <w:lang w:val="sk-SK"/>
        </w:rPr>
        <w:t>.</w:t>
      </w:r>
    </w:p>
    <w:p w14:paraId="69CB30EA" w14:textId="77777777" w:rsidR="00EC442C" w:rsidRPr="00487D7C" w:rsidRDefault="00EC442C" w:rsidP="00EC442C">
      <w:pPr>
        <w:tabs>
          <w:tab w:val="left" w:pos="567"/>
        </w:tabs>
        <w:rPr>
          <w:sz w:val="22"/>
          <w:szCs w:val="22"/>
          <w:lang w:val="sk-SK"/>
        </w:rPr>
      </w:pPr>
    </w:p>
    <w:p w14:paraId="33207B24" w14:textId="28E9135D" w:rsidR="00EC442C" w:rsidRDefault="00EC442C" w:rsidP="00EC442C">
      <w:pPr>
        <w:keepNext/>
        <w:tabs>
          <w:tab w:val="left" w:pos="567"/>
        </w:tabs>
        <w:rPr>
          <w:i/>
          <w:sz w:val="22"/>
          <w:szCs w:val="22"/>
          <w:lang w:val="sk-SK"/>
        </w:rPr>
      </w:pPr>
      <w:r w:rsidRPr="00487D7C">
        <w:rPr>
          <w:i/>
          <w:sz w:val="22"/>
          <w:szCs w:val="22"/>
          <w:lang w:val="sk-SK"/>
        </w:rPr>
        <w:t>Alfa</w:t>
      </w:r>
      <w:r w:rsidR="00E60189" w:rsidRPr="00E8271C">
        <w:rPr>
          <w:i/>
          <w:sz w:val="22"/>
          <w:szCs w:val="22"/>
          <w:vertAlign w:val="subscript"/>
          <w:lang w:val="sk-SK"/>
        </w:rPr>
        <w:t>1</w:t>
      </w:r>
      <w:r w:rsidRPr="00487D7C">
        <w:rPr>
          <w:i/>
          <w:sz w:val="22"/>
          <w:szCs w:val="22"/>
          <w:lang w:val="sk-SK"/>
        </w:rPr>
        <w:noBreakHyphen/>
        <w:t>blokátory (napr. prazosín, alfuzosin)</w:t>
      </w:r>
    </w:p>
    <w:p w14:paraId="0020F0C5" w14:textId="77777777" w:rsidR="001D5B6C" w:rsidRPr="00487D7C" w:rsidRDefault="001D5B6C" w:rsidP="00EC442C">
      <w:pPr>
        <w:keepNext/>
        <w:tabs>
          <w:tab w:val="left" w:pos="567"/>
        </w:tabs>
        <w:rPr>
          <w:sz w:val="22"/>
          <w:szCs w:val="22"/>
          <w:lang w:val="sk-SK"/>
        </w:rPr>
      </w:pPr>
    </w:p>
    <w:p w14:paraId="0AC15D22" w14:textId="30DC54B3" w:rsidR="00EC442C" w:rsidRPr="00487D7C" w:rsidRDefault="00EC442C" w:rsidP="00EC442C">
      <w:pPr>
        <w:keepNext/>
        <w:tabs>
          <w:tab w:val="left" w:pos="567"/>
        </w:tabs>
        <w:rPr>
          <w:sz w:val="22"/>
          <w:szCs w:val="22"/>
          <w:lang w:val="sk-SK"/>
        </w:rPr>
      </w:pPr>
      <w:r w:rsidRPr="00487D7C">
        <w:rPr>
          <w:sz w:val="22"/>
          <w:szCs w:val="22"/>
          <w:lang w:val="sk-SK"/>
        </w:rPr>
        <w:t>Ak sa kombinujú alfa</w:t>
      </w:r>
      <w:r w:rsidR="00E60189" w:rsidRPr="00E8271C">
        <w:rPr>
          <w:sz w:val="22"/>
          <w:szCs w:val="22"/>
          <w:vertAlign w:val="subscript"/>
          <w:lang w:val="sk-SK"/>
        </w:rPr>
        <w:t>1</w:t>
      </w:r>
      <w:r w:rsidRPr="00487D7C">
        <w:rPr>
          <w:sz w:val="22"/>
          <w:szCs w:val="22"/>
          <w:lang w:val="sk-SK"/>
        </w:rPr>
        <w:noBreakHyphen/>
        <w:t>blokátory s eplerenónom, môže sa zvýšiť ich hypotenz</w:t>
      </w:r>
      <w:r w:rsidR="00E60189">
        <w:rPr>
          <w:sz w:val="22"/>
          <w:szCs w:val="22"/>
          <w:lang w:val="sk-SK"/>
        </w:rPr>
        <w:t>ív</w:t>
      </w:r>
      <w:r w:rsidRPr="00487D7C">
        <w:rPr>
          <w:sz w:val="22"/>
          <w:szCs w:val="22"/>
          <w:lang w:val="sk-SK"/>
        </w:rPr>
        <w:t>n</w:t>
      </w:r>
      <w:r w:rsidR="00E60189">
        <w:rPr>
          <w:sz w:val="22"/>
          <w:szCs w:val="22"/>
          <w:lang w:val="sk-SK"/>
        </w:rPr>
        <w:t>y</w:t>
      </w:r>
      <w:r w:rsidRPr="00487D7C">
        <w:rPr>
          <w:sz w:val="22"/>
          <w:szCs w:val="22"/>
          <w:lang w:val="sk-SK"/>
        </w:rPr>
        <w:t xml:space="preserve"> účinok a/alebo riziko posturálnej hypotenzie. Počas súbežného podávania alfa</w:t>
      </w:r>
      <w:r w:rsidR="00E60189" w:rsidRPr="00E8271C">
        <w:rPr>
          <w:sz w:val="22"/>
          <w:szCs w:val="22"/>
          <w:vertAlign w:val="subscript"/>
          <w:lang w:val="sk-SK"/>
        </w:rPr>
        <w:t>1</w:t>
      </w:r>
      <w:r w:rsidRPr="00487D7C">
        <w:rPr>
          <w:sz w:val="22"/>
          <w:szCs w:val="22"/>
          <w:lang w:val="sk-SK"/>
        </w:rPr>
        <w:noBreakHyphen/>
        <w:t>blokátorov sa odporúča klinické monitorovanie kvôli posturálnej hypotenzii.</w:t>
      </w:r>
    </w:p>
    <w:p w14:paraId="371E913C" w14:textId="77777777" w:rsidR="00EC442C" w:rsidRPr="00487D7C" w:rsidRDefault="00EC442C" w:rsidP="00EC442C">
      <w:pPr>
        <w:tabs>
          <w:tab w:val="left" w:pos="567"/>
        </w:tabs>
        <w:rPr>
          <w:sz w:val="22"/>
          <w:szCs w:val="22"/>
          <w:lang w:val="sk-SK"/>
        </w:rPr>
      </w:pPr>
    </w:p>
    <w:p w14:paraId="2AB66F46" w14:textId="0FAA2F85" w:rsidR="00EC442C" w:rsidRDefault="00EC442C" w:rsidP="00EC442C">
      <w:pPr>
        <w:tabs>
          <w:tab w:val="left" w:pos="567"/>
        </w:tabs>
        <w:rPr>
          <w:i/>
          <w:sz w:val="22"/>
          <w:szCs w:val="22"/>
          <w:lang w:val="sk-SK"/>
        </w:rPr>
      </w:pPr>
      <w:r w:rsidRPr="00487D7C">
        <w:rPr>
          <w:i/>
          <w:sz w:val="22"/>
          <w:szCs w:val="22"/>
          <w:lang w:val="sk-SK"/>
        </w:rPr>
        <w:t>Tricyklické antidepresíva, neuroleptiká, amifostín, baklof</w:t>
      </w:r>
      <w:r w:rsidR="00223607">
        <w:rPr>
          <w:i/>
          <w:sz w:val="22"/>
          <w:szCs w:val="22"/>
          <w:lang w:val="sk-SK"/>
        </w:rPr>
        <w:t>é</w:t>
      </w:r>
      <w:r w:rsidRPr="00487D7C">
        <w:rPr>
          <w:i/>
          <w:sz w:val="22"/>
          <w:szCs w:val="22"/>
          <w:lang w:val="sk-SK"/>
        </w:rPr>
        <w:t>n</w:t>
      </w:r>
    </w:p>
    <w:p w14:paraId="33D79BBC" w14:textId="77777777" w:rsidR="001D5B6C" w:rsidRPr="00487D7C" w:rsidRDefault="001D5B6C" w:rsidP="00EC442C">
      <w:pPr>
        <w:tabs>
          <w:tab w:val="left" w:pos="567"/>
        </w:tabs>
        <w:rPr>
          <w:i/>
          <w:sz w:val="22"/>
          <w:szCs w:val="22"/>
          <w:lang w:val="sk-SK"/>
        </w:rPr>
      </w:pPr>
    </w:p>
    <w:p w14:paraId="717E43D3" w14:textId="77777777" w:rsidR="00EC442C" w:rsidRPr="00487D7C" w:rsidRDefault="00EC442C" w:rsidP="00EC442C">
      <w:pPr>
        <w:tabs>
          <w:tab w:val="left" w:pos="567"/>
        </w:tabs>
        <w:rPr>
          <w:sz w:val="22"/>
          <w:szCs w:val="22"/>
          <w:lang w:val="sk-SK"/>
        </w:rPr>
      </w:pPr>
      <w:r w:rsidRPr="00487D7C">
        <w:rPr>
          <w:sz w:val="22"/>
          <w:szCs w:val="22"/>
          <w:lang w:val="sk-SK"/>
        </w:rPr>
        <w:t>Súbežné podávanie týchto liekov s eplerenónom môže potenciálne zvýšiť antihypertenzívny účinok a riziko posturálnej hypotenzie.</w:t>
      </w:r>
    </w:p>
    <w:p w14:paraId="13FCEF44" w14:textId="77777777" w:rsidR="00EC442C" w:rsidRPr="00487D7C" w:rsidRDefault="00EC442C" w:rsidP="00EC442C">
      <w:pPr>
        <w:tabs>
          <w:tab w:val="left" w:pos="567"/>
        </w:tabs>
        <w:rPr>
          <w:sz w:val="22"/>
          <w:szCs w:val="22"/>
          <w:lang w:val="sk-SK"/>
        </w:rPr>
      </w:pPr>
    </w:p>
    <w:p w14:paraId="6973AFAF" w14:textId="0EEDC8A7" w:rsidR="00EC442C" w:rsidRDefault="00EC442C" w:rsidP="00EC442C">
      <w:pPr>
        <w:tabs>
          <w:tab w:val="left" w:pos="567"/>
        </w:tabs>
        <w:rPr>
          <w:i/>
          <w:sz w:val="22"/>
          <w:szCs w:val="22"/>
          <w:lang w:val="sk-SK"/>
        </w:rPr>
      </w:pPr>
      <w:r w:rsidRPr="00487D7C">
        <w:rPr>
          <w:i/>
          <w:sz w:val="22"/>
          <w:szCs w:val="22"/>
          <w:lang w:val="sk-SK"/>
        </w:rPr>
        <w:t xml:space="preserve">Glukokortikoidy, tetrakozaktid </w:t>
      </w:r>
    </w:p>
    <w:p w14:paraId="1627BE51" w14:textId="77777777" w:rsidR="00270D57" w:rsidRPr="00487D7C" w:rsidRDefault="00270D57" w:rsidP="00EC442C">
      <w:pPr>
        <w:tabs>
          <w:tab w:val="left" w:pos="567"/>
        </w:tabs>
        <w:rPr>
          <w:i/>
          <w:sz w:val="22"/>
          <w:szCs w:val="22"/>
          <w:lang w:val="sk-SK"/>
        </w:rPr>
      </w:pPr>
    </w:p>
    <w:p w14:paraId="0DBCF8EE" w14:textId="0E49FC4A" w:rsidR="00EC442C" w:rsidRPr="00487D7C" w:rsidRDefault="00EC442C" w:rsidP="00EC442C">
      <w:pPr>
        <w:tabs>
          <w:tab w:val="left" w:pos="567"/>
        </w:tabs>
        <w:rPr>
          <w:sz w:val="22"/>
          <w:szCs w:val="22"/>
          <w:lang w:val="sk-SK"/>
        </w:rPr>
      </w:pPr>
      <w:r w:rsidRPr="00487D7C">
        <w:rPr>
          <w:sz w:val="22"/>
          <w:szCs w:val="22"/>
          <w:lang w:val="sk-SK"/>
        </w:rPr>
        <w:t>S</w:t>
      </w:r>
      <w:r>
        <w:rPr>
          <w:sz w:val="22"/>
          <w:szCs w:val="22"/>
          <w:lang w:val="sk-SK"/>
        </w:rPr>
        <w:t>úbežné</w:t>
      </w:r>
      <w:r w:rsidRPr="00487D7C">
        <w:rPr>
          <w:sz w:val="22"/>
          <w:szCs w:val="22"/>
          <w:lang w:val="sk-SK"/>
        </w:rPr>
        <w:t xml:space="preserve"> podávanie týchto lie</w:t>
      </w:r>
      <w:r w:rsidR="00223607">
        <w:rPr>
          <w:sz w:val="22"/>
          <w:szCs w:val="22"/>
          <w:lang w:val="sk-SK"/>
        </w:rPr>
        <w:t>čiv</w:t>
      </w:r>
      <w:r w:rsidRPr="00487D7C">
        <w:rPr>
          <w:sz w:val="22"/>
          <w:szCs w:val="22"/>
          <w:lang w:val="sk-SK"/>
        </w:rPr>
        <w:t xml:space="preserve"> s eplerenónom môže potenciálne znížiť antihypertenz</w:t>
      </w:r>
      <w:r w:rsidR="00444E4E">
        <w:rPr>
          <w:sz w:val="22"/>
          <w:szCs w:val="22"/>
          <w:lang w:val="sk-SK"/>
        </w:rPr>
        <w:t>ív</w:t>
      </w:r>
      <w:r w:rsidRPr="00487D7C">
        <w:rPr>
          <w:sz w:val="22"/>
          <w:szCs w:val="22"/>
          <w:lang w:val="sk-SK"/>
        </w:rPr>
        <w:t>n</w:t>
      </w:r>
      <w:r w:rsidR="00444E4E">
        <w:rPr>
          <w:sz w:val="22"/>
          <w:szCs w:val="22"/>
          <w:lang w:val="sk-SK"/>
        </w:rPr>
        <w:t>y</w:t>
      </w:r>
      <w:r w:rsidRPr="00487D7C">
        <w:rPr>
          <w:sz w:val="22"/>
          <w:szCs w:val="22"/>
          <w:lang w:val="sk-SK"/>
        </w:rPr>
        <w:t xml:space="preserve"> účinok (retencia sodíka a tekutín).</w:t>
      </w:r>
    </w:p>
    <w:p w14:paraId="25A66B39" w14:textId="77777777" w:rsidR="00EC442C" w:rsidRPr="00487D7C" w:rsidRDefault="00EC442C" w:rsidP="00EC442C">
      <w:pPr>
        <w:tabs>
          <w:tab w:val="left" w:pos="567"/>
        </w:tabs>
        <w:rPr>
          <w:sz w:val="22"/>
          <w:szCs w:val="22"/>
          <w:lang w:val="sk-SK"/>
        </w:rPr>
      </w:pPr>
    </w:p>
    <w:p w14:paraId="7C6C3C59" w14:textId="77777777" w:rsidR="00EC442C" w:rsidRPr="00487D7C" w:rsidRDefault="00EC442C" w:rsidP="00EC442C">
      <w:pPr>
        <w:tabs>
          <w:tab w:val="left" w:pos="567"/>
        </w:tabs>
        <w:rPr>
          <w:sz w:val="22"/>
          <w:szCs w:val="22"/>
          <w:u w:val="single"/>
          <w:lang w:val="sk-SK"/>
        </w:rPr>
      </w:pPr>
      <w:r w:rsidRPr="00487D7C">
        <w:rPr>
          <w:sz w:val="22"/>
          <w:szCs w:val="22"/>
          <w:u w:val="single"/>
          <w:lang w:val="sk-SK"/>
        </w:rPr>
        <w:t>Farmakokinetické interakcie</w:t>
      </w:r>
    </w:p>
    <w:p w14:paraId="5F542FF2" w14:textId="77777777" w:rsidR="00EC442C" w:rsidRPr="00487D7C" w:rsidRDefault="00EC442C" w:rsidP="00EC442C">
      <w:pPr>
        <w:tabs>
          <w:tab w:val="left" w:pos="567"/>
        </w:tabs>
        <w:rPr>
          <w:b/>
          <w:sz w:val="22"/>
          <w:szCs w:val="22"/>
          <w:lang w:val="sk-SK"/>
        </w:rPr>
      </w:pPr>
    </w:p>
    <w:p w14:paraId="3BC03C71" w14:textId="4760614C" w:rsidR="00EC442C" w:rsidRPr="00487D7C" w:rsidRDefault="00EC442C" w:rsidP="00EC442C">
      <w:pPr>
        <w:tabs>
          <w:tab w:val="left" w:pos="567"/>
        </w:tabs>
        <w:rPr>
          <w:sz w:val="22"/>
          <w:szCs w:val="22"/>
          <w:lang w:val="sk-SK"/>
        </w:rPr>
      </w:pPr>
      <w:r w:rsidRPr="00487D7C">
        <w:rPr>
          <w:sz w:val="22"/>
          <w:szCs w:val="22"/>
          <w:lang w:val="sk-SK"/>
        </w:rPr>
        <w:t xml:space="preserve">Štúdie </w:t>
      </w:r>
      <w:r w:rsidRPr="00487D7C">
        <w:rPr>
          <w:i/>
          <w:sz w:val="22"/>
          <w:szCs w:val="22"/>
          <w:lang w:val="sk-SK"/>
        </w:rPr>
        <w:t>in vitro</w:t>
      </w:r>
      <w:r w:rsidRPr="00487D7C">
        <w:rPr>
          <w:sz w:val="22"/>
          <w:szCs w:val="22"/>
          <w:lang w:val="sk-SK"/>
        </w:rPr>
        <w:t xml:space="preserve"> </w:t>
      </w:r>
      <w:r w:rsidR="00EF720F">
        <w:rPr>
          <w:sz w:val="22"/>
          <w:szCs w:val="22"/>
          <w:lang w:val="sk-SK"/>
        </w:rPr>
        <w:t>naznačujú</w:t>
      </w:r>
      <w:r w:rsidRPr="00487D7C">
        <w:rPr>
          <w:sz w:val="22"/>
          <w:szCs w:val="22"/>
          <w:lang w:val="sk-SK"/>
        </w:rPr>
        <w:t>, že eplerenón nie je inhibítorom izoenzýmov CYP1A2, CYP2C19, CYP2C9, CYP2D6 alebo CYP3A4. Eplerenón nie je substrátom ani inhibítorom P</w:t>
      </w:r>
      <w:r w:rsidRPr="00487D7C">
        <w:rPr>
          <w:sz w:val="22"/>
          <w:szCs w:val="22"/>
          <w:lang w:val="sk-SK"/>
        </w:rPr>
        <w:noBreakHyphen/>
        <w:t>glykoproteínu.</w:t>
      </w:r>
    </w:p>
    <w:p w14:paraId="58DB999C" w14:textId="77777777" w:rsidR="00EC442C" w:rsidRPr="00487D7C" w:rsidRDefault="00EC442C" w:rsidP="00EC442C">
      <w:pPr>
        <w:tabs>
          <w:tab w:val="left" w:pos="567"/>
        </w:tabs>
        <w:rPr>
          <w:sz w:val="22"/>
          <w:szCs w:val="22"/>
          <w:lang w:val="sk-SK"/>
        </w:rPr>
      </w:pPr>
    </w:p>
    <w:p w14:paraId="7BA0D859" w14:textId="77777777" w:rsidR="00EC442C" w:rsidRDefault="00EC442C" w:rsidP="00EC442C">
      <w:pPr>
        <w:tabs>
          <w:tab w:val="left" w:pos="567"/>
        </w:tabs>
        <w:rPr>
          <w:i/>
          <w:sz w:val="22"/>
          <w:szCs w:val="22"/>
          <w:lang w:val="sk-SK"/>
        </w:rPr>
      </w:pPr>
      <w:r w:rsidRPr="00487D7C">
        <w:rPr>
          <w:i/>
          <w:sz w:val="22"/>
          <w:szCs w:val="22"/>
          <w:lang w:val="sk-SK"/>
        </w:rPr>
        <w:t>Digoxín</w:t>
      </w:r>
    </w:p>
    <w:p w14:paraId="6498D700" w14:textId="77777777" w:rsidR="00D34073" w:rsidRPr="00487D7C" w:rsidRDefault="00D34073" w:rsidP="00EC442C">
      <w:pPr>
        <w:tabs>
          <w:tab w:val="left" w:pos="567"/>
        </w:tabs>
        <w:rPr>
          <w:i/>
          <w:sz w:val="22"/>
          <w:szCs w:val="22"/>
          <w:lang w:val="sk-SK"/>
        </w:rPr>
      </w:pPr>
    </w:p>
    <w:p w14:paraId="567D00D4" w14:textId="77777777" w:rsidR="00EC442C" w:rsidRPr="00487D7C" w:rsidRDefault="00EC442C" w:rsidP="00EC442C">
      <w:pPr>
        <w:tabs>
          <w:tab w:val="left" w:pos="567"/>
        </w:tabs>
        <w:rPr>
          <w:sz w:val="22"/>
          <w:szCs w:val="22"/>
          <w:lang w:val="sk-SK"/>
        </w:rPr>
      </w:pPr>
      <w:r w:rsidRPr="00487D7C">
        <w:rPr>
          <w:sz w:val="22"/>
          <w:szCs w:val="22"/>
          <w:lang w:val="sk-SK"/>
        </w:rPr>
        <w:t>Systémová expozícia (AUC) digoxínu sa zvýšila o 16 % (90 % IS: 4 % </w:t>
      </w:r>
      <w:r w:rsidRPr="00487D7C">
        <w:rPr>
          <w:sz w:val="22"/>
          <w:szCs w:val="22"/>
          <w:lang w:val="sk-SK"/>
        </w:rPr>
        <w:noBreakHyphen/>
        <w:t> 30 %) pri jeho súbežnom podávaní s eplerenónom. Zvýšená opatrnosť sa vyžaduje, ak sú dávky digoxínu pri hornej hranici terapeutického rozsahu.</w:t>
      </w:r>
    </w:p>
    <w:p w14:paraId="14959917" w14:textId="77777777" w:rsidR="00EC442C" w:rsidRPr="00487D7C" w:rsidRDefault="00EC442C" w:rsidP="00EC442C">
      <w:pPr>
        <w:tabs>
          <w:tab w:val="left" w:pos="567"/>
        </w:tabs>
        <w:rPr>
          <w:sz w:val="22"/>
          <w:szCs w:val="22"/>
          <w:lang w:val="sk-SK"/>
        </w:rPr>
      </w:pPr>
    </w:p>
    <w:p w14:paraId="4A1EB330" w14:textId="77777777" w:rsidR="00EC442C" w:rsidRDefault="00EC442C" w:rsidP="00EC442C">
      <w:pPr>
        <w:tabs>
          <w:tab w:val="left" w:pos="567"/>
        </w:tabs>
        <w:rPr>
          <w:i/>
          <w:sz w:val="22"/>
          <w:szCs w:val="22"/>
          <w:lang w:val="sk-SK"/>
        </w:rPr>
      </w:pPr>
      <w:r w:rsidRPr="00487D7C">
        <w:rPr>
          <w:i/>
          <w:sz w:val="22"/>
          <w:szCs w:val="22"/>
          <w:lang w:val="sk-SK"/>
        </w:rPr>
        <w:t>Warfarín</w:t>
      </w:r>
    </w:p>
    <w:p w14:paraId="16CD1C3F" w14:textId="77777777" w:rsidR="00D34073" w:rsidRPr="00487D7C" w:rsidRDefault="00D34073" w:rsidP="00EC442C">
      <w:pPr>
        <w:tabs>
          <w:tab w:val="left" w:pos="567"/>
        </w:tabs>
        <w:rPr>
          <w:i/>
          <w:sz w:val="22"/>
          <w:szCs w:val="22"/>
          <w:lang w:val="sk-SK"/>
        </w:rPr>
      </w:pPr>
    </w:p>
    <w:p w14:paraId="55C14E43" w14:textId="77777777" w:rsidR="00EC442C" w:rsidRPr="00487D7C" w:rsidRDefault="00EC442C" w:rsidP="00EC442C">
      <w:pPr>
        <w:tabs>
          <w:tab w:val="left" w:pos="567"/>
        </w:tabs>
        <w:rPr>
          <w:sz w:val="22"/>
          <w:szCs w:val="22"/>
          <w:lang w:val="sk-SK"/>
        </w:rPr>
      </w:pPr>
      <w:r w:rsidRPr="00487D7C">
        <w:rPr>
          <w:sz w:val="22"/>
          <w:szCs w:val="22"/>
          <w:lang w:val="sk-SK"/>
        </w:rPr>
        <w:t>Nepozorovali sa žiadne klinicky signifikantné farmakokinetické interakcie s warfarínom. Zvýšená opatrnosť sa vyžaduje, ak sú dávky warfarínu pri hornej hranici terapeutického rozsahu.</w:t>
      </w:r>
    </w:p>
    <w:p w14:paraId="73E45513" w14:textId="77777777" w:rsidR="00EC442C" w:rsidRPr="00487D7C" w:rsidRDefault="00EC442C" w:rsidP="00EC442C">
      <w:pPr>
        <w:tabs>
          <w:tab w:val="left" w:pos="567"/>
        </w:tabs>
        <w:rPr>
          <w:sz w:val="22"/>
          <w:szCs w:val="22"/>
          <w:lang w:val="sk-SK"/>
        </w:rPr>
      </w:pPr>
    </w:p>
    <w:p w14:paraId="19A0B9F5" w14:textId="77777777" w:rsidR="00EC442C" w:rsidRDefault="00EC442C" w:rsidP="00EC442C">
      <w:pPr>
        <w:tabs>
          <w:tab w:val="left" w:pos="567"/>
        </w:tabs>
        <w:rPr>
          <w:i/>
          <w:sz w:val="22"/>
          <w:szCs w:val="22"/>
          <w:lang w:val="sk-SK"/>
        </w:rPr>
      </w:pPr>
      <w:r w:rsidRPr="00487D7C">
        <w:rPr>
          <w:i/>
          <w:sz w:val="22"/>
          <w:szCs w:val="22"/>
          <w:lang w:val="sk-SK"/>
        </w:rPr>
        <w:t>Substráty CYP3A4</w:t>
      </w:r>
    </w:p>
    <w:p w14:paraId="460AAFD0" w14:textId="77777777" w:rsidR="00D34073" w:rsidRPr="00487D7C" w:rsidRDefault="00D34073" w:rsidP="00EC442C">
      <w:pPr>
        <w:tabs>
          <w:tab w:val="left" w:pos="567"/>
        </w:tabs>
        <w:rPr>
          <w:i/>
          <w:sz w:val="22"/>
          <w:szCs w:val="22"/>
          <w:lang w:val="sk-SK"/>
        </w:rPr>
      </w:pPr>
    </w:p>
    <w:p w14:paraId="2307A72A" w14:textId="5DE08900" w:rsidR="00EC442C" w:rsidRPr="00487D7C" w:rsidRDefault="00EC442C" w:rsidP="00EC442C">
      <w:pPr>
        <w:tabs>
          <w:tab w:val="left" w:pos="567"/>
        </w:tabs>
        <w:rPr>
          <w:sz w:val="22"/>
          <w:szCs w:val="22"/>
          <w:lang w:val="sk-SK"/>
        </w:rPr>
      </w:pPr>
      <w:r w:rsidRPr="004F6474">
        <w:rPr>
          <w:sz w:val="22"/>
          <w:szCs w:val="22"/>
          <w:lang w:val="sk-SK"/>
        </w:rPr>
        <w:t>Výsledky farmakokinetických štúdií s </w:t>
      </w:r>
      <w:r w:rsidR="004F6474" w:rsidRPr="00E8271C">
        <w:rPr>
          <w:sz w:val="22"/>
          <w:szCs w:val="22"/>
          <w:lang w:val="sk-SK"/>
        </w:rPr>
        <w:t>pokusnými</w:t>
      </w:r>
      <w:r w:rsidR="004F6474" w:rsidRPr="004F6474">
        <w:rPr>
          <w:sz w:val="22"/>
          <w:szCs w:val="22"/>
          <w:lang w:val="sk-SK"/>
        </w:rPr>
        <w:t xml:space="preserve"> </w:t>
      </w:r>
      <w:r w:rsidRPr="004F6474">
        <w:rPr>
          <w:sz w:val="22"/>
          <w:szCs w:val="22"/>
          <w:lang w:val="sk-SK"/>
        </w:rPr>
        <w:t>substrátmi CYP3A4</w:t>
      </w:r>
      <w:r w:rsidRPr="00487D7C">
        <w:rPr>
          <w:sz w:val="22"/>
          <w:szCs w:val="22"/>
          <w:lang w:val="sk-SK"/>
        </w:rPr>
        <w:t xml:space="preserve">, </w:t>
      </w:r>
      <w:r w:rsidR="004F6474">
        <w:rPr>
          <w:sz w:val="22"/>
          <w:szCs w:val="22"/>
          <w:lang w:val="sk-SK"/>
        </w:rPr>
        <w:t>t.j.</w:t>
      </w:r>
      <w:r w:rsidRPr="00487D7C">
        <w:rPr>
          <w:sz w:val="22"/>
          <w:szCs w:val="22"/>
          <w:lang w:val="sk-SK"/>
        </w:rPr>
        <w:t xml:space="preserve"> midazolamom a cisapridom, ne</w:t>
      </w:r>
      <w:r w:rsidR="00EF720F">
        <w:rPr>
          <w:sz w:val="22"/>
          <w:szCs w:val="22"/>
          <w:lang w:val="sk-SK"/>
        </w:rPr>
        <w:t>pre</w:t>
      </w:r>
      <w:r w:rsidRPr="00487D7C">
        <w:rPr>
          <w:sz w:val="22"/>
          <w:szCs w:val="22"/>
          <w:lang w:val="sk-SK"/>
        </w:rPr>
        <w:t xml:space="preserve">ukázali žiadne signifikantné farmakokinetické interakcie, </w:t>
      </w:r>
      <w:r w:rsidR="00EF720F">
        <w:rPr>
          <w:sz w:val="22"/>
          <w:szCs w:val="22"/>
          <w:lang w:val="sk-SK"/>
        </w:rPr>
        <w:t>ak</w:t>
      </w:r>
      <w:r w:rsidRPr="00487D7C">
        <w:rPr>
          <w:sz w:val="22"/>
          <w:szCs w:val="22"/>
          <w:lang w:val="sk-SK"/>
        </w:rPr>
        <w:t xml:space="preserve"> sa tieto lieky podávali súbežne s eplerenónom.</w:t>
      </w:r>
    </w:p>
    <w:p w14:paraId="77A4BF9C" w14:textId="77777777" w:rsidR="00EC442C" w:rsidRPr="00487D7C" w:rsidRDefault="00EC442C" w:rsidP="00EC442C">
      <w:pPr>
        <w:tabs>
          <w:tab w:val="left" w:pos="567"/>
        </w:tabs>
        <w:rPr>
          <w:sz w:val="22"/>
          <w:szCs w:val="22"/>
          <w:lang w:val="sk-SK"/>
        </w:rPr>
      </w:pPr>
    </w:p>
    <w:p w14:paraId="0657BD36" w14:textId="77777777" w:rsidR="00EC442C" w:rsidRDefault="00EC442C" w:rsidP="00EC442C">
      <w:pPr>
        <w:tabs>
          <w:tab w:val="left" w:pos="567"/>
        </w:tabs>
        <w:rPr>
          <w:i/>
          <w:sz w:val="22"/>
          <w:szCs w:val="22"/>
          <w:lang w:val="sk-SK"/>
        </w:rPr>
      </w:pPr>
      <w:r w:rsidRPr="00487D7C">
        <w:rPr>
          <w:i/>
          <w:sz w:val="22"/>
          <w:szCs w:val="22"/>
          <w:lang w:val="sk-SK"/>
        </w:rPr>
        <w:t>Inhibítory CYP3A4</w:t>
      </w:r>
    </w:p>
    <w:p w14:paraId="6F0265B4" w14:textId="77777777" w:rsidR="00D34073" w:rsidRPr="00487D7C" w:rsidRDefault="00D34073" w:rsidP="00EC442C">
      <w:pPr>
        <w:tabs>
          <w:tab w:val="left" w:pos="567"/>
        </w:tabs>
        <w:rPr>
          <w:sz w:val="22"/>
          <w:szCs w:val="22"/>
          <w:lang w:val="sk-SK"/>
        </w:rPr>
      </w:pPr>
    </w:p>
    <w:p w14:paraId="4A04A739" w14:textId="09D1A085" w:rsidR="00EC442C" w:rsidRPr="008F04B6" w:rsidRDefault="00EC442C" w:rsidP="008F04B6">
      <w:pPr>
        <w:pStyle w:val="Odsekzoznamu"/>
        <w:numPr>
          <w:ilvl w:val="0"/>
          <w:numId w:val="11"/>
        </w:numPr>
        <w:tabs>
          <w:tab w:val="left" w:pos="567"/>
        </w:tabs>
        <w:rPr>
          <w:sz w:val="22"/>
          <w:szCs w:val="22"/>
          <w:lang w:val="sk-SK"/>
        </w:rPr>
      </w:pPr>
      <w:r w:rsidRPr="008F04B6">
        <w:rPr>
          <w:sz w:val="22"/>
          <w:szCs w:val="22"/>
          <w:lang w:val="sk-SK"/>
        </w:rPr>
        <w:t>Silné inhibítory CYP3A4: Ak sa eplerenón podáva súbežne s lie</w:t>
      </w:r>
      <w:r w:rsidR="00EF720F">
        <w:rPr>
          <w:sz w:val="22"/>
          <w:szCs w:val="22"/>
          <w:lang w:val="sk-SK"/>
        </w:rPr>
        <w:t>čivami</w:t>
      </w:r>
      <w:r w:rsidRPr="008F04B6">
        <w:rPr>
          <w:sz w:val="22"/>
          <w:szCs w:val="22"/>
          <w:lang w:val="sk-SK"/>
        </w:rPr>
        <w:t>, ktoré inhibujú enzým CYP3A4, môžu sa vyskytnúť signifikantné farmakokinetické interakcie. Silný inhibítor CYP3A4 (ketokonazol 200 mg dvakrát denne) viedol k 441 % zväčšeniu AUC eplerenónu (pozri časť 4.3). Súbežné podávanie eplerenónu so silnými inhibítormi CYP3A4, ako sú ketokonazol, itrakonazol, ritonavir, nelfinavir, klaritromycín, telitromycín a nefazod</w:t>
      </w:r>
      <w:r w:rsidR="00EF720F">
        <w:rPr>
          <w:sz w:val="22"/>
          <w:szCs w:val="22"/>
          <w:lang w:val="sk-SK"/>
        </w:rPr>
        <w:t>ó</w:t>
      </w:r>
      <w:r w:rsidRPr="008F04B6">
        <w:rPr>
          <w:sz w:val="22"/>
          <w:szCs w:val="22"/>
          <w:lang w:val="sk-SK"/>
        </w:rPr>
        <w:t>n, je kontraindikované (pozri časť 4.3).</w:t>
      </w:r>
    </w:p>
    <w:p w14:paraId="2F9000DD" w14:textId="286E45BA" w:rsidR="00EC442C" w:rsidRPr="008F04B6" w:rsidRDefault="00EC442C" w:rsidP="008F04B6">
      <w:pPr>
        <w:pStyle w:val="Odsekzoznamu"/>
        <w:numPr>
          <w:ilvl w:val="0"/>
          <w:numId w:val="11"/>
        </w:numPr>
        <w:tabs>
          <w:tab w:val="left" w:pos="567"/>
        </w:tabs>
        <w:rPr>
          <w:sz w:val="22"/>
          <w:szCs w:val="22"/>
          <w:lang w:val="sk-SK"/>
        </w:rPr>
      </w:pPr>
      <w:r w:rsidRPr="008F04B6">
        <w:rPr>
          <w:sz w:val="22"/>
          <w:szCs w:val="22"/>
          <w:lang w:val="sk-SK"/>
        </w:rPr>
        <w:t>Slabé až stredne silné inhibítory CYP3A4: Súbežné podávanie s erytromycínom, sachinavirom, amiodar</w:t>
      </w:r>
      <w:r w:rsidR="00EF720F">
        <w:rPr>
          <w:sz w:val="22"/>
          <w:szCs w:val="22"/>
          <w:lang w:val="sk-SK"/>
        </w:rPr>
        <w:t>ó</w:t>
      </w:r>
      <w:r w:rsidRPr="008F04B6">
        <w:rPr>
          <w:sz w:val="22"/>
          <w:szCs w:val="22"/>
          <w:lang w:val="sk-SK"/>
        </w:rPr>
        <w:t>nom, diltiazemom, verapamilom alebo flukonazolom viedlo k signifikantným farmakokinetickým interakciám s</w:t>
      </w:r>
      <w:r w:rsidR="00EF720F">
        <w:rPr>
          <w:sz w:val="22"/>
          <w:szCs w:val="22"/>
          <w:lang w:val="sk-SK"/>
        </w:rPr>
        <w:t>o</w:t>
      </w:r>
      <w:r w:rsidRPr="008F04B6">
        <w:rPr>
          <w:sz w:val="22"/>
          <w:szCs w:val="22"/>
          <w:lang w:val="sk-SK"/>
        </w:rPr>
        <w:t xml:space="preserve">  zväčšením AUC </w:t>
      </w:r>
      <w:r w:rsidR="00EF720F">
        <w:rPr>
          <w:sz w:val="22"/>
          <w:szCs w:val="22"/>
          <w:lang w:val="sk-SK"/>
        </w:rPr>
        <w:t xml:space="preserve">v rozsahu </w:t>
      </w:r>
      <w:r w:rsidRPr="008F04B6">
        <w:rPr>
          <w:sz w:val="22"/>
          <w:szCs w:val="22"/>
          <w:lang w:val="sk-SK"/>
        </w:rPr>
        <w:t>od 98 % po 187 %. Dávka eplerenónu preto nemá prevýšiť 25 mg denne, ak sa slabé až stredne silné inhibítory CYP3A4 podávajú súbežne s eplerenónom (pozri časť 4.2).</w:t>
      </w:r>
    </w:p>
    <w:p w14:paraId="427DD8E1" w14:textId="77777777" w:rsidR="00EC442C" w:rsidRPr="00487D7C" w:rsidRDefault="00EC442C" w:rsidP="00EC442C">
      <w:pPr>
        <w:tabs>
          <w:tab w:val="left" w:pos="567"/>
        </w:tabs>
        <w:rPr>
          <w:sz w:val="22"/>
          <w:szCs w:val="22"/>
          <w:lang w:val="sk-SK"/>
        </w:rPr>
      </w:pPr>
    </w:p>
    <w:p w14:paraId="70F60B39" w14:textId="77777777" w:rsidR="00EC442C" w:rsidRDefault="00EC442C" w:rsidP="00EC442C">
      <w:pPr>
        <w:tabs>
          <w:tab w:val="left" w:pos="567"/>
        </w:tabs>
        <w:rPr>
          <w:i/>
          <w:sz w:val="22"/>
          <w:szCs w:val="22"/>
          <w:lang w:val="sk-SK"/>
        </w:rPr>
      </w:pPr>
      <w:r w:rsidRPr="00487D7C">
        <w:rPr>
          <w:i/>
          <w:sz w:val="22"/>
          <w:szCs w:val="22"/>
          <w:lang w:val="sk-SK"/>
        </w:rPr>
        <w:lastRenderedPageBreak/>
        <w:t>Induktory CYP3A4</w:t>
      </w:r>
    </w:p>
    <w:p w14:paraId="2A198198" w14:textId="77777777" w:rsidR="00BE12BA" w:rsidRPr="00487D7C" w:rsidRDefault="00BE12BA" w:rsidP="00EC442C">
      <w:pPr>
        <w:tabs>
          <w:tab w:val="left" w:pos="567"/>
        </w:tabs>
        <w:rPr>
          <w:i/>
          <w:sz w:val="22"/>
          <w:szCs w:val="22"/>
          <w:lang w:val="sk-SK"/>
        </w:rPr>
      </w:pPr>
    </w:p>
    <w:p w14:paraId="2F8D6FAC" w14:textId="77777777" w:rsidR="00EC442C" w:rsidRPr="00487D7C" w:rsidRDefault="00EC442C" w:rsidP="00EC442C">
      <w:pPr>
        <w:tabs>
          <w:tab w:val="left" w:pos="567"/>
        </w:tabs>
        <w:rPr>
          <w:sz w:val="22"/>
          <w:szCs w:val="22"/>
          <w:lang w:val="sk-SK"/>
        </w:rPr>
      </w:pPr>
      <w:r w:rsidRPr="00487D7C">
        <w:rPr>
          <w:sz w:val="22"/>
          <w:szCs w:val="22"/>
          <w:lang w:val="sk-SK"/>
        </w:rPr>
        <w:t>Súbežné podávanie eplerenónu s ľubovníkom bodkovaným (silným induktorom CYP3A4) zapríčinilo 30 % pokles AUC eplerenónu. Výraznejší pokles AUC eplerenónu sa môže vyskytnúť pri podávaní so silnejšími induktormi CYP3A4, napr. s rifampicínom. Vzhľadom na riziko zníženej účinnosti eplerenónu sa jeho súbežné použitie so silnými induktormi CYP3A4 (rifampicín, karbamazepín, fenytoín, fenobarbital, ľubovník bodkovaný) neodporúča (pozri časť 4.4).</w:t>
      </w:r>
    </w:p>
    <w:p w14:paraId="6001EFF3" w14:textId="77777777" w:rsidR="00EC442C" w:rsidRPr="00487D7C" w:rsidRDefault="00EC442C" w:rsidP="00EC442C">
      <w:pPr>
        <w:tabs>
          <w:tab w:val="left" w:pos="567"/>
        </w:tabs>
        <w:rPr>
          <w:sz w:val="22"/>
          <w:szCs w:val="22"/>
          <w:lang w:val="sk-SK"/>
        </w:rPr>
      </w:pPr>
    </w:p>
    <w:p w14:paraId="455F2EA5" w14:textId="77777777" w:rsidR="00EC442C" w:rsidRDefault="00EC442C" w:rsidP="00EC442C">
      <w:pPr>
        <w:tabs>
          <w:tab w:val="left" w:pos="567"/>
        </w:tabs>
        <w:rPr>
          <w:i/>
          <w:sz w:val="22"/>
          <w:szCs w:val="22"/>
          <w:lang w:val="sk-SK"/>
        </w:rPr>
      </w:pPr>
      <w:r w:rsidRPr="00487D7C">
        <w:rPr>
          <w:i/>
          <w:sz w:val="22"/>
          <w:szCs w:val="22"/>
          <w:lang w:val="sk-SK"/>
        </w:rPr>
        <w:t>Antacidá</w:t>
      </w:r>
    </w:p>
    <w:p w14:paraId="6F8D42F6" w14:textId="77777777" w:rsidR="008F04B6" w:rsidRPr="00487D7C" w:rsidRDefault="008F04B6" w:rsidP="00EC442C">
      <w:pPr>
        <w:tabs>
          <w:tab w:val="left" w:pos="567"/>
        </w:tabs>
        <w:rPr>
          <w:i/>
          <w:sz w:val="22"/>
          <w:szCs w:val="22"/>
          <w:lang w:val="sk-SK"/>
        </w:rPr>
      </w:pPr>
    </w:p>
    <w:p w14:paraId="194EBB19" w14:textId="77777777" w:rsidR="00EC442C" w:rsidRPr="00487D7C" w:rsidRDefault="00EC442C" w:rsidP="00EC442C">
      <w:pPr>
        <w:tabs>
          <w:tab w:val="left" w:pos="567"/>
        </w:tabs>
        <w:rPr>
          <w:sz w:val="22"/>
          <w:szCs w:val="22"/>
          <w:lang w:val="sk-SK"/>
        </w:rPr>
      </w:pPr>
      <w:r w:rsidRPr="00487D7C">
        <w:rPr>
          <w:sz w:val="22"/>
          <w:szCs w:val="22"/>
          <w:lang w:val="sk-SK"/>
        </w:rPr>
        <w:t>Na základe výsledkov farmakokinetickej klinickej štúdie sa neočakávajú žiadne signifikantné interakcie pri súbežnom podávaní antacíd s eplerenónom.</w:t>
      </w:r>
    </w:p>
    <w:p w14:paraId="7C6C7EED" w14:textId="77777777" w:rsidR="00EC442C" w:rsidRPr="00487D7C" w:rsidRDefault="00EC442C" w:rsidP="00EC442C">
      <w:pPr>
        <w:tabs>
          <w:tab w:val="left" w:pos="567"/>
        </w:tabs>
        <w:rPr>
          <w:sz w:val="22"/>
          <w:szCs w:val="22"/>
          <w:lang w:val="sk-SK"/>
        </w:rPr>
      </w:pPr>
    </w:p>
    <w:p w14:paraId="694E49EC" w14:textId="77777777" w:rsidR="00EC442C" w:rsidRPr="00487D7C" w:rsidRDefault="00EC442C" w:rsidP="00EC442C">
      <w:pPr>
        <w:keepNext/>
        <w:tabs>
          <w:tab w:val="left" w:pos="567"/>
        </w:tabs>
        <w:ind w:left="567" w:hanging="567"/>
        <w:rPr>
          <w:b/>
          <w:sz w:val="22"/>
          <w:szCs w:val="22"/>
          <w:lang w:val="sk-SK"/>
        </w:rPr>
      </w:pPr>
      <w:r w:rsidRPr="00487D7C">
        <w:rPr>
          <w:b/>
          <w:sz w:val="22"/>
          <w:szCs w:val="22"/>
          <w:lang w:val="sk-SK"/>
        </w:rPr>
        <w:t>4.6</w:t>
      </w:r>
      <w:r w:rsidRPr="00487D7C">
        <w:rPr>
          <w:b/>
          <w:sz w:val="22"/>
          <w:szCs w:val="22"/>
          <w:lang w:val="sk-SK"/>
        </w:rPr>
        <w:tab/>
      </w:r>
      <w:r w:rsidRPr="00487D7C">
        <w:rPr>
          <w:b/>
          <w:sz w:val="22"/>
          <w:szCs w:val="22"/>
          <w:lang w:val="sk-SK"/>
        </w:rPr>
        <w:tab/>
      </w:r>
      <w:r w:rsidRPr="00973F81">
        <w:rPr>
          <w:b/>
          <w:sz w:val="22"/>
          <w:szCs w:val="22"/>
          <w:lang w:val="sk-SK"/>
        </w:rPr>
        <w:t>Fertilita, gravidita a laktácia</w:t>
      </w:r>
    </w:p>
    <w:p w14:paraId="7B76DE70" w14:textId="77777777" w:rsidR="00EC442C" w:rsidRPr="00487D7C" w:rsidRDefault="00EC442C" w:rsidP="00EC442C">
      <w:pPr>
        <w:keepNext/>
        <w:tabs>
          <w:tab w:val="left" w:pos="567"/>
        </w:tabs>
        <w:rPr>
          <w:sz w:val="22"/>
          <w:szCs w:val="22"/>
          <w:lang w:val="sk-SK"/>
        </w:rPr>
      </w:pPr>
      <w:r w:rsidRPr="00487D7C">
        <w:rPr>
          <w:sz w:val="22"/>
          <w:szCs w:val="22"/>
          <w:lang w:val="sk-SK"/>
        </w:rPr>
        <w:t xml:space="preserve"> </w:t>
      </w:r>
    </w:p>
    <w:p w14:paraId="1A406A9F" w14:textId="77777777" w:rsidR="00EC442C" w:rsidRPr="00487D7C" w:rsidRDefault="00EC442C" w:rsidP="00EC442C">
      <w:pPr>
        <w:keepNext/>
        <w:tabs>
          <w:tab w:val="left" w:pos="567"/>
        </w:tabs>
        <w:rPr>
          <w:sz w:val="22"/>
          <w:szCs w:val="22"/>
          <w:u w:val="single"/>
          <w:lang w:val="sk-SK"/>
        </w:rPr>
      </w:pPr>
      <w:r w:rsidRPr="00487D7C">
        <w:rPr>
          <w:sz w:val="22"/>
          <w:szCs w:val="22"/>
          <w:u w:val="single"/>
          <w:lang w:val="sk-SK"/>
        </w:rPr>
        <w:t>Gravidita</w:t>
      </w:r>
    </w:p>
    <w:p w14:paraId="34471A06" w14:textId="1BBF42F9" w:rsidR="00EC442C" w:rsidRPr="00487D7C" w:rsidRDefault="00EC442C" w:rsidP="00EC442C">
      <w:pPr>
        <w:keepNext/>
        <w:tabs>
          <w:tab w:val="left" w:pos="567"/>
        </w:tabs>
        <w:rPr>
          <w:sz w:val="22"/>
          <w:szCs w:val="22"/>
          <w:lang w:val="sk-SK"/>
        </w:rPr>
      </w:pPr>
      <w:r w:rsidRPr="00487D7C">
        <w:rPr>
          <w:sz w:val="22"/>
          <w:szCs w:val="22"/>
          <w:lang w:val="sk-SK"/>
        </w:rPr>
        <w:t>Nie sú k dispozícii dostatočné údaje o použití eplerenónu u </w:t>
      </w:r>
      <w:r w:rsidR="00620645">
        <w:rPr>
          <w:sz w:val="22"/>
          <w:szCs w:val="22"/>
          <w:lang w:val="sk-SK"/>
        </w:rPr>
        <w:t>tehotných</w:t>
      </w:r>
      <w:r w:rsidR="00620645" w:rsidRPr="00487D7C">
        <w:rPr>
          <w:sz w:val="22"/>
          <w:szCs w:val="22"/>
          <w:lang w:val="sk-SK"/>
        </w:rPr>
        <w:t xml:space="preserve"> </w:t>
      </w:r>
      <w:r w:rsidRPr="00487D7C">
        <w:rPr>
          <w:sz w:val="22"/>
          <w:szCs w:val="22"/>
          <w:lang w:val="sk-SK"/>
        </w:rPr>
        <w:t>žien. Štúdie na zvieratách nepreukázali priame alebo nepriame nežiaduce účinky na graviditu, embryofetálny výv</w:t>
      </w:r>
      <w:r w:rsidR="00620645">
        <w:rPr>
          <w:sz w:val="22"/>
          <w:szCs w:val="22"/>
          <w:lang w:val="sk-SK"/>
        </w:rPr>
        <w:t>in</w:t>
      </w:r>
      <w:r w:rsidRPr="00487D7C">
        <w:rPr>
          <w:sz w:val="22"/>
          <w:szCs w:val="22"/>
          <w:lang w:val="sk-SK"/>
        </w:rPr>
        <w:t>, pôrod a postnatálny výv</w:t>
      </w:r>
      <w:r w:rsidR="00620645">
        <w:rPr>
          <w:sz w:val="22"/>
          <w:szCs w:val="22"/>
          <w:lang w:val="sk-SK"/>
        </w:rPr>
        <w:t>in</w:t>
      </w:r>
      <w:r w:rsidRPr="00487D7C">
        <w:rPr>
          <w:sz w:val="22"/>
          <w:szCs w:val="22"/>
          <w:lang w:val="sk-SK"/>
        </w:rPr>
        <w:t xml:space="preserve"> (pozri časť 5.3). Pri predpisovaní eplerenónu </w:t>
      </w:r>
      <w:r w:rsidR="00620645">
        <w:rPr>
          <w:sz w:val="22"/>
          <w:szCs w:val="22"/>
          <w:lang w:val="sk-SK"/>
        </w:rPr>
        <w:t>tehotným</w:t>
      </w:r>
      <w:r w:rsidR="00620645" w:rsidRPr="00487D7C">
        <w:rPr>
          <w:sz w:val="22"/>
          <w:szCs w:val="22"/>
          <w:lang w:val="sk-SK"/>
        </w:rPr>
        <w:t xml:space="preserve"> </w:t>
      </w:r>
      <w:r w:rsidRPr="00487D7C">
        <w:rPr>
          <w:sz w:val="22"/>
          <w:szCs w:val="22"/>
          <w:lang w:val="sk-SK"/>
        </w:rPr>
        <w:t>ženám je potrebná opatrnosť.</w:t>
      </w:r>
    </w:p>
    <w:p w14:paraId="26BE1DDD" w14:textId="77777777" w:rsidR="00EC442C" w:rsidRPr="00487D7C" w:rsidRDefault="00EC442C" w:rsidP="00EC442C">
      <w:pPr>
        <w:tabs>
          <w:tab w:val="left" w:pos="567"/>
        </w:tabs>
        <w:rPr>
          <w:sz w:val="22"/>
          <w:szCs w:val="22"/>
          <w:lang w:val="sk-SK"/>
        </w:rPr>
      </w:pPr>
    </w:p>
    <w:p w14:paraId="668C7E46" w14:textId="77777777" w:rsidR="00EC442C" w:rsidRPr="00487D7C" w:rsidRDefault="00EC442C" w:rsidP="00EC442C">
      <w:pPr>
        <w:tabs>
          <w:tab w:val="left" w:pos="567"/>
        </w:tabs>
        <w:rPr>
          <w:sz w:val="22"/>
          <w:szCs w:val="22"/>
          <w:lang w:val="sk-SK"/>
        </w:rPr>
      </w:pPr>
      <w:r>
        <w:rPr>
          <w:sz w:val="22"/>
          <w:szCs w:val="22"/>
          <w:u w:val="single"/>
          <w:lang w:val="sk-SK"/>
        </w:rPr>
        <w:t>Dojčenie</w:t>
      </w:r>
    </w:p>
    <w:p w14:paraId="36D53F36" w14:textId="3DE9E945" w:rsidR="00EC442C" w:rsidRPr="00487D7C" w:rsidRDefault="00EC442C" w:rsidP="00EC442C">
      <w:pPr>
        <w:tabs>
          <w:tab w:val="left" w:pos="567"/>
        </w:tabs>
        <w:rPr>
          <w:sz w:val="22"/>
          <w:szCs w:val="22"/>
          <w:lang w:val="sk-SK"/>
        </w:rPr>
      </w:pPr>
      <w:r w:rsidRPr="00487D7C">
        <w:rPr>
          <w:sz w:val="22"/>
          <w:szCs w:val="22"/>
          <w:lang w:val="sk-SK"/>
        </w:rPr>
        <w:t xml:space="preserve">Nie je známe, či eplerenón po perorálnom podaní prechádza do ľudského materského mlieka. </w:t>
      </w:r>
      <w:r w:rsidR="00F02C09">
        <w:rPr>
          <w:sz w:val="22"/>
          <w:szCs w:val="22"/>
          <w:lang w:val="sk-SK"/>
        </w:rPr>
        <w:t>P</w:t>
      </w:r>
      <w:r w:rsidRPr="00487D7C">
        <w:rPr>
          <w:sz w:val="22"/>
          <w:szCs w:val="22"/>
          <w:lang w:val="sk-SK"/>
        </w:rPr>
        <w:t xml:space="preserve">redklinické údaje </w:t>
      </w:r>
      <w:r w:rsidR="00F02C09">
        <w:rPr>
          <w:sz w:val="22"/>
          <w:szCs w:val="22"/>
          <w:lang w:val="sk-SK"/>
        </w:rPr>
        <w:t xml:space="preserve">však </w:t>
      </w:r>
      <w:r w:rsidR="00620645">
        <w:rPr>
          <w:sz w:val="22"/>
          <w:szCs w:val="22"/>
          <w:lang w:val="sk-SK"/>
        </w:rPr>
        <w:t>naznačujú</w:t>
      </w:r>
      <w:r w:rsidRPr="00487D7C">
        <w:rPr>
          <w:sz w:val="22"/>
          <w:szCs w:val="22"/>
          <w:lang w:val="sk-SK"/>
        </w:rPr>
        <w:t>, že eplerenón a/alebo jeho metabolity sú prítomné v materskom mlieku  potkanov, a že mláďatá potkanov exponované touto cestou sa vyvíjali normálne. Keďže nie sú známe možné nežiaduce účinky na dojčené dieťa, treba sa rozhodnúť, či sa preruší dojčenie alebo podávanie lieku, pričom sa má zvážiť dôležitosť tejto liečby pre matku.</w:t>
      </w:r>
    </w:p>
    <w:p w14:paraId="2DE6D728" w14:textId="77777777" w:rsidR="00EC442C" w:rsidRPr="00487D7C" w:rsidRDefault="00EC442C" w:rsidP="00EC442C">
      <w:pPr>
        <w:tabs>
          <w:tab w:val="left" w:pos="567"/>
        </w:tabs>
        <w:rPr>
          <w:sz w:val="22"/>
          <w:szCs w:val="22"/>
          <w:lang w:val="sk-SK"/>
        </w:rPr>
      </w:pPr>
    </w:p>
    <w:p w14:paraId="0BD8D986" w14:textId="77777777" w:rsidR="00EC442C" w:rsidRPr="00E350D1" w:rsidRDefault="00EC442C" w:rsidP="00EC442C">
      <w:pPr>
        <w:tabs>
          <w:tab w:val="left" w:pos="567"/>
        </w:tabs>
        <w:rPr>
          <w:sz w:val="22"/>
          <w:szCs w:val="22"/>
          <w:u w:val="single"/>
          <w:lang w:val="sk-SK"/>
        </w:rPr>
      </w:pPr>
      <w:r w:rsidRPr="00E350D1">
        <w:rPr>
          <w:sz w:val="22"/>
          <w:szCs w:val="22"/>
          <w:u w:val="single"/>
          <w:lang w:val="sk-SK"/>
        </w:rPr>
        <w:t>Fertilita</w:t>
      </w:r>
    </w:p>
    <w:p w14:paraId="191DA1CE" w14:textId="77777777" w:rsidR="00EC442C" w:rsidRPr="00487D7C" w:rsidRDefault="00EC442C" w:rsidP="00EC442C">
      <w:pPr>
        <w:tabs>
          <w:tab w:val="left" w:pos="567"/>
        </w:tabs>
        <w:rPr>
          <w:sz w:val="22"/>
          <w:szCs w:val="22"/>
          <w:lang w:val="sk-SK"/>
        </w:rPr>
      </w:pPr>
      <w:r w:rsidRPr="00487D7C">
        <w:rPr>
          <w:sz w:val="22"/>
          <w:szCs w:val="22"/>
          <w:lang w:val="sk-SK"/>
        </w:rPr>
        <w:t>Nie sú k dispozícii žiadne údaje o účinkoch na plodnosť u ľudí.</w:t>
      </w:r>
    </w:p>
    <w:p w14:paraId="20D51130" w14:textId="77777777" w:rsidR="00EC442C" w:rsidRPr="00487D7C" w:rsidRDefault="00EC442C" w:rsidP="00EC442C">
      <w:pPr>
        <w:tabs>
          <w:tab w:val="left" w:pos="567"/>
        </w:tabs>
        <w:rPr>
          <w:sz w:val="22"/>
          <w:szCs w:val="22"/>
          <w:lang w:val="sk-SK"/>
        </w:rPr>
      </w:pPr>
    </w:p>
    <w:p w14:paraId="29011E81" w14:textId="77777777" w:rsidR="00EC442C" w:rsidRPr="00487D7C" w:rsidRDefault="00EC442C" w:rsidP="00EC442C">
      <w:pPr>
        <w:tabs>
          <w:tab w:val="left" w:pos="567"/>
        </w:tabs>
        <w:ind w:left="567" w:hanging="567"/>
        <w:rPr>
          <w:b/>
          <w:bCs/>
          <w:sz w:val="22"/>
          <w:szCs w:val="22"/>
          <w:lang w:val="sk-SK"/>
        </w:rPr>
      </w:pPr>
      <w:r w:rsidRPr="00487D7C">
        <w:rPr>
          <w:b/>
          <w:bCs/>
          <w:sz w:val="22"/>
          <w:szCs w:val="22"/>
          <w:lang w:val="sk-SK"/>
        </w:rPr>
        <w:t>4.7</w:t>
      </w:r>
      <w:r w:rsidRPr="00487D7C">
        <w:rPr>
          <w:b/>
          <w:bCs/>
          <w:sz w:val="22"/>
          <w:szCs w:val="22"/>
          <w:lang w:val="sk-SK"/>
        </w:rPr>
        <w:tab/>
      </w:r>
      <w:r w:rsidRPr="00487D7C">
        <w:rPr>
          <w:b/>
          <w:bCs/>
          <w:sz w:val="22"/>
          <w:szCs w:val="22"/>
          <w:lang w:val="sk-SK"/>
        </w:rPr>
        <w:tab/>
        <w:t>Ovplyvnenie schopnosti viesť vozidlá a obsluhovať stroje</w:t>
      </w:r>
    </w:p>
    <w:p w14:paraId="2AFBF9F4" w14:textId="77777777" w:rsidR="00EC442C" w:rsidRPr="00487D7C" w:rsidRDefault="00EC442C" w:rsidP="00EC442C">
      <w:pPr>
        <w:tabs>
          <w:tab w:val="left" w:pos="567"/>
        </w:tabs>
        <w:rPr>
          <w:b/>
          <w:sz w:val="22"/>
          <w:szCs w:val="22"/>
          <w:lang w:val="sk-SK"/>
        </w:rPr>
      </w:pPr>
    </w:p>
    <w:p w14:paraId="1FB0DD3C" w14:textId="77777777" w:rsidR="00EC442C" w:rsidRPr="00487D7C" w:rsidRDefault="00EC442C" w:rsidP="00EC442C">
      <w:pPr>
        <w:tabs>
          <w:tab w:val="left" w:pos="567"/>
        </w:tabs>
        <w:rPr>
          <w:sz w:val="22"/>
          <w:szCs w:val="22"/>
          <w:lang w:val="sk-SK"/>
        </w:rPr>
      </w:pPr>
      <w:r w:rsidRPr="00487D7C">
        <w:rPr>
          <w:sz w:val="22"/>
          <w:szCs w:val="22"/>
          <w:lang w:val="sk-SK"/>
        </w:rPr>
        <w:t>Neuskutočnili sa žiadne štúdie o účinkoch eplerenónu na schopnosť viesť vozidlá alebo obsluhovať stroje. Eplerenón nezapríčiňuje ospalosť, ani zhoršenie kognitívnych funkcií, ale pri šoférovaní alebo obsluhe strojov treba mať na pamäti možný výskyt závratov počas liečby.</w:t>
      </w:r>
    </w:p>
    <w:p w14:paraId="5F24073C" w14:textId="77777777" w:rsidR="00EC442C" w:rsidRPr="00487D7C" w:rsidRDefault="00EC442C" w:rsidP="00EC442C">
      <w:pPr>
        <w:tabs>
          <w:tab w:val="left" w:pos="567"/>
        </w:tabs>
        <w:rPr>
          <w:sz w:val="22"/>
          <w:szCs w:val="22"/>
          <w:lang w:val="sk-SK"/>
        </w:rPr>
      </w:pPr>
    </w:p>
    <w:p w14:paraId="04366ABB" w14:textId="77777777" w:rsidR="00EC442C" w:rsidRPr="00487D7C" w:rsidRDefault="00EC442C" w:rsidP="00EC442C">
      <w:pPr>
        <w:tabs>
          <w:tab w:val="left" w:pos="567"/>
        </w:tabs>
        <w:ind w:left="567" w:hanging="567"/>
        <w:rPr>
          <w:b/>
          <w:bCs/>
          <w:sz w:val="22"/>
          <w:szCs w:val="22"/>
          <w:lang w:val="sk-SK"/>
        </w:rPr>
      </w:pPr>
      <w:r w:rsidRPr="00487D7C">
        <w:rPr>
          <w:b/>
          <w:bCs/>
          <w:sz w:val="22"/>
          <w:szCs w:val="22"/>
          <w:lang w:val="sk-SK"/>
        </w:rPr>
        <w:t>4.8</w:t>
      </w:r>
      <w:r w:rsidRPr="00487D7C">
        <w:rPr>
          <w:b/>
          <w:bCs/>
          <w:sz w:val="22"/>
          <w:szCs w:val="22"/>
          <w:lang w:val="sk-SK"/>
        </w:rPr>
        <w:tab/>
      </w:r>
      <w:r w:rsidRPr="00487D7C">
        <w:rPr>
          <w:b/>
          <w:bCs/>
          <w:sz w:val="22"/>
          <w:szCs w:val="22"/>
          <w:lang w:val="sk-SK"/>
        </w:rPr>
        <w:tab/>
        <w:t>Nežiaduce účinky</w:t>
      </w:r>
    </w:p>
    <w:p w14:paraId="36A94AEC" w14:textId="77777777" w:rsidR="00EC442C" w:rsidRPr="00487D7C" w:rsidRDefault="00EC442C" w:rsidP="00EC442C">
      <w:pPr>
        <w:tabs>
          <w:tab w:val="left" w:pos="567"/>
        </w:tabs>
        <w:rPr>
          <w:b/>
          <w:sz w:val="22"/>
          <w:szCs w:val="22"/>
          <w:lang w:val="sk-SK"/>
        </w:rPr>
      </w:pPr>
    </w:p>
    <w:p w14:paraId="17AC020C" w14:textId="51A6C7D1" w:rsidR="00EC442C" w:rsidRPr="00487D7C" w:rsidRDefault="00EC442C" w:rsidP="00EC442C">
      <w:pPr>
        <w:tabs>
          <w:tab w:val="left" w:pos="567"/>
        </w:tabs>
        <w:rPr>
          <w:sz w:val="22"/>
          <w:szCs w:val="22"/>
          <w:lang w:val="sk-SK"/>
        </w:rPr>
      </w:pPr>
      <w:r w:rsidRPr="00487D7C">
        <w:rPr>
          <w:sz w:val="22"/>
          <w:szCs w:val="22"/>
          <w:lang w:val="sk-SK"/>
        </w:rPr>
        <w:t xml:space="preserve">V dvoch štúdiách (EPHESUS a Eplerenone in Mild Patients Hospitalization and Survival Study in Heart Failure [EMPHASIS-HF]) bol celkový výskyt nežiaducich </w:t>
      </w:r>
      <w:r w:rsidR="00747BD3">
        <w:rPr>
          <w:sz w:val="22"/>
          <w:szCs w:val="22"/>
          <w:lang w:val="sk-SK"/>
        </w:rPr>
        <w:t>účinkov</w:t>
      </w:r>
      <w:r w:rsidRPr="00487D7C">
        <w:rPr>
          <w:sz w:val="22"/>
          <w:szCs w:val="22"/>
          <w:lang w:val="sk-SK"/>
        </w:rPr>
        <w:t xml:space="preserve"> zaznamenaných pri eplerenóne </w:t>
      </w:r>
      <w:r w:rsidR="009836EE">
        <w:rPr>
          <w:sz w:val="22"/>
          <w:szCs w:val="22"/>
          <w:lang w:val="sk-SK"/>
        </w:rPr>
        <w:t>podobný</w:t>
      </w:r>
      <w:r w:rsidR="009836EE" w:rsidRPr="00487D7C">
        <w:rPr>
          <w:sz w:val="22"/>
          <w:szCs w:val="22"/>
          <w:lang w:val="sk-SK"/>
        </w:rPr>
        <w:t xml:space="preserve"> </w:t>
      </w:r>
      <w:r w:rsidRPr="00487D7C">
        <w:rPr>
          <w:sz w:val="22"/>
          <w:szCs w:val="22"/>
          <w:lang w:val="sk-SK"/>
        </w:rPr>
        <w:t xml:space="preserve">ako pri placebe. </w:t>
      </w:r>
    </w:p>
    <w:p w14:paraId="3CD756AF" w14:textId="77777777" w:rsidR="00EC442C" w:rsidRPr="00747BD3" w:rsidRDefault="00EC442C" w:rsidP="00EC442C">
      <w:pPr>
        <w:tabs>
          <w:tab w:val="left" w:pos="567"/>
        </w:tabs>
        <w:rPr>
          <w:sz w:val="22"/>
          <w:szCs w:val="22"/>
          <w:lang w:val="sk-SK"/>
        </w:rPr>
      </w:pPr>
    </w:p>
    <w:p w14:paraId="2C2546A0" w14:textId="7C7B1FBB" w:rsidR="00EC442C" w:rsidRDefault="00EC442C" w:rsidP="00EC442C">
      <w:pPr>
        <w:pStyle w:val="Paragraph"/>
        <w:spacing w:after="0"/>
        <w:rPr>
          <w:iCs/>
          <w:sz w:val="22"/>
          <w:szCs w:val="22"/>
          <w:lang w:val="sk-SK"/>
        </w:rPr>
      </w:pPr>
      <w:r w:rsidRPr="00747BD3">
        <w:rPr>
          <w:iCs/>
          <w:sz w:val="22"/>
          <w:szCs w:val="22"/>
          <w:lang w:val="sk-SK"/>
        </w:rPr>
        <w:t xml:space="preserve">Nežiaduce účinky uvedené nižšie sú tie, u ktorých sa predpokladá súvis s liečbou a ich výskyt prevyšuje výskyt </w:t>
      </w:r>
      <w:r w:rsidR="009836EE">
        <w:rPr>
          <w:iCs/>
          <w:sz w:val="22"/>
          <w:szCs w:val="22"/>
          <w:lang w:val="sk-SK"/>
        </w:rPr>
        <w:t>pri</w:t>
      </w:r>
      <w:r w:rsidRPr="00747BD3">
        <w:rPr>
          <w:iCs/>
          <w:sz w:val="22"/>
          <w:szCs w:val="22"/>
          <w:lang w:val="sk-SK"/>
        </w:rPr>
        <w:t> placeb</w:t>
      </w:r>
      <w:r w:rsidR="009836EE">
        <w:rPr>
          <w:iCs/>
          <w:sz w:val="22"/>
          <w:szCs w:val="22"/>
          <w:lang w:val="sk-SK"/>
        </w:rPr>
        <w:t>e</w:t>
      </w:r>
      <w:r w:rsidRPr="00747BD3">
        <w:rPr>
          <w:iCs/>
          <w:sz w:val="22"/>
          <w:szCs w:val="22"/>
          <w:lang w:val="sk-SK"/>
        </w:rPr>
        <w:t xml:space="preserve"> alebo sú závažné a signifikantne prevyšujú výskyt </w:t>
      </w:r>
      <w:r w:rsidR="009836EE">
        <w:rPr>
          <w:iCs/>
          <w:sz w:val="22"/>
          <w:szCs w:val="22"/>
          <w:lang w:val="sk-SK"/>
        </w:rPr>
        <w:t>pri</w:t>
      </w:r>
      <w:r w:rsidRPr="00747BD3">
        <w:rPr>
          <w:iCs/>
          <w:sz w:val="22"/>
          <w:szCs w:val="22"/>
          <w:lang w:val="sk-SK"/>
        </w:rPr>
        <w:t> placeb</w:t>
      </w:r>
      <w:r w:rsidR="009836EE">
        <w:rPr>
          <w:iCs/>
          <w:sz w:val="22"/>
          <w:szCs w:val="22"/>
          <w:lang w:val="sk-SK"/>
        </w:rPr>
        <w:t>e</w:t>
      </w:r>
      <w:r w:rsidRPr="00747BD3">
        <w:rPr>
          <w:iCs/>
          <w:sz w:val="22"/>
          <w:szCs w:val="22"/>
          <w:lang w:val="sk-SK"/>
        </w:rPr>
        <w:t xml:space="preserve">, alebo sa pozorovali počas sledovania po uvedení lieku na trh. Nežiaduce účinky sú zoradené podľa orgánových systémov a absolútnej frekvencie. Frekvencie sú definované ako: </w:t>
      </w:r>
    </w:p>
    <w:p w14:paraId="2D1333CE" w14:textId="77777777" w:rsidR="00747BD3" w:rsidRPr="00747BD3" w:rsidRDefault="00747BD3" w:rsidP="00EC442C">
      <w:pPr>
        <w:pStyle w:val="Paragraph"/>
        <w:spacing w:after="0"/>
        <w:rPr>
          <w:iCs/>
          <w:sz w:val="22"/>
          <w:szCs w:val="22"/>
          <w:lang w:val="sk-SK"/>
        </w:rPr>
      </w:pPr>
    </w:p>
    <w:p w14:paraId="54B72AD8" w14:textId="77777777" w:rsidR="00EC442C" w:rsidRPr="00747BD3" w:rsidRDefault="00EC442C" w:rsidP="00747BD3">
      <w:pPr>
        <w:pStyle w:val="Paragraph"/>
        <w:numPr>
          <w:ilvl w:val="0"/>
          <w:numId w:val="13"/>
        </w:numPr>
        <w:spacing w:after="0"/>
        <w:rPr>
          <w:iCs/>
          <w:sz w:val="22"/>
          <w:szCs w:val="22"/>
          <w:lang w:val="sk-SK"/>
        </w:rPr>
      </w:pPr>
      <w:r w:rsidRPr="00747BD3">
        <w:rPr>
          <w:iCs/>
          <w:sz w:val="22"/>
          <w:szCs w:val="22"/>
          <w:lang w:val="sk-SK"/>
        </w:rPr>
        <w:t>Veľmi časté (</w:t>
      </w:r>
      <w:r w:rsidRPr="00747BD3">
        <w:rPr>
          <w:rFonts w:ascii="Symbol" w:hAnsi="Symbol" w:cs="Symbol"/>
          <w:iCs/>
          <w:sz w:val="22"/>
          <w:szCs w:val="22"/>
          <w:lang w:val="sk-SK"/>
        </w:rPr>
        <w:t></w:t>
      </w:r>
      <w:r w:rsidRPr="00747BD3">
        <w:rPr>
          <w:iCs/>
          <w:sz w:val="22"/>
          <w:szCs w:val="22"/>
          <w:lang w:val="sk-SK"/>
        </w:rPr>
        <w:t> 1/10)</w:t>
      </w:r>
    </w:p>
    <w:p w14:paraId="11F3857A" w14:textId="77777777" w:rsidR="00EC442C" w:rsidRPr="00747BD3" w:rsidRDefault="00EC442C" w:rsidP="00747BD3">
      <w:pPr>
        <w:pStyle w:val="Odsekzoznamu"/>
        <w:numPr>
          <w:ilvl w:val="0"/>
          <w:numId w:val="13"/>
        </w:numPr>
        <w:jc w:val="both"/>
        <w:rPr>
          <w:iCs/>
          <w:sz w:val="22"/>
          <w:szCs w:val="22"/>
          <w:lang w:val="sk-SK"/>
        </w:rPr>
      </w:pPr>
      <w:r w:rsidRPr="00747BD3">
        <w:rPr>
          <w:iCs/>
          <w:sz w:val="22"/>
          <w:szCs w:val="22"/>
          <w:lang w:val="sk-SK"/>
        </w:rPr>
        <w:t>Časté (</w:t>
      </w:r>
      <w:r w:rsidRPr="00747BD3">
        <w:rPr>
          <w:rFonts w:ascii="Symbol" w:hAnsi="Symbol" w:cs="Symbol"/>
          <w:iCs/>
          <w:sz w:val="22"/>
          <w:szCs w:val="22"/>
          <w:lang w:val="sk-SK"/>
        </w:rPr>
        <w:t></w:t>
      </w:r>
      <w:r w:rsidRPr="00747BD3">
        <w:rPr>
          <w:iCs/>
          <w:sz w:val="22"/>
          <w:szCs w:val="22"/>
          <w:lang w:val="sk-SK"/>
        </w:rPr>
        <w:t> 1/100 až &lt; 1/10)</w:t>
      </w:r>
    </w:p>
    <w:p w14:paraId="4654471A" w14:textId="77777777" w:rsidR="00EC442C" w:rsidRPr="00583D6F" w:rsidRDefault="00EC442C" w:rsidP="00583D6F">
      <w:pPr>
        <w:pStyle w:val="Odsekzoznamu"/>
        <w:numPr>
          <w:ilvl w:val="0"/>
          <w:numId w:val="13"/>
        </w:numPr>
        <w:jc w:val="both"/>
        <w:rPr>
          <w:iCs/>
          <w:sz w:val="22"/>
          <w:szCs w:val="22"/>
          <w:lang w:val="sk-SK"/>
        </w:rPr>
      </w:pPr>
      <w:r w:rsidRPr="00583D6F">
        <w:rPr>
          <w:iCs/>
          <w:sz w:val="22"/>
          <w:szCs w:val="22"/>
          <w:lang w:val="sk-SK"/>
        </w:rPr>
        <w:t>Menej časté (</w:t>
      </w:r>
      <w:r w:rsidRPr="00583D6F">
        <w:rPr>
          <w:rFonts w:ascii="Symbol" w:hAnsi="Symbol" w:cs="Symbol"/>
          <w:iCs/>
          <w:sz w:val="22"/>
          <w:szCs w:val="22"/>
          <w:lang w:val="sk-SK"/>
        </w:rPr>
        <w:t></w:t>
      </w:r>
      <w:r w:rsidRPr="00583D6F">
        <w:rPr>
          <w:iCs/>
          <w:sz w:val="22"/>
          <w:szCs w:val="22"/>
          <w:lang w:val="sk-SK"/>
        </w:rPr>
        <w:t> 1/1 000 až &lt; 1/100)</w:t>
      </w:r>
    </w:p>
    <w:p w14:paraId="2A38899D" w14:textId="77777777" w:rsidR="00EC442C" w:rsidRPr="00583D6F" w:rsidRDefault="00EC442C" w:rsidP="00583D6F">
      <w:pPr>
        <w:pStyle w:val="Odsekzoznamu"/>
        <w:numPr>
          <w:ilvl w:val="0"/>
          <w:numId w:val="13"/>
        </w:numPr>
        <w:jc w:val="both"/>
        <w:rPr>
          <w:iCs/>
          <w:sz w:val="22"/>
          <w:szCs w:val="22"/>
          <w:lang w:val="sk-SK"/>
        </w:rPr>
      </w:pPr>
      <w:r w:rsidRPr="00583D6F">
        <w:rPr>
          <w:iCs/>
          <w:sz w:val="22"/>
          <w:szCs w:val="22"/>
          <w:lang w:val="sk-SK"/>
        </w:rPr>
        <w:t>Zriedkavé (</w:t>
      </w:r>
      <w:r w:rsidRPr="00583D6F">
        <w:rPr>
          <w:rFonts w:ascii="Symbol" w:hAnsi="Symbol" w:cs="Symbol"/>
          <w:iCs/>
          <w:sz w:val="22"/>
          <w:szCs w:val="22"/>
          <w:lang w:val="sk-SK"/>
        </w:rPr>
        <w:t></w:t>
      </w:r>
      <w:r w:rsidRPr="00583D6F">
        <w:rPr>
          <w:iCs/>
          <w:sz w:val="22"/>
          <w:szCs w:val="22"/>
          <w:lang w:val="sk-SK"/>
        </w:rPr>
        <w:t> 1/10 000 až &lt; 1/1 000)</w:t>
      </w:r>
    </w:p>
    <w:p w14:paraId="5604055B" w14:textId="77777777" w:rsidR="00EC442C" w:rsidRPr="00583D6F" w:rsidRDefault="00EC442C" w:rsidP="00583D6F">
      <w:pPr>
        <w:pStyle w:val="Odsekzoznamu"/>
        <w:numPr>
          <w:ilvl w:val="0"/>
          <w:numId w:val="13"/>
        </w:numPr>
        <w:jc w:val="both"/>
        <w:rPr>
          <w:iCs/>
          <w:sz w:val="22"/>
          <w:szCs w:val="22"/>
          <w:lang w:val="sk-SK"/>
        </w:rPr>
      </w:pPr>
      <w:r w:rsidRPr="00583D6F">
        <w:rPr>
          <w:iCs/>
          <w:sz w:val="22"/>
          <w:szCs w:val="22"/>
          <w:lang w:val="sk-SK"/>
        </w:rPr>
        <w:t>Veľmi zriedkavé (&lt; 1/10 000)</w:t>
      </w:r>
    </w:p>
    <w:p w14:paraId="734E4C2C" w14:textId="3831AEEC" w:rsidR="00EC442C" w:rsidRPr="00583D6F" w:rsidRDefault="007F25C3" w:rsidP="00583D6F">
      <w:pPr>
        <w:pStyle w:val="Odsekzoznamu"/>
        <w:numPr>
          <w:ilvl w:val="0"/>
          <w:numId w:val="13"/>
        </w:numPr>
        <w:tabs>
          <w:tab w:val="left" w:pos="567"/>
        </w:tabs>
        <w:rPr>
          <w:iCs/>
          <w:sz w:val="22"/>
          <w:szCs w:val="22"/>
          <w:lang w:val="sk-SK"/>
        </w:rPr>
      </w:pPr>
      <w:r>
        <w:rPr>
          <w:iCs/>
          <w:sz w:val="22"/>
          <w:szCs w:val="22"/>
          <w:lang w:val="sk-SK"/>
        </w:rPr>
        <w:t xml:space="preserve">   </w:t>
      </w:r>
      <w:r w:rsidR="00EC442C" w:rsidRPr="00583D6F">
        <w:rPr>
          <w:iCs/>
          <w:sz w:val="22"/>
          <w:szCs w:val="22"/>
          <w:lang w:val="sk-SK"/>
        </w:rPr>
        <w:t>Neznáme (</w:t>
      </w:r>
      <w:r w:rsidR="00583D6F">
        <w:rPr>
          <w:iCs/>
          <w:sz w:val="22"/>
          <w:szCs w:val="22"/>
          <w:lang w:val="sk-SK"/>
        </w:rPr>
        <w:t xml:space="preserve">nedá sa </w:t>
      </w:r>
      <w:r w:rsidR="009836EE">
        <w:rPr>
          <w:iCs/>
          <w:sz w:val="22"/>
          <w:szCs w:val="22"/>
          <w:lang w:val="sk-SK"/>
        </w:rPr>
        <w:t xml:space="preserve">odhadnúť </w:t>
      </w:r>
      <w:r w:rsidR="00EC442C" w:rsidRPr="00583D6F">
        <w:rPr>
          <w:iCs/>
          <w:sz w:val="22"/>
          <w:szCs w:val="22"/>
          <w:lang w:val="sk-SK"/>
        </w:rPr>
        <w:t>z dostupných údajov).</w:t>
      </w:r>
    </w:p>
    <w:p w14:paraId="1DCD2534" w14:textId="77777777" w:rsidR="00EC442C" w:rsidRPr="00487D7C" w:rsidRDefault="00EC442C" w:rsidP="00EC442C">
      <w:pPr>
        <w:tabs>
          <w:tab w:val="left" w:pos="567"/>
        </w:tabs>
        <w:rPr>
          <w:iCs/>
          <w:sz w:val="22"/>
          <w:szCs w:val="22"/>
          <w:lang w:val="sk-SK"/>
        </w:rPr>
      </w:pPr>
    </w:p>
    <w:p w14:paraId="6219010C" w14:textId="77777777" w:rsidR="00EC442C" w:rsidRPr="00583D6F" w:rsidRDefault="00EC442C" w:rsidP="00EC442C">
      <w:pPr>
        <w:tabs>
          <w:tab w:val="left" w:pos="567"/>
        </w:tabs>
        <w:rPr>
          <w:iCs/>
          <w:sz w:val="22"/>
          <w:szCs w:val="22"/>
          <w:lang w:val="sk-SK"/>
        </w:rPr>
      </w:pPr>
      <w:r w:rsidRPr="00973F81">
        <w:rPr>
          <w:sz w:val="22"/>
          <w:szCs w:val="22"/>
          <w:lang w:val="sk-SK"/>
        </w:rPr>
        <w:t xml:space="preserve">Tabuľka 2: </w:t>
      </w:r>
      <w:r w:rsidRPr="00457B9E">
        <w:rPr>
          <w:sz w:val="22"/>
          <w:szCs w:val="22"/>
          <w:lang w:val="sk-SK"/>
        </w:rPr>
        <w:t>Výskyt nežiaducich účinkov eplerenónu v placebom kontrolovaných štúdiách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217"/>
      </w:tblGrid>
      <w:tr w:rsidR="00EC442C" w:rsidRPr="00487D7C" w14:paraId="787F485C" w14:textId="77777777" w:rsidTr="00E60189">
        <w:tc>
          <w:tcPr>
            <w:tcW w:w="5070" w:type="dxa"/>
            <w:tcBorders>
              <w:top w:val="single" w:sz="4" w:space="0" w:color="auto"/>
              <w:left w:val="single" w:sz="4" w:space="0" w:color="auto"/>
              <w:bottom w:val="single" w:sz="4" w:space="0" w:color="auto"/>
              <w:right w:val="single" w:sz="4" w:space="0" w:color="auto"/>
            </w:tcBorders>
          </w:tcPr>
          <w:p w14:paraId="744A1C4C" w14:textId="51354F03" w:rsidR="00EC442C" w:rsidRPr="00487D7C" w:rsidRDefault="00EC442C" w:rsidP="001F4C43">
            <w:pPr>
              <w:pStyle w:val="Paragraph"/>
              <w:overflowPunct w:val="0"/>
              <w:autoSpaceDE w:val="0"/>
              <w:autoSpaceDN w:val="0"/>
              <w:adjustRightInd w:val="0"/>
              <w:spacing w:after="0"/>
              <w:textAlignment w:val="baseline"/>
              <w:rPr>
                <w:sz w:val="22"/>
                <w:szCs w:val="22"/>
                <w:lang w:val="sk-SK"/>
              </w:rPr>
            </w:pPr>
            <w:r w:rsidRPr="00487D7C">
              <w:rPr>
                <w:rFonts w:ascii="TimesNewRoman,Bold" w:hAnsi="TimesNewRoman,Bold" w:cs="TimesNewRoman,Bold"/>
                <w:b/>
                <w:bCs/>
                <w:sz w:val="22"/>
                <w:szCs w:val="22"/>
                <w:lang w:val="sk-SK"/>
              </w:rPr>
              <w:t xml:space="preserve">Trieda systémových orgánov podľa </w:t>
            </w:r>
            <w:r w:rsidR="001F4C43">
              <w:rPr>
                <w:rFonts w:ascii="TimesNewRoman,Bold" w:hAnsi="TimesNewRoman,Bold" w:cs="TimesNewRoman,Bold"/>
                <w:b/>
                <w:bCs/>
                <w:sz w:val="22"/>
                <w:szCs w:val="22"/>
                <w:lang w:val="sk-SK"/>
              </w:rPr>
              <w:t>databázy</w:t>
            </w:r>
            <w:r w:rsidR="001F4C43" w:rsidRPr="00487D7C">
              <w:rPr>
                <w:rFonts w:ascii="TimesNewRoman,Bold" w:hAnsi="TimesNewRoman,Bold" w:cs="TimesNewRoman,Bold"/>
                <w:b/>
                <w:bCs/>
                <w:sz w:val="22"/>
                <w:szCs w:val="22"/>
                <w:lang w:val="sk-SK"/>
              </w:rPr>
              <w:t xml:space="preserve"> </w:t>
            </w:r>
            <w:r w:rsidRPr="00487D7C">
              <w:rPr>
                <w:rFonts w:ascii="TimesNewRoman,Bold" w:hAnsi="TimesNewRoman,Bold" w:cs="TimesNewRoman,Bold"/>
                <w:b/>
                <w:bCs/>
                <w:sz w:val="22"/>
                <w:szCs w:val="22"/>
                <w:lang w:val="sk-SK"/>
              </w:rPr>
              <w:lastRenderedPageBreak/>
              <w:t xml:space="preserve">MedDRA </w:t>
            </w:r>
          </w:p>
        </w:tc>
        <w:tc>
          <w:tcPr>
            <w:tcW w:w="4217" w:type="dxa"/>
            <w:tcBorders>
              <w:top w:val="single" w:sz="4" w:space="0" w:color="auto"/>
              <w:left w:val="single" w:sz="4" w:space="0" w:color="auto"/>
              <w:bottom w:val="single" w:sz="4" w:space="0" w:color="auto"/>
              <w:right w:val="single" w:sz="4" w:space="0" w:color="auto"/>
            </w:tcBorders>
          </w:tcPr>
          <w:p w14:paraId="5A2C81E0" w14:textId="77777777" w:rsidR="00EC442C" w:rsidRPr="00487D7C" w:rsidRDefault="00EC442C" w:rsidP="00E60189">
            <w:pPr>
              <w:pStyle w:val="Paragraph"/>
              <w:overflowPunct w:val="0"/>
              <w:autoSpaceDE w:val="0"/>
              <w:autoSpaceDN w:val="0"/>
              <w:adjustRightInd w:val="0"/>
              <w:spacing w:after="0"/>
              <w:textAlignment w:val="baseline"/>
              <w:rPr>
                <w:sz w:val="22"/>
                <w:szCs w:val="22"/>
                <w:lang w:val="sk-SK"/>
              </w:rPr>
            </w:pPr>
            <w:r w:rsidRPr="00487D7C">
              <w:rPr>
                <w:rFonts w:ascii="TimesNewRoman,Bold" w:hAnsi="TimesNewRoman,Bold" w:cs="TimesNewRoman,Bold"/>
                <w:b/>
                <w:bCs/>
                <w:sz w:val="22"/>
                <w:szCs w:val="22"/>
                <w:lang w:val="sk-SK"/>
              </w:rPr>
              <w:lastRenderedPageBreak/>
              <w:t>Nežiaduca reakcia</w:t>
            </w:r>
          </w:p>
        </w:tc>
      </w:tr>
      <w:tr w:rsidR="00EC442C" w:rsidRPr="00487D7C" w14:paraId="0168B9BD" w14:textId="77777777" w:rsidTr="00E60189">
        <w:tc>
          <w:tcPr>
            <w:tcW w:w="5070" w:type="dxa"/>
            <w:tcBorders>
              <w:top w:val="single" w:sz="4" w:space="0" w:color="auto"/>
              <w:left w:val="single" w:sz="4" w:space="0" w:color="auto"/>
              <w:bottom w:val="single" w:sz="4" w:space="0" w:color="auto"/>
              <w:right w:val="single" w:sz="4" w:space="0" w:color="auto"/>
            </w:tcBorders>
          </w:tcPr>
          <w:p w14:paraId="4607F765"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Infekcie a nákazy</w:t>
            </w:r>
          </w:p>
          <w:p w14:paraId="3AAAAED7" w14:textId="77777777" w:rsidR="00EC442C" w:rsidRPr="00487D7C" w:rsidRDefault="00EC442C" w:rsidP="00E60189">
            <w:pPr>
              <w:pStyle w:val="Paragraph"/>
              <w:overflowPunct w:val="0"/>
              <w:autoSpaceDE w:val="0"/>
              <w:autoSpaceDN w:val="0"/>
              <w:adjustRightInd w:val="0"/>
              <w:spacing w:after="0"/>
              <w:textAlignment w:val="baseline"/>
              <w:rPr>
                <w:sz w:val="22"/>
                <w:szCs w:val="22"/>
                <w:lang w:val="sk-SK"/>
              </w:rPr>
            </w:pPr>
            <w:r w:rsidRPr="00487D7C">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41023D15"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DEE1357"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pyelonefritída, infekcia, faryngitída</w:t>
            </w:r>
          </w:p>
        </w:tc>
      </w:tr>
      <w:tr w:rsidR="00EC442C" w:rsidRPr="00487D7C" w14:paraId="39AB4EA0" w14:textId="77777777" w:rsidTr="00E60189">
        <w:tc>
          <w:tcPr>
            <w:tcW w:w="5070" w:type="dxa"/>
            <w:tcBorders>
              <w:top w:val="single" w:sz="4" w:space="0" w:color="auto"/>
              <w:left w:val="single" w:sz="4" w:space="0" w:color="auto"/>
              <w:bottom w:val="single" w:sz="4" w:space="0" w:color="auto"/>
              <w:right w:val="single" w:sz="4" w:space="0" w:color="auto"/>
            </w:tcBorders>
          </w:tcPr>
          <w:p w14:paraId="29AA45ED"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krvi a lymfatického systému</w:t>
            </w:r>
          </w:p>
          <w:p w14:paraId="04496CC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0FDE6E1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633314A1" w14:textId="77777777" w:rsidR="00EC442C" w:rsidRPr="00457819" w:rsidRDefault="00457819"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eozinofí</w:t>
            </w:r>
            <w:r w:rsidR="00EC442C" w:rsidRPr="00457819">
              <w:rPr>
                <w:sz w:val="22"/>
                <w:szCs w:val="22"/>
                <w:lang w:val="sk-SK"/>
              </w:rPr>
              <w:t>lia</w:t>
            </w:r>
          </w:p>
        </w:tc>
      </w:tr>
      <w:tr w:rsidR="00EC442C" w:rsidRPr="00487D7C" w14:paraId="283B0680" w14:textId="77777777" w:rsidTr="00E60189">
        <w:tc>
          <w:tcPr>
            <w:tcW w:w="5070" w:type="dxa"/>
            <w:tcBorders>
              <w:top w:val="single" w:sz="4" w:space="0" w:color="auto"/>
              <w:left w:val="single" w:sz="4" w:space="0" w:color="auto"/>
              <w:bottom w:val="single" w:sz="4" w:space="0" w:color="auto"/>
              <w:right w:val="single" w:sz="4" w:space="0" w:color="auto"/>
            </w:tcBorders>
          </w:tcPr>
          <w:p w14:paraId="7BF42218"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endokrinného systému</w:t>
            </w:r>
          </w:p>
          <w:p w14:paraId="5FCCE7FB"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52EC6C5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53060001"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hypotyreoidizmus</w:t>
            </w:r>
          </w:p>
        </w:tc>
      </w:tr>
      <w:tr w:rsidR="00EC442C" w:rsidRPr="00487D7C" w14:paraId="284D2EDF" w14:textId="77777777" w:rsidTr="00E60189">
        <w:tc>
          <w:tcPr>
            <w:tcW w:w="5070" w:type="dxa"/>
            <w:tcBorders>
              <w:top w:val="single" w:sz="4" w:space="0" w:color="auto"/>
              <w:left w:val="single" w:sz="4" w:space="0" w:color="auto"/>
              <w:bottom w:val="single" w:sz="4" w:space="0" w:color="auto"/>
              <w:right w:val="single" w:sz="4" w:space="0" w:color="auto"/>
            </w:tcBorders>
          </w:tcPr>
          <w:p w14:paraId="7B7511B2"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metabolizmu a výživy</w:t>
            </w:r>
          </w:p>
          <w:p w14:paraId="5534D884"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67632DB9"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62DDF004"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774DB32D"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hyperkaliémia (pozri časti 4.3 a 4.4),</w:t>
            </w:r>
          </w:p>
          <w:p w14:paraId="7ADFAA7F"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hypercholesterolémia</w:t>
            </w:r>
          </w:p>
          <w:p w14:paraId="719CD2BA" w14:textId="0296AE2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 xml:space="preserve">hyponatriémia, dehydratácia, </w:t>
            </w:r>
            <w:r w:rsidRPr="0003656A">
              <w:rPr>
                <w:sz w:val="22"/>
                <w:szCs w:val="22"/>
                <w:lang w:val="sk-SK"/>
              </w:rPr>
              <w:t>hypertrig</w:t>
            </w:r>
            <w:r w:rsidRPr="004F6474">
              <w:rPr>
                <w:sz w:val="22"/>
                <w:szCs w:val="22"/>
                <w:lang w:val="sk-SK"/>
              </w:rPr>
              <w:t>lyceridémia</w:t>
            </w:r>
          </w:p>
        </w:tc>
      </w:tr>
      <w:tr w:rsidR="00EC442C" w:rsidRPr="00487D7C" w14:paraId="43D7A651" w14:textId="77777777" w:rsidTr="00E60189">
        <w:tc>
          <w:tcPr>
            <w:tcW w:w="5070" w:type="dxa"/>
            <w:tcBorders>
              <w:top w:val="single" w:sz="4" w:space="0" w:color="auto"/>
              <w:left w:val="single" w:sz="4" w:space="0" w:color="auto"/>
              <w:bottom w:val="single" w:sz="4" w:space="0" w:color="auto"/>
              <w:right w:val="single" w:sz="4" w:space="0" w:color="auto"/>
            </w:tcBorders>
          </w:tcPr>
          <w:p w14:paraId="340BD9E2"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Psychické poruchy</w:t>
            </w:r>
          </w:p>
          <w:p w14:paraId="45B287C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14:paraId="6D0F7425"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4E798A5"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nespavosť</w:t>
            </w:r>
          </w:p>
        </w:tc>
      </w:tr>
      <w:tr w:rsidR="00EC442C" w:rsidRPr="00487D7C" w14:paraId="53E8EAC3" w14:textId="77777777" w:rsidTr="00E60189">
        <w:tc>
          <w:tcPr>
            <w:tcW w:w="5070" w:type="dxa"/>
            <w:tcBorders>
              <w:top w:val="single" w:sz="4" w:space="0" w:color="auto"/>
              <w:left w:val="single" w:sz="4" w:space="0" w:color="auto"/>
              <w:bottom w:val="single" w:sz="4" w:space="0" w:color="auto"/>
              <w:right w:val="single" w:sz="4" w:space="0" w:color="auto"/>
            </w:tcBorders>
          </w:tcPr>
          <w:p w14:paraId="431449FE"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nervového systému</w:t>
            </w:r>
          </w:p>
          <w:p w14:paraId="7C676392"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2563D120"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015A807C"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7FFCFF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synkopa, závraty, bolesť hlavy</w:t>
            </w:r>
          </w:p>
          <w:p w14:paraId="7BD9218C"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hypestézia</w:t>
            </w:r>
          </w:p>
        </w:tc>
      </w:tr>
      <w:tr w:rsidR="00EC442C" w:rsidRPr="00487D7C" w14:paraId="738AC7D5" w14:textId="77777777" w:rsidTr="00E60189">
        <w:tc>
          <w:tcPr>
            <w:tcW w:w="5070" w:type="dxa"/>
            <w:tcBorders>
              <w:top w:val="single" w:sz="4" w:space="0" w:color="auto"/>
              <w:left w:val="single" w:sz="4" w:space="0" w:color="auto"/>
              <w:bottom w:val="single" w:sz="4" w:space="0" w:color="auto"/>
              <w:right w:val="single" w:sz="4" w:space="0" w:color="auto"/>
            </w:tcBorders>
          </w:tcPr>
          <w:p w14:paraId="2983167B"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srdca a srdcovej činnosti</w:t>
            </w:r>
          </w:p>
          <w:p w14:paraId="250225C8"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5E702CDE"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p>
          <w:p w14:paraId="107617DE"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1D7E639C"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4C027D9"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zlyhanie ľavej srdcovej komory, fibrilácia predsiení</w:t>
            </w:r>
          </w:p>
          <w:p w14:paraId="2AC570F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tachykardia</w:t>
            </w:r>
          </w:p>
        </w:tc>
      </w:tr>
      <w:tr w:rsidR="00EC442C" w:rsidRPr="00487D7C" w14:paraId="11E18339" w14:textId="77777777" w:rsidTr="00E60189">
        <w:tc>
          <w:tcPr>
            <w:tcW w:w="5070" w:type="dxa"/>
            <w:tcBorders>
              <w:top w:val="single" w:sz="4" w:space="0" w:color="auto"/>
              <w:left w:val="single" w:sz="4" w:space="0" w:color="auto"/>
              <w:bottom w:val="single" w:sz="4" w:space="0" w:color="auto"/>
              <w:right w:val="single" w:sz="4" w:space="0" w:color="auto"/>
            </w:tcBorders>
          </w:tcPr>
          <w:p w14:paraId="2E212101"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ciev</w:t>
            </w:r>
          </w:p>
          <w:p w14:paraId="47FBE91F"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262B2839"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60B2E401"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49E1D74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hypotenzia</w:t>
            </w:r>
          </w:p>
          <w:p w14:paraId="780C7B4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arteriálna trombóza končatiny, ortostatická hypotenzia</w:t>
            </w:r>
          </w:p>
        </w:tc>
      </w:tr>
      <w:tr w:rsidR="00EC442C" w:rsidRPr="00487D7C" w14:paraId="1AB70242" w14:textId="77777777" w:rsidTr="00E60189">
        <w:tc>
          <w:tcPr>
            <w:tcW w:w="5070" w:type="dxa"/>
            <w:tcBorders>
              <w:top w:val="single" w:sz="4" w:space="0" w:color="auto"/>
              <w:left w:val="single" w:sz="4" w:space="0" w:color="auto"/>
              <w:bottom w:val="single" w:sz="4" w:space="0" w:color="auto"/>
              <w:right w:val="single" w:sz="4" w:space="0" w:color="auto"/>
            </w:tcBorders>
          </w:tcPr>
          <w:p w14:paraId="1373D915"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dýchacej sústavy, hrudníka a mediastína</w:t>
            </w:r>
          </w:p>
          <w:p w14:paraId="5E5BB70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14:paraId="7F89241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4B3A6810"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kašeľ</w:t>
            </w:r>
          </w:p>
        </w:tc>
      </w:tr>
      <w:tr w:rsidR="00EC442C" w:rsidRPr="00487D7C" w14:paraId="03088C04" w14:textId="77777777" w:rsidTr="00E60189">
        <w:tc>
          <w:tcPr>
            <w:tcW w:w="5070" w:type="dxa"/>
            <w:tcBorders>
              <w:top w:val="single" w:sz="4" w:space="0" w:color="auto"/>
              <w:left w:val="single" w:sz="4" w:space="0" w:color="auto"/>
              <w:bottom w:val="single" w:sz="4" w:space="0" w:color="auto"/>
              <w:right w:val="single" w:sz="4" w:space="0" w:color="auto"/>
            </w:tcBorders>
          </w:tcPr>
          <w:p w14:paraId="79DE6CA6" w14:textId="77777777" w:rsidR="00EC442C" w:rsidRPr="00583D6F" w:rsidRDefault="00EC442C" w:rsidP="00E60189">
            <w:pPr>
              <w:pStyle w:val="Paragraph"/>
              <w:overflowPunct w:val="0"/>
              <w:autoSpaceDE w:val="0"/>
              <w:autoSpaceDN w:val="0"/>
              <w:adjustRightInd w:val="0"/>
              <w:spacing w:after="0"/>
              <w:textAlignment w:val="baseline"/>
              <w:rPr>
                <w:b/>
                <w:bCs/>
                <w:sz w:val="22"/>
                <w:szCs w:val="22"/>
                <w:lang w:val="sk-SK"/>
              </w:rPr>
            </w:pPr>
            <w:r w:rsidRPr="00583D6F">
              <w:rPr>
                <w:b/>
                <w:bCs/>
                <w:sz w:val="22"/>
                <w:szCs w:val="22"/>
                <w:lang w:val="sk-SK"/>
              </w:rPr>
              <w:t>Poruchy gastrointestinálneho traktu</w:t>
            </w:r>
          </w:p>
          <w:p w14:paraId="64FB11DE"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0EE94B57"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26FC0C58"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2E72473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hnačka, nevoľnosť, zápcha, vracanie</w:t>
            </w:r>
          </w:p>
          <w:p w14:paraId="7123BCA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plynatosť</w:t>
            </w:r>
          </w:p>
        </w:tc>
      </w:tr>
      <w:tr w:rsidR="00EC442C" w:rsidRPr="00487D7C" w14:paraId="68DBEE96" w14:textId="77777777" w:rsidTr="00E60189">
        <w:tc>
          <w:tcPr>
            <w:tcW w:w="5070" w:type="dxa"/>
            <w:tcBorders>
              <w:top w:val="single" w:sz="4" w:space="0" w:color="auto"/>
              <w:left w:val="single" w:sz="4" w:space="0" w:color="auto"/>
              <w:bottom w:val="single" w:sz="4" w:space="0" w:color="auto"/>
              <w:right w:val="single" w:sz="4" w:space="0" w:color="auto"/>
            </w:tcBorders>
          </w:tcPr>
          <w:p w14:paraId="79F01DFC"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kože a podkožného tkaniva</w:t>
            </w:r>
          </w:p>
          <w:p w14:paraId="0BBB570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2D0618C9"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5DF192D0"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79A0D75"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vyrážka, svrbenie</w:t>
            </w:r>
          </w:p>
          <w:p w14:paraId="0C02F775" w14:textId="77777777" w:rsidR="00EC442C" w:rsidRPr="00457819" w:rsidRDefault="00EC442C" w:rsidP="00E60189">
            <w:pPr>
              <w:pStyle w:val="ListNoBullet"/>
              <w:rPr>
                <w:rFonts w:ascii="Times New Roman" w:hAnsi="Times New Roman" w:cs="Times New Roman"/>
                <w:sz w:val="22"/>
                <w:szCs w:val="22"/>
                <w:lang w:val="sk-SK"/>
              </w:rPr>
            </w:pPr>
            <w:r w:rsidRPr="00457819">
              <w:rPr>
                <w:rFonts w:ascii="Times New Roman" w:hAnsi="Times New Roman" w:cs="Times New Roman"/>
                <w:sz w:val="22"/>
                <w:szCs w:val="22"/>
                <w:lang w:val="sk-SK"/>
              </w:rPr>
              <w:t>angioedém, hyperhidróza</w:t>
            </w:r>
          </w:p>
        </w:tc>
      </w:tr>
      <w:tr w:rsidR="00EC442C" w:rsidRPr="00487D7C" w14:paraId="126356ED" w14:textId="77777777" w:rsidTr="00E60189">
        <w:tc>
          <w:tcPr>
            <w:tcW w:w="5070" w:type="dxa"/>
            <w:tcBorders>
              <w:top w:val="single" w:sz="4" w:space="0" w:color="auto"/>
              <w:left w:val="single" w:sz="4" w:space="0" w:color="auto"/>
              <w:bottom w:val="single" w:sz="4" w:space="0" w:color="auto"/>
              <w:right w:val="single" w:sz="4" w:space="0" w:color="auto"/>
            </w:tcBorders>
          </w:tcPr>
          <w:p w14:paraId="585CDB57"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kostrovej a svalovej sústavy a spojivového tkaniva</w:t>
            </w:r>
          </w:p>
          <w:p w14:paraId="7D577331"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1EEB0FCC"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3AC9B54A"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673CA9DA"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D4D0576" w14:textId="052513A4"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svalové kŕče, bolesti chrbt</w:t>
            </w:r>
            <w:r w:rsidR="001F4C43">
              <w:rPr>
                <w:sz w:val="22"/>
                <w:szCs w:val="22"/>
                <w:lang w:val="sk-SK"/>
              </w:rPr>
              <w:t>a</w:t>
            </w:r>
          </w:p>
          <w:p w14:paraId="2ED73D9C" w14:textId="7A6F1D1E" w:rsidR="00EC442C" w:rsidRPr="00457819" w:rsidRDefault="001F4C43" w:rsidP="00E60189">
            <w:pPr>
              <w:pStyle w:val="Paragraph"/>
              <w:overflowPunct w:val="0"/>
              <w:autoSpaceDE w:val="0"/>
              <w:autoSpaceDN w:val="0"/>
              <w:adjustRightInd w:val="0"/>
              <w:spacing w:after="0"/>
              <w:textAlignment w:val="baseline"/>
              <w:rPr>
                <w:sz w:val="22"/>
                <w:szCs w:val="22"/>
                <w:lang w:val="sk-SK"/>
              </w:rPr>
            </w:pPr>
            <w:r>
              <w:rPr>
                <w:sz w:val="22"/>
                <w:szCs w:val="22"/>
                <w:lang w:val="sk-SK"/>
              </w:rPr>
              <w:t>muskuloskeletálna bolesť</w:t>
            </w:r>
          </w:p>
        </w:tc>
      </w:tr>
      <w:tr w:rsidR="00EC442C" w:rsidRPr="00487D7C" w14:paraId="43616100" w14:textId="77777777" w:rsidTr="00E60189">
        <w:tc>
          <w:tcPr>
            <w:tcW w:w="5070" w:type="dxa"/>
            <w:tcBorders>
              <w:top w:val="single" w:sz="4" w:space="0" w:color="auto"/>
              <w:left w:val="single" w:sz="4" w:space="0" w:color="auto"/>
              <w:bottom w:val="single" w:sz="4" w:space="0" w:color="auto"/>
              <w:right w:val="single" w:sz="4" w:space="0" w:color="auto"/>
            </w:tcBorders>
          </w:tcPr>
          <w:p w14:paraId="080A7FFE" w14:textId="77777777" w:rsidR="00EC442C" w:rsidRPr="00583D6F" w:rsidRDefault="00EC442C" w:rsidP="00E60189">
            <w:pPr>
              <w:pStyle w:val="ListNoBulle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Poruchy obličiek a močových ciest</w:t>
            </w:r>
          </w:p>
          <w:p w14:paraId="15DCE81A"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tc>
        <w:tc>
          <w:tcPr>
            <w:tcW w:w="4217" w:type="dxa"/>
            <w:tcBorders>
              <w:top w:val="single" w:sz="4" w:space="0" w:color="auto"/>
              <w:left w:val="single" w:sz="4" w:space="0" w:color="auto"/>
              <w:bottom w:val="single" w:sz="4" w:space="0" w:color="auto"/>
              <w:right w:val="single" w:sz="4" w:space="0" w:color="auto"/>
            </w:tcBorders>
          </w:tcPr>
          <w:p w14:paraId="56C0E318"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40D4EBA8"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porucha funkcie obličiek (pozri časti 4.4 a 4.5)</w:t>
            </w:r>
          </w:p>
        </w:tc>
      </w:tr>
      <w:tr w:rsidR="00EC442C" w:rsidRPr="00487D7C" w14:paraId="3FF2228A" w14:textId="77777777" w:rsidTr="00E60189">
        <w:tc>
          <w:tcPr>
            <w:tcW w:w="5070" w:type="dxa"/>
            <w:tcBorders>
              <w:top w:val="single" w:sz="4" w:space="0" w:color="auto"/>
              <w:left w:val="single" w:sz="4" w:space="0" w:color="auto"/>
              <w:bottom w:val="single" w:sz="4" w:space="0" w:color="auto"/>
              <w:right w:val="single" w:sz="4" w:space="0" w:color="auto"/>
            </w:tcBorders>
          </w:tcPr>
          <w:p w14:paraId="09D31618" w14:textId="77777777" w:rsidR="00EC442C" w:rsidRPr="00583D6F" w:rsidRDefault="00EC442C" w:rsidP="00E60189">
            <w:pPr>
              <w:pStyle w:val="Paragraph"/>
              <w:spacing w:after="0"/>
              <w:rPr>
                <w:b/>
                <w:bCs/>
                <w:sz w:val="22"/>
                <w:szCs w:val="22"/>
                <w:lang w:val="sk-SK"/>
              </w:rPr>
            </w:pPr>
            <w:r w:rsidRPr="00583D6F">
              <w:rPr>
                <w:b/>
                <w:bCs/>
                <w:sz w:val="22"/>
                <w:szCs w:val="22"/>
                <w:lang w:val="sk-SK"/>
              </w:rPr>
              <w:t>Poruchy pečene a žlčových ciest</w:t>
            </w:r>
          </w:p>
          <w:p w14:paraId="02034913" w14:textId="77777777" w:rsidR="00EC442C" w:rsidRPr="00583D6F" w:rsidRDefault="00EC442C" w:rsidP="00E60189">
            <w:pPr>
              <w:pStyle w:val="Paragraph"/>
              <w:spacing w:after="0"/>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531713C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375E83C6"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rStyle w:val="Siln"/>
                <w:b w:val="0"/>
                <w:bCs w:val="0"/>
                <w:sz w:val="22"/>
                <w:szCs w:val="22"/>
                <w:lang w:val="sk-SK"/>
              </w:rPr>
              <w:t>cholecystitída</w:t>
            </w:r>
          </w:p>
        </w:tc>
      </w:tr>
      <w:tr w:rsidR="00EC442C" w:rsidRPr="00487D7C" w14:paraId="3749632E" w14:textId="77777777" w:rsidTr="00E60189">
        <w:trPr>
          <w:trHeight w:val="525"/>
        </w:trPr>
        <w:tc>
          <w:tcPr>
            <w:tcW w:w="5070" w:type="dxa"/>
            <w:tcBorders>
              <w:top w:val="single" w:sz="4" w:space="0" w:color="auto"/>
              <w:left w:val="single" w:sz="4" w:space="0" w:color="auto"/>
              <w:bottom w:val="single" w:sz="4" w:space="0" w:color="auto"/>
              <w:right w:val="single" w:sz="4" w:space="0" w:color="auto"/>
            </w:tcBorders>
          </w:tcPr>
          <w:p w14:paraId="4723D948" w14:textId="77777777" w:rsidR="00EC442C" w:rsidRPr="00583D6F" w:rsidRDefault="00EC442C" w:rsidP="00E60189">
            <w:pPr>
              <w:pStyle w:val="ListNoBullet"/>
              <w:rPr>
                <w:rFonts w:ascii="Times New Roman" w:hAnsi="Times New Roman" w:cs="Times New Roman"/>
                <w:b/>
                <w:bCs/>
                <w:sz w:val="22"/>
                <w:szCs w:val="22"/>
                <w:lang w:val="sk-SK" w:eastAsia="en-GB"/>
              </w:rPr>
            </w:pPr>
            <w:r w:rsidRPr="00583D6F">
              <w:rPr>
                <w:rFonts w:ascii="Times New Roman" w:hAnsi="Times New Roman" w:cs="Times New Roman"/>
                <w:b/>
                <w:bCs/>
                <w:sz w:val="22"/>
                <w:szCs w:val="22"/>
                <w:lang w:val="sk-SK"/>
              </w:rPr>
              <w:t>Poruchy reprodukčného systému a prsníkov</w:t>
            </w:r>
          </w:p>
          <w:p w14:paraId="45536E21"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2CB4D310"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3011D5F2"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gynekomastia</w:t>
            </w:r>
          </w:p>
        </w:tc>
      </w:tr>
      <w:tr w:rsidR="00EC442C" w:rsidRPr="00487D7C" w14:paraId="740C8E88" w14:textId="77777777" w:rsidTr="00E60189">
        <w:tc>
          <w:tcPr>
            <w:tcW w:w="5070" w:type="dxa"/>
            <w:tcBorders>
              <w:top w:val="single" w:sz="4" w:space="0" w:color="auto"/>
              <w:left w:val="single" w:sz="4" w:space="0" w:color="auto"/>
              <w:bottom w:val="single" w:sz="4" w:space="0" w:color="auto"/>
              <w:right w:val="single" w:sz="4" w:space="0" w:color="auto"/>
            </w:tcBorders>
          </w:tcPr>
          <w:p w14:paraId="156EB361"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Celkové poruchy a reakcie v mieste podania</w:t>
            </w:r>
          </w:p>
          <w:p w14:paraId="52E457A5" w14:textId="77777777" w:rsidR="00EC442C" w:rsidRPr="00583D6F" w:rsidRDefault="00EC442C" w:rsidP="00E60189">
            <w:pPr>
              <w:pStyle w:val="Paragraph"/>
              <w:overflowPunct w:val="0"/>
              <w:autoSpaceDE w:val="0"/>
              <w:autoSpaceDN w:val="0"/>
              <w:adjustRightInd w:val="0"/>
              <w:spacing w:after="0"/>
              <w:textAlignment w:val="baseline"/>
              <w:rPr>
                <w:i/>
                <w:iCs/>
                <w:sz w:val="22"/>
                <w:szCs w:val="22"/>
                <w:lang w:val="sk-SK"/>
              </w:rPr>
            </w:pPr>
            <w:r w:rsidRPr="00583D6F">
              <w:rPr>
                <w:i/>
                <w:iCs/>
                <w:sz w:val="22"/>
                <w:szCs w:val="22"/>
                <w:lang w:val="sk-SK"/>
              </w:rPr>
              <w:t>Časté</w:t>
            </w:r>
          </w:p>
          <w:p w14:paraId="1D0332C1"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r w:rsidRPr="00583D6F">
              <w:rPr>
                <w:i/>
                <w:iCs/>
                <w:sz w:val="22"/>
                <w:szCs w:val="22"/>
                <w:lang w:val="sk-SK"/>
              </w:rPr>
              <w:t>Menej časté</w:t>
            </w:r>
          </w:p>
        </w:tc>
        <w:tc>
          <w:tcPr>
            <w:tcW w:w="4217" w:type="dxa"/>
            <w:tcBorders>
              <w:top w:val="single" w:sz="4" w:space="0" w:color="auto"/>
              <w:left w:val="single" w:sz="4" w:space="0" w:color="auto"/>
              <w:bottom w:val="single" w:sz="4" w:space="0" w:color="auto"/>
              <w:right w:val="single" w:sz="4" w:space="0" w:color="auto"/>
            </w:tcBorders>
          </w:tcPr>
          <w:p w14:paraId="1EBED97A"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1AA9DC1D"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asténia</w:t>
            </w:r>
          </w:p>
          <w:p w14:paraId="016E0042" w14:textId="13BCFDFD" w:rsidR="00EC442C" w:rsidRPr="00457819" w:rsidRDefault="001F4C43" w:rsidP="00E60189">
            <w:pPr>
              <w:pStyle w:val="Paragraph"/>
              <w:overflowPunct w:val="0"/>
              <w:autoSpaceDE w:val="0"/>
              <w:autoSpaceDN w:val="0"/>
              <w:adjustRightInd w:val="0"/>
              <w:spacing w:after="0"/>
              <w:textAlignment w:val="baseline"/>
              <w:rPr>
                <w:sz w:val="22"/>
                <w:szCs w:val="22"/>
                <w:lang w:val="sk-SK"/>
              </w:rPr>
            </w:pPr>
            <w:r>
              <w:rPr>
                <w:sz w:val="22"/>
                <w:szCs w:val="22"/>
                <w:lang w:val="sk-SK"/>
              </w:rPr>
              <w:t>celkový pocit choroby</w:t>
            </w:r>
          </w:p>
        </w:tc>
      </w:tr>
      <w:tr w:rsidR="00EC442C" w:rsidRPr="00487D7C" w14:paraId="067ECED4" w14:textId="77777777" w:rsidTr="00E60189">
        <w:tc>
          <w:tcPr>
            <w:tcW w:w="5070" w:type="dxa"/>
            <w:tcBorders>
              <w:top w:val="single" w:sz="4" w:space="0" w:color="auto"/>
              <w:left w:val="single" w:sz="4" w:space="0" w:color="auto"/>
              <w:bottom w:val="single" w:sz="4" w:space="0" w:color="auto"/>
              <w:right w:val="single" w:sz="4" w:space="0" w:color="auto"/>
            </w:tcBorders>
          </w:tcPr>
          <w:p w14:paraId="20C4FE35" w14:textId="77777777" w:rsidR="00EC442C" w:rsidRPr="00583D6F" w:rsidRDefault="00EC442C" w:rsidP="00E60189">
            <w:pPr>
              <w:pStyle w:val="ListNoBullet"/>
              <w:keepNext/>
              <w:rPr>
                <w:rFonts w:ascii="Times New Roman" w:hAnsi="Times New Roman" w:cs="Times New Roman"/>
                <w:b/>
                <w:bCs/>
                <w:sz w:val="22"/>
                <w:szCs w:val="22"/>
                <w:lang w:val="sk-SK"/>
              </w:rPr>
            </w:pPr>
            <w:r w:rsidRPr="00583D6F">
              <w:rPr>
                <w:rFonts w:ascii="Times New Roman" w:hAnsi="Times New Roman" w:cs="Times New Roman"/>
                <w:b/>
                <w:bCs/>
                <w:sz w:val="22"/>
                <w:szCs w:val="22"/>
                <w:lang w:val="sk-SK"/>
              </w:rPr>
              <w:t>Laboratórne a funkčné vyšetrenia</w:t>
            </w:r>
          </w:p>
          <w:p w14:paraId="4058ED94" w14:textId="77777777" w:rsidR="00EC442C" w:rsidRPr="00583D6F" w:rsidRDefault="00EC442C" w:rsidP="00E60189">
            <w:pPr>
              <w:pStyle w:val="Paragraph"/>
              <w:keepNext/>
              <w:spacing w:after="0"/>
              <w:rPr>
                <w:sz w:val="22"/>
                <w:szCs w:val="22"/>
                <w:lang w:val="sk-SK"/>
              </w:rPr>
            </w:pPr>
            <w:r w:rsidRPr="00583D6F">
              <w:rPr>
                <w:i/>
                <w:iCs/>
                <w:sz w:val="22"/>
                <w:szCs w:val="22"/>
                <w:lang w:val="sk-SK"/>
              </w:rPr>
              <w:t>Časté</w:t>
            </w:r>
          </w:p>
          <w:p w14:paraId="2E9F14B1" w14:textId="77777777" w:rsidR="00EC442C" w:rsidRPr="00583D6F" w:rsidRDefault="00EC442C" w:rsidP="00E60189">
            <w:pPr>
              <w:pStyle w:val="Paragraph"/>
              <w:spacing w:after="0"/>
              <w:rPr>
                <w:i/>
                <w:iCs/>
                <w:sz w:val="22"/>
                <w:szCs w:val="22"/>
                <w:lang w:val="sk-SK"/>
              </w:rPr>
            </w:pPr>
          </w:p>
          <w:p w14:paraId="27E9A08C" w14:textId="77777777" w:rsidR="00EC442C" w:rsidRPr="00583D6F" w:rsidRDefault="00EC442C" w:rsidP="00E60189">
            <w:pPr>
              <w:pStyle w:val="Paragraph"/>
              <w:spacing w:after="0"/>
              <w:rPr>
                <w:sz w:val="22"/>
                <w:szCs w:val="22"/>
                <w:lang w:val="sk-SK"/>
              </w:rPr>
            </w:pPr>
            <w:r w:rsidRPr="00583D6F">
              <w:rPr>
                <w:i/>
                <w:iCs/>
                <w:sz w:val="22"/>
                <w:szCs w:val="22"/>
                <w:lang w:val="sk-SK"/>
              </w:rPr>
              <w:t>Menej časté</w:t>
            </w:r>
          </w:p>
          <w:p w14:paraId="48C0D0F5" w14:textId="77777777" w:rsidR="00EC442C" w:rsidRPr="00583D6F" w:rsidRDefault="00EC442C" w:rsidP="00E60189">
            <w:pPr>
              <w:pStyle w:val="Paragraph"/>
              <w:overflowPunct w:val="0"/>
              <w:autoSpaceDE w:val="0"/>
              <w:autoSpaceDN w:val="0"/>
              <w:adjustRightInd w:val="0"/>
              <w:spacing w:after="0"/>
              <w:textAlignment w:val="baseline"/>
              <w:rPr>
                <w:sz w:val="22"/>
                <w:szCs w:val="22"/>
                <w:lang w:val="sk-SK"/>
              </w:rPr>
            </w:pPr>
          </w:p>
        </w:tc>
        <w:tc>
          <w:tcPr>
            <w:tcW w:w="4217" w:type="dxa"/>
            <w:tcBorders>
              <w:top w:val="single" w:sz="4" w:space="0" w:color="auto"/>
              <w:left w:val="single" w:sz="4" w:space="0" w:color="auto"/>
              <w:bottom w:val="single" w:sz="4" w:space="0" w:color="auto"/>
              <w:right w:val="single" w:sz="4" w:space="0" w:color="auto"/>
            </w:tcBorders>
          </w:tcPr>
          <w:p w14:paraId="281D2664"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p>
          <w:p w14:paraId="01568693" w14:textId="77777777" w:rsidR="00EC442C" w:rsidRPr="00457819" w:rsidRDefault="00EC442C" w:rsidP="00E60189">
            <w:pPr>
              <w:pStyle w:val="Paragraph"/>
              <w:overflowPunct w:val="0"/>
              <w:autoSpaceDE w:val="0"/>
              <w:autoSpaceDN w:val="0"/>
              <w:adjustRightInd w:val="0"/>
              <w:spacing w:after="0"/>
              <w:textAlignment w:val="baseline"/>
              <w:rPr>
                <w:sz w:val="22"/>
                <w:szCs w:val="22"/>
                <w:lang w:val="sk-SK"/>
              </w:rPr>
            </w:pPr>
            <w:r w:rsidRPr="00457819">
              <w:rPr>
                <w:sz w:val="22"/>
                <w:szCs w:val="22"/>
                <w:lang w:val="sk-SK"/>
              </w:rPr>
              <w:t xml:space="preserve">zvýšená hladina urey v krvi, zvýšená hladina kreatinínu v krvi </w:t>
            </w:r>
          </w:p>
          <w:p w14:paraId="6F756A60" w14:textId="0F6268BD" w:rsidR="00EC442C" w:rsidRPr="00457819" w:rsidRDefault="00EC442C" w:rsidP="001F4C43">
            <w:pPr>
              <w:pStyle w:val="Paragraph"/>
              <w:overflowPunct w:val="0"/>
              <w:autoSpaceDE w:val="0"/>
              <w:autoSpaceDN w:val="0"/>
              <w:adjustRightInd w:val="0"/>
              <w:spacing w:after="0"/>
              <w:textAlignment w:val="baseline"/>
              <w:rPr>
                <w:sz w:val="22"/>
                <w:szCs w:val="22"/>
                <w:lang w:val="sk-SK"/>
              </w:rPr>
            </w:pPr>
            <w:r w:rsidRPr="00457819">
              <w:rPr>
                <w:sz w:val="22"/>
                <w:szCs w:val="22"/>
                <w:lang w:val="sk-SK"/>
              </w:rPr>
              <w:t xml:space="preserve">znížený </w:t>
            </w:r>
            <w:r w:rsidR="001F4C43">
              <w:rPr>
                <w:sz w:val="22"/>
                <w:szCs w:val="22"/>
                <w:lang w:val="sk-SK"/>
              </w:rPr>
              <w:t xml:space="preserve">počet </w:t>
            </w:r>
            <w:r w:rsidRPr="00457819">
              <w:rPr>
                <w:sz w:val="22"/>
                <w:szCs w:val="22"/>
                <w:lang w:val="sk-SK"/>
              </w:rPr>
              <w:t>receptor</w:t>
            </w:r>
            <w:r w:rsidR="001F4C43">
              <w:rPr>
                <w:sz w:val="22"/>
                <w:szCs w:val="22"/>
                <w:lang w:val="sk-SK"/>
              </w:rPr>
              <w:t>ov pre epidermálny</w:t>
            </w:r>
            <w:r w:rsidRPr="00457819">
              <w:rPr>
                <w:sz w:val="22"/>
                <w:szCs w:val="22"/>
                <w:lang w:val="sk-SK"/>
              </w:rPr>
              <w:t xml:space="preserve"> rastov</w:t>
            </w:r>
            <w:r w:rsidR="001F4C43">
              <w:rPr>
                <w:sz w:val="22"/>
                <w:szCs w:val="22"/>
                <w:lang w:val="sk-SK"/>
              </w:rPr>
              <w:t>ý</w:t>
            </w:r>
            <w:r w:rsidRPr="00457819">
              <w:rPr>
                <w:sz w:val="22"/>
                <w:szCs w:val="22"/>
                <w:lang w:val="sk-SK"/>
              </w:rPr>
              <w:t xml:space="preserve"> faktor, zvýšená hladina glukózy v krvi</w:t>
            </w:r>
          </w:p>
        </w:tc>
      </w:tr>
    </w:tbl>
    <w:p w14:paraId="49D153E3" w14:textId="74CF9E11" w:rsidR="00EC442C" w:rsidRPr="00487D7C" w:rsidRDefault="00EC442C" w:rsidP="00EC442C">
      <w:pPr>
        <w:tabs>
          <w:tab w:val="left" w:pos="567"/>
        </w:tabs>
        <w:rPr>
          <w:sz w:val="22"/>
          <w:szCs w:val="22"/>
          <w:lang w:val="sk-SK"/>
        </w:rPr>
      </w:pPr>
      <w:r w:rsidRPr="00487D7C">
        <w:rPr>
          <w:sz w:val="22"/>
          <w:szCs w:val="22"/>
          <w:lang w:val="sk-SK"/>
        </w:rPr>
        <w:t>V štúdii EPHESUS sa číselne vyskytlo viac prípadov cievnych mozgových príhod v skupine veľmi star</w:t>
      </w:r>
      <w:r w:rsidR="00CF6AAD">
        <w:rPr>
          <w:sz w:val="22"/>
          <w:szCs w:val="22"/>
          <w:lang w:val="sk-SK"/>
        </w:rPr>
        <w:t>ých</w:t>
      </w:r>
      <w:r w:rsidRPr="00487D7C">
        <w:rPr>
          <w:sz w:val="22"/>
          <w:szCs w:val="22"/>
          <w:lang w:val="sk-SK"/>
        </w:rPr>
        <w:t xml:space="preserve"> pacientov (</w:t>
      </w:r>
      <w:r w:rsidRPr="00487D7C">
        <w:rPr>
          <w:sz w:val="22"/>
          <w:szCs w:val="22"/>
          <w:lang w:val="sk-SK"/>
        </w:rPr>
        <w:sym w:font="Symbol" w:char="00B3"/>
      </w:r>
      <w:r w:rsidRPr="00487D7C">
        <w:rPr>
          <w:sz w:val="22"/>
          <w:szCs w:val="22"/>
          <w:lang w:val="sk-SK"/>
        </w:rPr>
        <w:t xml:space="preserve"> 75 ročných). </w:t>
      </w:r>
      <w:r w:rsidR="00CF6AAD">
        <w:rPr>
          <w:sz w:val="22"/>
          <w:szCs w:val="22"/>
          <w:lang w:val="sk-SK"/>
        </w:rPr>
        <w:t>N</w:t>
      </w:r>
      <w:r w:rsidRPr="00487D7C">
        <w:rPr>
          <w:sz w:val="22"/>
          <w:szCs w:val="22"/>
          <w:lang w:val="sk-SK"/>
        </w:rPr>
        <w:t>ezistil sa</w:t>
      </w:r>
      <w:r w:rsidR="00CF6AAD">
        <w:rPr>
          <w:sz w:val="22"/>
          <w:szCs w:val="22"/>
          <w:lang w:val="sk-SK"/>
        </w:rPr>
        <w:t xml:space="preserve"> však</w:t>
      </w:r>
      <w:r w:rsidRPr="00487D7C">
        <w:rPr>
          <w:sz w:val="22"/>
          <w:szCs w:val="22"/>
          <w:lang w:val="sk-SK"/>
        </w:rPr>
        <w:t xml:space="preserve"> žiadny štatisticky významný rozdiel vo výskyte cievnej mozgovej príhody medzi skupinou pacientov, ktorí dostávali eplerenón (30) a skupinou </w:t>
      </w:r>
      <w:r w:rsidRPr="00487D7C">
        <w:rPr>
          <w:sz w:val="22"/>
          <w:szCs w:val="22"/>
          <w:lang w:val="sk-SK"/>
        </w:rPr>
        <w:lastRenderedPageBreak/>
        <w:t xml:space="preserve">pacientov, ktorí dostávali placebo (22). V štúdii EMPHASIS-HF bol počet prípadov </w:t>
      </w:r>
      <w:r w:rsidR="00CF6AAD">
        <w:rPr>
          <w:sz w:val="22"/>
          <w:szCs w:val="22"/>
          <w:lang w:val="sk-SK"/>
        </w:rPr>
        <w:t xml:space="preserve">cievnej </w:t>
      </w:r>
      <w:r w:rsidRPr="00487D7C">
        <w:rPr>
          <w:sz w:val="22"/>
          <w:szCs w:val="22"/>
          <w:lang w:val="sk-SK"/>
        </w:rPr>
        <w:t>mozgovej príhody u veľmi sta</w:t>
      </w:r>
      <w:r w:rsidR="00CF6AAD">
        <w:rPr>
          <w:sz w:val="22"/>
          <w:szCs w:val="22"/>
          <w:lang w:val="sk-SK"/>
        </w:rPr>
        <w:t>rých</w:t>
      </w:r>
      <w:r w:rsidRPr="00487D7C">
        <w:rPr>
          <w:sz w:val="22"/>
          <w:szCs w:val="22"/>
          <w:lang w:val="sk-SK"/>
        </w:rPr>
        <w:t xml:space="preserve"> pacientov (vo veku ≥ 75 rokov) 9 v skupine s eplerenónom a 8 v  skupine</w:t>
      </w:r>
      <w:r w:rsidR="00CF6AAD">
        <w:rPr>
          <w:sz w:val="22"/>
          <w:szCs w:val="22"/>
          <w:lang w:val="sk-SK"/>
        </w:rPr>
        <w:t xml:space="preserve"> na placebe</w:t>
      </w:r>
      <w:r w:rsidRPr="00487D7C">
        <w:rPr>
          <w:sz w:val="22"/>
          <w:szCs w:val="22"/>
          <w:lang w:val="sk-SK"/>
        </w:rPr>
        <w:t>.</w:t>
      </w:r>
    </w:p>
    <w:p w14:paraId="7E8C0021" w14:textId="77777777" w:rsidR="00EC442C" w:rsidRPr="00487D7C" w:rsidRDefault="00EC442C" w:rsidP="00EC442C">
      <w:pPr>
        <w:tabs>
          <w:tab w:val="left" w:pos="567"/>
        </w:tabs>
        <w:rPr>
          <w:sz w:val="22"/>
          <w:szCs w:val="22"/>
          <w:lang w:val="sk-SK"/>
        </w:rPr>
      </w:pPr>
    </w:p>
    <w:p w14:paraId="5BEDFBEE" w14:textId="77777777" w:rsidR="00EC442C" w:rsidRPr="00E350D1" w:rsidRDefault="00EC442C" w:rsidP="00EC442C">
      <w:pPr>
        <w:suppressLineNumbers/>
        <w:rPr>
          <w:sz w:val="22"/>
          <w:szCs w:val="22"/>
          <w:u w:val="single"/>
          <w:lang w:val="sk-SK"/>
        </w:rPr>
      </w:pPr>
      <w:r w:rsidRPr="00E350D1">
        <w:rPr>
          <w:noProof/>
          <w:sz w:val="22"/>
          <w:szCs w:val="22"/>
          <w:u w:val="single"/>
          <w:lang w:val="sk-SK"/>
        </w:rPr>
        <w:t>Hlásenie podozrení na nežiaduce reakcie</w:t>
      </w:r>
    </w:p>
    <w:p w14:paraId="53E6C2BC" w14:textId="77777777" w:rsidR="00EC442C" w:rsidRPr="00973F81" w:rsidRDefault="00EC442C" w:rsidP="00EC442C">
      <w:pPr>
        <w:tabs>
          <w:tab w:val="left" w:pos="567"/>
        </w:tabs>
        <w:rPr>
          <w:sz w:val="22"/>
          <w:szCs w:val="22"/>
          <w:lang w:val="sk-SK"/>
        </w:rPr>
      </w:pPr>
      <w:r w:rsidRPr="00E350D1">
        <w:rPr>
          <w:noProof/>
          <w:sz w:val="22"/>
          <w:szCs w:val="22"/>
          <w:lang w:val="sk-SK"/>
        </w:rPr>
        <w:t>Hlásenie podozrení na nežiaduce reakcie po registrácii lieku je dôležité.</w:t>
      </w:r>
      <w:r w:rsidRPr="00E350D1">
        <w:rPr>
          <w:sz w:val="22"/>
          <w:szCs w:val="22"/>
          <w:lang w:val="sk-SK"/>
        </w:rPr>
        <w:t xml:space="preserve"> </w:t>
      </w:r>
      <w:r w:rsidRPr="00E350D1">
        <w:rPr>
          <w:noProof/>
          <w:sz w:val="22"/>
          <w:szCs w:val="22"/>
          <w:lang w:val="sk-SK"/>
        </w:rPr>
        <w:t>Umožňuje priebežné monitorovanie pomeru prínosu a rizika lieku.</w:t>
      </w:r>
      <w:r w:rsidRPr="00E350D1">
        <w:rPr>
          <w:sz w:val="22"/>
          <w:szCs w:val="22"/>
          <w:lang w:val="sk-SK"/>
        </w:rPr>
        <w:t xml:space="preserve"> Od </w:t>
      </w:r>
      <w:r w:rsidRPr="00E350D1">
        <w:rPr>
          <w:noProof/>
          <w:sz w:val="22"/>
          <w:szCs w:val="22"/>
          <w:lang w:val="sk-SK"/>
        </w:rPr>
        <w:t xml:space="preserve">zdravotníckych pracovníkov sa vyžaduje, aby hlásili akékoľvek podozrenia na nežiaduce reakcie </w:t>
      </w:r>
      <w:r>
        <w:rPr>
          <w:noProof/>
          <w:sz w:val="22"/>
          <w:szCs w:val="22"/>
          <w:lang w:val="sk-SK"/>
        </w:rPr>
        <w:t xml:space="preserve">na </w:t>
      </w:r>
      <w:r w:rsidRPr="00E350D1">
        <w:rPr>
          <w:noProof/>
          <w:sz w:val="22"/>
          <w:szCs w:val="22"/>
          <w:highlight w:val="lightGray"/>
          <w:lang w:val="sk-SK"/>
        </w:rPr>
        <w:t xml:space="preserve">národné </w:t>
      </w:r>
      <w:r>
        <w:rPr>
          <w:noProof/>
          <w:sz w:val="22"/>
          <w:szCs w:val="22"/>
          <w:highlight w:val="lightGray"/>
          <w:lang w:val="sk-SK"/>
        </w:rPr>
        <w:t>centrum</w:t>
      </w:r>
      <w:r w:rsidRPr="00E350D1">
        <w:rPr>
          <w:noProof/>
          <w:sz w:val="22"/>
          <w:szCs w:val="22"/>
          <w:highlight w:val="lightGray"/>
          <w:lang w:val="sk-SK"/>
        </w:rPr>
        <w:t xml:space="preserve"> hlásenia uvedené v </w:t>
      </w:r>
      <w:hyperlink r:id="rId8" w:history="1">
        <w:r w:rsidRPr="00E350D1">
          <w:rPr>
            <w:rStyle w:val="Hypertextovprepojenie"/>
            <w:noProof/>
            <w:sz w:val="22"/>
            <w:szCs w:val="22"/>
            <w:highlight w:val="lightGray"/>
            <w:lang w:val="sk-SK"/>
          </w:rPr>
          <w:t>Prílohe V</w:t>
        </w:r>
      </w:hyperlink>
      <w:r w:rsidRPr="00E350D1">
        <w:rPr>
          <w:noProof/>
          <w:sz w:val="22"/>
          <w:szCs w:val="22"/>
          <w:lang w:val="sk-SK"/>
        </w:rPr>
        <w:t>.</w:t>
      </w:r>
    </w:p>
    <w:p w14:paraId="56C98801" w14:textId="77777777" w:rsidR="00EC442C" w:rsidRPr="00487D7C" w:rsidRDefault="00EC442C" w:rsidP="00EC442C">
      <w:pPr>
        <w:tabs>
          <w:tab w:val="left" w:pos="567"/>
        </w:tabs>
        <w:rPr>
          <w:sz w:val="22"/>
          <w:szCs w:val="22"/>
          <w:lang w:val="sk-SK"/>
        </w:rPr>
      </w:pPr>
    </w:p>
    <w:p w14:paraId="0C7362D0"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4.9</w:t>
      </w:r>
      <w:r w:rsidRPr="00487D7C">
        <w:rPr>
          <w:b/>
          <w:sz w:val="22"/>
          <w:szCs w:val="22"/>
          <w:lang w:val="sk-SK"/>
        </w:rPr>
        <w:tab/>
      </w:r>
      <w:r w:rsidRPr="00487D7C">
        <w:rPr>
          <w:b/>
          <w:sz w:val="22"/>
          <w:szCs w:val="22"/>
          <w:lang w:val="sk-SK"/>
        </w:rPr>
        <w:tab/>
        <w:t>Predávkovanie</w:t>
      </w:r>
    </w:p>
    <w:p w14:paraId="41A26DE0" w14:textId="77777777" w:rsidR="00EC442C" w:rsidRPr="00487D7C" w:rsidRDefault="00EC442C" w:rsidP="00EC442C">
      <w:pPr>
        <w:tabs>
          <w:tab w:val="left" w:pos="567"/>
        </w:tabs>
        <w:rPr>
          <w:sz w:val="22"/>
          <w:szCs w:val="22"/>
          <w:lang w:val="sk-SK"/>
        </w:rPr>
      </w:pPr>
    </w:p>
    <w:p w14:paraId="0F5DF994" w14:textId="1D385BC0" w:rsidR="00EC442C" w:rsidRPr="00487D7C" w:rsidRDefault="00EC442C" w:rsidP="00EC442C">
      <w:pPr>
        <w:tabs>
          <w:tab w:val="left" w:pos="567"/>
        </w:tabs>
        <w:rPr>
          <w:sz w:val="22"/>
          <w:szCs w:val="22"/>
          <w:lang w:val="sk-SK"/>
        </w:rPr>
      </w:pPr>
      <w:r w:rsidRPr="00487D7C">
        <w:rPr>
          <w:sz w:val="22"/>
          <w:szCs w:val="22"/>
          <w:lang w:val="sk-SK"/>
        </w:rPr>
        <w:t xml:space="preserve">Neboli hlásené žiadne prípady nežiaducich príhod súvisiacich s predávkovaním eplerenónom u ľudí. Predpokladá sa, že najpravdepodobnejším prejavom takéhoto predávkovania je hypotenzia alebo hyperkaliémia. Eplerenón sa nedá odstrániť </w:t>
      </w:r>
      <w:r w:rsidR="00CF6AAD">
        <w:rPr>
          <w:sz w:val="22"/>
          <w:szCs w:val="22"/>
          <w:lang w:val="sk-SK"/>
        </w:rPr>
        <w:t>hemo</w:t>
      </w:r>
      <w:r w:rsidRPr="00487D7C">
        <w:rPr>
          <w:sz w:val="22"/>
          <w:szCs w:val="22"/>
          <w:lang w:val="sk-SK"/>
        </w:rPr>
        <w:t>dialýzou. Bolo dokázané, že eplerenón sa silne viaže na aktívne uhlie. V prípade výskytu symptomatickej hypotenzie, sa má za</w:t>
      </w:r>
      <w:r w:rsidR="00CF6AAD">
        <w:rPr>
          <w:sz w:val="22"/>
          <w:szCs w:val="22"/>
          <w:lang w:val="sk-SK"/>
        </w:rPr>
        <w:t>čať</w:t>
      </w:r>
      <w:r w:rsidRPr="00487D7C">
        <w:rPr>
          <w:sz w:val="22"/>
          <w:szCs w:val="22"/>
          <w:lang w:val="sk-SK"/>
        </w:rPr>
        <w:t xml:space="preserve"> podporná liečba. Ak sa vyskytne hyperkaliémia, má sa za</w:t>
      </w:r>
      <w:r w:rsidR="00CF6AAD">
        <w:rPr>
          <w:sz w:val="22"/>
          <w:szCs w:val="22"/>
          <w:lang w:val="sk-SK"/>
        </w:rPr>
        <w:t>čať</w:t>
      </w:r>
      <w:r w:rsidRPr="00487D7C">
        <w:rPr>
          <w:sz w:val="22"/>
          <w:szCs w:val="22"/>
          <w:lang w:val="sk-SK"/>
        </w:rPr>
        <w:t xml:space="preserve"> štandardná liečba.</w:t>
      </w:r>
    </w:p>
    <w:p w14:paraId="233C5605" w14:textId="77777777" w:rsidR="00EC442C" w:rsidRPr="00487D7C" w:rsidRDefault="00EC442C" w:rsidP="00EC442C">
      <w:pPr>
        <w:tabs>
          <w:tab w:val="left" w:pos="567"/>
        </w:tabs>
        <w:rPr>
          <w:sz w:val="22"/>
          <w:szCs w:val="22"/>
          <w:lang w:val="sk-SK"/>
        </w:rPr>
      </w:pPr>
    </w:p>
    <w:p w14:paraId="5CBCBA95" w14:textId="77777777" w:rsidR="00EC442C" w:rsidRPr="00487D7C" w:rsidRDefault="00EC442C" w:rsidP="00EC442C">
      <w:pPr>
        <w:tabs>
          <w:tab w:val="left" w:pos="567"/>
        </w:tabs>
        <w:rPr>
          <w:sz w:val="22"/>
          <w:szCs w:val="22"/>
          <w:lang w:val="sk-SK"/>
        </w:rPr>
      </w:pPr>
    </w:p>
    <w:p w14:paraId="4F4ECBE2"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5.</w:t>
      </w:r>
      <w:r w:rsidRPr="00487D7C">
        <w:rPr>
          <w:b/>
          <w:sz w:val="22"/>
          <w:szCs w:val="22"/>
          <w:lang w:val="sk-SK"/>
        </w:rPr>
        <w:tab/>
      </w:r>
      <w:r w:rsidRPr="00487D7C">
        <w:rPr>
          <w:b/>
          <w:sz w:val="22"/>
          <w:szCs w:val="22"/>
          <w:lang w:val="sk-SK"/>
        </w:rPr>
        <w:tab/>
        <w:t>FARMAKOLOGICKÉ VLASTNOSTI</w:t>
      </w:r>
    </w:p>
    <w:p w14:paraId="1CF06A35" w14:textId="77777777" w:rsidR="00EC442C" w:rsidRPr="00487D7C" w:rsidRDefault="00EC442C" w:rsidP="00EC442C">
      <w:pPr>
        <w:tabs>
          <w:tab w:val="left" w:pos="567"/>
        </w:tabs>
        <w:ind w:left="567" w:hanging="567"/>
        <w:rPr>
          <w:bCs/>
          <w:sz w:val="22"/>
          <w:szCs w:val="22"/>
          <w:lang w:val="sk-SK"/>
        </w:rPr>
      </w:pPr>
    </w:p>
    <w:p w14:paraId="4E272335"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5.1</w:t>
      </w:r>
      <w:r w:rsidRPr="00487D7C">
        <w:rPr>
          <w:b/>
          <w:sz w:val="22"/>
          <w:szCs w:val="22"/>
          <w:lang w:val="sk-SK"/>
        </w:rPr>
        <w:tab/>
      </w:r>
      <w:r w:rsidRPr="00487D7C">
        <w:rPr>
          <w:b/>
          <w:sz w:val="22"/>
          <w:szCs w:val="22"/>
          <w:lang w:val="sk-SK"/>
        </w:rPr>
        <w:tab/>
        <w:t>Farmakodynamické vlastnosti</w:t>
      </w:r>
    </w:p>
    <w:p w14:paraId="4E7E8BAF" w14:textId="77777777" w:rsidR="00EC442C" w:rsidRPr="00487D7C" w:rsidRDefault="00EC442C" w:rsidP="00EC442C">
      <w:pPr>
        <w:tabs>
          <w:tab w:val="left" w:pos="567"/>
        </w:tabs>
        <w:rPr>
          <w:b/>
          <w:sz w:val="22"/>
          <w:szCs w:val="22"/>
          <w:lang w:val="sk-SK"/>
        </w:rPr>
      </w:pPr>
    </w:p>
    <w:p w14:paraId="67C193D6" w14:textId="77777777" w:rsidR="00EC442C" w:rsidRPr="00487D7C" w:rsidRDefault="00EC442C" w:rsidP="00EC442C">
      <w:pPr>
        <w:tabs>
          <w:tab w:val="left" w:pos="567"/>
        </w:tabs>
        <w:rPr>
          <w:sz w:val="22"/>
          <w:szCs w:val="22"/>
          <w:lang w:val="sk-SK"/>
        </w:rPr>
      </w:pPr>
      <w:r w:rsidRPr="00487D7C">
        <w:rPr>
          <w:sz w:val="22"/>
          <w:szCs w:val="22"/>
          <w:lang w:val="sk-SK"/>
        </w:rPr>
        <w:t xml:space="preserve">Farmakoterapeutická skupina: </w:t>
      </w:r>
      <w:r w:rsidR="0089750A">
        <w:rPr>
          <w:sz w:val="22"/>
          <w:szCs w:val="22"/>
          <w:lang w:val="sk-SK"/>
        </w:rPr>
        <w:t xml:space="preserve">Diuretiká; </w:t>
      </w:r>
      <w:r w:rsidRPr="00487D7C">
        <w:rPr>
          <w:sz w:val="22"/>
          <w:szCs w:val="22"/>
          <w:lang w:val="sk-SK"/>
        </w:rPr>
        <w:t>antagonisty aldosterónu, ATC kód: C03DA04</w:t>
      </w:r>
    </w:p>
    <w:p w14:paraId="08515BBA" w14:textId="77777777" w:rsidR="00EC442C" w:rsidRPr="00487D7C" w:rsidRDefault="00EC442C" w:rsidP="00EC442C">
      <w:pPr>
        <w:tabs>
          <w:tab w:val="left" w:pos="567"/>
        </w:tabs>
        <w:rPr>
          <w:sz w:val="22"/>
          <w:szCs w:val="22"/>
          <w:lang w:val="sk-SK"/>
        </w:rPr>
      </w:pPr>
    </w:p>
    <w:p w14:paraId="3438A006" w14:textId="77777777" w:rsidR="00EC442C" w:rsidRDefault="00EC442C" w:rsidP="00EC442C">
      <w:pPr>
        <w:tabs>
          <w:tab w:val="left" w:pos="567"/>
        </w:tabs>
        <w:rPr>
          <w:sz w:val="22"/>
          <w:szCs w:val="22"/>
          <w:u w:val="single"/>
          <w:lang w:val="sk-SK"/>
        </w:rPr>
      </w:pPr>
      <w:r w:rsidRPr="00E350D1">
        <w:rPr>
          <w:sz w:val="22"/>
          <w:szCs w:val="22"/>
          <w:u w:val="single"/>
          <w:lang w:val="sk-SK"/>
        </w:rPr>
        <w:t>Spôsob účinku</w:t>
      </w:r>
    </w:p>
    <w:p w14:paraId="7B5FDB85" w14:textId="77777777" w:rsidR="0089750A" w:rsidRPr="00E350D1" w:rsidRDefault="0089750A" w:rsidP="00EC442C">
      <w:pPr>
        <w:tabs>
          <w:tab w:val="left" w:pos="567"/>
        </w:tabs>
        <w:rPr>
          <w:sz w:val="22"/>
          <w:szCs w:val="22"/>
          <w:u w:val="single"/>
          <w:lang w:val="sk-SK"/>
        </w:rPr>
      </w:pPr>
    </w:p>
    <w:p w14:paraId="27757940" w14:textId="16248B27" w:rsidR="00EC442C" w:rsidRPr="00487D7C" w:rsidRDefault="00EC442C" w:rsidP="00EC442C">
      <w:pPr>
        <w:tabs>
          <w:tab w:val="left" w:pos="567"/>
        </w:tabs>
        <w:rPr>
          <w:sz w:val="22"/>
          <w:szCs w:val="22"/>
          <w:lang w:val="sk-SK"/>
        </w:rPr>
      </w:pPr>
      <w:r w:rsidRPr="00487D7C">
        <w:rPr>
          <w:sz w:val="22"/>
          <w:szCs w:val="22"/>
          <w:lang w:val="sk-SK"/>
        </w:rPr>
        <w:t>Eplerenón sa relatívne selektívne viaže na ľudské rekombinantné mineralokortikoidové receptory v porovnaní s jeho väzbou na rekombinantné glukokortikoidové, progesterónové a androgénové receptory. Eplerenón bráni naviazaniu aldosterónu, kľúčového hormónu v systéme renín</w:t>
      </w:r>
      <w:r w:rsidRPr="00487D7C">
        <w:rPr>
          <w:sz w:val="22"/>
          <w:szCs w:val="22"/>
          <w:lang w:val="sk-SK"/>
        </w:rPr>
        <w:noBreakHyphen/>
        <w:t>angiotenzín</w:t>
      </w:r>
      <w:r w:rsidRPr="00487D7C">
        <w:rPr>
          <w:sz w:val="22"/>
          <w:szCs w:val="22"/>
          <w:lang w:val="sk-SK"/>
        </w:rPr>
        <w:noBreakHyphen/>
        <w:t xml:space="preserve">aldosterón (RAAS), ktorý sa zúčastňuje regulácie tlaku krvi a má úlohu aj v patofyziológii </w:t>
      </w:r>
      <w:r w:rsidR="00294A06">
        <w:rPr>
          <w:sz w:val="22"/>
          <w:szCs w:val="22"/>
          <w:lang w:val="sk-SK"/>
        </w:rPr>
        <w:t>kardiovaskulárnych (KV)</w:t>
      </w:r>
      <w:r w:rsidRPr="00487D7C">
        <w:rPr>
          <w:sz w:val="22"/>
          <w:szCs w:val="22"/>
          <w:lang w:val="sk-SK"/>
        </w:rPr>
        <w:t xml:space="preserve"> ochorení.</w:t>
      </w:r>
    </w:p>
    <w:p w14:paraId="60B95082" w14:textId="77777777" w:rsidR="00EC442C" w:rsidRPr="00487D7C" w:rsidRDefault="00EC442C" w:rsidP="00EC442C">
      <w:pPr>
        <w:tabs>
          <w:tab w:val="left" w:pos="567"/>
        </w:tabs>
        <w:rPr>
          <w:sz w:val="22"/>
          <w:szCs w:val="22"/>
          <w:lang w:val="sk-SK"/>
        </w:rPr>
      </w:pPr>
    </w:p>
    <w:p w14:paraId="40527746" w14:textId="77777777" w:rsidR="00EC442C" w:rsidRDefault="00EC442C" w:rsidP="00EC442C">
      <w:pPr>
        <w:tabs>
          <w:tab w:val="left" w:pos="567"/>
        </w:tabs>
        <w:rPr>
          <w:sz w:val="22"/>
          <w:szCs w:val="22"/>
          <w:u w:val="single"/>
          <w:lang w:val="sk-SK"/>
        </w:rPr>
      </w:pPr>
      <w:r w:rsidRPr="00E350D1">
        <w:rPr>
          <w:sz w:val="22"/>
          <w:szCs w:val="22"/>
          <w:u w:val="single"/>
          <w:lang w:val="sk-SK"/>
        </w:rPr>
        <w:t>Farmakodynamické účinky</w:t>
      </w:r>
    </w:p>
    <w:p w14:paraId="36B68F6C" w14:textId="77777777" w:rsidR="00E56A67" w:rsidRPr="00E350D1" w:rsidRDefault="00E56A67" w:rsidP="00EC442C">
      <w:pPr>
        <w:tabs>
          <w:tab w:val="left" w:pos="567"/>
        </w:tabs>
        <w:rPr>
          <w:sz w:val="22"/>
          <w:szCs w:val="22"/>
          <w:u w:val="single"/>
          <w:lang w:val="sk-SK"/>
        </w:rPr>
      </w:pPr>
    </w:p>
    <w:p w14:paraId="14A8F7A8" w14:textId="77777777" w:rsidR="00EC442C" w:rsidRPr="00487D7C" w:rsidRDefault="00EC442C" w:rsidP="00EC442C">
      <w:pPr>
        <w:tabs>
          <w:tab w:val="left" w:pos="567"/>
        </w:tabs>
        <w:rPr>
          <w:sz w:val="22"/>
          <w:szCs w:val="22"/>
          <w:lang w:val="sk-SK"/>
        </w:rPr>
      </w:pPr>
      <w:r w:rsidRPr="00487D7C">
        <w:rPr>
          <w:sz w:val="22"/>
          <w:szCs w:val="22"/>
          <w:lang w:val="sk-SK"/>
        </w:rPr>
        <w:t>Bolo preukázané, že eplerenón vyvoláva trvalý vzostup plazmatického renínu a aldosterónu v sére, zodpovedajúci inhibícii negatívnej spätnej väzby aldosterónu na sekréciu renínu. Následné zvýšenie plazmatickej aktivity renínu a hladiny cirkulujúceho aldosterónu neprevýši účinky eplerenónu.</w:t>
      </w:r>
    </w:p>
    <w:p w14:paraId="31319E35" w14:textId="77777777" w:rsidR="00EC442C" w:rsidRPr="00487D7C" w:rsidRDefault="00EC442C" w:rsidP="00EC442C">
      <w:pPr>
        <w:tabs>
          <w:tab w:val="left" w:pos="567"/>
        </w:tabs>
        <w:rPr>
          <w:sz w:val="22"/>
          <w:szCs w:val="22"/>
          <w:lang w:val="sk-SK"/>
        </w:rPr>
      </w:pPr>
    </w:p>
    <w:p w14:paraId="578F173E" w14:textId="3088F46A" w:rsidR="00EC442C" w:rsidRPr="00487D7C" w:rsidRDefault="00EC442C" w:rsidP="00EC442C">
      <w:pPr>
        <w:tabs>
          <w:tab w:val="left" w:pos="567"/>
        </w:tabs>
        <w:rPr>
          <w:sz w:val="22"/>
          <w:szCs w:val="22"/>
          <w:lang w:val="sk-SK"/>
        </w:rPr>
      </w:pPr>
      <w:r w:rsidRPr="00AC1C31">
        <w:rPr>
          <w:sz w:val="22"/>
          <w:szCs w:val="22"/>
          <w:lang w:val="sk-SK"/>
        </w:rPr>
        <w:t>V štúdiách chronického zlyhávania</w:t>
      </w:r>
      <w:r w:rsidR="008833E6">
        <w:rPr>
          <w:sz w:val="22"/>
          <w:szCs w:val="22"/>
          <w:lang w:val="sk-SK"/>
        </w:rPr>
        <w:t xml:space="preserve"> srdca</w:t>
      </w:r>
      <w:r w:rsidRPr="00AC1C31">
        <w:rPr>
          <w:sz w:val="22"/>
          <w:szCs w:val="22"/>
          <w:lang w:val="sk-SK"/>
        </w:rPr>
        <w:t xml:space="preserve"> (NYHA</w:t>
      </w:r>
      <w:r w:rsidRPr="00487D7C">
        <w:rPr>
          <w:sz w:val="22"/>
          <w:szCs w:val="22"/>
          <w:lang w:val="sk-SK"/>
        </w:rPr>
        <w:t xml:space="preserve"> klasifikácia II – IV), ktoré sa zaoberali </w:t>
      </w:r>
      <w:r w:rsidR="00600C71">
        <w:rPr>
          <w:sz w:val="22"/>
          <w:szCs w:val="22"/>
          <w:lang w:val="sk-SK"/>
        </w:rPr>
        <w:t>stanovením veľkosti liečebnej dávky</w:t>
      </w:r>
      <w:r w:rsidR="004963EC">
        <w:rPr>
          <w:sz w:val="22"/>
          <w:szCs w:val="22"/>
          <w:lang w:val="sk-SK"/>
        </w:rPr>
        <w:t xml:space="preserve"> </w:t>
      </w:r>
      <w:r w:rsidRPr="00487D7C">
        <w:rPr>
          <w:sz w:val="22"/>
          <w:szCs w:val="22"/>
          <w:lang w:val="sk-SK"/>
        </w:rPr>
        <w:t xml:space="preserve">eplerenónu, pridanie eplerenónu </w:t>
      </w:r>
      <w:r w:rsidR="008833E6">
        <w:rPr>
          <w:sz w:val="22"/>
          <w:szCs w:val="22"/>
          <w:lang w:val="sk-SK"/>
        </w:rPr>
        <w:t>k</w:t>
      </w:r>
      <w:r w:rsidRPr="00487D7C">
        <w:rPr>
          <w:sz w:val="22"/>
          <w:szCs w:val="22"/>
          <w:lang w:val="sk-SK"/>
        </w:rPr>
        <w:t xml:space="preserve"> štandardnej liečb</w:t>
      </w:r>
      <w:r w:rsidR="008833E6">
        <w:rPr>
          <w:sz w:val="22"/>
          <w:szCs w:val="22"/>
          <w:lang w:val="sk-SK"/>
        </w:rPr>
        <w:t>e</w:t>
      </w:r>
      <w:r w:rsidRPr="00487D7C">
        <w:rPr>
          <w:sz w:val="22"/>
          <w:szCs w:val="22"/>
          <w:lang w:val="sk-SK"/>
        </w:rPr>
        <w:t xml:space="preserve"> spôsobilo očakávané od dávky závislé zvýšenie aldosterónu. Podobne aj </w:t>
      </w:r>
      <w:r w:rsidRPr="00600C71">
        <w:rPr>
          <w:sz w:val="22"/>
          <w:szCs w:val="22"/>
          <w:lang w:val="sk-SK"/>
        </w:rPr>
        <w:t>v kardiorenálnej podštúdii štúdie</w:t>
      </w:r>
      <w:r w:rsidRPr="00487D7C">
        <w:rPr>
          <w:sz w:val="22"/>
          <w:szCs w:val="22"/>
          <w:lang w:val="sk-SK"/>
        </w:rPr>
        <w:t xml:space="preserve"> EPHESUS liečba eplerenónom viedla k signifikantnému zvýšeniu aldosterónu. Tieto výsledky sú dôkazom blokovania mineralokortikoidových receptorov u pacientov liečených eplerenónom.</w:t>
      </w:r>
    </w:p>
    <w:p w14:paraId="277B8403" w14:textId="77777777" w:rsidR="00EC442C" w:rsidRPr="00487D7C" w:rsidRDefault="00EC442C" w:rsidP="00EC442C">
      <w:pPr>
        <w:tabs>
          <w:tab w:val="left" w:pos="567"/>
        </w:tabs>
        <w:rPr>
          <w:sz w:val="22"/>
          <w:szCs w:val="22"/>
          <w:lang w:val="sk-SK"/>
        </w:rPr>
      </w:pPr>
    </w:p>
    <w:p w14:paraId="48841C70" w14:textId="5D929569" w:rsidR="00EC442C" w:rsidRPr="00487D7C" w:rsidRDefault="00EC442C" w:rsidP="00EC442C">
      <w:pPr>
        <w:tabs>
          <w:tab w:val="left" w:pos="567"/>
        </w:tabs>
        <w:rPr>
          <w:sz w:val="22"/>
          <w:szCs w:val="22"/>
          <w:lang w:val="sk-SK"/>
        </w:rPr>
      </w:pPr>
      <w:r w:rsidRPr="00487D7C">
        <w:rPr>
          <w:sz w:val="22"/>
          <w:szCs w:val="22"/>
          <w:lang w:val="sk-SK"/>
        </w:rPr>
        <w:t>Eplerenón sa skúmal v štúdii EPHESUS. EPHESUS bola dvojito zaslepená, placebom kontrolovaná štúdi</w:t>
      </w:r>
      <w:r w:rsidR="00707542">
        <w:rPr>
          <w:sz w:val="22"/>
          <w:szCs w:val="22"/>
          <w:lang w:val="sk-SK"/>
        </w:rPr>
        <w:t>a, trvala tri roky a zahŕňala 6</w:t>
      </w:r>
      <w:r w:rsidR="008833E6">
        <w:rPr>
          <w:sz w:val="22"/>
          <w:szCs w:val="22"/>
          <w:lang w:val="sk-SK"/>
        </w:rPr>
        <w:t xml:space="preserve"> </w:t>
      </w:r>
      <w:r w:rsidRPr="00487D7C">
        <w:rPr>
          <w:sz w:val="22"/>
          <w:szCs w:val="22"/>
          <w:lang w:val="sk-SK"/>
        </w:rPr>
        <w:t xml:space="preserve">632 účastníkov s akútnym IM, dysfunkciou ľavej komory (stanovenej na základe zníženia ejekčnej frakcie ľavej komory </w:t>
      </w:r>
      <w:r w:rsidRPr="00487D7C">
        <w:rPr>
          <w:sz w:val="22"/>
          <w:szCs w:val="22"/>
          <w:lang w:val="sk-SK"/>
        </w:rPr>
        <w:sym w:font="Times New Roman" w:char="005B"/>
      </w:r>
      <w:r w:rsidRPr="00487D7C">
        <w:rPr>
          <w:sz w:val="22"/>
          <w:szCs w:val="22"/>
          <w:lang w:val="sk-SK"/>
        </w:rPr>
        <w:t>LVEF</w:t>
      </w:r>
      <w:r w:rsidRPr="00487D7C">
        <w:rPr>
          <w:sz w:val="22"/>
          <w:szCs w:val="22"/>
          <w:lang w:val="sk-SK"/>
        </w:rPr>
        <w:sym w:font="Times New Roman" w:char="005D"/>
      </w:r>
      <w:r w:rsidRPr="00487D7C">
        <w:rPr>
          <w:sz w:val="22"/>
          <w:szCs w:val="22"/>
          <w:lang w:val="sk-SK"/>
        </w:rPr>
        <w:t xml:space="preserve"> na ≤ 40 %) a klinickými </w:t>
      </w:r>
      <w:r w:rsidR="008833E6">
        <w:rPr>
          <w:sz w:val="22"/>
          <w:szCs w:val="22"/>
          <w:lang w:val="sk-SK"/>
        </w:rPr>
        <w:t>prejavmi</w:t>
      </w:r>
      <w:r w:rsidR="008833E6" w:rsidRPr="00487D7C">
        <w:rPr>
          <w:sz w:val="22"/>
          <w:szCs w:val="22"/>
          <w:lang w:val="sk-SK"/>
        </w:rPr>
        <w:t xml:space="preserve"> </w:t>
      </w:r>
      <w:r w:rsidRPr="00487D7C">
        <w:rPr>
          <w:sz w:val="22"/>
          <w:szCs w:val="22"/>
          <w:lang w:val="sk-SK"/>
        </w:rPr>
        <w:t>zlyhávania</w:t>
      </w:r>
      <w:r w:rsidR="008833E6">
        <w:rPr>
          <w:sz w:val="22"/>
          <w:szCs w:val="22"/>
          <w:lang w:val="sk-SK"/>
        </w:rPr>
        <w:t xml:space="preserve"> srdca</w:t>
      </w:r>
      <w:r w:rsidRPr="00487D7C">
        <w:rPr>
          <w:sz w:val="22"/>
          <w:szCs w:val="22"/>
          <w:lang w:val="sk-SK"/>
        </w:rPr>
        <w:t>. V rozpätí 3 až 14 dní po akútnom IM (v priemere 7 dní) začali účastníci k štandardnej liečbe užívať placebo alebo eplerenón</w:t>
      </w:r>
      <w:r w:rsidR="00707542">
        <w:rPr>
          <w:sz w:val="22"/>
          <w:szCs w:val="22"/>
          <w:lang w:val="sk-SK"/>
        </w:rPr>
        <w:t xml:space="preserve"> v úvodnej dávke 25 mg jedenkrát</w:t>
      </w:r>
      <w:r w:rsidRPr="00487D7C">
        <w:rPr>
          <w:sz w:val="22"/>
          <w:szCs w:val="22"/>
          <w:lang w:val="sk-SK"/>
        </w:rPr>
        <w:t xml:space="preserve"> denne, táto sa počas 4 týždňov </w:t>
      </w:r>
      <w:r w:rsidR="00707542">
        <w:rPr>
          <w:sz w:val="22"/>
          <w:szCs w:val="22"/>
          <w:lang w:val="sk-SK"/>
        </w:rPr>
        <w:t>titrovala na cieľovú dávku 50 mg jedenkrát</w:t>
      </w:r>
      <w:r w:rsidRPr="00487D7C">
        <w:rPr>
          <w:sz w:val="22"/>
          <w:szCs w:val="22"/>
          <w:lang w:val="sk-SK"/>
        </w:rPr>
        <w:t xml:space="preserve"> denne, ak hladina draslíka v sére bola &lt; 5,0 mmol/l. Štandardná liečba počas štúdie zahŕňala kyselinu acetylsalicylovú (92 % účastníkov), inhibítory </w:t>
      </w:r>
      <w:r w:rsidR="008833E6">
        <w:rPr>
          <w:sz w:val="22"/>
          <w:szCs w:val="22"/>
          <w:lang w:val="sk-SK"/>
        </w:rPr>
        <w:t xml:space="preserve">ACE </w:t>
      </w:r>
      <w:r w:rsidRPr="00487D7C">
        <w:rPr>
          <w:sz w:val="22"/>
          <w:szCs w:val="22"/>
          <w:lang w:val="sk-SK"/>
        </w:rPr>
        <w:t xml:space="preserve">(90 %), betablokátory (83 %), nitráty (72 %), </w:t>
      </w:r>
      <w:r w:rsidR="008833E6">
        <w:rPr>
          <w:sz w:val="22"/>
          <w:szCs w:val="22"/>
          <w:lang w:val="sk-SK"/>
        </w:rPr>
        <w:t>kľučkové</w:t>
      </w:r>
      <w:r w:rsidR="008833E6" w:rsidRPr="00487D7C">
        <w:rPr>
          <w:sz w:val="22"/>
          <w:szCs w:val="22"/>
          <w:lang w:val="sk-SK"/>
        </w:rPr>
        <w:t xml:space="preserve"> </w:t>
      </w:r>
      <w:r w:rsidRPr="00487D7C">
        <w:rPr>
          <w:sz w:val="22"/>
          <w:szCs w:val="22"/>
          <w:lang w:val="sk-SK"/>
        </w:rPr>
        <w:t>diuretiká (66 %) alebo inhibítory hydroxymetylglutaryl</w:t>
      </w:r>
      <w:r w:rsidR="008833E6">
        <w:rPr>
          <w:sz w:val="22"/>
          <w:szCs w:val="22"/>
          <w:lang w:val="sk-SK"/>
        </w:rPr>
        <w:t xml:space="preserve"> </w:t>
      </w:r>
      <w:r w:rsidRPr="00487D7C">
        <w:rPr>
          <w:sz w:val="22"/>
          <w:szCs w:val="22"/>
          <w:lang w:val="sk-SK"/>
        </w:rPr>
        <w:t>CoA</w:t>
      </w:r>
      <w:r w:rsidR="008833E6">
        <w:rPr>
          <w:sz w:val="22"/>
          <w:szCs w:val="22"/>
          <w:lang w:val="sk-SK"/>
        </w:rPr>
        <w:t xml:space="preserve"> -</w:t>
      </w:r>
      <w:r w:rsidRPr="00487D7C">
        <w:rPr>
          <w:sz w:val="22"/>
          <w:szCs w:val="22"/>
          <w:lang w:val="sk-SK"/>
        </w:rPr>
        <w:t xml:space="preserve"> reduktázy (60 %).</w:t>
      </w:r>
    </w:p>
    <w:p w14:paraId="0F43DB1E" w14:textId="77777777" w:rsidR="00EC442C" w:rsidRPr="00487D7C" w:rsidRDefault="00EC442C" w:rsidP="00EC442C">
      <w:pPr>
        <w:tabs>
          <w:tab w:val="left" w:pos="567"/>
        </w:tabs>
        <w:rPr>
          <w:sz w:val="22"/>
          <w:szCs w:val="22"/>
          <w:lang w:val="sk-SK"/>
        </w:rPr>
      </w:pPr>
    </w:p>
    <w:p w14:paraId="3939CCFD" w14:textId="78F09E2B" w:rsidR="00EC442C" w:rsidRPr="00487D7C" w:rsidRDefault="00EC442C" w:rsidP="00EC442C">
      <w:pPr>
        <w:tabs>
          <w:tab w:val="left" w:pos="567"/>
        </w:tabs>
        <w:rPr>
          <w:sz w:val="22"/>
          <w:szCs w:val="22"/>
          <w:lang w:val="sk-SK"/>
        </w:rPr>
      </w:pPr>
      <w:r w:rsidRPr="00487D7C">
        <w:rPr>
          <w:sz w:val="22"/>
          <w:szCs w:val="22"/>
          <w:lang w:val="sk-SK"/>
        </w:rPr>
        <w:t xml:space="preserve">V štúdii EPHESUS boli </w:t>
      </w:r>
      <w:r w:rsidR="00E44AD9">
        <w:rPr>
          <w:sz w:val="22"/>
          <w:szCs w:val="22"/>
          <w:lang w:val="sk-SK"/>
        </w:rPr>
        <w:t>primárnymi cieľovými ukazovateľmi</w:t>
      </w:r>
      <w:r w:rsidRPr="00487D7C">
        <w:rPr>
          <w:sz w:val="22"/>
          <w:szCs w:val="22"/>
          <w:lang w:val="sk-SK"/>
        </w:rPr>
        <w:t xml:space="preserve"> mortalita z akejkoľvek príčiny a</w:t>
      </w:r>
      <w:r w:rsidR="004963EC">
        <w:rPr>
          <w:sz w:val="22"/>
          <w:szCs w:val="22"/>
          <w:lang w:val="sk-SK"/>
        </w:rPr>
        <w:t> </w:t>
      </w:r>
      <w:r w:rsidRPr="00487D7C">
        <w:rPr>
          <w:sz w:val="22"/>
          <w:szCs w:val="22"/>
          <w:lang w:val="sk-SK"/>
        </w:rPr>
        <w:t>kombinovaný</w:t>
      </w:r>
      <w:r w:rsidR="004963EC">
        <w:rPr>
          <w:sz w:val="22"/>
          <w:szCs w:val="22"/>
          <w:lang w:val="sk-SK"/>
        </w:rPr>
        <w:t xml:space="preserve"> </w:t>
      </w:r>
      <w:r w:rsidR="00E44AD9">
        <w:rPr>
          <w:sz w:val="22"/>
          <w:szCs w:val="22"/>
          <w:lang w:val="sk-SK"/>
        </w:rPr>
        <w:t xml:space="preserve">ukazovateľ </w:t>
      </w:r>
      <w:r w:rsidRPr="00487D7C">
        <w:rPr>
          <w:sz w:val="22"/>
          <w:szCs w:val="22"/>
          <w:lang w:val="sk-SK"/>
        </w:rPr>
        <w:t>skladajúci sa z</w:t>
      </w:r>
      <w:r w:rsidR="00600C71">
        <w:rPr>
          <w:sz w:val="22"/>
          <w:szCs w:val="22"/>
          <w:lang w:val="sk-SK"/>
        </w:rPr>
        <w:t> </w:t>
      </w:r>
      <w:r w:rsidRPr="00487D7C">
        <w:rPr>
          <w:sz w:val="22"/>
          <w:szCs w:val="22"/>
          <w:lang w:val="sk-SK"/>
        </w:rPr>
        <w:t>úmrtia</w:t>
      </w:r>
      <w:r w:rsidR="00600C71">
        <w:rPr>
          <w:sz w:val="22"/>
          <w:szCs w:val="22"/>
          <w:lang w:val="sk-SK"/>
        </w:rPr>
        <w:t xml:space="preserve"> alebo</w:t>
      </w:r>
      <w:r w:rsidR="004963EC">
        <w:rPr>
          <w:sz w:val="22"/>
          <w:szCs w:val="22"/>
          <w:lang w:val="sk-SK"/>
        </w:rPr>
        <w:t xml:space="preserve"> </w:t>
      </w:r>
      <w:r w:rsidRPr="00487D7C">
        <w:rPr>
          <w:sz w:val="22"/>
          <w:szCs w:val="22"/>
          <w:lang w:val="sk-SK"/>
        </w:rPr>
        <w:t xml:space="preserve">hospitalizácií z kardiovaskulárnych (KV) príčin. V skupine s eplerenónom zomrelo (z akejkoľvek príčiny) 14,4 % účastníkov a v skupine </w:t>
      </w:r>
      <w:r w:rsidRPr="00487D7C">
        <w:rPr>
          <w:sz w:val="22"/>
          <w:szCs w:val="22"/>
          <w:lang w:val="sk-SK"/>
        </w:rPr>
        <w:lastRenderedPageBreak/>
        <w:t>s placebom 16,7 % účastníkov, zatiaľ čo 26,7 % účastníkov v skupine s eplerenónom a 30 % účastníkov v skupine s placebom zomrelo alebo bolo hospitalizovaných z KV dôvodov. V štúdii EPHESUS  eplerenón znížil riziko úmrtia z akejkoľvek príčiny o 15 % (RR 0,85; 95 % IS: 0,75 </w:t>
      </w:r>
      <w:r w:rsidRPr="00487D7C">
        <w:rPr>
          <w:sz w:val="22"/>
          <w:szCs w:val="22"/>
          <w:lang w:val="sk-SK"/>
        </w:rPr>
        <w:noBreakHyphen/>
        <w:t> 0,96; p = 0,008) v porovnaní s placebom, primárne znížením KV mortality. Eplerenón znížil riziko úmrtia na KV ochorenie alebo hospitalizácie z dôvodu KV ochorenia o 13 % (RR 0,87; 95 % IS: 0,79 </w:t>
      </w:r>
      <w:r w:rsidRPr="00487D7C">
        <w:rPr>
          <w:sz w:val="22"/>
          <w:szCs w:val="22"/>
          <w:lang w:val="sk-SK"/>
        </w:rPr>
        <w:noBreakHyphen/>
        <w:t> 0,95; p = 0,002). Absolútne zníženie rizika z hľadiska sledovaných parametrov – mortality z akejkoľvek príčiny</w:t>
      </w:r>
      <w:r w:rsidR="00600C71">
        <w:rPr>
          <w:sz w:val="22"/>
          <w:szCs w:val="22"/>
          <w:lang w:val="sk-SK"/>
        </w:rPr>
        <w:t xml:space="preserve"> alebo</w:t>
      </w:r>
      <w:r w:rsidRPr="00487D7C">
        <w:rPr>
          <w:sz w:val="22"/>
          <w:szCs w:val="22"/>
          <w:lang w:val="sk-SK"/>
        </w:rPr>
        <w:t xml:space="preserve"> KV mortality/hospitalizácie bolo 2,3 %</w:t>
      </w:r>
      <w:r w:rsidR="00600C71">
        <w:rPr>
          <w:sz w:val="22"/>
          <w:szCs w:val="22"/>
          <w:lang w:val="sk-SK"/>
        </w:rPr>
        <w:t xml:space="preserve"> a</w:t>
      </w:r>
      <w:r w:rsidRPr="00487D7C">
        <w:rPr>
          <w:sz w:val="22"/>
          <w:szCs w:val="22"/>
          <w:lang w:val="sk-SK"/>
        </w:rPr>
        <w:t xml:space="preserve">3,3 %. Klinická účinnosť sa preukázala predovšetkým u účastníkov, ktorí mali pri začatí liečby eplerenónom menej ako 75 rokov. Prínos tejto liečby u účastníkov starších ako 75 rokov je nejasný. V porovnaní s placebom sa klasifikácia funkčného stupňa NYHA zlepšila, resp. ostala nezmenená u štatisticky </w:t>
      </w:r>
      <w:r w:rsidRPr="00457B9E">
        <w:rPr>
          <w:sz w:val="22"/>
          <w:szCs w:val="22"/>
          <w:lang w:val="sk-SK"/>
        </w:rPr>
        <w:t>významného</w:t>
      </w:r>
      <w:r w:rsidRPr="00487D7C">
        <w:rPr>
          <w:sz w:val="22"/>
          <w:szCs w:val="22"/>
          <w:lang w:val="sk-SK"/>
        </w:rPr>
        <w:t xml:space="preserve"> vyššieho počtu účastníkov, ktorí dostávali eplerenón. Incidencia hyperkaliémie bola v skupine s eplerenónom 3,4 % oproti 2,0 % v skupine s placebom (p </w:t>
      </w:r>
      <w:r w:rsidRPr="00487D7C">
        <w:rPr>
          <w:sz w:val="22"/>
          <w:szCs w:val="22"/>
          <w:lang w:val="sk-SK"/>
        </w:rPr>
        <w:sym w:font="Times New Roman" w:char="003C"/>
      </w:r>
      <w:r w:rsidRPr="00487D7C">
        <w:rPr>
          <w:sz w:val="22"/>
          <w:szCs w:val="22"/>
          <w:lang w:val="sk-SK"/>
        </w:rPr>
        <w:t> 0,001). Incidencia hypokaliémie bola 0,5 % v skupine s eplerenónom oproti 1,5 % v skupine s placebom (p &lt; 0,001).</w:t>
      </w:r>
    </w:p>
    <w:p w14:paraId="7979DD80" w14:textId="77777777" w:rsidR="00EC442C" w:rsidRPr="00487D7C" w:rsidRDefault="00EC442C" w:rsidP="00EC442C">
      <w:pPr>
        <w:tabs>
          <w:tab w:val="left" w:pos="567"/>
        </w:tabs>
        <w:rPr>
          <w:sz w:val="22"/>
          <w:szCs w:val="22"/>
          <w:lang w:val="sk-SK"/>
        </w:rPr>
      </w:pPr>
    </w:p>
    <w:p w14:paraId="53335E4D" w14:textId="1534457B" w:rsidR="00EC442C" w:rsidRPr="00487D7C" w:rsidRDefault="00EC442C" w:rsidP="00EC442C">
      <w:pPr>
        <w:tabs>
          <w:tab w:val="left" w:pos="567"/>
        </w:tabs>
        <w:rPr>
          <w:sz w:val="22"/>
          <w:szCs w:val="22"/>
          <w:lang w:val="sk-SK"/>
        </w:rPr>
      </w:pPr>
      <w:r w:rsidRPr="00487D7C">
        <w:rPr>
          <w:sz w:val="22"/>
          <w:szCs w:val="22"/>
          <w:lang w:val="sk-SK"/>
        </w:rPr>
        <w:t>U 147 </w:t>
      </w:r>
      <w:r w:rsidR="00600C71">
        <w:rPr>
          <w:sz w:val="22"/>
          <w:szCs w:val="22"/>
          <w:lang w:val="sk-SK"/>
        </w:rPr>
        <w:t>zdravých</w:t>
      </w:r>
      <w:r w:rsidR="00600C71" w:rsidRPr="00487D7C">
        <w:rPr>
          <w:sz w:val="22"/>
          <w:szCs w:val="22"/>
          <w:lang w:val="sk-SK"/>
        </w:rPr>
        <w:t xml:space="preserve"> </w:t>
      </w:r>
      <w:r w:rsidR="00600C71">
        <w:rPr>
          <w:sz w:val="22"/>
          <w:szCs w:val="22"/>
          <w:lang w:val="sk-SK"/>
        </w:rPr>
        <w:t>osôb</w:t>
      </w:r>
      <w:r w:rsidRPr="00487D7C">
        <w:rPr>
          <w:sz w:val="22"/>
          <w:szCs w:val="22"/>
          <w:lang w:val="sk-SK"/>
        </w:rPr>
        <w:t>, u ktorých sa počas farmakokinetických štúdií hodnotili zmeny na EKG, sa nezaznamenalo žiadne významné ovplyvnenie pulzovej frekvencie, trvania QRS alebo PR alebo QT intervalov eplerenónom.</w:t>
      </w:r>
    </w:p>
    <w:p w14:paraId="74B591E7" w14:textId="77777777" w:rsidR="00EC442C" w:rsidRPr="00487D7C" w:rsidRDefault="00EC442C" w:rsidP="00EC442C">
      <w:pPr>
        <w:tabs>
          <w:tab w:val="left" w:pos="567"/>
        </w:tabs>
        <w:rPr>
          <w:sz w:val="22"/>
          <w:szCs w:val="22"/>
          <w:lang w:val="sk-SK"/>
        </w:rPr>
      </w:pPr>
    </w:p>
    <w:p w14:paraId="74AB3444" w14:textId="4D1BB58C" w:rsidR="00EC442C" w:rsidRPr="00487D7C" w:rsidRDefault="00EC442C" w:rsidP="00EC442C">
      <w:pPr>
        <w:tabs>
          <w:tab w:val="left" w:pos="567"/>
        </w:tabs>
        <w:rPr>
          <w:sz w:val="22"/>
          <w:szCs w:val="22"/>
          <w:lang w:val="sk-SK"/>
        </w:rPr>
      </w:pPr>
      <w:r w:rsidRPr="00487D7C">
        <w:rPr>
          <w:sz w:val="22"/>
          <w:szCs w:val="22"/>
          <w:lang w:val="sk-SK"/>
        </w:rPr>
        <w:t>V štúdii EMPHASIS-HF sa skúmal vplyv eplerenónu po jeho pridaní k štandardnej liečbe na klinické výsledky u účastníkov so systolickým zlyhávaním</w:t>
      </w:r>
      <w:r w:rsidR="003649A7">
        <w:rPr>
          <w:sz w:val="22"/>
          <w:szCs w:val="22"/>
          <w:lang w:val="sk-SK"/>
        </w:rPr>
        <w:t xml:space="preserve"> srdca</w:t>
      </w:r>
      <w:r w:rsidRPr="00487D7C">
        <w:rPr>
          <w:sz w:val="22"/>
          <w:szCs w:val="22"/>
          <w:lang w:val="sk-SK"/>
        </w:rPr>
        <w:t xml:space="preserve"> a </w:t>
      </w:r>
      <w:r w:rsidR="003649A7">
        <w:rPr>
          <w:sz w:val="22"/>
          <w:szCs w:val="22"/>
          <w:lang w:val="sk-SK"/>
        </w:rPr>
        <w:t>miernymi</w:t>
      </w:r>
      <w:r w:rsidR="003649A7" w:rsidRPr="00487D7C">
        <w:rPr>
          <w:sz w:val="22"/>
          <w:szCs w:val="22"/>
          <w:lang w:val="sk-SK"/>
        </w:rPr>
        <w:t xml:space="preserve"> </w:t>
      </w:r>
      <w:r w:rsidRPr="00487D7C">
        <w:rPr>
          <w:sz w:val="22"/>
          <w:szCs w:val="22"/>
          <w:lang w:val="sk-SK"/>
        </w:rPr>
        <w:t>symptómami (funkčná trieda NYHA II).</w:t>
      </w:r>
    </w:p>
    <w:p w14:paraId="6700FD87" w14:textId="77777777" w:rsidR="00EC442C" w:rsidRPr="00487D7C" w:rsidRDefault="00EC442C" w:rsidP="00EC442C">
      <w:pPr>
        <w:tabs>
          <w:tab w:val="left" w:pos="567"/>
        </w:tabs>
        <w:rPr>
          <w:sz w:val="22"/>
          <w:szCs w:val="22"/>
          <w:lang w:val="sk-SK"/>
        </w:rPr>
      </w:pPr>
    </w:p>
    <w:p w14:paraId="2C0B0261" w14:textId="6311A229" w:rsidR="00EC442C" w:rsidRPr="00487D7C" w:rsidRDefault="00EC442C" w:rsidP="00EC442C">
      <w:pPr>
        <w:tabs>
          <w:tab w:val="left" w:pos="567"/>
        </w:tabs>
        <w:rPr>
          <w:sz w:val="22"/>
          <w:szCs w:val="22"/>
          <w:lang w:val="sk-SK"/>
        </w:rPr>
      </w:pPr>
      <w:r w:rsidRPr="00487D7C">
        <w:rPr>
          <w:sz w:val="22"/>
          <w:szCs w:val="22"/>
          <w:lang w:val="sk-SK"/>
        </w:rPr>
        <w:t xml:space="preserve">Účastníci boli zaradení, ak mali minimálne 55 rokov, mali LVEF </w:t>
      </w:r>
      <w:r w:rsidRPr="00487D7C">
        <w:rPr>
          <w:sz w:val="22"/>
          <w:szCs w:val="22"/>
          <w:lang w:val="sk-SK"/>
        </w:rPr>
        <w:sym w:font="Symbol" w:char="00A3"/>
      </w:r>
      <w:r w:rsidRPr="00487D7C">
        <w:rPr>
          <w:sz w:val="22"/>
          <w:szCs w:val="22"/>
          <w:lang w:val="sk-SK"/>
        </w:rPr>
        <w:t xml:space="preserve"> 30 % alebo LVEF ≤ 35 % </w:t>
      </w:r>
      <w:r w:rsidR="003649A7">
        <w:rPr>
          <w:sz w:val="22"/>
          <w:szCs w:val="22"/>
          <w:lang w:val="sk-SK"/>
        </w:rPr>
        <w:t>a dobu trvania</w:t>
      </w:r>
      <w:r w:rsidRPr="00487D7C">
        <w:rPr>
          <w:sz w:val="22"/>
          <w:szCs w:val="22"/>
          <w:lang w:val="sk-SK"/>
        </w:rPr>
        <w:t xml:space="preserve"> QRS &gt; 130 ms a buď boli hospitalizovaní z KV dôvodov 6 mesiacov pred zaradením</w:t>
      </w:r>
      <w:r w:rsidR="003649A7">
        <w:rPr>
          <w:sz w:val="22"/>
          <w:szCs w:val="22"/>
          <w:lang w:val="sk-SK"/>
        </w:rPr>
        <w:t xml:space="preserve"> do štúdie</w:t>
      </w:r>
      <w:r w:rsidRPr="00487D7C">
        <w:rPr>
          <w:sz w:val="22"/>
          <w:szCs w:val="22"/>
          <w:lang w:val="sk-SK"/>
        </w:rPr>
        <w:t xml:space="preserve"> alebo mali plazmatickú hladinu nátriuretického peptidu typu B (BNP) minimálne 250 pg/ml alebo plazmatickú hladinu N-terminálneho </w:t>
      </w:r>
      <w:r w:rsidR="003649A7">
        <w:rPr>
          <w:sz w:val="22"/>
          <w:szCs w:val="22"/>
          <w:lang w:val="sk-SK"/>
        </w:rPr>
        <w:t>propeptidu typu B (NT-proBNP)</w:t>
      </w:r>
      <w:r w:rsidRPr="00487D7C">
        <w:rPr>
          <w:sz w:val="22"/>
          <w:szCs w:val="22"/>
          <w:lang w:val="sk-SK"/>
        </w:rPr>
        <w:t xml:space="preserve"> minimálne 500 pg/ml u mužov (750 pg/ml u žien). Eplerenón sa začal podávať v dávke 25 mg jedenkrát denne a bol zvýšený po 4 týždňoch na 50 mg jedenkrát denne, ak sérová hladina draslíka bola &lt; 5,0 mmol/l. </w:t>
      </w:r>
      <w:r w:rsidR="003649A7">
        <w:rPr>
          <w:sz w:val="22"/>
          <w:szCs w:val="22"/>
          <w:lang w:val="sk-SK"/>
        </w:rPr>
        <w:t>Nakoniec,</w:t>
      </w:r>
      <w:r w:rsidRPr="00487D7C">
        <w:rPr>
          <w:sz w:val="22"/>
          <w:szCs w:val="22"/>
          <w:lang w:val="sk-SK"/>
        </w:rPr>
        <w:t xml:space="preserve"> </w:t>
      </w:r>
      <w:r w:rsidR="003649A7">
        <w:rPr>
          <w:sz w:val="22"/>
          <w:szCs w:val="22"/>
          <w:lang w:val="sk-SK"/>
        </w:rPr>
        <w:t>ak</w:t>
      </w:r>
      <w:r w:rsidRPr="00487D7C">
        <w:rPr>
          <w:sz w:val="22"/>
          <w:szCs w:val="22"/>
          <w:lang w:val="sk-SK"/>
        </w:rPr>
        <w:t xml:space="preserve"> bola odhadovaná glomerulárna filtrácia (GFR) </w:t>
      </w:r>
      <w:r w:rsidR="003649A7">
        <w:rPr>
          <w:sz w:val="22"/>
          <w:szCs w:val="22"/>
          <w:lang w:val="sk-SK"/>
        </w:rPr>
        <w:t xml:space="preserve">v rozmedzí </w:t>
      </w:r>
      <w:r w:rsidRPr="00487D7C">
        <w:rPr>
          <w:sz w:val="22"/>
          <w:szCs w:val="22"/>
          <w:lang w:val="sk-SK"/>
        </w:rPr>
        <w:t>30</w:t>
      </w:r>
      <w:r w:rsidRPr="00487D7C">
        <w:rPr>
          <w:sz w:val="22"/>
          <w:szCs w:val="22"/>
          <w:lang w:val="sk-SK"/>
        </w:rPr>
        <w:noBreakHyphen/>
        <w:t>49 ml/min/1,73 m</w:t>
      </w:r>
      <w:r w:rsidRPr="00487D7C">
        <w:rPr>
          <w:sz w:val="22"/>
          <w:szCs w:val="22"/>
          <w:vertAlign w:val="superscript"/>
          <w:lang w:val="sk-SK"/>
        </w:rPr>
        <w:t>2</w:t>
      </w:r>
      <w:r w:rsidRPr="00487D7C">
        <w:rPr>
          <w:sz w:val="22"/>
          <w:szCs w:val="22"/>
          <w:lang w:val="sk-SK"/>
        </w:rPr>
        <w:t>, eplerenón sa začal podávať v dávke 25 mg každý druhý deň a dávka sa zvýšila na 25 mg jedenkrát denne.</w:t>
      </w:r>
    </w:p>
    <w:p w14:paraId="3D671104" w14:textId="77777777" w:rsidR="00EC442C" w:rsidRPr="00487D7C" w:rsidRDefault="00EC442C" w:rsidP="00EC442C">
      <w:pPr>
        <w:tabs>
          <w:tab w:val="left" w:pos="567"/>
        </w:tabs>
        <w:rPr>
          <w:sz w:val="22"/>
          <w:szCs w:val="22"/>
          <w:lang w:val="sk-SK"/>
        </w:rPr>
      </w:pPr>
    </w:p>
    <w:p w14:paraId="36048EC3" w14:textId="6BBACF52" w:rsidR="00EC442C" w:rsidRPr="00487D7C" w:rsidRDefault="00EC442C" w:rsidP="00EC442C">
      <w:pPr>
        <w:tabs>
          <w:tab w:val="left" w:pos="567"/>
        </w:tabs>
        <w:rPr>
          <w:sz w:val="22"/>
          <w:szCs w:val="22"/>
          <w:lang w:val="sk-SK"/>
        </w:rPr>
      </w:pPr>
      <w:r w:rsidRPr="00487D7C">
        <w:rPr>
          <w:sz w:val="22"/>
          <w:szCs w:val="22"/>
          <w:lang w:val="sk-SK"/>
        </w:rPr>
        <w:t>Celkovo bolo randomizovaných (dvojit</w:t>
      </w:r>
      <w:r w:rsidR="003649A7">
        <w:rPr>
          <w:sz w:val="22"/>
          <w:szCs w:val="22"/>
          <w:lang w:val="sk-SK"/>
        </w:rPr>
        <w:t>é</w:t>
      </w:r>
      <w:r w:rsidRPr="00487D7C">
        <w:rPr>
          <w:sz w:val="22"/>
          <w:szCs w:val="22"/>
          <w:lang w:val="sk-SK"/>
        </w:rPr>
        <w:t xml:space="preserve"> zaslepen</w:t>
      </w:r>
      <w:r w:rsidR="003649A7">
        <w:rPr>
          <w:sz w:val="22"/>
          <w:szCs w:val="22"/>
          <w:lang w:val="sk-SK"/>
        </w:rPr>
        <w:t>ie</w:t>
      </w:r>
      <w:r w:rsidRPr="00487D7C">
        <w:rPr>
          <w:sz w:val="22"/>
          <w:szCs w:val="22"/>
          <w:lang w:val="sk-SK"/>
        </w:rPr>
        <w:t>) 2 737 účastníkov na li</w:t>
      </w:r>
      <w:r w:rsidR="004963EC">
        <w:rPr>
          <w:sz w:val="22"/>
          <w:szCs w:val="22"/>
          <w:lang w:val="sk-SK"/>
        </w:rPr>
        <w:t>ečbu eplerenónom alebo placebom</w:t>
      </w:r>
      <w:r w:rsidR="003649A7">
        <w:rPr>
          <w:sz w:val="22"/>
          <w:szCs w:val="22"/>
          <w:lang w:val="sk-SK"/>
        </w:rPr>
        <w:t>,</w:t>
      </w:r>
      <w:r w:rsidR="004963EC">
        <w:rPr>
          <w:sz w:val="22"/>
          <w:szCs w:val="22"/>
          <w:lang w:val="sk-SK"/>
        </w:rPr>
        <w:t xml:space="preserve"> </w:t>
      </w:r>
      <w:r w:rsidR="003649A7">
        <w:rPr>
          <w:sz w:val="22"/>
          <w:szCs w:val="22"/>
          <w:lang w:val="sk-SK"/>
        </w:rPr>
        <w:t>v</w:t>
      </w:r>
      <w:r w:rsidRPr="00487D7C">
        <w:rPr>
          <w:sz w:val="22"/>
          <w:szCs w:val="22"/>
          <w:lang w:val="sk-SK"/>
        </w:rPr>
        <w:t xml:space="preserve">ýchodisková liečba zahŕňala diuretiká (85 %), inhibítory </w:t>
      </w:r>
      <w:r w:rsidR="003649A7" w:rsidRPr="00487D7C">
        <w:rPr>
          <w:sz w:val="22"/>
          <w:szCs w:val="22"/>
          <w:lang w:val="sk-SK"/>
        </w:rPr>
        <w:t>ACE</w:t>
      </w:r>
      <w:r w:rsidR="003649A7">
        <w:rPr>
          <w:sz w:val="22"/>
          <w:szCs w:val="22"/>
          <w:lang w:val="sk-SK"/>
        </w:rPr>
        <w:t xml:space="preserve"> </w:t>
      </w:r>
      <w:r w:rsidRPr="00487D7C">
        <w:rPr>
          <w:sz w:val="22"/>
          <w:szCs w:val="22"/>
          <w:lang w:val="sk-SK"/>
        </w:rPr>
        <w:t>(78 %), blokátory receptora angiotenzínu II (19 %), betablokátory (87 %), antitrombotickú liečbu (88 %), hypolipidemiká (63 %) a </w:t>
      </w:r>
      <w:r w:rsidRPr="00B41099">
        <w:rPr>
          <w:sz w:val="22"/>
          <w:szCs w:val="22"/>
          <w:lang w:val="sk-SK"/>
        </w:rPr>
        <w:t>digitálisové glykozidy</w:t>
      </w:r>
      <w:r w:rsidRPr="00487D7C">
        <w:rPr>
          <w:sz w:val="22"/>
          <w:szCs w:val="22"/>
          <w:lang w:val="sk-SK"/>
        </w:rPr>
        <w:t xml:space="preserve"> (27 %). Priemerný LVEF bol ~26 % a priemerná </w:t>
      </w:r>
      <w:r w:rsidR="003649A7">
        <w:rPr>
          <w:sz w:val="22"/>
          <w:szCs w:val="22"/>
          <w:lang w:val="sk-SK"/>
        </w:rPr>
        <w:t>doba trvania</w:t>
      </w:r>
      <w:r w:rsidR="003649A7" w:rsidRPr="00487D7C">
        <w:rPr>
          <w:sz w:val="22"/>
          <w:szCs w:val="22"/>
          <w:lang w:val="sk-SK"/>
        </w:rPr>
        <w:t xml:space="preserve"> </w:t>
      </w:r>
      <w:r w:rsidRPr="00487D7C">
        <w:rPr>
          <w:sz w:val="22"/>
          <w:szCs w:val="22"/>
          <w:lang w:val="sk-SK"/>
        </w:rPr>
        <w:t>QRS bola ~122 ms. Väčšina účastníkov (83,4 %) bola v priebehu 6 mesiacov pred randomizáciou hospitalizovaná z dôvodu KV príčin, pričom približne 50 % z nich z dôvodu zlyhávania</w:t>
      </w:r>
      <w:r w:rsidR="003649A7">
        <w:rPr>
          <w:sz w:val="22"/>
          <w:szCs w:val="22"/>
          <w:lang w:val="sk-SK"/>
        </w:rPr>
        <w:t xml:space="preserve"> srdca</w:t>
      </w:r>
      <w:r w:rsidRPr="00487D7C">
        <w:rPr>
          <w:sz w:val="22"/>
          <w:szCs w:val="22"/>
          <w:lang w:val="sk-SK"/>
        </w:rPr>
        <w:t>. Približne 20 % účastníkov malo implantova</w:t>
      </w:r>
      <w:r w:rsidR="003649A7">
        <w:rPr>
          <w:sz w:val="22"/>
          <w:szCs w:val="22"/>
          <w:lang w:val="sk-SK"/>
        </w:rPr>
        <w:t>né</w:t>
      </w:r>
      <w:r w:rsidRPr="00487D7C">
        <w:rPr>
          <w:sz w:val="22"/>
          <w:szCs w:val="22"/>
          <w:lang w:val="sk-SK"/>
        </w:rPr>
        <w:t xml:space="preserve"> defibrilátory alebo resynchronizačnú liečbu srdca.</w:t>
      </w:r>
    </w:p>
    <w:p w14:paraId="67E58D2E" w14:textId="77777777" w:rsidR="00EC442C" w:rsidRPr="00487D7C" w:rsidRDefault="00EC442C" w:rsidP="00EC442C">
      <w:pPr>
        <w:tabs>
          <w:tab w:val="left" w:pos="567"/>
        </w:tabs>
        <w:rPr>
          <w:sz w:val="22"/>
          <w:szCs w:val="22"/>
          <w:lang w:val="sk-SK"/>
        </w:rPr>
      </w:pPr>
    </w:p>
    <w:p w14:paraId="6C65FC58" w14:textId="3B482388" w:rsidR="00EC442C" w:rsidRPr="00487D7C" w:rsidRDefault="00EC442C" w:rsidP="00EC442C">
      <w:pPr>
        <w:tabs>
          <w:tab w:val="left" w:pos="567"/>
        </w:tabs>
        <w:rPr>
          <w:sz w:val="22"/>
          <w:szCs w:val="22"/>
          <w:lang w:val="sk-SK"/>
        </w:rPr>
      </w:pPr>
      <w:r w:rsidRPr="00487D7C">
        <w:rPr>
          <w:sz w:val="22"/>
          <w:szCs w:val="22"/>
          <w:lang w:val="sk-SK"/>
        </w:rPr>
        <w:t xml:space="preserve">Primárny </w:t>
      </w:r>
      <w:r w:rsidR="00BC683C">
        <w:rPr>
          <w:sz w:val="22"/>
          <w:szCs w:val="22"/>
          <w:lang w:val="sk-SK"/>
        </w:rPr>
        <w:t>cieľový</w:t>
      </w:r>
      <w:r w:rsidR="00BC683C" w:rsidRPr="00487D7C">
        <w:rPr>
          <w:sz w:val="22"/>
          <w:szCs w:val="22"/>
          <w:lang w:val="sk-SK"/>
        </w:rPr>
        <w:t xml:space="preserve"> </w:t>
      </w:r>
      <w:r w:rsidRPr="00487D7C">
        <w:rPr>
          <w:sz w:val="22"/>
          <w:szCs w:val="22"/>
          <w:lang w:val="sk-SK"/>
        </w:rPr>
        <w:t>ukazovateľ, úmrtie z KV príčin alebo hospitalizácia z dôvodu zlyhávania</w:t>
      </w:r>
      <w:r w:rsidR="003649A7">
        <w:rPr>
          <w:sz w:val="22"/>
          <w:szCs w:val="22"/>
          <w:lang w:val="sk-SK"/>
        </w:rPr>
        <w:t xml:space="preserve"> srdca</w:t>
      </w:r>
      <w:r w:rsidRPr="00487D7C">
        <w:rPr>
          <w:sz w:val="22"/>
          <w:szCs w:val="22"/>
          <w:lang w:val="sk-SK"/>
        </w:rPr>
        <w:t xml:space="preserve">, sa vyskytoval u 249 (18,3 %) účastníkov v skupine s eplerenónom a 356 (25,9 %) účastníkov v  skupine </w:t>
      </w:r>
      <w:r w:rsidR="003649A7">
        <w:rPr>
          <w:sz w:val="22"/>
          <w:szCs w:val="22"/>
          <w:lang w:val="sk-SK"/>
        </w:rPr>
        <w:t xml:space="preserve">na placebe </w:t>
      </w:r>
      <w:r w:rsidRPr="00487D7C">
        <w:rPr>
          <w:sz w:val="22"/>
          <w:szCs w:val="22"/>
          <w:lang w:val="sk-SK"/>
        </w:rPr>
        <w:t>(RR 0,63</w:t>
      </w:r>
      <w:r w:rsidR="003649A7">
        <w:rPr>
          <w:sz w:val="22"/>
          <w:szCs w:val="22"/>
          <w:lang w:val="sk-SK"/>
        </w:rPr>
        <w:t>;</w:t>
      </w:r>
      <w:r w:rsidRPr="00487D7C">
        <w:rPr>
          <w:sz w:val="22"/>
          <w:szCs w:val="22"/>
          <w:lang w:val="sk-SK"/>
        </w:rPr>
        <w:t xml:space="preserve"> 95 % IS</w:t>
      </w:r>
      <w:r w:rsidR="003649A7">
        <w:rPr>
          <w:sz w:val="22"/>
          <w:szCs w:val="22"/>
          <w:lang w:val="sk-SK"/>
        </w:rPr>
        <w:t>;</w:t>
      </w:r>
      <w:r w:rsidRPr="00487D7C">
        <w:rPr>
          <w:sz w:val="22"/>
          <w:szCs w:val="22"/>
          <w:lang w:val="sk-SK"/>
        </w:rPr>
        <w:t xml:space="preserve"> 0,54</w:t>
      </w:r>
      <w:r w:rsidRPr="00487D7C">
        <w:rPr>
          <w:sz w:val="22"/>
          <w:szCs w:val="22"/>
          <w:lang w:val="sk-SK"/>
        </w:rPr>
        <w:noBreakHyphen/>
        <w:t>0,74; p &lt; 0,001). Vplyv eplerenónu na výsledky primárneho koncového ukazovateľa sa zhodovali vo všetkých vopred špecifikovaných podskupinách.</w:t>
      </w:r>
    </w:p>
    <w:p w14:paraId="1F8EA59F" w14:textId="77777777" w:rsidR="00EC442C" w:rsidRPr="00487D7C" w:rsidRDefault="00EC442C" w:rsidP="00EC442C">
      <w:pPr>
        <w:tabs>
          <w:tab w:val="left" w:pos="567"/>
        </w:tabs>
        <w:rPr>
          <w:sz w:val="22"/>
          <w:szCs w:val="22"/>
          <w:lang w:val="sk-SK"/>
        </w:rPr>
      </w:pPr>
    </w:p>
    <w:p w14:paraId="3E747CBC" w14:textId="21625FF1" w:rsidR="00EC442C" w:rsidRPr="00487D7C" w:rsidRDefault="00EC442C" w:rsidP="00EC442C">
      <w:pPr>
        <w:tabs>
          <w:tab w:val="left" w:pos="567"/>
        </w:tabs>
        <w:rPr>
          <w:sz w:val="22"/>
          <w:szCs w:val="22"/>
          <w:lang w:val="sk-SK"/>
        </w:rPr>
      </w:pPr>
      <w:r w:rsidRPr="00487D7C">
        <w:rPr>
          <w:sz w:val="22"/>
          <w:szCs w:val="22"/>
          <w:lang w:val="sk-SK"/>
        </w:rPr>
        <w:t xml:space="preserve">Sekundárny </w:t>
      </w:r>
      <w:r w:rsidR="00BC683C">
        <w:rPr>
          <w:sz w:val="22"/>
          <w:szCs w:val="22"/>
          <w:lang w:val="sk-SK"/>
        </w:rPr>
        <w:t xml:space="preserve">cieľový </w:t>
      </w:r>
      <w:r w:rsidRPr="00487D7C">
        <w:rPr>
          <w:sz w:val="22"/>
          <w:szCs w:val="22"/>
          <w:lang w:val="sk-SK"/>
        </w:rPr>
        <w:t xml:space="preserve">ukazovateľ, mortalita zo všetkých príčin, nastal u 171 (12,5 %) účastníkov v skupine s eplerenónom a u 213 (15,5 %) účastníkov v  skupine </w:t>
      </w:r>
      <w:r w:rsidR="003649A7">
        <w:rPr>
          <w:sz w:val="22"/>
          <w:szCs w:val="22"/>
          <w:lang w:val="sk-SK"/>
        </w:rPr>
        <w:t xml:space="preserve">na placebe </w:t>
      </w:r>
      <w:r w:rsidRPr="00487D7C">
        <w:rPr>
          <w:sz w:val="22"/>
          <w:szCs w:val="22"/>
          <w:lang w:val="sk-SK"/>
        </w:rPr>
        <w:t>(RR 0,76</w:t>
      </w:r>
      <w:r w:rsidR="003649A7">
        <w:rPr>
          <w:sz w:val="22"/>
          <w:szCs w:val="22"/>
          <w:lang w:val="sk-SK"/>
        </w:rPr>
        <w:t>;</w:t>
      </w:r>
      <w:r w:rsidRPr="00487D7C">
        <w:rPr>
          <w:sz w:val="22"/>
          <w:szCs w:val="22"/>
          <w:lang w:val="sk-SK"/>
        </w:rPr>
        <w:t xml:space="preserve"> 95 % IS</w:t>
      </w:r>
      <w:r w:rsidR="003649A7">
        <w:rPr>
          <w:sz w:val="22"/>
          <w:szCs w:val="22"/>
          <w:lang w:val="sk-SK"/>
        </w:rPr>
        <w:t>;</w:t>
      </w:r>
      <w:r w:rsidRPr="00487D7C">
        <w:rPr>
          <w:sz w:val="22"/>
          <w:szCs w:val="22"/>
          <w:lang w:val="sk-SK"/>
        </w:rPr>
        <w:t xml:space="preserve"> 0,62</w:t>
      </w:r>
      <w:r w:rsidRPr="00487D7C">
        <w:rPr>
          <w:sz w:val="22"/>
          <w:szCs w:val="22"/>
          <w:lang w:val="sk-SK"/>
        </w:rPr>
        <w:noBreakHyphen/>
        <w:t>0,93; p = 0,008). Úmrtie z KVS príčin sa zaznamenalo u 147 (10,8 %) účastníkov v skupine s eplerenó</w:t>
      </w:r>
      <w:r w:rsidR="004963EC">
        <w:rPr>
          <w:sz w:val="22"/>
          <w:szCs w:val="22"/>
          <w:lang w:val="sk-SK"/>
        </w:rPr>
        <w:t>nom a 185 (13,5 %) účastníkov v</w:t>
      </w:r>
      <w:r w:rsidRPr="00487D7C">
        <w:rPr>
          <w:sz w:val="22"/>
          <w:szCs w:val="22"/>
          <w:lang w:val="sk-SK"/>
        </w:rPr>
        <w:t xml:space="preserve"> skupine</w:t>
      </w:r>
      <w:r w:rsidR="003649A7">
        <w:rPr>
          <w:sz w:val="22"/>
          <w:szCs w:val="22"/>
          <w:lang w:val="sk-SK"/>
        </w:rPr>
        <w:t xml:space="preserve"> na placebe</w:t>
      </w:r>
      <w:r w:rsidRPr="00487D7C">
        <w:rPr>
          <w:sz w:val="22"/>
          <w:szCs w:val="22"/>
          <w:lang w:val="sk-SK"/>
        </w:rPr>
        <w:t xml:space="preserve"> (RR 0,76</w:t>
      </w:r>
      <w:r w:rsidR="003649A7">
        <w:rPr>
          <w:sz w:val="22"/>
          <w:szCs w:val="22"/>
          <w:lang w:val="sk-SK"/>
        </w:rPr>
        <w:t>;</w:t>
      </w:r>
      <w:r w:rsidRPr="00487D7C">
        <w:rPr>
          <w:sz w:val="22"/>
          <w:szCs w:val="22"/>
          <w:lang w:val="sk-SK"/>
        </w:rPr>
        <w:t xml:space="preserve"> 95 % IS</w:t>
      </w:r>
      <w:r w:rsidR="003649A7">
        <w:rPr>
          <w:sz w:val="22"/>
          <w:szCs w:val="22"/>
          <w:lang w:val="sk-SK"/>
        </w:rPr>
        <w:t>;</w:t>
      </w:r>
      <w:r w:rsidRPr="00487D7C">
        <w:rPr>
          <w:sz w:val="22"/>
          <w:szCs w:val="22"/>
          <w:lang w:val="sk-SK"/>
        </w:rPr>
        <w:t xml:space="preserve"> 0,61</w:t>
      </w:r>
      <w:r w:rsidRPr="00487D7C">
        <w:rPr>
          <w:sz w:val="22"/>
          <w:szCs w:val="22"/>
          <w:lang w:val="sk-SK"/>
        </w:rPr>
        <w:noBreakHyphen/>
        <w:t>0,94; p = 0,01).</w:t>
      </w:r>
    </w:p>
    <w:p w14:paraId="15E20613" w14:textId="77777777" w:rsidR="00EC442C" w:rsidRPr="00487D7C" w:rsidRDefault="00EC442C" w:rsidP="00EC442C">
      <w:pPr>
        <w:tabs>
          <w:tab w:val="left" w:pos="567"/>
        </w:tabs>
        <w:rPr>
          <w:sz w:val="22"/>
          <w:szCs w:val="22"/>
          <w:lang w:val="sk-SK"/>
        </w:rPr>
      </w:pPr>
    </w:p>
    <w:p w14:paraId="1B0FCF36" w14:textId="29BBFA4F" w:rsidR="00EC442C" w:rsidRDefault="00EC442C" w:rsidP="00EC442C">
      <w:pPr>
        <w:tabs>
          <w:tab w:val="left" w:pos="567"/>
        </w:tabs>
        <w:rPr>
          <w:sz w:val="22"/>
          <w:szCs w:val="22"/>
          <w:lang w:val="sk-SK"/>
        </w:rPr>
      </w:pPr>
      <w:r w:rsidRPr="00487D7C">
        <w:rPr>
          <w:sz w:val="22"/>
          <w:szCs w:val="22"/>
          <w:lang w:val="sk-SK"/>
        </w:rPr>
        <w:t xml:space="preserve">Počas štúdie sa zaznamenala hyperkaliémia (hladina sérového draslíka &gt; 5,5 mmol/l) u 158 (11,8 %) účastníkov v skupine s eplerenónom a 96 (7,2 %) účastníkov v  skupine </w:t>
      </w:r>
      <w:r w:rsidR="001B5F44">
        <w:rPr>
          <w:sz w:val="22"/>
          <w:szCs w:val="22"/>
          <w:lang w:val="sk-SK"/>
        </w:rPr>
        <w:t xml:space="preserve">na placebe </w:t>
      </w:r>
      <w:r w:rsidRPr="00487D7C">
        <w:rPr>
          <w:sz w:val="22"/>
          <w:szCs w:val="22"/>
          <w:lang w:val="sk-SK"/>
        </w:rPr>
        <w:t>(p &lt; 0,001). Hypokaliémia, definovaná ako hladiny sérového draslíka &lt; 4,0 mmol/l, bola štatisticky nižšia pri eplerenóne v porovnaní s placebom (38,9 % pre eplerenón v porovnaní s 48,4 % pre placebo, p &lt; 0,0001).</w:t>
      </w:r>
    </w:p>
    <w:p w14:paraId="488D08F5" w14:textId="77777777" w:rsidR="00B61552" w:rsidRPr="00487D7C" w:rsidRDefault="00B61552" w:rsidP="00EC442C">
      <w:pPr>
        <w:tabs>
          <w:tab w:val="left" w:pos="567"/>
        </w:tabs>
        <w:rPr>
          <w:sz w:val="22"/>
          <w:szCs w:val="22"/>
          <w:lang w:val="sk-SK"/>
        </w:rPr>
      </w:pPr>
    </w:p>
    <w:p w14:paraId="659D7DA3" w14:textId="77777777" w:rsidR="00EC442C" w:rsidRDefault="00EC442C" w:rsidP="00EC442C">
      <w:pPr>
        <w:tabs>
          <w:tab w:val="left" w:pos="567"/>
        </w:tabs>
        <w:rPr>
          <w:sz w:val="22"/>
          <w:szCs w:val="22"/>
          <w:u w:val="single"/>
          <w:lang w:val="sk-SK"/>
        </w:rPr>
      </w:pPr>
      <w:r w:rsidRPr="00E350D1">
        <w:rPr>
          <w:sz w:val="22"/>
          <w:szCs w:val="22"/>
          <w:u w:val="single"/>
          <w:lang w:val="sk-SK"/>
        </w:rPr>
        <w:t>Pediatrická populácia</w:t>
      </w:r>
    </w:p>
    <w:p w14:paraId="65E9BFDD" w14:textId="77777777" w:rsidR="00B61552" w:rsidRPr="00E350D1" w:rsidRDefault="00B61552" w:rsidP="00EC442C">
      <w:pPr>
        <w:tabs>
          <w:tab w:val="left" w:pos="567"/>
        </w:tabs>
        <w:rPr>
          <w:sz w:val="22"/>
          <w:szCs w:val="22"/>
          <w:u w:val="single"/>
          <w:lang w:val="sk-SK"/>
        </w:rPr>
      </w:pPr>
    </w:p>
    <w:p w14:paraId="53725F78" w14:textId="2B7E805E" w:rsidR="00EC442C" w:rsidRPr="00487D7C" w:rsidRDefault="00EC442C" w:rsidP="00EC442C">
      <w:pPr>
        <w:tabs>
          <w:tab w:val="left" w:pos="567"/>
        </w:tabs>
        <w:rPr>
          <w:sz w:val="22"/>
          <w:szCs w:val="22"/>
          <w:lang w:val="sk-SK"/>
        </w:rPr>
      </w:pPr>
      <w:r w:rsidRPr="00487D7C">
        <w:rPr>
          <w:sz w:val="22"/>
          <w:szCs w:val="22"/>
          <w:lang w:val="sk-SK"/>
        </w:rPr>
        <w:t>Eplerenón sa neskúmal u detí a dospievajúcich so zlyhávaním</w:t>
      </w:r>
      <w:r w:rsidR="00747259">
        <w:rPr>
          <w:sz w:val="22"/>
          <w:szCs w:val="22"/>
          <w:lang w:val="sk-SK"/>
        </w:rPr>
        <w:t xml:space="preserve"> srdca</w:t>
      </w:r>
      <w:r w:rsidRPr="00487D7C">
        <w:rPr>
          <w:sz w:val="22"/>
          <w:szCs w:val="22"/>
          <w:lang w:val="sk-SK"/>
        </w:rPr>
        <w:t>.</w:t>
      </w:r>
    </w:p>
    <w:p w14:paraId="65C564CB" w14:textId="77777777" w:rsidR="00EC442C" w:rsidRPr="00487D7C" w:rsidRDefault="00EC442C" w:rsidP="00EC442C">
      <w:pPr>
        <w:tabs>
          <w:tab w:val="left" w:pos="567"/>
        </w:tabs>
        <w:rPr>
          <w:sz w:val="22"/>
          <w:szCs w:val="22"/>
          <w:lang w:val="sk-SK"/>
        </w:rPr>
      </w:pPr>
    </w:p>
    <w:p w14:paraId="60B8B6A8" w14:textId="77777777" w:rsidR="00EC442C" w:rsidRPr="00487D7C" w:rsidRDefault="00EC442C" w:rsidP="00EC442C">
      <w:pPr>
        <w:tabs>
          <w:tab w:val="left" w:pos="567"/>
        </w:tabs>
        <w:rPr>
          <w:sz w:val="22"/>
          <w:szCs w:val="22"/>
          <w:lang w:val="sk-SK"/>
        </w:rPr>
      </w:pPr>
      <w:r w:rsidRPr="00487D7C">
        <w:rPr>
          <w:sz w:val="22"/>
          <w:szCs w:val="22"/>
          <w:lang w:val="sk-SK"/>
        </w:rPr>
        <w:t xml:space="preserve">V 10-týždňovej štúdii detí a dospievajúcich s hypertenziou (vekové rozmedzie </w:t>
      </w:r>
      <w:r w:rsidRPr="00944568">
        <w:rPr>
          <w:sz w:val="22"/>
          <w:szCs w:val="22"/>
          <w:lang w:val="sk-SK"/>
        </w:rPr>
        <w:t xml:space="preserve">od 4 do 16 </w:t>
      </w:r>
      <w:r w:rsidRPr="00E350D1">
        <w:rPr>
          <w:sz w:val="22"/>
          <w:szCs w:val="22"/>
          <w:lang w:val="sk-SK"/>
        </w:rPr>
        <w:t>rokov</w:t>
      </w:r>
      <w:r w:rsidRPr="00487D7C">
        <w:rPr>
          <w:sz w:val="22"/>
          <w:szCs w:val="22"/>
          <w:lang w:val="sk-SK"/>
        </w:rPr>
        <w:t>, n = 304) eplerenón podávaný v dávkach (od 25 mg do 100 mg denne), ktoré predstavovali podobnú expozíciu ako v prípade dospelých, neznižoval účinne krvný tlak. V tejto štúdii a v štúdii bezpečnosti u detí a dospievajúcich, ktorá trvala 1 rok, vykonávanej u 149 </w:t>
      </w:r>
      <w:r w:rsidRPr="00944568">
        <w:rPr>
          <w:sz w:val="22"/>
          <w:szCs w:val="22"/>
          <w:lang w:val="sk-SK"/>
        </w:rPr>
        <w:t>pacientoch (vekové rozmedzie od 5 do 17 rokov)</w:t>
      </w:r>
      <w:r w:rsidRPr="00E350D1">
        <w:rPr>
          <w:sz w:val="22"/>
          <w:szCs w:val="22"/>
          <w:lang w:val="sk-SK"/>
        </w:rPr>
        <w:t>, bol bezpečnostný profil podobný profilu u dospelých. Eplerenón sa neskúmal</w:t>
      </w:r>
      <w:r w:rsidRPr="00487D7C">
        <w:rPr>
          <w:sz w:val="22"/>
          <w:szCs w:val="22"/>
          <w:lang w:val="sk-SK"/>
        </w:rPr>
        <w:t xml:space="preserve"> u účastníkov s hypertenziou mladších ako 4 roky, pretože štúdia u starších detí a dospievajúcich preukázala nedostatočnú účinnosť (pozri časť 4.2).</w:t>
      </w:r>
    </w:p>
    <w:p w14:paraId="29442EFD" w14:textId="77777777" w:rsidR="00EC442C" w:rsidRPr="00487D7C" w:rsidRDefault="00EC442C" w:rsidP="00EC442C">
      <w:pPr>
        <w:tabs>
          <w:tab w:val="left" w:pos="567"/>
        </w:tabs>
        <w:rPr>
          <w:sz w:val="22"/>
          <w:szCs w:val="22"/>
          <w:lang w:val="sk-SK"/>
        </w:rPr>
      </w:pPr>
    </w:p>
    <w:p w14:paraId="37CB5F3A" w14:textId="7B84EE65" w:rsidR="00EC442C" w:rsidRPr="00487D7C" w:rsidRDefault="00EC442C" w:rsidP="00EC442C">
      <w:pPr>
        <w:tabs>
          <w:tab w:val="left" w:pos="567"/>
        </w:tabs>
        <w:rPr>
          <w:sz w:val="22"/>
          <w:szCs w:val="22"/>
          <w:lang w:val="sk-SK"/>
        </w:rPr>
      </w:pPr>
      <w:r w:rsidRPr="00487D7C">
        <w:rPr>
          <w:sz w:val="22"/>
          <w:szCs w:val="22"/>
          <w:lang w:val="sk-SK"/>
        </w:rPr>
        <w:t>Žiadny (dlho</w:t>
      </w:r>
      <w:r w:rsidR="00116971">
        <w:rPr>
          <w:sz w:val="22"/>
          <w:szCs w:val="22"/>
          <w:lang w:val="sk-SK"/>
        </w:rPr>
        <w:t>dobý</w:t>
      </w:r>
      <w:r w:rsidRPr="00487D7C">
        <w:rPr>
          <w:sz w:val="22"/>
          <w:szCs w:val="22"/>
          <w:lang w:val="sk-SK"/>
        </w:rPr>
        <w:t>) účinok na hormonálny stav detí a dospievajúcich nebol skúmaný.</w:t>
      </w:r>
    </w:p>
    <w:p w14:paraId="1010FA35" w14:textId="77777777" w:rsidR="00EC442C" w:rsidRPr="00487D7C" w:rsidRDefault="00EC442C" w:rsidP="00EC442C">
      <w:pPr>
        <w:tabs>
          <w:tab w:val="left" w:pos="567"/>
        </w:tabs>
        <w:rPr>
          <w:sz w:val="22"/>
          <w:szCs w:val="22"/>
          <w:lang w:val="sk-SK"/>
        </w:rPr>
      </w:pPr>
    </w:p>
    <w:p w14:paraId="765B7753"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5.2</w:t>
      </w:r>
      <w:r w:rsidRPr="00487D7C">
        <w:rPr>
          <w:b/>
          <w:sz w:val="22"/>
          <w:szCs w:val="22"/>
          <w:lang w:val="sk-SK"/>
        </w:rPr>
        <w:tab/>
      </w:r>
      <w:r w:rsidRPr="00487D7C">
        <w:rPr>
          <w:b/>
          <w:sz w:val="22"/>
          <w:szCs w:val="22"/>
          <w:lang w:val="sk-SK"/>
        </w:rPr>
        <w:tab/>
        <w:t>Farmakokinetické vlastnosti</w:t>
      </w:r>
    </w:p>
    <w:p w14:paraId="2DFDB493" w14:textId="77777777" w:rsidR="00EC442C" w:rsidRPr="00487D7C" w:rsidRDefault="00EC442C" w:rsidP="00EC442C">
      <w:pPr>
        <w:tabs>
          <w:tab w:val="left" w:pos="567"/>
        </w:tabs>
        <w:rPr>
          <w:b/>
          <w:sz w:val="22"/>
          <w:szCs w:val="22"/>
          <w:lang w:val="sk-SK"/>
        </w:rPr>
      </w:pPr>
    </w:p>
    <w:p w14:paraId="790523F8" w14:textId="77777777" w:rsidR="00EC442C" w:rsidRDefault="00EC442C" w:rsidP="00EC442C">
      <w:pPr>
        <w:tabs>
          <w:tab w:val="left" w:pos="567"/>
        </w:tabs>
        <w:rPr>
          <w:sz w:val="22"/>
          <w:szCs w:val="22"/>
          <w:u w:val="single"/>
          <w:lang w:val="sk-SK"/>
        </w:rPr>
      </w:pPr>
      <w:r w:rsidRPr="00E350D1">
        <w:rPr>
          <w:sz w:val="22"/>
          <w:szCs w:val="22"/>
          <w:u w:val="single"/>
          <w:lang w:val="sk-SK"/>
        </w:rPr>
        <w:t>Absorpcia</w:t>
      </w:r>
    </w:p>
    <w:p w14:paraId="5541E69D" w14:textId="77777777" w:rsidR="00777FB8" w:rsidRPr="00E350D1" w:rsidRDefault="00777FB8" w:rsidP="00EC442C">
      <w:pPr>
        <w:tabs>
          <w:tab w:val="left" w:pos="567"/>
        </w:tabs>
        <w:rPr>
          <w:sz w:val="22"/>
          <w:szCs w:val="22"/>
          <w:u w:val="single"/>
          <w:lang w:val="sk-SK"/>
        </w:rPr>
      </w:pPr>
    </w:p>
    <w:p w14:paraId="5C39093F" w14:textId="77777777" w:rsidR="00777FB8" w:rsidRDefault="00EC442C" w:rsidP="00EC442C">
      <w:pPr>
        <w:tabs>
          <w:tab w:val="left" w:pos="567"/>
        </w:tabs>
        <w:rPr>
          <w:sz w:val="22"/>
          <w:szCs w:val="22"/>
          <w:lang w:val="sk-SK"/>
        </w:rPr>
      </w:pPr>
      <w:r w:rsidRPr="00487D7C">
        <w:rPr>
          <w:sz w:val="22"/>
          <w:szCs w:val="22"/>
          <w:lang w:val="sk-SK"/>
        </w:rPr>
        <w:t xml:space="preserve">Absolútna biologická dostupnosť eplerenónu je 69 % </w:t>
      </w:r>
      <w:r w:rsidRPr="00973F81">
        <w:rPr>
          <w:sz w:val="22"/>
          <w:szCs w:val="22"/>
          <w:lang w:val="sk-SK"/>
        </w:rPr>
        <w:t>po perorálnom podaní 100 mg</w:t>
      </w:r>
      <w:r w:rsidRPr="00457B9E">
        <w:rPr>
          <w:sz w:val="22"/>
          <w:szCs w:val="22"/>
          <w:lang w:val="sk-SK"/>
        </w:rPr>
        <w:t xml:space="preserve"> tablety</w:t>
      </w:r>
      <w:r w:rsidRPr="00487D7C">
        <w:rPr>
          <w:sz w:val="22"/>
          <w:szCs w:val="22"/>
          <w:lang w:val="sk-SK"/>
        </w:rPr>
        <w:t xml:space="preserve">. </w:t>
      </w:r>
    </w:p>
    <w:p w14:paraId="1324AB87" w14:textId="77777777" w:rsidR="00777FB8" w:rsidRDefault="00777FB8" w:rsidP="00EC442C">
      <w:pPr>
        <w:tabs>
          <w:tab w:val="left" w:pos="567"/>
        </w:tabs>
        <w:rPr>
          <w:sz w:val="22"/>
          <w:szCs w:val="22"/>
          <w:lang w:val="sk-SK"/>
        </w:rPr>
      </w:pPr>
    </w:p>
    <w:p w14:paraId="00D51444" w14:textId="04F60A56" w:rsidR="00EC442C" w:rsidRPr="00487D7C" w:rsidRDefault="00EC442C" w:rsidP="00EC442C">
      <w:pPr>
        <w:tabs>
          <w:tab w:val="left" w:pos="567"/>
        </w:tabs>
        <w:rPr>
          <w:sz w:val="22"/>
          <w:szCs w:val="22"/>
          <w:lang w:val="sk-SK"/>
        </w:rPr>
      </w:pPr>
      <w:r w:rsidRPr="00487D7C">
        <w:rPr>
          <w:sz w:val="22"/>
          <w:szCs w:val="22"/>
          <w:lang w:val="sk-SK"/>
        </w:rPr>
        <w:t xml:space="preserve">Maximálne plazmatické koncentrácie </w:t>
      </w:r>
      <w:r w:rsidRPr="00944568">
        <w:rPr>
          <w:sz w:val="22"/>
          <w:szCs w:val="22"/>
          <w:lang w:val="sk-SK"/>
        </w:rPr>
        <w:t xml:space="preserve">dosiahne približne </w:t>
      </w:r>
      <w:r w:rsidRPr="00E350D1">
        <w:rPr>
          <w:sz w:val="22"/>
          <w:szCs w:val="22"/>
          <w:lang w:val="sk-SK"/>
        </w:rPr>
        <w:t>po 1,5 až 2</w:t>
      </w:r>
      <w:r w:rsidRPr="00944568">
        <w:rPr>
          <w:sz w:val="22"/>
          <w:szCs w:val="22"/>
          <w:lang w:val="sk-SK"/>
        </w:rPr>
        <w:t xml:space="preserve"> hod</w:t>
      </w:r>
      <w:r>
        <w:rPr>
          <w:sz w:val="22"/>
          <w:szCs w:val="22"/>
          <w:lang w:val="sk-SK"/>
        </w:rPr>
        <w:t>inách</w:t>
      </w:r>
      <w:r w:rsidRPr="00944568">
        <w:rPr>
          <w:sz w:val="22"/>
          <w:szCs w:val="22"/>
          <w:lang w:val="sk-SK"/>
        </w:rPr>
        <w:t xml:space="preserve">. </w:t>
      </w:r>
      <w:r w:rsidR="001810CC">
        <w:rPr>
          <w:sz w:val="22"/>
          <w:szCs w:val="22"/>
          <w:lang w:val="sk-SK"/>
        </w:rPr>
        <w:t>M</w:t>
      </w:r>
      <w:r w:rsidR="00452906">
        <w:rPr>
          <w:sz w:val="22"/>
          <w:szCs w:val="22"/>
          <w:lang w:val="sk-SK"/>
        </w:rPr>
        <w:t>aximálne</w:t>
      </w:r>
      <w:r w:rsidR="00452906" w:rsidRPr="00944568">
        <w:rPr>
          <w:sz w:val="22"/>
          <w:szCs w:val="22"/>
          <w:lang w:val="sk-SK"/>
        </w:rPr>
        <w:t xml:space="preserve"> </w:t>
      </w:r>
      <w:r w:rsidRPr="00944568">
        <w:rPr>
          <w:sz w:val="22"/>
          <w:szCs w:val="22"/>
          <w:lang w:val="sk-SK"/>
        </w:rPr>
        <w:t xml:space="preserve">plazmatické </w:t>
      </w:r>
      <w:r w:rsidR="00452906">
        <w:rPr>
          <w:sz w:val="22"/>
          <w:szCs w:val="22"/>
          <w:lang w:val="sk-SK"/>
        </w:rPr>
        <w:t>koncentrácie</w:t>
      </w:r>
      <w:r w:rsidR="00452906" w:rsidRPr="00487D7C">
        <w:rPr>
          <w:sz w:val="22"/>
          <w:szCs w:val="22"/>
          <w:lang w:val="sk-SK"/>
        </w:rPr>
        <w:t xml:space="preserve"> </w:t>
      </w:r>
      <w:r w:rsidRPr="00487D7C">
        <w:rPr>
          <w:sz w:val="22"/>
          <w:szCs w:val="22"/>
          <w:lang w:val="sk-SK"/>
        </w:rPr>
        <w:t>(C</w:t>
      </w:r>
      <w:r w:rsidRPr="00487D7C">
        <w:rPr>
          <w:sz w:val="22"/>
          <w:szCs w:val="22"/>
          <w:vertAlign w:val="subscript"/>
          <w:lang w:val="sk-SK"/>
        </w:rPr>
        <w:t>max</w:t>
      </w:r>
      <w:r w:rsidRPr="00487D7C">
        <w:rPr>
          <w:sz w:val="22"/>
          <w:szCs w:val="22"/>
          <w:lang w:val="sk-SK"/>
        </w:rPr>
        <w:t xml:space="preserve">), ako aj plocha pod </w:t>
      </w:r>
      <w:r w:rsidR="00452906">
        <w:rPr>
          <w:sz w:val="22"/>
          <w:szCs w:val="22"/>
          <w:lang w:val="sk-SK"/>
        </w:rPr>
        <w:t xml:space="preserve">koncentračnou </w:t>
      </w:r>
      <w:r w:rsidRPr="00487D7C">
        <w:rPr>
          <w:sz w:val="22"/>
          <w:szCs w:val="22"/>
          <w:lang w:val="sk-SK"/>
        </w:rPr>
        <w:t xml:space="preserve">krivkou (AUC) </w:t>
      </w:r>
      <w:r w:rsidR="001810CC">
        <w:rPr>
          <w:sz w:val="22"/>
          <w:szCs w:val="22"/>
          <w:lang w:val="sk-SK"/>
        </w:rPr>
        <w:t xml:space="preserve"> sú závislé na dávke v rozmedzí</w:t>
      </w:r>
      <w:r w:rsidRPr="001810CC">
        <w:rPr>
          <w:sz w:val="22"/>
          <w:szCs w:val="22"/>
          <w:lang w:val="sk-SK"/>
        </w:rPr>
        <w:t xml:space="preserve"> </w:t>
      </w:r>
      <w:r w:rsidR="00452906" w:rsidRPr="002F0038">
        <w:rPr>
          <w:sz w:val="22"/>
          <w:szCs w:val="22"/>
          <w:lang w:val="sk-SK"/>
        </w:rPr>
        <w:t>od 10 mg do 100 mg a</w:t>
      </w:r>
      <w:r w:rsidRPr="001810CC">
        <w:rPr>
          <w:sz w:val="22"/>
          <w:szCs w:val="22"/>
          <w:lang w:val="sk-SK"/>
        </w:rPr>
        <w:t xml:space="preserve"> </w:t>
      </w:r>
      <w:r w:rsidR="002F0038" w:rsidRPr="00E8271C">
        <w:rPr>
          <w:sz w:val="22"/>
          <w:szCs w:val="22"/>
          <w:lang w:val="sk-SK"/>
        </w:rPr>
        <w:t>a</w:t>
      </w:r>
      <w:r w:rsidR="001810CC">
        <w:rPr>
          <w:sz w:val="22"/>
          <w:szCs w:val="22"/>
          <w:lang w:val="sk-SK"/>
        </w:rPr>
        <w:t> menej významná úmera je</w:t>
      </w:r>
      <w:r w:rsidR="002F0038" w:rsidRPr="00E8271C">
        <w:rPr>
          <w:sz w:val="22"/>
          <w:szCs w:val="22"/>
          <w:lang w:val="sk-SK"/>
        </w:rPr>
        <w:t xml:space="preserve"> </w:t>
      </w:r>
      <w:r w:rsidRPr="002F0038">
        <w:rPr>
          <w:sz w:val="22"/>
          <w:szCs w:val="22"/>
          <w:lang w:val="sk-SK"/>
        </w:rPr>
        <w:t>pri dávkach vyšších ako 100 mg</w:t>
      </w:r>
      <w:r w:rsidR="001810CC">
        <w:rPr>
          <w:sz w:val="22"/>
          <w:szCs w:val="22"/>
          <w:lang w:val="sk-SK"/>
        </w:rPr>
        <w:t>.</w:t>
      </w:r>
      <w:r w:rsidR="00986CE9">
        <w:rPr>
          <w:sz w:val="22"/>
          <w:szCs w:val="22"/>
          <w:lang w:val="sk-SK"/>
        </w:rPr>
        <w:t xml:space="preserve"> </w:t>
      </w:r>
      <w:r w:rsidRPr="00487D7C">
        <w:rPr>
          <w:sz w:val="22"/>
          <w:szCs w:val="22"/>
          <w:lang w:val="sk-SK"/>
        </w:rPr>
        <w:t>Rovnovážny stav sa dosiahne do dvoch dní. Príjem potravy neovplyvňuje absorpciu.</w:t>
      </w:r>
    </w:p>
    <w:p w14:paraId="09772D5A" w14:textId="77777777" w:rsidR="00EC442C" w:rsidRPr="00487D7C" w:rsidRDefault="00EC442C" w:rsidP="00EC442C">
      <w:pPr>
        <w:tabs>
          <w:tab w:val="left" w:pos="567"/>
        </w:tabs>
        <w:rPr>
          <w:sz w:val="22"/>
          <w:szCs w:val="22"/>
          <w:lang w:val="sk-SK"/>
        </w:rPr>
      </w:pPr>
    </w:p>
    <w:p w14:paraId="3C139576" w14:textId="77777777" w:rsidR="00EC442C" w:rsidRDefault="00EC442C" w:rsidP="00EC442C">
      <w:pPr>
        <w:tabs>
          <w:tab w:val="left" w:pos="567"/>
        </w:tabs>
        <w:rPr>
          <w:sz w:val="22"/>
          <w:szCs w:val="22"/>
          <w:u w:val="single"/>
          <w:lang w:val="sk-SK"/>
        </w:rPr>
      </w:pPr>
      <w:r w:rsidRPr="00E350D1">
        <w:rPr>
          <w:sz w:val="22"/>
          <w:szCs w:val="22"/>
          <w:u w:val="single"/>
          <w:lang w:val="sk-SK"/>
        </w:rPr>
        <w:t>Distribúcia</w:t>
      </w:r>
    </w:p>
    <w:p w14:paraId="5659A4F2" w14:textId="77777777" w:rsidR="00777FB8" w:rsidRPr="00E350D1" w:rsidRDefault="00777FB8" w:rsidP="00EC442C">
      <w:pPr>
        <w:tabs>
          <w:tab w:val="left" w:pos="567"/>
        </w:tabs>
        <w:rPr>
          <w:sz w:val="22"/>
          <w:szCs w:val="22"/>
          <w:u w:val="single"/>
          <w:lang w:val="sk-SK"/>
        </w:rPr>
      </w:pPr>
    </w:p>
    <w:p w14:paraId="4819CE9A" w14:textId="75D8780D" w:rsidR="00EC442C" w:rsidRPr="00487D7C" w:rsidRDefault="00452906" w:rsidP="00EC442C">
      <w:pPr>
        <w:tabs>
          <w:tab w:val="left" w:pos="567"/>
        </w:tabs>
        <w:rPr>
          <w:sz w:val="22"/>
          <w:szCs w:val="22"/>
          <w:lang w:val="sk-SK"/>
        </w:rPr>
      </w:pPr>
      <w:r>
        <w:rPr>
          <w:sz w:val="22"/>
          <w:szCs w:val="22"/>
          <w:lang w:val="sk-SK"/>
        </w:rPr>
        <w:t>Asi 50 % e</w:t>
      </w:r>
      <w:r w:rsidR="00EC442C" w:rsidRPr="00487D7C">
        <w:rPr>
          <w:sz w:val="22"/>
          <w:szCs w:val="22"/>
          <w:lang w:val="sk-SK"/>
        </w:rPr>
        <w:t>plerenón</w:t>
      </w:r>
      <w:r>
        <w:rPr>
          <w:sz w:val="22"/>
          <w:szCs w:val="22"/>
          <w:lang w:val="sk-SK"/>
        </w:rPr>
        <w:t>u</w:t>
      </w:r>
      <w:r w:rsidR="00EC442C" w:rsidRPr="00487D7C">
        <w:rPr>
          <w:sz w:val="22"/>
          <w:szCs w:val="22"/>
          <w:lang w:val="sk-SK"/>
        </w:rPr>
        <w:t xml:space="preserve"> sa v</w:t>
      </w:r>
      <w:r w:rsidR="004963EC">
        <w:rPr>
          <w:sz w:val="22"/>
          <w:szCs w:val="22"/>
          <w:lang w:val="sk-SK"/>
        </w:rPr>
        <w:t xml:space="preserve">iaže na plazmatické bielkoviny </w:t>
      </w:r>
      <w:r w:rsidR="00EC442C" w:rsidRPr="00487D7C">
        <w:rPr>
          <w:sz w:val="22"/>
          <w:szCs w:val="22"/>
          <w:lang w:val="sk-SK"/>
        </w:rPr>
        <w:t xml:space="preserve">a </w:t>
      </w:r>
      <w:r>
        <w:rPr>
          <w:sz w:val="22"/>
          <w:szCs w:val="22"/>
          <w:lang w:val="sk-SK"/>
        </w:rPr>
        <w:t>hlavne</w:t>
      </w:r>
      <w:r w:rsidR="00EC442C" w:rsidRPr="00487D7C">
        <w:rPr>
          <w:sz w:val="22"/>
          <w:szCs w:val="22"/>
          <w:lang w:val="sk-SK"/>
        </w:rPr>
        <w:t xml:space="preserve"> na alfa</w:t>
      </w:r>
      <w:r w:rsidR="00EC442C" w:rsidRPr="00E8271C">
        <w:rPr>
          <w:sz w:val="22"/>
          <w:szCs w:val="22"/>
          <w:vertAlign w:val="subscript"/>
          <w:lang w:val="sk-SK"/>
        </w:rPr>
        <w:t>1</w:t>
      </w:r>
      <w:r w:rsidR="00EC442C" w:rsidRPr="00487D7C">
        <w:rPr>
          <w:sz w:val="22"/>
          <w:szCs w:val="22"/>
          <w:lang w:val="sk-SK"/>
        </w:rPr>
        <w:noBreakHyphen/>
        <w:t>kysl</w:t>
      </w:r>
      <w:r w:rsidR="00F260F9">
        <w:rPr>
          <w:sz w:val="22"/>
          <w:szCs w:val="22"/>
          <w:lang w:val="sk-SK"/>
        </w:rPr>
        <w:t>é</w:t>
      </w:r>
      <w:r w:rsidR="00EC442C" w:rsidRPr="00487D7C">
        <w:rPr>
          <w:sz w:val="22"/>
          <w:szCs w:val="22"/>
          <w:lang w:val="sk-SK"/>
        </w:rPr>
        <w:t xml:space="preserve"> glykoproteín</w:t>
      </w:r>
      <w:r w:rsidR="00F260F9">
        <w:rPr>
          <w:sz w:val="22"/>
          <w:szCs w:val="22"/>
          <w:lang w:val="sk-SK"/>
        </w:rPr>
        <w:t>y</w:t>
      </w:r>
      <w:r w:rsidR="00EC442C" w:rsidRPr="00487D7C">
        <w:rPr>
          <w:sz w:val="22"/>
          <w:szCs w:val="22"/>
          <w:lang w:val="sk-SK"/>
        </w:rPr>
        <w:t xml:space="preserve">. Zdanlivý distribučný objem v rovnovážnom stave sa </w:t>
      </w:r>
      <w:r w:rsidR="00EC442C" w:rsidRPr="00944568">
        <w:rPr>
          <w:sz w:val="22"/>
          <w:szCs w:val="22"/>
          <w:lang w:val="sk-SK"/>
        </w:rPr>
        <w:t>odhaduje v</w:t>
      </w:r>
      <w:r w:rsidR="00EC442C" w:rsidRPr="00E350D1">
        <w:rPr>
          <w:sz w:val="22"/>
          <w:szCs w:val="22"/>
          <w:lang w:val="sk-SK"/>
        </w:rPr>
        <w:t> rozmedzí 42 – 90 l.</w:t>
      </w:r>
      <w:r w:rsidR="00EC442C" w:rsidRPr="00487D7C">
        <w:rPr>
          <w:sz w:val="22"/>
          <w:szCs w:val="22"/>
          <w:lang w:val="sk-SK"/>
        </w:rPr>
        <w:t xml:space="preserve"> Eplerenón sa neviaže prednostne na erytrocyty.</w:t>
      </w:r>
    </w:p>
    <w:p w14:paraId="2117B8FF" w14:textId="77777777" w:rsidR="00EC442C" w:rsidRPr="00487D7C" w:rsidRDefault="00EC442C" w:rsidP="00EC442C">
      <w:pPr>
        <w:tabs>
          <w:tab w:val="left" w:pos="567"/>
        </w:tabs>
        <w:rPr>
          <w:sz w:val="22"/>
          <w:szCs w:val="22"/>
          <w:lang w:val="sk-SK"/>
        </w:rPr>
      </w:pPr>
    </w:p>
    <w:p w14:paraId="2620DA51" w14:textId="77777777" w:rsidR="00EC442C" w:rsidRDefault="00EC442C" w:rsidP="00EC442C">
      <w:pPr>
        <w:tabs>
          <w:tab w:val="left" w:pos="567"/>
        </w:tabs>
        <w:rPr>
          <w:sz w:val="22"/>
          <w:szCs w:val="22"/>
          <w:u w:val="single"/>
          <w:lang w:val="sk-SK"/>
        </w:rPr>
      </w:pPr>
      <w:r w:rsidRPr="00E350D1">
        <w:rPr>
          <w:sz w:val="22"/>
          <w:szCs w:val="22"/>
          <w:u w:val="single"/>
          <w:lang w:val="sk-SK"/>
        </w:rPr>
        <w:t>Biotransformácia</w:t>
      </w:r>
    </w:p>
    <w:p w14:paraId="55641A6F" w14:textId="77777777" w:rsidR="00777FB8" w:rsidRPr="00E350D1" w:rsidRDefault="00777FB8" w:rsidP="00EC442C">
      <w:pPr>
        <w:tabs>
          <w:tab w:val="left" w:pos="567"/>
        </w:tabs>
        <w:rPr>
          <w:sz w:val="22"/>
          <w:szCs w:val="22"/>
          <w:u w:val="single"/>
          <w:lang w:val="sk-SK"/>
        </w:rPr>
      </w:pPr>
    </w:p>
    <w:p w14:paraId="7C56F953" w14:textId="77777777" w:rsidR="00EC442C" w:rsidRPr="00487D7C" w:rsidRDefault="00EC442C" w:rsidP="00EC442C">
      <w:pPr>
        <w:tabs>
          <w:tab w:val="left" w:pos="567"/>
        </w:tabs>
        <w:rPr>
          <w:sz w:val="22"/>
          <w:szCs w:val="22"/>
          <w:lang w:val="sk-SK"/>
        </w:rPr>
      </w:pPr>
      <w:r w:rsidRPr="00487D7C">
        <w:rPr>
          <w:sz w:val="22"/>
          <w:szCs w:val="22"/>
          <w:lang w:val="sk-SK"/>
        </w:rPr>
        <w:t>Eplerenón sa primárne metabolizuje cestou CYP3A4. V ľudskej plazme sa nezistili žiadne aktívne metabolity eplerenónu.</w:t>
      </w:r>
    </w:p>
    <w:p w14:paraId="2FA7DFA9" w14:textId="77777777" w:rsidR="00EC442C" w:rsidRPr="00487D7C" w:rsidRDefault="00EC442C" w:rsidP="00EC442C">
      <w:pPr>
        <w:tabs>
          <w:tab w:val="left" w:pos="567"/>
        </w:tabs>
        <w:rPr>
          <w:sz w:val="22"/>
          <w:szCs w:val="22"/>
          <w:lang w:val="sk-SK"/>
        </w:rPr>
      </w:pPr>
    </w:p>
    <w:p w14:paraId="563C2FA2" w14:textId="77777777" w:rsidR="00EC442C" w:rsidRDefault="00EC442C" w:rsidP="00EC442C">
      <w:pPr>
        <w:tabs>
          <w:tab w:val="left" w:pos="567"/>
        </w:tabs>
        <w:rPr>
          <w:sz w:val="22"/>
          <w:szCs w:val="22"/>
          <w:u w:val="single"/>
          <w:lang w:val="sk-SK"/>
        </w:rPr>
      </w:pPr>
      <w:r w:rsidRPr="00E350D1">
        <w:rPr>
          <w:sz w:val="22"/>
          <w:szCs w:val="22"/>
          <w:u w:val="single"/>
          <w:lang w:val="sk-SK"/>
        </w:rPr>
        <w:t>Eliminácia</w:t>
      </w:r>
    </w:p>
    <w:p w14:paraId="5DFC4080" w14:textId="77777777" w:rsidR="00777FB8" w:rsidRPr="00E350D1" w:rsidRDefault="00777FB8" w:rsidP="00EC442C">
      <w:pPr>
        <w:tabs>
          <w:tab w:val="left" w:pos="567"/>
        </w:tabs>
        <w:rPr>
          <w:sz w:val="22"/>
          <w:szCs w:val="22"/>
          <w:u w:val="single"/>
          <w:lang w:val="sk-SK"/>
        </w:rPr>
      </w:pPr>
    </w:p>
    <w:p w14:paraId="314368DC" w14:textId="79B60A43" w:rsidR="00EC442C" w:rsidRPr="00487D7C" w:rsidRDefault="00EC442C" w:rsidP="00EC442C">
      <w:pPr>
        <w:tabs>
          <w:tab w:val="left" w:pos="567"/>
        </w:tabs>
        <w:rPr>
          <w:sz w:val="22"/>
          <w:szCs w:val="22"/>
          <w:lang w:val="sk-SK"/>
        </w:rPr>
      </w:pPr>
      <w:r w:rsidRPr="00487D7C">
        <w:rPr>
          <w:sz w:val="22"/>
          <w:szCs w:val="22"/>
          <w:lang w:val="sk-SK"/>
        </w:rPr>
        <w:t>Menej ako 5 % dávky eplerenónu sa dostáva v nezmenenej forme do moču a stolice. Po perorálnom podaní jednorazovej dávky eplerenónu značeného rádioizotopom sa asi 32 % vylúčilo do stolice a približne 67 % do moču. Eliminačný polčas eplerenónu je približne 3 </w:t>
      </w:r>
      <w:r w:rsidRPr="00631831">
        <w:rPr>
          <w:sz w:val="22"/>
          <w:szCs w:val="22"/>
          <w:lang w:val="sk-SK"/>
        </w:rPr>
        <w:t>až 6 hodín</w:t>
      </w:r>
      <w:r w:rsidRPr="005201EA">
        <w:rPr>
          <w:sz w:val="22"/>
          <w:szCs w:val="22"/>
          <w:lang w:val="sk-SK"/>
        </w:rPr>
        <w:t xml:space="preserve">. </w:t>
      </w:r>
      <w:r w:rsidR="00337C74" w:rsidRPr="005201EA">
        <w:rPr>
          <w:sz w:val="22"/>
          <w:szCs w:val="22"/>
          <w:lang w:val="sk-SK"/>
        </w:rPr>
        <w:t>Zdanlivý</w:t>
      </w:r>
      <w:r w:rsidR="00337C74">
        <w:rPr>
          <w:sz w:val="22"/>
          <w:szCs w:val="22"/>
          <w:lang w:val="sk-SK"/>
        </w:rPr>
        <w:t xml:space="preserve"> p</w:t>
      </w:r>
      <w:r w:rsidRPr="00487D7C">
        <w:rPr>
          <w:sz w:val="22"/>
          <w:szCs w:val="22"/>
          <w:lang w:val="sk-SK"/>
        </w:rPr>
        <w:t>lazmatický klírens je približne 10 l/h.</w:t>
      </w:r>
    </w:p>
    <w:p w14:paraId="021A8B27" w14:textId="77777777" w:rsidR="00EC442C" w:rsidRPr="00487D7C" w:rsidRDefault="00EC442C" w:rsidP="00EC442C">
      <w:pPr>
        <w:tabs>
          <w:tab w:val="left" w:pos="567"/>
        </w:tabs>
        <w:rPr>
          <w:sz w:val="22"/>
          <w:szCs w:val="22"/>
          <w:lang w:val="sk-SK"/>
        </w:rPr>
      </w:pPr>
    </w:p>
    <w:p w14:paraId="4F5918BB" w14:textId="77777777" w:rsidR="00EC442C" w:rsidRDefault="00EC442C" w:rsidP="00EC442C">
      <w:pPr>
        <w:tabs>
          <w:tab w:val="left" w:pos="567"/>
        </w:tabs>
        <w:rPr>
          <w:sz w:val="22"/>
          <w:szCs w:val="22"/>
          <w:u w:val="single"/>
          <w:lang w:val="sk-SK"/>
        </w:rPr>
      </w:pPr>
      <w:r>
        <w:rPr>
          <w:sz w:val="22"/>
          <w:szCs w:val="22"/>
          <w:u w:val="single"/>
          <w:lang w:val="sk-SK"/>
        </w:rPr>
        <w:t>Osobitné</w:t>
      </w:r>
      <w:r w:rsidRPr="00E350D1">
        <w:rPr>
          <w:sz w:val="22"/>
          <w:szCs w:val="22"/>
          <w:u w:val="single"/>
          <w:lang w:val="sk-SK"/>
        </w:rPr>
        <w:t xml:space="preserve"> skupiny pacientov</w:t>
      </w:r>
    </w:p>
    <w:p w14:paraId="2816954E" w14:textId="77777777" w:rsidR="00777FB8" w:rsidRPr="00E350D1" w:rsidRDefault="00777FB8" w:rsidP="00EC442C">
      <w:pPr>
        <w:tabs>
          <w:tab w:val="left" w:pos="567"/>
        </w:tabs>
        <w:rPr>
          <w:sz w:val="22"/>
          <w:szCs w:val="22"/>
          <w:u w:val="single"/>
          <w:lang w:val="sk-SK"/>
        </w:rPr>
      </w:pPr>
    </w:p>
    <w:p w14:paraId="056A93E0" w14:textId="77777777" w:rsidR="00EC442C" w:rsidRDefault="00EC442C" w:rsidP="00EC442C">
      <w:pPr>
        <w:tabs>
          <w:tab w:val="left" w:pos="567"/>
        </w:tabs>
        <w:rPr>
          <w:i/>
          <w:sz w:val="22"/>
          <w:szCs w:val="22"/>
          <w:lang w:val="sk-SK"/>
        </w:rPr>
      </w:pPr>
      <w:r w:rsidRPr="00487D7C">
        <w:rPr>
          <w:i/>
          <w:sz w:val="22"/>
          <w:szCs w:val="22"/>
          <w:lang w:val="sk-SK"/>
        </w:rPr>
        <w:t xml:space="preserve">Vek, pohlavie a rasa </w:t>
      </w:r>
    </w:p>
    <w:p w14:paraId="64B7B73D" w14:textId="77777777" w:rsidR="00777FB8" w:rsidRPr="00487D7C" w:rsidRDefault="00777FB8" w:rsidP="00EC442C">
      <w:pPr>
        <w:tabs>
          <w:tab w:val="left" w:pos="567"/>
        </w:tabs>
        <w:rPr>
          <w:i/>
          <w:sz w:val="22"/>
          <w:szCs w:val="22"/>
          <w:lang w:val="sk-SK"/>
        </w:rPr>
      </w:pPr>
    </w:p>
    <w:p w14:paraId="76FD8835" w14:textId="2E2C395E" w:rsidR="00EC442C" w:rsidRPr="00487D7C" w:rsidRDefault="00EC442C" w:rsidP="00EC442C">
      <w:pPr>
        <w:tabs>
          <w:tab w:val="left" w:pos="567"/>
        </w:tabs>
        <w:rPr>
          <w:sz w:val="22"/>
          <w:szCs w:val="22"/>
          <w:lang w:val="sk-SK"/>
        </w:rPr>
      </w:pPr>
      <w:r w:rsidRPr="00487D7C">
        <w:rPr>
          <w:sz w:val="22"/>
          <w:szCs w:val="22"/>
          <w:lang w:val="sk-SK"/>
        </w:rPr>
        <w:t>Farmakokinetika eplerenónu</w:t>
      </w:r>
      <w:r w:rsidR="00777FB8">
        <w:rPr>
          <w:sz w:val="22"/>
          <w:szCs w:val="22"/>
          <w:lang w:val="sk-SK"/>
        </w:rPr>
        <w:t xml:space="preserve"> v dávke 100 mg jedenkrát</w:t>
      </w:r>
      <w:r w:rsidRPr="00487D7C">
        <w:rPr>
          <w:sz w:val="22"/>
          <w:szCs w:val="22"/>
          <w:lang w:val="sk-SK"/>
        </w:rPr>
        <w:t xml:space="preserve"> denne sa skúmala u starších pacientov (</w:t>
      </w:r>
      <w:r w:rsidRPr="00487D7C">
        <w:rPr>
          <w:sz w:val="22"/>
          <w:szCs w:val="22"/>
          <w:lang w:val="sk-SK"/>
        </w:rPr>
        <w:sym w:font="Symbol" w:char="00B3"/>
      </w:r>
      <w:r w:rsidRPr="00487D7C">
        <w:rPr>
          <w:sz w:val="22"/>
          <w:szCs w:val="22"/>
          <w:lang w:val="sk-SK"/>
        </w:rPr>
        <w:t> 65 rokov), u mužov a žien, aj u</w:t>
      </w:r>
      <w:r w:rsidR="00337C74">
        <w:rPr>
          <w:sz w:val="22"/>
          <w:szCs w:val="22"/>
          <w:lang w:val="sk-SK"/>
        </w:rPr>
        <w:t> osôb čiernej rasy</w:t>
      </w:r>
      <w:r w:rsidRPr="00487D7C">
        <w:rPr>
          <w:sz w:val="22"/>
          <w:szCs w:val="22"/>
          <w:lang w:val="sk-SK"/>
        </w:rPr>
        <w:t>. Medzi farmakokinetikou u mužov a žien sa nezistili žiadne signifikantné rozdiely. V porovnaní s mladšími jedincami (18 – 45 rokov) sa v rovnovážnom stave zvýšila u starších jedincov C</w:t>
      </w:r>
      <w:r w:rsidRPr="00487D7C">
        <w:rPr>
          <w:sz w:val="22"/>
          <w:szCs w:val="22"/>
          <w:vertAlign w:val="subscript"/>
          <w:lang w:val="sk-SK"/>
        </w:rPr>
        <w:t>max</w:t>
      </w:r>
      <w:r w:rsidRPr="00487D7C">
        <w:rPr>
          <w:sz w:val="22"/>
          <w:szCs w:val="22"/>
          <w:lang w:val="sk-SK"/>
        </w:rPr>
        <w:t xml:space="preserve"> (o 22 %) a AUC (o 45 %). U</w:t>
      </w:r>
      <w:r w:rsidR="00337C74">
        <w:rPr>
          <w:sz w:val="22"/>
          <w:szCs w:val="22"/>
          <w:lang w:val="sk-SK"/>
        </w:rPr>
        <w:t> osôb čiernej rasy</w:t>
      </w:r>
      <w:r w:rsidRPr="00487D7C">
        <w:rPr>
          <w:sz w:val="22"/>
          <w:szCs w:val="22"/>
          <w:lang w:val="sk-SK"/>
        </w:rPr>
        <w:t xml:space="preserve"> sa v rovnovážnom stave C</w:t>
      </w:r>
      <w:r w:rsidRPr="00487D7C">
        <w:rPr>
          <w:sz w:val="22"/>
          <w:szCs w:val="22"/>
          <w:vertAlign w:val="subscript"/>
          <w:lang w:val="sk-SK"/>
        </w:rPr>
        <w:t>max</w:t>
      </w:r>
      <w:r w:rsidRPr="00487D7C">
        <w:rPr>
          <w:sz w:val="22"/>
          <w:szCs w:val="22"/>
          <w:lang w:val="sk-SK"/>
        </w:rPr>
        <w:t xml:space="preserve"> znížila o 19 % a AUC o 26 % (pozri časť 4.2).</w:t>
      </w:r>
    </w:p>
    <w:p w14:paraId="775F4C6A" w14:textId="77777777" w:rsidR="00EC442C" w:rsidRPr="00487D7C" w:rsidRDefault="00EC442C" w:rsidP="00EC442C">
      <w:pPr>
        <w:tabs>
          <w:tab w:val="left" w:pos="567"/>
        </w:tabs>
        <w:rPr>
          <w:sz w:val="22"/>
          <w:szCs w:val="22"/>
          <w:lang w:val="sk-SK"/>
        </w:rPr>
      </w:pPr>
    </w:p>
    <w:p w14:paraId="1E0385C1" w14:textId="77777777" w:rsidR="00EC442C" w:rsidRDefault="00EC442C" w:rsidP="00EC442C">
      <w:pPr>
        <w:tabs>
          <w:tab w:val="left" w:pos="567"/>
        </w:tabs>
        <w:rPr>
          <w:i/>
          <w:sz w:val="22"/>
          <w:szCs w:val="22"/>
          <w:lang w:val="sk-SK"/>
        </w:rPr>
      </w:pPr>
      <w:r w:rsidRPr="00487D7C">
        <w:rPr>
          <w:i/>
          <w:sz w:val="22"/>
          <w:szCs w:val="22"/>
          <w:lang w:val="sk-SK"/>
        </w:rPr>
        <w:t>Pediatrická populácia</w:t>
      </w:r>
    </w:p>
    <w:p w14:paraId="082F11B6" w14:textId="77777777" w:rsidR="00777FB8" w:rsidRPr="00487D7C" w:rsidRDefault="00777FB8" w:rsidP="00EC442C">
      <w:pPr>
        <w:tabs>
          <w:tab w:val="left" w:pos="567"/>
        </w:tabs>
        <w:rPr>
          <w:i/>
          <w:sz w:val="22"/>
          <w:szCs w:val="22"/>
          <w:lang w:val="sk-SK"/>
        </w:rPr>
      </w:pPr>
    </w:p>
    <w:p w14:paraId="10C7295E" w14:textId="5341DBAD" w:rsidR="00EC442C" w:rsidRPr="00487D7C" w:rsidRDefault="00EC442C" w:rsidP="00EC442C">
      <w:pPr>
        <w:tabs>
          <w:tab w:val="left" w:pos="567"/>
        </w:tabs>
        <w:rPr>
          <w:sz w:val="22"/>
          <w:szCs w:val="22"/>
          <w:lang w:val="sk-SK"/>
        </w:rPr>
      </w:pPr>
      <w:r w:rsidRPr="00487D7C">
        <w:rPr>
          <w:sz w:val="22"/>
          <w:szCs w:val="22"/>
          <w:lang w:val="sk-SK"/>
        </w:rPr>
        <w:t xml:space="preserve">Farmakokinetický model populácie v prípade koncentrácií eplerenónu z dvoch štúdií s 51 deťmi a dospievajúcimi s hypertenziou vo veku od 4 do 16 rokov identifikoval, že hmotnosť pacienta mala štatisticky významný </w:t>
      </w:r>
      <w:r w:rsidR="00337C74">
        <w:rPr>
          <w:sz w:val="22"/>
          <w:szCs w:val="22"/>
          <w:lang w:val="sk-SK"/>
        </w:rPr>
        <w:t>vplyv</w:t>
      </w:r>
      <w:r w:rsidR="00337C74" w:rsidRPr="00487D7C">
        <w:rPr>
          <w:sz w:val="22"/>
          <w:szCs w:val="22"/>
          <w:lang w:val="sk-SK"/>
        </w:rPr>
        <w:t xml:space="preserve"> </w:t>
      </w:r>
      <w:r w:rsidRPr="00487D7C">
        <w:rPr>
          <w:sz w:val="22"/>
          <w:szCs w:val="22"/>
          <w:lang w:val="sk-SK"/>
        </w:rPr>
        <w:t xml:space="preserve">na </w:t>
      </w:r>
      <w:r w:rsidR="00337C74">
        <w:rPr>
          <w:sz w:val="22"/>
          <w:szCs w:val="22"/>
          <w:lang w:val="sk-SK"/>
        </w:rPr>
        <w:t xml:space="preserve">distribučný </w:t>
      </w:r>
      <w:r w:rsidR="00986CE9">
        <w:rPr>
          <w:sz w:val="22"/>
          <w:szCs w:val="22"/>
          <w:lang w:val="sk-SK"/>
        </w:rPr>
        <w:t xml:space="preserve">objem </w:t>
      </w:r>
      <w:r w:rsidRPr="00487D7C">
        <w:rPr>
          <w:sz w:val="22"/>
          <w:szCs w:val="22"/>
          <w:lang w:val="sk-SK"/>
        </w:rPr>
        <w:t xml:space="preserve">eplerenónu, </w:t>
      </w:r>
      <w:r w:rsidR="00BB5C65">
        <w:rPr>
          <w:sz w:val="22"/>
          <w:szCs w:val="22"/>
          <w:lang w:val="sk-SK"/>
        </w:rPr>
        <w:t>ale</w:t>
      </w:r>
      <w:r w:rsidRPr="00487D7C">
        <w:rPr>
          <w:sz w:val="22"/>
          <w:szCs w:val="22"/>
          <w:lang w:val="sk-SK"/>
        </w:rPr>
        <w:t xml:space="preserve"> nemala účinok na jeho </w:t>
      </w:r>
      <w:r w:rsidR="00283D2D">
        <w:rPr>
          <w:sz w:val="22"/>
          <w:szCs w:val="22"/>
          <w:lang w:val="sk-SK"/>
        </w:rPr>
        <w:t>klírens</w:t>
      </w:r>
      <w:r w:rsidRPr="00487D7C">
        <w:rPr>
          <w:sz w:val="22"/>
          <w:szCs w:val="22"/>
          <w:lang w:val="sk-SK"/>
        </w:rPr>
        <w:t xml:space="preserve">. </w:t>
      </w:r>
      <w:r w:rsidR="00283D2D">
        <w:rPr>
          <w:sz w:val="22"/>
          <w:szCs w:val="22"/>
          <w:lang w:val="sk-SK"/>
        </w:rPr>
        <w:lastRenderedPageBreak/>
        <w:t>Predpokladalo</w:t>
      </w:r>
      <w:r w:rsidR="00283D2D" w:rsidRPr="00487D7C">
        <w:rPr>
          <w:sz w:val="22"/>
          <w:szCs w:val="22"/>
          <w:lang w:val="sk-SK"/>
        </w:rPr>
        <w:t xml:space="preserve"> </w:t>
      </w:r>
      <w:r w:rsidRPr="00487D7C">
        <w:rPr>
          <w:sz w:val="22"/>
          <w:szCs w:val="22"/>
          <w:lang w:val="sk-SK"/>
        </w:rPr>
        <w:t xml:space="preserve">sa, že </w:t>
      </w:r>
      <w:r w:rsidR="00283D2D">
        <w:rPr>
          <w:sz w:val="22"/>
          <w:szCs w:val="22"/>
          <w:lang w:val="sk-SK"/>
        </w:rPr>
        <w:t xml:space="preserve">distribučný </w:t>
      </w:r>
      <w:r w:rsidRPr="00487D7C">
        <w:rPr>
          <w:sz w:val="22"/>
          <w:szCs w:val="22"/>
          <w:lang w:val="sk-SK"/>
        </w:rPr>
        <w:t>objem eplerenónu a </w:t>
      </w:r>
      <w:r w:rsidR="00283D2D">
        <w:rPr>
          <w:sz w:val="22"/>
          <w:szCs w:val="22"/>
          <w:lang w:val="sk-SK"/>
        </w:rPr>
        <w:t>maximálna</w:t>
      </w:r>
      <w:r w:rsidR="00283D2D" w:rsidRPr="00487D7C">
        <w:rPr>
          <w:sz w:val="22"/>
          <w:szCs w:val="22"/>
          <w:lang w:val="sk-SK"/>
        </w:rPr>
        <w:t xml:space="preserve"> </w:t>
      </w:r>
      <w:r w:rsidRPr="00487D7C">
        <w:rPr>
          <w:sz w:val="22"/>
          <w:szCs w:val="22"/>
          <w:lang w:val="sk-SK"/>
        </w:rPr>
        <w:t>expozícia u detí a dospievajúcich s vyššou hmotnosťou bud</w:t>
      </w:r>
      <w:r w:rsidR="00BB5C65">
        <w:rPr>
          <w:sz w:val="22"/>
          <w:szCs w:val="22"/>
          <w:lang w:val="sk-SK"/>
        </w:rPr>
        <w:t>ú</w:t>
      </w:r>
      <w:r w:rsidRPr="00487D7C">
        <w:rPr>
          <w:sz w:val="22"/>
          <w:szCs w:val="22"/>
          <w:lang w:val="sk-SK"/>
        </w:rPr>
        <w:t xml:space="preserve"> podobn</w:t>
      </w:r>
      <w:r w:rsidR="00BB5C65">
        <w:rPr>
          <w:sz w:val="22"/>
          <w:szCs w:val="22"/>
          <w:lang w:val="sk-SK"/>
        </w:rPr>
        <w:t>é</w:t>
      </w:r>
      <w:r w:rsidRPr="00487D7C">
        <w:rPr>
          <w:sz w:val="22"/>
          <w:szCs w:val="22"/>
          <w:lang w:val="sk-SK"/>
        </w:rPr>
        <w:t xml:space="preserve"> ako v prípade dospelých s</w:t>
      </w:r>
      <w:r w:rsidR="00777FB8">
        <w:rPr>
          <w:sz w:val="22"/>
          <w:szCs w:val="22"/>
          <w:lang w:val="sk-SK"/>
        </w:rPr>
        <w:t> podobnou telesnou hmotnosťou; u</w:t>
      </w:r>
      <w:r w:rsidRPr="00487D7C">
        <w:rPr>
          <w:sz w:val="22"/>
          <w:szCs w:val="22"/>
          <w:lang w:val="sk-SK"/>
        </w:rPr>
        <w:t> pacient</w:t>
      </w:r>
      <w:r w:rsidR="00FC58F4">
        <w:rPr>
          <w:sz w:val="22"/>
          <w:szCs w:val="22"/>
          <w:lang w:val="sk-SK"/>
        </w:rPr>
        <w:t>a</w:t>
      </w:r>
      <w:r w:rsidRPr="00487D7C">
        <w:rPr>
          <w:sz w:val="22"/>
          <w:szCs w:val="22"/>
          <w:lang w:val="sk-SK"/>
        </w:rPr>
        <w:t xml:space="preserve"> s nižšou hmotnosťou </w:t>
      </w:r>
      <w:smartTag w:uri="urn:schemas-microsoft-com:office:smarttags" w:element="metricconverter">
        <w:smartTagPr>
          <w:attr w:name="ProductID" w:val="45ﾠkg"/>
        </w:smartTagPr>
        <w:r w:rsidRPr="00487D7C">
          <w:rPr>
            <w:sz w:val="22"/>
            <w:szCs w:val="22"/>
            <w:lang w:val="sk-SK"/>
          </w:rPr>
          <w:t>45 kg</w:t>
        </w:r>
      </w:smartTag>
      <w:r w:rsidRPr="00487D7C">
        <w:rPr>
          <w:sz w:val="22"/>
          <w:szCs w:val="22"/>
          <w:lang w:val="sk-SK"/>
        </w:rPr>
        <w:t xml:space="preserve"> je distribu</w:t>
      </w:r>
      <w:r w:rsidR="00283D2D">
        <w:rPr>
          <w:sz w:val="22"/>
          <w:szCs w:val="22"/>
          <w:lang w:val="sk-SK"/>
        </w:rPr>
        <w:t>čný</w:t>
      </w:r>
      <w:r w:rsidRPr="00487D7C">
        <w:rPr>
          <w:sz w:val="22"/>
          <w:szCs w:val="22"/>
          <w:lang w:val="sk-SK"/>
        </w:rPr>
        <w:t xml:space="preserve"> objem približne o 40 % nižší a očakáva sa, že </w:t>
      </w:r>
      <w:r w:rsidR="00283D2D">
        <w:rPr>
          <w:sz w:val="22"/>
          <w:szCs w:val="22"/>
          <w:lang w:val="sk-SK"/>
        </w:rPr>
        <w:t>maximálna</w:t>
      </w:r>
      <w:r w:rsidR="00283D2D" w:rsidRPr="00487D7C">
        <w:rPr>
          <w:sz w:val="22"/>
          <w:szCs w:val="22"/>
          <w:lang w:val="sk-SK"/>
        </w:rPr>
        <w:t xml:space="preserve"> </w:t>
      </w:r>
      <w:r w:rsidRPr="00487D7C">
        <w:rPr>
          <w:sz w:val="22"/>
          <w:szCs w:val="22"/>
          <w:lang w:val="sk-SK"/>
        </w:rPr>
        <w:t>expozícia bude vyššia ako u</w:t>
      </w:r>
      <w:r w:rsidR="00283D2D">
        <w:rPr>
          <w:sz w:val="22"/>
          <w:szCs w:val="22"/>
          <w:lang w:val="sk-SK"/>
        </w:rPr>
        <w:t xml:space="preserve"> typického </w:t>
      </w:r>
      <w:r w:rsidRPr="00487D7C">
        <w:rPr>
          <w:sz w:val="22"/>
          <w:szCs w:val="22"/>
          <w:lang w:val="sk-SK"/>
        </w:rPr>
        <w:t>dospel</w:t>
      </w:r>
      <w:r w:rsidR="00283D2D">
        <w:rPr>
          <w:sz w:val="22"/>
          <w:szCs w:val="22"/>
          <w:lang w:val="sk-SK"/>
        </w:rPr>
        <w:t>ého</w:t>
      </w:r>
      <w:r w:rsidRPr="00487D7C">
        <w:rPr>
          <w:sz w:val="22"/>
          <w:szCs w:val="22"/>
          <w:lang w:val="sk-SK"/>
        </w:rPr>
        <w:t>. Liečba eplerenónom sa začala dávkou 25 mg jedenkrát denne u detí a dospievajúcich a zvýšila sa na dávku 25 mg dvakrát denne po 2 týždňoch</w:t>
      </w:r>
      <w:r w:rsidR="00BB5C65">
        <w:rPr>
          <w:sz w:val="22"/>
          <w:szCs w:val="22"/>
          <w:lang w:val="sk-SK"/>
        </w:rPr>
        <w:t xml:space="preserve"> a </w:t>
      </w:r>
      <w:r w:rsidRPr="00487D7C">
        <w:rPr>
          <w:sz w:val="22"/>
          <w:szCs w:val="22"/>
          <w:lang w:val="sk-SK"/>
        </w:rPr>
        <w:t>na</w:t>
      </w:r>
      <w:r w:rsidR="00BB5C65">
        <w:rPr>
          <w:sz w:val="22"/>
          <w:szCs w:val="22"/>
          <w:lang w:val="sk-SK"/>
        </w:rPr>
        <w:t>koniec na</w:t>
      </w:r>
      <w:r w:rsidRPr="00487D7C">
        <w:rPr>
          <w:sz w:val="22"/>
          <w:szCs w:val="22"/>
          <w:lang w:val="sk-SK"/>
        </w:rPr>
        <w:t xml:space="preserve"> 50 mg dvakrát denne, ak </w:t>
      </w:r>
      <w:r w:rsidR="00BB5C65">
        <w:rPr>
          <w:sz w:val="22"/>
          <w:szCs w:val="22"/>
          <w:lang w:val="sk-SK"/>
        </w:rPr>
        <w:t>to bolo klinicky indikované</w:t>
      </w:r>
      <w:r w:rsidRPr="00487D7C">
        <w:rPr>
          <w:sz w:val="22"/>
          <w:szCs w:val="22"/>
          <w:lang w:val="sk-SK"/>
        </w:rPr>
        <w:t>. Pri týchto dávkach neboli najvyššie pozorované koncentrácie eplerenónu u detí a dospievajúcich výrazne vyššie ako u dospelých, ktorých liečba sa začala  dávkou 50 mg jedenkrát denne.</w:t>
      </w:r>
    </w:p>
    <w:p w14:paraId="438AC21B" w14:textId="77777777" w:rsidR="00EC442C" w:rsidRPr="00487D7C" w:rsidRDefault="00EC442C" w:rsidP="00EC442C">
      <w:pPr>
        <w:tabs>
          <w:tab w:val="left" w:pos="567"/>
        </w:tabs>
        <w:rPr>
          <w:sz w:val="22"/>
          <w:szCs w:val="22"/>
          <w:lang w:val="sk-SK"/>
        </w:rPr>
      </w:pPr>
    </w:p>
    <w:p w14:paraId="3D45602C" w14:textId="77777777" w:rsidR="00EC442C" w:rsidRDefault="00EC442C" w:rsidP="00EC442C">
      <w:pPr>
        <w:tabs>
          <w:tab w:val="left" w:pos="567"/>
        </w:tabs>
        <w:rPr>
          <w:i/>
          <w:sz w:val="22"/>
          <w:szCs w:val="22"/>
          <w:lang w:val="sk-SK"/>
        </w:rPr>
      </w:pPr>
      <w:r w:rsidRPr="00487D7C">
        <w:rPr>
          <w:i/>
          <w:sz w:val="22"/>
          <w:szCs w:val="22"/>
          <w:lang w:val="sk-SK"/>
        </w:rPr>
        <w:t>Renálna insuficiencia</w:t>
      </w:r>
    </w:p>
    <w:p w14:paraId="29875413" w14:textId="77777777" w:rsidR="00777FB8" w:rsidRPr="00487D7C" w:rsidRDefault="00777FB8" w:rsidP="00EC442C">
      <w:pPr>
        <w:tabs>
          <w:tab w:val="left" w:pos="567"/>
        </w:tabs>
        <w:rPr>
          <w:i/>
          <w:sz w:val="22"/>
          <w:szCs w:val="22"/>
          <w:lang w:val="sk-SK"/>
        </w:rPr>
      </w:pPr>
    </w:p>
    <w:p w14:paraId="47B11972" w14:textId="7089BFDF" w:rsidR="00EC442C" w:rsidRPr="00487D7C" w:rsidRDefault="00EC442C" w:rsidP="00EC442C">
      <w:pPr>
        <w:tabs>
          <w:tab w:val="left" w:pos="567"/>
        </w:tabs>
        <w:rPr>
          <w:sz w:val="22"/>
          <w:szCs w:val="22"/>
          <w:lang w:val="sk-SK"/>
        </w:rPr>
      </w:pPr>
      <w:r w:rsidRPr="00487D7C">
        <w:rPr>
          <w:sz w:val="22"/>
          <w:szCs w:val="22"/>
          <w:lang w:val="sk-SK"/>
        </w:rPr>
        <w:t>Farmakokinetika eplerenónu sa hodnotila u pacientov s rôznym stupňom renálnej insuficiencie a u pacientov v hemodialyzačnom programe. Oproti kontrolným skupinám sa AUC a C</w:t>
      </w:r>
      <w:r w:rsidRPr="00487D7C">
        <w:rPr>
          <w:sz w:val="22"/>
          <w:szCs w:val="22"/>
          <w:vertAlign w:val="subscript"/>
          <w:lang w:val="sk-SK"/>
        </w:rPr>
        <w:t>max</w:t>
      </w:r>
      <w:r w:rsidRPr="00487D7C">
        <w:rPr>
          <w:sz w:val="22"/>
          <w:szCs w:val="22"/>
          <w:lang w:val="sk-SK"/>
        </w:rPr>
        <w:t xml:space="preserve"> </w:t>
      </w:r>
      <w:r w:rsidR="0031389B" w:rsidRPr="00487D7C">
        <w:rPr>
          <w:sz w:val="22"/>
          <w:szCs w:val="22"/>
          <w:lang w:val="sk-SK"/>
        </w:rPr>
        <w:t xml:space="preserve">v rovnovážnom stave </w:t>
      </w:r>
      <w:r w:rsidRPr="00487D7C">
        <w:rPr>
          <w:sz w:val="22"/>
          <w:szCs w:val="22"/>
          <w:lang w:val="sk-SK"/>
        </w:rPr>
        <w:t xml:space="preserve">zvýšili o 38 % </w:t>
      </w:r>
      <w:r w:rsidR="006971F4">
        <w:rPr>
          <w:sz w:val="22"/>
          <w:szCs w:val="22"/>
          <w:lang w:val="sk-SK"/>
        </w:rPr>
        <w:t>a</w:t>
      </w:r>
      <w:r w:rsidRPr="00487D7C">
        <w:rPr>
          <w:sz w:val="22"/>
          <w:szCs w:val="22"/>
          <w:lang w:val="sk-SK"/>
        </w:rPr>
        <w:t xml:space="preserve"> o 24 % u pacientov s ťažkým stupňom </w:t>
      </w:r>
      <w:r w:rsidR="0031389B">
        <w:rPr>
          <w:sz w:val="22"/>
          <w:szCs w:val="22"/>
          <w:lang w:val="sk-SK"/>
        </w:rPr>
        <w:t>poruchy</w:t>
      </w:r>
      <w:r w:rsidR="0031389B" w:rsidRPr="00487D7C">
        <w:rPr>
          <w:sz w:val="22"/>
          <w:szCs w:val="22"/>
          <w:lang w:val="sk-SK"/>
        </w:rPr>
        <w:t xml:space="preserve"> </w:t>
      </w:r>
      <w:r w:rsidRPr="00487D7C">
        <w:rPr>
          <w:sz w:val="22"/>
          <w:szCs w:val="22"/>
          <w:lang w:val="sk-SK"/>
        </w:rPr>
        <w:t xml:space="preserve">funkcie obličiek a znížili sa o 26 % </w:t>
      </w:r>
      <w:r w:rsidR="006971F4">
        <w:rPr>
          <w:sz w:val="22"/>
          <w:szCs w:val="22"/>
          <w:lang w:val="sk-SK"/>
        </w:rPr>
        <w:t>a</w:t>
      </w:r>
      <w:r w:rsidRPr="00487D7C">
        <w:rPr>
          <w:sz w:val="22"/>
          <w:szCs w:val="22"/>
          <w:lang w:val="sk-SK"/>
        </w:rPr>
        <w:t xml:space="preserve"> o 3 % u  pacientov</w:t>
      </w:r>
      <w:r w:rsidR="0031389B">
        <w:rPr>
          <w:sz w:val="22"/>
          <w:szCs w:val="22"/>
          <w:lang w:val="sk-SK"/>
        </w:rPr>
        <w:t xml:space="preserve"> na hemodialýze</w:t>
      </w:r>
      <w:r w:rsidRPr="00487D7C">
        <w:rPr>
          <w:sz w:val="22"/>
          <w:szCs w:val="22"/>
          <w:lang w:val="sk-SK"/>
        </w:rPr>
        <w:t xml:space="preserve">. Nepozorovala sa žiadna korelácia medzi plazmatickým klírensom eplerenónu a klírensom kreatinínu. Eplerenón nie je </w:t>
      </w:r>
      <w:r w:rsidR="0031389B">
        <w:rPr>
          <w:sz w:val="22"/>
          <w:szCs w:val="22"/>
          <w:lang w:val="sk-SK"/>
        </w:rPr>
        <w:t>odstrániteľný hemodialýzou</w:t>
      </w:r>
      <w:r w:rsidR="0031389B" w:rsidRPr="00487D7C">
        <w:rPr>
          <w:sz w:val="22"/>
          <w:szCs w:val="22"/>
          <w:lang w:val="sk-SK"/>
        </w:rPr>
        <w:t xml:space="preserve"> </w:t>
      </w:r>
      <w:r w:rsidRPr="00487D7C">
        <w:rPr>
          <w:sz w:val="22"/>
          <w:szCs w:val="22"/>
          <w:lang w:val="sk-SK"/>
        </w:rPr>
        <w:t>(pozri časť 4.4).</w:t>
      </w:r>
    </w:p>
    <w:p w14:paraId="7029FB42" w14:textId="77777777" w:rsidR="00EC442C" w:rsidRPr="00487D7C" w:rsidRDefault="00EC442C" w:rsidP="00EC442C">
      <w:pPr>
        <w:tabs>
          <w:tab w:val="left" w:pos="567"/>
        </w:tabs>
        <w:rPr>
          <w:sz w:val="22"/>
          <w:szCs w:val="22"/>
          <w:lang w:val="sk-SK"/>
        </w:rPr>
      </w:pPr>
    </w:p>
    <w:p w14:paraId="159912CF" w14:textId="77777777" w:rsidR="00EC442C" w:rsidRDefault="00EC442C" w:rsidP="00EC442C">
      <w:pPr>
        <w:tabs>
          <w:tab w:val="left" w:pos="567"/>
        </w:tabs>
        <w:rPr>
          <w:i/>
          <w:sz w:val="22"/>
          <w:szCs w:val="22"/>
          <w:lang w:val="sk-SK"/>
        </w:rPr>
      </w:pPr>
      <w:r w:rsidRPr="00487D7C">
        <w:rPr>
          <w:i/>
          <w:sz w:val="22"/>
          <w:szCs w:val="22"/>
          <w:lang w:val="sk-SK"/>
        </w:rPr>
        <w:t>Hepatálna insuficiencia</w:t>
      </w:r>
    </w:p>
    <w:p w14:paraId="2C733E2E" w14:textId="77777777" w:rsidR="00C55D1B" w:rsidRPr="00487D7C" w:rsidRDefault="00C55D1B" w:rsidP="00EC442C">
      <w:pPr>
        <w:tabs>
          <w:tab w:val="left" w:pos="567"/>
        </w:tabs>
        <w:rPr>
          <w:i/>
          <w:sz w:val="22"/>
          <w:szCs w:val="22"/>
          <w:lang w:val="sk-SK"/>
        </w:rPr>
      </w:pPr>
    </w:p>
    <w:p w14:paraId="5C254047" w14:textId="6C53DB93" w:rsidR="00EC442C" w:rsidRPr="00487D7C" w:rsidRDefault="00EC442C" w:rsidP="00EC442C">
      <w:pPr>
        <w:tabs>
          <w:tab w:val="left" w:pos="567"/>
        </w:tabs>
        <w:rPr>
          <w:sz w:val="22"/>
          <w:szCs w:val="22"/>
          <w:lang w:val="sk-SK"/>
        </w:rPr>
      </w:pPr>
      <w:r w:rsidRPr="00487D7C">
        <w:rPr>
          <w:sz w:val="22"/>
          <w:szCs w:val="22"/>
          <w:lang w:val="sk-SK"/>
        </w:rPr>
        <w:t xml:space="preserve"> </w:t>
      </w:r>
      <w:r w:rsidR="00446161">
        <w:rPr>
          <w:sz w:val="22"/>
          <w:szCs w:val="22"/>
          <w:lang w:val="sk-SK"/>
        </w:rPr>
        <w:t>F</w:t>
      </w:r>
      <w:r w:rsidRPr="00487D7C">
        <w:rPr>
          <w:sz w:val="22"/>
          <w:szCs w:val="22"/>
          <w:lang w:val="sk-SK"/>
        </w:rPr>
        <w:t>armakokinetika eplerenónu v dávke 400 mg</w:t>
      </w:r>
      <w:r w:rsidR="00446161">
        <w:rPr>
          <w:sz w:val="22"/>
          <w:szCs w:val="22"/>
          <w:lang w:val="sk-SK"/>
        </w:rPr>
        <w:t xml:space="preserve"> sa</w:t>
      </w:r>
      <w:r w:rsidRPr="00487D7C">
        <w:rPr>
          <w:sz w:val="22"/>
          <w:szCs w:val="22"/>
          <w:lang w:val="sk-SK"/>
        </w:rPr>
        <w:t xml:space="preserve"> skúmala u pacientov so stredným stupňom</w:t>
      </w:r>
      <w:r w:rsidR="004963EC">
        <w:rPr>
          <w:sz w:val="22"/>
          <w:szCs w:val="22"/>
          <w:lang w:val="sk-SK"/>
        </w:rPr>
        <w:t xml:space="preserve"> </w:t>
      </w:r>
      <w:r w:rsidR="00446161">
        <w:rPr>
          <w:sz w:val="22"/>
          <w:szCs w:val="22"/>
          <w:lang w:val="sk-SK"/>
        </w:rPr>
        <w:t>poruchy</w:t>
      </w:r>
      <w:r w:rsidRPr="00487D7C">
        <w:rPr>
          <w:sz w:val="22"/>
          <w:szCs w:val="22"/>
          <w:lang w:val="sk-SK"/>
        </w:rPr>
        <w:t xml:space="preserve"> funkcie pečene (</w:t>
      </w:r>
      <w:r w:rsidR="00446161">
        <w:rPr>
          <w:sz w:val="22"/>
          <w:szCs w:val="22"/>
          <w:lang w:val="sk-SK"/>
        </w:rPr>
        <w:t>trieda</w:t>
      </w:r>
      <w:r w:rsidRPr="00487D7C">
        <w:rPr>
          <w:sz w:val="22"/>
          <w:szCs w:val="22"/>
          <w:lang w:val="sk-SK"/>
        </w:rPr>
        <w:t> B podľa Childa-Pugha)</w:t>
      </w:r>
      <w:r w:rsidR="00446161">
        <w:rPr>
          <w:sz w:val="22"/>
          <w:szCs w:val="22"/>
          <w:lang w:val="sk-SK"/>
        </w:rPr>
        <w:t xml:space="preserve"> v porovnaní so zdravými osobami</w:t>
      </w:r>
      <w:r w:rsidRPr="00487D7C">
        <w:rPr>
          <w:sz w:val="22"/>
          <w:szCs w:val="22"/>
          <w:lang w:val="sk-SK"/>
        </w:rPr>
        <w:t>. V rovnovážnom stave sa C</w:t>
      </w:r>
      <w:r w:rsidRPr="00487D7C">
        <w:rPr>
          <w:sz w:val="22"/>
          <w:szCs w:val="22"/>
          <w:vertAlign w:val="subscript"/>
          <w:lang w:val="sk-SK"/>
        </w:rPr>
        <w:t>max</w:t>
      </w:r>
      <w:r w:rsidRPr="00487D7C">
        <w:rPr>
          <w:sz w:val="22"/>
          <w:szCs w:val="22"/>
          <w:lang w:val="sk-SK"/>
        </w:rPr>
        <w:t xml:space="preserve"> eplerenónu zvýšila o 3,6 % a AUC o 42 % (pozri časť 4.2). Vzhľadom na to, že sa liečba eplerenónom nesledovala u pacientov s ťažkým stupňom </w:t>
      </w:r>
      <w:r w:rsidR="00446161">
        <w:rPr>
          <w:sz w:val="22"/>
          <w:szCs w:val="22"/>
          <w:lang w:val="sk-SK"/>
        </w:rPr>
        <w:t>poruchy</w:t>
      </w:r>
      <w:r w:rsidR="00446161" w:rsidRPr="00487D7C">
        <w:rPr>
          <w:sz w:val="22"/>
          <w:szCs w:val="22"/>
          <w:lang w:val="sk-SK"/>
        </w:rPr>
        <w:t xml:space="preserve"> </w:t>
      </w:r>
      <w:r w:rsidRPr="00487D7C">
        <w:rPr>
          <w:sz w:val="22"/>
          <w:szCs w:val="22"/>
          <w:lang w:val="sk-SK"/>
        </w:rPr>
        <w:t>funkcie pečene, je eplerenón</w:t>
      </w:r>
      <w:r w:rsidR="004963EC">
        <w:rPr>
          <w:sz w:val="22"/>
          <w:szCs w:val="22"/>
          <w:lang w:val="sk-SK"/>
        </w:rPr>
        <w:t xml:space="preserve"> kontraindikovaný </w:t>
      </w:r>
      <w:r w:rsidRPr="00487D7C">
        <w:rPr>
          <w:sz w:val="22"/>
          <w:szCs w:val="22"/>
          <w:lang w:val="sk-SK"/>
        </w:rPr>
        <w:t>tejto skupin</w:t>
      </w:r>
      <w:r w:rsidR="00446161">
        <w:rPr>
          <w:sz w:val="22"/>
          <w:szCs w:val="22"/>
          <w:lang w:val="sk-SK"/>
        </w:rPr>
        <w:t>e</w:t>
      </w:r>
      <w:r w:rsidRPr="00487D7C">
        <w:rPr>
          <w:sz w:val="22"/>
          <w:szCs w:val="22"/>
          <w:lang w:val="sk-SK"/>
        </w:rPr>
        <w:t xml:space="preserve"> pacientov (pozri časť 4.3).</w:t>
      </w:r>
    </w:p>
    <w:p w14:paraId="1C1FCE45" w14:textId="77777777" w:rsidR="00EC442C" w:rsidRPr="00487D7C" w:rsidRDefault="00EC442C" w:rsidP="00EC442C">
      <w:pPr>
        <w:tabs>
          <w:tab w:val="left" w:pos="567"/>
        </w:tabs>
        <w:rPr>
          <w:sz w:val="22"/>
          <w:szCs w:val="22"/>
          <w:lang w:val="sk-SK"/>
        </w:rPr>
      </w:pPr>
    </w:p>
    <w:p w14:paraId="0B38E4D1" w14:textId="16A7DAA4" w:rsidR="00EC442C" w:rsidRDefault="00BB5C65" w:rsidP="00EC442C">
      <w:pPr>
        <w:tabs>
          <w:tab w:val="left" w:pos="567"/>
        </w:tabs>
        <w:rPr>
          <w:i/>
          <w:sz w:val="22"/>
          <w:szCs w:val="22"/>
          <w:lang w:val="sk-SK"/>
        </w:rPr>
      </w:pPr>
      <w:r>
        <w:rPr>
          <w:i/>
          <w:sz w:val="22"/>
          <w:szCs w:val="22"/>
          <w:lang w:val="sk-SK"/>
        </w:rPr>
        <w:t>Z</w:t>
      </w:r>
      <w:r w:rsidR="00EC442C" w:rsidRPr="00487D7C">
        <w:rPr>
          <w:i/>
          <w:sz w:val="22"/>
          <w:szCs w:val="22"/>
          <w:lang w:val="sk-SK"/>
        </w:rPr>
        <w:t>lyhávanie</w:t>
      </w:r>
      <w:r>
        <w:rPr>
          <w:i/>
          <w:sz w:val="22"/>
          <w:szCs w:val="22"/>
          <w:lang w:val="sk-SK"/>
        </w:rPr>
        <w:t xml:space="preserve"> srdca</w:t>
      </w:r>
    </w:p>
    <w:p w14:paraId="20AEDECC" w14:textId="77777777" w:rsidR="00C55D1B" w:rsidRPr="00487D7C" w:rsidRDefault="00C55D1B" w:rsidP="00EC442C">
      <w:pPr>
        <w:tabs>
          <w:tab w:val="left" w:pos="567"/>
        </w:tabs>
        <w:rPr>
          <w:i/>
          <w:sz w:val="22"/>
          <w:szCs w:val="22"/>
          <w:lang w:val="sk-SK"/>
        </w:rPr>
      </w:pPr>
    </w:p>
    <w:p w14:paraId="6FA60CC7" w14:textId="6A922726" w:rsidR="00EC442C" w:rsidRPr="00487D7C" w:rsidRDefault="00EC442C" w:rsidP="00EC442C">
      <w:pPr>
        <w:tabs>
          <w:tab w:val="left" w:pos="567"/>
        </w:tabs>
        <w:rPr>
          <w:sz w:val="22"/>
          <w:szCs w:val="22"/>
          <w:lang w:val="sk-SK"/>
        </w:rPr>
      </w:pPr>
      <w:r w:rsidRPr="00487D7C">
        <w:rPr>
          <w:sz w:val="22"/>
          <w:szCs w:val="22"/>
          <w:lang w:val="sk-SK"/>
        </w:rPr>
        <w:t xml:space="preserve">Farmakokinetika eplerenónu v dávke 50 mg sa hodnotila u pacientov so zlyhávaním </w:t>
      </w:r>
      <w:r w:rsidR="00C40034">
        <w:rPr>
          <w:sz w:val="22"/>
          <w:szCs w:val="22"/>
          <w:lang w:val="sk-SK"/>
        </w:rPr>
        <w:t xml:space="preserve">srdca </w:t>
      </w:r>
      <w:r w:rsidRPr="00487D7C">
        <w:rPr>
          <w:sz w:val="22"/>
          <w:szCs w:val="22"/>
          <w:lang w:val="sk-SK"/>
        </w:rPr>
        <w:t>(NYHA klasifikácia II – IV). V porovnaní so zdravými</w:t>
      </w:r>
      <w:r w:rsidR="004963EC">
        <w:rPr>
          <w:sz w:val="22"/>
          <w:szCs w:val="22"/>
          <w:lang w:val="sk-SK"/>
        </w:rPr>
        <w:t xml:space="preserve"> </w:t>
      </w:r>
      <w:r w:rsidR="00C40034">
        <w:rPr>
          <w:sz w:val="22"/>
          <w:szCs w:val="22"/>
          <w:lang w:val="sk-SK"/>
        </w:rPr>
        <w:t>osobami</w:t>
      </w:r>
      <w:r w:rsidRPr="00487D7C">
        <w:rPr>
          <w:sz w:val="22"/>
          <w:szCs w:val="22"/>
          <w:lang w:val="sk-SK"/>
        </w:rPr>
        <w:t>, ktor</w:t>
      </w:r>
      <w:r w:rsidR="00C40034">
        <w:rPr>
          <w:sz w:val="22"/>
          <w:szCs w:val="22"/>
          <w:lang w:val="sk-SK"/>
        </w:rPr>
        <w:t>é</w:t>
      </w:r>
      <w:r w:rsidRPr="00487D7C">
        <w:rPr>
          <w:sz w:val="22"/>
          <w:szCs w:val="22"/>
          <w:lang w:val="sk-SK"/>
        </w:rPr>
        <w:t xml:space="preserve"> boli </w:t>
      </w:r>
      <w:r w:rsidR="00C40034">
        <w:rPr>
          <w:sz w:val="22"/>
          <w:szCs w:val="22"/>
          <w:lang w:val="sk-SK"/>
        </w:rPr>
        <w:t>rozdelené</w:t>
      </w:r>
      <w:r w:rsidRPr="00487D7C">
        <w:rPr>
          <w:sz w:val="22"/>
          <w:szCs w:val="22"/>
          <w:lang w:val="sk-SK"/>
        </w:rPr>
        <w:t xml:space="preserve"> podľa veku, hmotnosti a pohlavia, boli u pacientov so zlyhávaním </w:t>
      </w:r>
      <w:r w:rsidR="00C40034">
        <w:rPr>
          <w:sz w:val="22"/>
          <w:szCs w:val="22"/>
          <w:lang w:val="sk-SK"/>
        </w:rPr>
        <w:t xml:space="preserve">srdca </w:t>
      </w:r>
      <w:r w:rsidRPr="00487D7C">
        <w:rPr>
          <w:sz w:val="22"/>
          <w:szCs w:val="22"/>
          <w:lang w:val="sk-SK"/>
        </w:rPr>
        <w:t>AUC a C</w:t>
      </w:r>
      <w:r w:rsidRPr="00487D7C">
        <w:rPr>
          <w:sz w:val="22"/>
          <w:szCs w:val="22"/>
          <w:vertAlign w:val="subscript"/>
          <w:lang w:val="sk-SK"/>
        </w:rPr>
        <w:t>max</w:t>
      </w:r>
      <w:r w:rsidRPr="00487D7C">
        <w:rPr>
          <w:sz w:val="22"/>
          <w:szCs w:val="22"/>
          <w:lang w:val="sk-SK"/>
        </w:rPr>
        <w:t xml:space="preserve"> v rovnovážnom stave vyššie o 38 % </w:t>
      </w:r>
      <w:r w:rsidR="00C40034">
        <w:rPr>
          <w:sz w:val="22"/>
          <w:szCs w:val="22"/>
          <w:lang w:val="sk-SK"/>
        </w:rPr>
        <w:t>a</w:t>
      </w:r>
      <w:r w:rsidR="004963EC">
        <w:rPr>
          <w:sz w:val="22"/>
          <w:szCs w:val="22"/>
          <w:lang w:val="sk-SK"/>
        </w:rPr>
        <w:t xml:space="preserve"> </w:t>
      </w:r>
      <w:r w:rsidRPr="00487D7C">
        <w:rPr>
          <w:sz w:val="22"/>
          <w:szCs w:val="22"/>
          <w:lang w:val="sk-SK"/>
        </w:rPr>
        <w:t>o 30 %. V súlade s týmito výsledkami je aj populačná farmakokinetická analýza eplerenónu, ktorá vychádza z podskupiny pacientov zo štúdie EPHESUS, podľa ktorej je klírens eplerenónu u pacientov so zlyhávaním</w:t>
      </w:r>
      <w:r w:rsidR="00C40034">
        <w:rPr>
          <w:sz w:val="22"/>
          <w:szCs w:val="22"/>
          <w:lang w:val="sk-SK"/>
        </w:rPr>
        <w:t xml:space="preserve"> srdca</w:t>
      </w:r>
      <w:r w:rsidRPr="00487D7C">
        <w:rPr>
          <w:sz w:val="22"/>
          <w:szCs w:val="22"/>
          <w:lang w:val="sk-SK"/>
        </w:rPr>
        <w:t xml:space="preserve"> podobný ako u zdravých starších </w:t>
      </w:r>
      <w:r w:rsidR="00C40034">
        <w:rPr>
          <w:sz w:val="22"/>
          <w:szCs w:val="22"/>
          <w:lang w:val="sk-SK"/>
        </w:rPr>
        <w:t>osôb</w:t>
      </w:r>
      <w:r w:rsidRPr="00487D7C">
        <w:rPr>
          <w:sz w:val="22"/>
          <w:szCs w:val="22"/>
          <w:lang w:val="sk-SK"/>
        </w:rPr>
        <w:t>.</w:t>
      </w:r>
    </w:p>
    <w:p w14:paraId="504511DF" w14:textId="77777777" w:rsidR="00EC442C" w:rsidRPr="00487D7C" w:rsidRDefault="00EC442C" w:rsidP="00EC442C">
      <w:pPr>
        <w:tabs>
          <w:tab w:val="left" w:pos="567"/>
        </w:tabs>
        <w:rPr>
          <w:sz w:val="22"/>
          <w:szCs w:val="22"/>
          <w:lang w:val="sk-SK"/>
        </w:rPr>
      </w:pPr>
    </w:p>
    <w:p w14:paraId="04CB814A" w14:textId="77777777" w:rsidR="00EC442C" w:rsidRPr="00487D7C" w:rsidRDefault="00EC442C" w:rsidP="00EC442C">
      <w:pPr>
        <w:tabs>
          <w:tab w:val="left" w:pos="567"/>
        </w:tabs>
        <w:ind w:left="567" w:hanging="567"/>
        <w:rPr>
          <w:b/>
          <w:bCs/>
          <w:sz w:val="22"/>
          <w:szCs w:val="22"/>
          <w:lang w:val="sk-SK"/>
        </w:rPr>
      </w:pPr>
      <w:r w:rsidRPr="00487D7C">
        <w:rPr>
          <w:b/>
          <w:bCs/>
          <w:sz w:val="22"/>
          <w:szCs w:val="22"/>
          <w:lang w:val="sk-SK"/>
        </w:rPr>
        <w:t>5.3</w:t>
      </w:r>
      <w:r w:rsidRPr="00487D7C">
        <w:rPr>
          <w:b/>
          <w:bCs/>
          <w:sz w:val="22"/>
          <w:szCs w:val="22"/>
          <w:lang w:val="sk-SK"/>
        </w:rPr>
        <w:tab/>
      </w:r>
      <w:r w:rsidRPr="00487D7C">
        <w:rPr>
          <w:b/>
          <w:bCs/>
          <w:sz w:val="22"/>
          <w:szCs w:val="22"/>
          <w:lang w:val="sk-SK"/>
        </w:rPr>
        <w:tab/>
        <w:t>Predklinické údaje o bezpečnosti</w:t>
      </w:r>
    </w:p>
    <w:p w14:paraId="0E2BAF3B" w14:textId="77777777" w:rsidR="00EC442C" w:rsidRPr="00487D7C" w:rsidRDefault="00EC442C" w:rsidP="00EC442C">
      <w:pPr>
        <w:tabs>
          <w:tab w:val="left" w:pos="567"/>
        </w:tabs>
        <w:rPr>
          <w:b/>
          <w:sz w:val="22"/>
          <w:szCs w:val="22"/>
          <w:lang w:val="sk-SK"/>
        </w:rPr>
      </w:pPr>
    </w:p>
    <w:p w14:paraId="3CEE1884" w14:textId="77777777" w:rsidR="00EC442C" w:rsidRPr="00487D7C" w:rsidRDefault="00EC442C" w:rsidP="00EC442C">
      <w:pPr>
        <w:tabs>
          <w:tab w:val="left" w:pos="567"/>
        </w:tabs>
        <w:rPr>
          <w:sz w:val="22"/>
          <w:szCs w:val="22"/>
          <w:lang w:val="sk-SK"/>
        </w:rPr>
      </w:pPr>
      <w:r w:rsidRPr="00487D7C">
        <w:rPr>
          <w:sz w:val="22"/>
          <w:szCs w:val="22"/>
          <w:lang w:val="sk-SK"/>
        </w:rPr>
        <w:t>Predklinické farmakologické štúdie bezpečnosti, genotoxicity, karcinogénneho potenciálu a reprodukčnej toxicity neodhalili žiadne osobitné riziko pre ľudí.</w:t>
      </w:r>
    </w:p>
    <w:p w14:paraId="152F4EA1" w14:textId="77777777" w:rsidR="00EC442C" w:rsidRDefault="00EC442C" w:rsidP="00EC442C">
      <w:pPr>
        <w:tabs>
          <w:tab w:val="left" w:pos="567"/>
        </w:tabs>
        <w:rPr>
          <w:sz w:val="22"/>
          <w:szCs w:val="22"/>
          <w:lang w:val="sk-SK"/>
        </w:rPr>
      </w:pPr>
    </w:p>
    <w:p w14:paraId="52E845B0" w14:textId="77777777" w:rsidR="00EC442C" w:rsidRPr="00487D7C" w:rsidRDefault="00EC442C" w:rsidP="00EC442C">
      <w:pPr>
        <w:tabs>
          <w:tab w:val="left" w:pos="567"/>
        </w:tabs>
        <w:rPr>
          <w:sz w:val="22"/>
          <w:szCs w:val="22"/>
          <w:lang w:val="sk-SK"/>
        </w:rPr>
      </w:pPr>
      <w:r w:rsidRPr="00487D7C">
        <w:rPr>
          <w:sz w:val="22"/>
          <w:szCs w:val="22"/>
          <w:lang w:val="sk-SK"/>
        </w:rPr>
        <w:t>V štúdiách toxicity po opakovanom podaní sa u potkanov a psov pozorovala atrofia prostaty pri expozičných hladinách mierne vyšších ako klinické expozičné hladiny. Zmeny v prostate nemali za následok žiadne nežiaduce funkčné poruchy. Klinický význam týchto zistení nie je známy.</w:t>
      </w:r>
    </w:p>
    <w:p w14:paraId="33C64A8E" w14:textId="77777777" w:rsidR="00EC442C" w:rsidRPr="00487D7C" w:rsidRDefault="00EC442C" w:rsidP="00EC442C">
      <w:pPr>
        <w:tabs>
          <w:tab w:val="left" w:pos="567"/>
        </w:tabs>
        <w:rPr>
          <w:sz w:val="22"/>
          <w:szCs w:val="22"/>
          <w:lang w:val="sk-SK"/>
        </w:rPr>
      </w:pPr>
    </w:p>
    <w:p w14:paraId="5926E65A" w14:textId="77777777" w:rsidR="00EC442C" w:rsidRPr="00487D7C" w:rsidRDefault="00EC442C" w:rsidP="00EC442C">
      <w:pPr>
        <w:tabs>
          <w:tab w:val="left" w:pos="567"/>
        </w:tabs>
        <w:rPr>
          <w:sz w:val="22"/>
          <w:szCs w:val="22"/>
          <w:lang w:val="sk-SK"/>
        </w:rPr>
      </w:pPr>
    </w:p>
    <w:p w14:paraId="445FF073" w14:textId="77777777" w:rsidR="00EC442C" w:rsidRPr="00487D7C" w:rsidRDefault="00EC442C" w:rsidP="00EC442C">
      <w:pPr>
        <w:tabs>
          <w:tab w:val="left" w:pos="567"/>
        </w:tabs>
        <w:rPr>
          <w:b/>
          <w:sz w:val="22"/>
          <w:szCs w:val="22"/>
          <w:lang w:val="sk-SK"/>
        </w:rPr>
      </w:pPr>
      <w:r w:rsidRPr="00487D7C">
        <w:rPr>
          <w:b/>
          <w:sz w:val="22"/>
          <w:szCs w:val="22"/>
          <w:lang w:val="sk-SK"/>
        </w:rPr>
        <w:t>6.</w:t>
      </w:r>
      <w:r w:rsidRPr="00487D7C">
        <w:rPr>
          <w:b/>
          <w:sz w:val="22"/>
          <w:szCs w:val="22"/>
          <w:lang w:val="sk-SK"/>
        </w:rPr>
        <w:tab/>
      </w:r>
      <w:r w:rsidRPr="00487D7C">
        <w:rPr>
          <w:b/>
          <w:sz w:val="22"/>
          <w:szCs w:val="22"/>
          <w:lang w:val="sk-SK"/>
        </w:rPr>
        <w:tab/>
        <w:t>FARMACEUTICKÉ INFORMÁCIE</w:t>
      </w:r>
    </w:p>
    <w:p w14:paraId="2F9838E1" w14:textId="77777777" w:rsidR="00EC442C" w:rsidRPr="00487D7C" w:rsidRDefault="00EC442C" w:rsidP="00EC442C">
      <w:pPr>
        <w:tabs>
          <w:tab w:val="left" w:pos="567"/>
        </w:tabs>
        <w:rPr>
          <w:sz w:val="22"/>
          <w:szCs w:val="22"/>
          <w:lang w:val="sk-SK"/>
        </w:rPr>
      </w:pPr>
    </w:p>
    <w:p w14:paraId="7DCAE60D"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6.1</w:t>
      </w:r>
      <w:r w:rsidRPr="00487D7C">
        <w:rPr>
          <w:b/>
          <w:sz w:val="22"/>
          <w:szCs w:val="22"/>
          <w:lang w:val="sk-SK"/>
        </w:rPr>
        <w:tab/>
      </w:r>
      <w:r w:rsidRPr="00487D7C">
        <w:rPr>
          <w:b/>
          <w:sz w:val="22"/>
          <w:szCs w:val="22"/>
          <w:lang w:val="sk-SK"/>
        </w:rPr>
        <w:tab/>
        <w:t>Zoznam pomocných látok</w:t>
      </w:r>
    </w:p>
    <w:p w14:paraId="6BE88A83" w14:textId="77777777" w:rsidR="00EC442C" w:rsidRPr="00487D7C" w:rsidRDefault="00EC442C" w:rsidP="00EC442C">
      <w:pPr>
        <w:tabs>
          <w:tab w:val="left" w:pos="567"/>
        </w:tabs>
        <w:rPr>
          <w:b/>
          <w:sz w:val="22"/>
          <w:szCs w:val="22"/>
          <w:lang w:val="sk-SK"/>
        </w:rPr>
      </w:pPr>
    </w:p>
    <w:p w14:paraId="5316C54A" w14:textId="77777777" w:rsidR="00EC442C" w:rsidRPr="000229B1" w:rsidRDefault="00EC442C" w:rsidP="00EC442C">
      <w:pPr>
        <w:tabs>
          <w:tab w:val="left" w:pos="567"/>
        </w:tabs>
        <w:rPr>
          <w:sz w:val="22"/>
          <w:szCs w:val="22"/>
          <w:u w:val="single"/>
          <w:lang w:val="sk-SK"/>
        </w:rPr>
      </w:pPr>
      <w:r w:rsidRPr="000229B1">
        <w:rPr>
          <w:sz w:val="22"/>
          <w:szCs w:val="22"/>
          <w:u w:val="single"/>
          <w:lang w:val="sk-SK"/>
        </w:rPr>
        <w:t>Jadro tablety:</w:t>
      </w:r>
    </w:p>
    <w:p w14:paraId="2B9B91E8" w14:textId="77777777" w:rsidR="00EC442C" w:rsidRDefault="000229B1" w:rsidP="00EC442C">
      <w:pPr>
        <w:tabs>
          <w:tab w:val="left" w:pos="567"/>
        </w:tabs>
        <w:rPr>
          <w:sz w:val="22"/>
          <w:szCs w:val="22"/>
          <w:lang w:val="sk-SK"/>
        </w:rPr>
      </w:pPr>
      <w:r>
        <w:rPr>
          <w:sz w:val="22"/>
          <w:szCs w:val="22"/>
          <w:lang w:val="sk-SK"/>
        </w:rPr>
        <w:t>M</w:t>
      </w:r>
      <w:r w:rsidR="00EC442C" w:rsidRPr="00487D7C">
        <w:rPr>
          <w:sz w:val="22"/>
          <w:szCs w:val="22"/>
          <w:lang w:val="sk-SK"/>
        </w:rPr>
        <w:t>onohydrát laktózy</w:t>
      </w:r>
    </w:p>
    <w:p w14:paraId="0A394BF3" w14:textId="77777777" w:rsidR="00EC442C" w:rsidRDefault="000229B1" w:rsidP="00EC442C">
      <w:pPr>
        <w:tabs>
          <w:tab w:val="left" w:pos="567"/>
        </w:tabs>
        <w:rPr>
          <w:sz w:val="22"/>
          <w:szCs w:val="22"/>
          <w:lang w:val="sk-SK"/>
        </w:rPr>
      </w:pPr>
      <w:r>
        <w:rPr>
          <w:sz w:val="22"/>
          <w:szCs w:val="22"/>
          <w:lang w:val="sk-SK"/>
        </w:rPr>
        <w:t>M</w:t>
      </w:r>
      <w:r w:rsidR="00EC442C" w:rsidRPr="00487D7C">
        <w:rPr>
          <w:sz w:val="22"/>
          <w:szCs w:val="22"/>
          <w:lang w:val="sk-SK"/>
        </w:rPr>
        <w:t xml:space="preserve">ikrokryštalická celulóza </w:t>
      </w:r>
    </w:p>
    <w:p w14:paraId="53235483" w14:textId="77777777" w:rsidR="00EC442C" w:rsidRDefault="000229B1" w:rsidP="00EC442C">
      <w:pPr>
        <w:tabs>
          <w:tab w:val="left" w:pos="567"/>
        </w:tabs>
        <w:rPr>
          <w:sz w:val="22"/>
          <w:szCs w:val="22"/>
          <w:lang w:val="sk-SK"/>
        </w:rPr>
      </w:pPr>
      <w:r>
        <w:rPr>
          <w:sz w:val="22"/>
          <w:szCs w:val="22"/>
          <w:lang w:val="sk-SK"/>
        </w:rPr>
        <w:t>S</w:t>
      </w:r>
      <w:r w:rsidR="00EC442C" w:rsidRPr="00487D7C">
        <w:rPr>
          <w:sz w:val="22"/>
          <w:szCs w:val="22"/>
          <w:lang w:val="sk-SK"/>
        </w:rPr>
        <w:t xml:space="preserve">odná soľ kroskarmelózy </w:t>
      </w:r>
    </w:p>
    <w:p w14:paraId="0D6DF804" w14:textId="77777777" w:rsidR="00EC442C" w:rsidRDefault="000229B1" w:rsidP="00EC442C">
      <w:pPr>
        <w:tabs>
          <w:tab w:val="left" w:pos="567"/>
        </w:tabs>
        <w:rPr>
          <w:sz w:val="22"/>
          <w:szCs w:val="22"/>
          <w:lang w:val="sk-SK"/>
        </w:rPr>
      </w:pPr>
      <w:r>
        <w:rPr>
          <w:sz w:val="22"/>
          <w:szCs w:val="22"/>
          <w:lang w:val="sk-SK"/>
        </w:rPr>
        <w:t>H</w:t>
      </w:r>
      <w:r w:rsidR="00EC442C" w:rsidRPr="00487D7C">
        <w:rPr>
          <w:sz w:val="22"/>
          <w:szCs w:val="22"/>
          <w:lang w:val="sk-SK"/>
        </w:rPr>
        <w:t xml:space="preserve">ypromelóza </w:t>
      </w:r>
    </w:p>
    <w:p w14:paraId="4ED05D6F" w14:textId="0350EAF3" w:rsidR="000229B1" w:rsidRDefault="00F3305E" w:rsidP="00EC442C">
      <w:pPr>
        <w:tabs>
          <w:tab w:val="left" w:pos="567"/>
        </w:tabs>
        <w:rPr>
          <w:sz w:val="22"/>
          <w:szCs w:val="22"/>
          <w:lang w:val="sk-SK"/>
        </w:rPr>
      </w:pPr>
      <w:r>
        <w:rPr>
          <w:sz w:val="22"/>
          <w:szCs w:val="22"/>
          <w:lang w:val="sk-SK"/>
        </w:rPr>
        <w:t>Stearan horečnatý</w:t>
      </w:r>
    </w:p>
    <w:p w14:paraId="2A9D5D11" w14:textId="325FAEE3" w:rsidR="00EC442C" w:rsidRDefault="00F3305E" w:rsidP="00EC442C">
      <w:pPr>
        <w:tabs>
          <w:tab w:val="left" w:pos="567"/>
        </w:tabs>
        <w:rPr>
          <w:sz w:val="22"/>
          <w:szCs w:val="22"/>
          <w:lang w:val="sk-SK"/>
        </w:rPr>
      </w:pPr>
      <w:r>
        <w:rPr>
          <w:sz w:val="22"/>
          <w:szCs w:val="22"/>
          <w:lang w:val="sk-SK"/>
        </w:rPr>
        <w:t>Laurylsíran sodný</w:t>
      </w:r>
    </w:p>
    <w:p w14:paraId="720824AC" w14:textId="77777777" w:rsidR="000229B1" w:rsidRPr="00487D7C" w:rsidRDefault="000229B1" w:rsidP="00EC442C">
      <w:pPr>
        <w:tabs>
          <w:tab w:val="left" w:pos="567"/>
        </w:tabs>
        <w:rPr>
          <w:sz w:val="22"/>
          <w:szCs w:val="22"/>
          <w:lang w:val="sk-SK"/>
        </w:rPr>
      </w:pPr>
    </w:p>
    <w:p w14:paraId="3D73CFF9" w14:textId="77777777" w:rsidR="00EC442C" w:rsidRPr="000229B1" w:rsidRDefault="00EC442C" w:rsidP="00EC442C">
      <w:pPr>
        <w:tabs>
          <w:tab w:val="left" w:pos="567"/>
        </w:tabs>
        <w:rPr>
          <w:sz w:val="22"/>
          <w:szCs w:val="22"/>
          <w:u w:val="single"/>
          <w:lang w:val="sk-SK"/>
        </w:rPr>
      </w:pPr>
      <w:r w:rsidRPr="000229B1">
        <w:rPr>
          <w:sz w:val="22"/>
          <w:szCs w:val="22"/>
          <w:u w:val="single"/>
          <w:lang w:val="sk-SK"/>
        </w:rPr>
        <w:lastRenderedPageBreak/>
        <w:t>Obal tablety:</w:t>
      </w:r>
    </w:p>
    <w:p w14:paraId="1EFE561B" w14:textId="77777777" w:rsidR="000229B1" w:rsidRDefault="000229B1" w:rsidP="00EC442C">
      <w:pPr>
        <w:tabs>
          <w:tab w:val="left" w:pos="567"/>
        </w:tabs>
        <w:rPr>
          <w:sz w:val="22"/>
          <w:szCs w:val="22"/>
          <w:lang w:val="sk-SK"/>
        </w:rPr>
      </w:pPr>
      <w:r>
        <w:rPr>
          <w:sz w:val="22"/>
          <w:szCs w:val="22"/>
          <w:lang w:val="sk-SK"/>
        </w:rPr>
        <w:t>H</w:t>
      </w:r>
      <w:r w:rsidR="00EC442C" w:rsidRPr="00487D7C">
        <w:rPr>
          <w:sz w:val="22"/>
          <w:szCs w:val="22"/>
          <w:lang w:val="sk-SK"/>
        </w:rPr>
        <w:t xml:space="preserve">ypromelóza </w:t>
      </w:r>
    </w:p>
    <w:p w14:paraId="1E3A0AB3" w14:textId="77777777" w:rsidR="007200EC" w:rsidRDefault="000229B1" w:rsidP="00EC442C">
      <w:pPr>
        <w:tabs>
          <w:tab w:val="left" w:pos="567"/>
        </w:tabs>
        <w:rPr>
          <w:sz w:val="22"/>
          <w:szCs w:val="22"/>
          <w:lang w:val="sk-SK"/>
        </w:rPr>
      </w:pPr>
      <w:r>
        <w:rPr>
          <w:sz w:val="22"/>
          <w:szCs w:val="22"/>
          <w:lang w:val="sk-SK"/>
        </w:rPr>
        <w:t>M</w:t>
      </w:r>
      <w:r w:rsidR="007200EC" w:rsidRPr="00487D7C">
        <w:rPr>
          <w:sz w:val="22"/>
          <w:szCs w:val="22"/>
          <w:lang w:val="sk-SK"/>
        </w:rPr>
        <w:t>akrogol 400</w:t>
      </w:r>
    </w:p>
    <w:p w14:paraId="33B9340B" w14:textId="77777777" w:rsidR="00EC442C" w:rsidRDefault="000229B1" w:rsidP="00EC442C">
      <w:pPr>
        <w:tabs>
          <w:tab w:val="left" w:pos="567"/>
        </w:tabs>
        <w:rPr>
          <w:sz w:val="22"/>
          <w:szCs w:val="22"/>
          <w:lang w:val="sk-SK"/>
        </w:rPr>
      </w:pPr>
      <w:r>
        <w:rPr>
          <w:sz w:val="22"/>
          <w:szCs w:val="22"/>
          <w:lang w:val="sk-SK"/>
        </w:rPr>
        <w:t>O</w:t>
      </w:r>
      <w:r w:rsidR="00EC442C" w:rsidRPr="00487D7C">
        <w:rPr>
          <w:sz w:val="22"/>
          <w:szCs w:val="22"/>
          <w:lang w:val="sk-SK"/>
        </w:rPr>
        <w:t>xid titaničitý (E171)</w:t>
      </w:r>
    </w:p>
    <w:p w14:paraId="630E5A9E" w14:textId="77777777" w:rsidR="00EC442C" w:rsidRDefault="000229B1" w:rsidP="00EC442C">
      <w:pPr>
        <w:tabs>
          <w:tab w:val="left" w:pos="567"/>
        </w:tabs>
        <w:rPr>
          <w:sz w:val="22"/>
          <w:szCs w:val="22"/>
          <w:lang w:val="sk-SK"/>
        </w:rPr>
      </w:pPr>
      <w:r>
        <w:rPr>
          <w:sz w:val="22"/>
          <w:szCs w:val="22"/>
          <w:lang w:val="sk-SK"/>
        </w:rPr>
        <w:t>Polysorbát 80</w:t>
      </w:r>
    </w:p>
    <w:p w14:paraId="38B74A52" w14:textId="77777777" w:rsidR="00EC442C" w:rsidRDefault="000229B1" w:rsidP="00EC442C">
      <w:pPr>
        <w:tabs>
          <w:tab w:val="left" w:pos="567"/>
        </w:tabs>
        <w:rPr>
          <w:sz w:val="22"/>
          <w:szCs w:val="22"/>
          <w:lang w:val="sk-SK"/>
        </w:rPr>
      </w:pPr>
      <w:r>
        <w:rPr>
          <w:sz w:val="22"/>
          <w:szCs w:val="22"/>
          <w:lang w:val="sk-SK"/>
        </w:rPr>
        <w:t>Ž</w:t>
      </w:r>
      <w:r w:rsidR="00EC442C" w:rsidRPr="00487D7C">
        <w:rPr>
          <w:sz w:val="22"/>
          <w:szCs w:val="22"/>
          <w:lang w:val="sk-SK"/>
        </w:rPr>
        <w:t>ltý oxid železitý (E172)</w:t>
      </w:r>
    </w:p>
    <w:p w14:paraId="6AAB0D58" w14:textId="77777777" w:rsidR="00EC442C" w:rsidRPr="00487D7C" w:rsidRDefault="00EC442C" w:rsidP="00EC442C">
      <w:pPr>
        <w:tabs>
          <w:tab w:val="left" w:pos="567"/>
        </w:tabs>
        <w:rPr>
          <w:sz w:val="22"/>
          <w:szCs w:val="22"/>
          <w:lang w:val="sk-SK"/>
        </w:rPr>
      </w:pPr>
    </w:p>
    <w:p w14:paraId="3F2BD5D7"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6.2</w:t>
      </w:r>
      <w:r w:rsidRPr="00487D7C">
        <w:rPr>
          <w:b/>
          <w:sz w:val="22"/>
          <w:szCs w:val="22"/>
          <w:lang w:val="sk-SK"/>
        </w:rPr>
        <w:tab/>
      </w:r>
      <w:r w:rsidRPr="00487D7C">
        <w:rPr>
          <w:b/>
          <w:sz w:val="22"/>
          <w:szCs w:val="22"/>
          <w:lang w:val="sk-SK"/>
        </w:rPr>
        <w:tab/>
        <w:t>Inkompatibility</w:t>
      </w:r>
    </w:p>
    <w:p w14:paraId="0FB77007" w14:textId="77777777" w:rsidR="00EC442C" w:rsidRPr="00487D7C" w:rsidRDefault="00EC442C" w:rsidP="00EC442C">
      <w:pPr>
        <w:tabs>
          <w:tab w:val="left" w:pos="567"/>
        </w:tabs>
        <w:rPr>
          <w:b/>
          <w:sz w:val="22"/>
          <w:szCs w:val="22"/>
          <w:lang w:val="sk-SK"/>
        </w:rPr>
      </w:pPr>
    </w:p>
    <w:p w14:paraId="0B5164A2" w14:textId="77777777" w:rsidR="00EC442C" w:rsidRPr="00487D7C" w:rsidRDefault="00EC442C" w:rsidP="00EC442C">
      <w:pPr>
        <w:tabs>
          <w:tab w:val="left" w:pos="567"/>
        </w:tabs>
        <w:rPr>
          <w:sz w:val="22"/>
          <w:szCs w:val="22"/>
          <w:lang w:val="sk-SK"/>
        </w:rPr>
      </w:pPr>
      <w:r w:rsidRPr="00487D7C">
        <w:rPr>
          <w:sz w:val="22"/>
          <w:szCs w:val="22"/>
          <w:lang w:val="sk-SK"/>
        </w:rPr>
        <w:t>Neaplikovateľné.</w:t>
      </w:r>
    </w:p>
    <w:p w14:paraId="4C8E5525" w14:textId="77777777" w:rsidR="00EC442C" w:rsidRPr="00487D7C" w:rsidRDefault="00EC442C" w:rsidP="00EC442C">
      <w:pPr>
        <w:tabs>
          <w:tab w:val="left" w:pos="567"/>
        </w:tabs>
        <w:rPr>
          <w:sz w:val="22"/>
          <w:szCs w:val="22"/>
          <w:lang w:val="sk-SK"/>
        </w:rPr>
      </w:pPr>
    </w:p>
    <w:p w14:paraId="0B65526C"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6.3</w:t>
      </w:r>
      <w:r w:rsidRPr="00487D7C">
        <w:rPr>
          <w:b/>
          <w:sz w:val="22"/>
          <w:szCs w:val="22"/>
          <w:lang w:val="sk-SK"/>
        </w:rPr>
        <w:tab/>
      </w:r>
      <w:r w:rsidRPr="00487D7C">
        <w:rPr>
          <w:b/>
          <w:sz w:val="22"/>
          <w:szCs w:val="22"/>
          <w:lang w:val="sk-SK"/>
        </w:rPr>
        <w:tab/>
        <w:t>Čas použiteľnosti</w:t>
      </w:r>
    </w:p>
    <w:p w14:paraId="4917B4E1" w14:textId="77777777" w:rsidR="00EC442C" w:rsidRPr="00487D7C" w:rsidRDefault="00EC442C" w:rsidP="00EC442C">
      <w:pPr>
        <w:tabs>
          <w:tab w:val="left" w:pos="567"/>
        </w:tabs>
        <w:rPr>
          <w:b/>
          <w:sz w:val="22"/>
          <w:szCs w:val="22"/>
          <w:lang w:val="sk-SK"/>
        </w:rPr>
      </w:pPr>
    </w:p>
    <w:p w14:paraId="2D82E5B2" w14:textId="10399F2A" w:rsidR="00EC442C" w:rsidRPr="00487D7C" w:rsidRDefault="004572B9" w:rsidP="00EC442C">
      <w:pPr>
        <w:tabs>
          <w:tab w:val="left" w:pos="567"/>
        </w:tabs>
        <w:rPr>
          <w:sz w:val="22"/>
          <w:szCs w:val="22"/>
          <w:lang w:val="sk-SK"/>
        </w:rPr>
      </w:pPr>
      <w:r>
        <w:rPr>
          <w:sz w:val="22"/>
          <w:szCs w:val="22"/>
          <w:lang w:val="sk-SK"/>
        </w:rPr>
        <w:t>3</w:t>
      </w:r>
      <w:r w:rsidR="00EC442C" w:rsidRPr="00487D7C">
        <w:rPr>
          <w:sz w:val="22"/>
          <w:szCs w:val="22"/>
          <w:lang w:val="sk-SK"/>
        </w:rPr>
        <w:t> roky</w:t>
      </w:r>
    </w:p>
    <w:p w14:paraId="11B29BDC" w14:textId="77777777" w:rsidR="00EC442C" w:rsidRPr="00487D7C" w:rsidRDefault="00EC442C" w:rsidP="00EC442C">
      <w:pPr>
        <w:tabs>
          <w:tab w:val="left" w:pos="567"/>
        </w:tabs>
        <w:rPr>
          <w:sz w:val="22"/>
          <w:szCs w:val="22"/>
          <w:lang w:val="sk-SK"/>
        </w:rPr>
      </w:pPr>
    </w:p>
    <w:p w14:paraId="0C11F143" w14:textId="77777777" w:rsidR="00EC442C" w:rsidRPr="00487D7C" w:rsidRDefault="00EC442C" w:rsidP="00EC442C">
      <w:pPr>
        <w:keepNext/>
        <w:tabs>
          <w:tab w:val="left" w:pos="567"/>
        </w:tabs>
        <w:ind w:left="567" w:hanging="567"/>
        <w:rPr>
          <w:b/>
          <w:sz w:val="22"/>
          <w:szCs w:val="22"/>
          <w:lang w:val="sk-SK"/>
        </w:rPr>
      </w:pPr>
      <w:r w:rsidRPr="00487D7C">
        <w:rPr>
          <w:b/>
          <w:sz w:val="22"/>
          <w:szCs w:val="22"/>
          <w:lang w:val="sk-SK"/>
        </w:rPr>
        <w:t>6.4</w:t>
      </w:r>
      <w:r w:rsidRPr="00487D7C">
        <w:rPr>
          <w:b/>
          <w:sz w:val="22"/>
          <w:szCs w:val="22"/>
          <w:lang w:val="sk-SK"/>
        </w:rPr>
        <w:tab/>
      </w:r>
      <w:r w:rsidRPr="00487D7C">
        <w:rPr>
          <w:b/>
          <w:sz w:val="22"/>
          <w:szCs w:val="22"/>
          <w:lang w:val="sk-SK"/>
        </w:rPr>
        <w:tab/>
        <w:t>Špeciálne upozornenia na uchovávanie</w:t>
      </w:r>
    </w:p>
    <w:p w14:paraId="27613C82" w14:textId="77777777" w:rsidR="00EC442C" w:rsidRPr="00487D7C" w:rsidRDefault="00EC442C" w:rsidP="00EC442C">
      <w:pPr>
        <w:keepNext/>
        <w:tabs>
          <w:tab w:val="left" w:pos="567"/>
        </w:tabs>
        <w:rPr>
          <w:sz w:val="22"/>
          <w:szCs w:val="22"/>
          <w:lang w:val="sk-SK"/>
        </w:rPr>
      </w:pPr>
    </w:p>
    <w:p w14:paraId="585AFE4C" w14:textId="6E9DF490" w:rsidR="00EC442C" w:rsidRPr="00487D7C" w:rsidRDefault="00AD5B9A" w:rsidP="00EC442C">
      <w:pPr>
        <w:keepNext/>
        <w:tabs>
          <w:tab w:val="left" w:pos="567"/>
        </w:tabs>
        <w:rPr>
          <w:bCs/>
          <w:sz w:val="22"/>
          <w:szCs w:val="22"/>
          <w:lang w:val="sk-SK"/>
        </w:rPr>
      </w:pPr>
      <w:r>
        <w:rPr>
          <w:bCs/>
          <w:sz w:val="22"/>
          <w:szCs w:val="22"/>
          <w:lang w:val="sk-SK"/>
        </w:rPr>
        <w:t xml:space="preserve">Tento liek nevyžaduje žiadne </w:t>
      </w:r>
      <w:r w:rsidR="00E8271C">
        <w:rPr>
          <w:bCs/>
          <w:sz w:val="22"/>
          <w:szCs w:val="22"/>
          <w:lang w:val="sk-SK"/>
        </w:rPr>
        <w:t>zvláštne</w:t>
      </w:r>
      <w:r>
        <w:rPr>
          <w:bCs/>
          <w:sz w:val="22"/>
          <w:szCs w:val="22"/>
          <w:lang w:val="sk-SK"/>
        </w:rPr>
        <w:t xml:space="preserve"> podmienky na uchovávanie.</w:t>
      </w:r>
    </w:p>
    <w:p w14:paraId="35DA96DB" w14:textId="77777777" w:rsidR="00EC442C" w:rsidRPr="00487D7C" w:rsidRDefault="00EC442C" w:rsidP="00EC442C">
      <w:pPr>
        <w:tabs>
          <w:tab w:val="left" w:pos="567"/>
        </w:tabs>
        <w:rPr>
          <w:sz w:val="22"/>
          <w:szCs w:val="22"/>
          <w:lang w:val="sk-SK"/>
        </w:rPr>
      </w:pPr>
    </w:p>
    <w:p w14:paraId="1DDA22F5"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6.5</w:t>
      </w:r>
      <w:r w:rsidRPr="00487D7C">
        <w:rPr>
          <w:b/>
          <w:sz w:val="22"/>
          <w:szCs w:val="22"/>
          <w:lang w:val="sk-SK"/>
        </w:rPr>
        <w:tab/>
      </w:r>
      <w:r w:rsidRPr="00487D7C">
        <w:rPr>
          <w:b/>
          <w:sz w:val="22"/>
          <w:szCs w:val="22"/>
          <w:lang w:val="sk-SK"/>
        </w:rPr>
        <w:tab/>
        <w:t>Druh obalu a obsah balenia</w:t>
      </w:r>
    </w:p>
    <w:p w14:paraId="547BCAD9" w14:textId="77777777" w:rsidR="00EC442C" w:rsidRPr="00487D7C" w:rsidRDefault="00EC442C" w:rsidP="00EC442C">
      <w:pPr>
        <w:tabs>
          <w:tab w:val="left" w:pos="567"/>
        </w:tabs>
        <w:rPr>
          <w:b/>
          <w:sz w:val="22"/>
          <w:szCs w:val="22"/>
          <w:lang w:val="sk-SK"/>
        </w:rPr>
      </w:pPr>
    </w:p>
    <w:p w14:paraId="2C21C95D" w14:textId="3CBC2B7A" w:rsidR="00EC442C" w:rsidRPr="00487D7C" w:rsidRDefault="00A83300" w:rsidP="00EC442C">
      <w:pPr>
        <w:tabs>
          <w:tab w:val="left" w:pos="567"/>
        </w:tabs>
        <w:rPr>
          <w:sz w:val="22"/>
          <w:szCs w:val="22"/>
          <w:lang w:val="sk-SK"/>
        </w:rPr>
      </w:pPr>
      <w:r>
        <w:rPr>
          <w:sz w:val="22"/>
          <w:szCs w:val="22"/>
          <w:lang w:val="sk-SK"/>
        </w:rPr>
        <w:t xml:space="preserve">Blistre (PVC/PVDC </w:t>
      </w:r>
      <w:r w:rsidR="00103637">
        <w:rPr>
          <w:sz w:val="22"/>
          <w:szCs w:val="22"/>
          <w:lang w:val="sk-SK"/>
        </w:rPr>
        <w:t xml:space="preserve">biele </w:t>
      </w:r>
      <w:r>
        <w:rPr>
          <w:sz w:val="22"/>
          <w:szCs w:val="22"/>
          <w:lang w:val="sk-SK"/>
        </w:rPr>
        <w:t>nepriehľadné</w:t>
      </w:r>
      <w:r w:rsidR="00EC442C" w:rsidRPr="00487D7C">
        <w:rPr>
          <w:sz w:val="22"/>
          <w:szCs w:val="22"/>
          <w:lang w:val="sk-SK"/>
        </w:rPr>
        <w:t>/Al</w:t>
      </w:r>
      <w:r>
        <w:rPr>
          <w:sz w:val="22"/>
          <w:szCs w:val="22"/>
          <w:lang w:val="sk-SK"/>
        </w:rPr>
        <w:t>u</w:t>
      </w:r>
      <w:r w:rsidR="003A3EB9">
        <w:rPr>
          <w:sz w:val="22"/>
          <w:szCs w:val="22"/>
          <w:lang w:val="sk-SK"/>
        </w:rPr>
        <w:t xml:space="preserve"> fólia</w:t>
      </w:r>
      <w:r>
        <w:rPr>
          <w:sz w:val="22"/>
          <w:szCs w:val="22"/>
          <w:lang w:val="sk-SK"/>
        </w:rPr>
        <w:t xml:space="preserve">): </w:t>
      </w:r>
      <w:r w:rsidR="00EC442C" w:rsidRPr="00487D7C">
        <w:rPr>
          <w:sz w:val="22"/>
          <w:szCs w:val="22"/>
          <w:lang w:val="sk-SK"/>
        </w:rPr>
        <w:t>10, 20, 28, 30, 50, 90</w:t>
      </w:r>
      <w:r>
        <w:rPr>
          <w:sz w:val="22"/>
          <w:szCs w:val="22"/>
          <w:lang w:val="sk-SK"/>
        </w:rPr>
        <w:t xml:space="preserve"> a 100 filmom obalených tabliet v škatuľke.</w:t>
      </w:r>
    </w:p>
    <w:p w14:paraId="2736C928" w14:textId="4ECC3E12" w:rsidR="00EC442C" w:rsidRPr="00487D7C" w:rsidRDefault="00A83300" w:rsidP="00EC442C">
      <w:pPr>
        <w:tabs>
          <w:tab w:val="left" w:pos="567"/>
        </w:tabs>
        <w:rPr>
          <w:sz w:val="22"/>
          <w:szCs w:val="22"/>
          <w:lang w:val="sk-SK"/>
        </w:rPr>
      </w:pPr>
      <w:r>
        <w:rPr>
          <w:sz w:val="22"/>
          <w:szCs w:val="22"/>
          <w:lang w:val="sk-SK"/>
        </w:rPr>
        <w:t xml:space="preserve">Blistre </w:t>
      </w:r>
      <w:r w:rsidR="00EC442C" w:rsidRPr="00487D7C">
        <w:rPr>
          <w:sz w:val="22"/>
          <w:szCs w:val="22"/>
          <w:lang w:val="sk-SK"/>
        </w:rPr>
        <w:t>s perforáciou umožňujúce oddelenie jednotlivej dávky</w:t>
      </w:r>
      <w:r>
        <w:rPr>
          <w:sz w:val="22"/>
          <w:szCs w:val="22"/>
          <w:lang w:val="sk-SK"/>
        </w:rPr>
        <w:t xml:space="preserve"> (PVC/PVDC </w:t>
      </w:r>
      <w:r w:rsidR="00103637">
        <w:rPr>
          <w:sz w:val="22"/>
          <w:szCs w:val="22"/>
          <w:lang w:val="sk-SK"/>
        </w:rPr>
        <w:t xml:space="preserve">biele </w:t>
      </w:r>
      <w:r>
        <w:rPr>
          <w:sz w:val="22"/>
          <w:szCs w:val="22"/>
          <w:lang w:val="sk-SK"/>
        </w:rPr>
        <w:t>nepr</w:t>
      </w:r>
      <w:r w:rsidR="00103637">
        <w:rPr>
          <w:sz w:val="22"/>
          <w:szCs w:val="22"/>
          <w:lang w:val="sk-SK"/>
        </w:rPr>
        <w:t>i</w:t>
      </w:r>
      <w:r>
        <w:rPr>
          <w:sz w:val="22"/>
          <w:szCs w:val="22"/>
          <w:lang w:val="sk-SK"/>
        </w:rPr>
        <w:t>ehľadné/Alu</w:t>
      </w:r>
      <w:r w:rsidR="003A3EB9">
        <w:rPr>
          <w:sz w:val="22"/>
          <w:szCs w:val="22"/>
          <w:lang w:val="sk-SK"/>
        </w:rPr>
        <w:t xml:space="preserve"> fólia</w:t>
      </w:r>
      <w:r>
        <w:rPr>
          <w:sz w:val="22"/>
          <w:szCs w:val="22"/>
          <w:lang w:val="sk-SK"/>
        </w:rPr>
        <w:t>):</w:t>
      </w:r>
      <w:r w:rsidR="005D59A3">
        <w:rPr>
          <w:sz w:val="22"/>
          <w:szCs w:val="22"/>
          <w:lang w:val="sk-SK"/>
        </w:rPr>
        <w:t xml:space="preserve"> </w:t>
      </w:r>
      <w:r w:rsidR="00EC442C" w:rsidRPr="00487D7C">
        <w:rPr>
          <w:sz w:val="22"/>
          <w:szCs w:val="22"/>
          <w:lang w:val="sk-SK"/>
        </w:rPr>
        <w:t>10 x 1,</w:t>
      </w:r>
      <w:r>
        <w:rPr>
          <w:sz w:val="22"/>
          <w:szCs w:val="22"/>
          <w:lang w:val="sk-SK"/>
        </w:rPr>
        <w:t xml:space="preserve"> 20 x 1,</w:t>
      </w:r>
      <w:r w:rsidR="0076181A">
        <w:rPr>
          <w:sz w:val="22"/>
          <w:szCs w:val="22"/>
          <w:lang w:val="sk-SK"/>
        </w:rPr>
        <w:t xml:space="preserve"> 28 x 1,</w:t>
      </w:r>
      <w:r>
        <w:rPr>
          <w:sz w:val="22"/>
          <w:szCs w:val="22"/>
          <w:lang w:val="sk-SK"/>
        </w:rPr>
        <w:t xml:space="preserve"> 30 x 1, 50 x 1, 90 x 1 a</w:t>
      </w:r>
      <w:r w:rsidR="00EC442C" w:rsidRPr="00487D7C">
        <w:rPr>
          <w:sz w:val="22"/>
          <w:szCs w:val="22"/>
          <w:lang w:val="sk-SK"/>
        </w:rPr>
        <w:t xml:space="preserve"> 100 x 1 </w:t>
      </w:r>
      <w:r>
        <w:rPr>
          <w:sz w:val="22"/>
          <w:szCs w:val="22"/>
          <w:lang w:val="sk-SK"/>
        </w:rPr>
        <w:t>filmom obalených tabliet v </w:t>
      </w:r>
      <w:r w:rsidR="00E9293B">
        <w:rPr>
          <w:sz w:val="22"/>
          <w:szCs w:val="22"/>
          <w:lang w:val="sk-SK"/>
        </w:rPr>
        <w:t>škatuľke</w:t>
      </w:r>
      <w:r>
        <w:rPr>
          <w:sz w:val="22"/>
          <w:szCs w:val="22"/>
          <w:lang w:val="sk-SK"/>
        </w:rPr>
        <w:t>.</w:t>
      </w:r>
    </w:p>
    <w:p w14:paraId="7BCFCB3C" w14:textId="77777777" w:rsidR="00EC442C" w:rsidRPr="00487D7C" w:rsidRDefault="00EC442C" w:rsidP="00EC442C">
      <w:pPr>
        <w:tabs>
          <w:tab w:val="left" w:pos="567"/>
        </w:tabs>
        <w:rPr>
          <w:sz w:val="22"/>
          <w:szCs w:val="22"/>
          <w:lang w:val="sk-SK"/>
        </w:rPr>
      </w:pPr>
    </w:p>
    <w:p w14:paraId="6DB4B67A" w14:textId="77777777" w:rsidR="00EC442C" w:rsidRPr="00487D7C" w:rsidRDefault="00EC442C" w:rsidP="00EC442C">
      <w:pPr>
        <w:tabs>
          <w:tab w:val="left" w:pos="567"/>
        </w:tabs>
        <w:rPr>
          <w:sz w:val="22"/>
          <w:szCs w:val="22"/>
          <w:lang w:val="sk-SK"/>
        </w:rPr>
      </w:pPr>
      <w:r w:rsidRPr="00487D7C">
        <w:rPr>
          <w:sz w:val="22"/>
          <w:szCs w:val="22"/>
          <w:lang w:val="sk-SK"/>
        </w:rPr>
        <w:t xml:space="preserve">Na trh nemusia byť uvedené všetky veľkosti balenia. </w:t>
      </w:r>
    </w:p>
    <w:p w14:paraId="48C965EC" w14:textId="77777777" w:rsidR="00EC442C" w:rsidRPr="00487D7C" w:rsidRDefault="00EC442C" w:rsidP="00EC442C">
      <w:pPr>
        <w:tabs>
          <w:tab w:val="left" w:pos="567"/>
        </w:tabs>
        <w:rPr>
          <w:sz w:val="22"/>
          <w:szCs w:val="22"/>
          <w:lang w:val="sk-SK"/>
        </w:rPr>
      </w:pPr>
    </w:p>
    <w:p w14:paraId="7157F575" w14:textId="45F94769" w:rsidR="00EC442C" w:rsidRPr="00487D7C" w:rsidRDefault="00EC442C" w:rsidP="00EC442C">
      <w:pPr>
        <w:tabs>
          <w:tab w:val="left" w:pos="567"/>
        </w:tabs>
        <w:ind w:left="567" w:hanging="567"/>
        <w:rPr>
          <w:b/>
          <w:sz w:val="22"/>
          <w:szCs w:val="22"/>
          <w:lang w:val="sk-SK"/>
        </w:rPr>
      </w:pPr>
      <w:r w:rsidRPr="00487D7C">
        <w:rPr>
          <w:b/>
          <w:sz w:val="22"/>
          <w:szCs w:val="22"/>
          <w:lang w:val="sk-SK"/>
        </w:rPr>
        <w:t>6.6</w:t>
      </w:r>
      <w:r w:rsidRPr="00487D7C">
        <w:rPr>
          <w:b/>
          <w:sz w:val="22"/>
          <w:szCs w:val="22"/>
          <w:lang w:val="sk-SK"/>
        </w:rPr>
        <w:tab/>
      </w:r>
      <w:r w:rsidRPr="00487D7C">
        <w:rPr>
          <w:b/>
          <w:sz w:val="22"/>
          <w:szCs w:val="22"/>
          <w:lang w:val="sk-SK"/>
        </w:rPr>
        <w:tab/>
      </w:r>
      <w:r w:rsidR="004F1C65">
        <w:rPr>
          <w:b/>
          <w:sz w:val="22"/>
          <w:szCs w:val="22"/>
          <w:lang w:val="sk-SK"/>
        </w:rPr>
        <w:t>Špeciálne opatrenia na likvidáciu</w:t>
      </w:r>
      <w:r w:rsidRPr="00487D7C">
        <w:rPr>
          <w:b/>
          <w:sz w:val="22"/>
          <w:szCs w:val="22"/>
          <w:lang w:val="sk-SK"/>
        </w:rPr>
        <w:t xml:space="preserve"> a</w:t>
      </w:r>
      <w:r w:rsidR="004F1C65">
        <w:rPr>
          <w:b/>
          <w:sz w:val="22"/>
          <w:szCs w:val="22"/>
          <w:lang w:val="sk-SK"/>
        </w:rPr>
        <w:t xml:space="preserve"> iné </w:t>
      </w:r>
      <w:r w:rsidRPr="00487D7C">
        <w:rPr>
          <w:b/>
          <w:sz w:val="22"/>
          <w:szCs w:val="22"/>
          <w:lang w:val="sk-SK"/>
        </w:rPr>
        <w:t>zaobchádzanie s liekom</w:t>
      </w:r>
    </w:p>
    <w:p w14:paraId="56708AD4" w14:textId="77777777" w:rsidR="00EC442C" w:rsidRPr="00487D7C" w:rsidRDefault="00EC442C" w:rsidP="00EC442C">
      <w:pPr>
        <w:tabs>
          <w:tab w:val="left" w:pos="567"/>
        </w:tabs>
        <w:rPr>
          <w:sz w:val="22"/>
          <w:szCs w:val="22"/>
          <w:lang w:val="sk-SK"/>
        </w:rPr>
      </w:pPr>
    </w:p>
    <w:p w14:paraId="368AD4A3" w14:textId="07355CCB" w:rsidR="00EC442C" w:rsidRPr="00487D7C" w:rsidRDefault="00AD5B9A" w:rsidP="00EC442C">
      <w:pPr>
        <w:tabs>
          <w:tab w:val="left" w:pos="567"/>
        </w:tabs>
        <w:rPr>
          <w:bCs/>
          <w:sz w:val="22"/>
          <w:szCs w:val="22"/>
          <w:lang w:val="sk-SK"/>
        </w:rPr>
      </w:pPr>
      <w:r>
        <w:rPr>
          <w:bCs/>
          <w:sz w:val="22"/>
          <w:szCs w:val="22"/>
          <w:lang w:val="sk-SK"/>
        </w:rPr>
        <w:t>Všetok nepoužitý liek alebo odpad vzniknutý z lieku sa má zlikvidovať v súlade s národnými požiadavkami.</w:t>
      </w:r>
    </w:p>
    <w:p w14:paraId="070C4118" w14:textId="77777777" w:rsidR="00EC442C" w:rsidRPr="00487D7C" w:rsidRDefault="00EC442C" w:rsidP="00EC442C">
      <w:pPr>
        <w:tabs>
          <w:tab w:val="left" w:pos="567"/>
        </w:tabs>
        <w:rPr>
          <w:bCs/>
          <w:sz w:val="22"/>
          <w:szCs w:val="22"/>
          <w:lang w:val="sk-SK"/>
        </w:rPr>
      </w:pPr>
    </w:p>
    <w:p w14:paraId="7C29DAF4" w14:textId="77777777" w:rsidR="00EC442C" w:rsidRPr="00487D7C" w:rsidRDefault="00EC442C" w:rsidP="00EC442C">
      <w:pPr>
        <w:tabs>
          <w:tab w:val="left" w:pos="567"/>
        </w:tabs>
        <w:rPr>
          <w:sz w:val="22"/>
          <w:szCs w:val="22"/>
          <w:lang w:val="sk-SK"/>
        </w:rPr>
      </w:pPr>
    </w:p>
    <w:p w14:paraId="6CC1CD68"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7.</w:t>
      </w:r>
      <w:r w:rsidRPr="00487D7C">
        <w:rPr>
          <w:b/>
          <w:sz w:val="22"/>
          <w:szCs w:val="22"/>
          <w:lang w:val="sk-SK"/>
        </w:rPr>
        <w:tab/>
      </w:r>
      <w:r w:rsidRPr="00487D7C">
        <w:rPr>
          <w:b/>
          <w:sz w:val="22"/>
          <w:szCs w:val="22"/>
          <w:lang w:val="sk-SK"/>
        </w:rPr>
        <w:tab/>
        <w:t>DRŽITEĽ ROZHODNUTIA O REGISTRÁCII</w:t>
      </w:r>
    </w:p>
    <w:p w14:paraId="61F1F7E7" w14:textId="77777777" w:rsidR="00EC442C" w:rsidRPr="00487D7C" w:rsidRDefault="00EC442C" w:rsidP="00EC442C">
      <w:pPr>
        <w:tabs>
          <w:tab w:val="left" w:pos="567"/>
        </w:tabs>
        <w:rPr>
          <w:sz w:val="22"/>
          <w:szCs w:val="22"/>
          <w:lang w:val="sk-SK"/>
        </w:rPr>
      </w:pPr>
    </w:p>
    <w:p w14:paraId="1AC05321" w14:textId="7D1A1C3F" w:rsidR="003F3EBF" w:rsidRPr="00833D48" w:rsidRDefault="003F3EBF" w:rsidP="003F3EBF">
      <w:pPr>
        <w:ind w:right="43"/>
        <w:rPr>
          <w:sz w:val="22"/>
          <w:szCs w:val="22"/>
          <w:lang w:val="sk-SK"/>
        </w:rPr>
      </w:pPr>
      <w:r w:rsidRPr="00833D48">
        <w:rPr>
          <w:sz w:val="22"/>
          <w:szCs w:val="22"/>
          <w:lang w:val="sk-SK"/>
        </w:rPr>
        <w:t>KRKA, d</w:t>
      </w:r>
      <w:r w:rsidR="005D59A3">
        <w:rPr>
          <w:sz w:val="22"/>
          <w:szCs w:val="22"/>
          <w:lang w:val="sk-SK"/>
        </w:rPr>
        <w:t>.</w:t>
      </w:r>
      <w:r w:rsidRPr="00833D48">
        <w:rPr>
          <w:sz w:val="22"/>
          <w:szCs w:val="22"/>
          <w:lang w:val="sk-SK"/>
        </w:rPr>
        <w:t>d</w:t>
      </w:r>
      <w:r w:rsidR="005D59A3">
        <w:rPr>
          <w:sz w:val="22"/>
          <w:szCs w:val="22"/>
          <w:lang w:val="sk-SK"/>
        </w:rPr>
        <w:t>.</w:t>
      </w:r>
      <w:r w:rsidRPr="00833D48">
        <w:rPr>
          <w:sz w:val="22"/>
          <w:szCs w:val="22"/>
          <w:lang w:val="sk-SK"/>
        </w:rPr>
        <w:t>, Novo mesto, Šmarješka cesta 6, 8501 Novo mesto, Slovinsko</w:t>
      </w:r>
    </w:p>
    <w:p w14:paraId="5F41D647" w14:textId="77777777" w:rsidR="00EC442C" w:rsidRPr="00487D7C" w:rsidRDefault="00EC442C" w:rsidP="00EC442C">
      <w:pPr>
        <w:tabs>
          <w:tab w:val="left" w:pos="567"/>
        </w:tabs>
        <w:rPr>
          <w:sz w:val="22"/>
          <w:szCs w:val="22"/>
          <w:lang w:val="sk-SK"/>
        </w:rPr>
      </w:pPr>
    </w:p>
    <w:p w14:paraId="7BC651F5" w14:textId="77777777" w:rsidR="00EC442C" w:rsidRPr="00487D7C" w:rsidRDefault="00EC442C" w:rsidP="00EC442C">
      <w:pPr>
        <w:tabs>
          <w:tab w:val="left" w:pos="567"/>
        </w:tabs>
        <w:rPr>
          <w:sz w:val="22"/>
          <w:szCs w:val="22"/>
          <w:lang w:val="sk-SK"/>
        </w:rPr>
      </w:pPr>
    </w:p>
    <w:p w14:paraId="024320FD"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8.</w:t>
      </w:r>
      <w:r w:rsidRPr="00487D7C">
        <w:rPr>
          <w:b/>
          <w:sz w:val="22"/>
          <w:szCs w:val="22"/>
          <w:lang w:val="sk-SK"/>
        </w:rPr>
        <w:tab/>
      </w:r>
      <w:r w:rsidRPr="00487D7C">
        <w:rPr>
          <w:b/>
          <w:sz w:val="22"/>
          <w:szCs w:val="22"/>
          <w:lang w:val="sk-SK"/>
        </w:rPr>
        <w:tab/>
        <w:t>REGISTRAČNÉ ČÍSLA</w:t>
      </w:r>
    </w:p>
    <w:p w14:paraId="64553C7C" w14:textId="77777777" w:rsidR="00EC442C" w:rsidRPr="00487D7C" w:rsidRDefault="00EC442C" w:rsidP="00EC442C">
      <w:pPr>
        <w:tabs>
          <w:tab w:val="left" w:pos="567"/>
        </w:tabs>
        <w:rPr>
          <w:sz w:val="22"/>
          <w:szCs w:val="22"/>
          <w:lang w:val="sk-SK"/>
        </w:rPr>
      </w:pPr>
    </w:p>
    <w:p w14:paraId="34FE5231" w14:textId="5A273ADE" w:rsidR="00EC442C" w:rsidRPr="00487D7C" w:rsidRDefault="00ED3F38" w:rsidP="00EC442C">
      <w:pPr>
        <w:tabs>
          <w:tab w:val="left" w:pos="567"/>
        </w:tabs>
        <w:rPr>
          <w:rStyle w:val="Siln"/>
          <w:b w:val="0"/>
          <w:lang w:val="sk-SK"/>
        </w:rPr>
      </w:pPr>
      <w:r>
        <w:rPr>
          <w:rStyle w:val="Siln"/>
          <w:b w:val="0"/>
          <w:sz w:val="22"/>
          <w:szCs w:val="22"/>
          <w:lang w:val="sk-SK"/>
        </w:rPr>
        <w:t>Apleria</w:t>
      </w:r>
      <w:r w:rsidR="00EC442C" w:rsidRPr="00487D7C">
        <w:rPr>
          <w:rStyle w:val="Siln"/>
          <w:b w:val="0"/>
          <w:sz w:val="22"/>
          <w:szCs w:val="22"/>
          <w:lang w:val="sk-SK"/>
        </w:rPr>
        <w:t xml:space="preserve"> 25 mg:</w:t>
      </w:r>
      <w:r w:rsidR="00EC442C" w:rsidRPr="00487D7C">
        <w:rPr>
          <w:rStyle w:val="Siln"/>
          <w:b w:val="0"/>
          <w:sz w:val="22"/>
          <w:szCs w:val="22"/>
          <w:lang w:val="sk-SK"/>
        </w:rPr>
        <w:tab/>
      </w:r>
      <w:r w:rsidR="00624A2B" w:rsidRPr="00624A2B">
        <w:rPr>
          <w:rStyle w:val="Siln"/>
          <w:b w:val="0"/>
          <w:sz w:val="22"/>
          <w:szCs w:val="22"/>
          <w:lang w:val="sk-SK"/>
        </w:rPr>
        <w:t>50/0223/18-S</w:t>
      </w:r>
      <w:r w:rsidR="00EC442C" w:rsidRPr="00487D7C">
        <w:rPr>
          <w:rStyle w:val="Siln"/>
          <w:b w:val="0"/>
          <w:sz w:val="22"/>
          <w:szCs w:val="22"/>
          <w:lang w:val="sk-SK"/>
        </w:rPr>
        <w:t xml:space="preserve"> </w:t>
      </w:r>
    </w:p>
    <w:p w14:paraId="1BA3F6EC" w14:textId="1B355DDA" w:rsidR="00EC442C" w:rsidRPr="00487D7C" w:rsidRDefault="00ED3F38" w:rsidP="00EC442C">
      <w:pPr>
        <w:tabs>
          <w:tab w:val="left" w:pos="567"/>
        </w:tabs>
        <w:rPr>
          <w:lang w:val="sk-SK"/>
        </w:rPr>
      </w:pPr>
      <w:r>
        <w:rPr>
          <w:rStyle w:val="Siln"/>
          <w:b w:val="0"/>
          <w:sz w:val="22"/>
          <w:szCs w:val="22"/>
          <w:lang w:val="sk-SK"/>
        </w:rPr>
        <w:t>Apleria</w:t>
      </w:r>
      <w:r w:rsidR="00EC442C" w:rsidRPr="00487D7C">
        <w:rPr>
          <w:rStyle w:val="Siln"/>
          <w:b w:val="0"/>
          <w:sz w:val="22"/>
          <w:szCs w:val="22"/>
          <w:lang w:val="sk-SK"/>
        </w:rPr>
        <w:t xml:space="preserve"> 50 mg:</w:t>
      </w:r>
      <w:r w:rsidR="00EC442C" w:rsidRPr="00487D7C">
        <w:rPr>
          <w:rStyle w:val="Siln"/>
          <w:b w:val="0"/>
          <w:sz w:val="22"/>
          <w:szCs w:val="22"/>
          <w:lang w:val="sk-SK"/>
        </w:rPr>
        <w:tab/>
      </w:r>
      <w:r w:rsidR="00624A2B">
        <w:rPr>
          <w:rStyle w:val="Siln"/>
          <w:b w:val="0"/>
          <w:sz w:val="22"/>
          <w:szCs w:val="22"/>
          <w:lang w:val="sk-SK"/>
        </w:rPr>
        <w:t>50/0224</w:t>
      </w:r>
      <w:r w:rsidR="00624A2B" w:rsidRPr="00624A2B">
        <w:rPr>
          <w:rStyle w:val="Siln"/>
          <w:b w:val="0"/>
          <w:sz w:val="22"/>
          <w:szCs w:val="22"/>
          <w:lang w:val="sk-SK"/>
        </w:rPr>
        <w:t>/18-S</w:t>
      </w:r>
      <w:r w:rsidR="00EC442C" w:rsidRPr="00487D7C">
        <w:rPr>
          <w:rStyle w:val="Siln"/>
          <w:b w:val="0"/>
          <w:sz w:val="22"/>
          <w:szCs w:val="22"/>
          <w:lang w:val="sk-SK"/>
        </w:rPr>
        <w:t xml:space="preserve"> </w:t>
      </w:r>
    </w:p>
    <w:p w14:paraId="7C447C65" w14:textId="77777777" w:rsidR="00EC442C" w:rsidRPr="00487D7C" w:rsidRDefault="00EC442C" w:rsidP="00EC442C">
      <w:pPr>
        <w:tabs>
          <w:tab w:val="left" w:pos="567"/>
        </w:tabs>
        <w:rPr>
          <w:sz w:val="22"/>
          <w:szCs w:val="22"/>
          <w:lang w:val="sk-SK"/>
        </w:rPr>
      </w:pPr>
    </w:p>
    <w:p w14:paraId="6A652587" w14:textId="77777777" w:rsidR="00EC442C" w:rsidRPr="00487D7C" w:rsidRDefault="00EC442C" w:rsidP="00EC442C">
      <w:pPr>
        <w:tabs>
          <w:tab w:val="left" w:pos="567"/>
        </w:tabs>
        <w:rPr>
          <w:sz w:val="22"/>
          <w:szCs w:val="22"/>
          <w:lang w:val="sk-SK"/>
        </w:rPr>
      </w:pPr>
    </w:p>
    <w:p w14:paraId="455D892E" w14:textId="77777777" w:rsidR="00EC442C" w:rsidRPr="00487D7C" w:rsidRDefault="00EC442C" w:rsidP="00EC442C">
      <w:pPr>
        <w:tabs>
          <w:tab w:val="left" w:pos="567"/>
        </w:tabs>
        <w:ind w:left="567" w:hanging="567"/>
        <w:rPr>
          <w:b/>
          <w:sz w:val="22"/>
          <w:szCs w:val="22"/>
          <w:lang w:val="sk-SK"/>
        </w:rPr>
      </w:pPr>
      <w:r w:rsidRPr="00487D7C">
        <w:rPr>
          <w:b/>
          <w:sz w:val="22"/>
          <w:szCs w:val="22"/>
          <w:lang w:val="sk-SK"/>
        </w:rPr>
        <w:t>9.</w:t>
      </w:r>
      <w:r w:rsidRPr="00487D7C">
        <w:rPr>
          <w:b/>
          <w:sz w:val="22"/>
          <w:szCs w:val="22"/>
          <w:lang w:val="sk-SK"/>
        </w:rPr>
        <w:tab/>
      </w:r>
      <w:r w:rsidRPr="00487D7C">
        <w:rPr>
          <w:b/>
          <w:sz w:val="22"/>
          <w:szCs w:val="22"/>
          <w:lang w:val="sk-SK"/>
        </w:rPr>
        <w:tab/>
        <w:t>DÁTUM REGISTRÁCIE/PREDĹŽENIA REGISTRÁCIE</w:t>
      </w:r>
    </w:p>
    <w:p w14:paraId="30647B16" w14:textId="77777777" w:rsidR="00EC442C" w:rsidRPr="00487D7C" w:rsidRDefault="00EC442C" w:rsidP="00EC442C">
      <w:pPr>
        <w:tabs>
          <w:tab w:val="left" w:pos="567"/>
        </w:tabs>
        <w:rPr>
          <w:sz w:val="22"/>
          <w:szCs w:val="22"/>
          <w:lang w:val="sk-SK"/>
        </w:rPr>
      </w:pPr>
    </w:p>
    <w:p w14:paraId="19D2B883" w14:textId="4EEA706E" w:rsidR="00EC442C" w:rsidRPr="00487D7C" w:rsidRDefault="00EC442C" w:rsidP="00EC442C">
      <w:pPr>
        <w:tabs>
          <w:tab w:val="left" w:pos="567"/>
        </w:tabs>
        <w:rPr>
          <w:sz w:val="22"/>
          <w:szCs w:val="22"/>
          <w:lang w:val="sk-SK"/>
        </w:rPr>
      </w:pPr>
      <w:r w:rsidRPr="00487D7C">
        <w:rPr>
          <w:sz w:val="22"/>
          <w:szCs w:val="22"/>
          <w:lang w:val="sk-SK"/>
        </w:rPr>
        <w:t xml:space="preserve">Dátum prvej registrácie: </w:t>
      </w:r>
      <w:r w:rsidR="004572B9">
        <w:rPr>
          <w:sz w:val="22"/>
          <w:szCs w:val="22"/>
          <w:lang w:val="sk-SK"/>
        </w:rPr>
        <w:t>13. júla 2018</w:t>
      </w:r>
    </w:p>
    <w:p w14:paraId="43FD31F0" w14:textId="77777777" w:rsidR="00EC442C" w:rsidRPr="00487D7C" w:rsidRDefault="00EC442C" w:rsidP="00EC442C">
      <w:pPr>
        <w:tabs>
          <w:tab w:val="left" w:pos="567"/>
        </w:tabs>
        <w:rPr>
          <w:sz w:val="22"/>
          <w:szCs w:val="22"/>
          <w:lang w:val="sk-SK"/>
        </w:rPr>
      </w:pPr>
    </w:p>
    <w:p w14:paraId="63718E71" w14:textId="77777777" w:rsidR="00EC442C" w:rsidRPr="00487D7C" w:rsidRDefault="00EC442C" w:rsidP="00EC442C">
      <w:pPr>
        <w:tabs>
          <w:tab w:val="left" w:pos="567"/>
        </w:tabs>
        <w:rPr>
          <w:sz w:val="22"/>
          <w:szCs w:val="22"/>
          <w:lang w:val="sk-SK"/>
        </w:rPr>
      </w:pPr>
    </w:p>
    <w:p w14:paraId="16725F1E" w14:textId="77777777" w:rsidR="00EC442C" w:rsidRPr="00487D7C" w:rsidRDefault="00EC442C" w:rsidP="00EC442C">
      <w:pPr>
        <w:tabs>
          <w:tab w:val="left" w:pos="567"/>
        </w:tabs>
        <w:rPr>
          <w:b/>
          <w:sz w:val="22"/>
          <w:szCs w:val="22"/>
          <w:lang w:val="sk-SK"/>
        </w:rPr>
      </w:pPr>
      <w:r w:rsidRPr="00487D7C">
        <w:rPr>
          <w:b/>
          <w:sz w:val="22"/>
          <w:szCs w:val="22"/>
          <w:lang w:val="sk-SK"/>
        </w:rPr>
        <w:t>10.</w:t>
      </w:r>
      <w:r w:rsidRPr="00487D7C">
        <w:rPr>
          <w:b/>
          <w:sz w:val="22"/>
          <w:szCs w:val="22"/>
          <w:lang w:val="sk-SK"/>
        </w:rPr>
        <w:tab/>
      </w:r>
      <w:r w:rsidRPr="00487D7C">
        <w:rPr>
          <w:b/>
          <w:sz w:val="22"/>
          <w:szCs w:val="22"/>
          <w:lang w:val="sk-SK"/>
        </w:rPr>
        <w:tab/>
        <w:t>DÁTUM REVÍZIE TEXTU</w:t>
      </w:r>
    </w:p>
    <w:p w14:paraId="3CB7C21D" w14:textId="77777777" w:rsidR="00EC442C" w:rsidRPr="00487D7C" w:rsidRDefault="00EC442C" w:rsidP="00EC442C">
      <w:pPr>
        <w:tabs>
          <w:tab w:val="left" w:pos="567"/>
        </w:tabs>
        <w:ind w:left="567" w:hanging="567"/>
        <w:rPr>
          <w:sz w:val="22"/>
          <w:szCs w:val="22"/>
          <w:lang w:val="sk-SK"/>
        </w:rPr>
      </w:pPr>
    </w:p>
    <w:p w14:paraId="709E9F8F" w14:textId="0D9BC9AE" w:rsidR="00F57FD7" w:rsidRPr="00E8271C" w:rsidRDefault="00662B9A">
      <w:pPr>
        <w:rPr>
          <w:sz w:val="22"/>
        </w:rPr>
      </w:pPr>
      <w:r>
        <w:rPr>
          <w:sz w:val="22"/>
        </w:rPr>
        <w:t>09/2019</w:t>
      </w:r>
    </w:p>
    <w:sectPr w:rsidR="00F57FD7" w:rsidRPr="00E8271C">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2589B" w14:textId="77777777" w:rsidR="002D4C16" w:rsidRDefault="002D4C16">
      <w:r>
        <w:separator/>
      </w:r>
    </w:p>
  </w:endnote>
  <w:endnote w:type="continuationSeparator" w:id="0">
    <w:p w14:paraId="0207834A" w14:textId="77777777" w:rsidR="002D4C16" w:rsidRDefault="002D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4ED6" w14:textId="77777777" w:rsidR="00170D84" w:rsidRDefault="00170D8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336BC5" w14:textId="77777777" w:rsidR="00170D84" w:rsidRDefault="00170D8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AC0C" w14:textId="77777777" w:rsidR="00170D84" w:rsidRPr="00E350D1" w:rsidRDefault="00170D84">
    <w:pPr>
      <w:pStyle w:val="Pta"/>
      <w:framePr w:wrap="around" w:vAnchor="text" w:hAnchor="margin" w:xAlign="center" w:y="1"/>
      <w:rPr>
        <w:rStyle w:val="slostrany"/>
        <w:sz w:val="18"/>
        <w:szCs w:val="18"/>
      </w:rPr>
    </w:pPr>
    <w:r w:rsidRPr="00E350D1">
      <w:rPr>
        <w:rStyle w:val="slostrany"/>
        <w:sz w:val="18"/>
        <w:szCs w:val="18"/>
      </w:rPr>
      <w:fldChar w:fldCharType="begin"/>
    </w:r>
    <w:r w:rsidRPr="00E350D1">
      <w:rPr>
        <w:rStyle w:val="slostrany"/>
        <w:sz w:val="18"/>
        <w:szCs w:val="18"/>
      </w:rPr>
      <w:instrText xml:space="preserve">PAGE  </w:instrText>
    </w:r>
    <w:r w:rsidRPr="00E350D1">
      <w:rPr>
        <w:rStyle w:val="slostrany"/>
        <w:sz w:val="18"/>
        <w:szCs w:val="18"/>
      </w:rPr>
      <w:fldChar w:fldCharType="separate"/>
    </w:r>
    <w:r w:rsidR="00077C99">
      <w:rPr>
        <w:rStyle w:val="slostrany"/>
        <w:noProof/>
        <w:sz w:val="18"/>
        <w:szCs w:val="18"/>
      </w:rPr>
      <w:t>2</w:t>
    </w:r>
    <w:r w:rsidRPr="00E350D1">
      <w:rPr>
        <w:rStyle w:val="slostrany"/>
        <w:sz w:val="18"/>
        <w:szCs w:val="18"/>
      </w:rPr>
      <w:fldChar w:fldCharType="end"/>
    </w:r>
  </w:p>
  <w:p w14:paraId="2C9A2173" w14:textId="77777777" w:rsidR="00170D84" w:rsidRDefault="00170D84">
    <w:pPr>
      <w:pStyle w:val="Pta"/>
      <w:tabs>
        <w:tab w:val="right" w:pos="357"/>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455A4" w14:textId="77777777" w:rsidR="00170D84" w:rsidRPr="00E350D1" w:rsidRDefault="00170D84">
    <w:pPr>
      <w:pStyle w:val="Pta"/>
      <w:framePr w:wrap="around" w:vAnchor="text" w:hAnchor="margin" w:xAlign="center" w:y="1"/>
      <w:rPr>
        <w:rStyle w:val="slostrany"/>
        <w:sz w:val="18"/>
        <w:szCs w:val="18"/>
      </w:rPr>
    </w:pPr>
    <w:r w:rsidRPr="00E350D1">
      <w:rPr>
        <w:rStyle w:val="slostrany"/>
        <w:sz w:val="18"/>
        <w:szCs w:val="18"/>
      </w:rPr>
      <w:fldChar w:fldCharType="begin"/>
    </w:r>
    <w:r w:rsidRPr="00E350D1">
      <w:rPr>
        <w:rStyle w:val="slostrany"/>
        <w:sz w:val="18"/>
        <w:szCs w:val="18"/>
      </w:rPr>
      <w:instrText xml:space="preserve">PAGE  </w:instrText>
    </w:r>
    <w:r w:rsidRPr="00E350D1">
      <w:rPr>
        <w:rStyle w:val="slostrany"/>
        <w:sz w:val="18"/>
        <w:szCs w:val="18"/>
      </w:rPr>
      <w:fldChar w:fldCharType="separate"/>
    </w:r>
    <w:r w:rsidR="00077C99">
      <w:rPr>
        <w:rStyle w:val="slostrany"/>
        <w:noProof/>
        <w:sz w:val="18"/>
        <w:szCs w:val="18"/>
      </w:rPr>
      <w:t>1</w:t>
    </w:r>
    <w:r w:rsidRPr="00E350D1">
      <w:rPr>
        <w:rStyle w:val="slostrany"/>
        <w:sz w:val="18"/>
        <w:szCs w:val="18"/>
      </w:rPr>
      <w:fldChar w:fldCharType="end"/>
    </w:r>
  </w:p>
  <w:p w14:paraId="36D67528" w14:textId="77777777" w:rsidR="00170D84" w:rsidRDefault="00170D84" w:rsidP="00E60189">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2DC5A" w14:textId="77777777" w:rsidR="002D4C16" w:rsidRDefault="002D4C16">
      <w:r>
        <w:separator/>
      </w:r>
    </w:p>
  </w:footnote>
  <w:footnote w:type="continuationSeparator" w:id="0">
    <w:p w14:paraId="4520CCA9" w14:textId="77777777" w:rsidR="002D4C16" w:rsidRDefault="002D4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D695A" w14:textId="77777777" w:rsidR="00EA0463" w:rsidRDefault="00EA0463" w:rsidP="00EA0463">
    <w:pPr>
      <w:pStyle w:val="Hlavika"/>
      <w:rPr>
        <w:sz w:val="18"/>
        <w:szCs w:val="18"/>
        <w:lang w:val="sk-SK"/>
      </w:rPr>
    </w:pPr>
    <w:r>
      <w:rPr>
        <w:sz w:val="18"/>
        <w:szCs w:val="18"/>
        <w:lang w:val="sk-SK"/>
      </w:rPr>
      <w:t xml:space="preserve">Príloha č. 1 k notifikácii o zmene, ev. č.: </w:t>
    </w:r>
    <w:r w:rsidRPr="00EA0463">
      <w:rPr>
        <w:sz w:val="18"/>
        <w:szCs w:val="18"/>
        <w:lang w:val="sk-SK"/>
      </w:rPr>
      <w:t>2019/01317-Z1B</w:t>
    </w:r>
  </w:p>
  <w:p w14:paraId="168E36E4" w14:textId="77777777" w:rsidR="00170D84" w:rsidRDefault="00170D8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EB02" w14:textId="16FDAFAE" w:rsidR="00170D84" w:rsidRDefault="00170D84">
    <w:pPr>
      <w:pStyle w:val="Hlavika"/>
      <w:rPr>
        <w:sz w:val="18"/>
        <w:szCs w:val="18"/>
        <w:lang w:val="sk-SK"/>
      </w:rPr>
    </w:pPr>
  </w:p>
  <w:p w14:paraId="05E05A70" w14:textId="60DF0AA1" w:rsidR="00EA0463" w:rsidRDefault="00EA0463">
    <w:pPr>
      <w:pStyle w:val="Hlavika"/>
      <w:rPr>
        <w:sz w:val="18"/>
        <w:szCs w:val="18"/>
        <w:lang w:val="sk-SK"/>
      </w:rPr>
    </w:pPr>
    <w:r>
      <w:rPr>
        <w:sz w:val="18"/>
        <w:szCs w:val="18"/>
        <w:lang w:val="sk-SK"/>
      </w:rPr>
      <w:t xml:space="preserve">Príloha č. 1 k notifikácii o zmene, ev. č.: </w:t>
    </w:r>
    <w:r w:rsidRPr="00EA0463">
      <w:rPr>
        <w:sz w:val="18"/>
        <w:szCs w:val="18"/>
        <w:lang w:val="sk-SK"/>
      </w:rPr>
      <w:t>2019/01317-Z1B</w:t>
    </w:r>
  </w:p>
  <w:p w14:paraId="748AA4C7" w14:textId="77777777" w:rsidR="00EA0463" w:rsidRPr="00BD708F" w:rsidRDefault="00EA0463">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35C2"/>
    <w:multiLevelType w:val="hybridMultilevel"/>
    <w:tmpl w:val="3FC24AA0"/>
    <w:lvl w:ilvl="0" w:tplc="30EADC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9E7305"/>
    <w:multiLevelType w:val="hybridMultilevel"/>
    <w:tmpl w:val="904C429E"/>
    <w:lvl w:ilvl="0" w:tplc="A2786B68">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B554D41"/>
    <w:multiLevelType w:val="hybridMultilevel"/>
    <w:tmpl w:val="0DC0EB12"/>
    <w:lvl w:ilvl="0" w:tplc="30EADC6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A2786B68">
      <w:start w:val="4"/>
      <w:numFmt w:val="bullet"/>
      <w:lvlText w:val="-"/>
      <w:lvlJc w:val="left"/>
      <w:pPr>
        <w:ind w:left="2880" w:hanging="360"/>
      </w:pPr>
      <w:rPr>
        <w:rFonts w:ascii="Times New Roman" w:eastAsia="Times New Roman" w:hAnsi="Times New Roman" w:cs="Times New Roman"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76B7078"/>
    <w:multiLevelType w:val="hybridMultilevel"/>
    <w:tmpl w:val="2202E7C6"/>
    <w:lvl w:ilvl="0" w:tplc="A2786B6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A2D7D7B"/>
    <w:multiLevelType w:val="hybridMultilevel"/>
    <w:tmpl w:val="599AE1A2"/>
    <w:lvl w:ilvl="0" w:tplc="30EADC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B056200"/>
    <w:multiLevelType w:val="hybridMultilevel"/>
    <w:tmpl w:val="AE604246"/>
    <w:lvl w:ilvl="0" w:tplc="B3F8AEA2">
      <w:start w:val="1"/>
      <w:numFmt w:val="bullet"/>
      <w:lvlText w:val=""/>
      <w:lvlJc w:val="left"/>
      <w:pPr>
        <w:tabs>
          <w:tab w:val="num" w:pos="1440"/>
        </w:tabs>
        <w:ind w:left="144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3B281C14"/>
    <w:multiLevelType w:val="hybridMultilevel"/>
    <w:tmpl w:val="0C2C7286"/>
    <w:lvl w:ilvl="0" w:tplc="30EADC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F33516E"/>
    <w:multiLevelType w:val="hybridMultilevel"/>
    <w:tmpl w:val="9F12E5E4"/>
    <w:lvl w:ilvl="0" w:tplc="A2786B68">
      <w:start w:val="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4E990F80"/>
    <w:multiLevelType w:val="hybridMultilevel"/>
    <w:tmpl w:val="FB1CE518"/>
    <w:lvl w:ilvl="0" w:tplc="A2786B68">
      <w:start w:val="4"/>
      <w:numFmt w:val="bullet"/>
      <w:lvlText w:val="-"/>
      <w:lvlJc w:val="left"/>
      <w:pPr>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6F096D6E"/>
    <w:multiLevelType w:val="hybridMultilevel"/>
    <w:tmpl w:val="1260537E"/>
    <w:lvl w:ilvl="0" w:tplc="EBA6F89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E87C55"/>
    <w:multiLevelType w:val="hybridMultilevel"/>
    <w:tmpl w:val="46CEC17C"/>
    <w:lvl w:ilvl="0" w:tplc="A2786B68">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9"/>
  </w:num>
  <w:num w:numId="6">
    <w:abstractNumId w:val="0"/>
  </w:num>
  <w:num w:numId="7">
    <w:abstractNumId w:val="6"/>
  </w:num>
  <w:num w:numId="8">
    <w:abstractNumId w:val="2"/>
  </w:num>
  <w:num w:numId="9">
    <w:abstractNumId w:val="8"/>
  </w:num>
  <w:num w:numId="10">
    <w:abstractNumId w:val="10"/>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2C"/>
    <w:rsid w:val="00007F3E"/>
    <w:rsid w:val="000201DD"/>
    <w:rsid w:val="000229B1"/>
    <w:rsid w:val="0003656A"/>
    <w:rsid w:val="00077C99"/>
    <w:rsid w:val="00095AB8"/>
    <w:rsid w:val="00103637"/>
    <w:rsid w:val="00116971"/>
    <w:rsid w:val="00126361"/>
    <w:rsid w:val="00150C8B"/>
    <w:rsid w:val="0015788F"/>
    <w:rsid w:val="00170D84"/>
    <w:rsid w:val="001810CC"/>
    <w:rsid w:val="001A7BDD"/>
    <w:rsid w:val="001B5F44"/>
    <w:rsid w:val="001D5B6C"/>
    <w:rsid w:val="001E017A"/>
    <w:rsid w:val="001F4C43"/>
    <w:rsid w:val="00223607"/>
    <w:rsid w:val="00231BD8"/>
    <w:rsid w:val="00257F56"/>
    <w:rsid w:val="00265F7C"/>
    <w:rsid w:val="00270415"/>
    <w:rsid w:val="00270D57"/>
    <w:rsid w:val="00283D2D"/>
    <w:rsid w:val="00294A06"/>
    <w:rsid w:val="002B5EE7"/>
    <w:rsid w:val="002D4C16"/>
    <w:rsid w:val="002F0038"/>
    <w:rsid w:val="00307574"/>
    <w:rsid w:val="0031389B"/>
    <w:rsid w:val="00313926"/>
    <w:rsid w:val="00337C74"/>
    <w:rsid w:val="003649A7"/>
    <w:rsid w:val="00371D43"/>
    <w:rsid w:val="00393EBB"/>
    <w:rsid w:val="003A3EB9"/>
    <w:rsid w:val="003D689D"/>
    <w:rsid w:val="003E76ED"/>
    <w:rsid w:val="003F3EBF"/>
    <w:rsid w:val="003F4DB2"/>
    <w:rsid w:val="00411405"/>
    <w:rsid w:val="0042220E"/>
    <w:rsid w:val="00427E63"/>
    <w:rsid w:val="00444E4E"/>
    <w:rsid w:val="00446161"/>
    <w:rsid w:val="00452906"/>
    <w:rsid w:val="004572B9"/>
    <w:rsid w:val="00457819"/>
    <w:rsid w:val="004963EC"/>
    <w:rsid w:val="004A6E77"/>
    <w:rsid w:val="004A76AD"/>
    <w:rsid w:val="004D368A"/>
    <w:rsid w:val="004F1C65"/>
    <w:rsid w:val="004F5DB2"/>
    <w:rsid w:val="004F6474"/>
    <w:rsid w:val="005201EA"/>
    <w:rsid w:val="005233CE"/>
    <w:rsid w:val="00583D6F"/>
    <w:rsid w:val="00593B72"/>
    <w:rsid w:val="005A528E"/>
    <w:rsid w:val="005B38E9"/>
    <w:rsid w:val="005D1B51"/>
    <w:rsid w:val="005D59A3"/>
    <w:rsid w:val="00600C71"/>
    <w:rsid w:val="006061DD"/>
    <w:rsid w:val="00620645"/>
    <w:rsid w:val="00624A2B"/>
    <w:rsid w:val="00631831"/>
    <w:rsid w:val="00662B9A"/>
    <w:rsid w:val="0069342A"/>
    <w:rsid w:val="006971F4"/>
    <w:rsid w:val="00707542"/>
    <w:rsid w:val="007200EC"/>
    <w:rsid w:val="00747259"/>
    <w:rsid w:val="00747BD3"/>
    <w:rsid w:val="0076181A"/>
    <w:rsid w:val="00777FB8"/>
    <w:rsid w:val="00783E09"/>
    <w:rsid w:val="007D6660"/>
    <w:rsid w:val="007F25C3"/>
    <w:rsid w:val="00872D6E"/>
    <w:rsid w:val="00882DB4"/>
    <w:rsid w:val="008833E6"/>
    <w:rsid w:val="0089750A"/>
    <w:rsid w:val="008F04B6"/>
    <w:rsid w:val="00936DBE"/>
    <w:rsid w:val="00963DB3"/>
    <w:rsid w:val="009644FB"/>
    <w:rsid w:val="009836EE"/>
    <w:rsid w:val="00986CE9"/>
    <w:rsid w:val="00987A0F"/>
    <w:rsid w:val="00A20413"/>
    <w:rsid w:val="00A50436"/>
    <w:rsid w:val="00A64AC1"/>
    <w:rsid w:val="00A66429"/>
    <w:rsid w:val="00A67A93"/>
    <w:rsid w:val="00A83300"/>
    <w:rsid w:val="00AC1C31"/>
    <w:rsid w:val="00AD5B9A"/>
    <w:rsid w:val="00AD68BB"/>
    <w:rsid w:val="00B35AF7"/>
    <w:rsid w:val="00B371C7"/>
    <w:rsid w:val="00B41099"/>
    <w:rsid w:val="00B43143"/>
    <w:rsid w:val="00B61552"/>
    <w:rsid w:val="00B75EA4"/>
    <w:rsid w:val="00BB5C65"/>
    <w:rsid w:val="00BC683C"/>
    <w:rsid w:val="00BD483C"/>
    <w:rsid w:val="00BD708F"/>
    <w:rsid w:val="00BE12BA"/>
    <w:rsid w:val="00BE28F1"/>
    <w:rsid w:val="00BF51A0"/>
    <w:rsid w:val="00BF551C"/>
    <w:rsid w:val="00C40034"/>
    <w:rsid w:val="00C53FFB"/>
    <w:rsid w:val="00C55D1B"/>
    <w:rsid w:val="00C7235A"/>
    <w:rsid w:val="00C83A12"/>
    <w:rsid w:val="00CF24C3"/>
    <w:rsid w:val="00CF6AAD"/>
    <w:rsid w:val="00D34073"/>
    <w:rsid w:val="00D3744F"/>
    <w:rsid w:val="00D43CD7"/>
    <w:rsid w:val="00D54C8D"/>
    <w:rsid w:val="00D909ED"/>
    <w:rsid w:val="00E23992"/>
    <w:rsid w:val="00E44AD9"/>
    <w:rsid w:val="00E56A67"/>
    <w:rsid w:val="00E60189"/>
    <w:rsid w:val="00E816D0"/>
    <w:rsid w:val="00E8271C"/>
    <w:rsid w:val="00E9293B"/>
    <w:rsid w:val="00E95BA8"/>
    <w:rsid w:val="00EA0463"/>
    <w:rsid w:val="00EC442C"/>
    <w:rsid w:val="00ED3F38"/>
    <w:rsid w:val="00EF720F"/>
    <w:rsid w:val="00EF7535"/>
    <w:rsid w:val="00EF79C0"/>
    <w:rsid w:val="00F02C09"/>
    <w:rsid w:val="00F260F9"/>
    <w:rsid w:val="00F3305E"/>
    <w:rsid w:val="00F35ED1"/>
    <w:rsid w:val="00F57FD7"/>
    <w:rsid w:val="00FC5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8A52D4"/>
  <w15:docId w15:val="{1866ACB9-6EDF-4EE0-AF5D-974DBD28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442C"/>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sk-SK"/>
    </w:rPr>
  </w:style>
  <w:style w:type="paragraph" w:styleId="Nadpis2">
    <w:name w:val="heading 2"/>
    <w:basedOn w:val="Normlny"/>
    <w:next w:val="Normlny"/>
    <w:link w:val="Nadpis2Char"/>
    <w:qFormat/>
    <w:rsid w:val="00EC442C"/>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EC442C"/>
    <w:rPr>
      <w:rFonts w:ascii="Arial" w:eastAsia="Times New Roman" w:hAnsi="Arial" w:cs="Arial"/>
      <w:b/>
      <w:bCs/>
      <w:i/>
      <w:iCs/>
      <w:sz w:val="28"/>
      <w:szCs w:val="28"/>
      <w:lang w:val="en-GB" w:eastAsia="sk-SK"/>
    </w:rPr>
  </w:style>
  <w:style w:type="paragraph" w:styleId="Hlavika">
    <w:name w:val="header"/>
    <w:basedOn w:val="Normlny"/>
    <w:link w:val="HlavikaChar"/>
    <w:rsid w:val="00EC442C"/>
    <w:pPr>
      <w:tabs>
        <w:tab w:val="center" w:pos="4536"/>
        <w:tab w:val="right" w:pos="9072"/>
      </w:tabs>
    </w:pPr>
  </w:style>
  <w:style w:type="character" w:customStyle="1" w:styleId="HlavikaChar">
    <w:name w:val="Hlavička Char"/>
    <w:basedOn w:val="Predvolenpsmoodseku"/>
    <w:link w:val="Hlavika"/>
    <w:rsid w:val="00EC442C"/>
    <w:rPr>
      <w:rFonts w:ascii="Times New Roman" w:eastAsia="Times New Roman" w:hAnsi="Times New Roman" w:cs="Times New Roman"/>
      <w:sz w:val="20"/>
      <w:szCs w:val="20"/>
      <w:lang w:val="en-GB" w:eastAsia="sk-SK"/>
    </w:rPr>
  </w:style>
  <w:style w:type="paragraph" w:styleId="Pta">
    <w:name w:val="footer"/>
    <w:basedOn w:val="Normlny"/>
    <w:link w:val="PtaChar"/>
    <w:rsid w:val="00EC442C"/>
    <w:pPr>
      <w:tabs>
        <w:tab w:val="center" w:pos="4153"/>
        <w:tab w:val="right" w:pos="8306"/>
      </w:tabs>
    </w:pPr>
  </w:style>
  <w:style w:type="character" w:customStyle="1" w:styleId="PtaChar">
    <w:name w:val="Päta Char"/>
    <w:basedOn w:val="Predvolenpsmoodseku"/>
    <w:link w:val="Pta"/>
    <w:rsid w:val="00EC442C"/>
    <w:rPr>
      <w:rFonts w:ascii="Times New Roman" w:eastAsia="Times New Roman" w:hAnsi="Times New Roman" w:cs="Times New Roman"/>
      <w:sz w:val="20"/>
      <w:szCs w:val="20"/>
      <w:lang w:val="en-GB" w:eastAsia="sk-SK"/>
    </w:rPr>
  </w:style>
  <w:style w:type="paragraph" w:customStyle="1" w:styleId="Paragraph">
    <w:name w:val="Paragraph"/>
    <w:rsid w:val="00EC442C"/>
    <w:pPr>
      <w:spacing w:after="240" w:line="240" w:lineRule="auto"/>
    </w:pPr>
    <w:rPr>
      <w:rFonts w:ascii="Times New Roman" w:eastAsia="Times New Roman" w:hAnsi="Times New Roman" w:cs="Times New Roman"/>
      <w:sz w:val="24"/>
      <w:szCs w:val="24"/>
      <w:lang w:val="en-US"/>
    </w:rPr>
  </w:style>
  <w:style w:type="character" w:customStyle="1" w:styleId="ListNoBulletChar">
    <w:name w:val="List No Bullet Char"/>
    <w:link w:val="ListNoBullet"/>
    <w:locked/>
    <w:rsid w:val="00EC442C"/>
    <w:rPr>
      <w:sz w:val="24"/>
      <w:szCs w:val="24"/>
      <w:lang w:val="en-US"/>
    </w:rPr>
  </w:style>
  <w:style w:type="paragraph" w:customStyle="1" w:styleId="ListNoBullet">
    <w:name w:val="List No Bullet"/>
    <w:link w:val="ListNoBulletChar"/>
    <w:rsid w:val="00EC442C"/>
    <w:pPr>
      <w:spacing w:after="0" w:line="240" w:lineRule="auto"/>
    </w:pPr>
    <w:rPr>
      <w:sz w:val="24"/>
      <w:szCs w:val="24"/>
      <w:lang w:val="en-US"/>
    </w:rPr>
  </w:style>
  <w:style w:type="character" w:styleId="Siln">
    <w:name w:val="Strong"/>
    <w:qFormat/>
    <w:rsid w:val="00EC442C"/>
    <w:rPr>
      <w:b/>
      <w:bCs/>
    </w:rPr>
  </w:style>
  <w:style w:type="character" w:styleId="slostrany">
    <w:name w:val="page number"/>
    <w:basedOn w:val="Predvolenpsmoodseku"/>
    <w:rsid w:val="00EC442C"/>
  </w:style>
  <w:style w:type="character" w:styleId="Hypertextovprepojenie">
    <w:name w:val="Hyperlink"/>
    <w:rsid w:val="00EC442C"/>
    <w:rPr>
      <w:color w:val="0000FF"/>
      <w:u w:val="single"/>
    </w:rPr>
  </w:style>
  <w:style w:type="paragraph" w:styleId="Odsekzoznamu">
    <w:name w:val="List Paragraph"/>
    <w:basedOn w:val="Normlny"/>
    <w:uiPriority w:val="34"/>
    <w:qFormat/>
    <w:rsid w:val="00BE12BA"/>
    <w:pPr>
      <w:ind w:left="720"/>
      <w:contextualSpacing/>
    </w:pPr>
  </w:style>
  <w:style w:type="paragraph" w:styleId="Textbubliny">
    <w:name w:val="Balloon Text"/>
    <w:basedOn w:val="Normlny"/>
    <w:link w:val="TextbublinyChar"/>
    <w:uiPriority w:val="99"/>
    <w:semiHidden/>
    <w:unhideWhenUsed/>
    <w:rsid w:val="00231B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1BD8"/>
    <w:rPr>
      <w:rFonts w:ascii="Segoe UI" w:eastAsia="Times New Roman" w:hAnsi="Segoe UI" w:cs="Segoe UI"/>
      <w:sz w:val="18"/>
      <w:szCs w:val="18"/>
      <w:lang w:val="en-GB" w:eastAsia="sk-SK"/>
    </w:rPr>
  </w:style>
  <w:style w:type="character" w:styleId="Odkaznakomentr">
    <w:name w:val="annotation reference"/>
    <w:basedOn w:val="Predvolenpsmoodseku"/>
    <w:uiPriority w:val="99"/>
    <w:semiHidden/>
    <w:unhideWhenUsed/>
    <w:rsid w:val="00265F7C"/>
    <w:rPr>
      <w:sz w:val="16"/>
      <w:szCs w:val="16"/>
    </w:rPr>
  </w:style>
  <w:style w:type="paragraph" w:styleId="Textkomentra">
    <w:name w:val="annotation text"/>
    <w:basedOn w:val="Normlny"/>
    <w:link w:val="TextkomentraChar"/>
    <w:uiPriority w:val="99"/>
    <w:semiHidden/>
    <w:unhideWhenUsed/>
    <w:rsid w:val="00265F7C"/>
  </w:style>
  <w:style w:type="character" w:customStyle="1" w:styleId="TextkomentraChar">
    <w:name w:val="Text komentára Char"/>
    <w:basedOn w:val="Predvolenpsmoodseku"/>
    <w:link w:val="Textkomentra"/>
    <w:uiPriority w:val="99"/>
    <w:semiHidden/>
    <w:rsid w:val="00265F7C"/>
    <w:rPr>
      <w:rFonts w:ascii="Times New Roman" w:eastAsia="Times New Roman" w:hAnsi="Times New Roman" w:cs="Times New Roman"/>
      <w:sz w:val="20"/>
      <w:szCs w:val="20"/>
      <w:lang w:val="en-GB" w:eastAsia="sk-SK"/>
    </w:rPr>
  </w:style>
  <w:style w:type="paragraph" w:styleId="Predmetkomentra">
    <w:name w:val="annotation subject"/>
    <w:basedOn w:val="Textkomentra"/>
    <w:next w:val="Textkomentra"/>
    <w:link w:val="PredmetkomentraChar"/>
    <w:uiPriority w:val="99"/>
    <w:semiHidden/>
    <w:unhideWhenUsed/>
    <w:rsid w:val="00265F7C"/>
    <w:rPr>
      <w:b/>
      <w:bCs/>
    </w:rPr>
  </w:style>
  <w:style w:type="character" w:customStyle="1" w:styleId="PredmetkomentraChar">
    <w:name w:val="Predmet komentára Char"/>
    <w:basedOn w:val="TextkomentraChar"/>
    <w:link w:val="Predmetkomentra"/>
    <w:uiPriority w:val="99"/>
    <w:semiHidden/>
    <w:rsid w:val="00265F7C"/>
    <w:rPr>
      <w:rFonts w:ascii="Times New Roman" w:eastAsia="Times New Roman" w:hAnsi="Times New Roman" w:cs="Times New Roman"/>
      <w:b/>
      <w:bCs/>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9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AD58-B55F-4442-9399-EAFAC2AA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4838</Words>
  <Characters>27577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32351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Drobkova, Tatiana</dc:creator>
  <cp:lastModifiedBy>Kuziaková, Marianna</cp:lastModifiedBy>
  <cp:revision>2</cp:revision>
  <dcterms:created xsi:type="dcterms:W3CDTF">2019-09-05T11:48:00Z</dcterms:created>
  <dcterms:modified xsi:type="dcterms:W3CDTF">2019-09-05T11:48:00Z</dcterms:modified>
</cp:coreProperties>
</file>