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4C19A" w14:textId="77777777" w:rsidR="00CD6D71" w:rsidRDefault="00CD6D71" w:rsidP="00075097">
      <w:pPr>
        <w:jc w:val="center"/>
        <w:rPr>
          <w:rFonts w:cs="Times New Roman"/>
          <w:b/>
          <w:bCs/>
        </w:rPr>
      </w:pPr>
      <w:bookmarkStart w:id="0" w:name="_GoBack"/>
      <w:bookmarkEnd w:id="0"/>
    </w:p>
    <w:p w14:paraId="4553F3B6" w14:textId="77777777" w:rsidR="00190696" w:rsidRPr="0069070D" w:rsidRDefault="00190696" w:rsidP="00075097">
      <w:pPr>
        <w:jc w:val="center"/>
        <w:rPr>
          <w:rFonts w:cs="Times New Roman"/>
          <w:b/>
        </w:rPr>
      </w:pPr>
      <w:r w:rsidRPr="0069070D">
        <w:rPr>
          <w:rFonts w:cs="Times New Roman"/>
          <w:b/>
          <w:bCs/>
        </w:rPr>
        <w:t>SÚHRN CHARAKTERISTICKÝCH VLASTNOSTÍ LIEKU</w:t>
      </w:r>
    </w:p>
    <w:p w14:paraId="40B96A1A" w14:textId="77777777" w:rsidR="00D30EA8" w:rsidRPr="0069070D" w:rsidRDefault="00D30EA8" w:rsidP="00075097">
      <w:pPr>
        <w:jc w:val="center"/>
        <w:rPr>
          <w:rFonts w:cs="Times New Roman"/>
          <w:b/>
        </w:rPr>
      </w:pPr>
    </w:p>
    <w:p w14:paraId="2428513F" w14:textId="77777777" w:rsidR="00190696" w:rsidRPr="0069070D" w:rsidRDefault="00190696" w:rsidP="00075097">
      <w:pPr>
        <w:pStyle w:val="Odsekzoznamu"/>
        <w:numPr>
          <w:ilvl w:val="0"/>
          <w:numId w:val="3"/>
        </w:numPr>
        <w:ind w:left="0" w:firstLine="0"/>
        <w:rPr>
          <w:rFonts w:cs="Times New Roman"/>
          <w:b/>
        </w:rPr>
      </w:pPr>
      <w:r w:rsidRPr="0069070D">
        <w:rPr>
          <w:rFonts w:cs="Times New Roman"/>
          <w:b/>
          <w:bCs/>
        </w:rPr>
        <w:t>NÁZOV LIEKU</w:t>
      </w:r>
    </w:p>
    <w:p w14:paraId="39C1A3A5" w14:textId="77777777" w:rsidR="00D30EA8" w:rsidRPr="0069070D" w:rsidRDefault="00D30EA8" w:rsidP="00075097"/>
    <w:p w14:paraId="54AFCEE7" w14:textId="25213186" w:rsidR="00190696" w:rsidRPr="000A1CF2" w:rsidRDefault="00FA5756" w:rsidP="00075097">
      <w:pPr>
        <w:rPr>
          <w:rFonts w:eastAsia="SimSun" w:cs="Times New Roman"/>
          <w:shd w:val="clear" w:color="auto" w:fill="FFFFFF"/>
        </w:rPr>
      </w:pPr>
      <w:r w:rsidRPr="0069070D">
        <w:rPr>
          <w:rFonts w:eastAsia="SimSun" w:cs="Times New Roman"/>
          <w:shd w:val="clear" w:color="auto" w:fill="FFFFFF"/>
        </w:rPr>
        <w:t>Lisemid</w:t>
      </w:r>
      <w:r w:rsidR="00BD124D">
        <w:rPr>
          <w:rFonts w:eastAsia="SimSun" w:cs="Times New Roman"/>
          <w:shd w:val="clear" w:color="auto" w:fill="FFFFFF"/>
        </w:rPr>
        <w:t xml:space="preserve"> </w:t>
      </w:r>
      <w:r w:rsidRPr="0069070D">
        <w:rPr>
          <w:rFonts w:eastAsia="SimSun" w:cs="Times New Roman"/>
          <w:shd w:val="clear" w:color="auto" w:fill="FFFFFF"/>
        </w:rPr>
        <w:t>10 mg/5 mg</w:t>
      </w:r>
      <w:r w:rsidRPr="000A1CF2">
        <w:rPr>
          <w:rFonts w:eastAsia="SimSun" w:cs="Times New Roman"/>
          <w:shd w:val="clear" w:color="auto" w:fill="FFFFFF"/>
          <w:lang w:val="sk"/>
        </w:rPr>
        <w:t xml:space="preserve"> </w:t>
      </w:r>
    </w:p>
    <w:p w14:paraId="77A14536" w14:textId="6748E617" w:rsidR="00190696" w:rsidRPr="00F61038" w:rsidRDefault="00190696" w:rsidP="00075097">
      <w:pPr>
        <w:rPr>
          <w:rFonts w:eastAsia="SimSun" w:cs="Times New Roman"/>
          <w:shd w:val="clear" w:color="auto" w:fill="FFFFFF"/>
        </w:rPr>
      </w:pPr>
      <w:r w:rsidRPr="00F61038">
        <w:rPr>
          <w:rFonts w:eastAsia="SimSun" w:cs="Times New Roman"/>
          <w:shd w:val="clear" w:color="auto" w:fill="FFFFFF"/>
          <w:lang w:val="sk"/>
        </w:rPr>
        <w:t xml:space="preserve">Lisemid 10 mg/10 mg </w:t>
      </w:r>
    </w:p>
    <w:p w14:paraId="00E92BE5" w14:textId="5E9E31B5" w:rsidR="00190696" w:rsidRPr="00F61038" w:rsidRDefault="00190696" w:rsidP="00075097">
      <w:pPr>
        <w:rPr>
          <w:rFonts w:eastAsia="SimSun" w:cs="Times New Roman"/>
          <w:shd w:val="clear" w:color="auto" w:fill="FFFFFF"/>
        </w:rPr>
      </w:pPr>
      <w:r w:rsidRPr="00F61038">
        <w:rPr>
          <w:rFonts w:eastAsia="SimSun" w:cs="Times New Roman"/>
          <w:shd w:val="clear" w:color="auto" w:fill="FFFFFF"/>
          <w:lang w:val="sk"/>
        </w:rPr>
        <w:t xml:space="preserve">Lisemid 20 mg/5 mg </w:t>
      </w:r>
    </w:p>
    <w:p w14:paraId="0C45ACA9" w14:textId="0FA0D19D" w:rsidR="00190696" w:rsidRDefault="00190696" w:rsidP="00075097">
      <w:pPr>
        <w:rPr>
          <w:rFonts w:eastAsia="SimSun" w:cs="Times New Roman"/>
          <w:shd w:val="clear" w:color="auto" w:fill="FFFFFF"/>
          <w:lang w:val="sk"/>
        </w:rPr>
      </w:pPr>
      <w:r w:rsidRPr="00F61038">
        <w:rPr>
          <w:rFonts w:eastAsia="SimSun" w:cs="Times New Roman"/>
          <w:shd w:val="clear" w:color="auto" w:fill="FFFFFF"/>
          <w:lang w:val="sk"/>
        </w:rPr>
        <w:t>Lisemid 20 mg/10 mg</w:t>
      </w:r>
      <w:r w:rsidRPr="0069070D">
        <w:rPr>
          <w:rFonts w:eastAsia="SimSun" w:cs="Times New Roman"/>
          <w:shd w:val="clear" w:color="auto" w:fill="FFFFFF"/>
          <w:lang w:val="sk"/>
        </w:rPr>
        <w:t xml:space="preserve"> </w:t>
      </w:r>
    </w:p>
    <w:p w14:paraId="67FD9946" w14:textId="77777777" w:rsidR="006D6702" w:rsidRPr="0069070D" w:rsidRDefault="006D6702" w:rsidP="00075097">
      <w:pPr>
        <w:rPr>
          <w:rFonts w:eastAsia="SimSun" w:cs="Times New Roman"/>
          <w:shd w:val="clear" w:color="auto" w:fill="FFFFFF"/>
        </w:rPr>
      </w:pPr>
      <w:r>
        <w:rPr>
          <w:rFonts w:eastAsia="SimSun" w:cs="Times New Roman"/>
          <w:shd w:val="clear" w:color="auto" w:fill="FFFFFF"/>
          <w:lang w:val="sk"/>
        </w:rPr>
        <w:t>tablety</w:t>
      </w:r>
    </w:p>
    <w:p w14:paraId="06EDFB85" w14:textId="77777777" w:rsidR="00190696" w:rsidRPr="0069070D" w:rsidRDefault="00190696" w:rsidP="00075097">
      <w:pPr>
        <w:rPr>
          <w:rFonts w:eastAsia="SimSun" w:cs="Times New Roman"/>
          <w:shd w:val="clear" w:color="auto" w:fill="FFFFFF"/>
        </w:rPr>
      </w:pPr>
    </w:p>
    <w:p w14:paraId="72D6DA75" w14:textId="77777777" w:rsidR="005E054A" w:rsidRPr="0069070D" w:rsidRDefault="005E054A" w:rsidP="00075097">
      <w:pPr>
        <w:rPr>
          <w:rFonts w:cs="Times New Roman"/>
          <w:b/>
        </w:rPr>
      </w:pPr>
    </w:p>
    <w:p w14:paraId="37879CBC" w14:textId="77777777" w:rsidR="00190696" w:rsidRPr="0069070D" w:rsidRDefault="00190696" w:rsidP="00075097">
      <w:pPr>
        <w:pStyle w:val="Odsekzoznamu"/>
        <w:numPr>
          <w:ilvl w:val="0"/>
          <w:numId w:val="3"/>
        </w:numPr>
        <w:ind w:left="0" w:firstLine="0"/>
        <w:rPr>
          <w:rFonts w:cs="Times New Roman"/>
          <w:b/>
        </w:rPr>
      </w:pPr>
      <w:r w:rsidRPr="0069070D">
        <w:rPr>
          <w:rFonts w:cs="Times New Roman"/>
          <w:b/>
          <w:bCs/>
        </w:rPr>
        <w:t>KVALITATÍVNE A KVANTITATÍVNE ZLO</w:t>
      </w:r>
      <w:r w:rsidR="000A1CF2">
        <w:rPr>
          <w:rFonts w:cs="Times New Roman"/>
          <w:b/>
          <w:bCs/>
        </w:rPr>
        <w:t>Z</w:t>
      </w:r>
      <w:r w:rsidRPr="0069070D">
        <w:rPr>
          <w:rFonts w:cs="Times New Roman"/>
          <w:b/>
          <w:bCs/>
        </w:rPr>
        <w:t>ENIE</w:t>
      </w:r>
    </w:p>
    <w:p w14:paraId="6894B73B" w14:textId="77777777" w:rsidR="00D30EA8" w:rsidRPr="0069070D" w:rsidRDefault="00D30EA8" w:rsidP="00075097">
      <w:pPr>
        <w:rPr>
          <w:rFonts w:cs="Times New Roman"/>
          <w:b/>
        </w:rPr>
      </w:pPr>
    </w:p>
    <w:p w14:paraId="2C463198" w14:textId="0575B873" w:rsidR="00190696" w:rsidRPr="0069070D" w:rsidRDefault="00190696" w:rsidP="00075097">
      <w:pPr>
        <w:rPr>
          <w:rFonts w:cs="Times New Roman"/>
        </w:rPr>
      </w:pPr>
      <w:r w:rsidRPr="0069070D">
        <w:rPr>
          <w:rFonts w:cs="Times New Roman"/>
          <w:shd w:val="clear" w:color="auto" w:fill="FFFFFF"/>
        </w:rPr>
        <w:t>Lisemid</w:t>
      </w:r>
      <w:r w:rsidR="00BD124D">
        <w:rPr>
          <w:rFonts w:cs="Times New Roman"/>
          <w:shd w:val="clear" w:color="auto" w:fill="FFFFFF"/>
        </w:rPr>
        <w:t xml:space="preserve"> </w:t>
      </w:r>
      <w:r w:rsidRPr="0069070D">
        <w:rPr>
          <w:rFonts w:cs="Times New Roman"/>
        </w:rPr>
        <w:t xml:space="preserve">10 mg/5 mg </w:t>
      </w:r>
      <w:r w:rsidRPr="000A1CF2">
        <w:rPr>
          <w:rFonts w:cs="Times New Roman"/>
          <w:lang w:val="sk"/>
        </w:rPr>
        <w:t>tablety: každá tableta obsahuje 10 mg lizinoprilu (vo forme dihydrátu</w:t>
      </w:r>
      <w:r w:rsidR="00A91828">
        <w:rPr>
          <w:rFonts w:cs="Times New Roman"/>
          <w:lang w:val="sk"/>
        </w:rPr>
        <w:t xml:space="preserve"> </w:t>
      </w:r>
      <w:r w:rsidR="00A91828" w:rsidRPr="000A1CF2">
        <w:rPr>
          <w:rFonts w:cs="Times New Roman"/>
          <w:lang w:val="sk"/>
        </w:rPr>
        <w:t>lizinopril</w:t>
      </w:r>
      <w:r w:rsidR="00A91828">
        <w:rPr>
          <w:rFonts w:cs="Times New Roman"/>
          <w:lang w:val="sk"/>
        </w:rPr>
        <w:t>u</w:t>
      </w:r>
      <w:r w:rsidRPr="000A1CF2">
        <w:rPr>
          <w:rFonts w:cs="Times New Roman"/>
          <w:lang w:val="sk"/>
        </w:rPr>
        <w:t>) a 5 mg torasemidu</w:t>
      </w:r>
      <w:r w:rsidR="001B5FEA">
        <w:rPr>
          <w:rFonts w:cs="Times New Roman"/>
          <w:lang w:val="sk"/>
        </w:rPr>
        <w:t>.</w:t>
      </w:r>
      <w:r w:rsidRPr="0069070D">
        <w:rPr>
          <w:rFonts w:cs="Times New Roman"/>
          <w:lang w:val="sk"/>
        </w:rPr>
        <w:t xml:space="preserve"> </w:t>
      </w:r>
    </w:p>
    <w:p w14:paraId="1BE961EC" w14:textId="70193201" w:rsidR="00190696" w:rsidRPr="00F61038" w:rsidRDefault="00190696" w:rsidP="00075097">
      <w:pPr>
        <w:rPr>
          <w:rFonts w:cs="Times New Roman"/>
        </w:rPr>
      </w:pPr>
      <w:r w:rsidRPr="00F61038">
        <w:rPr>
          <w:rFonts w:cs="Times New Roman"/>
          <w:shd w:val="clear" w:color="auto" w:fill="FFFFFF"/>
          <w:lang w:val="sk"/>
        </w:rPr>
        <w:t>Lisemid</w:t>
      </w:r>
      <w:r w:rsidRPr="00F61038">
        <w:rPr>
          <w:rFonts w:cs="Times New Roman"/>
          <w:lang w:val="sk"/>
        </w:rPr>
        <w:t xml:space="preserve"> 10 mg/10 mg</w:t>
      </w:r>
      <w:r w:rsidRPr="00F61038">
        <w:rPr>
          <w:rFonts w:cs="Times New Roman"/>
        </w:rPr>
        <w:t xml:space="preserve"> </w:t>
      </w:r>
      <w:r w:rsidRPr="00F61038">
        <w:rPr>
          <w:rFonts w:cs="Times New Roman"/>
          <w:lang w:val="sk"/>
        </w:rPr>
        <w:t>tablety: každá tableta obsahuje 10 mg lizinoprilu (vo forme dihydrátu</w:t>
      </w:r>
      <w:r w:rsidR="00A91828" w:rsidRPr="00F61038">
        <w:rPr>
          <w:rFonts w:cs="Times New Roman"/>
          <w:lang w:val="sk"/>
        </w:rPr>
        <w:t xml:space="preserve"> lizinoprilu</w:t>
      </w:r>
      <w:r w:rsidRPr="00F61038">
        <w:rPr>
          <w:rFonts w:cs="Times New Roman"/>
          <w:lang w:val="sk"/>
        </w:rPr>
        <w:t>) a 10 mg torasemidu</w:t>
      </w:r>
      <w:r w:rsidR="001B5FEA" w:rsidRPr="00F61038">
        <w:rPr>
          <w:rFonts w:cs="Times New Roman"/>
          <w:lang w:val="sk"/>
        </w:rPr>
        <w:t>.</w:t>
      </w:r>
    </w:p>
    <w:p w14:paraId="635E5C12" w14:textId="0B4830E1" w:rsidR="00190696" w:rsidRPr="00F61038" w:rsidRDefault="00190696" w:rsidP="00075097">
      <w:pPr>
        <w:rPr>
          <w:rFonts w:cs="Times New Roman"/>
        </w:rPr>
      </w:pPr>
      <w:r w:rsidRPr="00F61038">
        <w:rPr>
          <w:rFonts w:cs="Times New Roman"/>
          <w:shd w:val="clear" w:color="auto" w:fill="FFFFFF"/>
          <w:lang w:val="sk"/>
        </w:rPr>
        <w:t>Lisemid</w:t>
      </w:r>
      <w:r w:rsidRPr="00F61038">
        <w:rPr>
          <w:rFonts w:cs="Times New Roman"/>
          <w:lang w:val="sk"/>
        </w:rPr>
        <w:t xml:space="preserve"> 20 mg/5 mg</w:t>
      </w:r>
      <w:r w:rsidRPr="00F61038">
        <w:rPr>
          <w:rFonts w:cs="Times New Roman"/>
        </w:rPr>
        <w:t xml:space="preserve"> </w:t>
      </w:r>
      <w:r w:rsidRPr="00F61038">
        <w:rPr>
          <w:rFonts w:cs="Times New Roman"/>
          <w:lang w:val="sk"/>
        </w:rPr>
        <w:t>tablety: každá tableta obsahuje 20 mg lizinoprilu (vo forme dihydrátu</w:t>
      </w:r>
      <w:r w:rsidR="00A91828" w:rsidRPr="00F61038">
        <w:rPr>
          <w:rFonts w:cs="Times New Roman"/>
          <w:lang w:val="sk"/>
        </w:rPr>
        <w:t xml:space="preserve"> lizinoprilu</w:t>
      </w:r>
      <w:r w:rsidRPr="00F61038">
        <w:rPr>
          <w:rFonts w:cs="Times New Roman"/>
          <w:lang w:val="sk"/>
        </w:rPr>
        <w:t>) a 5 mg torasemidu</w:t>
      </w:r>
      <w:r w:rsidR="001B5FEA" w:rsidRPr="00F61038">
        <w:rPr>
          <w:rFonts w:cs="Times New Roman"/>
          <w:lang w:val="sk"/>
        </w:rPr>
        <w:t>.</w:t>
      </w:r>
    </w:p>
    <w:p w14:paraId="35FF075D" w14:textId="54B4553E" w:rsidR="00190696" w:rsidRPr="0069070D" w:rsidRDefault="00190696" w:rsidP="00075097">
      <w:pPr>
        <w:rPr>
          <w:rFonts w:cs="Times New Roman"/>
        </w:rPr>
      </w:pPr>
      <w:r w:rsidRPr="00F61038">
        <w:rPr>
          <w:rFonts w:cs="Times New Roman"/>
          <w:shd w:val="clear" w:color="auto" w:fill="FFFFFF"/>
          <w:lang w:val="sk"/>
        </w:rPr>
        <w:t>Lisemid</w:t>
      </w:r>
      <w:r w:rsidRPr="00F61038">
        <w:rPr>
          <w:rFonts w:cs="Times New Roman"/>
          <w:lang w:val="sk"/>
        </w:rPr>
        <w:t xml:space="preserve"> 20 mg/10 mg</w:t>
      </w:r>
      <w:r w:rsidRPr="00F61038">
        <w:rPr>
          <w:rFonts w:cs="Times New Roman"/>
        </w:rPr>
        <w:t xml:space="preserve"> </w:t>
      </w:r>
      <w:r w:rsidRPr="00F61038">
        <w:rPr>
          <w:rFonts w:cs="Times New Roman"/>
          <w:lang w:val="sk"/>
        </w:rPr>
        <w:t>tablety: každá tableta obsahuje 20 mg lizinoprilu (vo forme dihydrátu</w:t>
      </w:r>
      <w:r w:rsidR="00A91828" w:rsidRPr="00F61038">
        <w:rPr>
          <w:rFonts w:cs="Times New Roman"/>
          <w:lang w:val="sk"/>
        </w:rPr>
        <w:t xml:space="preserve"> lizinoprilu</w:t>
      </w:r>
      <w:r w:rsidRPr="00F61038">
        <w:rPr>
          <w:rFonts w:cs="Times New Roman"/>
          <w:lang w:val="sk"/>
        </w:rPr>
        <w:t>) a 10 mg torasemidu</w:t>
      </w:r>
      <w:r w:rsidR="001B5FEA" w:rsidRPr="00F61038">
        <w:rPr>
          <w:rFonts w:cs="Times New Roman"/>
          <w:lang w:val="sk"/>
        </w:rPr>
        <w:t>.</w:t>
      </w:r>
    </w:p>
    <w:p w14:paraId="13CA590C" w14:textId="77777777" w:rsidR="00D30EA8" w:rsidRPr="0069070D" w:rsidRDefault="00D30EA8" w:rsidP="00075097">
      <w:pPr>
        <w:rPr>
          <w:rFonts w:cs="Times New Roman"/>
        </w:rPr>
      </w:pPr>
    </w:p>
    <w:p w14:paraId="54C6E82A" w14:textId="77777777" w:rsidR="00D30EA8" w:rsidRPr="0069070D" w:rsidRDefault="00D30EA8" w:rsidP="00075097">
      <w:pPr>
        <w:rPr>
          <w:rFonts w:cs="Times New Roman"/>
        </w:rPr>
      </w:pPr>
      <w:r w:rsidRPr="0069070D">
        <w:rPr>
          <w:rFonts w:cs="Times New Roman"/>
        </w:rPr>
        <w:t>Úplný zoznam pomocných látok, pozri časť 6.1</w:t>
      </w:r>
      <w:r w:rsidR="000A1CF2">
        <w:rPr>
          <w:rFonts w:cs="Times New Roman"/>
        </w:rPr>
        <w:t>.</w:t>
      </w:r>
    </w:p>
    <w:p w14:paraId="6DC5860C" w14:textId="77777777" w:rsidR="00190696" w:rsidRDefault="00190696" w:rsidP="00075097">
      <w:pPr>
        <w:rPr>
          <w:rFonts w:cs="Times New Roman"/>
          <w:b/>
        </w:rPr>
      </w:pPr>
    </w:p>
    <w:p w14:paraId="4DB45EB0" w14:textId="77777777" w:rsidR="000A1CF2" w:rsidRPr="0069070D" w:rsidRDefault="000A1CF2" w:rsidP="00075097">
      <w:pPr>
        <w:rPr>
          <w:rFonts w:cs="Times New Roman"/>
          <w:b/>
        </w:rPr>
      </w:pPr>
    </w:p>
    <w:p w14:paraId="1BA1682C" w14:textId="77777777" w:rsidR="00190696" w:rsidRPr="0069070D" w:rsidRDefault="00190696" w:rsidP="00075097">
      <w:pPr>
        <w:pStyle w:val="Odsekzoznamu"/>
        <w:numPr>
          <w:ilvl w:val="0"/>
          <w:numId w:val="3"/>
        </w:numPr>
        <w:ind w:left="0" w:firstLine="0"/>
        <w:rPr>
          <w:rFonts w:cs="Times New Roman"/>
          <w:b/>
        </w:rPr>
      </w:pPr>
      <w:r w:rsidRPr="0069070D">
        <w:rPr>
          <w:rFonts w:cs="Times New Roman"/>
          <w:b/>
          <w:bCs/>
        </w:rPr>
        <w:t>LIEKOVÁ FORMA</w:t>
      </w:r>
    </w:p>
    <w:p w14:paraId="1A26187C" w14:textId="77777777" w:rsidR="00D30EA8" w:rsidRPr="0069070D" w:rsidRDefault="00D30EA8" w:rsidP="00075097">
      <w:pPr>
        <w:rPr>
          <w:rFonts w:cs="Times New Roman"/>
          <w:b/>
        </w:rPr>
      </w:pPr>
    </w:p>
    <w:p w14:paraId="4285FEE0" w14:textId="77777777" w:rsidR="00190696" w:rsidRPr="000A1CF2" w:rsidRDefault="00190696" w:rsidP="00075097">
      <w:pPr>
        <w:rPr>
          <w:rFonts w:cs="Times New Roman"/>
        </w:rPr>
      </w:pPr>
      <w:r w:rsidRPr="000A1CF2">
        <w:rPr>
          <w:rFonts w:cs="Times New Roman"/>
          <w:lang w:val="sk"/>
        </w:rPr>
        <w:t>Tableta</w:t>
      </w:r>
    </w:p>
    <w:p w14:paraId="298FA933" w14:textId="77777777" w:rsidR="00D30EA8" w:rsidRPr="000A1CF2" w:rsidRDefault="00D30EA8" w:rsidP="00075097">
      <w:pPr>
        <w:rPr>
          <w:rFonts w:eastAsia="SimSun" w:cs="Times New Roman"/>
          <w:shd w:val="clear" w:color="auto" w:fill="FFFFFF"/>
        </w:rPr>
      </w:pPr>
    </w:p>
    <w:p w14:paraId="075ACA7E" w14:textId="4DACD1BD" w:rsidR="00190696" w:rsidRPr="000A1CF2" w:rsidRDefault="00190696" w:rsidP="00075097">
      <w:pPr>
        <w:rPr>
          <w:rFonts w:cs="Times New Roman"/>
        </w:rPr>
      </w:pPr>
      <w:r w:rsidRPr="000A1CF2">
        <w:rPr>
          <w:rFonts w:cs="Times New Roman"/>
          <w:shd w:val="clear" w:color="auto" w:fill="FFFFFF"/>
        </w:rPr>
        <w:t>Lisemid</w:t>
      </w:r>
      <w:r w:rsidRPr="000A1CF2">
        <w:rPr>
          <w:rFonts w:cs="Times New Roman"/>
        </w:rPr>
        <w:t xml:space="preserve"> 10 mg/5 mg </w:t>
      </w:r>
      <w:r w:rsidRPr="000A1CF2">
        <w:rPr>
          <w:rFonts w:cs="Times New Roman"/>
          <w:lang w:val="sk"/>
        </w:rPr>
        <w:t>tablety: biele alebo takmer biele, okrúhle, bikonvexné tablety, hladké na obidvoch stranách, s priemerom 8,2 mm.</w:t>
      </w:r>
    </w:p>
    <w:p w14:paraId="411709C2" w14:textId="168341B8" w:rsidR="00190696" w:rsidRPr="00F61038" w:rsidRDefault="00190696" w:rsidP="00075097">
      <w:pPr>
        <w:rPr>
          <w:rFonts w:cs="Times New Roman"/>
        </w:rPr>
      </w:pPr>
      <w:r w:rsidRPr="00F61038">
        <w:rPr>
          <w:rFonts w:cs="Times New Roman"/>
          <w:shd w:val="clear" w:color="auto" w:fill="FFFFFF"/>
          <w:lang w:val="sk"/>
        </w:rPr>
        <w:t>Lisemid</w:t>
      </w:r>
      <w:r w:rsidRPr="00F61038">
        <w:rPr>
          <w:rFonts w:cs="Times New Roman"/>
          <w:lang w:val="sk"/>
        </w:rPr>
        <w:t xml:space="preserve"> 10 mg/10 mg</w:t>
      </w:r>
      <w:r w:rsidRPr="00F61038">
        <w:rPr>
          <w:rFonts w:cs="Times New Roman"/>
        </w:rPr>
        <w:t xml:space="preserve"> </w:t>
      </w:r>
      <w:r w:rsidRPr="00F61038">
        <w:rPr>
          <w:rFonts w:cs="Times New Roman"/>
          <w:lang w:val="sk"/>
        </w:rPr>
        <w:t>tablety: biele alebo takmer biele</w:t>
      </w:r>
      <w:r w:rsidR="000A1CF2" w:rsidRPr="00F61038">
        <w:rPr>
          <w:rFonts w:cs="Times New Roman"/>
          <w:lang w:val="sk"/>
        </w:rPr>
        <w:t>, okrúhle, bikonvexné tablety s </w:t>
      </w:r>
      <w:r w:rsidRPr="00F61038">
        <w:rPr>
          <w:rFonts w:cs="Times New Roman"/>
          <w:lang w:val="sk"/>
        </w:rPr>
        <w:t>vyrazeným nápisom „L10T10“ na jednej strane a hladké na druhej strane, s priemerom 11,0 mm.</w:t>
      </w:r>
    </w:p>
    <w:p w14:paraId="2BDE23FB" w14:textId="0885374E" w:rsidR="00190696" w:rsidRPr="00F61038" w:rsidRDefault="00190696" w:rsidP="00075097">
      <w:pPr>
        <w:rPr>
          <w:rFonts w:cs="Times New Roman"/>
        </w:rPr>
      </w:pPr>
      <w:r w:rsidRPr="00F61038">
        <w:rPr>
          <w:rFonts w:cs="Times New Roman"/>
          <w:shd w:val="clear" w:color="auto" w:fill="FFFFFF"/>
          <w:lang w:val="sk"/>
        </w:rPr>
        <w:t>Lisemid</w:t>
      </w:r>
      <w:r w:rsidRPr="00F61038">
        <w:rPr>
          <w:rFonts w:cs="Times New Roman"/>
          <w:lang w:val="sk"/>
        </w:rPr>
        <w:t xml:space="preserve"> 20 mg/5 mg tablety: biele alebo takmer biele, okrúhle, bikonvexné tablety s deliacou ryhou a dvojitým vyrazeným nápisom „LT“ na jednej stra</w:t>
      </w:r>
      <w:r w:rsidR="000A1CF2" w:rsidRPr="00F61038">
        <w:rPr>
          <w:rFonts w:cs="Times New Roman"/>
          <w:lang w:val="sk"/>
        </w:rPr>
        <w:t>ne a hladké na druhej strane, s </w:t>
      </w:r>
      <w:r w:rsidRPr="00F61038">
        <w:rPr>
          <w:rFonts w:cs="Times New Roman"/>
          <w:lang w:val="sk"/>
        </w:rPr>
        <w:t>priemerom 11,0 mm.</w:t>
      </w:r>
    </w:p>
    <w:p w14:paraId="0417191F" w14:textId="276586C9" w:rsidR="00190696" w:rsidRPr="000A1CF2" w:rsidRDefault="00190696" w:rsidP="00075097">
      <w:pPr>
        <w:rPr>
          <w:rFonts w:cs="Times New Roman"/>
        </w:rPr>
      </w:pPr>
      <w:r w:rsidRPr="00F61038">
        <w:rPr>
          <w:rFonts w:cs="Times New Roman"/>
          <w:shd w:val="clear" w:color="auto" w:fill="FFFFFF"/>
          <w:lang w:val="sk"/>
        </w:rPr>
        <w:t>Lisemid</w:t>
      </w:r>
      <w:r w:rsidRPr="00F61038">
        <w:rPr>
          <w:rFonts w:cs="Times New Roman"/>
          <w:lang w:val="sk"/>
        </w:rPr>
        <w:t xml:space="preserve"> 20 mg/10 mg</w:t>
      </w:r>
      <w:r w:rsidR="004C1D95" w:rsidRPr="00F61038">
        <w:rPr>
          <w:rFonts w:cs="Times New Roman"/>
          <w:lang w:val="sk"/>
        </w:rPr>
        <w:t xml:space="preserve"> </w:t>
      </w:r>
      <w:r w:rsidRPr="00F61038">
        <w:rPr>
          <w:rFonts w:cs="Times New Roman"/>
          <w:lang w:val="sk"/>
        </w:rPr>
        <w:t>tablety: biele alebo takmer biele</w:t>
      </w:r>
      <w:r w:rsidR="000A1CF2" w:rsidRPr="00F61038">
        <w:rPr>
          <w:rFonts w:cs="Times New Roman"/>
          <w:lang w:val="sk"/>
        </w:rPr>
        <w:t>, okrúhle, bikonvexné tablety s </w:t>
      </w:r>
      <w:r w:rsidRPr="00F61038">
        <w:rPr>
          <w:rFonts w:cs="Times New Roman"/>
          <w:lang w:val="sk"/>
        </w:rPr>
        <w:t>vyrazeným nápisom „L20T10“ na jednej strane a hladké na druhej strane, s priemerom 11,0 mm.</w:t>
      </w:r>
    </w:p>
    <w:p w14:paraId="052B71F0" w14:textId="77777777" w:rsidR="00190696" w:rsidRDefault="00190696" w:rsidP="00075097">
      <w:pPr>
        <w:rPr>
          <w:rFonts w:cs="Times New Roman"/>
          <w:b/>
        </w:rPr>
      </w:pPr>
    </w:p>
    <w:p w14:paraId="6EBEB616" w14:textId="77777777" w:rsidR="000A1CF2" w:rsidRPr="0069070D" w:rsidRDefault="000A1CF2" w:rsidP="00075097">
      <w:pPr>
        <w:rPr>
          <w:rFonts w:cs="Times New Roman"/>
          <w:b/>
        </w:rPr>
      </w:pPr>
    </w:p>
    <w:p w14:paraId="255C6926" w14:textId="77777777" w:rsidR="00190696" w:rsidRPr="0069070D" w:rsidRDefault="00190696" w:rsidP="00075097">
      <w:pPr>
        <w:pStyle w:val="Odsekzoznamu"/>
        <w:numPr>
          <w:ilvl w:val="0"/>
          <w:numId w:val="3"/>
        </w:numPr>
        <w:ind w:left="0" w:firstLine="0"/>
        <w:rPr>
          <w:rFonts w:cs="Times New Roman"/>
          <w:b/>
        </w:rPr>
      </w:pPr>
      <w:r w:rsidRPr="0069070D">
        <w:rPr>
          <w:rFonts w:cs="Times New Roman"/>
          <w:b/>
          <w:bCs/>
        </w:rPr>
        <w:t>KLINICKÉ ÚDAJE</w:t>
      </w:r>
    </w:p>
    <w:p w14:paraId="653A93B8" w14:textId="77777777" w:rsidR="00D30EA8" w:rsidRPr="0069070D" w:rsidRDefault="00D30EA8" w:rsidP="00075097">
      <w:pPr>
        <w:rPr>
          <w:rFonts w:cs="Times New Roman"/>
          <w:b/>
        </w:rPr>
      </w:pPr>
    </w:p>
    <w:p w14:paraId="1341ED89" w14:textId="77777777" w:rsidR="00190696" w:rsidRPr="0069070D" w:rsidRDefault="00D30EA8" w:rsidP="00075097">
      <w:pPr>
        <w:tabs>
          <w:tab w:val="left" w:pos="1134"/>
        </w:tabs>
        <w:rPr>
          <w:rFonts w:cs="Times New Roman"/>
          <w:b/>
        </w:rPr>
      </w:pPr>
      <w:r w:rsidRPr="0069070D">
        <w:rPr>
          <w:rFonts w:cs="Times New Roman"/>
          <w:b/>
          <w:bCs/>
        </w:rPr>
        <w:t xml:space="preserve">4.1 </w:t>
      </w:r>
      <w:r w:rsidRPr="0069070D">
        <w:rPr>
          <w:rFonts w:cs="Times New Roman"/>
          <w:b/>
          <w:bCs/>
        </w:rPr>
        <w:tab/>
        <w:t>Terapeutické indikácie</w:t>
      </w:r>
    </w:p>
    <w:p w14:paraId="634265A0" w14:textId="77777777" w:rsidR="00D30EA8" w:rsidRPr="0069070D" w:rsidRDefault="00D30EA8" w:rsidP="00075097">
      <w:pPr>
        <w:tabs>
          <w:tab w:val="left" w:pos="567"/>
        </w:tabs>
        <w:spacing w:line="240" w:lineRule="auto"/>
        <w:rPr>
          <w:rFonts w:cs="Times New Roman"/>
          <w:highlight w:val="cyan"/>
        </w:rPr>
      </w:pPr>
    </w:p>
    <w:p w14:paraId="0541A88F" w14:textId="77777777" w:rsidR="00106995" w:rsidRPr="000A1CF2" w:rsidRDefault="00106995" w:rsidP="00905E3A">
      <w:pPr>
        <w:numPr>
          <w:ilvl w:val="0"/>
          <w:numId w:val="1"/>
        </w:numPr>
        <w:tabs>
          <w:tab w:val="left" w:pos="567"/>
        </w:tabs>
        <w:spacing w:line="240" w:lineRule="auto"/>
        <w:ind w:left="567" w:hanging="567"/>
        <w:rPr>
          <w:rFonts w:cs="Times New Roman"/>
        </w:rPr>
      </w:pPr>
      <w:r w:rsidRPr="000A1CF2">
        <w:rPr>
          <w:rFonts w:cs="Times New Roman"/>
          <w:lang w:val="sk"/>
        </w:rPr>
        <w:t>liečba kongestívneho zlyhávania srdca ako substitučná terapia u pacientov, ktorých príznaky vrátane edémov sú primerane kontrolované kombináciou lizinoprilu a torasemidu podávanými v rovnakej dávkovej hladine, ale vo forme dvoch samostatných tabliet,</w:t>
      </w:r>
    </w:p>
    <w:p w14:paraId="42EC2BF9" w14:textId="77777777" w:rsidR="00106995" w:rsidRPr="000A1CF2" w:rsidRDefault="00106995" w:rsidP="00905E3A">
      <w:pPr>
        <w:numPr>
          <w:ilvl w:val="0"/>
          <w:numId w:val="1"/>
        </w:numPr>
        <w:tabs>
          <w:tab w:val="left" w:pos="567"/>
        </w:tabs>
        <w:spacing w:line="240" w:lineRule="auto"/>
        <w:ind w:left="567" w:hanging="567"/>
        <w:rPr>
          <w:rFonts w:cs="Times New Roman"/>
        </w:rPr>
      </w:pPr>
      <w:r w:rsidRPr="000A1CF2">
        <w:rPr>
          <w:rFonts w:cs="Times New Roman"/>
          <w:lang w:val="sk"/>
        </w:rPr>
        <w:lastRenderedPageBreak/>
        <w:t>liečba kongestívneho zlyhávania srdca a esenciálnej hypertenzie ako substitučná terapia u pacientov, ktorých príznaky zlyhávania srdca vrátane edémov a krvného tlaku sú primerane kontrolované kombináciou lizinoprilu a torasemidu podávanými v rovnakej dávkovej hladine, ale vo forme dvoch samostatných tabliet.</w:t>
      </w:r>
    </w:p>
    <w:p w14:paraId="795FC7DF" w14:textId="77777777" w:rsidR="00106995" w:rsidRPr="000A1CF2" w:rsidRDefault="00106995" w:rsidP="00075097">
      <w:pPr>
        <w:spacing w:line="240" w:lineRule="auto"/>
        <w:rPr>
          <w:rFonts w:cs="Times New Roman"/>
        </w:rPr>
      </w:pPr>
    </w:p>
    <w:p w14:paraId="6A839CBC" w14:textId="04D78127" w:rsidR="00106995" w:rsidRDefault="004073F0" w:rsidP="00075097">
      <w:pPr>
        <w:spacing w:line="240" w:lineRule="auto"/>
        <w:rPr>
          <w:rFonts w:cs="Times New Roman"/>
          <w:color w:val="000000"/>
          <w:lang w:val="sk"/>
        </w:rPr>
      </w:pPr>
      <w:r w:rsidRPr="000A1CF2">
        <w:rPr>
          <w:rFonts w:cs="Times New Roman"/>
          <w:shd w:val="clear" w:color="auto" w:fill="FFFFFF"/>
          <w:lang w:val="sk"/>
        </w:rPr>
        <w:t>Lisemid</w:t>
      </w:r>
      <w:r w:rsidRPr="000A1CF2">
        <w:rPr>
          <w:rFonts w:cs="Times New Roman"/>
          <w:color w:val="000000"/>
          <w:lang w:val="sk"/>
        </w:rPr>
        <w:t xml:space="preserve"> je indikovaný dospelý</w:t>
      </w:r>
      <w:r w:rsidR="004C1D95">
        <w:rPr>
          <w:rFonts w:cs="Times New Roman"/>
          <w:color w:val="000000"/>
          <w:lang w:val="sk"/>
        </w:rPr>
        <w:t>m</w:t>
      </w:r>
      <w:r w:rsidRPr="000A1CF2">
        <w:rPr>
          <w:rFonts w:cs="Times New Roman"/>
          <w:color w:val="000000"/>
          <w:lang w:val="sk"/>
        </w:rPr>
        <w:t>.</w:t>
      </w:r>
    </w:p>
    <w:p w14:paraId="5620D9B2" w14:textId="77777777" w:rsidR="000A1CF2" w:rsidRPr="0069070D" w:rsidRDefault="000A1CF2" w:rsidP="00075097">
      <w:pPr>
        <w:spacing w:line="240" w:lineRule="auto"/>
        <w:rPr>
          <w:rFonts w:cs="Times New Roman"/>
          <w:i/>
          <w:color w:val="000000"/>
        </w:rPr>
      </w:pPr>
    </w:p>
    <w:p w14:paraId="454C761A" w14:textId="77777777" w:rsidR="00190696" w:rsidRPr="0069070D" w:rsidRDefault="00D30EA8" w:rsidP="00075097">
      <w:pPr>
        <w:rPr>
          <w:rFonts w:cs="Times New Roman"/>
          <w:b/>
        </w:rPr>
      </w:pPr>
      <w:r w:rsidRPr="0069070D">
        <w:rPr>
          <w:rFonts w:cs="Times New Roman"/>
          <w:b/>
          <w:bCs/>
        </w:rPr>
        <w:t xml:space="preserve">4.2 </w:t>
      </w:r>
      <w:r w:rsidRPr="0069070D">
        <w:rPr>
          <w:rFonts w:cs="Times New Roman"/>
          <w:b/>
          <w:bCs/>
        </w:rPr>
        <w:tab/>
        <w:t>Dávkovanie a spôsob podávania</w:t>
      </w:r>
    </w:p>
    <w:p w14:paraId="215BA7A0" w14:textId="77777777" w:rsidR="00D30EA8" w:rsidRPr="0069070D" w:rsidRDefault="00D30EA8" w:rsidP="00075097"/>
    <w:p w14:paraId="543A7958" w14:textId="77777777" w:rsidR="00106995" w:rsidRPr="0069070D" w:rsidRDefault="00106995" w:rsidP="00075097">
      <w:pPr>
        <w:rPr>
          <w:rFonts w:eastAsia="Times New Roman" w:cs="Times New Roman"/>
          <w:noProof/>
          <w:u w:val="single"/>
        </w:rPr>
      </w:pPr>
      <w:r w:rsidRPr="0069070D">
        <w:rPr>
          <w:rFonts w:eastAsia="Times New Roman" w:cs="Times New Roman"/>
          <w:noProof/>
          <w:u w:val="single"/>
        </w:rPr>
        <w:t>Dávkovanie</w:t>
      </w:r>
    </w:p>
    <w:p w14:paraId="624E051A" w14:textId="77777777" w:rsidR="00D30EA8" w:rsidRPr="0069070D" w:rsidRDefault="00D30EA8" w:rsidP="00075097">
      <w:pPr>
        <w:rPr>
          <w:rFonts w:eastAsia="Times New Roman" w:cs="Times New Roman"/>
          <w:noProof/>
          <w:u w:val="single"/>
        </w:rPr>
      </w:pPr>
    </w:p>
    <w:p w14:paraId="66269201" w14:textId="77777777" w:rsidR="00106995" w:rsidRPr="000A1CF2" w:rsidRDefault="00106995" w:rsidP="00075097">
      <w:pPr>
        <w:rPr>
          <w:rFonts w:cs="Times New Roman"/>
        </w:rPr>
      </w:pPr>
      <w:r w:rsidRPr="000A1CF2">
        <w:rPr>
          <w:rFonts w:cs="Times New Roman"/>
          <w:lang w:val="sk"/>
        </w:rPr>
        <w:t>Odporúčaná dávka je jedna tableta denne.</w:t>
      </w:r>
    </w:p>
    <w:p w14:paraId="70BC2F37" w14:textId="77777777" w:rsidR="00D30EA8" w:rsidRPr="000A1CF2" w:rsidRDefault="00D30EA8" w:rsidP="00075097">
      <w:pPr>
        <w:rPr>
          <w:rFonts w:cs="Times New Roman"/>
        </w:rPr>
      </w:pPr>
    </w:p>
    <w:p w14:paraId="7E6C3EAC" w14:textId="1D6CF34B" w:rsidR="00106995" w:rsidRPr="000A1CF2" w:rsidRDefault="00106995" w:rsidP="00075097">
      <w:pPr>
        <w:rPr>
          <w:rFonts w:cs="Times New Roman"/>
          <w:lang w:val="sk"/>
        </w:rPr>
      </w:pPr>
      <w:r w:rsidRPr="000A1CF2">
        <w:rPr>
          <w:rFonts w:cs="Times New Roman"/>
          <w:lang w:val="sk"/>
        </w:rPr>
        <w:t xml:space="preserve">Pred prechodom na </w:t>
      </w:r>
      <w:r w:rsidRPr="000A1CF2">
        <w:rPr>
          <w:rFonts w:cs="Times New Roman"/>
          <w:shd w:val="clear" w:color="auto" w:fill="FFFFFF"/>
          <w:lang w:val="sk"/>
        </w:rPr>
        <w:t>Lisemid</w:t>
      </w:r>
      <w:r w:rsidRPr="000A1CF2">
        <w:rPr>
          <w:rFonts w:cs="Times New Roman"/>
          <w:lang w:val="sk"/>
        </w:rPr>
        <w:t xml:space="preserve"> je potrebné mať zdravotný stav pacientov pod kontrolou stabilnými dávkami </w:t>
      </w:r>
      <w:r w:rsidR="004B47C0">
        <w:rPr>
          <w:rFonts w:cs="Times New Roman"/>
          <w:lang w:val="sk"/>
        </w:rPr>
        <w:t>jednotlivých liečiv</w:t>
      </w:r>
      <w:r w:rsidR="00BD124D">
        <w:rPr>
          <w:rFonts w:cs="Times New Roman"/>
          <w:lang w:val="sk"/>
        </w:rPr>
        <w:t xml:space="preserve"> </w:t>
      </w:r>
      <w:r w:rsidRPr="000A1CF2">
        <w:rPr>
          <w:rFonts w:cs="Times New Roman"/>
          <w:lang w:val="sk"/>
        </w:rPr>
        <w:t>užívaných sú</w:t>
      </w:r>
      <w:r w:rsidR="00BD124D">
        <w:rPr>
          <w:rFonts w:cs="Times New Roman"/>
          <w:lang w:val="sk"/>
        </w:rPr>
        <w:t>bežne</w:t>
      </w:r>
      <w:r w:rsidRPr="000A1CF2">
        <w:rPr>
          <w:rFonts w:cs="Times New Roman"/>
          <w:lang w:val="sk"/>
        </w:rPr>
        <w:t xml:space="preserve">. </w:t>
      </w:r>
      <w:r w:rsidR="00A51DE5">
        <w:rPr>
          <w:rFonts w:cs="Times New Roman"/>
          <w:lang w:val="sk"/>
        </w:rPr>
        <w:t>D</w:t>
      </w:r>
      <w:r w:rsidRPr="000A1CF2">
        <w:rPr>
          <w:rFonts w:cs="Times New Roman"/>
          <w:lang w:val="sk"/>
        </w:rPr>
        <w:t>ávk</w:t>
      </w:r>
      <w:r w:rsidR="00A51DE5">
        <w:rPr>
          <w:rFonts w:cs="Times New Roman"/>
          <w:lang w:val="sk"/>
        </w:rPr>
        <w:t>a</w:t>
      </w:r>
      <w:r w:rsidRPr="000A1CF2">
        <w:rPr>
          <w:rFonts w:cs="Times New Roman"/>
          <w:lang w:val="sk"/>
        </w:rPr>
        <w:t xml:space="preserve"> </w:t>
      </w:r>
      <w:r w:rsidRPr="000A1CF2">
        <w:rPr>
          <w:rFonts w:cs="Times New Roman"/>
          <w:shd w:val="clear" w:color="auto" w:fill="FFFFFF"/>
          <w:lang w:val="sk"/>
        </w:rPr>
        <w:t>Lisemidu</w:t>
      </w:r>
      <w:r w:rsidRPr="000A1CF2">
        <w:rPr>
          <w:rFonts w:cs="Times New Roman"/>
          <w:lang w:val="sk"/>
        </w:rPr>
        <w:t xml:space="preserve"> má byť založená na dávkach jednotlivých zložiek kombinácie v čase prechodu na tento liek.</w:t>
      </w:r>
    </w:p>
    <w:p w14:paraId="19AD49B1" w14:textId="77777777" w:rsidR="00D30EA8" w:rsidRPr="000A1CF2" w:rsidRDefault="00D30EA8" w:rsidP="00075097">
      <w:pPr>
        <w:rPr>
          <w:rFonts w:cs="Times New Roman"/>
          <w:lang w:val="sk"/>
        </w:rPr>
      </w:pPr>
    </w:p>
    <w:p w14:paraId="27F0D2DC" w14:textId="77777777" w:rsidR="00106995" w:rsidRPr="000A1CF2" w:rsidRDefault="009C7F09" w:rsidP="00075097">
      <w:pPr>
        <w:rPr>
          <w:rFonts w:cs="Times New Roman"/>
          <w:lang w:val="sk"/>
        </w:rPr>
      </w:pPr>
      <w:r w:rsidRPr="000A1CF2">
        <w:rPr>
          <w:rFonts w:cs="Times New Roman"/>
          <w:shd w:val="clear" w:color="auto" w:fill="FFFFFF"/>
          <w:lang w:val="sk"/>
        </w:rPr>
        <w:t>Lisemid</w:t>
      </w:r>
      <w:r w:rsidRPr="000A1CF2">
        <w:rPr>
          <w:rFonts w:cs="Times New Roman"/>
          <w:lang w:val="sk"/>
        </w:rPr>
        <w:t xml:space="preserve"> sa nemá používať na začatie liečby zlyhávania srdca a/alebo hypertenzie. </w:t>
      </w:r>
    </w:p>
    <w:p w14:paraId="5CD6074E" w14:textId="77777777" w:rsidR="00D30EA8" w:rsidRPr="000A1CF2" w:rsidRDefault="00D30EA8" w:rsidP="00075097">
      <w:pPr>
        <w:rPr>
          <w:rFonts w:cs="Times New Roman"/>
          <w:lang w:val="sk"/>
        </w:rPr>
      </w:pPr>
    </w:p>
    <w:p w14:paraId="19E31CD2" w14:textId="77777777" w:rsidR="00106995" w:rsidRPr="0069070D" w:rsidRDefault="00106995" w:rsidP="00075097">
      <w:pPr>
        <w:rPr>
          <w:rFonts w:cs="Times New Roman"/>
          <w:lang w:val="sk"/>
        </w:rPr>
      </w:pPr>
      <w:r w:rsidRPr="000A1CF2">
        <w:rPr>
          <w:rFonts w:cs="Times New Roman"/>
          <w:lang w:val="sk"/>
        </w:rPr>
        <w:t xml:space="preserve">Ak je potrebná zmena dávky, dávkovací režim sa má stanoviť individuálne s použitím jednotlivých zložiek lizinoprilu a torasemidu a následne sa môže prejsť na </w:t>
      </w:r>
      <w:r w:rsidRPr="000A1CF2">
        <w:rPr>
          <w:rFonts w:cs="Times New Roman"/>
          <w:shd w:val="clear" w:color="auto" w:fill="FFFFFF"/>
          <w:lang w:val="sk"/>
        </w:rPr>
        <w:t>Lisemid.</w:t>
      </w:r>
      <w:r w:rsidRPr="000A1CF2">
        <w:rPr>
          <w:rFonts w:cs="Times New Roman"/>
          <w:lang w:val="sk"/>
        </w:rPr>
        <w:t xml:space="preserve"> Dávky každej zložky sa majú určiť individuálne podľa profilu pacienta a kontroly príznakov zlyhávania srdca a/alebo krvného tlaku.</w:t>
      </w:r>
    </w:p>
    <w:p w14:paraId="38D563D4" w14:textId="77777777" w:rsidR="00106995" w:rsidRPr="0069070D" w:rsidRDefault="00106995" w:rsidP="00075097">
      <w:pPr>
        <w:rPr>
          <w:rFonts w:cs="Times New Roman"/>
          <w:lang w:val="sk"/>
        </w:rPr>
      </w:pPr>
    </w:p>
    <w:p w14:paraId="6D63970D" w14:textId="77777777" w:rsidR="00106995" w:rsidRPr="0069070D" w:rsidRDefault="00106995" w:rsidP="00075097">
      <w:pPr>
        <w:rPr>
          <w:rFonts w:cs="Times New Roman"/>
          <w:i/>
          <w:lang w:val="sk"/>
        </w:rPr>
      </w:pPr>
      <w:r w:rsidRPr="0069070D">
        <w:rPr>
          <w:rFonts w:cs="Times New Roman"/>
          <w:i/>
          <w:iCs/>
          <w:lang w:val="sk"/>
        </w:rPr>
        <w:t>Pediatrická populácia</w:t>
      </w:r>
    </w:p>
    <w:p w14:paraId="20A6C22A" w14:textId="77777777" w:rsidR="00106995" w:rsidRPr="000A1CF2" w:rsidRDefault="00106995" w:rsidP="00075097">
      <w:pPr>
        <w:rPr>
          <w:rFonts w:cs="Times New Roman"/>
          <w:lang w:val="sk"/>
        </w:rPr>
      </w:pPr>
      <w:r w:rsidRPr="000A1CF2">
        <w:rPr>
          <w:rFonts w:cs="Times New Roman"/>
          <w:lang w:val="sk"/>
        </w:rPr>
        <w:t xml:space="preserve">Použitie </w:t>
      </w:r>
      <w:r w:rsidRPr="000A1CF2">
        <w:rPr>
          <w:rFonts w:cs="Times New Roman"/>
          <w:shd w:val="clear" w:color="auto" w:fill="FFFFFF"/>
          <w:lang w:val="sk"/>
        </w:rPr>
        <w:t>Lisemidu</w:t>
      </w:r>
      <w:r w:rsidRPr="000A1CF2">
        <w:rPr>
          <w:rFonts w:cs="Times New Roman"/>
          <w:lang w:val="sk"/>
        </w:rPr>
        <w:t xml:space="preserve"> sa netýka pediatrickej populácie.</w:t>
      </w:r>
    </w:p>
    <w:p w14:paraId="38738339" w14:textId="77777777" w:rsidR="000C7775" w:rsidRPr="000A1CF2" w:rsidRDefault="000C7775" w:rsidP="00075097">
      <w:pPr>
        <w:rPr>
          <w:rFonts w:cs="Times New Roman"/>
          <w:lang w:val="sk"/>
        </w:rPr>
      </w:pPr>
    </w:p>
    <w:p w14:paraId="427E03DD" w14:textId="77777777" w:rsidR="00106995" w:rsidRPr="000A1CF2" w:rsidRDefault="00106995" w:rsidP="00075097">
      <w:pPr>
        <w:rPr>
          <w:rFonts w:cs="Times New Roman"/>
          <w:i/>
          <w:lang w:val="sk"/>
        </w:rPr>
      </w:pPr>
      <w:r w:rsidRPr="000A1CF2">
        <w:rPr>
          <w:rFonts w:cs="Times New Roman"/>
          <w:i/>
          <w:iCs/>
          <w:lang w:val="sk"/>
        </w:rPr>
        <w:t>Starší pacienti</w:t>
      </w:r>
    </w:p>
    <w:p w14:paraId="77670D2C" w14:textId="77777777" w:rsidR="00106995" w:rsidRPr="000A1CF2" w:rsidRDefault="00106995" w:rsidP="00075097">
      <w:pPr>
        <w:rPr>
          <w:rFonts w:cs="Times New Roman"/>
          <w:lang w:val="sk"/>
        </w:rPr>
      </w:pPr>
      <w:r w:rsidRPr="000A1CF2">
        <w:rPr>
          <w:rFonts w:cs="Times New Roman"/>
          <w:lang w:val="sk"/>
        </w:rPr>
        <w:t xml:space="preserve">V klinických štúdiách nebola pozorovaná žiadna zmena v profile účinnosti alebo bezpečnosti lizinoprilu súvisiaca s vekom. Keď je pokročilý vek spojený so znížením renálnej funkcie, udržiavacia dávka lizinoprilu sa upraví podľa reakcie krvného tlaku. Nie sú potrebné žiadne zvláštne úpravy dávkovania torasemidu. </w:t>
      </w:r>
    </w:p>
    <w:p w14:paraId="477153A9" w14:textId="77777777" w:rsidR="000C7775" w:rsidRPr="000A1CF2" w:rsidRDefault="000C7775" w:rsidP="00075097">
      <w:pPr>
        <w:rPr>
          <w:rFonts w:cs="Times New Roman"/>
          <w:i/>
          <w:lang w:val="sk"/>
        </w:rPr>
      </w:pPr>
    </w:p>
    <w:p w14:paraId="61A34BD7" w14:textId="77777777" w:rsidR="00106995" w:rsidRPr="000A1CF2" w:rsidRDefault="00106995" w:rsidP="00075097">
      <w:pPr>
        <w:rPr>
          <w:rFonts w:cs="Times New Roman"/>
          <w:i/>
          <w:lang w:val="sk"/>
        </w:rPr>
      </w:pPr>
      <w:r w:rsidRPr="000A1CF2">
        <w:rPr>
          <w:rFonts w:cs="Times New Roman"/>
          <w:i/>
          <w:iCs/>
          <w:lang w:val="sk"/>
        </w:rPr>
        <w:t xml:space="preserve">Pacienti s poruchou funkcie pečene </w:t>
      </w:r>
    </w:p>
    <w:p w14:paraId="50A161F4" w14:textId="73CC6767" w:rsidR="00106995" w:rsidRPr="000A1CF2" w:rsidRDefault="00106995" w:rsidP="00075097">
      <w:pPr>
        <w:rPr>
          <w:rFonts w:cs="Times New Roman"/>
          <w:lang w:val="sk"/>
        </w:rPr>
      </w:pPr>
      <w:r w:rsidRPr="000A1CF2">
        <w:rPr>
          <w:rFonts w:cs="Times New Roman"/>
          <w:lang w:val="sk"/>
        </w:rPr>
        <w:t xml:space="preserve">U pacientov s poruchou funkcie pečene sa má liečba </w:t>
      </w:r>
      <w:r w:rsidR="004B47C0">
        <w:rPr>
          <w:rFonts w:cs="Times New Roman"/>
          <w:lang w:val="sk"/>
        </w:rPr>
        <w:t>uskutočňovať</w:t>
      </w:r>
      <w:r w:rsidR="004B47C0" w:rsidRPr="000A1CF2">
        <w:rPr>
          <w:rFonts w:cs="Times New Roman"/>
          <w:lang w:val="sk"/>
        </w:rPr>
        <w:t xml:space="preserve"> </w:t>
      </w:r>
      <w:r w:rsidR="004B47C0">
        <w:rPr>
          <w:rFonts w:cs="Times New Roman"/>
          <w:lang w:val="sk"/>
        </w:rPr>
        <w:t xml:space="preserve">s </w:t>
      </w:r>
      <w:r w:rsidRPr="000A1CF2">
        <w:rPr>
          <w:rFonts w:cs="Times New Roman"/>
          <w:lang w:val="sk"/>
        </w:rPr>
        <w:t>opatrn</w:t>
      </w:r>
      <w:r w:rsidR="004B47C0">
        <w:rPr>
          <w:rFonts w:cs="Times New Roman"/>
          <w:lang w:val="sk"/>
        </w:rPr>
        <w:t>osťou</w:t>
      </w:r>
      <w:r w:rsidRPr="000A1CF2">
        <w:rPr>
          <w:rFonts w:cs="Times New Roman"/>
          <w:lang w:val="sk"/>
        </w:rPr>
        <w:t>, pretože plazmatické koncentrácie torasemidu môžu byť zvýšené.</w:t>
      </w:r>
      <w:r w:rsidR="0069070D" w:rsidRPr="000A1CF2">
        <w:rPr>
          <w:rFonts w:cs="Times New Roman"/>
          <w:lang w:val="sk"/>
        </w:rPr>
        <w:t xml:space="preserve"> </w:t>
      </w:r>
    </w:p>
    <w:p w14:paraId="5A37A83A" w14:textId="77777777" w:rsidR="000C7775" w:rsidRPr="000A1CF2" w:rsidRDefault="000C7775" w:rsidP="00075097">
      <w:pPr>
        <w:rPr>
          <w:rFonts w:cs="Times New Roman"/>
          <w:lang w:val="sk"/>
        </w:rPr>
      </w:pPr>
    </w:p>
    <w:p w14:paraId="243DAA10" w14:textId="77777777" w:rsidR="00106995" w:rsidRPr="000A1CF2" w:rsidRDefault="00106995" w:rsidP="00075097">
      <w:pPr>
        <w:rPr>
          <w:rFonts w:cs="Times New Roman"/>
          <w:i/>
          <w:lang w:val="sk"/>
        </w:rPr>
      </w:pPr>
      <w:r w:rsidRPr="000A1CF2">
        <w:rPr>
          <w:rFonts w:cs="Times New Roman"/>
          <w:i/>
          <w:iCs/>
          <w:lang w:val="sk"/>
        </w:rPr>
        <w:t>Pacienti s poruchou funkcie obličiek</w:t>
      </w:r>
    </w:p>
    <w:p w14:paraId="6CB1FE5A" w14:textId="77777777" w:rsidR="00106995" w:rsidRPr="0069070D" w:rsidRDefault="00106995" w:rsidP="00075097">
      <w:pPr>
        <w:rPr>
          <w:rFonts w:cs="Times New Roman"/>
          <w:lang w:val="sk"/>
        </w:rPr>
      </w:pPr>
      <w:r w:rsidRPr="000A1CF2">
        <w:rPr>
          <w:rFonts w:cs="Times New Roman"/>
          <w:lang w:val="sk"/>
        </w:rPr>
        <w:t>Udržiavacia dávka sa má upraviť podľa hodnôt krvného tlaku. Lizinopril sa vylučuje z plazmy hemodialýzou. Po dialýze sa má pacientovi podať primeraná dávka lizinoprilu.</w:t>
      </w:r>
    </w:p>
    <w:p w14:paraId="0377BB09" w14:textId="77777777" w:rsidR="00106995" w:rsidRPr="0069070D" w:rsidRDefault="00106995" w:rsidP="00075097">
      <w:pPr>
        <w:rPr>
          <w:rFonts w:cs="Times New Roman"/>
          <w:lang w:val="sk"/>
        </w:rPr>
      </w:pPr>
    </w:p>
    <w:p w14:paraId="267EB2AF" w14:textId="77BE4DAC" w:rsidR="000C7775" w:rsidRPr="0069070D" w:rsidRDefault="00106995" w:rsidP="00075097">
      <w:pPr>
        <w:rPr>
          <w:rFonts w:eastAsia="Times New Roman" w:cs="Times New Roman"/>
          <w:noProof/>
          <w:u w:val="single"/>
          <w:lang w:val="sk"/>
        </w:rPr>
      </w:pPr>
      <w:r w:rsidRPr="0069070D">
        <w:rPr>
          <w:rFonts w:eastAsia="Times New Roman" w:cs="Times New Roman"/>
          <w:noProof/>
          <w:u w:val="single"/>
          <w:lang w:val="sk"/>
        </w:rPr>
        <w:t>Spôsob podávania</w:t>
      </w:r>
    </w:p>
    <w:p w14:paraId="6599A895" w14:textId="77777777" w:rsidR="00106995" w:rsidRPr="0069070D" w:rsidRDefault="00106995" w:rsidP="00075097">
      <w:pPr>
        <w:rPr>
          <w:rFonts w:cs="Times New Roman"/>
          <w:lang w:val="sk"/>
        </w:rPr>
      </w:pPr>
      <w:r w:rsidRPr="000A1CF2">
        <w:rPr>
          <w:rFonts w:cs="Times New Roman"/>
          <w:lang w:val="sk"/>
        </w:rPr>
        <w:t xml:space="preserve">Keďže jedlo neovplyvňuje absorpciu lizinoprilu a torasemidu, </w:t>
      </w:r>
      <w:r w:rsidRPr="000A1CF2">
        <w:rPr>
          <w:rFonts w:cs="Times New Roman"/>
          <w:shd w:val="clear" w:color="auto" w:fill="FFFFFF"/>
          <w:lang w:val="sk"/>
        </w:rPr>
        <w:t>Lisemid</w:t>
      </w:r>
      <w:r w:rsidRPr="000A1CF2">
        <w:rPr>
          <w:rFonts w:cs="Times New Roman"/>
          <w:lang w:val="sk"/>
        </w:rPr>
        <w:t xml:space="preserve"> sa môže užívať bez ohľadu na jedlo. Odporúča sa užívať </w:t>
      </w:r>
      <w:r w:rsidRPr="000A1CF2">
        <w:rPr>
          <w:rFonts w:cs="Times New Roman"/>
          <w:shd w:val="clear" w:color="auto" w:fill="FFFFFF"/>
          <w:lang w:val="sk"/>
        </w:rPr>
        <w:t>Lisemid</w:t>
      </w:r>
      <w:r w:rsidRPr="000A1CF2">
        <w:rPr>
          <w:rFonts w:cs="Times New Roman"/>
          <w:lang w:val="sk"/>
        </w:rPr>
        <w:t xml:space="preserve"> každý deň v rovnakom čase (napr. ráno).</w:t>
      </w:r>
    </w:p>
    <w:p w14:paraId="52E54122" w14:textId="77777777" w:rsidR="000A1CF2" w:rsidRPr="0069070D" w:rsidRDefault="000A1CF2" w:rsidP="00075097">
      <w:pPr>
        <w:rPr>
          <w:rFonts w:cs="Times New Roman"/>
          <w:b/>
          <w:lang w:val="sk"/>
        </w:rPr>
      </w:pPr>
    </w:p>
    <w:p w14:paraId="4000897F" w14:textId="77777777" w:rsidR="00190696" w:rsidRPr="0069070D" w:rsidRDefault="000C7775" w:rsidP="00075097">
      <w:pPr>
        <w:rPr>
          <w:rFonts w:cs="Times New Roman"/>
          <w:b/>
          <w:lang w:val="sk"/>
        </w:rPr>
      </w:pPr>
      <w:r w:rsidRPr="0069070D">
        <w:rPr>
          <w:rFonts w:cs="Times New Roman"/>
          <w:b/>
          <w:bCs/>
          <w:lang w:val="sk"/>
        </w:rPr>
        <w:t xml:space="preserve">4.3 </w:t>
      </w:r>
      <w:r w:rsidRPr="0069070D">
        <w:rPr>
          <w:rFonts w:cs="Times New Roman"/>
          <w:b/>
          <w:bCs/>
          <w:lang w:val="sk"/>
        </w:rPr>
        <w:tab/>
        <w:t>Kontraindikácie</w:t>
      </w:r>
    </w:p>
    <w:p w14:paraId="6FA7A64C" w14:textId="77777777" w:rsidR="000C7775" w:rsidRPr="0069070D" w:rsidRDefault="000C7775" w:rsidP="00075097">
      <w:pPr>
        <w:rPr>
          <w:rFonts w:cs="Times New Roman"/>
          <w:b/>
          <w:lang w:val="sk"/>
        </w:rPr>
      </w:pPr>
    </w:p>
    <w:p w14:paraId="0DA3B7A9" w14:textId="76156B59" w:rsidR="000C7775" w:rsidRPr="0069070D" w:rsidRDefault="00E73F3B" w:rsidP="00075097">
      <w:pPr>
        <w:rPr>
          <w:rFonts w:cs="Times New Roman"/>
          <w:noProof/>
          <w:lang w:val="sk"/>
        </w:rPr>
      </w:pPr>
      <w:r w:rsidRPr="0069070D">
        <w:rPr>
          <w:lang w:val="sk"/>
        </w:rPr>
        <w:t xml:space="preserve">Precitlivenosť </w:t>
      </w:r>
      <w:r w:rsidRPr="000A1CF2">
        <w:rPr>
          <w:lang w:val="sk"/>
        </w:rPr>
        <w:t xml:space="preserve">na lizinopril, torasemid alebo </w:t>
      </w:r>
      <w:r w:rsidR="004B47C0">
        <w:rPr>
          <w:lang w:val="sk"/>
        </w:rPr>
        <w:t xml:space="preserve">deriváty </w:t>
      </w:r>
      <w:r w:rsidRPr="000A1CF2">
        <w:rPr>
          <w:lang w:val="sk"/>
        </w:rPr>
        <w:t>sulfonylmočoviny</w:t>
      </w:r>
      <w:r w:rsidRPr="0069070D">
        <w:rPr>
          <w:lang w:val="sk"/>
        </w:rPr>
        <w:t xml:space="preserve"> alebo na </w:t>
      </w:r>
      <w:r w:rsidRPr="0069070D">
        <w:rPr>
          <w:noProof/>
          <w:lang w:val="sk"/>
        </w:rPr>
        <w:t>ktorúkoľvek</w:t>
      </w:r>
      <w:r w:rsidR="000A1CF2">
        <w:rPr>
          <w:lang w:val="sk"/>
        </w:rPr>
        <w:t xml:space="preserve"> z </w:t>
      </w:r>
      <w:r w:rsidRPr="0069070D">
        <w:rPr>
          <w:lang w:val="sk"/>
        </w:rPr>
        <w:t xml:space="preserve">pomocných látok </w:t>
      </w:r>
      <w:r w:rsidRPr="0069070D">
        <w:rPr>
          <w:noProof/>
          <w:lang w:val="sk"/>
        </w:rPr>
        <w:t>uvedených v časti 6.1</w:t>
      </w:r>
      <w:r w:rsidR="003748ED">
        <w:rPr>
          <w:noProof/>
          <w:lang w:val="sk"/>
        </w:rPr>
        <w:t>.</w:t>
      </w:r>
    </w:p>
    <w:p w14:paraId="3B410E5F" w14:textId="71E1B611" w:rsidR="00A05C33" w:rsidRPr="00B0671E" w:rsidRDefault="005E054A" w:rsidP="00075097">
      <w:pPr>
        <w:rPr>
          <w:rFonts w:cs="Times New Roman"/>
          <w:lang w:val="pt-PT"/>
        </w:rPr>
      </w:pPr>
      <w:r w:rsidRPr="000A1CF2">
        <w:rPr>
          <w:rFonts w:cs="Times New Roman"/>
          <w:lang w:val="sk"/>
        </w:rPr>
        <w:t>Gravidita a laktácia.</w:t>
      </w:r>
    </w:p>
    <w:p w14:paraId="49D1187F" w14:textId="77777777" w:rsidR="00106995" w:rsidRPr="00B0671E" w:rsidRDefault="00106995" w:rsidP="00075097">
      <w:pPr>
        <w:rPr>
          <w:rFonts w:cs="Times New Roman"/>
          <w:b/>
          <w:u w:val="single"/>
          <w:lang w:val="pt-PT"/>
        </w:rPr>
      </w:pPr>
      <w:r w:rsidRPr="000A1CF2">
        <w:rPr>
          <w:rFonts w:cs="Times New Roman"/>
          <w:b/>
          <w:bCs/>
          <w:u w:val="single"/>
          <w:lang w:val="sk"/>
        </w:rPr>
        <w:lastRenderedPageBreak/>
        <w:t>Súvisiace s lizinoprilom:</w:t>
      </w:r>
    </w:p>
    <w:p w14:paraId="75A58CA3" w14:textId="5568E100" w:rsidR="00106995" w:rsidRPr="00B0671E" w:rsidRDefault="00106995" w:rsidP="00075097">
      <w:pPr>
        <w:pStyle w:val="Odsekzoznamu"/>
        <w:numPr>
          <w:ilvl w:val="0"/>
          <w:numId w:val="5"/>
        </w:numPr>
        <w:ind w:left="0" w:firstLine="0"/>
        <w:rPr>
          <w:rFonts w:cs="Times New Roman"/>
          <w:lang w:val="pt-PT"/>
        </w:rPr>
      </w:pPr>
      <w:r w:rsidRPr="000A1CF2">
        <w:rPr>
          <w:rFonts w:cs="Times New Roman"/>
          <w:lang w:val="sk"/>
        </w:rPr>
        <w:t>angioedém súvisiaci s predchádzajúcou lie</w:t>
      </w:r>
      <w:r w:rsidR="00F64A5C">
        <w:rPr>
          <w:rFonts w:cs="Times New Roman"/>
          <w:lang w:val="sk"/>
        </w:rPr>
        <w:t>čbou inhibítorom ACE v anamnéze.</w:t>
      </w:r>
    </w:p>
    <w:p w14:paraId="6B113483" w14:textId="52AF8B13" w:rsidR="00106995" w:rsidRPr="000A1CF2" w:rsidRDefault="00F64A5C" w:rsidP="00075097">
      <w:pPr>
        <w:pStyle w:val="Odsekzoznamu"/>
        <w:numPr>
          <w:ilvl w:val="0"/>
          <w:numId w:val="5"/>
        </w:numPr>
        <w:ind w:left="0" w:firstLine="0"/>
        <w:rPr>
          <w:rFonts w:cs="Times New Roman"/>
        </w:rPr>
      </w:pPr>
      <w:r>
        <w:rPr>
          <w:rFonts w:cs="Times New Roman"/>
          <w:lang w:val="sk"/>
        </w:rPr>
        <w:t>dedičný (idiopatický) angioedém.</w:t>
      </w:r>
    </w:p>
    <w:p w14:paraId="0E1863A1" w14:textId="1C570D8D" w:rsidR="00106995" w:rsidRPr="000A1CF2" w:rsidRDefault="00106995" w:rsidP="00075097">
      <w:pPr>
        <w:pStyle w:val="Odsekzoznamu"/>
        <w:numPr>
          <w:ilvl w:val="0"/>
          <w:numId w:val="5"/>
        </w:numPr>
        <w:ind w:left="0" w:firstLine="0"/>
        <w:rPr>
          <w:rFonts w:cs="Times New Roman"/>
        </w:rPr>
      </w:pPr>
      <w:r w:rsidRPr="000A1CF2">
        <w:rPr>
          <w:rFonts w:cs="Times New Roman"/>
          <w:lang w:val="sk"/>
        </w:rPr>
        <w:t>súbežné užívanie s liekmi obsahujúcimi aliskirén je</w:t>
      </w:r>
      <w:r w:rsidR="000A1CF2">
        <w:rPr>
          <w:rFonts w:cs="Times New Roman"/>
          <w:lang w:val="sk"/>
        </w:rPr>
        <w:t xml:space="preserve"> kontraindikované paciento</w:t>
      </w:r>
      <w:r w:rsidR="004B47C0">
        <w:rPr>
          <w:rFonts w:cs="Times New Roman"/>
          <w:lang w:val="sk"/>
        </w:rPr>
        <w:t>m</w:t>
      </w:r>
      <w:r w:rsidR="000A1CF2">
        <w:rPr>
          <w:rFonts w:cs="Times New Roman"/>
          <w:lang w:val="sk"/>
        </w:rPr>
        <w:t xml:space="preserve"> </w:t>
      </w:r>
      <w:r w:rsidR="000A1CF2" w:rsidRPr="000A1CF2">
        <w:t>s</w:t>
      </w:r>
      <w:r w:rsidR="000A1CF2">
        <w:t> </w:t>
      </w:r>
      <w:r w:rsidRPr="000A1CF2">
        <w:t>ochorením</w:t>
      </w:r>
      <w:r w:rsidRPr="000A1CF2">
        <w:rPr>
          <w:rFonts w:cs="Times New Roman"/>
          <w:lang w:val="sk"/>
        </w:rPr>
        <w:t xml:space="preserve"> </w:t>
      </w:r>
      <w:r w:rsidRPr="00830D1C">
        <w:rPr>
          <w:rFonts w:cs="Times New Roman"/>
          <w:i/>
          <w:lang w:val="sk"/>
        </w:rPr>
        <w:t>diabetes mellitus</w:t>
      </w:r>
      <w:r w:rsidRPr="000A1CF2">
        <w:rPr>
          <w:rFonts w:cs="Times New Roman"/>
          <w:lang w:val="sk"/>
        </w:rPr>
        <w:t xml:space="preserve"> alebo stredne závažnou až závažnou poruchou funkcie obličiek (rýchlosť glomerulárnej filtrácie (GFR) &lt; 60 ml/min/1,73 m</w:t>
      </w:r>
      <w:r w:rsidRPr="000A1CF2">
        <w:rPr>
          <w:rFonts w:cs="Times New Roman"/>
          <w:vertAlign w:val="superscript"/>
          <w:lang w:val="sk"/>
        </w:rPr>
        <w:t>2</w:t>
      </w:r>
      <w:r w:rsidR="000A1CF2">
        <w:rPr>
          <w:rFonts w:cs="Times New Roman"/>
          <w:lang w:val="sk"/>
        </w:rPr>
        <w:t>) (pozri časti 4.4 a </w:t>
      </w:r>
      <w:r w:rsidRPr="000A1CF2">
        <w:rPr>
          <w:rFonts w:cs="Times New Roman"/>
          <w:lang w:val="sk"/>
        </w:rPr>
        <w:t>4.5)</w:t>
      </w:r>
      <w:r w:rsidR="00F64A5C">
        <w:rPr>
          <w:rFonts w:cs="Times New Roman"/>
          <w:lang w:val="sk"/>
        </w:rPr>
        <w:t>.</w:t>
      </w:r>
    </w:p>
    <w:p w14:paraId="58B2C977" w14:textId="77777777" w:rsidR="00106995" w:rsidRPr="000A1CF2" w:rsidRDefault="00106995" w:rsidP="00075097">
      <w:pPr>
        <w:rPr>
          <w:rFonts w:cs="Times New Roman"/>
        </w:rPr>
      </w:pPr>
    </w:p>
    <w:p w14:paraId="5DE7B9FD" w14:textId="77777777" w:rsidR="000C7775" w:rsidRPr="000A1CF2" w:rsidRDefault="00106995" w:rsidP="00075097">
      <w:pPr>
        <w:rPr>
          <w:rFonts w:cs="Times New Roman"/>
          <w:b/>
          <w:u w:val="single"/>
        </w:rPr>
      </w:pPr>
      <w:r w:rsidRPr="000A1CF2">
        <w:rPr>
          <w:rFonts w:cs="Times New Roman"/>
          <w:b/>
          <w:bCs/>
          <w:u w:val="single"/>
          <w:lang w:val="sk"/>
        </w:rPr>
        <w:t xml:space="preserve">Súvisiace s torasemidom: </w:t>
      </w:r>
    </w:p>
    <w:p w14:paraId="1DD6FDFF" w14:textId="77777777" w:rsidR="00106995" w:rsidRPr="000A1CF2" w:rsidRDefault="00106995" w:rsidP="00075097">
      <w:pPr>
        <w:pStyle w:val="Odsekzoznamu"/>
        <w:numPr>
          <w:ilvl w:val="0"/>
          <w:numId w:val="5"/>
        </w:numPr>
        <w:ind w:left="0" w:firstLine="0"/>
        <w:rPr>
          <w:rFonts w:cs="Times New Roman"/>
        </w:rPr>
      </w:pPr>
      <w:r w:rsidRPr="000A1CF2">
        <w:rPr>
          <w:rFonts w:cs="Times New Roman"/>
          <w:lang w:val="sk"/>
        </w:rPr>
        <w:t>zlyhávanie obličiek s anúriou,</w:t>
      </w:r>
    </w:p>
    <w:p w14:paraId="5BDAE65E" w14:textId="77777777" w:rsidR="00106995" w:rsidRPr="000A1CF2" w:rsidRDefault="00106995" w:rsidP="00075097">
      <w:pPr>
        <w:pStyle w:val="Odsekzoznamu"/>
        <w:numPr>
          <w:ilvl w:val="0"/>
          <w:numId w:val="5"/>
        </w:numPr>
        <w:ind w:left="0" w:firstLine="0"/>
        <w:rPr>
          <w:rFonts w:cs="Times New Roman"/>
        </w:rPr>
      </w:pPr>
      <w:r w:rsidRPr="000A1CF2">
        <w:rPr>
          <w:rFonts w:cs="Times New Roman"/>
          <w:lang w:val="sk"/>
        </w:rPr>
        <w:t>hepatálna kóma a prekóma,</w:t>
      </w:r>
    </w:p>
    <w:p w14:paraId="77C48FF8" w14:textId="77777777" w:rsidR="00106995" w:rsidRPr="000A1CF2" w:rsidRDefault="00106995" w:rsidP="00075097">
      <w:pPr>
        <w:pStyle w:val="Odsekzoznamu"/>
        <w:numPr>
          <w:ilvl w:val="0"/>
          <w:numId w:val="5"/>
        </w:numPr>
        <w:ind w:left="0" w:firstLine="0"/>
        <w:rPr>
          <w:rFonts w:cs="Times New Roman"/>
        </w:rPr>
      </w:pPr>
      <w:r w:rsidRPr="000A1CF2">
        <w:rPr>
          <w:rFonts w:cs="Times New Roman"/>
          <w:lang w:val="sk"/>
        </w:rPr>
        <w:t>hypotenzia,</w:t>
      </w:r>
    </w:p>
    <w:p w14:paraId="4AD4058B" w14:textId="77777777" w:rsidR="00106995" w:rsidRPr="000A1CF2" w:rsidRDefault="00106995" w:rsidP="00075097">
      <w:pPr>
        <w:pStyle w:val="Odsekzoznamu"/>
        <w:numPr>
          <w:ilvl w:val="0"/>
          <w:numId w:val="5"/>
        </w:numPr>
        <w:ind w:left="0" w:firstLine="0"/>
        <w:rPr>
          <w:rFonts w:cs="Times New Roman"/>
        </w:rPr>
      </w:pPr>
      <w:r w:rsidRPr="000A1CF2">
        <w:rPr>
          <w:rFonts w:cs="Times New Roman"/>
          <w:lang w:val="sk"/>
        </w:rPr>
        <w:t xml:space="preserve">hypovolémia, </w:t>
      </w:r>
    </w:p>
    <w:p w14:paraId="42E5876D" w14:textId="77777777" w:rsidR="00106995" w:rsidRPr="000A1CF2" w:rsidRDefault="00106995" w:rsidP="00075097">
      <w:pPr>
        <w:pStyle w:val="Odsekzoznamu"/>
        <w:numPr>
          <w:ilvl w:val="0"/>
          <w:numId w:val="5"/>
        </w:numPr>
        <w:ind w:left="0" w:firstLine="0"/>
        <w:rPr>
          <w:rFonts w:cs="Times New Roman"/>
        </w:rPr>
      </w:pPr>
      <w:r w:rsidRPr="000A1CF2">
        <w:rPr>
          <w:rFonts w:cs="Times New Roman"/>
          <w:lang w:val="sk"/>
        </w:rPr>
        <w:t>hyponatriémia,</w:t>
      </w:r>
    </w:p>
    <w:p w14:paraId="7A8949F2" w14:textId="77777777" w:rsidR="00106995" w:rsidRPr="000A1CF2" w:rsidRDefault="00106995" w:rsidP="00075097">
      <w:pPr>
        <w:pStyle w:val="Odsekzoznamu"/>
        <w:numPr>
          <w:ilvl w:val="0"/>
          <w:numId w:val="5"/>
        </w:numPr>
        <w:ind w:left="0" w:firstLine="0"/>
        <w:rPr>
          <w:rFonts w:cs="Times New Roman"/>
        </w:rPr>
      </w:pPr>
      <w:r w:rsidRPr="000A1CF2">
        <w:rPr>
          <w:rFonts w:cs="Times New Roman"/>
          <w:lang w:val="sk"/>
        </w:rPr>
        <w:t>hypokaliémia,</w:t>
      </w:r>
    </w:p>
    <w:p w14:paraId="7FE6B196" w14:textId="77777777" w:rsidR="00190696" w:rsidRPr="000A1CF2" w:rsidRDefault="00106995" w:rsidP="00075097">
      <w:pPr>
        <w:pStyle w:val="Odsekzoznamu"/>
        <w:numPr>
          <w:ilvl w:val="0"/>
          <w:numId w:val="5"/>
        </w:numPr>
        <w:ind w:left="0" w:firstLine="0"/>
        <w:rPr>
          <w:rFonts w:cs="Times New Roman"/>
        </w:rPr>
      </w:pPr>
      <w:r w:rsidRPr="000A1CF2">
        <w:rPr>
          <w:rFonts w:cs="Times New Roman"/>
          <w:lang w:val="sk"/>
        </w:rPr>
        <w:t>výrazné poruchy močenia (spôsobené napr. hypertrofiou prostaty).</w:t>
      </w:r>
    </w:p>
    <w:p w14:paraId="5037BE41" w14:textId="77777777" w:rsidR="004073F0" w:rsidRPr="0069070D" w:rsidRDefault="004073F0" w:rsidP="00075097">
      <w:pPr>
        <w:rPr>
          <w:rFonts w:cs="Times New Roman"/>
        </w:rPr>
      </w:pPr>
    </w:p>
    <w:p w14:paraId="058A99B6" w14:textId="77777777" w:rsidR="00190696" w:rsidRPr="0069070D" w:rsidRDefault="00DB4904" w:rsidP="00075097">
      <w:pPr>
        <w:rPr>
          <w:rFonts w:cs="Times New Roman"/>
          <w:b/>
        </w:rPr>
      </w:pPr>
      <w:r w:rsidRPr="0069070D">
        <w:rPr>
          <w:rFonts w:cs="Times New Roman"/>
          <w:b/>
          <w:bCs/>
        </w:rPr>
        <w:t xml:space="preserve">4.4 </w:t>
      </w:r>
      <w:r w:rsidRPr="0069070D">
        <w:rPr>
          <w:rFonts w:cs="Times New Roman"/>
          <w:b/>
          <w:bCs/>
        </w:rPr>
        <w:tab/>
        <w:t>Osobitné upozornenia a opatrenia pri používaní</w:t>
      </w:r>
    </w:p>
    <w:p w14:paraId="31378348" w14:textId="77777777" w:rsidR="000C7775" w:rsidRPr="0069070D" w:rsidRDefault="000C7775" w:rsidP="00075097">
      <w:pPr>
        <w:rPr>
          <w:rFonts w:cs="Times New Roman"/>
          <w:b/>
        </w:rPr>
      </w:pPr>
    </w:p>
    <w:p w14:paraId="39B4226B" w14:textId="77777777" w:rsidR="004073F0" w:rsidRPr="000A1CF2" w:rsidRDefault="004073F0" w:rsidP="00075097">
      <w:pPr>
        <w:rPr>
          <w:rFonts w:cs="Times New Roman"/>
          <w:b/>
          <w:u w:val="single"/>
        </w:rPr>
      </w:pPr>
      <w:r w:rsidRPr="000A1CF2">
        <w:rPr>
          <w:rFonts w:cs="Times New Roman"/>
          <w:b/>
          <w:bCs/>
          <w:u w:val="single"/>
          <w:lang w:val="sk"/>
        </w:rPr>
        <w:t>Súvisiace s lizinoprilom:</w:t>
      </w:r>
    </w:p>
    <w:p w14:paraId="4E9944BA" w14:textId="77777777" w:rsidR="004073F0" w:rsidRPr="000A1CF2" w:rsidRDefault="004073F0" w:rsidP="00075097">
      <w:pPr>
        <w:rPr>
          <w:rFonts w:cs="Times New Roman"/>
        </w:rPr>
      </w:pPr>
    </w:p>
    <w:p w14:paraId="68EE75F3" w14:textId="77777777" w:rsidR="004073F0" w:rsidRPr="000A1CF2" w:rsidRDefault="004073F0" w:rsidP="00075097">
      <w:pPr>
        <w:rPr>
          <w:rFonts w:cs="Times New Roman"/>
          <w:i/>
        </w:rPr>
      </w:pPr>
      <w:r w:rsidRPr="000A1CF2">
        <w:rPr>
          <w:rFonts w:cs="Times New Roman"/>
          <w:i/>
          <w:iCs/>
          <w:lang w:val="sk"/>
        </w:rPr>
        <w:t>Symptomatická hypotenzia</w:t>
      </w:r>
    </w:p>
    <w:p w14:paraId="1F2FD813" w14:textId="77777777" w:rsidR="004073F0" w:rsidRPr="00830D1C" w:rsidRDefault="004073F0" w:rsidP="00075097">
      <w:pPr>
        <w:rPr>
          <w:rFonts w:cs="Times New Roman"/>
          <w:lang w:val="sk"/>
        </w:rPr>
      </w:pPr>
      <w:r w:rsidRPr="000A1CF2">
        <w:rPr>
          <w:rFonts w:cs="Times New Roman"/>
          <w:lang w:val="sk"/>
        </w:rPr>
        <w:t>Symptomatická hypotenzia sa zriedka vyskytuje u stabilných pacientov s hypertenziou, ktorí už užívali lizinopril.</w:t>
      </w:r>
      <w:r w:rsidR="004B47C0">
        <w:rPr>
          <w:rFonts w:cs="Times New Roman"/>
          <w:lang w:val="sk"/>
        </w:rPr>
        <w:t xml:space="preserve"> </w:t>
      </w:r>
      <w:r w:rsidRPr="000A1CF2">
        <w:rPr>
          <w:rFonts w:cs="Times New Roman"/>
          <w:lang w:val="sk"/>
        </w:rPr>
        <w:t xml:space="preserve">Je pravdepodobnejšie, že hypotenzia sa vyskytne u pacientov s depléciou objemu napr. pri liečbe diuretikom, pri obmedzení soli v strave, pri dialýze, hnačke alebo vracaní (pozri časti 4.5 a 4.8). </w:t>
      </w:r>
    </w:p>
    <w:p w14:paraId="098120DB" w14:textId="77777777" w:rsidR="004073F0" w:rsidRPr="000A1CF2" w:rsidRDefault="004073F0" w:rsidP="00075097">
      <w:pPr>
        <w:rPr>
          <w:rFonts w:cs="Times New Roman"/>
          <w:lang w:val="sk"/>
        </w:rPr>
      </w:pPr>
      <w:r w:rsidRPr="000A1CF2">
        <w:rPr>
          <w:rFonts w:cs="Times New Roman"/>
          <w:lang w:val="sk"/>
        </w:rPr>
        <w:t>U pacientov so zlyhávaním srdca so súvisiacou renálnou nedostatočnosťou alebo bez nej bola pozorovaná symptomatická hypotenzia. Symptomatická hypotenzia bola pozorovaná prevažne u pacientov so závažnejším stupňom zlyhávania srdca, čo sa odrazilo v užívaní vysokých dávok diuretík, hyponatriémii alebo poruche funkcie obličiek. V takých prípadoch je potrebné často kontrolovať hodnoty krvného tlaku po každej úprave dávky lizinoprilu a (alebo) diuretika.</w:t>
      </w:r>
    </w:p>
    <w:p w14:paraId="39D61DC4" w14:textId="77777777" w:rsidR="004073F0" w:rsidRPr="000A1CF2" w:rsidRDefault="004073F0" w:rsidP="00075097">
      <w:pPr>
        <w:rPr>
          <w:rFonts w:cs="Times New Roman"/>
          <w:lang w:val="sk"/>
        </w:rPr>
      </w:pPr>
      <w:r w:rsidRPr="000A1CF2">
        <w:rPr>
          <w:rFonts w:cs="Times New Roman"/>
          <w:lang w:val="sk"/>
        </w:rPr>
        <w:t>Podobnú pozornosť si vyžadujú pacienti s ischemickým srdcovým alebo cerebrovaskulárnym ochorením, keďže nadmerný pokles krvného tlaku by mohol viesť k infarktu myokardu alebo cerebrovaskulárnej príhode.</w:t>
      </w:r>
    </w:p>
    <w:p w14:paraId="6640C87C" w14:textId="77777777" w:rsidR="004073F0" w:rsidRPr="000A1CF2" w:rsidRDefault="004073F0" w:rsidP="00075097">
      <w:pPr>
        <w:rPr>
          <w:rFonts w:cs="Times New Roman"/>
          <w:lang w:val="sk"/>
        </w:rPr>
      </w:pPr>
    </w:p>
    <w:p w14:paraId="5E58268B" w14:textId="474E37CC" w:rsidR="004073F0" w:rsidRPr="000A1CF2" w:rsidRDefault="004073F0" w:rsidP="00075097">
      <w:pPr>
        <w:rPr>
          <w:rFonts w:cs="Times New Roman"/>
          <w:lang w:val="sk"/>
        </w:rPr>
      </w:pPr>
      <w:r w:rsidRPr="000A1CF2">
        <w:rPr>
          <w:rFonts w:cs="Times New Roman"/>
          <w:lang w:val="sk"/>
        </w:rPr>
        <w:t>Ak sa vyskytne hypotenzia, pacient sa má uložiť na chrbát a ak je to potrebné, má dostať intravenóznu infúziu 0,9 % roztoku chloridu sodného. Prechodná hypotenzná reakcia pri zvýšení krvného tlaku po expanzii objemu  nevyžaduje prerušenie liečby.</w:t>
      </w:r>
    </w:p>
    <w:p w14:paraId="76CB991B" w14:textId="77777777" w:rsidR="004073F0" w:rsidRPr="000A1CF2" w:rsidRDefault="004073F0" w:rsidP="00075097">
      <w:pPr>
        <w:rPr>
          <w:rFonts w:cs="Times New Roman"/>
          <w:lang w:val="sk"/>
        </w:rPr>
      </w:pPr>
    </w:p>
    <w:p w14:paraId="7BBD8F40" w14:textId="1EBF5B43" w:rsidR="004073F0" w:rsidRPr="000A1CF2" w:rsidRDefault="004073F0" w:rsidP="00075097">
      <w:pPr>
        <w:rPr>
          <w:rFonts w:cs="Times New Roman"/>
          <w:lang w:val="sk"/>
        </w:rPr>
      </w:pPr>
      <w:r w:rsidRPr="000A1CF2">
        <w:rPr>
          <w:rFonts w:cs="Times New Roman"/>
          <w:lang w:val="sk"/>
        </w:rPr>
        <w:t xml:space="preserve">U niektorých pacientov s kongestívnym zlyhávaním srdca, ktorí majú normálny alebo nízky krvný tlak, sa môže po užití lizinoprilu objaviť ďalšie zníženie systémového krvného tlaku. Tento účinok sa očakáva a zvyčajne nie je dôvodom na prerušenie liečby. Ak sa hypotenzia stane symptomatickou, bude možno </w:t>
      </w:r>
      <w:r w:rsidR="000727AB">
        <w:rPr>
          <w:rFonts w:cs="Times New Roman"/>
          <w:lang w:val="sk"/>
        </w:rPr>
        <w:t>potrebné</w:t>
      </w:r>
      <w:r w:rsidR="000727AB" w:rsidRPr="000A1CF2">
        <w:rPr>
          <w:rFonts w:cs="Times New Roman"/>
          <w:lang w:val="sk"/>
        </w:rPr>
        <w:t xml:space="preserve"> </w:t>
      </w:r>
      <w:r w:rsidRPr="000A1CF2">
        <w:rPr>
          <w:rFonts w:cs="Times New Roman"/>
          <w:lang w:val="sk"/>
        </w:rPr>
        <w:t>znížiť dávku alebo prerušiť užívanie lizinoprilu.</w:t>
      </w:r>
    </w:p>
    <w:p w14:paraId="322D8090" w14:textId="77777777" w:rsidR="004073F0" w:rsidRPr="000A1CF2" w:rsidRDefault="004073F0" w:rsidP="00075097">
      <w:pPr>
        <w:rPr>
          <w:rFonts w:cs="Times New Roman"/>
          <w:lang w:val="sk"/>
        </w:rPr>
      </w:pPr>
    </w:p>
    <w:p w14:paraId="16A9E6F6" w14:textId="77777777" w:rsidR="004073F0" w:rsidRPr="000A1CF2" w:rsidRDefault="004073F0" w:rsidP="00075097">
      <w:pPr>
        <w:rPr>
          <w:rFonts w:cs="Times New Roman"/>
          <w:i/>
          <w:lang w:val="sk"/>
        </w:rPr>
      </w:pPr>
      <w:r w:rsidRPr="000A1CF2">
        <w:rPr>
          <w:rFonts w:cs="Times New Roman"/>
          <w:i/>
          <w:iCs/>
          <w:lang w:val="sk"/>
        </w:rPr>
        <w:t>Stenóza aortálnej chlopne a (alebo) hypertrofická kardiomyopatia</w:t>
      </w:r>
    </w:p>
    <w:p w14:paraId="0F0E2C42" w14:textId="2E1CDE20" w:rsidR="004073F0" w:rsidRPr="000A1CF2" w:rsidRDefault="004073F0" w:rsidP="00075097">
      <w:pPr>
        <w:rPr>
          <w:rFonts w:cs="Times New Roman"/>
          <w:lang w:val="sk"/>
        </w:rPr>
      </w:pPr>
      <w:r w:rsidRPr="000A1CF2">
        <w:rPr>
          <w:rFonts w:cs="Times New Roman"/>
          <w:lang w:val="sk"/>
        </w:rPr>
        <w:t>Inhibítory ACE sa majú podobne ako iné vazodilatačné lieky podávať</w:t>
      </w:r>
      <w:r w:rsidR="000727AB">
        <w:rPr>
          <w:rFonts w:cs="Times New Roman"/>
          <w:lang w:val="sk"/>
        </w:rPr>
        <w:t xml:space="preserve"> s</w:t>
      </w:r>
      <w:r w:rsidRPr="000A1CF2">
        <w:rPr>
          <w:rFonts w:cs="Times New Roman"/>
          <w:lang w:val="sk"/>
        </w:rPr>
        <w:t xml:space="preserve"> </w:t>
      </w:r>
      <w:r w:rsidR="000727AB">
        <w:rPr>
          <w:rFonts w:cs="Times New Roman"/>
          <w:lang w:val="sk"/>
        </w:rPr>
        <w:t>opatrnosťou</w:t>
      </w:r>
      <w:r w:rsidRPr="000A1CF2">
        <w:rPr>
          <w:rFonts w:cs="Times New Roman"/>
          <w:lang w:val="sk"/>
        </w:rPr>
        <w:t xml:space="preserve"> pacientom s obštrukciou výtoku ľavej komory.</w:t>
      </w:r>
    </w:p>
    <w:p w14:paraId="2DC49EFE" w14:textId="77777777" w:rsidR="004073F0" w:rsidRDefault="004073F0" w:rsidP="00075097">
      <w:pPr>
        <w:rPr>
          <w:rFonts w:cs="Times New Roman"/>
          <w:lang w:val="sk"/>
        </w:rPr>
      </w:pPr>
    </w:p>
    <w:p w14:paraId="6B1446E5" w14:textId="77777777" w:rsidR="00A05C33" w:rsidRPr="000A1CF2" w:rsidRDefault="00A05C33" w:rsidP="00075097">
      <w:pPr>
        <w:rPr>
          <w:rFonts w:cs="Times New Roman"/>
          <w:lang w:val="sk"/>
        </w:rPr>
      </w:pPr>
    </w:p>
    <w:p w14:paraId="03F0AA1E" w14:textId="77777777" w:rsidR="004073F0" w:rsidRPr="000A1CF2" w:rsidRDefault="004073F0" w:rsidP="00075097">
      <w:pPr>
        <w:rPr>
          <w:rFonts w:cs="Times New Roman"/>
          <w:i/>
          <w:lang w:val="sk"/>
        </w:rPr>
      </w:pPr>
      <w:r w:rsidRPr="000A1CF2">
        <w:rPr>
          <w:rFonts w:cs="Times New Roman"/>
          <w:i/>
          <w:iCs/>
          <w:lang w:val="sk"/>
        </w:rPr>
        <w:lastRenderedPageBreak/>
        <w:t>Porucha funkcie obličiek</w:t>
      </w:r>
    </w:p>
    <w:p w14:paraId="1A68CB19" w14:textId="248241BA" w:rsidR="004073F0" w:rsidRPr="000A1CF2" w:rsidRDefault="004073F0" w:rsidP="00075097">
      <w:pPr>
        <w:rPr>
          <w:rFonts w:cs="Times New Roman"/>
          <w:lang w:val="sk"/>
        </w:rPr>
      </w:pPr>
      <w:r w:rsidRPr="000A1CF2">
        <w:rPr>
          <w:rFonts w:cs="Times New Roman"/>
          <w:lang w:val="sk"/>
        </w:rPr>
        <w:t xml:space="preserve">U pacientov s poruchou funkcie obličiek a závažným zlyhávaním srdca môže inhibícia renín-angiotenzín-aldosterónového systému túto poruchu zhoršiť. V takých prípadoch bola pozorovaná znížená diuréza a prírastkové zvýšenie hladiny kreatinínu v krvnej plazme, ktoré boli po vysadení lizinoprilu reverzibilné. V tejto situácii bolo hlásené i akútne zlyhávanie obličiek, ktoré bolo zvyčajne reverzibilné. </w:t>
      </w:r>
    </w:p>
    <w:p w14:paraId="414450E1" w14:textId="77777777" w:rsidR="004073F0" w:rsidRPr="000A1CF2" w:rsidRDefault="004073F0" w:rsidP="00075097">
      <w:pPr>
        <w:rPr>
          <w:rFonts w:cs="Times New Roman"/>
          <w:lang w:val="sk"/>
        </w:rPr>
      </w:pPr>
    </w:p>
    <w:p w14:paraId="74DF968F" w14:textId="342036B7" w:rsidR="004073F0" w:rsidRPr="000A1CF2" w:rsidRDefault="004073F0" w:rsidP="00075097">
      <w:pPr>
        <w:rPr>
          <w:rFonts w:cs="Times New Roman"/>
          <w:lang w:val="sk"/>
        </w:rPr>
      </w:pPr>
      <w:r w:rsidRPr="000A1CF2">
        <w:rPr>
          <w:rFonts w:cs="Times New Roman"/>
          <w:lang w:val="sk"/>
        </w:rPr>
        <w:t>U niektorých pacientov s bilaterálnou stenózou renálnych artérií alebo so stenózou artérie vedúcej k solitérnej obličke, ktorí boli liečení inhibítormi enzýmu konvertujúceho angiotenzín, bola pozorovaná zvýšená hladina močoviny v krvi a kreatinínu</w:t>
      </w:r>
      <w:r w:rsidR="001A3BDE">
        <w:rPr>
          <w:rFonts w:cs="Times New Roman"/>
          <w:lang w:val="sk"/>
        </w:rPr>
        <w:t xml:space="preserve"> v sére</w:t>
      </w:r>
      <w:r w:rsidRPr="000A1CF2">
        <w:rPr>
          <w:rFonts w:cs="Times New Roman"/>
          <w:lang w:val="sk"/>
        </w:rPr>
        <w:t>, zvyčajne reverzibilné po prerušení liečby. Zvýšenie sérovej hladiny močoviny a kreatinínu sa zvyčajne vyskytuje u pacientov s existujúcou poruchou funkcie obličiek. U niektorých pacientov s esenciálnou hypertenziou bolo pozorované zvyčajne menšie a prechodné zvýšenie sérovej hladiny močoviny a kreatinínu, reverzibilné bez liečby po vysadení lizinoprilu. Spomínané poruchy sa vyskytovali častejšie, keď sa lizinopril podával súbežne s diuretikom alebo u pacientov s existujúcou poruchou funkcie obličiek. V týchto prípadoch môže byť potrebné znížiť dávku a (alebo) vysadiť diuretikum a (alebo) lizinopril.</w:t>
      </w:r>
    </w:p>
    <w:p w14:paraId="409FEF73" w14:textId="77777777" w:rsidR="004073F0" w:rsidRPr="000A1CF2" w:rsidRDefault="004073F0" w:rsidP="00075097">
      <w:pPr>
        <w:rPr>
          <w:rFonts w:cs="Times New Roman"/>
          <w:lang w:val="sk"/>
        </w:rPr>
      </w:pPr>
    </w:p>
    <w:p w14:paraId="52B1E039" w14:textId="77777777" w:rsidR="004073F0" w:rsidRPr="000A1CF2" w:rsidRDefault="004073F0" w:rsidP="00075097">
      <w:pPr>
        <w:rPr>
          <w:rFonts w:cs="Times New Roman"/>
          <w:i/>
          <w:lang w:val="sk"/>
        </w:rPr>
      </w:pPr>
      <w:r w:rsidRPr="000A1CF2">
        <w:rPr>
          <w:rFonts w:cs="Times New Roman"/>
          <w:i/>
          <w:iCs/>
          <w:lang w:val="sk"/>
        </w:rPr>
        <w:t>Neutropénia/agranulocytóza</w:t>
      </w:r>
    </w:p>
    <w:p w14:paraId="0CF3D58F" w14:textId="77777777" w:rsidR="004073F0" w:rsidRPr="000A1CF2" w:rsidRDefault="004073F0" w:rsidP="00075097">
      <w:pPr>
        <w:rPr>
          <w:rFonts w:cs="Times New Roman"/>
          <w:lang w:val="sk"/>
        </w:rPr>
      </w:pPr>
      <w:r w:rsidRPr="000A1CF2">
        <w:rPr>
          <w:rFonts w:cs="Times New Roman"/>
          <w:lang w:val="sk"/>
        </w:rPr>
        <w:t xml:space="preserve">U pacientov užívajúcich inhibítory ACE bola zaznamenaná neutropénia alebo agranulocytóza, ktoré sa s väčšou pravdepodobnosťou vyskytovali u pacientov so súbežnou poruchou funkcie obličiek alebo ochorením kolagénového väziva v cievach. Neutropénia a agranulocytóza sú reverzibilné po vysadení inhibítora ACE. </w:t>
      </w:r>
    </w:p>
    <w:p w14:paraId="0154832E" w14:textId="77777777" w:rsidR="004073F0" w:rsidRPr="000A1CF2" w:rsidRDefault="004073F0" w:rsidP="00075097">
      <w:pPr>
        <w:rPr>
          <w:rFonts w:cs="Times New Roman"/>
          <w:lang w:val="sk"/>
        </w:rPr>
      </w:pPr>
      <w:r w:rsidRPr="000A1CF2">
        <w:rPr>
          <w:rFonts w:cs="Times New Roman"/>
          <w:lang w:val="sk"/>
        </w:rPr>
        <w:t>Leukopénia môže u pacientov liečených lizinoprilom spôsobiť horúčku, bolesti hrdla alebo lymfadenopatiu.</w:t>
      </w:r>
    </w:p>
    <w:p w14:paraId="22391FFA" w14:textId="77777777" w:rsidR="004073F0" w:rsidRPr="000A1CF2" w:rsidRDefault="004073F0" w:rsidP="00075097">
      <w:pPr>
        <w:rPr>
          <w:rFonts w:cs="Times New Roman"/>
          <w:lang w:val="sk"/>
        </w:rPr>
      </w:pPr>
      <w:r w:rsidRPr="000A1CF2">
        <w:rPr>
          <w:rFonts w:cs="Times New Roman"/>
          <w:lang w:val="sk"/>
        </w:rPr>
        <w:t>Odporúča sa pravidelne sledovať krvnú morfológiu.</w:t>
      </w:r>
    </w:p>
    <w:p w14:paraId="048C905E" w14:textId="77777777" w:rsidR="004073F0" w:rsidRPr="000A1CF2" w:rsidRDefault="004073F0" w:rsidP="00075097">
      <w:pPr>
        <w:rPr>
          <w:rFonts w:cs="Times New Roman"/>
          <w:lang w:val="sk"/>
        </w:rPr>
      </w:pPr>
    </w:p>
    <w:p w14:paraId="1F8B1D43" w14:textId="77777777" w:rsidR="004073F0" w:rsidRPr="000A1CF2" w:rsidRDefault="004073F0" w:rsidP="00075097">
      <w:pPr>
        <w:rPr>
          <w:rFonts w:cs="Times New Roman"/>
          <w:i/>
          <w:lang w:val="sk"/>
        </w:rPr>
      </w:pPr>
      <w:r w:rsidRPr="000A1CF2">
        <w:rPr>
          <w:rFonts w:cs="Times New Roman"/>
          <w:i/>
          <w:iCs/>
          <w:lang w:val="sk"/>
        </w:rPr>
        <w:t>Precitlivenosť/angioedém</w:t>
      </w:r>
    </w:p>
    <w:p w14:paraId="36EE4A87" w14:textId="77777777" w:rsidR="004073F0" w:rsidRPr="000A1CF2" w:rsidRDefault="004073F0" w:rsidP="00075097">
      <w:pPr>
        <w:rPr>
          <w:rFonts w:cs="Times New Roman"/>
          <w:lang w:val="sk"/>
        </w:rPr>
      </w:pPr>
      <w:r w:rsidRPr="000A1CF2">
        <w:rPr>
          <w:rFonts w:cs="Times New Roman"/>
          <w:lang w:val="sk"/>
        </w:rPr>
        <w:t>U pacientov liečených inhibítormi enzýmu konvertujúceho angiotenzín vrátane lizinoprilu bol zriedkavo hlásený angioedém tváre, končatín, pier, jazyka, hlasivkovej štrbiny a (alebo) hrtana. Angioedém sa môže vyskytnúť kedykoľvek počas liečby. V takých prípadoch sa má lizinopril rýchlo vysadiť a zaviesť príslušná liečba v nemocnici až do úplného od</w:t>
      </w:r>
      <w:r w:rsidR="00073797">
        <w:rPr>
          <w:rFonts w:cs="Times New Roman"/>
          <w:lang w:val="sk"/>
        </w:rPr>
        <w:t>o</w:t>
      </w:r>
      <w:r w:rsidRPr="000A1CF2">
        <w:rPr>
          <w:rFonts w:cs="Times New Roman"/>
          <w:lang w:val="sk"/>
        </w:rPr>
        <w:t xml:space="preserve">znenia príznakov, najskôr však po 12 až 24 hodinách. </w:t>
      </w:r>
    </w:p>
    <w:p w14:paraId="6EADDB32" w14:textId="77777777" w:rsidR="004073F0" w:rsidRPr="000A1CF2" w:rsidRDefault="004073F0" w:rsidP="00075097">
      <w:pPr>
        <w:rPr>
          <w:rFonts w:cs="Times New Roman"/>
          <w:lang w:val="sk"/>
        </w:rPr>
      </w:pPr>
      <w:r w:rsidRPr="000A1CF2">
        <w:rPr>
          <w:rFonts w:cs="Times New Roman"/>
          <w:lang w:val="sk"/>
        </w:rPr>
        <w:t>Aj v prípadoch, keď sa vyskytne len opuch jazyka bez respiračnej tiesne, pacientov môže byť potrebné dlhšiu dobu sledovať, pretože liečba antihistaminikami a kortikosteroidmi nemusí byť dostatočná. Veľmi zriedkavo boli hlásené smrteľné prípady v dôsledku angioedému súvisiaceho s edémom hrtana alebo jazyka. U pacientov s postihnutím jazyka, hlasivkovej štrbiny alebo hrtana je pravdepodobný výskyt obštrukcie dýchacích ciest, a to najmä u pacientov s operáciou dýchacích ciest v anamnéze. V takých prípadoch je potrebné zahájiť núdzovú liečbu pozostávajúcu z podkožného podania 0,3 ml až 0,5 ml adrenalínu (epinefrínu) v koncentrácii 1 : 1 000 s cieľom podpory dýchacích ciest.</w:t>
      </w:r>
    </w:p>
    <w:p w14:paraId="1EBEED86" w14:textId="77777777" w:rsidR="004073F0" w:rsidRPr="000A1CF2" w:rsidRDefault="004073F0" w:rsidP="00075097">
      <w:pPr>
        <w:rPr>
          <w:rFonts w:cs="Times New Roman"/>
          <w:lang w:val="sk"/>
        </w:rPr>
      </w:pPr>
    </w:p>
    <w:p w14:paraId="1DAAF7F0" w14:textId="77777777" w:rsidR="004073F0" w:rsidRPr="000A1CF2" w:rsidRDefault="004073F0" w:rsidP="00075097">
      <w:pPr>
        <w:rPr>
          <w:rFonts w:cs="Times New Roman"/>
          <w:u w:val="single"/>
          <w:lang w:val="sk"/>
        </w:rPr>
      </w:pPr>
      <w:r w:rsidRPr="000A1CF2">
        <w:rPr>
          <w:rFonts w:cs="Times New Roman"/>
          <w:u w:val="single"/>
          <w:lang w:val="sk"/>
        </w:rPr>
        <w:t>Súbežné použitie inhibítorov mTOR (napr. sirolimus, everolimus, temsirolimus)</w:t>
      </w:r>
    </w:p>
    <w:p w14:paraId="42F665E3" w14:textId="77777777" w:rsidR="004073F0" w:rsidRPr="000A1CF2" w:rsidRDefault="004073F0" w:rsidP="00075097">
      <w:pPr>
        <w:rPr>
          <w:rFonts w:cs="Times New Roman"/>
          <w:lang w:val="sk"/>
        </w:rPr>
      </w:pPr>
      <w:r w:rsidRPr="000A1CF2">
        <w:rPr>
          <w:rFonts w:cs="Times New Roman"/>
          <w:lang w:val="sk"/>
        </w:rPr>
        <w:t>Pacientom, ktorí súbežne užívajú inhibítory mTOR (napr. sirolimus, everolimus, temsirolimus), môže hroziť zvýšené riziko angioedému (napr. opuch dýchacích ciest alebo jazyka s poruchou dýchania alebo bez nej) (pozri časť 4.5).</w:t>
      </w:r>
    </w:p>
    <w:p w14:paraId="01AF9C0C" w14:textId="77777777" w:rsidR="004073F0" w:rsidRPr="000A1CF2" w:rsidRDefault="004073F0" w:rsidP="00075097">
      <w:pPr>
        <w:rPr>
          <w:rFonts w:cs="Times New Roman"/>
          <w:lang w:val="sk"/>
        </w:rPr>
      </w:pPr>
    </w:p>
    <w:p w14:paraId="49021F06" w14:textId="77777777" w:rsidR="004073F0" w:rsidRPr="000A1CF2" w:rsidRDefault="004073F0" w:rsidP="00075097">
      <w:pPr>
        <w:rPr>
          <w:rFonts w:cs="Times New Roman"/>
          <w:lang w:val="sk"/>
        </w:rPr>
      </w:pPr>
      <w:r w:rsidRPr="000A1CF2">
        <w:rPr>
          <w:rFonts w:cs="Times New Roman"/>
          <w:lang w:val="sk"/>
        </w:rPr>
        <w:t>Pacientom s anamnézou angioedému nesúvisiaceho s liečbou inhibítormi ACE môže hroziť zvýšené riziko vzniku angioedému počas užívania inhibítora ACE (pozri časť 4.3).</w:t>
      </w:r>
    </w:p>
    <w:p w14:paraId="716CF887" w14:textId="77777777" w:rsidR="004073F0" w:rsidRPr="000A1CF2" w:rsidRDefault="004073F0" w:rsidP="00075097">
      <w:pPr>
        <w:rPr>
          <w:rFonts w:cs="Times New Roman"/>
          <w:lang w:val="sk"/>
        </w:rPr>
      </w:pPr>
    </w:p>
    <w:p w14:paraId="7C875198" w14:textId="77777777" w:rsidR="004073F0" w:rsidRPr="000A1CF2" w:rsidRDefault="004073F0" w:rsidP="00075097">
      <w:pPr>
        <w:rPr>
          <w:rFonts w:cs="Times New Roman"/>
          <w:i/>
          <w:lang w:val="sk"/>
        </w:rPr>
      </w:pPr>
      <w:r w:rsidRPr="000A1CF2">
        <w:rPr>
          <w:rFonts w:cs="Times New Roman"/>
          <w:i/>
          <w:iCs/>
          <w:lang w:val="sk"/>
        </w:rPr>
        <w:lastRenderedPageBreak/>
        <w:t>Anafylaktoidné reakcie u hemodialyzovaných pacientov</w:t>
      </w:r>
    </w:p>
    <w:p w14:paraId="6E522C7A" w14:textId="77777777" w:rsidR="004073F0" w:rsidRPr="000A1CF2" w:rsidRDefault="004073F0" w:rsidP="00075097">
      <w:pPr>
        <w:rPr>
          <w:rFonts w:cs="Times New Roman"/>
          <w:lang w:val="sk"/>
        </w:rPr>
      </w:pPr>
      <w:r w:rsidRPr="000A1CF2">
        <w:rPr>
          <w:rFonts w:cs="Times New Roman"/>
          <w:lang w:val="sk"/>
        </w:rPr>
        <w:t>Anafylaktoidné reakcie boli hlásené u pacientov, ktorí boli dialyzovaní pomocou vysokoprietokových membrán (napr. AN69) a súčasne liečení inhibítorom ACE. U týchto pacientov je potrebné zvážiť použitie iného typu dialyzačnej membrány alebo inej triedy antihypertenzív.</w:t>
      </w:r>
    </w:p>
    <w:p w14:paraId="618132B0" w14:textId="77777777" w:rsidR="004073F0" w:rsidRPr="000A1CF2" w:rsidRDefault="004073F0" w:rsidP="00075097">
      <w:pPr>
        <w:rPr>
          <w:rFonts w:cs="Times New Roman"/>
          <w:lang w:val="sk"/>
        </w:rPr>
      </w:pPr>
    </w:p>
    <w:p w14:paraId="34827935" w14:textId="77777777" w:rsidR="004073F0" w:rsidRPr="000A1CF2" w:rsidRDefault="004073F0" w:rsidP="00075097">
      <w:pPr>
        <w:rPr>
          <w:rFonts w:cs="Times New Roman"/>
          <w:i/>
          <w:lang w:val="sk"/>
        </w:rPr>
      </w:pPr>
      <w:r w:rsidRPr="000A1CF2">
        <w:rPr>
          <w:rFonts w:cs="Times New Roman"/>
          <w:i/>
          <w:iCs/>
          <w:lang w:val="sk"/>
        </w:rPr>
        <w:t>Anafylaktoidné reakcie počas aferézy lipoproteínov s nízkou hustotou (LDL)</w:t>
      </w:r>
    </w:p>
    <w:p w14:paraId="0C70B5FB" w14:textId="77777777" w:rsidR="004073F0" w:rsidRPr="000A1CF2" w:rsidRDefault="004073F0" w:rsidP="00075097">
      <w:pPr>
        <w:rPr>
          <w:rFonts w:cs="Times New Roman"/>
          <w:lang w:val="sk"/>
        </w:rPr>
      </w:pPr>
      <w:r w:rsidRPr="000A1CF2">
        <w:rPr>
          <w:rFonts w:cs="Times New Roman"/>
          <w:lang w:val="sk"/>
        </w:rPr>
        <w:t>U pacientov užívajúcich inhibítory ACE počas aferézy LDL síranom dextránu sa v zriedkavých prípadoch vyskytli život ohrozujúce anafylaktoidné reakcie. Po dočasnom vysadení inhibítora ACE</w:t>
      </w:r>
    </w:p>
    <w:p w14:paraId="5B021BD9" w14:textId="4FC36DE1" w:rsidR="004073F0" w:rsidRPr="000A1CF2" w:rsidRDefault="004073F0" w:rsidP="00075097">
      <w:pPr>
        <w:rPr>
          <w:rFonts w:cs="Times New Roman"/>
          <w:lang w:val="sk"/>
        </w:rPr>
      </w:pPr>
      <w:r w:rsidRPr="0008075F">
        <w:rPr>
          <w:rFonts w:cs="Times New Roman"/>
          <w:lang w:val="sk"/>
        </w:rPr>
        <w:t>pred každ</w:t>
      </w:r>
      <w:r w:rsidR="0008075F" w:rsidRPr="00830D1C">
        <w:rPr>
          <w:rFonts w:cs="Times New Roman"/>
          <w:lang w:val="sk"/>
        </w:rPr>
        <w:t>ou procedúrou</w:t>
      </w:r>
      <w:r w:rsidRPr="000A1CF2">
        <w:rPr>
          <w:rFonts w:cs="Times New Roman"/>
          <w:lang w:val="sk"/>
        </w:rPr>
        <w:t xml:space="preserve"> neboli pozorované anafylaktoidné reakcie.</w:t>
      </w:r>
    </w:p>
    <w:p w14:paraId="7AF3407A" w14:textId="77777777" w:rsidR="004073F0" w:rsidRPr="000A1CF2" w:rsidRDefault="004073F0" w:rsidP="00075097">
      <w:pPr>
        <w:rPr>
          <w:rFonts w:cs="Times New Roman"/>
          <w:lang w:val="sk"/>
        </w:rPr>
      </w:pPr>
    </w:p>
    <w:p w14:paraId="60FD70B2" w14:textId="77777777" w:rsidR="004073F0" w:rsidRPr="000A1CF2" w:rsidRDefault="004073F0" w:rsidP="00075097">
      <w:pPr>
        <w:rPr>
          <w:rFonts w:cs="Times New Roman"/>
          <w:i/>
          <w:lang w:val="sk"/>
        </w:rPr>
      </w:pPr>
      <w:r w:rsidRPr="000A1CF2">
        <w:rPr>
          <w:rFonts w:cs="Times New Roman"/>
          <w:i/>
          <w:iCs/>
          <w:lang w:val="sk"/>
        </w:rPr>
        <w:t>Anafylaktoidné reakcie počas desenzibilizácie proti jedom blanokrídlovcov</w:t>
      </w:r>
    </w:p>
    <w:p w14:paraId="75D9378D" w14:textId="77777777" w:rsidR="007E353F" w:rsidRPr="000A1CF2" w:rsidRDefault="007E353F" w:rsidP="00075097">
      <w:pPr>
        <w:rPr>
          <w:rFonts w:cs="Times New Roman"/>
          <w:lang w:val="sk"/>
        </w:rPr>
      </w:pPr>
      <w:r w:rsidRPr="000A1CF2">
        <w:rPr>
          <w:rFonts w:cs="Times New Roman"/>
          <w:lang w:val="sk"/>
        </w:rPr>
        <w:t>U pacientov užívajúcich inhibítory ACE počas desenzibilizačnej liečby proti jedu blanokrídlovcov sa občas vyskytujú život ohrozujúce anafylaktoidné reakcie. Bolo opísaných niekoľko prípadov, keď sa týmto reakciám predišlo dočasným vysadením inhibítorov ACE, ale vyskytli sa znovu pri neúmyselnom opätovnom podaní inhibítora ACE.</w:t>
      </w:r>
    </w:p>
    <w:p w14:paraId="293502BA" w14:textId="77777777" w:rsidR="004073F0" w:rsidRPr="000A1CF2" w:rsidRDefault="004073F0" w:rsidP="00075097">
      <w:pPr>
        <w:rPr>
          <w:rFonts w:cs="Times New Roman"/>
          <w:lang w:val="sk"/>
        </w:rPr>
      </w:pPr>
    </w:p>
    <w:p w14:paraId="71B65FA0" w14:textId="77777777" w:rsidR="004073F0" w:rsidRPr="000A1CF2" w:rsidRDefault="004073F0" w:rsidP="00075097">
      <w:pPr>
        <w:rPr>
          <w:rFonts w:cs="Times New Roman"/>
          <w:i/>
          <w:lang w:val="sk"/>
        </w:rPr>
      </w:pPr>
      <w:r w:rsidRPr="000A1CF2">
        <w:rPr>
          <w:rFonts w:cs="Times New Roman"/>
          <w:i/>
          <w:iCs/>
          <w:lang w:val="sk"/>
        </w:rPr>
        <w:t>Cholestatická žltačka, fulminantná hepatitída</w:t>
      </w:r>
    </w:p>
    <w:p w14:paraId="7C7F76F4" w14:textId="77777777" w:rsidR="004073F0" w:rsidRPr="000A1CF2" w:rsidRDefault="004073F0" w:rsidP="00075097">
      <w:pPr>
        <w:rPr>
          <w:rFonts w:cs="Times New Roman"/>
          <w:lang w:val="sk"/>
        </w:rPr>
      </w:pPr>
      <w:r w:rsidRPr="000A1CF2">
        <w:rPr>
          <w:rFonts w:cs="Times New Roman"/>
          <w:lang w:val="sk"/>
        </w:rPr>
        <w:t>Inhibítory ACE veľmi zriedkavo zapríčinili syndróm, ktorý sa začína cholestatickou žltačkou a prechádza do život ohrozujúcej fulminantnej hepatitídy. Mechanizmus vzniku tohto syndrómu nie je známy. Pacientom, u ktorých sa objaví žltačka alebo výrazné zvýšenie hodnôt pečeňových enzýmov, sa má lizinopril vysadiť a je im potrebné kontrolovať funkcie pečene až do zotavenia.</w:t>
      </w:r>
    </w:p>
    <w:p w14:paraId="41037C55" w14:textId="77777777" w:rsidR="004073F0" w:rsidRPr="000A1CF2" w:rsidRDefault="004073F0" w:rsidP="00075097">
      <w:pPr>
        <w:rPr>
          <w:rFonts w:cs="Times New Roman"/>
          <w:lang w:val="sk"/>
        </w:rPr>
      </w:pPr>
    </w:p>
    <w:p w14:paraId="3DC58EF0" w14:textId="77777777" w:rsidR="004073F0" w:rsidRPr="000A1CF2" w:rsidRDefault="004073F0" w:rsidP="00075097">
      <w:pPr>
        <w:rPr>
          <w:rFonts w:cs="Times New Roman"/>
          <w:i/>
          <w:lang w:val="sk"/>
        </w:rPr>
      </w:pPr>
      <w:r w:rsidRPr="000A1CF2">
        <w:rPr>
          <w:rFonts w:cs="Times New Roman"/>
          <w:i/>
          <w:iCs/>
          <w:lang w:val="sk"/>
        </w:rPr>
        <w:t>Hyperkaliémia</w:t>
      </w:r>
    </w:p>
    <w:p w14:paraId="5F0960A8" w14:textId="77777777" w:rsidR="004073F0" w:rsidRPr="000A1CF2" w:rsidRDefault="004073F0" w:rsidP="00075097">
      <w:pPr>
        <w:rPr>
          <w:rFonts w:cs="Times New Roman"/>
          <w:lang w:val="sk"/>
        </w:rPr>
      </w:pPr>
      <w:r w:rsidRPr="000A1CF2">
        <w:rPr>
          <w:rFonts w:cs="Times New Roman"/>
          <w:lang w:val="sk"/>
        </w:rPr>
        <w:t xml:space="preserve">Počas liečby inhibítorom ACE sa môže vyskytnúť hyperkaliémia. Medzi pacientov s rizikom vzniku hyperkaliémie patria jedinci s renálnou insuficienciou, ochorením </w:t>
      </w:r>
      <w:r w:rsidRPr="00830D1C">
        <w:rPr>
          <w:rFonts w:cs="Times New Roman"/>
          <w:i/>
          <w:lang w:val="sk"/>
        </w:rPr>
        <w:t>diabetes mellitus</w:t>
      </w:r>
      <w:r w:rsidRPr="000A1CF2">
        <w:rPr>
          <w:rFonts w:cs="Times New Roman"/>
          <w:lang w:val="sk"/>
        </w:rPr>
        <w:t xml:space="preserve"> a hypoaldosteronizmom, ďalej pacienti, ktorí súbežne užívajú diuretiká šetriace draslík, draslíkové výživové doplnky alebo náhrady soli s obsahom draslíka, ako i pacienti, ktorí užívajú iné účinné látky súvisiace so zvýšenou sérovou hladinou draslíka (napr. heparín, kotrimoxazol, známy tiež ako trimetoprim/sulfametoxazol). </w:t>
      </w:r>
    </w:p>
    <w:p w14:paraId="05CDF436" w14:textId="77777777" w:rsidR="004073F0" w:rsidRPr="000A1CF2" w:rsidRDefault="004073F0" w:rsidP="00075097">
      <w:pPr>
        <w:rPr>
          <w:rFonts w:cs="Times New Roman"/>
          <w:lang w:val="sk"/>
        </w:rPr>
      </w:pPr>
      <w:r w:rsidRPr="000A1CF2">
        <w:rPr>
          <w:rFonts w:cs="Times New Roman"/>
          <w:lang w:val="sk"/>
        </w:rPr>
        <w:t>Hyperkaliémia môže spôsobiť závažné, niekedy až život ohrozujúce srdcové arytmie.</w:t>
      </w:r>
    </w:p>
    <w:p w14:paraId="491E73AA" w14:textId="77777777" w:rsidR="004073F0" w:rsidRPr="000A1CF2" w:rsidRDefault="004073F0" w:rsidP="00075097">
      <w:pPr>
        <w:rPr>
          <w:rFonts w:cs="Times New Roman"/>
          <w:lang w:val="sk"/>
        </w:rPr>
      </w:pPr>
      <w:r w:rsidRPr="000A1CF2">
        <w:rPr>
          <w:rFonts w:cs="Times New Roman"/>
          <w:lang w:val="sk"/>
        </w:rPr>
        <w:t>Ak lekár pokladá za vhodné, aby pacient súbežne užíval uvedené lieky s týmto liečivom, odporúča sa pravidelné monitorovanie sérovej hladiny draslíka (pozri časť 4.5).</w:t>
      </w:r>
    </w:p>
    <w:p w14:paraId="30481581" w14:textId="77777777" w:rsidR="000A1CF2" w:rsidRPr="000A1CF2" w:rsidRDefault="000A1CF2" w:rsidP="00075097">
      <w:pPr>
        <w:rPr>
          <w:rFonts w:cs="Times New Roman"/>
          <w:lang w:val="sk"/>
        </w:rPr>
      </w:pPr>
    </w:p>
    <w:p w14:paraId="586DBA0C" w14:textId="77777777" w:rsidR="004073F0" w:rsidRPr="000A1CF2" w:rsidRDefault="004073F0" w:rsidP="00075097">
      <w:pPr>
        <w:rPr>
          <w:rFonts w:cs="Times New Roman"/>
          <w:i/>
          <w:lang w:val="sk"/>
        </w:rPr>
      </w:pPr>
      <w:r w:rsidRPr="000A1CF2">
        <w:rPr>
          <w:rFonts w:cs="Times New Roman"/>
          <w:i/>
          <w:iCs/>
          <w:lang w:val="sk"/>
        </w:rPr>
        <w:t>Hypoglykémia</w:t>
      </w:r>
    </w:p>
    <w:p w14:paraId="04874371" w14:textId="77777777" w:rsidR="004073F0" w:rsidRPr="000A1CF2" w:rsidRDefault="004073F0" w:rsidP="00075097">
      <w:pPr>
        <w:rPr>
          <w:rFonts w:cs="Times New Roman"/>
          <w:lang w:val="sk"/>
        </w:rPr>
      </w:pPr>
      <w:r w:rsidRPr="000A1CF2">
        <w:rPr>
          <w:rFonts w:cs="Times New Roman"/>
          <w:lang w:val="sk"/>
        </w:rPr>
        <w:t>Diabetickí pacienti liečení perorálnymi antidiabetikami alebo inzulínom majú byť informovaní o potrebe kontrolovať hladinu krvného cukru kvôli riziku hypoglykémie, a to najmä počas prvého mesiaca liečby inhibítorom ACE (pozri časť 4.5).</w:t>
      </w:r>
    </w:p>
    <w:p w14:paraId="5432FACD" w14:textId="77777777" w:rsidR="004073F0" w:rsidRPr="000A1CF2" w:rsidRDefault="004073F0" w:rsidP="00075097">
      <w:pPr>
        <w:rPr>
          <w:rFonts w:cs="Times New Roman"/>
          <w:lang w:val="sk"/>
        </w:rPr>
      </w:pPr>
    </w:p>
    <w:p w14:paraId="42CC5F84" w14:textId="77777777" w:rsidR="004073F0" w:rsidRPr="000A1CF2" w:rsidRDefault="004073F0" w:rsidP="00075097">
      <w:pPr>
        <w:rPr>
          <w:rFonts w:cs="Times New Roman"/>
          <w:i/>
          <w:lang w:val="sk"/>
        </w:rPr>
      </w:pPr>
      <w:r w:rsidRPr="000A1CF2">
        <w:rPr>
          <w:rFonts w:cs="Times New Roman"/>
          <w:i/>
          <w:iCs/>
          <w:lang w:val="sk"/>
        </w:rPr>
        <w:t>Kašeľ</w:t>
      </w:r>
    </w:p>
    <w:p w14:paraId="35792B03" w14:textId="77777777" w:rsidR="004073F0" w:rsidRPr="000A1CF2" w:rsidRDefault="004073F0" w:rsidP="00075097">
      <w:pPr>
        <w:rPr>
          <w:rFonts w:cs="Times New Roman"/>
          <w:lang w:val="sk"/>
        </w:rPr>
      </w:pPr>
      <w:r w:rsidRPr="000A1CF2">
        <w:rPr>
          <w:rFonts w:cs="Times New Roman"/>
          <w:lang w:val="sk"/>
        </w:rPr>
        <w:t>Počas užívania inhibítorov ACE bol hlásený výskyt kašľa. Kašeľ je zvyčajne neproduktívny, pretrvávajúci, zhoršuje sa v noci a ustúpi po prerušení liečby. Kašeľ vyvolaný inhibítormi ACE treba vziať do úvahy ako súčasť diferenciálnej diagnostiky kašľa (pozri tiež časť 4.8).</w:t>
      </w:r>
    </w:p>
    <w:p w14:paraId="0473E6B0" w14:textId="77777777" w:rsidR="004073F0" w:rsidRPr="000A1CF2" w:rsidRDefault="004073F0" w:rsidP="00075097">
      <w:pPr>
        <w:rPr>
          <w:rFonts w:cs="Times New Roman"/>
          <w:lang w:val="sk"/>
        </w:rPr>
      </w:pPr>
    </w:p>
    <w:p w14:paraId="6D65A42F" w14:textId="77777777" w:rsidR="004073F0" w:rsidRPr="000A1CF2" w:rsidRDefault="004073F0" w:rsidP="00075097">
      <w:pPr>
        <w:rPr>
          <w:rFonts w:cs="Times New Roman"/>
          <w:i/>
          <w:lang w:val="sk"/>
        </w:rPr>
      </w:pPr>
      <w:r w:rsidRPr="000A1CF2">
        <w:rPr>
          <w:rFonts w:cs="Times New Roman"/>
          <w:i/>
          <w:iCs/>
          <w:lang w:val="sk"/>
        </w:rPr>
        <w:t>Chirurgický zákrok/anestézia</w:t>
      </w:r>
    </w:p>
    <w:p w14:paraId="330ED922" w14:textId="7B12AA60" w:rsidR="004073F0" w:rsidRPr="000A1CF2" w:rsidRDefault="004073F0" w:rsidP="00075097">
      <w:pPr>
        <w:rPr>
          <w:rFonts w:cs="Times New Roman"/>
          <w:lang w:val="sk"/>
        </w:rPr>
      </w:pPr>
      <w:r w:rsidRPr="000A1CF2">
        <w:rPr>
          <w:rFonts w:cs="Times New Roman"/>
          <w:lang w:val="sk"/>
        </w:rPr>
        <w:t>Zablokovaním tvorby angiotenzínu II a kompenzačného uvoľňovania renínu narúša lizinopril renín-angiotenzín-aldosterónový systém, čo u pacientov podstupujúcich anestéziu alebo rozsiahly chirurgický zákrok zvyšuje riziko hypotenzie. Hypotenzia sa má liečiť, pričom je jej potrebné predchádzať expanziou objemu.</w:t>
      </w:r>
    </w:p>
    <w:p w14:paraId="5BACAA1E" w14:textId="77777777" w:rsidR="004073F0" w:rsidRPr="000A1CF2" w:rsidRDefault="004073F0" w:rsidP="00075097">
      <w:pPr>
        <w:rPr>
          <w:rFonts w:cs="Times New Roman"/>
          <w:i/>
          <w:lang w:val="sk"/>
        </w:rPr>
      </w:pPr>
      <w:r w:rsidRPr="000A1CF2">
        <w:rPr>
          <w:rFonts w:cs="Times New Roman"/>
          <w:i/>
          <w:iCs/>
          <w:lang w:val="sk"/>
        </w:rPr>
        <w:lastRenderedPageBreak/>
        <w:t>Duálna blokáda renín-angiotenzín-aldosterónového systému (RAAS)</w:t>
      </w:r>
    </w:p>
    <w:p w14:paraId="0A0726A8" w14:textId="77777777" w:rsidR="004073F0" w:rsidRPr="000A1CF2" w:rsidRDefault="004073F0" w:rsidP="00075097">
      <w:pPr>
        <w:rPr>
          <w:rFonts w:cs="Times New Roman"/>
          <w:lang w:val="sk"/>
        </w:rPr>
      </w:pPr>
      <w:r w:rsidRPr="000A1CF2">
        <w:rPr>
          <w:rFonts w:cs="Times New Roman"/>
          <w:lang w:val="sk"/>
        </w:rPr>
        <w:t>Existujú dôkazy, že súbežné použitie inhibítorov ACE, blokátorov receptorov angiotenzínu II alebo aliskirénu zvyšuje riziko hypotenzie, hyperkaliémie a zníženia funkcie obličiek (vrátane akútneho zlyhávania obličiek). Duálna blokáda RAAS prostredníctvom kombinovaného použitia inhibítorov ACE, blokátorov receptorov angiotenzínu II alebo aliskirénu sa preto neodporúča (pozri časti 4.5 a 5.1).</w:t>
      </w:r>
    </w:p>
    <w:p w14:paraId="4F62A1C5" w14:textId="77777777" w:rsidR="004073F0" w:rsidRPr="000A1CF2" w:rsidRDefault="004073F0" w:rsidP="00075097">
      <w:pPr>
        <w:rPr>
          <w:rFonts w:cs="Times New Roman"/>
          <w:lang w:val="sk"/>
        </w:rPr>
      </w:pPr>
    </w:p>
    <w:p w14:paraId="15E4D8E3" w14:textId="77777777" w:rsidR="004073F0" w:rsidRPr="000A1CF2" w:rsidRDefault="004073F0" w:rsidP="00075097">
      <w:pPr>
        <w:rPr>
          <w:rFonts w:cs="Times New Roman"/>
          <w:lang w:val="sk"/>
        </w:rPr>
      </w:pPr>
      <w:r w:rsidRPr="000A1CF2">
        <w:rPr>
          <w:rFonts w:cs="Times New Roman"/>
          <w:lang w:val="sk"/>
        </w:rPr>
        <w:t>Ak sa liečba duálnou blokádou považuje za absolútne nevyhnutnú, má sa uskutočniť len pod dohľadom odborníka a za častého sledovania funkcie obličiek, hladiny elektrolytov a krvného tlaku.</w:t>
      </w:r>
    </w:p>
    <w:p w14:paraId="07613989" w14:textId="77777777" w:rsidR="004073F0" w:rsidRPr="000A1CF2" w:rsidRDefault="004073F0" w:rsidP="00075097">
      <w:pPr>
        <w:rPr>
          <w:rFonts w:cs="Times New Roman"/>
          <w:lang w:val="sk"/>
        </w:rPr>
      </w:pPr>
    </w:p>
    <w:p w14:paraId="37E8F1AB" w14:textId="77777777" w:rsidR="004073F0" w:rsidRPr="000A1CF2" w:rsidRDefault="004073F0" w:rsidP="00075097">
      <w:pPr>
        <w:rPr>
          <w:rFonts w:cs="Times New Roman"/>
          <w:lang w:val="sk"/>
        </w:rPr>
      </w:pPr>
      <w:r w:rsidRPr="000A1CF2">
        <w:rPr>
          <w:rFonts w:cs="Times New Roman"/>
          <w:lang w:val="sk"/>
        </w:rPr>
        <w:t>Inhibítory ACE a blokátory receptorov angiotenzínu II sa nemajú používať súčasne u pacientov s diabetickou nefropatiou.</w:t>
      </w:r>
    </w:p>
    <w:p w14:paraId="7E8C1019" w14:textId="77777777" w:rsidR="004073F0" w:rsidRPr="000A1CF2" w:rsidRDefault="004073F0" w:rsidP="00075097">
      <w:pPr>
        <w:rPr>
          <w:rFonts w:cs="Times New Roman"/>
          <w:lang w:val="sk"/>
        </w:rPr>
      </w:pPr>
    </w:p>
    <w:p w14:paraId="5E528D42" w14:textId="77777777" w:rsidR="004073F0" w:rsidRPr="000A1CF2" w:rsidRDefault="004073F0" w:rsidP="00075097">
      <w:pPr>
        <w:rPr>
          <w:rFonts w:cs="Times New Roman"/>
          <w:i/>
          <w:lang w:val="sk"/>
        </w:rPr>
      </w:pPr>
      <w:r w:rsidRPr="000A1CF2">
        <w:rPr>
          <w:rFonts w:cs="Times New Roman"/>
          <w:i/>
          <w:iCs/>
          <w:lang w:val="sk"/>
        </w:rPr>
        <w:t>Lítium</w:t>
      </w:r>
    </w:p>
    <w:p w14:paraId="200218AF" w14:textId="77777777" w:rsidR="004073F0" w:rsidRPr="000A1CF2" w:rsidRDefault="004073F0" w:rsidP="00075097">
      <w:pPr>
        <w:rPr>
          <w:rFonts w:cs="Times New Roman"/>
          <w:lang w:val="sk"/>
        </w:rPr>
      </w:pPr>
      <w:r w:rsidRPr="000A1CF2">
        <w:rPr>
          <w:rFonts w:cs="Times New Roman"/>
          <w:lang w:val="sk"/>
        </w:rPr>
        <w:t>Kombinácia lítia a lizinoprilu sa zvyčajne neodporúča (pozri časť 4.5)</w:t>
      </w:r>
    </w:p>
    <w:p w14:paraId="0B79C725" w14:textId="77777777" w:rsidR="004073F0" w:rsidRPr="000A1CF2" w:rsidRDefault="004073F0" w:rsidP="00075097">
      <w:pPr>
        <w:rPr>
          <w:rFonts w:cs="Times New Roman"/>
          <w:lang w:val="sk"/>
        </w:rPr>
      </w:pPr>
    </w:p>
    <w:p w14:paraId="59D99A8D" w14:textId="77777777" w:rsidR="004073F0" w:rsidRPr="000A1CF2" w:rsidRDefault="004073F0" w:rsidP="00075097">
      <w:pPr>
        <w:rPr>
          <w:rFonts w:cs="Times New Roman"/>
          <w:i/>
          <w:lang w:val="sk"/>
        </w:rPr>
      </w:pPr>
      <w:r w:rsidRPr="000A1CF2">
        <w:rPr>
          <w:rFonts w:cs="Times New Roman"/>
          <w:i/>
          <w:iCs/>
          <w:lang w:val="sk"/>
        </w:rPr>
        <w:t>Rasa</w:t>
      </w:r>
    </w:p>
    <w:p w14:paraId="0C0AF156" w14:textId="175B3C6A" w:rsidR="004073F0" w:rsidRPr="000A1CF2" w:rsidRDefault="004073F0" w:rsidP="00075097">
      <w:pPr>
        <w:rPr>
          <w:rFonts w:cs="Times New Roman"/>
          <w:lang w:val="sk"/>
        </w:rPr>
      </w:pPr>
      <w:r w:rsidRPr="000A1CF2">
        <w:rPr>
          <w:rFonts w:cs="Times New Roman"/>
          <w:lang w:val="sk"/>
        </w:rPr>
        <w:t>Inhibítory enzýmu konvertujúceho angiotenzín spôsobujú vyšší výskyt angioedému u pacientov čiernej rasy</w:t>
      </w:r>
      <w:r w:rsidR="00477D5B">
        <w:rPr>
          <w:rFonts w:cs="Times New Roman"/>
          <w:lang w:val="sk"/>
        </w:rPr>
        <w:t xml:space="preserve"> ako</w:t>
      </w:r>
      <w:r w:rsidRPr="000A1CF2">
        <w:rPr>
          <w:rFonts w:cs="Times New Roman"/>
          <w:lang w:val="sk"/>
        </w:rPr>
        <w:t xml:space="preserve"> u ostatných pacientov.</w:t>
      </w:r>
    </w:p>
    <w:p w14:paraId="1AD9291E" w14:textId="1D2740C0" w:rsidR="004073F0" w:rsidRPr="000A1CF2" w:rsidRDefault="004073F0" w:rsidP="00075097">
      <w:pPr>
        <w:rPr>
          <w:rFonts w:cs="Times New Roman"/>
          <w:lang w:val="sk"/>
        </w:rPr>
      </w:pPr>
      <w:r w:rsidRPr="000A1CF2">
        <w:rPr>
          <w:rFonts w:cs="Times New Roman"/>
          <w:lang w:val="sk"/>
        </w:rPr>
        <w:t xml:space="preserve">Lizinopril môže byť, podobne ako iné inhibítory ACE, menej účinný pri znižovaní krvného tlaku u pacientov čiernej rasy </w:t>
      </w:r>
      <w:r w:rsidR="00477D5B">
        <w:rPr>
          <w:rFonts w:cs="Times New Roman"/>
          <w:lang w:val="sk"/>
        </w:rPr>
        <w:t>ako</w:t>
      </w:r>
      <w:r w:rsidRPr="000A1CF2">
        <w:rPr>
          <w:rFonts w:cs="Times New Roman"/>
          <w:lang w:val="sk"/>
        </w:rPr>
        <w:t xml:space="preserve"> u ostatných jedincov, pravdepodobne z dôvodu vyššej prevalencie stavov s nízkou hladinou renínu </w:t>
      </w:r>
      <w:r w:rsidR="00477D5B">
        <w:rPr>
          <w:rFonts w:cs="Times New Roman"/>
          <w:lang w:val="sk"/>
        </w:rPr>
        <w:t>v</w:t>
      </w:r>
      <w:r w:rsidRPr="000A1CF2">
        <w:rPr>
          <w:rFonts w:cs="Times New Roman"/>
          <w:lang w:val="sk"/>
        </w:rPr>
        <w:t>populáci</w:t>
      </w:r>
      <w:r w:rsidR="00477D5B">
        <w:rPr>
          <w:rFonts w:cs="Times New Roman"/>
          <w:lang w:val="sk"/>
        </w:rPr>
        <w:t>i</w:t>
      </w:r>
      <w:r w:rsidRPr="000A1CF2">
        <w:rPr>
          <w:rFonts w:cs="Times New Roman"/>
          <w:lang w:val="sk"/>
        </w:rPr>
        <w:t xml:space="preserve"> čiernej rasy</w:t>
      </w:r>
      <w:r w:rsidR="00477D5B">
        <w:rPr>
          <w:rFonts w:cs="Times New Roman"/>
          <w:lang w:val="sk"/>
        </w:rPr>
        <w:t xml:space="preserve"> s hypertenziou</w:t>
      </w:r>
      <w:r w:rsidRPr="000A1CF2">
        <w:rPr>
          <w:rFonts w:cs="Times New Roman"/>
          <w:lang w:val="sk"/>
        </w:rPr>
        <w:t>.</w:t>
      </w:r>
    </w:p>
    <w:p w14:paraId="180B1235" w14:textId="77777777" w:rsidR="004073F0" w:rsidRPr="000A1CF2" w:rsidRDefault="004073F0" w:rsidP="00075097">
      <w:pPr>
        <w:rPr>
          <w:rFonts w:cs="Times New Roman"/>
          <w:lang w:val="sk"/>
        </w:rPr>
      </w:pPr>
    </w:p>
    <w:p w14:paraId="7BC63878" w14:textId="77777777" w:rsidR="004073F0" w:rsidRPr="000A1CF2" w:rsidRDefault="004073F0" w:rsidP="00075097">
      <w:pPr>
        <w:rPr>
          <w:rFonts w:cs="Times New Roman"/>
          <w:i/>
          <w:lang w:val="sk"/>
        </w:rPr>
      </w:pPr>
      <w:r w:rsidRPr="000A1CF2">
        <w:rPr>
          <w:rFonts w:cs="Times New Roman"/>
          <w:i/>
          <w:iCs/>
          <w:noProof/>
          <w:lang w:val="sk"/>
        </w:rPr>
        <w:t>Gravidita</w:t>
      </w:r>
      <w:r w:rsidRPr="000A1CF2">
        <w:rPr>
          <w:rFonts w:cs="Times New Roman"/>
          <w:i/>
          <w:iCs/>
          <w:lang w:val="sk"/>
        </w:rPr>
        <w:t xml:space="preserve"> </w:t>
      </w:r>
    </w:p>
    <w:p w14:paraId="7E713CCA" w14:textId="05EBD75A" w:rsidR="004073F0" w:rsidRPr="000A1CF2" w:rsidRDefault="004073F0" w:rsidP="00075097">
      <w:pPr>
        <w:rPr>
          <w:rFonts w:cs="Times New Roman"/>
          <w:lang w:val="sk"/>
        </w:rPr>
      </w:pPr>
      <w:r w:rsidRPr="000A1CF2">
        <w:rPr>
          <w:rFonts w:cs="Times New Roman"/>
          <w:lang w:val="sk"/>
        </w:rPr>
        <w:t xml:space="preserve">Liečba inhibítormi ACE sa nemá začínať počas gravidity. Pokiaľ sa pokračovanie v liečbe inhibítorom ACE považuje za nevyhnutné, pacientkam, ktoré plánujú otehotnieť, sa má liečba zmeniť na alternatívnu antihypertenzívnu liečbu, ktorá je pokladaná za bezpečnú v období gravidity. Keď je gravidita potvrdená, liečba inhibítormi ACE sa má ihneď ukončiť a ak je to vhodné, má sa </w:t>
      </w:r>
      <w:r w:rsidR="00477D5B">
        <w:rPr>
          <w:rFonts w:cs="Times New Roman"/>
          <w:lang w:val="sk"/>
        </w:rPr>
        <w:t xml:space="preserve">začať </w:t>
      </w:r>
      <w:r w:rsidRPr="000A1CF2">
        <w:rPr>
          <w:rFonts w:cs="Times New Roman"/>
          <w:lang w:val="sk"/>
        </w:rPr>
        <w:t>alternatívna liečba (pozri časti 4.3 a 4.6).</w:t>
      </w:r>
    </w:p>
    <w:p w14:paraId="5936127C" w14:textId="77777777" w:rsidR="000A1CF2" w:rsidRPr="000A1CF2" w:rsidRDefault="000A1CF2" w:rsidP="00075097">
      <w:pPr>
        <w:rPr>
          <w:rFonts w:cs="Times New Roman"/>
          <w:lang w:val="sk"/>
        </w:rPr>
      </w:pPr>
    </w:p>
    <w:p w14:paraId="0A6FF7B1" w14:textId="77777777" w:rsidR="004073F0" w:rsidRPr="000A1CF2" w:rsidRDefault="004073F0" w:rsidP="00075097">
      <w:pPr>
        <w:rPr>
          <w:rFonts w:cs="Times New Roman"/>
          <w:b/>
          <w:u w:val="single"/>
          <w:lang w:val="sk"/>
        </w:rPr>
      </w:pPr>
      <w:r w:rsidRPr="000A1CF2">
        <w:rPr>
          <w:rFonts w:cs="Times New Roman"/>
          <w:b/>
          <w:bCs/>
          <w:u w:val="single"/>
          <w:lang w:val="sk"/>
        </w:rPr>
        <w:t>Súvisiace s torasemidom:</w:t>
      </w:r>
    </w:p>
    <w:p w14:paraId="047DF036" w14:textId="77777777" w:rsidR="000C7775" w:rsidRPr="000A1CF2" w:rsidRDefault="000C7775" w:rsidP="00075097">
      <w:pPr>
        <w:rPr>
          <w:rFonts w:cs="Times New Roman"/>
          <w:b/>
          <w:u w:val="single"/>
          <w:lang w:val="sk"/>
        </w:rPr>
      </w:pPr>
    </w:p>
    <w:p w14:paraId="6E74EFDA" w14:textId="77777777" w:rsidR="004073F0" w:rsidRPr="000A1CF2" w:rsidRDefault="004073F0" w:rsidP="00075097">
      <w:pPr>
        <w:rPr>
          <w:rFonts w:cs="Times New Roman"/>
          <w:lang w:val="sk"/>
        </w:rPr>
      </w:pPr>
      <w:r w:rsidRPr="000A1CF2">
        <w:rPr>
          <w:rFonts w:cs="Times New Roman"/>
          <w:lang w:val="sk"/>
        </w:rPr>
        <w:t>Pri dlhodobej liečbe torasemidom sa odporúča pravidelné sledovanie rovnováhy elektrolytov, glukózy, kyseliny močovej, kreatinínu a lipidov v krvi.</w:t>
      </w:r>
    </w:p>
    <w:p w14:paraId="17226CCB" w14:textId="77777777" w:rsidR="004073F0" w:rsidRPr="000A1CF2" w:rsidRDefault="004073F0" w:rsidP="00075097">
      <w:pPr>
        <w:rPr>
          <w:rFonts w:cs="Times New Roman"/>
          <w:lang w:val="sk"/>
        </w:rPr>
      </w:pPr>
    </w:p>
    <w:p w14:paraId="1EB45F1F" w14:textId="77777777" w:rsidR="004073F0" w:rsidRPr="000A1CF2" w:rsidRDefault="004073F0" w:rsidP="00075097">
      <w:pPr>
        <w:rPr>
          <w:rFonts w:cs="Times New Roman"/>
          <w:lang w:val="sk"/>
        </w:rPr>
      </w:pPr>
      <w:r w:rsidRPr="000A1CF2">
        <w:rPr>
          <w:rFonts w:cs="Times New Roman"/>
          <w:lang w:val="sk"/>
        </w:rPr>
        <w:t xml:space="preserve">Keďže sa môže vyskytnúť zvýšenie hladiny glukózy v krvi, u pacientov s latentným alebo prejavujúcim sa ochorením </w:t>
      </w:r>
      <w:r w:rsidRPr="00830D1C">
        <w:rPr>
          <w:rFonts w:cs="Times New Roman"/>
          <w:i/>
          <w:lang w:val="sk"/>
        </w:rPr>
        <w:t>diabetes mellitus</w:t>
      </w:r>
      <w:r w:rsidRPr="000A1CF2">
        <w:rPr>
          <w:rFonts w:cs="Times New Roman"/>
          <w:lang w:val="sk"/>
        </w:rPr>
        <w:t xml:space="preserve"> sa odporúča dôsledné sledovanie metabolizmu sacharidov.</w:t>
      </w:r>
    </w:p>
    <w:p w14:paraId="08B1E4A8" w14:textId="77777777" w:rsidR="004073F0" w:rsidRPr="000A1CF2" w:rsidRDefault="004073F0" w:rsidP="00075097">
      <w:pPr>
        <w:rPr>
          <w:rFonts w:cs="Times New Roman"/>
          <w:lang w:val="sk"/>
        </w:rPr>
      </w:pPr>
    </w:p>
    <w:p w14:paraId="2B9DC3F2" w14:textId="77777777" w:rsidR="004073F0" w:rsidRPr="000A1CF2" w:rsidRDefault="004073F0" w:rsidP="00075097">
      <w:pPr>
        <w:rPr>
          <w:rFonts w:cs="Times New Roman"/>
          <w:lang w:val="sk"/>
        </w:rPr>
      </w:pPr>
      <w:r w:rsidRPr="000A1CF2">
        <w:rPr>
          <w:rFonts w:cs="Times New Roman"/>
          <w:lang w:val="sk"/>
        </w:rPr>
        <w:t xml:space="preserve">Vzhľadom na nedostatočné skúsenosti s liečbou torasemidom sa použitie </w:t>
      </w:r>
      <w:r w:rsidRPr="000A1CF2">
        <w:rPr>
          <w:rFonts w:cs="Times New Roman"/>
          <w:shd w:val="clear" w:color="auto" w:fill="FFFFFF"/>
          <w:lang w:val="sk"/>
        </w:rPr>
        <w:t>Lisemidu</w:t>
      </w:r>
      <w:r w:rsidRPr="000A1CF2">
        <w:rPr>
          <w:rFonts w:cs="Times New Roman"/>
          <w:lang w:val="sk"/>
        </w:rPr>
        <w:t xml:space="preserve"> neodporúča pri týchto ochoreniach:</w:t>
      </w:r>
    </w:p>
    <w:p w14:paraId="5E72D641" w14:textId="77777777" w:rsidR="004073F0" w:rsidRPr="000A1CF2" w:rsidRDefault="004073F0" w:rsidP="00075097">
      <w:pPr>
        <w:pStyle w:val="Odsekzoznamu"/>
        <w:numPr>
          <w:ilvl w:val="0"/>
          <w:numId w:val="5"/>
        </w:numPr>
        <w:ind w:left="0" w:firstLine="0"/>
        <w:rPr>
          <w:rFonts w:cs="Times New Roman"/>
        </w:rPr>
      </w:pPr>
      <w:r w:rsidRPr="000A1CF2">
        <w:rPr>
          <w:rFonts w:cs="Times New Roman"/>
          <w:lang w:val="sk"/>
        </w:rPr>
        <w:t xml:space="preserve">dna, </w:t>
      </w:r>
    </w:p>
    <w:p w14:paraId="7692766B" w14:textId="2D211B3F" w:rsidR="004073F0" w:rsidRPr="000A1CF2" w:rsidRDefault="004073F0" w:rsidP="00075097">
      <w:pPr>
        <w:pStyle w:val="Odsekzoznamu"/>
        <w:numPr>
          <w:ilvl w:val="0"/>
          <w:numId w:val="5"/>
        </w:numPr>
        <w:ind w:left="0" w:firstLine="0"/>
        <w:rPr>
          <w:rFonts w:cs="Times New Roman"/>
        </w:rPr>
      </w:pPr>
      <w:r w:rsidRPr="000A1CF2">
        <w:rPr>
          <w:rFonts w:cs="Times New Roman"/>
          <w:lang w:val="sk"/>
        </w:rPr>
        <w:t>srdcové arytmie (napr. sinoatriáln</w:t>
      </w:r>
      <w:r w:rsidR="00511061">
        <w:rPr>
          <w:rFonts w:cs="Times New Roman"/>
          <w:lang w:val="sk"/>
        </w:rPr>
        <w:t>a</w:t>
      </w:r>
      <w:r w:rsidRPr="000A1CF2">
        <w:rPr>
          <w:rFonts w:cs="Times New Roman"/>
          <w:lang w:val="sk"/>
        </w:rPr>
        <w:t xml:space="preserve"> blok</w:t>
      </w:r>
      <w:r w:rsidR="00511061">
        <w:rPr>
          <w:rFonts w:cs="Times New Roman"/>
          <w:lang w:val="sk"/>
        </w:rPr>
        <w:t>áda</w:t>
      </w:r>
      <w:r w:rsidRPr="000A1CF2">
        <w:rPr>
          <w:rFonts w:cs="Times New Roman"/>
          <w:lang w:val="sk"/>
        </w:rPr>
        <w:t>, atrioventrikulárn</w:t>
      </w:r>
      <w:r w:rsidR="00511061">
        <w:rPr>
          <w:rFonts w:cs="Times New Roman"/>
          <w:lang w:val="sk"/>
        </w:rPr>
        <w:t>a</w:t>
      </w:r>
      <w:r w:rsidRPr="000A1CF2">
        <w:rPr>
          <w:rFonts w:cs="Times New Roman"/>
          <w:lang w:val="sk"/>
        </w:rPr>
        <w:t xml:space="preserve"> blok</w:t>
      </w:r>
      <w:r w:rsidR="00511061">
        <w:rPr>
          <w:rFonts w:cs="Times New Roman"/>
          <w:lang w:val="sk"/>
        </w:rPr>
        <w:t>áda</w:t>
      </w:r>
      <w:r w:rsidRPr="000A1CF2">
        <w:rPr>
          <w:rFonts w:cs="Times New Roman"/>
          <w:lang w:val="sk"/>
        </w:rPr>
        <w:t xml:space="preserve"> II. alebo III. stupňa), </w:t>
      </w:r>
    </w:p>
    <w:p w14:paraId="6BD5DBE8" w14:textId="77777777" w:rsidR="004073F0" w:rsidRPr="000A1CF2" w:rsidRDefault="004073F0" w:rsidP="00075097">
      <w:pPr>
        <w:pStyle w:val="Odsekzoznamu"/>
        <w:numPr>
          <w:ilvl w:val="0"/>
          <w:numId w:val="5"/>
        </w:numPr>
        <w:ind w:left="0" w:firstLine="0"/>
        <w:rPr>
          <w:rFonts w:cs="Times New Roman"/>
        </w:rPr>
      </w:pPr>
      <w:r w:rsidRPr="000A1CF2">
        <w:rPr>
          <w:rFonts w:cs="Times New Roman"/>
          <w:lang w:val="sk"/>
        </w:rPr>
        <w:t xml:space="preserve">patologické zmeny v rovnováhe kyselín/zásad, </w:t>
      </w:r>
    </w:p>
    <w:p w14:paraId="066248FF" w14:textId="77777777" w:rsidR="004073F0" w:rsidRPr="000A1CF2" w:rsidRDefault="004073F0" w:rsidP="00075097">
      <w:pPr>
        <w:pStyle w:val="Odsekzoznamu"/>
        <w:numPr>
          <w:ilvl w:val="0"/>
          <w:numId w:val="5"/>
        </w:numPr>
        <w:ind w:left="0" w:firstLine="0"/>
        <w:rPr>
          <w:rFonts w:cs="Times New Roman"/>
        </w:rPr>
      </w:pPr>
      <w:r w:rsidRPr="000A1CF2">
        <w:rPr>
          <w:rFonts w:cs="Times New Roman"/>
          <w:lang w:val="sk"/>
        </w:rPr>
        <w:t>súbežná liečba lítiom, aminoglykozidmi, cefalosporínmi,</w:t>
      </w:r>
    </w:p>
    <w:p w14:paraId="03971FE7" w14:textId="77777777" w:rsidR="004073F0" w:rsidRPr="000A1CF2" w:rsidRDefault="004073F0" w:rsidP="00075097">
      <w:pPr>
        <w:pStyle w:val="Odsekzoznamu"/>
        <w:numPr>
          <w:ilvl w:val="0"/>
          <w:numId w:val="5"/>
        </w:numPr>
        <w:ind w:left="0" w:firstLine="0"/>
        <w:rPr>
          <w:rFonts w:cs="Times New Roman"/>
        </w:rPr>
      </w:pPr>
      <w:r w:rsidRPr="000A1CF2">
        <w:rPr>
          <w:rFonts w:cs="Times New Roman"/>
          <w:lang w:val="sk"/>
        </w:rPr>
        <w:t xml:space="preserve">patologické zmeny krvných buniek (napr. trombocytopénia alebo anémia u pacientov bez zlyhávania obličiek), </w:t>
      </w:r>
    </w:p>
    <w:p w14:paraId="07104A87" w14:textId="556A1073" w:rsidR="004073F0" w:rsidRPr="005C6D77" w:rsidRDefault="004073F0" w:rsidP="00075097">
      <w:pPr>
        <w:pStyle w:val="Odsekzoznamu"/>
        <w:numPr>
          <w:ilvl w:val="0"/>
          <w:numId w:val="5"/>
        </w:numPr>
        <w:ind w:left="0" w:firstLine="0"/>
        <w:rPr>
          <w:rFonts w:cs="Times New Roman"/>
        </w:rPr>
      </w:pPr>
      <w:r w:rsidRPr="000A1CF2">
        <w:rPr>
          <w:rFonts w:cs="Times New Roman"/>
          <w:lang w:val="sk"/>
        </w:rPr>
        <w:t xml:space="preserve">zlyhávanie obličiek v dôsledku nefrotoxických látok. </w:t>
      </w:r>
    </w:p>
    <w:p w14:paraId="1707E37A" w14:textId="0FEF686D" w:rsidR="004073F0" w:rsidRPr="000A1CF2" w:rsidRDefault="004073F0" w:rsidP="00075097">
      <w:pPr>
        <w:rPr>
          <w:rFonts w:cs="Times New Roman"/>
          <w:lang w:val="sk"/>
        </w:rPr>
      </w:pPr>
      <w:r w:rsidRPr="000A1CF2">
        <w:rPr>
          <w:rFonts w:cs="Times New Roman"/>
          <w:lang w:val="sk"/>
        </w:rPr>
        <w:lastRenderedPageBreak/>
        <w:t>Použitie torasemidu môže viesť k pozitívnym výsledkom pri dopingových kontrolách. Používanie</w:t>
      </w:r>
      <w:r w:rsidR="00407BEA">
        <w:rPr>
          <w:rFonts w:cs="Times New Roman"/>
          <w:lang w:val="sk"/>
        </w:rPr>
        <w:t xml:space="preserve"> torasemidu ako dopingu</w:t>
      </w:r>
      <w:r w:rsidRPr="000A1CF2">
        <w:rPr>
          <w:rFonts w:cs="Times New Roman"/>
          <w:lang w:val="sk"/>
        </w:rPr>
        <w:t xml:space="preserve"> môže byť zdraviu nebezpečné.</w:t>
      </w:r>
    </w:p>
    <w:p w14:paraId="24AE8F45" w14:textId="77777777" w:rsidR="004073F0" w:rsidRPr="0069070D" w:rsidRDefault="004073F0" w:rsidP="00075097">
      <w:pPr>
        <w:rPr>
          <w:rFonts w:cs="Times New Roman"/>
          <w:lang w:val="sk"/>
        </w:rPr>
      </w:pPr>
    </w:p>
    <w:p w14:paraId="57BB1CA3" w14:textId="77777777" w:rsidR="00190696" w:rsidRPr="0069070D" w:rsidRDefault="00DB4904" w:rsidP="00075097">
      <w:pPr>
        <w:rPr>
          <w:rFonts w:cs="Times New Roman"/>
          <w:b/>
          <w:lang w:val="sk"/>
        </w:rPr>
      </w:pPr>
      <w:r w:rsidRPr="0069070D">
        <w:rPr>
          <w:rFonts w:cs="Times New Roman"/>
          <w:b/>
          <w:bCs/>
          <w:lang w:val="sk"/>
        </w:rPr>
        <w:t xml:space="preserve">4.5 </w:t>
      </w:r>
      <w:r w:rsidRPr="0069070D">
        <w:rPr>
          <w:rFonts w:cs="Times New Roman"/>
          <w:b/>
          <w:bCs/>
          <w:lang w:val="sk"/>
        </w:rPr>
        <w:tab/>
        <w:t>Liekové a iné interakcie</w:t>
      </w:r>
    </w:p>
    <w:p w14:paraId="4046797F" w14:textId="77777777" w:rsidR="000C7775" w:rsidRPr="0069070D" w:rsidRDefault="000C7775" w:rsidP="00075097">
      <w:pPr>
        <w:rPr>
          <w:rFonts w:cs="Times New Roman"/>
          <w:b/>
          <w:lang w:val="sk"/>
        </w:rPr>
      </w:pPr>
    </w:p>
    <w:p w14:paraId="6AAFE6A2" w14:textId="77777777" w:rsidR="004073F0" w:rsidRPr="000A1CF2" w:rsidRDefault="004073F0" w:rsidP="00075097">
      <w:pPr>
        <w:rPr>
          <w:rFonts w:cs="Times New Roman"/>
          <w:b/>
          <w:u w:val="single"/>
          <w:lang w:val="sk"/>
        </w:rPr>
      </w:pPr>
      <w:r w:rsidRPr="000A1CF2">
        <w:rPr>
          <w:rFonts w:cs="Times New Roman"/>
          <w:b/>
          <w:bCs/>
          <w:u w:val="single"/>
          <w:lang w:val="sk"/>
        </w:rPr>
        <w:t>Súvisiace s lizinoprilom:</w:t>
      </w:r>
    </w:p>
    <w:p w14:paraId="792FCB76" w14:textId="77777777" w:rsidR="004073F0" w:rsidRPr="000A1CF2" w:rsidRDefault="004073F0" w:rsidP="00075097">
      <w:pPr>
        <w:rPr>
          <w:rFonts w:cs="Times New Roman"/>
          <w:lang w:val="sk"/>
        </w:rPr>
      </w:pPr>
    </w:p>
    <w:p w14:paraId="399D5C50" w14:textId="77777777" w:rsidR="004073F0" w:rsidRPr="000A1CF2" w:rsidRDefault="004073F0" w:rsidP="00075097">
      <w:pPr>
        <w:rPr>
          <w:rFonts w:cs="Times New Roman"/>
          <w:lang w:val="sk"/>
        </w:rPr>
      </w:pPr>
      <w:r w:rsidRPr="000A1CF2">
        <w:rPr>
          <w:rFonts w:cs="Times New Roman"/>
          <w:i/>
          <w:iCs/>
          <w:lang w:val="sk"/>
        </w:rPr>
        <w:t>Jedlo:</w:t>
      </w:r>
      <w:r w:rsidRPr="000A1CF2">
        <w:rPr>
          <w:rFonts w:cs="Times New Roman"/>
          <w:lang w:val="sk"/>
        </w:rPr>
        <w:t xml:space="preserve"> Prítomnosť jedla neovplyvňuje biologickú dostupnosť lizinoprilu.</w:t>
      </w:r>
    </w:p>
    <w:p w14:paraId="64EB3902" w14:textId="77777777" w:rsidR="004073F0" w:rsidRPr="000A1CF2" w:rsidRDefault="004073F0" w:rsidP="00075097">
      <w:pPr>
        <w:rPr>
          <w:rFonts w:cs="Times New Roman"/>
          <w:lang w:val="sk"/>
        </w:rPr>
      </w:pPr>
    </w:p>
    <w:p w14:paraId="2EF6FAAA" w14:textId="77777777" w:rsidR="004073F0" w:rsidRPr="000A1CF2" w:rsidRDefault="004073F0" w:rsidP="00075097">
      <w:pPr>
        <w:rPr>
          <w:rFonts w:cs="Times New Roman"/>
          <w:i/>
          <w:lang w:val="sk"/>
        </w:rPr>
      </w:pPr>
      <w:r w:rsidRPr="000A1CF2">
        <w:rPr>
          <w:rFonts w:cs="Times New Roman"/>
          <w:i/>
          <w:iCs/>
          <w:lang w:val="sk"/>
        </w:rPr>
        <w:t>Antihypertenzíva</w:t>
      </w:r>
    </w:p>
    <w:p w14:paraId="53FB05AD" w14:textId="77777777" w:rsidR="004073F0" w:rsidRPr="000A1CF2" w:rsidRDefault="004073F0" w:rsidP="00075097">
      <w:pPr>
        <w:rPr>
          <w:rFonts w:cs="Times New Roman"/>
          <w:lang w:val="sk"/>
        </w:rPr>
      </w:pPr>
      <w:r w:rsidRPr="000A1CF2">
        <w:rPr>
          <w:rFonts w:cs="Times New Roman"/>
          <w:lang w:val="sk"/>
        </w:rPr>
        <w:t>Súbežné užívanie lizinoprilu s inými antihypertenzívami (napr. glycerylnitrát a iné dusičnany alebo iné vazodilatátory) môže viesť k ďalšiemu zníženiu krvného tlaku.</w:t>
      </w:r>
    </w:p>
    <w:p w14:paraId="6015A758" w14:textId="77777777" w:rsidR="004073F0" w:rsidRPr="000A1CF2" w:rsidRDefault="004073F0" w:rsidP="00075097">
      <w:pPr>
        <w:rPr>
          <w:rFonts w:cs="Times New Roman"/>
          <w:lang w:val="sk"/>
        </w:rPr>
      </w:pPr>
    </w:p>
    <w:p w14:paraId="39C1D195" w14:textId="77777777" w:rsidR="004073F0" w:rsidRPr="000A1CF2" w:rsidRDefault="004073F0" w:rsidP="00075097">
      <w:pPr>
        <w:rPr>
          <w:rFonts w:cs="Times New Roman"/>
          <w:lang w:val="sk"/>
        </w:rPr>
      </w:pPr>
      <w:r w:rsidRPr="000A1CF2">
        <w:rPr>
          <w:rFonts w:cs="Times New Roman"/>
          <w:lang w:val="sk"/>
        </w:rPr>
        <w:t>Keď sa k liečbe pacienta užívajúceho lizinopril pridá diuretikum, antihypertenzívny účinok je zvyčajne aditívny (pozri časť 4.4).</w:t>
      </w:r>
    </w:p>
    <w:p w14:paraId="5B920935" w14:textId="77777777" w:rsidR="004073F0" w:rsidRPr="000A1CF2" w:rsidRDefault="004073F0" w:rsidP="00075097">
      <w:pPr>
        <w:rPr>
          <w:rFonts w:cs="Times New Roman"/>
          <w:lang w:val="sk"/>
        </w:rPr>
      </w:pPr>
    </w:p>
    <w:p w14:paraId="0C782C6B" w14:textId="6A1F0F63" w:rsidR="004073F0" w:rsidRPr="000A1CF2" w:rsidRDefault="004073F0" w:rsidP="00075097">
      <w:pPr>
        <w:rPr>
          <w:rFonts w:cs="Times New Roman"/>
          <w:lang w:val="sk"/>
        </w:rPr>
      </w:pPr>
      <w:r w:rsidRPr="000A1CF2">
        <w:rPr>
          <w:rFonts w:cs="Times New Roman"/>
          <w:lang w:val="sk"/>
        </w:rPr>
        <w:t>Údaje z klinických skúš</w:t>
      </w:r>
      <w:r w:rsidR="009F1C16">
        <w:rPr>
          <w:rFonts w:cs="Times New Roman"/>
          <w:lang w:val="sk"/>
        </w:rPr>
        <w:t>aní</w:t>
      </w:r>
      <w:r w:rsidRPr="000A1CF2">
        <w:rPr>
          <w:rFonts w:cs="Times New Roman"/>
          <w:lang w:val="sk"/>
        </w:rPr>
        <w:t xml:space="preserve"> preukázali, že duálna blokáda renín-angiotenzín-aldosterónového systému prostredníctvom kombinovaného použitia inhibítorov ACE, blokátorov receptorov angiotenzínu II alebo priamych inhibítorov renínu ako napr. aliskirén</w:t>
      </w:r>
      <w:r w:rsidR="009F1C16">
        <w:rPr>
          <w:rFonts w:cs="Times New Roman"/>
          <w:lang w:val="sk"/>
        </w:rPr>
        <w:t>u</w:t>
      </w:r>
      <w:r w:rsidRPr="000A1CF2">
        <w:rPr>
          <w:rFonts w:cs="Times New Roman"/>
          <w:lang w:val="sk"/>
        </w:rPr>
        <w:t xml:space="preserve"> je spojená s vyššou mierou výskytu hypotenzie, hyperkaliémie a zníženej funkcie obličiek (vrátane akútneho zlyhávania obličiek) v porovnaní s použitím jedného liečiva, pôsobiaceho na RAAS. Duálna blokáda RAAS sa preto neodporúča (pozri časti 4.4 a 5.1).</w:t>
      </w:r>
    </w:p>
    <w:p w14:paraId="794CC981" w14:textId="77777777" w:rsidR="004073F0" w:rsidRPr="000A1CF2" w:rsidRDefault="004073F0" w:rsidP="00075097">
      <w:pPr>
        <w:rPr>
          <w:rFonts w:cs="Times New Roman"/>
          <w:lang w:val="sk"/>
        </w:rPr>
      </w:pPr>
      <w:r w:rsidRPr="000A1CF2">
        <w:rPr>
          <w:rFonts w:cs="Times New Roman"/>
          <w:lang w:val="sk"/>
        </w:rPr>
        <w:t>Inhibítory ACE a blokátory receptorov angiotenzínu II sa nemajú používať súbežne najmä</w:t>
      </w:r>
    </w:p>
    <w:p w14:paraId="11DB4264" w14:textId="187DCCB0" w:rsidR="004073F0" w:rsidRPr="000A1CF2" w:rsidRDefault="004073F0" w:rsidP="00075097">
      <w:pPr>
        <w:rPr>
          <w:rFonts w:cs="Times New Roman"/>
          <w:lang w:val="sk"/>
        </w:rPr>
      </w:pPr>
      <w:r w:rsidRPr="000A1CF2">
        <w:rPr>
          <w:rFonts w:cs="Times New Roman"/>
          <w:lang w:val="sk"/>
        </w:rPr>
        <w:t>u pacientov s diabetickou nefropatiou. Používanie aliskirénu s inhibítorom ACE alebo blokátorom receptorov angiotenzínu II je kontraindikované  paciento</w:t>
      </w:r>
      <w:r w:rsidR="009F1C16">
        <w:rPr>
          <w:rFonts w:cs="Times New Roman"/>
          <w:lang w:val="sk"/>
        </w:rPr>
        <w:t>m</w:t>
      </w:r>
      <w:r w:rsidRPr="000A1CF2">
        <w:rPr>
          <w:rFonts w:cs="Times New Roman"/>
          <w:lang w:val="sk"/>
        </w:rPr>
        <w:t xml:space="preserve"> s ochorením </w:t>
      </w:r>
      <w:r w:rsidRPr="00830D1C">
        <w:rPr>
          <w:rFonts w:cs="Times New Roman"/>
          <w:i/>
          <w:lang w:val="sk"/>
        </w:rPr>
        <w:t>diabetes mellitus</w:t>
      </w:r>
      <w:r w:rsidRPr="000A1CF2">
        <w:rPr>
          <w:rFonts w:cs="Times New Roman"/>
          <w:lang w:val="sk"/>
        </w:rPr>
        <w:t xml:space="preserve"> alebo so stredne závažnou až závažnou poruchou funkcie obličiek (GFR &lt; 60 ml/min/1,73 m</w:t>
      </w:r>
      <w:r w:rsidRPr="000A1CF2">
        <w:rPr>
          <w:rFonts w:cs="Times New Roman"/>
          <w:vertAlign w:val="superscript"/>
          <w:lang w:val="sk"/>
        </w:rPr>
        <w:t>2</w:t>
      </w:r>
      <w:r w:rsidRPr="000A1CF2">
        <w:rPr>
          <w:rFonts w:cs="Times New Roman"/>
          <w:lang w:val="sk"/>
        </w:rPr>
        <w:t>) (pozri časť 4.3).</w:t>
      </w:r>
    </w:p>
    <w:p w14:paraId="238EB8CB" w14:textId="77777777" w:rsidR="004073F0" w:rsidRPr="000A1CF2" w:rsidRDefault="004073F0" w:rsidP="00075097">
      <w:pPr>
        <w:rPr>
          <w:rFonts w:cs="Times New Roman"/>
          <w:lang w:val="sk"/>
        </w:rPr>
      </w:pPr>
      <w:r w:rsidRPr="000A1CF2">
        <w:rPr>
          <w:rFonts w:cs="Times New Roman"/>
          <w:lang w:val="sk"/>
        </w:rPr>
        <w:t>Ak sa duálna blokáda považuje za absolútne nevyhnutnú, liečba sa má uskutočniť len pod dohľadom odborníka a za pozorného sledovania funkcie obličiek, elektrolytov a krvného tlaku.</w:t>
      </w:r>
    </w:p>
    <w:p w14:paraId="3553FBA5" w14:textId="77777777" w:rsidR="004073F0" w:rsidRPr="000A1CF2" w:rsidRDefault="004073F0" w:rsidP="00075097">
      <w:pPr>
        <w:rPr>
          <w:rFonts w:cs="Times New Roman"/>
          <w:lang w:val="sk"/>
        </w:rPr>
      </w:pPr>
    </w:p>
    <w:p w14:paraId="71E9AFBF" w14:textId="77777777" w:rsidR="004073F0" w:rsidRPr="000A1CF2" w:rsidRDefault="004073F0" w:rsidP="00075097">
      <w:pPr>
        <w:rPr>
          <w:rFonts w:cs="Times New Roman"/>
          <w:i/>
          <w:lang w:val="sk"/>
        </w:rPr>
      </w:pPr>
      <w:r w:rsidRPr="000A1CF2">
        <w:rPr>
          <w:rFonts w:cs="Times New Roman"/>
          <w:i/>
          <w:iCs/>
          <w:lang w:val="sk"/>
        </w:rPr>
        <w:t>Draslíkové výživové doplnky, diuretiká šetriace draslík alebo náhrady soli s obsahom draslíka</w:t>
      </w:r>
    </w:p>
    <w:p w14:paraId="2D08252E" w14:textId="2D223AE1" w:rsidR="004073F0" w:rsidRPr="000A1CF2" w:rsidRDefault="004073F0" w:rsidP="00075097">
      <w:pPr>
        <w:rPr>
          <w:rFonts w:cs="Times New Roman"/>
          <w:lang w:val="sk"/>
        </w:rPr>
      </w:pPr>
      <w:r w:rsidRPr="000A1CF2">
        <w:rPr>
          <w:rFonts w:cs="Times New Roman"/>
          <w:lang w:val="sk"/>
        </w:rPr>
        <w:t>Užívanie draslíkových výživových doplnkov, diuretík šetriacich draslík alebo náhrad soli s obsahom draslíka môže viesť k výraznému zvýšeniu sérovej hladiny draslíka, najmä u pacientov s poruchou funkcie obličiek (pozri časť 4.4). Ak je použitie lizinoprilu s uvedeným liekom nevyhnutné, odporúča sa obozretnosť, pričom</w:t>
      </w:r>
      <w:r w:rsidR="009F1C16">
        <w:rPr>
          <w:rFonts w:cs="Times New Roman"/>
          <w:lang w:val="sk"/>
        </w:rPr>
        <w:t xml:space="preserve"> je potrebné</w:t>
      </w:r>
      <w:r w:rsidRPr="000A1CF2">
        <w:rPr>
          <w:rFonts w:cs="Times New Roman"/>
          <w:lang w:val="sk"/>
        </w:rPr>
        <w:t xml:space="preserve"> pravidelne kontrolovať sérovú hladinu draslíka.</w:t>
      </w:r>
    </w:p>
    <w:p w14:paraId="2C8713AE" w14:textId="77777777" w:rsidR="004073F0" w:rsidRPr="000A1CF2" w:rsidRDefault="004073F0" w:rsidP="00075097">
      <w:pPr>
        <w:rPr>
          <w:rFonts w:cs="Times New Roman"/>
          <w:lang w:val="sk"/>
        </w:rPr>
      </w:pPr>
      <w:r w:rsidRPr="000A1CF2">
        <w:rPr>
          <w:rFonts w:cs="Times New Roman"/>
          <w:lang w:val="sk"/>
        </w:rPr>
        <w:t xml:space="preserve">Ak sa lizinopril podáva </w:t>
      </w:r>
      <w:r w:rsidRPr="006B018E">
        <w:rPr>
          <w:rFonts w:cs="Times New Roman"/>
          <w:lang w:val="sk"/>
        </w:rPr>
        <w:t>s diuretikom nešetriacim draslík</w:t>
      </w:r>
      <w:r w:rsidRPr="000A1CF2">
        <w:rPr>
          <w:rFonts w:cs="Times New Roman"/>
          <w:lang w:val="sk"/>
        </w:rPr>
        <w:t>, diuretikom indukovaná hypokaliémia sa môže zlepšiť.</w:t>
      </w:r>
    </w:p>
    <w:p w14:paraId="550AB601" w14:textId="77777777" w:rsidR="004073F0" w:rsidRPr="000A1CF2" w:rsidRDefault="004073F0" w:rsidP="00075097">
      <w:pPr>
        <w:rPr>
          <w:rFonts w:cs="Times New Roman"/>
          <w:lang w:val="sk"/>
        </w:rPr>
      </w:pPr>
    </w:p>
    <w:p w14:paraId="16F51C42" w14:textId="77777777" w:rsidR="004073F0" w:rsidRPr="000A1CF2" w:rsidRDefault="004073F0" w:rsidP="00075097">
      <w:pPr>
        <w:rPr>
          <w:rFonts w:cs="Times New Roman"/>
          <w:i/>
          <w:lang w:val="sk"/>
        </w:rPr>
      </w:pPr>
      <w:r w:rsidRPr="000A1CF2">
        <w:rPr>
          <w:rFonts w:cs="Times New Roman"/>
          <w:i/>
          <w:iCs/>
          <w:lang w:val="sk"/>
        </w:rPr>
        <w:t>Kuchynská soľ</w:t>
      </w:r>
    </w:p>
    <w:p w14:paraId="5449C5ED" w14:textId="77777777" w:rsidR="004073F0" w:rsidRPr="000A1CF2" w:rsidRDefault="004073F0" w:rsidP="00075097">
      <w:pPr>
        <w:rPr>
          <w:rFonts w:cs="Times New Roman"/>
          <w:lang w:val="sk"/>
        </w:rPr>
      </w:pPr>
      <w:r w:rsidRPr="000A1CF2">
        <w:rPr>
          <w:rFonts w:cs="Times New Roman"/>
          <w:lang w:val="sk"/>
        </w:rPr>
        <w:t>Nadmerná konzumácia soli môže znížiť antihypertenzívny účinok lizinoprilu.</w:t>
      </w:r>
    </w:p>
    <w:p w14:paraId="2D3AE68C" w14:textId="77777777" w:rsidR="004073F0" w:rsidRPr="000A1CF2" w:rsidRDefault="004073F0" w:rsidP="00075097">
      <w:pPr>
        <w:rPr>
          <w:rFonts w:cs="Times New Roman"/>
          <w:lang w:val="sk"/>
        </w:rPr>
      </w:pPr>
    </w:p>
    <w:p w14:paraId="47AB4D58" w14:textId="77777777" w:rsidR="004073F0" w:rsidRPr="000A1CF2" w:rsidRDefault="004073F0" w:rsidP="00075097">
      <w:pPr>
        <w:rPr>
          <w:rFonts w:cs="Times New Roman"/>
          <w:i/>
          <w:lang w:val="sk"/>
        </w:rPr>
      </w:pPr>
      <w:r w:rsidRPr="000A1CF2">
        <w:rPr>
          <w:rFonts w:cs="Times New Roman"/>
          <w:i/>
          <w:iCs/>
          <w:lang w:val="sk"/>
        </w:rPr>
        <w:t>Lítium</w:t>
      </w:r>
    </w:p>
    <w:p w14:paraId="11C3038F" w14:textId="15399365" w:rsidR="004073F0" w:rsidRPr="000A1CF2" w:rsidRDefault="004073F0" w:rsidP="00075097">
      <w:pPr>
        <w:rPr>
          <w:rFonts w:cs="Times New Roman"/>
          <w:lang w:val="sk"/>
        </w:rPr>
      </w:pPr>
      <w:r w:rsidRPr="000A1CF2">
        <w:rPr>
          <w:rFonts w:cs="Times New Roman"/>
          <w:lang w:val="sk"/>
        </w:rPr>
        <w:t>Lizinopril môže spomaliť vylučovanie lítia a zvýšiť tak jeho toxicitu. Použitie lizinoprilu s lítiom sa neodporúča, ale ak sa potvrdí, že je táto kombinácia nutná, je potrebné starostlivo monitorovať hladiny lítia v sére a dávky lítia sa majú v prípade potreby znížiť (pozri časť 4.4).</w:t>
      </w:r>
    </w:p>
    <w:p w14:paraId="016C4F95" w14:textId="77777777" w:rsidR="004073F0" w:rsidRPr="000A1CF2" w:rsidRDefault="004073F0" w:rsidP="00075097">
      <w:pPr>
        <w:rPr>
          <w:rFonts w:cs="Times New Roman"/>
          <w:lang w:val="sk"/>
        </w:rPr>
      </w:pPr>
    </w:p>
    <w:p w14:paraId="3335B74F" w14:textId="77777777" w:rsidR="004073F0" w:rsidRPr="000A1CF2" w:rsidRDefault="004073F0" w:rsidP="00075097">
      <w:pPr>
        <w:rPr>
          <w:rFonts w:cs="Times New Roman"/>
          <w:i/>
          <w:lang w:val="sk"/>
        </w:rPr>
      </w:pPr>
      <w:r w:rsidRPr="000A1CF2">
        <w:rPr>
          <w:rFonts w:cs="Times New Roman"/>
          <w:i/>
          <w:iCs/>
          <w:lang w:val="sk"/>
        </w:rPr>
        <w:t>Nesteroidné protizápalové lieky (NSAID) vrátane selektívnych inhibítorov cyklooxygenázy-2</w:t>
      </w:r>
    </w:p>
    <w:p w14:paraId="2EC623AC" w14:textId="77777777" w:rsidR="004073F0" w:rsidRPr="000A1CF2" w:rsidRDefault="004073F0" w:rsidP="00075097">
      <w:pPr>
        <w:rPr>
          <w:rFonts w:cs="Times New Roman"/>
          <w:lang w:val="sk"/>
        </w:rPr>
      </w:pPr>
      <w:r w:rsidRPr="000A1CF2">
        <w:rPr>
          <w:rFonts w:cs="Times New Roman"/>
          <w:lang w:val="sk"/>
        </w:rPr>
        <w:t xml:space="preserve">Nesteroidné protizápalové lieky vrátane selektívnych inhibítorov cyklooxygenázy-2 môžu znížiť antihypertenzívny účinok diuretík a iných antihypertenzív vrátane lizinoprilu. </w:t>
      </w:r>
    </w:p>
    <w:p w14:paraId="025357E4" w14:textId="77777777" w:rsidR="004073F0" w:rsidRPr="000A1CF2" w:rsidRDefault="004073F0" w:rsidP="00075097">
      <w:pPr>
        <w:rPr>
          <w:rFonts w:cs="Times New Roman"/>
          <w:lang w:val="sk"/>
        </w:rPr>
      </w:pPr>
      <w:r w:rsidRPr="000A1CF2">
        <w:rPr>
          <w:rFonts w:cs="Times New Roman"/>
          <w:lang w:val="sk"/>
        </w:rPr>
        <w:lastRenderedPageBreak/>
        <w:t>Súbežné podávanie inhibítorov ACE a liekov NSAID vrátane selektívnych inhibítorov cyklooxygenázy-2 môže viesť k zvýšenému riziku zhoršenia renálnej funkcie vrátane možného akútneho zlyhávania obličiek a k zvýšeniu hladiny draslíka v sére, najmä u pacientov s existujúcou zníženou funkciou obličiek. Tieto účinky sú zvyčajne reverzibilné. Kombinácia týchto liekov sa má podávať obozretne, najmä u starších pacientov. Pacienti majú byť primerane hydratovaní a po začatí súbežnej liečby inhibítormi ACE a liekmi NSAID je potrebné zvážiť monitorovanie renálnej funkcie, ktoré má neskôr v pravidelných intervaloch pokračovať.</w:t>
      </w:r>
    </w:p>
    <w:p w14:paraId="525F6BDA" w14:textId="77777777" w:rsidR="004073F0" w:rsidRPr="000A1CF2" w:rsidRDefault="004073F0" w:rsidP="00075097">
      <w:pPr>
        <w:rPr>
          <w:rFonts w:cs="Times New Roman"/>
          <w:lang w:val="sk"/>
        </w:rPr>
      </w:pPr>
    </w:p>
    <w:p w14:paraId="31B97E3A" w14:textId="77777777" w:rsidR="004073F0" w:rsidRPr="000A1CF2" w:rsidRDefault="004073F0" w:rsidP="00075097">
      <w:pPr>
        <w:rPr>
          <w:rFonts w:cs="Times New Roman"/>
          <w:i/>
          <w:lang w:val="sk"/>
        </w:rPr>
      </w:pPr>
      <w:r w:rsidRPr="000A1CF2">
        <w:rPr>
          <w:rFonts w:cs="Times New Roman"/>
          <w:i/>
          <w:iCs/>
          <w:lang w:val="sk"/>
        </w:rPr>
        <w:t>Zlato</w:t>
      </w:r>
    </w:p>
    <w:p w14:paraId="342C38B5" w14:textId="5CD8525F" w:rsidR="004073F0" w:rsidRPr="000A1CF2" w:rsidRDefault="004073F0" w:rsidP="00075097">
      <w:pPr>
        <w:rPr>
          <w:rFonts w:cs="Times New Roman"/>
          <w:lang w:val="sk"/>
        </w:rPr>
      </w:pPr>
      <w:r w:rsidRPr="000A1CF2">
        <w:rPr>
          <w:rFonts w:cs="Times New Roman"/>
          <w:lang w:val="sk"/>
        </w:rPr>
        <w:t>Zriedka boli hlásené nitritoidné reakcie (príznaky vazodilatácie zahŕňajúce návaly horúčavy v tvári, nauzeu, vracanie a hypotenziu) u pacientov súbežne liečených injekčným podávaním zlata (aurotiomal</w:t>
      </w:r>
      <w:r w:rsidR="009F1C16">
        <w:rPr>
          <w:rFonts w:cs="Times New Roman"/>
          <w:lang w:val="sk"/>
        </w:rPr>
        <w:t>einanu</w:t>
      </w:r>
      <w:r w:rsidRPr="000A1CF2">
        <w:rPr>
          <w:rFonts w:cs="Times New Roman"/>
          <w:lang w:val="sk"/>
        </w:rPr>
        <w:t xml:space="preserve"> sodného) a inhibítorom ACE vrátane lizinoprilu.</w:t>
      </w:r>
    </w:p>
    <w:p w14:paraId="1F885617" w14:textId="77777777" w:rsidR="004073F0" w:rsidRPr="000A1CF2" w:rsidRDefault="004073F0" w:rsidP="00075097">
      <w:pPr>
        <w:rPr>
          <w:rFonts w:cs="Times New Roman"/>
          <w:lang w:val="sk"/>
        </w:rPr>
      </w:pPr>
    </w:p>
    <w:p w14:paraId="4C5B7E21" w14:textId="77777777" w:rsidR="004073F0" w:rsidRPr="000A1CF2" w:rsidRDefault="004073F0" w:rsidP="00075097">
      <w:pPr>
        <w:rPr>
          <w:rFonts w:cs="Times New Roman"/>
          <w:i/>
          <w:lang w:val="sk"/>
        </w:rPr>
      </w:pPr>
      <w:r w:rsidRPr="000A1CF2">
        <w:rPr>
          <w:rFonts w:cs="Times New Roman"/>
          <w:i/>
          <w:iCs/>
          <w:lang w:val="sk"/>
        </w:rPr>
        <w:t>Tricyklické antidepresíva/antipsychotiká/anestetiká</w:t>
      </w:r>
    </w:p>
    <w:p w14:paraId="6D02A6A8" w14:textId="77777777" w:rsidR="004073F0" w:rsidRPr="000A1CF2" w:rsidRDefault="004073F0" w:rsidP="00075097">
      <w:pPr>
        <w:rPr>
          <w:rFonts w:cs="Times New Roman"/>
          <w:lang w:val="sk"/>
        </w:rPr>
      </w:pPr>
      <w:r w:rsidRPr="000A1CF2">
        <w:rPr>
          <w:rFonts w:cs="Times New Roman"/>
          <w:lang w:val="sk"/>
        </w:rPr>
        <w:t>Súbežné použitie určitých anestetických liekov, tricyklických antidepresív a antipsychotík s inhibítormi ACE môže viesť k ďalšiemu zníženiu krvného tlaku (pozri časť 4.4).</w:t>
      </w:r>
    </w:p>
    <w:p w14:paraId="19C05FBD" w14:textId="77777777" w:rsidR="004073F0" w:rsidRPr="000A1CF2" w:rsidRDefault="004073F0" w:rsidP="00075097">
      <w:pPr>
        <w:rPr>
          <w:rFonts w:cs="Times New Roman"/>
          <w:lang w:val="sk"/>
        </w:rPr>
      </w:pPr>
    </w:p>
    <w:p w14:paraId="04258DEF" w14:textId="77777777" w:rsidR="004073F0" w:rsidRPr="000A1CF2" w:rsidRDefault="004073F0" w:rsidP="00075097">
      <w:pPr>
        <w:rPr>
          <w:rFonts w:cs="Times New Roman"/>
          <w:i/>
          <w:lang w:val="sk"/>
        </w:rPr>
      </w:pPr>
      <w:r w:rsidRPr="000A1CF2">
        <w:rPr>
          <w:rFonts w:cs="Times New Roman"/>
          <w:i/>
          <w:iCs/>
          <w:lang w:val="sk"/>
        </w:rPr>
        <w:t>Sympatomimetiká</w:t>
      </w:r>
    </w:p>
    <w:p w14:paraId="2FC2CD1C" w14:textId="71DCE7B1" w:rsidR="004073F0" w:rsidRPr="000A1CF2" w:rsidRDefault="004073F0" w:rsidP="00075097">
      <w:pPr>
        <w:rPr>
          <w:rFonts w:cs="Times New Roman"/>
          <w:lang w:val="sk"/>
        </w:rPr>
      </w:pPr>
      <w:r w:rsidRPr="000A1CF2">
        <w:rPr>
          <w:rFonts w:cs="Times New Roman"/>
          <w:lang w:val="sk"/>
        </w:rPr>
        <w:t>Sympatomimetiká môžu znižovať antihypertenz</w:t>
      </w:r>
      <w:r w:rsidR="00A159C9">
        <w:rPr>
          <w:rFonts w:cs="Times New Roman"/>
          <w:lang w:val="sk"/>
        </w:rPr>
        <w:t>ív</w:t>
      </w:r>
      <w:r w:rsidRPr="000A1CF2">
        <w:rPr>
          <w:rFonts w:cs="Times New Roman"/>
          <w:lang w:val="sk"/>
        </w:rPr>
        <w:t>n</w:t>
      </w:r>
      <w:r w:rsidR="00A159C9">
        <w:rPr>
          <w:rFonts w:cs="Times New Roman"/>
          <w:lang w:val="sk"/>
        </w:rPr>
        <w:t>e</w:t>
      </w:r>
      <w:r w:rsidRPr="000A1CF2">
        <w:rPr>
          <w:rFonts w:cs="Times New Roman"/>
          <w:lang w:val="sk"/>
        </w:rPr>
        <w:t xml:space="preserve"> účinky inhibítorov ACE.</w:t>
      </w:r>
    </w:p>
    <w:p w14:paraId="5F43895B" w14:textId="77777777" w:rsidR="004073F0" w:rsidRPr="000A1CF2" w:rsidRDefault="004073F0" w:rsidP="00075097">
      <w:pPr>
        <w:rPr>
          <w:rFonts w:cs="Times New Roman"/>
          <w:lang w:val="sk"/>
        </w:rPr>
      </w:pPr>
    </w:p>
    <w:p w14:paraId="3CF94E43" w14:textId="77777777" w:rsidR="004073F0" w:rsidRPr="000A1CF2" w:rsidRDefault="004073F0" w:rsidP="00075097">
      <w:pPr>
        <w:rPr>
          <w:rFonts w:cs="Times New Roman"/>
          <w:i/>
          <w:lang w:val="sk"/>
        </w:rPr>
      </w:pPr>
      <w:r w:rsidRPr="000A1CF2">
        <w:rPr>
          <w:rFonts w:cs="Times New Roman"/>
          <w:i/>
          <w:iCs/>
          <w:lang w:val="sk"/>
        </w:rPr>
        <w:t xml:space="preserve">Imunosupresíva </w:t>
      </w:r>
    </w:p>
    <w:p w14:paraId="433C30E3" w14:textId="77777777" w:rsidR="004073F0" w:rsidRPr="000A1CF2" w:rsidRDefault="004073F0" w:rsidP="00075097">
      <w:pPr>
        <w:rPr>
          <w:rFonts w:cs="Times New Roman"/>
          <w:lang w:val="sk"/>
        </w:rPr>
      </w:pPr>
      <w:r w:rsidRPr="000A1CF2">
        <w:rPr>
          <w:rFonts w:cs="Times New Roman"/>
          <w:lang w:val="sk"/>
        </w:rPr>
        <w:t>Cytotoxické lieky a systémové kortikosteroidy zvyšujú riziko vzniku leukopénie.</w:t>
      </w:r>
    </w:p>
    <w:p w14:paraId="772C586B" w14:textId="77777777" w:rsidR="004073F0" w:rsidRPr="000A1CF2" w:rsidRDefault="004073F0" w:rsidP="00075097">
      <w:pPr>
        <w:rPr>
          <w:rFonts w:cs="Times New Roman"/>
          <w:lang w:val="sk"/>
        </w:rPr>
      </w:pPr>
    </w:p>
    <w:p w14:paraId="7B48E68C" w14:textId="77777777" w:rsidR="004073F0" w:rsidRPr="000A1CF2" w:rsidRDefault="004073F0" w:rsidP="00075097">
      <w:pPr>
        <w:rPr>
          <w:rFonts w:cs="Times New Roman"/>
          <w:i/>
          <w:lang w:val="sk"/>
        </w:rPr>
      </w:pPr>
      <w:r w:rsidRPr="000A1CF2">
        <w:rPr>
          <w:rFonts w:cs="Times New Roman"/>
          <w:i/>
          <w:iCs/>
          <w:lang w:val="sk"/>
        </w:rPr>
        <w:t>Antidiabetiká</w:t>
      </w:r>
    </w:p>
    <w:p w14:paraId="36C1756E" w14:textId="77777777" w:rsidR="004073F0" w:rsidRPr="000A1CF2" w:rsidRDefault="004073F0" w:rsidP="00075097">
      <w:pPr>
        <w:rPr>
          <w:rFonts w:cs="Times New Roman"/>
          <w:lang w:val="sk"/>
        </w:rPr>
      </w:pPr>
      <w:r w:rsidRPr="000A1CF2">
        <w:rPr>
          <w:rFonts w:cs="Times New Roman"/>
          <w:lang w:val="sk"/>
        </w:rPr>
        <w:t>Epidemiologické štúdie naznačujú, že súbežné podávanie inhibítorov ACE a antidiabetík (inzulínov, perorálnych hypoglykemických liečiv) môže zvýšiť účinok zníženia hladiny glukózy v krvi s rizikom hypoglykémie. Zdá sa, že tento jav sa s väčšou pravdepodobnosťou vyskytuje počas prvých týždňov kombinovanej liečby a u pacientov s poruchou funkcie obličiek.</w:t>
      </w:r>
    </w:p>
    <w:p w14:paraId="36C2DE72" w14:textId="77777777" w:rsidR="004073F0" w:rsidRPr="000A1CF2" w:rsidRDefault="004073F0" w:rsidP="00075097">
      <w:pPr>
        <w:rPr>
          <w:rFonts w:cs="Times New Roman"/>
          <w:lang w:val="sk"/>
        </w:rPr>
      </w:pPr>
    </w:p>
    <w:p w14:paraId="6CDC7AF3" w14:textId="77777777" w:rsidR="004073F0" w:rsidRPr="000A1CF2" w:rsidRDefault="004073F0" w:rsidP="00075097">
      <w:pPr>
        <w:rPr>
          <w:rFonts w:cs="Times New Roman"/>
          <w:i/>
          <w:lang w:val="sk"/>
        </w:rPr>
      </w:pPr>
      <w:r w:rsidRPr="000A1CF2">
        <w:rPr>
          <w:rFonts w:cs="Times New Roman"/>
          <w:i/>
          <w:iCs/>
          <w:lang w:val="sk"/>
        </w:rPr>
        <w:t>Tkanivové aktivátory plazminogénu</w:t>
      </w:r>
    </w:p>
    <w:p w14:paraId="6165BDAD" w14:textId="77777777" w:rsidR="004073F0" w:rsidRPr="000A1CF2" w:rsidRDefault="004073F0" w:rsidP="00075097">
      <w:pPr>
        <w:rPr>
          <w:rFonts w:cs="Times New Roman"/>
          <w:lang w:val="sk"/>
        </w:rPr>
      </w:pPr>
      <w:r w:rsidRPr="000A1CF2">
        <w:rPr>
          <w:rFonts w:cs="Times New Roman"/>
          <w:lang w:val="sk"/>
        </w:rPr>
        <w:t>Súbežná liečba tkanivovými aktivátormi plazminogénu môže zvýšiť riziko angioedému.</w:t>
      </w:r>
    </w:p>
    <w:p w14:paraId="172A8A5D" w14:textId="77777777" w:rsidR="004073F0" w:rsidRPr="000A1CF2" w:rsidRDefault="004073F0" w:rsidP="00075097">
      <w:pPr>
        <w:rPr>
          <w:rFonts w:cs="Times New Roman"/>
          <w:lang w:val="sk"/>
        </w:rPr>
      </w:pPr>
    </w:p>
    <w:p w14:paraId="560AD691" w14:textId="77777777" w:rsidR="004073F0" w:rsidRPr="000A1CF2" w:rsidRDefault="004073F0" w:rsidP="00075097">
      <w:pPr>
        <w:rPr>
          <w:rFonts w:cs="Times New Roman"/>
          <w:i/>
          <w:lang w:val="sk"/>
        </w:rPr>
      </w:pPr>
      <w:r w:rsidRPr="000A1CF2">
        <w:rPr>
          <w:rFonts w:cs="Times New Roman"/>
          <w:i/>
          <w:iCs/>
          <w:lang w:val="sk"/>
        </w:rPr>
        <w:t>Inhibítory mTOR (napr. sirolimus, everolimus, temsirolimus)</w:t>
      </w:r>
    </w:p>
    <w:p w14:paraId="78D66F22" w14:textId="77777777" w:rsidR="000C7775" w:rsidRPr="0099776C" w:rsidRDefault="004073F0" w:rsidP="00075097">
      <w:pPr>
        <w:rPr>
          <w:rFonts w:cs="Times New Roman"/>
          <w:lang w:val="sk"/>
        </w:rPr>
      </w:pPr>
      <w:r w:rsidRPr="000A1CF2">
        <w:rPr>
          <w:rFonts w:cs="Times New Roman"/>
          <w:lang w:val="sk"/>
        </w:rPr>
        <w:t>U pacientov užívajúcich súbežne inhibítory mTOR môže byť zvýšené rizi</w:t>
      </w:r>
      <w:r w:rsidR="0099776C">
        <w:rPr>
          <w:rFonts w:cs="Times New Roman"/>
          <w:lang w:val="sk"/>
        </w:rPr>
        <w:t>ko angioedému (pozri časť 4.4).</w:t>
      </w:r>
    </w:p>
    <w:p w14:paraId="55727239" w14:textId="77777777" w:rsidR="000C7775" w:rsidRPr="000A1CF2" w:rsidRDefault="000C7775" w:rsidP="00075097">
      <w:pPr>
        <w:rPr>
          <w:rFonts w:cs="Times New Roman"/>
          <w:i/>
          <w:lang w:val="sk"/>
        </w:rPr>
      </w:pPr>
    </w:p>
    <w:p w14:paraId="2294CCC0" w14:textId="77777777" w:rsidR="004073F0" w:rsidRPr="000A1CF2" w:rsidRDefault="004073F0" w:rsidP="00075097">
      <w:pPr>
        <w:rPr>
          <w:rFonts w:cs="Times New Roman"/>
          <w:i/>
          <w:lang w:val="sk"/>
        </w:rPr>
      </w:pPr>
      <w:r w:rsidRPr="000A1CF2">
        <w:rPr>
          <w:rFonts w:cs="Times New Roman"/>
          <w:i/>
          <w:iCs/>
          <w:lang w:val="sk"/>
        </w:rPr>
        <w:t>Kotrimoxazol (trimetoprim/sulfametoxazol)</w:t>
      </w:r>
    </w:p>
    <w:p w14:paraId="417FA5A3" w14:textId="77777777" w:rsidR="004073F0" w:rsidRPr="000A1CF2" w:rsidRDefault="004073F0" w:rsidP="00075097">
      <w:pPr>
        <w:rPr>
          <w:rFonts w:cs="Times New Roman"/>
          <w:lang w:val="sk"/>
        </w:rPr>
      </w:pPr>
      <w:r w:rsidRPr="000A1CF2">
        <w:rPr>
          <w:rFonts w:cs="Times New Roman"/>
          <w:lang w:val="sk"/>
        </w:rPr>
        <w:t>Pacientom, ktorí zároveň užívajú kotrimoxazol (trimetoprim/sulfametoxazol), môže hroziť zvýšené riziko hyperkaliémie (pozri časť 4.4).</w:t>
      </w:r>
    </w:p>
    <w:p w14:paraId="5902276B" w14:textId="77777777" w:rsidR="004073F0" w:rsidRPr="000A1CF2" w:rsidRDefault="004073F0" w:rsidP="00075097">
      <w:pPr>
        <w:rPr>
          <w:rFonts w:cs="Times New Roman"/>
          <w:lang w:val="sk"/>
        </w:rPr>
      </w:pPr>
    </w:p>
    <w:p w14:paraId="42AF1F78" w14:textId="77777777" w:rsidR="004073F0" w:rsidRPr="000A1CF2" w:rsidRDefault="004073F0" w:rsidP="00075097">
      <w:pPr>
        <w:rPr>
          <w:rFonts w:cs="Times New Roman"/>
          <w:i/>
          <w:lang w:val="sk"/>
        </w:rPr>
      </w:pPr>
      <w:r w:rsidRPr="000A1CF2">
        <w:rPr>
          <w:rFonts w:cs="Times New Roman"/>
          <w:i/>
          <w:iCs/>
          <w:lang w:val="sk"/>
        </w:rPr>
        <w:t>Iné lieky</w:t>
      </w:r>
    </w:p>
    <w:p w14:paraId="53571223" w14:textId="42B161B2" w:rsidR="004073F0" w:rsidRPr="000A1CF2" w:rsidRDefault="004073F0" w:rsidP="00075097">
      <w:pPr>
        <w:rPr>
          <w:rFonts w:cs="Times New Roman"/>
          <w:lang w:val="sk"/>
        </w:rPr>
      </w:pPr>
      <w:r w:rsidRPr="000A1CF2">
        <w:rPr>
          <w:rFonts w:cs="Times New Roman"/>
          <w:lang w:val="sk"/>
        </w:rPr>
        <w:t xml:space="preserve">Lizinopril sa môže používať súbežne s kyselinou acetylsalicylovou (v kardiologických dávkach), trombolytikami, betablokátormi a/alebo </w:t>
      </w:r>
      <w:r w:rsidRPr="007B1169">
        <w:rPr>
          <w:rFonts w:cs="Times New Roman"/>
          <w:lang w:val="sk"/>
        </w:rPr>
        <w:t>dusičnanmi.</w:t>
      </w:r>
    </w:p>
    <w:p w14:paraId="4E5FB6DC" w14:textId="29FDAED3" w:rsidR="004073F0" w:rsidRPr="000A1CF2" w:rsidRDefault="004073F0" w:rsidP="00075097">
      <w:pPr>
        <w:rPr>
          <w:rFonts w:cs="Times New Roman"/>
          <w:lang w:val="sk"/>
        </w:rPr>
      </w:pPr>
      <w:r w:rsidRPr="000A1CF2">
        <w:rPr>
          <w:rFonts w:cs="Times New Roman"/>
          <w:lang w:val="sk"/>
        </w:rPr>
        <w:t>Pri súbežnom podávaní lizinoprilu s propranololom, digoxínom alebo hydrochl</w:t>
      </w:r>
      <w:r w:rsidR="007B1169">
        <w:rPr>
          <w:rFonts w:cs="Times New Roman"/>
          <w:lang w:val="sk"/>
        </w:rPr>
        <w:t>o</w:t>
      </w:r>
      <w:r w:rsidRPr="000A1CF2">
        <w:rPr>
          <w:rFonts w:cs="Times New Roman"/>
          <w:lang w:val="sk"/>
        </w:rPr>
        <w:t>r</w:t>
      </w:r>
      <w:r w:rsidR="007B1169">
        <w:rPr>
          <w:rFonts w:cs="Times New Roman"/>
          <w:lang w:val="sk"/>
        </w:rPr>
        <w:t>o</w:t>
      </w:r>
      <w:r w:rsidRPr="000A1CF2">
        <w:rPr>
          <w:rFonts w:cs="Times New Roman"/>
          <w:lang w:val="sk"/>
        </w:rPr>
        <w:t>tiazidom neboli pozorované klinicky významné farmakokinetické interakcie.</w:t>
      </w:r>
    </w:p>
    <w:p w14:paraId="48F6F036" w14:textId="77777777" w:rsidR="004073F0" w:rsidRPr="000A1CF2" w:rsidRDefault="004073F0" w:rsidP="00075097">
      <w:pPr>
        <w:rPr>
          <w:rFonts w:cs="Times New Roman"/>
          <w:lang w:val="sk"/>
        </w:rPr>
      </w:pPr>
    </w:p>
    <w:p w14:paraId="446A1CBC" w14:textId="77777777" w:rsidR="004073F0" w:rsidRPr="000A1CF2" w:rsidRDefault="004073F0" w:rsidP="00075097">
      <w:pPr>
        <w:rPr>
          <w:rFonts w:cs="Times New Roman"/>
          <w:b/>
          <w:u w:val="single"/>
          <w:lang w:val="sk"/>
        </w:rPr>
      </w:pPr>
      <w:r w:rsidRPr="000A1CF2">
        <w:rPr>
          <w:rFonts w:cs="Times New Roman"/>
          <w:b/>
          <w:bCs/>
          <w:u w:val="single"/>
          <w:lang w:val="sk"/>
        </w:rPr>
        <w:t>Súvisiace s torasemidom:</w:t>
      </w:r>
    </w:p>
    <w:p w14:paraId="35DD3F53" w14:textId="77777777" w:rsidR="004073F0" w:rsidRPr="000A1CF2" w:rsidRDefault="004073F0" w:rsidP="00075097">
      <w:pPr>
        <w:rPr>
          <w:rFonts w:cs="Times New Roman"/>
          <w:lang w:val="sk"/>
        </w:rPr>
      </w:pPr>
    </w:p>
    <w:p w14:paraId="03D323A1" w14:textId="77777777" w:rsidR="004073F0" w:rsidRPr="000A1CF2" w:rsidRDefault="004073F0" w:rsidP="00075097">
      <w:pPr>
        <w:rPr>
          <w:rFonts w:cs="Times New Roman"/>
          <w:lang w:val="sk"/>
        </w:rPr>
      </w:pPr>
      <w:r w:rsidRPr="000A1CF2">
        <w:rPr>
          <w:rFonts w:cs="Times New Roman"/>
          <w:lang w:val="sk"/>
        </w:rPr>
        <w:lastRenderedPageBreak/>
        <w:t>Účinok súbežne podávaných antihypertenzívnych liekov sa môže zvýšiť.</w:t>
      </w:r>
      <w:r w:rsidR="0069070D" w:rsidRPr="000A1CF2">
        <w:rPr>
          <w:rFonts w:cs="Times New Roman"/>
          <w:lang w:val="sk"/>
        </w:rPr>
        <w:t xml:space="preserve"> </w:t>
      </w:r>
    </w:p>
    <w:p w14:paraId="560A8E1C" w14:textId="77777777" w:rsidR="004073F0" w:rsidRPr="000A1CF2" w:rsidRDefault="004073F0" w:rsidP="00075097">
      <w:pPr>
        <w:rPr>
          <w:rFonts w:cs="Times New Roman"/>
          <w:lang w:val="sk"/>
        </w:rPr>
      </w:pPr>
    </w:p>
    <w:p w14:paraId="6DFAB1F8" w14:textId="77777777" w:rsidR="004073F0" w:rsidRPr="000A1CF2" w:rsidRDefault="004073F0" w:rsidP="00075097">
      <w:pPr>
        <w:rPr>
          <w:rFonts w:cs="Times New Roman"/>
          <w:lang w:val="sk"/>
        </w:rPr>
      </w:pPr>
      <w:r w:rsidRPr="000A1CF2">
        <w:rPr>
          <w:rFonts w:cs="Times New Roman"/>
          <w:lang w:val="sk"/>
        </w:rPr>
        <w:t>Nedostatok draslíka spôsobený torasemidom môže vyvolať alebo zhoršiť príznaky intoxikácie náprstníkom.</w:t>
      </w:r>
    </w:p>
    <w:p w14:paraId="458A6337" w14:textId="77777777" w:rsidR="004073F0" w:rsidRPr="000A1CF2" w:rsidRDefault="004073F0" w:rsidP="00075097">
      <w:pPr>
        <w:rPr>
          <w:rFonts w:cs="Times New Roman"/>
          <w:lang w:val="sk"/>
        </w:rPr>
      </w:pPr>
    </w:p>
    <w:p w14:paraId="690D1303" w14:textId="77777777" w:rsidR="004073F0" w:rsidRPr="000A1CF2" w:rsidRDefault="00566EB5" w:rsidP="00075097">
      <w:pPr>
        <w:rPr>
          <w:rFonts w:cs="Times New Roman"/>
          <w:lang w:val="sk"/>
        </w:rPr>
      </w:pPr>
      <w:r w:rsidRPr="000A1CF2">
        <w:rPr>
          <w:rFonts w:cs="Times New Roman"/>
          <w:lang w:val="sk"/>
        </w:rPr>
        <w:t xml:space="preserve">Torasemid môže znížiť účinky antidiabetík. </w:t>
      </w:r>
    </w:p>
    <w:p w14:paraId="359F58B8" w14:textId="77777777" w:rsidR="004073F0" w:rsidRPr="000A1CF2" w:rsidRDefault="004073F0" w:rsidP="00075097">
      <w:pPr>
        <w:rPr>
          <w:rFonts w:cs="Times New Roman"/>
          <w:lang w:val="sk"/>
        </w:rPr>
      </w:pPr>
    </w:p>
    <w:p w14:paraId="3D1B63A2" w14:textId="77777777" w:rsidR="004073F0" w:rsidRPr="000A1CF2" w:rsidRDefault="004073F0" w:rsidP="00075097">
      <w:pPr>
        <w:rPr>
          <w:rFonts w:cs="Times New Roman"/>
          <w:lang w:val="sk"/>
        </w:rPr>
      </w:pPr>
      <w:r w:rsidRPr="000A1CF2">
        <w:rPr>
          <w:rFonts w:cs="Times New Roman"/>
          <w:lang w:val="sk"/>
        </w:rPr>
        <w:t>Probenecid a nesteroidné protizápalové lieky (napr. indometacín, kyselina acetylsalicylová) môžu znížiť diuretický a antihypertenzívny účinok torasemidu.</w:t>
      </w:r>
    </w:p>
    <w:p w14:paraId="5ECA210E" w14:textId="77777777" w:rsidR="004073F0" w:rsidRPr="000A1CF2" w:rsidRDefault="004073F0" w:rsidP="00075097">
      <w:pPr>
        <w:rPr>
          <w:rFonts w:cs="Times New Roman"/>
          <w:lang w:val="sk"/>
        </w:rPr>
      </w:pPr>
    </w:p>
    <w:p w14:paraId="0B6302CF" w14:textId="77777777" w:rsidR="004073F0" w:rsidRPr="000A1CF2" w:rsidRDefault="004073F0" w:rsidP="00075097">
      <w:pPr>
        <w:rPr>
          <w:rFonts w:cs="Times New Roman"/>
          <w:lang w:val="sk"/>
        </w:rPr>
      </w:pPr>
      <w:r w:rsidRPr="000A1CF2">
        <w:rPr>
          <w:rFonts w:cs="Times New Roman"/>
          <w:lang w:val="sk"/>
        </w:rPr>
        <w:t>U pacientov užívajúcich vysoké dávky salicylátov môže dôjsť ku zvýšeniu toxického vplyvu salicylátov na centrálny nervový systém.</w:t>
      </w:r>
    </w:p>
    <w:p w14:paraId="706F882D" w14:textId="77777777" w:rsidR="004073F0" w:rsidRPr="000A1CF2" w:rsidRDefault="004073F0" w:rsidP="00075097">
      <w:pPr>
        <w:rPr>
          <w:rFonts w:cs="Times New Roman"/>
          <w:lang w:val="sk"/>
        </w:rPr>
      </w:pPr>
      <w:r w:rsidRPr="000A1CF2">
        <w:rPr>
          <w:rFonts w:cs="Times New Roman"/>
          <w:lang w:val="sk"/>
        </w:rPr>
        <w:t xml:space="preserve"> </w:t>
      </w:r>
    </w:p>
    <w:p w14:paraId="01C82368" w14:textId="0428A13C" w:rsidR="004073F0" w:rsidRPr="000A1CF2" w:rsidRDefault="00566EB5" w:rsidP="00075097">
      <w:pPr>
        <w:rPr>
          <w:rFonts w:cs="Times New Roman"/>
          <w:lang w:val="sk"/>
        </w:rPr>
      </w:pPr>
      <w:r w:rsidRPr="000A1CF2">
        <w:rPr>
          <w:rFonts w:cs="Times New Roman"/>
          <w:lang w:val="sk"/>
        </w:rPr>
        <w:t>Torasemid, najmä vo vysokých dávkach, môže zvýšiť tieto vedľajšie účinky: ototoxický a nefrotoxický účinok aminoglykozidových antibiotík (napr. kanamycín</w:t>
      </w:r>
      <w:r w:rsidR="007B1169">
        <w:rPr>
          <w:rFonts w:cs="Times New Roman"/>
          <w:lang w:val="sk"/>
        </w:rPr>
        <w:t>u</w:t>
      </w:r>
      <w:r w:rsidRPr="000A1CF2">
        <w:rPr>
          <w:rFonts w:cs="Times New Roman"/>
          <w:lang w:val="sk"/>
        </w:rPr>
        <w:t>, gentamycín</w:t>
      </w:r>
      <w:r w:rsidR="007B1169">
        <w:rPr>
          <w:rFonts w:cs="Times New Roman"/>
          <w:lang w:val="sk"/>
        </w:rPr>
        <w:t>u</w:t>
      </w:r>
      <w:r w:rsidRPr="000A1CF2">
        <w:rPr>
          <w:rFonts w:cs="Times New Roman"/>
          <w:lang w:val="sk"/>
        </w:rPr>
        <w:t>, tobramycín</w:t>
      </w:r>
      <w:r w:rsidR="007B1169">
        <w:rPr>
          <w:rFonts w:cs="Times New Roman"/>
          <w:lang w:val="sk"/>
        </w:rPr>
        <w:t>u</w:t>
      </w:r>
      <w:r w:rsidRPr="000A1CF2">
        <w:rPr>
          <w:rFonts w:cs="Times New Roman"/>
          <w:lang w:val="sk"/>
        </w:rPr>
        <w:t xml:space="preserve">), </w:t>
      </w:r>
      <w:r w:rsidR="007B1169">
        <w:rPr>
          <w:rFonts w:cs="Times New Roman"/>
          <w:lang w:val="sk"/>
        </w:rPr>
        <w:t>liekov</w:t>
      </w:r>
      <w:r w:rsidR="007B1169" w:rsidRPr="000A1CF2">
        <w:rPr>
          <w:rFonts w:cs="Times New Roman"/>
          <w:lang w:val="sk"/>
        </w:rPr>
        <w:t xml:space="preserve"> </w:t>
      </w:r>
      <w:r w:rsidRPr="000A1CF2">
        <w:rPr>
          <w:rFonts w:cs="Times New Roman"/>
          <w:lang w:val="sk"/>
        </w:rPr>
        <w:t>obsahujúcich cisplatinu a nefrotoxický účinok cefalosporínov.</w:t>
      </w:r>
    </w:p>
    <w:p w14:paraId="76030666" w14:textId="77777777" w:rsidR="004073F0" w:rsidRPr="000A1CF2" w:rsidRDefault="004073F0" w:rsidP="00075097">
      <w:pPr>
        <w:rPr>
          <w:rFonts w:cs="Times New Roman"/>
          <w:lang w:val="sk"/>
        </w:rPr>
      </w:pPr>
    </w:p>
    <w:p w14:paraId="6D196B0B" w14:textId="77777777" w:rsidR="004073F0" w:rsidRPr="000A1CF2" w:rsidRDefault="00566EB5" w:rsidP="00075097">
      <w:pPr>
        <w:rPr>
          <w:rFonts w:cs="Times New Roman"/>
          <w:lang w:val="sk"/>
        </w:rPr>
      </w:pPr>
      <w:r w:rsidRPr="000A1CF2">
        <w:rPr>
          <w:rFonts w:cs="Times New Roman"/>
          <w:lang w:val="sk"/>
        </w:rPr>
        <w:t xml:space="preserve">Torasemid môže zvýšiť účinok teofylínu a svalových relaxantov obsahujúcich kuráre. </w:t>
      </w:r>
    </w:p>
    <w:p w14:paraId="032C7CCF" w14:textId="77777777" w:rsidR="004073F0" w:rsidRPr="000A1CF2" w:rsidRDefault="004073F0" w:rsidP="00075097">
      <w:pPr>
        <w:rPr>
          <w:rFonts w:cs="Times New Roman"/>
          <w:lang w:val="sk"/>
        </w:rPr>
      </w:pPr>
    </w:p>
    <w:p w14:paraId="5CBCD5C2" w14:textId="77777777" w:rsidR="004073F0" w:rsidRPr="000A1CF2" w:rsidRDefault="004073F0" w:rsidP="00075097">
      <w:pPr>
        <w:rPr>
          <w:rFonts w:cs="Times New Roman"/>
          <w:lang w:val="sk"/>
        </w:rPr>
      </w:pPr>
      <w:r w:rsidRPr="000A1CF2">
        <w:rPr>
          <w:rFonts w:cs="Times New Roman"/>
          <w:lang w:val="sk"/>
        </w:rPr>
        <w:t>Kaliuretický účinok mineralokortikoidov, glukokortikoidov a laxatív môže byť zvýšený.</w:t>
      </w:r>
    </w:p>
    <w:p w14:paraId="53615509" w14:textId="77777777" w:rsidR="004073F0" w:rsidRPr="000A1CF2" w:rsidRDefault="004073F0" w:rsidP="00075097">
      <w:pPr>
        <w:rPr>
          <w:rFonts w:cs="Times New Roman"/>
          <w:lang w:val="sk"/>
        </w:rPr>
      </w:pPr>
    </w:p>
    <w:p w14:paraId="580817C7" w14:textId="77777777" w:rsidR="004073F0" w:rsidRPr="000A1CF2" w:rsidRDefault="004073F0" w:rsidP="00075097">
      <w:pPr>
        <w:rPr>
          <w:rFonts w:cs="Times New Roman"/>
          <w:lang w:val="sk"/>
        </w:rPr>
      </w:pPr>
      <w:r w:rsidRPr="000A1CF2">
        <w:rPr>
          <w:rFonts w:cs="Times New Roman"/>
          <w:lang w:val="sk"/>
        </w:rPr>
        <w:t>Keď sa lítium podáva súbežne s torasemidom, sérová koncentrácia lítia môže byť zvýšená, čo vedie k zvýšenej toxicite lítia.</w:t>
      </w:r>
    </w:p>
    <w:p w14:paraId="49852182" w14:textId="77777777" w:rsidR="004073F0" w:rsidRPr="000A1CF2" w:rsidRDefault="004073F0" w:rsidP="00075097">
      <w:pPr>
        <w:rPr>
          <w:rFonts w:cs="Times New Roman"/>
          <w:lang w:val="sk"/>
        </w:rPr>
      </w:pPr>
    </w:p>
    <w:p w14:paraId="13634781" w14:textId="77777777" w:rsidR="004073F0" w:rsidRPr="000A1CF2" w:rsidRDefault="00566EB5" w:rsidP="00075097">
      <w:pPr>
        <w:rPr>
          <w:rFonts w:cs="Times New Roman"/>
          <w:lang w:val="sk"/>
        </w:rPr>
      </w:pPr>
      <w:r w:rsidRPr="000A1CF2">
        <w:rPr>
          <w:rFonts w:cs="Times New Roman"/>
          <w:lang w:val="sk"/>
        </w:rPr>
        <w:t>Torasemid môže znížiť vazokonstrikčný účinok katecholamínov (napr. adrenalínu, noradrenalínu).</w:t>
      </w:r>
    </w:p>
    <w:p w14:paraId="62BADA15" w14:textId="77777777" w:rsidR="004073F0" w:rsidRPr="000A1CF2" w:rsidRDefault="004073F0" w:rsidP="00075097">
      <w:pPr>
        <w:rPr>
          <w:rFonts w:cs="Times New Roman"/>
          <w:lang w:val="sk"/>
        </w:rPr>
      </w:pPr>
    </w:p>
    <w:p w14:paraId="354D36A4" w14:textId="77777777" w:rsidR="004073F0" w:rsidRPr="0069070D" w:rsidRDefault="004073F0" w:rsidP="00075097">
      <w:pPr>
        <w:rPr>
          <w:rFonts w:cs="Times New Roman"/>
          <w:lang w:val="sk"/>
        </w:rPr>
      </w:pPr>
      <w:r w:rsidRPr="000A1CF2">
        <w:rPr>
          <w:rFonts w:cs="Times New Roman"/>
          <w:lang w:val="sk"/>
        </w:rPr>
        <w:t>Súbežná liečba kolestyramínom môže znížiť absorpciu perorálneho torasemidu, čo môže znížiť jeho účinok.</w:t>
      </w:r>
    </w:p>
    <w:p w14:paraId="6E35F157" w14:textId="77777777" w:rsidR="00190696" w:rsidRPr="0069070D" w:rsidRDefault="00190696" w:rsidP="00075097">
      <w:pPr>
        <w:rPr>
          <w:rFonts w:cs="Times New Roman"/>
          <w:b/>
          <w:lang w:val="sk"/>
        </w:rPr>
      </w:pPr>
    </w:p>
    <w:p w14:paraId="2678868D" w14:textId="77777777" w:rsidR="00190696" w:rsidRPr="0069070D" w:rsidRDefault="00DB4904" w:rsidP="00075097">
      <w:pPr>
        <w:rPr>
          <w:rFonts w:cs="Times New Roman"/>
          <w:b/>
          <w:lang w:val="sk"/>
        </w:rPr>
      </w:pPr>
      <w:r w:rsidRPr="0069070D">
        <w:rPr>
          <w:rFonts w:cs="Times New Roman"/>
          <w:b/>
          <w:bCs/>
          <w:lang w:val="sk"/>
        </w:rPr>
        <w:t xml:space="preserve">4.6 </w:t>
      </w:r>
      <w:r w:rsidRPr="0069070D">
        <w:rPr>
          <w:rFonts w:cs="Times New Roman"/>
          <w:b/>
          <w:bCs/>
          <w:lang w:val="sk"/>
        </w:rPr>
        <w:tab/>
        <w:t>Fertilita, gravidita a laktácia</w:t>
      </w:r>
    </w:p>
    <w:p w14:paraId="78CE9115" w14:textId="77777777" w:rsidR="000C7775" w:rsidRPr="0069070D" w:rsidRDefault="000C7775" w:rsidP="00075097">
      <w:pPr>
        <w:rPr>
          <w:rFonts w:cs="Times New Roman"/>
          <w:b/>
          <w:lang w:val="sk"/>
        </w:rPr>
      </w:pPr>
    </w:p>
    <w:p w14:paraId="27A0C5DF" w14:textId="77777777" w:rsidR="004073F0" w:rsidRPr="0099776C" w:rsidRDefault="004073F0" w:rsidP="00075097">
      <w:pPr>
        <w:rPr>
          <w:rFonts w:cs="Times New Roman"/>
          <w:lang w:val="sk"/>
        </w:rPr>
      </w:pPr>
      <w:r w:rsidRPr="0099776C">
        <w:rPr>
          <w:rFonts w:cs="Times New Roman"/>
          <w:lang w:val="sk"/>
        </w:rPr>
        <w:t>Použitie tohto lieku je kontraindikované počas gravidity a laktácie (pozri časť 4.3).</w:t>
      </w:r>
    </w:p>
    <w:p w14:paraId="5DD3BD93" w14:textId="25BE2056" w:rsidR="004073F0" w:rsidRPr="0099776C" w:rsidRDefault="004073F0" w:rsidP="00075097">
      <w:pPr>
        <w:rPr>
          <w:rFonts w:cs="Times New Roman"/>
          <w:lang w:val="sk"/>
        </w:rPr>
      </w:pPr>
      <w:r w:rsidRPr="0099776C">
        <w:rPr>
          <w:rFonts w:cs="Times New Roman"/>
          <w:lang w:val="sk"/>
        </w:rPr>
        <w:t>V prípade potreby sa má za</w:t>
      </w:r>
      <w:r w:rsidR="007B1169">
        <w:rPr>
          <w:rFonts w:cs="Times New Roman"/>
          <w:lang w:val="sk"/>
        </w:rPr>
        <w:t>čať</w:t>
      </w:r>
      <w:r w:rsidRPr="0099776C">
        <w:rPr>
          <w:rFonts w:cs="Times New Roman"/>
          <w:lang w:val="sk"/>
        </w:rPr>
        <w:t xml:space="preserve"> alternatívna liečba, pokladaná za bezpečnejšiu v období gravidity a dojčenia.</w:t>
      </w:r>
    </w:p>
    <w:p w14:paraId="1F1C87C5" w14:textId="77777777" w:rsidR="004073F0" w:rsidRPr="0099776C" w:rsidRDefault="004073F0" w:rsidP="00075097">
      <w:pPr>
        <w:rPr>
          <w:rFonts w:cs="Times New Roman"/>
          <w:lang w:val="sk"/>
        </w:rPr>
      </w:pPr>
    </w:p>
    <w:p w14:paraId="24916277" w14:textId="77777777" w:rsidR="004073F0" w:rsidRPr="0099776C" w:rsidRDefault="004073F0" w:rsidP="00075097">
      <w:pPr>
        <w:rPr>
          <w:rFonts w:cs="Times New Roman"/>
          <w:b/>
          <w:u w:val="single"/>
          <w:lang w:val="sk"/>
        </w:rPr>
      </w:pPr>
      <w:r w:rsidRPr="0099776C">
        <w:rPr>
          <w:rFonts w:cs="Times New Roman"/>
          <w:b/>
          <w:bCs/>
          <w:u w:val="single"/>
          <w:lang w:val="sk"/>
        </w:rPr>
        <w:t>Súvisiace s lizinoprilom:</w:t>
      </w:r>
    </w:p>
    <w:p w14:paraId="787B3729" w14:textId="77777777" w:rsidR="004073F0" w:rsidRPr="0099776C" w:rsidRDefault="004073F0" w:rsidP="00075097">
      <w:pPr>
        <w:rPr>
          <w:rFonts w:cs="Times New Roman"/>
          <w:lang w:val="sk"/>
        </w:rPr>
      </w:pPr>
    </w:p>
    <w:p w14:paraId="2A00081F" w14:textId="77777777" w:rsidR="004073F0" w:rsidRPr="0099776C" w:rsidRDefault="004073F0" w:rsidP="00075097">
      <w:pPr>
        <w:rPr>
          <w:rFonts w:cs="Times New Roman"/>
          <w:u w:val="single"/>
          <w:lang w:val="sk"/>
        </w:rPr>
      </w:pPr>
      <w:r w:rsidRPr="0099776C">
        <w:rPr>
          <w:rFonts w:cs="Times New Roman"/>
          <w:u w:val="single"/>
          <w:lang w:val="sk"/>
        </w:rPr>
        <w:t xml:space="preserve">Gravidita </w:t>
      </w:r>
    </w:p>
    <w:p w14:paraId="5E445A36" w14:textId="77777777" w:rsidR="004073F0" w:rsidRPr="0099776C" w:rsidRDefault="004073F0" w:rsidP="00075097">
      <w:pPr>
        <w:rPr>
          <w:rFonts w:cs="Times New Roman"/>
          <w:lang w:val="sk"/>
        </w:rPr>
      </w:pPr>
      <w:r w:rsidRPr="0099776C">
        <w:rPr>
          <w:rFonts w:cs="Times New Roman"/>
          <w:lang w:val="sk"/>
        </w:rPr>
        <w:t>Použitie inhibítorov ACE sa neodporúča počas prvého trimestra gravidity (pozri časť 4.4). Použitie inhibítorov ACE je kontraindikované počas druhého a tretieho</w:t>
      </w:r>
    </w:p>
    <w:p w14:paraId="7F45B85C" w14:textId="77777777" w:rsidR="007E353F" w:rsidRPr="0099776C" w:rsidRDefault="004073F0" w:rsidP="00075097">
      <w:pPr>
        <w:rPr>
          <w:rFonts w:cs="Times New Roman"/>
          <w:lang w:val="sk"/>
        </w:rPr>
      </w:pPr>
      <w:r w:rsidRPr="0099776C">
        <w:rPr>
          <w:rFonts w:cs="Times New Roman"/>
          <w:lang w:val="sk"/>
        </w:rPr>
        <w:t>trimestra gravidity (pozri časti 4.3 a 4.4). Ženy v plodnom veku musia počas liečby lizinoprilom používať účinnú antikoncepciu.</w:t>
      </w:r>
    </w:p>
    <w:p w14:paraId="30BE8D18" w14:textId="77777777" w:rsidR="007E353F" w:rsidRPr="0099776C" w:rsidRDefault="007E353F" w:rsidP="00075097">
      <w:pPr>
        <w:rPr>
          <w:rFonts w:cs="Times New Roman"/>
          <w:lang w:val="sk"/>
        </w:rPr>
      </w:pPr>
    </w:p>
    <w:p w14:paraId="1937AC4F" w14:textId="09EB5D29" w:rsidR="004073F0" w:rsidRPr="0099776C" w:rsidRDefault="004073F0" w:rsidP="00075097">
      <w:pPr>
        <w:rPr>
          <w:rFonts w:cs="Times New Roman"/>
          <w:lang w:val="sk"/>
        </w:rPr>
      </w:pPr>
      <w:r w:rsidRPr="0099776C">
        <w:rPr>
          <w:rFonts w:cs="Times New Roman"/>
          <w:lang w:val="sk"/>
        </w:rPr>
        <w:t>Epidemiologické dôkazy týkajúce sa rizika teratogenity po expozícii inhibítorom ACE počas prvého trimestra gravidity nie sú konečné, avšak malé zvýšenie rizika nemožno vylúčiť. Pokiaľ sa pokračujúca liečba inhibítorom ACE považuje za nevyhnutnú, pacientkam, ktoré sa chystajú otehotnieť, sa má liečba zmeniť na alternatívnu antihypertenz</w:t>
      </w:r>
      <w:r w:rsidR="00AD52A2">
        <w:rPr>
          <w:rFonts w:cs="Times New Roman"/>
          <w:lang w:val="sk"/>
        </w:rPr>
        <w:t>ív</w:t>
      </w:r>
      <w:r w:rsidRPr="0099776C">
        <w:rPr>
          <w:rFonts w:cs="Times New Roman"/>
          <w:lang w:val="sk"/>
        </w:rPr>
        <w:t>n</w:t>
      </w:r>
      <w:r w:rsidR="00AD52A2">
        <w:rPr>
          <w:rFonts w:cs="Times New Roman"/>
          <w:lang w:val="sk"/>
        </w:rPr>
        <w:t>u</w:t>
      </w:r>
      <w:r w:rsidRPr="0099776C">
        <w:rPr>
          <w:rFonts w:cs="Times New Roman"/>
          <w:lang w:val="sk"/>
        </w:rPr>
        <w:t xml:space="preserve"> liečbu, ktorá je pokladaná za bezpečnú v období gravidity. </w:t>
      </w:r>
    </w:p>
    <w:p w14:paraId="07DA1D55" w14:textId="2561A02C" w:rsidR="004073F0" w:rsidRPr="0099776C" w:rsidRDefault="004073F0" w:rsidP="00075097">
      <w:pPr>
        <w:rPr>
          <w:rFonts w:cs="Times New Roman"/>
          <w:lang w:val="sk"/>
        </w:rPr>
      </w:pPr>
      <w:r w:rsidRPr="0099776C">
        <w:rPr>
          <w:rFonts w:cs="Times New Roman"/>
          <w:lang w:val="sk"/>
        </w:rPr>
        <w:lastRenderedPageBreak/>
        <w:t xml:space="preserve">Keď sa potvrdí gravidita, liečba inhibítormi ACE sa má ihneď ukončiť a prípadne sa má </w:t>
      </w:r>
      <w:r w:rsidR="00AD52A2">
        <w:rPr>
          <w:rFonts w:cs="Times New Roman"/>
          <w:lang w:val="sk"/>
        </w:rPr>
        <w:t xml:space="preserve">začať </w:t>
      </w:r>
      <w:r w:rsidRPr="0099776C">
        <w:rPr>
          <w:rFonts w:cs="Times New Roman"/>
          <w:lang w:val="sk"/>
        </w:rPr>
        <w:t>alternatívna liečba.</w:t>
      </w:r>
    </w:p>
    <w:p w14:paraId="55A3F60F" w14:textId="77777777" w:rsidR="004073F0" w:rsidRPr="0099776C" w:rsidRDefault="004073F0" w:rsidP="00075097">
      <w:pPr>
        <w:rPr>
          <w:rFonts w:cs="Times New Roman"/>
          <w:lang w:val="sk"/>
        </w:rPr>
      </w:pPr>
      <w:r w:rsidRPr="0099776C">
        <w:rPr>
          <w:rFonts w:cs="Times New Roman"/>
          <w:lang w:val="sk"/>
        </w:rPr>
        <w:t>O expozícii inhibítorom ACE v rámci liečby počas druhého a tretieho trimestra je známe, že vyvoláva humánnu fetotoxicitu (zníženú renálnu funkciu, oligohydramnión, spomalenie osifikácie lebky) a neonatálnu toxicitu (renálne zlyhanie, hypotenziu, hyperkaliémiu) (pozri tiež časť 5.3). Ak sa expozícia inhibítoru ACE vyskytovala od druhého trimestra gravidity, odporúča sa ultrazvuková kontrola renálnej funkcie a lebky.</w:t>
      </w:r>
      <w:r w:rsidR="0069070D" w:rsidRPr="0099776C">
        <w:rPr>
          <w:rFonts w:cs="Times New Roman"/>
          <w:lang w:val="sk"/>
        </w:rPr>
        <w:t xml:space="preserve"> </w:t>
      </w:r>
      <w:r w:rsidRPr="0099776C">
        <w:rPr>
          <w:rFonts w:cs="Times New Roman"/>
          <w:lang w:val="sk"/>
        </w:rPr>
        <w:t>Deti, ktorých matky užívali inhibítory ACE, sa majú dôsledne sledovať z hľadiska hypotenzie.</w:t>
      </w:r>
    </w:p>
    <w:p w14:paraId="0E236F6D" w14:textId="77777777" w:rsidR="004073F0" w:rsidRPr="0099776C" w:rsidRDefault="004073F0" w:rsidP="00075097">
      <w:pPr>
        <w:rPr>
          <w:rFonts w:cs="Times New Roman"/>
          <w:lang w:val="sk"/>
        </w:rPr>
      </w:pPr>
    </w:p>
    <w:p w14:paraId="00765123" w14:textId="77777777" w:rsidR="004073F0" w:rsidRPr="0099776C" w:rsidRDefault="004073F0" w:rsidP="00075097">
      <w:pPr>
        <w:rPr>
          <w:rFonts w:cs="Times New Roman"/>
          <w:u w:val="single"/>
          <w:lang w:val="sk"/>
        </w:rPr>
      </w:pPr>
      <w:r w:rsidRPr="0099776C">
        <w:rPr>
          <w:rFonts w:cs="Times New Roman"/>
          <w:u w:val="single"/>
          <w:lang w:val="sk"/>
        </w:rPr>
        <w:t xml:space="preserve">Dojčenie </w:t>
      </w:r>
    </w:p>
    <w:p w14:paraId="56136974" w14:textId="77777777" w:rsidR="004073F0" w:rsidRPr="0099776C" w:rsidRDefault="004073F0" w:rsidP="00075097">
      <w:pPr>
        <w:rPr>
          <w:rFonts w:cs="Times New Roman"/>
          <w:lang w:val="sk"/>
        </w:rPr>
      </w:pPr>
      <w:r w:rsidRPr="0099776C">
        <w:rPr>
          <w:rFonts w:cs="Times New Roman"/>
          <w:lang w:val="sk"/>
        </w:rPr>
        <w:t xml:space="preserve">Keďže nie sú k dispozícii žiadne informácie o použití lizinoprilu počas dojčenia, liek sa neodporúča a dáva sa prednosť alternatívnej liečbe, ktorá je pokladaná za bezpečnejšiu, a to najmä počas dojčenia novorodenca alebo predčasne narodeného dieťaťa. </w:t>
      </w:r>
    </w:p>
    <w:p w14:paraId="41C17AC2" w14:textId="77777777" w:rsidR="004073F0" w:rsidRPr="0099776C" w:rsidRDefault="004073F0" w:rsidP="00075097">
      <w:pPr>
        <w:rPr>
          <w:rFonts w:cs="Times New Roman"/>
          <w:lang w:val="sk"/>
        </w:rPr>
      </w:pPr>
    </w:p>
    <w:p w14:paraId="368F2DD5" w14:textId="77777777" w:rsidR="004073F0" w:rsidRPr="0099776C" w:rsidRDefault="004073F0" w:rsidP="00075097">
      <w:pPr>
        <w:rPr>
          <w:rFonts w:cs="Times New Roman"/>
          <w:b/>
          <w:u w:val="single"/>
          <w:lang w:val="sk"/>
        </w:rPr>
      </w:pPr>
      <w:r w:rsidRPr="0099776C">
        <w:rPr>
          <w:rFonts w:cs="Times New Roman"/>
          <w:b/>
          <w:bCs/>
          <w:u w:val="single"/>
          <w:lang w:val="sk"/>
        </w:rPr>
        <w:t>Súvisiace s torasemidom:</w:t>
      </w:r>
    </w:p>
    <w:p w14:paraId="2DDE178D" w14:textId="77777777" w:rsidR="004073F0" w:rsidRPr="0099776C" w:rsidRDefault="004073F0" w:rsidP="00075097">
      <w:pPr>
        <w:rPr>
          <w:rFonts w:cs="Times New Roman"/>
          <w:lang w:val="sk"/>
        </w:rPr>
      </w:pPr>
    </w:p>
    <w:p w14:paraId="3C3A4787" w14:textId="77777777" w:rsidR="004073F0" w:rsidRPr="0099776C" w:rsidRDefault="004073F0" w:rsidP="00075097">
      <w:pPr>
        <w:rPr>
          <w:rFonts w:cs="Times New Roman"/>
          <w:u w:val="single"/>
          <w:lang w:val="sk"/>
        </w:rPr>
      </w:pPr>
      <w:r w:rsidRPr="0099776C">
        <w:rPr>
          <w:rFonts w:cs="Times New Roman"/>
          <w:u w:val="single"/>
          <w:lang w:val="sk"/>
        </w:rPr>
        <w:t xml:space="preserve">Gravidita </w:t>
      </w:r>
    </w:p>
    <w:p w14:paraId="22D6CE93" w14:textId="77777777" w:rsidR="004073F0" w:rsidRPr="0099776C" w:rsidRDefault="004073F0" w:rsidP="00075097">
      <w:pPr>
        <w:rPr>
          <w:rFonts w:cs="Times New Roman"/>
          <w:lang w:val="sk"/>
        </w:rPr>
      </w:pPr>
      <w:r w:rsidRPr="0099776C">
        <w:rPr>
          <w:rFonts w:cs="Times New Roman"/>
          <w:lang w:val="sk"/>
        </w:rPr>
        <w:t>K dispozícii nie sú žiadne alebo sú len obmedzené údaje o používaní torasemidu u gravidných žien. Diuretiká nie sú vhodné na bežnú liečbu hypertenzie a edému v gravidite, pretože môžu ovplyvniť perfúziu placenty, a tým aj intrauterinný rast.</w:t>
      </w:r>
    </w:p>
    <w:p w14:paraId="25BFB0A6" w14:textId="77777777" w:rsidR="004073F0" w:rsidRPr="0099776C" w:rsidRDefault="004073F0" w:rsidP="00075097">
      <w:pPr>
        <w:rPr>
          <w:rFonts w:cs="Times New Roman"/>
          <w:lang w:val="sk"/>
        </w:rPr>
      </w:pPr>
      <w:r w:rsidRPr="0099776C">
        <w:rPr>
          <w:rFonts w:cs="Times New Roman"/>
          <w:lang w:val="sk"/>
        </w:rPr>
        <w:t xml:space="preserve">V štúdiách na zvieratách sa preukázala reprodukčná toxicita. Torasemid prechádzal u zvierat cez placentárnu bariéru (pozri časť 5.3). </w:t>
      </w:r>
    </w:p>
    <w:p w14:paraId="45E8A293" w14:textId="77777777" w:rsidR="004073F0" w:rsidRPr="0099776C" w:rsidRDefault="004073F0" w:rsidP="00075097">
      <w:pPr>
        <w:rPr>
          <w:rFonts w:cs="Times New Roman"/>
          <w:lang w:val="sk"/>
        </w:rPr>
      </w:pPr>
      <w:r w:rsidRPr="0099776C">
        <w:rPr>
          <w:rFonts w:cs="Times New Roman"/>
          <w:lang w:val="sk"/>
        </w:rPr>
        <w:t xml:space="preserve">Torasemid sa neodporúča počas gravidity a u žien v plodnom veku, ktoré nepoužívajú antikoncepciu. </w:t>
      </w:r>
    </w:p>
    <w:p w14:paraId="08B1CC2E" w14:textId="77777777" w:rsidR="004073F0" w:rsidRPr="0099776C" w:rsidRDefault="004073F0" w:rsidP="00075097">
      <w:pPr>
        <w:rPr>
          <w:rFonts w:cs="Times New Roman"/>
          <w:lang w:val="sk"/>
        </w:rPr>
      </w:pPr>
    </w:p>
    <w:p w14:paraId="27F2ADF8" w14:textId="77777777" w:rsidR="004073F0" w:rsidRPr="0099776C" w:rsidRDefault="004073F0" w:rsidP="00075097">
      <w:pPr>
        <w:rPr>
          <w:rFonts w:cs="Times New Roman"/>
          <w:u w:val="single"/>
        </w:rPr>
      </w:pPr>
      <w:r w:rsidRPr="0099776C">
        <w:rPr>
          <w:rFonts w:cs="Times New Roman"/>
          <w:u w:val="single"/>
        </w:rPr>
        <w:t>Dojčenie</w:t>
      </w:r>
      <w:r w:rsidRPr="0099776C">
        <w:rPr>
          <w:rFonts w:cs="Times New Roman"/>
          <w:u w:val="single"/>
          <w:lang w:val="sk"/>
        </w:rPr>
        <w:t xml:space="preserve"> </w:t>
      </w:r>
    </w:p>
    <w:p w14:paraId="2408D1D8" w14:textId="77777777" w:rsidR="004073F0" w:rsidRPr="0099776C" w:rsidRDefault="004073F0" w:rsidP="00075097">
      <w:pPr>
        <w:rPr>
          <w:rFonts w:cs="Times New Roman"/>
          <w:lang w:val="sk"/>
        </w:rPr>
      </w:pPr>
      <w:r w:rsidRPr="0099776C">
        <w:rPr>
          <w:rFonts w:cs="Times New Roman"/>
          <w:lang w:val="sk"/>
        </w:rPr>
        <w:t xml:space="preserve">Nie je známe, či sa torasemid vylučuje do materského mlieka. Diuretiká vo vysokých dávkach spôsobujúce intenzívnu diurézu môžu inhibovať tvorbu mlieka. Torasemid je preto kontraindikovaný počas dojčenia (pozri časť 4.3). </w:t>
      </w:r>
    </w:p>
    <w:p w14:paraId="016721A4" w14:textId="77777777" w:rsidR="004073F0" w:rsidRPr="0099776C" w:rsidRDefault="004073F0" w:rsidP="00075097">
      <w:pPr>
        <w:rPr>
          <w:rFonts w:cs="Times New Roman"/>
          <w:u w:val="single"/>
          <w:lang w:val="sk"/>
        </w:rPr>
      </w:pPr>
    </w:p>
    <w:p w14:paraId="6C823FB5" w14:textId="77777777" w:rsidR="004073F0" w:rsidRPr="0099776C" w:rsidRDefault="004073F0" w:rsidP="00075097">
      <w:pPr>
        <w:rPr>
          <w:rFonts w:cs="Times New Roman"/>
          <w:u w:val="single"/>
          <w:lang w:val="sk"/>
        </w:rPr>
      </w:pPr>
      <w:r w:rsidRPr="0099776C">
        <w:rPr>
          <w:rFonts w:cs="Times New Roman"/>
          <w:u w:val="single"/>
          <w:lang w:val="sk"/>
        </w:rPr>
        <w:t xml:space="preserve">Fertilita </w:t>
      </w:r>
    </w:p>
    <w:p w14:paraId="5BD2E642" w14:textId="77777777" w:rsidR="00190696" w:rsidRPr="0099776C" w:rsidRDefault="004073F0" w:rsidP="00075097">
      <w:pPr>
        <w:rPr>
          <w:rFonts w:cs="Times New Roman"/>
          <w:lang w:val="sk"/>
        </w:rPr>
      </w:pPr>
      <w:r w:rsidRPr="0099776C">
        <w:rPr>
          <w:rFonts w:cs="Times New Roman"/>
          <w:lang w:val="sk"/>
        </w:rPr>
        <w:t>Neboli pozorované žiadne účinky na plodnosť (pozri tiež časť 5.3).</w:t>
      </w:r>
    </w:p>
    <w:p w14:paraId="44D85FBF" w14:textId="77777777" w:rsidR="004073F0" w:rsidRPr="0099776C" w:rsidRDefault="004073F0" w:rsidP="00075097">
      <w:pPr>
        <w:rPr>
          <w:rFonts w:cs="Times New Roman"/>
          <w:lang w:val="sk"/>
        </w:rPr>
      </w:pPr>
    </w:p>
    <w:p w14:paraId="3BDE0033" w14:textId="77777777" w:rsidR="00AA7FB5" w:rsidRPr="0099776C" w:rsidRDefault="00DB4904" w:rsidP="00075097">
      <w:pPr>
        <w:rPr>
          <w:rFonts w:cs="Times New Roman"/>
          <w:b/>
          <w:lang w:val="sk"/>
        </w:rPr>
      </w:pPr>
      <w:r w:rsidRPr="0099776C">
        <w:rPr>
          <w:rFonts w:cs="Times New Roman"/>
          <w:b/>
          <w:bCs/>
          <w:lang w:val="sk"/>
        </w:rPr>
        <w:t xml:space="preserve">4.7 </w:t>
      </w:r>
      <w:r w:rsidRPr="0099776C">
        <w:rPr>
          <w:rFonts w:cs="Times New Roman"/>
          <w:b/>
          <w:bCs/>
          <w:lang w:val="sk"/>
        </w:rPr>
        <w:tab/>
        <w:t>Ovplyvnenie schopnosti viesť vozidlá a obsluhovať stroje</w:t>
      </w:r>
    </w:p>
    <w:p w14:paraId="4EBA67E3" w14:textId="77777777" w:rsidR="00F441B5" w:rsidRPr="0099776C" w:rsidRDefault="00F441B5" w:rsidP="00075097">
      <w:pPr>
        <w:rPr>
          <w:rFonts w:cs="Times New Roman"/>
          <w:lang w:val="sk"/>
        </w:rPr>
      </w:pPr>
    </w:p>
    <w:p w14:paraId="6030549E" w14:textId="77777777" w:rsidR="00AA7FB5" w:rsidRPr="0099776C" w:rsidRDefault="00AA7FB5" w:rsidP="00075097">
      <w:pPr>
        <w:rPr>
          <w:rFonts w:cs="Times New Roman"/>
          <w:lang w:val="sk"/>
        </w:rPr>
      </w:pPr>
      <w:r w:rsidRPr="0099776C">
        <w:rPr>
          <w:rFonts w:cs="Times New Roman"/>
          <w:lang w:val="sk"/>
        </w:rPr>
        <w:t>Podobne ako iné antihypertenzíva, kombinované lieky obsahujúce lizinopril-torasemid môžu mať mierny až stredne silný vplyv na schopnosť viesť motorové vozidlá a obsluhovať stroje. Platí to najmä na začiatku liečby alebo pri úprave dávky, ako i v prípade, keď sa používajú v kombinácii s alkoholom. Tieto účinky však závisia od individuálnej citlivosti jedinca.</w:t>
      </w:r>
    </w:p>
    <w:p w14:paraId="392B137B" w14:textId="77777777" w:rsidR="00AA7FB5" w:rsidRPr="0099776C" w:rsidRDefault="00AA7FB5" w:rsidP="00075097">
      <w:pPr>
        <w:rPr>
          <w:rFonts w:cs="Times New Roman"/>
          <w:lang w:val="sk"/>
        </w:rPr>
      </w:pPr>
    </w:p>
    <w:p w14:paraId="75B0E8BD" w14:textId="25C0BED6" w:rsidR="00190696" w:rsidRPr="0069070D" w:rsidRDefault="00AA7FB5" w:rsidP="00075097">
      <w:pPr>
        <w:rPr>
          <w:rFonts w:cs="Times New Roman"/>
          <w:lang w:val="sk"/>
        </w:rPr>
      </w:pPr>
      <w:r w:rsidRPr="0099776C">
        <w:rPr>
          <w:rFonts w:cs="Times New Roman"/>
          <w:lang w:val="sk"/>
        </w:rPr>
        <w:t>Pri vedení motorových vozidiel alebo obsluhe strojov je potrebné vziať na vedomie, že občas sa môže vyskytnúť závrat, poruchy zraku alebo synkopa, ktoré môžu byť príznakmi hypotenzie.</w:t>
      </w:r>
    </w:p>
    <w:p w14:paraId="1EDD9219" w14:textId="77777777" w:rsidR="00AA7FB5" w:rsidRPr="0069070D" w:rsidRDefault="00AA7FB5" w:rsidP="00075097">
      <w:pPr>
        <w:rPr>
          <w:rFonts w:cs="Times New Roman"/>
          <w:lang w:val="sk"/>
        </w:rPr>
      </w:pPr>
    </w:p>
    <w:p w14:paraId="353A913D" w14:textId="77777777" w:rsidR="00190696" w:rsidRPr="0069070D" w:rsidRDefault="00DB4904" w:rsidP="00075097">
      <w:pPr>
        <w:rPr>
          <w:rFonts w:cs="Times New Roman"/>
          <w:b/>
          <w:lang w:val="sk"/>
        </w:rPr>
      </w:pPr>
      <w:r w:rsidRPr="0069070D">
        <w:rPr>
          <w:rFonts w:cs="Times New Roman"/>
          <w:b/>
          <w:bCs/>
          <w:lang w:val="sk"/>
        </w:rPr>
        <w:t>4.8</w:t>
      </w:r>
      <w:r w:rsidRPr="0069070D">
        <w:rPr>
          <w:rFonts w:cs="Times New Roman"/>
          <w:b/>
          <w:bCs/>
          <w:lang w:val="sk"/>
        </w:rPr>
        <w:tab/>
        <w:t>Nežiaduce účinky</w:t>
      </w:r>
    </w:p>
    <w:p w14:paraId="22E2A7EE" w14:textId="77777777" w:rsidR="00DB4904" w:rsidRPr="0069070D" w:rsidRDefault="00DB4904" w:rsidP="00075097">
      <w:pPr>
        <w:rPr>
          <w:rFonts w:cs="Times New Roman"/>
          <w:b/>
          <w:lang w:val="sk"/>
        </w:rPr>
      </w:pPr>
    </w:p>
    <w:p w14:paraId="6C5115F9" w14:textId="77777777" w:rsidR="00AA7FB5" w:rsidRPr="0099776C" w:rsidRDefault="00AA7FB5" w:rsidP="00075097">
      <w:pPr>
        <w:spacing w:line="240" w:lineRule="auto"/>
        <w:rPr>
          <w:rFonts w:cs="Times New Roman"/>
          <w:lang w:val="sk"/>
        </w:rPr>
      </w:pPr>
      <w:r w:rsidRPr="0099776C">
        <w:rPr>
          <w:rFonts w:cs="Times New Roman"/>
          <w:lang w:val="sk"/>
        </w:rPr>
        <w:t>Frekvencia nežiaducich reakcií je definovaná s použitím nasledujúcej konvencie:</w:t>
      </w:r>
    </w:p>
    <w:p w14:paraId="7DC4DA5A" w14:textId="211F4A5A" w:rsidR="00AA7FB5" w:rsidRPr="0099776C" w:rsidRDefault="00AA7FB5" w:rsidP="00075097">
      <w:pPr>
        <w:spacing w:line="240" w:lineRule="auto"/>
        <w:rPr>
          <w:rFonts w:cs="Times New Roman"/>
          <w:lang w:val="sk"/>
        </w:rPr>
      </w:pPr>
      <w:r w:rsidRPr="0099776C">
        <w:rPr>
          <w:rFonts w:cs="Times New Roman"/>
          <w:lang w:val="sk"/>
        </w:rPr>
        <w:t>Veľmi časté (≥</w:t>
      </w:r>
      <w:r w:rsidR="00AD52A2">
        <w:rPr>
          <w:rFonts w:cs="Times New Roman"/>
          <w:lang w:val="sk"/>
        </w:rPr>
        <w:t xml:space="preserve"> </w:t>
      </w:r>
      <w:r w:rsidRPr="0099776C">
        <w:rPr>
          <w:rFonts w:cs="Times New Roman"/>
          <w:lang w:val="sk"/>
        </w:rPr>
        <w:t>1/10), časté (≥</w:t>
      </w:r>
      <w:r w:rsidR="00AD52A2">
        <w:rPr>
          <w:rFonts w:cs="Times New Roman"/>
          <w:lang w:val="sk"/>
        </w:rPr>
        <w:t xml:space="preserve"> </w:t>
      </w:r>
      <w:r w:rsidRPr="0099776C">
        <w:rPr>
          <w:rFonts w:cs="Times New Roman"/>
          <w:lang w:val="sk"/>
        </w:rPr>
        <w:t>1/100 až &lt;</w:t>
      </w:r>
      <w:r w:rsidR="00AD52A2">
        <w:rPr>
          <w:rFonts w:cs="Times New Roman"/>
          <w:lang w:val="sk"/>
        </w:rPr>
        <w:t xml:space="preserve"> </w:t>
      </w:r>
      <w:r w:rsidRPr="0099776C">
        <w:rPr>
          <w:rFonts w:cs="Times New Roman"/>
          <w:lang w:val="sk"/>
        </w:rPr>
        <w:t>1/10), menej časté (≥</w:t>
      </w:r>
      <w:r w:rsidR="00AD52A2">
        <w:rPr>
          <w:rFonts w:cs="Times New Roman"/>
          <w:lang w:val="sk"/>
        </w:rPr>
        <w:t xml:space="preserve"> </w:t>
      </w:r>
      <w:r w:rsidRPr="0099776C">
        <w:rPr>
          <w:rFonts w:cs="Times New Roman"/>
          <w:lang w:val="sk"/>
        </w:rPr>
        <w:t>1/1 000 až &lt;</w:t>
      </w:r>
      <w:r w:rsidR="00AD52A2">
        <w:rPr>
          <w:rFonts w:cs="Times New Roman"/>
          <w:lang w:val="sk"/>
        </w:rPr>
        <w:t xml:space="preserve"> </w:t>
      </w:r>
      <w:r w:rsidRPr="0099776C">
        <w:rPr>
          <w:rFonts w:cs="Times New Roman"/>
          <w:lang w:val="sk"/>
        </w:rPr>
        <w:t>1/100), zriedkavé (≥</w:t>
      </w:r>
      <w:r w:rsidR="00AD52A2">
        <w:rPr>
          <w:rFonts w:cs="Times New Roman"/>
          <w:lang w:val="sk"/>
        </w:rPr>
        <w:t xml:space="preserve"> </w:t>
      </w:r>
      <w:r w:rsidRPr="0099776C">
        <w:rPr>
          <w:rFonts w:cs="Times New Roman"/>
          <w:lang w:val="sk"/>
        </w:rPr>
        <w:t>1/10 000 až &lt;</w:t>
      </w:r>
      <w:r w:rsidR="00AD52A2">
        <w:rPr>
          <w:rFonts w:cs="Times New Roman"/>
          <w:lang w:val="sk"/>
        </w:rPr>
        <w:t xml:space="preserve"> </w:t>
      </w:r>
      <w:r w:rsidRPr="0099776C">
        <w:rPr>
          <w:rFonts w:cs="Times New Roman"/>
          <w:lang w:val="sk"/>
        </w:rPr>
        <w:t>1/1 000), veľmi zriedkavé (&lt;</w:t>
      </w:r>
      <w:r w:rsidR="00AD52A2">
        <w:rPr>
          <w:rFonts w:cs="Times New Roman"/>
          <w:lang w:val="sk"/>
        </w:rPr>
        <w:t xml:space="preserve"> </w:t>
      </w:r>
      <w:r w:rsidRPr="0099776C">
        <w:rPr>
          <w:rFonts w:cs="Times New Roman"/>
          <w:lang w:val="sk"/>
        </w:rPr>
        <w:t>1/10 000), neznáme (z dostupných údajov).</w:t>
      </w:r>
    </w:p>
    <w:p w14:paraId="03F9BA4A" w14:textId="77777777" w:rsidR="00DB4904" w:rsidRPr="0099776C" w:rsidRDefault="00DB4904" w:rsidP="00075097">
      <w:pPr>
        <w:spacing w:line="240" w:lineRule="auto"/>
        <w:rPr>
          <w:rFonts w:cs="Times New Roman"/>
          <w:lang w:val="sk"/>
        </w:rPr>
      </w:pPr>
    </w:p>
    <w:p w14:paraId="1E6C6BA5" w14:textId="77777777" w:rsidR="00AA7FB5" w:rsidRPr="0099776C" w:rsidRDefault="00AA7FB5" w:rsidP="00075097">
      <w:pPr>
        <w:spacing w:line="240" w:lineRule="auto"/>
        <w:rPr>
          <w:rFonts w:cs="Times New Roman"/>
          <w:lang w:val="sk"/>
        </w:rPr>
      </w:pPr>
      <w:r w:rsidRPr="0099776C">
        <w:rPr>
          <w:rFonts w:cs="Times New Roman"/>
          <w:lang w:val="sk"/>
        </w:rPr>
        <w:lastRenderedPageBreak/>
        <w:t>Lizinopril najčastejšie spôsobil nasledujúce nežiaduce reakcie (frekvencia hodnotená ako častá): kašeľ, závrat, bolesť hlavy, hnačku. Kašeľ je pretrvávajúci a neproduktívny.</w:t>
      </w:r>
    </w:p>
    <w:p w14:paraId="406A6CB6" w14:textId="77777777" w:rsidR="00DB4904" w:rsidRPr="0099776C" w:rsidRDefault="00DB4904" w:rsidP="00075097">
      <w:pPr>
        <w:spacing w:line="240" w:lineRule="auto"/>
        <w:rPr>
          <w:rFonts w:cs="Times New Roman"/>
          <w:lang w:val="sk"/>
        </w:rPr>
      </w:pPr>
    </w:p>
    <w:p w14:paraId="4DD95ECE" w14:textId="77777777" w:rsidR="00AA7FB5" w:rsidRPr="0099776C" w:rsidRDefault="00AA7FB5" w:rsidP="00075097">
      <w:pPr>
        <w:spacing w:line="240" w:lineRule="auto"/>
        <w:rPr>
          <w:rFonts w:cs="Times New Roman"/>
          <w:lang w:val="sk"/>
        </w:rPr>
      </w:pPr>
      <w:r w:rsidRPr="0099776C">
        <w:rPr>
          <w:rFonts w:cs="Times New Roman"/>
          <w:lang w:val="sk"/>
        </w:rPr>
        <w:t>V prípade torasemidu sa môžu v závislosti od dávkovania a trvania liečby často vyskytnúť poruchy rovnováhy vody a elektrolytov (hypovolémia, hypokaliémia, hyponatriémia), ako aj svalové spazmy, závrat, bolesť hlavy, únava, asténia a určité zmeny laboratórnych parametrov, napr. zvýšená hladina kyseliny močovej v krvi a zvýšená hladina glukózy v krvi. Môže sa vyskytnúť hypokaliémia, najmä v prípade diéty s nízkym obsahom draslíka, počas vracania a hnačky, v prípade nadmerného používania laxatív a u pacientov s chronickou poruchou funkcie pečene. Často sa môžu vyskytnúť gastrointestinálne poruchy a znížená chuť do jedla, najmä na začiatku liečby.</w:t>
      </w:r>
    </w:p>
    <w:p w14:paraId="2716D2C3" w14:textId="77777777" w:rsidR="00DB4904" w:rsidRPr="0099776C" w:rsidRDefault="00DB4904" w:rsidP="00075097">
      <w:pPr>
        <w:spacing w:line="240" w:lineRule="auto"/>
        <w:rPr>
          <w:rFonts w:cs="Times New Roman"/>
          <w:lang w:val="sk"/>
        </w:rPr>
      </w:pPr>
    </w:p>
    <w:p w14:paraId="31A05915" w14:textId="77777777" w:rsidR="00AA7FB5" w:rsidRPr="0099776C" w:rsidRDefault="00AA7FB5" w:rsidP="00075097">
      <w:pPr>
        <w:spacing w:line="240" w:lineRule="auto"/>
        <w:rPr>
          <w:rFonts w:cs="Times New Roman"/>
          <w:lang w:val="sk"/>
        </w:rPr>
      </w:pPr>
      <w:r w:rsidRPr="0099776C">
        <w:rPr>
          <w:rFonts w:cs="Times New Roman"/>
          <w:lang w:val="sk"/>
        </w:rPr>
        <w:t>Bolo pozorované, že pridanie inhibítora ACE k diuretiku účinne zmierňuje metabolické poruchy, ako napr. hypokaliémia, ktorá sa môže vyskytnúť v dôsledku vysokých dávok diuretika podávaného v monoterapii.</w:t>
      </w:r>
    </w:p>
    <w:p w14:paraId="6F865716" w14:textId="77777777" w:rsidR="00DB4904" w:rsidRPr="0099776C" w:rsidRDefault="00DB4904" w:rsidP="00075097">
      <w:pPr>
        <w:spacing w:line="240" w:lineRule="auto"/>
        <w:rPr>
          <w:rFonts w:cs="Times New Roman"/>
          <w:lang w:val="sk"/>
        </w:rPr>
      </w:pPr>
    </w:p>
    <w:p w14:paraId="0FC7ECBE" w14:textId="77777777" w:rsidR="00AA7FB5" w:rsidRPr="0099776C" w:rsidRDefault="00AA7FB5" w:rsidP="00075097">
      <w:pPr>
        <w:spacing w:line="240" w:lineRule="auto"/>
        <w:rPr>
          <w:rFonts w:cs="Times New Roman"/>
          <w:lang w:val="sk"/>
        </w:rPr>
      </w:pPr>
      <w:r w:rsidRPr="0099776C">
        <w:rPr>
          <w:rFonts w:cs="Times New Roman"/>
          <w:lang w:val="sk"/>
        </w:rPr>
        <w:t>Počas liečby lizinoprilom a torasemidom boli hlásené tieto nežiaduce reakcie:</w:t>
      </w:r>
    </w:p>
    <w:p w14:paraId="03D1F158" w14:textId="77777777" w:rsidR="00AA7FB5" w:rsidRPr="0099776C" w:rsidRDefault="00AA7FB5" w:rsidP="00075097">
      <w:pPr>
        <w:spacing w:line="240" w:lineRule="auto"/>
        <w:rPr>
          <w:rFonts w:cs="Times New Roman"/>
          <w:u w:val="single"/>
          <w:lang w:val="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1485"/>
        <w:gridCol w:w="2857"/>
        <w:gridCol w:w="2630"/>
      </w:tblGrid>
      <w:tr w:rsidR="00AA7FB5" w:rsidRPr="0099776C" w14:paraId="73910A76" w14:textId="77777777" w:rsidTr="00F441B5">
        <w:trPr>
          <w:jc w:val="center"/>
        </w:trPr>
        <w:tc>
          <w:tcPr>
            <w:tcW w:w="2068" w:type="dxa"/>
            <w:tcBorders>
              <w:top w:val="single" w:sz="4" w:space="0" w:color="auto"/>
              <w:left w:val="single" w:sz="4" w:space="0" w:color="auto"/>
              <w:bottom w:val="single" w:sz="4" w:space="0" w:color="auto"/>
              <w:right w:val="single" w:sz="4" w:space="0" w:color="auto"/>
            </w:tcBorders>
          </w:tcPr>
          <w:p w14:paraId="282478EA" w14:textId="77777777" w:rsidR="00AA7FB5" w:rsidRPr="00FF0B99" w:rsidRDefault="00AA7FB5" w:rsidP="00075097">
            <w:pPr>
              <w:keepNext/>
              <w:rPr>
                <w:rFonts w:cs="Times New Roman"/>
                <w:b/>
                <w:sz w:val="20"/>
                <w:szCs w:val="20"/>
              </w:rPr>
            </w:pPr>
            <w:r w:rsidRPr="00FF0B99">
              <w:rPr>
                <w:rFonts w:cs="Times New Roman"/>
                <w:b/>
                <w:bCs/>
                <w:sz w:val="20"/>
                <w:szCs w:val="20"/>
                <w:lang w:val="sk"/>
              </w:rPr>
              <w:t xml:space="preserve">Trieda orgánových systémov </w:t>
            </w:r>
          </w:p>
        </w:tc>
        <w:tc>
          <w:tcPr>
            <w:tcW w:w="1485" w:type="dxa"/>
            <w:tcBorders>
              <w:top w:val="single" w:sz="4" w:space="0" w:color="auto"/>
              <w:left w:val="single" w:sz="4" w:space="0" w:color="auto"/>
              <w:bottom w:val="single" w:sz="4" w:space="0" w:color="auto"/>
              <w:right w:val="single" w:sz="4" w:space="0" w:color="auto"/>
            </w:tcBorders>
          </w:tcPr>
          <w:p w14:paraId="1A3F687A" w14:textId="77777777" w:rsidR="00AA7FB5" w:rsidRPr="00FF0B99" w:rsidRDefault="00683CCD" w:rsidP="00075097">
            <w:pPr>
              <w:rPr>
                <w:rFonts w:cs="Times New Roman"/>
                <w:b/>
                <w:sz w:val="20"/>
                <w:szCs w:val="20"/>
              </w:rPr>
            </w:pPr>
            <w:r w:rsidRPr="00FF0B99">
              <w:rPr>
                <w:rFonts w:cs="Times New Roman"/>
                <w:b/>
                <w:bCs/>
                <w:sz w:val="20"/>
                <w:szCs w:val="20"/>
                <w:lang w:val="sk"/>
              </w:rPr>
              <w:t>Frekvenc</w:t>
            </w:r>
            <w:r w:rsidR="00AA7FB5" w:rsidRPr="00FF0B99">
              <w:rPr>
                <w:rFonts w:cs="Times New Roman"/>
                <w:b/>
                <w:bCs/>
                <w:sz w:val="20"/>
                <w:szCs w:val="20"/>
                <w:lang w:val="sk"/>
              </w:rPr>
              <w:t>a</w:t>
            </w:r>
          </w:p>
        </w:tc>
        <w:tc>
          <w:tcPr>
            <w:tcW w:w="2857" w:type="dxa"/>
            <w:tcBorders>
              <w:top w:val="single" w:sz="4" w:space="0" w:color="auto"/>
              <w:left w:val="single" w:sz="4" w:space="0" w:color="auto"/>
              <w:bottom w:val="single" w:sz="4" w:space="0" w:color="auto"/>
              <w:right w:val="single" w:sz="4" w:space="0" w:color="auto"/>
            </w:tcBorders>
          </w:tcPr>
          <w:p w14:paraId="0D97BE08" w14:textId="77777777" w:rsidR="00AA7FB5" w:rsidRPr="00FF0B99" w:rsidRDefault="00AA7FB5" w:rsidP="00075097">
            <w:pPr>
              <w:rPr>
                <w:rFonts w:cs="Times New Roman"/>
                <w:b/>
                <w:sz w:val="20"/>
                <w:szCs w:val="20"/>
              </w:rPr>
            </w:pPr>
            <w:r w:rsidRPr="00FF0B99">
              <w:rPr>
                <w:rFonts w:cs="Times New Roman"/>
                <w:b/>
                <w:bCs/>
                <w:sz w:val="20"/>
                <w:szCs w:val="20"/>
                <w:lang w:val="sk"/>
              </w:rPr>
              <w:t>Lizinopril</w:t>
            </w:r>
          </w:p>
        </w:tc>
        <w:tc>
          <w:tcPr>
            <w:tcW w:w="2630" w:type="dxa"/>
            <w:tcBorders>
              <w:top w:val="single" w:sz="4" w:space="0" w:color="auto"/>
              <w:left w:val="single" w:sz="4" w:space="0" w:color="auto"/>
              <w:bottom w:val="single" w:sz="4" w:space="0" w:color="auto"/>
              <w:right w:val="single" w:sz="4" w:space="0" w:color="auto"/>
            </w:tcBorders>
          </w:tcPr>
          <w:p w14:paraId="1161E4BE" w14:textId="77777777" w:rsidR="00AA7FB5" w:rsidRPr="00FF0B99" w:rsidRDefault="00AA7FB5" w:rsidP="00075097">
            <w:pPr>
              <w:rPr>
                <w:rFonts w:cs="Times New Roman"/>
                <w:b/>
                <w:sz w:val="20"/>
                <w:szCs w:val="20"/>
              </w:rPr>
            </w:pPr>
            <w:r w:rsidRPr="00FF0B99">
              <w:rPr>
                <w:rFonts w:cs="Times New Roman"/>
                <w:b/>
                <w:bCs/>
                <w:sz w:val="20"/>
                <w:szCs w:val="20"/>
                <w:lang w:val="sk"/>
              </w:rPr>
              <w:t>Torasemid</w:t>
            </w:r>
          </w:p>
        </w:tc>
      </w:tr>
      <w:tr w:rsidR="00AA7FB5" w:rsidRPr="0099776C" w14:paraId="4E647E44" w14:textId="77777777" w:rsidTr="00F441B5">
        <w:trPr>
          <w:jc w:val="center"/>
        </w:trPr>
        <w:tc>
          <w:tcPr>
            <w:tcW w:w="2068" w:type="dxa"/>
            <w:tcBorders>
              <w:top w:val="single" w:sz="4" w:space="0" w:color="auto"/>
              <w:left w:val="single" w:sz="4" w:space="0" w:color="auto"/>
              <w:bottom w:val="single" w:sz="4" w:space="0" w:color="auto"/>
              <w:right w:val="single" w:sz="4" w:space="0" w:color="auto"/>
            </w:tcBorders>
          </w:tcPr>
          <w:p w14:paraId="1E4B4EF9" w14:textId="77777777" w:rsidR="00AA7FB5" w:rsidRPr="00FF0B99" w:rsidRDefault="00AA7FB5" w:rsidP="00075097">
            <w:pPr>
              <w:keepNext/>
              <w:rPr>
                <w:rFonts w:cs="Times New Roman"/>
                <w:b/>
                <w:sz w:val="20"/>
                <w:szCs w:val="20"/>
              </w:rPr>
            </w:pPr>
            <w:r w:rsidRPr="00FF0B99">
              <w:rPr>
                <w:rFonts w:cs="Times New Roman"/>
                <w:b/>
                <w:bCs/>
                <w:sz w:val="20"/>
                <w:szCs w:val="20"/>
                <w:lang w:val="sk"/>
              </w:rPr>
              <w:t>Infekcie a nákazy</w:t>
            </w:r>
          </w:p>
        </w:tc>
        <w:tc>
          <w:tcPr>
            <w:tcW w:w="1485" w:type="dxa"/>
            <w:tcBorders>
              <w:top w:val="single" w:sz="4" w:space="0" w:color="auto"/>
              <w:left w:val="single" w:sz="4" w:space="0" w:color="auto"/>
              <w:bottom w:val="single" w:sz="4" w:space="0" w:color="auto"/>
              <w:right w:val="single" w:sz="4" w:space="0" w:color="auto"/>
            </w:tcBorders>
          </w:tcPr>
          <w:p w14:paraId="4A2174E8"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008EC8F1" w14:textId="77777777" w:rsidR="00AA7FB5" w:rsidRPr="00FF0B99" w:rsidRDefault="00AA7FB5" w:rsidP="00075097">
            <w:pPr>
              <w:rPr>
                <w:rFonts w:cs="Times New Roman"/>
                <w:sz w:val="20"/>
                <w:szCs w:val="20"/>
              </w:rPr>
            </w:pPr>
            <w:r w:rsidRPr="00FF0B99">
              <w:rPr>
                <w:rFonts w:cs="Times New Roman"/>
                <w:sz w:val="20"/>
                <w:szCs w:val="20"/>
                <w:lang w:val="sk"/>
              </w:rPr>
              <w:t>infekcia močových ciest</w:t>
            </w:r>
          </w:p>
        </w:tc>
        <w:tc>
          <w:tcPr>
            <w:tcW w:w="2630" w:type="dxa"/>
            <w:tcBorders>
              <w:top w:val="single" w:sz="4" w:space="0" w:color="auto"/>
              <w:left w:val="single" w:sz="4" w:space="0" w:color="auto"/>
              <w:bottom w:val="single" w:sz="4" w:space="0" w:color="auto"/>
              <w:right w:val="single" w:sz="4" w:space="0" w:color="auto"/>
            </w:tcBorders>
          </w:tcPr>
          <w:p w14:paraId="00BF852B"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715B271C" w14:textId="77777777" w:rsidTr="00F441B5">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004CCC29" w14:textId="77777777" w:rsidR="00AA7FB5" w:rsidRPr="00FF0B99" w:rsidRDefault="00AA7FB5" w:rsidP="00075097">
            <w:pPr>
              <w:rPr>
                <w:rFonts w:cs="Times New Roman"/>
                <w:sz w:val="20"/>
                <w:szCs w:val="20"/>
              </w:rPr>
            </w:pPr>
            <w:r w:rsidRPr="00FF0B99">
              <w:rPr>
                <w:rFonts w:cs="Times New Roman"/>
                <w:sz w:val="20"/>
                <w:szCs w:val="20"/>
                <w:lang w:val="sk"/>
              </w:rPr>
              <w:t>Poruchy krvi a lymfatického systému</w:t>
            </w:r>
          </w:p>
        </w:tc>
        <w:tc>
          <w:tcPr>
            <w:tcW w:w="1485" w:type="dxa"/>
            <w:tcBorders>
              <w:top w:val="single" w:sz="4" w:space="0" w:color="auto"/>
              <w:left w:val="single" w:sz="4" w:space="0" w:color="auto"/>
              <w:bottom w:val="single" w:sz="4" w:space="0" w:color="auto"/>
              <w:right w:val="single" w:sz="4" w:space="0" w:color="auto"/>
            </w:tcBorders>
          </w:tcPr>
          <w:p w14:paraId="1D40F6C5" w14:textId="77777777" w:rsidR="00AA7FB5" w:rsidRPr="00FF0B99" w:rsidRDefault="00AA7FB5" w:rsidP="00075097">
            <w:pPr>
              <w:rPr>
                <w:rFonts w:cs="Times New Roman"/>
                <w:sz w:val="20"/>
                <w:szCs w:val="20"/>
              </w:rPr>
            </w:pPr>
            <w:r w:rsidRPr="00FF0B99">
              <w:rPr>
                <w:rFonts w:cs="Times New Roman"/>
                <w:sz w:val="20"/>
                <w:szCs w:val="20"/>
                <w:lang w:val="sk"/>
              </w:rPr>
              <w:t xml:space="preserve">zriedkavé </w:t>
            </w:r>
          </w:p>
        </w:tc>
        <w:tc>
          <w:tcPr>
            <w:tcW w:w="2857" w:type="dxa"/>
            <w:tcBorders>
              <w:top w:val="single" w:sz="4" w:space="0" w:color="auto"/>
              <w:left w:val="single" w:sz="4" w:space="0" w:color="auto"/>
              <w:bottom w:val="single" w:sz="4" w:space="0" w:color="auto"/>
              <w:right w:val="single" w:sz="4" w:space="0" w:color="auto"/>
            </w:tcBorders>
          </w:tcPr>
          <w:p w14:paraId="6047AE0C" w14:textId="77777777" w:rsidR="00AA7FB5" w:rsidRPr="00FF0B99" w:rsidRDefault="00AA7FB5" w:rsidP="00075097">
            <w:pPr>
              <w:rPr>
                <w:rFonts w:cs="Times New Roman"/>
                <w:sz w:val="20"/>
                <w:szCs w:val="20"/>
              </w:rPr>
            </w:pPr>
            <w:r w:rsidRPr="00FF0B99">
              <w:rPr>
                <w:rFonts w:cs="Times New Roman"/>
                <w:sz w:val="20"/>
                <w:szCs w:val="20"/>
                <w:lang w:val="sk"/>
              </w:rPr>
              <w:t>znížená hladina hemoglobínu, pokles hematokritu</w:t>
            </w:r>
          </w:p>
        </w:tc>
        <w:tc>
          <w:tcPr>
            <w:tcW w:w="2630" w:type="dxa"/>
            <w:tcBorders>
              <w:top w:val="single" w:sz="4" w:space="0" w:color="auto"/>
              <w:left w:val="single" w:sz="4" w:space="0" w:color="auto"/>
              <w:bottom w:val="single" w:sz="4" w:space="0" w:color="auto"/>
              <w:right w:val="single" w:sz="4" w:space="0" w:color="auto"/>
            </w:tcBorders>
          </w:tcPr>
          <w:p w14:paraId="38ECD95A"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441F26E1"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50F86012"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638A78F7"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p w14:paraId="524F812F" w14:textId="77777777" w:rsidR="00AA7FB5" w:rsidRPr="00FF0B99" w:rsidRDefault="00AA7FB5" w:rsidP="00075097">
            <w:pPr>
              <w:rPr>
                <w:rFonts w:cs="Times New Roman"/>
                <w:sz w:val="20"/>
                <w:szCs w:val="20"/>
              </w:rPr>
            </w:pPr>
          </w:p>
        </w:tc>
        <w:tc>
          <w:tcPr>
            <w:tcW w:w="2857" w:type="dxa"/>
            <w:tcBorders>
              <w:top w:val="single" w:sz="4" w:space="0" w:color="auto"/>
              <w:left w:val="single" w:sz="4" w:space="0" w:color="auto"/>
              <w:bottom w:val="single" w:sz="4" w:space="0" w:color="auto"/>
              <w:right w:val="single" w:sz="4" w:space="0" w:color="auto"/>
            </w:tcBorders>
          </w:tcPr>
          <w:p w14:paraId="4F1BBFAA" w14:textId="77777777" w:rsidR="00AA7FB5" w:rsidRPr="00FF0B99" w:rsidRDefault="00AA7FB5" w:rsidP="00075097">
            <w:pPr>
              <w:rPr>
                <w:rFonts w:cs="Times New Roman"/>
                <w:sz w:val="20"/>
                <w:szCs w:val="20"/>
              </w:rPr>
            </w:pPr>
            <w:r w:rsidRPr="00FF0B99">
              <w:rPr>
                <w:rFonts w:cs="Times New Roman"/>
                <w:sz w:val="20"/>
                <w:szCs w:val="20"/>
                <w:lang w:val="sk"/>
              </w:rPr>
              <w:t>útlm kostnej drene, anémia, trombocytopénia, leukopénia, neutropénia, agranulocytóza (pozri časť 4.4), hemolytická anémia, lymfadenopatia, autoimunitné ochorenie</w:t>
            </w:r>
          </w:p>
        </w:tc>
        <w:tc>
          <w:tcPr>
            <w:tcW w:w="2630" w:type="dxa"/>
            <w:tcBorders>
              <w:top w:val="single" w:sz="4" w:space="0" w:color="auto"/>
              <w:left w:val="single" w:sz="4" w:space="0" w:color="auto"/>
              <w:bottom w:val="single" w:sz="4" w:space="0" w:color="auto"/>
              <w:right w:val="single" w:sz="4" w:space="0" w:color="auto"/>
            </w:tcBorders>
          </w:tcPr>
          <w:p w14:paraId="7694C38E"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6E65B30E" w14:textId="77777777" w:rsidTr="00F441B5">
        <w:trPr>
          <w:trHeight w:val="1026"/>
          <w:jc w:val="center"/>
        </w:trPr>
        <w:tc>
          <w:tcPr>
            <w:tcW w:w="2068" w:type="dxa"/>
            <w:vMerge w:val="restart"/>
            <w:tcBorders>
              <w:top w:val="single" w:sz="4" w:space="0" w:color="auto"/>
              <w:left w:val="single" w:sz="4" w:space="0" w:color="auto"/>
              <w:right w:val="single" w:sz="4" w:space="0" w:color="auto"/>
            </w:tcBorders>
          </w:tcPr>
          <w:p w14:paraId="7A236F29" w14:textId="77777777" w:rsidR="00AA7FB5" w:rsidRPr="00FF0B99" w:rsidRDefault="00AA7FB5" w:rsidP="00075097">
            <w:pPr>
              <w:rPr>
                <w:rFonts w:cs="Times New Roman"/>
                <w:sz w:val="20"/>
                <w:szCs w:val="20"/>
              </w:rPr>
            </w:pPr>
            <w:r w:rsidRPr="00FF0B99">
              <w:rPr>
                <w:rFonts w:cs="Times New Roman"/>
                <w:sz w:val="20"/>
                <w:szCs w:val="20"/>
                <w:lang w:val="sk"/>
              </w:rPr>
              <w:t>Poruchy metabolizmu a výživy</w:t>
            </w:r>
          </w:p>
        </w:tc>
        <w:tc>
          <w:tcPr>
            <w:tcW w:w="1485" w:type="dxa"/>
            <w:tcBorders>
              <w:top w:val="single" w:sz="4" w:space="0" w:color="auto"/>
              <w:left w:val="single" w:sz="4" w:space="0" w:color="auto"/>
              <w:right w:val="single" w:sz="4" w:space="0" w:color="auto"/>
            </w:tcBorders>
          </w:tcPr>
          <w:p w14:paraId="3C6C678A" w14:textId="77777777" w:rsidR="00AA7FB5" w:rsidRPr="00FF0B99" w:rsidRDefault="00AA7FB5" w:rsidP="00075097">
            <w:pPr>
              <w:rPr>
                <w:rFonts w:cs="Times New Roman"/>
                <w:sz w:val="20"/>
                <w:szCs w:val="20"/>
              </w:rPr>
            </w:pPr>
            <w:r w:rsidRPr="00FF0B99">
              <w:rPr>
                <w:rFonts w:cs="Times New Roman"/>
                <w:sz w:val="20"/>
                <w:szCs w:val="20"/>
                <w:lang w:val="sk"/>
              </w:rPr>
              <w:t>časté</w:t>
            </w:r>
          </w:p>
        </w:tc>
        <w:tc>
          <w:tcPr>
            <w:tcW w:w="2857" w:type="dxa"/>
            <w:tcBorders>
              <w:top w:val="single" w:sz="4" w:space="0" w:color="auto"/>
              <w:left w:val="single" w:sz="4" w:space="0" w:color="auto"/>
              <w:right w:val="single" w:sz="4" w:space="0" w:color="auto"/>
            </w:tcBorders>
          </w:tcPr>
          <w:p w14:paraId="25CCE57D"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right w:val="single" w:sz="4" w:space="0" w:color="auto"/>
            </w:tcBorders>
          </w:tcPr>
          <w:p w14:paraId="408CA368" w14:textId="77777777" w:rsidR="00AA7FB5" w:rsidRPr="00FF0B99" w:rsidRDefault="00AA7FB5" w:rsidP="00075097">
            <w:pPr>
              <w:rPr>
                <w:rFonts w:cs="Times New Roman"/>
                <w:sz w:val="20"/>
                <w:szCs w:val="20"/>
              </w:rPr>
            </w:pPr>
            <w:r w:rsidRPr="00FF0B99">
              <w:rPr>
                <w:rFonts w:cs="Times New Roman"/>
                <w:sz w:val="20"/>
                <w:szCs w:val="20"/>
                <w:lang w:val="sk"/>
              </w:rPr>
              <w:t>zhoršenie metabolickej alkalózy, hypovolémia, hypokaliémia, hyponatriémia, znížená chuť do jedla</w:t>
            </w:r>
          </w:p>
        </w:tc>
      </w:tr>
      <w:tr w:rsidR="00AA7FB5" w:rsidRPr="0099776C" w14:paraId="493B1C6A" w14:textId="77777777" w:rsidTr="00F441B5">
        <w:trPr>
          <w:trHeight w:val="309"/>
          <w:jc w:val="center"/>
        </w:trPr>
        <w:tc>
          <w:tcPr>
            <w:tcW w:w="2068" w:type="dxa"/>
            <w:vMerge/>
            <w:tcBorders>
              <w:left w:val="single" w:sz="4" w:space="0" w:color="auto"/>
              <w:right w:val="single" w:sz="4" w:space="0" w:color="auto"/>
            </w:tcBorders>
          </w:tcPr>
          <w:p w14:paraId="4E931DF7"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right w:val="single" w:sz="4" w:space="0" w:color="auto"/>
            </w:tcBorders>
          </w:tcPr>
          <w:p w14:paraId="7CF16C8F" w14:textId="77777777" w:rsidR="00AA7FB5" w:rsidRPr="00FF0B99" w:rsidRDefault="00AA7FB5" w:rsidP="00075097">
            <w:pPr>
              <w:rPr>
                <w:rFonts w:cs="Times New Roman"/>
                <w:sz w:val="20"/>
                <w:szCs w:val="20"/>
              </w:rPr>
            </w:pPr>
            <w:r w:rsidRPr="00FF0B99">
              <w:rPr>
                <w:rFonts w:cs="Times New Roman"/>
                <w:sz w:val="20"/>
                <w:szCs w:val="20"/>
                <w:lang w:val="sk"/>
              </w:rPr>
              <w:t>menej časté</w:t>
            </w:r>
          </w:p>
        </w:tc>
        <w:tc>
          <w:tcPr>
            <w:tcW w:w="2857" w:type="dxa"/>
            <w:tcBorders>
              <w:top w:val="single" w:sz="4" w:space="0" w:color="auto"/>
              <w:left w:val="single" w:sz="4" w:space="0" w:color="auto"/>
              <w:right w:val="single" w:sz="4" w:space="0" w:color="auto"/>
            </w:tcBorders>
          </w:tcPr>
          <w:p w14:paraId="54DEB65D" w14:textId="77777777" w:rsidR="00AA7FB5" w:rsidRPr="00FF0B99" w:rsidRDefault="00AA7FB5" w:rsidP="00075097">
            <w:pPr>
              <w:rPr>
                <w:rFonts w:cs="Times New Roman"/>
                <w:sz w:val="20"/>
                <w:szCs w:val="20"/>
              </w:rPr>
            </w:pPr>
            <w:r w:rsidRPr="00FF0B99">
              <w:rPr>
                <w:rFonts w:cs="Times New Roman"/>
                <w:sz w:val="20"/>
                <w:szCs w:val="20"/>
                <w:lang w:val="sk"/>
              </w:rPr>
              <w:t>hyperkaliémia</w:t>
            </w:r>
          </w:p>
        </w:tc>
        <w:tc>
          <w:tcPr>
            <w:tcW w:w="2630" w:type="dxa"/>
            <w:tcBorders>
              <w:top w:val="single" w:sz="4" w:space="0" w:color="auto"/>
              <w:left w:val="single" w:sz="4" w:space="0" w:color="auto"/>
              <w:right w:val="single" w:sz="4" w:space="0" w:color="auto"/>
            </w:tcBorders>
          </w:tcPr>
          <w:p w14:paraId="7F06F6E8"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042948E7" w14:textId="77777777" w:rsidTr="00F441B5">
        <w:trPr>
          <w:trHeight w:val="1037"/>
          <w:jc w:val="center"/>
        </w:trPr>
        <w:tc>
          <w:tcPr>
            <w:tcW w:w="2068" w:type="dxa"/>
            <w:vMerge/>
            <w:tcBorders>
              <w:left w:val="single" w:sz="4" w:space="0" w:color="auto"/>
              <w:bottom w:val="single" w:sz="4" w:space="0" w:color="auto"/>
              <w:right w:val="single" w:sz="4" w:space="0" w:color="auto"/>
            </w:tcBorders>
          </w:tcPr>
          <w:p w14:paraId="7BBDEB57"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right w:val="single" w:sz="4" w:space="0" w:color="auto"/>
            </w:tcBorders>
          </w:tcPr>
          <w:p w14:paraId="3FFA6AD5"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right w:val="single" w:sz="4" w:space="0" w:color="auto"/>
            </w:tcBorders>
          </w:tcPr>
          <w:p w14:paraId="04E13B88" w14:textId="77777777" w:rsidR="00AA7FB5" w:rsidRPr="00FF0B99" w:rsidRDefault="00AA7FB5" w:rsidP="00075097">
            <w:pPr>
              <w:rPr>
                <w:rFonts w:cs="Times New Roman"/>
                <w:sz w:val="20"/>
                <w:szCs w:val="20"/>
              </w:rPr>
            </w:pPr>
            <w:r w:rsidRPr="00FF0B99">
              <w:rPr>
                <w:rFonts w:cs="Times New Roman"/>
                <w:sz w:val="20"/>
                <w:szCs w:val="20"/>
                <w:lang w:val="sk"/>
              </w:rPr>
              <w:t>hyponatriémia, dna, hypoglykémia u diabetických pacientov liečených antidiabetikami alebo inzulínom</w:t>
            </w:r>
          </w:p>
        </w:tc>
        <w:tc>
          <w:tcPr>
            <w:tcW w:w="2630" w:type="dxa"/>
            <w:tcBorders>
              <w:top w:val="single" w:sz="4" w:space="0" w:color="auto"/>
              <w:left w:val="single" w:sz="4" w:space="0" w:color="auto"/>
              <w:right w:val="single" w:sz="4" w:space="0" w:color="auto"/>
            </w:tcBorders>
          </w:tcPr>
          <w:p w14:paraId="4FB59531"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1BDDACBD" w14:textId="77777777" w:rsidTr="00F441B5">
        <w:trPr>
          <w:jc w:val="center"/>
        </w:trPr>
        <w:tc>
          <w:tcPr>
            <w:tcW w:w="2068" w:type="dxa"/>
            <w:vMerge w:val="restart"/>
            <w:tcBorders>
              <w:top w:val="single" w:sz="4" w:space="0" w:color="auto"/>
              <w:left w:val="single" w:sz="4" w:space="0" w:color="auto"/>
              <w:right w:val="single" w:sz="4" w:space="0" w:color="auto"/>
            </w:tcBorders>
            <w:vAlign w:val="center"/>
          </w:tcPr>
          <w:p w14:paraId="3EDE8010" w14:textId="77777777" w:rsidR="00AA7FB5" w:rsidRPr="00FF0B99" w:rsidRDefault="00AA7FB5" w:rsidP="00075097">
            <w:pPr>
              <w:rPr>
                <w:rFonts w:cs="Times New Roman"/>
                <w:sz w:val="20"/>
                <w:szCs w:val="20"/>
              </w:rPr>
            </w:pPr>
            <w:r w:rsidRPr="00FF0B99">
              <w:rPr>
                <w:rFonts w:cs="Times New Roman"/>
                <w:sz w:val="20"/>
                <w:szCs w:val="20"/>
                <w:lang w:val="sk"/>
              </w:rPr>
              <w:t>Psychické poruchy</w:t>
            </w:r>
          </w:p>
        </w:tc>
        <w:tc>
          <w:tcPr>
            <w:tcW w:w="1485" w:type="dxa"/>
            <w:tcBorders>
              <w:top w:val="single" w:sz="4" w:space="0" w:color="auto"/>
              <w:left w:val="single" w:sz="4" w:space="0" w:color="auto"/>
              <w:bottom w:val="single" w:sz="4" w:space="0" w:color="auto"/>
              <w:right w:val="single" w:sz="4" w:space="0" w:color="auto"/>
            </w:tcBorders>
          </w:tcPr>
          <w:p w14:paraId="78E3BDDA" w14:textId="77777777" w:rsidR="00AA7FB5" w:rsidRPr="00FF0B99" w:rsidRDefault="00AA7FB5" w:rsidP="00075097">
            <w:pPr>
              <w:rPr>
                <w:rFonts w:cs="Times New Roman"/>
                <w:sz w:val="20"/>
                <w:szCs w:val="20"/>
              </w:rPr>
            </w:pPr>
            <w:r w:rsidRPr="00FF0B99">
              <w:rPr>
                <w:rFonts w:cs="Times New Roman"/>
                <w:sz w:val="20"/>
                <w:szCs w:val="20"/>
                <w:lang w:val="sk"/>
              </w:rPr>
              <w:t>menej časté</w:t>
            </w:r>
          </w:p>
        </w:tc>
        <w:tc>
          <w:tcPr>
            <w:tcW w:w="2857" w:type="dxa"/>
            <w:tcBorders>
              <w:top w:val="single" w:sz="4" w:space="0" w:color="auto"/>
              <w:left w:val="single" w:sz="4" w:space="0" w:color="auto"/>
              <w:bottom w:val="single" w:sz="4" w:space="0" w:color="auto"/>
              <w:right w:val="single" w:sz="4" w:space="0" w:color="auto"/>
            </w:tcBorders>
          </w:tcPr>
          <w:p w14:paraId="53F73E71" w14:textId="77777777" w:rsidR="00AA7FB5" w:rsidRPr="00FF0B99" w:rsidRDefault="00AA7FB5" w:rsidP="00075097">
            <w:pPr>
              <w:rPr>
                <w:rFonts w:cs="Times New Roman"/>
                <w:sz w:val="20"/>
                <w:szCs w:val="20"/>
              </w:rPr>
            </w:pPr>
            <w:r w:rsidRPr="00FF0B99">
              <w:rPr>
                <w:rFonts w:cs="Times New Roman"/>
                <w:sz w:val="20"/>
                <w:szCs w:val="20"/>
                <w:lang w:val="sk"/>
              </w:rPr>
              <w:t>halucinácie</w:t>
            </w:r>
          </w:p>
        </w:tc>
        <w:tc>
          <w:tcPr>
            <w:tcW w:w="2630" w:type="dxa"/>
            <w:tcBorders>
              <w:top w:val="single" w:sz="4" w:space="0" w:color="auto"/>
              <w:left w:val="single" w:sz="4" w:space="0" w:color="auto"/>
              <w:bottom w:val="single" w:sz="4" w:space="0" w:color="auto"/>
              <w:right w:val="single" w:sz="4" w:space="0" w:color="auto"/>
            </w:tcBorders>
          </w:tcPr>
          <w:p w14:paraId="4F2364C5"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2681097C" w14:textId="77777777" w:rsidTr="00F441B5">
        <w:trPr>
          <w:trHeight w:val="778"/>
          <w:jc w:val="center"/>
        </w:trPr>
        <w:tc>
          <w:tcPr>
            <w:tcW w:w="2068" w:type="dxa"/>
            <w:vMerge/>
            <w:tcBorders>
              <w:left w:val="single" w:sz="4" w:space="0" w:color="auto"/>
              <w:right w:val="single" w:sz="4" w:space="0" w:color="auto"/>
            </w:tcBorders>
            <w:vAlign w:val="center"/>
          </w:tcPr>
          <w:p w14:paraId="223899F7"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right w:val="single" w:sz="4" w:space="0" w:color="auto"/>
            </w:tcBorders>
          </w:tcPr>
          <w:p w14:paraId="70776142"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right w:val="single" w:sz="4" w:space="0" w:color="auto"/>
            </w:tcBorders>
          </w:tcPr>
          <w:p w14:paraId="2EDB1A96" w14:textId="77777777" w:rsidR="00AA7FB5" w:rsidRPr="00FF0B99" w:rsidRDefault="00AA7FB5" w:rsidP="00075097">
            <w:pPr>
              <w:rPr>
                <w:rFonts w:cs="Times New Roman"/>
                <w:sz w:val="20"/>
                <w:szCs w:val="20"/>
              </w:rPr>
            </w:pPr>
            <w:r w:rsidRPr="00FF0B99">
              <w:rPr>
                <w:rFonts w:cs="Times New Roman"/>
                <w:sz w:val="20"/>
                <w:szCs w:val="20"/>
                <w:lang w:val="sk"/>
              </w:rPr>
              <w:t>zmeny nálady, zmätenosť, znížené libido, depresia, nespavosť</w:t>
            </w:r>
          </w:p>
        </w:tc>
        <w:tc>
          <w:tcPr>
            <w:tcW w:w="2630" w:type="dxa"/>
            <w:tcBorders>
              <w:top w:val="single" w:sz="4" w:space="0" w:color="auto"/>
              <w:left w:val="single" w:sz="4" w:space="0" w:color="auto"/>
              <w:right w:val="single" w:sz="4" w:space="0" w:color="auto"/>
            </w:tcBorders>
          </w:tcPr>
          <w:p w14:paraId="2697BED7"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4FF82111" w14:textId="77777777" w:rsidTr="00F441B5">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3F55A98C" w14:textId="77777777" w:rsidR="00AA7FB5" w:rsidRPr="00FF0B99" w:rsidRDefault="00AA7FB5" w:rsidP="00075097">
            <w:pPr>
              <w:rPr>
                <w:rFonts w:cs="Times New Roman"/>
                <w:sz w:val="20"/>
                <w:szCs w:val="20"/>
              </w:rPr>
            </w:pPr>
            <w:r w:rsidRPr="00FF0B99">
              <w:rPr>
                <w:rFonts w:cs="Times New Roman"/>
                <w:sz w:val="20"/>
                <w:szCs w:val="20"/>
                <w:lang w:val="sk"/>
              </w:rPr>
              <w:t xml:space="preserve">Poruchy nervového systému </w:t>
            </w:r>
          </w:p>
          <w:p w14:paraId="54562EFC"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09554C32" w14:textId="77777777" w:rsidR="00AA7FB5" w:rsidRPr="00FF0B99" w:rsidRDefault="00AA7FB5" w:rsidP="00075097">
            <w:pPr>
              <w:rPr>
                <w:rFonts w:cs="Times New Roman"/>
                <w:sz w:val="20"/>
                <w:szCs w:val="20"/>
              </w:rPr>
            </w:pPr>
            <w:r w:rsidRPr="00FF0B99">
              <w:rPr>
                <w:rFonts w:cs="Times New Roman"/>
                <w:sz w:val="20"/>
                <w:szCs w:val="20"/>
                <w:lang w:val="sk"/>
              </w:rPr>
              <w:t>časté</w:t>
            </w:r>
          </w:p>
        </w:tc>
        <w:tc>
          <w:tcPr>
            <w:tcW w:w="2857" w:type="dxa"/>
            <w:tcBorders>
              <w:top w:val="single" w:sz="4" w:space="0" w:color="auto"/>
              <w:left w:val="single" w:sz="4" w:space="0" w:color="auto"/>
              <w:bottom w:val="single" w:sz="4" w:space="0" w:color="auto"/>
              <w:right w:val="single" w:sz="4" w:space="0" w:color="auto"/>
            </w:tcBorders>
          </w:tcPr>
          <w:p w14:paraId="2858DB0E" w14:textId="77777777" w:rsidR="00AA7FB5" w:rsidRPr="00FF0B99" w:rsidRDefault="00AA7FB5" w:rsidP="00075097">
            <w:pPr>
              <w:rPr>
                <w:rFonts w:cs="Times New Roman"/>
                <w:sz w:val="20"/>
                <w:szCs w:val="20"/>
              </w:rPr>
            </w:pPr>
            <w:r w:rsidRPr="00FF0B99">
              <w:rPr>
                <w:rFonts w:cs="Times New Roman"/>
                <w:sz w:val="20"/>
                <w:szCs w:val="20"/>
                <w:lang w:val="sk"/>
              </w:rPr>
              <w:t>závrat, bolesť hlavy</w:t>
            </w:r>
          </w:p>
        </w:tc>
        <w:tc>
          <w:tcPr>
            <w:tcW w:w="2630" w:type="dxa"/>
            <w:tcBorders>
              <w:top w:val="single" w:sz="4" w:space="0" w:color="auto"/>
              <w:left w:val="single" w:sz="4" w:space="0" w:color="auto"/>
              <w:bottom w:val="single" w:sz="4" w:space="0" w:color="auto"/>
              <w:right w:val="single" w:sz="4" w:space="0" w:color="auto"/>
            </w:tcBorders>
          </w:tcPr>
          <w:p w14:paraId="73D86719" w14:textId="77777777" w:rsidR="00AA7FB5" w:rsidRPr="00FF0B99" w:rsidRDefault="00AA7FB5" w:rsidP="00075097">
            <w:pPr>
              <w:rPr>
                <w:rFonts w:cs="Times New Roman"/>
                <w:sz w:val="20"/>
                <w:szCs w:val="20"/>
              </w:rPr>
            </w:pPr>
            <w:r w:rsidRPr="00FF0B99">
              <w:rPr>
                <w:rFonts w:cs="Times New Roman"/>
                <w:sz w:val="20"/>
                <w:szCs w:val="20"/>
                <w:lang w:val="sk"/>
              </w:rPr>
              <w:t>závrat, bolesť hlavy</w:t>
            </w:r>
          </w:p>
        </w:tc>
      </w:tr>
      <w:tr w:rsidR="00AA7FB5" w:rsidRPr="0099776C" w14:paraId="7F316506"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7D197418"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5487C4A3" w14:textId="77777777" w:rsidR="00AA7FB5" w:rsidRPr="00FF0B99" w:rsidRDefault="00AA7FB5" w:rsidP="00075097">
            <w:pPr>
              <w:rPr>
                <w:rFonts w:cs="Times New Roman"/>
                <w:sz w:val="20"/>
                <w:szCs w:val="20"/>
              </w:rPr>
            </w:pPr>
            <w:r w:rsidRPr="00FF0B99">
              <w:rPr>
                <w:rFonts w:cs="Times New Roman"/>
                <w:sz w:val="20"/>
                <w:szCs w:val="20"/>
                <w:lang w:val="sk"/>
              </w:rPr>
              <w:t>menej časté</w:t>
            </w:r>
          </w:p>
        </w:tc>
        <w:tc>
          <w:tcPr>
            <w:tcW w:w="2857" w:type="dxa"/>
            <w:tcBorders>
              <w:top w:val="single" w:sz="4" w:space="0" w:color="auto"/>
              <w:left w:val="single" w:sz="4" w:space="0" w:color="auto"/>
              <w:bottom w:val="single" w:sz="4" w:space="0" w:color="auto"/>
              <w:right w:val="single" w:sz="4" w:space="0" w:color="auto"/>
            </w:tcBorders>
          </w:tcPr>
          <w:p w14:paraId="778F8E3C" w14:textId="77777777" w:rsidR="00AA7FB5" w:rsidRPr="00FF0B99" w:rsidRDefault="00AA7FB5" w:rsidP="00075097">
            <w:pPr>
              <w:rPr>
                <w:rFonts w:cs="Times New Roman"/>
                <w:sz w:val="20"/>
                <w:szCs w:val="20"/>
              </w:rPr>
            </w:pPr>
            <w:r w:rsidRPr="00FF0B99">
              <w:rPr>
                <w:rFonts w:cs="Times New Roman"/>
                <w:sz w:val="20"/>
                <w:szCs w:val="20"/>
                <w:lang w:val="sk"/>
              </w:rPr>
              <w:t xml:space="preserve">cerebrovaskulárna príhoda, možno sekundárna k nadmernej hypotenzii u vysoko rizikových pacientov (pozri časť 4.4) </w:t>
            </w:r>
          </w:p>
        </w:tc>
        <w:tc>
          <w:tcPr>
            <w:tcW w:w="2630" w:type="dxa"/>
            <w:tcBorders>
              <w:top w:val="single" w:sz="4" w:space="0" w:color="auto"/>
              <w:left w:val="single" w:sz="4" w:space="0" w:color="auto"/>
              <w:bottom w:val="single" w:sz="4" w:space="0" w:color="auto"/>
              <w:right w:val="single" w:sz="4" w:space="0" w:color="auto"/>
            </w:tcBorders>
          </w:tcPr>
          <w:p w14:paraId="595078A6" w14:textId="77777777" w:rsidR="00AA7FB5" w:rsidRPr="00FF0B99" w:rsidRDefault="00AA7FB5" w:rsidP="00075097">
            <w:pPr>
              <w:rPr>
                <w:rFonts w:cs="Times New Roman"/>
                <w:sz w:val="20"/>
                <w:szCs w:val="20"/>
              </w:rPr>
            </w:pPr>
            <w:r w:rsidRPr="00FF0B99">
              <w:rPr>
                <w:rFonts w:cs="Times New Roman"/>
                <w:sz w:val="20"/>
                <w:szCs w:val="20"/>
                <w:lang w:val="sk"/>
              </w:rPr>
              <w:t>parestézia</w:t>
            </w:r>
          </w:p>
        </w:tc>
      </w:tr>
      <w:tr w:rsidR="00AA7FB5" w:rsidRPr="0099776C" w14:paraId="5BC0AA16" w14:textId="77777777" w:rsidTr="00F441B5">
        <w:trPr>
          <w:trHeight w:val="528"/>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24FD8686"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right w:val="single" w:sz="4" w:space="0" w:color="auto"/>
            </w:tcBorders>
          </w:tcPr>
          <w:p w14:paraId="2D1E9986" w14:textId="77777777" w:rsidR="00AA7FB5" w:rsidRPr="00FF0B99" w:rsidRDefault="0099776C"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right w:val="single" w:sz="4" w:space="0" w:color="auto"/>
            </w:tcBorders>
          </w:tcPr>
          <w:p w14:paraId="09F4712A" w14:textId="77777777" w:rsidR="00AA7FB5" w:rsidRPr="00FF0B99" w:rsidRDefault="00AA7FB5" w:rsidP="00075097">
            <w:pPr>
              <w:rPr>
                <w:rFonts w:cs="Times New Roman"/>
                <w:sz w:val="20"/>
                <w:szCs w:val="20"/>
              </w:rPr>
            </w:pPr>
            <w:r w:rsidRPr="00FF0B99">
              <w:rPr>
                <w:rFonts w:cs="Times New Roman"/>
                <w:sz w:val="20"/>
                <w:szCs w:val="20"/>
                <w:lang w:val="sk"/>
              </w:rPr>
              <w:t>parestézia, hypersomnia, dysgeúzia, parosmia, synkopa</w:t>
            </w:r>
          </w:p>
        </w:tc>
        <w:tc>
          <w:tcPr>
            <w:tcW w:w="2630" w:type="dxa"/>
            <w:tcBorders>
              <w:top w:val="single" w:sz="4" w:space="0" w:color="auto"/>
              <w:left w:val="single" w:sz="4" w:space="0" w:color="auto"/>
              <w:right w:val="single" w:sz="4" w:space="0" w:color="auto"/>
            </w:tcBorders>
          </w:tcPr>
          <w:p w14:paraId="01A616AD"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51B632EB" w14:textId="77777777" w:rsidTr="00F441B5">
        <w:trPr>
          <w:jc w:val="center"/>
        </w:trPr>
        <w:tc>
          <w:tcPr>
            <w:tcW w:w="2068" w:type="dxa"/>
            <w:vMerge w:val="restart"/>
            <w:tcBorders>
              <w:top w:val="single" w:sz="4" w:space="0" w:color="auto"/>
              <w:left w:val="single" w:sz="4" w:space="0" w:color="auto"/>
              <w:right w:val="single" w:sz="4" w:space="0" w:color="auto"/>
            </w:tcBorders>
            <w:vAlign w:val="center"/>
          </w:tcPr>
          <w:p w14:paraId="0949F386" w14:textId="77777777" w:rsidR="00AA7FB5" w:rsidRPr="00FF0B99" w:rsidRDefault="00AA7FB5" w:rsidP="00075097">
            <w:pPr>
              <w:rPr>
                <w:rFonts w:cs="Times New Roman"/>
                <w:sz w:val="20"/>
                <w:szCs w:val="20"/>
              </w:rPr>
            </w:pPr>
            <w:r w:rsidRPr="00FF0B99">
              <w:rPr>
                <w:rFonts w:cs="Times New Roman"/>
                <w:sz w:val="20"/>
                <w:szCs w:val="20"/>
                <w:lang w:val="sk"/>
              </w:rPr>
              <w:t>Poruchy oka, zrakové problémy</w:t>
            </w:r>
          </w:p>
        </w:tc>
        <w:tc>
          <w:tcPr>
            <w:tcW w:w="1485" w:type="dxa"/>
            <w:tcBorders>
              <w:top w:val="single" w:sz="4" w:space="0" w:color="auto"/>
              <w:left w:val="single" w:sz="4" w:space="0" w:color="auto"/>
              <w:bottom w:val="single" w:sz="4" w:space="0" w:color="auto"/>
              <w:right w:val="single" w:sz="4" w:space="0" w:color="auto"/>
            </w:tcBorders>
          </w:tcPr>
          <w:p w14:paraId="75101F56"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068F2746" w14:textId="77777777" w:rsidR="00AA7FB5" w:rsidRPr="00FF0B99" w:rsidRDefault="00AA7FB5" w:rsidP="00075097">
            <w:pPr>
              <w:rPr>
                <w:rFonts w:cs="Times New Roman"/>
                <w:sz w:val="20"/>
                <w:szCs w:val="20"/>
              </w:rPr>
            </w:pPr>
            <w:r w:rsidRPr="00FF0B99">
              <w:rPr>
                <w:rFonts w:cs="Times New Roman"/>
                <w:sz w:val="20"/>
                <w:szCs w:val="20"/>
                <w:lang w:val="sk"/>
              </w:rPr>
              <w:t>rozmazané videnie</w:t>
            </w:r>
          </w:p>
        </w:tc>
        <w:tc>
          <w:tcPr>
            <w:tcW w:w="2630" w:type="dxa"/>
            <w:tcBorders>
              <w:top w:val="single" w:sz="4" w:space="0" w:color="auto"/>
              <w:left w:val="single" w:sz="4" w:space="0" w:color="auto"/>
              <w:bottom w:val="single" w:sz="4" w:space="0" w:color="auto"/>
              <w:right w:val="single" w:sz="4" w:space="0" w:color="auto"/>
            </w:tcBorders>
          </w:tcPr>
          <w:p w14:paraId="3CE253D0"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3B617139" w14:textId="77777777" w:rsidTr="00F441B5">
        <w:trPr>
          <w:jc w:val="center"/>
        </w:trPr>
        <w:tc>
          <w:tcPr>
            <w:tcW w:w="2068" w:type="dxa"/>
            <w:vMerge/>
            <w:tcBorders>
              <w:left w:val="single" w:sz="4" w:space="0" w:color="auto"/>
              <w:bottom w:val="single" w:sz="4" w:space="0" w:color="auto"/>
              <w:right w:val="single" w:sz="4" w:space="0" w:color="auto"/>
            </w:tcBorders>
            <w:vAlign w:val="center"/>
          </w:tcPr>
          <w:p w14:paraId="55CC51D6"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1A6C713C"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tc>
        <w:tc>
          <w:tcPr>
            <w:tcW w:w="2857" w:type="dxa"/>
            <w:tcBorders>
              <w:top w:val="single" w:sz="4" w:space="0" w:color="auto"/>
              <w:left w:val="single" w:sz="4" w:space="0" w:color="auto"/>
              <w:bottom w:val="single" w:sz="4" w:space="0" w:color="auto"/>
              <w:right w:val="single" w:sz="4" w:space="0" w:color="auto"/>
            </w:tcBorders>
          </w:tcPr>
          <w:p w14:paraId="4D40D341"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bottom w:val="single" w:sz="4" w:space="0" w:color="auto"/>
              <w:right w:val="single" w:sz="4" w:space="0" w:color="auto"/>
            </w:tcBorders>
          </w:tcPr>
          <w:p w14:paraId="4AF530E4" w14:textId="77777777" w:rsidR="00AA7FB5" w:rsidRPr="00FF0B99" w:rsidRDefault="00AA7FB5" w:rsidP="00075097">
            <w:pPr>
              <w:rPr>
                <w:rFonts w:cs="Times New Roman"/>
                <w:sz w:val="20"/>
                <w:szCs w:val="20"/>
              </w:rPr>
            </w:pPr>
            <w:r w:rsidRPr="00FF0B99">
              <w:rPr>
                <w:rFonts w:cs="Times New Roman"/>
                <w:sz w:val="20"/>
                <w:szCs w:val="20"/>
                <w:lang w:val="sk"/>
              </w:rPr>
              <w:t>rozmazané videnie</w:t>
            </w:r>
          </w:p>
        </w:tc>
      </w:tr>
      <w:tr w:rsidR="00AA7FB5" w:rsidRPr="0099776C" w14:paraId="1D22455C" w14:textId="77777777" w:rsidTr="00F441B5">
        <w:trPr>
          <w:trHeight w:val="213"/>
          <w:jc w:val="center"/>
        </w:trPr>
        <w:tc>
          <w:tcPr>
            <w:tcW w:w="2068" w:type="dxa"/>
            <w:vMerge w:val="restart"/>
            <w:tcBorders>
              <w:top w:val="single" w:sz="4" w:space="0" w:color="auto"/>
              <w:left w:val="single" w:sz="4" w:space="0" w:color="auto"/>
              <w:right w:val="single" w:sz="4" w:space="0" w:color="auto"/>
            </w:tcBorders>
            <w:vAlign w:val="center"/>
          </w:tcPr>
          <w:p w14:paraId="24415BBE" w14:textId="77777777" w:rsidR="00AA7FB5" w:rsidRPr="00FF0B99" w:rsidRDefault="00AA7FB5" w:rsidP="00075097">
            <w:pPr>
              <w:rPr>
                <w:rFonts w:cs="Times New Roman"/>
                <w:sz w:val="20"/>
                <w:szCs w:val="20"/>
              </w:rPr>
            </w:pPr>
            <w:r w:rsidRPr="00FF0B99">
              <w:rPr>
                <w:rFonts w:cs="Times New Roman"/>
                <w:sz w:val="20"/>
                <w:szCs w:val="20"/>
                <w:lang w:val="sk"/>
              </w:rPr>
              <w:t>Poruchy ucha a ušného labyrintu, sluchové problémy</w:t>
            </w:r>
          </w:p>
        </w:tc>
        <w:tc>
          <w:tcPr>
            <w:tcW w:w="1485" w:type="dxa"/>
            <w:tcBorders>
              <w:top w:val="single" w:sz="4" w:space="0" w:color="auto"/>
              <w:left w:val="single" w:sz="4" w:space="0" w:color="auto"/>
              <w:right w:val="single" w:sz="4" w:space="0" w:color="auto"/>
            </w:tcBorders>
          </w:tcPr>
          <w:p w14:paraId="7A695F29" w14:textId="77777777" w:rsidR="00AA7FB5" w:rsidRPr="00FF0B99" w:rsidRDefault="00AA7FB5" w:rsidP="00075097">
            <w:pPr>
              <w:rPr>
                <w:rFonts w:cs="Times New Roman"/>
                <w:sz w:val="20"/>
                <w:szCs w:val="20"/>
              </w:rPr>
            </w:pPr>
            <w:r w:rsidRPr="00FF0B99">
              <w:rPr>
                <w:rFonts w:cs="Times New Roman"/>
                <w:sz w:val="20"/>
                <w:szCs w:val="20"/>
                <w:lang w:val="sk"/>
              </w:rPr>
              <w:t>menej časté</w:t>
            </w:r>
          </w:p>
        </w:tc>
        <w:tc>
          <w:tcPr>
            <w:tcW w:w="2857" w:type="dxa"/>
            <w:tcBorders>
              <w:top w:val="single" w:sz="4" w:space="0" w:color="auto"/>
              <w:left w:val="single" w:sz="4" w:space="0" w:color="auto"/>
              <w:right w:val="single" w:sz="4" w:space="0" w:color="auto"/>
            </w:tcBorders>
          </w:tcPr>
          <w:p w14:paraId="3774B19D" w14:textId="77777777" w:rsidR="00AA7FB5" w:rsidRPr="00FF0B99" w:rsidRDefault="00AA7FB5" w:rsidP="00075097">
            <w:pPr>
              <w:rPr>
                <w:rFonts w:cs="Times New Roman"/>
                <w:sz w:val="20"/>
                <w:szCs w:val="20"/>
              </w:rPr>
            </w:pPr>
            <w:r w:rsidRPr="00FF0B99">
              <w:rPr>
                <w:rFonts w:cs="Times New Roman"/>
                <w:sz w:val="20"/>
                <w:szCs w:val="20"/>
                <w:lang w:val="sk"/>
              </w:rPr>
              <w:t>vertigo</w:t>
            </w:r>
          </w:p>
        </w:tc>
        <w:tc>
          <w:tcPr>
            <w:tcW w:w="2630" w:type="dxa"/>
            <w:tcBorders>
              <w:top w:val="single" w:sz="4" w:space="0" w:color="auto"/>
              <w:left w:val="single" w:sz="4" w:space="0" w:color="auto"/>
              <w:right w:val="single" w:sz="4" w:space="0" w:color="auto"/>
            </w:tcBorders>
          </w:tcPr>
          <w:p w14:paraId="12CEA87C"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26D1F827" w14:textId="77777777" w:rsidTr="00F441B5">
        <w:trPr>
          <w:trHeight w:val="232"/>
          <w:jc w:val="center"/>
        </w:trPr>
        <w:tc>
          <w:tcPr>
            <w:tcW w:w="2068" w:type="dxa"/>
            <w:vMerge/>
            <w:tcBorders>
              <w:left w:val="single" w:sz="4" w:space="0" w:color="auto"/>
              <w:right w:val="single" w:sz="4" w:space="0" w:color="auto"/>
            </w:tcBorders>
            <w:vAlign w:val="center"/>
          </w:tcPr>
          <w:p w14:paraId="46CBA99F"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right w:val="single" w:sz="4" w:space="0" w:color="auto"/>
            </w:tcBorders>
          </w:tcPr>
          <w:p w14:paraId="0E371261"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tc>
        <w:tc>
          <w:tcPr>
            <w:tcW w:w="2857" w:type="dxa"/>
            <w:tcBorders>
              <w:top w:val="single" w:sz="4" w:space="0" w:color="auto"/>
              <w:left w:val="single" w:sz="4" w:space="0" w:color="auto"/>
              <w:right w:val="single" w:sz="4" w:space="0" w:color="auto"/>
            </w:tcBorders>
          </w:tcPr>
          <w:p w14:paraId="71C8D001"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right w:val="single" w:sz="4" w:space="0" w:color="auto"/>
            </w:tcBorders>
          </w:tcPr>
          <w:p w14:paraId="3FE09C1E" w14:textId="2D4A8D41" w:rsidR="00AA7FB5" w:rsidRPr="00FF0B99" w:rsidRDefault="00AA7FB5" w:rsidP="00075097">
            <w:pPr>
              <w:rPr>
                <w:rFonts w:cs="Times New Roman"/>
                <w:sz w:val="20"/>
                <w:szCs w:val="20"/>
              </w:rPr>
            </w:pPr>
            <w:r w:rsidRPr="00FF0B99">
              <w:rPr>
                <w:rFonts w:cs="Times New Roman"/>
                <w:sz w:val="20"/>
                <w:szCs w:val="20"/>
                <w:lang w:val="sk"/>
              </w:rPr>
              <w:t>tinitus, strata sluchu</w:t>
            </w:r>
          </w:p>
        </w:tc>
      </w:tr>
      <w:tr w:rsidR="00AA7FB5" w:rsidRPr="0099776C" w14:paraId="3B9F3BB2" w14:textId="77777777" w:rsidTr="00F441B5">
        <w:trPr>
          <w:jc w:val="center"/>
        </w:trPr>
        <w:tc>
          <w:tcPr>
            <w:tcW w:w="2068" w:type="dxa"/>
            <w:vMerge w:val="restart"/>
            <w:tcBorders>
              <w:top w:val="single" w:sz="4" w:space="0" w:color="auto"/>
              <w:left w:val="single" w:sz="4" w:space="0" w:color="auto"/>
              <w:right w:val="single" w:sz="4" w:space="0" w:color="auto"/>
            </w:tcBorders>
            <w:vAlign w:val="center"/>
          </w:tcPr>
          <w:p w14:paraId="6029AE0F" w14:textId="77777777" w:rsidR="00AA7FB5" w:rsidRPr="00FF0B99" w:rsidRDefault="00AA7FB5" w:rsidP="00075097">
            <w:pPr>
              <w:rPr>
                <w:rFonts w:cs="Times New Roman"/>
                <w:sz w:val="20"/>
                <w:szCs w:val="20"/>
              </w:rPr>
            </w:pPr>
            <w:r w:rsidRPr="00FF0B99">
              <w:rPr>
                <w:rFonts w:cs="Times New Roman"/>
                <w:sz w:val="20"/>
                <w:szCs w:val="20"/>
                <w:lang w:val="sk"/>
              </w:rPr>
              <w:t>Poruchy srdca a srdcovej činnosti</w:t>
            </w:r>
          </w:p>
        </w:tc>
        <w:tc>
          <w:tcPr>
            <w:tcW w:w="1485" w:type="dxa"/>
            <w:tcBorders>
              <w:top w:val="single" w:sz="4" w:space="0" w:color="auto"/>
              <w:left w:val="single" w:sz="4" w:space="0" w:color="auto"/>
              <w:bottom w:val="single" w:sz="4" w:space="0" w:color="auto"/>
              <w:right w:val="single" w:sz="4" w:space="0" w:color="auto"/>
            </w:tcBorders>
          </w:tcPr>
          <w:p w14:paraId="3A0750A3" w14:textId="77777777" w:rsidR="00AA7FB5" w:rsidRPr="00FF0B99" w:rsidRDefault="00AA7FB5" w:rsidP="00075097">
            <w:pPr>
              <w:rPr>
                <w:rFonts w:cs="Times New Roman"/>
                <w:sz w:val="20"/>
                <w:szCs w:val="20"/>
              </w:rPr>
            </w:pPr>
            <w:r w:rsidRPr="00FF0B99">
              <w:rPr>
                <w:rFonts w:cs="Times New Roman"/>
                <w:sz w:val="20"/>
                <w:szCs w:val="20"/>
                <w:lang w:val="sk"/>
              </w:rPr>
              <w:t>menej časté</w:t>
            </w:r>
          </w:p>
        </w:tc>
        <w:tc>
          <w:tcPr>
            <w:tcW w:w="2857" w:type="dxa"/>
            <w:tcBorders>
              <w:top w:val="single" w:sz="4" w:space="0" w:color="auto"/>
              <w:left w:val="single" w:sz="4" w:space="0" w:color="auto"/>
              <w:bottom w:val="single" w:sz="4" w:space="0" w:color="auto"/>
              <w:right w:val="single" w:sz="4" w:space="0" w:color="auto"/>
            </w:tcBorders>
          </w:tcPr>
          <w:p w14:paraId="45AD593A" w14:textId="77777777" w:rsidR="00AA7FB5" w:rsidRPr="00FF0B99" w:rsidRDefault="00AA7FB5" w:rsidP="00075097">
            <w:pPr>
              <w:rPr>
                <w:rFonts w:cs="Times New Roman"/>
                <w:sz w:val="20"/>
                <w:szCs w:val="20"/>
              </w:rPr>
            </w:pPr>
            <w:r w:rsidRPr="00FF0B99">
              <w:rPr>
                <w:rFonts w:cs="Times New Roman"/>
                <w:sz w:val="20"/>
                <w:szCs w:val="20"/>
                <w:lang w:val="sk"/>
              </w:rPr>
              <w:t>infarkt myokardu, palpitácie, tachykardia</w:t>
            </w:r>
          </w:p>
        </w:tc>
        <w:tc>
          <w:tcPr>
            <w:tcW w:w="2630" w:type="dxa"/>
            <w:tcBorders>
              <w:top w:val="single" w:sz="4" w:space="0" w:color="auto"/>
              <w:left w:val="single" w:sz="4" w:space="0" w:color="auto"/>
              <w:bottom w:val="single" w:sz="4" w:space="0" w:color="auto"/>
              <w:right w:val="single" w:sz="4" w:space="0" w:color="auto"/>
            </w:tcBorders>
          </w:tcPr>
          <w:p w14:paraId="2644E202"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54CC3A53" w14:textId="77777777" w:rsidTr="00F441B5">
        <w:trPr>
          <w:jc w:val="center"/>
        </w:trPr>
        <w:tc>
          <w:tcPr>
            <w:tcW w:w="2068" w:type="dxa"/>
            <w:vMerge/>
            <w:tcBorders>
              <w:left w:val="single" w:sz="4" w:space="0" w:color="auto"/>
              <w:right w:val="single" w:sz="4" w:space="0" w:color="auto"/>
            </w:tcBorders>
            <w:vAlign w:val="center"/>
          </w:tcPr>
          <w:p w14:paraId="66C1F4C0"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39D768D4"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17DD6941" w14:textId="77777777" w:rsidR="00AA7FB5" w:rsidRPr="00FF0B99" w:rsidRDefault="00AA7FB5" w:rsidP="00075097">
            <w:pPr>
              <w:rPr>
                <w:rFonts w:cs="Times New Roman"/>
                <w:sz w:val="20"/>
                <w:szCs w:val="20"/>
              </w:rPr>
            </w:pPr>
            <w:r w:rsidRPr="00FF0B99">
              <w:rPr>
                <w:rFonts w:cs="Times New Roman"/>
                <w:sz w:val="20"/>
                <w:szCs w:val="20"/>
                <w:lang w:val="sk"/>
              </w:rPr>
              <w:t>angína pektoris, arytmia</w:t>
            </w:r>
          </w:p>
        </w:tc>
        <w:tc>
          <w:tcPr>
            <w:tcW w:w="2630" w:type="dxa"/>
            <w:tcBorders>
              <w:top w:val="single" w:sz="4" w:space="0" w:color="auto"/>
              <w:left w:val="single" w:sz="4" w:space="0" w:color="auto"/>
              <w:bottom w:val="single" w:sz="4" w:space="0" w:color="auto"/>
              <w:right w:val="single" w:sz="4" w:space="0" w:color="auto"/>
            </w:tcBorders>
          </w:tcPr>
          <w:p w14:paraId="241BAD18"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1E47FB" w14:paraId="044CCFEA" w14:textId="77777777" w:rsidTr="00F441B5">
        <w:trPr>
          <w:jc w:val="center"/>
        </w:trPr>
        <w:tc>
          <w:tcPr>
            <w:tcW w:w="2068" w:type="dxa"/>
            <w:vMerge/>
            <w:tcBorders>
              <w:left w:val="single" w:sz="4" w:space="0" w:color="auto"/>
              <w:bottom w:val="single" w:sz="4" w:space="0" w:color="auto"/>
              <w:right w:val="single" w:sz="4" w:space="0" w:color="auto"/>
            </w:tcBorders>
            <w:vAlign w:val="center"/>
          </w:tcPr>
          <w:p w14:paraId="39E65C5E"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5572504C"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tc>
        <w:tc>
          <w:tcPr>
            <w:tcW w:w="2857" w:type="dxa"/>
            <w:tcBorders>
              <w:top w:val="single" w:sz="4" w:space="0" w:color="auto"/>
              <w:left w:val="single" w:sz="4" w:space="0" w:color="auto"/>
              <w:bottom w:val="single" w:sz="4" w:space="0" w:color="auto"/>
              <w:right w:val="single" w:sz="4" w:space="0" w:color="auto"/>
            </w:tcBorders>
          </w:tcPr>
          <w:p w14:paraId="1D7F5EC2"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bottom w:val="single" w:sz="4" w:space="0" w:color="auto"/>
              <w:right w:val="single" w:sz="4" w:space="0" w:color="auto"/>
            </w:tcBorders>
          </w:tcPr>
          <w:p w14:paraId="3A630893" w14:textId="77777777" w:rsidR="00AA7FB5" w:rsidRPr="00FF0B99" w:rsidRDefault="00AA7FB5" w:rsidP="00075097">
            <w:pPr>
              <w:ind w:right="-65"/>
              <w:rPr>
                <w:rFonts w:cs="Times New Roman"/>
                <w:sz w:val="20"/>
                <w:szCs w:val="20"/>
                <w:lang w:val="sk"/>
              </w:rPr>
            </w:pPr>
            <w:r w:rsidRPr="00FF0B99">
              <w:rPr>
                <w:rFonts w:cs="Times New Roman"/>
                <w:sz w:val="20"/>
                <w:szCs w:val="20"/>
                <w:lang w:val="sk"/>
              </w:rPr>
              <w:t>V dôsledku hemokoncentrácie sa môžu vyskytnúť tromboembolické komplikácie, zmätenosť, hypotenzia, ako aj poruchy srdca a centrálneho obehu (vrátane ischémie srdca a mozgu). Môže to viesť napr. k arytmiám, angíne pektoris, akútnemu infarktu myokardu alebo synkope.</w:t>
            </w:r>
          </w:p>
        </w:tc>
      </w:tr>
      <w:tr w:rsidR="00AA7FB5" w:rsidRPr="0099776C" w14:paraId="6DED0E13" w14:textId="77777777" w:rsidTr="00F441B5">
        <w:trPr>
          <w:trHeight w:val="273"/>
          <w:jc w:val="center"/>
        </w:trPr>
        <w:tc>
          <w:tcPr>
            <w:tcW w:w="2068" w:type="dxa"/>
            <w:vMerge w:val="restart"/>
            <w:tcBorders>
              <w:top w:val="single" w:sz="4" w:space="0" w:color="auto"/>
              <w:left w:val="single" w:sz="4" w:space="0" w:color="auto"/>
              <w:bottom w:val="single" w:sz="4" w:space="0" w:color="auto"/>
              <w:right w:val="single" w:sz="4" w:space="0" w:color="auto"/>
            </w:tcBorders>
          </w:tcPr>
          <w:p w14:paraId="11D0F5B0" w14:textId="77777777" w:rsidR="00AA7FB5" w:rsidRPr="00FF0B99" w:rsidRDefault="00AA7FB5" w:rsidP="00075097">
            <w:pPr>
              <w:rPr>
                <w:rFonts w:cs="Times New Roman"/>
                <w:sz w:val="20"/>
                <w:szCs w:val="20"/>
              </w:rPr>
            </w:pPr>
            <w:r w:rsidRPr="00FF0B99">
              <w:rPr>
                <w:rFonts w:cs="Times New Roman"/>
                <w:sz w:val="20"/>
                <w:szCs w:val="20"/>
                <w:lang w:val="sk"/>
              </w:rPr>
              <w:t xml:space="preserve">Cievne poruchy </w:t>
            </w:r>
          </w:p>
        </w:tc>
        <w:tc>
          <w:tcPr>
            <w:tcW w:w="1485" w:type="dxa"/>
            <w:tcBorders>
              <w:top w:val="single" w:sz="4" w:space="0" w:color="auto"/>
              <w:left w:val="single" w:sz="4" w:space="0" w:color="auto"/>
              <w:right w:val="single" w:sz="4" w:space="0" w:color="auto"/>
            </w:tcBorders>
          </w:tcPr>
          <w:p w14:paraId="186E24D3" w14:textId="77777777" w:rsidR="00AA7FB5" w:rsidRPr="00FF0B99" w:rsidRDefault="00AA7FB5" w:rsidP="00075097">
            <w:pPr>
              <w:rPr>
                <w:rFonts w:cs="Times New Roman"/>
                <w:sz w:val="20"/>
                <w:szCs w:val="20"/>
              </w:rPr>
            </w:pPr>
            <w:r w:rsidRPr="00FF0B99">
              <w:rPr>
                <w:rFonts w:cs="Times New Roman"/>
                <w:sz w:val="20"/>
                <w:szCs w:val="20"/>
                <w:lang w:val="sk"/>
              </w:rPr>
              <w:t xml:space="preserve">menej časté </w:t>
            </w:r>
          </w:p>
        </w:tc>
        <w:tc>
          <w:tcPr>
            <w:tcW w:w="2857" w:type="dxa"/>
            <w:tcBorders>
              <w:top w:val="single" w:sz="4" w:space="0" w:color="auto"/>
              <w:left w:val="single" w:sz="4" w:space="0" w:color="auto"/>
              <w:right w:val="single" w:sz="4" w:space="0" w:color="auto"/>
            </w:tcBorders>
          </w:tcPr>
          <w:p w14:paraId="54877BDB" w14:textId="77777777" w:rsidR="00AA7FB5" w:rsidRPr="00FF0B99" w:rsidRDefault="00AA7FB5" w:rsidP="00075097">
            <w:pPr>
              <w:rPr>
                <w:rFonts w:cs="Times New Roman"/>
                <w:sz w:val="20"/>
                <w:szCs w:val="20"/>
              </w:rPr>
            </w:pPr>
            <w:r w:rsidRPr="00FF0B99">
              <w:rPr>
                <w:rFonts w:cs="Times New Roman"/>
                <w:sz w:val="20"/>
                <w:szCs w:val="20"/>
                <w:lang w:val="sk"/>
              </w:rPr>
              <w:t>Raynaudov jav</w:t>
            </w:r>
          </w:p>
        </w:tc>
        <w:tc>
          <w:tcPr>
            <w:tcW w:w="2630" w:type="dxa"/>
            <w:tcBorders>
              <w:top w:val="single" w:sz="4" w:space="0" w:color="auto"/>
              <w:left w:val="single" w:sz="4" w:space="0" w:color="auto"/>
              <w:right w:val="single" w:sz="4" w:space="0" w:color="auto"/>
            </w:tcBorders>
          </w:tcPr>
          <w:p w14:paraId="6CA76C27"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7CBEC862"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3A41DD1F"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0BCCCF99"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4B44D22F" w14:textId="77777777" w:rsidR="00AA7FB5" w:rsidRPr="00FF0B99" w:rsidRDefault="00AA7FB5" w:rsidP="00075097">
            <w:pPr>
              <w:rPr>
                <w:rFonts w:cs="Times New Roman"/>
                <w:sz w:val="20"/>
                <w:szCs w:val="20"/>
              </w:rPr>
            </w:pPr>
            <w:r w:rsidRPr="00FF0B99">
              <w:rPr>
                <w:rFonts w:cs="Times New Roman"/>
                <w:sz w:val="20"/>
                <w:szCs w:val="20"/>
                <w:lang w:val="sk"/>
              </w:rPr>
              <w:t>ortostatické účinky (vrátane hypotenzie), návaly horúčavy</w:t>
            </w:r>
          </w:p>
        </w:tc>
        <w:tc>
          <w:tcPr>
            <w:tcW w:w="2630" w:type="dxa"/>
            <w:tcBorders>
              <w:top w:val="single" w:sz="4" w:space="0" w:color="auto"/>
              <w:left w:val="single" w:sz="4" w:space="0" w:color="auto"/>
              <w:bottom w:val="single" w:sz="4" w:space="0" w:color="auto"/>
              <w:right w:val="single" w:sz="4" w:space="0" w:color="auto"/>
            </w:tcBorders>
          </w:tcPr>
          <w:p w14:paraId="2A40385B"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614AA0D6" w14:textId="77777777" w:rsidTr="00F441B5">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3E1A42D3" w14:textId="77777777" w:rsidR="00AA7FB5" w:rsidRPr="00FF0B99" w:rsidRDefault="00AA7FB5" w:rsidP="00075097">
            <w:pPr>
              <w:rPr>
                <w:rFonts w:cs="Times New Roman"/>
                <w:sz w:val="20"/>
                <w:szCs w:val="20"/>
              </w:rPr>
            </w:pPr>
            <w:r w:rsidRPr="00FF0B99">
              <w:rPr>
                <w:rFonts w:cs="Times New Roman"/>
                <w:sz w:val="20"/>
                <w:szCs w:val="20"/>
                <w:lang w:val="sk"/>
              </w:rPr>
              <w:t>Poruchy dýchacej sústavy, hrudníka a mediastína</w:t>
            </w:r>
          </w:p>
        </w:tc>
        <w:tc>
          <w:tcPr>
            <w:tcW w:w="1485" w:type="dxa"/>
            <w:tcBorders>
              <w:top w:val="single" w:sz="4" w:space="0" w:color="auto"/>
              <w:left w:val="single" w:sz="4" w:space="0" w:color="auto"/>
              <w:bottom w:val="single" w:sz="4" w:space="0" w:color="auto"/>
              <w:right w:val="single" w:sz="4" w:space="0" w:color="auto"/>
            </w:tcBorders>
          </w:tcPr>
          <w:p w14:paraId="10826FCC" w14:textId="77777777" w:rsidR="00AA7FB5" w:rsidRPr="00FF0B99" w:rsidRDefault="00AA7FB5" w:rsidP="00075097">
            <w:pPr>
              <w:rPr>
                <w:rFonts w:cs="Times New Roman"/>
                <w:sz w:val="20"/>
                <w:szCs w:val="20"/>
              </w:rPr>
            </w:pPr>
            <w:r w:rsidRPr="00FF0B99">
              <w:rPr>
                <w:rFonts w:cs="Times New Roman"/>
                <w:sz w:val="20"/>
                <w:szCs w:val="20"/>
                <w:lang w:val="sk"/>
              </w:rPr>
              <w:t xml:space="preserve">časté </w:t>
            </w:r>
          </w:p>
        </w:tc>
        <w:tc>
          <w:tcPr>
            <w:tcW w:w="2857" w:type="dxa"/>
            <w:tcBorders>
              <w:top w:val="single" w:sz="4" w:space="0" w:color="auto"/>
              <w:left w:val="single" w:sz="4" w:space="0" w:color="auto"/>
              <w:bottom w:val="single" w:sz="4" w:space="0" w:color="auto"/>
              <w:right w:val="single" w:sz="4" w:space="0" w:color="auto"/>
            </w:tcBorders>
          </w:tcPr>
          <w:p w14:paraId="7707A219" w14:textId="77777777" w:rsidR="00AA7FB5" w:rsidRPr="00FF0B99" w:rsidRDefault="00AA7FB5" w:rsidP="00075097">
            <w:pPr>
              <w:rPr>
                <w:rFonts w:cs="Times New Roman"/>
                <w:sz w:val="20"/>
                <w:szCs w:val="20"/>
              </w:rPr>
            </w:pPr>
            <w:r w:rsidRPr="00FF0B99">
              <w:rPr>
                <w:rFonts w:cs="Times New Roman"/>
                <w:sz w:val="20"/>
                <w:szCs w:val="20"/>
                <w:lang w:val="sk"/>
              </w:rPr>
              <w:t>kašeľ</w:t>
            </w:r>
          </w:p>
        </w:tc>
        <w:tc>
          <w:tcPr>
            <w:tcW w:w="2630" w:type="dxa"/>
            <w:tcBorders>
              <w:top w:val="single" w:sz="4" w:space="0" w:color="auto"/>
              <w:left w:val="single" w:sz="4" w:space="0" w:color="auto"/>
              <w:bottom w:val="single" w:sz="4" w:space="0" w:color="auto"/>
              <w:right w:val="single" w:sz="4" w:space="0" w:color="auto"/>
            </w:tcBorders>
          </w:tcPr>
          <w:p w14:paraId="7AE293BD"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5273F639"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0709103B"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01C05CC9" w14:textId="77777777" w:rsidR="00AA7FB5" w:rsidRPr="00FF0B99" w:rsidRDefault="00AA7FB5" w:rsidP="00075097">
            <w:pPr>
              <w:rPr>
                <w:rFonts w:cs="Times New Roman"/>
                <w:sz w:val="20"/>
                <w:szCs w:val="20"/>
              </w:rPr>
            </w:pPr>
            <w:r w:rsidRPr="00FF0B99">
              <w:rPr>
                <w:rFonts w:cs="Times New Roman"/>
                <w:sz w:val="20"/>
                <w:szCs w:val="20"/>
                <w:lang w:val="sk"/>
              </w:rPr>
              <w:t xml:space="preserve">menej časté </w:t>
            </w:r>
          </w:p>
        </w:tc>
        <w:tc>
          <w:tcPr>
            <w:tcW w:w="2857" w:type="dxa"/>
            <w:tcBorders>
              <w:top w:val="single" w:sz="4" w:space="0" w:color="auto"/>
              <w:left w:val="single" w:sz="4" w:space="0" w:color="auto"/>
              <w:bottom w:val="single" w:sz="4" w:space="0" w:color="auto"/>
              <w:right w:val="single" w:sz="4" w:space="0" w:color="auto"/>
            </w:tcBorders>
          </w:tcPr>
          <w:p w14:paraId="4BB44B15" w14:textId="77777777" w:rsidR="00AA7FB5" w:rsidRPr="00FF0B99" w:rsidRDefault="00AA7FB5" w:rsidP="00075097">
            <w:pPr>
              <w:rPr>
                <w:rFonts w:cs="Times New Roman"/>
                <w:sz w:val="20"/>
                <w:szCs w:val="20"/>
              </w:rPr>
            </w:pPr>
            <w:r w:rsidRPr="00FF0B99">
              <w:rPr>
                <w:rFonts w:cs="Times New Roman"/>
                <w:sz w:val="20"/>
                <w:szCs w:val="20"/>
                <w:lang w:val="sk"/>
              </w:rPr>
              <w:t>rinitída</w:t>
            </w:r>
          </w:p>
        </w:tc>
        <w:tc>
          <w:tcPr>
            <w:tcW w:w="2630" w:type="dxa"/>
            <w:tcBorders>
              <w:top w:val="single" w:sz="4" w:space="0" w:color="auto"/>
              <w:left w:val="single" w:sz="4" w:space="0" w:color="auto"/>
              <w:bottom w:val="single" w:sz="4" w:space="0" w:color="auto"/>
              <w:right w:val="single" w:sz="4" w:space="0" w:color="auto"/>
            </w:tcBorders>
          </w:tcPr>
          <w:p w14:paraId="5EB14A15"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5A6E4D2E"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45B9C671"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02FEBFCF"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02112B1D" w14:textId="77777777" w:rsidR="00AA7FB5" w:rsidRPr="00FF0B99" w:rsidRDefault="00AA7FB5" w:rsidP="00075097">
            <w:pPr>
              <w:rPr>
                <w:rFonts w:cs="Times New Roman"/>
                <w:sz w:val="20"/>
                <w:szCs w:val="20"/>
              </w:rPr>
            </w:pPr>
            <w:r w:rsidRPr="00FF0B99">
              <w:rPr>
                <w:rFonts w:cs="Times New Roman"/>
                <w:sz w:val="20"/>
                <w:szCs w:val="20"/>
                <w:lang w:val="sk"/>
              </w:rPr>
              <w:t>dyspnoe, pľúcne infiltráty, laryngitída, bronchitída, nazálna kongescia, bolesť farynxu</w:t>
            </w:r>
          </w:p>
        </w:tc>
        <w:tc>
          <w:tcPr>
            <w:tcW w:w="2630" w:type="dxa"/>
            <w:tcBorders>
              <w:top w:val="single" w:sz="4" w:space="0" w:color="auto"/>
              <w:left w:val="single" w:sz="4" w:space="0" w:color="auto"/>
              <w:bottom w:val="single" w:sz="4" w:space="0" w:color="auto"/>
              <w:right w:val="single" w:sz="4" w:space="0" w:color="auto"/>
            </w:tcBorders>
          </w:tcPr>
          <w:p w14:paraId="67AFB2E1"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2BDCAB79"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5493C20A"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4387DBCA" w14:textId="77777777" w:rsidR="00AA7FB5" w:rsidRPr="00FF0B99" w:rsidRDefault="00AA7FB5" w:rsidP="00075097">
            <w:pPr>
              <w:rPr>
                <w:rFonts w:cs="Times New Roman"/>
                <w:sz w:val="20"/>
                <w:szCs w:val="20"/>
              </w:rPr>
            </w:pPr>
            <w:r w:rsidRPr="00FF0B99">
              <w:rPr>
                <w:rFonts w:cs="Times New Roman"/>
                <w:sz w:val="20"/>
                <w:szCs w:val="20"/>
                <w:lang w:val="sk"/>
              </w:rPr>
              <w:t xml:space="preserve">veľmi zriedkavé </w:t>
            </w:r>
          </w:p>
        </w:tc>
        <w:tc>
          <w:tcPr>
            <w:tcW w:w="2857" w:type="dxa"/>
            <w:tcBorders>
              <w:top w:val="single" w:sz="4" w:space="0" w:color="auto"/>
              <w:left w:val="single" w:sz="4" w:space="0" w:color="auto"/>
              <w:bottom w:val="single" w:sz="4" w:space="0" w:color="auto"/>
              <w:right w:val="single" w:sz="4" w:space="0" w:color="auto"/>
            </w:tcBorders>
          </w:tcPr>
          <w:p w14:paraId="4E07AC46" w14:textId="77777777" w:rsidR="00AA7FB5" w:rsidRPr="00FF0B99" w:rsidRDefault="00AA7FB5" w:rsidP="00075097">
            <w:pPr>
              <w:rPr>
                <w:rFonts w:cs="Times New Roman"/>
                <w:sz w:val="20"/>
                <w:szCs w:val="20"/>
              </w:rPr>
            </w:pPr>
            <w:r w:rsidRPr="00FF0B99">
              <w:rPr>
                <w:rFonts w:cs="Times New Roman"/>
                <w:sz w:val="20"/>
                <w:szCs w:val="20"/>
                <w:lang w:val="sk"/>
              </w:rPr>
              <w:t>bronchospazmus, sínusitída, alergická alveolitída/eozinofilná pneumónia</w:t>
            </w:r>
          </w:p>
        </w:tc>
        <w:tc>
          <w:tcPr>
            <w:tcW w:w="2630" w:type="dxa"/>
            <w:tcBorders>
              <w:top w:val="single" w:sz="4" w:space="0" w:color="auto"/>
              <w:left w:val="single" w:sz="4" w:space="0" w:color="auto"/>
              <w:bottom w:val="single" w:sz="4" w:space="0" w:color="auto"/>
              <w:right w:val="single" w:sz="4" w:space="0" w:color="auto"/>
            </w:tcBorders>
          </w:tcPr>
          <w:p w14:paraId="1768D5BF"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3D3D7F15" w14:textId="77777777" w:rsidTr="00F441B5">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4BAB0571" w14:textId="77777777" w:rsidR="00AA7FB5" w:rsidRPr="00FF0B99" w:rsidRDefault="00AA7FB5" w:rsidP="00075097">
            <w:pPr>
              <w:rPr>
                <w:rFonts w:cs="Times New Roman"/>
                <w:sz w:val="20"/>
                <w:szCs w:val="20"/>
              </w:rPr>
            </w:pPr>
            <w:r w:rsidRPr="00FF0B99">
              <w:rPr>
                <w:rFonts w:cs="Times New Roman"/>
                <w:sz w:val="20"/>
                <w:szCs w:val="20"/>
                <w:lang w:val="sk"/>
              </w:rPr>
              <w:t xml:space="preserve">Poruchy gastrointestinálneho traktu </w:t>
            </w:r>
          </w:p>
        </w:tc>
        <w:tc>
          <w:tcPr>
            <w:tcW w:w="1485" w:type="dxa"/>
            <w:tcBorders>
              <w:top w:val="single" w:sz="4" w:space="0" w:color="auto"/>
              <w:left w:val="single" w:sz="4" w:space="0" w:color="auto"/>
              <w:bottom w:val="single" w:sz="4" w:space="0" w:color="auto"/>
              <w:right w:val="single" w:sz="4" w:space="0" w:color="auto"/>
            </w:tcBorders>
          </w:tcPr>
          <w:p w14:paraId="7AFC9AA3" w14:textId="77777777" w:rsidR="00AA7FB5" w:rsidRPr="00FF0B99" w:rsidRDefault="00AA7FB5" w:rsidP="00075097">
            <w:pPr>
              <w:rPr>
                <w:rFonts w:cs="Times New Roman"/>
                <w:sz w:val="20"/>
                <w:szCs w:val="20"/>
              </w:rPr>
            </w:pPr>
            <w:r w:rsidRPr="00FF0B99">
              <w:rPr>
                <w:rFonts w:cs="Times New Roman"/>
                <w:sz w:val="20"/>
                <w:szCs w:val="20"/>
                <w:lang w:val="sk"/>
              </w:rPr>
              <w:t>časté</w:t>
            </w:r>
          </w:p>
        </w:tc>
        <w:tc>
          <w:tcPr>
            <w:tcW w:w="2857" w:type="dxa"/>
            <w:tcBorders>
              <w:top w:val="single" w:sz="4" w:space="0" w:color="auto"/>
              <w:left w:val="single" w:sz="4" w:space="0" w:color="auto"/>
              <w:bottom w:val="single" w:sz="4" w:space="0" w:color="auto"/>
              <w:right w:val="single" w:sz="4" w:space="0" w:color="auto"/>
            </w:tcBorders>
          </w:tcPr>
          <w:p w14:paraId="47C55035" w14:textId="77777777" w:rsidR="00AA7FB5" w:rsidRPr="00FF0B99" w:rsidRDefault="00AA7FB5" w:rsidP="00075097">
            <w:pPr>
              <w:rPr>
                <w:rFonts w:cs="Times New Roman"/>
                <w:sz w:val="20"/>
                <w:szCs w:val="20"/>
              </w:rPr>
            </w:pPr>
            <w:r w:rsidRPr="00FF0B99">
              <w:rPr>
                <w:rFonts w:cs="Times New Roman"/>
                <w:sz w:val="20"/>
                <w:szCs w:val="20"/>
                <w:lang w:val="sk"/>
              </w:rPr>
              <w:t>hnačka</w:t>
            </w:r>
          </w:p>
        </w:tc>
        <w:tc>
          <w:tcPr>
            <w:tcW w:w="2630" w:type="dxa"/>
            <w:tcBorders>
              <w:top w:val="single" w:sz="4" w:space="0" w:color="auto"/>
              <w:left w:val="single" w:sz="4" w:space="0" w:color="auto"/>
              <w:bottom w:val="single" w:sz="4" w:space="0" w:color="auto"/>
              <w:right w:val="single" w:sz="4" w:space="0" w:color="auto"/>
            </w:tcBorders>
          </w:tcPr>
          <w:p w14:paraId="77A2D7CB" w14:textId="77777777" w:rsidR="00AA7FB5" w:rsidRPr="00FF0B99" w:rsidRDefault="00AA7FB5" w:rsidP="00075097">
            <w:pPr>
              <w:rPr>
                <w:rFonts w:cs="Times New Roman"/>
                <w:sz w:val="20"/>
                <w:szCs w:val="20"/>
              </w:rPr>
            </w:pPr>
            <w:r w:rsidRPr="00FF0B99">
              <w:rPr>
                <w:rFonts w:cs="Times New Roman"/>
                <w:sz w:val="20"/>
                <w:szCs w:val="20"/>
                <w:lang w:val="sk"/>
              </w:rPr>
              <w:t>bolesť brucha, nauzea, vracanie, hnačka, zápcha</w:t>
            </w:r>
          </w:p>
        </w:tc>
      </w:tr>
      <w:tr w:rsidR="00AA7FB5" w:rsidRPr="0099776C" w14:paraId="62736950"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7B4117AD"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0B3639E4" w14:textId="77777777" w:rsidR="00AA7FB5" w:rsidRPr="00FF0B99" w:rsidRDefault="00AA7FB5" w:rsidP="00075097">
            <w:pPr>
              <w:rPr>
                <w:rFonts w:cs="Times New Roman"/>
                <w:sz w:val="20"/>
                <w:szCs w:val="20"/>
              </w:rPr>
            </w:pPr>
            <w:r w:rsidRPr="00FF0B99">
              <w:rPr>
                <w:rFonts w:cs="Times New Roman"/>
                <w:sz w:val="20"/>
                <w:szCs w:val="20"/>
                <w:lang w:val="sk"/>
              </w:rPr>
              <w:t>menej časté</w:t>
            </w:r>
          </w:p>
        </w:tc>
        <w:tc>
          <w:tcPr>
            <w:tcW w:w="2857" w:type="dxa"/>
            <w:tcBorders>
              <w:top w:val="single" w:sz="4" w:space="0" w:color="auto"/>
              <w:left w:val="single" w:sz="4" w:space="0" w:color="auto"/>
              <w:bottom w:val="single" w:sz="4" w:space="0" w:color="auto"/>
              <w:right w:val="single" w:sz="4" w:space="0" w:color="auto"/>
            </w:tcBorders>
          </w:tcPr>
          <w:p w14:paraId="3A57A4FD" w14:textId="77777777" w:rsidR="00AA7FB5" w:rsidRPr="00FF0B99" w:rsidRDefault="00AA7FB5" w:rsidP="00075097">
            <w:pPr>
              <w:rPr>
                <w:rFonts w:cs="Times New Roman"/>
                <w:sz w:val="20"/>
                <w:szCs w:val="20"/>
              </w:rPr>
            </w:pPr>
            <w:r w:rsidRPr="00FF0B99">
              <w:rPr>
                <w:rFonts w:cs="Times New Roman"/>
                <w:sz w:val="20"/>
                <w:szCs w:val="20"/>
                <w:lang w:val="sk"/>
              </w:rPr>
              <w:t>nauzea</w:t>
            </w:r>
          </w:p>
        </w:tc>
        <w:tc>
          <w:tcPr>
            <w:tcW w:w="2630" w:type="dxa"/>
            <w:tcBorders>
              <w:top w:val="single" w:sz="4" w:space="0" w:color="auto"/>
              <w:left w:val="single" w:sz="4" w:space="0" w:color="auto"/>
              <w:bottom w:val="single" w:sz="4" w:space="0" w:color="auto"/>
              <w:right w:val="single" w:sz="4" w:space="0" w:color="auto"/>
            </w:tcBorders>
          </w:tcPr>
          <w:p w14:paraId="4F614A7C" w14:textId="77777777" w:rsidR="00AA7FB5" w:rsidRPr="00FF0B99" w:rsidRDefault="00AA7FB5" w:rsidP="00075097">
            <w:pPr>
              <w:rPr>
                <w:rFonts w:cs="Times New Roman"/>
                <w:sz w:val="20"/>
                <w:szCs w:val="20"/>
              </w:rPr>
            </w:pPr>
            <w:r w:rsidRPr="00FF0B99">
              <w:rPr>
                <w:rFonts w:cs="Times New Roman"/>
                <w:sz w:val="20"/>
                <w:szCs w:val="20"/>
                <w:lang w:val="sk"/>
              </w:rPr>
              <w:t>sucho v ústach</w:t>
            </w:r>
          </w:p>
        </w:tc>
      </w:tr>
      <w:tr w:rsidR="00AA7FB5" w:rsidRPr="0099776C" w14:paraId="7785C3ED"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009BFBFB"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7B1E7E75" w14:textId="77777777" w:rsidR="00AA7FB5" w:rsidRPr="00FF0B99" w:rsidRDefault="00AA7FB5" w:rsidP="00075097">
            <w:pPr>
              <w:rPr>
                <w:rFonts w:cs="Times New Roman"/>
                <w:sz w:val="20"/>
                <w:szCs w:val="20"/>
              </w:rPr>
            </w:pPr>
            <w:r w:rsidRPr="00FF0B99">
              <w:rPr>
                <w:rFonts w:cs="Times New Roman"/>
                <w:sz w:val="20"/>
                <w:szCs w:val="20"/>
                <w:lang w:val="sk"/>
              </w:rPr>
              <w:t xml:space="preserve">zriedkavé </w:t>
            </w:r>
          </w:p>
          <w:p w14:paraId="5BE64A23" w14:textId="77777777" w:rsidR="00AA7FB5" w:rsidRPr="00FF0B99" w:rsidRDefault="00AA7FB5" w:rsidP="00075097">
            <w:pPr>
              <w:rPr>
                <w:rFonts w:cs="Times New Roman"/>
                <w:sz w:val="20"/>
                <w:szCs w:val="20"/>
              </w:rPr>
            </w:pPr>
          </w:p>
        </w:tc>
        <w:tc>
          <w:tcPr>
            <w:tcW w:w="2857" w:type="dxa"/>
            <w:tcBorders>
              <w:top w:val="single" w:sz="4" w:space="0" w:color="auto"/>
              <w:left w:val="single" w:sz="4" w:space="0" w:color="auto"/>
              <w:bottom w:val="single" w:sz="4" w:space="0" w:color="auto"/>
              <w:right w:val="single" w:sz="4" w:space="0" w:color="auto"/>
            </w:tcBorders>
          </w:tcPr>
          <w:p w14:paraId="2CB6FADB" w14:textId="77777777" w:rsidR="00AA7FB5" w:rsidRPr="00B0671E" w:rsidRDefault="00AA7FB5" w:rsidP="00075097">
            <w:pPr>
              <w:rPr>
                <w:rFonts w:cs="Times New Roman"/>
                <w:sz w:val="20"/>
                <w:szCs w:val="20"/>
                <w:lang w:val="es-ES"/>
              </w:rPr>
            </w:pPr>
            <w:r w:rsidRPr="00FF0B99">
              <w:rPr>
                <w:rFonts w:cs="Times New Roman"/>
                <w:sz w:val="20"/>
                <w:szCs w:val="20"/>
                <w:lang w:val="sk"/>
              </w:rPr>
              <w:t>bolesť brucha, sucho v ústach, anorexia, zápcha, dyspepsia, flatulencia, vracanie</w:t>
            </w:r>
          </w:p>
        </w:tc>
        <w:tc>
          <w:tcPr>
            <w:tcW w:w="2630" w:type="dxa"/>
            <w:tcBorders>
              <w:top w:val="single" w:sz="4" w:space="0" w:color="auto"/>
              <w:left w:val="single" w:sz="4" w:space="0" w:color="auto"/>
              <w:bottom w:val="single" w:sz="4" w:space="0" w:color="auto"/>
              <w:right w:val="single" w:sz="4" w:space="0" w:color="auto"/>
            </w:tcBorders>
          </w:tcPr>
          <w:p w14:paraId="02C26ABF"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2553BF33"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61BA512F"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43C9732E"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tc>
        <w:tc>
          <w:tcPr>
            <w:tcW w:w="2857" w:type="dxa"/>
            <w:tcBorders>
              <w:top w:val="single" w:sz="4" w:space="0" w:color="auto"/>
              <w:left w:val="single" w:sz="4" w:space="0" w:color="auto"/>
              <w:bottom w:val="single" w:sz="4" w:space="0" w:color="auto"/>
              <w:right w:val="single" w:sz="4" w:space="0" w:color="auto"/>
            </w:tcBorders>
          </w:tcPr>
          <w:p w14:paraId="22549643" w14:textId="77777777" w:rsidR="00AA7FB5" w:rsidRPr="00FF0B99" w:rsidRDefault="00AA7FB5" w:rsidP="00075097">
            <w:pPr>
              <w:rPr>
                <w:rFonts w:cs="Times New Roman"/>
                <w:sz w:val="20"/>
                <w:szCs w:val="20"/>
              </w:rPr>
            </w:pPr>
            <w:r w:rsidRPr="00FF0B99">
              <w:rPr>
                <w:rFonts w:cs="Times New Roman"/>
                <w:sz w:val="20"/>
                <w:szCs w:val="20"/>
                <w:lang w:val="sk"/>
              </w:rPr>
              <w:t>pankreatitída, črevný angioedém</w:t>
            </w:r>
          </w:p>
        </w:tc>
        <w:tc>
          <w:tcPr>
            <w:tcW w:w="2630" w:type="dxa"/>
            <w:tcBorders>
              <w:top w:val="single" w:sz="4" w:space="0" w:color="auto"/>
              <w:left w:val="single" w:sz="4" w:space="0" w:color="auto"/>
              <w:bottom w:val="single" w:sz="4" w:space="0" w:color="auto"/>
              <w:right w:val="single" w:sz="4" w:space="0" w:color="auto"/>
            </w:tcBorders>
          </w:tcPr>
          <w:p w14:paraId="2215470F" w14:textId="77777777" w:rsidR="00AA7FB5" w:rsidRPr="00FF0B99" w:rsidRDefault="00AA7FB5" w:rsidP="00075097">
            <w:pPr>
              <w:rPr>
                <w:rFonts w:cs="Times New Roman"/>
                <w:sz w:val="20"/>
                <w:szCs w:val="20"/>
              </w:rPr>
            </w:pPr>
            <w:r w:rsidRPr="00FF0B99">
              <w:rPr>
                <w:rFonts w:cs="Times New Roman"/>
                <w:sz w:val="20"/>
                <w:szCs w:val="20"/>
                <w:lang w:val="sk"/>
              </w:rPr>
              <w:t>pankreatitída</w:t>
            </w:r>
          </w:p>
        </w:tc>
      </w:tr>
      <w:tr w:rsidR="00AA7FB5" w:rsidRPr="0099776C" w14:paraId="0FD2E705" w14:textId="77777777" w:rsidTr="00F441B5">
        <w:trPr>
          <w:trHeight w:val="1037"/>
          <w:jc w:val="center"/>
        </w:trPr>
        <w:tc>
          <w:tcPr>
            <w:tcW w:w="2068" w:type="dxa"/>
            <w:tcBorders>
              <w:top w:val="single" w:sz="4" w:space="0" w:color="auto"/>
              <w:left w:val="single" w:sz="4" w:space="0" w:color="auto"/>
              <w:right w:val="single" w:sz="4" w:space="0" w:color="auto"/>
            </w:tcBorders>
          </w:tcPr>
          <w:p w14:paraId="18DADC93" w14:textId="77777777" w:rsidR="00AA7FB5" w:rsidRPr="00FF0B99" w:rsidRDefault="00AA7FB5" w:rsidP="00075097">
            <w:pPr>
              <w:rPr>
                <w:rFonts w:cs="Times New Roman"/>
                <w:sz w:val="20"/>
                <w:szCs w:val="20"/>
              </w:rPr>
            </w:pPr>
            <w:r w:rsidRPr="00FF0B99">
              <w:rPr>
                <w:rFonts w:cs="Times New Roman"/>
                <w:sz w:val="20"/>
                <w:szCs w:val="20"/>
                <w:lang w:val="sk"/>
              </w:rPr>
              <w:t xml:space="preserve">Poruchy pečene a žlčových ciest </w:t>
            </w:r>
          </w:p>
        </w:tc>
        <w:tc>
          <w:tcPr>
            <w:tcW w:w="1485" w:type="dxa"/>
            <w:tcBorders>
              <w:top w:val="single" w:sz="4" w:space="0" w:color="auto"/>
              <w:left w:val="single" w:sz="4" w:space="0" w:color="auto"/>
              <w:right w:val="single" w:sz="4" w:space="0" w:color="auto"/>
            </w:tcBorders>
          </w:tcPr>
          <w:p w14:paraId="1F4CAD19"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tc>
        <w:tc>
          <w:tcPr>
            <w:tcW w:w="2857" w:type="dxa"/>
            <w:tcBorders>
              <w:top w:val="single" w:sz="4" w:space="0" w:color="auto"/>
              <w:left w:val="single" w:sz="4" w:space="0" w:color="auto"/>
              <w:right w:val="single" w:sz="4" w:space="0" w:color="auto"/>
            </w:tcBorders>
          </w:tcPr>
          <w:p w14:paraId="5B996CAD" w14:textId="77777777" w:rsidR="00AA7FB5" w:rsidRPr="00FF0B99" w:rsidRDefault="00AA7FB5" w:rsidP="00075097">
            <w:pPr>
              <w:rPr>
                <w:rFonts w:cs="Times New Roman"/>
                <w:sz w:val="20"/>
                <w:szCs w:val="20"/>
              </w:rPr>
            </w:pPr>
            <w:r w:rsidRPr="00FF0B99">
              <w:rPr>
                <w:rFonts w:cs="Times New Roman"/>
                <w:sz w:val="20"/>
                <w:szCs w:val="20"/>
                <w:lang w:val="sk"/>
              </w:rPr>
              <w:t>hepatitída – buď hepatocelulárna alebo cholestatická, žltačka a zlyhanie</w:t>
            </w:r>
          </w:p>
          <w:p w14:paraId="27EB0576" w14:textId="77777777" w:rsidR="00AA7FB5" w:rsidRPr="00FF0B99" w:rsidRDefault="00AA7FB5" w:rsidP="00075097">
            <w:pPr>
              <w:rPr>
                <w:rFonts w:cs="Times New Roman"/>
                <w:sz w:val="20"/>
                <w:szCs w:val="20"/>
              </w:rPr>
            </w:pPr>
            <w:r w:rsidRPr="00FF0B99">
              <w:rPr>
                <w:rFonts w:cs="Times New Roman"/>
                <w:sz w:val="20"/>
                <w:szCs w:val="20"/>
                <w:lang w:val="sk"/>
              </w:rPr>
              <w:t>pečene (pozri časť 4.4)</w:t>
            </w:r>
          </w:p>
        </w:tc>
        <w:tc>
          <w:tcPr>
            <w:tcW w:w="2630" w:type="dxa"/>
            <w:tcBorders>
              <w:top w:val="single" w:sz="4" w:space="0" w:color="auto"/>
              <w:left w:val="single" w:sz="4" w:space="0" w:color="auto"/>
              <w:right w:val="single" w:sz="4" w:space="0" w:color="auto"/>
            </w:tcBorders>
          </w:tcPr>
          <w:p w14:paraId="7E3D46D2"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2BF81262" w14:textId="77777777" w:rsidTr="00F441B5">
        <w:trPr>
          <w:trHeight w:val="1814"/>
          <w:jc w:val="center"/>
        </w:trPr>
        <w:tc>
          <w:tcPr>
            <w:tcW w:w="2068" w:type="dxa"/>
            <w:vMerge w:val="restart"/>
            <w:tcBorders>
              <w:top w:val="single" w:sz="4" w:space="0" w:color="auto"/>
              <w:left w:val="single" w:sz="4" w:space="0" w:color="auto"/>
              <w:bottom w:val="single" w:sz="4" w:space="0" w:color="auto"/>
              <w:right w:val="single" w:sz="4" w:space="0" w:color="auto"/>
            </w:tcBorders>
          </w:tcPr>
          <w:p w14:paraId="28F560B1" w14:textId="77777777" w:rsidR="00AA7FB5" w:rsidRPr="00FF0B99" w:rsidRDefault="00AA7FB5" w:rsidP="00075097">
            <w:pPr>
              <w:rPr>
                <w:rFonts w:cs="Times New Roman"/>
                <w:sz w:val="20"/>
                <w:szCs w:val="20"/>
              </w:rPr>
            </w:pPr>
            <w:r w:rsidRPr="00FF0B99">
              <w:rPr>
                <w:rFonts w:cs="Times New Roman"/>
                <w:sz w:val="20"/>
                <w:szCs w:val="20"/>
                <w:lang w:val="sk"/>
              </w:rPr>
              <w:t>Choroby kože a podkožného tkaniva</w:t>
            </w:r>
          </w:p>
          <w:p w14:paraId="688B30C7"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right w:val="single" w:sz="4" w:space="0" w:color="auto"/>
            </w:tcBorders>
          </w:tcPr>
          <w:p w14:paraId="3EDB3143" w14:textId="77777777" w:rsidR="00AA7FB5" w:rsidRPr="00FF0B99" w:rsidRDefault="00AA7FB5" w:rsidP="00075097">
            <w:pPr>
              <w:rPr>
                <w:rFonts w:cs="Times New Roman"/>
                <w:sz w:val="20"/>
                <w:szCs w:val="20"/>
              </w:rPr>
            </w:pPr>
            <w:r w:rsidRPr="00FF0B99">
              <w:rPr>
                <w:rFonts w:cs="Times New Roman"/>
                <w:sz w:val="20"/>
                <w:szCs w:val="20"/>
                <w:lang w:val="sk"/>
              </w:rPr>
              <w:t>zriedkavé</w:t>
            </w:r>
          </w:p>
          <w:p w14:paraId="79FDB18D" w14:textId="77777777" w:rsidR="00AA7FB5" w:rsidRPr="00FF0B99" w:rsidRDefault="00AA7FB5" w:rsidP="00075097">
            <w:pPr>
              <w:rPr>
                <w:rFonts w:cs="Times New Roman"/>
                <w:sz w:val="20"/>
                <w:szCs w:val="20"/>
              </w:rPr>
            </w:pPr>
          </w:p>
        </w:tc>
        <w:tc>
          <w:tcPr>
            <w:tcW w:w="2857" w:type="dxa"/>
            <w:tcBorders>
              <w:top w:val="single" w:sz="4" w:space="0" w:color="auto"/>
              <w:left w:val="single" w:sz="4" w:space="0" w:color="auto"/>
              <w:right w:val="single" w:sz="4" w:space="0" w:color="auto"/>
            </w:tcBorders>
          </w:tcPr>
          <w:p w14:paraId="149162BD" w14:textId="77777777" w:rsidR="00AA7FB5" w:rsidRPr="00FF0B99" w:rsidRDefault="00AA7FB5" w:rsidP="00075097">
            <w:pPr>
              <w:ind w:right="-48"/>
              <w:rPr>
                <w:rFonts w:cs="Times New Roman"/>
                <w:sz w:val="20"/>
                <w:szCs w:val="20"/>
              </w:rPr>
            </w:pPr>
            <w:r w:rsidRPr="00FF0B99">
              <w:rPr>
                <w:rFonts w:cs="Times New Roman"/>
                <w:sz w:val="20"/>
                <w:szCs w:val="20"/>
                <w:lang w:val="sk"/>
              </w:rPr>
              <w:t xml:space="preserve">vyrážka, urtikária, pruritus, hyperhidróza, alopécia, pemfigus, fotosenzitivita, psoriáza, angioedém tváre, končatín, pier, jazyka, hlasivkovej štrbiny a/alebo hrtana (pozri časť 4.4) </w:t>
            </w:r>
          </w:p>
        </w:tc>
        <w:tc>
          <w:tcPr>
            <w:tcW w:w="2630" w:type="dxa"/>
            <w:tcBorders>
              <w:top w:val="single" w:sz="4" w:space="0" w:color="auto"/>
              <w:left w:val="single" w:sz="4" w:space="0" w:color="auto"/>
              <w:right w:val="single" w:sz="4" w:space="0" w:color="auto"/>
            </w:tcBorders>
          </w:tcPr>
          <w:p w14:paraId="2885B185"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1E47FB" w14:paraId="14649C10"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66E615FC"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23E66354" w14:textId="77777777" w:rsidR="00AA7FB5" w:rsidRPr="00FF0B99" w:rsidRDefault="00AA7FB5" w:rsidP="00075097">
            <w:pPr>
              <w:rPr>
                <w:rFonts w:cs="Times New Roman"/>
                <w:sz w:val="20"/>
                <w:szCs w:val="20"/>
              </w:rPr>
            </w:pPr>
            <w:r w:rsidRPr="00FF0B99">
              <w:rPr>
                <w:rFonts w:cs="Times New Roman"/>
                <w:sz w:val="20"/>
                <w:szCs w:val="20"/>
                <w:lang w:val="sk"/>
              </w:rPr>
              <w:t xml:space="preserve">veľmi zriedkavé </w:t>
            </w:r>
          </w:p>
          <w:p w14:paraId="587D4DE1" w14:textId="77777777" w:rsidR="00AA7FB5" w:rsidRPr="00FF0B99" w:rsidRDefault="00AA7FB5" w:rsidP="00075097">
            <w:pPr>
              <w:rPr>
                <w:rFonts w:cs="Times New Roman"/>
                <w:sz w:val="20"/>
                <w:szCs w:val="20"/>
              </w:rPr>
            </w:pPr>
          </w:p>
        </w:tc>
        <w:tc>
          <w:tcPr>
            <w:tcW w:w="2857" w:type="dxa"/>
            <w:tcBorders>
              <w:top w:val="single" w:sz="4" w:space="0" w:color="auto"/>
              <w:left w:val="single" w:sz="4" w:space="0" w:color="auto"/>
              <w:bottom w:val="single" w:sz="4" w:space="0" w:color="auto"/>
              <w:right w:val="single" w:sz="4" w:space="0" w:color="auto"/>
            </w:tcBorders>
          </w:tcPr>
          <w:p w14:paraId="5A218BB3" w14:textId="77777777" w:rsidR="00AA7FB5" w:rsidRPr="00FF0B99" w:rsidRDefault="00AA7FB5" w:rsidP="00075097">
            <w:pPr>
              <w:rPr>
                <w:rFonts w:cs="Times New Roman"/>
                <w:sz w:val="20"/>
                <w:szCs w:val="20"/>
              </w:rPr>
            </w:pPr>
            <w:r w:rsidRPr="00FF0B99">
              <w:rPr>
                <w:rFonts w:cs="Times New Roman"/>
                <w:sz w:val="20"/>
                <w:szCs w:val="20"/>
                <w:lang w:val="sk"/>
              </w:rPr>
              <w:t>toxická epidermálna nekrolýza, Stevensov-Johnsonov syndróm, multiformný erytém major, kožný pseudolymfóm.</w:t>
            </w:r>
          </w:p>
          <w:p w14:paraId="53F93F7F" w14:textId="77777777" w:rsidR="00AA7FB5" w:rsidRPr="00FF0B99" w:rsidRDefault="00AA7FB5" w:rsidP="00075097">
            <w:pPr>
              <w:rPr>
                <w:rFonts w:cs="Times New Roman"/>
                <w:sz w:val="20"/>
                <w:szCs w:val="20"/>
              </w:rPr>
            </w:pPr>
            <w:r w:rsidRPr="00FF0B99">
              <w:rPr>
                <w:rFonts w:cs="Times New Roman"/>
                <w:sz w:val="20"/>
                <w:szCs w:val="20"/>
                <w:lang w:val="sk"/>
              </w:rPr>
              <w:lastRenderedPageBreak/>
              <w:t>Bol hlásený komplex príznakov, ktorý môže zahŕňať niektoré alebo všetky z nasledujúcich príznakov: horúčka, vaskulitída, myalgia, artralgia/artritída, pozitívny test na antinukleárne protilátky (ANA), zvýšená rýchlosť sedimentácie červených krviniek</w:t>
            </w:r>
          </w:p>
          <w:p w14:paraId="1C05D370" w14:textId="77777777" w:rsidR="00AA7FB5" w:rsidRPr="00FF0B99" w:rsidRDefault="00AA7FB5" w:rsidP="00075097">
            <w:pPr>
              <w:rPr>
                <w:rFonts w:cs="Times New Roman"/>
                <w:sz w:val="20"/>
                <w:szCs w:val="20"/>
                <w:lang w:val="sk"/>
              </w:rPr>
            </w:pPr>
            <w:r w:rsidRPr="00FF0B99">
              <w:rPr>
                <w:rFonts w:cs="Times New Roman"/>
                <w:sz w:val="20"/>
                <w:szCs w:val="20"/>
                <w:lang w:val="sk"/>
              </w:rPr>
              <w:t xml:space="preserve"> (ESR), eozinofília a leukocytóza, vyrážka, fotosenzitivita alebo iné dermatologické prejavy.</w:t>
            </w:r>
          </w:p>
        </w:tc>
        <w:tc>
          <w:tcPr>
            <w:tcW w:w="2630" w:type="dxa"/>
            <w:tcBorders>
              <w:top w:val="single" w:sz="4" w:space="0" w:color="auto"/>
              <w:left w:val="single" w:sz="4" w:space="0" w:color="auto"/>
              <w:bottom w:val="single" w:sz="4" w:space="0" w:color="auto"/>
              <w:right w:val="single" w:sz="4" w:space="0" w:color="auto"/>
            </w:tcBorders>
          </w:tcPr>
          <w:p w14:paraId="268D4389" w14:textId="77777777" w:rsidR="00AA7FB5" w:rsidRPr="00FF0B99" w:rsidRDefault="00AA7FB5" w:rsidP="00075097">
            <w:pPr>
              <w:rPr>
                <w:rFonts w:cs="Times New Roman"/>
                <w:sz w:val="20"/>
                <w:szCs w:val="20"/>
                <w:lang w:val="sk"/>
              </w:rPr>
            </w:pPr>
            <w:r w:rsidRPr="00FF0B99">
              <w:rPr>
                <w:rFonts w:cs="Times New Roman"/>
                <w:sz w:val="20"/>
                <w:szCs w:val="20"/>
                <w:lang w:val="sk"/>
              </w:rPr>
              <w:lastRenderedPageBreak/>
              <w:t>alergické reakcie (napr. pruritus, exantém, fotosenzitivita), závažné kožné reakcie</w:t>
            </w:r>
          </w:p>
        </w:tc>
      </w:tr>
      <w:tr w:rsidR="00AA7FB5" w:rsidRPr="0099776C" w14:paraId="0AD79474" w14:textId="77777777" w:rsidTr="00F441B5">
        <w:trPr>
          <w:jc w:val="center"/>
        </w:trPr>
        <w:tc>
          <w:tcPr>
            <w:tcW w:w="2068" w:type="dxa"/>
            <w:vMerge w:val="restart"/>
            <w:tcBorders>
              <w:top w:val="single" w:sz="4" w:space="0" w:color="auto"/>
              <w:left w:val="single" w:sz="4" w:space="0" w:color="auto"/>
              <w:right w:val="single" w:sz="4" w:space="0" w:color="auto"/>
            </w:tcBorders>
            <w:vAlign w:val="center"/>
          </w:tcPr>
          <w:p w14:paraId="72C3DB9D" w14:textId="77777777" w:rsidR="00AA7FB5" w:rsidRPr="00FF0B99" w:rsidRDefault="00AA7FB5" w:rsidP="00075097">
            <w:pPr>
              <w:rPr>
                <w:rFonts w:cs="Times New Roman"/>
                <w:sz w:val="20"/>
                <w:szCs w:val="20"/>
                <w:lang w:val="sk"/>
              </w:rPr>
            </w:pPr>
            <w:r w:rsidRPr="00FF0B99">
              <w:rPr>
                <w:rFonts w:cs="Times New Roman"/>
                <w:sz w:val="20"/>
                <w:szCs w:val="20"/>
                <w:lang w:val="sk"/>
              </w:rPr>
              <w:t>Muskuloskeletálne poruchy a</w:t>
            </w:r>
          </w:p>
          <w:p w14:paraId="5ECD1304" w14:textId="77777777" w:rsidR="00AA7FB5" w:rsidRPr="00FF0B99" w:rsidRDefault="00AA7FB5" w:rsidP="00075097">
            <w:pPr>
              <w:rPr>
                <w:rFonts w:cs="Times New Roman"/>
                <w:sz w:val="20"/>
                <w:szCs w:val="20"/>
                <w:lang w:val="sk"/>
              </w:rPr>
            </w:pPr>
            <w:r w:rsidRPr="00FF0B99">
              <w:rPr>
                <w:rFonts w:cs="Times New Roman"/>
                <w:sz w:val="20"/>
                <w:szCs w:val="20"/>
                <w:lang w:val="sk"/>
              </w:rPr>
              <w:t>poruchy spojivových tkanív</w:t>
            </w:r>
          </w:p>
        </w:tc>
        <w:tc>
          <w:tcPr>
            <w:tcW w:w="1485" w:type="dxa"/>
            <w:tcBorders>
              <w:top w:val="single" w:sz="4" w:space="0" w:color="auto"/>
              <w:left w:val="single" w:sz="4" w:space="0" w:color="auto"/>
              <w:bottom w:val="single" w:sz="4" w:space="0" w:color="auto"/>
              <w:right w:val="single" w:sz="4" w:space="0" w:color="auto"/>
            </w:tcBorders>
          </w:tcPr>
          <w:p w14:paraId="7C5F5964" w14:textId="77777777" w:rsidR="00AA7FB5" w:rsidRPr="00FF0B99" w:rsidRDefault="00AA7FB5" w:rsidP="00075097">
            <w:pPr>
              <w:rPr>
                <w:rFonts w:cs="Times New Roman"/>
                <w:sz w:val="20"/>
                <w:szCs w:val="20"/>
              </w:rPr>
            </w:pPr>
            <w:r w:rsidRPr="00FF0B99">
              <w:rPr>
                <w:rFonts w:cs="Times New Roman"/>
                <w:sz w:val="20"/>
                <w:szCs w:val="20"/>
                <w:lang w:val="sk"/>
              </w:rPr>
              <w:t>časté</w:t>
            </w:r>
          </w:p>
        </w:tc>
        <w:tc>
          <w:tcPr>
            <w:tcW w:w="2857" w:type="dxa"/>
            <w:tcBorders>
              <w:top w:val="single" w:sz="4" w:space="0" w:color="auto"/>
              <w:left w:val="single" w:sz="4" w:space="0" w:color="auto"/>
              <w:bottom w:val="single" w:sz="4" w:space="0" w:color="auto"/>
              <w:right w:val="single" w:sz="4" w:space="0" w:color="auto"/>
            </w:tcBorders>
          </w:tcPr>
          <w:p w14:paraId="70F54278"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bottom w:val="single" w:sz="4" w:space="0" w:color="auto"/>
              <w:right w:val="single" w:sz="4" w:space="0" w:color="auto"/>
            </w:tcBorders>
          </w:tcPr>
          <w:p w14:paraId="0C03DA3A" w14:textId="77777777" w:rsidR="00AA7FB5" w:rsidRPr="00FF0B99" w:rsidRDefault="00AA7FB5" w:rsidP="00075097">
            <w:pPr>
              <w:rPr>
                <w:rFonts w:cs="Times New Roman"/>
                <w:sz w:val="20"/>
                <w:szCs w:val="20"/>
              </w:rPr>
            </w:pPr>
            <w:r w:rsidRPr="00FF0B99">
              <w:rPr>
                <w:rFonts w:cs="Times New Roman"/>
                <w:sz w:val="20"/>
                <w:szCs w:val="20"/>
                <w:lang w:val="sk"/>
              </w:rPr>
              <w:t>svalové spazmy</w:t>
            </w:r>
          </w:p>
        </w:tc>
      </w:tr>
      <w:tr w:rsidR="00AA7FB5" w:rsidRPr="0099776C" w14:paraId="2D79EA3D" w14:textId="77777777" w:rsidTr="00F441B5">
        <w:trPr>
          <w:trHeight w:val="70"/>
          <w:jc w:val="center"/>
        </w:trPr>
        <w:tc>
          <w:tcPr>
            <w:tcW w:w="2068" w:type="dxa"/>
            <w:vMerge/>
            <w:tcBorders>
              <w:left w:val="single" w:sz="4" w:space="0" w:color="auto"/>
              <w:bottom w:val="single" w:sz="4" w:space="0" w:color="auto"/>
              <w:right w:val="single" w:sz="4" w:space="0" w:color="auto"/>
            </w:tcBorders>
            <w:vAlign w:val="center"/>
          </w:tcPr>
          <w:p w14:paraId="0B66CE28"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01FF87DC"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430BC6A8" w14:textId="77777777" w:rsidR="00AA7FB5" w:rsidRPr="00FF0B99" w:rsidRDefault="00AA7FB5" w:rsidP="00075097">
            <w:pPr>
              <w:rPr>
                <w:rFonts w:cs="Times New Roman"/>
                <w:sz w:val="20"/>
                <w:szCs w:val="20"/>
              </w:rPr>
            </w:pPr>
            <w:r w:rsidRPr="00FF0B99">
              <w:rPr>
                <w:rFonts w:cs="Times New Roman"/>
                <w:sz w:val="20"/>
                <w:szCs w:val="20"/>
                <w:lang w:val="sk"/>
              </w:rPr>
              <w:t>bolesť chrbta, artralgia, svalové spazmy, bolesť ramien</w:t>
            </w:r>
          </w:p>
        </w:tc>
        <w:tc>
          <w:tcPr>
            <w:tcW w:w="2630" w:type="dxa"/>
            <w:tcBorders>
              <w:top w:val="single" w:sz="4" w:space="0" w:color="auto"/>
              <w:left w:val="single" w:sz="4" w:space="0" w:color="auto"/>
              <w:bottom w:val="single" w:sz="4" w:space="0" w:color="auto"/>
              <w:right w:val="single" w:sz="4" w:space="0" w:color="auto"/>
            </w:tcBorders>
          </w:tcPr>
          <w:p w14:paraId="35D0FCAB"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73212E1A" w14:textId="77777777" w:rsidTr="00F441B5">
        <w:trPr>
          <w:trHeight w:val="2021"/>
          <w:jc w:val="center"/>
        </w:trPr>
        <w:tc>
          <w:tcPr>
            <w:tcW w:w="2068" w:type="dxa"/>
            <w:vMerge w:val="restart"/>
            <w:tcBorders>
              <w:top w:val="single" w:sz="4" w:space="0" w:color="auto"/>
              <w:left w:val="single" w:sz="4" w:space="0" w:color="auto"/>
              <w:right w:val="single" w:sz="4" w:space="0" w:color="auto"/>
            </w:tcBorders>
          </w:tcPr>
          <w:p w14:paraId="391BEFE4" w14:textId="77777777" w:rsidR="00AA7FB5" w:rsidRPr="00FF0B99" w:rsidRDefault="00AA7FB5" w:rsidP="00075097">
            <w:pPr>
              <w:rPr>
                <w:rFonts w:cs="Times New Roman"/>
                <w:sz w:val="20"/>
                <w:szCs w:val="20"/>
              </w:rPr>
            </w:pPr>
            <w:r w:rsidRPr="00FF0B99">
              <w:rPr>
                <w:rFonts w:cs="Times New Roman"/>
                <w:sz w:val="20"/>
                <w:szCs w:val="20"/>
                <w:lang w:val="sk"/>
              </w:rPr>
              <w:t xml:space="preserve">Poruchy obličiek a močových ciest </w:t>
            </w:r>
          </w:p>
        </w:tc>
        <w:tc>
          <w:tcPr>
            <w:tcW w:w="1485" w:type="dxa"/>
            <w:tcBorders>
              <w:top w:val="single" w:sz="4" w:space="0" w:color="auto"/>
              <w:left w:val="single" w:sz="4" w:space="0" w:color="auto"/>
              <w:right w:val="single" w:sz="4" w:space="0" w:color="auto"/>
            </w:tcBorders>
          </w:tcPr>
          <w:p w14:paraId="7FCECD79" w14:textId="77777777" w:rsidR="00AA7FB5" w:rsidRPr="00FF0B99" w:rsidRDefault="00AA7FB5" w:rsidP="00075097">
            <w:pPr>
              <w:rPr>
                <w:rFonts w:cs="Times New Roman"/>
                <w:sz w:val="20"/>
                <w:szCs w:val="20"/>
              </w:rPr>
            </w:pPr>
            <w:r w:rsidRPr="00FF0B99">
              <w:rPr>
                <w:rFonts w:cs="Times New Roman"/>
                <w:sz w:val="20"/>
                <w:szCs w:val="20"/>
                <w:lang w:val="sk"/>
              </w:rPr>
              <w:t>menej časté</w:t>
            </w:r>
          </w:p>
        </w:tc>
        <w:tc>
          <w:tcPr>
            <w:tcW w:w="2857" w:type="dxa"/>
            <w:tcBorders>
              <w:top w:val="single" w:sz="4" w:space="0" w:color="auto"/>
              <w:left w:val="single" w:sz="4" w:space="0" w:color="auto"/>
              <w:right w:val="single" w:sz="4" w:space="0" w:color="auto"/>
            </w:tcBorders>
          </w:tcPr>
          <w:p w14:paraId="3BAD9E62"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right w:val="single" w:sz="4" w:space="0" w:color="auto"/>
            </w:tcBorders>
          </w:tcPr>
          <w:p w14:paraId="0EA1E029" w14:textId="77777777" w:rsidR="00AA7FB5" w:rsidRPr="00FF0B99" w:rsidRDefault="00AA7FB5" w:rsidP="00075097">
            <w:pPr>
              <w:rPr>
                <w:rFonts w:cs="Times New Roman"/>
                <w:sz w:val="20"/>
                <w:szCs w:val="20"/>
              </w:rPr>
            </w:pPr>
            <w:r w:rsidRPr="00FF0B99">
              <w:rPr>
                <w:rFonts w:cs="Times New Roman"/>
                <w:sz w:val="20"/>
                <w:szCs w:val="20"/>
                <w:lang w:val="sk"/>
              </w:rPr>
              <w:t>U pacientov s poruchou močenia (napr. v dôsledku hyperplázie prostaty) môže zvýšená tvorba moču viesť k retencii moču a nadmernej expanzii močového mechúra.</w:t>
            </w:r>
          </w:p>
        </w:tc>
      </w:tr>
      <w:tr w:rsidR="00AA7FB5" w:rsidRPr="0099776C" w14:paraId="0CA76AFA" w14:textId="77777777" w:rsidTr="00F441B5">
        <w:trPr>
          <w:jc w:val="center"/>
        </w:trPr>
        <w:tc>
          <w:tcPr>
            <w:tcW w:w="2068" w:type="dxa"/>
            <w:vMerge/>
            <w:tcBorders>
              <w:left w:val="single" w:sz="4" w:space="0" w:color="auto"/>
              <w:right w:val="single" w:sz="4" w:space="0" w:color="auto"/>
            </w:tcBorders>
          </w:tcPr>
          <w:p w14:paraId="5AF297E6"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27BA4785"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3056818C" w14:textId="77777777" w:rsidR="00AA7FB5" w:rsidRPr="00FF0B99" w:rsidRDefault="00AA7FB5" w:rsidP="00075097">
            <w:pPr>
              <w:rPr>
                <w:rFonts w:cs="Times New Roman"/>
                <w:sz w:val="20"/>
                <w:szCs w:val="20"/>
              </w:rPr>
            </w:pPr>
            <w:r w:rsidRPr="00FF0B99">
              <w:rPr>
                <w:rFonts w:cs="Times New Roman"/>
                <w:sz w:val="20"/>
                <w:szCs w:val="20"/>
                <w:lang w:val="sk"/>
              </w:rPr>
              <w:t>urémia, porucha funkcie obličiek, akútne zlyhávanie obličiek</w:t>
            </w:r>
          </w:p>
        </w:tc>
        <w:tc>
          <w:tcPr>
            <w:tcW w:w="2630" w:type="dxa"/>
            <w:tcBorders>
              <w:top w:val="single" w:sz="4" w:space="0" w:color="auto"/>
              <w:left w:val="single" w:sz="4" w:space="0" w:color="auto"/>
              <w:bottom w:val="single" w:sz="4" w:space="0" w:color="auto"/>
              <w:right w:val="single" w:sz="4" w:space="0" w:color="auto"/>
            </w:tcBorders>
          </w:tcPr>
          <w:p w14:paraId="01B4B599"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4EF34C41" w14:textId="77777777" w:rsidTr="00F441B5">
        <w:trPr>
          <w:jc w:val="center"/>
        </w:trPr>
        <w:tc>
          <w:tcPr>
            <w:tcW w:w="2068" w:type="dxa"/>
            <w:vMerge/>
            <w:tcBorders>
              <w:left w:val="single" w:sz="4" w:space="0" w:color="auto"/>
              <w:bottom w:val="single" w:sz="4" w:space="0" w:color="auto"/>
              <w:right w:val="single" w:sz="4" w:space="0" w:color="auto"/>
            </w:tcBorders>
          </w:tcPr>
          <w:p w14:paraId="0DBFBBBD"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0F91EDA3"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tc>
        <w:tc>
          <w:tcPr>
            <w:tcW w:w="2857" w:type="dxa"/>
            <w:tcBorders>
              <w:top w:val="single" w:sz="4" w:space="0" w:color="auto"/>
              <w:left w:val="single" w:sz="4" w:space="0" w:color="auto"/>
              <w:bottom w:val="single" w:sz="4" w:space="0" w:color="auto"/>
              <w:right w:val="single" w:sz="4" w:space="0" w:color="auto"/>
            </w:tcBorders>
          </w:tcPr>
          <w:p w14:paraId="6C564258" w14:textId="77777777" w:rsidR="00AA7FB5" w:rsidRPr="00FF0B99" w:rsidRDefault="00AA7FB5" w:rsidP="00075097">
            <w:pPr>
              <w:rPr>
                <w:rFonts w:cs="Times New Roman"/>
                <w:sz w:val="20"/>
                <w:szCs w:val="20"/>
              </w:rPr>
            </w:pPr>
            <w:r w:rsidRPr="00FF0B99">
              <w:rPr>
                <w:rFonts w:cs="Times New Roman"/>
                <w:sz w:val="20"/>
                <w:szCs w:val="20"/>
                <w:lang w:val="sk"/>
              </w:rPr>
              <w:t>oligúria/anúria</w:t>
            </w:r>
          </w:p>
        </w:tc>
        <w:tc>
          <w:tcPr>
            <w:tcW w:w="2630" w:type="dxa"/>
            <w:tcBorders>
              <w:top w:val="single" w:sz="4" w:space="0" w:color="auto"/>
              <w:left w:val="single" w:sz="4" w:space="0" w:color="auto"/>
              <w:bottom w:val="single" w:sz="4" w:space="0" w:color="auto"/>
              <w:right w:val="single" w:sz="4" w:space="0" w:color="auto"/>
            </w:tcBorders>
          </w:tcPr>
          <w:p w14:paraId="443C0E09"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4C162DFF" w14:textId="77777777" w:rsidTr="00F441B5">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66C14369" w14:textId="77777777" w:rsidR="00AA7FB5" w:rsidRPr="00FF0B99" w:rsidRDefault="00AA7FB5" w:rsidP="00075097">
            <w:pPr>
              <w:rPr>
                <w:rFonts w:cs="Times New Roman"/>
                <w:sz w:val="20"/>
                <w:szCs w:val="20"/>
              </w:rPr>
            </w:pPr>
            <w:r w:rsidRPr="00FF0B99">
              <w:rPr>
                <w:rFonts w:cs="Times New Roman"/>
                <w:sz w:val="20"/>
                <w:szCs w:val="20"/>
                <w:lang w:val="sk"/>
              </w:rPr>
              <w:t>Poruchy reprodukčného systému a prsníkov</w:t>
            </w:r>
          </w:p>
        </w:tc>
        <w:tc>
          <w:tcPr>
            <w:tcW w:w="1485" w:type="dxa"/>
            <w:tcBorders>
              <w:top w:val="single" w:sz="4" w:space="0" w:color="auto"/>
              <w:left w:val="single" w:sz="4" w:space="0" w:color="auto"/>
              <w:bottom w:val="single" w:sz="4" w:space="0" w:color="auto"/>
              <w:right w:val="single" w:sz="4" w:space="0" w:color="auto"/>
            </w:tcBorders>
          </w:tcPr>
          <w:p w14:paraId="1F43FF45" w14:textId="77777777" w:rsidR="00AA7FB5" w:rsidRPr="00FF0B99" w:rsidRDefault="00AA7FB5" w:rsidP="00075097">
            <w:pPr>
              <w:rPr>
                <w:rFonts w:cs="Times New Roman"/>
                <w:sz w:val="20"/>
                <w:szCs w:val="20"/>
              </w:rPr>
            </w:pPr>
            <w:r w:rsidRPr="00FF0B99">
              <w:rPr>
                <w:rFonts w:cs="Times New Roman"/>
                <w:sz w:val="20"/>
                <w:szCs w:val="20"/>
                <w:lang w:val="sk"/>
              </w:rPr>
              <w:t xml:space="preserve">menej časté </w:t>
            </w:r>
          </w:p>
        </w:tc>
        <w:tc>
          <w:tcPr>
            <w:tcW w:w="2857" w:type="dxa"/>
            <w:tcBorders>
              <w:top w:val="single" w:sz="4" w:space="0" w:color="auto"/>
              <w:left w:val="single" w:sz="4" w:space="0" w:color="auto"/>
              <w:bottom w:val="single" w:sz="4" w:space="0" w:color="auto"/>
              <w:right w:val="single" w:sz="4" w:space="0" w:color="auto"/>
            </w:tcBorders>
          </w:tcPr>
          <w:p w14:paraId="0EA4B1AB" w14:textId="77777777" w:rsidR="00AA7FB5" w:rsidRPr="00FF0B99" w:rsidRDefault="00AA7FB5" w:rsidP="00075097">
            <w:pPr>
              <w:rPr>
                <w:rFonts w:cs="Times New Roman"/>
                <w:sz w:val="20"/>
                <w:szCs w:val="20"/>
              </w:rPr>
            </w:pPr>
            <w:r w:rsidRPr="00FF0B99">
              <w:rPr>
                <w:rFonts w:cs="Times New Roman"/>
                <w:sz w:val="20"/>
                <w:szCs w:val="20"/>
                <w:lang w:val="sk"/>
              </w:rPr>
              <w:t>impotencia</w:t>
            </w:r>
          </w:p>
        </w:tc>
        <w:tc>
          <w:tcPr>
            <w:tcW w:w="2630" w:type="dxa"/>
            <w:tcBorders>
              <w:top w:val="single" w:sz="4" w:space="0" w:color="auto"/>
              <w:left w:val="single" w:sz="4" w:space="0" w:color="auto"/>
              <w:bottom w:val="single" w:sz="4" w:space="0" w:color="auto"/>
              <w:right w:val="single" w:sz="4" w:space="0" w:color="auto"/>
            </w:tcBorders>
          </w:tcPr>
          <w:p w14:paraId="5F40980E"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07DE7595" w14:textId="77777777" w:rsidTr="00F441B5">
        <w:trPr>
          <w:trHeight w:val="577"/>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09EF7279"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42072F79"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28B5128B" w14:textId="77777777" w:rsidR="00AA7FB5" w:rsidRPr="00FF0B99" w:rsidRDefault="00AA7FB5" w:rsidP="00075097">
            <w:pPr>
              <w:rPr>
                <w:rFonts w:cs="Times New Roman"/>
                <w:sz w:val="20"/>
                <w:szCs w:val="20"/>
              </w:rPr>
            </w:pPr>
            <w:r w:rsidRPr="00FF0B99">
              <w:rPr>
                <w:rFonts w:cs="Times New Roman"/>
                <w:sz w:val="20"/>
                <w:szCs w:val="20"/>
                <w:lang w:val="sk"/>
              </w:rPr>
              <w:t>gynekomastia</w:t>
            </w:r>
          </w:p>
        </w:tc>
        <w:tc>
          <w:tcPr>
            <w:tcW w:w="2630" w:type="dxa"/>
            <w:tcBorders>
              <w:top w:val="single" w:sz="4" w:space="0" w:color="auto"/>
              <w:left w:val="single" w:sz="4" w:space="0" w:color="auto"/>
              <w:bottom w:val="single" w:sz="4" w:space="0" w:color="auto"/>
              <w:right w:val="single" w:sz="4" w:space="0" w:color="auto"/>
            </w:tcBorders>
          </w:tcPr>
          <w:p w14:paraId="45953351"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39B18830" w14:textId="77777777" w:rsidTr="00F441B5">
        <w:trPr>
          <w:jc w:val="center"/>
        </w:trPr>
        <w:tc>
          <w:tcPr>
            <w:tcW w:w="2068" w:type="dxa"/>
            <w:tcBorders>
              <w:top w:val="single" w:sz="4" w:space="0" w:color="auto"/>
              <w:left w:val="single" w:sz="4" w:space="0" w:color="auto"/>
              <w:bottom w:val="single" w:sz="4" w:space="0" w:color="auto"/>
              <w:right w:val="single" w:sz="4" w:space="0" w:color="auto"/>
            </w:tcBorders>
            <w:vAlign w:val="center"/>
          </w:tcPr>
          <w:p w14:paraId="7C518FB8" w14:textId="77777777" w:rsidR="00AA7FB5" w:rsidRPr="00FF0B99" w:rsidRDefault="00AA7FB5" w:rsidP="00075097">
            <w:pPr>
              <w:rPr>
                <w:rFonts w:cs="Times New Roman"/>
                <w:sz w:val="20"/>
                <w:szCs w:val="20"/>
              </w:rPr>
            </w:pPr>
            <w:r w:rsidRPr="00FF0B99">
              <w:rPr>
                <w:rFonts w:cs="Times New Roman"/>
                <w:sz w:val="20"/>
                <w:szCs w:val="20"/>
                <w:lang w:val="sk"/>
              </w:rPr>
              <w:t>Poruchy endokrinného systému</w:t>
            </w:r>
          </w:p>
        </w:tc>
        <w:tc>
          <w:tcPr>
            <w:tcW w:w="1485" w:type="dxa"/>
            <w:tcBorders>
              <w:top w:val="single" w:sz="4" w:space="0" w:color="auto"/>
              <w:left w:val="single" w:sz="4" w:space="0" w:color="auto"/>
              <w:bottom w:val="single" w:sz="4" w:space="0" w:color="auto"/>
              <w:right w:val="single" w:sz="4" w:space="0" w:color="auto"/>
            </w:tcBorders>
          </w:tcPr>
          <w:p w14:paraId="600387B1" w14:textId="77777777" w:rsidR="00AA7FB5" w:rsidRPr="00FF0B99" w:rsidRDefault="00AA7FB5" w:rsidP="00075097">
            <w:pPr>
              <w:rPr>
                <w:rFonts w:cs="Times New Roman"/>
                <w:sz w:val="20"/>
                <w:szCs w:val="20"/>
              </w:rPr>
            </w:pPr>
            <w:r w:rsidRPr="00FF0B99">
              <w:rPr>
                <w:rFonts w:cs="Times New Roman"/>
                <w:sz w:val="20"/>
                <w:szCs w:val="20"/>
                <w:lang w:val="sk"/>
              </w:rPr>
              <w:t xml:space="preserve">zriedkavé </w:t>
            </w:r>
          </w:p>
        </w:tc>
        <w:tc>
          <w:tcPr>
            <w:tcW w:w="2857" w:type="dxa"/>
            <w:tcBorders>
              <w:top w:val="single" w:sz="4" w:space="0" w:color="auto"/>
              <w:left w:val="single" w:sz="4" w:space="0" w:color="auto"/>
              <w:bottom w:val="single" w:sz="4" w:space="0" w:color="auto"/>
              <w:right w:val="single" w:sz="4" w:space="0" w:color="auto"/>
            </w:tcBorders>
          </w:tcPr>
          <w:p w14:paraId="02798944" w14:textId="77777777" w:rsidR="00AA7FB5" w:rsidRPr="00FF0B99" w:rsidRDefault="00AA7FB5" w:rsidP="00075097">
            <w:pPr>
              <w:rPr>
                <w:rFonts w:cs="Times New Roman"/>
                <w:sz w:val="20"/>
                <w:szCs w:val="20"/>
              </w:rPr>
            </w:pPr>
            <w:r w:rsidRPr="00FF0B99">
              <w:rPr>
                <w:rFonts w:cs="Times New Roman"/>
                <w:sz w:val="20"/>
                <w:szCs w:val="20"/>
                <w:lang w:val="sk"/>
              </w:rPr>
              <w:t>syndróm neprimeranej sekrécie antidiuretického hormónu (SIADH)</w:t>
            </w:r>
          </w:p>
        </w:tc>
        <w:tc>
          <w:tcPr>
            <w:tcW w:w="2630" w:type="dxa"/>
            <w:tcBorders>
              <w:top w:val="single" w:sz="4" w:space="0" w:color="auto"/>
              <w:left w:val="single" w:sz="4" w:space="0" w:color="auto"/>
              <w:bottom w:val="single" w:sz="4" w:space="0" w:color="auto"/>
              <w:right w:val="single" w:sz="4" w:space="0" w:color="auto"/>
            </w:tcBorders>
          </w:tcPr>
          <w:p w14:paraId="0B93A1C4"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5B652BBB" w14:textId="77777777" w:rsidTr="00F441B5">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6AC27BCF" w14:textId="77777777" w:rsidR="00AA7FB5" w:rsidRPr="00FF0B99" w:rsidRDefault="00AA7FB5" w:rsidP="00075097">
            <w:pPr>
              <w:rPr>
                <w:rFonts w:cs="Times New Roman"/>
                <w:sz w:val="20"/>
                <w:szCs w:val="20"/>
              </w:rPr>
            </w:pPr>
            <w:r w:rsidRPr="00FF0B99">
              <w:rPr>
                <w:rFonts w:cs="Times New Roman"/>
                <w:sz w:val="20"/>
                <w:szCs w:val="20"/>
                <w:lang w:val="sk"/>
              </w:rPr>
              <w:t>Celkové poruchy a reakcie v mieste podania</w:t>
            </w:r>
          </w:p>
        </w:tc>
        <w:tc>
          <w:tcPr>
            <w:tcW w:w="1485" w:type="dxa"/>
            <w:tcBorders>
              <w:top w:val="single" w:sz="4" w:space="0" w:color="auto"/>
              <w:left w:val="single" w:sz="4" w:space="0" w:color="auto"/>
              <w:bottom w:val="single" w:sz="4" w:space="0" w:color="auto"/>
              <w:right w:val="single" w:sz="4" w:space="0" w:color="auto"/>
            </w:tcBorders>
          </w:tcPr>
          <w:p w14:paraId="421491B6" w14:textId="77777777" w:rsidR="00AA7FB5" w:rsidRPr="00FF0B99" w:rsidRDefault="00AA7FB5" w:rsidP="00075097">
            <w:pPr>
              <w:rPr>
                <w:rFonts w:cs="Times New Roman"/>
                <w:sz w:val="20"/>
                <w:szCs w:val="20"/>
              </w:rPr>
            </w:pPr>
            <w:r w:rsidRPr="00FF0B99">
              <w:rPr>
                <w:rFonts w:cs="Times New Roman"/>
                <w:sz w:val="20"/>
                <w:szCs w:val="20"/>
                <w:lang w:val="sk"/>
              </w:rPr>
              <w:t>časté</w:t>
            </w:r>
          </w:p>
        </w:tc>
        <w:tc>
          <w:tcPr>
            <w:tcW w:w="2857" w:type="dxa"/>
            <w:tcBorders>
              <w:top w:val="single" w:sz="4" w:space="0" w:color="auto"/>
              <w:left w:val="single" w:sz="4" w:space="0" w:color="auto"/>
              <w:bottom w:val="single" w:sz="4" w:space="0" w:color="auto"/>
              <w:right w:val="single" w:sz="4" w:space="0" w:color="auto"/>
            </w:tcBorders>
          </w:tcPr>
          <w:p w14:paraId="2A26C0F8"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bottom w:val="single" w:sz="4" w:space="0" w:color="auto"/>
              <w:right w:val="single" w:sz="4" w:space="0" w:color="auto"/>
            </w:tcBorders>
          </w:tcPr>
          <w:p w14:paraId="2BC5B95F" w14:textId="77777777" w:rsidR="00AA7FB5" w:rsidRPr="00FF0B99" w:rsidRDefault="00AA7FB5" w:rsidP="00075097">
            <w:pPr>
              <w:rPr>
                <w:rFonts w:cs="Times New Roman"/>
                <w:sz w:val="20"/>
                <w:szCs w:val="20"/>
              </w:rPr>
            </w:pPr>
            <w:r w:rsidRPr="00FF0B99">
              <w:rPr>
                <w:rFonts w:cs="Times New Roman"/>
                <w:sz w:val="20"/>
                <w:szCs w:val="20"/>
                <w:lang w:val="sk"/>
              </w:rPr>
              <w:t xml:space="preserve">únava, asténia </w:t>
            </w:r>
          </w:p>
        </w:tc>
      </w:tr>
      <w:tr w:rsidR="00AA7FB5" w:rsidRPr="0099776C" w14:paraId="161284CF"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534B83F1"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13119AAE" w14:textId="77777777" w:rsidR="00AA7FB5" w:rsidRPr="00FF0B99" w:rsidRDefault="00AA7FB5" w:rsidP="00075097">
            <w:pPr>
              <w:rPr>
                <w:rFonts w:cs="Times New Roman"/>
                <w:sz w:val="20"/>
                <w:szCs w:val="20"/>
              </w:rPr>
            </w:pPr>
            <w:r w:rsidRPr="00FF0B99">
              <w:rPr>
                <w:rFonts w:cs="Times New Roman"/>
                <w:sz w:val="20"/>
                <w:szCs w:val="20"/>
                <w:lang w:val="sk"/>
              </w:rPr>
              <w:t>menej časté</w:t>
            </w:r>
          </w:p>
        </w:tc>
        <w:tc>
          <w:tcPr>
            <w:tcW w:w="2857" w:type="dxa"/>
            <w:tcBorders>
              <w:top w:val="single" w:sz="4" w:space="0" w:color="auto"/>
              <w:left w:val="single" w:sz="4" w:space="0" w:color="auto"/>
              <w:bottom w:val="single" w:sz="4" w:space="0" w:color="auto"/>
              <w:right w:val="single" w:sz="4" w:space="0" w:color="auto"/>
            </w:tcBorders>
          </w:tcPr>
          <w:p w14:paraId="2567CECB" w14:textId="77777777" w:rsidR="00AA7FB5" w:rsidRPr="00FF0B99" w:rsidRDefault="00AA7FB5" w:rsidP="00075097">
            <w:pPr>
              <w:rPr>
                <w:rFonts w:cs="Times New Roman"/>
                <w:sz w:val="20"/>
                <w:szCs w:val="20"/>
              </w:rPr>
            </w:pPr>
            <w:r w:rsidRPr="00FF0B99">
              <w:rPr>
                <w:rFonts w:cs="Times New Roman"/>
                <w:sz w:val="20"/>
                <w:szCs w:val="20"/>
                <w:lang w:val="sk"/>
              </w:rPr>
              <w:t>asténia</w:t>
            </w:r>
          </w:p>
        </w:tc>
        <w:tc>
          <w:tcPr>
            <w:tcW w:w="2630" w:type="dxa"/>
            <w:tcBorders>
              <w:top w:val="single" w:sz="4" w:space="0" w:color="auto"/>
              <w:left w:val="single" w:sz="4" w:space="0" w:color="auto"/>
              <w:bottom w:val="single" w:sz="4" w:space="0" w:color="auto"/>
              <w:right w:val="single" w:sz="4" w:space="0" w:color="auto"/>
            </w:tcBorders>
          </w:tcPr>
          <w:p w14:paraId="1A750376"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7483C807" w14:textId="77777777" w:rsidTr="00F441B5">
        <w:trPr>
          <w:trHeight w:val="281"/>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5F7DC2DA"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right w:val="single" w:sz="4" w:space="0" w:color="auto"/>
            </w:tcBorders>
          </w:tcPr>
          <w:p w14:paraId="76A9143C"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right w:val="single" w:sz="4" w:space="0" w:color="auto"/>
            </w:tcBorders>
          </w:tcPr>
          <w:p w14:paraId="4F7A4957" w14:textId="77777777" w:rsidR="00AA7FB5" w:rsidRPr="00FF0B99" w:rsidRDefault="00AA7FB5" w:rsidP="00075097">
            <w:pPr>
              <w:rPr>
                <w:rFonts w:cs="Times New Roman"/>
                <w:sz w:val="20"/>
                <w:szCs w:val="20"/>
              </w:rPr>
            </w:pPr>
            <w:r w:rsidRPr="00FF0B99">
              <w:rPr>
                <w:rFonts w:cs="Times New Roman"/>
                <w:sz w:val="20"/>
                <w:szCs w:val="20"/>
                <w:lang w:val="sk"/>
              </w:rPr>
              <w:t>únava, bolesť v hrudníku</w:t>
            </w:r>
          </w:p>
        </w:tc>
        <w:tc>
          <w:tcPr>
            <w:tcW w:w="2630" w:type="dxa"/>
            <w:tcBorders>
              <w:top w:val="single" w:sz="4" w:space="0" w:color="auto"/>
              <w:left w:val="single" w:sz="4" w:space="0" w:color="auto"/>
              <w:right w:val="single" w:sz="4" w:space="0" w:color="auto"/>
            </w:tcBorders>
          </w:tcPr>
          <w:p w14:paraId="215C7F13"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2DE2DF52" w14:textId="77777777" w:rsidTr="00F441B5">
        <w:trPr>
          <w:jc w:val="center"/>
        </w:trPr>
        <w:tc>
          <w:tcPr>
            <w:tcW w:w="2068" w:type="dxa"/>
            <w:vMerge w:val="restart"/>
            <w:tcBorders>
              <w:top w:val="single" w:sz="4" w:space="0" w:color="auto"/>
              <w:left w:val="single" w:sz="4" w:space="0" w:color="auto"/>
              <w:right w:val="single" w:sz="4" w:space="0" w:color="auto"/>
            </w:tcBorders>
          </w:tcPr>
          <w:p w14:paraId="7E9DA35C" w14:textId="77777777" w:rsidR="00AA7FB5" w:rsidRPr="00FF0B99" w:rsidRDefault="00AA7FB5" w:rsidP="00075097">
            <w:pPr>
              <w:rPr>
                <w:rFonts w:cs="Times New Roman"/>
                <w:sz w:val="20"/>
                <w:szCs w:val="20"/>
              </w:rPr>
            </w:pPr>
            <w:r w:rsidRPr="00FF0B99">
              <w:rPr>
                <w:rFonts w:cs="Times New Roman"/>
                <w:sz w:val="20"/>
                <w:szCs w:val="20"/>
                <w:lang w:val="sk"/>
              </w:rPr>
              <w:t>Laboratórne a funkčné vyšetrenia</w:t>
            </w:r>
          </w:p>
        </w:tc>
        <w:tc>
          <w:tcPr>
            <w:tcW w:w="1485" w:type="dxa"/>
            <w:tcBorders>
              <w:top w:val="single" w:sz="4" w:space="0" w:color="auto"/>
              <w:left w:val="single" w:sz="4" w:space="0" w:color="auto"/>
              <w:bottom w:val="single" w:sz="4" w:space="0" w:color="auto"/>
              <w:right w:val="single" w:sz="4" w:space="0" w:color="auto"/>
            </w:tcBorders>
          </w:tcPr>
          <w:p w14:paraId="0090F324" w14:textId="77777777" w:rsidR="00AA7FB5" w:rsidRPr="00FF0B99" w:rsidRDefault="00AA7FB5" w:rsidP="00075097">
            <w:pPr>
              <w:rPr>
                <w:rFonts w:cs="Times New Roman"/>
                <w:sz w:val="20"/>
                <w:szCs w:val="20"/>
              </w:rPr>
            </w:pPr>
            <w:r w:rsidRPr="00FF0B99">
              <w:rPr>
                <w:rFonts w:cs="Times New Roman"/>
                <w:sz w:val="20"/>
                <w:szCs w:val="20"/>
                <w:lang w:val="sk"/>
              </w:rPr>
              <w:t>časté</w:t>
            </w:r>
          </w:p>
        </w:tc>
        <w:tc>
          <w:tcPr>
            <w:tcW w:w="2857" w:type="dxa"/>
            <w:tcBorders>
              <w:top w:val="single" w:sz="4" w:space="0" w:color="auto"/>
              <w:left w:val="single" w:sz="4" w:space="0" w:color="auto"/>
              <w:bottom w:val="single" w:sz="4" w:space="0" w:color="auto"/>
              <w:right w:val="single" w:sz="4" w:space="0" w:color="auto"/>
            </w:tcBorders>
          </w:tcPr>
          <w:p w14:paraId="53CC6326"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bottom w:val="single" w:sz="4" w:space="0" w:color="auto"/>
              <w:right w:val="single" w:sz="4" w:space="0" w:color="auto"/>
            </w:tcBorders>
          </w:tcPr>
          <w:p w14:paraId="6304960D" w14:textId="77777777" w:rsidR="00AA7FB5" w:rsidRPr="00FF0B99" w:rsidRDefault="00AA7FB5" w:rsidP="00075097">
            <w:pPr>
              <w:rPr>
                <w:rFonts w:cs="Times New Roman"/>
                <w:sz w:val="20"/>
                <w:szCs w:val="20"/>
              </w:rPr>
            </w:pPr>
            <w:r w:rsidRPr="00FF0B99">
              <w:rPr>
                <w:rFonts w:cs="Times New Roman"/>
                <w:sz w:val="20"/>
                <w:szCs w:val="20"/>
                <w:lang w:val="sk"/>
              </w:rPr>
              <w:t>zvýšená hladina kyseliny močovej v krvi, zvýšená hladina glukózy v krvi, zvýšená hladina triglyceridov v krvi, zvýšená hladina cholesterolu v krvi,</w:t>
            </w:r>
          </w:p>
          <w:p w14:paraId="41FD4F95" w14:textId="77777777" w:rsidR="00AA7FB5" w:rsidRPr="00FF0B99" w:rsidRDefault="00AA7FB5" w:rsidP="00075097">
            <w:pPr>
              <w:rPr>
                <w:rFonts w:cs="Times New Roman"/>
                <w:sz w:val="20"/>
                <w:szCs w:val="20"/>
              </w:rPr>
            </w:pPr>
            <w:r w:rsidRPr="00FF0B99">
              <w:rPr>
                <w:rFonts w:cs="Times New Roman"/>
                <w:sz w:val="20"/>
                <w:szCs w:val="20"/>
                <w:lang w:val="sk"/>
              </w:rPr>
              <w:t>zvýšená hladina určitých pečeňových enzýmov (napr. gamaglutamyltransferázy) v krvi</w:t>
            </w:r>
          </w:p>
        </w:tc>
      </w:tr>
      <w:tr w:rsidR="00AA7FB5" w:rsidRPr="0099776C" w14:paraId="0BA9048D" w14:textId="77777777" w:rsidTr="00F441B5">
        <w:trPr>
          <w:jc w:val="center"/>
        </w:trPr>
        <w:tc>
          <w:tcPr>
            <w:tcW w:w="2068" w:type="dxa"/>
            <w:vMerge/>
            <w:tcBorders>
              <w:left w:val="single" w:sz="4" w:space="0" w:color="auto"/>
              <w:right w:val="single" w:sz="4" w:space="0" w:color="auto"/>
            </w:tcBorders>
          </w:tcPr>
          <w:p w14:paraId="739E1E9C"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14092E00" w14:textId="77777777" w:rsidR="00AA7FB5" w:rsidRPr="00FF0B99" w:rsidRDefault="00AA7FB5" w:rsidP="00075097">
            <w:pPr>
              <w:rPr>
                <w:rFonts w:cs="Times New Roman"/>
                <w:sz w:val="20"/>
                <w:szCs w:val="20"/>
              </w:rPr>
            </w:pPr>
            <w:r w:rsidRPr="00FF0B99">
              <w:rPr>
                <w:rFonts w:cs="Times New Roman"/>
                <w:sz w:val="20"/>
                <w:szCs w:val="20"/>
                <w:lang w:val="sk"/>
              </w:rPr>
              <w:t xml:space="preserve">menej časté </w:t>
            </w:r>
          </w:p>
        </w:tc>
        <w:tc>
          <w:tcPr>
            <w:tcW w:w="2857" w:type="dxa"/>
            <w:tcBorders>
              <w:top w:val="single" w:sz="4" w:space="0" w:color="auto"/>
              <w:left w:val="single" w:sz="4" w:space="0" w:color="auto"/>
              <w:bottom w:val="single" w:sz="4" w:space="0" w:color="auto"/>
              <w:right w:val="single" w:sz="4" w:space="0" w:color="auto"/>
            </w:tcBorders>
          </w:tcPr>
          <w:p w14:paraId="3F367C0F" w14:textId="77777777" w:rsidR="00AA7FB5" w:rsidRPr="00FF0B99" w:rsidRDefault="00AA7FB5" w:rsidP="00075097">
            <w:pPr>
              <w:rPr>
                <w:rFonts w:cs="Times New Roman"/>
                <w:sz w:val="20"/>
                <w:szCs w:val="20"/>
              </w:rPr>
            </w:pPr>
            <w:r w:rsidRPr="00FF0B99">
              <w:rPr>
                <w:rFonts w:cs="Times New Roman"/>
                <w:sz w:val="20"/>
                <w:szCs w:val="20"/>
                <w:lang w:val="sk"/>
              </w:rPr>
              <w:t xml:space="preserve">zvýšená hladina močoviny v krvi, zvýšená hladina kreatinínu </w:t>
            </w:r>
            <w:r w:rsidRPr="00FF0B99">
              <w:rPr>
                <w:rFonts w:cs="Times New Roman"/>
                <w:sz w:val="20"/>
                <w:szCs w:val="20"/>
                <w:lang w:val="sk"/>
              </w:rPr>
              <w:lastRenderedPageBreak/>
              <w:t>v krvi, zvýšená hladina pečeňových enzýmov</w:t>
            </w:r>
          </w:p>
        </w:tc>
        <w:tc>
          <w:tcPr>
            <w:tcW w:w="2630" w:type="dxa"/>
            <w:tcBorders>
              <w:top w:val="single" w:sz="4" w:space="0" w:color="auto"/>
              <w:left w:val="single" w:sz="4" w:space="0" w:color="auto"/>
              <w:bottom w:val="single" w:sz="4" w:space="0" w:color="auto"/>
              <w:right w:val="single" w:sz="4" w:space="0" w:color="auto"/>
            </w:tcBorders>
          </w:tcPr>
          <w:p w14:paraId="28421EEC" w14:textId="77777777" w:rsidR="00AA7FB5" w:rsidRPr="00FF0B99" w:rsidRDefault="00AA7FB5" w:rsidP="00075097">
            <w:pPr>
              <w:rPr>
                <w:rFonts w:cs="Times New Roman"/>
                <w:sz w:val="20"/>
                <w:szCs w:val="20"/>
              </w:rPr>
            </w:pPr>
            <w:r w:rsidRPr="00FF0B99">
              <w:rPr>
                <w:rFonts w:cs="Times New Roman"/>
                <w:sz w:val="20"/>
                <w:szCs w:val="20"/>
                <w:lang w:val="sk"/>
              </w:rPr>
              <w:lastRenderedPageBreak/>
              <w:t>zvýšená hladina močoviny v krvi, zvýšená hladina kreatinínu v krvi</w:t>
            </w:r>
          </w:p>
        </w:tc>
      </w:tr>
      <w:tr w:rsidR="00AA7FB5" w:rsidRPr="0099776C" w14:paraId="4069693C" w14:textId="77777777" w:rsidTr="00F441B5">
        <w:trPr>
          <w:jc w:val="center"/>
        </w:trPr>
        <w:tc>
          <w:tcPr>
            <w:tcW w:w="2068" w:type="dxa"/>
            <w:vMerge/>
            <w:tcBorders>
              <w:left w:val="single" w:sz="4" w:space="0" w:color="auto"/>
              <w:right w:val="single" w:sz="4" w:space="0" w:color="auto"/>
            </w:tcBorders>
          </w:tcPr>
          <w:p w14:paraId="6E204D44"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684124CF"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262E03D3" w14:textId="77777777" w:rsidR="00AA7FB5" w:rsidRPr="00FF0B99" w:rsidRDefault="00AA7FB5" w:rsidP="00075097">
            <w:pPr>
              <w:rPr>
                <w:rFonts w:cs="Times New Roman"/>
                <w:sz w:val="20"/>
                <w:szCs w:val="20"/>
              </w:rPr>
            </w:pPr>
            <w:r w:rsidRPr="00FF0B99">
              <w:rPr>
                <w:rFonts w:cs="Times New Roman"/>
                <w:sz w:val="20"/>
                <w:szCs w:val="20"/>
                <w:lang w:val="sk"/>
              </w:rPr>
              <w:t>zvýšená hladina bilirubínu v krvi</w:t>
            </w:r>
          </w:p>
        </w:tc>
        <w:tc>
          <w:tcPr>
            <w:tcW w:w="2630" w:type="dxa"/>
            <w:tcBorders>
              <w:top w:val="single" w:sz="4" w:space="0" w:color="auto"/>
              <w:left w:val="single" w:sz="4" w:space="0" w:color="auto"/>
              <w:bottom w:val="single" w:sz="4" w:space="0" w:color="auto"/>
              <w:right w:val="single" w:sz="4" w:space="0" w:color="auto"/>
            </w:tcBorders>
          </w:tcPr>
          <w:p w14:paraId="4E557B56"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69070D" w14:paraId="767241BD" w14:textId="77777777" w:rsidTr="00F441B5">
        <w:trPr>
          <w:jc w:val="center"/>
        </w:trPr>
        <w:tc>
          <w:tcPr>
            <w:tcW w:w="2068" w:type="dxa"/>
            <w:vMerge/>
            <w:tcBorders>
              <w:left w:val="single" w:sz="4" w:space="0" w:color="auto"/>
              <w:bottom w:val="single" w:sz="4" w:space="0" w:color="auto"/>
              <w:right w:val="single" w:sz="4" w:space="0" w:color="auto"/>
            </w:tcBorders>
          </w:tcPr>
          <w:p w14:paraId="26F6F838"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6B9D3284"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tc>
        <w:tc>
          <w:tcPr>
            <w:tcW w:w="2857" w:type="dxa"/>
            <w:tcBorders>
              <w:top w:val="single" w:sz="4" w:space="0" w:color="auto"/>
              <w:left w:val="single" w:sz="4" w:space="0" w:color="auto"/>
              <w:bottom w:val="single" w:sz="4" w:space="0" w:color="auto"/>
              <w:right w:val="single" w:sz="4" w:space="0" w:color="auto"/>
            </w:tcBorders>
          </w:tcPr>
          <w:p w14:paraId="08A7D84F"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bottom w:val="single" w:sz="4" w:space="0" w:color="auto"/>
              <w:right w:val="single" w:sz="4" w:space="0" w:color="auto"/>
            </w:tcBorders>
          </w:tcPr>
          <w:p w14:paraId="2A2206F9" w14:textId="77777777" w:rsidR="00AA7FB5" w:rsidRPr="00FF0B99" w:rsidRDefault="00AA7FB5" w:rsidP="00075097">
            <w:pPr>
              <w:rPr>
                <w:rFonts w:cs="Times New Roman"/>
                <w:sz w:val="20"/>
                <w:szCs w:val="20"/>
              </w:rPr>
            </w:pPr>
            <w:r w:rsidRPr="00FF0B99">
              <w:rPr>
                <w:rFonts w:cs="Times New Roman"/>
                <w:sz w:val="20"/>
                <w:szCs w:val="20"/>
                <w:lang w:val="sk"/>
              </w:rPr>
              <w:t>znížený počet krvných doštičiek, znížený počet erytrocytov, znížený počet leukocytov</w:t>
            </w:r>
          </w:p>
        </w:tc>
      </w:tr>
    </w:tbl>
    <w:p w14:paraId="1850F436" w14:textId="77777777" w:rsidR="00190696" w:rsidRPr="0069070D" w:rsidRDefault="00190696" w:rsidP="00075097">
      <w:pPr>
        <w:rPr>
          <w:rFonts w:cs="Times New Roman"/>
          <w:b/>
        </w:rPr>
      </w:pPr>
    </w:p>
    <w:p w14:paraId="74B57B87" w14:textId="77777777" w:rsidR="007C2E7C" w:rsidRPr="00FF0B99" w:rsidRDefault="007C2E7C" w:rsidP="00075097">
      <w:pPr>
        <w:rPr>
          <w:rFonts w:cs="Times New Roman"/>
          <w:u w:val="single"/>
          <w:lang w:val="sk-SK"/>
        </w:rPr>
      </w:pPr>
      <w:r w:rsidRPr="00FF0B99">
        <w:rPr>
          <w:rFonts w:cs="Times New Roman"/>
          <w:u w:val="single"/>
          <w:lang w:val="sk-SK"/>
        </w:rPr>
        <w:t>Hlásenie podozrení na nežiaduce reakcie</w:t>
      </w:r>
    </w:p>
    <w:p w14:paraId="628CCD8E" w14:textId="4D69163A" w:rsidR="00B0229A" w:rsidRPr="00830D1C" w:rsidRDefault="00AA7FB5" w:rsidP="00B0229A">
      <w:pPr>
        <w:autoSpaceDE w:val="0"/>
        <w:autoSpaceDN w:val="0"/>
        <w:adjustRightInd w:val="0"/>
        <w:spacing w:line="240" w:lineRule="auto"/>
        <w:rPr>
          <w:noProof/>
          <w:lang w:val="sk-SK"/>
        </w:rPr>
      </w:pPr>
      <w:r w:rsidRPr="00FF0B99">
        <w:rPr>
          <w:rFonts w:cs="Times New Roman"/>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00B0229A" w:rsidRPr="00830D1C">
        <w:rPr>
          <w:highlight w:val="lightGray"/>
          <w:lang w:val="sk-SK"/>
        </w:rPr>
        <w:t>národn</w:t>
      </w:r>
      <w:r w:rsidR="00BD124D">
        <w:rPr>
          <w:highlight w:val="lightGray"/>
          <w:lang w:val="sk-SK"/>
        </w:rPr>
        <w:t>é</w:t>
      </w:r>
      <w:r w:rsidR="00B0229A" w:rsidRPr="00830D1C">
        <w:rPr>
          <w:highlight w:val="lightGray"/>
          <w:lang w:val="sk-SK"/>
        </w:rPr>
        <w:t xml:space="preserve"> </w:t>
      </w:r>
      <w:r w:rsidR="00BD124D">
        <w:rPr>
          <w:highlight w:val="lightGray"/>
          <w:lang w:val="sk-SK"/>
        </w:rPr>
        <w:t>centrum</w:t>
      </w:r>
      <w:r w:rsidR="00B0229A" w:rsidRPr="00830D1C">
        <w:rPr>
          <w:highlight w:val="lightGray"/>
          <w:lang w:val="sk-SK"/>
        </w:rPr>
        <w:t xml:space="preserve"> hlásenia uveden</w:t>
      </w:r>
      <w:r w:rsidR="00BD124D">
        <w:rPr>
          <w:highlight w:val="lightGray"/>
          <w:lang w:val="sk-SK"/>
        </w:rPr>
        <w:t>é</w:t>
      </w:r>
      <w:r w:rsidR="00B0229A" w:rsidRPr="00830D1C">
        <w:rPr>
          <w:highlight w:val="lightGray"/>
          <w:lang w:val="sk-SK"/>
        </w:rPr>
        <w:t xml:space="preserve"> v </w:t>
      </w:r>
      <w:hyperlink r:id="rId8">
        <w:r w:rsidR="00B0229A" w:rsidRPr="00830D1C">
          <w:rPr>
            <w:rStyle w:val="Hypertextovprepojenie"/>
            <w:highlight w:val="lightGray"/>
            <w:lang w:val="sk-SK"/>
          </w:rPr>
          <w:t>Prílohe V</w:t>
        </w:r>
      </w:hyperlink>
      <w:r w:rsidR="00B0229A" w:rsidRPr="00830D1C">
        <w:rPr>
          <w:color w:val="008000"/>
          <w:lang w:val="sk-SK"/>
        </w:rPr>
        <w:t>.</w:t>
      </w:r>
    </w:p>
    <w:p w14:paraId="104F2A79" w14:textId="77777777" w:rsidR="00FA0DA2" w:rsidRPr="00B0671E" w:rsidRDefault="00FA0DA2" w:rsidP="00075097">
      <w:pPr>
        <w:rPr>
          <w:rFonts w:eastAsia="Calibri" w:cs="Times New Roman"/>
          <w:lang w:val="sk-SK"/>
        </w:rPr>
      </w:pPr>
    </w:p>
    <w:p w14:paraId="481D131F" w14:textId="77777777" w:rsidR="00190696" w:rsidRPr="00B0671E" w:rsidRDefault="00DB4904" w:rsidP="00075097">
      <w:pPr>
        <w:rPr>
          <w:rFonts w:cs="Times New Roman"/>
          <w:b/>
          <w:lang w:val="sk-SK"/>
        </w:rPr>
      </w:pPr>
      <w:r w:rsidRPr="00B0671E">
        <w:rPr>
          <w:rFonts w:cs="Times New Roman"/>
          <w:b/>
          <w:bCs/>
          <w:lang w:val="sk-SK"/>
        </w:rPr>
        <w:t>4.9</w:t>
      </w:r>
      <w:r w:rsidRPr="00B0671E">
        <w:rPr>
          <w:rFonts w:cs="Times New Roman"/>
          <w:b/>
          <w:bCs/>
          <w:lang w:val="sk-SK"/>
        </w:rPr>
        <w:tab/>
        <w:t>Predávkovanie</w:t>
      </w:r>
    </w:p>
    <w:p w14:paraId="1E735873" w14:textId="77777777" w:rsidR="00DB4904" w:rsidRPr="00B0671E" w:rsidRDefault="00DB4904" w:rsidP="00075097">
      <w:pPr>
        <w:rPr>
          <w:rFonts w:cs="Times New Roman"/>
          <w:b/>
          <w:lang w:val="sk-SK"/>
        </w:rPr>
      </w:pPr>
    </w:p>
    <w:p w14:paraId="4A14E4B5" w14:textId="77777777" w:rsidR="000907CA" w:rsidRPr="00B0671E" w:rsidRDefault="000907CA" w:rsidP="00075097">
      <w:pPr>
        <w:rPr>
          <w:rFonts w:cs="Times New Roman"/>
          <w:b/>
          <w:u w:val="single"/>
          <w:lang w:val="sk-SK"/>
        </w:rPr>
      </w:pPr>
      <w:r w:rsidRPr="00C10C23">
        <w:rPr>
          <w:rFonts w:cs="Times New Roman"/>
          <w:b/>
          <w:bCs/>
          <w:u w:val="single"/>
          <w:lang w:val="sk"/>
        </w:rPr>
        <w:t>Súvisiace s lizinoprilom:</w:t>
      </w:r>
    </w:p>
    <w:p w14:paraId="1E96BEAF" w14:textId="77777777" w:rsidR="000907CA" w:rsidRPr="00B0671E" w:rsidRDefault="000907CA" w:rsidP="00075097">
      <w:pPr>
        <w:rPr>
          <w:rFonts w:cs="Times New Roman"/>
          <w:lang w:val="sk-SK"/>
        </w:rPr>
      </w:pPr>
    </w:p>
    <w:p w14:paraId="181E0BA1" w14:textId="77777777" w:rsidR="000907CA" w:rsidRPr="00B0671E" w:rsidRDefault="000907CA" w:rsidP="00075097">
      <w:pPr>
        <w:rPr>
          <w:rFonts w:cs="Times New Roman"/>
          <w:i/>
          <w:lang w:val="sk-SK"/>
        </w:rPr>
      </w:pPr>
      <w:r w:rsidRPr="00C10C23">
        <w:rPr>
          <w:rFonts w:cs="Times New Roman"/>
          <w:i/>
          <w:iCs/>
          <w:lang w:val="sk"/>
        </w:rPr>
        <w:t>Príznaky a prejavy</w:t>
      </w:r>
    </w:p>
    <w:p w14:paraId="53B0E0FA" w14:textId="77777777" w:rsidR="000907CA" w:rsidRPr="00C10C23" w:rsidRDefault="000907CA" w:rsidP="00075097">
      <w:pPr>
        <w:rPr>
          <w:rFonts w:cs="Times New Roman"/>
          <w:lang w:val="sk"/>
        </w:rPr>
      </w:pPr>
      <w:r w:rsidRPr="00C10C23">
        <w:rPr>
          <w:rFonts w:cs="Times New Roman"/>
          <w:lang w:val="sk"/>
        </w:rPr>
        <w:t>K dispozícii sú obmedzené údaje o predávkovaní u ľudí. Príznaky súvisiace s predávkovaním inhibítormi ACE môžu zahŕňať hypotenziu, obehový šok, poruchy elektrolytov, renálne zlyhanie, hyperventiláciu, tachykardiu, palpitácie, bradykardiu, závrat, úzkosť a kašeľ.</w:t>
      </w:r>
    </w:p>
    <w:p w14:paraId="43B3A738" w14:textId="77777777" w:rsidR="000907CA" w:rsidRPr="00C10C23" w:rsidRDefault="000907CA" w:rsidP="00075097">
      <w:pPr>
        <w:rPr>
          <w:rFonts w:cs="Times New Roman"/>
          <w:lang w:val="sk"/>
        </w:rPr>
      </w:pPr>
    </w:p>
    <w:p w14:paraId="5E22E55C" w14:textId="77777777" w:rsidR="000907CA" w:rsidRPr="00C10C23" w:rsidRDefault="000907CA" w:rsidP="00075097">
      <w:pPr>
        <w:rPr>
          <w:rFonts w:cs="Times New Roman"/>
          <w:i/>
          <w:lang w:val="sk"/>
        </w:rPr>
      </w:pPr>
      <w:r w:rsidRPr="00C10C23">
        <w:rPr>
          <w:rFonts w:cs="Times New Roman"/>
          <w:i/>
          <w:iCs/>
          <w:lang w:val="sk"/>
        </w:rPr>
        <w:t>Liečba</w:t>
      </w:r>
    </w:p>
    <w:p w14:paraId="7BC5E857" w14:textId="20D42FB8" w:rsidR="000907CA" w:rsidRPr="00C10C23" w:rsidRDefault="000907CA" w:rsidP="00075097">
      <w:pPr>
        <w:rPr>
          <w:rFonts w:cs="Times New Roman"/>
          <w:lang w:val="sk"/>
        </w:rPr>
      </w:pPr>
      <w:r w:rsidRPr="00C10C23">
        <w:rPr>
          <w:rFonts w:cs="Times New Roman"/>
          <w:lang w:val="sk"/>
        </w:rPr>
        <w:t xml:space="preserve">Odporúčaná liečba predávkovania spočíva v intravenóznej infúzii bežného fyziologického roztoku. Ak sa objaví hypotenzia, pacienta </w:t>
      </w:r>
      <w:r w:rsidR="00B0229A">
        <w:rPr>
          <w:rFonts w:cs="Times New Roman"/>
          <w:lang w:val="sk"/>
        </w:rPr>
        <w:t>je potrebné</w:t>
      </w:r>
      <w:r w:rsidR="00B0229A" w:rsidRPr="00C10C23">
        <w:rPr>
          <w:rFonts w:cs="Times New Roman"/>
          <w:lang w:val="sk"/>
        </w:rPr>
        <w:t xml:space="preserve"> </w:t>
      </w:r>
      <w:r w:rsidRPr="00C10C23">
        <w:rPr>
          <w:rFonts w:cs="Times New Roman"/>
          <w:lang w:val="sk"/>
        </w:rPr>
        <w:t xml:space="preserve">uložiť do protišokovej polohy. Môže sa tiež zvážiť liečba infúziou angiotenzínu II a/alebo intravenóznymi katecholamínmi, ak sú dostupné. Ak bol liek požitý nedávno, je potrebné prijať opatrenia zamerané na elimináciu lizinoprilu (napr. eméza, </w:t>
      </w:r>
      <w:r w:rsidR="00B0229A">
        <w:rPr>
          <w:rFonts w:cs="Times New Roman"/>
          <w:lang w:val="sk"/>
        </w:rPr>
        <w:t>gastrická laváž</w:t>
      </w:r>
      <w:r w:rsidRPr="00C10C23">
        <w:rPr>
          <w:rFonts w:cs="Times New Roman"/>
          <w:lang w:val="sk"/>
        </w:rPr>
        <w:t>, podanie a</w:t>
      </w:r>
      <w:r w:rsidR="00B0229A">
        <w:rPr>
          <w:rFonts w:cs="Times New Roman"/>
          <w:lang w:val="sk"/>
        </w:rPr>
        <w:t>d</w:t>
      </w:r>
      <w:r w:rsidRPr="00C10C23">
        <w:rPr>
          <w:rFonts w:cs="Times New Roman"/>
          <w:lang w:val="sk"/>
        </w:rPr>
        <w:t>sorbentov a síranu sodného). Lizinopril možno odstrániť zo systémového obehu hemodialýzou (pozri časť 4.4). Kardiostimulačná liečba je indikovaná v prípade bradykardie nereagujúcej na liečbu. Je potrebné často sledovať vitálne funkcie, sérové elektrolyty a koncentrácie kreatinínu.</w:t>
      </w:r>
    </w:p>
    <w:p w14:paraId="726F3D5A" w14:textId="77777777" w:rsidR="000907CA" w:rsidRPr="00C10C23" w:rsidRDefault="000907CA" w:rsidP="00075097">
      <w:pPr>
        <w:rPr>
          <w:rFonts w:cs="Times New Roman"/>
          <w:lang w:val="sk"/>
        </w:rPr>
      </w:pPr>
    </w:p>
    <w:p w14:paraId="30918754" w14:textId="77777777" w:rsidR="000907CA" w:rsidRPr="00C10C23" w:rsidRDefault="000907CA" w:rsidP="00075097">
      <w:pPr>
        <w:rPr>
          <w:rFonts w:cs="Times New Roman"/>
          <w:b/>
          <w:u w:val="single"/>
          <w:lang w:val="sk"/>
        </w:rPr>
      </w:pPr>
      <w:r w:rsidRPr="00C10C23">
        <w:rPr>
          <w:rFonts w:cs="Times New Roman"/>
          <w:b/>
          <w:bCs/>
          <w:u w:val="single"/>
          <w:lang w:val="sk"/>
        </w:rPr>
        <w:t>Súvisiace s torasemidom:</w:t>
      </w:r>
    </w:p>
    <w:p w14:paraId="5A016F11" w14:textId="77777777" w:rsidR="000907CA" w:rsidRPr="00C10C23" w:rsidRDefault="000907CA" w:rsidP="00075097">
      <w:pPr>
        <w:rPr>
          <w:rFonts w:cs="Times New Roman"/>
          <w:lang w:val="sk"/>
        </w:rPr>
      </w:pPr>
    </w:p>
    <w:p w14:paraId="040EB8F2" w14:textId="77777777" w:rsidR="000907CA" w:rsidRPr="00C10C23" w:rsidRDefault="000907CA" w:rsidP="00075097">
      <w:pPr>
        <w:rPr>
          <w:rFonts w:cs="Times New Roman"/>
          <w:i/>
          <w:lang w:val="sk"/>
        </w:rPr>
      </w:pPr>
      <w:r w:rsidRPr="00C10C23">
        <w:rPr>
          <w:rFonts w:cs="Times New Roman"/>
          <w:i/>
          <w:iCs/>
          <w:lang w:val="sk"/>
        </w:rPr>
        <w:t>Príznaky a prejavy</w:t>
      </w:r>
    </w:p>
    <w:p w14:paraId="43D9C041" w14:textId="77777777" w:rsidR="000907CA" w:rsidRPr="00C10C23" w:rsidRDefault="000907CA" w:rsidP="00075097">
      <w:pPr>
        <w:rPr>
          <w:rFonts w:cs="Times New Roman"/>
          <w:lang w:val="sk"/>
        </w:rPr>
      </w:pPr>
      <w:r w:rsidRPr="00C10C23">
        <w:rPr>
          <w:rFonts w:cs="Times New Roman"/>
          <w:lang w:val="sk"/>
        </w:rPr>
        <w:t>Nie je známy žiadny typický obraz intoxikácie. Ak sa vyskytne predávkovanie, môže sa prejaviť výraznou diurézou s nebezpečenstvom straty tekutín a elektrolytov, čo môže viesť k ospalosti, zmätenosti, hypotenzii a kolapsu krvného obehu. Môžu sa vyskytnúť gastrointestinálne poruchy.</w:t>
      </w:r>
    </w:p>
    <w:p w14:paraId="13B15B20" w14:textId="77777777" w:rsidR="000907CA" w:rsidRPr="00C10C23" w:rsidRDefault="000907CA" w:rsidP="00075097">
      <w:pPr>
        <w:rPr>
          <w:rFonts w:cs="Times New Roman"/>
          <w:lang w:val="sk"/>
        </w:rPr>
      </w:pPr>
    </w:p>
    <w:p w14:paraId="1601A87A" w14:textId="77777777" w:rsidR="000907CA" w:rsidRPr="00C10C23" w:rsidRDefault="000907CA" w:rsidP="00075097">
      <w:pPr>
        <w:rPr>
          <w:rFonts w:cs="Times New Roman"/>
          <w:i/>
          <w:lang w:val="sk"/>
        </w:rPr>
      </w:pPr>
      <w:r w:rsidRPr="00C10C23">
        <w:rPr>
          <w:rFonts w:cs="Times New Roman"/>
          <w:i/>
          <w:iCs/>
          <w:lang w:val="sk"/>
        </w:rPr>
        <w:t>Liečba</w:t>
      </w:r>
    </w:p>
    <w:p w14:paraId="58A91F98" w14:textId="77777777" w:rsidR="000907CA" w:rsidRPr="00C10C23" w:rsidRDefault="000907CA" w:rsidP="00075097">
      <w:pPr>
        <w:rPr>
          <w:rFonts w:cs="Times New Roman"/>
          <w:lang w:val="sk"/>
        </w:rPr>
      </w:pPr>
      <w:r w:rsidRPr="00C10C23">
        <w:rPr>
          <w:rFonts w:cs="Times New Roman"/>
          <w:lang w:val="sk"/>
        </w:rPr>
        <w:t>Nie je známe žiadne špecifické antidotum. Príznaky a prejavy predávkovania si vyžadujú zníženie dávky alebo vysadenie torasemidu a súčasné nahradenie tekutín a elektrolytov.</w:t>
      </w:r>
    </w:p>
    <w:p w14:paraId="6B2DEACD" w14:textId="77777777" w:rsidR="000907CA" w:rsidRPr="00C10C23" w:rsidRDefault="000907CA" w:rsidP="00075097">
      <w:pPr>
        <w:rPr>
          <w:rFonts w:cs="Times New Roman"/>
          <w:lang w:val="sk"/>
        </w:rPr>
      </w:pPr>
      <w:r w:rsidRPr="00C10C23">
        <w:rPr>
          <w:rFonts w:cs="Times New Roman"/>
          <w:lang w:val="sk"/>
        </w:rPr>
        <w:t>Torasemid nie je dialyzovateľný a hemodialýza preto neurýchli elimináciu.</w:t>
      </w:r>
    </w:p>
    <w:p w14:paraId="5B95997B" w14:textId="77777777" w:rsidR="000907CA" w:rsidRPr="00C10C23" w:rsidRDefault="000907CA" w:rsidP="00075097">
      <w:pPr>
        <w:rPr>
          <w:rFonts w:cs="Times New Roman"/>
          <w:lang w:val="sk"/>
        </w:rPr>
      </w:pPr>
      <w:r w:rsidRPr="00C10C23">
        <w:rPr>
          <w:rFonts w:cs="Times New Roman"/>
          <w:lang w:val="sk"/>
        </w:rPr>
        <w:t>Liečba pri hypovolémii: nahradenie objemu.</w:t>
      </w:r>
    </w:p>
    <w:p w14:paraId="152DE9D0" w14:textId="77777777" w:rsidR="000907CA" w:rsidRPr="00C10C23" w:rsidRDefault="000907CA" w:rsidP="00075097">
      <w:pPr>
        <w:rPr>
          <w:rFonts w:cs="Times New Roman"/>
          <w:lang w:val="sk"/>
        </w:rPr>
      </w:pPr>
      <w:r w:rsidRPr="00C10C23">
        <w:rPr>
          <w:rFonts w:cs="Times New Roman"/>
          <w:lang w:val="sk"/>
        </w:rPr>
        <w:t>Liečba pri hypokaliémii: nahradenie draslíka.</w:t>
      </w:r>
    </w:p>
    <w:p w14:paraId="1D6F9A25" w14:textId="77777777" w:rsidR="00190696" w:rsidRPr="0069070D" w:rsidRDefault="000907CA" w:rsidP="00075097">
      <w:pPr>
        <w:rPr>
          <w:rFonts w:cs="Times New Roman"/>
          <w:lang w:val="sk"/>
        </w:rPr>
      </w:pPr>
      <w:r w:rsidRPr="00C10C23">
        <w:rPr>
          <w:rFonts w:cs="Times New Roman"/>
          <w:lang w:val="sk"/>
        </w:rPr>
        <w:t>Liečba kolapsu krvného obehu: protišoková poloha, v prípade potreby protišoková terapia.</w:t>
      </w:r>
    </w:p>
    <w:p w14:paraId="5D793F27" w14:textId="77777777" w:rsidR="000907CA" w:rsidRDefault="000907CA" w:rsidP="00075097">
      <w:pPr>
        <w:rPr>
          <w:rFonts w:cs="Times New Roman"/>
          <w:lang w:val="sk"/>
        </w:rPr>
      </w:pPr>
    </w:p>
    <w:p w14:paraId="0F78A079" w14:textId="77777777" w:rsidR="00FF0B99" w:rsidRPr="0069070D" w:rsidRDefault="00FF0B99" w:rsidP="00075097">
      <w:pPr>
        <w:rPr>
          <w:rFonts w:cs="Times New Roman"/>
          <w:lang w:val="sk"/>
        </w:rPr>
      </w:pPr>
    </w:p>
    <w:p w14:paraId="21B10B9D" w14:textId="77777777" w:rsidR="00190696" w:rsidRPr="0069070D" w:rsidRDefault="00190696" w:rsidP="00075097">
      <w:pPr>
        <w:pStyle w:val="Odsekzoznamu"/>
        <w:numPr>
          <w:ilvl w:val="0"/>
          <w:numId w:val="3"/>
        </w:numPr>
        <w:ind w:left="0" w:firstLine="0"/>
        <w:rPr>
          <w:rFonts w:cs="Times New Roman"/>
          <w:b/>
        </w:rPr>
      </w:pPr>
      <w:r w:rsidRPr="0069070D">
        <w:rPr>
          <w:rFonts w:cs="Times New Roman"/>
          <w:b/>
          <w:bCs/>
        </w:rPr>
        <w:lastRenderedPageBreak/>
        <w:t>FARMAKOLOGICKÉ VLASTNOSTI</w:t>
      </w:r>
    </w:p>
    <w:p w14:paraId="20174EB8" w14:textId="77777777" w:rsidR="00DB4904" w:rsidRPr="0069070D" w:rsidRDefault="00DB4904" w:rsidP="00075097"/>
    <w:p w14:paraId="3933A3AA" w14:textId="77777777" w:rsidR="00190696" w:rsidRPr="0069070D" w:rsidRDefault="00DB4904" w:rsidP="00075097">
      <w:pPr>
        <w:rPr>
          <w:rFonts w:cs="Times New Roman"/>
          <w:b/>
        </w:rPr>
      </w:pPr>
      <w:r w:rsidRPr="0069070D">
        <w:rPr>
          <w:rFonts w:cs="Times New Roman"/>
          <w:b/>
          <w:bCs/>
        </w:rPr>
        <w:t xml:space="preserve">5.1 </w:t>
      </w:r>
      <w:r w:rsidRPr="0069070D">
        <w:rPr>
          <w:rFonts w:cs="Times New Roman"/>
          <w:b/>
          <w:bCs/>
        </w:rPr>
        <w:tab/>
        <w:t>Farmakodynamické vlastnosti</w:t>
      </w:r>
    </w:p>
    <w:p w14:paraId="0D1A7ACA" w14:textId="77777777" w:rsidR="00DB4904" w:rsidRPr="0069070D" w:rsidRDefault="00DB4904" w:rsidP="00075097">
      <w:pPr>
        <w:rPr>
          <w:rFonts w:cs="Times New Roman"/>
          <w:b/>
        </w:rPr>
      </w:pPr>
    </w:p>
    <w:p w14:paraId="4BE55C8B" w14:textId="77777777" w:rsidR="000907CA" w:rsidRPr="00C10C23" w:rsidRDefault="00F441B5" w:rsidP="00075097">
      <w:pPr>
        <w:rPr>
          <w:rFonts w:cs="Times New Roman"/>
        </w:rPr>
      </w:pPr>
      <w:r w:rsidRPr="0069070D">
        <w:rPr>
          <w:rFonts w:cs="Times New Roman"/>
        </w:rPr>
        <w:t xml:space="preserve">Farmakoterapeutická skupina: </w:t>
      </w:r>
      <w:r w:rsidRPr="00C10C23">
        <w:rPr>
          <w:rFonts w:cs="Times New Roman"/>
          <w:lang w:val="sk"/>
        </w:rPr>
        <w:t>inhibítory ACE a diuretiká, lizinopril a diuretiká</w:t>
      </w:r>
      <w:r w:rsidRPr="00C10C23">
        <w:rPr>
          <w:rFonts w:cs="Times New Roman"/>
        </w:rPr>
        <w:t>, ATC kód: C09BA03</w:t>
      </w:r>
    </w:p>
    <w:p w14:paraId="391C0D13" w14:textId="77777777" w:rsidR="000907CA" w:rsidRPr="00C10C23" w:rsidRDefault="000907CA" w:rsidP="00075097">
      <w:pPr>
        <w:rPr>
          <w:rFonts w:cs="Times New Roman"/>
        </w:rPr>
      </w:pPr>
    </w:p>
    <w:p w14:paraId="042E5DCF" w14:textId="71F18A61" w:rsidR="000907CA" w:rsidRPr="00C10C23" w:rsidRDefault="003864BA" w:rsidP="00075097">
      <w:pPr>
        <w:rPr>
          <w:rFonts w:cs="Times New Roman"/>
          <w:lang w:val="sk"/>
        </w:rPr>
      </w:pPr>
      <w:r w:rsidRPr="00C10C23">
        <w:rPr>
          <w:shd w:val="clear" w:color="auto" w:fill="FFFFFF"/>
          <w:lang w:val="sk"/>
        </w:rPr>
        <w:t>Lisemid</w:t>
      </w:r>
      <w:r w:rsidRPr="00C10C23">
        <w:rPr>
          <w:lang w:val="sk"/>
        </w:rPr>
        <w:t xml:space="preserve"> obsahuje dve </w:t>
      </w:r>
      <w:r w:rsidR="00100B99">
        <w:rPr>
          <w:lang w:val="sk"/>
        </w:rPr>
        <w:t>liečivá</w:t>
      </w:r>
      <w:r w:rsidR="00100B99" w:rsidRPr="00C10C23">
        <w:rPr>
          <w:lang w:val="sk"/>
        </w:rPr>
        <w:t xml:space="preserve"> </w:t>
      </w:r>
      <w:r w:rsidRPr="00C10C23">
        <w:rPr>
          <w:lang w:val="sk"/>
        </w:rPr>
        <w:t xml:space="preserve">s komplementárnymi mechanizmami na kontrolu krvného tlaku u pacientov s esenciálnou hypertenziou a príznakmi zlyhávania srdca, ako napr. edém. Lizinopril patrí do triedy inhibítorov ACE a torasemid patrí do triedy </w:t>
      </w:r>
      <w:r w:rsidR="00100B99">
        <w:rPr>
          <w:lang w:val="sk"/>
        </w:rPr>
        <w:t>kľučkovýc</w:t>
      </w:r>
      <w:r w:rsidR="00100B99" w:rsidRPr="00C10C23">
        <w:rPr>
          <w:lang w:val="sk"/>
        </w:rPr>
        <w:t xml:space="preserve">h </w:t>
      </w:r>
      <w:r w:rsidRPr="00C10C23">
        <w:rPr>
          <w:lang w:val="sk"/>
        </w:rPr>
        <w:t>diuretík. Lizinopril a torasemid sa používali samostatne a súbežne na liečbu hypertenzie a zlyhávania srdca, pričom sú ich účinky približne aditívne.</w:t>
      </w:r>
    </w:p>
    <w:p w14:paraId="01D181C1" w14:textId="77777777" w:rsidR="000907CA" w:rsidRPr="00C10C23" w:rsidRDefault="000907CA" w:rsidP="00075097">
      <w:pPr>
        <w:rPr>
          <w:rFonts w:cs="Times New Roman"/>
          <w:lang w:val="sk"/>
        </w:rPr>
      </w:pPr>
      <w:r w:rsidRPr="00C10C23">
        <w:rPr>
          <w:rFonts w:cs="Times New Roman"/>
          <w:lang w:val="sk"/>
        </w:rPr>
        <w:t>Lizinopril môže zmierniť straty draslíka súvisiace s torasemidom.</w:t>
      </w:r>
    </w:p>
    <w:p w14:paraId="5D6B7B64" w14:textId="77777777" w:rsidR="000907CA" w:rsidRPr="00C10C23" w:rsidRDefault="000907CA" w:rsidP="00075097">
      <w:pPr>
        <w:rPr>
          <w:rFonts w:cs="Times New Roman"/>
          <w:lang w:val="sk"/>
        </w:rPr>
      </w:pPr>
    </w:p>
    <w:p w14:paraId="7F698098" w14:textId="77777777" w:rsidR="000907CA" w:rsidRPr="00C10C23" w:rsidRDefault="000907CA" w:rsidP="00075097">
      <w:pPr>
        <w:rPr>
          <w:rFonts w:cs="Times New Roman"/>
          <w:b/>
          <w:u w:val="single"/>
          <w:lang w:val="sk"/>
        </w:rPr>
      </w:pPr>
      <w:r w:rsidRPr="00C10C23">
        <w:rPr>
          <w:rFonts w:cs="Times New Roman"/>
          <w:b/>
          <w:bCs/>
          <w:u w:val="single"/>
          <w:lang w:val="sk"/>
        </w:rPr>
        <w:t>Súvisiace s lizinoprilom:</w:t>
      </w:r>
    </w:p>
    <w:p w14:paraId="0D775330" w14:textId="77777777" w:rsidR="000907CA" w:rsidRPr="00C10C23" w:rsidRDefault="000907CA" w:rsidP="00075097">
      <w:pPr>
        <w:rPr>
          <w:rFonts w:cs="Times New Roman"/>
          <w:lang w:val="sk"/>
        </w:rPr>
      </w:pPr>
    </w:p>
    <w:p w14:paraId="35BF179A" w14:textId="77777777" w:rsidR="000907CA" w:rsidRPr="00C10C23" w:rsidRDefault="000907CA" w:rsidP="00075097">
      <w:pPr>
        <w:rPr>
          <w:rFonts w:cs="Times New Roman"/>
          <w:u w:val="single"/>
          <w:lang w:val="sk"/>
        </w:rPr>
      </w:pPr>
      <w:r w:rsidRPr="00C10C23">
        <w:rPr>
          <w:rFonts w:cs="Times New Roman"/>
          <w:u w:val="single"/>
          <w:lang w:val="sk"/>
        </w:rPr>
        <w:t>Mechanismus účinku</w:t>
      </w:r>
    </w:p>
    <w:p w14:paraId="7EF94D80" w14:textId="77777777" w:rsidR="000907CA" w:rsidRPr="00C10C23" w:rsidRDefault="000907CA" w:rsidP="00075097">
      <w:pPr>
        <w:rPr>
          <w:rFonts w:cs="Times New Roman"/>
          <w:lang w:val="sk"/>
        </w:rPr>
      </w:pPr>
      <w:r w:rsidRPr="00C10C23">
        <w:rPr>
          <w:rFonts w:cs="Times New Roman"/>
          <w:lang w:val="sk"/>
        </w:rPr>
        <w:t>Lizinopril je inhibítor peptidyldipeptidázy. Inhibuje enzým konvertujúci angiotenzín (ACE), ktorý katalyzuje premenu angiotenzínu I na vazokonstrikčný peptid, angiotenzín II. Angiotenzín II tiež stimuluje sekréciu aldosterónu v kôre nadobličiek. Inhibícia ACE spôsobuje znížené koncentrácie angiotenzínu II, čo vedie k zníženému vazopresívnemu účinku a zníženej sekrécii aldosterónu. Toto zníženie môže viesť k zvýšeniu sérovej koncentrácie draslíka.</w:t>
      </w:r>
    </w:p>
    <w:p w14:paraId="3D1F308B" w14:textId="77777777" w:rsidR="000907CA" w:rsidRPr="00C10C23" w:rsidRDefault="000907CA" w:rsidP="00075097">
      <w:pPr>
        <w:rPr>
          <w:rFonts w:cs="Times New Roman"/>
          <w:lang w:val="sk"/>
        </w:rPr>
      </w:pPr>
    </w:p>
    <w:p w14:paraId="709626E0" w14:textId="77777777" w:rsidR="000907CA" w:rsidRPr="00C10C23" w:rsidRDefault="000907CA" w:rsidP="00075097">
      <w:pPr>
        <w:rPr>
          <w:rFonts w:cs="Times New Roman"/>
          <w:u w:val="single"/>
          <w:lang w:val="sk"/>
        </w:rPr>
      </w:pPr>
      <w:r w:rsidRPr="00C10C23">
        <w:rPr>
          <w:rFonts w:cs="Times New Roman"/>
          <w:u w:val="single"/>
          <w:lang w:val="sk"/>
        </w:rPr>
        <w:t>Farmakodynamické účinky</w:t>
      </w:r>
    </w:p>
    <w:p w14:paraId="4B5E4C2C" w14:textId="49A2C3BB" w:rsidR="000907CA" w:rsidRPr="00C10C23" w:rsidRDefault="000907CA" w:rsidP="00075097">
      <w:pPr>
        <w:rPr>
          <w:rFonts w:cs="Times New Roman"/>
          <w:lang w:val="sk"/>
        </w:rPr>
      </w:pPr>
      <w:r w:rsidRPr="00C10C23">
        <w:rPr>
          <w:rFonts w:cs="Times New Roman"/>
          <w:lang w:val="sk"/>
        </w:rPr>
        <w:t xml:space="preserve">Podávanie lizinoprilu pacientom s kongestívnym zlyhávaním srdca znížilo </w:t>
      </w:r>
      <w:r w:rsidRPr="005A2A81">
        <w:rPr>
          <w:rFonts w:cs="Times New Roman"/>
          <w:lang w:val="sk"/>
        </w:rPr>
        <w:t>doťaženie</w:t>
      </w:r>
      <w:r w:rsidR="005A2A81" w:rsidRPr="00830D1C">
        <w:rPr>
          <w:rFonts w:cs="Times New Roman"/>
          <w:lang w:val="sk"/>
        </w:rPr>
        <w:t xml:space="preserve"> (afterload)</w:t>
      </w:r>
      <w:r w:rsidRPr="005A2A81">
        <w:rPr>
          <w:rFonts w:cs="Times New Roman"/>
          <w:lang w:val="sk"/>
        </w:rPr>
        <w:t xml:space="preserve"> a</w:t>
      </w:r>
      <w:r w:rsidR="005A2A81" w:rsidRPr="00830D1C">
        <w:rPr>
          <w:rFonts w:cs="Times New Roman"/>
          <w:lang w:val="sk"/>
        </w:rPr>
        <w:t> </w:t>
      </w:r>
      <w:r w:rsidRPr="005A2A81">
        <w:rPr>
          <w:rFonts w:cs="Times New Roman"/>
          <w:lang w:val="sk"/>
        </w:rPr>
        <w:t>pred</w:t>
      </w:r>
      <w:r w:rsidR="005A2A81" w:rsidRPr="00830D1C">
        <w:rPr>
          <w:rFonts w:cs="Times New Roman"/>
          <w:lang w:val="sk"/>
        </w:rPr>
        <w:t>ťaženie (preload)</w:t>
      </w:r>
      <w:r w:rsidRPr="005A2A81">
        <w:rPr>
          <w:rFonts w:cs="Times New Roman"/>
          <w:lang w:val="sk"/>
        </w:rPr>
        <w:t xml:space="preserve"> srdca</w:t>
      </w:r>
      <w:r w:rsidRPr="003267C2">
        <w:rPr>
          <w:rFonts w:cs="Times New Roman"/>
          <w:lang w:val="sk"/>
        </w:rPr>
        <w:t>,</w:t>
      </w:r>
      <w:r w:rsidRPr="00C10C23">
        <w:rPr>
          <w:rFonts w:cs="Times New Roman"/>
          <w:lang w:val="sk"/>
        </w:rPr>
        <w:t xml:space="preserve"> čo viedlo k zvýšeniu výdaja srdca bez reflexnej tachykardie. Okrem toho bolo pozorované zníženie systémového cievneho odporu a pľúcneho tlaku v zaklinení, ako aj redukcia príznakov zlyhávania srdca a zlepšenie tolerancie námahy.</w:t>
      </w:r>
    </w:p>
    <w:p w14:paraId="7B9D03EE" w14:textId="77777777" w:rsidR="000907CA" w:rsidRPr="00C10C23" w:rsidRDefault="000907CA" w:rsidP="00075097">
      <w:pPr>
        <w:rPr>
          <w:rFonts w:cs="Times New Roman"/>
          <w:lang w:val="sk"/>
        </w:rPr>
      </w:pPr>
    </w:p>
    <w:p w14:paraId="51ACBA65" w14:textId="77777777" w:rsidR="000907CA" w:rsidRPr="00C10C23" w:rsidRDefault="000907CA" w:rsidP="00075097">
      <w:pPr>
        <w:rPr>
          <w:rFonts w:cs="Times New Roman"/>
          <w:lang w:val="sk"/>
        </w:rPr>
      </w:pPr>
      <w:r w:rsidRPr="00C10C23">
        <w:rPr>
          <w:rFonts w:cs="Times New Roman"/>
          <w:lang w:val="sk"/>
        </w:rPr>
        <w:t>Hoci sa predpokladá, že mechanizmom, ktorým lizinopril znižuje krvný tlak, je hlavne supresia renín-angiotenzín-aldosterónového systému, lizinopril je antihypertenzívny aj u hypertenzívnych pacientov s nízkou hladinou renínu. ACE je identický s kininázou II, enzýmom, ktorý rozkladá bradykinín. Či majú zvýšené hladiny bradykinínu, silného vazodilatačného peptidu, úlohu pri terapeutických účinkoch lizinoprilu, stále nie je objasnené.</w:t>
      </w:r>
    </w:p>
    <w:p w14:paraId="6A77951F" w14:textId="77777777" w:rsidR="000907CA" w:rsidRPr="00C10C23" w:rsidRDefault="000907CA" w:rsidP="00075097">
      <w:pPr>
        <w:rPr>
          <w:rFonts w:cs="Times New Roman"/>
          <w:lang w:val="sk"/>
        </w:rPr>
      </w:pPr>
    </w:p>
    <w:p w14:paraId="08A0BDB3" w14:textId="77777777" w:rsidR="000907CA" w:rsidRPr="00C10C23" w:rsidRDefault="000907CA" w:rsidP="00075097">
      <w:pPr>
        <w:rPr>
          <w:rFonts w:cs="Times New Roman"/>
          <w:lang w:val="sk"/>
        </w:rPr>
      </w:pPr>
      <w:r w:rsidRPr="00C10C23">
        <w:rPr>
          <w:rFonts w:cs="Times New Roman"/>
          <w:lang w:val="sk"/>
        </w:rPr>
        <w:t>Hemodynamické štúdie uskutočnené u pacientov s esenciálnou hypertenziou preukázali, že zníženie krvného tlaku bolo spôsobené znížením odporu prietoku krvi v periférnych tepnách, čo bolo niekedy sprevádzané malou zmenou v ejekčnom objeme a srdcovej frekvencii. V klinickej štúdii zahŕňajúcej pacientov s hypertenziou, ktorí boli liečení lizinoprilom, bolo pozorované zvýšenie renálneho prietoku krvi bez zmien glomerulárnej filtrácie.</w:t>
      </w:r>
    </w:p>
    <w:p w14:paraId="199A4409" w14:textId="77777777" w:rsidR="000907CA" w:rsidRPr="00C10C23" w:rsidRDefault="000907CA" w:rsidP="00075097">
      <w:pPr>
        <w:rPr>
          <w:rFonts w:cs="Times New Roman"/>
          <w:lang w:val="sk"/>
        </w:rPr>
      </w:pPr>
    </w:p>
    <w:p w14:paraId="4E30D619" w14:textId="77777777" w:rsidR="000907CA" w:rsidRPr="00C10C23" w:rsidRDefault="000907CA" w:rsidP="00075097">
      <w:pPr>
        <w:rPr>
          <w:rFonts w:cs="Times New Roman"/>
          <w:u w:val="single"/>
          <w:lang w:val="sk"/>
        </w:rPr>
      </w:pPr>
      <w:r w:rsidRPr="00C10C23">
        <w:rPr>
          <w:rFonts w:cs="Times New Roman"/>
          <w:u w:val="single"/>
          <w:lang w:val="sk"/>
        </w:rPr>
        <w:t xml:space="preserve">Klinická účinnosť a bezpečnosť </w:t>
      </w:r>
    </w:p>
    <w:p w14:paraId="42926C33" w14:textId="03B42687" w:rsidR="000907CA" w:rsidRPr="00C10C23" w:rsidRDefault="000907CA" w:rsidP="00075097">
      <w:pPr>
        <w:rPr>
          <w:rFonts w:cs="Times New Roman"/>
          <w:lang w:val="sk"/>
        </w:rPr>
      </w:pPr>
      <w:r w:rsidRPr="00C10C23">
        <w:rPr>
          <w:rFonts w:cs="Times New Roman"/>
          <w:lang w:val="sk"/>
        </w:rPr>
        <w:t>U väčšiny pacientov, ktorí sa zúčastnili  klinických skúš</w:t>
      </w:r>
      <w:r w:rsidR="00482FD4">
        <w:rPr>
          <w:rFonts w:cs="Times New Roman"/>
          <w:lang w:val="sk"/>
        </w:rPr>
        <w:t>aní</w:t>
      </w:r>
      <w:r w:rsidRPr="00C10C23">
        <w:rPr>
          <w:rFonts w:cs="Times New Roman"/>
          <w:lang w:val="sk"/>
        </w:rPr>
        <w:t xml:space="preserve">, sa nástup antihypertenzívneho účinku začal 1 až 2 hodiny po podaní jednej perorálnej dávky lizinoprilu; maximálne zníženie krvného tlaku bolo pozorované po 6 hodinách. U niektorých pacientov možno pozorovať predpokladané zníženie krvného tlaku 2 týždne po liečbe. Liek podávaný v odporúčaných dávkach jedenkrát denne má antihypertenzívny účinok počas 24 hodín. </w:t>
      </w:r>
    </w:p>
    <w:p w14:paraId="064DC8AE" w14:textId="77777777" w:rsidR="000907CA" w:rsidRPr="00C10C23" w:rsidRDefault="000907CA" w:rsidP="00075097">
      <w:pPr>
        <w:rPr>
          <w:rFonts w:cs="Times New Roman"/>
          <w:lang w:val="sk"/>
        </w:rPr>
      </w:pPr>
    </w:p>
    <w:p w14:paraId="7118811E" w14:textId="3136A884" w:rsidR="000907CA" w:rsidRPr="00C10C23" w:rsidRDefault="000907CA" w:rsidP="00075097">
      <w:pPr>
        <w:rPr>
          <w:rFonts w:cs="Times New Roman"/>
          <w:lang w:val="sk"/>
        </w:rPr>
      </w:pPr>
      <w:r w:rsidRPr="00C10C23">
        <w:rPr>
          <w:rFonts w:cs="Times New Roman"/>
          <w:lang w:val="sk"/>
        </w:rPr>
        <w:lastRenderedPageBreak/>
        <w:t xml:space="preserve">Lizinopril je účinný aj pri dlhodobej liečbe. Náhle </w:t>
      </w:r>
      <w:r w:rsidR="00482FD4">
        <w:rPr>
          <w:rFonts w:cs="Times New Roman"/>
          <w:lang w:val="sk"/>
        </w:rPr>
        <w:t xml:space="preserve">ukončenie </w:t>
      </w:r>
      <w:r w:rsidRPr="00C10C23">
        <w:rPr>
          <w:rFonts w:cs="Times New Roman"/>
          <w:lang w:val="sk"/>
        </w:rPr>
        <w:t>liečby neviedlo k prudkému zvýšeniu krvného tlaku a výraznému zvýšeniu tlaku nad hodnoty prítomné pred liečbou.</w:t>
      </w:r>
    </w:p>
    <w:p w14:paraId="541E47CB" w14:textId="77777777" w:rsidR="000907CA" w:rsidRPr="00C10C23" w:rsidRDefault="000907CA" w:rsidP="00075097">
      <w:pPr>
        <w:rPr>
          <w:rFonts w:cs="Times New Roman"/>
          <w:lang w:val="sk"/>
        </w:rPr>
      </w:pPr>
    </w:p>
    <w:p w14:paraId="28B5262B" w14:textId="353D1AC2" w:rsidR="000907CA" w:rsidRPr="00C10C23" w:rsidRDefault="000907CA" w:rsidP="00075097">
      <w:pPr>
        <w:rPr>
          <w:rFonts w:cs="Times New Roman"/>
          <w:lang w:val="sk"/>
        </w:rPr>
      </w:pPr>
      <w:r w:rsidRPr="00C10C23">
        <w:rPr>
          <w:rFonts w:cs="Times New Roman"/>
          <w:lang w:val="sk"/>
        </w:rPr>
        <w:t>Lizinopril podávaný v denných dávkach 20 – 80 mg bol rovnako účinný u starších pacientov s hypertenziou (vo veku 65 rokov a viac) ako u</w:t>
      </w:r>
      <w:r w:rsidR="00482FD4">
        <w:rPr>
          <w:rFonts w:cs="Times New Roman"/>
          <w:lang w:val="sk"/>
        </w:rPr>
        <w:t xml:space="preserve"> mladších </w:t>
      </w:r>
      <w:r w:rsidRPr="00C10C23">
        <w:rPr>
          <w:rFonts w:cs="Times New Roman"/>
          <w:lang w:val="sk"/>
        </w:rPr>
        <w:t>pacientov. V klinických skúš</w:t>
      </w:r>
      <w:r w:rsidR="00482FD4">
        <w:rPr>
          <w:rFonts w:cs="Times New Roman"/>
          <w:lang w:val="sk"/>
        </w:rPr>
        <w:t>aniach</w:t>
      </w:r>
      <w:r w:rsidRPr="00C10C23">
        <w:rPr>
          <w:rFonts w:cs="Times New Roman"/>
          <w:lang w:val="sk"/>
        </w:rPr>
        <w:t xml:space="preserve"> vek pacientov neovplyvnil bezpečnosť použitia lieku </w:t>
      </w:r>
      <w:r w:rsidR="00482FD4">
        <w:rPr>
          <w:rFonts w:cs="Times New Roman"/>
          <w:lang w:val="sk"/>
        </w:rPr>
        <w:t>v</w:t>
      </w:r>
      <w:r w:rsidRPr="00C10C23">
        <w:rPr>
          <w:rFonts w:cs="Times New Roman"/>
          <w:lang w:val="sk"/>
        </w:rPr>
        <w:t xml:space="preserve"> liečbe.</w:t>
      </w:r>
    </w:p>
    <w:p w14:paraId="4885F6EB" w14:textId="77777777" w:rsidR="000907CA" w:rsidRPr="00C10C23" w:rsidRDefault="000907CA" w:rsidP="00075097">
      <w:pPr>
        <w:rPr>
          <w:rFonts w:cs="Times New Roman"/>
          <w:lang w:val="sk"/>
        </w:rPr>
      </w:pPr>
    </w:p>
    <w:p w14:paraId="565E7128" w14:textId="0438601E" w:rsidR="000907CA" w:rsidRPr="00C10C23" w:rsidRDefault="000907CA" w:rsidP="00075097">
      <w:pPr>
        <w:rPr>
          <w:rFonts w:cs="Times New Roman"/>
          <w:i/>
          <w:lang w:val="sk"/>
        </w:rPr>
      </w:pPr>
      <w:r w:rsidRPr="00C10C23">
        <w:rPr>
          <w:rFonts w:cs="Times New Roman"/>
          <w:i/>
          <w:iCs/>
          <w:lang w:val="sk"/>
        </w:rPr>
        <w:t xml:space="preserve">Lieky pôsobiace na </w:t>
      </w:r>
      <w:r w:rsidR="00482FD4">
        <w:rPr>
          <w:rFonts w:cs="Times New Roman"/>
          <w:i/>
          <w:iCs/>
          <w:lang w:val="sk"/>
        </w:rPr>
        <w:t xml:space="preserve">systém </w:t>
      </w:r>
      <w:r w:rsidRPr="00C10C23">
        <w:rPr>
          <w:rFonts w:cs="Times New Roman"/>
          <w:i/>
          <w:iCs/>
          <w:lang w:val="sk"/>
        </w:rPr>
        <w:t>renín-angiotenzín (RAS)</w:t>
      </w:r>
    </w:p>
    <w:p w14:paraId="0027F8EE" w14:textId="01CC17FF" w:rsidR="000907CA" w:rsidRPr="00C10C23" w:rsidRDefault="000907CA" w:rsidP="00075097">
      <w:pPr>
        <w:rPr>
          <w:rFonts w:cs="Times New Roman"/>
          <w:lang w:val="sk"/>
        </w:rPr>
      </w:pPr>
      <w:r w:rsidRPr="00C10C23">
        <w:rPr>
          <w:rFonts w:cs="Times New Roman"/>
          <w:lang w:val="sk"/>
        </w:rPr>
        <w:t xml:space="preserve">V dvoch veľkých randomizovaných kontrolovaných štúdiách (ONTARGET (ONgoing Telmisartan Alone and in combination with Ramipril Global Endpoint Trial) a VA NEPHRON-D (The Veterans Affairs Nephropathy in Diabetes)) sa skúmalo použitie kombinácie inhibítora ACE s blokátorom receptora angiotenzínu II. Štúdia ONTARGET sa realizovala u pacientov s anamnézou kardiovaskulárneho alebo cerebrovaskulárneho ochorenia alebo ochorenia </w:t>
      </w:r>
      <w:r w:rsidRPr="00830D1C">
        <w:rPr>
          <w:rFonts w:cs="Times New Roman"/>
          <w:i/>
          <w:lang w:val="sk"/>
        </w:rPr>
        <w:t>diabetes mellitus</w:t>
      </w:r>
      <w:r w:rsidRPr="00C10C23">
        <w:rPr>
          <w:rFonts w:cs="Times New Roman"/>
          <w:lang w:val="sk"/>
        </w:rPr>
        <w:t xml:space="preserve"> 2. typu sprevádzaného preukázaným poškoden</w:t>
      </w:r>
      <w:r w:rsidR="00482FD4">
        <w:rPr>
          <w:rFonts w:cs="Times New Roman"/>
          <w:lang w:val="sk"/>
        </w:rPr>
        <w:t>í</w:t>
      </w:r>
      <w:r w:rsidRPr="00C10C23">
        <w:rPr>
          <w:rFonts w:cs="Times New Roman"/>
          <w:lang w:val="sk"/>
        </w:rPr>
        <w:t xml:space="preserve">m koncového orgánu. Štúdia VA NEPHRON-D sa realizovala u pacientov s ochorením </w:t>
      </w:r>
      <w:r w:rsidRPr="00830D1C">
        <w:rPr>
          <w:rFonts w:cs="Times New Roman"/>
          <w:i/>
          <w:lang w:val="sk"/>
        </w:rPr>
        <w:t>diabetes mellitus</w:t>
      </w:r>
      <w:r w:rsidRPr="00C10C23">
        <w:rPr>
          <w:rFonts w:cs="Times New Roman"/>
          <w:lang w:val="sk"/>
        </w:rPr>
        <w:t xml:space="preserve"> 2. typu a diabetickou nefropatiou.</w:t>
      </w:r>
    </w:p>
    <w:p w14:paraId="18857D6F" w14:textId="77777777" w:rsidR="000907CA" w:rsidRPr="00C10C23" w:rsidRDefault="000907CA" w:rsidP="00075097">
      <w:pPr>
        <w:rPr>
          <w:rFonts w:cs="Times New Roman"/>
          <w:lang w:val="sk"/>
        </w:rPr>
      </w:pPr>
      <w:r w:rsidRPr="00C10C23">
        <w:rPr>
          <w:rFonts w:cs="Times New Roman"/>
          <w:lang w:val="sk"/>
        </w:rPr>
        <w:t xml:space="preserve">Tieto štúdie nepreukázali výrazný pozitívny účinok na renálne a/alebo kardiovaskulárne výsledky a mortalitu, zatiaľ čo bolo pozorované zvýšené riziko hyperkaliémie, akútneho poškodenia obličiek a/alebo hypotenzie v porovnaní s monoterapiou. Vzhľadom na podobné farmakodynamické vlastnosti sú tieto výsledky relevantné aj pre iné inhibítory ACE a blokátory receptorov angiotenzínu II. </w:t>
      </w:r>
    </w:p>
    <w:p w14:paraId="5429BCED" w14:textId="0DC154DA" w:rsidR="000907CA" w:rsidRPr="00C10C23" w:rsidRDefault="000907CA" w:rsidP="00075097">
      <w:pPr>
        <w:rPr>
          <w:rFonts w:cs="Times New Roman"/>
          <w:lang w:val="sk"/>
        </w:rPr>
      </w:pPr>
      <w:r w:rsidRPr="00C10C23">
        <w:rPr>
          <w:rFonts w:cs="Times New Roman"/>
          <w:lang w:val="sk"/>
        </w:rPr>
        <w:t xml:space="preserve">Inhibítory ACE a blokátory receptorov angiotenzínu II sa nemajú používať </w:t>
      </w:r>
      <w:r w:rsidR="00482FD4">
        <w:rPr>
          <w:rFonts w:cs="Times New Roman"/>
          <w:lang w:val="sk"/>
        </w:rPr>
        <w:t>súbežne</w:t>
      </w:r>
      <w:r w:rsidR="00482FD4" w:rsidRPr="00C10C23">
        <w:rPr>
          <w:rFonts w:cs="Times New Roman"/>
          <w:lang w:val="sk"/>
        </w:rPr>
        <w:t xml:space="preserve"> </w:t>
      </w:r>
      <w:r w:rsidRPr="00C10C23">
        <w:rPr>
          <w:rFonts w:cs="Times New Roman"/>
          <w:lang w:val="sk"/>
        </w:rPr>
        <w:t>u pacientov s diabetickou nefropatiou.</w:t>
      </w:r>
    </w:p>
    <w:p w14:paraId="6041C1BE" w14:textId="77777777" w:rsidR="000907CA" w:rsidRPr="00C10C23" w:rsidRDefault="000907CA" w:rsidP="00075097">
      <w:pPr>
        <w:rPr>
          <w:rFonts w:cs="Times New Roman"/>
          <w:lang w:val="sk"/>
        </w:rPr>
      </w:pPr>
    </w:p>
    <w:p w14:paraId="55B28CC9" w14:textId="4CE0E00D" w:rsidR="000907CA" w:rsidRPr="00C10C23" w:rsidRDefault="000907CA" w:rsidP="00075097">
      <w:pPr>
        <w:rPr>
          <w:rFonts w:cs="Times New Roman"/>
          <w:lang w:val="sk"/>
        </w:rPr>
      </w:pPr>
      <w:r w:rsidRPr="00C10C23">
        <w:rPr>
          <w:rFonts w:cs="Times New Roman"/>
          <w:lang w:val="sk"/>
        </w:rPr>
        <w:t xml:space="preserve">V štúdii ALTITUDE (Aliskiren Trial in Type 2 Diabetes Using Cardiovascular and Renal Disease Endpoints) sa skúmal prínos pridania aliskirénu k štandardnej liečbe inhibítorom ACE alebo blokátorom receptorov angiotenzínu II u pacientov s ochorením </w:t>
      </w:r>
      <w:r w:rsidRPr="00830D1C">
        <w:rPr>
          <w:rFonts w:cs="Times New Roman"/>
          <w:i/>
          <w:lang w:val="sk"/>
        </w:rPr>
        <w:t>diabetes mellitus</w:t>
      </w:r>
      <w:r w:rsidRPr="00C10C23">
        <w:rPr>
          <w:rFonts w:cs="Times New Roman"/>
          <w:lang w:val="sk"/>
        </w:rPr>
        <w:t xml:space="preserve"> 2. typu a chronickým ochorením obličiek, kardiovaskulárnym ochorením alebo oboma ochoreniami. Štúdia bola ukončená predčasne z dôvodu zvýšeného rizika nežiaducich výsledkov. Úmrtie z kardiovaskulárnych príčin a mŕtvica sa numericky vyskytli častejšie v skupine liečenej aliskirénom v porovnaní so skupinou, ktorej bolo podávané placebo, a sledované vážne i menej vážne nežiaduce </w:t>
      </w:r>
      <w:r w:rsidR="00482FD4">
        <w:rPr>
          <w:rFonts w:cs="Times New Roman"/>
          <w:lang w:val="sk"/>
        </w:rPr>
        <w:t xml:space="preserve">udalosti </w:t>
      </w:r>
      <w:r w:rsidRPr="00C10C23">
        <w:rPr>
          <w:rFonts w:cs="Times New Roman"/>
          <w:lang w:val="sk"/>
        </w:rPr>
        <w:t xml:space="preserve">(hyperkaliémia, hypotenzia a renálna dysfunkcia) boli častejšie hlásené v skupine s aliskirénom ako v skupine s placebom. </w:t>
      </w:r>
    </w:p>
    <w:p w14:paraId="3DCFD10A" w14:textId="77777777" w:rsidR="000907CA" w:rsidRPr="00C10C23" w:rsidRDefault="000907CA" w:rsidP="00075097">
      <w:pPr>
        <w:rPr>
          <w:rFonts w:cs="Times New Roman"/>
          <w:lang w:val="sk"/>
        </w:rPr>
      </w:pPr>
    </w:p>
    <w:p w14:paraId="68933430" w14:textId="77777777" w:rsidR="000907CA" w:rsidRPr="00C10C23" w:rsidRDefault="000907CA" w:rsidP="00075097">
      <w:pPr>
        <w:rPr>
          <w:rFonts w:cs="Times New Roman"/>
          <w:b/>
          <w:u w:val="single"/>
          <w:lang w:val="sk"/>
        </w:rPr>
      </w:pPr>
      <w:r w:rsidRPr="00C10C23">
        <w:rPr>
          <w:rFonts w:cs="Times New Roman"/>
          <w:b/>
          <w:bCs/>
          <w:u w:val="single"/>
          <w:lang w:val="sk"/>
        </w:rPr>
        <w:t>Súvisiace s torasemidom:</w:t>
      </w:r>
    </w:p>
    <w:p w14:paraId="7246012E" w14:textId="77777777" w:rsidR="000907CA" w:rsidRPr="00C10C23" w:rsidRDefault="000907CA" w:rsidP="00075097">
      <w:pPr>
        <w:rPr>
          <w:rFonts w:cs="Times New Roman"/>
          <w:lang w:val="sk"/>
        </w:rPr>
      </w:pPr>
    </w:p>
    <w:p w14:paraId="02A8498F" w14:textId="77777777" w:rsidR="000907CA" w:rsidRPr="00C10C23" w:rsidRDefault="000907CA" w:rsidP="00075097">
      <w:pPr>
        <w:rPr>
          <w:rFonts w:cs="Times New Roman"/>
          <w:u w:val="single"/>
          <w:lang w:val="sk"/>
        </w:rPr>
      </w:pPr>
      <w:r w:rsidRPr="00C10C23">
        <w:rPr>
          <w:rFonts w:cs="Times New Roman"/>
          <w:u w:val="single"/>
          <w:lang w:val="sk"/>
        </w:rPr>
        <w:t>Mechanismus účinku</w:t>
      </w:r>
    </w:p>
    <w:p w14:paraId="0D1AB291" w14:textId="366E0E4C" w:rsidR="000907CA" w:rsidRPr="00C10C23" w:rsidRDefault="000907CA" w:rsidP="00075097">
      <w:pPr>
        <w:rPr>
          <w:rFonts w:cs="Times New Roman"/>
          <w:lang w:val="sk"/>
        </w:rPr>
      </w:pPr>
      <w:r w:rsidRPr="00C10C23">
        <w:rPr>
          <w:rFonts w:cs="Times New Roman"/>
          <w:lang w:val="sk"/>
        </w:rPr>
        <w:t xml:space="preserve">Torasemid je </w:t>
      </w:r>
      <w:r w:rsidR="00482FD4">
        <w:rPr>
          <w:rFonts w:cs="Times New Roman"/>
          <w:lang w:val="sk"/>
        </w:rPr>
        <w:t>kľučkové</w:t>
      </w:r>
      <w:r w:rsidR="00482FD4" w:rsidRPr="00C10C23">
        <w:rPr>
          <w:rFonts w:cs="Times New Roman"/>
          <w:lang w:val="sk"/>
        </w:rPr>
        <w:t xml:space="preserve"> </w:t>
      </w:r>
      <w:r w:rsidRPr="00C10C23">
        <w:rPr>
          <w:rFonts w:cs="Times New Roman"/>
          <w:lang w:val="sk"/>
        </w:rPr>
        <w:t>diuretikum, ktoré pôsobí ako natriuretikum z</w:t>
      </w:r>
      <w:r w:rsidRPr="003267C2">
        <w:rPr>
          <w:rFonts w:cs="Times New Roman"/>
          <w:lang w:val="sk"/>
        </w:rPr>
        <w:t xml:space="preserve">vnútra </w:t>
      </w:r>
      <w:r w:rsidRPr="002C45F8">
        <w:rPr>
          <w:rFonts w:cs="Times New Roman"/>
          <w:lang w:val="sk"/>
        </w:rPr>
        <w:t>lúmenu hrubej</w:t>
      </w:r>
      <w:r w:rsidRPr="00C10C23">
        <w:rPr>
          <w:rFonts w:cs="Times New Roman"/>
          <w:lang w:val="sk"/>
        </w:rPr>
        <w:t xml:space="preserve"> ascendentnej časti Henleho </w:t>
      </w:r>
      <w:r w:rsidR="00482FD4">
        <w:rPr>
          <w:rFonts w:cs="Times New Roman"/>
          <w:lang w:val="sk"/>
        </w:rPr>
        <w:t>kľučky</w:t>
      </w:r>
      <w:r w:rsidRPr="00C10C23">
        <w:rPr>
          <w:rFonts w:cs="Times New Roman"/>
          <w:lang w:val="sk"/>
        </w:rPr>
        <w:t>, kde inhibuje nosičový systém Na</w:t>
      </w:r>
      <w:r w:rsidRPr="00830D1C">
        <w:rPr>
          <w:rFonts w:cs="Times New Roman"/>
          <w:vertAlign w:val="superscript"/>
          <w:lang w:val="sk"/>
        </w:rPr>
        <w:t>+</w:t>
      </w:r>
      <w:r w:rsidRPr="00C10C23">
        <w:rPr>
          <w:rFonts w:cs="Times New Roman"/>
          <w:lang w:val="sk"/>
        </w:rPr>
        <w:t>/K</w:t>
      </w:r>
      <w:r w:rsidRPr="00830D1C">
        <w:rPr>
          <w:rFonts w:cs="Times New Roman"/>
          <w:vertAlign w:val="superscript"/>
          <w:lang w:val="sk"/>
        </w:rPr>
        <w:t>+</w:t>
      </w:r>
      <w:r w:rsidRPr="00C10C23">
        <w:rPr>
          <w:rFonts w:cs="Times New Roman"/>
          <w:lang w:val="sk"/>
        </w:rPr>
        <w:t>/2CI</w:t>
      </w:r>
      <w:r w:rsidRPr="00830D1C">
        <w:rPr>
          <w:rFonts w:cs="Times New Roman"/>
          <w:vertAlign w:val="superscript"/>
          <w:lang w:val="sk"/>
        </w:rPr>
        <w:t>-</w:t>
      </w:r>
      <w:r w:rsidRPr="00C10C23">
        <w:rPr>
          <w:rFonts w:cs="Times New Roman"/>
          <w:lang w:val="sk"/>
        </w:rPr>
        <w:t>, čím inhibuje opätovnú absorpciu sodíka a chloridu v renálnych tubuloch.</w:t>
      </w:r>
    </w:p>
    <w:p w14:paraId="54412052" w14:textId="77777777" w:rsidR="000907CA" w:rsidRPr="00C10C23" w:rsidRDefault="000907CA" w:rsidP="00075097">
      <w:pPr>
        <w:rPr>
          <w:rFonts w:cs="Times New Roman"/>
          <w:lang w:val="sk"/>
        </w:rPr>
      </w:pPr>
      <w:r w:rsidRPr="00C10C23">
        <w:rPr>
          <w:rFonts w:cs="Times New Roman"/>
          <w:lang w:val="sk"/>
        </w:rPr>
        <w:t>Torasemid znižuje krvný tlak znížením periférneho odporu. Tento účinok je spôsobený normalizáciou narušenej rovnováhy elektrolytov, najmä v dôsledku zníženia aktivity voľných iónov Ca</w:t>
      </w:r>
      <w:r w:rsidRPr="00830D1C">
        <w:rPr>
          <w:rFonts w:cs="Times New Roman"/>
          <w:vertAlign w:val="superscript"/>
          <w:lang w:val="sk"/>
        </w:rPr>
        <w:t>2+</w:t>
      </w:r>
      <w:r w:rsidRPr="00C10C23">
        <w:rPr>
          <w:rFonts w:cs="Times New Roman"/>
          <w:lang w:val="sk"/>
        </w:rPr>
        <w:t xml:space="preserve"> v svalových stenách tepien u pacientov s hypertenziou. Tým sa pravdepodobne zníži zvýšená kontraktilita a reakcia ciev na endogénne presorické látky, napr. katecholamíny. Mechanizmus antihypertenzívneho účinku torasemidu však nie je úplne známy.</w:t>
      </w:r>
    </w:p>
    <w:p w14:paraId="6181CABC" w14:textId="77777777" w:rsidR="00DB4904" w:rsidRPr="00C10C23" w:rsidRDefault="00DB4904" w:rsidP="00075097">
      <w:pPr>
        <w:rPr>
          <w:rFonts w:cs="Times New Roman"/>
          <w:u w:val="single"/>
          <w:lang w:val="sk"/>
        </w:rPr>
      </w:pPr>
    </w:p>
    <w:p w14:paraId="4B4B80DD" w14:textId="77777777" w:rsidR="000907CA" w:rsidRPr="00C10C23" w:rsidRDefault="000907CA" w:rsidP="00075097">
      <w:pPr>
        <w:rPr>
          <w:rFonts w:cs="Times New Roman"/>
          <w:u w:val="single"/>
          <w:lang w:val="sk"/>
        </w:rPr>
      </w:pPr>
      <w:r w:rsidRPr="00C10C23">
        <w:rPr>
          <w:rFonts w:cs="Times New Roman"/>
          <w:u w:val="single"/>
          <w:lang w:val="sk"/>
        </w:rPr>
        <w:t>Farmakodynamické účinky</w:t>
      </w:r>
    </w:p>
    <w:p w14:paraId="2A9B6DB6" w14:textId="37274D74" w:rsidR="000907CA" w:rsidRPr="00C10C23" w:rsidRDefault="000907CA" w:rsidP="00075097">
      <w:pPr>
        <w:rPr>
          <w:rFonts w:cs="Times New Roman"/>
          <w:lang w:val="sk"/>
        </w:rPr>
      </w:pPr>
      <w:r w:rsidRPr="00C10C23">
        <w:rPr>
          <w:rFonts w:cs="Times New Roman"/>
          <w:lang w:val="sk"/>
        </w:rPr>
        <w:t xml:space="preserve">V nízkych dávkach je farmakodynamický profil torasemidu podobný profilu tiazidovej triedy, čo sa týka úrovne a trvania diurézy. Vo vyšších dávkach torasemid indukuje v závislosti od dávky energickú diurézu s </w:t>
      </w:r>
      <w:r w:rsidRPr="002C45F8">
        <w:rPr>
          <w:rFonts w:cs="Times New Roman"/>
          <w:lang w:val="sk"/>
        </w:rPr>
        <w:t>vysokým strop</w:t>
      </w:r>
      <w:r w:rsidR="002C45F8" w:rsidRPr="00830D1C">
        <w:rPr>
          <w:rFonts w:cs="Times New Roman"/>
          <w:lang w:val="sk"/>
        </w:rPr>
        <w:t>ovým</w:t>
      </w:r>
      <w:r w:rsidRPr="002C45F8">
        <w:rPr>
          <w:rFonts w:cs="Times New Roman"/>
          <w:lang w:val="sk"/>
        </w:rPr>
        <w:t xml:space="preserve"> efektom.</w:t>
      </w:r>
    </w:p>
    <w:p w14:paraId="27CCA746" w14:textId="77777777" w:rsidR="000907CA" w:rsidRPr="00C10C23" w:rsidRDefault="000907CA" w:rsidP="00075097">
      <w:pPr>
        <w:rPr>
          <w:rFonts w:cs="Times New Roman"/>
          <w:lang w:val="sk"/>
        </w:rPr>
      </w:pPr>
    </w:p>
    <w:p w14:paraId="7139FF32" w14:textId="79D33ECB" w:rsidR="000907CA" w:rsidRPr="00C10C23" w:rsidRDefault="000907CA" w:rsidP="00075097">
      <w:pPr>
        <w:rPr>
          <w:rFonts w:cs="Times New Roman"/>
          <w:lang w:val="sk"/>
        </w:rPr>
      </w:pPr>
      <w:r w:rsidRPr="00C10C23">
        <w:rPr>
          <w:rFonts w:cs="Times New Roman"/>
          <w:lang w:val="sk"/>
        </w:rPr>
        <w:t>U ľudí nastupuje diuretický účinok rýchlo po perorálnom podaní, nástup diurézy je možné pozorovať do 1 hodiny, pričom &gt;</w:t>
      </w:r>
      <w:r w:rsidR="00482FD4">
        <w:rPr>
          <w:rFonts w:cs="Times New Roman"/>
          <w:lang w:val="sk"/>
        </w:rPr>
        <w:t xml:space="preserve"> </w:t>
      </w:r>
      <w:r w:rsidRPr="00C10C23">
        <w:rPr>
          <w:rFonts w:cs="Times New Roman"/>
          <w:lang w:val="sk"/>
        </w:rPr>
        <w:t xml:space="preserve">50 % celkovej natriurézy sa vyskytne v priebehu prvých 3 hodín a diuréza trvá zhruba 6 až 12 hodín. U zdravých dobrovoľníkov bolo v dávkovom rozsahu 5 – 100 mg pozorované zvýšenie diurézy úmerné logaritmu </w:t>
      </w:r>
      <w:r w:rsidRPr="002C45F8">
        <w:rPr>
          <w:rFonts w:cs="Times New Roman"/>
          <w:lang w:val="sk"/>
        </w:rPr>
        <w:t>dávky (tzv</w:t>
      </w:r>
      <w:r w:rsidRPr="001F05A4">
        <w:rPr>
          <w:rFonts w:cs="Times New Roman"/>
          <w:lang w:val="sk"/>
        </w:rPr>
        <w:t>. vysoký strop</w:t>
      </w:r>
      <w:r w:rsidR="002C45F8" w:rsidRPr="00830D1C">
        <w:rPr>
          <w:rFonts w:cs="Times New Roman"/>
          <w:lang w:val="sk"/>
        </w:rPr>
        <w:t>ový</w:t>
      </w:r>
      <w:r w:rsidRPr="001F05A4">
        <w:rPr>
          <w:rFonts w:cs="Times New Roman"/>
          <w:lang w:val="sk"/>
        </w:rPr>
        <w:t xml:space="preserve"> efekt).</w:t>
      </w:r>
      <w:r w:rsidRPr="00C10C23">
        <w:rPr>
          <w:rFonts w:cs="Times New Roman"/>
          <w:lang w:val="sk"/>
        </w:rPr>
        <w:t xml:space="preserve"> Diuréza sa môže vyskytnúť aj v prípade, že iné diuretické lieky (napr. distálne pôsobiace tiazidy) nie sú dostatočne účinné, napr. pri poruche funkcie obličiek.</w:t>
      </w:r>
    </w:p>
    <w:p w14:paraId="5900080A" w14:textId="381CE1EA" w:rsidR="000907CA" w:rsidRPr="00C10C23" w:rsidRDefault="000907CA" w:rsidP="00075097">
      <w:pPr>
        <w:rPr>
          <w:rFonts w:cs="Times New Roman"/>
          <w:lang w:val="sk"/>
        </w:rPr>
      </w:pPr>
      <w:r w:rsidRPr="00C10C23">
        <w:rPr>
          <w:rFonts w:cs="Times New Roman"/>
          <w:lang w:val="sk"/>
        </w:rPr>
        <w:t xml:space="preserve">Vďaka týmto vlastnostiam torasemid zmierňuje opuchy. Pri zlyhávaní srdca torasemid spôsobuje zlepšenie príznakov a vďaka </w:t>
      </w:r>
      <w:r w:rsidRPr="005A2A81">
        <w:rPr>
          <w:rFonts w:cs="Times New Roman"/>
          <w:lang w:val="sk"/>
        </w:rPr>
        <w:t xml:space="preserve">zníženiu </w:t>
      </w:r>
      <w:r w:rsidRPr="003267C2">
        <w:rPr>
          <w:rFonts w:cs="Times New Roman"/>
          <w:lang w:val="sk"/>
        </w:rPr>
        <w:t>pred</w:t>
      </w:r>
      <w:r w:rsidR="005A2A81" w:rsidRPr="00830D1C">
        <w:rPr>
          <w:rFonts w:cs="Times New Roman"/>
          <w:lang w:val="sk"/>
        </w:rPr>
        <w:t>ťaženia</w:t>
      </w:r>
      <w:r w:rsidRPr="003267C2">
        <w:rPr>
          <w:rFonts w:cs="Times New Roman"/>
          <w:lang w:val="sk"/>
        </w:rPr>
        <w:t xml:space="preserve"> a doťaženia</w:t>
      </w:r>
      <w:r w:rsidRPr="00C10C23">
        <w:rPr>
          <w:rFonts w:cs="Times New Roman"/>
          <w:lang w:val="sk"/>
        </w:rPr>
        <w:t xml:space="preserve"> zlepšuje pracovné podmienky myokardu.</w:t>
      </w:r>
    </w:p>
    <w:p w14:paraId="7141509B" w14:textId="77777777" w:rsidR="000907CA" w:rsidRPr="00C10C23" w:rsidRDefault="000907CA" w:rsidP="00075097">
      <w:pPr>
        <w:rPr>
          <w:rFonts w:cs="Times New Roman"/>
          <w:lang w:val="sk"/>
        </w:rPr>
      </w:pPr>
      <w:r w:rsidRPr="00C10C23">
        <w:rPr>
          <w:rFonts w:cs="Times New Roman"/>
          <w:lang w:val="sk"/>
        </w:rPr>
        <w:t xml:space="preserve">Antihypertenzívny účinok torasemidu nastupuje pomaly po perorálnom podávaní v prvom týždni liečby a maximálny hypotenzívny účinok sa dosahuje najneskôr po zhruba 12 týždňoch. </w:t>
      </w:r>
    </w:p>
    <w:p w14:paraId="71BE3681" w14:textId="77777777" w:rsidR="00FF0B99" w:rsidRPr="00C10C23" w:rsidRDefault="00FF0B99" w:rsidP="00075097">
      <w:pPr>
        <w:rPr>
          <w:rFonts w:cs="Times New Roman"/>
          <w:lang w:val="sk"/>
        </w:rPr>
      </w:pPr>
    </w:p>
    <w:p w14:paraId="293DD7CB" w14:textId="77777777" w:rsidR="000907CA" w:rsidRPr="00C10C23" w:rsidRDefault="000907CA" w:rsidP="00075097">
      <w:pPr>
        <w:rPr>
          <w:rFonts w:cs="Times New Roman"/>
          <w:u w:val="single"/>
          <w:lang w:val="sk"/>
        </w:rPr>
      </w:pPr>
      <w:r w:rsidRPr="00C10C23">
        <w:rPr>
          <w:rFonts w:cs="Times New Roman"/>
          <w:u w:val="single"/>
          <w:lang w:val="sk"/>
        </w:rPr>
        <w:t xml:space="preserve">Pediatrická populácia </w:t>
      </w:r>
    </w:p>
    <w:p w14:paraId="448C53FF" w14:textId="4713A4B3" w:rsidR="00190696" w:rsidRPr="0069070D" w:rsidRDefault="007D13B5" w:rsidP="00075097">
      <w:pPr>
        <w:rPr>
          <w:rFonts w:eastAsia="SimSun" w:cs="Times New Roman"/>
          <w:lang w:val="sk"/>
        </w:rPr>
      </w:pPr>
      <w:r w:rsidRPr="00C10C23">
        <w:rPr>
          <w:rFonts w:cs="Times New Roman"/>
          <w:noProof/>
          <w:lang w:val="sk"/>
        </w:rPr>
        <w:t>Európska agentúra pre lieky udelila výnimku z</w:t>
      </w:r>
      <w:r w:rsidRPr="00C10C23">
        <w:rPr>
          <w:rFonts w:cs="Times New Roman"/>
          <w:lang w:val="sk"/>
        </w:rPr>
        <w:t> </w:t>
      </w:r>
      <w:r w:rsidRPr="00C10C23">
        <w:rPr>
          <w:rFonts w:cs="Times New Roman"/>
          <w:noProof/>
          <w:lang w:val="sk"/>
        </w:rPr>
        <w:t xml:space="preserve">povinnosti </w:t>
      </w:r>
      <w:r w:rsidRPr="00C10C23">
        <w:rPr>
          <w:rFonts w:cs="Times New Roman"/>
          <w:lang w:val="sk"/>
        </w:rPr>
        <w:t xml:space="preserve">predložiť výsledky štúdií s </w:t>
      </w:r>
      <w:r w:rsidRPr="00C10C23">
        <w:rPr>
          <w:rFonts w:cs="Times New Roman"/>
          <w:shd w:val="clear" w:color="auto" w:fill="FFFFFF"/>
          <w:lang w:val="sk"/>
        </w:rPr>
        <w:t>Lisemid</w:t>
      </w:r>
      <w:r w:rsidR="00482FD4">
        <w:rPr>
          <w:rFonts w:cs="Times New Roman"/>
          <w:shd w:val="clear" w:color="auto" w:fill="FFFFFF"/>
          <w:lang w:val="sk"/>
        </w:rPr>
        <w:t>om</w:t>
      </w:r>
      <w:r w:rsidRPr="00C10C23">
        <w:rPr>
          <w:rFonts w:cs="Times New Roman"/>
          <w:noProof/>
          <w:lang w:val="sk"/>
        </w:rPr>
        <w:t xml:space="preserve"> vo všetkých podskupinách</w:t>
      </w:r>
      <w:r w:rsidRPr="00C10C23">
        <w:rPr>
          <w:rFonts w:cs="Times New Roman"/>
          <w:lang w:val="sk"/>
        </w:rPr>
        <w:t xml:space="preserve"> pediatrickej populácie </w:t>
      </w:r>
      <w:r w:rsidR="00482FD4">
        <w:rPr>
          <w:rFonts w:cs="Times New Roman"/>
          <w:lang w:val="sk"/>
        </w:rPr>
        <w:t>v</w:t>
      </w:r>
      <w:r w:rsidR="00482FD4" w:rsidRPr="00C10C23">
        <w:rPr>
          <w:rFonts w:cs="Times New Roman"/>
          <w:lang w:val="sk"/>
        </w:rPr>
        <w:t xml:space="preserve"> </w:t>
      </w:r>
      <w:r w:rsidRPr="00C10C23">
        <w:rPr>
          <w:rFonts w:cs="Times New Roman"/>
          <w:lang w:val="sk"/>
        </w:rPr>
        <w:t>liečbe hypertenzie a zlyhávania srdca</w:t>
      </w:r>
      <w:r w:rsidRPr="0069070D">
        <w:rPr>
          <w:rFonts w:cs="Times New Roman"/>
          <w:i/>
          <w:iCs/>
          <w:color w:val="008000"/>
          <w:lang w:val="sk"/>
        </w:rPr>
        <w:t xml:space="preserve"> </w:t>
      </w:r>
      <w:r w:rsidRPr="0069070D">
        <w:rPr>
          <w:rFonts w:cs="Times New Roman"/>
          <w:lang w:val="sk"/>
        </w:rPr>
        <w:t>(</w:t>
      </w:r>
      <w:r w:rsidRPr="0069070D">
        <w:rPr>
          <w:rFonts w:cs="Times New Roman"/>
          <w:noProof/>
          <w:lang w:val="sk"/>
        </w:rPr>
        <w:t xml:space="preserve">informácie </w:t>
      </w:r>
      <w:r w:rsidRPr="0069070D">
        <w:rPr>
          <w:rFonts w:cs="Times New Roman"/>
          <w:lang w:val="sk"/>
        </w:rPr>
        <w:t>o použití v pediatrickej populácii, pozri časť 4.2)</w:t>
      </w:r>
    </w:p>
    <w:p w14:paraId="567F41E4" w14:textId="77777777" w:rsidR="00DB4904" w:rsidRPr="0069070D" w:rsidRDefault="00DB4904" w:rsidP="00075097">
      <w:pPr>
        <w:rPr>
          <w:rFonts w:cs="Times New Roman"/>
          <w:b/>
          <w:lang w:val="sk"/>
        </w:rPr>
      </w:pPr>
    </w:p>
    <w:p w14:paraId="6B0FA303" w14:textId="77777777" w:rsidR="00190696" w:rsidRPr="0069070D" w:rsidRDefault="00DB4904" w:rsidP="00075097">
      <w:pPr>
        <w:rPr>
          <w:rFonts w:cs="Times New Roman"/>
          <w:b/>
          <w:lang w:val="sk"/>
        </w:rPr>
      </w:pPr>
      <w:r w:rsidRPr="0069070D">
        <w:rPr>
          <w:rFonts w:cs="Times New Roman"/>
          <w:b/>
          <w:bCs/>
          <w:lang w:val="sk"/>
        </w:rPr>
        <w:t>5.2</w:t>
      </w:r>
      <w:r w:rsidRPr="0069070D">
        <w:rPr>
          <w:rFonts w:cs="Times New Roman"/>
          <w:b/>
          <w:bCs/>
          <w:lang w:val="sk"/>
        </w:rPr>
        <w:tab/>
        <w:t>Farmakokinetické vlastnosti</w:t>
      </w:r>
    </w:p>
    <w:p w14:paraId="51EDAC77" w14:textId="77777777" w:rsidR="00DB4904" w:rsidRPr="0069070D" w:rsidRDefault="00DB4904" w:rsidP="00075097">
      <w:pPr>
        <w:rPr>
          <w:lang w:val="sk"/>
        </w:rPr>
      </w:pPr>
    </w:p>
    <w:p w14:paraId="25FE2D2B" w14:textId="77777777" w:rsidR="000907CA" w:rsidRPr="00C10C23" w:rsidRDefault="000907CA" w:rsidP="00075097">
      <w:pPr>
        <w:rPr>
          <w:rFonts w:cs="Times New Roman"/>
          <w:b/>
          <w:u w:val="single"/>
          <w:lang w:val="sk"/>
        </w:rPr>
      </w:pPr>
      <w:r w:rsidRPr="00C10C23">
        <w:rPr>
          <w:rFonts w:cs="Times New Roman"/>
          <w:b/>
          <w:bCs/>
          <w:u w:val="single"/>
          <w:lang w:val="sk"/>
        </w:rPr>
        <w:t>Súvisiace s lizinoprilom:</w:t>
      </w:r>
    </w:p>
    <w:p w14:paraId="23179F98" w14:textId="77777777" w:rsidR="000907CA" w:rsidRPr="00C10C23" w:rsidRDefault="000907CA" w:rsidP="00075097">
      <w:pPr>
        <w:rPr>
          <w:rFonts w:cs="Times New Roman"/>
          <w:lang w:val="sk"/>
        </w:rPr>
      </w:pPr>
    </w:p>
    <w:p w14:paraId="5C523CF2" w14:textId="77777777" w:rsidR="000907CA" w:rsidRPr="00C10C23" w:rsidRDefault="000907CA" w:rsidP="00075097">
      <w:pPr>
        <w:rPr>
          <w:rFonts w:cs="Times New Roman"/>
          <w:u w:val="single"/>
          <w:lang w:val="sk"/>
        </w:rPr>
      </w:pPr>
      <w:r w:rsidRPr="00C10C23">
        <w:rPr>
          <w:rFonts w:cs="Times New Roman"/>
          <w:u w:val="single"/>
          <w:lang w:val="sk"/>
        </w:rPr>
        <w:t xml:space="preserve">Absorpcia </w:t>
      </w:r>
    </w:p>
    <w:p w14:paraId="59F8E8A1" w14:textId="0E06E253" w:rsidR="000907CA" w:rsidRPr="00C10C23" w:rsidRDefault="000907CA" w:rsidP="00075097">
      <w:pPr>
        <w:rPr>
          <w:rFonts w:cs="Times New Roman"/>
          <w:lang w:val="sk"/>
        </w:rPr>
      </w:pPr>
      <w:r w:rsidRPr="00C10C23">
        <w:rPr>
          <w:rFonts w:cs="Times New Roman"/>
          <w:lang w:val="sk"/>
        </w:rPr>
        <w:t xml:space="preserve">Po perorálnom podaní lizinoprilu dôjde k dosiahnutiu maximálnych sérových koncentrácií asi v priebehu 7 hodín. Na základe </w:t>
      </w:r>
      <w:r w:rsidR="006B018E" w:rsidRPr="00830D1C">
        <w:rPr>
          <w:rFonts w:cs="Times New Roman"/>
          <w:lang w:val="sk"/>
        </w:rPr>
        <w:t>recovery</w:t>
      </w:r>
      <w:r w:rsidR="006B018E" w:rsidRPr="006B018E">
        <w:rPr>
          <w:rFonts w:cs="Times New Roman"/>
          <w:lang w:val="sk"/>
        </w:rPr>
        <w:t xml:space="preserve"> </w:t>
      </w:r>
      <w:r w:rsidR="006B018E">
        <w:rPr>
          <w:rFonts w:cs="Times New Roman"/>
          <w:lang w:val="sk"/>
        </w:rPr>
        <w:t>z</w:t>
      </w:r>
      <w:r w:rsidRPr="006B018E">
        <w:rPr>
          <w:rFonts w:cs="Times New Roman"/>
          <w:lang w:val="sk"/>
        </w:rPr>
        <w:t xml:space="preserve"> moč</w:t>
      </w:r>
      <w:r w:rsidR="006B018E">
        <w:rPr>
          <w:rFonts w:cs="Times New Roman"/>
          <w:lang w:val="sk"/>
        </w:rPr>
        <w:t>u</w:t>
      </w:r>
      <w:r w:rsidRPr="006B018E">
        <w:rPr>
          <w:rFonts w:cs="Times New Roman"/>
          <w:lang w:val="sk"/>
        </w:rPr>
        <w:t xml:space="preserve"> je</w:t>
      </w:r>
      <w:r w:rsidRPr="00C10C23">
        <w:rPr>
          <w:rFonts w:cs="Times New Roman"/>
          <w:lang w:val="sk"/>
        </w:rPr>
        <w:t xml:space="preserve"> priemerný rozsah absorpcie lizinoprilu približne 25 %, pričom medzi jednotlivými pacientmi sa pozoruje variabilita 6 – 60 % v skúmanom dávkovom rozsahu (5 až 80 mg). Absolútna biologická dostupnosť u pacientov so srdcovým zlyhávaním je znížená približne o 16 %. Absorpcia lizinoprilu nie je ovplyvnená prítomnosťou jedla.</w:t>
      </w:r>
    </w:p>
    <w:p w14:paraId="3D0144BA" w14:textId="77777777" w:rsidR="000907CA" w:rsidRPr="00C10C23" w:rsidRDefault="000907CA" w:rsidP="00075097">
      <w:pPr>
        <w:rPr>
          <w:rFonts w:cs="Times New Roman"/>
          <w:lang w:val="sk"/>
        </w:rPr>
      </w:pPr>
    </w:p>
    <w:p w14:paraId="74B65E0C" w14:textId="77777777" w:rsidR="000907CA" w:rsidRPr="00C10C23" w:rsidRDefault="000907CA" w:rsidP="00075097">
      <w:pPr>
        <w:rPr>
          <w:rFonts w:cs="Times New Roman"/>
          <w:u w:val="single"/>
          <w:lang w:val="sk"/>
        </w:rPr>
      </w:pPr>
      <w:r w:rsidRPr="00C10C23">
        <w:rPr>
          <w:rFonts w:cs="Times New Roman"/>
          <w:u w:val="single"/>
          <w:lang w:val="sk"/>
        </w:rPr>
        <w:t xml:space="preserve">Distribúcia </w:t>
      </w:r>
    </w:p>
    <w:p w14:paraId="1342E155" w14:textId="037435F4" w:rsidR="000907CA" w:rsidRPr="00C10C23" w:rsidRDefault="000907CA" w:rsidP="00075097">
      <w:pPr>
        <w:rPr>
          <w:rFonts w:cs="Times New Roman"/>
          <w:lang w:val="sk"/>
        </w:rPr>
      </w:pPr>
      <w:r w:rsidRPr="00C10C23">
        <w:rPr>
          <w:rFonts w:cs="Times New Roman"/>
          <w:lang w:val="sk"/>
        </w:rPr>
        <w:t xml:space="preserve">Zdá sa, že lizinopril sa neviaže na sérové proteíny okrem cirkulujúceho enzýmu konvertujúceho angiotenzín. Väzba na proteíny v prípade tohto inhibítora ACE sa odhaduje na 10 %. Zo štúdií </w:t>
      </w:r>
      <w:r w:rsidR="007C75BB">
        <w:rPr>
          <w:rFonts w:cs="Times New Roman"/>
          <w:lang w:val="sk"/>
        </w:rPr>
        <w:t>na</w:t>
      </w:r>
      <w:r w:rsidRPr="00C10C23">
        <w:rPr>
          <w:rFonts w:cs="Times New Roman"/>
          <w:lang w:val="sk"/>
        </w:rPr>
        <w:t xml:space="preserve"> potkano</w:t>
      </w:r>
      <w:r w:rsidR="007C75BB">
        <w:rPr>
          <w:rFonts w:cs="Times New Roman"/>
          <w:lang w:val="sk"/>
        </w:rPr>
        <w:t>ch</w:t>
      </w:r>
      <w:r w:rsidRPr="00C10C23">
        <w:rPr>
          <w:rFonts w:cs="Times New Roman"/>
          <w:lang w:val="sk"/>
        </w:rPr>
        <w:t xml:space="preserve"> vyplýva, že lizinopril slabo prechádza cez </w:t>
      </w:r>
      <w:r w:rsidR="007C75BB">
        <w:rPr>
          <w:rFonts w:cs="Times New Roman"/>
          <w:lang w:val="sk"/>
        </w:rPr>
        <w:t>hematoencefalickú</w:t>
      </w:r>
      <w:r w:rsidRPr="00C10C23">
        <w:rPr>
          <w:rFonts w:cs="Times New Roman"/>
          <w:lang w:val="sk"/>
        </w:rPr>
        <w:t xml:space="preserve"> bariéru.</w:t>
      </w:r>
    </w:p>
    <w:p w14:paraId="07CB2DCF" w14:textId="77777777" w:rsidR="000907CA" w:rsidRPr="00C10C23" w:rsidRDefault="000907CA" w:rsidP="00075097">
      <w:pPr>
        <w:rPr>
          <w:rFonts w:cs="Times New Roman"/>
          <w:lang w:val="sk"/>
        </w:rPr>
      </w:pPr>
    </w:p>
    <w:p w14:paraId="18A90CF5" w14:textId="77777777" w:rsidR="000907CA" w:rsidRPr="00C10C23" w:rsidRDefault="000907CA" w:rsidP="00075097">
      <w:pPr>
        <w:rPr>
          <w:rFonts w:cs="Times New Roman"/>
          <w:u w:val="single"/>
          <w:lang w:val="sk"/>
        </w:rPr>
      </w:pPr>
      <w:r w:rsidRPr="00C10C23">
        <w:rPr>
          <w:rFonts w:cs="Times New Roman"/>
          <w:u w:val="single"/>
          <w:lang w:val="sk"/>
        </w:rPr>
        <w:t>Biotransformácia a eliminácia</w:t>
      </w:r>
    </w:p>
    <w:p w14:paraId="2862D3AB" w14:textId="166395AB" w:rsidR="000907CA" w:rsidRPr="00C10C23" w:rsidRDefault="000907CA" w:rsidP="00075097">
      <w:pPr>
        <w:rPr>
          <w:rFonts w:cs="Times New Roman"/>
          <w:lang w:val="sk"/>
        </w:rPr>
      </w:pPr>
      <w:r w:rsidRPr="00C10C23">
        <w:rPr>
          <w:rFonts w:cs="Times New Roman"/>
          <w:lang w:val="sk"/>
        </w:rPr>
        <w:t>Lizinopril nepodlieha metabolizmu a absorbovan</w:t>
      </w:r>
      <w:r w:rsidR="007C75BB">
        <w:rPr>
          <w:rFonts w:cs="Times New Roman"/>
          <w:lang w:val="sk"/>
        </w:rPr>
        <w:t>é</w:t>
      </w:r>
      <w:r w:rsidRPr="00C10C23">
        <w:rPr>
          <w:rFonts w:cs="Times New Roman"/>
          <w:lang w:val="sk"/>
        </w:rPr>
        <w:t xml:space="preserve"> lie</w:t>
      </w:r>
      <w:r w:rsidR="007C75BB">
        <w:rPr>
          <w:rFonts w:cs="Times New Roman"/>
          <w:lang w:val="sk"/>
        </w:rPr>
        <w:t>čivo</w:t>
      </w:r>
      <w:r w:rsidRPr="00C10C23">
        <w:rPr>
          <w:rFonts w:cs="Times New Roman"/>
          <w:lang w:val="sk"/>
        </w:rPr>
        <w:t xml:space="preserve"> sa vylučuje  v moči v nezmenenej forme. Preukázalo sa, že lizinopril okrem glomerulárnej filtrácie podlieha tubulárnej sekrécii. Pri podávaní viacerých dávok má lizinopril účinný polčas akumulácie 12,6 hodiny. Klírens lizinoprilu u zdravých jedincov je približne 50 ml/min. Klesajúce sérové koncentrácie vykazujú predĺženú terminálnu fázu, ktorá neprispieva k akumulácii lieku. Táto terminálna fáza pravdepodobne predstavuje saturovateľnú väzbu na ACE a nie je úmerná dávke.</w:t>
      </w:r>
    </w:p>
    <w:p w14:paraId="725F1797" w14:textId="77777777" w:rsidR="000907CA" w:rsidRPr="00C10C23" w:rsidRDefault="000907CA" w:rsidP="00075097">
      <w:pPr>
        <w:rPr>
          <w:rFonts w:cs="Times New Roman"/>
          <w:lang w:val="sk"/>
        </w:rPr>
      </w:pPr>
    </w:p>
    <w:p w14:paraId="4518FF34" w14:textId="77777777" w:rsidR="000907CA" w:rsidRPr="00C10C23" w:rsidRDefault="000907CA" w:rsidP="00075097">
      <w:pPr>
        <w:rPr>
          <w:rFonts w:cs="Times New Roman"/>
          <w:u w:val="single"/>
          <w:lang w:val="sk"/>
        </w:rPr>
      </w:pPr>
      <w:r w:rsidRPr="00C10C23">
        <w:rPr>
          <w:rFonts w:cs="Times New Roman"/>
          <w:u w:val="single"/>
          <w:lang w:val="sk"/>
        </w:rPr>
        <w:t>Porucha funkcie pečene</w:t>
      </w:r>
    </w:p>
    <w:p w14:paraId="6B0357C3" w14:textId="0127C824" w:rsidR="000907CA" w:rsidRPr="00C10C23" w:rsidRDefault="000907CA" w:rsidP="00075097">
      <w:pPr>
        <w:rPr>
          <w:rFonts w:cs="Times New Roman"/>
          <w:lang w:val="sk"/>
        </w:rPr>
      </w:pPr>
      <w:r w:rsidRPr="00C10C23">
        <w:rPr>
          <w:rFonts w:cs="Times New Roman"/>
          <w:lang w:val="sk"/>
        </w:rPr>
        <w:t xml:space="preserve">Porucha funkcie pečene u cirhotických pacientov v porovnaní so zdravými jedincami viedla ku zníženiu absorpcie lizinoprilu (asi o 30 % na </w:t>
      </w:r>
      <w:r w:rsidRPr="006B018E">
        <w:rPr>
          <w:rFonts w:cs="Times New Roman"/>
          <w:lang w:val="sk"/>
        </w:rPr>
        <w:t xml:space="preserve">základe </w:t>
      </w:r>
      <w:r w:rsidR="006B018E" w:rsidRPr="00830D1C">
        <w:rPr>
          <w:rFonts w:cs="Times New Roman"/>
          <w:lang w:val="sk"/>
        </w:rPr>
        <w:t>recovery</w:t>
      </w:r>
      <w:r w:rsidR="006B018E" w:rsidRPr="006B018E">
        <w:rPr>
          <w:rFonts w:cs="Times New Roman"/>
          <w:lang w:val="sk"/>
        </w:rPr>
        <w:t xml:space="preserve"> </w:t>
      </w:r>
      <w:r w:rsidR="006B018E" w:rsidRPr="00830D1C">
        <w:rPr>
          <w:rFonts w:cs="Times New Roman"/>
          <w:lang w:val="sk"/>
        </w:rPr>
        <w:t>z</w:t>
      </w:r>
      <w:r w:rsidRPr="006B018E">
        <w:rPr>
          <w:rFonts w:cs="Times New Roman"/>
          <w:lang w:val="sk"/>
        </w:rPr>
        <w:t xml:space="preserve"> moč</w:t>
      </w:r>
      <w:r w:rsidR="006B018E" w:rsidRPr="00830D1C">
        <w:rPr>
          <w:rFonts w:cs="Times New Roman"/>
          <w:lang w:val="sk"/>
        </w:rPr>
        <w:t>u</w:t>
      </w:r>
      <w:r w:rsidRPr="006B018E">
        <w:rPr>
          <w:rFonts w:cs="Times New Roman"/>
          <w:lang w:val="sk"/>
        </w:rPr>
        <w:t>),</w:t>
      </w:r>
      <w:r w:rsidRPr="00C10C23">
        <w:rPr>
          <w:rFonts w:cs="Times New Roman"/>
          <w:lang w:val="sk"/>
        </w:rPr>
        <w:t xml:space="preserve"> a naopak ku zvýšeniu expozície (približne 50 %) v dôsledku zníženého klírensu.</w:t>
      </w:r>
    </w:p>
    <w:p w14:paraId="7A4AC6ED" w14:textId="77777777" w:rsidR="000907CA" w:rsidRPr="00C10C23" w:rsidRDefault="000907CA" w:rsidP="00075097">
      <w:pPr>
        <w:rPr>
          <w:rFonts w:cs="Times New Roman"/>
          <w:lang w:val="sk"/>
        </w:rPr>
      </w:pPr>
    </w:p>
    <w:p w14:paraId="21BE724D" w14:textId="77777777" w:rsidR="000907CA" w:rsidRPr="00C10C23" w:rsidRDefault="000907CA" w:rsidP="00075097">
      <w:pPr>
        <w:rPr>
          <w:rFonts w:cs="Times New Roman"/>
          <w:u w:val="single"/>
          <w:lang w:val="sk"/>
        </w:rPr>
      </w:pPr>
      <w:r w:rsidRPr="00C10C23">
        <w:rPr>
          <w:rFonts w:cs="Times New Roman"/>
          <w:u w:val="single"/>
          <w:lang w:val="sk"/>
        </w:rPr>
        <w:t>Porucha funkcie obličiek</w:t>
      </w:r>
    </w:p>
    <w:p w14:paraId="2233C5B9" w14:textId="77777777" w:rsidR="000907CA" w:rsidRPr="00C10C23" w:rsidRDefault="000907CA" w:rsidP="00075097">
      <w:pPr>
        <w:rPr>
          <w:rFonts w:cs="Times New Roman"/>
          <w:lang w:val="sk"/>
        </w:rPr>
      </w:pPr>
      <w:r w:rsidRPr="00C10C23">
        <w:rPr>
          <w:rFonts w:cs="Times New Roman"/>
          <w:lang w:val="sk"/>
        </w:rPr>
        <w:lastRenderedPageBreak/>
        <w:t>Porucha funkcie obličiek znižuje elimináciu lizinoprilu, ktorý sa vylučuje obličkami. Tento pokles sa však stáva klinicky významným, len keď je rýchlosť glomerulárnej filtrácie nižšia ako 30 ml/min. Pri miernej až stredne závažnej poruche funkcie obličiek (klírens kreatinínu 30 – 80 ml/min) sa priemerná AUC zvýšila len o 13 %, zatiaľ čo pri závažnej poruche funkcie obličiek (klírens kreatinínu 5 až 30 ml/min) bolo pozorované 4,5-násobné zvýšenie priemernej AUC.</w:t>
      </w:r>
    </w:p>
    <w:p w14:paraId="37350434" w14:textId="77777777" w:rsidR="000907CA" w:rsidRPr="00C10C23" w:rsidRDefault="000907CA" w:rsidP="00075097">
      <w:pPr>
        <w:rPr>
          <w:rFonts w:cs="Times New Roman"/>
          <w:lang w:val="sk"/>
        </w:rPr>
      </w:pPr>
      <w:r w:rsidRPr="00C10C23">
        <w:rPr>
          <w:rFonts w:cs="Times New Roman"/>
          <w:lang w:val="sk"/>
        </w:rPr>
        <w:t>Lizinopril je možné odstrániť dialýzou. Počas 4 hodín hemodialýzy sa plazmatické koncentrácie lizinoprilu znížili priemerne o 60 % s dialyzačným klírensom 40 až 55 ml/min.</w:t>
      </w:r>
    </w:p>
    <w:p w14:paraId="07EF0900" w14:textId="77777777" w:rsidR="000907CA" w:rsidRPr="00C10C23" w:rsidRDefault="000907CA" w:rsidP="00075097">
      <w:pPr>
        <w:rPr>
          <w:rFonts w:cs="Times New Roman"/>
          <w:lang w:val="sk"/>
        </w:rPr>
      </w:pPr>
    </w:p>
    <w:p w14:paraId="7838EAC3" w14:textId="77777777" w:rsidR="000907CA" w:rsidRPr="00C10C23" w:rsidRDefault="000907CA" w:rsidP="00075097">
      <w:pPr>
        <w:rPr>
          <w:rFonts w:cs="Times New Roman"/>
          <w:u w:val="single"/>
          <w:lang w:val="sk"/>
        </w:rPr>
      </w:pPr>
      <w:r w:rsidRPr="00C10C23">
        <w:rPr>
          <w:rFonts w:cs="Times New Roman"/>
          <w:u w:val="single"/>
          <w:lang w:val="sk"/>
        </w:rPr>
        <w:t>Zlyhávanie srdca</w:t>
      </w:r>
    </w:p>
    <w:p w14:paraId="3A9329A9" w14:textId="0F5DD65E" w:rsidR="000907CA" w:rsidRPr="00C10C23" w:rsidRDefault="000907CA" w:rsidP="00075097">
      <w:pPr>
        <w:rPr>
          <w:rFonts w:cs="Times New Roman"/>
          <w:lang w:val="sk"/>
        </w:rPr>
      </w:pPr>
      <w:r w:rsidRPr="00C10C23">
        <w:rPr>
          <w:rFonts w:cs="Times New Roman"/>
          <w:lang w:val="sk"/>
        </w:rPr>
        <w:t xml:space="preserve">Pacienti so zlyhávaním srdca majú väčšiu expozíciu lizinoprilu v porovnaní so zdravými jedincami (zvýšenie AUC priemerne o 125 %), ale na základe </w:t>
      </w:r>
      <w:r w:rsidR="006B018E" w:rsidRPr="0018261E">
        <w:rPr>
          <w:rFonts w:cs="Times New Roman"/>
          <w:lang w:val="sk"/>
        </w:rPr>
        <w:t>recovery</w:t>
      </w:r>
      <w:r w:rsidR="006B018E" w:rsidRPr="009222C9">
        <w:rPr>
          <w:rFonts w:cs="Times New Roman"/>
          <w:lang w:val="sk"/>
        </w:rPr>
        <w:t xml:space="preserve"> </w:t>
      </w:r>
      <w:r w:rsidRPr="009222C9">
        <w:rPr>
          <w:rFonts w:cs="Times New Roman"/>
          <w:lang w:val="sk"/>
        </w:rPr>
        <w:t xml:space="preserve">lizinoprilu </w:t>
      </w:r>
      <w:r w:rsidR="006B018E" w:rsidRPr="0008075F">
        <w:rPr>
          <w:rFonts w:cs="Times New Roman"/>
          <w:lang w:val="sk"/>
        </w:rPr>
        <w:t>z</w:t>
      </w:r>
      <w:r w:rsidRPr="008D799E">
        <w:rPr>
          <w:rFonts w:cs="Times New Roman"/>
          <w:lang w:val="sk"/>
        </w:rPr>
        <w:t xml:space="preserve"> moč</w:t>
      </w:r>
      <w:r w:rsidR="006B018E" w:rsidRPr="008D799E">
        <w:rPr>
          <w:rFonts w:cs="Times New Roman"/>
          <w:lang w:val="sk"/>
        </w:rPr>
        <w:t>u</w:t>
      </w:r>
      <w:r w:rsidRPr="00C10C23">
        <w:rPr>
          <w:rFonts w:cs="Times New Roman"/>
          <w:lang w:val="sk"/>
        </w:rPr>
        <w:t xml:space="preserve"> je absorpcia znížená približne o 16 % v porovnaní so zdravými jedincami.</w:t>
      </w:r>
    </w:p>
    <w:p w14:paraId="3AB204BF" w14:textId="77777777" w:rsidR="000907CA" w:rsidRPr="00C10C23" w:rsidRDefault="000907CA" w:rsidP="00075097">
      <w:pPr>
        <w:rPr>
          <w:rFonts w:cs="Times New Roman"/>
          <w:lang w:val="sk"/>
        </w:rPr>
      </w:pPr>
    </w:p>
    <w:p w14:paraId="5A6CF0BF" w14:textId="77777777" w:rsidR="000907CA" w:rsidRPr="00C10C23" w:rsidRDefault="000907CA" w:rsidP="00075097">
      <w:pPr>
        <w:rPr>
          <w:rFonts w:cs="Times New Roman"/>
          <w:u w:val="single"/>
          <w:lang w:val="sk"/>
        </w:rPr>
      </w:pPr>
      <w:r w:rsidRPr="00C10C23">
        <w:rPr>
          <w:rFonts w:cs="Times New Roman"/>
          <w:u w:val="single"/>
          <w:lang w:val="sk"/>
        </w:rPr>
        <w:t>Starší pacienti</w:t>
      </w:r>
    </w:p>
    <w:p w14:paraId="205CB5AB" w14:textId="77777777" w:rsidR="000907CA" w:rsidRPr="00C10C23" w:rsidRDefault="000907CA" w:rsidP="00075097">
      <w:pPr>
        <w:rPr>
          <w:rFonts w:cs="Times New Roman"/>
          <w:lang w:val="sk"/>
        </w:rPr>
      </w:pPr>
      <w:r w:rsidRPr="00C10C23">
        <w:rPr>
          <w:rFonts w:cs="Times New Roman"/>
          <w:lang w:val="sk"/>
        </w:rPr>
        <w:t>Starší pacienti majú vyššie krvné hladiny a vyššie hodnoty pre oblasť pod krivkou plazmatickej koncentrácie a času (zvýšené približne o 60 %) v porovnaní s mladšími jedincami.</w:t>
      </w:r>
    </w:p>
    <w:p w14:paraId="1FB21247" w14:textId="77777777" w:rsidR="000907CA" w:rsidRPr="00C10C23" w:rsidRDefault="000907CA" w:rsidP="00075097">
      <w:pPr>
        <w:rPr>
          <w:rFonts w:cs="Times New Roman"/>
          <w:lang w:val="sk"/>
        </w:rPr>
      </w:pPr>
    </w:p>
    <w:p w14:paraId="0D73E744" w14:textId="77777777" w:rsidR="000907CA" w:rsidRPr="00C10C23" w:rsidRDefault="000907CA" w:rsidP="00075097">
      <w:pPr>
        <w:rPr>
          <w:rFonts w:cs="Times New Roman"/>
          <w:b/>
          <w:u w:val="single"/>
          <w:lang w:val="sk"/>
        </w:rPr>
      </w:pPr>
      <w:r w:rsidRPr="00C10C23">
        <w:rPr>
          <w:rFonts w:cs="Times New Roman"/>
          <w:b/>
          <w:bCs/>
          <w:u w:val="single"/>
          <w:lang w:val="sk"/>
        </w:rPr>
        <w:t>Súvisiace s torasemidom:</w:t>
      </w:r>
    </w:p>
    <w:p w14:paraId="327BDB65" w14:textId="77777777" w:rsidR="000907CA" w:rsidRPr="00C10C23" w:rsidRDefault="000907CA" w:rsidP="00075097">
      <w:pPr>
        <w:rPr>
          <w:rFonts w:cs="Times New Roman"/>
          <w:lang w:val="sk"/>
        </w:rPr>
      </w:pPr>
    </w:p>
    <w:p w14:paraId="549C744D" w14:textId="77777777" w:rsidR="000907CA" w:rsidRPr="00C10C23" w:rsidRDefault="000907CA" w:rsidP="00075097">
      <w:pPr>
        <w:rPr>
          <w:rFonts w:cs="Times New Roman"/>
          <w:u w:val="single"/>
          <w:lang w:val="sk"/>
        </w:rPr>
      </w:pPr>
      <w:r w:rsidRPr="00C10C23">
        <w:rPr>
          <w:rFonts w:cs="Times New Roman"/>
          <w:u w:val="single"/>
          <w:lang w:val="sk"/>
        </w:rPr>
        <w:t xml:space="preserve">Absorpcia </w:t>
      </w:r>
    </w:p>
    <w:p w14:paraId="11269A2C" w14:textId="77777777" w:rsidR="000907CA" w:rsidRPr="00C10C23" w:rsidRDefault="000907CA" w:rsidP="00075097">
      <w:pPr>
        <w:rPr>
          <w:rFonts w:cs="Times New Roman"/>
          <w:lang w:val="sk"/>
        </w:rPr>
      </w:pPr>
      <w:r w:rsidRPr="00C10C23">
        <w:rPr>
          <w:rFonts w:cs="Times New Roman"/>
          <w:lang w:val="sk"/>
        </w:rPr>
        <w:t>Torasemid sa po perorálnom podaní absorbuje rýchlo a takmer úplne a maximálne sérové hladiny sa dosiahnu približne po 1 hodine.</w:t>
      </w:r>
    </w:p>
    <w:p w14:paraId="10F5488D" w14:textId="77777777" w:rsidR="000907CA" w:rsidRPr="00C10C23" w:rsidRDefault="000907CA" w:rsidP="00075097">
      <w:pPr>
        <w:rPr>
          <w:rFonts w:cs="Times New Roman"/>
          <w:lang w:val="sk"/>
        </w:rPr>
      </w:pPr>
    </w:p>
    <w:p w14:paraId="2CED1666" w14:textId="77777777" w:rsidR="000907CA" w:rsidRPr="00C10C23" w:rsidRDefault="000907CA" w:rsidP="00075097">
      <w:pPr>
        <w:rPr>
          <w:rFonts w:cs="Times New Roman"/>
          <w:u w:val="single"/>
          <w:lang w:val="sk"/>
        </w:rPr>
      </w:pPr>
      <w:r w:rsidRPr="00C10C23">
        <w:rPr>
          <w:rFonts w:cs="Times New Roman"/>
          <w:u w:val="single"/>
          <w:lang w:val="sk"/>
        </w:rPr>
        <w:t xml:space="preserve">Distribúcia </w:t>
      </w:r>
    </w:p>
    <w:p w14:paraId="1E812458" w14:textId="71D93A58" w:rsidR="000907CA" w:rsidRPr="00C10C23" w:rsidRDefault="000907CA" w:rsidP="00075097">
      <w:pPr>
        <w:rPr>
          <w:rFonts w:cs="Times New Roman"/>
          <w:lang w:val="sk"/>
        </w:rPr>
      </w:pPr>
      <w:r w:rsidRPr="00C10C23">
        <w:rPr>
          <w:rFonts w:cs="Times New Roman"/>
          <w:lang w:val="sk"/>
        </w:rPr>
        <w:t xml:space="preserve">Viac </w:t>
      </w:r>
      <w:r w:rsidR="007C75BB">
        <w:rPr>
          <w:rFonts w:cs="Times New Roman"/>
          <w:lang w:val="sk"/>
        </w:rPr>
        <w:t>ako</w:t>
      </w:r>
      <w:r w:rsidRPr="00C10C23">
        <w:rPr>
          <w:rFonts w:cs="Times New Roman"/>
          <w:lang w:val="sk"/>
        </w:rPr>
        <w:t xml:space="preserve"> 99 % torasemidu sa viaže na plazmatické proteíny. </w:t>
      </w:r>
      <w:r w:rsidR="007C75BB">
        <w:rPr>
          <w:rFonts w:cs="Times New Roman"/>
          <w:lang w:val="sk"/>
        </w:rPr>
        <w:t xml:space="preserve">Zdanlivý </w:t>
      </w:r>
      <w:r w:rsidRPr="00C10C23">
        <w:rPr>
          <w:rFonts w:cs="Times New Roman"/>
          <w:lang w:val="sk"/>
        </w:rPr>
        <w:t>distribučný objem je 12 až 15 litrov.</w:t>
      </w:r>
    </w:p>
    <w:p w14:paraId="5B5BFCEA" w14:textId="77777777" w:rsidR="000907CA" w:rsidRPr="00C10C23" w:rsidRDefault="000907CA" w:rsidP="00075097">
      <w:pPr>
        <w:rPr>
          <w:rFonts w:cs="Times New Roman"/>
          <w:lang w:val="sk"/>
        </w:rPr>
      </w:pPr>
    </w:p>
    <w:p w14:paraId="730278A4" w14:textId="77777777" w:rsidR="000907CA" w:rsidRPr="00C10C23" w:rsidRDefault="000907CA" w:rsidP="00075097">
      <w:pPr>
        <w:rPr>
          <w:rFonts w:cs="Times New Roman"/>
          <w:u w:val="single"/>
          <w:lang w:val="sk"/>
        </w:rPr>
      </w:pPr>
      <w:r w:rsidRPr="00C10C23">
        <w:rPr>
          <w:rFonts w:cs="Times New Roman"/>
          <w:u w:val="single"/>
          <w:lang w:val="sk"/>
        </w:rPr>
        <w:t xml:space="preserve">Biotransformácia </w:t>
      </w:r>
    </w:p>
    <w:p w14:paraId="40DB3166" w14:textId="77777777" w:rsidR="000907CA" w:rsidRPr="00C10C23" w:rsidRDefault="000907CA" w:rsidP="00075097">
      <w:pPr>
        <w:rPr>
          <w:rFonts w:cs="Times New Roman"/>
          <w:lang w:val="sk"/>
        </w:rPr>
      </w:pPr>
      <w:r w:rsidRPr="00C10C23">
        <w:rPr>
          <w:rFonts w:cs="Times New Roman"/>
          <w:lang w:val="sk"/>
        </w:rPr>
        <w:t>Torasemid sa metabolizuje na tri metabolity, M1, M3 a M5, postupnou oxidáciou, hydroxyláciou alebo hydroxyláciou kruhu.</w:t>
      </w:r>
    </w:p>
    <w:p w14:paraId="3402FFC8" w14:textId="77777777" w:rsidR="000907CA" w:rsidRPr="00C10C23" w:rsidRDefault="000907CA" w:rsidP="00075097">
      <w:pPr>
        <w:rPr>
          <w:rFonts w:cs="Times New Roman"/>
          <w:lang w:val="sk"/>
        </w:rPr>
      </w:pPr>
    </w:p>
    <w:p w14:paraId="721B5A72" w14:textId="77777777" w:rsidR="000907CA" w:rsidRPr="00C10C23" w:rsidRDefault="000907CA" w:rsidP="00075097">
      <w:pPr>
        <w:rPr>
          <w:rFonts w:cs="Times New Roman"/>
          <w:u w:val="single"/>
          <w:lang w:val="sk"/>
        </w:rPr>
      </w:pPr>
      <w:r w:rsidRPr="00C10C23">
        <w:rPr>
          <w:rFonts w:cs="Times New Roman"/>
          <w:u w:val="single"/>
          <w:lang w:val="sk"/>
        </w:rPr>
        <w:t xml:space="preserve">Eliminácia </w:t>
      </w:r>
    </w:p>
    <w:p w14:paraId="1E69A97F" w14:textId="77777777" w:rsidR="000907CA" w:rsidRPr="00C10C23" w:rsidRDefault="000907CA" w:rsidP="00075097">
      <w:pPr>
        <w:rPr>
          <w:rFonts w:cs="Times New Roman"/>
          <w:lang w:val="sk"/>
        </w:rPr>
      </w:pPr>
      <w:r w:rsidRPr="00C10C23">
        <w:rPr>
          <w:rFonts w:cs="Times New Roman"/>
          <w:lang w:val="sk"/>
        </w:rPr>
        <w:t>Terminálny polčas torasemidu a jeho metabolitov u zdravých jedincov je 3 až 4 hodiny. Celkový klírens torasemidu je 40 ml/min a renálny klírens je približne 10 ml/min. Asi 80 % podanej dávky sa vylúči vo forme torasemidu a metabolitov do renálneho tubulu – torasemid 24 %, M1 12 %, M3 3 % a M5 41 %.</w:t>
      </w:r>
    </w:p>
    <w:p w14:paraId="56983E22" w14:textId="77777777" w:rsidR="000907CA" w:rsidRPr="00C10C23" w:rsidRDefault="000907CA" w:rsidP="00075097">
      <w:pPr>
        <w:rPr>
          <w:rFonts w:cs="Times New Roman"/>
          <w:lang w:val="sk"/>
        </w:rPr>
      </w:pPr>
    </w:p>
    <w:p w14:paraId="299485C1" w14:textId="77777777" w:rsidR="000907CA" w:rsidRPr="00C10C23" w:rsidRDefault="000907CA" w:rsidP="00075097">
      <w:pPr>
        <w:rPr>
          <w:rFonts w:cs="Times New Roman"/>
          <w:u w:val="single"/>
          <w:lang w:val="sk"/>
        </w:rPr>
      </w:pPr>
      <w:r w:rsidRPr="00C10C23">
        <w:rPr>
          <w:rFonts w:cs="Times New Roman"/>
          <w:u w:val="single"/>
          <w:lang w:val="sk"/>
        </w:rPr>
        <w:t>Zlyhávanie obličiek</w:t>
      </w:r>
    </w:p>
    <w:p w14:paraId="41DC0A11" w14:textId="77777777" w:rsidR="000907CA" w:rsidRPr="00C10C23" w:rsidRDefault="000907CA" w:rsidP="00075097">
      <w:pPr>
        <w:rPr>
          <w:rFonts w:cs="Times New Roman"/>
          <w:lang w:val="sk"/>
        </w:rPr>
      </w:pPr>
      <w:r w:rsidRPr="00C10C23">
        <w:rPr>
          <w:rFonts w:cs="Times New Roman"/>
          <w:lang w:val="sk"/>
        </w:rPr>
        <w:t>V prípade zlyhávania obličiek sa polčas eliminácie torasemidu nemení.</w:t>
      </w:r>
    </w:p>
    <w:p w14:paraId="317AF68F" w14:textId="77777777" w:rsidR="000907CA" w:rsidRPr="00C10C23" w:rsidRDefault="000907CA" w:rsidP="00075097">
      <w:pPr>
        <w:rPr>
          <w:rFonts w:cs="Times New Roman"/>
          <w:lang w:val="sk"/>
        </w:rPr>
      </w:pPr>
    </w:p>
    <w:p w14:paraId="55519142" w14:textId="35A02972" w:rsidR="000907CA" w:rsidRPr="00C10C23" w:rsidRDefault="000907CA" w:rsidP="00075097">
      <w:pPr>
        <w:rPr>
          <w:rFonts w:cs="Times New Roman"/>
          <w:lang w:val="sk"/>
        </w:rPr>
      </w:pPr>
      <w:r w:rsidRPr="00C10C23">
        <w:rPr>
          <w:rFonts w:cs="Times New Roman"/>
          <w:lang w:val="sk"/>
        </w:rPr>
        <w:t xml:space="preserve">Súbežné dávky lizinoprilu a torasemidu nemajú žiadny vplyv na biologickú dostupnosť týchto liekov. Kombinovaná tableta je biologicky rovnocenná so súbežným podávaním </w:t>
      </w:r>
      <w:r w:rsidR="00353E96">
        <w:rPr>
          <w:rFonts w:cs="Times New Roman"/>
          <w:lang w:val="sk"/>
        </w:rPr>
        <w:t>jednotlivých liečiv</w:t>
      </w:r>
      <w:r w:rsidRPr="00C10C23">
        <w:rPr>
          <w:rFonts w:cs="Times New Roman"/>
          <w:lang w:val="sk"/>
        </w:rPr>
        <w:t xml:space="preserve"> samostatne.</w:t>
      </w:r>
    </w:p>
    <w:p w14:paraId="353E6B7E" w14:textId="77777777" w:rsidR="00190696" w:rsidRPr="00C10C23" w:rsidRDefault="00190696" w:rsidP="00075097">
      <w:pPr>
        <w:rPr>
          <w:rFonts w:cs="Times New Roman"/>
          <w:b/>
          <w:lang w:val="sk"/>
        </w:rPr>
      </w:pPr>
    </w:p>
    <w:p w14:paraId="36AE846F" w14:textId="77777777" w:rsidR="00190696" w:rsidRPr="00C10C23" w:rsidRDefault="00DB4904" w:rsidP="00075097">
      <w:pPr>
        <w:rPr>
          <w:rFonts w:cs="Times New Roman"/>
          <w:b/>
          <w:lang w:val="sk"/>
        </w:rPr>
      </w:pPr>
      <w:r w:rsidRPr="00C10C23">
        <w:rPr>
          <w:rFonts w:cs="Times New Roman"/>
          <w:b/>
          <w:bCs/>
          <w:lang w:val="sk"/>
        </w:rPr>
        <w:t>5.3</w:t>
      </w:r>
      <w:r w:rsidRPr="00C10C23">
        <w:rPr>
          <w:rFonts w:cs="Times New Roman"/>
          <w:b/>
          <w:bCs/>
          <w:lang w:val="sk"/>
        </w:rPr>
        <w:tab/>
        <w:t>Predklinické údaje o bezpečnosti</w:t>
      </w:r>
    </w:p>
    <w:p w14:paraId="601B70FC" w14:textId="77777777" w:rsidR="00DB4904" w:rsidRPr="00C10C23" w:rsidRDefault="00DB4904" w:rsidP="00075097">
      <w:pPr>
        <w:rPr>
          <w:rFonts w:cs="Times New Roman"/>
          <w:b/>
          <w:lang w:val="sk"/>
        </w:rPr>
      </w:pPr>
    </w:p>
    <w:p w14:paraId="17CA6B83" w14:textId="28941513" w:rsidR="00190696" w:rsidRPr="0069070D" w:rsidRDefault="000907CA" w:rsidP="00075097">
      <w:pPr>
        <w:rPr>
          <w:rFonts w:cs="Times New Roman"/>
          <w:lang w:val="sk"/>
        </w:rPr>
      </w:pPr>
      <w:r w:rsidRPr="00C10C23">
        <w:rPr>
          <w:rFonts w:cs="Times New Roman"/>
          <w:lang w:val="sk"/>
        </w:rPr>
        <w:lastRenderedPageBreak/>
        <w:t xml:space="preserve">Lizinopril a torasemid sú </w:t>
      </w:r>
      <w:r w:rsidR="00D23BE5">
        <w:rPr>
          <w:rFonts w:cs="Times New Roman"/>
          <w:lang w:val="sk"/>
        </w:rPr>
        <w:t>liečivá</w:t>
      </w:r>
      <w:r w:rsidRPr="00C10C23">
        <w:rPr>
          <w:rFonts w:cs="Times New Roman"/>
          <w:lang w:val="sk"/>
        </w:rPr>
        <w:t xml:space="preserve">, s ktorými má </w:t>
      </w:r>
      <w:r w:rsidR="00D23BE5">
        <w:rPr>
          <w:rFonts w:cs="Times New Roman"/>
          <w:lang w:val="sk"/>
        </w:rPr>
        <w:t>klinická prax</w:t>
      </w:r>
      <w:r w:rsidRPr="00C10C23">
        <w:rPr>
          <w:rFonts w:cs="Times New Roman"/>
          <w:lang w:val="sk"/>
        </w:rPr>
        <w:t xml:space="preserve"> rozsiahle skúsenosti </w:t>
      </w:r>
      <w:r w:rsidR="00D23BE5">
        <w:rPr>
          <w:rFonts w:cs="Times New Roman"/>
          <w:lang w:val="sk"/>
        </w:rPr>
        <w:t>pri</w:t>
      </w:r>
      <w:r w:rsidRPr="00C10C23">
        <w:rPr>
          <w:rFonts w:cs="Times New Roman"/>
          <w:lang w:val="sk"/>
        </w:rPr>
        <w:t xml:space="preserve"> </w:t>
      </w:r>
      <w:r w:rsidR="00D23BE5">
        <w:rPr>
          <w:rFonts w:cs="Times New Roman"/>
          <w:lang w:val="sk"/>
        </w:rPr>
        <w:t>podávaní</w:t>
      </w:r>
      <w:r w:rsidRPr="00C10C23">
        <w:rPr>
          <w:rFonts w:cs="Times New Roman"/>
          <w:lang w:val="sk"/>
        </w:rPr>
        <w:t xml:space="preserve"> samostatne </w:t>
      </w:r>
      <w:r w:rsidR="00D23BE5">
        <w:rPr>
          <w:rFonts w:cs="Times New Roman"/>
          <w:lang w:val="sk"/>
        </w:rPr>
        <w:t>aj</w:t>
      </w:r>
      <w:r w:rsidRPr="00C10C23">
        <w:rPr>
          <w:rFonts w:cs="Times New Roman"/>
          <w:lang w:val="sk"/>
        </w:rPr>
        <w:t xml:space="preserve"> v kombinácii. Všetky relevantné informácie pre predpisujúceho lekára sú uvedené v </w:t>
      </w:r>
      <w:r w:rsidR="00D23BE5">
        <w:rPr>
          <w:rFonts w:cs="Times New Roman"/>
          <w:lang w:val="sk"/>
        </w:rPr>
        <w:t>S</w:t>
      </w:r>
      <w:r w:rsidRPr="00C10C23">
        <w:rPr>
          <w:rFonts w:cs="Times New Roman"/>
          <w:lang w:val="sk"/>
        </w:rPr>
        <w:t>úhrne charakteristických vlastností lieku.</w:t>
      </w:r>
      <w:r w:rsidRPr="0069070D">
        <w:rPr>
          <w:rFonts w:cs="Times New Roman"/>
          <w:lang w:val="sk"/>
        </w:rPr>
        <w:t xml:space="preserve"> </w:t>
      </w:r>
    </w:p>
    <w:p w14:paraId="4B8B2CA6" w14:textId="77777777" w:rsidR="00AA1C2A" w:rsidRPr="0069070D" w:rsidRDefault="00AA1C2A" w:rsidP="00075097">
      <w:pPr>
        <w:rPr>
          <w:rFonts w:cs="Times New Roman"/>
          <w:lang w:val="sk"/>
        </w:rPr>
      </w:pPr>
    </w:p>
    <w:p w14:paraId="353CAEA7" w14:textId="77777777" w:rsidR="000907CA" w:rsidRPr="0069070D" w:rsidRDefault="00AA1C2A" w:rsidP="00075097">
      <w:pPr>
        <w:rPr>
          <w:rFonts w:cs="Times New Roman"/>
          <w:lang w:val="sk"/>
        </w:rPr>
      </w:pPr>
      <w:r w:rsidRPr="0069070D">
        <w:rPr>
          <w:rFonts w:cs="Times New Roman"/>
          <w:lang w:val="sk"/>
        </w:rPr>
        <w:t>Účinky v predklinických štúdiách sa pozorovali iba pri expozíciách považovaných za dostatočne vyššie, ako je maximálna expozícia u ľudí, čo poukazuje na malý význam týchto zistení pre klinické použitie.</w:t>
      </w:r>
    </w:p>
    <w:p w14:paraId="7405080B" w14:textId="77777777" w:rsidR="00DB4904" w:rsidRPr="0069070D" w:rsidRDefault="00DB4904" w:rsidP="00075097">
      <w:pPr>
        <w:rPr>
          <w:rFonts w:cs="Times New Roman"/>
          <w:lang w:val="sk"/>
        </w:rPr>
      </w:pPr>
    </w:p>
    <w:p w14:paraId="001283DD" w14:textId="77777777" w:rsidR="00AA1C2A" w:rsidRPr="0069070D" w:rsidRDefault="00C10C23" w:rsidP="00075097">
      <w:pPr>
        <w:rPr>
          <w:rFonts w:cs="Times New Roman"/>
          <w:lang w:val="sk"/>
        </w:rPr>
      </w:pPr>
      <w:r w:rsidRPr="00C10C23">
        <w:rPr>
          <w:b/>
          <w:bCs/>
          <w:u w:val="single"/>
          <w:lang w:val="sk"/>
        </w:rPr>
        <w:t>Súvisiace s lizinoprilom:</w:t>
      </w:r>
    </w:p>
    <w:p w14:paraId="61595E1F" w14:textId="53F94355" w:rsidR="00AA1C2A" w:rsidRPr="00C10C23" w:rsidRDefault="00AA1C2A" w:rsidP="00075097">
      <w:pPr>
        <w:rPr>
          <w:rFonts w:cs="Times New Roman"/>
          <w:lang w:val="sk"/>
        </w:rPr>
      </w:pPr>
      <w:r w:rsidRPr="00C10C23">
        <w:rPr>
          <w:rFonts w:cs="Times New Roman"/>
          <w:lang w:val="sk"/>
        </w:rPr>
        <w:t xml:space="preserve">Predklinické údaje získané na základe obvyklých všeobecných farmakologických štúdií, štúdií toxicity po opakovanom podávaní,genotoxicity a karcinogénneho potenciálu neodhalili žiadne osobitné riziko pre ľudí. </w:t>
      </w:r>
    </w:p>
    <w:p w14:paraId="3C7CA4E1" w14:textId="77777777" w:rsidR="00AA1C2A" w:rsidRPr="00C10C23" w:rsidRDefault="00AA1C2A" w:rsidP="00075097">
      <w:pPr>
        <w:rPr>
          <w:rFonts w:cs="Times New Roman"/>
          <w:lang w:val="sk"/>
        </w:rPr>
      </w:pPr>
    </w:p>
    <w:p w14:paraId="14CE1625" w14:textId="3D3F9F46" w:rsidR="00AA1C2A" w:rsidRPr="00C10C23" w:rsidRDefault="00AA1C2A" w:rsidP="00075097">
      <w:pPr>
        <w:rPr>
          <w:rFonts w:cs="Times New Roman"/>
          <w:lang w:val="sk"/>
        </w:rPr>
      </w:pPr>
      <w:r w:rsidRPr="00C10C23">
        <w:rPr>
          <w:rFonts w:cs="Times New Roman"/>
          <w:lang w:val="sk"/>
        </w:rPr>
        <w:t>Bolo preukázan</w:t>
      </w:r>
      <w:r w:rsidR="005E51BC">
        <w:rPr>
          <w:rFonts w:cs="Times New Roman"/>
          <w:lang w:val="sk"/>
        </w:rPr>
        <w:t>é, že</w:t>
      </w:r>
      <w:r w:rsidR="0062132A">
        <w:rPr>
          <w:rFonts w:cs="Times New Roman"/>
          <w:lang w:val="sk"/>
        </w:rPr>
        <w:t xml:space="preserve"> skupinový</w:t>
      </w:r>
      <w:r w:rsidR="005E51BC">
        <w:rPr>
          <w:rFonts w:cs="Times New Roman"/>
          <w:lang w:val="sk"/>
        </w:rPr>
        <w:t>m účinkom</w:t>
      </w:r>
      <w:r w:rsidRPr="00C10C23">
        <w:rPr>
          <w:rFonts w:cs="Times New Roman"/>
          <w:lang w:val="sk"/>
        </w:rPr>
        <w:t xml:space="preserve"> inhibítor</w:t>
      </w:r>
      <w:r w:rsidR="0062132A">
        <w:rPr>
          <w:rFonts w:cs="Times New Roman"/>
          <w:lang w:val="sk"/>
        </w:rPr>
        <w:t>ov</w:t>
      </w:r>
      <w:r w:rsidRPr="00C10C23">
        <w:rPr>
          <w:rFonts w:cs="Times New Roman"/>
          <w:lang w:val="sk"/>
        </w:rPr>
        <w:t xml:space="preserve"> enzýmu konvertujúceho angiotenzín</w:t>
      </w:r>
      <w:r w:rsidR="005E51BC">
        <w:rPr>
          <w:rFonts w:cs="Times New Roman"/>
          <w:lang w:val="sk"/>
        </w:rPr>
        <w:t xml:space="preserve">, je </w:t>
      </w:r>
      <w:r w:rsidR="005E51BC" w:rsidRPr="00CD0265">
        <w:rPr>
          <w:rFonts w:cs="Times New Roman"/>
          <w:lang w:val="sk"/>
        </w:rPr>
        <w:t>indukcia</w:t>
      </w:r>
      <w:r w:rsidR="00CD0265" w:rsidRPr="00830D1C">
        <w:rPr>
          <w:rFonts w:cs="Times New Roman"/>
          <w:lang w:val="sk"/>
        </w:rPr>
        <w:t>nežiaducich</w:t>
      </w:r>
      <w:r w:rsidR="00CD0265" w:rsidRPr="00CD0265">
        <w:rPr>
          <w:rFonts w:cs="Times New Roman"/>
          <w:lang w:val="sk"/>
        </w:rPr>
        <w:t xml:space="preserve"> </w:t>
      </w:r>
      <w:r w:rsidR="00CD0265">
        <w:rPr>
          <w:rFonts w:cs="Times New Roman"/>
          <w:lang w:val="sk"/>
        </w:rPr>
        <w:t>účinkov</w:t>
      </w:r>
      <w:r w:rsidR="00CD0265" w:rsidRPr="00C10C23">
        <w:rPr>
          <w:rFonts w:cs="Times New Roman"/>
          <w:lang w:val="sk"/>
        </w:rPr>
        <w:t xml:space="preserve"> </w:t>
      </w:r>
      <w:r w:rsidRPr="00C10C23">
        <w:rPr>
          <w:rFonts w:cs="Times New Roman"/>
          <w:lang w:val="sk"/>
        </w:rPr>
        <w:t>na neskoré štádiá výv</w:t>
      </w:r>
      <w:r w:rsidR="005E51BC">
        <w:rPr>
          <w:rFonts w:cs="Times New Roman"/>
          <w:lang w:val="sk"/>
        </w:rPr>
        <w:t>inu</w:t>
      </w:r>
      <w:r w:rsidRPr="00C10C23">
        <w:rPr>
          <w:rFonts w:cs="Times New Roman"/>
          <w:lang w:val="sk"/>
        </w:rPr>
        <w:t xml:space="preserve"> plodu, čo vedie k úmrtiu plodu a </w:t>
      </w:r>
      <w:r w:rsidRPr="005E51BC">
        <w:rPr>
          <w:rFonts w:cs="Times New Roman"/>
          <w:lang w:val="sk"/>
        </w:rPr>
        <w:t>dedičným abnormalitám</w:t>
      </w:r>
      <w:r w:rsidRPr="00C10C23">
        <w:rPr>
          <w:rFonts w:cs="Times New Roman"/>
          <w:lang w:val="sk"/>
        </w:rPr>
        <w:t xml:space="preserve"> postihujúcim najmä lebku. Bola tiež hlásená fetotoxicita, retardácia intrauterinného </w:t>
      </w:r>
      <w:r w:rsidRPr="005E51BC">
        <w:rPr>
          <w:rFonts w:cs="Times New Roman"/>
          <w:lang w:val="sk"/>
        </w:rPr>
        <w:t xml:space="preserve">rastu a </w:t>
      </w:r>
      <w:r w:rsidRPr="00830D1C">
        <w:rPr>
          <w:rFonts w:cs="Times New Roman"/>
          <w:i/>
          <w:lang w:val="sk"/>
        </w:rPr>
        <w:t>patent ductus arteriosus</w:t>
      </w:r>
      <w:r w:rsidRPr="005E51BC">
        <w:rPr>
          <w:rFonts w:cs="Times New Roman"/>
          <w:lang w:val="sk"/>
        </w:rPr>
        <w:t>. Predpokladá</w:t>
      </w:r>
      <w:r w:rsidRPr="00C10C23">
        <w:rPr>
          <w:rFonts w:cs="Times New Roman"/>
          <w:lang w:val="sk"/>
        </w:rPr>
        <w:t xml:space="preserve"> sa, že tieto vývinové anomálie sú čiastočne spôsobené priamym účinkom inhibítorov ACE na fetálny renín-angiotenzínový systém a čiastočne ischémiou v dôsledku hypotenzie matky a znížením prietoku krvi </w:t>
      </w:r>
      <w:r w:rsidR="005E51BC">
        <w:rPr>
          <w:rFonts w:cs="Times New Roman"/>
          <w:lang w:val="sk"/>
        </w:rPr>
        <w:t>vo fetoplacentárnej jednotke</w:t>
      </w:r>
      <w:r w:rsidRPr="00C10C23">
        <w:rPr>
          <w:rFonts w:cs="Times New Roman"/>
          <w:lang w:val="sk"/>
        </w:rPr>
        <w:t>a</w:t>
      </w:r>
      <w:r w:rsidR="005E51BC">
        <w:rPr>
          <w:rFonts w:cs="Times New Roman"/>
          <w:lang w:val="sk"/>
        </w:rPr>
        <w:t xml:space="preserve"> </w:t>
      </w:r>
      <w:r w:rsidRPr="00C10C23">
        <w:rPr>
          <w:rFonts w:cs="Times New Roman"/>
          <w:lang w:val="sk"/>
        </w:rPr>
        <w:t>zásobovania plodu kyslíkom/živinami.</w:t>
      </w:r>
    </w:p>
    <w:p w14:paraId="41344B14" w14:textId="77777777" w:rsidR="00AA1C2A" w:rsidRPr="00C10C23" w:rsidRDefault="00AA1C2A" w:rsidP="00075097">
      <w:pPr>
        <w:rPr>
          <w:rFonts w:cs="Times New Roman"/>
          <w:lang w:val="sk"/>
        </w:rPr>
      </w:pPr>
    </w:p>
    <w:p w14:paraId="0E311C9B" w14:textId="77777777" w:rsidR="00AA1C2A" w:rsidRPr="00FF0B99" w:rsidRDefault="00AA1C2A" w:rsidP="00075097">
      <w:pPr>
        <w:rPr>
          <w:rFonts w:cs="Times New Roman"/>
          <w:b/>
          <w:u w:val="single"/>
          <w:lang w:val="sk"/>
        </w:rPr>
      </w:pPr>
      <w:r w:rsidRPr="00C10C23">
        <w:rPr>
          <w:rFonts w:cs="Times New Roman"/>
          <w:b/>
          <w:bCs/>
          <w:u w:val="single"/>
          <w:lang w:val="sk"/>
        </w:rPr>
        <w:t>Súvisiace s torasemidom:</w:t>
      </w:r>
    </w:p>
    <w:p w14:paraId="0D230DB9" w14:textId="4CCE23B6" w:rsidR="00AA1C2A" w:rsidRPr="00C10C23" w:rsidRDefault="00AA1C2A" w:rsidP="00075097">
      <w:pPr>
        <w:rPr>
          <w:rFonts w:cs="Times New Roman"/>
          <w:lang w:val="sk"/>
        </w:rPr>
      </w:pPr>
      <w:r w:rsidRPr="00C10C23">
        <w:rPr>
          <w:rFonts w:cs="Times New Roman"/>
          <w:lang w:val="sk"/>
        </w:rPr>
        <w:t>Zmeny pozorované v štúdiách toxicity na psoch a potkanoch po opakovanom podávaní vo vysokých dávkach možno pripísať nadmernému farmako</w:t>
      </w:r>
      <w:r w:rsidR="00FF0B99">
        <w:rPr>
          <w:rFonts w:cs="Times New Roman"/>
          <w:lang w:val="sk"/>
        </w:rPr>
        <w:t>dynamickému účinku (diuréze). K </w:t>
      </w:r>
      <w:r w:rsidRPr="00C10C23">
        <w:rPr>
          <w:rFonts w:cs="Times New Roman"/>
          <w:lang w:val="sk"/>
        </w:rPr>
        <w:t xml:space="preserve">pozorovaným zmenám patrilo zníženie hmotnosti, zvýšená hladina kreatinínu a močoviny a renálne zmeny, ako je tubulárna dilatácia a intersticiálna nefritída. Bolo preukázané, že všetky zmeny vyvolané </w:t>
      </w:r>
      <w:r w:rsidR="005E51BC">
        <w:rPr>
          <w:rFonts w:cs="Times New Roman"/>
          <w:lang w:val="sk"/>
        </w:rPr>
        <w:t>liečivom</w:t>
      </w:r>
      <w:r w:rsidR="005E51BC" w:rsidRPr="00C10C23">
        <w:rPr>
          <w:rFonts w:cs="Times New Roman"/>
          <w:lang w:val="sk"/>
        </w:rPr>
        <w:t xml:space="preserve"> </w:t>
      </w:r>
      <w:r w:rsidRPr="00C10C23">
        <w:rPr>
          <w:rFonts w:cs="Times New Roman"/>
          <w:lang w:val="sk"/>
        </w:rPr>
        <w:t>sú reverzibilné.</w:t>
      </w:r>
    </w:p>
    <w:p w14:paraId="14D23A84" w14:textId="77777777" w:rsidR="00AA1C2A" w:rsidRPr="00C10C23" w:rsidRDefault="00AA1C2A" w:rsidP="00075097">
      <w:pPr>
        <w:rPr>
          <w:rFonts w:cs="Times New Roman"/>
          <w:lang w:val="sk"/>
        </w:rPr>
      </w:pPr>
    </w:p>
    <w:p w14:paraId="601B984B" w14:textId="77777777" w:rsidR="00AA1C2A" w:rsidRPr="00C10C23" w:rsidRDefault="00AA1C2A" w:rsidP="00075097">
      <w:pPr>
        <w:rPr>
          <w:rFonts w:cs="Times New Roman"/>
          <w:lang w:val="sk"/>
        </w:rPr>
      </w:pPr>
      <w:r w:rsidRPr="00C10C23">
        <w:rPr>
          <w:rFonts w:cs="Times New Roman"/>
          <w:lang w:val="sk"/>
        </w:rPr>
        <w:t>V štúdiách reprodukčnej toxicity na potkanoch nebol preukázaný teratogénny účinok, ale pri vysokých dávkach bola u gravidných králikov pozorovaná malformácia plodov. Neboli pozorované žiadne účinky na plodnosť.</w:t>
      </w:r>
    </w:p>
    <w:p w14:paraId="1DAE53E2" w14:textId="77777777" w:rsidR="00AA1C2A" w:rsidRPr="00C10C23" w:rsidRDefault="00AA1C2A" w:rsidP="00075097">
      <w:pPr>
        <w:rPr>
          <w:rFonts w:cs="Times New Roman"/>
          <w:lang w:val="sk"/>
        </w:rPr>
      </w:pPr>
    </w:p>
    <w:p w14:paraId="43D4C863" w14:textId="77777777" w:rsidR="00FF0B99" w:rsidRDefault="00AA1C2A" w:rsidP="00075097">
      <w:pPr>
        <w:rPr>
          <w:rFonts w:cs="Times New Roman"/>
          <w:lang w:val="sk"/>
        </w:rPr>
      </w:pPr>
      <w:r w:rsidRPr="00C10C23">
        <w:rPr>
          <w:rFonts w:cs="Times New Roman"/>
          <w:lang w:val="sk"/>
        </w:rPr>
        <w:t>Torasemid nepreukázal mutagénny potenciál. Štúdie karcinogenicity u potkanov a myší nepreukázali tumorigénny potenciál.</w:t>
      </w:r>
    </w:p>
    <w:p w14:paraId="55185C26" w14:textId="77777777" w:rsidR="00A05C33" w:rsidRDefault="00A05C33" w:rsidP="00075097">
      <w:pPr>
        <w:rPr>
          <w:rFonts w:cs="Times New Roman"/>
          <w:lang w:val="sk"/>
        </w:rPr>
      </w:pPr>
    </w:p>
    <w:p w14:paraId="22940402" w14:textId="77777777" w:rsidR="00A05C33" w:rsidRPr="0069070D" w:rsidRDefault="00A05C33" w:rsidP="00075097">
      <w:pPr>
        <w:rPr>
          <w:rFonts w:cs="Times New Roman"/>
          <w:lang w:val="sk"/>
        </w:rPr>
      </w:pPr>
    </w:p>
    <w:p w14:paraId="236A9147" w14:textId="77777777" w:rsidR="00190696" w:rsidRPr="0069070D" w:rsidRDefault="00AA1C2A" w:rsidP="00075097">
      <w:pPr>
        <w:pStyle w:val="Odsekzoznamu"/>
        <w:numPr>
          <w:ilvl w:val="0"/>
          <w:numId w:val="3"/>
        </w:numPr>
        <w:ind w:left="0" w:firstLine="0"/>
        <w:rPr>
          <w:rFonts w:cs="Times New Roman"/>
          <w:b/>
        </w:rPr>
      </w:pPr>
      <w:r w:rsidRPr="0069070D">
        <w:rPr>
          <w:rFonts w:cs="Times New Roman"/>
          <w:b/>
          <w:bCs/>
        </w:rPr>
        <w:t>FARMACEUTICKÉ INFORMÁCIE</w:t>
      </w:r>
    </w:p>
    <w:p w14:paraId="4A540E62" w14:textId="77777777" w:rsidR="00DB4904" w:rsidRPr="0069070D" w:rsidRDefault="00DB4904" w:rsidP="00075097"/>
    <w:p w14:paraId="15B8AB48" w14:textId="77777777" w:rsidR="00190696" w:rsidRPr="0069070D" w:rsidRDefault="00DB4904" w:rsidP="00075097">
      <w:pPr>
        <w:rPr>
          <w:rFonts w:cs="Times New Roman"/>
          <w:b/>
        </w:rPr>
      </w:pPr>
      <w:r w:rsidRPr="0069070D">
        <w:rPr>
          <w:rFonts w:cs="Times New Roman"/>
          <w:b/>
          <w:bCs/>
        </w:rPr>
        <w:t>6.1</w:t>
      </w:r>
      <w:r w:rsidRPr="0069070D">
        <w:rPr>
          <w:rFonts w:cs="Times New Roman"/>
          <w:b/>
          <w:bCs/>
        </w:rPr>
        <w:tab/>
        <w:t>Zoznam pomocných látok</w:t>
      </w:r>
    </w:p>
    <w:p w14:paraId="688FAF49" w14:textId="77777777" w:rsidR="00DB4904" w:rsidRPr="0069070D" w:rsidRDefault="00DB4904" w:rsidP="00075097">
      <w:pPr>
        <w:rPr>
          <w:rFonts w:cs="Times New Roman"/>
          <w:b/>
        </w:rPr>
      </w:pPr>
    </w:p>
    <w:p w14:paraId="6B448452" w14:textId="77777777" w:rsidR="00AA1C2A" w:rsidRPr="00FF0B99" w:rsidRDefault="00AA1C2A" w:rsidP="00075097">
      <w:pPr>
        <w:spacing w:line="240" w:lineRule="auto"/>
        <w:rPr>
          <w:rFonts w:cs="Times New Roman"/>
          <w:noProof/>
        </w:rPr>
      </w:pPr>
      <w:r w:rsidRPr="00FF0B99">
        <w:rPr>
          <w:rFonts w:cs="Times New Roman"/>
          <w:noProof/>
          <w:lang w:val="sk"/>
        </w:rPr>
        <w:t>Manitol E421</w:t>
      </w:r>
    </w:p>
    <w:p w14:paraId="3E9520D8" w14:textId="77777777" w:rsidR="00AA1C2A" w:rsidRPr="00FF0B99" w:rsidRDefault="00AA1C2A" w:rsidP="00075097">
      <w:pPr>
        <w:spacing w:line="240" w:lineRule="auto"/>
        <w:rPr>
          <w:rFonts w:cs="Times New Roman"/>
          <w:noProof/>
        </w:rPr>
      </w:pPr>
      <w:r w:rsidRPr="00FF0B99">
        <w:rPr>
          <w:rFonts w:cs="Times New Roman"/>
          <w:noProof/>
          <w:lang w:val="sk"/>
        </w:rPr>
        <w:t>Kukuričný škrob</w:t>
      </w:r>
    </w:p>
    <w:p w14:paraId="7A19DD66" w14:textId="1B3CCA72" w:rsidR="00AA1C2A" w:rsidRPr="00FF0B99" w:rsidRDefault="00AA1C2A" w:rsidP="00075097">
      <w:pPr>
        <w:spacing w:line="240" w:lineRule="auto"/>
        <w:rPr>
          <w:rFonts w:cs="Times New Roman"/>
          <w:noProof/>
        </w:rPr>
      </w:pPr>
      <w:r w:rsidRPr="00FF0B99">
        <w:rPr>
          <w:rFonts w:cs="Times New Roman"/>
          <w:noProof/>
          <w:lang w:val="sk"/>
        </w:rPr>
        <w:t>Predželatin</w:t>
      </w:r>
      <w:r w:rsidR="00FC23B6">
        <w:rPr>
          <w:rFonts w:cs="Times New Roman"/>
          <w:noProof/>
          <w:lang w:val="sk"/>
        </w:rPr>
        <w:t>o</w:t>
      </w:r>
      <w:r w:rsidRPr="00FF0B99">
        <w:rPr>
          <w:rFonts w:cs="Times New Roman"/>
          <w:noProof/>
          <w:lang w:val="sk"/>
        </w:rPr>
        <w:t>vaný kukuričný škrob</w:t>
      </w:r>
    </w:p>
    <w:p w14:paraId="4D4F9794" w14:textId="77777777" w:rsidR="00AA1C2A" w:rsidRPr="00FF0B99" w:rsidRDefault="00AA1C2A" w:rsidP="00075097">
      <w:pPr>
        <w:spacing w:line="240" w:lineRule="auto"/>
        <w:rPr>
          <w:rFonts w:cs="Times New Roman"/>
          <w:noProof/>
        </w:rPr>
      </w:pPr>
      <w:r w:rsidRPr="00FF0B99">
        <w:rPr>
          <w:rFonts w:cs="Times New Roman"/>
          <w:noProof/>
          <w:lang w:val="sk"/>
        </w:rPr>
        <w:t>Mikrokryštalická celulóza</w:t>
      </w:r>
    </w:p>
    <w:p w14:paraId="0176D69F" w14:textId="062F3C47" w:rsidR="00190696" w:rsidRPr="0069070D" w:rsidRDefault="00FC23B6" w:rsidP="00075097">
      <w:pPr>
        <w:spacing w:line="240" w:lineRule="auto"/>
        <w:rPr>
          <w:rFonts w:cs="Times New Roman"/>
          <w:noProof/>
        </w:rPr>
      </w:pPr>
      <w:r>
        <w:rPr>
          <w:rFonts w:cs="Times New Roman"/>
          <w:noProof/>
          <w:lang w:val="sk"/>
        </w:rPr>
        <w:t>Stearan horečnatý</w:t>
      </w:r>
    </w:p>
    <w:p w14:paraId="47143AAC" w14:textId="77777777" w:rsidR="00AA1C2A" w:rsidRPr="0069070D" w:rsidRDefault="00AA1C2A" w:rsidP="00075097">
      <w:pPr>
        <w:spacing w:line="240" w:lineRule="auto"/>
        <w:rPr>
          <w:rFonts w:cs="Times New Roman"/>
          <w:noProof/>
        </w:rPr>
      </w:pPr>
    </w:p>
    <w:p w14:paraId="6E1BB911" w14:textId="77777777" w:rsidR="00190696" w:rsidRPr="0069070D" w:rsidRDefault="000539BF" w:rsidP="00075097">
      <w:pPr>
        <w:rPr>
          <w:rFonts w:cs="Times New Roman"/>
          <w:b/>
        </w:rPr>
      </w:pPr>
      <w:r w:rsidRPr="0069070D">
        <w:rPr>
          <w:rFonts w:cs="Times New Roman"/>
          <w:b/>
          <w:bCs/>
        </w:rPr>
        <w:t>6.2</w:t>
      </w:r>
      <w:r w:rsidRPr="0069070D">
        <w:rPr>
          <w:rFonts w:cs="Times New Roman"/>
          <w:b/>
          <w:bCs/>
        </w:rPr>
        <w:tab/>
        <w:t>Inkompatibility</w:t>
      </w:r>
    </w:p>
    <w:p w14:paraId="3897ABA6" w14:textId="77777777" w:rsidR="000539BF" w:rsidRPr="0069070D" w:rsidRDefault="000539BF" w:rsidP="00075097"/>
    <w:p w14:paraId="2DA0DD7E" w14:textId="77777777" w:rsidR="00190696" w:rsidRPr="0069070D" w:rsidRDefault="00AA1C2A" w:rsidP="00075097">
      <w:pPr>
        <w:rPr>
          <w:rFonts w:cs="Times New Roman"/>
        </w:rPr>
      </w:pPr>
      <w:r w:rsidRPr="0069070D">
        <w:rPr>
          <w:rFonts w:cs="Times New Roman"/>
        </w:rPr>
        <w:t>Neaplikovateľné.</w:t>
      </w:r>
    </w:p>
    <w:p w14:paraId="0F5DEA9E" w14:textId="77777777" w:rsidR="000539BF" w:rsidRPr="0069070D" w:rsidRDefault="000539BF" w:rsidP="00075097">
      <w:pPr>
        <w:rPr>
          <w:rFonts w:cs="Times New Roman"/>
        </w:rPr>
      </w:pPr>
    </w:p>
    <w:p w14:paraId="20FE5996" w14:textId="77777777" w:rsidR="00190696" w:rsidRPr="0069070D" w:rsidRDefault="00140BFF" w:rsidP="00075097">
      <w:pPr>
        <w:rPr>
          <w:rFonts w:cs="Times New Roman"/>
          <w:b/>
        </w:rPr>
      </w:pPr>
      <w:r w:rsidRPr="0069070D">
        <w:rPr>
          <w:rFonts w:cs="Times New Roman"/>
          <w:b/>
          <w:bCs/>
        </w:rPr>
        <w:t>6.3</w:t>
      </w:r>
      <w:r w:rsidRPr="0069070D">
        <w:rPr>
          <w:rFonts w:cs="Times New Roman"/>
          <w:b/>
          <w:bCs/>
        </w:rPr>
        <w:tab/>
        <w:t>Čas použiteľnosti</w:t>
      </w:r>
    </w:p>
    <w:p w14:paraId="58BF8D15" w14:textId="77777777" w:rsidR="000539BF" w:rsidRPr="0069070D" w:rsidRDefault="000539BF" w:rsidP="00075097">
      <w:pPr>
        <w:rPr>
          <w:rFonts w:cs="Times New Roman"/>
          <w:b/>
        </w:rPr>
      </w:pPr>
    </w:p>
    <w:p w14:paraId="4794444E" w14:textId="77777777" w:rsidR="00190696" w:rsidRPr="0069070D" w:rsidRDefault="00AA1C2A" w:rsidP="00075097">
      <w:pPr>
        <w:rPr>
          <w:rFonts w:cs="Times New Roman"/>
        </w:rPr>
      </w:pPr>
      <w:r w:rsidRPr="0069070D">
        <w:rPr>
          <w:rFonts w:cs="Times New Roman"/>
        </w:rPr>
        <w:t>30 mesiacov</w:t>
      </w:r>
    </w:p>
    <w:p w14:paraId="1E0D50D6" w14:textId="77777777" w:rsidR="000539BF" w:rsidRPr="0069070D" w:rsidRDefault="000539BF" w:rsidP="00075097">
      <w:pPr>
        <w:rPr>
          <w:rFonts w:cs="Times New Roman"/>
        </w:rPr>
      </w:pPr>
    </w:p>
    <w:p w14:paraId="7FE2D5D0" w14:textId="77777777" w:rsidR="00190696" w:rsidRPr="0069070D" w:rsidRDefault="00140BFF" w:rsidP="00075097">
      <w:pPr>
        <w:rPr>
          <w:rFonts w:cs="Times New Roman"/>
          <w:b/>
        </w:rPr>
      </w:pPr>
      <w:r w:rsidRPr="0069070D">
        <w:rPr>
          <w:rFonts w:cs="Times New Roman"/>
          <w:b/>
          <w:bCs/>
        </w:rPr>
        <w:t>6.4</w:t>
      </w:r>
      <w:r w:rsidRPr="0069070D">
        <w:rPr>
          <w:rFonts w:cs="Times New Roman"/>
          <w:b/>
          <w:bCs/>
        </w:rPr>
        <w:tab/>
        <w:t>Špeciálne upozornenia na uchovávanie</w:t>
      </w:r>
    </w:p>
    <w:p w14:paraId="3C3195FB" w14:textId="77777777" w:rsidR="000539BF" w:rsidRPr="0069070D" w:rsidRDefault="000539BF" w:rsidP="00075097">
      <w:pPr>
        <w:rPr>
          <w:rFonts w:cs="Times New Roman"/>
          <w:b/>
        </w:rPr>
      </w:pPr>
    </w:p>
    <w:p w14:paraId="55539D1E" w14:textId="77777777" w:rsidR="00190696" w:rsidRPr="0069070D" w:rsidRDefault="00AA1C2A" w:rsidP="00075097">
      <w:pPr>
        <w:rPr>
          <w:rFonts w:cs="Times New Roman"/>
        </w:rPr>
      </w:pPr>
      <w:r w:rsidRPr="00FF0B99">
        <w:rPr>
          <w:rFonts w:cs="Times New Roman"/>
          <w:lang w:val="sk"/>
        </w:rPr>
        <w:t>Tento liek nevyžaduje žiadne zvláštne podmienky na uchovávanie.</w:t>
      </w:r>
    </w:p>
    <w:p w14:paraId="03BF6710" w14:textId="77777777" w:rsidR="00AA1C2A" w:rsidRPr="0069070D" w:rsidRDefault="00AA1C2A" w:rsidP="00075097">
      <w:pPr>
        <w:rPr>
          <w:rFonts w:cs="Times New Roman"/>
        </w:rPr>
      </w:pPr>
    </w:p>
    <w:p w14:paraId="60E17826" w14:textId="77777777" w:rsidR="00190696" w:rsidRPr="0069070D" w:rsidRDefault="00140BFF" w:rsidP="00075097">
      <w:pPr>
        <w:rPr>
          <w:rFonts w:cs="Times New Roman"/>
          <w:b/>
        </w:rPr>
      </w:pPr>
      <w:r w:rsidRPr="0069070D">
        <w:rPr>
          <w:rFonts w:cs="Times New Roman"/>
          <w:b/>
          <w:bCs/>
        </w:rPr>
        <w:t xml:space="preserve">6.5 </w:t>
      </w:r>
      <w:r w:rsidRPr="0069070D">
        <w:rPr>
          <w:rFonts w:cs="Times New Roman"/>
          <w:b/>
          <w:bCs/>
        </w:rPr>
        <w:tab/>
        <w:t xml:space="preserve">Druh obalu a obsah balenia </w:t>
      </w:r>
    </w:p>
    <w:p w14:paraId="44CB3181" w14:textId="77777777" w:rsidR="000539BF" w:rsidRPr="0069070D" w:rsidRDefault="000539BF" w:rsidP="00075097">
      <w:pPr>
        <w:rPr>
          <w:rFonts w:cs="Times New Roman"/>
          <w:b/>
        </w:rPr>
      </w:pPr>
    </w:p>
    <w:p w14:paraId="42370AB0" w14:textId="77777777" w:rsidR="00AA1C2A" w:rsidRPr="00FF0B99" w:rsidRDefault="00AA1C2A" w:rsidP="00075097">
      <w:pPr>
        <w:rPr>
          <w:rFonts w:cs="Times New Roman"/>
        </w:rPr>
      </w:pPr>
      <w:r w:rsidRPr="00FF0B99">
        <w:rPr>
          <w:rFonts w:cs="Times New Roman"/>
          <w:lang w:val="sk"/>
        </w:rPr>
        <w:t xml:space="preserve">PVC/Al blistre. </w:t>
      </w:r>
    </w:p>
    <w:p w14:paraId="54A1E032" w14:textId="77777777" w:rsidR="00AA1C2A" w:rsidRPr="00FF0B99" w:rsidRDefault="00AA1C2A" w:rsidP="00075097">
      <w:pPr>
        <w:rPr>
          <w:rFonts w:cs="Times New Roman"/>
        </w:rPr>
      </w:pPr>
    </w:p>
    <w:p w14:paraId="6122CB55" w14:textId="67738485" w:rsidR="00AA1C2A" w:rsidRPr="00FF0B99" w:rsidRDefault="00146BDF" w:rsidP="00075097">
      <w:pPr>
        <w:rPr>
          <w:rFonts w:cs="Times New Roman"/>
        </w:rPr>
      </w:pPr>
      <w:r w:rsidRPr="00FF0B99">
        <w:rPr>
          <w:rFonts w:cs="Times New Roman"/>
          <w:shd w:val="clear" w:color="auto" w:fill="FFFFFF"/>
          <w:lang w:val="sk"/>
        </w:rPr>
        <w:t>Lisemid</w:t>
      </w:r>
      <w:r w:rsidRPr="00FF0B99">
        <w:rPr>
          <w:rFonts w:cs="Times New Roman"/>
          <w:lang w:val="sk"/>
        </w:rPr>
        <w:t xml:space="preserve"> 10 mg/5 mg tablety</w:t>
      </w:r>
    </w:p>
    <w:p w14:paraId="0EDF6EAC" w14:textId="77777777" w:rsidR="00AA1C2A" w:rsidRPr="00FF0B99" w:rsidRDefault="00AA1C2A" w:rsidP="00075097">
      <w:pPr>
        <w:rPr>
          <w:rFonts w:cs="Times New Roman"/>
        </w:rPr>
      </w:pPr>
      <w:r w:rsidRPr="00FF0B99">
        <w:rPr>
          <w:rFonts w:cs="Times New Roman"/>
          <w:lang w:val="sk"/>
        </w:rPr>
        <w:t>Jeden blister obsahuje 15 tabliet.</w:t>
      </w:r>
    </w:p>
    <w:p w14:paraId="2CA57A74" w14:textId="77777777" w:rsidR="00AA1C2A" w:rsidRPr="00B0671E" w:rsidRDefault="00AA1C2A" w:rsidP="00075097">
      <w:pPr>
        <w:rPr>
          <w:rFonts w:cs="Times New Roman"/>
          <w:lang w:val="en-GB"/>
        </w:rPr>
      </w:pPr>
      <w:r w:rsidRPr="00FF0B99">
        <w:rPr>
          <w:rFonts w:cs="Times New Roman"/>
          <w:lang w:val="sk"/>
        </w:rPr>
        <w:t>Veľkosti balenia: 30, 60 alebo 90 tabliet.</w:t>
      </w:r>
    </w:p>
    <w:p w14:paraId="63576FEE" w14:textId="77777777" w:rsidR="00AA1C2A" w:rsidRPr="00B0671E" w:rsidRDefault="00AA1C2A" w:rsidP="00075097">
      <w:pPr>
        <w:rPr>
          <w:rFonts w:cs="Times New Roman"/>
          <w:lang w:val="en-GB"/>
        </w:rPr>
      </w:pPr>
    </w:p>
    <w:p w14:paraId="2C6DFBB7" w14:textId="1C899C59" w:rsidR="00AA1C2A" w:rsidRPr="00FF0B99" w:rsidRDefault="00146BDF" w:rsidP="00075097">
      <w:pPr>
        <w:rPr>
          <w:rFonts w:cs="Times New Roman"/>
          <w:lang w:val="nn-NO"/>
        </w:rPr>
      </w:pPr>
      <w:r w:rsidRPr="00FF0B99">
        <w:rPr>
          <w:rFonts w:cs="Times New Roman"/>
          <w:lang w:val="sk"/>
        </w:rPr>
        <w:t>Lisemid 10 mg/10 mg</w:t>
      </w:r>
      <w:r w:rsidR="00FC23B6">
        <w:rPr>
          <w:rFonts w:cs="Times New Roman"/>
          <w:lang w:val="sk"/>
        </w:rPr>
        <w:t>;</w:t>
      </w:r>
      <w:r w:rsidRPr="00FF0B99">
        <w:rPr>
          <w:rFonts w:cs="Times New Roman"/>
          <w:lang w:val="sk"/>
        </w:rPr>
        <w:t xml:space="preserve"> 20 mg/5 mg</w:t>
      </w:r>
      <w:r w:rsidR="00FC23B6">
        <w:rPr>
          <w:rFonts w:cs="Times New Roman"/>
          <w:lang w:val="sk"/>
        </w:rPr>
        <w:t>;</w:t>
      </w:r>
      <w:r w:rsidRPr="00FF0B99">
        <w:rPr>
          <w:rFonts w:cs="Times New Roman"/>
          <w:lang w:val="sk"/>
        </w:rPr>
        <w:t xml:space="preserve"> 20 mg/10 mg tablety</w:t>
      </w:r>
    </w:p>
    <w:p w14:paraId="125E77CC" w14:textId="77777777" w:rsidR="00AA1C2A" w:rsidRPr="00B0671E" w:rsidRDefault="00AA1C2A" w:rsidP="00075097">
      <w:pPr>
        <w:rPr>
          <w:rFonts w:cs="Times New Roman"/>
          <w:lang w:val="nn-NO"/>
        </w:rPr>
      </w:pPr>
      <w:r w:rsidRPr="00FF0B99">
        <w:rPr>
          <w:rFonts w:cs="Times New Roman"/>
          <w:lang w:val="sk"/>
        </w:rPr>
        <w:t>Jeden blister obsahuje 10 tabliet.</w:t>
      </w:r>
    </w:p>
    <w:p w14:paraId="4D267831" w14:textId="77777777" w:rsidR="00AA1C2A" w:rsidRPr="00B0671E" w:rsidRDefault="00AA1C2A" w:rsidP="00075097">
      <w:pPr>
        <w:rPr>
          <w:rFonts w:cs="Times New Roman"/>
          <w:lang w:val="nn-NO"/>
        </w:rPr>
      </w:pPr>
      <w:r w:rsidRPr="00FF0B99">
        <w:rPr>
          <w:rFonts w:cs="Times New Roman"/>
          <w:lang w:val="sk"/>
        </w:rPr>
        <w:t>Veľkosti balenia: 30, 60 alebo 90 tabliet.</w:t>
      </w:r>
    </w:p>
    <w:p w14:paraId="57DDDAA6" w14:textId="77777777" w:rsidR="00190696" w:rsidRPr="00B0671E" w:rsidRDefault="00190696" w:rsidP="00075097">
      <w:pPr>
        <w:rPr>
          <w:rFonts w:cs="Times New Roman"/>
          <w:b/>
          <w:lang w:val="nn-NO"/>
        </w:rPr>
      </w:pPr>
    </w:p>
    <w:p w14:paraId="7519ECE4" w14:textId="77777777" w:rsidR="00AA1C2A" w:rsidRPr="00B0671E" w:rsidRDefault="00AA1C2A" w:rsidP="00075097">
      <w:pPr>
        <w:rPr>
          <w:rFonts w:cs="Times New Roman"/>
          <w:lang w:val="nn-NO"/>
        </w:rPr>
      </w:pPr>
      <w:r w:rsidRPr="00B0671E">
        <w:rPr>
          <w:rFonts w:cs="Times New Roman"/>
          <w:lang w:val="nn-NO"/>
        </w:rPr>
        <w:t>Na trh nemusia byť uvedené všetky veľkosti balenia</w:t>
      </w:r>
    </w:p>
    <w:p w14:paraId="7EA1D7D1" w14:textId="77777777" w:rsidR="00AA1C2A" w:rsidRPr="00B0671E" w:rsidRDefault="00AA1C2A" w:rsidP="00075097">
      <w:pPr>
        <w:rPr>
          <w:rFonts w:cs="Times New Roman"/>
          <w:lang w:val="nn-NO"/>
        </w:rPr>
      </w:pPr>
    </w:p>
    <w:p w14:paraId="21E169D5" w14:textId="77777777" w:rsidR="00F32292" w:rsidRPr="0069070D" w:rsidRDefault="00140BFF" w:rsidP="00075097">
      <w:pPr>
        <w:rPr>
          <w:rFonts w:cs="Times New Roman"/>
          <w:b/>
          <w:bCs/>
          <w:noProof/>
        </w:rPr>
      </w:pPr>
      <w:r w:rsidRPr="0069070D">
        <w:rPr>
          <w:rFonts w:cs="Times New Roman"/>
          <w:b/>
          <w:bCs/>
        </w:rPr>
        <w:t>6.6</w:t>
      </w:r>
      <w:r w:rsidRPr="0069070D">
        <w:rPr>
          <w:rFonts w:cs="Times New Roman"/>
          <w:b/>
          <w:bCs/>
        </w:rPr>
        <w:tab/>
      </w:r>
      <w:r w:rsidRPr="0069070D">
        <w:rPr>
          <w:rFonts w:cs="Times New Roman"/>
          <w:b/>
          <w:bCs/>
          <w:noProof/>
        </w:rPr>
        <w:t>Špeciálne opatrenia na likvidáciu</w:t>
      </w:r>
      <w:r w:rsidRPr="0069070D">
        <w:rPr>
          <w:rFonts w:cs="Times New Roman"/>
          <w:b/>
          <w:bCs/>
        </w:rPr>
        <w:t xml:space="preserve"> </w:t>
      </w:r>
      <w:r w:rsidRPr="0069070D">
        <w:rPr>
          <w:rFonts w:cs="Times New Roman"/>
          <w:b/>
          <w:bCs/>
          <w:noProof/>
        </w:rPr>
        <w:t>a iné zaobchádzanie s liekom</w:t>
      </w:r>
    </w:p>
    <w:p w14:paraId="5FA5E26C" w14:textId="77777777" w:rsidR="00F32292" w:rsidRPr="0069070D" w:rsidRDefault="00F32292" w:rsidP="00075097">
      <w:pPr>
        <w:rPr>
          <w:rFonts w:cs="Times New Roman"/>
          <w:b/>
          <w:bCs/>
          <w:noProof/>
        </w:rPr>
      </w:pPr>
    </w:p>
    <w:p w14:paraId="79EC4576" w14:textId="53868550" w:rsidR="00190696" w:rsidRPr="0069070D" w:rsidRDefault="00BD124D" w:rsidP="00075097">
      <w:pPr>
        <w:rPr>
          <w:rFonts w:cs="Times New Roman"/>
        </w:rPr>
      </w:pPr>
      <w:r>
        <w:rPr>
          <w:rFonts w:cs="Times New Roman"/>
        </w:rPr>
        <w:t>Ž</w:t>
      </w:r>
      <w:r w:rsidR="007C2E7C" w:rsidRPr="0069070D">
        <w:rPr>
          <w:rFonts w:cs="Times New Roman"/>
        </w:rPr>
        <w:t xml:space="preserve">iadne zvláštne požiadavky </w:t>
      </w:r>
    </w:p>
    <w:p w14:paraId="7831C636" w14:textId="77777777" w:rsidR="000539BF" w:rsidRDefault="000539BF" w:rsidP="00075097">
      <w:pPr>
        <w:rPr>
          <w:rFonts w:cs="Times New Roman"/>
        </w:rPr>
      </w:pPr>
    </w:p>
    <w:p w14:paraId="288DF9AF" w14:textId="77777777" w:rsidR="00FF0B99" w:rsidRPr="0069070D" w:rsidRDefault="00FF0B99" w:rsidP="00075097">
      <w:pPr>
        <w:rPr>
          <w:rFonts w:cs="Times New Roman"/>
        </w:rPr>
      </w:pPr>
    </w:p>
    <w:p w14:paraId="69B06FFC" w14:textId="77777777" w:rsidR="00190696" w:rsidRPr="0069070D" w:rsidRDefault="00190696" w:rsidP="00075097">
      <w:pPr>
        <w:pStyle w:val="Odsekzoznamu"/>
        <w:numPr>
          <w:ilvl w:val="0"/>
          <w:numId w:val="3"/>
        </w:numPr>
        <w:ind w:left="0" w:firstLine="0"/>
        <w:rPr>
          <w:rFonts w:cs="Times New Roman"/>
          <w:b/>
        </w:rPr>
      </w:pPr>
      <w:r w:rsidRPr="0069070D">
        <w:rPr>
          <w:rFonts w:cs="Times New Roman"/>
          <w:b/>
          <w:bCs/>
        </w:rPr>
        <w:t>DRŽITEĽ ROZHODNUTIA O REGISTRÁCII</w:t>
      </w:r>
    </w:p>
    <w:p w14:paraId="30C50657" w14:textId="77777777" w:rsidR="000539BF" w:rsidRDefault="000539BF" w:rsidP="00075097"/>
    <w:p w14:paraId="42A4CBA9" w14:textId="75EE475D" w:rsidR="00B0671E" w:rsidRPr="0069070D" w:rsidRDefault="00B0671E" w:rsidP="00075097">
      <w:r>
        <w:t>Aflofarm Farmacja Polska Sp. z o.o.</w:t>
      </w:r>
      <w:r>
        <w:br/>
        <w:t>Partyzancka 133/151</w:t>
      </w:r>
      <w:r>
        <w:br/>
        <w:t>95-200 Pabianice</w:t>
      </w:r>
    </w:p>
    <w:p w14:paraId="49CAE3A3" w14:textId="77777777" w:rsidR="000539BF" w:rsidRPr="0069070D" w:rsidRDefault="00FA5756" w:rsidP="00075097">
      <w:pPr>
        <w:rPr>
          <w:rFonts w:cs="Times New Roman"/>
        </w:rPr>
      </w:pPr>
      <w:r w:rsidRPr="0069070D">
        <w:rPr>
          <w:rFonts w:cs="Times New Roman"/>
        </w:rPr>
        <w:t>Poľsko</w:t>
      </w:r>
    </w:p>
    <w:p w14:paraId="078BC83F" w14:textId="77777777" w:rsidR="00FF0B99" w:rsidRDefault="00FF0B99" w:rsidP="00075097">
      <w:pPr>
        <w:rPr>
          <w:rFonts w:cs="Times New Roman"/>
        </w:rPr>
      </w:pPr>
    </w:p>
    <w:p w14:paraId="5AEF87B3" w14:textId="77777777" w:rsidR="00BF444D" w:rsidRPr="0069070D" w:rsidRDefault="00BF444D" w:rsidP="00075097">
      <w:pPr>
        <w:rPr>
          <w:rFonts w:cs="Times New Roman"/>
        </w:rPr>
      </w:pPr>
    </w:p>
    <w:p w14:paraId="188DDF2C" w14:textId="77777777" w:rsidR="00190696" w:rsidRPr="0069070D" w:rsidRDefault="000539BF" w:rsidP="00075097">
      <w:pPr>
        <w:pStyle w:val="Odsekzoznamu"/>
        <w:numPr>
          <w:ilvl w:val="0"/>
          <w:numId w:val="3"/>
        </w:numPr>
        <w:ind w:left="0" w:firstLine="0"/>
        <w:rPr>
          <w:rFonts w:cs="Times New Roman"/>
          <w:b/>
        </w:rPr>
      </w:pPr>
      <w:r w:rsidRPr="0069070D">
        <w:rPr>
          <w:rFonts w:cs="Times New Roman"/>
          <w:b/>
          <w:bCs/>
        </w:rPr>
        <w:t>REGISTRAČNÉ ČÍSLO</w:t>
      </w:r>
    </w:p>
    <w:p w14:paraId="15B75D00" w14:textId="77777777" w:rsidR="00F32292" w:rsidRDefault="00F32292" w:rsidP="00075097">
      <w:pPr>
        <w:rPr>
          <w:rFonts w:cs="Times New Roman"/>
        </w:rPr>
      </w:pPr>
    </w:p>
    <w:p w14:paraId="7E45F5B4" w14:textId="7FD6F48C" w:rsidR="005C7129" w:rsidRPr="005C7129" w:rsidRDefault="005C7129" w:rsidP="00075097">
      <w:pPr>
        <w:rPr>
          <w:rFonts w:eastAsia="SimSun" w:cs="Times New Roman"/>
          <w:shd w:val="clear" w:color="auto" w:fill="FFFFFF"/>
        </w:rPr>
      </w:pPr>
      <w:r w:rsidRPr="0069070D">
        <w:rPr>
          <w:rFonts w:eastAsia="SimSun" w:cs="Times New Roman"/>
          <w:shd w:val="clear" w:color="auto" w:fill="FFFFFF"/>
        </w:rPr>
        <w:t>Lisemid</w:t>
      </w:r>
      <w:r>
        <w:rPr>
          <w:rFonts w:eastAsia="SimSun" w:cs="Times New Roman"/>
          <w:shd w:val="clear" w:color="auto" w:fill="FFFFFF"/>
        </w:rPr>
        <w:t xml:space="preserve"> </w:t>
      </w:r>
      <w:r w:rsidRPr="0069070D">
        <w:rPr>
          <w:rFonts w:eastAsia="SimSun" w:cs="Times New Roman"/>
          <w:shd w:val="clear" w:color="auto" w:fill="FFFFFF"/>
        </w:rPr>
        <w:t>10 mg/5 mg</w:t>
      </w:r>
      <w:r>
        <w:rPr>
          <w:rFonts w:eastAsia="SimSun" w:cs="Times New Roman"/>
          <w:shd w:val="clear" w:color="auto" w:fill="FFFFFF"/>
        </w:rPr>
        <w:t>:</w:t>
      </w:r>
      <w:r w:rsidRPr="000A1CF2">
        <w:rPr>
          <w:rFonts w:eastAsia="SimSun" w:cs="Times New Roman"/>
          <w:shd w:val="clear" w:color="auto" w:fill="FFFFFF"/>
          <w:lang w:val="sk"/>
        </w:rPr>
        <w:t xml:space="preserve"> </w:t>
      </w:r>
      <w:r w:rsidRPr="005C7129">
        <w:rPr>
          <w:rFonts w:cs="Times New Roman"/>
        </w:rPr>
        <w:t>58/0045/18-S</w:t>
      </w:r>
    </w:p>
    <w:p w14:paraId="74F5F01D" w14:textId="189C056F" w:rsidR="005C7129" w:rsidRPr="005C7129" w:rsidRDefault="005C7129" w:rsidP="00075097">
      <w:pPr>
        <w:rPr>
          <w:rFonts w:eastAsia="SimSun" w:cs="Times New Roman"/>
          <w:shd w:val="clear" w:color="auto" w:fill="FFFFFF"/>
        </w:rPr>
      </w:pPr>
      <w:r w:rsidRPr="0069070D">
        <w:rPr>
          <w:rFonts w:eastAsia="SimSun" w:cs="Times New Roman"/>
          <w:shd w:val="clear" w:color="auto" w:fill="FFFFFF"/>
        </w:rPr>
        <w:t>Lisemid</w:t>
      </w:r>
      <w:r>
        <w:rPr>
          <w:rFonts w:eastAsia="SimSun" w:cs="Times New Roman"/>
          <w:shd w:val="clear" w:color="auto" w:fill="FFFFFF"/>
        </w:rPr>
        <w:t xml:space="preserve"> 10 mg/10</w:t>
      </w:r>
      <w:r w:rsidRPr="0069070D">
        <w:rPr>
          <w:rFonts w:eastAsia="SimSun" w:cs="Times New Roman"/>
          <w:shd w:val="clear" w:color="auto" w:fill="FFFFFF"/>
        </w:rPr>
        <w:t xml:space="preserve"> mg</w:t>
      </w:r>
      <w:r>
        <w:rPr>
          <w:rFonts w:eastAsia="SimSun" w:cs="Times New Roman"/>
          <w:shd w:val="clear" w:color="auto" w:fill="FFFFFF"/>
        </w:rPr>
        <w:t>:</w:t>
      </w:r>
      <w:r w:rsidRPr="000A1CF2">
        <w:rPr>
          <w:rFonts w:eastAsia="SimSun" w:cs="Times New Roman"/>
          <w:shd w:val="clear" w:color="auto" w:fill="FFFFFF"/>
          <w:lang w:val="sk"/>
        </w:rPr>
        <w:t xml:space="preserve"> </w:t>
      </w:r>
      <w:r>
        <w:rPr>
          <w:rFonts w:cs="Times New Roman"/>
        </w:rPr>
        <w:t>58/0046</w:t>
      </w:r>
      <w:r w:rsidRPr="005C7129">
        <w:rPr>
          <w:rFonts w:cs="Times New Roman"/>
        </w:rPr>
        <w:t>/18-S</w:t>
      </w:r>
    </w:p>
    <w:p w14:paraId="1B3CCF29" w14:textId="0F76B78F" w:rsidR="005C7129" w:rsidRPr="005C7129" w:rsidRDefault="005C7129" w:rsidP="00075097">
      <w:pPr>
        <w:rPr>
          <w:rFonts w:eastAsia="SimSun" w:cs="Times New Roman"/>
          <w:shd w:val="clear" w:color="auto" w:fill="FFFFFF"/>
        </w:rPr>
      </w:pPr>
      <w:r w:rsidRPr="0069070D">
        <w:rPr>
          <w:rFonts w:eastAsia="SimSun" w:cs="Times New Roman"/>
          <w:shd w:val="clear" w:color="auto" w:fill="FFFFFF"/>
        </w:rPr>
        <w:t>Lisemid</w:t>
      </w:r>
      <w:r>
        <w:rPr>
          <w:rFonts w:eastAsia="SimSun" w:cs="Times New Roman"/>
          <w:shd w:val="clear" w:color="auto" w:fill="FFFFFF"/>
        </w:rPr>
        <w:t xml:space="preserve"> 2</w:t>
      </w:r>
      <w:r w:rsidRPr="0069070D">
        <w:rPr>
          <w:rFonts w:eastAsia="SimSun" w:cs="Times New Roman"/>
          <w:shd w:val="clear" w:color="auto" w:fill="FFFFFF"/>
        </w:rPr>
        <w:t>0 mg/5 mg</w:t>
      </w:r>
      <w:r>
        <w:rPr>
          <w:rFonts w:eastAsia="SimSun" w:cs="Times New Roman"/>
          <w:shd w:val="clear" w:color="auto" w:fill="FFFFFF"/>
        </w:rPr>
        <w:t>:</w:t>
      </w:r>
      <w:r w:rsidRPr="000A1CF2">
        <w:rPr>
          <w:rFonts w:eastAsia="SimSun" w:cs="Times New Roman"/>
          <w:shd w:val="clear" w:color="auto" w:fill="FFFFFF"/>
          <w:lang w:val="sk"/>
        </w:rPr>
        <w:t xml:space="preserve"> </w:t>
      </w:r>
      <w:r>
        <w:rPr>
          <w:rFonts w:cs="Times New Roman"/>
        </w:rPr>
        <w:t>58/0047</w:t>
      </w:r>
      <w:r w:rsidRPr="005C7129">
        <w:rPr>
          <w:rFonts w:cs="Times New Roman"/>
        </w:rPr>
        <w:t>/18-S</w:t>
      </w:r>
    </w:p>
    <w:p w14:paraId="2050F714" w14:textId="69D34936" w:rsidR="005C7129" w:rsidRDefault="005C7129" w:rsidP="00075097">
      <w:pPr>
        <w:rPr>
          <w:rFonts w:cs="Times New Roman"/>
        </w:rPr>
      </w:pPr>
      <w:r w:rsidRPr="0069070D">
        <w:rPr>
          <w:rFonts w:eastAsia="SimSun" w:cs="Times New Roman"/>
          <w:shd w:val="clear" w:color="auto" w:fill="FFFFFF"/>
        </w:rPr>
        <w:t>Lisemid</w:t>
      </w:r>
      <w:r>
        <w:rPr>
          <w:rFonts w:eastAsia="SimSun" w:cs="Times New Roman"/>
          <w:shd w:val="clear" w:color="auto" w:fill="FFFFFF"/>
        </w:rPr>
        <w:t xml:space="preserve"> 20 mg/10</w:t>
      </w:r>
      <w:r w:rsidRPr="0069070D">
        <w:rPr>
          <w:rFonts w:eastAsia="SimSun" w:cs="Times New Roman"/>
          <w:shd w:val="clear" w:color="auto" w:fill="FFFFFF"/>
        </w:rPr>
        <w:t xml:space="preserve"> mg</w:t>
      </w:r>
      <w:r>
        <w:rPr>
          <w:rFonts w:eastAsia="SimSun" w:cs="Times New Roman"/>
          <w:shd w:val="clear" w:color="auto" w:fill="FFFFFF"/>
        </w:rPr>
        <w:t>:</w:t>
      </w:r>
      <w:r w:rsidRPr="000A1CF2">
        <w:rPr>
          <w:rFonts w:eastAsia="SimSun" w:cs="Times New Roman"/>
          <w:shd w:val="clear" w:color="auto" w:fill="FFFFFF"/>
          <w:lang w:val="sk"/>
        </w:rPr>
        <w:t xml:space="preserve"> </w:t>
      </w:r>
      <w:r>
        <w:rPr>
          <w:rFonts w:cs="Times New Roman"/>
        </w:rPr>
        <w:t>58/0048</w:t>
      </w:r>
      <w:r w:rsidRPr="005C7129">
        <w:rPr>
          <w:rFonts w:cs="Times New Roman"/>
        </w:rPr>
        <w:t>/18-S</w:t>
      </w:r>
    </w:p>
    <w:p w14:paraId="69AC8930" w14:textId="77777777" w:rsidR="005C7129" w:rsidRPr="005C7129" w:rsidRDefault="005C7129" w:rsidP="00075097">
      <w:pPr>
        <w:rPr>
          <w:rFonts w:eastAsia="SimSun" w:cs="Times New Roman"/>
          <w:shd w:val="clear" w:color="auto" w:fill="FFFFFF"/>
        </w:rPr>
      </w:pPr>
    </w:p>
    <w:p w14:paraId="36777D73" w14:textId="77777777" w:rsidR="00FF0B99" w:rsidRPr="0069070D" w:rsidRDefault="00FF0B99" w:rsidP="00075097">
      <w:pPr>
        <w:rPr>
          <w:rFonts w:cs="Times New Roman"/>
        </w:rPr>
      </w:pPr>
    </w:p>
    <w:p w14:paraId="21148450" w14:textId="77777777" w:rsidR="00190696" w:rsidRPr="001768C3" w:rsidRDefault="00190696" w:rsidP="00075097">
      <w:pPr>
        <w:pStyle w:val="Odsekzoznamu"/>
        <w:numPr>
          <w:ilvl w:val="0"/>
          <w:numId w:val="3"/>
        </w:numPr>
        <w:ind w:left="0" w:firstLine="0"/>
        <w:rPr>
          <w:rFonts w:cs="Times New Roman"/>
          <w:b/>
        </w:rPr>
      </w:pPr>
      <w:r w:rsidRPr="0069070D">
        <w:rPr>
          <w:rFonts w:cs="Times New Roman"/>
          <w:b/>
          <w:bCs/>
        </w:rPr>
        <w:t>DÁTUM PRVEJ REGISTRÁCIE/PREDĹŽENIA REGISTRÁCIE</w:t>
      </w:r>
    </w:p>
    <w:p w14:paraId="03E3A245" w14:textId="77777777" w:rsidR="001768C3" w:rsidRDefault="001768C3" w:rsidP="00F61038">
      <w:pPr>
        <w:rPr>
          <w:rFonts w:cs="Times New Roman"/>
          <w:b/>
        </w:rPr>
      </w:pPr>
    </w:p>
    <w:p w14:paraId="23DEC763" w14:textId="46FC86EF" w:rsidR="001768C3" w:rsidRPr="00CA7446" w:rsidRDefault="001768C3" w:rsidP="00F61038">
      <w:pPr>
        <w:rPr>
          <w:rFonts w:cs="Times New Roman"/>
        </w:rPr>
      </w:pPr>
      <w:r w:rsidRPr="00F61038">
        <w:rPr>
          <w:rFonts w:cs="Times New Roman"/>
        </w:rPr>
        <w:t>Dátum prvej registrácie:</w:t>
      </w:r>
      <w:r w:rsidR="00CA7446">
        <w:rPr>
          <w:rFonts w:cs="Times New Roman"/>
        </w:rPr>
        <w:t xml:space="preserve"> 6. február 2018</w:t>
      </w:r>
    </w:p>
    <w:p w14:paraId="2B24BB3E" w14:textId="77777777" w:rsidR="00FF0B99" w:rsidRDefault="00FF0B99" w:rsidP="00075097">
      <w:pPr>
        <w:rPr>
          <w:rFonts w:cs="Times New Roman"/>
        </w:rPr>
      </w:pPr>
    </w:p>
    <w:p w14:paraId="3B300C9F" w14:textId="77777777" w:rsidR="00A05C33" w:rsidRPr="0069070D" w:rsidRDefault="00A05C33" w:rsidP="00075097">
      <w:pPr>
        <w:rPr>
          <w:rFonts w:cs="Times New Roman"/>
        </w:rPr>
      </w:pPr>
    </w:p>
    <w:p w14:paraId="3D60F419" w14:textId="77777777" w:rsidR="00AA1C2A" w:rsidRPr="00503F6A" w:rsidRDefault="00190696" w:rsidP="00075097">
      <w:pPr>
        <w:pStyle w:val="Odsekzoznamu"/>
        <w:numPr>
          <w:ilvl w:val="0"/>
          <w:numId w:val="3"/>
        </w:numPr>
        <w:ind w:left="0" w:firstLine="0"/>
        <w:rPr>
          <w:rFonts w:cs="Times New Roman"/>
          <w:b/>
        </w:rPr>
      </w:pPr>
      <w:r w:rsidRPr="0069070D">
        <w:rPr>
          <w:rFonts w:cs="Times New Roman"/>
          <w:b/>
          <w:bCs/>
        </w:rPr>
        <w:t>DÁTUM REVÍZIE TEXTU</w:t>
      </w:r>
    </w:p>
    <w:p w14:paraId="18F16136" w14:textId="77777777" w:rsidR="00503F6A" w:rsidRDefault="00503F6A" w:rsidP="00830D1C">
      <w:pPr>
        <w:pStyle w:val="Odsekzoznamu"/>
        <w:ind w:left="0"/>
        <w:rPr>
          <w:rFonts w:cs="Times New Roman"/>
          <w:b/>
          <w:bCs/>
        </w:rPr>
      </w:pPr>
    </w:p>
    <w:p w14:paraId="2DB951FA" w14:textId="3BD80488" w:rsidR="00503F6A" w:rsidRPr="00BF444D" w:rsidRDefault="001768C3" w:rsidP="00830D1C">
      <w:pPr>
        <w:pStyle w:val="Odsekzoznamu"/>
        <w:ind w:left="0"/>
        <w:rPr>
          <w:rFonts w:cs="Times New Roman"/>
        </w:rPr>
      </w:pPr>
      <w:r>
        <w:rPr>
          <w:rFonts w:cs="Times New Roman"/>
          <w:bCs/>
        </w:rPr>
        <w:t>09/2019</w:t>
      </w:r>
    </w:p>
    <w:sectPr w:rsidR="00503F6A" w:rsidRPr="00BF444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AD330" w14:textId="77777777" w:rsidR="001A69AD" w:rsidRDefault="001A69AD" w:rsidP="006D6702">
      <w:pPr>
        <w:spacing w:line="240" w:lineRule="auto"/>
      </w:pPr>
      <w:r>
        <w:separator/>
      </w:r>
    </w:p>
  </w:endnote>
  <w:endnote w:type="continuationSeparator" w:id="0">
    <w:p w14:paraId="57851021" w14:textId="77777777" w:rsidR="001A69AD" w:rsidRDefault="001A69AD" w:rsidP="006D6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FC831" w14:textId="77777777" w:rsidR="00CA7446" w:rsidRDefault="00CA744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3042"/>
      <w:docPartObj>
        <w:docPartGallery w:val="Page Numbers (Bottom of Page)"/>
        <w:docPartUnique/>
      </w:docPartObj>
    </w:sdtPr>
    <w:sdtEndPr/>
    <w:sdtContent>
      <w:p w14:paraId="4F227548" w14:textId="52B4D8F2" w:rsidR="00CA7446" w:rsidRDefault="00CA7446">
        <w:pPr>
          <w:pStyle w:val="Pta"/>
          <w:jc w:val="center"/>
        </w:pPr>
        <w:r>
          <w:fldChar w:fldCharType="begin"/>
        </w:r>
        <w:r>
          <w:instrText>PAGE   \* MERGEFORMAT</w:instrText>
        </w:r>
        <w:r>
          <w:fldChar w:fldCharType="separate"/>
        </w:r>
        <w:r w:rsidR="00F61038" w:rsidRPr="00F61038">
          <w:rPr>
            <w:noProof/>
            <w:lang w:val="sk-SK"/>
          </w:rPr>
          <w:t>21</w:t>
        </w:r>
        <w:r>
          <w:fldChar w:fldCharType="end"/>
        </w:r>
      </w:p>
    </w:sdtContent>
  </w:sdt>
  <w:p w14:paraId="65707564" w14:textId="77777777" w:rsidR="00CA7446" w:rsidRDefault="00CA7446">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D5E2B" w14:textId="77777777" w:rsidR="00CA7446" w:rsidRDefault="00CA744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86D08" w14:textId="77777777" w:rsidR="001A69AD" w:rsidRDefault="001A69AD" w:rsidP="006D6702">
      <w:pPr>
        <w:spacing w:line="240" w:lineRule="auto"/>
      </w:pPr>
      <w:r>
        <w:separator/>
      </w:r>
    </w:p>
  </w:footnote>
  <w:footnote w:type="continuationSeparator" w:id="0">
    <w:p w14:paraId="099DB609" w14:textId="77777777" w:rsidR="001A69AD" w:rsidRDefault="001A69AD" w:rsidP="006D67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2D881" w14:textId="77777777" w:rsidR="00CA7446" w:rsidRDefault="00CA744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84D66" w14:textId="48DB2709" w:rsidR="00BF444D" w:rsidRPr="00F61038" w:rsidRDefault="001768C3">
    <w:pPr>
      <w:pStyle w:val="Hlavika"/>
      <w:rPr>
        <w:sz w:val="18"/>
        <w:szCs w:val="18"/>
      </w:rPr>
    </w:pPr>
    <w:r>
      <w:rPr>
        <w:sz w:val="18"/>
        <w:szCs w:val="18"/>
      </w:rPr>
      <w:t>Schválený text k rozhodnutiu o prevode, ev.č. 2019/05061-TR, 2019/05062-TR, 2019/05063-TR, 2019/05064-TR</w:t>
    </w:r>
  </w:p>
  <w:p w14:paraId="3174B787" w14:textId="77777777" w:rsidR="00BF444D" w:rsidRDefault="00BF444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5E598" w14:textId="77777777" w:rsidR="00CA7446" w:rsidRDefault="00CA744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D1C5E"/>
    <w:multiLevelType w:val="multilevel"/>
    <w:tmpl w:val="1C125640"/>
    <w:lvl w:ilvl="0">
      <w:start w:val="1"/>
      <w:numFmt w:val="decimal"/>
      <w:lvlText w:val="%1."/>
      <w:lvlJc w:val="left"/>
      <w:pPr>
        <w:ind w:left="927" w:hanging="360"/>
      </w:pPr>
      <w:rPr>
        <w:rFonts w:hint="default"/>
      </w:rPr>
    </w:lvl>
    <w:lvl w:ilvl="1">
      <w:start w:val="2"/>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272D196D"/>
    <w:multiLevelType w:val="hybridMultilevel"/>
    <w:tmpl w:val="501A4ACA"/>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1796339"/>
    <w:multiLevelType w:val="hybridMultilevel"/>
    <w:tmpl w:val="C086817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550F7843"/>
    <w:multiLevelType w:val="hybridMultilevel"/>
    <w:tmpl w:val="171AADE0"/>
    <w:lvl w:ilvl="0" w:tplc="FA54326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FD1BC0"/>
    <w:multiLevelType w:val="hybridMultilevel"/>
    <w:tmpl w:val="763C3E4C"/>
    <w:lvl w:ilvl="0" w:tplc="FFFFFFFF">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D565DFC"/>
    <w:multiLevelType w:val="hybridMultilevel"/>
    <w:tmpl w:val="A6D816A6"/>
    <w:lvl w:ilvl="0" w:tplc="FFFFFFFF">
      <w:start w:val="1"/>
      <w:numFmt w:val="bullet"/>
      <w:lvlText w:val="-"/>
      <w:lvlJc w:val="left"/>
      <w:pPr>
        <w:ind w:left="1287" w:hanging="360"/>
      </w:p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6DD71D9A"/>
    <w:multiLevelType w:val="hybridMultilevel"/>
    <w:tmpl w:val="B5621BFA"/>
    <w:lvl w:ilvl="0" w:tplc="FFFFFFFF">
      <w:start w:val="1"/>
      <w:numFmt w:val="bullet"/>
      <w:lvlText w:val="-"/>
      <w:lvlJc w:val="left"/>
      <w:pPr>
        <w:ind w:left="1287" w:hanging="360"/>
      </w:p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696"/>
    <w:rsid w:val="0000605E"/>
    <w:rsid w:val="00024234"/>
    <w:rsid w:val="000539BF"/>
    <w:rsid w:val="000727AB"/>
    <w:rsid w:val="00073797"/>
    <w:rsid w:val="00075097"/>
    <w:rsid w:val="00076B49"/>
    <w:rsid w:val="0008075F"/>
    <w:rsid w:val="000854C6"/>
    <w:rsid w:val="000907CA"/>
    <w:rsid w:val="000A1CF2"/>
    <w:rsid w:val="000C7775"/>
    <w:rsid w:val="00100B99"/>
    <w:rsid w:val="00106995"/>
    <w:rsid w:val="001162D7"/>
    <w:rsid w:val="00140BFF"/>
    <w:rsid w:val="00146BDF"/>
    <w:rsid w:val="001768C3"/>
    <w:rsid w:val="0018261E"/>
    <w:rsid w:val="001870ED"/>
    <w:rsid w:val="00190696"/>
    <w:rsid w:val="00196329"/>
    <w:rsid w:val="001A3BDE"/>
    <w:rsid w:val="001A69AD"/>
    <w:rsid w:val="001B5FEA"/>
    <w:rsid w:val="001E47FB"/>
    <w:rsid w:val="001F044F"/>
    <w:rsid w:val="001F05A4"/>
    <w:rsid w:val="001F06A8"/>
    <w:rsid w:val="00232CDF"/>
    <w:rsid w:val="002510FD"/>
    <w:rsid w:val="002C45F8"/>
    <w:rsid w:val="003267C2"/>
    <w:rsid w:val="00350687"/>
    <w:rsid w:val="00353E96"/>
    <w:rsid w:val="003748ED"/>
    <w:rsid w:val="003864BA"/>
    <w:rsid w:val="004073F0"/>
    <w:rsid w:val="00407BEA"/>
    <w:rsid w:val="0046634D"/>
    <w:rsid w:val="00477D5B"/>
    <w:rsid w:val="00482FD4"/>
    <w:rsid w:val="004B47C0"/>
    <w:rsid w:val="004C1D95"/>
    <w:rsid w:val="004C5F93"/>
    <w:rsid w:val="00503F6A"/>
    <w:rsid w:val="0050690C"/>
    <w:rsid w:val="00511061"/>
    <w:rsid w:val="00566EB5"/>
    <w:rsid w:val="00582105"/>
    <w:rsid w:val="005A2A81"/>
    <w:rsid w:val="005C6D77"/>
    <w:rsid w:val="005C7129"/>
    <w:rsid w:val="005E054A"/>
    <w:rsid w:val="005E51BC"/>
    <w:rsid w:val="006011EF"/>
    <w:rsid w:val="0062132A"/>
    <w:rsid w:val="00657D5C"/>
    <w:rsid w:val="00683CCD"/>
    <w:rsid w:val="0069070D"/>
    <w:rsid w:val="006B018E"/>
    <w:rsid w:val="006C7385"/>
    <w:rsid w:val="006D6702"/>
    <w:rsid w:val="006E475E"/>
    <w:rsid w:val="007B1169"/>
    <w:rsid w:val="007C2E7C"/>
    <w:rsid w:val="007C5E19"/>
    <w:rsid w:val="007C75BB"/>
    <w:rsid w:val="007D13B5"/>
    <w:rsid w:val="007E353F"/>
    <w:rsid w:val="00830D1C"/>
    <w:rsid w:val="0083458A"/>
    <w:rsid w:val="008C01C7"/>
    <w:rsid w:val="008D799E"/>
    <w:rsid w:val="00905E3A"/>
    <w:rsid w:val="009222C9"/>
    <w:rsid w:val="00963F7A"/>
    <w:rsid w:val="00974C6F"/>
    <w:rsid w:val="0099776C"/>
    <w:rsid w:val="009C7F09"/>
    <w:rsid w:val="009F1C16"/>
    <w:rsid w:val="00A0186D"/>
    <w:rsid w:val="00A05C33"/>
    <w:rsid w:val="00A159C9"/>
    <w:rsid w:val="00A21CC6"/>
    <w:rsid w:val="00A51DE5"/>
    <w:rsid w:val="00A91828"/>
    <w:rsid w:val="00AA1C2A"/>
    <w:rsid w:val="00AA7FB5"/>
    <w:rsid w:val="00AD52A2"/>
    <w:rsid w:val="00AD66FB"/>
    <w:rsid w:val="00B0229A"/>
    <w:rsid w:val="00B0671E"/>
    <w:rsid w:val="00BD124D"/>
    <w:rsid w:val="00BF444D"/>
    <w:rsid w:val="00C10C23"/>
    <w:rsid w:val="00C24905"/>
    <w:rsid w:val="00C73398"/>
    <w:rsid w:val="00CA7446"/>
    <w:rsid w:val="00CC3152"/>
    <w:rsid w:val="00CD0265"/>
    <w:rsid w:val="00CD6D71"/>
    <w:rsid w:val="00CF03DC"/>
    <w:rsid w:val="00D23BE5"/>
    <w:rsid w:val="00D30EA8"/>
    <w:rsid w:val="00D94FB8"/>
    <w:rsid w:val="00DA3E7E"/>
    <w:rsid w:val="00DB4904"/>
    <w:rsid w:val="00E23B05"/>
    <w:rsid w:val="00E3004A"/>
    <w:rsid w:val="00E73F3B"/>
    <w:rsid w:val="00EE56A7"/>
    <w:rsid w:val="00F32292"/>
    <w:rsid w:val="00F441B5"/>
    <w:rsid w:val="00F57E97"/>
    <w:rsid w:val="00F61038"/>
    <w:rsid w:val="00F64A5C"/>
    <w:rsid w:val="00FA0DA2"/>
    <w:rsid w:val="00FA5756"/>
    <w:rsid w:val="00FB016D"/>
    <w:rsid w:val="00FC23B6"/>
    <w:rsid w:val="00FF0B99"/>
    <w:rsid w:val="00FF563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28A2"/>
  <w15:docId w15:val="{C66F1F70-0BBD-4A50-8B3C-8E36CCD0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0EA8"/>
    <w:pPr>
      <w:spacing w:after="0"/>
    </w:pPr>
    <w:rPr>
      <w:rFonts w:ascii="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90696"/>
    <w:pPr>
      <w:ind w:left="720"/>
      <w:contextualSpacing/>
    </w:pPr>
  </w:style>
  <w:style w:type="character" w:styleId="Hypertextovprepojenie">
    <w:name w:val="Hyperlink"/>
    <w:basedOn w:val="Predvolenpsmoodseku"/>
    <w:uiPriority w:val="99"/>
    <w:semiHidden/>
    <w:unhideWhenUsed/>
    <w:rsid w:val="00FA0DA2"/>
    <w:rPr>
      <w:color w:val="0000FF" w:themeColor="hyperlink"/>
      <w:u w:val="single"/>
    </w:rPr>
  </w:style>
  <w:style w:type="paragraph" w:styleId="Hlavika">
    <w:name w:val="header"/>
    <w:basedOn w:val="Normlny"/>
    <w:link w:val="HlavikaChar"/>
    <w:uiPriority w:val="99"/>
    <w:unhideWhenUsed/>
    <w:rsid w:val="006D6702"/>
    <w:pPr>
      <w:tabs>
        <w:tab w:val="center" w:pos="4536"/>
        <w:tab w:val="right" w:pos="9072"/>
      </w:tabs>
      <w:spacing w:line="240" w:lineRule="auto"/>
    </w:pPr>
  </w:style>
  <w:style w:type="character" w:customStyle="1" w:styleId="HlavikaChar">
    <w:name w:val="Hlavička Char"/>
    <w:basedOn w:val="Predvolenpsmoodseku"/>
    <w:link w:val="Hlavika"/>
    <w:uiPriority w:val="99"/>
    <w:rsid w:val="006D6702"/>
    <w:rPr>
      <w:rFonts w:ascii="Times New Roman" w:hAnsi="Times New Roman"/>
    </w:rPr>
  </w:style>
  <w:style w:type="paragraph" w:styleId="Pta">
    <w:name w:val="footer"/>
    <w:basedOn w:val="Normlny"/>
    <w:link w:val="PtaChar"/>
    <w:uiPriority w:val="99"/>
    <w:unhideWhenUsed/>
    <w:rsid w:val="006D6702"/>
    <w:pPr>
      <w:tabs>
        <w:tab w:val="center" w:pos="4536"/>
        <w:tab w:val="right" w:pos="9072"/>
      </w:tabs>
      <w:spacing w:line="240" w:lineRule="auto"/>
    </w:pPr>
  </w:style>
  <w:style w:type="character" w:customStyle="1" w:styleId="PtaChar">
    <w:name w:val="Päta Char"/>
    <w:basedOn w:val="Predvolenpsmoodseku"/>
    <w:link w:val="Pta"/>
    <w:uiPriority w:val="99"/>
    <w:rsid w:val="006D6702"/>
    <w:rPr>
      <w:rFonts w:ascii="Times New Roman" w:hAnsi="Times New Roman"/>
    </w:rPr>
  </w:style>
  <w:style w:type="paragraph" w:styleId="Textbubliny">
    <w:name w:val="Balloon Text"/>
    <w:basedOn w:val="Normlny"/>
    <w:link w:val="TextbublinyChar"/>
    <w:uiPriority w:val="99"/>
    <w:semiHidden/>
    <w:unhideWhenUsed/>
    <w:rsid w:val="006D6702"/>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6702"/>
    <w:rPr>
      <w:rFonts w:ascii="Segoe UI" w:hAnsi="Segoe UI" w:cs="Segoe UI"/>
      <w:sz w:val="18"/>
      <w:szCs w:val="18"/>
    </w:rPr>
  </w:style>
  <w:style w:type="character" w:styleId="Odkaznakomentr">
    <w:name w:val="annotation reference"/>
    <w:basedOn w:val="Predvolenpsmoodseku"/>
    <w:uiPriority w:val="99"/>
    <w:semiHidden/>
    <w:unhideWhenUsed/>
    <w:rsid w:val="00511061"/>
    <w:rPr>
      <w:sz w:val="16"/>
      <w:szCs w:val="16"/>
    </w:rPr>
  </w:style>
  <w:style w:type="paragraph" w:styleId="Textkomentra">
    <w:name w:val="annotation text"/>
    <w:basedOn w:val="Normlny"/>
    <w:link w:val="TextkomentraChar"/>
    <w:uiPriority w:val="99"/>
    <w:semiHidden/>
    <w:unhideWhenUsed/>
    <w:rsid w:val="00511061"/>
    <w:pPr>
      <w:spacing w:line="240" w:lineRule="auto"/>
    </w:pPr>
    <w:rPr>
      <w:sz w:val="20"/>
      <w:szCs w:val="20"/>
    </w:rPr>
  </w:style>
  <w:style w:type="character" w:customStyle="1" w:styleId="TextkomentraChar">
    <w:name w:val="Text komentára Char"/>
    <w:basedOn w:val="Predvolenpsmoodseku"/>
    <w:link w:val="Textkomentra"/>
    <w:uiPriority w:val="99"/>
    <w:semiHidden/>
    <w:rsid w:val="0051106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511061"/>
    <w:rPr>
      <w:b/>
      <w:bCs/>
    </w:rPr>
  </w:style>
  <w:style w:type="character" w:customStyle="1" w:styleId="PredmetkomentraChar">
    <w:name w:val="Predmet komentára Char"/>
    <w:basedOn w:val="TextkomentraChar"/>
    <w:link w:val="Predmetkomentra"/>
    <w:uiPriority w:val="99"/>
    <w:semiHidden/>
    <w:rsid w:val="00511061"/>
    <w:rPr>
      <w:rFonts w:ascii="Times New Roman" w:hAnsi="Times New Roman"/>
      <w:b/>
      <w:bCs/>
      <w:sz w:val="20"/>
      <w:szCs w:val="20"/>
    </w:rPr>
  </w:style>
  <w:style w:type="character" w:styleId="PouitHypertextovPrepojenie">
    <w:name w:val="FollowedHyperlink"/>
    <w:basedOn w:val="Predvolenpsmoodseku"/>
    <w:uiPriority w:val="99"/>
    <w:semiHidden/>
    <w:unhideWhenUsed/>
    <w:rsid w:val="00BD12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55572">
      <w:bodyDiv w:val="1"/>
      <w:marLeft w:val="0"/>
      <w:marRight w:val="0"/>
      <w:marTop w:val="0"/>
      <w:marBottom w:val="0"/>
      <w:divBdr>
        <w:top w:val="none" w:sz="0" w:space="0" w:color="auto"/>
        <w:left w:val="none" w:sz="0" w:space="0" w:color="auto"/>
        <w:bottom w:val="none" w:sz="0" w:space="0" w:color="auto"/>
        <w:right w:val="none" w:sz="0" w:space="0" w:color="auto"/>
      </w:divBdr>
    </w:div>
    <w:div w:id="95174448">
      <w:bodyDiv w:val="1"/>
      <w:marLeft w:val="0"/>
      <w:marRight w:val="0"/>
      <w:marTop w:val="0"/>
      <w:marBottom w:val="0"/>
      <w:divBdr>
        <w:top w:val="none" w:sz="0" w:space="0" w:color="auto"/>
        <w:left w:val="none" w:sz="0" w:space="0" w:color="auto"/>
        <w:bottom w:val="none" w:sz="0" w:space="0" w:color="auto"/>
        <w:right w:val="none" w:sz="0" w:space="0" w:color="auto"/>
      </w:divBdr>
    </w:div>
    <w:div w:id="1161970664">
      <w:bodyDiv w:val="1"/>
      <w:marLeft w:val="0"/>
      <w:marRight w:val="0"/>
      <w:marTop w:val="0"/>
      <w:marBottom w:val="0"/>
      <w:divBdr>
        <w:top w:val="none" w:sz="0" w:space="0" w:color="auto"/>
        <w:left w:val="none" w:sz="0" w:space="0" w:color="auto"/>
        <w:bottom w:val="none" w:sz="0" w:space="0" w:color="auto"/>
        <w:right w:val="none" w:sz="0" w:space="0" w:color="auto"/>
      </w:divBdr>
    </w:div>
    <w:div w:id="1843625415">
      <w:bodyDiv w:val="1"/>
      <w:marLeft w:val="0"/>
      <w:marRight w:val="0"/>
      <w:marTop w:val="0"/>
      <w:marBottom w:val="0"/>
      <w:divBdr>
        <w:top w:val="none" w:sz="0" w:space="0" w:color="auto"/>
        <w:left w:val="none" w:sz="0" w:space="0" w:color="auto"/>
        <w:bottom w:val="none" w:sz="0" w:space="0" w:color="auto"/>
        <w:right w:val="none" w:sz="0" w:space="0" w:color="auto"/>
      </w:divBdr>
    </w:div>
    <w:div w:id="20097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A36DC-6595-467D-9F5A-A899746E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7176</Words>
  <Characters>40904</Characters>
  <Application>Microsoft Office Word</Application>
  <DocSecurity>0</DocSecurity>
  <Lines>340</Lines>
  <Paragraphs>95</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423_</dc:creator>
  <cp:lastModifiedBy>Vargová, Dagmar</cp:lastModifiedBy>
  <cp:revision>11</cp:revision>
  <cp:lastPrinted>2019-09-06T06:54:00Z</cp:lastPrinted>
  <dcterms:created xsi:type="dcterms:W3CDTF">2019-07-26T07:55:00Z</dcterms:created>
  <dcterms:modified xsi:type="dcterms:W3CDTF">2019-09-09T07:17:00Z</dcterms:modified>
</cp:coreProperties>
</file>