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7312C" w14:textId="77777777" w:rsidR="00F16618" w:rsidRPr="00B12F7A" w:rsidRDefault="00F16618" w:rsidP="00F16618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  <w:lang w:val="sk-SK"/>
        </w:rPr>
      </w:pPr>
      <w:bookmarkStart w:id="0" w:name="_GoBack"/>
      <w:bookmarkEnd w:id="0"/>
      <w:r w:rsidRPr="00B12F7A">
        <w:rPr>
          <w:rFonts w:ascii="Times New Roman" w:hAnsi="Times New Roman"/>
          <w:sz w:val="22"/>
          <w:szCs w:val="22"/>
          <w:lang w:val="sk-SK"/>
        </w:rPr>
        <w:t>SÚHRN CHARAKTERISTICKÝCH VLASTNOSTÍ LIEKU</w:t>
      </w:r>
    </w:p>
    <w:p w14:paraId="532610D1" w14:textId="77777777" w:rsidR="00F16618" w:rsidRPr="00B12F7A" w:rsidRDefault="00F16618" w:rsidP="00F16618">
      <w:pPr>
        <w:pStyle w:val="Zkladntext"/>
        <w:jc w:val="both"/>
        <w:rPr>
          <w:sz w:val="22"/>
          <w:szCs w:val="22"/>
          <w:lang w:val="sk-SK"/>
        </w:rPr>
      </w:pPr>
    </w:p>
    <w:p w14:paraId="766005BA" w14:textId="77777777" w:rsidR="00F16618" w:rsidRPr="00B12F7A" w:rsidRDefault="00F16618" w:rsidP="00F16618">
      <w:pPr>
        <w:pStyle w:val="Zkladntext"/>
        <w:jc w:val="both"/>
        <w:rPr>
          <w:sz w:val="22"/>
          <w:szCs w:val="22"/>
          <w:lang w:val="sk-SK"/>
        </w:rPr>
      </w:pPr>
    </w:p>
    <w:p w14:paraId="5CC8AEAC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1.</w:t>
      </w:r>
      <w:r w:rsidRPr="00B12F7A">
        <w:rPr>
          <w:b/>
          <w:sz w:val="22"/>
          <w:szCs w:val="22"/>
          <w:lang w:val="sk-SK"/>
        </w:rPr>
        <w:tab/>
        <w:t>NÁZOV LIEKU</w:t>
      </w:r>
    </w:p>
    <w:p w14:paraId="19E1F14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0BF2D145" w14:textId="77777777" w:rsidR="00AF0B1F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TIAPRIDAL</w:t>
      </w:r>
    </w:p>
    <w:p w14:paraId="7D5303AD" w14:textId="77777777" w:rsidR="00764087" w:rsidRDefault="00764087" w:rsidP="00764087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137,90</w:t>
      </w:r>
      <w:r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mg</w:t>
      </w:r>
      <w:r>
        <w:rPr>
          <w:sz w:val="22"/>
          <w:szCs w:val="22"/>
          <w:lang w:val="sk-SK"/>
        </w:rPr>
        <w:t>/ml</w:t>
      </w:r>
    </w:p>
    <w:p w14:paraId="74C10C37" w14:textId="0D7A6066" w:rsidR="00F16618" w:rsidRPr="00B12F7A" w:rsidRDefault="00AD136C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perorálne kvapky </w:t>
      </w:r>
    </w:p>
    <w:p w14:paraId="2CFE8A4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C0C6A3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43547DD4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2.</w:t>
      </w:r>
      <w:r w:rsidRPr="00B12F7A">
        <w:rPr>
          <w:b/>
          <w:sz w:val="22"/>
          <w:szCs w:val="22"/>
          <w:lang w:val="sk-SK"/>
        </w:rPr>
        <w:tab/>
        <w:t xml:space="preserve">KVALITATÍVNE A KVANTITATÍVNE ZLOŽENIE </w:t>
      </w:r>
    </w:p>
    <w:p w14:paraId="1B6BF56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7B30E0C" w14:textId="77777777" w:rsidR="00AD136C" w:rsidRDefault="00AD136C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 ml </w:t>
      </w:r>
      <w:r w:rsidR="00C21490">
        <w:rPr>
          <w:sz w:val="22"/>
          <w:szCs w:val="22"/>
          <w:lang w:val="sk-SK"/>
        </w:rPr>
        <w:t xml:space="preserve">perorálnych kvapiek </w:t>
      </w:r>
      <w:r>
        <w:rPr>
          <w:sz w:val="22"/>
          <w:szCs w:val="22"/>
          <w:lang w:val="sk-SK"/>
        </w:rPr>
        <w:t xml:space="preserve">obsahuje </w:t>
      </w:r>
      <w:r w:rsidR="00F16618" w:rsidRPr="00B12F7A">
        <w:rPr>
          <w:sz w:val="22"/>
          <w:szCs w:val="22"/>
          <w:lang w:val="sk-SK"/>
        </w:rPr>
        <w:t>153,21</w:t>
      </w:r>
      <w:r>
        <w:rPr>
          <w:sz w:val="22"/>
          <w:szCs w:val="22"/>
          <w:lang w:val="sk-SK"/>
        </w:rPr>
        <w:t xml:space="preserve"> mg</w:t>
      </w:r>
      <w:r w:rsidR="00F16618" w:rsidRPr="00B12F7A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tiapridiumchlorid</w:t>
      </w:r>
      <w:r>
        <w:rPr>
          <w:sz w:val="22"/>
          <w:szCs w:val="22"/>
          <w:lang w:val="sk-SK"/>
        </w:rPr>
        <w:t xml:space="preserve">u </w:t>
      </w:r>
      <w:r w:rsidR="00F16618" w:rsidRPr="00B12F7A">
        <w:rPr>
          <w:sz w:val="22"/>
          <w:szCs w:val="22"/>
          <w:lang w:val="sk-SK"/>
        </w:rPr>
        <w:t xml:space="preserve">(čo zodpovedá 137,90 mg tiapridu). </w:t>
      </w:r>
      <w:r w:rsidR="00764087">
        <w:rPr>
          <w:sz w:val="22"/>
          <w:szCs w:val="22"/>
          <w:lang w:val="sk-SK"/>
        </w:rPr>
        <w:t>1 ml perorálnych kvapiek predstavuje približne 28 kvapiek.</w:t>
      </w:r>
    </w:p>
    <w:p w14:paraId="4B2EA5B8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Jedna kvapka obsahuje 5,55 mg tiapridiumchloridu (čo zodpovedá 5,0 mg tiapridu).</w:t>
      </w:r>
    </w:p>
    <w:p w14:paraId="579868F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0D00E0B9" w14:textId="21DC97C8" w:rsidR="00E45561" w:rsidRDefault="00E45561" w:rsidP="00F16618">
      <w:pPr>
        <w:rPr>
          <w:sz w:val="22"/>
          <w:szCs w:val="22"/>
          <w:lang w:val="sk-SK"/>
        </w:rPr>
      </w:pPr>
      <w:r w:rsidRPr="00E45561">
        <w:rPr>
          <w:sz w:val="22"/>
          <w:szCs w:val="22"/>
          <w:u w:val="single"/>
          <w:lang w:val="sk-SK"/>
        </w:rPr>
        <w:t>Pomocn</w:t>
      </w:r>
      <w:r w:rsidR="005273EB">
        <w:rPr>
          <w:sz w:val="22"/>
          <w:szCs w:val="22"/>
          <w:u w:val="single"/>
          <w:lang w:val="sk-SK"/>
        </w:rPr>
        <w:t>é</w:t>
      </w:r>
      <w:r w:rsidRPr="00E45561">
        <w:rPr>
          <w:sz w:val="22"/>
          <w:szCs w:val="22"/>
          <w:u w:val="single"/>
          <w:lang w:val="sk-SK"/>
        </w:rPr>
        <w:t xml:space="preserve"> látk</w:t>
      </w:r>
      <w:r w:rsidR="005273EB">
        <w:rPr>
          <w:sz w:val="22"/>
          <w:szCs w:val="22"/>
          <w:u w:val="single"/>
          <w:lang w:val="sk-SK"/>
        </w:rPr>
        <w:t>y</w:t>
      </w:r>
      <w:r w:rsidRPr="00E45561">
        <w:rPr>
          <w:sz w:val="22"/>
          <w:szCs w:val="22"/>
          <w:u w:val="single"/>
          <w:lang w:val="sk-SK"/>
        </w:rPr>
        <w:t xml:space="preserve"> so známym účinkom:</w:t>
      </w:r>
      <w:r>
        <w:rPr>
          <w:sz w:val="22"/>
          <w:szCs w:val="22"/>
          <w:lang w:val="sk-SK"/>
        </w:rPr>
        <w:t xml:space="preserve"> </w:t>
      </w:r>
      <w:r w:rsidR="00896562">
        <w:rPr>
          <w:sz w:val="22"/>
          <w:szCs w:val="22"/>
          <w:lang w:val="sk-SK"/>
        </w:rPr>
        <w:t xml:space="preserve">1 ml </w:t>
      </w:r>
      <w:r w:rsidR="00D5062D">
        <w:rPr>
          <w:sz w:val="22"/>
          <w:szCs w:val="22"/>
        </w:rPr>
        <w:t>perorálnych kvapiek</w:t>
      </w:r>
      <w:r w:rsidR="00D5062D">
        <w:rPr>
          <w:sz w:val="22"/>
          <w:szCs w:val="22"/>
          <w:lang w:val="sk-SK"/>
        </w:rPr>
        <w:t xml:space="preserve"> </w:t>
      </w:r>
      <w:r w:rsidR="00896562">
        <w:rPr>
          <w:sz w:val="22"/>
          <w:szCs w:val="22"/>
          <w:lang w:val="sk-SK"/>
        </w:rPr>
        <w:t xml:space="preserve">obsahuje </w:t>
      </w:r>
      <w:r w:rsidR="00D5062D">
        <w:rPr>
          <w:sz w:val="22"/>
          <w:szCs w:val="22"/>
          <w:lang w:val="sk-SK"/>
        </w:rPr>
        <w:t>1,</w:t>
      </w:r>
      <w:r w:rsidR="00896562">
        <w:rPr>
          <w:sz w:val="22"/>
          <w:szCs w:val="22"/>
          <w:lang w:val="sk-SK"/>
        </w:rPr>
        <w:t xml:space="preserve">30 </w:t>
      </w:r>
      <w:r w:rsidR="00D5062D">
        <w:rPr>
          <w:sz w:val="22"/>
          <w:szCs w:val="22"/>
          <w:lang w:val="sk-SK"/>
        </w:rPr>
        <w:t>m</w:t>
      </w:r>
      <w:r w:rsidR="00896562">
        <w:rPr>
          <w:sz w:val="22"/>
          <w:szCs w:val="22"/>
          <w:lang w:val="sk-SK"/>
        </w:rPr>
        <w:t xml:space="preserve">g </w:t>
      </w:r>
      <w:r>
        <w:rPr>
          <w:sz w:val="22"/>
          <w:szCs w:val="22"/>
          <w:lang w:val="sk-SK"/>
        </w:rPr>
        <w:t>metylpara</w:t>
      </w:r>
      <w:r w:rsidR="00C41C9F">
        <w:rPr>
          <w:sz w:val="22"/>
          <w:szCs w:val="22"/>
          <w:lang w:val="sk-SK"/>
        </w:rPr>
        <w:t>hydroxybenzoát</w:t>
      </w:r>
      <w:r w:rsidR="000F53B8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, </w:t>
      </w:r>
      <w:r w:rsidR="00D5062D">
        <w:rPr>
          <w:sz w:val="22"/>
          <w:szCs w:val="22"/>
          <w:lang w:val="sk-SK"/>
        </w:rPr>
        <w:t>1</w:t>
      </w:r>
      <w:r w:rsidR="00896562">
        <w:rPr>
          <w:sz w:val="22"/>
          <w:szCs w:val="22"/>
          <w:lang w:val="sk-SK"/>
        </w:rPr>
        <w:t xml:space="preserve"> ml </w:t>
      </w:r>
      <w:r w:rsidR="00D5062D">
        <w:rPr>
          <w:sz w:val="22"/>
          <w:szCs w:val="22"/>
        </w:rPr>
        <w:t>perorálnych kvapiek</w:t>
      </w:r>
      <w:r w:rsidR="00D5062D">
        <w:rPr>
          <w:sz w:val="22"/>
          <w:szCs w:val="22"/>
          <w:lang w:val="sk-SK"/>
        </w:rPr>
        <w:t xml:space="preserve"> </w:t>
      </w:r>
      <w:r w:rsidR="00896562">
        <w:rPr>
          <w:sz w:val="22"/>
          <w:szCs w:val="22"/>
          <w:lang w:val="sk-SK"/>
        </w:rPr>
        <w:t xml:space="preserve">obsahuje </w:t>
      </w:r>
      <w:r w:rsidR="00D5062D">
        <w:rPr>
          <w:sz w:val="22"/>
          <w:szCs w:val="22"/>
          <w:lang w:val="sk-SK"/>
        </w:rPr>
        <w:t>0,</w:t>
      </w:r>
      <w:r w:rsidR="00896562">
        <w:rPr>
          <w:sz w:val="22"/>
          <w:szCs w:val="22"/>
          <w:lang w:val="sk-SK"/>
        </w:rPr>
        <w:t xml:space="preserve">20 </w:t>
      </w:r>
      <w:r w:rsidR="00D5062D">
        <w:rPr>
          <w:sz w:val="22"/>
          <w:szCs w:val="22"/>
          <w:lang w:val="sk-SK"/>
        </w:rPr>
        <w:t>m</w:t>
      </w:r>
      <w:r w:rsidR="00896562">
        <w:rPr>
          <w:sz w:val="22"/>
          <w:szCs w:val="22"/>
          <w:lang w:val="sk-SK"/>
        </w:rPr>
        <w:t xml:space="preserve">g </w:t>
      </w:r>
      <w:r>
        <w:rPr>
          <w:sz w:val="22"/>
          <w:szCs w:val="22"/>
          <w:lang w:val="sk-SK"/>
        </w:rPr>
        <w:t>propylpara</w:t>
      </w:r>
      <w:r w:rsidR="00C41C9F">
        <w:rPr>
          <w:sz w:val="22"/>
          <w:szCs w:val="22"/>
          <w:lang w:val="sk-SK"/>
        </w:rPr>
        <w:t>hydroxybenzoát</w:t>
      </w:r>
      <w:r w:rsidR="000F53B8">
        <w:rPr>
          <w:sz w:val="22"/>
          <w:szCs w:val="22"/>
          <w:lang w:val="sk-SK"/>
        </w:rPr>
        <w:t>u</w:t>
      </w:r>
      <w:r w:rsidR="0086524C">
        <w:rPr>
          <w:sz w:val="22"/>
          <w:szCs w:val="22"/>
        </w:rPr>
        <w:t>,</w:t>
      </w:r>
      <w:r w:rsidR="0086524C">
        <w:t xml:space="preserve"> </w:t>
      </w:r>
      <w:r w:rsidR="0086524C">
        <w:rPr>
          <w:sz w:val="22"/>
          <w:szCs w:val="22"/>
        </w:rPr>
        <w:t>1 ml perorálnych kvapiek obsahuje 4,47 mg sodíka</w:t>
      </w:r>
      <w:r w:rsidR="00CD065D">
        <w:rPr>
          <w:sz w:val="22"/>
          <w:szCs w:val="22"/>
          <w:lang w:val="sk-SK"/>
        </w:rPr>
        <w:t>.</w:t>
      </w:r>
    </w:p>
    <w:p w14:paraId="75B9C3C3" w14:textId="77777777" w:rsidR="00E45561" w:rsidRDefault="00E45561" w:rsidP="00F16618">
      <w:pPr>
        <w:rPr>
          <w:sz w:val="22"/>
          <w:szCs w:val="22"/>
          <w:lang w:val="sk-SK"/>
        </w:rPr>
      </w:pPr>
    </w:p>
    <w:p w14:paraId="729816A2" w14:textId="77777777" w:rsidR="00F16618" w:rsidRPr="00B12F7A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Úplný zoznam pomocných látok, pozri časť 6.1.</w:t>
      </w:r>
    </w:p>
    <w:p w14:paraId="4FA93C5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A7D8AD6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D43FF6C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3.</w:t>
      </w:r>
      <w:r w:rsidRPr="00B12F7A">
        <w:rPr>
          <w:b/>
          <w:sz w:val="22"/>
          <w:szCs w:val="22"/>
          <w:lang w:val="sk-SK"/>
        </w:rPr>
        <w:tab/>
        <w:t>LIEKOVÁ FORMA</w:t>
      </w:r>
    </w:p>
    <w:p w14:paraId="24AA973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F790A87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Perorálne kvapky.</w:t>
      </w:r>
    </w:p>
    <w:p w14:paraId="2195B131" w14:textId="77777777" w:rsidR="00F16618" w:rsidRDefault="00774085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Pr="00B12F7A">
        <w:rPr>
          <w:sz w:val="22"/>
          <w:szCs w:val="22"/>
          <w:lang w:val="sk-SK"/>
        </w:rPr>
        <w:t xml:space="preserve">íry bezfarebný </w:t>
      </w:r>
      <w:r w:rsidR="00AF0B1F">
        <w:rPr>
          <w:sz w:val="22"/>
          <w:szCs w:val="22"/>
          <w:lang w:val="sk-SK"/>
        </w:rPr>
        <w:t xml:space="preserve">alebo takmer bezfarebný </w:t>
      </w:r>
      <w:r w:rsidRPr="00B12F7A">
        <w:rPr>
          <w:sz w:val="22"/>
          <w:szCs w:val="22"/>
          <w:lang w:val="sk-SK"/>
        </w:rPr>
        <w:t>roztok</w:t>
      </w:r>
      <w:r w:rsidR="00AF0B1F">
        <w:rPr>
          <w:sz w:val="22"/>
          <w:szCs w:val="22"/>
          <w:lang w:val="sk-SK"/>
        </w:rPr>
        <w:t xml:space="preserve"> s citrusovou vôňou</w:t>
      </w:r>
      <w:r w:rsidRPr="00B12F7A">
        <w:rPr>
          <w:sz w:val="22"/>
          <w:szCs w:val="22"/>
          <w:lang w:val="sk-SK"/>
        </w:rPr>
        <w:t>.</w:t>
      </w:r>
    </w:p>
    <w:p w14:paraId="06BB579B" w14:textId="77777777" w:rsidR="00774085" w:rsidRPr="00B12F7A" w:rsidRDefault="00774085" w:rsidP="00F16618">
      <w:pPr>
        <w:pStyle w:val="Zkladntext"/>
        <w:rPr>
          <w:b/>
          <w:sz w:val="22"/>
          <w:szCs w:val="22"/>
          <w:lang w:val="sk-SK"/>
        </w:rPr>
      </w:pPr>
    </w:p>
    <w:p w14:paraId="5C1C8EA1" w14:textId="77777777" w:rsidR="00F16618" w:rsidRPr="00B12F7A" w:rsidRDefault="00F16618" w:rsidP="00F16618">
      <w:pPr>
        <w:pStyle w:val="Zkladntext"/>
        <w:rPr>
          <w:b/>
          <w:sz w:val="22"/>
          <w:szCs w:val="22"/>
          <w:lang w:val="sk-SK"/>
        </w:rPr>
      </w:pPr>
    </w:p>
    <w:p w14:paraId="4E988E9A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4.</w:t>
      </w:r>
      <w:r w:rsidRPr="00B12F7A">
        <w:rPr>
          <w:b/>
          <w:sz w:val="22"/>
          <w:szCs w:val="22"/>
          <w:lang w:val="sk-SK"/>
        </w:rPr>
        <w:tab/>
        <w:t>KLINICKÉ ÚDAJE</w:t>
      </w:r>
    </w:p>
    <w:p w14:paraId="4DA39B29" w14:textId="77777777" w:rsidR="00F16618" w:rsidRPr="00B12F7A" w:rsidRDefault="00F16618" w:rsidP="00774085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u w:val="single"/>
          <w:lang w:val="sk-SK"/>
        </w:rPr>
      </w:pPr>
    </w:p>
    <w:p w14:paraId="18845F58" w14:textId="77777777" w:rsidR="00F16618" w:rsidRPr="00B12F7A" w:rsidRDefault="00F16618" w:rsidP="00774085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4.1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Terapeutické indikácie</w:t>
      </w:r>
    </w:p>
    <w:p w14:paraId="294A7894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90095CA" w14:textId="77777777" w:rsidR="00F16618" w:rsidRPr="00B12F7A" w:rsidRDefault="00F16618" w:rsidP="005E1500">
      <w:pPr>
        <w:pStyle w:val="Zkladntext"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Poruchy správania v starobe.</w:t>
      </w:r>
    </w:p>
    <w:p w14:paraId="167F3FED" w14:textId="77777777" w:rsidR="00F16618" w:rsidRPr="00B12F7A" w:rsidRDefault="00F16618" w:rsidP="005E1500">
      <w:pPr>
        <w:pStyle w:val="Zkladntext"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Poruchy správania pri chronickom abúze alkoholu.</w:t>
      </w:r>
    </w:p>
    <w:p w14:paraId="2AC41CE6" w14:textId="77777777" w:rsidR="00F16618" w:rsidRPr="00B12F7A" w:rsidRDefault="00610736" w:rsidP="005E1500">
      <w:pPr>
        <w:pStyle w:val="Zkladntext"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Závažná chorea pri Huntingtonovej chorobe.</w:t>
      </w:r>
    </w:p>
    <w:p w14:paraId="4095671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E9FC3E7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4.2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Dávkovanie a spôsob pod</w:t>
      </w:r>
      <w:r w:rsidR="000A2AAD" w:rsidRPr="00B12F7A">
        <w:rPr>
          <w:b/>
          <w:bCs/>
          <w:sz w:val="22"/>
          <w:szCs w:val="22"/>
          <w:lang w:val="sk-SK"/>
        </w:rPr>
        <w:t>áv</w:t>
      </w:r>
      <w:r w:rsidRPr="00B12F7A">
        <w:rPr>
          <w:b/>
          <w:bCs/>
          <w:sz w:val="22"/>
          <w:szCs w:val="22"/>
          <w:lang w:val="sk-SK"/>
        </w:rPr>
        <w:t>ania</w:t>
      </w:r>
    </w:p>
    <w:p w14:paraId="122B4EC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2793A27" w14:textId="6A3DCFB8" w:rsidR="00F16618" w:rsidRPr="00CB0EE1" w:rsidRDefault="00F16618" w:rsidP="00F16618">
      <w:pPr>
        <w:pStyle w:val="Zkladntext"/>
        <w:rPr>
          <w:sz w:val="22"/>
          <w:szCs w:val="22"/>
          <w:lang w:val="sk-SK"/>
        </w:rPr>
      </w:pPr>
      <w:r w:rsidRPr="00CB0EE1">
        <w:rPr>
          <w:b/>
          <w:sz w:val="22"/>
          <w:szCs w:val="22"/>
          <w:lang w:val="sk-SK"/>
        </w:rPr>
        <w:t xml:space="preserve">Poruchy správania </w:t>
      </w:r>
      <w:r w:rsidR="00E02C3F">
        <w:rPr>
          <w:b/>
          <w:sz w:val="22"/>
          <w:szCs w:val="22"/>
          <w:lang w:val="sk-SK"/>
        </w:rPr>
        <w:t>v starobe</w:t>
      </w:r>
      <w:r w:rsidRPr="00CB0EE1">
        <w:rPr>
          <w:b/>
          <w:sz w:val="22"/>
          <w:szCs w:val="22"/>
          <w:lang w:val="sk-SK"/>
        </w:rPr>
        <w:t>:</w:t>
      </w:r>
      <w:r w:rsidRPr="00CB0EE1">
        <w:rPr>
          <w:sz w:val="22"/>
          <w:szCs w:val="22"/>
          <w:lang w:val="sk-SK"/>
        </w:rPr>
        <w:t xml:space="preserve"> 200-400 mg/deň.</w:t>
      </w:r>
    </w:p>
    <w:p w14:paraId="1FB89D32" w14:textId="77777777" w:rsidR="00F16618" w:rsidRPr="00CB0EE1" w:rsidRDefault="00774085" w:rsidP="00F16618">
      <w:pPr>
        <w:pStyle w:val="Zkladntext"/>
        <w:rPr>
          <w:sz w:val="22"/>
          <w:szCs w:val="22"/>
          <w:lang w:val="sk-SK"/>
        </w:rPr>
      </w:pPr>
      <w:r w:rsidRPr="00CB0EE1">
        <w:rPr>
          <w:sz w:val="22"/>
          <w:szCs w:val="22"/>
          <w:lang w:val="sk-SK"/>
        </w:rPr>
        <w:t>Začiatočná</w:t>
      </w:r>
      <w:r w:rsidR="00AD183A" w:rsidRPr="00CB0EE1">
        <w:rPr>
          <w:sz w:val="22"/>
          <w:szCs w:val="22"/>
          <w:lang w:val="sk-SK"/>
        </w:rPr>
        <w:t xml:space="preserve"> </w:t>
      </w:r>
      <w:r w:rsidR="00F16618" w:rsidRPr="00CB0EE1">
        <w:rPr>
          <w:sz w:val="22"/>
          <w:szCs w:val="22"/>
          <w:lang w:val="sk-SK"/>
        </w:rPr>
        <w:t>dávka 50 mg (t.j. 10 kvapiek) dvakrát denne, s postupným zvyšovaním počas 2-3 dní na 100 mg (t.j. 20 kvapiek) 3-krát denne. Maximálna dávka je 400 mg/deň (t.j. 80 kvapiek denne).</w:t>
      </w:r>
    </w:p>
    <w:p w14:paraId="08735565" w14:textId="77777777" w:rsidR="00F16618" w:rsidRPr="00635FF3" w:rsidRDefault="00F16618" w:rsidP="00F16618">
      <w:pPr>
        <w:pStyle w:val="Zkladntext"/>
        <w:rPr>
          <w:sz w:val="22"/>
          <w:szCs w:val="22"/>
          <w:highlight w:val="cyan"/>
          <w:lang w:val="sk-SK"/>
        </w:rPr>
      </w:pPr>
    </w:p>
    <w:p w14:paraId="4B9FA915" w14:textId="6056B616" w:rsidR="00F16618" w:rsidRPr="00CB0EE1" w:rsidRDefault="00F16618" w:rsidP="00F16618">
      <w:pPr>
        <w:pStyle w:val="Zkladntext"/>
        <w:rPr>
          <w:sz w:val="22"/>
          <w:szCs w:val="22"/>
          <w:lang w:val="sk-SK"/>
        </w:rPr>
      </w:pPr>
      <w:r w:rsidRPr="00CB0EE1">
        <w:rPr>
          <w:b/>
          <w:sz w:val="22"/>
          <w:szCs w:val="22"/>
          <w:lang w:val="sk-SK"/>
        </w:rPr>
        <w:t xml:space="preserve">Poruchy správania pri </w:t>
      </w:r>
      <w:r w:rsidR="00730CD8">
        <w:rPr>
          <w:b/>
          <w:sz w:val="22"/>
          <w:szCs w:val="22"/>
          <w:lang w:val="sk-SK"/>
        </w:rPr>
        <w:t>chronickom abúze</w:t>
      </w:r>
      <w:r w:rsidR="00730CD8" w:rsidRPr="00CB0EE1">
        <w:rPr>
          <w:b/>
          <w:sz w:val="22"/>
          <w:szCs w:val="22"/>
          <w:lang w:val="sk-SK"/>
        </w:rPr>
        <w:t xml:space="preserve"> </w:t>
      </w:r>
      <w:r w:rsidRPr="00CB0EE1">
        <w:rPr>
          <w:b/>
          <w:sz w:val="22"/>
          <w:szCs w:val="22"/>
          <w:lang w:val="sk-SK"/>
        </w:rPr>
        <w:t>alkoholu:</w:t>
      </w:r>
      <w:r w:rsidRPr="00CB0EE1">
        <w:rPr>
          <w:sz w:val="22"/>
          <w:szCs w:val="22"/>
          <w:lang w:val="sk-SK"/>
        </w:rPr>
        <w:t xml:space="preserve"> 300-400 mg/deň.</w:t>
      </w:r>
    </w:p>
    <w:p w14:paraId="4726569B" w14:textId="77777777" w:rsidR="00F16618" w:rsidRPr="00CB0EE1" w:rsidRDefault="00F16618" w:rsidP="00F16618">
      <w:pPr>
        <w:pStyle w:val="Zkladntext"/>
        <w:rPr>
          <w:sz w:val="22"/>
          <w:szCs w:val="22"/>
          <w:lang w:val="sk-SK"/>
        </w:rPr>
      </w:pPr>
      <w:r w:rsidRPr="00CB0EE1">
        <w:rPr>
          <w:sz w:val="22"/>
          <w:szCs w:val="22"/>
          <w:lang w:val="sk-SK"/>
        </w:rPr>
        <w:t>300-400 mg/deň, t.j. 20 kvapiek 3 až 4 krát denne počas 2 mesiacov.</w:t>
      </w:r>
    </w:p>
    <w:p w14:paraId="24D55931" w14:textId="77777777" w:rsidR="00F16618" w:rsidRPr="00CB0EE1" w:rsidRDefault="00F16618" w:rsidP="00F16618">
      <w:pPr>
        <w:pStyle w:val="Zkladntext"/>
        <w:rPr>
          <w:sz w:val="22"/>
          <w:szCs w:val="22"/>
          <w:lang w:val="sk-SK"/>
        </w:rPr>
      </w:pPr>
    </w:p>
    <w:p w14:paraId="27CB8152" w14:textId="1182E2A1" w:rsidR="00F16618" w:rsidRPr="00B12F7A" w:rsidRDefault="00AC1797" w:rsidP="00F16618">
      <w:pPr>
        <w:pStyle w:val="Zkladntext"/>
        <w:rPr>
          <w:sz w:val="22"/>
          <w:szCs w:val="22"/>
          <w:lang w:val="sk-SK"/>
        </w:rPr>
      </w:pPr>
      <w:r w:rsidRPr="00CB0EE1">
        <w:rPr>
          <w:b/>
          <w:sz w:val="22"/>
          <w:szCs w:val="22"/>
          <w:lang w:val="sk-SK"/>
        </w:rPr>
        <w:t xml:space="preserve">Závažná chorea pri </w:t>
      </w:r>
      <w:r w:rsidR="00F16618" w:rsidRPr="00CB0EE1">
        <w:rPr>
          <w:b/>
          <w:sz w:val="22"/>
          <w:szCs w:val="22"/>
          <w:lang w:val="sk-SK"/>
        </w:rPr>
        <w:t>Huntingtonov</w:t>
      </w:r>
      <w:r w:rsidRPr="00CB0EE1">
        <w:rPr>
          <w:b/>
          <w:sz w:val="22"/>
          <w:szCs w:val="22"/>
          <w:lang w:val="sk-SK"/>
        </w:rPr>
        <w:t>ej</w:t>
      </w:r>
      <w:r w:rsidR="00F16618" w:rsidRPr="00CB0EE1">
        <w:rPr>
          <w:b/>
          <w:sz w:val="22"/>
          <w:szCs w:val="22"/>
          <w:lang w:val="sk-SK"/>
        </w:rPr>
        <w:t xml:space="preserve"> chor</w:t>
      </w:r>
      <w:r w:rsidRPr="00CB0EE1">
        <w:rPr>
          <w:b/>
          <w:sz w:val="22"/>
          <w:szCs w:val="22"/>
          <w:lang w:val="sk-SK"/>
        </w:rPr>
        <w:t>obe</w:t>
      </w:r>
      <w:r w:rsidR="00F16618" w:rsidRPr="00CB0EE1">
        <w:rPr>
          <w:b/>
          <w:sz w:val="22"/>
          <w:szCs w:val="22"/>
          <w:lang w:val="sk-SK"/>
        </w:rPr>
        <w:t>:</w:t>
      </w:r>
      <w:r w:rsidR="00F16618" w:rsidRPr="00CB0EE1">
        <w:rPr>
          <w:sz w:val="22"/>
          <w:szCs w:val="22"/>
          <w:lang w:val="sk-SK"/>
        </w:rPr>
        <w:t xml:space="preserve"> 300-1200 mg/deň</w:t>
      </w:r>
    </w:p>
    <w:p w14:paraId="452CFC6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9DCF966" w14:textId="653CF24F" w:rsidR="004E242C" w:rsidRDefault="004E242C" w:rsidP="00F16618">
      <w:pPr>
        <w:rPr>
          <w:b/>
          <w:sz w:val="22"/>
          <w:szCs w:val="22"/>
          <w:lang w:val="sk-SK"/>
        </w:rPr>
      </w:pPr>
      <w:r w:rsidRPr="00635FF3">
        <w:rPr>
          <w:sz w:val="22"/>
          <w:szCs w:val="22"/>
          <w:u w:val="single"/>
          <w:lang w:val="sk-SK"/>
        </w:rPr>
        <w:t>Pediatrická populácia</w:t>
      </w:r>
    </w:p>
    <w:p w14:paraId="5D58BE68" w14:textId="6E28A6E6" w:rsidR="00F16618" w:rsidRPr="00B12F7A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Bežná dávka je 100-150 mg/deň, maximálne 300 mg/deň.</w:t>
      </w:r>
      <w:r w:rsidRPr="00B12F7A">
        <w:rPr>
          <w:b/>
          <w:sz w:val="22"/>
          <w:szCs w:val="22"/>
          <w:lang w:val="sk-SK"/>
        </w:rPr>
        <w:t xml:space="preserve"> </w:t>
      </w:r>
    </w:p>
    <w:p w14:paraId="308D7B64" w14:textId="77777777" w:rsidR="00F16618" w:rsidRPr="00B12F7A" w:rsidRDefault="00F16618" w:rsidP="00F16618">
      <w:pPr>
        <w:rPr>
          <w:sz w:val="22"/>
          <w:szCs w:val="22"/>
          <w:lang w:val="sk-SK"/>
        </w:rPr>
      </w:pPr>
    </w:p>
    <w:p w14:paraId="3EC37C7A" w14:textId="60260542" w:rsidR="004E242C" w:rsidRDefault="004E242C" w:rsidP="00F16618">
      <w:pPr>
        <w:rPr>
          <w:b/>
          <w:sz w:val="22"/>
          <w:szCs w:val="22"/>
          <w:lang w:val="sk-SK"/>
        </w:rPr>
      </w:pPr>
      <w:r w:rsidRPr="00635FF3">
        <w:rPr>
          <w:sz w:val="22"/>
          <w:szCs w:val="22"/>
          <w:u w:val="single"/>
          <w:lang w:val="sk-SK"/>
        </w:rPr>
        <w:t>Porucha funkcie obličiek</w:t>
      </w:r>
    </w:p>
    <w:p w14:paraId="6C8B234B" w14:textId="2DA4A1A0" w:rsidR="00F16618" w:rsidRPr="00B12F7A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Dávka sa má znížiť na 75</w:t>
      </w:r>
      <w:r w:rsidR="00F22C6D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% normálnej dávky u pacientov s klírensom kreatinínu</w:t>
      </w:r>
      <w:r w:rsidRPr="00B12F7A">
        <w:rPr>
          <w:b/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30-60 ml/min, na 50 % normálnej dávky u pacientov s klírensom kreatinínu 10-30 ml/min a na 25 % normálnej dávky u pacientov s klírensom kreatinínu menej ako 10 ml/min.</w:t>
      </w:r>
    </w:p>
    <w:p w14:paraId="17E515FF" w14:textId="77777777" w:rsidR="004E242C" w:rsidRDefault="004E242C" w:rsidP="00F16618">
      <w:pPr>
        <w:rPr>
          <w:b/>
          <w:sz w:val="22"/>
          <w:szCs w:val="22"/>
          <w:lang w:val="sk-SK"/>
        </w:rPr>
      </w:pPr>
    </w:p>
    <w:p w14:paraId="4A899CDF" w14:textId="1FD93924" w:rsidR="004E242C" w:rsidRDefault="004E242C" w:rsidP="00F16618">
      <w:pPr>
        <w:rPr>
          <w:b/>
          <w:sz w:val="22"/>
          <w:szCs w:val="22"/>
          <w:lang w:val="sk-SK"/>
        </w:rPr>
      </w:pPr>
      <w:r w:rsidRPr="00635FF3">
        <w:rPr>
          <w:sz w:val="22"/>
          <w:szCs w:val="22"/>
          <w:u w:val="single"/>
          <w:lang w:val="sk-SK"/>
        </w:rPr>
        <w:t>Porucha funkcie pečene</w:t>
      </w:r>
    </w:p>
    <w:p w14:paraId="1C53EA8F" w14:textId="79944793" w:rsidR="00F16618" w:rsidRPr="00B12F7A" w:rsidRDefault="00F16618" w:rsidP="00F16618">
      <w:pPr>
        <w:rPr>
          <w:sz w:val="22"/>
          <w:szCs w:val="22"/>
          <w:lang w:val="sk-SK"/>
        </w:rPr>
      </w:pPr>
      <w:r w:rsidRPr="00CD5209">
        <w:rPr>
          <w:sz w:val="22"/>
          <w:szCs w:val="22"/>
          <w:lang w:val="sk-SK"/>
        </w:rPr>
        <w:t xml:space="preserve">Liek je </w:t>
      </w:r>
      <w:r w:rsidR="00CD5209" w:rsidRPr="00635FF3">
        <w:rPr>
          <w:sz w:val="22"/>
          <w:szCs w:val="22"/>
          <w:lang w:val="sk-SK"/>
        </w:rPr>
        <w:t>minimálne</w:t>
      </w:r>
      <w:r w:rsidR="002C6A0B">
        <w:rPr>
          <w:sz w:val="22"/>
          <w:szCs w:val="22"/>
          <w:lang w:val="sk-SK"/>
        </w:rPr>
        <w:t xml:space="preserve"> </w:t>
      </w:r>
      <w:r w:rsidRPr="00CD5209">
        <w:rPr>
          <w:sz w:val="22"/>
          <w:szCs w:val="22"/>
          <w:lang w:val="sk-SK"/>
        </w:rPr>
        <w:t>metabolizovaný, preto nie je potrebn</w:t>
      </w:r>
      <w:r w:rsidR="00CD5209" w:rsidRPr="00CD5209">
        <w:rPr>
          <w:sz w:val="22"/>
          <w:szCs w:val="22"/>
          <w:lang w:val="sk-SK"/>
        </w:rPr>
        <w:t>á</w:t>
      </w:r>
      <w:r w:rsidRPr="00CD5209">
        <w:rPr>
          <w:sz w:val="22"/>
          <w:szCs w:val="22"/>
          <w:lang w:val="sk-SK"/>
        </w:rPr>
        <w:t xml:space="preserve"> </w:t>
      </w:r>
      <w:r w:rsidR="00CD5209" w:rsidRPr="00CD5209">
        <w:rPr>
          <w:sz w:val="22"/>
          <w:szCs w:val="22"/>
          <w:lang w:val="sk-SK"/>
        </w:rPr>
        <w:t>redukcia</w:t>
      </w:r>
      <w:r w:rsidRPr="00CD5209">
        <w:rPr>
          <w:sz w:val="22"/>
          <w:szCs w:val="22"/>
          <w:lang w:val="sk-SK"/>
        </w:rPr>
        <w:t xml:space="preserve"> dávky.</w:t>
      </w:r>
    </w:p>
    <w:p w14:paraId="5A5A37BB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218DB39" w14:textId="77777777" w:rsidR="00F16618" w:rsidRPr="00B12F7A" w:rsidRDefault="00F16618" w:rsidP="00FD52F8">
      <w:pPr>
        <w:pStyle w:val="Zkladntext"/>
        <w:keepNext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4.3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Kontraindikácie</w:t>
      </w:r>
    </w:p>
    <w:p w14:paraId="1E9EEED4" w14:textId="77777777" w:rsidR="00F16618" w:rsidRPr="00B12F7A" w:rsidRDefault="00F16618" w:rsidP="008A3C59">
      <w:pPr>
        <w:pStyle w:val="Zkladntext"/>
        <w:keepNext/>
        <w:rPr>
          <w:sz w:val="22"/>
          <w:szCs w:val="22"/>
          <w:lang w:val="sk-SK"/>
        </w:rPr>
      </w:pPr>
    </w:p>
    <w:p w14:paraId="523CFBAE" w14:textId="77777777" w:rsidR="000616E7" w:rsidRDefault="00F16618" w:rsidP="00635FF3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Precitlivenosť na liečivo alebo na </w:t>
      </w:r>
      <w:r w:rsidR="00B12F7A" w:rsidRPr="00B12F7A">
        <w:rPr>
          <w:sz w:val="22"/>
          <w:szCs w:val="22"/>
          <w:lang w:val="sk-SK"/>
        </w:rPr>
        <w:t>ktorúkoľvek</w:t>
      </w:r>
      <w:r w:rsidRPr="00B12F7A">
        <w:rPr>
          <w:sz w:val="22"/>
          <w:szCs w:val="22"/>
          <w:lang w:val="sk-SK"/>
        </w:rPr>
        <w:t xml:space="preserve"> z pomocných látok </w:t>
      </w:r>
      <w:r w:rsidR="00B12F7A" w:rsidRPr="00B12F7A">
        <w:rPr>
          <w:sz w:val="22"/>
          <w:szCs w:val="22"/>
          <w:lang w:val="sk-SK"/>
        </w:rPr>
        <w:t>uvedených v časti 6.1</w:t>
      </w:r>
      <w:r w:rsidRPr="00B12F7A">
        <w:rPr>
          <w:sz w:val="22"/>
          <w:szCs w:val="22"/>
          <w:lang w:val="sk-SK"/>
        </w:rPr>
        <w:t>.</w:t>
      </w:r>
    </w:p>
    <w:p w14:paraId="089012B0" w14:textId="77777777" w:rsidR="000616E7" w:rsidRDefault="00F16618" w:rsidP="00635FF3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Súčasné prolaktín-dependentné tumory napr. tumor hypofýzy – prolaktinóm a rakovina prsníka. </w:t>
      </w:r>
    </w:p>
    <w:p w14:paraId="1A29A090" w14:textId="77777777" w:rsidR="000616E7" w:rsidRDefault="00F16618" w:rsidP="00635FF3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Feochromocytóm</w:t>
      </w:r>
      <w:r w:rsidR="00F81BD2">
        <w:rPr>
          <w:sz w:val="22"/>
          <w:szCs w:val="22"/>
          <w:lang w:val="sk-SK"/>
        </w:rPr>
        <w:t>.</w:t>
      </w:r>
    </w:p>
    <w:p w14:paraId="4A0177BF" w14:textId="77777777" w:rsidR="000616E7" w:rsidRDefault="00F16618" w:rsidP="00635FF3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Súčasné podávanie s levodopou </w:t>
      </w:r>
      <w:r w:rsidR="00610736" w:rsidRPr="00B12F7A">
        <w:rPr>
          <w:sz w:val="22"/>
          <w:szCs w:val="22"/>
          <w:lang w:val="sk-SK"/>
        </w:rPr>
        <w:t xml:space="preserve">alebo inými dopaminergnými liekmi </w:t>
      </w:r>
      <w:r w:rsidRPr="00B12F7A">
        <w:rPr>
          <w:sz w:val="22"/>
          <w:szCs w:val="22"/>
          <w:lang w:val="sk-SK"/>
        </w:rPr>
        <w:t xml:space="preserve">(pozri </w:t>
      </w:r>
      <w:r w:rsidR="007E5370" w:rsidRPr="00B12F7A">
        <w:rPr>
          <w:sz w:val="22"/>
          <w:szCs w:val="22"/>
          <w:lang w:val="sk-SK"/>
        </w:rPr>
        <w:t xml:space="preserve">časť </w:t>
      </w:r>
      <w:r w:rsidRPr="00B12F7A">
        <w:rPr>
          <w:sz w:val="22"/>
          <w:szCs w:val="22"/>
          <w:lang w:val="sk-SK"/>
        </w:rPr>
        <w:t>4.5)</w:t>
      </w:r>
      <w:r w:rsidR="00F81BD2">
        <w:rPr>
          <w:sz w:val="22"/>
          <w:szCs w:val="22"/>
          <w:lang w:val="sk-SK"/>
        </w:rPr>
        <w:t>.</w:t>
      </w:r>
    </w:p>
    <w:p w14:paraId="355BC68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CDB4730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4.4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>Osobitné upozornenia a opatrenia pri používaní</w:t>
      </w:r>
    </w:p>
    <w:p w14:paraId="2346CDB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E4F8235" w14:textId="0FFDBEA6" w:rsidR="00F16618" w:rsidRPr="00B12F7A" w:rsidRDefault="00F16618" w:rsidP="00F16618">
      <w:p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sym w:font="Symbol" w:char="F0B7"/>
      </w:r>
      <w:r w:rsidRPr="00B12F7A">
        <w:rPr>
          <w:b/>
          <w:sz w:val="22"/>
          <w:szCs w:val="22"/>
          <w:lang w:val="sk-SK"/>
        </w:rPr>
        <w:tab/>
      </w:r>
      <w:r w:rsidRPr="00B12F7A">
        <w:rPr>
          <w:sz w:val="22"/>
          <w:szCs w:val="22"/>
          <w:lang w:val="sk-SK"/>
        </w:rPr>
        <w:t>Rovnako ako pri iných neuroleptikách, môže sa vyskytnúť neuroleptický malígny syndróm, komplikácia s možnými smrteľnými následkami, charakterizovaný hypertermiou, svalovou rigiditou a autonómnou dysfunkciou</w:t>
      </w:r>
      <w:r w:rsidR="006347F7">
        <w:rPr>
          <w:sz w:val="22"/>
          <w:szCs w:val="22"/>
          <w:lang w:val="sk-SK"/>
        </w:rPr>
        <w:t xml:space="preserve"> (pozri časť 4.8)</w:t>
      </w:r>
      <w:r w:rsidR="006347F7" w:rsidRPr="00E20352">
        <w:rPr>
          <w:sz w:val="22"/>
          <w:szCs w:val="22"/>
          <w:lang w:val="sk-SK"/>
        </w:rPr>
        <w:t>.</w:t>
      </w:r>
      <w:r w:rsidR="006347F7">
        <w:rPr>
          <w:sz w:val="22"/>
          <w:szCs w:val="22"/>
          <w:lang w:val="sk-SK"/>
        </w:rPr>
        <w:t xml:space="preserve"> Zaznamenané boli prípady s atypickými príznakmi ako chýbajúca svalová rigidita alebo hypert</w:t>
      </w:r>
      <w:r w:rsidR="0026594B">
        <w:rPr>
          <w:sz w:val="22"/>
          <w:szCs w:val="22"/>
          <w:lang w:val="sk-SK"/>
        </w:rPr>
        <w:t>ó</w:t>
      </w:r>
      <w:r w:rsidR="006347F7">
        <w:rPr>
          <w:sz w:val="22"/>
          <w:szCs w:val="22"/>
          <w:lang w:val="sk-SK"/>
        </w:rPr>
        <w:t>nia a </w:t>
      </w:r>
      <w:r w:rsidR="00730CD8">
        <w:rPr>
          <w:sz w:val="22"/>
          <w:szCs w:val="22"/>
          <w:lang w:val="sk-SK"/>
        </w:rPr>
        <w:t xml:space="preserve">nižšia </w:t>
      </w:r>
      <w:r w:rsidR="006347F7">
        <w:rPr>
          <w:sz w:val="22"/>
          <w:szCs w:val="22"/>
          <w:lang w:val="sk-SK"/>
        </w:rPr>
        <w:t>horúčk</w:t>
      </w:r>
      <w:r w:rsidR="00730CD8">
        <w:rPr>
          <w:sz w:val="22"/>
          <w:szCs w:val="22"/>
          <w:lang w:val="sk-SK"/>
        </w:rPr>
        <w:t>a</w:t>
      </w:r>
      <w:r w:rsidRPr="00B12F7A">
        <w:rPr>
          <w:sz w:val="22"/>
          <w:szCs w:val="22"/>
          <w:lang w:val="sk-SK"/>
        </w:rPr>
        <w:t>. V prípade hypertermie neznámeho pôvodu sa má užívanie tiapridu prerušiť.</w:t>
      </w:r>
    </w:p>
    <w:p w14:paraId="7B430E15" w14:textId="77777777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Okrem výnimočných prípadov, tiaprid nemajú užívať pacienti s Parkinsonovou chorobou.</w:t>
      </w:r>
    </w:p>
    <w:p w14:paraId="56802BF2" w14:textId="0EE32F37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Neuroleptiká môžu znižovať prah epileptických záchvatov</w:t>
      </w:r>
      <w:r w:rsidR="00F51065">
        <w:rPr>
          <w:sz w:val="22"/>
          <w:szCs w:val="22"/>
          <w:lang w:val="sk-SK"/>
        </w:rPr>
        <w:t xml:space="preserve"> (pozri časť 4.8)</w:t>
      </w:r>
      <w:r w:rsidR="007E11A3">
        <w:rPr>
          <w:sz w:val="22"/>
          <w:szCs w:val="22"/>
          <w:lang w:val="sk-SK"/>
        </w:rPr>
        <w:t>.</w:t>
      </w:r>
      <w:r w:rsidRPr="00B12F7A">
        <w:rPr>
          <w:sz w:val="22"/>
          <w:szCs w:val="22"/>
          <w:lang w:val="sk-SK"/>
        </w:rPr>
        <w:t xml:space="preserve"> </w:t>
      </w:r>
      <w:r w:rsidR="00F51065">
        <w:rPr>
          <w:sz w:val="22"/>
          <w:szCs w:val="22"/>
          <w:lang w:val="sk-SK"/>
        </w:rPr>
        <w:t>P</w:t>
      </w:r>
      <w:r w:rsidRPr="00B12F7A">
        <w:rPr>
          <w:sz w:val="22"/>
          <w:szCs w:val="22"/>
          <w:lang w:val="sk-SK"/>
        </w:rPr>
        <w:t xml:space="preserve">acienti s epilepsiou majú byť </w:t>
      </w:r>
      <w:r w:rsidR="00F51065">
        <w:rPr>
          <w:sz w:val="22"/>
          <w:szCs w:val="22"/>
          <w:lang w:val="sk-SK"/>
        </w:rPr>
        <w:t xml:space="preserve">preto </w:t>
      </w:r>
      <w:r w:rsidRPr="00B12F7A">
        <w:rPr>
          <w:sz w:val="22"/>
          <w:szCs w:val="22"/>
          <w:lang w:val="sk-SK"/>
        </w:rPr>
        <w:t>počas liečby tiapridom starostlivo monitorovaní.</w:t>
      </w:r>
    </w:p>
    <w:p w14:paraId="0E22C78C" w14:textId="1487A0E7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V prípade obličkovej insuficiencie sa má </w:t>
      </w:r>
      <w:r w:rsidR="00F51065">
        <w:rPr>
          <w:sz w:val="22"/>
          <w:szCs w:val="22"/>
          <w:lang w:val="sk-SK"/>
        </w:rPr>
        <w:t xml:space="preserve">kvôli možnému riziku </w:t>
      </w:r>
      <w:r w:rsidR="00730CD8">
        <w:rPr>
          <w:sz w:val="22"/>
          <w:szCs w:val="22"/>
          <w:lang w:val="sk-SK"/>
        </w:rPr>
        <w:t xml:space="preserve">kómy </w:t>
      </w:r>
      <w:r w:rsidR="00F51065">
        <w:rPr>
          <w:sz w:val="22"/>
          <w:szCs w:val="22"/>
          <w:lang w:val="sk-SK"/>
        </w:rPr>
        <w:t xml:space="preserve">v dôsledku predávkovania </w:t>
      </w:r>
      <w:r w:rsidRPr="00B12F7A">
        <w:rPr>
          <w:sz w:val="22"/>
          <w:szCs w:val="22"/>
          <w:lang w:val="sk-SK"/>
        </w:rPr>
        <w:t xml:space="preserve">dávka </w:t>
      </w:r>
      <w:r w:rsidR="00F51065">
        <w:rPr>
          <w:sz w:val="22"/>
          <w:szCs w:val="22"/>
          <w:lang w:val="sk-SK"/>
        </w:rPr>
        <w:t xml:space="preserve">znížiť </w:t>
      </w:r>
      <w:r w:rsidRPr="00B12F7A">
        <w:rPr>
          <w:sz w:val="22"/>
          <w:szCs w:val="22"/>
          <w:lang w:val="sk-SK"/>
        </w:rPr>
        <w:t xml:space="preserve">(pozri </w:t>
      </w:r>
      <w:r w:rsidR="007E5370" w:rsidRPr="00B12F7A">
        <w:rPr>
          <w:sz w:val="22"/>
          <w:szCs w:val="22"/>
          <w:lang w:val="sk-SK"/>
        </w:rPr>
        <w:t xml:space="preserve">časť </w:t>
      </w:r>
      <w:r w:rsidRPr="00B12F7A">
        <w:rPr>
          <w:sz w:val="22"/>
          <w:szCs w:val="22"/>
          <w:lang w:val="sk-SK"/>
        </w:rPr>
        <w:t>4.2</w:t>
      </w:r>
      <w:r w:rsidR="00F51065">
        <w:rPr>
          <w:sz w:val="22"/>
          <w:szCs w:val="22"/>
          <w:lang w:val="sk-SK"/>
        </w:rPr>
        <w:t xml:space="preserve"> a 4.9</w:t>
      </w:r>
      <w:r w:rsidRPr="00B12F7A">
        <w:rPr>
          <w:sz w:val="22"/>
          <w:szCs w:val="22"/>
          <w:lang w:val="sk-SK"/>
        </w:rPr>
        <w:t>).</w:t>
      </w:r>
    </w:p>
    <w:p w14:paraId="674DF729" w14:textId="088485D4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Rovnako ako pri iných neuroleptikách, sa má tiaprid u geriatrických pacientov podávať s veľkou opatrnosťou, kvôli možnému riziku </w:t>
      </w:r>
      <w:r w:rsidR="00F51065">
        <w:rPr>
          <w:sz w:val="22"/>
          <w:szCs w:val="22"/>
          <w:lang w:val="sk-SK"/>
        </w:rPr>
        <w:t>zníženia úrovne vedomia a kómy</w:t>
      </w:r>
      <w:r w:rsidRPr="00B12F7A">
        <w:rPr>
          <w:sz w:val="22"/>
          <w:szCs w:val="22"/>
          <w:lang w:val="sk-SK"/>
        </w:rPr>
        <w:t>.</w:t>
      </w:r>
    </w:p>
    <w:p w14:paraId="350FCDAA" w14:textId="5F0ED494" w:rsidR="004825AF" w:rsidRPr="00B12F7A" w:rsidRDefault="004825AF" w:rsidP="004825AF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Starší pacienti s demenciou</w:t>
      </w:r>
    </w:p>
    <w:p w14:paraId="3A51D092" w14:textId="77777777" w:rsidR="004825AF" w:rsidRPr="00B12F7A" w:rsidRDefault="004825AF" w:rsidP="004825AF">
      <w:pPr>
        <w:tabs>
          <w:tab w:val="left" w:pos="284"/>
          <w:tab w:val="left" w:pos="3969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U starších pacientov s psychózou súvisiacou s demenciou, ktorí sú liečení antipsychotikami, je zvýšené riziko smrti. Analýzy sedemnástich placebom-kontrolovaných</w:t>
      </w:r>
      <w:r w:rsidR="005F72A2" w:rsidRPr="00B12F7A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 xml:space="preserve"> štúdií (modálne trvanie 10 týždňov), prevažne u pacientov užívajúcich atypické antipsychotiká, odhalili 1,6 až 1,7-násobne väčšie riziko smrti u pacientov liečených liekmi ako u pacientov liečených placebom. Počas priebehu typickej 10 týždňovej kontrolovanej štúdie nastala smrť u približne 4,5</w:t>
      </w:r>
      <w:r w:rsidR="00F22C6D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% liekmi liečených pacientov, kým v skupine s placebom nastala u 2,6</w:t>
      </w:r>
      <w:r w:rsidR="00F22C6D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 xml:space="preserve">% pacientov. I keď sa príčiny smrti, ku ktorým došlo počas klinických skúšaní s atypickými antipsychotikami líšili, najčastejšie boli buď kardiovaskulárneho (napr. zlyhanie srdca, náhla smrť) alebo infekčného charakteru (napr. pneumónia). Observačné štúdie naznačujú, že podobne ako atypické antipsychotiká, aj liečba s konvenčnými antipsychotikami môže zvyšovať úmrtnosť. Rozsah, v ktorom môžu byť zistenia zvýšenej mortality v observačných štúdiách pripísané antipsychotikám, a nie niektorým vlastnostiam pacientov, nie je jasný. </w:t>
      </w:r>
    </w:p>
    <w:p w14:paraId="6FBB3466" w14:textId="77777777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Užívanie tiapridu u detí nebolo dôsledne sledované. Preto pri predpisovaní lieku deťom je potrebná opatrnosť (</w:t>
      </w:r>
      <w:r w:rsidR="007E5370" w:rsidRPr="00B12F7A">
        <w:rPr>
          <w:sz w:val="22"/>
          <w:szCs w:val="22"/>
          <w:lang w:val="sk-SK"/>
        </w:rPr>
        <w:t xml:space="preserve">pozri časť </w:t>
      </w:r>
      <w:r w:rsidRPr="00B12F7A">
        <w:rPr>
          <w:sz w:val="22"/>
          <w:szCs w:val="22"/>
          <w:lang w:val="sk-SK"/>
        </w:rPr>
        <w:t>4.2).</w:t>
      </w:r>
    </w:p>
    <w:p w14:paraId="7BD61234" w14:textId="56FE254E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Predĺženie QT intervalu</w:t>
      </w:r>
    </w:p>
    <w:p w14:paraId="5E855D7C" w14:textId="77777777" w:rsidR="00F16618" w:rsidRPr="00B12F7A" w:rsidRDefault="00F16618" w:rsidP="00F16618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Tiaprid môže indukovať predĺženie QT intervalu. Je známe, že tento účinok zvyšuje riziko závažnej ventrikulárnej arytmie, ako je </w:t>
      </w:r>
      <w:r w:rsidRPr="00B12F7A">
        <w:rPr>
          <w:i/>
          <w:sz w:val="22"/>
          <w:szCs w:val="22"/>
          <w:lang w:val="sk-SK"/>
        </w:rPr>
        <w:t>torsade</w:t>
      </w:r>
      <w:r w:rsidR="005E0490" w:rsidRPr="00B12F7A">
        <w:rPr>
          <w:i/>
          <w:sz w:val="22"/>
          <w:szCs w:val="22"/>
          <w:lang w:val="sk-SK"/>
        </w:rPr>
        <w:t>s</w:t>
      </w:r>
      <w:r w:rsidRPr="00B12F7A">
        <w:rPr>
          <w:i/>
          <w:sz w:val="22"/>
          <w:szCs w:val="22"/>
          <w:lang w:val="sk-SK"/>
        </w:rPr>
        <w:t xml:space="preserve"> de pointes</w:t>
      </w:r>
      <w:r w:rsidRPr="00B12F7A">
        <w:rPr>
          <w:sz w:val="22"/>
          <w:szCs w:val="22"/>
          <w:lang w:val="sk-SK"/>
        </w:rPr>
        <w:t xml:space="preserve"> (pozri </w:t>
      </w:r>
      <w:r w:rsidR="007E5370" w:rsidRPr="00B12F7A">
        <w:rPr>
          <w:sz w:val="22"/>
          <w:szCs w:val="22"/>
          <w:lang w:val="sk-SK"/>
        </w:rPr>
        <w:t xml:space="preserve">časť </w:t>
      </w:r>
      <w:r w:rsidRPr="00B12F7A">
        <w:rPr>
          <w:sz w:val="22"/>
          <w:szCs w:val="22"/>
          <w:lang w:val="sk-SK"/>
        </w:rPr>
        <w:t>4.8). Odporúča sa, pred akýmkoľvek podaním, a ak je to možné v súlade s klinickým stavom pacienta, monitorovať faktory, ktoré môžu podporovať výskyt tejto poruchy rytmu ako napríklad:</w:t>
      </w:r>
    </w:p>
    <w:p w14:paraId="3D603CFB" w14:textId="77777777" w:rsidR="00F16618" w:rsidRPr="00B12F7A" w:rsidRDefault="00F16618" w:rsidP="00F16618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- </w:t>
      </w:r>
      <w:r w:rsidRPr="00B12F7A">
        <w:rPr>
          <w:sz w:val="22"/>
          <w:szCs w:val="22"/>
          <w:lang w:val="sk-SK"/>
        </w:rPr>
        <w:tab/>
        <w:t>bradykardia, menej ako 55 úderov za minútu</w:t>
      </w:r>
    </w:p>
    <w:p w14:paraId="30104858" w14:textId="77777777" w:rsidR="00F16618" w:rsidRPr="00B12F7A" w:rsidRDefault="00F16618" w:rsidP="00F16618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- </w:t>
      </w:r>
      <w:r w:rsidRPr="00B12F7A">
        <w:rPr>
          <w:sz w:val="22"/>
          <w:szCs w:val="22"/>
          <w:lang w:val="sk-SK"/>
        </w:rPr>
        <w:tab/>
        <w:t>elektrolytická nerovnováha, najmä hypokaliémia</w:t>
      </w:r>
    </w:p>
    <w:p w14:paraId="7BB425AB" w14:textId="77777777" w:rsidR="00F16618" w:rsidRPr="00B12F7A" w:rsidRDefault="00F16618" w:rsidP="00F16618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- </w:t>
      </w:r>
      <w:r w:rsidRPr="00B12F7A">
        <w:rPr>
          <w:sz w:val="22"/>
          <w:szCs w:val="22"/>
          <w:lang w:val="sk-SK"/>
        </w:rPr>
        <w:tab/>
        <w:t>kongenitálne predĺženie QT intervalu</w:t>
      </w:r>
    </w:p>
    <w:p w14:paraId="4915F8D2" w14:textId="77777777" w:rsidR="00F16618" w:rsidRPr="00B12F7A" w:rsidRDefault="00F16618" w:rsidP="00F16618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- </w:t>
      </w:r>
      <w:r w:rsidRPr="00B12F7A">
        <w:rPr>
          <w:sz w:val="22"/>
          <w:szCs w:val="22"/>
          <w:lang w:val="sk-SK"/>
        </w:rPr>
        <w:tab/>
        <w:t>súbežná liečba liekmi pravdepodobne spôsobujúcimi zjavnú bradykardiu (&lt; 55 úderov/min), elektrolytickú nerovnováhu, zníženú intrakardiálnu kondukciu alebo predĺženie QT intervalu (pozri časť 4.5).</w:t>
      </w:r>
    </w:p>
    <w:p w14:paraId="6AF7791D" w14:textId="77777777" w:rsidR="00F16618" w:rsidRPr="00B12F7A" w:rsidRDefault="00F16618" w:rsidP="00F16618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Tiaprid sa má predpisovať s opatrnosťou pacientom s pretrvávajúcimi rizikovými faktormi, ktoré môžu predurčovať k predĺženiu QT intervalu.</w:t>
      </w:r>
    </w:p>
    <w:p w14:paraId="32EE2BCC" w14:textId="6EE9FE9E" w:rsidR="000616E7" w:rsidRDefault="00F16618" w:rsidP="00635FF3">
      <w:pPr>
        <w:keepNext/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lastRenderedPageBreak/>
        <w:t>Mŕtvica</w:t>
      </w:r>
    </w:p>
    <w:p w14:paraId="7612F810" w14:textId="124BD23B" w:rsidR="000616E7" w:rsidRDefault="00F16618" w:rsidP="00635FF3">
      <w:pPr>
        <w:keepNext/>
        <w:tabs>
          <w:tab w:val="left" w:pos="284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 randomizovaných klinických štúdiách v porovnaní s placebom, vykonaných na populácii starších pacientov s demenciou a liečených niektorými atypickými antipsychotikami sa pozorovalo 3-násobné zvýšenie riz</w:t>
      </w:r>
      <w:r w:rsidR="007E11A3">
        <w:rPr>
          <w:sz w:val="22"/>
          <w:szCs w:val="22"/>
          <w:lang w:val="sk-SK"/>
        </w:rPr>
        <w:t>i</w:t>
      </w:r>
      <w:r w:rsidRPr="00B12F7A">
        <w:rPr>
          <w:sz w:val="22"/>
          <w:szCs w:val="22"/>
          <w:lang w:val="sk-SK"/>
        </w:rPr>
        <w:t>ka cerebrovaskulárnych príhod. Mechanizmus zvýšenia tohto rizika nie je známy. Nemožno vylúčiť zvýšenie rizika pri iných antipsychotikách alebo pri inej populácii pacientov. Tiaprid sa má užívať s opatrnosťou u pacientov s rizikovými faktormi mŕtvice.</w:t>
      </w:r>
    </w:p>
    <w:p w14:paraId="50C37E8A" w14:textId="21D9F913" w:rsidR="004825AF" w:rsidRPr="00B12F7A" w:rsidRDefault="000558DB" w:rsidP="004825AF">
      <w:pPr>
        <w:numPr>
          <w:ilvl w:val="0"/>
          <w:numId w:val="6"/>
        </w:numPr>
        <w:tabs>
          <w:tab w:val="left" w:pos="284"/>
        </w:tabs>
        <w:ind w:hanging="100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Venózna trombembólia</w:t>
      </w:r>
    </w:p>
    <w:p w14:paraId="76DA505E" w14:textId="3234730B" w:rsidR="004825AF" w:rsidRDefault="004825AF" w:rsidP="004825AF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 súvislosti s užívaním antipsychotík boli zaznamenané prípady venózne</w:t>
      </w:r>
      <w:r w:rsidR="00FB710F">
        <w:rPr>
          <w:sz w:val="22"/>
          <w:szCs w:val="22"/>
          <w:lang w:val="sk-SK"/>
        </w:rPr>
        <w:t>j trombembólie (VTE)</w:t>
      </w:r>
      <w:r w:rsidRPr="00B12F7A">
        <w:rPr>
          <w:sz w:val="22"/>
          <w:szCs w:val="22"/>
          <w:lang w:val="sk-SK"/>
        </w:rPr>
        <w:t>, niekedy fatálne.</w:t>
      </w:r>
      <w:r w:rsidR="00610736" w:rsidRPr="00B12F7A">
        <w:rPr>
          <w:sz w:val="22"/>
          <w:szCs w:val="22"/>
          <w:lang w:val="sk-SK"/>
        </w:rPr>
        <w:t xml:space="preserve"> Vzhľadom na to, že u pacientov liečených antipsychotikami sú často prítomné získané rizikové faktory pre VTE, musia byť všetky identifikované pred a počas liečby tiapridom a musia sa prijať preventívne opatrenia.</w:t>
      </w:r>
      <w:r w:rsidRPr="00B12F7A">
        <w:rPr>
          <w:sz w:val="22"/>
          <w:szCs w:val="22"/>
          <w:lang w:val="sk-SK"/>
        </w:rPr>
        <w:t xml:space="preserve"> Pri užívaní T</w:t>
      </w:r>
      <w:r w:rsidR="00896562">
        <w:rPr>
          <w:sz w:val="22"/>
          <w:szCs w:val="22"/>
          <w:lang w:val="sk-SK"/>
        </w:rPr>
        <w:t>IAPRIDALU</w:t>
      </w:r>
      <w:r w:rsidRPr="00B12F7A">
        <w:rPr>
          <w:sz w:val="22"/>
          <w:szCs w:val="22"/>
          <w:lang w:val="sk-SK"/>
        </w:rPr>
        <w:t xml:space="preserve"> u pacientov s rizikovými faktormi pre trombemb</w:t>
      </w:r>
      <w:r w:rsidR="0045780E">
        <w:rPr>
          <w:sz w:val="22"/>
          <w:szCs w:val="22"/>
          <w:lang w:val="sk-SK"/>
        </w:rPr>
        <w:t>óliu</w:t>
      </w:r>
      <w:r w:rsidR="00610736" w:rsidRPr="00B12F7A">
        <w:rPr>
          <w:sz w:val="22"/>
          <w:szCs w:val="22"/>
          <w:lang w:val="sk-SK"/>
        </w:rPr>
        <w:t xml:space="preserve"> je</w:t>
      </w:r>
      <w:r w:rsidRPr="00B12F7A">
        <w:rPr>
          <w:sz w:val="22"/>
          <w:szCs w:val="22"/>
          <w:lang w:val="sk-SK"/>
        </w:rPr>
        <w:t xml:space="preserve"> potrebná opatrnosť (pozri časť 4.8).</w:t>
      </w:r>
    </w:p>
    <w:p w14:paraId="304A16FE" w14:textId="77777777" w:rsidR="00C0796C" w:rsidRDefault="00C0796C" w:rsidP="00C0796C">
      <w:pPr>
        <w:numPr>
          <w:ilvl w:val="0"/>
          <w:numId w:val="6"/>
        </w:numPr>
        <w:tabs>
          <w:tab w:val="left" w:pos="284"/>
          <w:tab w:val="left" w:pos="3969"/>
        </w:tabs>
        <w:ind w:hanging="100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Karcinóm prsníka</w:t>
      </w:r>
    </w:p>
    <w:p w14:paraId="2560D708" w14:textId="77777777" w:rsidR="00C0796C" w:rsidRPr="00B12F7A" w:rsidRDefault="00C0796C" w:rsidP="00FD52F8">
      <w:pPr>
        <w:tabs>
          <w:tab w:val="left" w:pos="284"/>
          <w:tab w:val="left" w:pos="3969"/>
        </w:tabs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  <w:t xml:space="preserve">Tiaprid môže zvyšovať hladiny prolaktínu. Preto je potrebná opatrnosť a pacienti s anamnézou alebo rodinnou anamnézou karcinómu prsníka musia byť počas liečby </w:t>
      </w:r>
      <w:r w:rsidR="00226359">
        <w:rPr>
          <w:sz w:val="22"/>
          <w:szCs w:val="22"/>
          <w:lang w:val="sk-SK"/>
        </w:rPr>
        <w:t xml:space="preserve">tiapridom </w:t>
      </w:r>
      <w:r>
        <w:rPr>
          <w:sz w:val="22"/>
          <w:szCs w:val="22"/>
          <w:lang w:val="sk-SK"/>
        </w:rPr>
        <w:t>dôsledne sledovaní.</w:t>
      </w:r>
    </w:p>
    <w:p w14:paraId="0F260FB2" w14:textId="77777777" w:rsidR="00886DBE" w:rsidRDefault="00886DBE" w:rsidP="00886DBE">
      <w:pPr>
        <w:numPr>
          <w:ilvl w:val="0"/>
          <w:numId w:val="8"/>
        </w:num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 súvislosti s antipsychotikami, vrátane tiapridu, sa zaznamenala leukopénia, neutropénia a agranulocytóza. Neobjasnené infekcie alebo horúčka môžu byť prejavom krvných dyskrázií (pozri časť 4.8) a vyžadujú okamžité hematologické vyšetrenie.</w:t>
      </w:r>
    </w:p>
    <w:p w14:paraId="4234E593" w14:textId="77777777" w:rsidR="00E45561" w:rsidRDefault="00E45561" w:rsidP="00E45561">
      <w:pPr>
        <w:rPr>
          <w:sz w:val="22"/>
          <w:szCs w:val="22"/>
          <w:lang w:val="sk-SK"/>
        </w:rPr>
      </w:pPr>
    </w:p>
    <w:p w14:paraId="0257FDF1" w14:textId="44983F09" w:rsidR="00E45561" w:rsidRDefault="00E45561" w:rsidP="00E4556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Liek </w:t>
      </w:r>
      <w:r w:rsidR="00896562">
        <w:rPr>
          <w:sz w:val="22"/>
          <w:szCs w:val="22"/>
          <w:lang w:val="sk-SK"/>
        </w:rPr>
        <w:t>TIAPRIDAL</w:t>
      </w:r>
      <w:r>
        <w:rPr>
          <w:sz w:val="22"/>
          <w:szCs w:val="22"/>
          <w:lang w:val="sk-SK"/>
        </w:rPr>
        <w:t xml:space="preserve"> perorálne kvapky obsahuje metylpara</w:t>
      </w:r>
      <w:r w:rsidR="00C41C9F">
        <w:rPr>
          <w:sz w:val="22"/>
          <w:szCs w:val="22"/>
          <w:lang w:val="sk-SK"/>
        </w:rPr>
        <w:t>hydroxybenzoát</w:t>
      </w:r>
      <w:r>
        <w:rPr>
          <w:sz w:val="22"/>
          <w:szCs w:val="22"/>
          <w:lang w:val="sk-SK"/>
        </w:rPr>
        <w:t xml:space="preserve"> a propylpara</w:t>
      </w:r>
      <w:r w:rsidR="00C41C9F">
        <w:rPr>
          <w:sz w:val="22"/>
          <w:szCs w:val="22"/>
          <w:lang w:val="sk-SK"/>
        </w:rPr>
        <w:t>hydroxybenzoát</w:t>
      </w:r>
      <w:r>
        <w:rPr>
          <w:sz w:val="22"/>
          <w:szCs w:val="22"/>
          <w:lang w:val="sk-SK"/>
        </w:rPr>
        <w:t xml:space="preserve">, ktoré môžu </w:t>
      </w:r>
      <w:r w:rsidR="008623B0">
        <w:rPr>
          <w:sz w:val="22"/>
          <w:szCs w:val="22"/>
          <w:lang w:val="sk-SK"/>
        </w:rPr>
        <w:t>vyvolať</w:t>
      </w:r>
      <w:r>
        <w:rPr>
          <w:sz w:val="22"/>
          <w:szCs w:val="22"/>
          <w:lang w:val="sk-SK"/>
        </w:rPr>
        <w:t xml:space="preserve"> alergické reakcie (možno oneskorené).</w:t>
      </w:r>
    </w:p>
    <w:p w14:paraId="160F8792" w14:textId="02337B80" w:rsidR="0086524C" w:rsidRPr="00B12F7A" w:rsidRDefault="0086524C" w:rsidP="00E4556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obsahuje menej ako 1 mmol sodíka (23 mg) v 1 ml</w:t>
      </w:r>
      <w:r>
        <w:rPr>
          <w:sz w:val="22"/>
          <w:szCs w:val="22"/>
        </w:rPr>
        <w:t xml:space="preserve"> perorálnych kvapiek</w:t>
      </w:r>
      <w:r>
        <w:rPr>
          <w:sz w:val="22"/>
          <w:szCs w:val="22"/>
          <w:lang w:val="sk-SK"/>
        </w:rPr>
        <w:t>, t.j. v podstate zanedbateľné množstvo sodíka.</w:t>
      </w:r>
    </w:p>
    <w:p w14:paraId="04B5A93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482A8D30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4.5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Liekové a iné interakcie</w:t>
      </w:r>
    </w:p>
    <w:p w14:paraId="237736DB" w14:textId="77777777" w:rsidR="00F16618" w:rsidRPr="00B12F7A" w:rsidRDefault="00F16618" w:rsidP="00F16618">
      <w:pPr>
        <w:pStyle w:val="Nadpis1"/>
        <w:rPr>
          <w:rFonts w:ascii="Times New Roman" w:hAnsi="Times New Roman"/>
          <w:sz w:val="22"/>
          <w:szCs w:val="22"/>
          <w:lang w:val="sk-SK"/>
        </w:rPr>
      </w:pPr>
      <w:r w:rsidRPr="00B12F7A">
        <w:rPr>
          <w:rFonts w:ascii="Times New Roman" w:hAnsi="Times New Roman"/>
          <w:sz w:val="22"/>
          <w:szCs w:val="22"/>
          <w:lang w:val="sk-SK"/>
        </w:rPr>
        <w:t>Kontraindikované kombinácie</w:t>
      </w:r>
    </w:p>
    <w:p w14:paraId="2F80449B" w14:textId="77777777" w:rsidR="00610736" w:rsidRPr="00B12F7A" w:rsidRDefault="00610736" w:rsidP="00610736">
      <w:pPr>
        <w:rPr>
          <w:sz w:val="22"/>
          <w:szCs w:val="22"/>
          <w:lang w:val="sk-SK"/>
        </w:rPr>
      </w:pPr>
    </w:p>
    <w:p w14:paraId="66D4A800" w14:textId="77777777" w:rsidR="00D63300" w:rsidRPr="00B12F7A" w:rsidRDefault="003501C0" w:rsidP="00610736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Dopaminergné</w:t>
      </w:r>
      <w:r w:rsidR="00610736" w:rsidRPr="00B12F7A">
        <w:rPr>
          <w:sz w:val="22"/>
          <w:szCs w:val="22"/>
          <w:lang w:val="sk-SK"/>
        </w:rPr>
        <w:t xml:space="preserve"> agonisty, s výnimkou pacientov s Parkinsonovou chorobou (kabergolín, chinagolid), vzhľadom na</w:t>
      </w:r>
      <w:r w:rsidR="00F16618" w:rsidRPr="00B12F7A">
        <w:rPr>
          <w:sz w:val="22"/>
          <w:szCs w:val="22"/>
          <w:lang w:val="sk-SK"/>
        </w:rPr>
        <w:t xml:space="preserve"> recipročný antagonizmus </w:t>
      </w:r>
      <w:r w:rsidR="00610736" w:rsidRPr="00B12F7A">
        <w:rPr>
          <w:sz w:val="22"/>
          <w:szCs w:val="22"/>
          <w:lang w:val="sk-SK"/>
        </w:rPr>
        <w:t>dopaminergných agonistov</w:t>
      </w:r>
      <w:r w:rsidR="00F16618" w:rsidRPr="00B12F7A">
        <w:rPr>
          <w:sz w:val="22"/>
          <w:szCs w:val="22"/>
          <w:lang w:val="sk-SK"/>
        </w:rPr>
        <w:t xml:space="preserve"> a neuroleptík. </w:t>
      </w:r>
    </w:p>
    <w:p w14:paraId="073E02F6" w14:textId="77777777" w:rsidR="00F16618" w:rsidRPr="00B12F7A" w:rsidRDefault="00F16618" w:rsidP="00F16618">
      <w:pPr>
        <w:pStyle w:val="Nadpis1"/>
        <w:rPr>
          <w:rFonts w:ascii="Times New Roman" w:hAnsi="Times New Roman"/>
          <w:sz w:val="22"/>
          <w:szCs w:val="22"/>
          <w:lang w:val="sk-SK"/>
        </w:rPr>
      </w:pPr>
      <w:r w:rsidRPr="00B12F7A">
        <w:rPr>
          <w:rFonts w:ascii="Times New Roman" w:hAnsi="Times New Roman"/>
          <w:sz w:val="22"/>
          <w:szCs w:val="22"/>
          <w:lang w:val="sk-SK"/>
        </w:rPr>
        <w:t>Neodporúčané kombinácie</w:t>
      </w:r>
    </w:p>
    <w:p w14:paraId="71044D9D" w14:textId="77777777" w:rsidR="00610736" w:rsidRPr="00B12F7A" w:rsidRDefault="00610736" w:rsidP="00F16618">
      <w:pPr>
        <w:pStyle w:val="Zkladntext"/>
        <w:rPr>
          <w:sz w:val="22"/>
          <w:szCs w:val="22"/>
          <w:lang w:val="sk-SK"/>
        </w:rPr>
      </w:pPr>
    </w:p>
    <w:p w14:paraId="4D226D5B" w14:textId="77777777" w:rsidR="00610736" w:rsidRPr="00B12F7A" w:rsidRDefault="00F16618" w:rsidP="00F16618">
      <w:pPr>
        <w:pStyle w:val="Zkladntext"/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Alkohol</w:t>
      </w:r>
    </w:p>
    <w:p w14:paraId="3CCA167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Alkohol zvyšuje sedatívny účinok neuroleptík. </w:t>
      </w:r>
      <w:r w:rsidR="00610736" w:rsidRPr="00B12F7A">
        <w:rPr>
          <w:sz w:val="22"/>
          <w:szCs w:val="22"/>
          <w:lang w:val="sk-SK"/>
        </w:rPr>
        <w:t>Vzhľadom na ovplyvnenie pozornosti môže byť nebezpečné viesť vozidlá alebo obsluhovať stroje.</w:t>
      </w:r>
      <w:r w:rsidR="00610736" w:rsidRPr="00B12F7A">
        <w:rPr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Je potrebné predchádzať konzumácii alkoholických nápojov a liekov obsahujúcich alkohol.</w:t>
      </w:r>
    </w:p>
    <w:p w14:paraId="2FCDE931" w14:textId="77777777" w:rsidR="00610736" w:rsidRPr="00B12F7A" w:rsidRDefault="00610736" w:rsidP="00F16618">
      <w:pPr>
        <w:pStyle w:val="Zkladntext"/>
        <w:rPr>
          <w:sz w:val="22"/>
          <w:szCs w:val="22"/>
          <w:lang w:val="sk-SK"/>
        </w:rPr>
      </w:pPr>
    </w:p>
    <w:p w14:paraId="0977DB97" w14:textId="77777777" w:rsidR="00F16618" w:rsidRPr="00B12F7A" w:rsidRDefault="00227481" w:rsidP="00F16618">
      <w:pPr>
        <w:pStyle w:val="Zkladntext"/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L</w:t>
      </w:r>
      <w:r w:rsidR="00F16618" w:rsidRPr="00B12F7A">
        <w:rPr>
          <w:i/>
          <w:sz w:val="22"/>
          <w:szCs w:val="22"/>
          <w:lang w:val="sk-SK"/>
        </w:rPr>
        <w:t>iek</w:t>
      </w:r>
      <w:r w:rsidRPr="00B12F7A">
        <w:rPr>
          <w:i/>
          <w:sz w:val="22"/>
          <w:szCs w:val="22"/>
          <w:lang w:val="sk-SK"/>
        </w:rPr>
        <w:t>y</w:t>
      </w:r>
      <w:r w:rsidR="00F16618" w:rsidRPr="00B12F7A">
        <w:rPr>
          <w:i/>
          <w:sz w:val="22"/>
          <w:szCs w:val="22"/>
          <w:lang w:val="sk-SK"/>
        </w:rPr>
        <w:t>, ktoré môžu indukovať torsades de pointes alebo predĺžiť QT interval</w:t>
      </w:r>
    </w:p>
    <w:p w14:paraId="562FDAB7" w14:textId="77777777" w:rsidR="00227481" w:rsidRPr="00B12F7A" w:rsidRDefault="00227481" w:rsidP="00227481">
      <w:pPr>
        <w:tabs>
          <w:tab w:val="left" w:pos="284"/>
        </w:tabs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Antiarytmiká triedy Ia (chinidín, hydrochinidín, disopyramid) a antiarytmiká triedy III (amiodarón, sotalol, dofetilid, ibutilid), niektoré neuroleptiká (sultoprid, pipotiazín, sertindol, veralip</w:t>
      </w:r>
      <w:r w:rsidR="00F50B34">
        <w:rPr>
          <w:sz w:val="22"/>
          <w:szCs w:val="22"/>
          <w:lang w:val="sk-SK"/>
        </w:rPr>
        <w:t>r</w:t>
      </w:r>
      <w:r w:rsidRPr="00B12F7A">
        <w:rPr>
          <w:sz w:val="22"/>
          <w:szCs w:val="22"/>
          <w:lang w:val="sk-SK"/>
        </w:rPr>
        <w:t>id, chlorpromazín, levomepromazín, trifluórperazín, tioridazín, cyamemazín, sulpirid, pimozid, haloperidol, droperidol, flufenazín, pipamperón, flupentixol, zuklopentixol), niektoré antiparazitiká (halofantrín, lumefant</w:t>
      </w:r>
      <w:r w:rsidR="00173A7E" w:rsidRPr="00B12F7A">
        <w:rPr>
          <w:sz w:val="22"/>
          <w:szCs w:val="22"/>
          <w:lang w:val="sk-SK"/>
        </w:rPr>
        <w:t>r</w:t>
      </w:r>
      <w:r w:rsidRPr="00B12F7A">
        <w:rPr>
          <w:sz w:val="22"/>
          <w:szCs w:val="22"/>
          <w:lang w:val="sk-SK"/>
        </w:rPr>
        <w:t>ín, pentamidín), iné lieky: i.v. erytromycín, i.v. spiramycín, moxifloxacín, sparfloxacín, imipramínové antidepresíva, lítium, bepridil, cisaprid, difemanil, mizolastín, i.v. vinkamín.</w:t>
      </w:r>
    </w:p>
    <w:p w14:paraId="04E6746D" w14:textId="77777777" w:rsidR="00227481" w:rsidRPr="00B12F7A" w:rsidRDefault="00227481" w:rsidP="00227481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ventrikulárnych arytmií, predovšetkým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</w:t>
      </w:r>
    </w:p>
    <w:p w14:paraId="180D3A30" w14:textId="77777777" w:rsidR="00227481" w:rsidRPr="00B12F7A" w:rsidRDefault="00227481" w:rsidP="00227481">
      <w:pPr>
        <w:tabs>
          <w:tab w:val="left" w:pos="284"/>
        </w:tabs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Ak je to možné, vysaďte liek, ktorý môže vyvolať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, okrem liekov na liečbu infekcií. Ak nie je možné vyhnúť sa kombinovanej liečbe, pred začatím liečby skontrolujte QT interval a sledujte EKG.</w:t>
      </w:r>
    </w:p>
    <w:p w14:paraId="4E7E0CF1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54C35AA8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Levodopa</w:t>
      </w:r>
    </w:p>
    <w:p w14:paraId="6579C874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Recipročný antagonizmus levodopy a neuroleptík.</w:t>
      </w:r>
    </w:p>
    <w:p w14:paraId="0C0BF9CA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lastRenderedPageBreak/>
        <w:t xml:space="preserve">U pacientov s Parkinsonovou chorobou </w:t>
      </w:r>
      <w:r w:rsidR="004E2145" w:rsidRPr="00B12F7A">
        <w:rPr>
          <w:sz w:val="22"/>
          <w:szCs w:val="22"/>
          <w:lang w:val="sk-SK"/>
        </w:rPr>
        <w:t>sa majú použiť</w:t>
      </w:r>
      <w:r w:rsidRPr="00B12F7A">
        <w:rPr>
          <w:sz w:val="22"/>
          <w:szCs w:val="22"/>
          <w:lang w:val="sk-SK"/>
        </w:rPr>
        <w:t xml:space="preserve"> pri každom lieku najnižšie účinné dávky.</w:t>
      </w:r>
    </w:p>
    <w:p w14:paraId="427A6039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6BCA3A21" w14:textId="77777777" w:rsidR="00227481" w:rsidRPr="00B12F7A" w:rsidRDefault="003501C0" w:rsidP="00227481">
      <w:pPr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Dopaminergné</w:t>
      </w:r>
      <w:r w:rsidR="00227481" w:rsidRPr="00B12F7A">
        <w:rPr>
          <w:i/>
          <w:sz w:val="22"/>
          <w:szCs w:val="22"/>
          <w:lang w:val="sk-SK"/>
        </w:rPr>
        <w:t xml:space="preserve"> agonisty s výnimkou levodopy</w:t>
      </w:r>
      <w:r w:rsidR="00227481" w:rsidRPr="00B12F7A">
        <w:rPr>
          <w:sz w:val="22"/>
          <w:szCs w:val="22"/>
          <w:lang w:val="sk-SK"/>
        </w:rPr>
        <w:t xml:space="preserve"> (</w:t>
      </w:r>
      <w:r w:rsidR="00227481" w:rsidRPr="00B12F7A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amantadín, apomorfín, bromokryptín, entakapón, lizurid, pergolid, piribedil, pramipexol, ropinirol, selegilín) u pacientov s Parkinsonovou chorobou.</w:t>
      </w:r>
    </w:p>
    <w:p w14:paraId="4824F282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Recipročný antagonizmus dopaminergných agonistov a neuroleptík.</w:t>
      </w:r>
    </w:p>
    <w:p w14:paraId="4C783C11" w14:textId="77777777" w:rsidR="00227481" w:rsidRPr="00B12F7A" w:rsidRDefault="003501C0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Dopaminergné</w:t>
      </w:r>
      <w:r w:rsidR="00227481" w:rsidRPr="00B12F7A">
        <w:rPr>
          <w:sz w:val="22"/>
          <w:szCs w:val="22"/>
          <w:lang w:val="sk-SK"/>
        </w:rPr>
        <w:t xml:space="preserve"> agonisty môžu vyvolať alebo zhoršiť psychotické poruchy.</w:t>
      </w:r>
    </w:p>
    <w:p w14:paraId="3BA54605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Ak sa neuroleptickej liečbe nedá vyhnúť u pacientov s Parkinsonovou chorobou liečených dopaminergnými agonistami, musí sa dávka týchto látok postupne znižovať a vysadiť (náhle vysadenie dopaminergných agonistov môže vyvolať neuroleptický malígny syndróm).</w:t>
      </w:r>
    </w:p>
    <w:p w14:paraId="4E7C1298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08E236D3" w14:textId="77777777" w:rsidR="00227481" w:rsidRPr="00B12F7A" w:rsidRDefault="00227481" w:rsidP="00227481">
      <w:pPr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Metadón</w:t>
      </w:r>
    </w:p>
    <w:p w14:paraId="695DFBD1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ventrikulárnej arytmie, najmä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</w:t>
      </w:r>
    </w:p>
    <w:p w14:paraId="55925F7C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6B65FABA" w14:textId="77777777" w:rsidR="00227481" w:rsidRPr="00B12F7A" w:rsidRDefault="00227481" w:rsidP="00227481">
      <w:pPr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Kombinácie, ktoré vyžadujú osobitné opatrenia pri používaní</w:t>
      </w:r>
    </w:p>
    <w:p w14:paraId="425093E0" w14:textId="77777777" w:rsidR="00227481" w:rsidRPr="00B12F7A" w:rsidRDefault="00227481" w:rsidP="00227481">
      <w:pPr>
        <w:rPr>
          <w:i/>
          <w:sz w:val="22"/>
          <w:szCs w:val="22"/>
          <w:lang w:val="sk-SK"/>
        </w:rPr>
      </w:pPr>
    </w:p>
    <w:p w14:paraId="2845DE34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Lieky vyvolávajúce bradykardiu</w:t>
      </w:r>
      <w:r w:rsidRPr="00B12F7A">
        <w:rPr>
          <w:sz w:val="22"/>
          <w:szCs w:val="22"/>
          <w:lang w:val="sk-SK"/>
        </w:rPr>
        <w:t xml:space="preserve"> (najmä antiarytmiká triedy Ia, betablokátory, niektoré antiarytmiká triedy II, niektorí antagonisty vápnika, napr. diltiazem a verapamil, klonidín, guanfacín; srdcové glykozidy, pilokarpín, inhibítory cholínesterázy):</w:t>
      </w:r>
    </w:p>
    <w:p w14:paraId="1B6A44F6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ventrikulárnych arytmií, predovšetkým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</w:t>
      </w:r>
    </w:p>
    <w:p w14:paraId="56E46390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Klinické a elektrokardiografické monitorovanie.</w:t>
      </w:r>
    </w:p>
    <w:p w14:paraId="12CC6F1F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47CFA9A4" w14:textId="77777777" w:rsidR="00227481" w:rsidRPr="00B12F7A" w:rsidRDefault="00227481" w:rsidP="00227481">
      <w:pPr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Betablokátory pri zlyhaní srdca (bisoprolol, karvedilol, metoprolol, nebivolol)</w:t>
      </w:r>
    </w:p>
    <w:p w14:paraId="04ABC6F5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ventrikulárnych arytmií, predovšetkým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 Je nevyhnutné klinické a EKG monitorovanie.</w:t>
      </w:r>
    </w:p>
    <w:p w14:paraId="4CFC5854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07D5789E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Lieky, ktoré indukujú elektrolytickú nerovnováhu, najmä znižujúce hladinu draslíka</w:t>
      </w:r>
      <w:r w:rsidRPr="00B12F7A">
        <w:rPr>
          <w:sz w:val="22"/>
          <w:szCs w:val="22"/>
          <w:lang w:val="sk-SK"/>
        </w:rPr>
        <w:t xml:space="preserve"> (diuretiká znižujúce hladinu draslíka, stimulujúce laxatíva, i.v. amfotericín B, glukokortikoidy, tetrakosaktidy, kosyntropín).</w:t>
      </w:r>
    </w:p>
    <w:p w14:paraId="238100AB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ventrikulárnych arytmií, predovšetkým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</w:t>
      </w:r>
    </w:p>
    <w:p w14:paraId="27036D99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Pred začatím liečby tiapridom upravte akúkoľvek hypokaliémiu a zabezpečte klinické pozorovanie, monitorovanie elektrolytov a EKG.</w:t>
      </w:r>
    </w:p>
    <w:p w14:paraId="49905961" w14:textId="77777777" w:rsidR="00DE7440" w:rsidRPr="00B12F7A" w:rsidRDefault="00DE7440" w:rsidP="00F16618">
      <w:pPr>
        <w:rPr>
          <w:sz w:val="22"/>
          <w:szCs w:val="22"/>
          <w:lang w:val="sk-SK"/>
        </w:rPr>
      </w:pPr>
    </w:p>
    <w:p w14:paraId="41C1AD10" w14:textId="77777777" w:rsidR="00F16618" w:rsidRPr="00B12F7A" w:rsidRDefault="00F16618" w:rsidP="008A3C59">
      <w:pPr>
        <w:pStyle w:val="Nadpis1"/>
        <w:keepNext w:val="0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B12F7A">
        <w:rPr>
          <w:rFonts w:ascii="Times New Roman" w:hAnsi="Times New Roman"/>
          <w:sz w:val="22"/>
          <w:szCs w:val="22"/>
          <w:lang w:val="sk-SK"/>
        </w:rPr>
        <w:t>Iné kombinácie, ktoré je potrebné vziať do úvahy</w:t>
      </w:r>
    </w:p>
    <w:p w14:paraId="3E191BF3" w14:textId="77777777" w:rsidR="00227481" w:rsidRPr="00B12F7A" w:rsidRDefault="00227481" w:rsidP="00F16618">
      <w:pPr>
        <w:pStyle w:val="Zkladntext"/>
        <w:rPr>
          <w:sz w:val="22"/>
          <w:szCs w:val="22"/>
          <w:lang w:val="sk-SK"/>
        </w:rPr>
      </w:pPr>
    </w:p>
    <w:p w14:paraId="64520AA6" w14:textId="77777777" w:rsidR="00227481" w:rsidRPr="00B12F7A" w:rsidRDefault="00227481" w:rsidP="00227481">
      <w:pPr>
        <w:pStyle w:val="Zkladntext"/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Antihypertenzíva (všetky):</w:t>
      </w:r>
    </w:p>
    <w:p w14:paraId="3A6F662F" w14:textId="77777777" w:rsidR="00227481" w:rsidRPr="00B12F7A" w:rsidRDefault="00227481" w:rsidP="00227481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Antihypertenzívny účinok a zvýšené riziko ortostatickej hypotenzie (prídavný účinok).</w:t>
      </w:r>
    </w:p>
    <w:p w14:paraId="5EAFF7C8" w14:textId="77777777" w:rsidR="00227481" w:rsidRPr="00B12F7A" w:rsidRDefault="00227481" w:rsidP="00227481">
      <w:pPr>
        <w:pStyle w:val="Zkladntext"/>
        <w:rPr>
          <w:sz w:val="22"/>
          <w:szCs w:val="22"/>
          <w:lang w:val="sk-SK"/>
        </w:rPr>
      </w:pPr>
    </w:p>
    <w:p w14:paraId="1FC1A447" w14:textId="77777777" w:rsidR="00227481" w:rsidRPr="008A3C59" w:rsidRDefault="00227481" w:rsidP="00227481">
      <w:pPr>
        <w:pStyle w:val="Zkladntext"/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 xml:space="preserve">Iné </w:t>
      </w:r>
      <w:r w:rsidRPr="008A3C59">
        <w:rPr>
          <w:i/>
          <w:sz w:val="22"/>
          <w:szCs w:val="22"/>
          <w:lang w:val="sk-SK"/>
        </w:rPr>
        <w:t>l</w:t>
      </w:r>
      <w:r w:rsidR="00F16618" w:rsidRPr="008A3C59">
        <w:rPr>
          <w:i/>
          <w:sz w:val="22"/>
          <w:szCs w:val="22"/>
          <w:lang w:val="sk-SK"/>
        </w:rPr>
        <w:t xml:space="preserve">ieky znižujúce aktivitu CNS: </w:t>
      </w:r>
    </w:p>
    <w:p w14:paraId="62C7EB7E" w14:textId="77777777" w:rsidR="00F16618" w:rsidRPr="00B12F7A" w:rsidRDefault="00227481" w:rsidP="00227481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Narkotiká</w:t>
      </w:r>
      <w:r w:rsidR="00F16618" w:rsidRPr="00B12F7A">
        <w:rPr>
          <w:sz w:val="22"/>
          <w:szCs w:val="22"/>
          <w:lang w:val="sk-SK"/>
        </w:rPr>
        <w:t xml:space="preserve"> (analgetiká</w:t>
      </w:r>
      <w:r w:rsidRPr="00B12F7A">
        <w:rPr>
          <w:sz w:val="22"/>
          <w:szCs w:val="22"/>
          <w:lang w:val="sk-SK"/>
        </w:rPr>
        <w:t>, </w:t>
      </w:r>
      <w:r w:rsidR="00F16618" w:rsidRPr="00B12F7A">
        <w:rPr>
          <w:sz w:val="22"/>
          <w:szCs w:val="22"/>
          <w:lang w:val="sk-SK"/>
        </w:rPr>
        <w:t>antitusiká</w:t>
      </w:r>
      <w:r w:rsidRPr="00B12F7A">
        <w:rPr>
          <w:sz w:val="22"/>
          <w:szCs w:val="22"/>
          <w:lang w:val="sk-SK"/>
        </w:rPr>
        <w:t xml:space="preserve"> a opioidná substitučná liečba</w:t>
      </w:r>
      <w:r w:rsidR="00F16618" w:rsidRPr="00B12F7A">
        <w:rPr>
          <w:sz w:val="22"/>
          <w:szCs w:val="22"/>
          <w:lang w:val="sk-SK"/>
        </w:rPr>
        <w:t xml:space="preserve">), </w:t>
      </w:r>
      <w:r w:rsidRPr="00B12F7A">
        <w:rPr>
          <w:sz w:val="22"/>
          <w:szCs w:val="22"/>
          <w:lang w:val="sk-SK"/>
        </w:rPr>
        <w:t>sedatívne</w:t>
      </w:r>
      <w:r w:rsidR="00F16618" w:rsidRPr="00B12F7A">
        <w:rPr>
          <w:sz w:val="22"/>
          <w:szCs w:val="22"/>
          <w:lang w:val="sk-SK"/>
        </w:rPr>
        <w:t xml:space="preserve"> H1 antihistamin</w:t>
      </w:r>
      <w:r w:rsidRPr="00B12F7A">
        <w:rPr>
          <w:sz w:val="22"/>
          <w:szCs w:val="22"/>
          <w:lang w:val="sk-SK"/>
        </w:rPr>
        <w:t>iká</w:t>
      </w:r>
      <w:r w:rsidR="00F16618" w:rsidRPr="00B12F7A">
        <w:rPr>
          <w:sz w:val="22"/>
          <w:szCs w:val="22"/>
          <w:lang w:val="sk-SK"/>
        </w:rPr>
        <w:t xml:space="preserve">, barbituráty, </w:t>
      </w:r>
      <w:r w:rsidRPr="00B12F7A">
        <w:rPr>
          <w:sz w:val="22"/>
          <w:szCs w:val="22"/>
          <w:lang w:val="sk-SK"/>
        </w:rPr>
        <w:t xml:space="preserve">benzodiazepíny, iné </w:t>
      </w:r>
      <w:r w:rsidR="00F16618" w:rsidRPr="00B12F7A">
        <w:rPr>
          <w:sz w:val="22"/>
          <w:szCs w:val="22"/>
          <w:lang w:val="sk-SK"/>
        </w:rPr>
        <w:t>nebenzodiazepínové anxiolytiká,</w:t>
      </w:r>
      <w:r w:rsidRPr="00B12F7A">
        <w:rPr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hypnotiká, neuroleptiká, sedatívne antidepresíva (amitriptylín, doxepín, mianserín, mirtazapín, trimipramín), centrálne účinkujúce antihypertenzíva; iné lieky: baklofen, talidomid, pizotifén,</w:t>
      </w:r>
      <w:r w:rsidR="00F16618" w:rsidRPr="00B12F7A">
        <w:rPr>
          <w:sz w:val="22"/>
          <w:szCs w:val="22"/>
          <w:lang w:val="sk-SK"/>
        </w:rPr>
        <w:t xml:space="preserve"> klonidín a odvodené látky.</w:t>
      </w:r>
    </w:p>
    <w:p w14:paraId="2AA2275A" w14:textId="77777777" w:rsidR="00261C9F" w:rsidRPr="00B12F7A" w:rsidRDefault="00261C9F" w:rsidP="00261C9F">
      <w:pPr>
        <w:pStyle w:val="Zkladntext"/>
        <w:rPr>
          <w:rStyle w:val="longtext"/>
          <w:sz w:val="22"/>
          <w:szCs w:val="22"/>
          <w:shd w:val="clear" w:color="auto" w:fill="FFFFFF"/>
          <w:lang w:val="sk-SK"/>
        </w:rPr>
      </w:pPr>
      <w:r w:rsidRPr="00B12F7A">
        <w:rPr>
          <w:rStyle w:val="longtext"/>
          <w:sz w:val="22"/>
          <w:szCs w:val="22"/>
          <w:shd w:val="clear" w:color="auto" w:fill="FFFFFF"/>
          <w:lang w:val="sk-SK"/>
        </w:rPr>
        <w:t xml:space="preserve">Zvýšenie centrálnej depresie. Znížená pozornosť môže spôsobiť nebezpečenstvo pri vedení vozidiel a obsluhe strojov. </w:t>
      </w:r>
    </w:p>
    <w:p w14:paraId="29CC74B9" w14:textId="77777777" w:rsidR="00261C9F" w:rsidRPr="00B12F7A" w:rsidRDefault="00261C9F" w:rsidP="00261C9F">
      <w:pPr>
        <w:pStyle w:val="Zkladntext"/>
        <w:rPr>
          <w:sz w:val="22"/>
          <w:szCs w:val="22"/>
          <w:lang w:val="sk-SK"/>
        </w:rPr>
      </w:pPr>
    </w:p>
    <w:p w14:paraId="23A6AC8F" w14:textId="77777777" w:rsidR="00261C9F" w:rsidRPr="00B12F7A" w:rsidRDefault="00261C9F" w:rsidP="00261C9F">
      <w:pPr>
        <w:pStyle w:val="Zkladntext"/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Betablokátory</w:t>
      </w:r>
      <w:r w:rsidRPr="00B12F7A">
        <w:rPr>
          <w:sz w:val="22"/>
          <w:szCs w:val="22"/>
          <w:lang w:val="sk-SK"/>
        </w:rPr>
        <w:t xml:space="preserve"> (s výnimkou esmololu, sotalolu a betablokátorov používaných pri zlyhaní srdca)</w:t>
      </w:r>
    </w:p>
    <w:p w14:paraId="4C36AB23" w14:textId="77777777" w:rsidR="00261C9F" w:rsidRPr="00B12F7A" w:rsidRDefault="00261C9F" w:rsidP="00261C9F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Vazodilatačný účinok a riziko hypotenzie, najmä posturálna hypotenzia (prídavný účinok).</w:t>
      </w:r>
    </w:p>
    <w:p w14:paraId="6850389A" w14:textId="77777777" w:rsidR="00261C9F" w:rsidRPr="00B12F7A" w:rsidRDefault="00261C9F" w:rsidP="00261C9F">
      <w:pPr>
        <w:pStyle w:val="Zkladntext"/>
        <w:rPr>
          <w:sz w:val="22"/>
          <w:szCs w:val="22"/>
          <w:lang w:val="sk-SK"/>
        </w:rPr>
      </w:pPr>
    </w:p>
    <w:p w14:paraId="68985272" w14:textId="77777777" w:rsidR="00261C9F" w:rsidRPr="00B12F7A" w:rsidRDefault="00261C9F" w:rsidP="00261C9F">
      <w:pPr>
        <w:pStyle w:val="Zkladntext"/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Nitrátové deriváty a príbuzné látky</w:t>
      </w:r>
    </w:p>
    <w:p w14:paraId="369FCBD6" w14:textId="77777777" w:rsidR="00B31F7E" w:rsidRDefault="007016F2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Riziko hypotenzie, najmä posturálna hypotenzia.</w:t>
      </w:r>
    </w:p>
    <w:p w14:paraId="2B5BA437" w14:textId="77777777" w:rsidR="007016F2" w:rsidRPr="00B12F7A" w:rsidRDefault="007016F2" w:rsidP="00F16618">
      <w:pPr>
        <w:pStyle w:val="Zkladntext"/>
        <w:rPr>
          <w:sz w:val="22"/>
          <w:szCs w:val="22"/>
          <w:lang w:val="sk-SK"/>
        </w:rPr>
      </w:pPr>
    </w:p>
    <w:p w14:paraId="75B792CA" w14:textId="77777777" w:rsidR="000616E7" w:rsidRDefault="00F16618" w:rsidP="00635FF3">
      <w:pPr>
        <w:pStyle w:val="Zkladntext"/>
        <w:keepNext/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4.6</w:t>
      </w:r>
      <w:r w:rsidR="00D112B1">
        <w:rPr>
          <w:b/>
          <w:bCs/>
          <w:sz w:val="22"/>
          <w:szCs w:val="22"/>
          <w:lang w:val="sk-SK"/>
        </w:rPr>
        <w:tab/>
      </w:r>
      <w:r w:rsidR="00BD4078">
        <w:rPr>
          <w:b/>
          <w:bCs/>
          <w:sz w:val="22"/>
          <w:szCs w:val="22"/>
          <w:lang w:val="sk-SK"/>
        </w:rPr>
        <w:t xml:space="preserve">Fertilita, </w:t>
      </w:r>
      <w:r w:rsidR="00BD4078">
        <w:rPr>
          <w:b/>
          <w:sz w:val="22"/>
          <w:szCs w:val="22"/>
          <w:lang w:val="sk-SK"/>
        </w:rPr>
        <w:t>g</w:t>
      </w:r>
      <w:r w:rsidRPr="00B12F7A">
        <w:rPr>
          <w:b/>
          <w:sz w:val="22"/>
          <w:szCs w:val="22"/>
          <w:lang w:val="sk-SK"/>
        </w:rPr>
        <w:t>ravidita a laktácia</w:t>
      </w:r>
    </w:p>
    <w:p w14:paraId="1E875428" w14:textId="77777777" w:rsidR="000616E7" w:rsidRDefault="000616E7" w:rsidP="00635FF3">
      <w:pPr>
        <w:pStyle w:val="Zkladntext"/>
        <w:keepNext/>
        <w:rPr>
          <w:sz w:val="22"/>
          <w:szCs w:val="22"/>
          <w:u w:val="single"/>
          <w:lang w:val="sk-SK"/>
        </w:rPr>
      </w:pPr>
    </w:p>
    <w:p w14:paraId="48B45746" w14:textId="77777777" w:rsidR="000616E7" w:rsidRDefault="00F16618" w:rsidP="00635FF3">
      <w:pPr>
        <w:pStyle w:val="Zkladntext"/>
        <w:keepNext/>
        <w:rPr>
          <w:sz w:val="22"/>
          <w:szCs w:val="22"/>
          <w:u w:val="single"/>
          <w:lang w:val="sk-SK"/>
        </w:rPr>
      </w:pPr>
      <w:r w:rsidRPr="00FD52F8">
        <w:rPr>
          <w:sz w:val="22"/>
          <w:szCs w:val="22"/>
          <w:u w:val="single"/>
          <w:lang w:val="sk-SK"/>
        </w:rPr>
        <w:t>Gravidita</w:t>
      </w:r>
    </w:p>
    <w:p w14:paraId="4BCC0373" w14:textId="77777777" w:rsidR="00544366" w:rsidRPr="00544366" w:rsidRDefault="00544366" w:rsidP="00544366">
      <w:pPr>
        <w:pStyle w:val="Zkladntext"/>
        <w:rPr>
          <w:sz w:val="22"/>
          <w:szCs w:val="22"/>
          <w:lang w:val="sk-SK"/>
        </w:rPr>
      </w:pPr>
      <w:r w:rsidRPr="00544366">
        <w:rPr>
          <w:sz w:val="22"/>
          <w:szCs w:val="22"/>
          <w:lang w:val="sk-SK"/>
        </w:rPr>
        <w:t>K dispozícii nie sú žiadne alebo limitované údaje o užívaní tiapridu u gravidných žien.</w:t>
      </w:r>
    </w:p>
    <w:p w14:paraId="494DC9D0" w14:textId="77777777" w:rsidR="00544366" w:rsidRDefault="00544366" w:rsidP="00544366">
      <w:pPr>
        <w:pStyle w:val="Zkladntext"/>
        <w:rPr>
          <w:sz w:val="22"/>
          <w:szCs w:val="22"/>
          <w:lang w:val="sk-SK"/>
        </w:rPr>
      </w:pPr>
      <w:r w:rsidRPr="00544366">
        <w:rPr>
          <w:sz w:val="22"/>
          <w:szCs w:val="22"/>
          <w:lang w:val="sk-SK"/>
        </w:rPr>
        <w:lastRenderedPageBreak/>
        <w:t>Tiaprid prechádza placentou. Štúdie na zvieratách preukázali reprodukčnú toxicitu (pozri časť 5.3).</w:t>
      </w:r>
    </w:p>
    <w:p w14:paraId="76A8D391" w14:textId="77777777" w:rsidR="00544366" w:rsidRDefault="00544366" w:rsidP="00544366">
      <w:pPr>
        <w:pStyle w:val="Zkladntext"/>
        <w:rPr>
          <w:sz w:val="22"/>
          <w:szCs w:val="22"/>
          <w:lang w:val="sk-SK"/>
        </w:rPr>
      </w:pPr>
    </w:p>
    <w:p w14:paraId="498502FA" w14:textId="43D811F0" w:rsidR="00261C9F" w:rsidRDefault="00544366" w:rsidP="00544366">
      <w:pPr>
        <w:pStyle w:val="Zkladntext"/>
        <w:rPr>
          <w:sz w:val="22"/>
          <w:szCs w:val="22"/>
          <w:lang w:val="sk-SK"/>
        </w:rPr>
      </w:pPr>
      <w:r w:rsidRPr="008D4D7A">
        <w:rPr>
          <w:sz w:val="22"/>
          <w:szCs w:val="22"/>
          <w:lang w:val="sk-SK"/>
        </w:rPr>
        <w:t>Používanie tiapridu sa neodporúča počas tehotenstva a u žien vo fertilnom veku, ktoré nepoužívajú účinnú antikoncepciu.</w:t>
      </w:r>
      <w:r w:rsidR="00261C9F" w:rsidRPr="008A3C59">
        <w:rPr>
          <w:sz w:val="22"/>
          <w:szCs w:val="22"/>
          <w:lang w:val="sk-SK"/>
        </w:rPr>
        <w:t xml:space="preserve"> </w:t>
      </w:r>
    </w:p>
    <w:p w14:paraId="4E7903DA" w14:textId="77777777" w:rsidR="0085101F" w:rsidRDefault="0085101F" w:rsidP="0085101F">
      <w:pPr>
        <w:pStyle w:val="Zkladntext"/>
        <w:rPr>
          <w:sz w:val="22"/>
          <w:szCs w:val="22"/>
          <w:lang w:val="sk-SK"/>
        </w:rPr>
      </w:pPr>
      <w:r w:rsidRPr="008A3C59">
        <w:rPr>
          <w:sz w:val="22"/>
          <w:szCs w:val="22"/>
          <w:lang w:val="sk-SK"/>
        </w:rPr>
        <w:t>V prípade, že je liečba potrebná na udržanie správnej duševnej rovnováhy a zabránenie dekompenzácie, musí sa počas tehotenstva začať alebo pokračovať v účinnom dávkovaní.</w:t>
      </w:r>
    </w:p>
    <w:p w14:paraId="1F7E61C2" w14:textId="77777777" w:rsidR="0085101F" w:rsidRPr="008A3C59" w:rsidRDefault="0085101F" w:rsidP="00544366">
      <w:pPr>
        <w:pStyle w:val="Zkladntext"/>
        <w:rPr>
          <w:sz w:val="22"/>
          <w:szCs w:val="22"/>
          <w:lang w:val="sk-SK"/>
        </w:rPr>
      </w:pPr>
    </w:p>
    <w:p w14:paraId="6D64BC2A" w14:textId="7A1481FF" w:rsidR="00261C9F" w:rsidRPr="00B12F7A" w:rsidRDefault="00261C9F" w:rsidP="008A3C59">
      <w:pPr>
        <w:pStyle w:val="Nadpis3"/>
        <w:keepNext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</w:p>
    <w:p w14:paraId="4C937751" w14:textId="71C5C1C9" w:rsidR="00A80BD3" w:rsidRDefault="00A80BD3" w:rsidP="00A80B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Novorodenci, vystavení pôsobeniu antipsychotík</w:t>
      </w:r>
      <w:r w:rsidR="00544366">
        <w:rPr>
          <w:sz w:val="22"/>
          <w:szCs w:val="22"/>
        </w:rPr>
        <w:t>,</w:t>
      </w:r>
      <w:r>
        <w:rPr>
          <w:sz w:val="22"/>
          <w:szCs w:val="22"/>
        </w:rPr>
        <w:t xml:space="preserve"> vrátane tiapridu počas tretieho trimestra gravidity, sú vystavení riziku nežiaducich </w:t>
      </w:r>
      <w:r w:rsidR="0085101F">
        <w:rPr>
          <w:sz w:val="22"/>
          <w:szCs w:val="22"/>
        </w:rPr>
        <w:t>reakcií</w:t>
      </w:r>
      <w:r>
        <w:rPr>
          <w:sz w:val="22"/>
          <w:szCs w:val="22"/>
        </w:rPr>
        <w:t xml:space="preserve"> vrátane extrapyramidálnych príznakov a/alebo syndrómu z vysadenia, ktoré môžu byť premenlivé čo sa týka závažnosti a dĺžky trvania po pôrode (pozri časť 4.8). Boli hlásené prípady agitovanosti, hypertónie, tr</w:t>
      </w:r>
      <w:r w:rsidR="00544366">
        <w:rPr>
          <w:sz w:val="22"/>
          <w:szCs w:val="22"/>
        </w:rPr>
        <w:t>emoru</w:t>
      </w:r>
      <w:r>
        <w:rPr>
          <w:sz w:val="22"/>
          <w:szCs w:val="22"/>
        </w:rPr>
        <w:t>, ospalosti, dýchacích ťažkostí alebo porúch kŕmenia. V dôsledku toho majú byť novorodenci starostlivo sledovaní.</w:t>
      </w:r>
    </w:p>
    <w:p w14:paraId="5055332B" w14:textId="77777777" w:rsidR="00AC4650" w:rsidRPr="00B12F7A" w:rsidRDefault="00AC4650" w:rsidP="00F16618">
      <w:pPr>
        <w:pStyle w:val="Zkladntext"/>
        <w:rPr>
          <w:sz w:val="22"/>
          <w:szCs w:val="22"/>
          <w:u w:val="single"/>
          <w:lang w:val="sk-SK"/>
        </w:rPr>
      </w:pPr>
    </w:p>
    <w:p w14:paraId="6F98E32B" w14:textId="77777777" w:rsidR="00300897" w:rsidRPr="00FD52F8" w:rsidRDefault="00300897" w:rsidP="00F16618">
      <w:pPr>
        <w:pStyle w:val="Zkladntext3"/>
        <w:spacing w:after="0"/>
        <w:rPr>
          <w:sz w:val="22"/>
          <w:szCs w:val="22"/>
          <w:u w:val="single"/>
          <w:lang w:val="sk-SK"/>
        </w:rPr>
      </w:pPr>
      <w:r w:rsidRPr="00FD52F8">
        <w:rPr>
          <w:sz w:val="22"/>
          <w:szCs w:val="22"/>
          <w:u w:val="single"/>
          <w:lang w:val="sk-SK"/>
        </w:rPr>
        <w:t>Dojčenie</w:t>
      </w:r>
    </w:p>
    <w:p w14:paraId="79892316" w14:textId="77777777" w:rsidR="00544366" w:rsidRDefault="00F16618" w:rsidP="00F16618">
      <w:pPr>
        <w:pStyle w:val="Zkladntext3"/>
        <w:spacing w:after="0"/>
        <w:rPr>
          <w:sz w:val="22"/>
          <w:szCs w:val="22"/>
        </w:rPr>
      </w:pPr>
      <w:r w:rsidRPr="00B12F7A">
        <w:rPr>
          <w:sz w:val="22"/>
          <w:szCs w:val="22"/>
          <w:lang w:val="sk-SK"/>
        </w:rPr>
        <w:t xml:space="preserve">Štúdie na zvieratách preukázali vylučovanie tiapridu do materského mlieka. Nie je známe, či sa tiaprid vylučuje do materského mlieka u ľudí. </w:t>
      </w:r>
      <w:r w:rsidR="00544366" w:rsidRPr="00262B2C">
        <w:rPr>
          <w:sz w:val="22"/>
          <w:szCs w:val="22"/>
        </w:rPr>
        <w:t>Riziko pre dojčené dieťa nem</w:t>
      </w:r>
      <w:r w:rsidR="00544366">
        <w:rPr>
          <w:sz w:val="22"/>
          <w:szCs w:val="22"/>
        </w:rPr>
        <w:t>ožno</w:t>
      </w:r>
      <w:r w:rsidR="00544366" w:rsidRPr="00262B2C">
        <w:rPr>
          <w:sz w:val="22"/>
          <w:szCs w:val="22"/>
        </w:rPr>
        <w:t xml:space="preserve"> vylúč</w:t>
      </w:r>
      <w:r w:rsidR="00544366">
        <w:rPr>
          <w:sz w:val="22"/>
          <w:szCs w:val="22"/>
        </w:rPr>
        <w:t>iť</w:t>
      </w:r>
      <w:r w:rsidR="00544366" w:rsidRPr="00262B2C">
        <w:rPr>
          <w:sz w:val="22"/>
          <w:szCs w:val="22"/>
        </w:rPr>
        <w:t xml:space="preserve">. </w:t>
      </w:r>
    </w:p>
    <w:p w14:paraId="6503729F" w14:textId="77777777" w:rsidR="00544366" w:rsidRDefault="00544366" w:rsidP="00544366">
      <w:pPr>
        <w:pStyle w:val="Zkladntext3"/>
        <w:rPr>
          <w:sz w:val="22"/>
          <w:szCs w:val="22"/>
        </w:rPr>
      </w:pPr>
    </w:p>
    <w:p w14:paraId="22CE724B" w14:textId="31C7F7B7" w:rsidR="00544366" w:rsidRPr="00E20352" w:rsidRDefault="00544366" w:rsidP="00544366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>Je potrebné</w:t>
      </w:r>
      <w:r w:rsidRPr="00262B2C">
        <w:rPr>
          <w:sz w:val="22"/>
          <w:szCs w:val="22"/>
        </w:rPr>
        <w:t xml:space="preserve"> rozhodnúť</w:t>
      </w:r>
      <w:r>
        <w:rPr>
          <w:sz w:val="22"/>
          <w:szCs w:val="22"/>
        </w:rPr>
        <w:t>,</w:t>
      </w:r>
      <w:r w:rsidRPr="00262B2C">
        <w:rPr>
          <w:sz w:val="22"/>
          <w:szCs w:val="22"/>
        </w:rPr>
        <w:t xml:space="preserve"> či </w:t>
      </w:r>
      <w:r>
        <w:rPr>
          <w:sz w:val="22"/>
          <w:szCs w:val="22"/>
        </w:rPr>
        <w:t xml:space="preserve">sa má </w:t>
      </w:r>
      <w:r w:rsidRPr="00262B2C">
        <w:rPr>
          <w:sz w:val="22"/>
          <w:szCs w:val="22"/>
        </w:rPr>
        <w:t xml:space="preserve">dojčenie prerušiť alebo </w:t>
      </w:r>
      <w:r w:rsidR="0085101F">
        <w:rPr>
          <w:sz w:val="22"/>
          <w:szCs w:val="22"/>
        </w:rPr>
        <w:t>prerušiť</w:t>
      </w:r>
      <w:r w:rsidRPr="00262B2C">
        <w:rPr>
          <w:sz w:val="22"/>
          <w:szCs w:val="22"/>
        </w:rPr>
        <w:t xml:space="preserve"> liečb</w:t>
      </w:r>
      <w:r w:rsidR="0085101F">
        <w:rPr>
          <w:sz w:val="22"/>
          <w:szCs w:val="22"/>
        </w:rPr>
        <w:t>u</w:t>
      </w:r>
      <w:r>
        <w:rPr>
          <w:sz w:val="22"/>
          <w:szCs w:val="22"/>
        </w:rPr>
        <w:t xml:space="preserve"> tiapridom</w:t>
      </w:r>
      <w:r w:rsidRPr="00262B2C">
        <w:rPr>
          <w:sz w:val="22"/>
          <w:szCs w:val="22"/>
        </w:rPr>
        <w:t>, zoh</w:t>
      </w:r>
      <w:r>
        <w:rPr>
          <w:sz w:val="22"/>
          <w:szCs w:val="22"/>
        </w:rPr>
        <w:t>ľ</w:t>
      </w:r>
      <w:r w:rsidRPr="00262B2C">
        <w:rPr>
          <w:sz w:val="22"/>
          <w:szCs w:val="22"/>
        </w:rPr>
        <w:t>adňujúc prínos dojčenia pre dieťa a prínos liečby pre ženu.</w:t>
      </w:r>
    </w:p>
    <w:p w14:paraId="2B932737" w14:textId="77777777" w:rsidR="00261C9F" w:rsidRPr="00B12F7A" w:rsidRDefault="00261C9F" w:rsidP="00043634">
      <w:pPr>
        <w:pStyle w:val="Zkladntext3"/>
        <w:spacing w:after="0"/>
        <w:rPr>
          <w:lang w:val="sk-SK"/>
        </w:rPr>
      </w:pPr>
    </w:p>
    <w:p w14:paraId="475444FE" w14:textId="77777777" w:rsidR="00261C9F" w:rsidRPr="00FD52F8" w:rsidRDefault="00261C9F" w:rsidP="008A3C59">
      <w:pPr>
        <w:pStyle w:val="Zkladntext"/>
        <w:keepNext/>
        <w:rPr>
          <w:sz w:val="22"/>
          <w:szCs w:val="22"/>
          <w:u w:val="single"/>
          <w:lang w:val="sk-SK"/>
        </w:rPr>
      </w:pPr>
      <w:r w:rsidRPr="00FD52F8">
        <w:rPr>
          <w:sz w:val="22"/>
          <w:szCs w:val="22"/>
          <w:u w:val="single"/>
          <w:lang w:val="sk-SK"/>
        </w:rPr>
        <w:t>Fertilita</w:t>
      </w:r>
    </w:p>
    <w:p w14:paraId="06E7A037" w14:textId="16919256" w:rsidR="00261C9F" w:rsidRPr="00B12F7A" w:rsidRDefault="00DF4ACD" w:rsidP="00261C9F">
      <w:pPr>
        <w:pStyle w:val="Nadpis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B12F7A">
        <w:rPr>
          <w:rFonts w:ascii="Times New Roman" w:hAnsi="Times New Roman" w:cs="Times New Roman"/>
          <w:b w:val="0"/>
          <w:sz w:val="22"/>
          <w:szCs w:val="22"/>
          <w:lang w:val="sk-SK"/>
        </w:rPr>
        <w:t>Na zvieratách sa pozorovalo zníženie plodnosti súvisiace s farmakologickým účinkom lieku (</w:t>
      </w:r>
      <w:r w:rsidR="00202140">
        <w:rPr>
          <w:rFonts w:ascii="Times New Roman" w:hAnsi="Times New Roman" w:cs="Times New Roman"/>
          <w:b w:val="0"/>
          <w:sz w:val="22"/>
          <w:szCs w:val="22"/>
          <w:lang w:val="sk-SK"/>
        </w:rPr>
        <w:t>prostredníctvom prolaktínu</w:t>
      </w:r>
      <w:r w:rsidRPr="00B12F7A">
        <w:rPr>
          <w:rFonts w:ascii="Times New Roman" w:hAnsi="Times New Roman" w:cs="Times New Roman"/>
          <w:b w:val="0"/>
          <w:sz w:val="22"/>
          <w:szCs w:val="22"/>
          <w:lang w:val="sk-SK"/>
        </w:rPr>
        <w:t>)</w:t>
      </w:r>
      <w:r w:rsidR="00544366" w:rsidRPr="00544366">
        <w:t xml:space="preserve"> </w:t>
      </w:r>
      <w:r w:rsidR="00544366" w:rsidRPr="00544366">
        <w:rPr>
          <w:rFonts w:ascii="Times New Roman" w:hAnsi="Times New Roman" w:cs="Times New Roman"/>
          <w:b w:val="0"/>
          <w:sz w:val="22"/>
          <w:szCs w:val="22"/>
          <w:lang w:val="sk-SK"/>
        </w:rPr>
        <w:t>(pozri časť 5.3)</w:t>
      </w:r>
      <w:r w:rsidRPr="00B12F7A">
        <w:rPr>
          <w:rFonts w:ascii="Times New Roman" w:hAnsi="Times New Roman" w:cs="Times New Roman"/>
          <w:b w:val="0"/>
          <w:sz w:val="22"/>
          <w:szCs w:val="22"/>
          <w:lang w:val="sk-SK"/>
        </w:rPr>
        <w:t>.</w:t>
      </w:r>
      <w:r w:rsidR="00544366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</w:t>
      </w:r>
      <w:r w:rsidR="00544366" w:rsidRPr="00544366">
        <w:rPr>
          <w:rFonts w:ascii="Times New Roman" w:hAnsi="Times New Roman" w:cs="Times New Roman"/>
          <w:b w:val="0"/>
          <w:sz w:val="22"/>
          <w:szCs w:val="22"/>
          <w:lang w:val="sk-SK"/>
        </w:rPr>
        <w:t>Tiaprid môže podobne znížiť fertilitu u ľudí (pozri časť 4.8).</w:t>
      </w:r>
    </w:p>
    <w:p w14:paraId="7EFA0C95" w14:textId="77777777" w:rsidR="00261C9F" w:rsidRPr="00B12F7A" w:rsidRDefault="00261C9F" w:rsidP="00261C9F">
      <w:pPr>
        <w:pStyle w:val="Nadpis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B12F7A">
        <w:rPr>
          <w:rFonts w:ascii="Times New Roman" w:hAnsi="Times New Roman" w:cs="Times New Roman"/>
          <w:b w:val="0"/>
          <w:sz w:val="22"/>
          <w:szCs w:val="22"/>
          <w:lang w:val="sk-SK"/>
        </w:rPr>
        <w:t>U ľudí môže podávanie tiapridu vzhľadom na interakciu s dopamínovými receptormi spôsobiť hyperprolaktinémiu, ktorá môže byť spojená s amenoreou, anovuláciou a zhoršenou fertilitou (pozri časť 4.8).</w:t>
      </w:r>
    </w:p>
    <w:p w14:paraId="59C1AF95" w14:textId="77777777" w:rsidR="00AC4650" w:rsidRPr="00B12F7A" w:rsidRDefault="00AC4650" w:rsidP="00F16618">
      <w:pPr>
        <w:pStyle w:val="Zkladntext"/>
        <w:rPr>
          <w:sz w:val="22"/>
          <w:szCs w:val="22"/>
          <w:lang w:val="sk-SK"/>
        </w:rPr>
      </w:pPr>
    </w:p>
    <w:p w14:paraId="7679BFEA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4.7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37C47D94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08125D2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Aj pri odporúčaných dávkach môže tiaprid pôsobiť upokojujúco a to môže zhoršiť schopnosť viesť vozidlá a obsluhovať stroje (pozri časť 4.8).</w:t>
      </w:r>
    </w:p>
    <w:p w14:paraId="438B5D9B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492DA00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4.8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Nežiaduce účinky</w:t>
      </w:r>
    </w:p>
    <w:p w14:paraId="20C211E9" w14:textId="77777777" w:rsidR="00F16618" w:rsidRPr="00B12F7A" w:rsidRDefault="00F16618" w:rsidP="00F16618">
      <w:pPr>
        <w:pStyle w:val="Zkladntext"/>
        <w:rPr>
          <w:sz w:val="22"/>
          <w:szCs w:val="22"/>
          <w:u w:val="single"/>
          <w:lang w:val="sk-SK"/>
        </w:rPr>
      </w:pPr>
    </w:p>
    <w:p w14:paraId="5035DE4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Nežiaduce účinky boli zoradené podľa frekvencie výskytu použitím nasledujúcej konvencie: veľmi časté (≥ 1/10); časté (≥ 1/100</w:t>
      </w:r>
      <w:r w:rsidR="00E17C58" w:rsidRPr="00B12F7A">
        <w:rPr>
          <w:sz w:val="22"/>
          <w:szCs w:val="22"/>
          <w:lang w:val="sk-SK"/>
        </w:rPr>
        <w:t xml:space="preserve"> až</w:t>
      </w:r>
      <w:r w:rsidRPr="00B12F7A">
        <w:rPr>
          <w:sz w:val="22"/>
          <w:szCs w:val="22"/>
          <w:lang w:val="sk-SK"/>
        </w:rPr>
        <w:t xml:space="preserve"> &lt; 1/10); menej časté (≥ 1/1</w:t>
      </w:r>
      <w:r w:rsidR="001C7863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000</w:t>
      </w:r>
      <w:r w:rsidR="00E17C58" w:rsidRPr="00B12F7A">
        <w:rPr>
          <w:sz w:val="22"/>
          <w:szCs w:val="22"/>
          <w:lang w:val="sk-SK"/>
        </w:rPr>
        <w:t xml:space="preserve"> až</w:t>
      </w:r>
      <w:r w:rsidRPr="00B12F7A">
        <w:rPr>
          <w:sz w:val="22"/>
          <w:szCs w:val="22"/>
          <w:lang w:val="sk-SK"/>
        </w:rPr>
        <w:t xml:space="preserve"> &lt; 1/100); zriedkavé (≥ 1/10</w:t>
      </w:r>
      <w:r w:rsidR="00455F54" w:rsidRPr="00B12F7A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000</w:t>
      </w:r>
      <w:r w:rsidR="00E17C58" w:rsidRPr="00B12F7A">
        <w:rPr>
          <w:sz w:val="22"/>
          <w:szCs w:val="22"/>
          <w:lang w:val="sk-SK"/>
        </w:rPr>
        <w:t xml:space="preserve"> až</w:t>
      </w:r>
      <w:r w:rsidRPr="00B12F7A">
        <w:rPr>
          <w:sz w:val="22"/>
          <w:szCs w:val="22"/>
          <w:lang w:val="sk-SK"/>
        </w:rPr>
        <w:t xml:space="preserve"> &lt; 1/1</w:t>
      </w:r>
      <w:r w:rsidR="001C7863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000); veľmi zriedkavé (&lt; 1/10</w:t>
      </w:r>
      <w:r w:rsidR="00455F54" w:rsidRPr="00B12F7A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000), neznáme (z dostupných údajov).</w:t>
      </w:r>
    </w:p>
    <w:p w14:paraId="74A8ACC0" w14:textId="77777777" w:rsidR="006C6D9F" w:rsidRPr="00635FF3" w:rsidRDefault="006C6D9F" w:rsidP="005C0F4C">
      <w:pPr>
        <w:rPr>
          <w:sz w:val="22"/>
          <w:szCs w:val="22"/>
          <w:lang w:val="sk-SK"/>
        </w:rPr>
      </w:pPr>
    </w:p>
    <w:p w14:paraId="05F835D1" w14:textId="77777777" w:rsidR="005C0F4C" w:rsidRPr="00635FF3" w:rsidRDefault="005C0F4C" w:rsidP="005C0F4C">
      <w:pPr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krvi a lymfatického systému:</w:t>
      </w:r>
    </w:p>
    <w:p w14:paraId="1E355457" w14:textId="603A9417" w:rsidR="005C0F4C" w:rsidRPr="00635FF3" w:rsidRDefault="002478C1" w:rsidP="00E70812">
      <w:pPr>
        <w:ind w:left="2268" w:hanging="2268"/>
        <w:rPr>
          <w:sz w:val="22"/>
          <w:szCs w:val="22"/>
          <w:lang w:val="sk-SK"/>
        </w:rPr>
      </w:pPr>
      <w:r w:rsidRPr="00043634">
        <w:rPr>
          <w:i/>
          <w:sz w:val="22"/>
          <w:szCs w:val="22"/>
        </w:rPr>
        <w:t>Zriedkavé</w:t>
      </w:r>
      <w:r w:rsidR="005C0F4C" w:rsidRPr="00554C6C">
        <w:rPr>
          <w:i/>
          <w:sz w:val="22"/>
          <w:szCs w:val="22"/>
          <w:lang w:val="sk-SK"/>
        </w:rPr>
        <w:t>:</w:t>
      </w:r>
      <w:r w:rsidR="005C0F4C" w:rsidRPr="00635FF3">
        <w:rPr>
          <w:sz w:val="22"/>
          <w:szCs w:val="22"/>
          <w:lang w:val="sk-SK"/>
        </w:rPr>
        <w:tab/>
        <w:t>leukopénia, neutropénia</w:t>
      </w:r>
      <w:r w:rsidR="00B472FA" w:rsidRPr="00635FF3">
        <w:rPr>
          <w:sz w:val="22"/>
          <w:szCs w:val="22"/>
          <w:lang w:val="sk-SK"/>
        </w:rPr>
        <w:t>,</w:t>
      </w:r>
      <w:r w:rsidR="005C0F4C" w:rsidRPr="00635FF3">
        <w:rPr>
          <w:sz w:val="22"/>
          <w:szCs w:val="22"/>
          <w:lang w:val="sk-SK"/>
        </w:rPr>
        <w:t xml:space="preserve"> </w:t>
      </w:r>
      <w:r w:rsidR="00B472FA" w:rsidRPr="00635FF3">
        <w:rPr>
          <w:sz w:val="22"/>
          <w:szCs w:val="22"/>
          <w:lang w:val="sk-SK"/>
        </w:rPr>
        <w:t xml:space="preserve">agranulocytóza </w:t>
      </w:r>
      <w:r w:rsidR="005C0F4C" w:rsidRPr="00635FF3">
        <w:rPr>
          <w:sz w:val="22"/>
          <w:szCs w:val="22"/>
          <w:lang w:val="sk-SK"/>
        </w:rPr>
        <w:t>(pozri časť 4.4).</w:t>
      </w:r>
    </w:p>
    <w:p w14:paraId="08FED34F" w14:textId="77777777" w:rsidR="00F16618" w:rsidRPr="00635FF3" w:rsidRDefault="00F16618" w:rsidP="00F16618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32FD39DE" w14:textId="77777777" w:rsidR="00F16618" w:rsidRPr="00635FF3" w:rsidRDefault="00F16618" w:rsidP="00F16618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endokrinného systému</w:t>
      </w:r>
      <w:r w:rsidR="00DE7231" w:rsidRPr="00635FF3">
        <w:rPr>
          <w:sz w:val="22"/>
          <w:szCs w:val="22"/>
          <w:lang w:val="sk-SK"/>
        </w:rPr>
        <w:t>:</w:t>
      </w:r>
    </w:p>
    <w:p w14:paraId="55695D86" w14:textId="2941DBE0" w:rsidR="00F16618" w:rsidRPr="00635FF3" w:rsidRDefault="002E342E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Č</w:t>
      </w:r>
      <w:r w:rsidR="00F16618" w:rsidRPr="00635FF3">
        <w:rPr>
          <w:i/>
          <w:sz w:val="22"/>
          <w:szCs w:val="22"/>
          <w:lang w:val="sk-SK"/>
        </w:rPr>
        <w:t>asté:</w:t>
      </w:r>
      <w:r w:rsidR="00F16618" w:rsidRPr="00635FF3">
        <w:rPr>
          <w:sz w:val="22"/>
          <w:szCs w:val="22"/>
          <w:lang w:val="sk-SK"/>
        </w:rPr>
        <w:tab/>
      </w:r>
      <w:r w:rsidR="00452971">
        <w:rPr>
          <w:sz w:val="22"/>
          <w:szCs w:val="22"/>
          <w:lang w:val="sk-SK"/>
        </w:rPr>
        <w:t>h</w:t>
      </w:r>
      <w:r w:rsidR="00261C9F" w:rsidRPr="00635FF3">
        <w:rPr>
          <w:sz w:val="22"/>
          <w:szCs w:val="22"/>
          <w:lang w:val="sk-SK"/>
        </w:rPr>
        <w:t>yperprolaktinémia</w:t>
      </w:r>
      <w:r w:rsidR="00452971">
        <w:rPr>
          <w:sz w:val="22"/>
          <w:szCs w:val="22"/>
          <w:lang w:val="sk-SK"/>
        </w:rPr>
        <w:t>, ktorá</w:t>
      </w:r>
      <w:r w:rsidR="00982AF5" w:rsidRPr="00635FF3">
        <w:rPr>
          <w:sz w:val="22"/>
          <w:szCs w:val="22"/>
          <w:lang w:val="sk-SK"/>
        </w:rPr>
        <w:t xml:space="preserve"> </w:t>
      </w:r>
      <w:r w:rsidR="00F16618" w:rsidRPr="00635FF3">
        <w:rPr>
          <w:sz w:val="22"/>
          <w:szCs w:val="22"/>
          <w:lang w:val="sk-SK"/>
        </w:rPr>
        <w:t xml:space="preserve">môže vyústiť do amenorey, </w:t>
      </w:r>
      <w:r w:rsidR="00E567D4">
        <w:rPr>
          <w:sz w:val="22"/>
          <w:szCs w:val="22"/>
          <w:lang w:val="sk-SK"/>
        </w:rPr>
        <w:t>abnormálneho</w:t>
      </w:r>
      <w:r w:rsidR="00C050B3">
        <w:rPr>
          <w:sz w:val="22"/>
          <w:szCs w:val="22"/>
          <w:lang w:val="sk-SK"/>
        </w:rPr>
        <w:t xml:space="preserve"> </w:t>
      </w:r>
      <w:r w:rsidR="00E567D4" w:rsidRPr="00635FF3">
        <w:rPr>
          <w:sz w:val="22"/>
          <w:szCs w:val="22"/>
          <w:lang w:val="sk-SK"/>
        </w:rPr>
        <w:t>orgazmu</w:t>
      </w:r>
      <w:r w:rsidR="00E567D4">
        <w:rPr>
          <w:sz w:val="22"/>
          <w:szCs w:val="22"/>
          <w:lang w:val="sk-SK"/>
        </w:rPr>
        <w:t xml:space="preserve">, </w:t>
      </w:r>
      <w:r w:rsidR="008A042A" w:rsidRPr="00635FF3">
        <w:rPr>
          <w:sz w:val="22"/>
          <w:szCs w:val="22"/>
          <w:lang w:val="sk-SK"/>
        </w:rPr>
        <w:t>zväčšenia</w:t>
      </w:r>
      <w:r w:rsidR="008562DD" w:rsidRPr="00635FF3">
        <w:rPr>
          <w:sz w:val="22"/>
          <w:szCs w:val="22"/>
          <w:lang w:val="sk-SK"/>
        </w:rPr>
        <w:t xml:space="preserve"> </w:t>
      </w:r>
      <w:r w:rsidR="00E567D4">
        <w:rPr>
          <w:sz w:val="22"/>
          <w:szCs w:val="22"/>
          <w:lang w:val="sk-SK"/>
        </w:rPr>
        <w:t>prsníkov,</w:t>
      </w:r>
      <w:r w:rsidR="008562DD" w:rsidRPr="00635FF3">
        <w:rPr>
          <w:sz w:val="22"/>
          <w:szCs w:val="22"/>
          <w:lang w:val="sk-SK"/>
        </w:rPr>
        <w:t> </w:t>
      </w:r>
      <w:r w:rsidR="008A042A" w:rsidRPr="00635FF3">
        <w:rPr>
          <w:sz w:val="22"/>
          <w:szCs w:val="22"/>
          <w:lang w:val="sk-SK"/>
        </w:rPr>
        <w:t>bolesti</w:t>
      </w:r>
      <w:r w:rsidR="008562DD" w:rsidRPr="00635FF3">
        <w:rPr>
          <w:sz w:val="22"/>
          <w:szCs w:val="22"/>
          <w:lang w:val="sk-SK"/>
        </w:rPr>
        <w:t xml:space="preserve"> prsníkov</w:t>
      </w:r>
      <w:r w:rsidR="008A042A" w:rsidRPr="00635FF3">
        <w:rPr>
          <w:sz w:val="22"/>
          <w:szCs w:val="22"/>
          <w:lang w:val="sk-SK"/>
        </w:rPr>
        <w:t>,</w:t>
      </w:r>
      <w:r w:rsidR="00E567D4">
        <w:rPr>
          <w:sz w:val="22"/>
          <w:szCs w:val="22"/>
          <w:lang w:val="sk-SK"/>
        </w:rPr>
        <w:t xml:space="preserve"> galaktorey, gynekomastie,</w:t>
      </w:r>
      <w:r w:rsidR="008A042A" w:rsidRPr="00635FF3">
        <w:rPr>
          <w:sz w:val="22"/>
          <w:szCs w:val="22"/>
          <w:lang w:val="sk-SK"/>
        </w:rPr>
        <w:t xml:space="preserve"> </w:t>
      </w:r>
      <w:r w:rsidR="00E567D4">
        <w:rPr>
          <w:sz w:val="22"/>
          <w:szCs w:val="22"/>
          <w:lang w:val="sk-SK"/>
        </w:rPr>
        <w:t xml:space="preserve"> erektilnej dy</w:t>
      </w:r>
      <w:r w:rsidR="00E567D4" w:rsidRPr="00E567D4">
        <w:rPr>
          <w:sz w:val="22"/>
          <w:szCs w:val="22"/>
          <w:lang w:val="sk-SK"/>
        </w:rPr>
        <w:t>sfunkcie a je reverzibilná po vysadení lieku</w:t>
      </w:r>
      <w:r w:rsidR="00F16618" w:rsidRPr="00635FF3">
        <w:rPr>
          <w:sz w:val="22"/>
          <w:szCs w:val="22"/>
          <w:lang w:val="sk-SK"/>
        </w:rPr>
        <w:t>.</w:t>
      </w:r>
    </w:p>
    <w:p w14:paraId="5CF564B4" w14:textId="77777777" w:rsidR="00A02C35" w:rsidRPr="00635FF3" w:rsidRDefault="00A02C35" w:rsidP="00B472FA">
      <w:pPr>
        <w:pStyle w:val="Zkladntext"/>
        <w:tabs>
          <w:tab w:val="left" w:pos="0"/>
        </w:tabs>
        <w:rPr>
          <w:sz w:val="22"/>
          <w:szCs w:val="22"/>
        </w:rPr>
      </w:pPr>
    </w:p>
    <w:p w14:paraId="14D4263E" w14:textId="77777777" w:rsidR="00B472FA" w:rsidRPr="00635FF3" w:rsidRDefault="00B472FA" w:rsidP="00B472FA">
      <w:pPr>
        <w:pStyle w:val="Zkladntext"/>
        <w:tabs>
          <w:tab w:val="left" w:pos="0"/>
        </w:tabs>
        <w:rPr>
          <w:sz w:val="22"/>
          <w:szCs w:val="22"/>
        </w:rPr>
      </w:pPr>
      <w:r w:rsidRPr="00635FF3">
        <w:rPr>
          <w:sz w:val="22"/>
          <w:szCs w:val="22"/>
        </w:rPr>
        <w:t>Poruchy metabolizmu a výživy</w:t>
      </w:r>
      <w:r w:rsidR="00055156" w:rsidRPr="00635FF3">
        <w:rPr>
          <w:sz w:val="22"/>
          <w:szCs w:val="22"/>
        </w:rPr>
        <w:t>:</w:t>
      </w:r>
    </w:p>
    <w:p w14:paraId="29CBD8D0" w14:textId="45D091D1" w:rsidR="00B472FA" w:rsidRPr="00635FF3" w:rsidRDefault="00E567D4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</w:rPr>
      </w:pPr>
      <w:r w:rsidRPr="00E567D4">
        <w:rPr>
          <w:i/>
          <w:sz w:val="22"/>
          <w:szCs w:val="22"/>
        </w:rPr>
        <w:t>Zriedkavé</w:t>
      </w:r>
      <w:r w:rsidR="00B472FA" w:rsidRPr="00635FF3">
        <w:rPr>
          <w:i/>
          <w:sz w:val="22"/>
          <w:szCs w:val="22"/>
        </w:rPr>
        <w:t>:</w:t>
      </w:r>
      <w:r w:rsidR="00172BA9" w:rsidRPr="00635FF3">
        <w:rPr>
          <w:sz w:val="22"/>
          <w:szCs w:val="22"/>
          <w:lang w:val="sk-SK"/>
        </w:rPr>
        <w:tab/>
      </w:r>
      <w:r w:rsidR="00055156" w:rsidRPr="00635FF3">
        <w:rPr>
          <w:sz w:val="22"/>
          <w:szCs w:val="22"/>
        </w:rPr>
        <w:t>h</w:t>
      </w:r>
      <w:r w:rsidR="00B472FA" w:rsidRPr="00635FF3">
        <w:rPr>
          <w:sz w:val="22"/>
          <w:szCs w:val="22"/>
        </w:rPr>
        <w:t>yponatriémia, syndróm neprimeranej sekrécie antidiuretického hormónu (</w:t>
      </w:r>
      <w:r w:rsidR="00A02C35" w:rsidRPr="00A02C35">
        <w:rPr>
          <w:sz w:val="22"/>
          <w:szCs w:val="22"/>
        </w:rPr>
        <w:t>syndrome of inappropriate antidiuretic hormone secretion</w:t>
      </w:r>
      <w:r w:rsidR="00A02C35">
        <w:rPr>
          <w:sz w:val="22"/>
          <w:szCs w:val="22"/>
        </w:rPr>
        <w:t xml:space="preserve"> - </w:t>
      </w:r>
      <w:r w:rsidR="00B472FA" w:rsidRPr="00635FF3">
        <w:rPr>
          <w:sz w:val="22"/>
          <w:szCs w:val="22"/>
        </w:rPr>
        <w:t>SIADH).</w:t>
      </w:r>
    </w:p>
    <w:p w14:paraId="0C497790" w14:textId="77777777" w:rsidR="00061D17" w:rsidRPr="00635FF3" w:rsidRDefault="00061D17" w:rsidP="00061D17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6EE1EFC6" w14:textId="77777777" w:rsidR="00E8648B" w:rsidRDefault="00E8648B" w:rsidP="00061D17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797C742D" w14:textId="77777777" w:rsidR="00061D17" w:rsidRPr="00635FF3" w:rsidRDefault="00061D17" w:rsidP="00061D17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Psychické poruchy:</w:t>
      </w:r>
    </w:p>
    <w:p w14:paraId="3681CA46" w14:textId="77777777" w:rsidR="00061D17" w:rsidRPr="00635FF3" w:rsidRDefault="00061D17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lastRenderedPageBreak/>
        <w:t>Časté:</w:t>
      </w:r>
      <w:r w:rsidR="00055156" w:rsidRPr="00635FF3">
        <w:rPr>
          <w:sz w:val="22"/>
          <w:szCs w:val="22"/>
          <w:lang w:val="sk-SK"/>
        </w:rPr>
        <w:tab/>
        <w:t>s</w:t>
      </w:r>
      <w:r w:rsidRPr="00635FF3">
        <w:rPr>
          <w:sz w:val="22"/>
          <w:szCs w:val="22"/>
          <w:lang w:val="sk-SK"/>
        </w:rPr>
        <w:t>omnolencia/ospalosť/spavosť, nespavosť, agitácia, ľahostajnosť.</w:t>
      </w:r>
    </w:p>
    <w:p w14:paraId="2C39B6DF" w14:textId="6D76E8B9" w:rsidR="008A042A" w:rsidRPr="00635FF3" w:rsidRDefault="00E567D4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E567D4">
        <w:rPr>
          <w:i/>
          <w:sz w:val="22"/>
          <w:szCs w:val="22"/>
          <w:lang w:val="sk-SK"/>
        </w:rPr>
        <w:t>Menej časté</w:t>
      </w:r>
      <w:r w:rsidR="00172BA9" w:rsidRPr="00635FF3">
        <w:rPr>
          <w:sz w:val="22"/>
          <w:szCs w:val="22"/>
          <w:lang w:val="sk-SK"/>
        </w:rPr>
        <w:t>:</w:t>
      </w:r>
      <w:r w:rsidR="00172BA9" w:rsidRPr="00635FF3">
        <w:rPr>
          <w:sz w:val="22"/>
          <w:szCs w:val="22"/>
          <w:lang w:val="sk-SK"/>
        </w:rPr>
        <w:tab/>
      </w:r>
      <w:r w:rsidR="008A042A" w:rsidRPr="00635FF3">
        <w:rPr>
          <w:sz w:val="22"/>
          <w:szCs w:val="22"/>
          <w:lang w:val="sk-SK"/>
        </w:rPr>
        <w:t>zmätenosť, halucinácie.</w:t>
      </w:r>
    </w:p>
    <w:p w14:paraId="3D2961E1" w14:textId="77777777" w:rsidR="00061D17" w:rsidRPr="00635FF3" w:rsidRDefault="00061D17" w:rsidP="00061D17">
      <w:pPr>
        <w:pStyle w:val="Zkladntext"/>
        <w:tabs>
          <w:tab w:val="left" w:pos="0"/>
        </w:tabs>
        <w:rPr>
          <w:sz w:val="22"/>
          <w:szCs w:val="22"/>
        </w:rPr>
      </w:pPr>
    </w:p>
    <w:p w14:paraId="779CB88C" w14:textId="77777777" w:rsidR="00B472FA" w:rsidRPr="00635FF3" w:rsidRDefault="00B472FA" w:rsidP="00B472FA">
      <w:pPr>
        <w:pStyle w:val="Zkladntext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nervového systému</w:t>
      </w:r>
      <w:r w:rsidR="00150945" w:rsidRPr="00635FF3">
        <w:rPr>
          <w:sz w:val="22"/>
          <w:szCs w:val="22"/>
          <w:lang w:val="sk-SK"/>
        </w:rPr>
        <w:t>:</w:t>
      </w:r>
    </w:p>
    <w:p w14:paraId="5260BB75" w14:textId="77777777" w:rsidR="00B472FA" w:rsidRPr="00635FF3" w:rsidRDefault="00B472FA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Časté:</w:t>
      </w:r>
      <w:r w:rsidR="00172BA9" w:rsidRPr="00635FF3">
        <w:rPr>
          <w:sz w:val="22"/>
          <w:szCs w:val="22"/>
          <w:lang w:val="sk-SK"/>
        </w:rPr>
        <w:tab/>
        <w:t>z</w:t>
      </w:r>
      <w:r w:rsidRPr="00635FF3">
        <w:rPr>
          <w:sz w:val="22"/>
          <w:szCs w:val="22"/>
          <w:lang w:val="sk-SK"/>
        </w:rPr>
        <w:t>ávrat/vertigo, bolesť hlavy.</w:t>
      </w:r>
    </w:p>
    <w:p w14:paraId="64046738" w14:textId="05CAED55" w:rsidR="00B472FA" w:rsidRPr="00635FF3" w:rsidRDefault="00B472FA" w:rsidP="00E70812">
      <w:pPr>
        <w:pStyle w:val="Zkladntext"/>
        <w:tabs>
          <w:tab w:val="left" w:pos="2268"/>
        </w:tabs>
        <w:ind w:left="2268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Parkinson</w:t>
      </w:r>
      <w:r w:rsidR="00E567D4">
        <w:rPr>
          <w:sz w:val="22"/>
          <w:szCs w:val="22"/>
          <w:lang w:val="sk-SK"/>
        </w:rPr>
        <w:t>izmus</w:t>
      </w:r>
      <w:r w:rsidRPr="00635FF3">
        <w:rPr>
          <w:sz w:val="22"/>
          <w:szCs w:val="22"/>
          <w:lang w:val="sk-SK"/>
        </w:rPr>
        <w:t xml:space="preserve"> a súvisiace symptómy: tremor, hypert</w:t>
      </w:r>
      <w:r w:rsidR="002C6A0B" w:rsidRPr="00635FF3">
        <w:rPr>
          <w:sz w:val="22"/>
          <w:szCs w:val="22"/>
          <w:lang w:val="sk-SK"/>
        </w:rPr>
        <w:t>ó</w:t>
      </w:r>
      <w:r w:rsidRPr="00635FF3">
        <w:rPr>
          <w:sz w:val="22"/>
          <w:szCs w:val="22"/>
          <w:lang w:val="sk-SK"/>
        </w:rPr>
        <w:t>nia, hypokinéza a hypersalivácia. Tieto symptómy sú vo všeobecnosti, po podaní antiparkinsoník, vratné.</w:t>
      </w:r>
    </w:p>
    <w:p w14:paraId="17F8C8E1" w14:textId="552C8DCE" w:rsidR="00B472FA" w:rsidRDefault="00FB0FCB" w:rsidP="00172BA9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Menej časté:</w:t>
      </w:r>
      <w:r w:rsidR="00B472FA" w:rsidRPr="00635FF3">
        <w:rPr>
          <w:i/>
          <w:sz w:val="22"/>
          <w:szCs w:val="22"/>
          <w:lang w:val="sk-SK"/>
        </w:rPr>
        <w:tab/>
      </w:r>
      <w:r w:rsidR="00172BA9" w:rsidRPr="00635FF3">
        <w:rPr>
          <w:sz w:val="22"/>
          <w:szCs w:val="22"/>
          <w:lang w:val="sk-SK"/>
        </w:rPr>
        <w:t>a</w:t>
      </w:r>
      <w:r w:rsidR="00B472FA" w:rsidRPr="00635FF3">
        <w:rPr>
          <w:sz w:val="22"/>
          <w:szCs w:val="22"/>
          <w:lang w:val="sk-SK"/>
        </w:rPr>
        <w:t>katízia, dystónia (</w:t>
      </w:r>
      <w:r w:rsidR="00E567D4">
        <w:rPr>
          <w:sz w:val="22"/>
          <w:szCs w:val="22"/>
          <w:lang w:val="sk-SK"/>
        </w:rPr>
        <w:t>spazmus</w:t>
      </w:r>
      <w:r w:rsidR="00B472FA" w:rsidRPr="00635FF3">
        <w:rPr>
          <w:sz w:val="22"/>
          <w:szCs w:val="22"/>
          <w:lang w:val="sk-SK"/>
        </w:rPr>
        <w:t xml:space="preserve">, </w:t>
      </w:r>
      <w:r w:rsidR="00E567D4" w:rsidRPr="00E567D4">
        <w:rPr>
          <w:sz w:val="22"/>
          <w:szCs w:val="22"/>
          <w:lang w:val="sk-SK"/>
        </w:rPr>
        <w:t>torti</w:t>
      </w:r>
      <w:r w:rsidR="00A02C35">
        <w:rPr>
          <w:sz w:val="22"/>
          <w:szCs w:val="22"/>
          <w:lang w:val="sk-SK"/>
        </w:rPr>
        <w:t>k</w:t>
      </w:r>
      <w:r w:rsidR="00E567D4" w:rsidRPr="00E567D4">
        <w:rPr>
          <w:sz w:val="22"/>
          <w:szCs w:val="22"/>
          <w:lang w:val="sk-SK"/>
        </w:rPr>
        <w:t>olis</w:t>
      </w:r>
      <w:r w:rsidR="00B472FA" w:rsidRPr="00635FF3">
        <w:rPr>
          <w:sz w:val="22"/>
          <w:szCs w:val="22"/>
          <w:lang w:val="sk-SK"/>
        </w:rPr>
        <w:t>, okulogyrická kríza, trizmus). Tieto symptómy sú vo všeobecnosti, po podaní antiparkinsoník, vratné.</w:t>
      </w:r>
    </w:p>
    <w:p w14:paraId="04A55D72" w14:textId="6115990D" w:rsidR="00922789" w:rsidRPr="00635FF3" w:rsidRDefault="00922789" w:rsidP="00172BA9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 w:rsidRPr="00922789">
        <w:rPr>
          <w:sz w:val="22"/>
          <w:szCs w:val="22"/>
          <w:lang w:val="sk-SK"/>
        </w:rPr>
        <w:t>kŕče, synkopa.</w:t>
      </w:r>
    </w:p>
    <w:p w14:paraId="3E3F2B0B" w14:textId="29490B87" w:rsidR="00B472FA" w:rsidRDefault="00B472FA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Zriedkavé:</w:t>
      </w:r>
      <w:r w:rsidR="00FB0FCB" w:rsidRPr="00635FF3">
        <w:rPr>
          <w:sz w:val="22"/>
          <w:szCs w:val="22"/>
          <w:lang w:val="sk-SK"/>
        </w:rPr>
        <w:tab/>
        <w:t>a</w:t>
      </w:r>
      <w:r w:rsidRPr="00635FF3">
        <w:rPr>
          <w:sz w:val="22"/>
          <w:szCs w:val="22"/>
          <w:lang w:val="sk-SK"/>
        </w:rPr>
        <w:t xml:space="preserve">kútna dyskinéza. Tento </w:t>
      </w:r>
      <w:r w:rsidR="00922789">
        <w:rPr>
          <w:sz w:val="22"/>
          <w:szCs w:val="22"/>
          <w:lang w:val="sk-SK"/>
        </w:rPr>
        <w:t>príznak</w:t>
      </w:r>
      <w:r w:rsidRPr="00635FF3">
        <w:rPr>
          <w:sz w:val="22"/>
          <w:szCs w:val="22"/>
          <w:lang w:val="sk-SK"/>
        </w:rPr>
        <w:t xml:space="preserve"> je vo všeobecnosti, po podaní antiparkinsoník, vratný.</w:t>
      </w:r>
    </w:p>
    <w:p w14:paraId="18630D88" w14:textId="4651BCAB" w:rsidR="00FB0FCB" w:rsidRPr="00635FF3" w:rsidRDefault="00FB0FCB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ab/>
      </w:r>
      <w:r w:rsidR="00E8648B">
        <w:rPr>
          <w:sz w:val="22"/>
          <w:szCs w:val="22"/>
          <w:lang w:val="sk-SK"/>
        </w:rPr>
        <w:t>R</w:t>
      </w:r>
      <w:r w:rsidRPr="00635FF3">
        <w:rPr>
          <w:sz w:val="22"/>
          <w:szCs w:val="22"/>
          <w:lang w:val="sk-SK"/>
        </w:rPr>
        <w:t xml:space="preserve">ovnako ako </w:t>
      </w:r>
      <w:r w:rsidR="00922789">
        <w:rPr>
          <w:sz w:val="22"/>
          <w:szCs w:val="22"/>
          <w:lang w:val="sk-SK"/>
        </w:rPr>
        <w:t>u všetkých</w:t>
      </w:r>
      <w:r w:rsidRPr="00635FF3">
        <w:rPr>
          <w:sz w:val="22"/>
          <w:szCs w:val="22"/>
          <w:lang w:val="sk-SK"/>
        </w:rPr>
        <w:t xml:space="preserve"> neurolept</w:t>
      </w:r>
      <w:r w:rsidR="00922789">
        <w:rPr>
          <w:sz w:val="22"/>
          <w:szCs w:val="22"/>
          <w:lang w:val="sk-SK"/>
        </w:rPr>
        <w:t>í</w:t>
      </w:r>
      <w:r w:rsidRPr="00635FF3">
        <w:rPr>
          <w:sz w:val="22"/>
          <w:szCs w:val="22"/>
          <w:lang w:val="sk-SK"/>
        </w:rPr>
        <w:t>k, sa po viac ako trojmesačnom užívaní neuroleptika zaznamenala tardívna dyskinéza (charakterizovaná rytmickými, mimovoľnými pohybmi najmä jazyka a/alebo tváre). Antiparkinsoniká sú neúčinné alebo môžu indukovať zhoršenie príznakov.</w:t>
      </w:r>
    </w:p>
    <w:p w14:paraId="2B0AC74A" w14:textId="18CA1E7A" w:rsidR="00FB0FCB" w:rsidRPr="00635FF3" w:rsidRDefault="00C771C8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ab/>
        <w:t>R</w:t>
      </w:r>
      <w:r w:rsidR="00FB0FCB" w:rsidRPr="00635FF3">
        <w:rPr>
          <w:sz w:val="22"/>
          <w:szCs w:val="22"/>
          <w:lang w:val="sk-SK"/>
        </w:rPr>
        <w:t xml:space="preserve">ovnako ako </w:t>
      </w:r>
      <w:r w:rsidR="00922789">
        <w:rPr>
          <w:sz w:val="22"/>
          <w:szCs w:val="22"/>
          <w:lang w:val="sk-SK"/>
        </w:rPr>
        <w:t>u</w:t>
      </w:r>
      <w:r w:rsidR="00FB0FCB" w:rsidRPr="00635FF3">
        <w:rPr>
          <w:sz w:val="22"/>
          <w:szCs w:val="22"/>
          <w:lang w:val="sk-SK"/>
        </w:rPr>
        <w:t xml:space="preserve"> </w:t>
      </w:r>
      <w:r w:rsidR="00922789">
        <w:rPr>
          <w:sz w:val="22"/>
          <w:szCs w:val="22"/>
          <w:lang w:val="sk-SK"/>
        </w:rPr>
        <w:t>všetkých</w:t>
      </w:r>
      <w:r w:rsidR="00FB0FCB" w:rsidRPr="00635FF3">
        <w:rPr>
          <w:sz w:val="22"/>
          <w:szCs w:val="22"/>
          <w:lang w:val="sk-SK"/>
        </w:rPr>
        <w:t xml:space="preserve"> neurolept</w:t>
      </w:r>
      <w:r w:rsidR="00922789">
        <w:rPr>
          <w:sz w:val="22"/>
          <w:szCs w:val="22"/>
          <w:lang w:val="sk-SK"/>
        </w:rPr>
        <w:t>ík</w:t>
      </w:r>
      <w:r w:rsidR="00FB0FCB" w:rsidRPr="00635FF3">
        <w:rPr>
          <w:sz w:val="22"/>
          <w:szCs w:val="22"/>
          <w:lang w:val="sk-SK"/>
        </w:rPr>
        <w:t>, zaznamenal sa neuroleptický malígny syndróm, ktorý môže byť komplikáciou so smrteľnými následkami.</w:t>
      </w:r>
    </w:p>
    <w:p w14:paraId="578C3427" w14:textId="32096C24" w:rsidR="00C771C8" w:rsidRPr="00635FF3" w:rsidRDefault="00922789" w:rsidP="00E70812">
      <w:pPr>
        <w:pStyle w:val="Zkladntext"/>
        <w:tabs>
          <w:tab w:val="left" w:pos="2268"/>
        </w:tabs>
        <w:ind w:left="2268"/>
        <w:rPr>
          <w:sz w:val="22"/>
          <w:szCs w:val="22"/>
        </w:rPr>
      </w:pPr>
      <w:r>
        <w:rPr>
          <w:sz w:val="22"/>
          <w:szCs w:val="22"/>
        </w:rPr>
        <w:t>s</w:t>
      </w:r>
      <w:r w:rsidR="00401876" w:rsidRPr="00635FF3">
        <w:rPr>
          <w:sz w:val="22"/>
          <w:szCs w:val="22"/>
        </w:rPr>
        <w:t>trata vedomia</w:t>
      </w:r>
      <w:r w:rsidR="00C771C8" w:rsidRPr="00635FF3">
        <w:rPr>
          <w:sz w:val="22"/>
          <w:szCs w:val="22"/>
        </w:rPr>
        <w:t>.</w:t>
      </w:r>
    </w:p>
    <w:p w14:paraId="45463F2C" w14:textId="77777777" w:rsidR="00696B77" w:rsidRPr="00635FF3" w:rsidRDefault="00696B77" w:rsidP="00E871B1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32F249BC" w14:textId="77777777" w:rsidR="00C771C8" w:rsidRPr="00635FF3" w:rsidRDefault="00C771C8" w:rsidP="00C771C8">
      <w:pPr>
        <w:pStyle w:val="Zkladntext"/>
        <w:tabs>
          <w:tab w:val="left" w:pos="0"/>
        </w:tabs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srdca a srdcovej činnosti</w:t>
      </w:r>
      <w:r w:rsidR="00150945" w:rsidRPr="00635FF3">
        <w:rPr>
          <w:sz w:val="22"/>
          <w:szCs w:val="22"/>
          <w:lang w:val="sk-SK"/>
        </w:rPr>
        <w:t>:</w:t>
      </w:r>
    </w:p>
    <w:p w14:paraId="14038778" w14:textId="43D7CD9F" w:rsidR="00C771C8" w:rsidRPr="00635FF3" w:rsidRDefault="00922789" w:rsidP="00E70812">
      <w:pPr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C771C8" w:rsidRPr="00635FF3">
        <w:rPr>
          <w:i/>
          <w:sz w:val="22"/>
          <w:szCs w:val="22"/>
          <w:lang w:val="sk-SK"/>
        </w:rPr>
        <w:t>:</w:t>
      </w:r>
      <w:r w:rsidR="00C771C8" w:rsidRPr="00635FF3">
        <w:rPr>
          <w:sz w:val="22"/>
          <w:szCs w:val="22"/>
          <w:lang w:val="sk-SK"/>
        </w:rPr>
        <w:tab/>
      </w:r>
      <w:r w:rsidR="00150945" w:rsidRPr="00635FF3">
        <w:rPr>
          <w:sz w:val="22"/>
          <w:szCs w:val="22"/>
          <w:lang w:val="sk-SK"/>
        </w:rPr>
        <w:t>p</w:t>
      </w:r>
      <w:r w:rsidR="00C771C8" w:rsidRPr="00635FF3">
        <w:rPr>
          <w:sz w:val="22"/>
          <w:szCs w:val="22"/>
          <w:lang w:val="sk-SK"/>
        </w:rPr>
        <w:t xml:space="preserve">redĺženie QT intervalu, ventrikulárna arytmia, ako napríklad </w:t>
      </w:r>
      <w:r w:rsidR="00C771C8" w:rsidRPr="00635FF3">
        <w:rPr>
          <w:i/>
          <w:sz w:val="22"/>
          <w:szCs w:val="22"/>
          <w:lang w:val="sk-SK"/>
        </w:rPr>
        <w:t>torsades de pointes</w:t>
      </w:r>
      <w:r w:rsidR="00C771C8" w:rsidRPr="00635FF3">
        <w:rPr>
          <w:sz w:val="22"/>
          <w:szCs w:val="22"/>
          <w:lang w:val="sk-SK"/>
        </w:rPr>
        <w:t>, ventrikulárna tachykardia, ktorá môže vyústiť do ventrikulárnej fibrilácie alebo zastavenia srdca a náhlej smrti.</w:t>
      </w:r>
    </w:p>
    <w:p w14:paraId="6670B5B9" w14:textId="77777777" w:rsidR="00C771C8" w:rsidRPr="00635FF3" w:rsidRDefault="00C771C8" w:rsidP="00E70812">
      <w:pPr>
        <w:pStyle w:val="Zkladntext"/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0CF85DB7" w14:textId="77777777" w:rsidR="00150945" w:rsidRPr="00635FF3" w:rsidRDefault="00150945" w:rsidP="00150945">
      <w:pPr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ciev:</w:t>
      </w:r>
    </w:p>
    <w:p w14:paraId="00CB48DD" w14:textId="2C68E2D9" w:rsidR="00992317" w:rsidRDefault="00992317" w:rsidP="00E70812">
      <w:pPr>
        <w:ind w:left="2268" w:hanging="2268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Menej časté:</w:t>
      </w:r>
      <w:r>
        <w:rPr>
          <w:i/>
          <w:sz w:val="22"/>
          <w:szCs w:val="22"/>
          <w:lang w:val="sk-SK"/>
        </w:rPr>
        <w:tab/>
      </w:r>
      <w:r w:rsidRPr="00043634">
        <w:rPr>
          <w:sz w:val="22"/>
          <w:szCs w:val="22"/>
          <w:lang w:val="sk-SK"/>
        </w:rPr>
        <w:t>Hypotenzia, zvyčajne ortostatická, hlboká žilová trombóza</w:t>
      </w:r>
    </w:p>
    <w:p w14:paraId="5D4AC231" w14:textId="36A0AB2D" w:rsidR="00150945" w:rsidRPr="00635FF3" w:rsidRDefault="00992317" w:rsidP="00043634">
      <w:pPr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150945" w:rsidRPr="00635FF3">
        <w:rPr>
          <w:i/>
          <w:sz w:val="22"/>
          <w:szCs w:val="22"/>
          <w:lang w:val="sk-SK"/>
        </w:rPr>
        <w:t>:</w:t>
      </w:r>
      <w:r w:rsidR="00150945" w:rsidRPr="00635FF3">
        <w:rPr>
          <w:sz w:val="22"/>
          <w:szCs w:val="22"/>
          <w:lang w:val="sk-SK"/>
        </w:rPr>
        <w:tab/>
        <w:t>pľúcn</w:t>
      </w:r>
      <w:r>
        <w:rPr>
          <w:sz w:val="22"/>
          <w:szCs w:val="22"/>
          <w:lang w:val="sk-SK"/>
        </w:rPr>
        <w:t>a</w:t>
      </w:r>
      <w:r w:rsidR="00150945" w:rsidRPr="00635FF3">
        <w:rPr>
          <w:sz w:val="22"/>
          <w:szCs w:val="22"/>
          <w:lang w:val="sk-SK"/>
        </w:rPr>
        <w:t xml:space="preserve"> embóli</w:t>
      </w:r>
      <w:r>
        <w:rPr>
          <w:sz w:val="22"/>
          <w:szCs w:val="22"/>
          <w:lang w:val="sk-SK"/>
        </w:rPr>
        <w:t>a</w:t>
      </w:r>
      <w:r w:rsidR="00150945" w:rsidRPr="00635FF3">
        <w:rPr>
          <w:sz w:val="22"/>
          <w:szCs w:val="22"/>
          <w:lang w:val="sk-SK"/>
        </w:rPr>
        <w:t>, niekedy fatáln</w:t>
      </w:r>
      <w:r>
        <w:rPr>
          <w:sz w:val="22"/>
          <w:szCs w:val="22"/>
          <w:lang w:val="sk-SK"/>
        </w:rPr>
        <w:t>a</w:t>
      </w:r>
      <w:r w:rsidR="004E56CD">
        <w:rPr>
          <w:sz w:val="22"/>
          <w:szCs w:val="22"/>
          <w:lang w:val="sk-SK"/>
        </w:rPr>
        <w:t>.</w:t>
      </w:r>
    </w:p>
    <w:p w14:paraId="1808A9FF" w14:textId="77777777" w:rsidR="00150945" w:rsidRPr="00635FF3" w:rsidRDefault="00150945" w:rsidP="00150945">
      <w:pPr>
        <w:ind w:left="1701" w:hanging="1701"/>
        <w:rPr>
          <w:sz w:val="22"/>
          <w:szCs w:val="22"/>
          <w:lang w:val="sk-SK"/>
        </w:rPr>
      </w:pPr>
    </w:p>
    <w:p w14:paraId="1F6E4719" w14:textId="77777777" w:rsidR="00150945" w:rsidRPr="00635FF3" w:rsidRDefault="00150945" w:rsidP="00150945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dýchacej sústavy, hrudníka a mediastína:</w:t>
      </w:r>
    </w:p>
    <w:p w14:paraId="64AA4B0B" w14:textId="4CD3AE1F" w:rsidR="00150945" w:rsidRPr="00635FF3" w:rsidRDefault="00992317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150945" w:rsidRPr="00635FF3">
        <w:rPr>
          <w:i/>
          <w:sz w:val="22"/>
          <w:szCs w:val="22"/>
          <w:lang w:val="sk-SK"/>
        </w:rPr>
        <w:t>:</w:t>
      </w:r>
      <w:r w:rsidR="008B020E" w:rsidRPr="00635FF3">
        <w:rPr>
          <w:sz w:val="22"/>
          <w:szCs w:val="22"/>
          <w:lang w:val="sk-SK"/>
        </w:rPr>
        <w:tab/>
        <w:t>a</w:t>
      </w:r>
      <w:r w:rsidR="00150945" w:rsidRPr="00635FF3">
        <w:rPr>
          <w:sz w:val="22"/>
          <w:szCs w:val="22"/>
          <w:lang w:val="sk-SK"/>
        </w:rPr>
        <w:t>spiračná pneumónia</w:t>
      </w:r>
      <w:r w:rsidR="009E25C4" w:rsidRPr="00635FF3">
        <w:rPr>
          <w:sz w:val="22"/>
          <w:szCs w:val="22"/>
          <w:lang w:val="sk-SK"/>
        </w:rPr>
        <w:t>, útlm dychu</w:t>
      </w:r>
      <w:r w:rsidR="008B020E" w:rsidRPr="00635FF3">
        <w:rPr>
          <w:sz w:val="22"/>
          <w:szCs w:val="22"/>
          <w:lang w:val="sk-SK"/>
        </w:rPr>
        <w:t xml:space="preserve"> v súvislosti s používaním ďalších </w:t>
      </w:r>
      <w:r w:rsidR="00C22849" w:rsidRPr="00635FF3">
        <w:rPr>
          <w:sz w:val="22"/>
          <w:szCs w:val="22"/>
          <w:lang w:val="sk-SK"/>
        </w:rPr>
        <w:t>liekov tlmiacich</w:t>
      </w:r>
      <w:r w:rsidR="00823B52" w:rsidRPr="00635FF3">
        <w:rPr>
          <w:sz w:val="22"/>
          <w:szCs w:val="22"/>
          <w:lang w:val="sk-SK"/>
        </w:rPr>
        <w:t xml:space="preserve"> CNS</w:t>
      </w:r>
      <w:r w:rsidR="00150945" w:rsidRPr="00635FF3">
        <w:rPr>
          <w:sz w:val="22"/>
          <w:szCs w:val="22"/>
          <w:lang w:val="sk-SK"/>
        </w:rPr>
        <w:t>.</w:t>
      </w:r>
    </w:p>
    <w:p w14:paraId="740DD157" w14:textId="77777777" w:rsidR="00150945" w:rsidRPr="00635FF3" w:rsidRDefault="00150945" w:rsidP="00150945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5124E978" w14:textId="77777777" w:rsidR="000E43E9" w:rsidRPr="00635FF3" w:rsidRDefault="000E43E9" w:rsidP="000E43E9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gastrointestinálneho traktu</w:t>
      </w:r>
      <w:r w:rsidR="009E25C4" w:rsidRPr="00635FF3">
        <w:rPr>
          <w:sz w:val="22"/>
          <w:szCs w:val="22"/>
          <w:lang w:val="sk-SK"/>
        </w:rPr>
        <w:t>:</w:t>
      </w:r>
    </w:p>
    <w:p w14:paraId="2503DF6F" w14:textId="73D5C4CA" w:rsidR="00992317" w:rsidRDefault="00992317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Menej časté</w:t>
      </w:r>
      <w:r w:rsidR="000E43E9" w:rsidRPr="00635FF3">
        <w:rPr>
          <w:i/>
          <w:sz w:val="22"/>
          <w:szCs w:val="22"/>
          <w:lang w:val="sk-SK"/>
        </w:rPr>
        <w:t>:</w:t>
      </w:r>
      <w:r w:rsidR="009535A6" w:rsidRPr="00635FF3">
        <w:rPr>
          <w:sz w:val="22"/>
          <w:szCs w:val="22"/>
          <w:lang w:val="sk-SK"/>
        </w:rPr>
        <w:tab/>
        <w:t>z</w:t>
      </w:r>
      <w:r w:rsidR="000E43E9" w:rsidRPr="00635FF3">
        <w:rPr>
          <w:sz w:val="22"/>
          <w:szCs w:val="22"/>
          <w:lang w:val="sk-SK"/>
        </w:rPr>
        <w:t xml:space="preserve">ápcha </w:t>
      </w:r>
    </w:p>
    <w:p w14:paraId="643CFECE" w14:textId="4C408E1B" w:rsidR="00992317" w:rsidRPr="00635FF3" w:rsidRDefault="00992317" w:rsidP="000661E8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Zriedkavé:</w:t>
      </w:r>
      <w:r>
        <w:rPr>
          <w:i/>
          <w:sz w:val="22"/>
          <w:szCs w:val="22"/>
          <w:lang w:val="sk-SK"/>
        </w:rPr>
        <w:tab/>
      </w:r>
      <w:r w:rsidR="000E43E9" w:rsidRPr="00635FF3">
        <w:rPr>
          <w:sz w:val="22"/>
          <w:szCs w:val="22"/>
          <w:lang w:val="sk-SK"/>
        </w:rPr>
        <w:t>črevná obštrukcia, ileus.</w:t>
      </w:r>
    </w:p>
    <w:p w14:paraId="588F67BC" w14:textId="77777777" w:rsidR="00C22849" w:rsidRPr="00635FF3" w:rsidRDefault="00C22849" w:rsidP="00C22849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108B6B72" w14:textId="77777777" w:rsidR="00C22849" w:rsidRPr="00635FF3" w:rsidRDefault="00C22849" w:rsidP="00C22849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bCs/>
          <w:sz w:val="22"/>
          <w:szCs w:val="22"/>
          <w:lang w:val="pl-PL"/>
        </w:rPr>
        <w:t>Poruchy pečene a žlčových ciest</w:t>
      </w:r>
      <w:r w:rsidR="00EB1B51" w:rsidRPr="00635FF3">
        <w:rPr>
          <w:bCs/>
          <w:sz w:val="22"/>
          <w:szCs w:val="22"/>
          <w:lang w:val="pl-PL"/>
        </w:rPr>
        <w:t>:</w:t>
      </w:r>
    </w:p>
    <w:p w14:paraId="4FA5A737" w14:textId="6AEB6700" w:rsidR="00C22849" w:rsidRPr="00635FF3" w:rsidRDefault="000661E8" w:rsidP="00E70812">
      <w:pPr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C22849" w:rsidRPr="00635FF3">
        <w:rPr>
          <w:i/>
          <w:sz w:val="22"/>
          <w:szCs w:val="22"/>
          <w:lang w:val="sk-SK"/>
        </w:rPr>
        <w:t>:</w:t>
      </w:r>
      <w:r w:rsidR="00EB1B51" w:rsidRPr="00635FF3">
        <w:rPr>
          <w:sz w:val="22"/>
          <w:szCs w:val="22"/>
          <w:lang w:val="sk-SK"/>
        </w:rPr>
        <w:tab/>
        <w:t>z</w:t>
      </w:r>
      <w:r w:rsidR="00C22849" w:rsidRPr="00635FF3">
        <w:rPr>
          <w:sz w:val="22"/>
          <w:szCs w:val="22"/>
          <w:lang w:val="sk-SK"/>
        </w:rPr>
        <w:t>výšenie pečeňových enzýmov.</w:t>
      </w:r>
    </w:p>
    <w:p w14:paraId="210CC8AB" w14:textId="77777777" w:rsidR="00EB1B51" w:rsidRPr="00635FF3" w:rsidRDefault="00EB1B51" w:rsidP="00EB1B51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027AF9E1" w14:textId="77777777" w:rsidR="00EB1B51" w:rsidRPr="00635FF3" w:rsidRDefault="00EB1B51" w:rsidP="00EB1B51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kože a podkožného tkaniva:</w:t>
      </w:r>
    </w:p>
    <w:p w14:paraId="5D7BDF63" w14:textId="5EC16301" w:rsidR="000661E8" w:rsidRDefault="000661E8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Menej časté</w:t>
      </w:r>
      <w:r w:rsidR="00EB1B51" w:rsidRPr="00635FF3">
        <w:rPr>
          <w:i/>
          <w:sz w:val="22"/>
          <w:szCs w:val="22"/>
          <w:lang w:val="sk-SK"/>
        </w:rPr>
        <w:t>:</w:t>
      </w:r>
      <w:r w:rsidR="00EB1B51" w:rsidRPr="00635FF3">
        <w:rPr>
          <w:sz w:val="22"/>
          <w:szCs w:val="22"/>
          <w:lang w:val="sk-SK"/>
        </w:rPr>
        <w:tab/>
        <w:t>vyrážka vrátane erytematóznej vyrážky, makulopapulárna vyrážka </w:t>
      </w:r>
    </w:p>
    <w:p w14:paraId="42D0D13B" w14:textId="2BD79A6E" w:rsidR="00EB1B51" w:rsidRPr="00635FF3" w:rsidRDefault="000661E8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Zriedkavé:</w:t>
      </w:r>
      <w:r>
        <w:rPr>
          <w:sz w:val="22"/>
          <w:szCs w:val="22"/>
          <w:lang w:val="sk-SK"/>
        </w:rPr>
        <w:tab/>
      </w:r>
      <w:r w:rsidR="00EB1B51" w:rsidRPr="00635FF3">
        <w:rPr>
          <w:sz w:val="22"/>
          <w:szCs w:val="22"/>
          <w:lang w:val="sk-SK"/>
        </w:rPr>
        <w:t>žihľavka.</w:t>
      </w:r>
    </w:p>
    <w:p w14:paraId="5FF78985" w14:textId="77777777" w:rsidR="00743A5F" w:rsidRPr="00635FF3" w:rsidRDefault="00743A5F" w:rsidP="00743A5F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36638FEE" w14:textId="77777777" w:rsidR="00743A5F" w:rsidRPr="00635FF3" w:rsidRDefault="00743A5F" w:rsidP="00743A5F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bCs/>
          <w:sz w:val="22"/>
          <w:szCs w:val="22"/>
          <w:lang w:val="pl-PL"/>
        </w:rPr>
        <w:t>Poruchy kostrovej a svalovej sústavy a spojivového tkaniva:</w:t>
      </w:r>
    </w:p>
    <w:p w14:paraId="2495646C" w14:textId="3C0002E4" w:rsidR="00743A5F" w:rsidRDefault="000661E8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743A5F" w:rsidRPr="00635FF3">
        <w:rPr>
          <w:i/>
          <w:sz w:val="22"/>
          <w:szCs w:val="22"/>
          <w:lang w:val="sk-SK"/>
        </w:rPr>
        <w:t>:</w:t>
      </w:r>
      <w:r w:rsidR="00743A5F" w:rsidRPr="00635FF3">
        <w:rPr>
          <w:sz w:val="22"/>
          <w:szCs w:val="22"/>
          <w:lang w:val="sk-SK"/>
        </w:rPr>
        <w:tab/>
        <w:t>zvýšená hladina kreatínfosfokinázy v krvi, rabdomyolýza.</w:t>
      </w:r>
    </w:p>
    <w:p w14:paraId="108C7196" w14:textId="77777777" w:rsidR="000661E8" w:rsidRDefault="000661E8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</w:p>
    <w:p w14:paraId="2CB229C2" w14:textId="77777777" w:rsidR="000661E8" w:rsidRDefault="000661E8" w:rsidP="000661E8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4B7232">
        <w:rPr>
          <w:sz w:val="22"/>
          <w:szCs w:val="22"/>
          <w:lang w:val="sk-SK"/>
        </w:rPr>
        <w:t>Poruchy reprodukčného systému a</w:t>
      </w:r>
      <w:r>
        <w:rPr>
          <w:sz w:val="22"/>
          <w:szCs w:val="22"/>
          <w:lang w:val="sk-SK"/>
        </w:rPr>
        <w:t> </w:t>
      </w:r>
      <w:r w:rsidRPr="004B7232">
        <w:rPr>
          <w:sz w:val="22"/>
          <w:szCs w:val="22"/>
          <w:lang w:val="sk-SK"/>
        </w:rPr>
        <w:t>prsníkov</w:t>
      </w:r>
      <w:r>
        <w:rPr>
          <w:sz w:val="22"/>
          <w:szCs w:val="22"/>
          <w:lang w:val="sk-SK"/>
        </w:rPr>
        <w:t>:</w:t>
      </w:r>
    </w:p>
    <w:p w14:paraId="49F8C447" w14:textId="77777777" w:rsidR="000661E8" w:rsidRPr="005252BB" w:rsidRDefault="000661E8" w:rsidP="000661E8">
      <w:pPr>
        <w:tabs>
          <w:tab w:val="left" w:pos="2268"/>
        </w:tabs>
        <w:ind w:left="2268" w:hanging="2268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Menej časté: </w:t>
      </w:r>
      <w:r>
        <w:rPr>
          <w:i/>
          <w:sz w:val="22"/>
          <w:szCs w:val="22"/>
          <w:lang w:val="sk-SK"/>
        </w:rPr>
        <w:tab/>
      </w:r>
      <w:r w:rsidRPr="005252BB">
        <w:rPr>
          <w:sz w:val="22"/>
          <w:szCs w:val="22"/>
          <w:lang w:val="sk-SK"/>
        </w:rPr>
        <w:t>amenorea</w:t>
      </w:r>
      <w:r>
        <w:rPr>
          <w:sz w:val="22"/>
          <w:szCs w:val="22"/>
          <w:lang w:val="sk-SK"/>
        </w:rPr>
        <w:t xml:space="preserve">, abnormálny orgazmus. </w:t>
      </w:r>
    </w:p>
    <w:p w14:paraId="678EB899" w14:textId="677BC363" w:rsidR="000661E8" w:rsidRPr="00D22313" w:rsidRDefault="000661E8" w:rsidP="000661E8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043634">
        <w:rPr>
          <w:i/>
          <w:sz w:val="22"/>
          <w:szCs w:val="22"/>
          <w:lang w:val="sk-SK"/>
        </w:rPr>
        <w:t>Zriedkavé</w:t>
      </w:r>
      <w:r>
        <w:rPr>
          <w:sz w:val="22"/>
          <w:szCs w:val="22"/>
          <w:lang w:val="sk-SK"/>
        </w:rPr>
        <w:t>:</w:t>
      </w:r>
      <w:r>
        <w:rPr>
          <w:sz w:val="22"/>
          <w:szCs w:val="22"/>
          <w:lang w:val="sk-SK"/>
        </w:rPr>
        <w:tab/>
        <w:t xml:space="preserve">zväčšenie prsníkov, bolesť prsníkov, </w:t>
      </w:r>
      <w:r w:rsidRPr="004B7232">
        <w:rPr>
          <w:sz w:val="22"/>
          <w:szCs w:val="22"/>
          <w:lang w:val="sk-SK"/>
        </w:rPr>
        <w:t>galaktorea</w:t>
      </w:r>
      <w:r>
        <w:rPr>
          <w:sz w:val="22"/>
          <w:szCs w:val="22"/>
          <w:lang w:val="sk-SK"/>
        </w:rPr>
        <w:t>,</w:t>
      </w:r>
      <w:r w:rsidRPr="004B723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gynekomastia</w:t>
      </w:r>
      <w:r w:rsidR="00A02C35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> erektilná dysfunkcia.</w:t>
      </w:r>
      <w:r w:rsidRPr="004B7232">
        <w:rPr>
          <w:sz w:val="22"/>
          <w:szCs w:val="22"/>
          <w:lang w:val="sk-SK"/>
        </w:rPr>
        <w:t xml:space="preserve"> </w:t>
      </w:r>
    </w:p>
    <w:p w14:paraId="123A373D" w14:textId="77777777" w:rsidR="00743A5F" w:rsidRPr="00635FF3" w:rsidRDefault="00743A5F" w:rsidP="00743A5F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5E65D4E2" w14:textId="77777777" w:rsidR="00743A5F" w:rsidRPr="00635FF3" w:rsidRDefault="00743A5F" w:rsidP="00743A5F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lastRenderedPageBreak/>
        <w:t>Stavy v gravidite, v šestonedelí a perinatálnom období:</w:t>
      </w:r>
    </w:p>
    <w:p w14:paraId="03A4C503" w14:textId="77777777" w:rsidR="00743A5F" w:rsidRPr="00635FF3" w:rsidRDefault="00743A5F" w:rsidP="00E70812">
      <w:pPr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Pr="00635FF3">
        <w:rPr>
          <w:sz w:val="22"/>
          <w:szCs w:val="22"/>
          <w:lang w:val="sk-SK"/>
        </w:rPr>
        <w:tab/>
        <w:t>novorodenecký syndróm z vysadenia (pozri časť 4.6).</w:t>
      </w:r>
    </w:p>
    <w:p w14:paraId="5DEE17D7" w14:textId="769C7665" w:rsidR="00261C9F" w:rsidRPr="00635FF3" w:rsidRDefault="00E6007A" w:rsidP="00261C9F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 w:rsidDel="00E6007A">
        <w:rPr>
          <w:sz w:val="22"/>
          <w:szCs w:val="22"/>
          <w:lang w:val="sk-SK"/>
        </w:rPr>
        <w:t xml:space="preserve"> </w:t>
      </w:r>
    </w:p>
    <w:p w14:paraId="1215811A" w14:textId="77777777" w:rsidR="00F16618" w:rsidRPr="00635FF3" w:rsidRDefault="00261C9F" w:rsidP="00E70812">
      <w:pPr>
        <w:pStyle w:val="Zkladntext"/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Celkové poruchy a reakcie v mieste podania</w:t>
      </w:r>
      <w:r w:rsidR="00E6007A" w:rsidRPr="00635FF3">
        <w:rPr>
          <w:sz w:val="22"/>
          <w:szCs w:val="22"/>
          <w:lang w:val="sk-SK"/>
        </w:rPr>
        <w:t>:</w:t>
      </w:r>
    </w:p>
    <w:p w14:paraId="5E068ECC" w14:textId="6B76FE6B" w:rsidR="00F16618" w:rsidRPr="00635FF3" w:rsidRDefault="00F16618" w:rsidP="00E70812">
      <w:pPr>
        <w:pStyle w:val="Zkladntext"/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Časté:</w:t>
      </w:r>
      <w:r w:rsidRPr="00635FF3">
        <w:rPr>
          <w:sz w:val="22"/>
          <w:szCs w:val="22"/>
          <w:lang w:val="sk-SK"/>
        </w:rPr>
        <w:t xml:space="preserve"> </w:t>
      </w:r>
      <w:r w:rsidRPr="00635FF3">
        <w:rPr>
          <w:sz w:val="22"/>
          <w:szCs w:val="22"/>
          <w:lang w:val="sk-SK"/>
        </w:rPr>
        <w:tab/>
      </w:r>
      <w:r w:rsidR="00E6007A" w:rsidRPr="00635FF3">
        <w:rPr>
          <w:sz w:val="22"/>
          <w:szCs w:val="22"/>
          <w:lang w:val="sk-SK"/>
        </w:rPr>
        <w:t>a</w:t>
      </w:r>
      <w:r w:rsidRPr="00635FF3">
        <w:rPr>
          <w:sz w:val="22"/>
          <w:szCs w:val="22"/>
          <w:lang w:val="sk-SK"/>
        </w:rPr>
        <w:t>sténia/únava.</w:t>
      </w:r>
    </w:p>
    <w:p w14:paraId="3CA10578" w14:textId="4F0B4748" w:rsidR="00F16618" w:rsidRPr="00635FF3" w:rsidRDefault="00F16618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Menej časté:</w:t>
      </w:r>
      <w:r w:rsidRPr="00635FF3">
        <w:rPr>
          <w:sz w:val="22"/>
          <w:szCs w:val="22"/>
          <w:lang w:val="sk-SK"/>
        </w:rPr>
        <w:t xml:space="preserve"> </w:t>
      </w:r>
      <w:r w:rsidRPr="00635FF3">
        <w:rPr>
          <w:sz w:val="22"/>
          <w:szCs w:val="22"/>
          <w:lang w:val="sk-SK"/>
        </w:rPr>
        <w:tab/>
      </w:r>
      <w:r w:rsidR="00E6007A" w:rsidRPr="00635FF3">
        <w:rPr>
          <w:sz w:val="22"/>
          <w:szCs w:val="22"/>
          <w:lang w:val="sk-SK"/>
        </w:rPr>
        <w:t>z</w:t>
      </w:r>
      <w:r w:rsidRPr="00635FF3">
        <w:rPr>
          <w:sz w:val="22"/>
          <w:szCs w:val="22"/>
          <w:lang w:val="sk-SK"/>
        </w:rPr>
        <w:t>výšenie telesnej hmotnosti.</w:t>
      </w:r>
    </w:p>
    <w:p w14:paraId="41DA7410" w14:textId="77777777" w:rsidR="00CA6E1B" w:rsidRPr="00635FF3" w:rsidRDefault="00CA6E1B" w:rsidP="00CA6E1B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74A34F58" w14:textId="77777777" w:rsidR="00CA6E1B" w:rsidRPr="00635FF3" w:rsidRDefault="00CA6E1B" w:rsidP="00FD52F8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bCs/>
          <w:sz w:val="22"/>
          <w:szCs w:val="22"/>
          <w:lang w:val="pl-PL"/>
        </w:rPr>
        <w:t>Úrazy, otravy a komplikácie liečebného postupu</w:t>
      </w:r>
      <w:r w:rsidR="00E6007A" w:rsidRPr="00635FF3">
        <w:rPr>
          <w:bCs/>
          <w:sz w:val="22"/>
          <w:szCs w:val="22"/>
          <w:lang w:val="pl-PL"/>
        </w:rPr>
        <w:t>:</w:t>
      </w:r>
    </w:p>
    <w:p w14:paraId="3827D263" w14:textId="2C57874F" w:rsidR="00CA6E1B" w:rsidRPr="00093CBC" w:rsidRDefault="00CA6E1B" w:rsidP="00E70812">
      <w:pPr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="00E6007A" w:rsidRPr="00635FF3">
        <w:rPr>
          <w:sz w:val="22"/>
          <w:szCs w:val="22"/>
          <w:lang w:val="sk-SK"/>
        </w:rPr>
        <w:tab/>
      </w:r>
      <w:r w:rsidR="006C6D9F" w:rsidRPr="00635FF3">
        <w:rPr>
          <w:sz w:val="22"/>
          <w:szCs w:val="22"/>
          <w:lang w:val="sk-SK"/>
        </w:rPr>
        <w:t>p</w:t>
      </w:r>
      <w:r w:rsidRPr="00635FF3">
        <w:rPr>
          <w:sz w:val="22"/>
          <w:szCs w:val="22"/>
          <w:lang w:val="sk-SK"/>
        </w:rPr>
        <w:t>ády</w:t>
      </w:r>
      <w:r w:rsidR="006C6D9F" w:rsidRPr="00635FF3">
        <w:rPr>
          <w:sz w:val="22"/>
          <w:szCs w:val="22"/>
          <w:lang w:val="sk-SK"/>
        </w:rPr>
        <w:t>, najmä u starších pacientov</w:t>
      </w:r>
      <w:r w:rsidRPr="00635FF3">
        <w:rPr>
          <w:sz w:val="22"/>
          <w:szCs w:val="22"/>
          <w:lang w:val="sk-SK"/>
        </w:rPr>
        <w:t>.</w:t>
      </w:r>
    </w:p>
    <w:p w14:paraId="6ABEFDB3" w14:textId="77777777" w:rsidR="00F16618" w:rsidRPr="00093CBC" w:rsidRDefault="00F16618" w:rsidP="00F16618">
      <w:pPr>
        <w:pStyle w:val="Zkladntext"/>
        <w:rPr>
          <w:sz w:val="22"/>
          <w:szCs w:val="22"/>
          <w:u w:val="single"/>
          <w:lang w:val="sk-SK"/>
        </w:rPr>
      </w:pPr>
    </w:p>
    <w:p w14:paraId="3C179EC9" w14:textId="77777777" w:rsidR="00882FF7" w:rsidRPr="00E82EC3" w:rsidRDefault="00882FF7" w:rsidP="00882FF7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CBC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713347EE" w14:textId="77777777" w:rsidR="00882FF7" w:rsidRPr="00E82EC3" w:rsidRDefault="00882FF7" w:rsidP="00882FF7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E82EC3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E82EC3">
        <w:rPr>
          <w:sz w:val="22"/>
          <w:szCs w:val="22"/>
          <w:lang w:val="sk-SK"/>
        </w:rPr>
        <w:t xml:space="preserve"> </w:t>
      </w:r>
      <w:r w:rsidRPr="00E82EC3">
        <w:rPr>
          <w:noProof/>
          <w:sz w:val="22"/>
          <w:szCs w:val="22"/>
          <w:lang w:val="sk-SK"/>
        </w:rPr>
        <w:t>Umožňuje priebežné monitorovanie pomeru prínosu</w:t>
      </w:r>
      <w:r w:rsidRPr="00E82EC3">
        <w:rPr>
          <w:sz w:val="22"/>
          <w:szCs w:val="22"/>
          <w:lang w:val="sk-SK"/>
        </w:rPr>
        <w:t xml:space="preserve"> a</w:t>
      </w:r>
      <w:r w:rsidRPr="00E82EC3">
        <w:rPr>
          <w:noProof/>
          <w:sz w:val="22"/>
          <w:szCs w:val="22"/>
          <w:lang w:val="sk-SK"/>
        </w:rPr>
        <w:t> rizika lieku.</w:t>
      </w:r>
      <w:r w:rsidRPr="00E82EC3">
        <w:rPr>
          <w:sz w:val="22"/>
          <w:szCs w:val="22"/>
          <w:lang w:val="sk-SK"/>
        </w:rPr>
        <w:t xml:space="preserve"> Od </w:t>
      </w:r>
      <w:r w:rsidRPr="00E82EC3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CA6E1B">
        <w:rPr>
          <w:noProof/>
          <w:sz w:val="22"/>
          <w:szCs w:val="22"/>
          <w:lang w:val="sk-SK"/>
        </w:rPr>
        <w:t>na</w:t>
      </w:r>
      <w:r w:rsidRPr="00E82EC3">
        <w:rPr>
          <w:noProof/>
          <w:sz w:val="22"/>
          <w:szCs w:val="22"/>
          <w:lang w:val="sk-SK"/>
        </w:rPr>
        <w:t xml:space="preserve"> </w:t>
      </w:r>
      <w:r w:rsidRPr="002B2570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A6E1B" w:rsidRPr="002B2570">
        <w:rPr>
          <w:noProof/>
          <w:sz w:val="22"/>
          <w:szCs w:val="22"/>
          <w:highlight w:val="lightGray"/>
          <w:lang w:val="sk-SK"/>
        </w:rPr>
        <w:t>centrum</w:t>
      </w:r>
      <w:r w:rsidRPr="002B2570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2B2570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r w:rsidRPr="002B2570">
          <w:rPr>
            <w:rStyle w:val="Hypertextovprepojenie"/>
            <w:sz w:val="22"/>
            <w:szCs w:val="22"/>
            <w:highlight w:val="lightGray"/>
            <w:lang w:val="en-GB"/>
          </w:rPr>
          <w:t xml:space="preserve">rílohe </w:t>
        </w:r>
        <w:r w:rsidRPr="002B2570">
          <w:rPr>
            <w:rStyle w:val="Hypertextovprepojenie"/>
            <w:noProof/>
            <w:sz w:val="22"/>
            <w:szCs w:val="22"/>
            <w:highlight w:val="lightGray"/>
            <w:lang w:val="sk-SK"/>
          </w:rPr>
          <w:t>V</w:t>
        </w:r>
      </w:hyperlink>
      <w:r w:rsidRPr="00E82EC3">
        <w:rPr>
          <w:noProof/>
          <w:sz w:val="22"/>
          <w:szCs w:val="22"/>
          <w:lang w:val="sk-SK"/>
        </w:rPr>
        <w:t>.</w:t>
      </w:r>
    </w:p>
    <w:p w14:paraId="575B572B" w14:textId="77777777" w:rsidR="00882FF7" w:rsidRPr="00B12F7A" w:rsidRDefault="00882FF7" w:rsidP="00F16618">
      <w:pPr>
        <w:pStyle w:val="Zkladntext"/>
        <w:rPr>
          <w:sz w:val="22"/>
          <w:szCs w:val="22"/>
          <w:u w:val="single"/>
          <w:lang w:val="sk-SK"/>
        </w:rPr>
      </w:pPr>
    </w:p>
    <w:p w14:paraId="662BE110" w14:textId="77777777" w:rsidR="00F16618" w:rsidRPr="00B12F7A" w:rsidRDefault="00F16618" w:rsidP="00FD52F8">
      <w:pPr>
        <w:pStyle w:val="Zkladntext"/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4.9</w:t>
      </w:r>
      <w:r w:rsidR="00D112B1">
        <w:rPr>
          <w:b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>Predávkovanie</w:t>
      </w:r>
    </w:p>
    <w:p w14:paraId="3C6617DA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3ADD565" w14:textId="77777777" w:rsidR="00261C9F" w:rsidRPr="00B12F7A" w:rsidRDefault="00261C9F" w:rsidP="00261C9F">
      <w:pPr>
        <w:pStyle w:val="Zkladntext"/>
        <w:rPr>
          <w:sz w:val="22"/>
          <w:szCs w:val="22"/>
          <w:u w:val="single"/>
          <w:lang w:val="sk-SK"/>
        </w:rPr>
      </w:pPr>
      <w:r w:rsidRPr="00B12F7A">
        <w:rPr>
          <w:sz w:val="22"/>
          <w:szCs w:val="22"/>
          <w:u w:val="single"/>
          <w:lang w:val="sk-SK"/>
        </w:rPr>
        <w:t>Príznaky</w:t>
      </w:r>
    </w:p>
    <w:p w14:paraId="2EE05D4F" w14:textId="34EEB16D" w:rsidR="00F16618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Skúsenosti s predávkovaním sú obmedzené. Môže sa pozorovať ospanlivosť</w:t>
      </w:r>
      <w:r w:rsidR="0061381C">
        <w:rPr>
          <w:sz w:val="22"/>
          <w:szCs w:val="22"/>
          <w:lang w:val="sk-SK"/>
        </w:rPr>
        <w:t>,</w:t>
      </w:r>
      <w:r w:rsidRPr="00B12F7A">
        <w:rPr>
          <w:sz w:val="22"/>
          <w:szCs w:val="22"/>
          <w:lang w:val="sk-SK"/>
        </w:rPr>
        <w:t xml:space="preserve"> útlm, kóma, hypotenzia a extrapyramídové symptómy. </w:t>
      </w:r>
    </w:p>
    <w:p w14:paraId="70685C77" w14:textId="77777777" w:rsidR="004B7E2D" w:rsidRPr="00B12F7A" w:rsidRDefault="001F5009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Smrteľné </w:t>
      </w:r>
      <w:r w:rsidR="00B342C1">
        <w:rPr>
          <w:sz w:val="22"/>
          <w:szCs w:val="22"/>
          <w:lang w:val="sk-SK"/>
        </w:rPr>
        <w:t xml:space="preserve">následky boli hlásené </w:t>
      </w:r>
      <w:r w:rsidR="004B7E2D">
        <w:rPr>
          <w:sz w:val="22"/>
          <w:szCs w:val="22"/>
          <w:lang w:val="sk-SK"/>
        </w:rPr>
        <w:t>v kombinácii s inými psychotropnými látkami</w:t>
      </w:r>
      <w:r w:rsidR="00403036">
        <w:rPr>
          <w:sz w:val="22"/>
          <w:szCs w:val="22"/>
          <w:lang w:val="sk-SK"/>
        </w:rPr>
        <w:t>, ale i v monoterapii s</w:t>
      </w:r>
      <w:r w:rsidR="007E3B7E">
        <w:rPr>
          <w:sz w:val="22"/>
          <w:szCs w:val="22"/>
          <w:lang w:val="sk-SK"/>
        </w:rPr>
        <w:t> </w:t>
      </w:r>
      <w:r w:rsidR="00403036">
        <w:rPr>
          <w:sz w:val="22"/>
          <w:szCs w:val="22"/>
          <w:lang w:val="sk-SK"/>
        </w:rPr>
        <w:t>tiapridom</w:t>
      </w:r>
      <w:r w:rsidR="004B7E2D">
        <w:rPr>
          <w:sz w:val="22"/>
          <w:szCs w:val="22"/>
          <w:lang w:val="sk-SK"/>
        </w:rPr>
        <w:t>.</w:t>
      </w:r>
    </w:p>
    <w:p w14:paraId="6EB026FB" w14:textId="77777777" w:rsidR="001C7863" w:rsidRDefault="001C7863" w:rsidP="00261C9F">
      <w:pPr>
        <w:pStyle w:val="Zkladntext"/>
        <w:rPr>
          <w:sz w:val="22"/>
          <w:szCs w:val="22"/>
          <w:u w:val="single"/>
          <w:lang w:val="sk-SK"/>
        </w:rPr>
      </w:pPr>
    </w:p>
    <w:p w14:paraId="76D45ECC" w14:textId="77777777" w:rsidR="00261C9F" w:rsidRPr="00B12F7A" w:rsidRDefault="00261C9F" w:rsidP="00261C9F">
      <w:pPr>
        <w:pStyle w:val="Zkladntext"/>
        <w:rPr>
          <w:sz w:val="22"/>
          <w:szCs w:val="22"/>
          <w:u w:val="single"/>
          <w:lang w:val="sk-SK"/>
        </w:rPr>
      </w:pPr>
      <w:r w:rsidRPr="00B12F7A">
        <w:rPr>
          <w:sz w:val="22"/>
          <w:szCs w:val="22"/>
          <w:u w:val="single"/>
          <w:lang w:val="sk-SK"/>
        </w:rPr>
        <w:t>Liečba</w:t>
      </w:r>
    </w:p>
    <w:p w14:paraId="4C459C70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Pri akútnom predávkovaní sa má zvážiť možnosť užívania viacerých liekov. </w:t>
      </w:r>
    </w:p>
    <w:p w14:paraId="258F56EC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Keďže tiaprid je slabo dialyzovateľný, hemodialýza sa kvôli eliminácii nemá používať. </w:t>
      </w:r>
    </w:p>
    <w:p w14:paraId="0706543C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Neexistuje špecifické antidotum tiapridu. Odporúčajú sa vhodné podporné opatrenia za prísneho monitorovania vitálnych funkcií a do prebratia pacienta sa odporúča monitorovanie činnosti srdca (riziko predĺženia QT intervalu a následné ventrikulárne arytmie).</w:t>
      </w:r>
    </w:p>
    <w:p w14:paraId="18DA33A0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 prípade ťažkých extrapyramídových symptómov sa majú podať anticholinergné lieky.</w:t>
      </w:r>
    </w:p>
    <w:p w14:paraId="05FB52F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5A9F53E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4321182" w14:textId="77777777" w:rsidR="00F16618" w:rsidRPr="00B12F7A" w:rsidRDefault="00F16618" w:rsidP="00FD52F8">
      <w:pPr>
        <w:pStyle w:val="Zkladntext"/>
        <w:keepNext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5.</w:t>
      </w:r>
      <w:r w:rsidRPr="00B12F7A">
        <w:rPr>
          <w:b/>
          <w:sz w:val="22"/>
          <w:szCs w:val="22"/>
          <w:lang w:val="sk-SK"/>
        </w:rPr>
        <w:tab/>
        <w:t>FARMAKOLOGICKÉ VLASTNOSTI</w:t>
      </w:r>
    </w:p>
    <w:p w14:paraId="7FD674BA" w14:textId="77777777" w:rsidR="00F16618" w:rsidRPr="00B12F7A" w:rsidRDefault="00F16618" w:rsidP="007E3B7E">
      <w:pPr>
        <w:pStyle w:val="Zkladntext"/>
        <w:keepNext/>
        <w:ind w:left="567" w:hanging="567"/>
        <w:rPr>
          <w:sz w:val="22"/>
          <w:szCs w:val="22"/>
          <w:lang w:val="sk-SK"/>
        </w:rPr>
      </w:pPr>
    </w:p>
    <w:p w14:paraId="6148EEDE" w14:textId="77777777" w:rsidR="00F16618" w:rsidRPr="00B12F7A" w:rsidRDefault="00F16618" w:rsidP="00FD52F8">
      <w:pPr>
        <w:pStyle w:val="Zkladntext"/>
        <w:keepNext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5.1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Farmakodynamické vlastnosti</w:t>
      </w:r>
    </w:p>
    <w:p w14:paraId="460098AF" w14:textId="77777777" w:rsidR="001961DB" w:rsidRPr="00B12F7A" w:rsidRDefault="001961DB" w:rsidP="00E268D7">
      <w:pPr>
        <w:pStyle w:val="Zkladntext"/>
        <w:keepNext/>
        <w:rPr>
          <w:sz w:val="22"/>
          <w:szCs w:val="22"/>
          <w:lang w:val="sk-SK"/>
        </w:rPr>
      </w:pPr>
    </w:p>
    <w:p w14:paraId="1FEE49D8" w14:textId="12038FA6" w:rsidR="001961DB" w:rsidRPr="00B12F7A" w:rsidRDefault="001961DB" w:rsidP="001961DB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Farmakoterapeutická skupina: </w:t>
      </w:r>
      <w:r w:rsidR="00A70BF1">
        <w:rPr>
          <w:sz w:val="22"/>
          <w:szCs w:val="22"/>
          <w:lang w:val="sk-SK"/>
        </w:rPr>
        <w:t>P</w:t>
      </w:r>
      <w:r w:rsidR="00763390">
        <w:rPr>
          <w:sz w:val="22"/>
          <w:szCs w:val="22"/>
          <w:lang w:val="sk-SK"/>
        </w:rPr>
        <w:t xml:space="preserve">sycholeptiká, </w:t>
      </w:r>
      <w:r w:rsidR="007E3B7E">
        <w:rPr>
          <w:sz w:val="22"/>
          <w:szCs w:val="22"/>
          <w:lang w:val="sk-SK"/>
        </w:rPr>
        <w:t>benzamidy</w:t>
      </w:r>
      <w:r w:rsidR="001F3A53">
        <w:rPr>
          <w:sz w:val="22"/>
          <w:szCs w:val="22"/>
          <w:lang w:val="sk-SK"/>
        </w:rPr>
        <w:t>.</w:t>
      </w:r>
    </w:p>
    <w:p w14:paraId="139395E6" w14:textId="77777777" w:rsidR="001961DB" w:rsidRPr="00B12F7A" w:rsidRDefault="001961DB" w:rsidP="001961DB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ATC kód: N05AL03</w:t>
      </w:r>
      <w:r w:rsidR="00C1378C">
        <w:rPr>
          <w:sz w:val="22"/>
          <w:szCs w:val="22"/>
          <w:lang w:val="sk-SK"/>
        </w:rPr>
        <w:t>.</w:t>
      </w:r>
    </w:p>
    <w:p w14:paraId="1FEA5566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7BDAF06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Tiaprid je atypické neuroleptikum, nezávislé na adenylátcykláze, ktoré selektívne blokuje dopamínergné D</w:t>
      </w:r>
      <w:r w:rsidRPr="00FD52F8">
        <w:rPr>
          <w:sz w:val="22"/>
          <w:szCs w:val="22"/>
          <w:vertAlign w:val="subscript"/>
          <w:lang w:val="sk-SK"/>
        </w:rPr>
        <w:t>2</w:t>
      </w:r>
      <w:r w:rsidRPr="00B12F7A">
        <w:rPr>
          <w:sz w:val="22"/>
          <w:szCs w:val="22"/>
          <w:lang w:val="sk-SK"/>
        </w:rPr>
        <w:t xml:space="preserve"> receptory. Jeho afinita k dopamínergným D</w:t>
      </w:r>
      <w:r w:rsidRPr="00FD52F8">
        <w:rPr>
          <w:sz w:val="22"/>
          <w:szCs w:val="22"/>
          <w:vertAlign w:val="subscript"/>
          <w:lang w:val="sk-SK"/>
        </w:rPr>
        <w:t>1</w:t>
      </w:r>
      <w:r w:rsidRPr="00B12F7A">
        <w:rPr>
          <w:sz w:val="22"/>
          <w:szCs w:val="22"/>
          <w:lang w:val="sk-SK"/>
        </w:rPr>
        <w:t xml:space="preserve"> receptorom je nízka. Je dokázané, že jeho aktivitu potencuje stimulácia a senzibilizácia receptorov. </w:t>
      </w:r>
    </w:p>
    <w:p w14:paraId="1945DB7E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Anxiolytický účinok tiapridu bol dokázaný na niekoľkých zvieracích stresových modeloch, ktoré zahrňovali i pokusy s abstinenčnými príznakmi. Naviac bolo dokázané, že tiaprid má pozitívny účinok na bdelosť u pacientov v starobe. Mechanizmus jeho anxiolytického pôsobenia nebol dodnes objasnený, ale líši sa od jeho antidopamínergnej aktivity. </w:t>
      </w:r>
    </w:p>
    <w:p w14:paraId="2802214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74C28218" w14:textId="77777777" w:rsidR="00F16618" w:rsidRPr="00B12F7A" w:rsidRDefault="00F16618" w:rsidP="00FD52F8">
      <w:pPr>
        <w:pStyle w:val="Zkladntext"/>
        <w:keepNext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5.2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Farmakokinetické vlastnosti</w:t>
      </w:r>
    </w:p>
    <w:p w14:paraId="6505B77F" w14:textId="77777777" w:rsidR="00F16618" w:rsidRPr="00B12F7A" w:rsidRDefault="00F16618" w:rsidP="008A3C59">
      <w:pPr>
        <w:pStyle w:val="Zkladntext"/>
        <w:keepNext/>
        <w:rPr>
          <w:sz w:val="22"/>
          <w:szCs w:val="22"/>
          <w:lang w:val="sk-SK"/>
        </w:rPr>
      </w:pPr>
    </w:p>
    <w:p w14:paraId="275D68D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Po perorálnom podaní 200 mg tiapridu je vrchol plazmatickej koncentrácie 1,3 </w:t>
      </w:r>
      <w:r w:rsidRPr="00B12F7A">
        <w:rPr>
          <w:sz w:val="22"/>
          <w:szCs w:val="22"/>
          <w:lang w:val="sk-SK"/>
        </w:rPr>
        <w:sym w:font="Symbol" w:char="F06D"/>
      </w:r>
      <w:r w:rsidRPr="00B12F7A">
        <w:rPr>
          <w:sz w:val="22"/>
          <w:szCs w:val="22"/>
          <w:lang w:val="sk-SK"/>
        </w:rPr>
        <w:t xml:space="preserve">g/ml dosiahnutý za jednu hodinu. </w:t>
      </w:r>
    </w:p>
    <w:p w14:paraId="458AE00F" w14:textId="034649B8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Biologická dostupnosť tiapridu vo forme tabliet alebo kvapiek je 75</w:t>
      </w:r>
      <w:r w:rsidR="00E17C58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 xml:space="preserve">%. Absolútna biologická dostupnosť je zvýšená o 20 %, ak sa </w:t>
      </w:r>
      <w:r w:rsidR="00896562">
        <w:rPr>
          <w:sz w:val="22"/>
          <w:szCs w:val="22"/>
          <w:lang w:val="sk-SK"/>
        </w:rPr>
        <w:t>TIAPRIDAL</w:t>
      </w:r>
      <w:r w:rsidRPr="00B12F7A">
        <w:rPr>
          <w:sz w:val="22"/>
          <w:szCs w:val="22"/>
          <w:lang w:val="sk-SK"/>
        </w:rPr>
        <w:t xml:space="preserve"> užíva pred jedlom. Absorpcia je pomalšia u pacientov v</w:t>
      </w:r>
      <w:r w:rsidR="00CD065D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 xml:space="preserve">starobe. </w:t>
      </w:r>
    </w:p>
    <w:p w14:paraId="7BC279E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lastRenderedPageBreak/>
        <w:t xml:space="preserve">Telesná distribúcia je rýchla (menej ako 1 hodina). Tiaprid prechádza bez akumulácie cez hematoencefalitickú i placentárnu bariéru. Prienik do materského mlieka bol pozorovaný v pokusoch na zvieratách s pomerom mlieko/krv 1,2. </w:t>
      </w:r>
    </w:p>
    <w:p w14:paraId="6ECADC84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Neviaže sa na proteíny krvnej plazmy, slabo sa viaže na erytrocyty. </w:t>
      </w:r>
    </w:p>
    <w:p w14:paraId="777AB93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U ľudí sa metabolizuje len málo. 70</w:t>
      </w:r>
      <w:r w:rsidR="00E17C58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% podanej látky sa vylučuje močom v nezmenenej forme. Polčas eliminácie je 2,9 hod. u žien a 3,6 hod. u mužov. Vylučuje sa hlavne močom, renálny klírens je 330 ml/min. U pacientov so zlyhaním obličiek je vylučovanie v korelácii s klírensom kreatinínu. Dávkovanie je potrebné prispôsobiť závažnosti renálnej insuficiencie u pacientov s klírensom kreatinínu menším ako 20 ml/min.</w:t>
      </w:r>
    </w:p>
    <w:p w14:paraId="3A21AB7C" w14:textId="77777777" w:rsidR="00F16618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U pacientov s klírensom kreatinínu 11-20 ml/min sa odporúča podávať polovicu zvyčajnej dávky a u pacientov s klírensom kreatinínu pod 10 ml/min štvrtinu zvyčajnej dávky. </w:t>
      </w:r>
    </w:p>
    <w:p w14:paraId="0D9AF43E" w14:textId="77777777" w:rsidR="006E1EAB" w:rsidRDefault="006E1EAB" w:rsidP="00F16618">
      <w:pPr>
        <w:pStyle w:val="Zkladntext"/>
        <w:rPr>
          <w:sz w:val="22"/>
          <w:szCs w:val="22"/>
          <w:lang w:val="sk-SK"/>
        </w:rPr>
      </w:pPr>
    </w:p>
    <w:p w14:paraId="0C98A3F3" w14:textId="140A7A51" w:rsidR="006E1EAB" w:rsidRDefault="006E1EAB" w:rsidP="006E1EAB">
      <w:pPr>
        <w:pStyle w:val="Zkladntext"/>
        <w:tabs>
          <w:tab w:val="left" w:pos="567"/>
        </w:tabs>
        <w:rPr>
          <w:b/>
          <w:sz w:val="22"/>
          <w:szCs w:val="22"/>
        </w:rPr>
      </w:pPr>
      <w:r w:rsidRPr="00043634">
        <w:rPr>
          <w:b/>
          <w:sz w:val="22"/>
          <w:szCs w:val="22"/>
          <w:lang w:val="sk-SK"/>
        </w:rPr>
        <w:t>5.3</w:t>
      </w:r>
      <w:r>
        <w:rPr>
          <w:sz w:val="22"/>
          <w:szCs w:val="22"/>
          <w:lang w:val="sk-SK"/>
        </w:rPr>
        <w:tab/>
      </w:r>
      <w:r w:rsidRPr="00043634">
        <w:rPr>
          <w:b/>
          <w:sz w:val="22"/>
          <w:szCs w:val="22"/>
        </w:rPr>
        <w:t>Predklinické údaje o bezpečnosti</w:t>
      </w:r>
    </w:p>
    <w:p w14:paraId="7B69ABE7" w14:textId="77777777" w:rsidR="006E1EAB" w:rsidRDefault="006E1EAB" w:rsidP="006E1EAB">
      <w:pPr>
        <w:pStyle w:val="Zkladntext"/>
        <w:tabs>
          <w:tab w:val="left" w:pos="567"/>
        </w:tabs>
        <w:rPr>
          <w:b/>
          <w:sz w:val="22"/>
          <w:szCs w:val="22"/>
        </w:rPr>
      </w:pPr>
    </w:p>
    <w:p w14:paraId="76F39A54" w14:textId="64AAC135" w:rsidR="00F9355B" w:rsidRPr="00043634" w:rsidRDefault="00F9355B" w:rsidP="00043634">
      <w:pPr>
        <w:pStyle w:val="Zkladntext"/>
        <w:rPr>
          <w:sz w:val="22"/>
          <w:szCs w:val="22"/>
        </w:rPr>
      </w:pPr>
      <w:r w:rsidRPr="00043634">
        <w:rPr>
          <w:sz w:val="22"/>
          <w:szCs w:val="22"/>
        </w:rPr>
        <w:t xml:space="preserve">Tiaprid nemá žiadne bežné orgánovo-špecifické, teratogénne alebo mutagénne riziko. Účinky pozorované na zvieratách priamo súvisia s farmakologickou aktivitou a najmä s hyperprolaktinémiou. Čo sa týka karcinogenity, prolaktín produkujúci tumor pozorovaný u hlodavcov je druhovo špecifický a nepoukazuje na žiadne zvláštne riziko pre humánne terapeutické použitie. </w:t>
      </w:r>
    </w:p>
    <w:p w14:paraId="4007667D" w14:textId="77777777" w:rsidR="00F9355B" w:rsidRDefault="00F9355B" w:rsidP="006E1EAB">
      <w:pPr>
        <w:pStyle w:val="Zkladntext"/>
        <w:tabs>
          <w:tab w:val="left" w:pos="567"/>
        </w:tabs>
        <w:rPr>
          <w:b/>
          <w:sz w:val="22"/>
          <w:szCs w:val="22"/>
        </w:rPr>
      </w:pPr>
    </w:p>
    <w:p w14:paraId="3F2AD3F5" w14:textId="5E2EAC1A" w:rsidR="006E1EAB" w:rsidRPr="006E1EAB" w:rsidRDefault="006E1EAB" w:rsidP="006E1EAB">
      <w:pPr>
        <w:pStyle w:val="Zkladntext"/>
        <w:tabs>
          <w:tab w:val="left" w:pos="567"/>
        </w:tabs>
        <w:rPr>
          <w:sz w:val="22"/>
          <w:szCs w:val="22"/>
          <w:lang w:val="sk-SK"/>
        </w:rPr>
      </w:pPr>
      <w:r w:rsidRPr="006E1EAB">
        <w:rPr>
          <w:sz w:val="22"/>
          <w:szCs w:val="22"/>
          <w:lang w:val="sk-SK"/>
        </w:rPr>
        <w:t>Štúdie embryo-fetálneho vývoja u zvierat nepreukázali priamy alebo nepriamy škodlivý vplyv, pokiaľ ide o teratogenitu a embryofetotoxicitu u hlodavcov. Štúdie na králikoch však preukázali embryotoxický vplyv pri najvyšších testovaných dávkach (80 a 160 mg/kg/deň).</w:t>
      </w:r>
    </w:p>
    <w:p w14:paraId="69124434" w14:textId="77777777" w:rsidR="006E1EAB" w:rsidRPr="006E1EAB" w:rsidRDefault="006E1EAB" w:rsidP="006E1EAB">
      <w:pPr>
        <w:pStyle w:val="Zkladntext"/>
        <w:tabs>
          <w:tab w:val="left" w:pos="567"/>
        </w:tabs>
        <w:rPr>
          <w:sz w:val="22"/>
          <w:szCs w:val="22"/>
          <w:lang w:val="sk-SK"/>
        </w:rPr>
      </w:pPr>
    </w:p>
    <w:p w14:paraId="1FF4B8DA" w14:textId="7CCF75CC" w:rsidR="006E1EAB" w:rsidRPr="00B12F7A" w:rsidRDefault="006E1EAB" w:rsidP="006E1EAB">
      <w:pPr>
        <w:pStyle w:val="Zkladntext"/>
        <w:tabs>
          <w:tab w:val="left" w:pos="567"/>
        </w:tabs>
        <w:rPr>
          <w:sz w:val="22"/>
          <w:szCs w:val="22"/>
          <w:lang w:val="sk-SK"/>
        </w:rPr>
      </w:pPr>
      <w:r w:rsidRPr="006E1EAB">
        <w:rPr>
          <w:sz w:val="22"/>
          <w:szCs w:val="22"/>
          <w:lang w:val="sk-SK"/>
        </w:rPr>
        <w:t>Štúdie na zvieratách nie sú dostatočné, pokiaľ ide o poruchy vývoja nervového systému u mláďat.</w:t>
      </w:r>
    </w:p>
    <w:p w14:paraId="38BC88CB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3D897E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7496A8B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6.</w:t>
      </w:r>
      <w:r w:rsidR="00D112B1">
        <w:rPr>
          <w:b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>FARMACEUTICKÉ INFORMÁCIE</w:t>
      </w:r>
    </w:p>
    <w:p w14:paraId="76890B3E" w14:textId="77777777" w:rsidR="00F16618" w:rsidRPr="00B12F7A" w:rsidRDefault="00F16618" w:rsidP="00C1378C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u w:val="single"/>
          <w:lang w:val="sk-SK"/>
        </w:rPr>
      </w:pPr>
    </w:p>
    <w:p w14:paraId="028144EF" w14:textId="77777777" w:rsidR="00F16618" w:rsidRPr="00B12F7A" w:rsidRDefault="00F16618" w:rsidP="00C1378C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6.1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Zoznam pomocných látok</w:t>
      </w:r>
    </w:p>
    <w:p w14:paraId="343E3E98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2F428C8" w14:textId="3A86C58D" w:rsidR="001C7863" w:rsidRDefault="001C7863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F16618" w:rsidRPr="00B12F7A">
        <w:rPr>
          <w:sz w:val="22"/>
          <w:szCs w:val="22"/>
          <w:lang w:val="sk-SK"/>
        </w:rPr>
        <w:t>etylpara</w:t>
      </w:r>
      <w:r w:rsidR="00BA4E55">
        <w:rPr>
          <w:sz w:val="22"/>
          <w:szCs w:val="22"/>
          <w:lang w:val="sk-SK"/>
        </w:rPr>
        <w:t>hydroxybenzoát</w:t>
      </w:r>
    </w:p>
    <w:p w14:paraId="7BCD7025" w14:textId="5F55846B" w:rsidR="001C7863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propylpara</w:t>
      </w:r>
      <w:r w:rsidR="00BA4E55">
        <w:rPr>
          <w:sz w:val="22"/>
          <w:szCs w:val="22"/>
          <w:lang w:val="sk-SK"/>
        </w:rPr>
        <w:t>hydroxybenzoát</w:t>
      </w:r>
    </w:p>
    <w:p w14:paraId="13544670" w14:textId="77777777" w:rsidR="001C7863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kyselina chlorovodíkov</w:t>
      </w:r>
      <w:r w:rsidR="002C0DBF">
        <w:rPr>
          <w:sz w:val="22"/>
          <w:szCs w:val="22"/>
          <w:lang w:val="sk-SK"/>
        </w:rPr>
        <w:t>á</w:t>
      </w:r>
    </w:p>
    <w:p w14:paraId="231EE811" w14:textId="77777777" w:rsidR="001C7863" w:rsidRPr="00FD52F8" w:rsidRDefault="00F16618" w:rsidP="00F16618">
      <w:pPr>
        <w:pStyle w:val="Zkladntext"/>
        <w:rPr>
          <w:sz w:val="22"/>
          <w:szCs w:val="22"/>
          <w:lang w:val="sk-SK"/>
        </w:rPr>
      </w:pPr>
      <w:r w:rsidRPr="00FD52F8">
        <w:rPr>
          <w:sz w:val="22"/>
          <w:szCs w:val="22"/>
          <w:lang w:val="sk-SK"/>
        </w:rPr>
        <w:t>káliumsorbát</w:t>
      </w:r>
    </w:p>
    <w:p w14:paraId="73B9A28C" w14:textId="77777777" w:rsidR="001C7863" w:rsidRDefault="00384445" w:rsidP="00F16618">
      <w:pPr>
        <w:pStyle w:val="Zkladntext"/>
        <w:rPr>
          <w:sz w:val="22"/>
          <w:szCs w:val="22"/>
          <w:lang w:val="sk-SK"/>
        </w:rPr>
      </w:pPr>
      <w:r w:rsidRPr="00FD52F8">
        <w:rPr>
          <w:sz w:val="22"/>
          <w:szCs w:val="22"/>
          <w:lang w:val="sk-SK"/>
        </w:rPr>
        <w:t xml:space="preserve">sodná soľ </w:t>
      </w:r>
      <w:r w:rsidR="00F16618" w:rsidRPr="00FD52F8">
        <w:rPr>
          <w:sz w:val="22"/>
          <w:szCs w:val="22"/>
          <w:lang w:val="sk-SK"/>
        </w:rPr>
        <w:t>sacharín</w:t>
      </w:r>
      <w:r w:rsidRPr="00FD52F8">
        <w:rPr>
          <w:sz w:val="22"/>
          <w:szCs w:val="22"/>
          <w:lang w:val="sk-SK"/>
        </w:rPr>
        <w:t>u</w:t>
      </w:r>
    </w:p>
    <w:p w14:paraId="339DD4EA" w14:textId="77777777" w:rsidR="001C7863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citrónová aróma</w:t>
      </w:r>
    </w:p>
    <w:p w14:paraId="48FDD8D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čistená voda</w:t>
      </w:r>
    </w:p>
    <w:p w14:paraId="4D73B286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A94AE65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6.2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Inkompatibility</w:t>
      </w:r>
    </w:p>
    <w:p w14:paraId="64F3523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5A6465F" w14:textId="2720F51C" w:rsidR="00F16618" w:rsidRPr="00B12F7A" w:rsidRDefault="001C7863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Neaplikovateľné.</w:t>
      </w:r>
    </w:p>
    <w:p w14:paraId="36E69968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4797FE07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6.3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Čas použiteľnosti</w:t>
      </w:r>
    </w:p>
    <w:p w14:paraId="2CF924D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D062A55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Pred otvorením: 2 roky</w:t>
      </w:r>
    </w:p>
    <w:p w14:paraId="2092F8D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Po </w:t>
      </w:r>
      <w:r w:rsidR="00E722BE">
        <w:rPr>
          <w:sz w:val="22"/>
          <w:szCs w:val="22"/>
          <w:lang w:val="sk-SK"/>
        </w:rPr>
        <w:t xml:space="preserve">prvom </w:t>
      </w:r>
      <w:r w:rsidRPr="00B12F7A">
        <w:rPr>
          <w:sz w:val="22"/>
          <w:szCs w:val="22"/>
          <w:lang w:val="sk-SK"/>
        </w:rPr>
        <w:t>otvorení: 45 dní</w:t>
      </w:r>
    </w:p>
    <w:p w14:paraId="4162050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868006F" w14:textId="77777777" w:rsidR="00F16618" w:rsidRPr="00B12F7A" w:rsidRDefault="00F16618" w:rsidP="00FD52F8">
      <w:pPr>
        <w:pStyle w:val="Zkladntext"/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6.4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 xml:space="preserve">Špeciálne upozornenia na uchovávanie </w:t>
      </w:r>
    </w:p>
    <w:p w14:paraId="78E59E2D" w14:textId="77777777" w:rsidR="00F16618" w:rsidRPr="00B12F7A" w:rsidRDefault="00F16618" w:rsidP="00F16618">
      <w:pPr>
        <w:pStyle w:val="Zkladntext"/>
        <w:rPr>
          <w:b/>
          <w:sz w:val="22"/>
          <w:szCs w:val="22"/>
          <w:lang w:val="sk-SK"/>
        </w:rPr>
      </w:pPr>
    </w:p>
    <w:p w14:paraId="1BF22E38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Uchovávajte pri teplote do 25</w:t>
      </w:r>
      <w:r w:rsidR="00E17C58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°C.</w:t>
      </w:r>
    </w:p>
    <w:p w14:paraId="34E3D636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39DB47A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6.5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Druh obalu a obsah balenia</w:t>
      </w:r>
    </w:p>
    <w:p w14:paraId="7421848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44E56769" w14:textId="77777777" w:rsidR="001C7863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30 ml sklenená fľaška jantárovej farby s</w:t>
      </w:r>
      <w:r w:rsidR="001C7863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kvapkadlom</w:t>
      </w:r>
    </w:p>
    <w:p w14:paraId="2FBD0E7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Veľkosť balenia: 1 x 30 ml</w:t>
      </w:r>
    </w:p>
    <w:p w14:paraId="02E0FDF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0C7AD30E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EFF8505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7.</w:t>
      </w:r>
      <w:r w:rsidRPr="00B12F7A">
        <w:rPr>
          <w:b/>
          <w:sz w:val="22"/>
          <w:szCs w:val="22"/>
          <w:lang w:val="sk-SK"/>
        </w:rPr>
        <w:tab/>
        <w:t>DRŽITEĽ ROZHODNUTIA O REGISTRÁCII</w:t>
      </w:r>
    </w:p>
    <w:p w14:paraId="0B9F05D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EB015BE" w14:textId="77777777" w:rsidR="001C7863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sanofi-aventis Slovakia s.r.o.</w:t>
      </w:r>
    </w:p>
    <w:p w14:paraId="743F17E6" w14:textId="77777777" w:rsidR="001C7863" w:rsidRDefault="004E6A7A" w:rsidP="00F1661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Einsteinova 24</w:t>
      </w:r>
    </w:p>
    <w:p w14:paraId="3384D8C1" w14:textId="77777777" w:rsidR="001C7863" w:rsidRDefault="004E6A7A" w:rsidP="00F1661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851 01 </w:t>
      </w:r>
      <w:r w:rsidR="00F16618" w:rsidRPr="00B12F7A">
        <w:rPr>
          <w:sz w:val="22"/>
          <w:szCs w:val="22"/>
          <w:lang w:val="sk-SK"/>
        </w:rPr>
        <w:t>Bratislava</w:t>
      </w:r>
    </w:p>
    <w:p w14:paraId="0A7C23E1" w14:textId="77777777" w:rsidR="00F16618" w:rsidRPr="00B12F7A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Slovenská republika</w:t>
      </w:r>
    </w:p>
    <w:p w14:paraId="5779385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0726380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F600ACE" w14:textId="77777777" w:rsidR="00F16618" w:rsidRPr="00B12F7A" w:rsidRDefault="00F16618" w:rsidP="00FD52F8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8.</w:t>
      </w:r>
      <w:r w:rsidRPr="00B12F7A">
        <w:rPr>
          <w:b/>
          <w:sz w:val="22"/>
          <w:szCs w:val="22"/>
          <w:lang w:val="sk-SK"/>
        </w:rPr>
        <w:tab/>
        <w:t>REGISTRAČNÉ ČÍSLO</w:t>
      </w:r>
    </w:p>
    <w:p w14:paraId="428B4A7E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74B58C7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68/0061/01-S</w:t>
      </w:r>
    </w:p>
    <w:p w14:paraId="73DA1F5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1F07D4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202192E" w14:textId="77777777" w:rsidR="00F16618" w:rsidRPr="00B12F7A" w:rsidRDefault="00F16618" w:rsidP="00FD52F8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9.</w:t>
      </w:r>
      <w:r w:rsidRPr="00B12F7A">
        <w:rPr>
          <w:b/>
          <w:sz w:val="22"/>
          <w:szCs w:val="22"/>
          <w:lang w:val="sk-SK"/>
        </w:rPr>
        <w:tab/>
        <w:t>DÁTUM PRVEJ REGISTRÁCIE/ PREDĹŽENIA REGISTRÁCIE</w:t>
      </w:r>
    </w:p>
    <w:p w14:paraId="358CC923" w14:textId="77777777" w:rsidR="00F16618" w:rsidRPr="00B12F7A" w:rsidRDefault="00F16618" w:rsidP="00FD52F8">
      <w:pPr>
        <w:pStyle w:val="Zkladntext"/>
        <w:keepNext/>
        <w:tabs>
          <w:tab w:val="left" w:pos="284"/>
        </w:tabs>
        <w:rPr>
          <w:b/>
          <w:sz w:val="22"/>
          <w:szCs w:val="22"/>
          <w:lang w:val="sk-SK"/>
        </w:rPr>
      </w:pPr>
    </w:p>
    <w:p w14:paraId="750D0BDE" w14:textId="77777777" w:rsidR="00A80BD3" w:rsidRDefault="00A80BD3" w:rsidP="00FD52F8">
      <w:pPr>
        <w:pStyle w:val="Zkladntext"/>
        <w:keepNext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F16618" w:rsidRPr="00B12F7A">
        <w:rPr>
          <w:sz w:val="22"/>
          <w:szCs w:val="22"/>
          <w:lang w:val="sk-SK"/>
        </w:rPr>
        <w:t>01.</w:t>
      </w:r>
      <w:r w:rsidR="00C97595">
        <w:rPr>
          <w:sz w:val="22"/>
          <w:szCs w:val="22"/>
          <w:lang w:val="sk-SK"/>
        </w:rPr>
        <w:t xml:space="preserve"> </w:t>
      </w:r>
      <w:r w:rsidR="001C7863">
        <w:rPr>
          <w:sz w:val="22"/>
          <w:szCs w:val="22"/>
          <w:lang w:val="sk-SK"/>
        </w:rPr>
        <w:t xml:space="preserve">marca </w:t>
      </w:r>
      <w:r w:rsidR="00F16618" w:rsidRPr="00B12F7A">
        <w:rPr>
          <w:sz w:val="22"/>
          <w:szCs w:val="22"/>
          <w:lang w:val="sk-SK"/>
        </w:rPr>
        <w:t>2001</w:t>
      </w:r>
    </w:p>
    <w:p w14:paraId="108D40C8" w14:textId="77777777" w:rsidR="00F16618" w:rsidRPr="00B12F7A" w:rsidRDefault="00A80BD3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</w:t>
      </w:r>
      <w:r w:rsidR="007A500C">
        <w:rPr>
          <w:sz w:val="22"/>
          <w:szCs w:val="22"/>
          <w:lang w:val="sk-SK"/>
        </w:rPr>
        <w:t xml:space="preserve"> </w:t>
      </w:r>
      <w:r w:rsidR="007A500C" w:rsidRPr="007A500C">
        <w:rPr>
          <w:sz w:val="22"/>
          <w:szCs w:val="22"/>
          <w:lang w:val="sk-SK"/>
        </w:rPr>
        <w:t>posledného</w:t>
      </w:r>
      <w:r>
        <w:rPr>
          <w:sz w:val="22"/>
          <w:szCs w:val="22"/>
          <w:lang w:val="sk-SK"/>
        </w:rPr>
        <w:t xml:space="preserve"> predĺženia registrácie: </w:t>
      </w:r>
      <w:r w:rsidR="007E5370" w:rsidRPr="00B12F7A">
        <w:rPr>
          <w:sz w:val="22"/>
          <w:szCs w:val="22"/>
          <w:lang w:val="sk-SK"/>
        </w:rPr>
        <w:t>22.</w:t>
      </w:r>
      <w:r w:rsidR="00544B32">
        <w:rPr>
          <w:sz w:val="22"/>
          <w:szCs w:val="22"/>
          <w:lang w:val="sk-SK"/>
        </w:rPr>
        <w:t xml:space="preserve"> </w:t>
      </w:r>
      <w:r w:rsidR="001C7863">
        <w:rPr>
          <w:sz w:val="22"/>
          <w:szCs w:val="22"/>
          <w:lang w:val="sk-SK"/>
        </w:rPr>
        <w:t xml:space="preserve">septembra </w:t>
      </w:r>
      <w:r w:rsidR="007E5370" w:rsidRPr="00B12F7A">
        <w:rPr>
          <w:sz w:val="22"/>
          <w:szCs w:val="22"/>
          <w:lang w:val="sk-SK"/>
        </w:rPr>
        <w:t>2006</w:t>
      </w:r>
      <w:r w:rsidR="00BB1581" w:rsidRPr="00B12F7A">
        <w:rPr>
          <w:sz w:val="22"/>
          <w:szCs w:val="22"/>
          <w:lang w:val="sk-SK"/>
        </w:rPr>
        <w:t xml:space="preserve"> </w:t>
      </w:r>
    </w:p>
    <w:p w14:paraId="15FAF95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83B8F4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7FF3DA53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10.</w:t>
      </w:r>
      <w:r w:rsidR="00D112B1">
        <w:rPr>
          <w:b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>DÁTUM REVÍZIE TEXTU</w:t>
      </w:r>
    </w:p>
    <w:p w14:paraId="490B8BF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B04D566" w14:textId="3BBB9CE3" w:rsidR="00C021FD" w:rsidRPr="00B12F7A" w:rsidRDefault="00BD15A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09/2019</w:t>
      </w:r>
    </w:p>
    <w:sectPr w:rsidR="00C021FD" w:rsidRPr="00B12F7A" w:rsidSect="00020A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79125" w14:textId="77777777" w:rsidR="00D01906" w:rsidRDefault="00D01906">
      <w:r>
        <w:separator/>
      </w:r>
    </w:p>
  </w:endnote>
  <w:endnote w:type="continuationSeparator" w:id="0">
    <w:p w14:paraId="1930BB19" w14:textId="77777777" w:rsidR="00D01906" w:rsidRDefault="00D0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95ABA" w14:textId="77777777" w:rsidR="00AD136C" w:rsidRPr="00FD52F8" w:rsidRDefault="0039086A">
    <w:pPr>
      <w:pStyle w:val="Pta"/>
      <w:jc w:val="center"/>
      <w:rPr>
        <w:sz w:val="18"/>
        <w:szCs w:val="18"/>
      </w:rPr>
    </w:pPr>
    <w:r w:rsidRPr="00FD52F8">
      <w:rPr>
        <w:sz w:val="18"/>
        <w:szCs w:val="18"/>
      </w:rPr>
      <w:fldChar w:fldCharType="begin"/>
    </w:r>
    <w:r w:rsidR="00AD136C" w:rsidRPr="00FD52F8">
      <w:rPr>
        <w:sz w:val="18"/>
        <w:szCs w:val="18"/>
      </w:rPr>
      <w:instrText>PAGE   \* MERGEFORMAT</w:instrText>
    </w:r>
    <w:r w:rsidRPr="00FD52F8">
      <w:rPr>
        <w:sz w:val="18"/>
        <w:szCs w:val="18"/>
      </w:rPr>
      <w:fldChar w:fldCharType="separate"/>
    </w:r>
    <w:r w:rsidR="00043634" w:rsidRPr="00043634">
      <w:rPr>
        <w:noProof/>
        <w:sz w:val="18"/>
        <w:szCs w:val="18"/>
        <w:lang w:val="sk-SK"/>
      </w:rPr>
      <w:t>9</w:t>
    </w:r>
    <w:r w:rsidRPr="00FD52F8">
      <w:rPr>
        <w:sz w:val="18"/>
        <w:szCs w:val="18"/>
      </w:rPr>
      <w:fldChar w:fldCharType="end"/>
    </w:r>
  </w:p>
  <w:p w14:paraId="1EEA656B" w14:textId="77777777" w:rsidR="005671AE" w:rsidRPr="000A1F9A" w:rsidRDefault="005671AE" w:rsidP="00C73285">
    <w:pPr>
      <w:pStyle w:val="Pta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0A223" w14:textId="77777777" w:rsidR="00AD136C" w:rsidRPr="00FD52F8" w:rsidRDefault="0039086A">
    <w:pPr>
      <w:pStyle w:val="Pta"/>
      <w:jc w:val="center"/>
      <w:rPr>
        <w:sz w:val="18"/>
        <w:szCs w:val="18"/>
      </w:rPr>
    </w:pPr>
    <w:r w:rsidRPr="00FD52F8">
      <w:rPr>
        <w:sz w:val="18"/>
        <w:szCs w:val="18"/>
      </w:rPr>
      <w:fldChar w:fldCharType="begin"/>
    </w:r>
    <w:r w:rsidR="00AD136C" w:rsidRPr="00FD52F8">
      <w:rPr>
        <w:sz w:val="18"/>
        <w:szCs w:val="18"/>
      </w:rPr>
      <w:instrText>PAGE   \* MERGEFORMAT</w:instrText>
    </w:r>
    <w:r w:rsidRPr="00FD52F8">
      <w:rPr>
        <w:sz w:val="18"/>
        <w:szCs w:val="18"/>
      </w:rPr>
      <w:fldChar w:fldCharType="separate"/>
    </w:r>
    <w:r w:rsidR="00020AAB" w:rsidRPr="00020AAB">
      <w:rPr>
        <w:noProof/>
        <w:sz w:val="18"/>
        <w:szCs w:val="18"/>
        <w:lang w:val="sk-SK"/>
      </w:rPr>
      <w:t>1</w:t>
    </w:r>
    <w:r w:rsidRPr="00FD52F8">
      <w:rPr>
        <w:sz w:val="18"/>
        <w:szCs w:val="18"/>
      </w:rPr>
      <w:fldChar w:fldCharType="end"/>
    </w:r>
  </w:p>
  <w:p w14:paraId="42E8E644" w14:textId="77777777" w:rsidR="005671AE" w:rsidRPr="000A1F9A" w:rsidRDefault="005671AE" w:rsidP="00C73285">
    <w:pPr>
      <w:pStyle w:val="Pt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38652" w14:textId="77777777" w:rsidR="00D01906" w:rsidRDefault="00D01906">
      <w:r>
        <w:separator/>
      </w:r>
    </w:p>
  </w:footnote>
  <w:footnote w:type="continuationSeparator" w:id="0">
    <w:p w14:paraId="221C248A" w14:textId="77777777" w:rsidR="00D01906" w:rsidRDefault="00D0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EFE70" w14:textId="277E7FD1" w:rsidR="00020AAB" w:rsidRDefault="00020AAB" w:rsidP="00020AAB">
    <w:pPr>
      <w:pStyle w:val="Hlavika"/>
      <w:rPr>
        <w:sz w:val="18"/>
        <w:szCs w:val="18"/>
        <w:lang w:val="sk-SK"/>
      </w:rPr>
    </w:pPr>
    <w:r w:rsidRPr="00635FF3">
      <w:rPr>
        <w:sz w:val="18"/>
        <w:szCs w:val="18"/>
        <w:lang w:val="sk-SK"/>
      </w:rPr>
      <w:t xml:space="preserve">Schválený text k rozhodnutiu o zmene, ev. č.: </w:t>
    </w:r>
    <w:r w:rsidR="000C361A">
      <w:rPr>
        <w:sz w:val="18"/>
        <w:szCs w:val="18"/>
        <w:lang w:val="sk-SK"/>
      </w:rPr>
      <w:t>2018/04726-ZME</w:t>
    </w:r>
    <w:r w:rsidR="000C361A" w:rsidRPr="00635FF3" w:rsidDel="000C361A">
      <w:rPr>
        <w:sz w:val="18"/>
        <w:szCs w:val="18"/>
        <w:lang w:val="sk-SK"/>
      </w:rPr>
      <w:t xml:space="preserve"> </w:t>
    </w:r>
  </w:p>
  <w:p w14:paraId="5D08B5AD" w14:textId="77777777" w:rsidR="005671AE" w:rsidRPr="00CD6134" w:rsidRDefault="005671AE" w:rsidP="00C73285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D4C6F" w14:textId="5998D56F" w:rsidR="00764087" w:rsidRDefault="00CD065D" w:rsidP="00764087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Pr="008A3C59">
      <w:rPr>
        <w:sz w:val="18"/>
        <w:szCs w:val="18"/>
        <w:lang w:val="sk-SK"/>
      </w:rPr>
      <w:t xml:space="preserve"> k</w:t>
    </w:r>
    <w:r>
      <w:rPr>
        <w:sz w:val="18"/>
        <w:szCs w:val="18"/>
        <w:lang w:val="sk-SK"/>
      </w:rPr>
      <w:t xml:space="preserve"> rozhodnutiu o </w:t>
    </w:r>
    <w:r w:rsidRPr="008A3C59">
      <w:rPr>
        <w:sz w:val="18"/>
        <w:szCs w:val="18"/>
        <w:lang w:val="sk-SK"/>
      </w:rPr>
      <w:t>zmene, ev. č.:</w:t>
    </w:r>
    <w:r>
      <w:rPr>
        <w:sz w:val="18"/>
        <w:szCs w:val="18"/>
        <w:lang w:val="sk-SK"/>
      </w:rPr>
      <w:t xml:space="preserve"> 2016/00580-ZME</w:t>
    </w:r>
  </w:p>
  <w:p w14:paraId="1649F0E7" w14:textId="0318376B" w:rsidR="00527767" w:rsidRDefault="00527767" w:rsidP="00764087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Pr="008A3C59">
      <w:rPr>
        <w:sz w:val="18"/>
        <w:szCs w:val="18"/>
        <w:lang w:val="sk-SK"/>
      </w:rPr>
      <w:t xml:space="preserve"> k</w:t>
    </w:r>
    <w:r>
      <w:rPr>
        <w:sz w:val="18"/>
        <w:szCs w:val="18"/>
        <w:lang w:val="sk-SK"/>
      </w:rPr>
      <w:t xml:space="preserve"> rozhodnutiu o </w:t>
    </w:r>
    <w:r w:rsidRPr="008A3C59">
      <w:rPr>
        <w:sz w:val="18"/>
        <w:szCs w:val="18"/>
        <w:lang w:val="sk-SK"/>
      </w:rPr>
      <w:t>zmene, ev. č.:</w:t>
    </w:r>
    <w:r>
      <w:rPr>
        <w:sz w:val="18"/>
        <w:szCs w:val="18"/>
        <w:lang w:val="sk-SK"/>
      </w:rPr>
      <w:t xml:space="preserve"> </w:t>
    </w:r>
    <w:r w:rsidR="00020AAB" w:rsidRPr="00635FF3">
      <w:rPr>
        <w:sz w:val="18"/>
        <w:szCs w:val="18"/>
        <w:highlight w:val="yellow"/>
        <w:lang w:val="sk-SK"/>
      </w:rPr>
      <w:t>2017/03249-ZME</w:t>
    </w:r>
    <w:r w:rsidR="00020AAB" w:rsidDel="00020AAB">
      <w:rPr>
        <w:sz w:val="18"/>
        <w:szCs w:val="18"/>
        <w:lang w:val="sk-SK"/>
      </w:rPr>
      <w:t xml:space="preserve"> </w:t>
    </w:r>
  </w:p>
  <w:p w14:paraId="2DAB98B3" w14:textId="77777777" w:rsidR="005671AE" w:rsidRDefault="005671AE" w:rsidP="00C73285">
    <w:pPr>
      <w:pStyle w:val="Hlavika"/>
      <w:rPr>
        <w:sz w:val="20"/>
        <w:lang w:val="sk-SK"/>
      </w:rPr>
    </w:pPr>
  </w:p>
  <w:p w14:paraId="2B0DD783" w14:textId="77777777" w:rsidR="005671AE" w:rsidRPr="008958B4" w:rsidRDefault="005671AE" w:rsidP="00C73285">
    <w:pPr>
      <w:pStyle w:val="Hlavika"/>
      <w:rPr>
        <w:sz w:val="2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0E4B1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3D7B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E704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256AC3"/>
    <w:multiLevelType w:val="hybridMultilevel"/>
    <w:tmpl w:val="F20432E6"/>
    <w:lvl w:ilvl="0" w:tplc="041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7B54A21"/>
    <w:multiLevelType w:val="hybridMultilevel"/>
    <w:tmpl w:val="233E44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75F71"/>
    <w:multiLevelType w:val="hybridMultilevel"/>
    <w:tmpl w:val="A536BBA2"/>
    <w:lvl w:ilvl="0" w:tplc="520CF8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E2662"/>
    <w:multiLevelType w:val="hybridMultilevel"/>
    <w:tmpl w:val="5D829F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10F25"/>
    <w:multiLevelType w:val="hybridMultilevel"/>
    <w:tmpl w:val="5D54CE88"/>
    <w:lvl w:ilvl="0" w:tplc="FFFFFFFF">
      <w:start w:val="1"/>
      <w:numFmt w:val="bullet"/>
      <w:lvlText w:val=""/>
      <w:legacy w:legacy="1" w:legacySpace="57" w:legacyIndent="227"/>
      <w:lvlJc w:val="left"/>
      <w:pPr>
        <w:ind w:left="227" w:hanging="227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227"/>
        </w:tabs>
        <w:ind w:left="12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7"/>
        </w:tabs>
        <w:ind w:left="1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7"/>
        </w:tabs>
        <w:ind w:left="2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7"/>
        </w:tabs>
        <w:ind w:left="33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7"/>
        </w:tabs>
        <w:ind w:left="4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7"/>
        </w:tabs>
        <w:ind w:left="4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7"/>
        </w:tabs>
        <w:ind w:left="55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7"/>
        </w:tabs>
        <w:ind w:left="626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18"/>
    <w:rsid w:val="0001654A"/>
    <w:rsid w:val="00020AAB"/>
    <w:rsid w:val="00026FB4"/>
    <w:rsid w:val="00043634"/>
    <w:rsid w:val="00045AD5"/>
    <w:rsid w:val="00055156"/>
    <w:rsid w:val="000558DB"/>
    <w:rsid w:val="000616E7"/>
    <w:rsid w:val="00061D17"/>
    <w:rsid w:val="000661E8"/>
    <w:rsid w:val="000762C6"/>
    <w:rsid w:val="00083EC6"/>
    <w:rsid w:val="00092D6C"/>
    <w:rsid w:val="00093CBC"/>
    <w:rsid w:val="00094331"/>
    <w:rsid w:val="00097705"/>
    <w:rsid w:val="000A2AAD"/>
    <w:rsid w:val="000B6E63"/>
    <w:rsid w:val="000C16EC"/>
    <w:rsid w:val="000C361A"/>
    <w:rsid w:val="000D0992"/>
    <w:rsid w:val="000D2B36"/>
    <w:rsid w:val="000D6D7E"/>
    <w:rsid w:val="000E0582"/>
    <w:rsid w:val="000E43E9"/>
    <w:rsid w:val="000E477C"/>
    <w:rsid w:val="000F41C5"/>
    <w:rsid w:val="000F53B8"/>
    <w:rsid w:val="0010040E"/>
    <w:rsid w:val="00106209"/>
    <w:rsid w:val="00107FC4"/>
    <w:rsid w:val="001251CC"/>
    <w:rsid w:val="00150945"/>
    <w:rsid w:val="00164F68"/>
    <w:rsid w:val="001729FC"/>
    <w:rsid w:val="00172BA9"/>
    <w:rsid w:val="00173A7E"/>
    <w:rsid w:val="00183AC3"/>
    <w:rsid w:val="00190A7D"/>
    <w:rsid w:val="001961DB"/>
    <w:rsid w:val="001B539C"/>
    <w:rsid w:val="001C7863"/>
    <w:rsid w:val="001D63D7"/>
    <w:rsid w:val="001E4E17"/>
    <w:rsid w:val="001E6B5B"/>
    <w:rsid w:val="001E7C44"/>
    <w:rsid w:val="001F20BB"/>
    <w:rsid w:val="001F2AB7"/>
    <w:rsid w:val="001F3A53"/>
    <w:rsid w:val="001F5009"/>
    <w:rsid w:val="001F6352"/>
    <w:rsid w:val="00202140"/>
    <w:rsid w:val="00211832"/>
    <w:rsid w:val="002262E7"/>
    <w:rsid w:val="00226359"/>
    <w:rsid w:val="00227481"/>
    <w:rsid w:val="002478C1"/>
    <w:rsid w:val="00261C9F"/>
    <w:rsid w:val="0026594B"/>
    <w:rsid w:val="0026736E"/>
    <w:rsid w:val="002703A9"/>
    <w:rsid w:val="00294EC5"/>
    <w:rsid w:val="002A032B"/>
    <w:rsid w:val="002A03B2"/>
    <w:rsid w:val="002B2570"/>
    <w:rsid w:val="002B5500"/>
    <w:rsid w:val="002B58A9"/>
    <w:rsid w:val="002C0DBF"/>
    <w:rsid w:val="002C39FE"/>
    <w:rsid w:val="002C6A0B"/>
    <w:rsid w:val="002E342E"/>
    <w:rsid w:val="002F3BF5"/>
    <w:rsid w:val="00300897"/>
    <w:rsid w:val="003016C9"/>
    <w:rsid w:val="00302265"/>
    <w:rsid w:val="00307B02"/>
    <w:rsid w:val="003237ED"/>
    <w:rsid w:val="00326688"/>
    <w:rsid w:val="00334BA5"/>
    <w:rsid w:val="00337556"/>
    <w:rsid w:val="003423E3"/>
    <w:rsid w:val="003501C0"/>
    <w:rsid w:val="003516FD"/>
    <w:rsid w:val="00360A3F"/>
    <w:rsid w:val="00364AEC"/>
    <w:rsid w:val="003677B0"/>
    <w:rsid w:val="00384445"/>
    <w:rsid w:val="00385FB9"/>
    <w:rsid w:val="0039086A"/>
    <w:rsid w:val="003A4FBC"/>
    <w:rsid w:val="003B388B"/>
    <w:rsid w:val="003B40DC"/>
    <w:rsid w:val="003C0709"/>
    <w:rsid w:val="003C577B"/>
    <w:rsid w:val="003C6FF7"/>
    <w:rsid w:val="003C7231"/>
    <w:rsid w:val="003D29B6"/>
    <w:rsid w:val="003D3C64"/>
    <w:rsid w:val="003D6406"/>
    <w:rsid w:val="003E6E3F"/>
    <w:rsid w:val="003F459D"/>
    <w:rsid w:val="003F689C"/>
    <w:rsid w:val="00401876"/>
    <w:rsid w:val="00403036"/>
    <w:rsid w:val="00407D94"/>
    <w:rsid w:val="004134D8"/>
    <w:rsid w:val="00426666"/>
    <w:rsid w:val="00426A5E"/>
    <w:rsid w:val="00430A0E"/>
    <w:rsid w:val="00445203"/>
    <w:rsid w:val="00452971"/>
    <w:rsid w:val="00455F54"/>
    <w:rsid w:val="0045780E"/>
    <w:rsid w:val="004825AF"/>
    <w:rsid w:val="004910C8"/>
    <w:rsid w:val="00495CD5"/>
    <w:rsid w:val="004B099D"/>
    <w:rsid w:val="004B37D2"/>
    <w:rsid w:val="004B7E2D"/>
    <w:rsid w:val="004C402F"/>
    <w:rsid w:val="004D16AE"/>
    <w:rsid w:val="004D51F2"/>
    <w:rsid w:val="004E0952"/>
    <w:rsid w:val="004E2145"/>
    <w:rsid w:val="004E242C"/>
    <w:rsid w:val="004E3CBF"/>
    <w:rsid w:val="004E56CD"/>
    <w:rsid w:val="004E6A7A"/>
    <w:rsid w:val="004F7262"/>
    <w:rsid w:val="00502C36"/>
    <w:rsid w:val="00516BD3"/>
    <w:rsid w:val="00521937"/>
    <w:rsid w:val="00522220"/>
    <w:rsid w:val="0052430A"/>
    <w:rsid w:val="00525D45"/>
    <w:rsid w:val="005273EB"/>
    <w:rsid w:val="005274B6"/>
    <w:rsid w:val="00527767"/>
    <w:rsid w:val="00537680"/>
    <w:rsid w:val="00544366"/>
    <w:rsid w:val="00544B32"/>
    <w:rsid w:val="00554C6C"/>
    <w:rsid w:val="00557F16"/>
    <w:rsid w:val="005631A6"/>
    <w:rsid w:val="005671AE"/>
    <w:rsid w:val="005C0F4C"/>
    <w:rsid w:val="005C3A1D"/>
    <w:rsid w:val="005C44B5"/>
    <w:rsid w:val="005E0490"/>
    <w:rsid w:val="005E1500"/>
    <w:rsid w:val="005F72A2"/>
    <w:rsid w:val="005F767F"/>
    <w:rsid w:val="006020CD"/>
    <w:rsid w:val="00602D06"/>
    <w:rsid w:val="00610736"/>
    <w:rsid w:val="0061381C"/>
    <w:rsid w:val="00617112"/>
    <w:rsid w:val="00625399"/>
    <w:rsid w:val="006347F7"/>
    <w:rsid w:val="00635FF3"/>
    <w:rsid w:val="00642623"/>
    <w:rsid w:val="00652260"/>
    <w:rsid w:val="00654229"/>
    <w:rsid w:val="00681F1A"/>
    <w:rsid w:val="00686B73"/>
    <w:rsid w:val="00692653"/>
    <w:rsid w:val="00696B77"/>
    <w:rsid w:val="006A1DAD"/>
    <w:rsid w:val="006B1870"/>
    <w:rsid w:val="006C4DAA"/>
    <w:rsid w:val="006C5EE3"/>
    <w:rsid w:val="006C6D9F"/>
    <w:rsid w:val="006D71B6"/>
    <w:rsid w:val="006E1EAB"/>
    <w:rsid w:val="006F2160"/>
    <w:rsid w:val="006F5450"/>
    <w:rsid w:val="007016F2"/>
    <w:rsid w:val="007162A5"/>
    <w:rsid w:val="00720B08"/>
    <w:rsid w:val="00730800"/>
    <w:rsid w:val="00730CD8"/>
    <w:rsid w:val="007427B0"/>
    <w:rsid w:val="00743A5F"/>
    <w:rsid w:val="00750B46"/>
    <w:rsid w:val="00763390"/>
    <w:rsid w:val="00764087"/>
    <w:rsid w:val="00770A34"/>
    <w:rsid w:val="00772BF5"/>
    <w:rsid w:val="00774085"/>
    <w:rsid w:val="0077435A"/>
    <w:rsid w:val="00783A3D"/>
    <w:rsid w:val="00790323"/>
    <w:rsid w:val="00791744"/>
    <w:rsid w:val="00791D77"/>
    <w:rsid w:val="007A500C"/>
    <w:rsid w:val="007A5437"/>
    <w:rsid w:val="007B1747"/>
    <w:rsid w:val="007C0BE8"/>
    <w:rsid w:val="007E11A3"/>
    <w:rsid w:val="007E143D"/>
    <w:rsid w:val="007E2131"/>
    <w:rsid w:val="007E3B7E"/>
    <w:rsid w:val="007E5370"/>
    <w:rsid w:val="007F1D7A"/>
    <w:rsid w:val="007F6460"/>
    <w:rsid w:val="00807C34"/>
    <w:rsid w:val="00807CFF"/>
    <w:rsid w:val="00821CFA"/>
    <w:rsid w:val="00823B52"/>
    <w:rsid w:val="00841AD6"/>
    <w:rsid w:val="0085101F"/>
    <w:rsid w:val="008562DD"/>
    <w:rsid w:val="008623B0"/>
    <w:rsid w:val="0086524C"/>
    <w:rsid w:val="00867D46"/>
    <w:rsid w:val="00871F47"/>
    <w:rsid w:val="008808EC"/>
    <w:rsid w:val="00882FF7"/>
    <w:rsid w:val="00886DBE"/>
    <w:rsid w:val="00896562"/>
    <w:rsid w:val="008A042A"/>
    <w:rsid w:val="008A0D0E"/>
    <w:rsid w:val="008A3C59"/>
    <w:rsid w:val="008A59FA"/>
    <w:rsid w:val="008A7CE3"/>
    <w:rsid w:val="008B020E"/>
    <w:rsid w:val="008C2779"/>
    <w:rsid w:val="008C63EF"/>
    <w:rsid w:val="008C650E"/>
    <w:rsid w:val="008D3B35"/>
    <w:rsid w:val="008E6F92"/>
    <w:rsid w:val="008F6233"/>
    <w:rsid w:val="00904020"/>
    <w:rsid w:val="00922789"/>
    <w:rsid w:val="00923FA5"/>
    <w:rsid w:val="0092781E"/>
    <w:rsid w:val="00942C5A"/>
    <w:rsid w:val="009534DD"/>
    <w:rsid w:val="009535A6"/>
    <w:rsid w:val="0095369E"/>
    <w:rsid w:val="00955C83"/>
    <w:rsid w:val="00956253"/>
    <w:rsid w:val="00971A40"/>
    <w:rsid w:val="00974EC6"/>
    <w:rsid w:val="00982AF5"/>
    <w:rsid w:val="00986A96"/>
    <w:rsid w:val="00987561"/>
    <w:rsid w:val="00987842"/>
    <w:rsid w:val="00990FE0"/>
    <w:rsid w:val="00992317"/>
    <w:rsid w:val="0099583B"/>
    <w:rsid w:val="009B035F"/>
    <w:rsid w:val="009B2541"/>
    <w:rsid w:val="009C75AB"/>
    <w:rsid w:val="009D67CA"/>
    <w:rsid w:val="009E25C4"/>
    <w:rsid w:val="009E30E6"/>
    <w:rsid w:val="009F030D"/>
    <w:rsid w:val="009F6DFC"/>
    <w:rsid w:val="00A02C35"/>
    <w:rsid w:val="00A031BD"/>
    <w:rsid w:val="00A0654E"/>
    <w:rsid w:val="00A11713"/>
    <w:rsid w:val="00A2261D"/>
    <w:rsid w:val="00A34531"/>
    <w:rsid w:val="00A351AD"/>
    <w:rsid w:val="00A41970"/>
    <w:rsid w:val="00A50D59"/>
    <w:rsid w:val="00A70BF1"/>
    <w:rsid w:val="00A80BD3"/>
    <w:rsid w:val="00A84D6E"/>
    <w:rsid w:val="00AA731F"/>
    <w:rsid w:val="00AB112D"/>
    <w:rsid w:val="00AC1462"/>
    <w:rsid w:val="00AC1797"/>
    <w:rsid w:val="00AC25FB"/>
    <w:rsid w:val="00AC4650"/>
    <w:rsid w:val="00AD136C"/>
    <w:rsid w:val="00AD183A"/>
    <w:rsid w:val="00AD6C10"/>
    <w:rsid w:val="00AD7EA5"/>
    <w:rsid w:val="00AE3C8B"/>
    <w:rsid w:val="00AF0B1F"/>
    <w:rsid w:val="00AF62B1"/>
    <w:rsid w:val="00B12F69"/>
    <w:rsid w:val="00B12F7A"/>
    <w:rsid w:val="00B16944"/>
    <w:rsid w:val="00B16E25"/>
    <w:rsid w:val="00B31F7E"/>
    <w:rsid w:val="00B33F6B"/>
    <w:rsid w:val="00B342C1"/>
    <w:rsid w:val="00B472FA"/>
    <w:rsid w:val="00B9532D"/>
    <w:rsid w:val="00BA3149"/>
    <w:rsid w:val="00BA4E55"/>
    <w:rsid w:val="00BA74D4"/>
    <w:rsid w:val="00BB1581"/>
    <w:rsid w:val="00BB26B4"/>
    <w:rsid w:val="00BC374D"/>
    <w:rsid w:val="00BC5ECA"/>
    <w:rsid w:val="00BC6316"/>
    <w:rsid w:val="00BD15A0"/>
    <w:rsid w:val="00BD15D8"/>
    <w:rsid w:val="00BD2566"/>
    <w:rsid w:val="00BD4078"/>
    <w:rsid w:val="00BE0184"/>
    <w:rsid w:val="00BE5B96"/>
    <w:rsid w:val="00BF5548"/>
    <w:rsid w:val="00BF7538"/>
    <w:rsid w:val="00C021FD"/>
    <w:rsid w:val="00C050B3"/>
    <w:rsid w:val="00C0796C"/>
    <w:rsid w:val="00C1378C"/>
    <w:rsid w:val="00C145BA"/>
    <w:rsid w:val="00C21490"/>
    <w:rsid w:val="00C22849"/>
    <w:rsid w:val="00C23D09"/>
    <w:rsid w:val="00C26F69"/>
    <w:rsid w:val="00C323DA"/>
    <w:rsid w:val="00C325FA"/>
    <w:rsid w:val="00C41C9F"/>
    <w:rsid w:val="00C455C3"/>
    <w:rsid w:val="00C550E2"/>
    <w:rsid w:val="00C665AA"/>
    <w:rsid w:val="00C73285"/>
    <w:rsid w:val="00C74814"/>
    <w:rsid w:val="00C76A33"/>
    <w:rsid w:val="00C771C8"/>
    <w:rsid w:val="00C82CC3"/>
    <w:rsid w:val="00C90977"/>
    <w:rsid w:val="00C9274B"/>
    <w:rsid w:val="00C93BD4"/>
    <w:rsid w:val="00C97595"/>
    <w:rsid w:val="00CA6E1B"/>
    <w:rsid w:val="00CB05AB"/>
    <w:rsid w:val="00CB0EE1"/>
    <w:rsid w:val="00CB6949"/>
    <w:rsid w:val="00CD065D"/>
    <w:rsid w:val="00CD5209"/>
    <w:rsid w:val="00CE1334"/>
    <w:rsid w:val="00CE3C88"/>
    <w:rsid w:val="00CE6F6E"/>
    <w:rsid w:val="00CE747C"/>
    <w:rsid w:val="00CF1757"/>
    <w:rsid w:val="00CF3FA3"/>
    <w:rsid w:val="00D01733"/>
    <w:rsid w:val="00D01906"/>
    <w:rsid w:val="00D02777"/>
    <w:rsid w:val="00D112B1"/>
    <w:rsid w:val="00D143A2"/>
    <w:rsid w:val="00D24055"/>
    <w:rsid w:val="00D4404A"/>
    <w:rsid w:val="00D44B93"/>
    <w:rsid w:val="00D464B9"/>
    <w:rsid w:val="00D5062D"/>
    <w:rsid w:val="00D63300"/>
    <w:rsid w:val="00D8072F"/>
    <w:rsid w:val="00D820FA"/>
    <w:rsid w:val="00D83777"/>
    <w:rsid w:val="00D92010"/>
    <w:rsid w:val="00D92247"/>
    <w:rsid w:val="00D9477A"/>
    <w:rsid w:val="00DA18EB"/>
    <w:rsid w:val="00DB475E"/>
    <w:rsid w:val="00DC1E89"/>
    <w:rsid w:val="00DD6F6A"/>
    <w:rsid w:val="00DE7231"/>
    <w:rsid w:val="00DE7440"/>
    <w:rsid w:val="00DF0F5A"/>
    <w:rsid w:val="00DF46E3"/>
    <w:rsid w:val="00DF4ACD"/>
    <w:rsid w:val="00DF78DF"/>
    <w:rsid w:val="00E02C3F"/>
    <w:rsid w:val="00E13DA1"/>
    <w:rsid w:val="00E17C58"/>
    <w:rsid w:val="00E266BE"/>
    <w:rsid w:val="00E268D7"/>
    <w:rsid w:val="00E35E58"/>
    <w:rsid w:val="00E408CA"/>
    <w:rsid w:val="00E42C7D"/>
    <w:rsid w:val="00E45561"/>
    <w:rsid w:val="00E528F2"/>
    <w:rsid w:val="00E567D4"/>
    <w:rsid w:val="00E6007A"/>
    <w:rsid w:val="00E63B12"/>
    <w:rsid w:val="00E70411"/>
    <w:rsid w:val="00E70812"/>
    <w:rsid w:val="00E722BE"/>
    <w:rsid w:val="00E72333"/>
    <w:rsid w:val="00E803B3"/>
    <w:rsid w:val="00E82EC3"/>
    <w:rsid w:val="00E8648B"/>
    <w:rsid w:val="00E871B1"/>
    <w:rsid w:val="00EA063C"/>
    <w:rsid w:val="00EA0E7F"/>
    <w:rsid w:val="00EA638B"/>
    <w:rsid w:val="00EA6DD7"/>
    <w:rsid w:val="00EB1B51"/>
    <w:rsid w:val="00EB730F"/>
    <w:rsid w:val="00EC07DB"/>
    <w:rsid w:val="00ED3269"/>
    <w:rsid w:val="00EF7958"/>
    <w:rsid w:val="00F06CEA"/>
    <w:rsid w:val="00F105BF"/>
    <w:rsid w:val="00F14636"/>
    <w:rsid w:val="00F16618"/>
    <w:rsid w:val="00F16A92"/>
    <w:rsid w:val="00F22C6D"/>
    <w:rsid w:val="00F24DDC"/>
    <w:rsid w:val="00F32DB6"/>
    <w:rsid w:val="00F50B34"/>
    <w:rsid w:val="00F51065"/>
    <w:rsid w:val="00F54F4A"/>
    <w:rsid w:val="00F75815"/>
    <w:rsid w:val="00F805A1"/>
    <w:rsid w:val="00F81BD2"/>
    <w:rsid w:val="00F84D17"/>
    <w:rsid w:val="00F9355B"/>
    <w:rsid w:val="00F9420B"/>
    <w:rsid w:val="00FA6879"/>
    <w:rsid w:val="00FA6A3D"/>
    <w:rsid w:val="00FA734D"/>
    <w:rsid w:val="00FB0FCB"/>
    <w:rsid w:val="00FB1C4F"/>
    <w:rsid w:val="00FB3828"/>
    <w:rsid w:val="00FB6429"/>
    <w:rsid w:val="00FB710F"/>
    <w:rsid w:val="00FC6195"/>
    <w:rsid w:val="00FD52F8"/>
    <w:rsid w:val="00FF1204"/>
    <w:rsid w:val="00FF162E"/>
    <w:rsid w:val="00FF3404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D25E0F"/>
  <w15:docId w15:val="{DF17C0DD-B92B-4D0C-A87C-456931D8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6618"/>
    <w:rPr>
      <w:rFonts w:eastAsia="Times New Roman"/>
      <w:lang w:val="cs-CZ" w:eastAsia="cs-CZ"/>
    </w:rPr>
  </w:style>
  <w:style w:type="paragraph" w:styleId="Nadpis1">
    <w:name w:val="heading 1"/>
    <w:basedOn w:val="Normlny"/>
    <w:next w:val="Normlny"/>
    <w:qFormat/>
    <w:rsid w:val="00F1661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3">
    <w:name w:val="heading 3"/>
    <w:basedOn w:val="Normlny"/>
    <w:next w:val="Normlny"/>
    <w:qFormat/>
    <w:rsid w:val="00F166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F16618"/>
    <w:rPr>
      <w:color w:val="000000"/>
      <w:sz w:val="24"/>
    </w:rPr>
  </w:style>
  <w:style w:type="paragraph" w:styleId="Hlavika">
    <w:name w:val="header"/>
    <w:basedOn w:val="Normlny"/>
    <w:link w:val="HlavikaChar"/>
    <w:rsid w:val="00F16618"/>
    <w:rPr>
      <w:color w:val="000000"/>
      <w:sz w:val="24"/>
    </w:rPr>
  </w:style>
  <w:style w:type="paragraph" w:styleId="Pta">
    <w:name w:val="footer"/>
    <w:basedOn w:val="Normlny"/>
    <w:link w:val="PtaChar"/>
    <w:uiPriority w:val="99"/>
    <w:rsid w:val="00F16618"/>
    <w:rPr>
      <w:color w:val="000000"/>
      <w:sz w:val="24"/>
    </w:rPr>
  </w:style>
  <w:style w:type="character" w:styleId="slostrany">
    <w:name w:val="page number"/>
    <w:basedOn w:val="Predvolenpsmoodseku"/>
    <w:rsid w:val="00F16618"/>
  </w:style>
  <w:style w:type="paragraph" w:styleId="Zkladntext3">
    <w:name w:val="Body Text 3"/>
    <w:basedOn w:val="Normlny"/>
    <w:rsid w:val="00F16618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semiHidden/>
    <w:rsid w:val="004825AF"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rsid w:val="00D63300"/>
  </w:style>
  <w:style w:type="character" w:customStyle="1" w:styleId="hpsatn">
    <w:name w:val="hps atn"/>
    <w:basedOn w:val="Predvolenpsmoodseku"/>
    <w:rsid w:val="00D63300"/>
  </w:style>
  <w:style w:type="character" w:customStyle="1" w:styleId="atn">
    <w:name w:val="atn"/>
    <w:basedOn w:val="Predvolenpsmoodseku"/>
    <w:rsid w:val="00AC4650"/>
  </w:style>
  <w:style w:type="character" w:customStyle="1" w:styleId="longtext">
    <w:name w:val="long_text"/>
    <w:basedOn w:val="Predvolenpsmoodseku"/>
    <w:rsid w:val="00B31F7E"/>
  </w:style>
  <w:style w:type="paragraph" w:customStyle="1" w:styleId="Default">
    <w:name w:val="Default"/>
    <w:rsid w:val="00886DBE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character" w:styleId="Hypertextovprepojenie">
    <w:name w:val="Hyperlink"/>
    <w:rsid w:val="00882FF7"/>
    <w:rPr>
      <w:color w:val="0000FF"/>
      <w:u w:val="single"/>
    </w:rPr>
  </w:style>
  <w:style w:type="character" w:styleId="Odkaznakomentr">
    <w:name w:val="annotation reference"/>
    <w:rsid w:val="005671A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671AE"/>
  </w:style>
  <w:style w:type="character" w:customStyle="1" w:styleId="TextkomentraChar">
    <w:name w:val="Text komentára Char"/>
    <w:link w:val="Textkomentra"/>
    <w:rsid w:val="005671AE"/>
    <w:rPr>
      <w:rFonts w:eastAsia="Times New Roman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5671AE"/>
    <w:rPr>
      <w:b/>
      <w:bCs/>
    </w:rPr>
  </w:style>
  <w:style w:type="character" w:customStyle="1" w:styleId="PredmetkomentraChar">
    <w:name w:val="Predmet komentára Char"/>
    <w:link w:val="Predmetkomentra"/>
    <w:rsid w:val="005671AE"/>
    <w:rPr>
      <w:rFonts w:eastAsia="Times New Roman"/>
      <w:b/>
      <w:bCs/>
      <w:lang w:val="cs-CZ" w:eastAsia="cs-CZ"/>
    </w:rPr>
  </w:style>
  <w:style w:type="character" w:customStyle="1" w:styleId="PtaChar">
    <w:name w:val="Päta Char"/>
    <w:link w:val="Pta"/>
    <w:uiPriority w:val="99"/>
    <w:rsid w:val="00AD136C"/>
    <w:rPr>
      <w:rFonts w:eastAsia="Times New Roman"/>
      <w:color w:val="000000"/>
      <w:sz w:val="24"/>
      <w:lang w:val="cs-CZ" w:eastAsia="cs-CZ"/>
    </w:rPr>
  </w:style>
  <w:style w:type="paragraph" w:customStyle="1" w:styleId="Normlny0">
    <w:name w:val="Norm‡lny"/>
    <w:rsid w:val="008A59FA"/>
    <w:rPr>
      <w:rFonts w:eastAsia="Times New Roman"/>
      <w:lang w:eastAsia="en-US"/>
    </w:rPr>
  </w:style>
  <w:style w:type="character" w:customStyle="1" w:styleId="HlavikaChar">
    <w:name w:val="Hlavička Char"/>
    <w:link w:val="Hlavika"/>
    <w:rsid w:val="00764087"/>
    <w:rPr>
      <w:rFonts w:eastAsia="Times New Roman"/>
      <w:color w:val="000000"/>
      <w:sz w:val="24"/>
      <w:lang w:val="cs-CZ" w:eastAsia="cs-CZ"/>
    </w:rPr>
  </w:style>
  <w:style w:type="paragraph" w:styleId="Revzia">
    <w:name w:val="Revision"/>
    <w:hidden/>
    <w:uiPriority w:val="99"/>
    <w:semiHidden/>
    <w:rsid w:val="00E42C7D"/>
    <w:rPr>
      <w:rFonts w:eastAsia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2675</Words>
  <Characters>18527</Characters>
  <Application>Microsoft Office Word</Application>
  <DocSecurity>0</DocSecurity>
  <Lines>154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sanofi-aventis</Company>
  <LinksUpToDate>false</LinksUpToDate>
  <CharactersWithSpaces>21160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Kacvinská</dc:creator>
  <cp:keywords/>
  <cp:lastModifiedBy>Medvecká, Patrícia</cp:lastModifiedBy>
  <cp:revision>2</cp:revision>
  <cp:lastPrinted>2018-11-14T09:24:00Z</cp:lastPrinted>
  <dcterms:created xsi:type="dcterms:W3CDTF">2019-09-11T05:22:00Z</dcterms:created>
  <dcterms:modified xsi:type="dcterms:W3CDTF">2019-09-11T05:22:00Z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