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E8E18" w14:textId="77777777" w:rsidR="007844D2" w:rsidRPr="00A475AF" w:rsidRDefault="007844D2" w:rsidP="007844D2">
      <w:pPr>
        <w:jc w:val="both"/>
        <w:rPr>
          <w:sz w:val="22"/>
          <w:szCs w:val="22"/>
        </w:rPr>
      </w:pPr>
    </w:p>
    <w:p w14:paraId="747DEA49" w14:textId="77777777" w:rsidR="00C31925" w:rsidRPr="00A475AF" w:rsidRDefault="00C31925" w:rsidP="007844D2">
      <w:pPr>
        <w:jc w:val="both"/>
        <w:rPr>
          <w:sz w:val="22"/>
          <w:szCs w:val="22"/>
        </w:rPr>
      </w:pPr>
    </w:p>
    <w:p w14:paraId="1D91DBDF" w14:textId="77777777" w:rsidR="007844D2" w:rsidRPr="00A475AF" w:rsidRDefault="007844D2" w:rsidP="007844D2">
      <w:pPr>
        <w:pStyle w:val="Nadpis5"/>
        <w:keepNext w:val="0"/>
        <w:rPr>
          <w:caps/>
          <w:sz w:val="22"/>
          <w:szCs w:val="22"/>
        </w:rPr>
      </w:pPr>
      <w:r w:rsidRPr="00A475AF">
        <w:rPr>
          <w:caps/>
          <w:sz w:val="22"/>
          <w:szCs w:val="22"/>
        </w:rPr>
        <w:t>Súhrn charakteristických vlastností lieku</w:t>
      </w:r>
    </w:p>
    <w:p w14:paraId="7FACBC78" w14:textId="77777777" w:rsidR="007844D2" w:rsidRPr="00A475AF" w:rsidRDefault="007844D2" w:rsidP="007844D2">
      <w:pPr>
        <w:pStyle w:val="Nadpis5"/>
        <w:keepNext w:val="0"/>
        <w:rPr>
          <w:caps/>
          <w:sz w:val="22"/>
          <w:szCs w:val="22"/>
        </w:rPr>
      </w:pPr>
    </w:p>
    <w:p w14:paraId="20C74C38" w14:textId="77777777" w:rsidR="007844D2" w:rsidRPr="00A475AF" w:rsidRDefault="007844D2" w:rsidP="007844D2">
      <w:pPr>
        <w:jc w:val="center"/>
        <w:rPr>
          <w:b/>
          <w:bCs/>
          <w:sz w:val="22"/>
          <w:szCs w:val="22"/>
        </w:rPr>
      </w:pPr>
    </w:p>
    <w:p w14:paraId="18C3C74E" w14:textId="77777777" w:rsidR="007844D2" w:rsidRPr="00A475AF" w:rsidRDefault="007844D2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NÁZOV LIEKU</w:t>
      </w:r>
    </w:p>
    <w:p w14:paraId="29C1AF56" w14:textId="77777777" w:rsidR="007844D2" w:rsidRPr="00A475AF" w:rsidRDefault="007844D2" w:rsidP="00DB4E78">
      <w:pPr>
        <w:pStyle w:val="Nadpis9"/>
        <w:ind w:left="0"/>
        <w:rPr>
          <w:sz w:val="22"/>
          <w:szCs w:val="22"/>
        </w:rPr>
      </w:pPr>
    </w:p>
    <w:p w14:paraId="06705255" w14:textId="77777777" w:rsidR="007844D2" w:rsidRPr="00A475AF" w:rsidRDefault="00C31925" w:rsidP="00DB4E78">
      <w:pPr>
        <w:pStyle w:val="Nadpis9"/>
        <w:ind w:left="0"/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>IBALGIN RAPIDCAPS</w:t>
      </w:r>
      <w:r w:rsidR="007844D2" w:rsidRPr="00A475AF">
        <w:rPr>
          <w:bCs/>
          <w:sz w:val="22"/>
          <w:szCs w:val="22"/>
        </w:rPr>
        <w:t xml:space="preserve"> </w:t>
      </w:r>
      <w:r w:rsidR="006A380D" w:rsidRPr="00A475AF">
        <w:rPr>
          <w:bCs/>
          <w:sz w:val="22"/>
          <w:szCs w:val="22"/>
        </w:rPr>
        <w:t>2</w:t>
      </w:r>
      <w:r w:rsidR="007844D2" w:rsidRPr="00A475AF">
        <w:rPr>
          <w:bCs/>
          <w:sz w:val="22"/>
          <w:szCs w:val="22"/>
        </w:rPr>
        <w:t>00 mg</w:t>
      </w:r>
    </w:p>
    <w:p w14:paraId="1E13436C" w14:textId="77777777" w:rsidR="006A380D" w:rsidRPr="00A475AF" w:rsidRDefault="006A380D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>IBALGIN RAPIDCAPS 400 mg</w:t>
      </w:r>
    </w:p>
    <w:p w14:paraId="640E5715" w14:textId="77777777" w:rsidR="007D0860" w:rsidRPr="00A475AF" w:rsidRDefault="007D0860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mäkké kapsuly</w:t>
      </w:r>
    </w:p>
    <w:p w14:paraId="152F9A19" w14:textId="77777777" w:rsidR="007844D2" w:rsidRPr="00A475AF" w:rsidRDefault="007844D2" w:rsidP="00DB4E78">
      <w:pPr>
        <w:rPr>
          <w:b/>
          <w:bCs/>
          <w:sz w:val="22"/>
          <w:szCs w:val="22"/>
        </w:rPr>
      </w:pPr>
    </w:p>
    <w:p w14:paraId="5E375FE9" w14:textId="77777777" w:rsidR="007844D2" w:rsidRPr="00A475AF" w:rsidRDefault="007844D2" w:rsidP="00DB4E78">
      <w:pPr>
        <w:rPr>
          <w:b/>
          <w:bCs/>
          <w:sz w:val="22"/>
          <w:szCs w:val="22"/>
        </w:rPr>
      </w:pPr>
    </w:p>
    <w:p w14:paraId="0D675BA5" w14:textId="77777777" w:rsidR="007844D2" w:rsidRPr="00A475AF" w:rsidRDefault="00C31925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 xml:space="preserve">KVALITATÍVNE </w:t>
      </w:r>
      <w:r w:rsidR="007844D2" w:rsidRPr="00A475AF">
        <w:rPr>
          <w:b/>
          <w:bCs/>
          <w:sz w:val="22"/>
          <w:szCs w:val="22"/>
        </w:rPr>
        <w:t>A KVANTITATÍVNE ZLOŽENIE</w:t>
      </w:r>
    </w:p>
    <w:p w14:paraId="51336EEE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3D337DD2" w14:textId="77777777" w:rsidR="007844D2" w:rsidRPr="00A475AF" w:rsidRDefault="004F68AA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IBALGIN RAPIDCAPS 200 mg: </w:t>
      </w:r>
      <w:r w:rsidR="006A380D" w:rsidRPr="00A475AF">
        <w:rPr>
          <w:sz w:val="22"/>
          <w:szCs w:val="22"/>
        </w:rPr>
        <w:t>Každá mäkká kapsula obsahuje 2</w:t>
      </w:r>
      <w:r w:rsidR="004A5B2B" w:rsidRPr="00A475AF">
        <w:rPr>
          <w:sz w:val="22"/>
          <w:szCs w:val="22"/>
        </w:rPr>
        <w:t>00 mg</w:t>
      </w:r>
      <w:r w:rsidR="007844D2" w:rsidRPr="00A475AF">
        <w:rPr>
          <w:sz w:val="22"/>
          <w:szCs w:val="22"/>
        </w:rPr>
        <w:t xml:space="preserve"> </w:t>
      </w:r>
      <w:proofErr w:type="spellStart"/>
      <w:r w:rsidR="007844D2" w:rsidRPr="00A475AF">
        <w:rPr>
          <w:sz w:val="22"/>
          <w:szCs w:val="22"/>
        </w:rPr>
        <w:t>ibuprof</w:t>
      </w:r>
      <w:r w:rsidR="005F4F0C" w:rsidRPr="00A475AF">
        <w:rPr>
          <w:sz w:val="22"/>
          <w:szCs w:val="22"/>
        </w:rPr>
        <w:t>é</w:t>
      </w:r>
      <w:r w:rsidR="007844D2" w:rsidRPr="00A475AF">
        <w:rPr>
          <w:sz w:val="22"/>
          <w:szCs w:val="22"/>
        </w:rPr>
        <w:t>n</w:t>
      </w:r>
      <w:r w:rsidR="004A5B2B" w:rsidRPr="00A475AF">
        <w:rPr>
          <w:sz w:val="22"/>
          <w:szCs w:val="22"/>
        </w:rPr>
        <w:t>u</w:t>
      </w:r>
      <w:proofErr w:type="spellEnd"/>
      <w:r w:rsidR="007844D2" w:rsidRPr="00A475AF">
        <w:rPr>
          <w:sz w:val="22"/>
          <w:szCs w:val="22"/>
        </w:rPr>
        <w:t>.</w:t>
      </w:r>
    </w:p>
    <w:p w14:paraId="7B6EC790" w14:textId="77777777" w:rsidR="006A380D" w:rsidRPr="00A475AF" w:rsidRDefault="004F68AA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IBALGIN RAPIDCAPS 400 mg: </w:t>
      </w:r>
      <w:r w:rsidR="006A380D" w:rsidRPr="00A475AF">
        <w:rPr>
          <w:sz w:val="22"/>
          <w:szCs w:val="22"/>
        </w:rPr>
        <w:t xml:space="preserve">Každá mäkká kapsula obsahuje 400 mg </w:t>
      </w:r>
      <w:proofErr w:type="spellStart"/>
      <w:r w:rsidR="006A380D" w:rsidRPr="00A475AF">
        <w:rPr>
          <w:sz w:val="22"/>
          <w:szCs w:val="22"/>
        </w:rPr>
        <w:t>ibuprof</w:t>
      </w:r>
      <w:r w:rsidR="005F4F0C" w:rsidRPr="00A475AF">
        <w:rPr>
          <w:sz w:val="22"/>
          <w:szCs w:val="22"/>
        </w:rPr>
        <w:t>é</w:t>
      </w:r>
      <w:r w:rsidR="006A380D" w:rsidRPr="00A475AF">
        <w:rPr>
          <w:sz w:val="22"/>
          <w:szCs w:val="22"/>
        </w:rPr>
        <w:t>nu</w:t>
      </w:r>
      <w:proofErr w:type="spellEnd"/>
      <w:r w:rsidR="006A380D" w:rsidRPr="00A475AF">
        <w:rPr>
          <w:sz w:val="22"/>
          <w:szCs w:val="22"/>
        </w:rPr>
        <w:t>.</w:t>
      </w:r>
    </w:p>
    <w:p w14:paraId="63EADD31" w14:textId="77777777" w:rsidR="007844D2" w:rsidRPr="00A475AF" w:rsidRDefault="007844D2" w:rsidP="00DB4E78">
      <w:pPr>
        <w:rPr>
          <w:bCs/>
          <w:sz w:val="22"/>
          <w:szCs w:val="22"/>
        </w:rPr>
      </w:pPr>
    </w:p>
    <w:p w14:paraId="443480A2" w14:textId="77777777" w:rsidR="004A5B2B" w:rsidRDefault="004A5B2B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  <w:u w:val="single"/>
        </w:rPr>
        <w:t>Pomocná látka so známym účinkom:</w:t>
      </w:r>
      <w:r w:rsidRPr="00A475AF">
        <w:rPr>
          <w:bCs/>
          <w:sz w:val="22"/>
          <w:szCs w:val="22"/>
        </w:rPr>
        <w:t xml:space="preserve"> </w:t>
      </w:r>
      <w:proofErr w:type="spellStart"/>
      <w:r w:rsidRPr="00A475AF">
        <w:rPr>
          <w:bCs/>
          <w:sz w:val="22"/>
          <w:szCs w:val="22"/>
        </w:rPr>
        <w:t>sorbitol</w:t>
      </w:r>
      <w:proofErr w:type="spellEnd"/>
      <w:r w:rsidRPr="00A475AF">
        <w:rPr>
          <w:bCs/>
          <w:sz w:val="22"/>
          <w:szCs w:val="22"/>
        </w:rPr>
        <w:t xml:space="preserve"> (E420).</w:t>
      </w:r>
    </w:p>
    <w:p w14:paraId="5E6108D5" w14:textId="3C051BCB" w:rsidR="00D61CB5" w:rsidRDefault="00D61CB5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IBALGIN RAPIDCAPS 200 mg</w:t>
      </w:r>
      <w:r>
        <w:rPr>
          <w:sz w:val="22"/>
          <w:szCs w:val="22"/>
        </w:rPr>
        <w:t xml:space="preserve"> obsahuje 58,1</w:t>
      </w:r>
      <w:r w:rsidR="005915F4">
        <w:rPr>
          <w:sz w:val="22"/>
          <w:szCs w:val="22"/>
        </w:rPr>
        <w:t> </w:t>
      </w:r>
      <w:r>
        <w:rPr>
          <w:sz w:val="22"/>
          <w:szCs w:val="22"/>
        </w:rPr>
        <w:t xml:space="preserve">mg </w:t>
      </w:r>
      <w:proofErr w:type="spellStart"/>
      <w:r>
        <w:rPr>
          <w:sz w:val="22"/>
          <w:szCs w:val="22"/>
        </w:rPr>
        <w:t>sorbitolu</w:t>
      </w:r>
      <w:proofErr w:type="spellEnd"/>
      <w:r>
        <w:rPr>
          <w:sz w:val="22"/>
          <w:szCs w:val="22"/>
        </w:rPr>
        <w:t xml:space="preserve"> v</w:t>
      </w:r>
      <w:r w:rsidR="00022781">
        <w:rPr>
          <w:sz w:val="22"/>
          <w:szCs w:val="22"/>
        </w:rPr>
        <w:t> 1 mäkkej</w:t>
      </w:r>
      <w:r>
        <w:rPr>
          <w:sz w:val="22"/>
          <w:szCs w:val="22"/>
        </w:rPr>
        <w:t xml:space="preserve"> kapsule.</w:t>
      </w:r>
    </w:p>
    <w:p w14:paraId="6253F5DE" w14:textId="6F0D9B8B" w:rsidR="00D61CB5" w:rsidRPr="00A475AF" w:rsidRDefault="00D61CB5" w:rsidP="00DB4E78">
      <w:pPr>
        <w:rPr>
          <w:bCs/>
          <w:sz w:val="22"/>
          <w:szCs w:val="22"/>
        </w:rPr>
      </w:pPr>
      <w:r w:rsidRPr="00A475AF">
        <w:rPr>
          <w:sz w:val="22"/>
          <w:szCs w:val="22"/>
        </w:rPr>
        <w:t>IBALGIN RAPIDCAPS 400 mg</w:t>
      </w:r>
      <w:r>
        <w:rPr>
          <w:sz w:val="22"/>
          <w:szCs w:val="22"/>
        </w:rPr>
        <w:t xml:space="preserve"> obsahuje 100, 7</w:t>
      </w:r>
      <w:r w:rsidR="005915F4">
        <w:rPr>
          <w:sz w:val="22"/>
          <w:szCs w:val="22"/>
        </w:rPr>
        <w:t> </w:t>
      </w:r>
      <w:r>
        <w:rPr>
          <w:sz w:val="22"/>
          <w:szCs w:val="22"/>
        </w:rPr>
        <w:t xml:space="preserve">mg </w:t>
      </w:r>
      <w:proofErr w:type="spellStart"/>
      <w:r>
        <w:rPr>
          <w:sz w:val="22"/>
          <w:szCs w:val="22"/>
        </w:rPr>
        <w:t>sorbitolu</w:t>
      </w:r>
      <w:proofErr w:type="spellEnd"/>
      <w:r>
        <w:rPr>
          <w:sz w:val="22"/>
          <w:szCs w:val="22"/>
        </w:rPr>
        <w:t xml:space="preserve"> v</w:t>
      </w:r>
      <w:r w:rsidR="00022781">
        <w:rPr>
          <w:sz w:val="22"/>
          <w:szCs w:val="22"/>
        </w:rPr>
        <w:t> 1 mäkkej</w:t>
      </w:r>
      <w:r>
        <w:rPr>
          <w:sz w:val="22"/>
          <w:szCs w:val="22"/>
        </w:rPr>
        <w:t xml:space="preserve"> kapsule.</w:t>
      </w:r>
    </w:p>
    <w:p w14:paraId="2D37ACE8" w14:textId="77777777" w:rsidR="007844D2" w:rsidRPr="00A475AF" w:rsidRDefault="007844D2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>Úplný zoznam pomocných látok, pozri časť 6.1</w:t>
      </w:r>
      <w:r w:rsidR="00C0248A" w:rsidRPr="00A475AF">
        <w:rPr>
          <w:bCs/>
          <w:sz w:val="22"/>
          <w:szCs w:val="22"/>
        </w:rPr>
        <w:t>.</w:t>
      </w:r>
    </w:p>
    <w:p w14:paraId="4BF102E4" w14:textId="77777777" w:rsidR="007844D2" w:rsidRPr="00A475AF" w:rsidRDefault="007844D2" w:rsidP="00DB4E78">
      <w:pPr>
        <w:rPr>
          <w:bCs/>
          <w:sz w:val="22"/>
          <w:szCs w:val="22"/>
        </w:rPr>
      </w:pPr>
    </w:p>
    <w:p w14:paraId="7808D105" w14:textId="77777777" w:rsidR="007844D2" w:rsidRPr="00A475AF" w:rsidRDefault="007844D2" w:rsidP="00DB4E78">
      <w:pPr>
        <w:rPr>
          <w:bCs/>
          <w:sz w:val="22"/>
          <w:szCs w:val="22"/>
        </w:rPr>
      </w:pPr>
    </w:p>
    <w:p w14:paraId="0547B81D" w14:textId="77777777" w:rsidR="007844D2" w:rsidRPr="00A475AF" w:rsidRDefault="004A5B2B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 xml:space="preserve">LIEKOVÁ </w:t>
      </w:r>
      <w:r w:rsidR="007844D2" w:rsidRPr="00A475AF">
        <w:rPr>
          <w:b/>
          <w:bCs/>
          <w:sz w:val="22"/>
          <w:szCs w:val="22"/>
        </w:rPr>
        <w:t>FORMA</w:t>
      </w:r>
    </w:p>
    <w:p w14:paraId="2B6ED76D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564B2E7D" w14:textId="77777777" w:rsidR="007844D2" w:rsidRPr="00A475AF" w:rsidRDefault="007844D2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Mäkká kapsula</w:t>
      </w:r>
      <w:r w:rsidR="004F09B0" w:rsidRPr="00A475AF">
        <w:rPr>
          <w:sz w:val="22"/>
          <w:szCs w:val="22"/>
        </w:rPr>
        <w:t>.</w:t>
      </w:r>
    </w:p>
    <w:p w14:paraId="1D434C9A" w14:textId="77777777" w:rsidR="00162AC9" w:rsidRPr="00A475AF" w:rsidRDefault="00162AC9" w:rsidP="00DB4E78">
      <w:pPr>
        <w:rPr>
          <w:sz w:val="22"/>
          <w:szCs w:val="22"/>
        </w:rPr>
      </w:pPr>
    </w:p>
    <w:p w14:paraId="39DE6598" w14:textId="77777777" w:rsidR="006A380D" w:rsidRPr="00A475AF" w:rsidRDefault="006A380D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200 mg: </w:t>
      </w:r>
      <w:r w:rsidRPr="00A475AF">
        <w:rPr>
          <w:sz w:val="22"/>
          <w:szCs w:val="22"/>
        </w:rPr>
        <w:t xml:space="preserve">oválne priehľadné </w:t>
      </w:r>
      <w:r w:rsidR="00EA5CDD" w:rsidRPr="00A475AF">
        <w:rPr>
          <w:sz w:val="22"/>
          <w:szCs w:val="22"/>
        </w:rPr>
        <w:t xml:space="preserve">ružové </w:t>
      </w:r>
      <w:r w:rsidRPr="00A475AF">
        <w:rPr>
          <w:sz w:val="22"/>
          <w:szCs w:val="22"/>
        </w:rPr>
        <w:t>(karmínov</w:t>
      </w:r>
      <w:r w:rsidR="00B5039E" w:rsidRPr="00A475AF">
        <w:rPr>
          <w:sz w:val="22"/>
          <w:szCs w:val="22"/>
        </w:rPr>
        <w:t>á</w:t>
      </w:r>
      <w:r w:rsidRPr="00A475AF">
        <w:rPr>
          <w:sz w:val="22"/>
          <w:szCs w:val="22"/>
        </w:rPr>
        <w:t xml:space="preserve"> červe</w:t>
      </w:r>
      <w:r w:rsidR="00B5039E" w:rsidRPr="00A475AF">
        <w:rPr>
          <w:sz w:val="22"/>
          <w:szCs w:val="22"/>
        </w:rPr>
        <w:t>ň</w:t>
      </w:r>
      <w:r w:rsidRPr="00A475AF">
        <w:rPr>
          <w:sz w:val="22"/>
          <w:szCs w:val="22"/>
        </w:rPr>
        <w:t xml:space="preserve">) mäkké želatínové kapsuly (približne 13 x </w:t>
      </w:r>
      <w:smartTag w:uri="urn:schemas-microsoft-com:office:smarttags" w:element="metricconverter">
        <w:smartTagPr>
          <w:attr w:name="ProductID" w:val="8 mm"/>
        </w:smartTagPr>
        <w:r w:rsidRPr="00A475AF">
          <w:rPr>
            <w:sz w:val="22"/>
            <w:szCs w:val="22"/>
          </w:rPr>
          <w:t>8 mm</w:t>
        </w:r>
      </w:smartTag>
      <w:r w:rsidRPr="00A475AF">
        <w:rPr>
          <w:sz w:val="22"/>
          <w:szCs w:val="22"/>
        </w:rPr>
        <w:t>).</w:t>
      </w:r>
    </w:p>
    <w:p w14:paraId="23EC5428" w14:textId="77777777" w:rsidR="007844D2" w:rsidRPr="00A475AF" w:rsidRDefault="006A380D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>IBALGIN RAPIDCAPS 400 mg:</w:t>
      </w:r>
      <w:r w:rsidRPr="00A475AF">
        <w:rPr>
          <w:sz w:val="22"/>
          <w:szCs w:val="22"/>
        </w:rPr>
        <w:t xml:space="preserve"> o</w:t>
      </w:r>
      <w:r w:rsidR="00162AC9" w:rsidRPr="00A475AF">
        <w:rPr>
          <w:sz w:val="22"/>
          <w:szCs w:val="22"/>
        </w:rPr>
        <w:t xml:space="preserve">válne priehľadné </w:t>
      </w:r>
      <w:r w:rsidR="00EA5CDD" w:rsidRPr="00A475AF">
        <w:rPr>
          <w:sz w:val="22"/>
          <w:szCs w:val="22"/>
        </w:rPr>
        <w:t>ružovo</w:t>
      </w:r>
      <w:r w:rsidR="00162AC9" w:rsidRPr="00A475AF">
        <w:rPr>
          <w:sz w:val="22"/>
          <w:szCs w:val="22"/>
        </w:rPr>
        <w:t>/č</w:t>
      </w:r>
      <w:r w:rsidR="007844D2" w:rsidRPr="00A475AF">
        <w:rPr>
          <w:sz w:val="22"/>
          <w:szCs w:val="22"/>
        </w:rPr>
        <w:t xml:space="preserve">ervené </w:t>
      </w:r>
      <w:r w:rsidR="00162AC9" w:rsidRPr="00A475AF">
        <w:rPr>
          <w:sz w:val="22"/>
          <w:szCs w:val="22"/>
        </w:rPr>
        <w:t>(karmínov</w:t>
      </w:r>
      <w:r w:rsidR="00B5039E" w:rsidRPr="00A475AF">
        <w:rPr>
          <w:sz w:val="22"/>
          <w:szCs w:val="22"/>
        </w:rPr>
        <w:t>á</w:t>
      </w:r>
      <w:r w:rsidR="00162AC9" w:rsidRPr="00A475AF">
        <w:rPr>
          <w:sz w:val="22"/>
          <w:szCs w:val="22"/>
        </w:rPr>
        <w:t xml:space="preserve"> červe</w:t>
      </w:r>
      <w:r w:rsidR="00B5039E" w:rsidRPr="00A475AF">
        <w:rPr>
          <w:sz w:val="22"/>
          <w:szCs w:val="22"/>
        </w:rPr>
        <w:t>ň</w:t>
      </w:r>
      <w:r w:rsidR="00162AC9" w:rsidRPr="00A475AF">
        <w:rPr>
          <w:sz w:val="22"/>
          <w:szCs w:val="22"/>
        </w:rPr>
        <w:t xml:space="preserve">) </w:t>
      </w:r>
      <w:r w:rsidR="007844D2" w:rsidRPr="00A475AF">
        <w:rPr>
          <w:sz w:val="22"/>
          <w:szCs w:val="22"/>
        </w:rPr>
        <w:t xml:space="preserve">mäkké želatínové kapsuly </w:t>
      </w:r>
      <w:r w:rsidR="00162AC9" w:rsidRPr="00A475AF">
        <w:rPr>
          <w:sz w:val="22"/>
          <w:szCs w:val="22"/>
        </w:rPr>
        <w:t xml:space="preserve">(približne 15 x </w:t>
      </w:r>
      <w:smartTag w:uri="urn:schemas-microsoft-com:office:smarttags" w:element="metricconverter">
        <w:smartTagPr>
          <w:attr w:name="ProductID" w:val="10 mm"/>
        </w:smartTagPr>
        <w:r w:rsidR="00162AC9" w:rsidRPr="00A475AF">
          <w:rPr>
            <w:sz w:val="22"/>
            <w:szCs w:val="22"/>
          </w:rPr>
          <w:t>10 mm</w:t>
        </w:r>
      </w:smartTag>
      <w:r w:rsidR="00162AC9" w:rsidRPr="00A475AF">
        <w:rPr>
          <w:sz w:val="22"/>
          <w:szCs w:val="22"/>
        </w:rPr>
        <w:t>)</w:t>
      </w:r>
      <w:r w:rsidR="007844D2" w:rsidRPr="00A475AF">
        <w:rPr>
          <w:sz w:val="22"/>
          <w:szCs w:val="22"/>
        </w:rPr>
        <w:t>.</w:t>
      </w:r>
    </w:p>
    <w:p w14:paraId="3C655780" w14:textId="77777777" w:rsidR="007844D2" w:rsidRPr="00A475AF" w:rsidRDefault="007844D2" w:rsidP="00DB4E78">
      <w:pPr>
        <w:rPr>
          <w:sz w:val="22"/>
          <w:szCs w:val="22"/>
        </w:rPr>
      </w:pPr>
    </w:p>
    <w:p w14:paraId="16DAA298" w14:textId="77777777" w:rsidR="007844D2" w:rsidRPr="00A475AF" w:rsidRDefault="007844D2" w:rsidP="00DB4E78">
      <w:pPr>
        <w:rPr>
          <w:sz w:val="22"/>
          <w:szCs w:val="22"/>
        </w:rPr>
      </w:pPr>
    </w:p>
    <w:p w14:paraId="5C9C5392" w14:textId="77777777" w:rsidR="007844D2" w:rsidRPr="00A475AF" w:rsidRDefault="007844D2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KLINICKÉ ÚDAJE</w:t>
      </w:r>
    </w:p>
    <w:p w14:paraId="743EE446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2BC84246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Terapeutické indikácie</w:t>
      </w:r>
    </w:p>
    <w:p w14:paraId="3CA34030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5DE23339" w14:textId="7FFF68A7" w:rsidR="007844D2" w:rsidRPr="00A475AF" w:rsidRDefault="00A86FC9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je indikovaný </w:t>
      </w:r>
      <w:r w:rsidR="00521810" w:rsidRPr="00A475AF">
        <w:rPr>
          <w:bCs/>
          <w:sz w:val="22"/>
          <w:szCs w:val="22"/>
        </w:rPr>
        <w:t>na sym</w:t>
      </w:r>
      <w:r w:rsidR="009D70F8" w:rsidRPr="00A475AF">
        <w:rPr>
          <w:bCs/>
          <w:sz w:val="22"/>
          <w:szCs w:val="22"/>
        </w:rPr>
        <w:t>p</w:t>
      </w:r>
      <w:r w:rsidR="00521810" w:rsidRPr="00A475AF">
        <w:rPr>
          <w:bCs/>
          <w:sz w:val="22"/>
          <w:szCs w:val="22"/>
        </w:rPr>
        <w:t>tomatickú úľavu od bolesti hlavy,</w:t>
      </w:r>
      <w:r w:rsidR="007844D2" w:rsidRPr="00A475AF">
        <w:rPr>
          <w:sz w:val="22"/>
          <w:szCs w:val="22"/>
        </w:rPr>
        <w:t xml:space="preserve"> migrény, bolesti </w:t>
      </w:r>
      <w:r w:rsidR="00521810" w:rsidRPr="00A475AF">
        <w:rPr>
          <w:sz w:val="22"/>
          <w:szCs w:val="22"/>
        </w:rPr>
        <w:t>zubov, bolesti chrbta</w:t>
      </w:r>
      <w:r w:rsidR="007844D2" w:rsidRPr="00A475AF">
        <w:rPr>
          <w:sz w:val="22"/>
          <w:szCs w:val="22"/>
        </w:rPr>
        <w:t xml:space="preserve">, bolesti pri menštruácii, </w:t>
      </w:r>
      <w:r w:rsidR="00521810" w:rsidRPr="00A475AF">
        <w:rPr>
          <w:sz w:val="22"/>
          <w:szCs w:val="22"/>
        </w:rPr>
        <w:t xml:space="preserve">bolesti svalov, </w:t>
      </w:r>
      <w:r w:rsidR="007844D2" w:rsidRPr="00A475AF">
        <w:rPr>
          <w:sz w:val="22"/>
          <w:szCs w:val="22"/>
        </w:rPr>
        <w:t>pri neuralgii</w:t>
      </w:r>
      <w:r w:rsidR="00521810" w:rsidRPr="00A475AF">
        <w:rPr>
          <w:sz w:val="22"/>
          <w:szCs w:val="22"/>
        </w:rPr>
        <w:t>,</w:t>
      </w:r>
      <w:r w:rsidR="007844D2" w:rsidRPr="00A475AF">
        <w:rPr>
          <w:sz w:val="22"/>
          <w:szCs w:val="22"/>
        </w:rPr>
        <w:t xml:space="preserve"> </w:t>
      </w:r>
      <w:r w:rsidR="000E702F">
        <w:rPr>
          <w:sz w:val="22"/>
          <w:szCs w:val="22"/>
        </w:rPr>
        <w:t xml:space="preserve">od </w:t>
      </w:r>
      <w:r w:rsidR="004130FC" w:rsidRPr="00A475AF">
        <w:rPr>
          <w:sz w:val="22"/>
          <w:szCs w:val="22"/>
        </w:rPr>
        <w:t xml:space="preserve">horúčky </w:t>
      </w:r>
      <w:r w:rsidR="00521810" w:rsidRPr="00A475AF">
        <w:rPr>
          <w:sz w:val="22"/>
          <w:szCs w:val="22"/>
        </w:rPr>
        <w:t>pri prechladnutí a chrípke</w:t>
      </w:r>
      <w:r w:rsidR="007844D2" w:rsidRPr="00A475AF">
        <w:rPr>
          <w:sz w:val="22"/>
          <w:szCs w:val="22"/>
        </w:rPr>
        <w:t>.</w:t>
      </w:r>
    </w:p>
    <w:p w14:paraId="49D3FDFA" w14:textId="77777777" w:rsidR="007844D2" w:rsidRPr="00A475AF" w:rsidRDefault="007844D2" w:rsidP="00DB4E78">
      <w:pPr>
        <w:rPr>
          <w:sz w:val="22"/>
          <w:szCs w:val="22"/>
        </w:rPr>
      </w:pPr>
    </w:p>
    <w:p w14:paraId="64C34BB7" w14:textId="77777777" w:rsidR="007844D2" w:rsidRPr="00A475AF" w:rsidRDefault="00A86FC9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400 mg je odporúčaný pre dospelých a dospievajúcich </w:t>
      </w:r>
      <w:r w:rsidR="002306EA" w:rsidRPr="00A475AF">
        <w:rPr>
          <w:bCs/>
          <w:sz w:val="22"/>
          <w:szCs w:val="22"/>
        </w:rPr>
        <w:t>na</w:t>
      </w:r>
      <w:r w:rsidRPr="00A475AF">
        <w:rPr>
          <w:bCs/>
          <w:sz w:val="22"/>
          <w:szCs w:val="22"/>
        </w:rPr>
        <w:t>d 12 rokov (</w:t>
      </w:r>
      <w:r w:rsidR="002306EA" w:rsidRPr="00A475AF">
        <w:rPr>
          <w:bCs/>
          <w:sz w:val="22"/>
          <w:szCs w:val="22"/>
        </w:rPr>
        <w:t>o</w:t>
      </w:r>
      <w:r w:rsidR="00B7705F" w:rsidRPr="00A475AF">
        <w:rPr>
          <w:bCs/>
          <w:sz w:val="22"/>
          <w:szCs w:val="22"/>
        </w:rPr>
        <w:t>d</w:t>
      </w:r>
      <w:r w:rsidR="00DB4E78" w:rsidRPr="00A475AF">
        <w:rPr>
          <w:bCs/>
          <w:sz w:val="22"/>
          <w:szCs w:val="22"/>
        </w:rPr>
        <w:t> </w:t>
      </w:r>
      <w:r w:rsidRPr="00A475AF">
        <w:rPr>
          <w:bCs/>
          <w:sz w:val="22"/>
          <w:szCs w:val="22"/>
        </w:rPr>
        <w:t>40</w:t>
      </w:r>
      <w:r w:rsidR="00DB4E78" w:rsidRPr="00A475AF">
        <w:rPr>
          <w:bCs/>
          <w:sz w:val="22"/>
          <w:szCs w:val="22"/>
        </w:rPr>
        <w:t> </w:t>
      </w:r>
      <w:r w:rsidRPr="00A475AF">
        <w:rPr>
          <w:bCs/>
          <w:sz w:val="22"/>
          <w:szCs w:val="22"/>
        </w:rPr>
        <w:t>kg telesnej hmotnosti).</w:t>
      </w:r>
    </w:p>
    <w:p w14:paraId="333C9AE6" w14:textId="045ECC54" w:rsidR="006A380D" w:rsidRPr="00A475AF" w:rsidRDefault="006A380D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Vzhľadom na množstvo liečiva v jednej kapsule, </w:t>
      </w:r>
      <w:r w:rsidRPr="00A475AF">
        <w:rPr>
          <w:bCs/>
          <w:sz w:val="22"/>
          <w:szCs w:val="22"/>
        </w:rPr>
        <w:t>IBALGIN RAPIDCAPS 200 mg je odporúčaný pre dospelých a</w:t>
      </w:r>
      <w:r w:rsidR="002306EA" w:rsidRPr="00A475AF">
        <w:rPr>
          <w:bCs/>
          <w:sz w:val="22"/>
          <w:szCs w:val="22"/>
        </w:rPr>
        <w:t> deti na</w:t>
      </w:r>
      <w:r w:rsidR="00840F60" w:rsidRPr="00A475AF">
        <w:rPr>
          <w:bCs/>
          <w:sz w:val="22"/>
          <w:szCs w:val="22"/>
        </w:rPr>
        <w:t xml:space="preserve">d 6 rokov (od </w:t>
      </w:r>
      <w:r w:rsidR="00D61CB5" w:rsidRPr="00A475AF">
        <w:rPr>
          <w:sz w:val="22"/>
          <w:szCs w:val="22"/>
        </w:rPr>
        <w:t>20</w:t>
      </w:r>
      <w:r w:rsidR="00D61CB5">
        <w:rPr>
          <w:sz w:val="22"/>
          <w:szCs w:val="22"/>
        </w:rPr>
        <w:t> </w:t>
      </w:r>
      <w:r w:rsidR="00840F60" w:rsidRPr="00A475AF">
        <w:rPr>
          <w:sz w:val="22"/>
          <w:szCs w:val="22"/>
        </w:rPr>
        <w:t>kg telesnej hmotnosti).</w:t>
      </w:r>
    </w:p>
    <w:p w14:paraId="370F4737" w14:textId="77777777" w:rsidR="007844D2" w:rsidRPr="00A475AF" w:rsidRDefault="007844D2" w:rsidP="00DB4E78">
      <w:pPr>
        <w:rPr>
          <w:sz w:val="22"/>
          <w:szCs w:val="22"/>
        </w:rPr>
      </w:pPr>
    </w:p>
    <w:p w14:paraId="602BE4C4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Dávkovanie a spôsob podávania</w:t>
      </w:r>
    </w:p>
    <w:p w14:paraId="0EF4209A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46936EEA" w14:textId="77777777" w:rsidR="007844D2" w:rsidRPr="00A475AF" w:rsidRDefault="005B6EF7" w:rsidP="00DB4E78">
      <w:pPr>
        <w:keepNext/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>Dávkovanie</w:t>
      </w:r>
    </w:p>
    <w:p w14:paraId="2112DEFA" w14:textId="77777777" w:rsidR="00DB4E78" w:rsidRPr="00A475AF" w:rsidRDefault="00DB4E78" w:rsidP="00DB4E78">
      <w:pPr>
        <w:keepNext/>
        <w:rPr>
          <w:sz w:val="22"/>
          <w:szCs w:val="22"/>
          <w:u w:val="single"/>
        </w:rPr>
      </w:pPr>
    </w:p>
    <w:p w14:paraId="6C00D9BC" w14:textId="77777777" w:rsidR="005B6EF7" w:rsidRPr="00A475AF" w:rsidRDefault="00DA2A46" w:rsidP="00DB4E78">
      <w:pPr>
        <w:keepNext/>
        <w:rPr>
          <w:sz w:val="22"/>
          <w:szCs w:val="22"/>
        </w:rPr>
      </w:pPr>
      <w:r w:rsidRPr="00A475AF">
        <w:rPr>
          <w:sz w:val="22"/>
          <w:szCs w:val="22"/>
        </w:rPr>
        <w:t xml:space="preserve">Len </w:t>
      </w:r>
      <w:r w:rsidR="00B7705F" w:rsidRPr="00A475AF">
        <w:rPr>
          <w:sz w:val="22"/>
          <w:szCs w:val="22"/>
        </w:rPr>
        <w:t>na</w:t>
      </w:r>
      <w:r w:rsidRPr="00A475AF">
        <w:rPr>
          <w:sz w:val="22"/>
          <w:szCs w:val="22"/>
        </w:rPr>
        <w:t xml:space="preserve"> perorálne po</w:t>
      </w:r>
      <w:r w:rsidR="00B7705F" w:rsidRPr="00A475AF">
        <w:rPr>
          <w:sz w:val="22"/>
          <w:szCs w:val="22"/>
        </w:rPr>
        <w:t>užitie</w:t>
      </w:r>
      <w:r w:rsidRPr="00A475AF">
        <w:rPr>
          <w:sz w:val="22"/>
          <w:szCs w:val="22"/>
        </w:rPr>
        <w:t xml:space="preserve"> a krátkodobé užívanie.</w:t>
      </w:r>
    </w:p>
    <w:p w14:paraId="77ADF4FC" w14:textId="77777777" w:rsidR="00DA2A46" w:rsidRPr="00A475AF" w:rsidRDefault="00DA2A46" w:rsidP="00DB4E78">
      <w:pPr>
        <w:keepNext/>
        <w:rPr>
          <w:sz w:val="22"/>
          <w:szCs w:val="22"/>
        </w:rPr>
      </w:pPr>
    </w:p>
    <w:p w14:paraId="679C52C4" w14:textId="43D15728" w:rsidR="00B7705F" w:rsidRPr="00A475AF" w:rsidRDefault="00B7705F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 xml:space="preserve">Dospelí a dospievajúci </w:t>
      </w:r>
      <w:r w:rsidR="002306EA" w:rsidRPr="00A475AF">
        <w:rPr>
          <w:sz w:val="22"/>
          <w:szCs w:val="22"/>
          <w:u w:val="single"/>
        </w:rPr>
        <w:t>na</w:t>
      </w:r>
      <w:r w:rsidRPr="00A475AF">
        <w:rPr>
          <w:sz w:val="22"/>
          <w:szCs w:val="22"/>
          <w:u w:val="single"/>
        </w:rPr>
        <w:t>d 12 rokov (</w:t>
      </w:r>
      <w:r w:rsidR="002306EA" w:rsidRPr="00A475AF">
        <w:rPr>
          <w:sz w:val="22"/>
          <w:szCs w:val="22"/>
          <w:u w:val="single"/>
        </w:rPr>
        <w:t>o</w:t>
      </w:r>
      <w:r w:rsidRPr="00A475AF">
        <w:rPr>
          <w:sz w:val="22"/>
          <w:szCs w:val="22"/>
          <w:u w:val="single"/>
        </w:rPr>
        <w:t xml:space="preserve">d </w:t>
      </w:r>
      <w:r w:rsidR="00D61CB5" w:rsidRPr="00A475AF">
        <w:rPr>
          <w:sz w:val="22"/>
          <w:szCs w:val="22"/>
          <w:u w:val="single"/>
        </w:rPr>
        <w:t>40</w:t>
      </w:r>
      <w:r w:rsidR="00D61CB5">
        <w:rPr>
          <w:sz w:val="22"/>
          <w:szCs w:val="22"/>
          <w:u w:val="single"/>
        </w:rPr>
        <w:t> </w:t>
      </w:r>
      <w:r w:rsidRPr="00A475AF">
        <w:rPr>
          <w:sz w:val="22"/>
          <w:szCs w:val="22"/>
          <w:u w:val="single"/>
        </w:rPr>
        <w:t>kg telesnej hmotnosti)</w:t>
      </w:r>
    </w:p>
    <w:p w14:paraId="732026B5" w14:textId="77777777" w:rsidR="00B7705F" w:rsidRPr="00A475AF" w:rsidRDefault="00B7705F" w:rsidP="00792D82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Má byť použitá najnižšia účinná dávka počas najkratšej doby potrebnej na zmiernenie príznakov </w:t>
      </w:r>
      <w:r w:rsidR="00CB0701" w:rsidRPr="00A475AF">
        <w:rPr>
          <w:sz w:val="22"/>
          <w:szCs w:val="22"/>
        </w:rPr>
        <w:t>o</w:t>
      </w:r>
      <w:r w:rsidRPr="00A475AF">
        <w:rPr>
          <w:sz w:val="22"/>
          <w:szCs w:val="22"/>
        </w:rPr>
        <w:t>chor</w:t>
      </w:r>
      <w:r w:rsidR="00CB0701" w:rsidRPr="00A475AF">
        <w:rPr>
          <w:sz w:val="22"/>
          <w:szCs w:val="22"/>
        </w:rPr>
        <w:t>enia</w:t>
      </w:r>
      <w:r w:rsidRPr="00A475AF">
        <w:rPr>
          <w:sz w:val="22"/>
          <w:szCs w:val="22"/>
        </w:rPr>
        <w:t>.</w:t>
      </w:r>
    </w:p>
    <w:p w14:paraId="3379D11C" w14:textId="77777777" w:rsidR="00B7705F" w:rsidRPr="00A475AF" w:rsidRDefault="00CB0701" w:rsidP="00792D82">
      <w:pPr>
        <w:rPr>
          <w:sz w:val="22"/>
          <w:szCs w:val="22"/>
        </w:rPr>
      </w:pPr>
      <w:r w:rsidRPr="00A475AF">
        <w:rPr>
          <w:sz w:val="22"/>
          <w:szCs w:val="22"/>
        </w:rPr>
        <w:lastRenderedPageBreak/>
        <w:t>Dospelí sa majú poradiť s lekárom, ak príznaky ochorenia pretrvávajú alebo sa zhoršujú, alebo ak je liek nutné užívať viac ako 10 dní.</w:t>
      </w:r>
    </w:p>
    <w:p w14:paraId="6357F39D" w14:textId="77777777" w:rsidR="00CB0701" w:rsidRPr="00A475AF" w:rsidRDefault="00AF4AAC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Ak u dospievajúcich (12 ro</w:t>
      </w:r>
      <w:r w:rsidR="002306EA" w:rsidRPr="00A475AF">
        <w:rPr>
          <w:sz w:val="22"/>
          <w:szCs w:val="22"/>
        </w:rPr>
        <w:t>čných</w:t>
      </w:r>
      <w:r w:rsidRPr="00A475AF">
        <w:rPr>
          <w:sz w:val="22"/>
          <w:szCs w:val="22"/>
        </w:rPr>
        <w:t xml:space="preserve"> a starších) je tento liek potrebné podávať viac ako 3 dni alebo sa príznaky ochorenia zhoršujú, je potrebné poradiť sa s lekárom.</w:t>
      </w:r>
    </w:p>
    <w:p w14:paraId="4029C313" w14:textId="77777777" w:rsidR="00AF4AAC" w:rsidRPr="00A475AF" w:rsidRDefault="00AF4AAC" w:rsidP="00DB4E78">
      <w:pPr>
        <w:rPr>
          <w:sz w:val="22"/>
          <w:szCs w:val="22"/>
        </w:rPr>
      </w:pPr>
    </w:p>
    <w:p w14:paraId="1D2D7F1B" w14:textId="719640F3" w:rsidR="00AF4AAC" w:rsidRPr="00A475AF" w:rsidRDefault="00AF4AAC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Odporúčaná dávka sa pohybuje v rozmedzí od </w:t>
      </w:r>
      <w:r w:rsidR="00D61CB5">
        <w:rPr>
          <w:sz w:val="22"/>
          <w:szCs w:val="22"/>
        </w:rPr>
        <w:t> </w:t>
      </w:r>
      <w:r w:rsidR="00D61CB5" w:rsidRPr="00A475AF">
        <w:rPr>
          <w:sz w:val="22"/>
          <w:szCs w:val="22"/>
        </w:rPr>
        <w:t>200</w:t>
      </w:r>
      <w:r w:rsidR="00D61CB5">
        <w:rPr>
          <w:sz w:val="22"/>
          <w:szCs w:val="22"/>
        </w:rPr>
        <w:t> </w:t>
      </w:r>
      <w:r w:rsidRPr="00A475AF">
        <w:rPr>
          <w:sz w:val="22"/>
          <w:szCs w:val="22"/>
        </w:rPr>
        <w:t xml:space="preserve">mg do </w:t>
      </w:r>
      <w:r w:rsidR="00D61CB5">
        <w:rPr>
          <w:sz w:val="22"/>
          <w:szCs w:val="22"/>
        </w:rPr>
        <w:t> </w:t>
      </w:r>
      <w:r w:rsidR="00D61CB5" w:rsidRPr="00A475AF">
        <w:rPr>
          <w:sz w:val="22"/>
          <w:szCs w:val="22"/>
        </w:rPr>
        <w:t>400</w:t>
      </w:r>
      <w:r w:rsidR="00D61CB5">
        <w:rPr>
          <w:sz w:val="22"/>
          <w:szCs w:val="22"/>
        </w:rPr>
        <w:t> </w:t>
      </w:r>
      <w:r w:rsidRPr="00A475AF">
        <w:rPr>
          <w:sz w:val="22"/>
          <w:szCs w:val="22"/>
        </w:rPr>
        <w:t xml:space="preserve">mg </w:t>
      </w:r>
      <w:proofErr w:type="spellStart"/>
      <w:r w:rsidR="00A475AF" w:rsidRPr="00A475AF">
        <w:rPr>
          <w:sz w:val="22"/>
          <w:szCs w:val="22"/>
        </w:rPr>
        <w:t>ibuprofénu</w:t>
      </w:r>
      <w:proofErr w:type="spellEnd"/>
      <w:r w:rsidR="00A21CEA" w:rsidRPr="00A475AF">
        <w:rPr>
          <w:sz w:val="22"/>
          <w:szCs w:val="22"/>
        </w:rPr>
        <w:t xml:space="preserve">, </w:t>
      </w:r>
      <w:r w:rsidR="00130417" w:rsidRPr="00A475AF">
        <w:rPr>
          <w:sz w:val="22"/>
          <w:szCs w:val="22"/>
        </w:rPr>
        <w:t>najviac</w:t>
      </w:r>
      <w:r w:rsidR="00A21CEA" w:rsidRPr="00A475AF">
        <w:rPr>
          <w:sz w:val="22"/>
          <w:szCs w:val="22"/>
        </w:rPr>
        <w:t xml:space="preserve"> 3</w:t>
      </w:r>
      <w:r w:rsidR="004F09B0" w:rsidRPr="00A475AF">
        <w:rPr>
          <w:sz w:val="22"/>
          <w:szCs w:val="22"/>
        </w:rPr>
        <w:t xml:space="preserve"> </w:t>
      </w:r>
      <w:r w:rsidR="00A21CEA" w:rsidRPr="00A475AF">
        <w:rPr>
          <w:sz w:val="22"/>
          <w:szCs w:val="22"/>
        </w:rPr>
        <w:t>x denne podľa potreby.</w:t>
      </w:r>
    </w:p>
    <w:p w14:paraId="7571E20E" w14:textId="77777777" w:rsidR="00AF4AAC" w:rsidRPr="00A475AF" w:rsidRDefault="00A21CEA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Interval medzi jednotlivými dávkami má byť najmenej 4 hodiny.</w:t>
      </w:r>
    </w:p>
    <w:p w14:paraId="2CFA3C95" w14:textId="77777777" w:rsidR="00840F60" w:rsidRPr="00A475AF" w:rsidRDefault="00840F60" w:rsidP="00DB4E78">
      <w:pPr>
        <w:rPr>
          <w:sz w:val="22"/>
          <w:szCs w:val="22"/>
        </w:rPr>
      </w:pPr>
    </w:p>
    <w:p w14:paraId="16F2DF99" w14:textId="77777777" w:rsidR="00A21CEA" w:rsidRPr="00A475AF" w:rsidRDefault="00A21CEA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Dávka 1 200 mg </w:t>
      </w:r>
      <w:proofErr w:type="spellStart"/>
      <w:r w:rsidR="00A475AF" w:rsidRPr="00A475AF">
        <w:rPr>
          <w:sz w:val="22"/>
          <w:szCs w:val="22"/>
        </w:rPr>
        <w:t>ibuprofénu</w:t>
      </w:r>
      <w:proofErr w:type="spellEnd"/>
      <w:r w:rsidRPr="00A475AF">
        <w:rPr>
          <w:sz w:val="22"/>
          <w:szCs w:val="22"/>
        </w:rPr>
        <w:t xml:space="preserve"> nemá byť prekročená </w:t>
      </w:r>
      <w:r w:rsidR="004F68AA" w:rsidRPr="00A475AF">
        <w:rPr>
          <w:sz w:val="22"/>
          <w:szCs w:val="22"/>
        </w:rPr>
        <w:t>počas</w:t>
      </w:r>
      <w:r w:rsidRPr="00A475AF">
        <w:rPr>
          <w:sz w:val="22"/>
          <w:szCs w:val="22"/>
        </w:rPr>
        <w:t xml:space="preserve"> 24 hodín.</w:t>
      </w:r>
    </w:p>
    <w:p w14:paraId="7E789E49" w14:textId="77777777" w:rsidR="00A21CEA" w:rsidRPr="00A475AF" w:rsidRDefault="00A21CEA" w:rsidP="00DB4E78">
      <w:pPr>
        <w:rPr>
          <w:sz w:val="22"/>
          <w:szCs w:val="22"/>
        </w:rPr>
      </w:pPr>
    </w:p>
    <w:p w14:paraId="745D4F14" w14:textId="2C46A16A" w:rsidR="00A21CEA" w:rsidRPr="00A475AF" w:rsidRDefault="00A21CEA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 xml:space="preserve">Deti </w:t>
      </w:r>
      <w:r w:rsidR="002306EA" w:rsidRPr="00A475AF">
        <w:rPr>
          <w:sz w:val="22"/>
          <w:szCs w:val="22"/>
          <w:u w:val="single"/>
        </w:rPr>
        <w:t>na</w:t>
      </w:r>
      <w:r w:rsidR="002074C5" w:rsidRPr="00A475AF">
        <w:rPr>
          <w:sz w:val="22"/>
          <w:szCs w:val="22"/>
          <w:u w:val="single"/>
        </w:rPr>
        <w:t>d</w:t>
      </w:r>
      <w:r w:rsidRPr="00A475AF">
        <w:rPr>
          <w:sz w:val="22"/>
          <w:szCs w:val="22"/>
          <w:u w:val="single"/>
        </w:rPr>
        <w:t xml:space="preserve"> 6 rokov (≤ </w:t>
      </w:r>
      <w:r w:rsidR="00D61CB5" w:rsidRPr="00A475AF">
        <w:rPr>
          <w:sz w:val="22"/>
          <w:szCs w:val="22"/>
          <w:u w:val="single"/>
        </w:rPr>
        <w:t>39</w:t>
      </w:r>
      <w:r w:rsidR="00D61CB5">
        <w:rPr>
          <w:sz w:val="22"/>
          <w:szCs w:val="22"/>
          <w:u w:val="single"/>
        </w:rPr>
        <w:t> </w:t>
      </w:r>
      <w:r w:rsidRPr="00A475AF">
        <w:rPr>
          <w:sz w:val="22"/>
          <w:szCs w:val="22"/>
          <w:u w:val="single"/>
        </w:rPr>
        <w:t>kg telesnej hmotnosti)</w:t>
      </w:r>
    </w:p>
    <w:p w14:paraId="3AAF9625" w14:textId="3EAA29AE" w:rsidR="00AF4AAC" w:rsidRPr="00A475AF" w:rsidRDefault="0072569B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Pre deti </w:t>
      </w:r>
      <w:r w:rsidR="002306EA" w:rsidRPr="00A475AF">
        <w:rPr>
          <w:sz w:val="22"/>
          <w:szCs w:val="22"/>
        </w:rPr>
        <w:t>vo veku</w:t>
      </w:r>
      <w:r w:rsidRPr="00A475AF">
        <w:rPr>
          <w:sz w:val="22"/>
          <w:szCs w:val="22"/>
        </w:rPr>
        <w:t xml:space="preserve"> 6 </w:t>
      </w:r>
      <w:r w:rsidR="002306EA" w:rsidRPr="00A475AF">
        <w:rPr>
          <w:sz w:val="22"/>
          <w:szCs w:val="22"/>
        </w:rPr>
        <w:t>až</w:t>
      </w:r>
      <w:r w:rsidRPr="00A475AF">
        <w:rPr>
          <w:sz w:val="22"/>
          <w:szCs w:val="22"/>
        </w:rPr>
        <w:t xml:space="preserve"> 12 ro</w:t>
      </w:r>
      <w:r w:rsidR="002306EA" w:rsidRPr="00A475AF">
        <w:rPr>
          <w:sz w:val="22"/>
          <w:szCs w:val="22"/>
        </w:rPr>
        <w:t>čných</w:t>
      </w:r>
      <w:r w:rsidRPr="00A475AF">
        <w:rPr>
          <w:sz w:val="22"/>
          <w:szCs w:val="22"/>
        </w:rPr>
        <w:t xml:space="preserve"> je odporúčaný liek s obsahom </w:t>
      </w:r>
      <w:r w:rsidR="00D61CB5">
        <w:t> </w:t>
      </w:r>
      <w:r w:rsidR="00D61CB5" w:rsidRPr="00A475AF">
        <w:rPr>
          <w:sz w:val="22"/>
          <w:szCs w:val="22"/>
        </w:rPr>
        <w:t>200</w:t>
      </w:r>
      <w:r w:rsidR="00D61CB5">
        <w:t> </w:t>
      </w:r>
      <w:r w:rsidRPr="00A475AF">
        <w:rPr>
          <w:sz w:val="22"/>
          <w:szCs w:val="22"/>
        </w:rPr>
        <w:t xml:space="preserve">mg </w:t>
      </w:r>
      <w:proofErr w:type="spellStart"/>
      <w:r w:rsidR="00A475AF" w:rsidRPr="00A475AF">
        <w:rPr>
          <w:sz w:val="22"/>
          <w:szCs w:val="22"/>
        </w:rPr>
        <w:t>ibuprofénu</w:t>
      </w:r>
      <w:proofErr w:type="spellEnd"/>
      <w:r w:rsidRPr="00A475AF">
        <w:rPr>
          <w:sz w:val="22"/>
          <w:szCs w:val="22"/>
        </w:rPr>
        <w:t>.</w:t>
      </w:r>
    </w:p>
    <w:p w14:paraId="7D1FE839" w14:textId="210DBF78" w:rsidR="00A21CEA" w:rsidRPr="00A475AF" w:rsidRDefault="00840F60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>IBALGIN RAPIDCAPS 200 mg má byť po</w:t>
      </w:r>
      <w:r w:rsidR="002D6D0C" w:rsidRPr="00A475AF">
        <w:rPr>
          <w:bCs/>
          <w:sz w:val="22"/>
          <w:szCs w:val="22"/>
        </w:rPr>
        <w:t>dá</w:t>
      </w:r>
      <w:r w:rsidRPr="00A475AF">
        <w:rPr>
          <w:bCs/>
          <w:sz w:val="22"/>
          <w:szCs w:val="22"/>
        </w:rPr>
        <w:t>vaný de</w:t>
      </w:r>
      <w:r w:rsidR="002D6D0C" w:rsidRPr="00A475AF">
        <w:rPr>
          <w:bCs/>
          <w:sz w:val="22"/>
          <w:szCs w:val="22"/>
        </w:rPr>
        <w:t>ťom</w:t>
      </w:r>
      <w:r w:rsidRPr="00A475AF">
        <w:rPr>
          <w:bCs/>
          <w:sz w:val="22"/>
          <w:szCs w:val="22"/>
        </w:rPr>
        <w:t xml:space="preserve"> </w:t>
      </w:r>
      <w:r w:rsidR="002D6D0C" w:rsidRPr="00A475AF">
        <w:rPr>
          <w:bCs/>
          <w:sz w:val="22"/>
          <w:szCs w:val="22"/>
        </w:rPr>
        <w:t xml:space="preserve">vážiacim najmenej </w:t>
      </w:r>
      <w:r w:rsidR="00022781" w:rsidRPr="00A475AF">
        <w:rPr>
          <w:bCs/>
          <w:sz w:val="22"/>
          <w:szCs w:val="22"/>
        </w:rPr>
        <w:t>20</w:t>
      </w:r>
      <w:r w:rsidR="00022781">
        <w:rPr>
          <w:bCs/>
          <w:sz w:val="22"/>
          <w:szCs w:val="22"/>
        </w:rPr>
        <w:t> </w:t>
      </w:r>
      <w:r w:rsidR="002D6D0C" w:rsidRPr="00A475AF">
        <w:rPr>
          <w:bCs/>
          <w:sz w:val="22"/>
          <w:szCs w:val="22"/>
        </w:rPr>
        <w:t>kg</w:t>
      </w:r>
      <w:r w:rsidRPr="00A475AF">
        <w:rPr>
          <w:bCs/>
          <w:sz w:val="22"/>
          <w:szCs w:val="22"/>
        </w:rPr>
        <w:t>.</w:t>
      </w:r>
    </w:p>
    <w:p w14:paraId="4C1CCA4B" w14:textId="5255CB91" w:rsidR="008534FC" w:rsidRPr="00A475AF" w:rsidRDefault="00AF1E3E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Maximálna celková denná dávka </w:t>
      </w:r>
      <w:proofErr w:type="spellStart"/>
      <w:r w:rsidR="00A475AF" w:rsidRPr="00A475AF">
        <w:rPr>
          <w:sz w:val="22"/>
          <w:szCs w:val="22"/>
        </w:rPr>
        <w:t>ibuprofénu</w:t>
      </w:r>
      <w:proofErr w:type="spellEnd"/>
      <w:r w:rsidRPr="00A475AF">
        <w:rPr>
          <w:sz w:val="22"/>
          <w:szCs w:val="22"/>
        </w:rPr>
        <w:t xml:space="preserve"> je 20</w:t>
      </w:r>
      <w:r w:rsidR="004F09B0" w:rsidRPr="00A475AF">
        <w:rPr>
          <w:sz w:val="22"/>
          <w:szCs w:val="22"/>
        </w:rPr>
        <w:t xml:space="preserve"> – </w:t>
      </w:r>
      <w:r w:rsidR="00022781" w:rsidRPr="00A475AF">
        <w:rPr>
          <w:sz w:val="22"/>
          <w:szCs w:val="22"/>
        </w:rPr>
        <w:t>30</w:t>
      </w:r>
      <w:r w:rsidR="00022781">
        <w:rPr>
          <w:sz w:val="22"/>
          <w:szCs w:val="22"/>
        </w:rPr>
        <w:t> </w:t>
      </w:r>
      <w:r w:rsidRPr="00A475AF">
        <w:rPr>
          <w:sz w:val="22"/>
          <w:szCs w:val="22"/>
        </w:rPr>
        <w:t xml:space="preserve">mg </w:t>
      </w:r>
      <w:r w:rsidR="00022781" w:rsidRPr="00A475AF">
        <w:rPr>
          <w:sz w:val="22"/>
          <w:szCs w:val="22"/>
        </w:rPr>
        <w:t>na</w:t>
      </w:r>
      <w:r w:rsidR="00022781">
        <w:rPr>
          <w:sz w:val="22"/>
          <w:szCs w:val="22"/>
        </w:rPr>
        <w:t> </w:t>
      </w:r>
      <w:r w:rsidRPr="00A475AF">
        <w:rPr>
          <w:sz w:val="22"/>
          <w:szCs w:val="22"/>
        </w:rPr>
        <w:t>kg telesnej hmotnosti, rozdelená do 3 až 4</w:t>
      </w:r>
      <w:r w:rsidR="00DB4E78" w:rsidRPr="00A475AF">
        <w:rPr>
          <w:sz w:val="22"/>
          <w:szCs w:val="22"/>
        </w:rPr>
        <w:t> </w:t>
      </w:r>
      <w:r w:rsidRPr="00A475AF">
        <w:rPr>
          <w:sz w:val="22"/>
          <w:szCs w:val="22"/>
        </w:rPr>
        <w:t xml:space="preserve">jednotlivých dávok s dávkovacími intervalmi od 6 do 8 hodín. Maximálna odporúčaná denná dávka nemá byť prekročená. Celková dávka </w:t>
      </w:r>
      <w:r w:rsidR="00022781" w:rsidRPr="00A475AF">
        <w:rPr>
          <w:sz w:val="22"/>
          <w:szCs w:val="22"/>
        </w:rPr>
        <w:t>30</w:t>
      </w:r>
      <w:r w:rsidR="00022781">
        <w:rPr>
          <w:sz w:val="22"/>
          <w:szCs w:val="22"/>
        </w:rPr>
        <w:t> </w:t>
      </w:r>
      <w:r w:rsidRPr="00A475AF">
        <w:rPr>
          <w:sz w:val="22"/>
          <w:szCs w:val="22"/>
        </w:rPr>
        <w:t xml:space="preserve">mg/kg </w:t>
      </w:r>
      <w:proofErr w:type="spellStart"/>
      <w:r w:rsidR="00A475AF" w:rsidRPr="00A475AF">
        <w:rPr>
          <w:sz w:val="22"/>
          <w:szCs w:val="22"/>
        </w:rPr>
        <w:t>ibuprofénu</w:t>
      </w:r>
      <w:proofErr w:type="spellEnd"/>
      <w:r w:rsidRPr="00A475AF">
        <w:rPr>
          <w:sz w:val="22"/>
          <w:szCs w:val="22"/>
        </w:rPr>
        <w:t xml:space="preserve"> nemá byť prekročená počas 24 hodín.</w:t>
      </w:r>
      <w:r w:rsidR="008534FC" w:rsidRPr="00A475AF">
        <w:rPr>
          <w:sz w:val="22"/>
          <w:szCs w:val="22"/>
        </w:rPr>
        <w:t xml:space="preserve"> </w:t>
      </w:r>
    </w:p>
    <w:p w14:paraId="07897531" w14:textId="406F62CD" w:rsidR="00A21CEA" w:rsidRPr="00A475AF" w:rsidRDefault="008534FC" w:rsidP="00DB4E78">
      <w:pPr>
        <w:rPr>
          <w:bCs/>
          <w:sz w:val="22"/>
          <w:szCs w:val="22"/>
        </w:rPr>
      </w:pPr>
      <w:r w:rsidRPr="00A475AF">
        <w:rPr>
          <w:sz w:val="22"/>
          <w:szCs w:val="22"/>
        </w:rPr>
        <w:t xml:space="preserve">Pre dávkovanie </w:t>
      </w:r>
      <w:r w:rsidRPr="00A475AF">
        <w:rPr>
          <w:bCs/>
          <w:sz w:val="22"/>
          <w:szCs w:val="22"/>
        </w:rPr>
        <w:t>IBALGIN</w:t>
      </w:r>
      <w:r w:rsidR="004F09B0" w:rsidRPr="00A475AF">
        <w:rPr>
          <w:bCs/>
          <w:sz w:val="22"/>
          <w:szCs w:val="22"/>
        </w:rPr>
        <w:t>U</w:t>
      </w:r>
      <w:r w:rsidRPr="00A475AF">
        <w:rPr>
          <w:bCs/>
          <w:sz w:val="22"/>
          <w:szCs w:val="22"/>
        </w:rPr>
        <w:t xml:space="preserve"> RAPIDCAPS </w:t>
      </w:r>
      <w:r w:rsidR="00022781">
        <w:rPr>
          <w:bCs/>
          <w:sz w:val="22"/>
          <w:szCs w:val="22"/>
        </w:rPr>
        <w:t> </w:t>
      </w:r>
      <w:r w:rsidR="00022781" w:rsidRPr="00A475AF">
        <w:rPr>
          <w:bCs/>
          <w:sz w:val="22"/>
          <w:szCs w:val="22"/>
        </w:rPr>
        <w:t>200</w:t>
      </w:r>
      <w:r w:rsidR="00022781">
        <w:rPr>
          <w:bCs/>
          <w:sz w:val="22"/>
          <w:szCs w:val="22"/>
        </w:rPr>
        <w:t> </w:t>
      </w:r>
      <w:r w:rsidRPr="00A475AF">
        <w:rPr>
          <w:bCs/>
          <w:sz w:val="22"/>
          <w:szCs w:val="22"/>
        </w:rPr>
        <w:t>mg pre deti platia nasledujúce inštrukcie:</w:t>
      </w:r>
    </w:p>
    <w:p w14:paraId="3F619964" w14:textId="77777777" w:rsidR="008534FC" w:rsidRPr="00A475AF" w:rsidRDefault="008534FC" w:rsidP="00DB4E78">
      <w:pPr>
        <w:rPr>
          <w:sz w:val="22"/>
          <w:szCs w:val="22"/>
        </w:rPr>
      </w:pPr>
    </w:p>
    <w:p w14:paraId="1E465AD6" w14:textId="77777777" w:rsidR="008534FC" w:rsidRPr="00A475AF" w:rsidRDefault="008534FC" w:rsidP="00DB4E78">
      <w:pPr>
        <w:rPr>
          <w:sz w:val="22"/>
          <w:szCs w:val="22"/>
        </w:rPr>
      </w:pPr>
    </w:p>
    <w:tbl>
      <w:tblPr>
        <w:tblW w:w="86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2"/>
        <w:gridCol w:w="2413"/>
        <w:gridCol w:w="2550"/>
      </w:tblGrid>
      <w:tr w:rsidR="008534FC" w:rsidRPr="00A475AF" w14:paraId="0AD8B384" w14:textId="77777777">
        <w:trPr>
          <w:trHeight w:val="900"/>
          <w:jc w:val="center"/>
        </w:trPr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177E7D" w14:textId="77777777" w:rsidR="008534FC" w:rsidRPr="00A475AF" w:rsidRDefault="008534FC" w:rsidP="00DB4E78">
            <w:pPr>
              <w:ind w:left="72" w:right="496"/>
              <w:rPr>
                <w:b/>
                <w:sz w:val="22"/>
                <w:szCs w:val="22"/>
              </w:rPr>
            </w:pPr>
            <w:r w:rsidRPr="00A475AF">
              <w:rPr>
                <w:b/>
                <w:sz w:val="22"/>
                <w:szCs w:val="22"/>
              </w:rPr>
              <w:t>Telesná hmotnosť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5C4478" w14:textId="77777777" w:rsidR="008534FC" w:rsidRPr="00A475AF" w:rsidRDefault="008534FC" w:rsidP="00DB4E78">
            <w:pPr>
              <w:rPr>
                <w:b/>
                <w:sz w:val="22"/>
                <w:szCs w:val="22"/>
              </w:rPr>
            </w:pPr>
            <w:r w:rsidRPr="00A475AF">
              <w:rPr>
                <w:b/>
                <w:sz w:val="22"/>
                <w:szCs w:val="22"/>
              </w:rPr>
              <w:t>Jedna dávka v počte kapsúl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FDFD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B9F3C" w14:textId="77777777" w:rsidR="008534FC" w:rsidRPr="00A475AF" w:rsidRDefault="008534FC" w:rsidP="00DB4E78">
            <w:pPr>
              <w:rPr>
                <w:b/>
                <w:sz w:val="22"/>
                <w:szCs w:val="22"/>
              </w:rPr>
            </w:pPr>
            <w:r w:rsidRPr="00A475AF">
              <w:rPr>
                <w:b/>
                <w:sz w:val="22"/>
                <w:szCs w:val="22"/>
              </w:rPr>
              <w:t>Maximálna denná dávka v počte kapsúl</w:t>
            </w:r>
          </w:p>
        </w:tc>
      </w:tr>
      <w:tr w:rsidR="008534FC" w:rsidRPr="00A475AF" w14:paraId="2B25C17C" w14:textId="77777777">
        <w:trPr>
          <w:trHeight w:val="629"/>
          <w:jc w:val="center"/>
        </w:trPr>
        <w:tc>
          <w:tcPr>
            <w:tcW w:w="3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6B8607" w14:textId="77777777" w:rsidR="008534FC" w:rsidRPr="00A475AF" w:rsidRDefault="008534FC" w:rsidP="004F09B0">
            <w:pPr>
              <w:ind w:left="72" w:right="496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Deti 20</w:t>
            </w:r>
            <w:r w:rsidR="004F09B0" w:rsidRPr="00A475AF">
              <w:rPr>
                <w:sz w:val="22"/>
                <w:szCs w:val="22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29 kg"/>
              </w:smartTagPr>
              <w:r w:rsidRPr="00A475AF">
                <w:rPr>
                  <w:sz w:val="22"/>
                  <w:szCs w:val="22"/>
                </w:rPr>
                <w:t>29 kg</w:t>
              </w:r>
            </w:smartTag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1816D" w14:textId="617DF535" w:rsidR="008534FC" w:rsidRPr="00A475AF" w:rsidRDefault="008534FC" w:rsidP="00022781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1</w:t>
            </w:r>
            <w:r w:rsidR="004130FC" w:rsidRPr="00A475AF">
              <w:rPr>
                <w:sz w:val="22"/>
                <w:szCs w:val="22"/>
              </w:rPr>
              <w:t xml:space="preserve"> </w:t>
            </w:r>
            <w:r w:rsidRPr="00A475AF">
              <w:rPr>
                <w:sz w:val="22"/>
                <w:szCs w:val="22"/>
              </w:rPr>
              <w:t xml:space="preserve">kapsula </w:t>
            </w:r>
            <w:r w:rsidRPr="00A475AF">
              <w:rPr>
                <w:bCs/>
                <w:sz w:val="22"/>
                <w:szCs w:val="22"/>
              </w:rPr>
              <w:t>IBALGIN</w:t>
            </w:r>
            <w:r w:rsidR="004F09B0" w:rsidRPr="00A475AF">
              <w:rPr>
                <w:bCs/>
                <w:sz w:val="22"/>
                <w:szCs w:val="22"/>
              </w:rPr>
              <w:t>U</w:t>
            </w:r>
            <w:r w:rsidRPr="00A475AF">
              <w:rPr>
                <w:bCs/>
                <w:sz w:val="22"/>
                <w:szCs w:val="22"/>
              </w:rPr>
              <w:t xml:space="preserve"> RAPIDCAPS</w:t>
            </w:r>
            <w:r w:rsidRPr="00A475AF">
              <w:rPr>
                <w:sz w:val="22"/>
                <w:szCs w:val="22"/>
              </w:rPr>
              <w:t xml:space="preserve"> </w:t>
            </w:r>
            <w:r w:rsidR="00022781">
              <w:rPr>
                <w:sz w:val="22"/>
                <w:szCs w:val="22"/>
              </w:rPr>
              <w:t> </w:t>
            </w:r>
            <w:r w:rsidR="00022781" w:rsidRPr="00A475AF">
              <w:rPr>
                <w:sz w:val="22"/>
                <w:szCs w:val="22"/>
              </w:rPr>
              <w:t>200</w:t>
            </w:r>
            <w:r w:rsidR="00022781">
              <w:rPr>
                <w:sz w:val="22"/>
                <w:szCs w:val="22"/>
              </w:rPr>
              <w:t> </w:t>
            </w:r>
            <w:r w:rsidRPr="00A475AF">
              <w:rPr>
                <w:sz w:val="22"/>
                <w:szCs w:val="22"/>
              </w:rPr>
              <w:t>mg (</w:t>
            </w:r>
            <w:proofErr w:type="spellStart"/>
            <w:r w:rsidR="005F4F0C" w:rsidRPr="00A475AF">
              <w:rPr>
                <w:sz w:val="22"/>
                <w:szCs w:val="22"/>
              </w:rPr>
              <w:t>ibuprofén</w:t>
            </w:r>
            <w:proofErr w:type="spellEnd"/>
            <w:r w:rsidR="005F4F0C" w:rsidRPr="00A475AF">
              <w:rPr>
                <w:sz w:val="22"/>
                <w:szCs w:val="22"/>
              </w:rPr>
              <w:t xml:space="preserve"> </w:t>
            </w:r>
            <w:r w:rsidR="00022781">
              <w:rPr>
                <w:sz w:val="22"/>
                <w:szCs w:val="22"/>
              </w:rPr>
              <w:t> </w:t>
            </w:r>
            <w:r w:rsidR="00022781" w:rsidRPr="00A475AF">
              <w:rPr>
                <w:sz w:val="22"/>
                <w:szCs w:val="22"/>
              </w:rPr>
              <w:t>200</w:t>
            </w:r>
            <w:r w:rsidR="00022781">
              <w:rPr>
                <w:sz w:val="22"/>
                <w:szCs w:val="22"/>
              </w:rPr>
              <w:t> </w:t>
            </w:r>
            <w:r w:rsidRPr="00A475AF">
              <w:rPr>
                <w:sz w:val="22"/>
                <w:szCs w:val="22"/>
              </w:rPr>
              <w:t>mg)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F05FF" w14:textId="77777777" w:rsidR="008534FC" w:rsidRPr="00A475AF" w:rsidRDefault="008534FC" w:rsidP="005F4F0C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3</w:t>
            </w:r>
            <w:r w:rsidR="00D730A6" w:rsidRPr="00A475AF">
              <w:rPr>
                <w:sz w:val="22"/>
                <w:szCs w:val="22"/>
              </w:rPr>
              <w:t xml:space="preserve"> kapsuly</w:t>
            </w:r>
            <w:r w:rsidRPr="00A475AF">
              <w:rPr>
                <w:sz w:val="22"/>
                <w:szCs w:val="22"/>
              </w:rPr>
              <w:t xml:space="preserve"> (ekvivalent </w:t>
            </w:r>
            <w:r w:rsidR="00100ECD" w:rsidRPr="00A475AF">
              <w:rPr>
                <w:sz w:val="22"/>
                <w:szCs w:val="22"/>
              </w:rPr>
              <w:t>až</w:t>
            </w:r>
            <w:r w:rsidRPr="00A475AF">
              <w:rPr>
                <w:sz w:val="22"/>
                <w:szCs w:val="22"/>
              </w:rPr>
              <w:t xml:space="preserve"> 600 mg </w:t>
            </w:r>
            <w:proofErr w:type="spellStart"/>
            <w:r w:rsidRPr="00A475AF">
              <w:rPr>
                <w:sz w:val="22"/>
                <w:szCs w:val="22"/>
              </w:rPr>
              <w:t>ibuprof</w:t>
            </w:r>
            <w:r w:rsidR="005F4F0C" w:rsidRPr="00A475AF">
              <w:rPr>
                <w:sz w:val="22"/>
                <w:szCs w:val="22"/>
              </w:rPr>
              <w:t>é</w:t>
            </w:r>
            <w:r w:rsidRPr="00A475AF">
              <w:rPr>
                <w:sz w:val="22"/>
                <w:szCs w:val="22"/>
              </w:rPr>
              <w:t>n</w:t>
            </w:r>
            <w:r w:rsidR="00100ECD" w:rsidRPr="00A475AF">
              <w:rPr>
                <w:sz w:val="22"/>
                <w:szCs w:val="22"/>
              </w:rPr>
              <w:t>u</w:t>
            </w:r>
            <w:proofErr w:type="spellEnd"/>
            <w:r w:rsidRPr="00A475AF">
              <w:rPr>
                <w:sz w:val="22"/>
                <w:szCs w:val="22"/>
              </w:rPr>
              <w:t>)</w:t>
            </w:r>
          </w:p>
        </w:tc>
      </w:tr>
      <w:tr w:rsidR="008534FC" w:rsidRPr="00A475AF" w14:paraId="65F23EBC" w14:textId="77777777">
        <w:trPr>
          <w:trHeight w:val="629"/>
          <w:jc w:val="center"/>
        </w:trPr>
        <w:tc>
          <w:tcPr>
            <w:tcW w:w="37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7C6E36" w14:textId="77777777" w:rsidR="008534FC" w:rsidRPr="00A475AF" w:rsidRDefault="008534FC" w:rsidP="004F09B0">
            <w:pPr>
              <w:ind w:left="72" w:right="496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Deti 30</w:t>
            </w:r>
            <w:r w:rsidR="004F09B0" w:rsidRPr="00A475AF">
              <w:rPr>
                <w:sz w:val="22"/>
                <w:szCs w:val="22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39 kg"/>
              </w:smartTagPr>
              <w:r w:rsidRPr="00A475AF">
                <w:rPr>
                  <w:sz w:val="22"/>
                  <w:szCs w:val="22"/>
                </w:rPr>
                <w:t>39 kg</w:t>
              </w:r>
            </w:smartTag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9D0859" w14:textId="607D38BD" w:rsidR="008534FC" w:rsidRPr="00A475AF" w:rsidRDefault="008534FC" w:rsidP="00022781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1</w:t>
            </w:r>
            <w:r w:rsidR="004130FC" w:rsidRPr="00A475AF">
              <w:rPr>
                <w:sz w:val="22"/>
                <w:szCs w:val="22"/>
              </w:rPr>
              <w:t xml:space="preserve"> </w:t>
            </w:r>
            <w:r w:rsidRPr="00A475AF">
              <w:rPr>
                <w:sz w:val="22"/>
                <w:szCs w:val="22"/>
              </w:rPr>
              <w:t xml:space="preserve">kapsula </w:t>
            </w:r>
            <w:r w:rsidRPr="00A475AF">
              <w:rPr>
                <w:bCs/>
                <w:sz w:val="22"/>
                <w:szCs w:val="22"/>
              </w:rPr>
              <w:t>IBALGIN</w:t>
            </w:r>
            <w:r w:rsidR="004F09B0" w:rsidRPr="00A475AF">
              <w:rPr>
                <w:bCs/>
                <w:sz w:val="22"/>
                <w:szCs w:val="22"/>
              </w:rPr>
              <w:t>U</w:t>
            </w:r>
            <w:r w:rsidRPr="00A475AF">
              <w:rPr>
                <w:bCs/>
                <w:sz w:val="22"/>
                <w:szCs w:val="22"/>
              </w:rPr>
              <w:t xml:space="preserve"> RAPIDCAPS</w:t>
            </w:r>
            <w:r w:rsidRPr="00A475AF">
              <w:rPr>
                <w:sz w:val="22"/>
                <w:szCs w:val="22"/>
              </w:rPr>
              <w:t xml:space="preserve"> </w:t>
            </w:r>
            <w:r w:rsidR="00022781">
              <w:rPr>
                <w:sz w:val="22"/>
                <w:szCs w:val="22"/>
              </w:rPr>
              <w:t> </w:t>
            </w:r>
            <w:r w:rsidR="00022781" w:rsidRPr="00A475AF">
              <w:rPr>
                <w:sz w:val="22"/>
                <w:szCs w:val="22"/>
              </w:rPr>
              <w:t>200</w:t>
            </w:r>
            <w:r w:rsidR="00022781">
              <w:rPr>
                <w:sz w:val="22"/>
                <w:szCs w:val="22"/>
              </w:rPr>
              <w:t> </w:t>
            </w:r>
            <w:r w:rsidRPr="00A475AF">
              <w:rPr>
                <w:sz w:val="22"/>
                <w:szCs w:val="22"/>
              </w:rPr>
              <w:t>mg (</w:t>
            </w:r>
            <w:proofErr w:type="spellStart"/>
            <w:r w:rsidR="005F4F0C" w:rsidRPr="00A475AF">
              <w:rPr>
                <w:sz w:val="22"/>
                <w:szCs w:val="22"/>
              </w:rPr>
              <w:t>ibuprofén</w:t>
            </w:r>
            <w:proofErr w:type="spellEnd"/>
            <w:r w:rsidR="005F4F0C" w:rsidRPr="00A475AF">
              <w:rPr>
                <w:sz w:val="22"/>
                <w:szCs w:val="22"/>
              </w:rPr>
              <w:t xml:space="preserve"> </w:t>
            </w:r>
            <w:r w:rsidR="00022781">
              <w:rPr>
                <w:sz w:val="22"/>
                <w:szCs w:val="22"/>
              </w:rPr>
              <w:t> </w:t>
            </w:r>
            <w:r w:rsidR="00022781" w:rsidRPr="00A475AF">
              <w:rPr>
                <w:sz w:val="22"/>
                <w:szCs w:val="22"/>
              </w:rPr>
              <w:t>200</w:t>
            </w:r>
            <w:r w:rsidR="00022781">
              <w:rPr>
                <w:sz w:val="22"/>
                <w:szCs w:val="22"/>
              </w:rPr>
              <w:t> </w:t>
            </w:r>
            <w:r w:rsidRPr="00A475AF">
              <w:rPr>
                <w:sz w:val="22"/>
                <w:szCs w:val="22"/>
              </w:rPr>
              <w:t>mg)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62C67" w14:textId="77777777" w:rsidR="008534FC" w:rsidRPr="00A475AF" w:rsidRDefault="008534FC" w:rsidP="0002778A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 xml:space="preserve">4 </w:t>
            </w:r>
            <w:r w:rsidR="00D730A6" w:rsidRPr="00A475AF">
              <w:rPr>
                <w:sz w:val="22"/>
                <w:szCs w:val="22"/>
              </w:rPr>
              <w:t xml:space="preserve">kapsuly </w:t>
            </w:r>
            <w:r w:rsidRPr="00A475AF">
              <w:rPr>
                <w:sz w:val="22"/>
                <w:szCs w:val="22"/>
              </w:rPr>
              <w:t>(e</w:t>
            </w:r>
            <w:r w:rsidR="00100ECD" w:rsidRPr="00A475AF">
              <w:rPr>
                <w:sz w:val="22"/>
                <w:szCs w:val="22"/>
              </w:rPr>
              <w:t>kv</w:t>
            </w:r>
            <w:r w:rsidRPr="00A475AF">
              <w:rPr>
                <w:sz w:val="22"/>
                <w:szCs w:val="22"/>
              </w:rPr>
              <w:t xml:space="preserve">ivalent </w:t>
            </w:r>
            <w:r w:rsidR="00100ECD" w:rsidRPr="00A475AF">
              <w:rPr>
                <w:sz w:val="22"/>
                <w:szCs w:val="22"/>
              </w:rPr>
              <w:t>až</w:t>
            </w:r>
            <w:r w:rsidRPr="00A475AF">
              <w:rPr>
                <w:sz w:val="22"/>
                <w:szCs w:val="22"/>
              </w:rPr>
              <w:t xml:space="preserve"> 800 mg </w:t>
            </w:r>
            <w:proofErr w:type="spellStart"/>
            <w:r w:rsidRPr="00A475AF">
              <w:rPr>
                <w:sz w:val="22"/>
                <w:szCs w:val="22"/>
              </w:rPr>
              <w:t>ibuprof</w:t>
            </w:r>
            <w:r w:rsidR="005F4F0C" w:rsidRPr="00A475AF">
              <w:rPr>
                <w:sz w:val="22"/>
                <w:szCs w:val="22"/>
              </w:rPr>
              <w:t>é</w:t>
            </w:r>
            <w:r w:rsidRPr="00A475AF">
              <w:rPr>
                <w:sz w:val="22"/>
                <w:szCs w:val="22"/>
              </w:rPr>
              <w:t>n</w:t>
            </w:r>
            <w:r w:rsidR="00100ECD" w:rsidRPr="00A475AF">
              <w:rPr>
                <w:sz w:val="22"/>
                <w:szCs w:val="22"/>
              </w:rPr>
              <w:t>u</w:t>
            </w:r>
            <w:proofErr w:type="spellEnd"/>
            <w:r w:rsidRPr="00A475AF">
              <w:rPr>
                <w:sz w:val="22"/>
                <w:szCs w:val="22"/>
              </w:rPr>
              <w:t>)</w:t>
            </w:r>
          </w:p>
        </w:tc>
      </w:tr>
    </w:tbl>
    <w:p w14:paraId="195DB1E7" w14:textId="77777777" w:rsidR="008534FC" w:rsidRPr="00A475AF" w:rsidRDefault="008534FC" w:rsidP="00DB4E78">
      <w:pPr>
        <w:shd w:val="clear" w:color="auto" w:fill="FFFFFF"/>
        <w:rPr>
          <w:sz w:val="22"/>
          <w:szCs w:val="22"/>
          <w:highlight w:val="yellow"/>
        </w:rPr>
      </w:pPr>
    </w:p>
    <w:p w14:paraId="3A7EAB35" w14:textId="77777777" w:rsidR="00A21CEA" w:rsidRPr="00A475AF" w:rsidRDefault="00100ECD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Ak u detí od 6 rokov je tento liek potrebné podávať viac ako 3 dni alebo sa príznaky ochorenia zhoršujú, je potrebné poradiť sa s lekárom.</w:t>
      </w:r>
    </w:p>
    <w:p w14:paraId="287AE440" w14:textId="77777777" w:rsidR="00A21CEA" w:rsidRPr="00A475AF" w:rsidRDefault="00A21CEA" w:rsidP="00DB4E78">
      <w:pPr>
        <w:rPr>
          <w:sz w:val="22"/>
          <w:szCs w:val="22"/>
        </w:rPr>
      </w:pPr>
    </w:p>
    <w:p w14:paraId="0D93367B" w14:textId="3EF6871F" w:rsidR="00E675C3" w:rsidRPr="00A475AF" w:rsidRDefault="00E675C3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 xml:space="preserve">Deti mladšie ako 6 rokov (&lt; </w:t>
      </w:r>
      <w:r w:rsidR="00022781" w:rsidRPr="00A475AF">
        <w:rPr>
          <w:sz w:val="22"/>
          <w:szCs w:val="22"/>
          <w:u w:val="single"/>
        </w:rPr>
        <w:t>20</w:t>
      </w:r>
      <w:r w:rsidR="00022781">
        <w:rPr>
          <w:sz w:val="22"/>
          <w:szCs w:val="22"/>
          <w:u w:val="single"/>
        </w:rPr>
        <w:t> </w:t>
      </w:r>
      <w:r w:rsidRPr="00A475AF">
        <w:rPr>
          <w:sz w:val="22"/>
          <w:szCs w:val="22"/>
          <w:u w:val="single"/>
        </w:rPr>
        <w:t>kg telesnej hmotnosti)</w:t>
      </w:r>
    </w:p>
    <w:p w14:paraId="639DCE3E" w14:textId="12AA8FA6" w:rsidR="00A21CEA" w:rsidRPr="00A475AF" w:rsidRDefault="00E675C3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200 mg a IBALGIN RAPIDCAPS 400 mg nie sú vhodné pre deti </w:t>
      </w:r>
      <w:r w:rsidR="002306EA" w:rsidRPr="00A475AF">
        <w:rPr>
          <w:bCs/>
          <w:sz w:val="22"/>
          <w:szCs w:val="22"/>
        </w:rPr>
        <w:t>mladšie ako</w:t>
      </w:r>
      <w:r w:rsidRPr="00A475AF">
        <w:rPr>
          <w:bCs/>
          <w:sz w:val="22"/>
          <w:szCs w:val="22"/>
        </w:rPr>
        <w:t xml:space="preserve"> 6 rokov </w:t>
      </w:r>
      <w:r w:rsidRPr="00A475AF">
        <w:rPr>
          <w:sz w:val="22"/>
          <w:szCs w:val="22"/>
        </w:rPr>
        <w:t xml:space="preserve">(&lt; </w:t>
      </w:r>
      <w:r w:rsidR="00022781" w:rsidRPr="00A475AF">
        <w:rPr>
          <w:sz w:val="22"/>
          <w:szCs w:val="22"/>
        </w:rPr>
        <w:t>20</w:t>
      </w:r>
      <w:r w:rsidR="00022781">
        <w:rPr>
          <w:sz w:val="22"/>
          <w:szCs w:val="22"/>
        </w:rPr>
        <w:t> </w:t>
      </w:r>
      <w:r w:rsidRPr="00A475AF">
        <w:rPr>
          <w:sz w:val="22"/>
          <w:szCs w:val="22"/>
        </w:rPr>
        <w:t>kg telesnej hmotnosti), vzhľadom na množstvo l</w:t>
      </w:r>
      <w:r w:rsidR="009F4162" w:rsidRPr="00A475AF">
        <w:rPr>
          <w:sz w:val="22"/>
          <w:szCs w:val="22"/>
        </w:rPr>
        <w:t>iečiva</w:t>
      </w:r>
      <w:r w:rsidRPr="00A475AF">
        <w:rPr>
          <w:sz w:val="22"/>
          <w:szCs w:val="22"/>
        </w:rPr>
        <w:t xml:space="preserve"> v jednej kapsule.</w:t>
      </w:r>
    </w:p>
    <w:p w14:paraId="37FE1E41" w14:textId="77777777" w:rsidR="00E675C3" w:rsidRPr="00A475AF" w:rsidRDefault="00E675C3" w:rsidP="00DB4E78">
      <w:pPr>
        <w:rPr>
          <w:sz w:val="22"/>
          <w:szCs w:val="22"/>
        </w:rPr>
      </w:pPr>
    </w:p>
    <w:p w14:paraId="2ADB7583" w14:textId="77777777" w:rsidR="00E675C3" w:rsidRPr="00A475AF" w:rsidRDefault="00E675C3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>Starší ľudia</w:t>
      </w:r>
    </w:p>
    <w:p w14:paraId="4037EA85" w14:textId="77777777" w:rsidR="00E675C3" w:rsidRPr="00A475AF" w:rsidRDefault="00E675C3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U starších pacientov je dávkovanie rovnaké ako u dospelých, </w:t>
      </w:r>
      <w:r w:rsidR="004F68AA" w:rsidRPr="00A475AF">
        <w:rPr>
          <w:sz w:val="22"/>
          <w:szCs w:val="22"/>
        </w:rPr>
        <w:t>avšak</w:t>
      </w:r>
      <w:r w:rsidRPr="00A475AF">
        <w:rPr>
          <w:sz w:val="22"/>
          <w:szCs w:val="22"/>
        </w:rPr>
        <w:t xml:space="preserve"> je nutná zvýšená opatrnosť (pozri časť 4.4).</w:t>
      </w:r>
    </w:p>
    <w:p w14:paraId="3C2CD88B" w14:textId="77777777" w:rsidR="00E675C3" w:rsidRPr="00A475AF" w:rsidRDefault="00E675C3" w:rsidP="00DB4E78">
      <w:pPr>
        <w:rPr>
          <w:sz w:val="22"/>
          <w:szCs w:val="22"/>
        </w:rPr>
      </w:pPr>
    </w:p>
    <w:p w14:paraId="1F7C1960" w14:textId="77777777" w:rsidR="00E675C3" w:rsidRPr="00A475AF" w:rsidRDefault="00EF6D8C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>Porucha</w:t>
      </w:r>
      <w:r w:rsidR="00E675C3" w:rsidRPr="00A475AF">
        <w:rPr>
          <w:sz w:val="22"/>
          <w:szCs w:val="22"/>
          <w:u w:val="single"/>
        </w:rPr>
        <w:t xml:space="preserve"> funkci</w:t>
      </w:r>
      <w:r w:rsidR="00DB4E78" w:rsidRPr="00A475AF">
        <w:rPr>
          <w:sz w:val="22"/>
          <w:szCs w:val="22"/>
          <w:u w:val="single"/>
        </w:rPr>
        <w:t>e</w:t>
      </w:r>
      <w:r w:rsidR="00E675C3" w:rsidRPr="00A475AF">
        <w:rPr>
          <w:sz w:val="22"/>
          <w:szCs w:val="22"/>
          <w:u w:val="single"/>
        </w:rPr>
        <w:t xml:space="preserve"> pečene a obličiek </w:t>
      </w:r>
    </w:p>
    <w:p w14:paraId="76E63949" w14:textId="77777777" w:rsidR="00E675C3" w:rsidRPr="00A475AF" w:rsidRDefault="00E675C3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Nie je potrebné žiadne zníženie dávky u pacientov s mierne až stredne po</w:t>
      </w:r>
      <w:r w:rsidR="00DB4E78" w:rsidRPr="00A475AF">
        <w:rPr>
          <w:sz w:val="22"/>
          <w:szCs w:val="22"/>
        </w:rPr>
        <w:t>ruchou</w:t>
      </w:r>
      <w:r w:rsidRPr="00A475AF">
        <w:rPr>
          <w:sz w:val="22"/>
          <w:szCs w:val="22"/>
        </w:rPr>
        <w:t xml:space="preserve"> funkci</w:t>
      </w:r>
      <w:r w:rsidR="00DB4E78" w:rsidRPr="00A475AF">
        <w:rPr>
          <w:sz w:val="22"/>
          <w:szCs w:val="22"/>
        </w:rPr>
        <w:t>e</w:t>
      </w:r>
      <w:r w:rsidRPr="00A475AF">
        <w:rPr>
          <w:sz w:val="22"/>
          <w:szCs w:val="22"/>
        </w:rPr>
        <w:t xml:space="preserve"> obličiek a</w:t>
      </w:r>
      <w:r w:rsidR="00406242" w:rsidRPr="00A475AF">
        <w:rPr>
          <w:sz w:val="22"/>
          <w:szCs w:val="22"/>
        </w:rPr>
        <w:t>lebo</w:t>
      </w:r>
      <w:r w:rsidRPr="00A475AF">
        <w:rPr>
          <w:sz w:val="22"/>
          <w:szCs w:val="22"/>
        </w:rPr>
        <w:t> pečene, avšak je nutná zvýšená opatrnosť (pozri časť 4.4.).</w:t>
      </w:r>
    </w:p>
    <w:p w14:paraId="7930954F" w14:textId="77777777" w:rsidR="00E675C3" w:rsidRPr="00A475AF" w:rsidRDefault="00E675C3" w:rsidP="00DB4E78">
      <w:pPr>
        <w:rPr>
          <w:sz w:val="22"/>
          <w:szCs w:val="22"/>
        </w:rPr>
      </w:pPr>
    </w:p>
    <w:p w14:paraId="57DCF833" w14:textId="77777777" w:rsidR="00406242" w:rsidRPr="00A475AF" w:rsidRDefault="00406242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>Spôsob podávania</w:t>
      </w:r>
    </w:p>
    <w:p w14:paraId="532AAA26" w14:textId="77777777" w:rsidR="00DB4E78" w:rsidRPr="00A475AF" w:rsidRDefault="00DB4E78" w:rsidP="00DB4E78">
      <w:pPr>
        <w:rPr>
          <w:sz w:val="22"/>
          <w:szCs w:val="22"/>
          <w:u w:val="single"/>
        </w:rPr>
      </w:pPr>
    </w:p>
    <w:p w14:paraId="26CE43AE" w14:textId="77777777" w:rsidR="00406242" w:rsidRPr="00A475AF" w:rsidRDefault="00406242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Kapsuly sa prehĺtajú celé s dostatočným množstvom tekutiny.</w:t>
      </w:r>
    </w:p>
    <w:p w14:paraId="520735D0" w14:textId="77777777" w:rsidR="00E675C3" w:rsidRPr="00A475AF" w:rsidRDefault="00406242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Kapsula</w:t>
      </w:r>
      <w:r w:rsidR="00E675C3" w:rsidRPr="00A475AF">
        <w:rPr>
          <w:sz w:val="22"/>
          <w:szCs w:val="22"/>
        </w:rPr>
        <w:t xml:space="preserve"> sa môže užívať s jedlom alebo bez jedla. Ak sa užije s jedlom alebo krátko po jedle, môže byť nástup účinku oneskoren</w:t>
      </w:r>
      <w:r w:rsidR="007D0C98" w:rsidRPr="00A475AF">
        <w:rPr>
          <w:sz w:val="22"/>
          <w:szCs w:val="22"/>
        </w:rPr>
        <w:t>ý</w:t>
      </w:r>
      <w:r w:rsidR="00E675C3" w:rsidRPr="00A475AF">
        <w:rPr>
          <w:sz w:val="22"/>
          <w:szCs w:val="22"/>
        </w:rPr>
        <w:t>. Avšak užívanie s jedlom zlepšuje znášanlivosť lieku a znižuje pravdepodobnosť žalúdočno-črevných ťažkostí.</w:t>
      </w:r>
    </w:p>
    <w:p w14:paraId="79A850F7" w14:textId="77777777" w:rsidR="00E675C3" w:rsidRPr="00A475AF" w:rsidRDefault="00E675C3" w:rsidP="00DB4E78">
      <w:pPr>
        <w:rPr>
          <w:sz w:val="22"/>
          <w:szCs w:val="22"/>
        </w:rPr>
      </w:pPr>
    </w:p>
    <w:p w14:paraId="4936FCDB" w14:textId="77777777" w:rsidR="00EF6D8C" w:rsidRPr="00A475AF" w:rsidRDefault="00EF6D8C" w:rsidP="00EF6D8C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>Nežiaduce účinky m</w:t>
      </w:r>
      <w:r w:rsidR="00CF6670" w:rsidRPr="00A475AF">
        <w:rPr>
          <w:bCs/>
          <w:sz w:val="22"/>
          <w:szCs w:val="22"/>
        </w:rPr>
        <w:t>o</w:t>
      </w:r>
      <w:r w:rsidRPr="00A475AF">
        <w:rPr>
          <w:bCs/>
          <w:sz w:val="22"/>
          <w:szCs w:val="22"/>
        </w:rPr>
        <w:t>ž</w:t>
      </w:r>
      <w:r w:rsidR="004F09B0" w:rsidRPr="00A475AF">
        <w:rPr>
          <w:bCs/>
          <w:sz w:val="22"/>
          <w:szCs w:val="22"/>
        </w:rPr>
        <w:t>no</w:t>
      </w:r>
      <w:r w:rsidRPr="00A475AF">
        <w:rPr>
          <w:bCs/>
          <w:sz w:val="22"/>
          <w:szCs w:val="22"/>
        </w:rPr>
        <w:t xml:space="preserve"> minimalizovať </w:t>
      </w:r>
      <w:r w:rsidR="004F09B0" w:rsidRPr="00A475AF">
        <w:rPr>
          <w:bCs/>
          <w:sz w:val="22"/>
          <w:szCs w:val="22"/>
        </w:rPr>
        <w:t>podávaním</w:t>
      </w:r>
      <w:r w:rsidRPr="00A475AF">
        <w:rPr>
          <w:bCs/>
          <w:sz w:val="22"/>
          <w:szCs w:val="22"/>
        </w:rPr>
        <w:t xml:space="preserve"> najnižšej účinnej dávky počas najkratšej </w:t>
      </w:r>
      <w:r w:rsidR="004F09B0" w:rsidRPr="00A475AF">
        <w:rPr>
          <w:bCs/>
          <w:sz w:val="22"/>
          <w:szCs w:val="22"/>
        </w:rPr>
        <w:t xml:space="preserve">potrebnej </w:t>
      </w:r>
      <w:r w:rsidRPr="00A475AF">
        <w:rPr>
          <w:bCs/>
          <w:sz w:val="22"/>
          <w:szCs w:val="22"/>
        </w:rPr>
        <w:t xml:space="preserve">doby na </w:t>
      </w:r>
      <w:r w:rsidR="004F09B0" w:rsidRPr="00A475AF">
        <w:rPr>
          <w:bCs/>
          <w:sz w:val="22"/>
          <w:szCs w:val="22"/>
        </w:rPr>
        <w:t>kontrolu</w:t>
      </w:r>
      <w:r w:rsidRPr="00A475AF">
        <w:rPr>
          <w:bCs/>
          <w:sz w:val="22"/>
          <w:szCs w:val="22"/>
        </w:rPr>
        <w:t xml:space="preserve"> príznakov </w:t>
      </w:r>
      <w:r w:rsidRPr="00A475AF">
        <w:rPr>
          <w:sz w:val="22"/>
          <w:szCs w:val="22"/>
        </w:rPr>
        <w:t>(pozri časť 4.4).</w:t>
      </w:r>
    </w:p>
    <w:p w14:paraId="5D8F3167" w14:textId="77777777" w:rsidR="00EF6D8C" w:rsidRPr="00A475AF" w:rsidRDefault="00EF6D8C" w:rsidP="00DB4E78">
      <w:pPr>
        <w:rPr>
          <w:sz w:val="22"/>
          <w:szCs w:val="22"/>
        </w:rPr>
      </w:pPr>
    </w:p>
    <w:p w14:paraId="59672012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lastRenderedPageBreak/>
        <w:t>Kontraindikácie</w:t>
      </w:r>
    </w:p>
    <w:p w14:paraId="644642B4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7679F05E" w14:textId="77777777" w:rsidR="007844D2" w:rsidRPr="00A475AF" w:rsidRDefault="00406242" w:rsidP="00DB4E7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sz w:val="22"/>
          <w:szCs w:val="22"/>
        </w:rPr>
      </w:pPr>
      <w:r w:rsidRPr="00A475AF">
        <w:rPr>
          <w:sz w:val="22"/>
          <w:szCs w:val="22"/>
        </w:rPr>
        <w:t>P</w:t>
      </w:r>
      <w:r w:rsidR="007844D2" w:rsidRPr="00A475AF">
        <w:rPr>
          <w:sz w:val="22"/>
          <w:szCs w:val="22"/>
        </w:rPr>
        <w:t xml:space="preserve">recitlivenosť na </w:t>
      </w:r>
      <w:r w:rsidR="004F09B0" w:rsidRPr="00A475AF">
        <w:rPr>
          <w:sz w:val="22"/>
          <w:szCs w:val="22"/>
        </w:rPr>
        <w:t>liečivo</w:t>
      </w:r>
      <w:r w:rsidR="007844D2" w:rsidRPr="00A475AF">
        <w:rPr>
          <w:sz w:val="22"/>
          <w:szCs w:val="22"/>
        </w:rPr>
        <w:t xml:space="preserve"> alebo </w:t>
      </w:r>
      <w:r w:rsidR="004F09B0" w:rsidRPr="00A475AF">
        <w:rPr>
          <w:sz w:val="22"/>
          <w:szCs w:val="22"/>
        </w:rPr>
        <w:t xml:space="preserve">na </w:t>
      </w:r>
      <w:r w:rsidR="007844D2" w:rsidRPr="00A475AF">
        <w:rPr>
          <w:sz w:val="22"/>
          <w:szCs w:val="22"/>
        </w:rPr>
        <w:t>ktorúkoľvek z pomocných látok</w:t>
      </w:r>
      <w:r w:rsidR="00C0248A" w:rsidRPr="00A475AF">
        <w:rPr>
          <w:sz w:val="22"/>
          <w:szCs w:val="22"/>
        </w:rPr>
        <w:t xml:space="preserve"> uvedených v časti 6.1</w:t>
      </w:r>
      <w:r w:rsidR="007844D2" w:rsidRPr="00A475AF">
        <w:rPr>
          <w:sz w:val="22"/>
          <w:szCs w:val="22"/>
        </w:rPr>
        <w:t>;</w:t>
      </w:r>
    </w:p>
    <w:p w14:paraId="3F074574" w14:textId="77777777" w:rsidR="007844D2" w:rsidRPr="00A475AF" w:rsidRDefault="00406242" w:rsidP="00DB4E7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sz w:val="22"/>
          <w:szCs w:val="22"/>
        </w:rPr>
      </w:pPr>
      <w:r w:rsidRPr="00A475AF">
        <w:rPr>
          <w:sz w:val="22"/>
          <w:szCs w:val="22"/>
        </w:rPr>
        <w:t>P</w:t>
      </w:r>
      <w:r w:rsidR="007844D2" w:rsidRPr="00A475AF">
        <w:rPr>
          <w:sz w:val="22"/>
          <w:szCs w:val="22"/>
        </w:rPr>
        <w:t xml:space="preserve">acienti s anamnézou </w:t>
      </w:r>
      <w:r w:rsidRPr="00A475AF">
        <w:rPr>
          <w:sz w:val="22"/>
          <w:szCs w:val="22"/>
        </w:rPr>
        <w:t xml:space="preserve">reakcií z precitlivenosti (napr. </w:t>
      </w:r>
      <w:proofErr w:type="spellStart"/>
      <w:r w:rsidR="007844D2" w:rsidRPr="00A475AF">
        <w:rPr>
          <w:sz w:val="22"/>
          <w:szCs w:val="22"/>
        </w:rPr>
        <w:t>bronchospazmu</w:t>
      </w:r>
      <w:r w:rsidRPr="00A475AF">
        <w:rPr>
          <w:sz w:val="22"/>
          <w:szCs w:val="22"/>
        </w:rPr>
        <w:t>s</w:t>
      </w:r>
      <w:proofErr w:type="spellEnd"/>
      <w:r w:rsidR="007844D2" w:rsidRPr="00A475AF">
        <w:rPr>
          <w:sz w:val="22"/>
          <w:szCs w:val="22"/>
        </w:rPr>
        <w:t>, astm</w:t>
      </w:r>
      <w:r w:rsidRPr="00A475AF">
        <w:rPr>
          <w:sz w:val="22"/>
          <w:szCs w:val="22"/>
        </w:rPr>
        <w:t>a</w:t>
      </w:r>
      <w:r w:rsidR="007844D2" w:rsidRPr="00A475AF">
        <w:rPr>
          <w:sz w:val="22"/>
          <w:szCs w:val="22"/>
        </w:rPr>
        <w:t xml:space="preserve">, </w:t>
      </w:r>
      <w:proofErr w:type="spellStart"/>
      <w:r w:rsidR="007844D2" w:rsidRPr="00A475AF">
        <w:rPr>
          <w:sz w:val="22"/>
          <w:szCs w:val="22"/>
        </w:rPr>
        <w:t>rinitíd</w:t>
      </w:r>
      <w:r w:rsidRPr="00A475AF">
        <w:rPr>
          <w:sz w:val="22"/>
          <w:szCs w:val="22"/>
        </w:rPr>
        <w:t>a</w:t>
      </w:r>
      <w:proofErr w:type="spellEnd"/>
      <w:r w:rsidRPr="00A475AF">
        <w:rPr>
          <w:sz w:val="22"/>
          <w:szCs w:val="22"/>
        </w:rPr>
        <w:t>,</w:t>
      </w:r>
      <w:r w:rsidR="007844D2" w:rsidRPr="00A475AF">
        <w:rPr>
          <w:sz w:val="22"/>
          <w:szCs w:val="22"/>
        </w:rPr>
        <w:t xml:space="preserve"> </w:t>
      </w:r>
      <w:r w:rsidRPr="00A475AF">
        <w:rPr>
          <w:sz w:val="22"/>
          <w:szCs w:val="22"/>
        </w:rPr>
        <w:t xml:space="preserve">angioedém </w:t>
      </w:r>
      <w:r w:rsidR="007844D2" w:rsidRPr="00A475AF">
        <w:rPr>
          <w:sz w:val="22"/>
          <w:szCs w:val="22"/>
        </w:rPr>
        <w:t>alebo žihľavk</w:t>
      </w:r>
      <w:r w:rsidRPr="00A475AF">
        <w:rPr>
          <w:sz w:val="22"/>
          <w:szCs w:val="22"/>
        </w:rPr>
        <w:t>a)</w:t>
      </w:r>
      <w:r w:rsidR="007844D2" w:rsidRPr="00A475AF">
        <w:rPr>
          <w:sz w:val="22"/>
          <w:szCs w:val="22"/>
        </w:rPr>
        <w:t xml:space="preserve"> spo</w:t>
      </w:r>
      <w:r w:rsidRPr="00A475AF">
        <w:rPr>
          <w:sz w:val="22"/>
          <w:szCs w:val="22"/>
        </w:rPr>
        <w:t>jených s</w:t>
      </w:r>
      <w:r w:rsidR="007844D2" w:rsidRPr="00A475AF">
        <w:rPr>
          <w:sz w:val="22"/>
          <w:szCs w:val="22"/>
        </w:rPr>
        <w:t xml:space="preserve"> p</w:t>
      </w:r>
      <w:r w:rsidRPr="00A475AF">
        <w:rPr>
          <w:sz w:val="22"/>
          <w:szCs w:val="22"/>
        </w:rPr>
        <w:t>r</w:t>
      </w:r>
      <w:r w:rsidR="007844D2" w:rsidRPr="00A475AF">
        <w:rPr>
          <w:sz w:val="22"/>
          <w:szCs w:val="22"/>
        </w:rPr>
        <w:t>í</w:t>
      </w:r>
      <w:r w:rsidRPr="00A475AF">
        <w:rPr>
          <w:sz w:val="22"/>
          <w:szCs w:val="22"/>
        </w:rPr>
        <w:t>jmom</w:t>
      </w:r>
      <w:r w:rsidR="007844D2" w:rsidRPr="00A475AF">
        <w:rPr>
          <w:sz w:val="22"/>
          <w:szCs w:val="22"/>
        </w:rPr>
        <w:t xml:space="preserve"> kyseliny </w:t>
      </w:r>
      <w:proofErr w:type="spellStart"/>
      <w:r w:rsidR="007844D2" w:rsidRPr="00A475AF">
        <w:rPr>
          <w:sz w:val="22"/>
          <w:szCs w:val="22"/>
        </w:rPr>
        <w:t>acetylsalicylovej</w:t>
      </w:r>
      <w:proofErr w:type="spellEnd"/>
      <w:r w:rsidR="007844D2" w:rsidRPr="00A475AF">
        <w:rPr>
          <w:sz w:val="22"/>
          <w:szCs w:val="22"/>
        </w:rPr>
        <w:t xml:space="preserve"> </w:t>
      </w:r>
      <w:r w:rsidRPr="00A475AF">
        <w:rPr>
          <w:sz w:val="22"/>
          <w:szCs w:val="22"/>
        </w:rPr>
        <w:t xml:space="preserve">(ASA) </w:t>
      </w:r>
      <w:r w:rsidR="007844D2" w:rsidRPr="00A475AF">
        <w:rPr>
          <w:sz w:val="22"/>
          <w:szCs w:val="22"/>
        </w:rPr>
        <w:t xml:space="preserve">alebo iných </w:t>
      </w:r>
      <w:proofErr w:type="spellStart"/>
      <w:r w:rsidR="007844D2" w:rsidRPr="00A475AF">
        <w:rPr>
          <w:sz w:val="22"/>
          <w:szCs w:val="22"/>
        </w:rPr>
        <w:t>nesteroidov</w:t>
      </w:r>
      <w:r w:rsidR="005C16EB" w:rsidRPr="00A475AF">
        <w:rPr>
          <w:sz w:val="22"/>
          <w:szCs w:val="22"/>
        </w:rPr>
        <w:t>ých</w:t>
      </w:r>
      <w:proofErr w:type="spellEnd"/>
      <w:r w:rsidR="007844D2" w:rsidRPr="00A475AF">
        <w:rPr>
          <w:sz w:val="22"/>
          <w:szCs w:val="22"/>
        </w:rPr>
        <w:t xml:space="preserve"> protizápalov</w:t>
      </w:r>
      <w:r w:rsidR="005C16EB" w:rsidRPr="00A475AF">
        <w:rPr>
          <w:sz w:val="22"/>
          <w:szCs w:val="22"/>
        </w:rPr>
        <w:t>ých</w:t>
      </w:r>
      <w:r w:rsidR="007844D2" w:rsidRPr="00A475AF">
        <w:rPr>
          <w:sz w:val="22"/>
          <w:szCs w:val="22"/>
        </w:rPr>
        <w:t xml:space="preserve"> liek</w:t>
      </w:r>
      <w:r w:rsidR="005C16EB" w:rsidRPr="00A475AF">
        <w:rPr>
          <w:sz w:val="22"/>
          <w:szCs w:val="22"/>
        </w:rPr>
        <w:t>ov (NSAID)</w:t>
      </w:r>
      <w:r w:rsidR="007844D2" w:rsidRPr="00A475AF">
        <w:rPr>
          <w:sz w:val="22"/>
          <w:szCs w:val="22"/>
        </w:rPr>
        <w:t>;</w:t>
      </w:r>
    </w:p>
    <w:p w14:paraId="15003DFF" w14:textId="77777777" w:rsidR="007844D2" w:rsidRPr="00A475AF" w:rsidRDefault="005C16EB" w:rsidP="00DB4E7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sz w:val="22"/>
          <w:szCs w:val="22"/>
        </w:rPr>
      </w:pPr>
      <w:r w:rsidRPr="00A475AF">
        <w:rPr>
          <w:spacing w:val="-3"/>
          <w:sz w:val="22"/>
          <w:szCs w:val="22"/>
        </w:rPr>
        <w:t xml:space="preserve">Aktívny </w:t>
      </w:r>
      <w:proofErr w:type="spellStart"/>
      <w:r w:rsidRPr="00A475AF">
        <w:rPr>
          <w:spacing w:val="-3"/>
          <w:sz w:val="22"/>
          <w:szCs w:val="22"/>
        </w:rPr>
        <w:t>peptický</w:t>
      </w:r>
      <w:proofErr w:type="spellEnd"/>
      <w:r w:rsidRPr="00A475AF">
        <w:rPr>
          <w:spacing w:val="-3"/>
          <w:sz w:val="22"/>
          <w:szCs w:val="22"/>
        </w:rPr>
        <w:t xml:space="preserve"> vred/krvácanie alebo anamnéza </w:t>
      </w:r>
      <w:proofErr w:type="spellStart"/>
      <w:r w:rsidRPr="00A475AF">
        <w:rPr>
          <w:spacing w:val="-3"/>
          <w:sz w:val="22"/>
          <w:szCs w:val="22"/>
        </w:rPr>
        <w:t>rekurentného</w:t>
      </w:r>
      <w:proofErr w:type="spellEnd"/>
      <w:r w:rsidRPr="00A475AF">
        <w:rPr>
          <w:spacing w:val="-3"/>
          <w:sz w:val="22"/>
          <w:szCs w:val="22"/>
        </w:rPr>
        <w:t xml:space="preserve"> </w:t>
      </w:r>
      <w:proofErr w:type="spellStart"/>
      <w:r w:rsidRPr="00A475AF">
        <w:rPr>
          <w:spacing w:val="-3"/>
          <w:sz w:val="22"/>
          <w:szCs w:val="22"/>
        </w:rPr>
        <w:t>peptického</w:t>
      </w:r>
      <w:proofErr w:type="spellEnd"/>
      <w:r w:rsidRPr="00A475AF">
        <w:rPr>
          <w:spacing w:val="-3"/>
          <w:sz w:val="22"/>
          <w:szCs w:val="22"/>
        </w:rPr>
        <w:t xml:space="preserve"> vredu/krvácania</w:t>
      </w:r>
      <w:r w:rsidR="007844D2" w:rsidRPr="00A475AF">
        <w:rPr>
          <w:sz w:val="22"/>
          <w:szCs w:val="22"/>
        </w:rPr>
        <w:t xml:space="preserve"> (dva alebo viac </w:t>
      </w:r>
      <w:r w:rsidRPr="00A475AF">
        <w:rPr>
          <w:sz w:val="22"/>
          <w:szCs w:val="22"/>
        </w:rPr>
        <w:t xml:space="preserve">odlišných </w:t>
      </w:r>
      <w:r w:rsidR="007844D2" w:rsidRPr="00A475AF">
        <w:rPr>
          <w:sz w:val="22"/>
          <w:szCs w:val="22"/>
        </w:rPr>
        <w:t>prípadov potvrdeného vredu alebo krvácania);</w:t>
      </w:r>
    </w:p>
    <w:p w14:paraId="455724B8" w14:textId="77777777" w:rsidR="007844D2" w:rsidRPr="00A475AF" w:rsidRDefault="005C16EB" w:rsidP="00DB4E7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sz w:val="22"/>
          <w:szCs w:val="22"/>
        </w:rPr>
      </w:pPr>
      <w:r w:rsidRPr="00A475AF">
        <w:rPr>
          <w:sz w:val="22"/>
          <w:szCs w:val="22"/>
        </w:rPr>
        <w:t>A</w:t>
      </w:r>
      <w:r w:rsidR="007844D2" w:rsidRPr="00A475AF">
        <w:rPr>
          <w:sz w:val="22"/>
          <w:szCs w:val="22"/>
        </w:rPr>
        <w:t>namnéz</w:t>
      </w:r>
      <w:r w:rsidRPr="00A475AF">
        <w:rPr>
          <w:sz w:val="22"/>
          <w:szCs w:val="22"/>
        </w:rPr>
        <w:t>a</w:t>
      </w:r>
      <w:r w:rsidR="007844D2" w:rsidRPr="00A475AF">
        <w:rPr>
          <w:sz w:val="22"/>
          <w:szCs w:val="22"/>
        </w:rPr>
        <w:t xml:space="preserve"> </w:t>
      </w:r>
      <w:proofErr w:type="spellStart"/>
      <w:r w:rsidR="007844D2" w:rsidRPr="00A475AF">
        <w:rPr>
          <w:sz w:val="22"/>
          <w:szCs w:val="22"/>
        </w:rPr>
        <w:t>gastrointestinálneho</w:t>
      </w:r>
      <w:proofErr w:type="spellEnd"/>
      <w:r w:rsidR="007844D2" w:rsidRPr="00A475AF">
        <w:rPr>
          <w:sz w:val="22"/>
          <w:szCs w:val="22"/>
        </w:rPr>
        <w:t xml:space="preserve"> krvácania alebo perforácie vo vzťahu k predchádzajúcej terapii </w:t>
      </w:r>
      <w:r w:rsidRPr="00A475AF">
        <w:rPr>
          <w:sz w:val="22"/>
          <w:szCs w:val="22"/>
        </w:rPr>
        <w:t xml:space="preserve">liekmi zo skupiny </w:t>
      </w:r>
      <w:r w:rsidR="007844D2" w:rsidRPr="00A475AF">
        <w:rPr>
          <w:sz w:val="22"/>
          <w:szCs w:val="22"/>
        </w:rPr>
        <w:t>NSAID;</w:t>
      </w:r>
    </w:p>
    <w:p w14:paraId="3B2892D1" w14:textId="77777777" w:rsidR="005C16EB" w:rsidRPr="00A475AF" w:rsidRDefault="005C16EB" w:rsidP="00DB4E7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sz w:val="22"/>
          <w:szCs w:val="22"/>
        </w:rPr>
      </w:pPr>
      <w:r w:rsidRPr="00A475AF">
        <w:rPr>
          <w:sz w:val="22"/>
          <w:szCs w:val="22"/>
        </w:rPr>
        <w:t xml:space="preserve">Poruchy </w:t>
      </w:r>
      <w:proofErr w:type="spellStart"/>
      <w:r w:rsidRPr="00A475AF">
        <w:rPr>
          <w:sz w:val="22"/>
          <w:szCs w:val="22"/>
        </w:rPr>
        <w:t>hemokoagulácie</w:t>
      </w:r>
      <w:proofErr w:type="spellEnd"/>
      <w:r w:rsidRPr="00A475AF">
        <w:rPr>
          <w:sz w:val="22"/>
          <w:szCs w:val="22"/>
        </w:rPr>
        <w:t xml:space="preserve"> a </w:t>
      </w:r>
      <w:proofErr w:type="spellStart"/>
      <w:r w:rsidRPr="00A475AF">
        <w:rPr>
          <w:sz w:val="22"/>
          <w:szCs w:val="22"/>
        </w:rPr>
        <w:t>hemopoézy</w:t>
      </w:r>
      <w:proofErr w:type="spellEnd"/>
      <w:r w:rsidRPr="00A475AF">
        <w:rPr>
          <w:sz w:val="22"/>
          <w:szCs w:val="22"/>
        </w:rPr>
        <w:t>;</w:t>
      </w:r>
    </w:p>
    <w:p w14:paraId="1E952BF4" w14:textId="77777777" w:rsidR="007844D2" w:rsidRPr="00A475AF" w:rsidRDefault="005C16EB" w:rsidP="00DB4E7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sz w:val="22"/>
          <w:szCs w:val="22"/>
        </w:rPr>
      </w:pPr>
      <w:r w:rsidRPr="00A475AF">
        <w:rPr>
          <w:sz w:val="22"/>
          <w:szCs w:val="22"/>
        </w:rPr>
        <w:t>P</w:t>
      </w:r>
      <w:r w:rsidR="007844D2" w:rsidRPr="00A475AF">
        <w:rPr>
          <w:sz w:val="22"/>
          <w:szCs w:val="22"/>
        </w:rPr>
        <w:t>acienti s</w:t>
      </w:r>
      <w:r w:rsidR="00484DA7" w:rsidRPr="00A475AF">
        <w:rPr>
          <w:sz w:val="22"/>
          <w:szCs w:val="22"/>
        </w:rPr>
        <w:t>o</w:t>
      </w:r>
      <w:r w:rsidR="007844D2" w:rsidRPr="00A475AF">
        <w:rPr>
          <w:sz w:val="22"/>
          <w:szCs w:val="22"/>
        </w:rPr>
        <w:t> </w:t>
      </w:r>
      <w:r w:rsidR="00484DA7" w:rsidRPr="00A475AF">
        <w:rPr>
          <w:sz w:val="22"/>
          <w:szCs w:val="22"/>
        </w:rPr>
        <w:t>závažn</w:t>
      </w:r>
      <w:r w:rsidR="007844D2" w:rsidRPr="00A475AF">
        <w:rPr>
          <w:sz w:val="22"/>
          <w:szCs w:val="22"/>
        </w:rPr>
        <w:t xml:space="preserve">ým </w:t>
      </w:r>
      <w:r w:rsidR="00484DA7" w:rsidRPr="00A475AF">
        <w:rPr>
          <w:sz w:val="22"/>
          <w:szCs w:val="22"/>
        </w:rPr>
        <w:t>zlyhaním</w:t>
      </w:r>
      <w:r w:rsidR="007844D2" w:rsidRPr="00A475AF">
        <w:rPr>
          <w:sz w:val="22"/>
          <w:szCs w:val="22"/>
        </w:rPr>
        <w:t xml:space="preserve"> pečene</w:t>
      </w:r>
      <w:r w:rsidR="00484DA7" w:rsidRPr="00A475AF">
        <w:rPr>
          <w:sz w:val="22"/>
          <w:szCs w:val="22"/>
        </w:rPr>
        <w:t>, závažným zlyhaním</w:t>
      </w:r>
      <w:r w:rsidR="007844D2" w:rsidRPr="00A475AF">
        <w:rPr>
          <w:sz w:val="22"/>
          <w:szCs w:val="22"/>
        </w:rPr>
        <w:t xml:space="preserve"> obličiek</w:t>
      </w:r>
      <w:r w:rsidR="00484DA7" w:rsidRPr="00A475AF">
        <w:rPr>
          <w:sz w:val="22"/>
          <w:szCs w:val="22"/>
        </w:rPr>
        <w:t xml:space="preserve"> alebo </w:t>
      </w:r>
      <w:r w:rsidR="007844D2" w:rsidRPr="00A475AF">
        <w:rPr>
          <w:sz w:val="22"/>
          <w:szCs w:val="22"/>
        </w:rPr>
        <w:t>závažn</w:t>
      </w:r>
      <w:r w:rsidR="00484DA7" w:rsidRPr="00A475AF">
        <w:rPr>
          <w:sz w:val="22"/>
          <w:szCs w:val="22"/>
        </w:rPr>
        <w:t>ým</w:t>
      </w:r>
      <w:r w:rsidR="007844D2" w:rsidRPr="00A475AF">
        <w:rPr>
          <w:sz w:val="22"/>
          <w:szCs w:val="22"/>
        </w:rPr>
        <w:t xml:space="preserve"> </w:t>
      </w:r>
      <w:r w:rsidR="004F09B0" w:rsidRPr="00A475AF">
        <w:rPr>
          <w:sz w:val="22"/>
          <w:szCs w:val="22"/>
        </w:rPr>
        <w:t xml:space="preserve">srdcovým </w:t>
      </w:r>
      <w:r w:rsidR="007844D2" w:rsidRPr="00A475AF">
        <w:rPr>
          <w:sz w:val="22"/>
          <w:szCs w:val="22"/>
        </w:rPr>
        <w:t>zlyhan</w:t>
      </w:r>
      <w:r w:rsidR="00484DA7" w:rsidRPr="00A475AF">
        <w:rPr>
          <w:sz w:val="22"/>
          <w:szCs w:val="22"/>
        </w:rPr>
        <w:t>ím</w:t>
      </w:r>
      <w:r w:rsidR="007844D2" w:rsidRPr="00A475AF">
        <w:rPr>
          <w:sz w:val="22"/>
          <w:szCs w:val="22"/>
        </w:rPr>
        <w:t xml:space="preserve"> </w:t>
      </w:r>
      <w:r w:rsidR="00EF6D8C" w:rsidRPr="00A475AF">
        <w:rPr>
          <w:sz w:val="22"/>
          <w:szCs w:val="22"/>
        </w:rPr>
        <w:t>(trieda IV NYHA)</w:t>
      </w:r>
      <w:r w:rsidR="00484DA7" w:rsidRPr="00A475AF">
        <w:rPr>
          <w:sz w:val="22"/>
          <w:szCs w:val="22"/>
        </w:rPr>
        <w:t>. Pozri tiež časť 4.4</w:t>
      </w:r>
      <w:r w:rsidR="007844D2" w:rsidRPr="00A475AF">
        <w:rPr>
          <w:sz w:val="22"/>
          <w:szCs w:val="22"/>
        </w:rPr>
        <w:t>;</w:t>
      </w:r>
    </w:p>
    <w:p w14:paraId="5BC3E2D1" w14:textId="77777777" w:rsidR="007844D2" w:rsidRPr="00A475AF" w:rsidRDefault="00484DA7" w:rsidP="00DB4E78">
      <w:pPr>
        <w:numPr>
          <w:ilvl w:val="0"/>
          <w:numId w:val="5"/>
        </w:numPr>
        <w:tabs>
          <w:tab w:val="clear" w:pos="1080"/>
          <w:tab w:val="num" w:pos="540"/>
        </w:tabs>
        <w:ind w:left="540" w:hanging="540"/>
        <w:rPr>
          <w:sz w:val="22"/>
          <w:szCs w:val="22"/>
        </w:rPr>
      </w:pPr>
      <w:r w:rsidRPr="00A475AF">
        <w:rPr>
          <w:sz w:val="22"/>
          <w:szCs w:val="22"/>
        </w:rPr>
        <w:t xml:space="preserve">Počas </w:t>
      </w:r>
      <w:r w:rsidR="007844D2" w:rsidRPr="00A475AF">
        <w:rPr>
          <w:sz w:val="22"/>
          <w:szCs w:val="22"/>
        </w:rPr>
        <w:t>posledn</w:t>
      </w:r>
      <w:r w:rsidRPr="00A475AF">
        <w:rPr>
          <w:sz w:val="22"/>
          <w:szCs w:val="22"/>
        </w:rPr>
        <w:t>ého</w:t>
      </w:r>
      <w:r w:rsidR="007844D2" w:rsidRPr="00A475AF">
        <w:rPr>
          <w:sz w:val="22"/>
          <w:szCs w:val="22"/>
        </w:rPr>
        <w:t xml:space="preserve"> </w:t>
      </w:r>
      <w:proofErr w:type="spellStart"/>
      <w:r w:rsidR="007844D2" w:rsidRPr="00A475AF">
        <w:rPr>
          <w:sz w:val="22"/>
          <w:szCs w:val="22"/>
        </w:rPr>
        <w:t>trimestr</w:t>
      </w:r>
      <w:r w:rsidRPr="00A475AF">
        <w:rPr>
          <w:sz w:val="22"/>
          <w:szCs w:val="22"/>
        </w:rPr>
        <w:t>a</w:t>
      </w:r>
      <w:proofErr w:type="spellEnd"/>
      <w:r w:rsidR="007844D2" w:rsidRPr="00A475AF">
        <w:rPr>
          <w:sz w:val="22"/>
          <w:szCs w:val="22"/>
        </w:rPr>
        <w:t xml:space="preserve"> gravidity</w:t>
      </w:r>
      <w:r w:rsidR="000263D4" w:rsidRPr="00A475AF">
        <w:rPr>
          <w:sz w:val="22"/>
          <w:szCs w:val="22"/>
        </w:rPr>
        <w:t xml:space="preserve">, pretože hrozí riziko predčasného uzavretia </w:t>
      </w:r>
      <w:proofErr w:type="spellStart"/>
      <w:r w:rsidR="000263D4" w:rsidRPr="00A475AF">
        <w:rPr>
          <w:i/>
          <w:sz w:val="22"/>
          <w:szCs w:val="22"/>
        </w:rPr>
        <w:t>ductus</w:t>
      </w:r>
      <w:proofErr w:type="spellEnd"/>
      <w:r w:rsidR="007844D2" w:rsidRPr="00A475AF">
        <w:rPr>
          <w:i/>
          <w:sz w:val="22"/>
          <w:szCs w:val="22"/>
        </w:rPr>
        <w:t xml:space="preserve"> </w:t>
      </w:r>
      <w:proofErr w:type="spellStart"/>
      <w:r w:rsidR="000263D4" w:rsidRPr="00A475AF">
        <w:rPr>
          <w:i/>
          <w:sz w:val="22"/>
          <w:szCs w:val="22"/>
        </w:rPr>
        <w:t>arteriosus</w:t>
      </w:r>
      <w:proofErr w:type="spellEnd"/>
      <w:r w:rsidR="000263D4" w:rsidRPr="00A475AF">
        <w:rPr>
          <w:sz w:val="22"/>
          <w:szCs w:val="22"/>
        </w:rPr>
        <w:t xml:space="preserve"> plodu s možnosťou pretrvávajúcej pľúcnej hypertenzie</w:t>
      </w:r>
      <w:r w:rsidR="00EA6205" w:rsidRPr="00A475AF">
        <w:rPr>
          <w:sz w:val="22"/>
          <w:szCs w:val="22"/>
        </w:rPr>
        <w:t xml:space="preserve">. </w:t>
      </w:r>
      <w:r w:rsidR="007D0C98" w:rsidRPr="00A475AF">
        <w:rPr>
          <w:sz w:val="22"/>
          <w:szCs w:val="22"/>
        </w:rPr>
        <w:t xml:space="preserve">Začiatok pôrodu môže byť oneskorený </w:t>
      </w:r>
      <w:r w:rsidR="004D46D1" w:rsidRPr="00A475AF">
        <w:rPr>
          <w:sz w:val="22"/>
          <w:szCs w:val="22"/>
        </w:rPr>
        <w:t>a čas trvania pôrodu predĺžený, spolu so zvýšenou náchylnosťou ku krvácaniu u matky i dieťaťa</w:t>
      </w:r>
      <w:r w:rsidR="000263D4" w:rsidRPr="00A475AF">
        <w:rPr>
          <w:sz w:val="22"/>
          <w:szCs w:val="22"/>
        </w:rPr>
        <w:t xml:space="preserve"> </w:t>
      </w:r>
      <w:r w:rsidR="007844D2" w:rsidRPr="00A475AF">
        <w:rPr>
          <w:sz w:val="22"/>
          <w:szCs w:val="22"/>
        </w:rPr>
        <w:t>(pozri časť 4.6).</w:t>
      </w:r>
    </w:p>
    <w:p w14:paraId="04E14817" w14:textId="77777777" w:rsidR="007844D2" w:rsidRPr="00A475AF" w:rsidRDefault="007844D2" w:rsidP="00DB4E78">
      <w:pPr>
        <w:tabs>
          <w:tab w:val="num" w:pos="540"/>
        </w:tabs>
        <w:ind w:left="540" w:hanging="540"/>
        <w:rPr>
          <w:sz w:val="22"/>
          <w:szCs w:val="22"/>
        </w:rPr>
      </w:pPr>
    </w:p>
    <w:p w14:paraId="51975DDD" w14:textId="34558F8C" w:rsidR="009F4162" w:rsidRPr="00A475AF" w:rsidRDefault="009F4162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200 mg nie je vhodný pre deti do 6 rokov </w:t>
      </w:r>
      <w:r w:rsidRPr="00A475AF">
        <w:rPr>
          <w:sz w:val="22"/>
          <w:szCs w:val="22"/>
        </w:rPr>
        <w:t xml:space="preserve">(&lt; </w:t>
      </w:r>
      <w:r w:rsidR="00022781" w:rsidRPr="00A475AF">
        <w:rPr>
          <w:sz w:val="22"/>
          <w:szCs w:val="22"/>
        </w:rPr>
        <w:t>20</w:t>
      </w:r>
      <w:r w:rsidR="00022781">
        <w:rPr>
          <w:sz w:val="22"/>
          <w:szCs w:val="22"/>
        </w:rPr>
        <w:t> </w:t>
      </w:r>
      <w:r w:rsidRPr="00A475AF">
        <w:rPr>
          <w:sz w:val="22"/>
          <w:szCs w:val="22"/>
        </w:rPr>
        <w:t>kg telesnej hmotnosti), vzhľadom na množstvo liečiva v jednej kapsule.</w:t>
      </w:r>
    </w:p>
    <w:p w14:paraId="36F8DA60" w14:textId="77777777" w:rsidR="000263D4" w:rsidRPr="00A475AF" w:rsidRDefault="000263D4" w:rsidP="00DB4E78">
      <w:pPr>
        <w:tabs>
          <w:tab w:val="num" w:pos="540"/>
        </w:tabs>
        <w:ind w:left="540" w:hanging="540"/>
        <w:rPr>
          <w:sz w:val="22"/>
          <w:szCs w:val="22"/>
        </w:rPr>
      </w:pPr>
    </w:p>
    <w:p w14:paraId="03DE6EB8" w14:textId="5170C932" w:rsidR="009F4162" w:rsidRPr="00A475AF" w:rsidRDefault="009F4162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400 mg nie je vhodný pre deti do 12 rokov </w:t>
      </w:r>
      <w:r w:rsidRPr="00A475AF">
        <w:rPr>
          <w:sz w:val="22"/>
          <w:szCs w:val="22"/>
        </w:rPr>
        <w:t xml:space="preserve">(&lt; </w:t>
      </w:r>
      <w:r w:rsidR="00022781" w:rsidRPr="00A475AF">
        <w:rPr>
          <w:sz w:val="22"/>
          <w:szCs w:val="22"/>
        </w:rPr>
        <w:t>40</w:t>
      </w:r>
      <w:r w:rsidR="00022781">
        <w:rPr>
          <w:sz w:val="22"/>
          <w:szCs w:val="22"/>
        </w:rPr>
        <w:t> </w:t>
      </w:r>
      <w:r w:rsidRPr="00A475AF">
        <w:rPr>
          <w:sz w:val="22"/>
          <w:szCs w:val="22"/>
        </w:rPr>
        <w:t>kg telesnej hmotnosti), vzhľadom na množstvo liečiva v jednej kapsule.</w:t>
      </w:r>
    </w:p>
    <w:p w14:paraId="074A3428" w14:textId="77777777" w:rsidR="000263D4" w:rsidRPr="00A475AF" w:rsidRDefault="000263D4" w:rsidP="00DB4E78">
      <w:pPr>
        <w:tabs>
          <w:tab w:val="num" w:pos="540"/>
        </w:tabs>
        <w:ind w:left="540" w:hanging="540"/>
        <w:rPr>
          <w:sz w:val="22"/>
          <w:szCs w:val="22"/>
        </w:rPr>
      </w:pPr>
    </w:p>
    <w:p w14:paraId="44BF958F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Osobitné upozornenia a opatrenia pri používaní</w:t>
      </w:r>
    </w:p>
    <w:p w14:paraId="04D95D2E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21D8531A" w14:textId="77777777" w:rsidR="007844D2" w:rsidRPr="00A475AF" w:rsidRDefault="007844D2" w:rsidP="00DB4E78">
      <w:pPr>
        <w:rPr>
          <w:b/>
          <w:bCs/>
          <w:sz w:val="22"/>
          <w:szCs w:val="22"/>
          <w:u w:val="single"/>
        </w:rPr>
      </w:pPr>
      <w:r w:rsidRPr="00A475AF">
        <w:rPr>
          <w:bCs/>
          <w:sz w:val="22"/>
          <w:szCs w:val="22"/>
        </w:rPr>
        <w:t xml:space="preserve">Nežiaduce účinky </w:t>
      </w:r>
      <w:r w:rsidR="00421E36" w:rsidRPr="00A475AF">
        <w:rPr>
          <w:bCs/>
          <w:sz w:val="22"/>
          <w:szCs w:val="22"/>
        </w:rPr>
        <w:t>mo</w:t>
      </w:r>
      <w:r w:rsidRPr="00A475AF">
        <w:rPr>
          <w:bCs/>
          <w:sz w:val="22"/>
          <w:szCs w:val="22"/>
        </w:rPr>
        <w:t>ž</w:t>
      </w:r>
      <w:r w:rsidR="00421E36" w:rsidRPr="00A475AF">
        <w:rPr>
          <w:bCs/>
          <w:sz w:val="22"/>
          <w:szCs w:val="22"/>
        </w:rPr>
        <w:t>no</w:t>
      </w:r>
      <w:r w:rsidRPr="00A475AF">
        <w:rPr>
          <w:bCs/>
          <w:sz w:val="22"/>
          <w:szCs w:val="22"/>
        </w:rPr>
        <w:t xml:space="preserve"> minimalizovať už</w:t>
      </w:r>
      <w:r w:rsidR="00421E36" w:rsidRPr="00A475AF">
        <w:rPr>
          <w:bCs/>
          <w:sz w:val="22"/>
          <w:szCs w:val="22"/>
        </w:rPr>
        <w:t>ívan</w:t>
      </w:r>
      <w:r w:rsidRPr="00A475AF">
        <w:rPr>
          <w:bCs/>
          <w:sz w:val="22"/>
          <w:szCs w:val="22"/>
        </w:rPr>
        <w:t>ím naj</w:t>
      </w:r>
      <w:r w:rsidR="00421E36" w:rsidRPr="00A475AF">
        <w:rPr>
          <w:bCs/>
          <w:sz w:val="22"/>
          <w:szCs w:val="22"/>
        </w:rPr>
        <w:t>niž</w:t>
      </w:r>
      <w:r w:rsidRPr="00A475AF">
        <w:rPr>
          <w:bCs/>
          <w:sz w:val="22"/>
          <w:szCs w:val="22"/>
        </w:rPr>
        <w:t xml:space="preserve">šej účinnej dávky </w:t>
      </w:r>
      <w:r w:rsidR="00421E36" w:rsidRPr="00A475AF">
        <w:rPr>
          <w:spacing w:val="-4"/>
          <w:sz w:val="22"/>
          <w:szCs w:val="22"/>
        </w:rPr>
        <w:t xml:space="preserve">po </w:t>
      </w:r>
      <w:r w:rsidR="002D6D0C" w:rsidRPr="00A475AF">
        <w:rPr>
          <w:spacing w:val="-4"/>
          <w:sz w:val="22"/>
          <w:szCs w:val="22"/>
        </w:rPr>
        <w:t xml:space="preserve">čo </w:t>
      </w:r>
      <w:r w:rsidR="00421E36" w:rsidRPr="00A475AF">
        <w:rPr>
          <w:spacing w:val="-4"/>
          <w:sz w:val="22"/>
          <w:szCs w:val="22"/>
        </w:rPr>
        <w:t>najkratší čas potrebný na zvládnutie príznakov</w:t>
      </w:r>
      <w:r w:rsidR="00421E36" w:rsidRPr="00A475AF">
        <w:rPr>
          <w:bCs/>
          <w:sz w:val="22"/>
          <w:szCs w:val="22"/>
        </w:rPr>
        <w:t xml:space="preserve"> (pozri </w:t>
      </w:r>
      <w:proofErr w:type="spellStart"/>
      <w:r w:rsidR="00421E36" w:rsidRPr="00A475AF">
        <w:rPr>
          <w:bCs/>
          <w:sz w:val="22"/>
          <w:szCs w:val="22"/>
        </w:rPr>
        <w:t>gastrointestinálne</w:t>
      </w:r>
      <w:proofErr w:type="spellEnd"/>
      <w:r w:rsidR="00421E36" w:rsidRPr="00A475AF">
        <w:rPr>
          <w:bCs/>
          <w:sz w:val="22"/>
          <w:szCs w:val="22"/>
        </w:rPr>
        <w:t xml:space="preserve"> a k</w:t>
      </w:r>
      <w:r w:rsidRPr="00A475AF">
        <w:rPr>
          <w:bCs/>
          <w:sz w:val="22"/>
          <w:szCs w:val="22"/>
        </w:rPr>
        <w:t>ardiovaskulárne r</w:t>
      </w:r>
      <w:r w:rsidR="00421E36" w:rsidRPr="00A475AF">
        <w:rPr>
          <w:bCs/>
          <w:sz w:val="22"/>
          <w:szCs w:val="22"/>
        </w:rPr>
        <w:t>iziká uvedené</w:t>
      </w:r>
      <w:r w:rsidRPr="00A475AF">
        <w:rPr>
          <w:bCs/>
          <w:sz w:val="22"/>
          <w:szCs w:val="22"/>
        </w:rPr>
        <w:t xml:space="preserve"> nižšie).</w:t>
      </w:r>
    </w:p>
    <w:p w14:paraId="02F8D86D" w14:textId="77777777" w:rsidR="007844D2" w:rsidRPr="00A475AF" w:rsidRDefault="007844D2" w:rsidP="00DB4E78">
      <w:pPr>
        <w:rPr>
          <w:bCs/>
          <w:sz w:val="22"/>
          <w:szCs w:val="22"/>
        </w:rPr>
      </w:pPr>
    </w:p>
    <w:p w14:paraId="1F93881E" w14:textId="77777777" w:rsidR="00421E36" w:rsidRPr="00A475AF" w:rsidRDefault="00233FE1" w:rsidP="00DB4E78">
      <w:pPr>
        <w:rPr>
          <w:bCs/>
          <w:i/>
          <w:sz w:val="22"/>
          <w:szCs w:val="22"/>
          <w:u w:val="single"/>
        </w:rPr>
      </w:pPr>
      <w:r w:rsidRPr="00A475AF">
        <w:rPr>
          <w:bCs/>
          <w:i/>
          <w:sz w:val="22"/>
          <w:szCs w:val="22"/>
          <w:u w:val="single"/>
        </w:rPr>
        <w:t>Pediatrická populácia</w:t>
      </w:r>
    </w:p>
    <w:p w14:paraId="79D9BB6B" w14:textId="77777777" w:rsidR="00421E36" w:rsidRPr="00A475AF" w:rsidRDefault="00233FE1" w:rsidP="00DB4E78">
      <w:pPr>
        <w:rPr>
          <w:bCs/>
          <w:sz w:val="22"/>
          <w:szCs w:val="22"/>
        </w:rPr>
      </w:pPr>
      <w:r w:rsidRPr="00A475AF">
        <w:rPr>
          <w:sz w:val="22"/>
          <w:szCs w:val="22"/>
        </w:rPr>
        <w:t>Existuje riziko poškodenia obličiek u dehydratovaných detí a dospievajúcich.</w:t>
      </w:r>
    </w:p>
    <w:p w14:paraId="30F7E485" w14:textId="77777777" w:rsidR="00421E36" w:rsidRPr="00A475AF" w:rsidRDefault="00421E36" w:rsidP="00DB4E78">
      <w:pPr>
        <w:rPr>
          <w:bCs/>
          <w:sz w:val="22"/>
          <w:szCs w:val="22"/>
        </w:rPr>
      </w:pPr>
    </w:p>
    <w:p w14:paraId="3106847B" w14:textId="77777777" w:rsidR="00233FE1" w:rsidRPr="00A475AF" w:rsidRDefault="00233FE1" w:rsidP="00DB4E78">
      <w:pPr>
        <w:rPr>
          <w:i/>
          <w:spacing w:val="-3"/>
          <w:sz w:val="22"/>
          <w:szCs w:val="22"/>
          <w:u w:val="single"/>
        </w:rPr>
      </w:pPr>
      <w:r w:rsidRPr="00A475AF">
        <w:rPr>
          <w:i/>
          <w:spacing w:val="-3"/>
          <w:sz w:val="22"/>
          <w:szCs w:val="22"/>
          <w:u w:val="single"/>
        </w:rPr>
        <w:t>Starší pacienti</w:t>
      </w:r>
    </w:p>
    <w:p w14:paraId="62152511" w14:textId="77777777" w:rsidR="00421E36" w:rsidRPr="00A475AF" w:rsidRDefault="00233FE1" w:rsidP="00DB4E78">
      <w:pPr>
        <w:rPr>
          <w:bCs/>
          <w:sz w:val="22"/>
          <w:szCs w:val="22"/>
        </w:rPr>
      </w:pPr>
      <w:r w:rsidRPr="00A475AF">
        <w:rPr>
          <w:spacing w:val="-3"/>
          <w:sz w:val="22"/>
          <w:szCs w:val="22"/>
        </w:rPr>
        <w:t xml:space="preserve">Starší pacienti majú zvýšenú frekvenciu nežiaducich reakcií spôsobených užívaním NSAID, najmä </w:t>
      </w:r>
      <w:proofErr w:type="spellStart"/>
      <w:r w:rsidRPr="00A475AF">
        <w:rPr>
          <w:spacing w:val="-3"/>
          <w:sz w:val="22"/>
          <w:szCs w:val="22"/>
        </w:rPr>
        <w:t>gastrointestinálneho</w:t>
      </w:r>
      <w:proofErr w:type="spellEnd"/>
      <w:r w:rsidRPr="00A475AF">
        <w:rPr>
          <w:spacing w:val="-3"/>
          <w:sz w:val="22"/>
          <w:szCs w:val="22"/>
        </w:rPr>
        <w:t xml:space="preserve"> krvácania a perforácie, ktoré môžu byť fatálne (pozri časť 4.8.).</w:t>
      </w:r>
    </w:p>
    <w:p w14:paraId="603BFAD4" w14:textId="77777777" w:rsidR="00421E36" w:rsidRPr="00A475AF" w:rsidRDefault="00421E36" w:rsidP="00792D82">
      <w:pPr>
        <w:rPr>
          <w:bCs/>
          <w:sz w:val="22"/>
          <w:szCs w:val="22"/>
        </w:rPr>
      </w:pPr>
    </w:p>
    <w:p w14:paraId="7812884E" w14:textId="77777777" w:rsidR="00421E36" w:rsidRPr="00A475AF" w:rsidRDefault="00233FE1" w:rsidP="00DB4E78">
      <w:pPr>
        <w:rPr>
          <w:bCs/>
          <w:i/>
          <w:sz w:val="22"/>
          <w:szCs w:val="22"/>
          <w:u w:val="single"/>
        </w:rPr>
      </w:pPr>
      <w:r w:rsidRPr="00A475AF">
        <w:rPr>
          <w:bCs/>
          <w:i/>
          <w:sz w:val="22"/>
          <w:szCs w:val="22"/>
          <w:u w:val="single"/>
        </w:rPr>
        <w:t>Dýchacie cesty</w:t>
      </w:r>
    </w:p>
    <w:p w14:paraId="7A040AC0" w14:textId="77777777" w:rsidR="00233FE1" w:rsidRPr="00A475AF" w:rsidRDefault="00492D98" w:rsidP="00DB4E78">
      <w:pPr>
        <w:rPr>
          <w:bCs/>
          <w:sz w:val="22"/>
          <w:szCs w:val="22"/>
        </w:rPr>
      </w:pPr>
      <w:r w:rsidRPr="00A475AF">
        <w:rPr>
          <w:sz w:val="22"/>
          <w:szCs w:val="22"/>
        </w:rPr>
        <w:t xml:space="preserve">U pacientov s bronchiálnou astmou alebo alergickým ochorením alebo u pacientov, ktorí tieto ochorenia prekonali v minulosti, môže liek vyvolať </w:t>
      </w:r>
      <w:proofErr w:type="spellStart"/>
      <w:r w:rsidRPr="00A475AF">
        <w:rPr>
          <w:sz w:val="22"/>
          <w:szCs w:val="22"/>
        </w:rPr>
        <w:t>bronchospazmus</w:t>
      </w:r>
      <w:proofErr w:type="spellEnd"/>
      <w:r w:rsidRPr="00A475AF">
        <w:rPr>
          <w:sz w:val="22"/>
          <w:szCs w:val="22"/>
        </w:rPr>
        <w:t>.</w:t>
      </w:r>
      <w:r w:rsidR="004B730F" w:rsidRPr="00A475AF">
        <w:rPr>
          <w:sz w:val="22"/>
          <w:szCs w:val="22"/>
        </w:rPr>
        <w:t xml:space="preserve"> </w:t>
      </w:r>
      <w:r w:rsidR="00040163" w:rsidRPr="00A475AF">
        <w:rPr>
          <w:sz w:val="22"/>
          <w:szCs w:val="22"/>
        </w:rPr>
        <w:t>U pacientov so sennou nádchou, nosnými polypmi alebo s chronickým obštrukčným respiračným ochorením je potrebná opatrnosť, nakoľko u týchto pacientov je zvýšené riziko alergických reakcií.</w:t>
      </w:r>
    </w:p>
    <w:p w14:paraId="081D4FAE" w14:textId="77777777" w:rsidR="00492D98" w:rsidRPr="00A475AF" w:rsidRDefault="00492D98" w:rsidP="00DB4E78">
      <w:pPr>
        <w:rPr>
          <w:bCs/>
          <w:sz w:val="22"/>
          <w:szCs w:val="22"/>
        </w:rPr>
      </w:pPr>
    </w:p>
    <w:p w14:paraId="67867749" w14:textId="77777777" w:rsidR="00492D98" w:rsidRPr="00A475AF" w:rsidRDefault="00492D98" w:rsidP="00DB4E78">
      <w:pPr>
        <w:rPr>
          <w:bCs/>
          <w:i/>
          <w:sz w:val="22"/>
          <w:szCs w:val="22"/>
          <w:u w:val="single"/>
        </w:rPr>
      </w:pPr>
      <w:r w:rsidRPr="00A475AF">
        <w:rPr>
          <w:bCs/>
          <w:i/>
          <w:sz w:val="22"/>
          <w:szCs w:val="22"/>
          <w:u w:val="single"/>
        </w:rPr>
        <w:t>Iné NSAID</w:t>
      </w:r>
    </w:p>
    <w:p w14:paraId="2C9B2AC0" w14:textId="77777777" w:rsidR="00492D98" w:rsidRPr="00A475AF" w:rsidRDefault="00492D98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>Je potrebné sa vyhnúť sú</w:t>
      </w:r>
      <w:r w:rsidR="00013E46" w:rsidRPr="00A475AF">
        <w:rPr>
          <w:bCs/>
          <w:sz w:val="22"/>
          <w:szCs w:val="22"/>
        </w:rPr>
        <w:t>bežnému</w:t>
      </w:r>
      <w:r w:rsidRPr="00A475AF">
        <w:rPr>
          <w:bCs/>
          <w:sz w:val="22"/>
          <w:szCs w:val="22"/>
        </w:rPr>
        <w:t xml:space="preserve"> užívaniu </w:t>
      </w:r>
      <w:proofErr w:type="spellStart"/>
      <w:r w:rsidRPr="00A475AF">
        <w:rPr>
          <w:bCs/>
          <w:sz w:val="22"/>
          <w:szCs w:val="22"/>
        </w:rPr>
        <w:t>ibuprof</w:t>
      </w:r>
      <w:r w:rsidR="005F4F0C" w:rsidRPr="00A475AF">
        <w:rPr>
          <w:bCs/>
          <w:sz w:val="22"/>
          <w:szCs w:val="22"/>
        </w:rPr>
        <w:t>é</w:t>
      </w:r>
      <w:r w:rsidRPr="00A475AF">
        <w:rPr>
          <w:bCs/>
          <w:sz w:val="22"/>
          <w:szCs w:val="22"/>
        </w:rPr>
        <w:t>nu</w:t>
      </w:r>
      <w:proofErr w:type="spellEnd"/>
      <w:r w:rsidRPr="00A475AF">
        <w:rPr>
          <w:sz w:val="22"/>
          <w:szCs w:val="22"/>
        </w:rPr>
        <w:t xml:space="preserve"> s NSAID, vrátane selektívnych inhibítorov cyklooxygenázy-2 (pozri časť 4.5).</w:t>
      </w:r>
    </w:p>
    <w:p w14:paraId="57C3CB8F" w14:textId="77777777" w:rsidR="00421E36" w:rsidRPr="00A475AF" w:rsidRDefault="00421E36" w:rsidP="00DB4E78">
      <w:pPr>
        <w:rPr>
          <w:bCs/>
          <w:sz w:val="22"/>
          <w:szCs w:val="22"/>
        </w:rPr>
      </w:pPr>
    </w:p>
    <w:p w14:paraId="0D65158D" w14:textId="77777777" w:rsidR="007844D2" w:rsidRPr="00A475AF" w:rsidRDefault="00D071B3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t>SLE a zmiešané ochorenie spojivového tkaniva</w:t>
      </w:r>
    </w:p>
    <w:p w14:paraId="79F88B93" w14:textId="77777777" w:rsidR="00492D98" w:rsidRPr="00A475AF" w:rsidRDefault="00D071B3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Systémový </w:t>
      </w:r>
      <w:proofErr w:type="spellStart"/>
      <w:r w:rsidRPr="00A475AF">
        <w:rPr>
          <w:sz w:val="22"/>
          <w:szCs w:val="22"/>
        </w:rPr>
        <w:t>lupus</w:t>
      </w:r>
      <w:proofErr w:type="spellEnd"/>
      <w:r w:rsidRPr="00A475AF">
        <w:rPr>
          <w:sz w:val="22"/>
          <w:szCs w:val="22"/>
        </w:rPr>
        <w:t xml:space="preserve"> </w:t>
      </w:r>
      <w:proofErr w:type="spellStart"/>
      <w:r w:rsidRPr="00A475AF">
        <w:rPr>
          <w:sz w:val="22"/>
          <w:szCs w:val="22"/>
        </w:rPr>
        <w:t>erythematosus</w:t>
      </w:r>
      <w:proofErr w:type="spellEnd"/>
      <w:r w:rsidRPr="00A475AF">
        <w:rPr>
          <w:i/>
          <w:sz w:val="22"/>
          <w:szCs w:val="22"/>
        </w:rPr>
        <w:t xml:space="preserve"> </w:t>
      </w:r>
      <w:r w:rsidRPr="00A475AF">
        <w:rPr>
          <w:sz w:val="22"/>
          <w:szCs w:val="22"/>
        </w:rPr>
        <w:t xml:space="preserve">(SLE) a zmiešané ochorenie spojivového tkaniva zvyšujú riziko aseptickej </w:t>
      </w:r>
      <w:proofErr w:type="spellStart"/>
      <w:r w:rsidRPr="00A475AF">
        <w:rPr>
          <w:sz w:val="22"/>
          <w:szCs w:val="22"/>
        </w:rPr>
        <w:t>meningitídy</w:t>
      </w:r>
      <w:proofErr w:type="spellEnd"/>
      <w:r w:rsidRPr="00A475AF">
        <w:rPr>
          <w:sz w:val="22"/>
          <w:szCs w:val="22"/>
        </w:rPr>
        <w:t xml:space="preserve"> (pozri časť 4.8).</w:t>
      </w:r>
    </w:p>
    <w:p w14:paraId="4F0F7FEF" w14:textId="77777777" w:rsidR="00492D98" w:rsidRPr="00A475AF" w:rsidRDefault="00492D98" w:rsidP="00DB4E78">
      <w:pPr>
        <w:rPr>
          <w:sz w:val="22"/>
          <w:szCs w:val="22"/>
        </w:rPr>
      </w:pPr>
    </w:p>
    <w:p w14:paraId="20ABE5A4" w14:textId="77777777" w:rsidR="00492D98" w:rsidRPr="00A475AF" w:rsidRDefault="00D071B3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t xml:space="preserve">Obličky </w:t>
      </w:r>
    </w:p>
    <w:p w14:paraId="7D959B0B" w14:textId="77777777" w:rsidR="00D071B3" w:rsidRPr="00A475AF" w:rsidRDefault="00D071B3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Poškodenie obličiek a funkcia obličiek sa môž</w:t>
      </w:r>
      <w:r w:rsidR="005D34E2" w:rsidRPr="00A475AF">
        <w:rPr>
          <w:sz w:val="22"/>
          <w:szCs w:val="22"/>
        </w:rPr>
        <w:t>u</w:t>
      </w:r>
      <w:r w:rsidRPr="00A475AF">
        <w:rPr>
          <w:sz w:val="22"/>
          <w:szCs w:val="22"/>
        </w:rPr>
        <w:t xml:space="preserve"> </w:t>
      </w:r>
      <w:r w:rsidR="005D34E2" w:rsidRPr="00A475AF">
        <w:rPr>
          <w:sz w:val="22"/>
          <w:szCs w:val="22"/>
        </w:rPr>
        <w:t xml:space="preserve">zhoršiť(pozri časti </w:t>
      </w:r>
      <w:smartTag w:uri="urn:schemas-microsoft-com:office:smarttags" w:element="metricconverter">
        <w:smartTagPr>
          <w:attr w:name="ProductID" w:val="4.3 a"/>
        </w:smartTagPr>
        <w:r w:rsidR="005D34E2" w:rsidRPr="00A475AF">
          <w:rPr>
            <w:sz w:val="22"/>
            <w:szCs w:val="22"/>
          </w:rPr>
          <w:t>4.3 a</w:t>
        </w:r>
      </w:smartTag>
      <w:r w:rsidR="005D34E2" w:rsidRPr="00A475AF">
        <w:rPr>
          <w:sz w:val="22"/>
          <w:szCs w:val="22"/>
        </w:rPr>
        <w:t xml:space="preserve"> 4.8).</w:t>
      </w:r>
    </w:p>
    <w:p w14:paraId="6F69E65C" w14:textId="77777777" w:rsidR="00D071B3" w:rsidRPr="00A475AF" w:rsidRDefault="005D34E2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>Monitorovanie funkcie obličiek sa odporúča u rizikových pacientov, t.</w:t>
      </w:r>
      <w:r w:rsidR="00013E46" w:rsidRPr="00A475AF">
        <w:rPr>
          <w:spacing w:val="-4"/>
          <w:sz w:val="22"/>
          <w:szCs w:val="22"/>
        </w:rPr>
        <w:t> </w:t>
      </w:r>
      <w:r w:rsidRPr="00A475AF">
        <w:rPr>
          <w:spacing w:val="-4"/>
          <w:sz w:val="22"/>
          <w:szCs w:val="22"/>
        </w:rPr>
        <w:t>j. u pacientov s chorobou srdca a obličiek liečenými diuretikami alebo počas dehydratácie akejkoľvek etiológie.</w:t>
      </w:r>
    </w:p>
    <w:p w14:paraId="4CB750E1" w14:textId="77777777" w:rsidR="005D34E2" w:rsidRPr="00A475AF" w:rsidRDefault="005D34E2" w:rsidP="00DB4E78">
      <w:pPr>
        <w:rPr>
          <w:spacing w:val="-4"/>
          <w:sz w:val="22"/>
          <w:szCs w:val="22"/>
        </w:rPr>
      </w:pPr>
    </w:p>
    <w:p w14:paraId="2FA6B283" w14:textId="77777777" w:rsidR="00E8163B" w:rsidRPr="00A475AF" w:rsidRDefault="00E8163B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lastRenderedPageBreak/>
        <w:t xml:space="preserve">Všeobecne môže bežné užívanie analgetík viesť k trvalému poškodeniu obličiek s rizikom zlyhania obličiek, najmä pri kombinácii niekoľkých liečiv proti bolestiam (analgetická </w:t>
      </w:r>
      <w:proofErr w:type="spellStart"/>
      <w:r w:rsidRPr="00A475AF">
        <w:rPr>
          <w:sz w:val="22"/>
          <w:szCs w:val="22"/>
        </w:rPr>
        <w:t>nefropatia</w:t>
      </w:r>
      <w:proofErr w:type="spellEnd"/>
      <w:r w:rsidRPr="00A475AF">
        <w:rPr>
          <w:sz w:val="22"/>
          <w:szCs w:val="22"/>
        </w:rPr>
        <w:t>). Toto riziko sa môže zvýšiť pri fyzickej záťaži spojenej so stratou soli a dehydratáciou.</w:t>
      </w:r>
    </w:p>
    <w:p w14:paraId="291B1F36" w14:textId="77777777" w:rsidR="005D34E2" w:rsidRPr="00A475AF" w:rsidRDefault="00E8163B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Z tohto dôvodu je potrebné sa takémuto užívaniu analgetík vyhýbať.</w:t>
      </w:r>
    </w:p>
    <w:p w14:paraId="1089295F" w14:textId="77777777" w:rsidR="00E8163B" w:rsidRPr="00A475AF" w:rsidRDefault="00E8163B" w:rsidP="00DB4E78">
      <w:pPr>
        <w:rPr>
          <w:sz w:val="22"/>
          <w:szCs w:val="22"/>
        </w:rPr>
      </w:pPr>
    </w:p>
    <w:p w14:paraId="7904D150" w14:textId="77777777" w:rsidR="00E8163B" w:rsidRPr="00A475AF" w:rsidRDefault="00E8163B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t xml:space="preserve">Pečeň </w:t>
      </w:r>
    </w:p>
    <w:p w14:paraId="48DEE5EB" w14:textId="77777777" w:rsidR="00D071B3" w:rsidRPr="00A475AF" w:rsidRDefault="00E8163B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Pečeňová dysfunkcia (pozri časti </w:t>
      </w:r>
      <w:smartTag w:uri="urn:schemas-microsoft-com:office:smarttags" w:element="metricconverter">
        <w:smartTagPr>
          <w:attr w:name="ProductID" w:val="4.3 a"/>
        </w:smartTagPr>
        <w:r w:rsidRPr="00A475AF">
          <w:rPr>
            <w:sz w:val="22"/>
            <w:szCs w:val="22"/>
          </w:rPr>
          <w:t>4.3 a</w:t>
        </w:r>
      </w:smartTag>
      <w:r w:rsidRPr="00A475AF">
        <w:rPr>
          <w:sz w:val="22"/>
          <w:szCs w:val="22"/>
        </w:rPr>
        <w:t xml:space="preserve"> 4.8).</w:t>
      </w:r>
    </w:p>
    <w:p w14:paraId="2A274BF4" w14:textId="77777777" w:rsidR="00E8163B" w:rsidRPr="00A475AF" w:rsidRDefault="00E8163B" w:rsidP="00DB4E78">
      <w:pPr>
        <w:rPr>
          <w:sz w:val="22"/>
          <w:szCs w:val="22"/>
        </w:rPr>
      </w:pPr>
    </w:p>
    <w:p w14:paraId="4099927A" w14:textId="77777777" w:rsidR="00E8163B" w:rsidRPr="00A475AF" w:rsidRDefault="00E8163B" w:rsidP="00DB4E78">
      <w:pPr>
        <w:rPr>
          <w:sz w:val="22"/>
          <w:szCs w:val="22"/>
        </w:rPr>
      </w:pPr>
      <w:r w:rsidRPr="00A475AF">
        <w:rPr>
          <w:spacing w:val="-4"/>
          <w:sz w:val="22"/>
          <w:szCs w:val="22"/>
        </w:rPr>
        <w:t xml:space="preserve">Pri dlhodobom podávaní sa odporúča </w:t>
      </w:r>
      <w:r w:rsidRPr="00A475AF">
        <w:rPr>
          <w:sz w:val="22"/>
          <w:szCs w:val="22"/>
        </w:rPr>
        <w:t xml:space="preserve">kontrola krvného obrazu a rutinné sledovanie funkcie obličiek a pečene. Liečbu </w:t>
      </w:r>
      <w:proofErr w:type="spellStart"/>
      <w:r w:rsidRPr="00A475AF">
        <w:rPr>
          <w:sz w:val="22"/>
          <w:szCs w:val="22"/>
        </w:rPr>
        <w:t>ibuprof</w:t>
      </w:r>
      <w:r w:rsidR="005F4F0C" w:rsidRPr="00A475AF">
        <w:rPr>
          <w:sz w:val="22"/>
          <w:szCs w:val="22"/>
        </w:rPr>
        <w:t>é</w:t>
      </w:r>
      <w:r w:rsidRPr="00A475AF">
        <w:rPr>
          <w:sz w:val="22"/>
          <w:szCs w:val="22"/>
        </w:rPr>
        <w:t>nom</w:t>
      </w:r>
      <w:proofErr w:type="spellEnd"/>
      <w:r w:rsidRPr="00A475AF">
        <w:rPr>
          <w:sz w:val="22"/>
          <w:szCs w:val="22"/>
        </w:rPr>
        <w:t xml:space="preserve"> je vhodné prerušiť pri zhoršení pečeňových funkcií, pokiaľ sa vyskytne v súvislosti s jeho podávaním. Po prerušení liečby sa zdravotný stav zvyčajne normalizuje. Občasné sledovanie glykémie je tiež vhodné.</w:t>
      </w:r>
    </w:p>
    <w:p w14:paraId="5E952D0F" w14:textId="77777777" w:rsidR="00E8163B" w:rsidRPr="00A475AF" w:rsidRDefault="00E8163B" w:rsidP="00DB4E78">
      <w:pPr>
        <w:rPr>
          <w:sz w:val="22"/>
          <w:szCs w:val="22"/>
        </w:rPr>
      </w:pPr>
    </w:p>
    <w:p w14:paraId="1BEE7104" w14:textId="77777777" w:rsidR="00E8163B" w:rsidRPr="00A475AF" w:rsidRDefault="00E8163B" w:rsidP="00DB4E78">
      <w:pPr>
        <w:rPr>
          <w:i/>
          <w:spacing w:val="-4"/>
          <w:sz w:val="22"/>
          <w:szCs w:val="22"/>
          <w:u w:val="single"/>
        </w:rPr>
      </w:pPr>
      <w:r w:rsidRPr="00A475AF">
        <w:rPr>
          <w:i/>
          <w:spacing w:val="-4"/>
          <w:sz w:val="22"/>
          <w:szCs w:val="22"/>
          <w:u w:val="single"/>
        </w:rPr>
        <w:t xml:space="preserve">Kardiovaskulárne a </w:t>
      </w:r>
      <w:proofErr w:type="spellStart"/>
      <w:r w:rsidRPr="00A475AF">
        <w:rPr>
          <w:i/>
          <w:spacing w:val="-4"/>
          <w:sz w:val="22"/>
          <w:szCs w:val="22"/>
          <w:u w:val="single"/>
        </w:rPr>
        <w:t>cerebrovaskulárne</w:t>
      </w:r>
      <w:proofErr w:type="spellEnd"/>
      <w:r w:rsidRPr="00A475AF">
        <w:rPr>
          <w:i/>
          <w:spacing w:val="-4"/>
          <w:sz w:val="22"/>
          <w:szCs w:val="22"/>
          <w:u w:val="single"/>
        </w:rPr>
        <w:t xml:space="preserve"> účinky</w:t>
      </w:r>
    </w:p>
    <w:p w14:paraId="257274C1" w14:textId="77777777" w:rsidR="00E8163B" w:rsidRPr="00A475AF" w:rsidRDefault="00E8163B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>Opatrnosť (konzultácia s lekárom alebo lekárnikom) je potrebná pred začiatkom liečby u pacientov s</w:t>
      </w:r>
      <w:r w:rsidR="00013E46" w:rsidRPr="00A475AF">
        <w:rPr>
          <w:spacing w:val="-4"/>
          <w:sz w:val="22"/>
          <w:szCs w:val="22"/>
        </w:rPr>
        <w:t> </w:t>
      </w:r>
      <w:r w:rsidRPr="00A475AF">
        <w:rPr>
          <w:spacing w:val="-4"/>
          <w:sz w:val="22"/>
          <w:szCs w:val="22"/>
        </w:rPr>
        <w:t xml:space="preserve">anamnézou hypertenzie a/alebo srdcového zlyhania, pretože v súvislosti s terapiou NSAID bola hlásená </w:t>
      </w:r>
      <w:proofErr w:type="spellStart"/>
      <w:r w:rsidRPr="00A475AF">
        <w:rPr>
          <w:spacing w:val="-4"/>
          <w:sz w:val="22"/>
          <w:szCs w:val="22"/>
        </w:rPr>
        <w:t>retencia</w:t>
      </w:r>
      <w:proofErr w:type="spellEnd"/>
      <w:r w:rsidRPr="00A475AF">
        <w:rPr>
          <w:spacing w:val="-4"/>
          <w:sz w:val="22"/>
          <w:szCs w:val="22"/>
        </w:rPr>
        <w:t xml:space="preserve"> tekutín, hypertenzia a edémy.</w:t>
      </w:r>
    </w:p>
    <w:p w14:paraId="32F5E2D6" w14:textId="77777777" w:rsidR="00E8163B" w:rsidRPr="00A475AF" w:rsidRDefault="00E8163B" w:rsidP="00DB4E78">
      <w:pPr>
        <w:rPr>
          <w:spacing w:val="-4"/>
          <w:sz w:val="22"/>
          <w:szCs w:val="22"/>
        </w:rPr>
      </w:pPr>
    </w:p>
    <w:p w14:paraId="1E0BF39A" w14:textId="25DDC53B" w:rsidR="00E8163B" w:rsidRPr="00A475AF" w:rsidRDefault="000852FE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 xml:space="preserve">Klinické </w:t>
      </w:r>
      <w:r w:rsidR="0044260C" w:rsidRPr="00A475AF">
        <w:rPr>
          <w:spacing w:val="-4"/>
          <w:sz w:val="22"/>
          <w:szCs w:val="22"/>
        </w:rPr>
        <w:t>štúdi</w:t>
      </w:r>
      <w:r w:rsidRPr="00A475AF">
        <w:rPr>
          <w:spacing w:val="-4"/>
          <w:sz w:val="22"/>
          <w:szCs w:val="22"/>
        </w:rPr>
        <w:t>e</w:t>
      </w:r>
      <w:r w:rsidR="0044260C" w:rsidRPr="00A475AF">
        <w:rPr>
          <w:spacing w:val="-4"/>
          <w:sz w:val="22"/>
          <w:szCs w:val="22"/>
        </w:rPr>
        <w:t xml:space="preserve"> naznač</w:t>
      </w:r>
      <w:r w:rsidRPr="00A475AF">
        <w:rPr>
          <w:spacing w:val="-4"/>
          <w:sz w:val="22"/>
          <w:szCs w:val="22"/>
        </w:rPr>
        <w:t>ili</w:t>
      </w:r>
      <w:r w:rsidR="0044260C" w:rsidRPr="00A475AF">
        <w:rPr>
          <w:spacing w:val="-4"/>
          <w:sz w:val="22"/>
          <w:szCs w:val="22"/>
        </w:rPr>
        <w:t>, že po</w:t>
      </w:r>
      <w:r w:rsidR="00CF6670" w:rsidRPr="00A475AF">
        <w:rPr>
          <w:spacing w:val="-4"/>
          <w:sz w:val="22"/>
          <w:szCs w:val="22"/>
        </w:rPr>
        <w:t>užívanie</w:t>
      </w:r>
      <w:r w:rsidR="0044260C" w:rsidRPr="00A475AF">
        <w:rPr>
          <w:spacing w:val="-4"/>
          <w:sz w:val="22"/>
          <w:szCs w:val="22"/>
        </w:rPr>
        <w:t xml:space="preserve"> </w:t>
      </w:r>
      <w:proofErr w:type="spellStart"/>
      <w:r w:rsidR="0044260C" w:rsidRPr="00A475AF">
        <w:rPr>
          <w:spacing w:val="-4"/>
          <w:sz w:val="22"/>
          <w:szCs w:val="22"/>
        </w:rPr>
        <w:t>ibuprof</w:t>
      </w:r>
      <w:r w:rsidR="005F4F0C" w:rsidRPr="00A475AF">
        <w:rPr>
          <w:spacing w:val="-4"/>
          <w:sz w:val="22"/>
          <w:szCs w:val="22"/>
        </w:rPr>
        <w:t>é</w:t>
      </w:r>
      <w:r w:rsidR="0044260C" w:rsidRPr="00A475AF">
        <w:rPr>
          <w:spacing w:val="-4"/>
          <w:sz w:val="22"/>
          <w:szCs w:val="22"/>
        </w:rPr>
        <w:t>nu</w:t>
      </w:r>
      <w:proofErr w:type="spellEnd"/>
      <w:r w:rsidR="0044260C" w:rsidRPr="00A475AF">
        <w:rPr>
          <w:spacing w:val="-4"/>
          <w:sz w:val="22"/>
          <w:szCs w:val="22"/>
        </w:rPr>
        <w:t xml:space="preserve">, najmä vo vysokých dávkach (2 </w:t>
      </w:r>
      <w:r w:rsidR="00022781">
        <w:rPr>
          <w:spacing w:val="-4"/>
          <w:sz w:val="22"/>
          <w:szCs w:val="22"/>
        </w:rPr>
        <w:t> </w:t>
      </w:r>
      <w:r w:rsidR="00022781" w:rsidRPr="00A475AF">
        <w:rPr>
          <w:spacing w:val="-4"/>
          <w:sz w:val="22"/>
          <w:szCs w:val="22"/>
        </w:rPr>
        <w:t>400</w:t>
      </w:r>
      <w:r w:rsidR="00022781">
        <w:rPr>
          <w:spacing w:val="-4"/>
          <w:sz w:val="22"/>
          <w:szCs w:val="22"/>
        </w:rPr>
        <w:t> </w:t>
      </w:r>
      <w:r w:rsidR="0044260C" w:rsidRPr="00A475AF">
        <w:rPr>
          <w:spacing w:val="-4"/>
          <w:sz w:val="22"/>
          <w:szCs w:val="22"/>
        </w:rPr>
        <w:t>mg denne), môž</w:t>
      </w:r>
      <w:r w:rsidRPr="00A475AF">
        <w:rPr>
          <w:spacing w:val="-4"/>
          <w:sz w:val="22"/>
          <w:szCs w:val="22"/>
        </w:rPr>
        <w:t>e</w:t>
      </w:r>
      <w:r w:rsidR="0044260C" w:rsidRPr="00A475AF">
        <w:rPr>
          <w:spacing w:val="-4"/>
          <w:sz w:val="22"/>
          <w:szCs w:val="22"/>
        </w:rPr>
        <w:t xml:space="preserve"> byť spojené s </w:t>
      </w:r>
      <w:r w:rsidRPr="00A475AF">
        <w:rPr>
          <w:spacing w:val="-4"/>
          <w:sz w:val="22"/>
          <w:szCs w:val="22"/>
        </w:rPr>
        <w:t>malým</w:t>
      </w:r>
      <w:r w:rsidR="0044260C" w:rsidRPr="00A475AF">
        <w:rPr>
          <w:spacing w:val="-4"/>
          <w:sz w:val="22"/>
          <w:szCs w:val="22"/>
        </w:rPr>
        <w:t xml:space="preserve"> zvýšeným rizikom </w:t>
      </w:r>
      <w:proofErr w:type="spellStart"/>
      <w:r w:rsidR="0044260C" w:rsidRPr="00A475AF">
        <w:rPr>
          <w:spacing w:val="-4"/>
          <w:sz w:val="22"/>
          <w:szCs w:val="22"/>
        </w:rPr>
        <w:t>arteriálnych</w:t>
      </w:r>
      <w:proofErr w:type="spellEnd"/>
      <w:r w:rsidR="0044260C" w:rsidRPr="00A475AF">
        <w:rPr>
          <w:spacing w:val="-4"/>
          <w:sz w:val="22"/>
          <w:szCs w:val="22"/>
        </w:rPr>
        <w:t xml:space="preserve"> </w:t>
      </w:r>
      <w:proofErr w:type="spellStart"/>
      <w:r w:rsidR="0044260C" w:rsidRPr="00A475AF">
        <w:rPr>
          <w:spacing w:val="-4"/>
          <w:sz w:val="22"/>
          <w:szCs w:val="22"/>
        </w:rPr>
        <w:t>trombotických</w:t>
      </w:r>
      <w:proofErr w:type="spellEnd"/>
      <w:r w:rsidR="0044260C" w:rsidRPr="00A475AF">
        <w:rPr>
          <w:spacing w:val="-4"/>
          <w:sz w:val="22"/>
          <w:szCs w:val="22"/>
        </w:rPr>
        <w:t xml:space="preserve"> </w:t>
      </w:r>
      <w:r w:rsidRPr="00A475AF">
        <w:rPr>
          <w:spacing w:val="-4"/>
          <w:sz w:val="22"/>
          <w:szCs w:val="22"/>
        </w:rPr>
        <w:t>udalostí</w:t>
      </w:r>
      <w:r w:rsidR="0044260C" w:rsidRPr="00A475AF">
        <w:rPr>
          <w:spacing w:val="-4"/>
          <w:sz w:val="22"/>
          <w:szCs w:val="22"/>
        </w:rPr>
        <w:t xml:space="preserve"> (napríklad infarkt myokardu alebo mozgová príhoda). </w:t>
      </w:r>
      <w:r w:rsidRPr="00A475AF">
        <w:rPr>
          <w:spacing w:val="-4"/>
          <w:sz w:val="22"/>
          <w:szCs w:val="22"/>
        </w:rPr>
        <w:t>E</w:t>
      </w:r>
      <w:r w:rsidR="0044260C" w:rsidRPr="00A475AF">
        <w:rPr>
          <w:spacing w:val="-4"/>
          <w:sz w:val="22"/>
          <w:szCs w:val="22"/>
        </w:rPr>
        <w:t xml:space="preserve">pidemiologické štúdie </w:t>
      </w:r>
      <w:r w:rsidR="003F0C30" w:rsidRPr="00A475AF">
        <w:rPr>
          <w:spacing w:val="-4"/>
          <w:sz w:val="22"/>
          <w:szCs w:val="22"/>
        </w:rPr>
        <w:t>celkovo nenaznačujú</w:t>
      </w:r>
      <w:r w:rsidR="0044260C" w:rsidRPr="00A475AF">
        <w:rPr>
          <w:spacing w:val="-4"/>
          <w:sz w:val="22"/>
          <w:szCs w:val="22"/>
        </w:rPr>
        <w:t xml:space="preserve">, že </w:t>
      </w:r>
      <w:r w:rsidR="003F0C30" w:rsidRPr="00A475AF">
        <w:rPr>
          <w:spacing w:val="-4"/>
          <w:sz w:val="22"/>
          <w:szCs w:val="22"/>
        </w:rPr>
        <w:t xml:space="preserve">by </w:t>
      </w:r>
      <w:r w:rsidR="0044260C" w:rsidRPr="00A475AF">
        <w:rPr>
          <w:spacing w:val="-4"/>
          <w:sz w:val="22"/>
          <w:szCs w:val="22"/>
        </w:rPr>
        <w:t xml:space="preserve">nízke dávky </w:t>
      </w:r>
      <w:proofErr w:type="spellStart"/>
      <w:r w:rsidR="0044260C" w:rsidRPr="00A475AF">
        <w:rPr>
          <w:spacing w:val="-4"/>
          <w:sz w:val="22"/>
          <w:szCs w:val="22"/>
        </w:rPr>
        <w:t>ibuprof</w:t>
      </w:r>
      <w:r w:rsidR="005F4F0C" w:rsidRPr="00A475AF">
        <w:rPr>
          <w:spacing w:val="-4"/>
          <w:sz w:val="22"/>
          <w:szCs w:val="22"/>
        </w:rPr>
        <w:t>é</w:t>
      </w:r>
      <w:r w:rsidR="0044260C" w:rsidRPr="00A475AF">
        <w:rPr>
          <w:spacing w:val="-4"/>
          <w:sz w:val="22"/>
          <w:szCs w:val="22"/>
        </w:rPr>
        <w:t>nu</w:t>
      </w:r>
      <w:proofErr w:type="spellEnd"/>
      <w:r w:rsidR="0044260C" w:rsidRPr="00A475AF">
        <w:rPr>
          <w:spacing w:val="-4"/>
          <w:sz w:val="22"/>
          <w:szCs w:val="22"/>
        </w:rPr>
        <w:t xml:space="preserve"> (</w:t>
      </w:r>
      <w:r w:rsidR="0044260C" w:rsidRPr="00A475AF">
        <w:rPr>
          <w:sz w:val="22"/>
          <w:szCs w:val="22"/>
        </w:rPr>
        <w:t>≤</w:t>
      </w:r>
      <w:r w:rsidR="00CF6670" w:rsidRPr="00A475AF">
        <w:rPr>
          <w:sz w:val="22"/>
          <w:szCs w:val="22"/>
        </w:rPr>
        <w:t> </w:t>
      </w:r>
      <w:r w:rsidR="0044260C" w:rsidRPr="00A475AF">
        <w:rPr>
          <w:spacing w:val="-4"/>
          <w:sz w:val="22"/>
          <w:szCs w:val="22"/>
        </w:rPr>
        <w:t>1</w:t>
      </w:r>
      <w:r w:rsidR="00CF6670" w:rsidRPr="00A475AF">
        <w:rPr>
          <w:spacing w:val="-4"/>
          <w:sz w:val="22"/>
          <w:szCs w:val="22"/>
        </w:rPr>
        <w:t> </w:t>
      </w:r>
      <w:r w:rsidR="00022781">
        <w:rPr>
          <w:spacing w:val="-4"/>
          <w:sz w:val="22"/>
          <w:szCs w:val="22"/>
        </w:rPr>
        <w:t> </w:t>
      </w:r>
      <w:r w:rsidR="00022781" w:rsidRPr="00A475AF">
        <w:rPr>
          <w:spacing w:val="-4"/>
          <w:sz w:val="22"/>
          <w:szCs w:val="22"/>
        </w:rPr>
        <w:t>200</w:t>
      </w:r>
      <w:r w:rsidR="00022781">
        <w:rPr>
          <w:spacing w:val="-4"/>
          <w:sz w:val="22"/>
          <w:szCs w:val="22"/>
        </w:rPr>
        <w:t> </w:t>
      </w:r>
      <w:r w:rsidR="0044260C" w:rsidRPr="00A475AF">
        <w:rPr>
          <w:spacing w:val="-4"/>
          <w:sz w:val="22"/>
          <w:szCs w:val="22"/>
        </w:rPr>
        <w:t xml:space="preserve">mg denne) </w:t>
      </w:r>
      <w:r w:rsidR="003F0C30" w:rsidRPr="00A475AF">
        <w:rPr>
          <w:spacing w:val="-4"/>
          <w:sz w:val="22"/>
          <w:szCs w:val="22"/>
        </w:rPr>
        <w:t>boli</w:t>
      </w:r>
      <w:r w:rsidR="0044260C" w:rsidRPr="00A475AF">
        <w:rPr>
          <w:spacing w:val="-4"/>
          <w:sz w:val="22"/>
          <w:szCs w:val="22"/>
        </w:rPr>
        <w:t xml:space="preserve"> spojené so zvýšeným rizikom </w:t>
      </w:r>
      <w:proofErr w:type="spellStart"/>
      <w:r w:rsidR="00EF6D8C" w:rsidRPr="00A475AF">
        <w:rPr>
          <w:sz w:val="22"/>
          <w:szCs w:val="22"/>
        </w:rPr>
        <w:t>arteriálnych</w:t>
      </w:r>
      <w:proofErr w:type="spellEnd"/>
      <w:r w:rsidR="00EF6D8C" w:rsidRPr="00A475AF">
        <w:rPr>
          <w:sz w:val="22"/>
          <w:szCs w:val="22"/>
        </w:rPr>
        <w:t xml:space="preserve"> </w:t>
      </w:r>
      <w:proofErr w:type="spellStart"/>
      <w:r w:rsidR="00EF6D8C" w:rsidRPr="00A475AF">
        <w:rPr>
          <w:sz w:val="22"/>
          <w:szCs w:val="22"/>
        </w:rPr>
        <w:t>trombotických</w:t>
      </w:r>
      <w:proofErr w:type="spellEnd"/>
      <w:r w:rsidR="00EF6D8C" w:rsidRPr="00A475AF">
        <w:rPr>
          <w:sz w:val="22"/>
          <w:szCs w:val="22"/>
        </w:rPr>
        <w:t xml:space="preserve"> príhod</w:t>
      </w:r>
      <w:r w:rsidR="0044260C" w:rsidRPr="00A475AF">
        <w:rPr>
          <w:spacing w:val="-4"/>
          <w:sz w:val="22"/>
          <w:szCs w:val="22"/>
        </w:rPr>
        <w:t>.</w:t>
      </w:r>
    </w:p>
    <w:p w14:paraId="4B8D15D7" w14:textId="77777777" w:rsidR="0044260C" w:rsidRPr="00A475AF" w:rsidRDefault="0044260C" w:rsidP="00DB4E78">
      <w:pPr>
        <w:rPr>
          <w:spacing w:val="-4"/>
          <w:sz w:val="22"/>
          <w:szCs w:val="22"/>
        </w:rPr>
      </w:pPr>
    </w:p>
    <w:p w14:paraId="7E8BAA19" w14:textId="77777777" w:rsidR="0044260C" w:rsidRPr="00A475AF" w:rsidRDefault="00F661D8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>Pacienti s nekontr</w:t>
      </w:r>
      <w:smartTag w:uri="urn:schemas-microsoft-com:office:smarttags" w:element="PersonName">
        <w:r w:rsidRPr="00A475AF">
          <w:rPr>
            <w:spacing w:val="-4"/>
            <w:sz w:val="22"/>
            <w:szCs w:val="22"/>
          </w:rPr>
          <w:t>olo</w:t>
        </w:r>
      </w:smartTag>
      <w:r w:rsidRPr="00A475AF">
        <w:rPr>
          <w:spacing w:val="-4"/>
          <w:sz w:val="22"/>
          <w:szCs w:val="22"/>
        </w:rPr>
        <w:t xml:space="preserve">vanou hypertenziou, </w:t>
      </w:r>
      <w:proofErr w:type="spellStart"/>
      <w:r w:rsidRPr="00A475AF">
        <w:rPr>
          <w:spacing w:val="-4"/>
          <w:sz w:val="22"/>
          <w:szCs w:val="22"/>
        </w:rPr>
        <w:t>kongestívnym</w:t>
      </w:r>
      <w:proofErr w:type="spellEnd"/>
      <w:r w:rsidRPr="00A475AF">
        <w:rPr>
          <w:spacing w:val="-4"/>
          <w:sz w:val="22"/>
          <w:szCs w:val="22"/>
        </w:rPr>
        <w:t xml:space="preserve"> zlyhaním</w:t>
      </w:r>
      <w:r w:rsidR="003F0C30" w:rsidRPr="00A475AF">
        <w:rPr>
          <w:spacing w:val="-4"/>
          <w:sz w:val="22"/>
          <w:szCs w:val="22"/>
        </w:rPr>
        <w:t xml:space="preserve"> srdca</w:t>
      </w:r>
      <w:r w:rsidR="00EF6D8C" w:rsidRPr="00A475AF">
        <w:rPr>
          <w:spacing w:val="-4"/>
          <w:sz w:val="22"/>
          <w:szCs w:val="22"/>
        </w:rPr>
        <w:t xml:space="preserve"> </w:t>
      </w:r>
      <w:r w:rsidR="00EF6D8C" w:rsidRPr="00A475AF">
        <w:rPr>
          <w:sz w:val="22"/>
          <w:szCs w:val="22"/>
        </w:rPr>
        <w:t>(triedy II – III NYHA)</w:t>
      </w:r>
      <w:r w:rsidRPr="00A475AF">
        <w:rPr>
          <w:spacing w:val="-4"/>
          <w:sz w:val="22"/>
          <w:szCs w:val="22"/>
        </w:rPr>
        <w:t xml:space="preserve">, </w:t>
      </w:r>
      <w:r w:rsidR="003F0C30" w:rsidRPr="00A475AF">
        <w:rPr>
          <w:sz w:val="22"/>
          <w:szCs w:val="22"/>
        </w:rPr>
        <w:t>diagnostikovaným</w:t>
      </w:r>
      <w:r w:rsidRPr="00A475AF">
        <w:rPr>
          <w:spacing w:val="-4"/>
          <w:sz w:val="22"/>
          <w:szCs w:val="22"/>
        </w:rPr>
        <w:t xml:space="preserve"> ischemick</w:t>
      </w:r>
      <w:r w:rsidR="003F0C30" w:rsidRPr="00A475AF">
        <w:rPr>
          <w:spacing w:val="-4"/>
          <w:sz w:val="22"/>
          <w:szCs w:val="22"/>
        </w:rPr>
        <w:t>ým</w:t>
      </w:r>
      <w:r w:rsidRPr="00A475AF">
        <w:rPr>
          <w:spacing w:val="-4"/>
          <w:sz w:val="22"/>
          <w:szCs w:val="22"/>
        </w:rPr>
        <w:t xml:space="preserve"> </w:t>
      </w:r>
      <w:r w:rsidR="003F0C30" w:rsidRPr="00A475AF">
        <w:rPr>
          <w:spacing w:val="-4"/>
          <w:sz w:val="22"/>
          <w:szCs w:val="22"/>
        </w:rPr>
        <w:t>o</w:t>
      </w:r>
      <w:r w:rsidRPr="00A475AF">
        <w:rPr>
          <w:spacing w:val="-4"/>
          <w:sz w:val="22"/>
          <w:szCs w:val="22"/>
        </w:rPr>
        <w:t>chor</w:t>
      </w:r>
      <w:r w:rsidR="003F0C30" w:rsidRPr="00A475AF">
        <w:rPr>
          <w:spacing w:val="-4"/>
          <w:sz w:val="22"/>
          <w:szCs w:val="22"/>
        </w:rPr>
        <w:t>ením</w:t>
      </w:r>
      <w:r w:rsidRPr="00A475AF">
        <w:rPr>
          <w:spacing w:val="-4"/>
          <w:sz w:val="22"/>
          <w:szCs w:val="22"/>
        </w:rPr>
        <w:t xml:space="preserve"> srdca, ochorením periférnych artérií a </w:t>
      </w:r>
      <w:proofErr w:type="spellStart"/>
      <w:r w:rsidRPr="00A475AF">
        <w:rPr>
          <w:spacing w:val="-4"/>
          <w:sz w:val="22"/>
          <w:szCs w:val="22"/>
        </w:rPr>
        <w:t>cerebr</w:t>
      </w:r>
      <w:r w:rsidR="00A75FD7" w:rsidRPr="00A475AF">
        <w:rPr>
          <w:spacing w:val="-4"/>
          <w:sz w:val="22"/>
          <w:szCs w:val="22"/>
        </w:rPr>
        <w:t>ovaskulárnym</w:t>
      </w:r>
      <w:proofErr w:type="spellEnd"/>
      <w:r w:rsidR="00A75FD7" w:rsidRPr="00A475AF">
        <w:rPr>
          <w:spacing w:val="-4"/>
          <w:sz w:val="22"/>
          <w:szCs w:val="22"/>
        </w:rPr>
        <w:t xml:space="preserve"> ochorením </w:t>
      </w:r>
      <w:r w:rsidR="00CC6E37" w:rsidRPr="00A475AF">
        <w:rPr>
          <w:spacing w:val="-4"/>
          <w:sz w:val="22"/>
          <w:szCs w:val="22"/>
        </w:rPr>
        <w:t>majú</w:t>
      </w:r>
      <w:r w:rsidR="00A75FD7" w:rsidRPr="00A475AF">
        <w:rPr>
          <w:spacing w:val="-4"/>
          <w:sz w:val="22"/>
          <w:szCs w:val="22"/>
        </w:rPr>
        <w:t xml:space="preserve"> </w:t>
      </w:r>
      <w:r w:rsidRPr="00A475AF">
        <w:rPr>
          <w:spacing w:val="-4"/>
          <w:sz w:val="22"/>
          <w:szCs w:val="22"/>
        </w:rPr>
        <w:t xml:space="preserve">byť liečení </w:t>
      </w:r>
      <w:proofErr w:type="spellStart"/>
      <w:r w:rsidRPr="00A475AF">
        <w:rPr>
          <w:spacing w:val="-4"/>
          <w:sz w:val="22"/>
          <w:szCs w:val="22"/>
        </w:rPr>
        <w:t>ibuprof</w:t>
      </w:r>
      <w:r w:rsidR="005F4F0C" w:rsidRPr="00A475AF">
        <w:rPr>
          <w:spacing w:val="-4"/>
          <w:sz w:val="22"/>
          <w:szCs w:val="22"/>
        </w:rPr>
        <w:t>é</w:t>
      </w:r>
      <w:r w:rsidRPr="00A475AF">
        <w:rPr>
          <w:spacing w:val="-4"/>
          <w:sz w:val="22"/>
          <w:szCs w:val="22"/>
        </w:rPr>
        <w:t>nom</w:t>
      </w:r>
      <w:proofErr w:type="spellEnd"/>
      <w:r w:rsidRPr="00A475AF">
        <w:rPr>
          <w:spacing w:val="-4"/>
          <w:sz w:val="22"/>
          <w:szCs w:val="22"/>
        </w:rPr>
        <w:t xml:space="preserve"> </w:t>
      </w:r>
      <w:r w:rsidR="003F0C30" w:rsidRPr="00A475AF">
        <w:rPr>
          <w:spacing w:val="-4"/>
          <w:sz w:val="22"/>
          <w:szCs w:val="22"/>
        </w:rPr>
        <w:t>len</w:t>
      </w:r>
      <w:r w:rsidRPr="00A475AF">
        <w:rPr>
          <w:spacing w:val="-4"/>
          <w:sz w:val="22"/>
          <w:szCs w:val="22"/>
        </w:rPr>
        <w:t xml:space="preserve"> po </w:t>
      </w:r>
      <w:r w:rsidR="003F0C30" w:rsidRPr="00A475AF">
        <w:rPr>
          <w:spacing w:val="-4"/>
          <w:sz w:val="22"/>
          <w:szCs w:val="22"/>
        </w:rPr>
        <w:t>dôkladnom</w:t>
      </w:r>
      <w:r w:rsidRPr="00A475AF">
        <w:rPr>
          <w:spacing w:val="-4"/>
          <w:sz w:val="22"/>
          <w:szCs w:val="22"/>
        </w:rPr>
        <w:t xml:space="preserve"> zvážení</w:t>
      </w:r>
      <w:r w:rsidR="006C3C22" w:rsidRPr="00A475AF">
        <w:rPr>
          <w:spacing w:val="-4"/>
          <w:sz w:val="22"/>
          <w:szCs w:val="22"/>
        </w:rPr>
        <w:t xml:space="preserve"> a </w:t>
      </w:r>
      <w:r w:rsidR="006C3C22" w:rsidRPr="00A475AF">
        <w:rPr>
          <w:sz w:val="22"/>
          <w:szCs w:val="22"/>
        </w:rPr>
        <w:t>nemajú sa používať vysoké dávky (2 400 mg</w:t>
      </w:r>
      <w:r w:rsidR="003F0C30" w:rsidRPr="00A475AF">
        <w:rPr>
          <w:sz w:val="22"/>
          <w:szCs w:val="22"/>
        </w:rPr>
        <w:t xml:space="preserve"> </w:t>
      </w:r>
      <w:r w:rsidR="006C3C22" w:rsidRPr="00A475AF">
        <w:rPr>
          <w:sz w:val="22"/>
          <w:szCs w:val="22"/>
        </w:rPr>
        <w:t>de</w:t>
      </w:r>
      <w:r w:rsidR="003F0C30" w:rsidRPr="00A475AF">
        <w:rPr>
          <w:sz w:val="22"/>
          <w:szCs w:val="22"/>
        </w:rPr>
        <w:t>nne</w:t>
      </w:r>
      <w:r w:rsidR="00CF6670" w:rsidRPr="00A475AF">
        <w:rPr>
          <w:sz w:val="22"/>
          <w:szCs w:val="22"/>
        </w:rPr>
        <w:t>).</w:t>
      </w:r>
    </w:p>
    <w:p w14:paraId="4F098ED9" w14:textId="77777777" w:rsidR="006C3C22" w:rsidRPr="00A475AF" w:rsidRDefault="006C3C22" w:rsidP="00DB4E78">
      <w:pPr>
        <w:rPr>
          <w:spacing w:val="-4"/>
          <w:sz w:val="22"/>
          <w:szCs w:val="22"/>
        </w:rPr>
      </w:pPr>
    </w:p>
    <w:p w14:paraId="3CB9E7C9" w14:textId="77777777" w:rsidR="006C3C22" w:rsidRPr="00A475AF" w:rsidRDefault="006C3C22" w:rsidP="00DB4E78">
      <w:pPr>
        <w:rPr>
          <w:spacing w:val="-4"/>
          <w:sz w:val="22"/>
          <w:szCs w:val="22"/>
        </w:rPr>
      </w:pPr>
      <w:r w:rsidRPr="00A475AF">
        <w:rPr>
          <w:sz w:val="22"/>
          <w:szCs w:val="22"/>
        </w:rPr>
        <w:t xml:space="preserve">Pred začatím dlhodobej liečby pacientov s rizikovými faktormi pre vznik kardiovaskulárnych </w:t>
      </w:r>
      <w:r w:rsidR="003F0C30" w:rsidRPr="00A475AF">
        <w:rPr>
          <w:sz w:val="22"/>
          <w:szCs w:val="22"/>
        </w:rPr>
        <w:t>udalostí</w:t>
      </w:r>
      <w:r w:rsidRPr="00A475AF">
        <w:rPr>
          <w:sz w:val="22"/>
          <w:szCs w:val="22"/>
        </w:rPr>
        <w:t xml:space="preserve"> (napr. hypertenzia, </w:t>
      </w:r>
      <w:proofErr w:type="spellStart"/>
      <w:r w:rsidRPr="00A475AF">
        <w:rPr>
          <w:sz w:val="22"/>
          <w:szCs w:val="22"/>
        </w:rPr>
        <w:t>hyperlipidémia</w:t>
      </w:r>
      <w:proofErr w:type="spellEnd"/>
      <w:r w:rsidRPr="00A475AF">
        <w:rPr>
          <w:sz w:val="22"/>
          <w:szCs w:val="22"/>
        </w:rPr>
        <w:t xml:space="preserve">, diabetes </w:t>
      </w:r>
      <w:proofErr w:type="spellStart"/>
      <w:r w:rsidRPr="00A475AF">
        <w:rPr>
          <w:sz w:val="22"/>
          <w:szCs w:val="22"/>
        </w:rPr>
        <w:t>mellitus</w:t>
      </w:r>
      <w:proofErr w:type="spellEnd"/>
      <w:r w:rsidRPr="00A475AF">
        <w:rPr>
          <w:sz w:val="22"/>
          <w:szCs w:val="22"/>
        </w:rPr>
        <w:t xml:space="preserve">, fajčenie) je potrebné dôsledné zváženie, najmä v prípade, že sú potrebné vysoké dávky </w:t>
      </w:r>
      <w:proofErr w:type="spellStart"/>
      <w:r w:rsidRPr="00A475AF">
        <w:rPr>
          <w:sz w:val="22"/>
          <w:szCs w:val="22"/>
        </w:rPr>
        <w:t>ibuprof</w:t>
      </w:r>
      <w:r w:rsidR="005F4F0C" w:rsidRPr="00A475AF">
        <w:rPr>
          <w:sz w:val="22"/>
          <w:szCs w:val="22"/>
        </w:rPr>
        <w:t>é</w:t>
      </w:r>
      <w:r w:rsidRPr="00A475AF">
        <w:rPr>
          <w:sz w:val="22"/>
          <w:szCs w:val="22"/>
        </w:rPr>
        <w:t>nu</w:t>
      </w:r>
      <w:proofErr w:type="spellEnd"/>
      <w:r w:rsidRPr="00A475AF">
        <w:rPr>
          <w:sz w:val="22"/>
          <w:szCs w:val="22"/>
        </w:rPr>
        <w:t xml:space="preserve"> (2 400 mg</w:t>
      </w:r>
      <w:r w:rsidR="003F0C30" w:rsidRPr="00A475AF">
        <w:rPr>
          <w:sz w:val="22"/>
          <w:szCs w:val="22"/>
        </w:rPr>
        <w:t xml:space="preserve"> </w:t>
      </w:r>
      <w:r w:rsidRPr="00A475AF">
        <w:rPr>
          <w:sz w:val="22"/>
          <w:szCs w:val="22"/>
        </w:rPr>
        <w:t>de</w:t>
      </w:r>
      <w:r w:rsidR="003F0C30" w:rsidRPr="00A475AF">
        <w:rPr>
          <w:sz w:val="22"/>
          <w:szCs w:val="22"/>
        </w:rPr>
        <w:t>nne</w:t>
      </w:r>
      <w:r w:rsidRPr="00A475AF">
        <w:rPr>
          <w:sz w:val="22"/>
          <w:szCs w:val="22"/>
        </w:rPr>
        <w:t>).</w:t>
      </w:r>
    </w:p>
    <w:p w14:paraId="42FDD267" w14:textId="77777777" w:rsidR="0044260C" w:rsidRPr="00A475AF" w:rsidRDefault="0044260C" w:rsidP="00DB4E78">
      <w:pPr>
        <w:rPr>
          <w:sz w:val="22"/>
          <w:szCs w:val="22"/>
        </w:rPr>
      </w:pPr>
    </w:p>
    <w:p w14:paraId="1E7D7EBB" w14:textId="77777777" w:rsidR="00E8163B" w:rsidRPr="00A475AF" w:rsidRDefault="00F661D8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t xml:space="preserve">Porucha </w:t>
      </w:r>
      <w:r w:rsidR="00C54957" w:rsidRPr="00A475AF">
        <w:rPr>
          <w:i/>
          <w:sz w:val="22"/>
          <w:szCs w:val="22"/>
          <w:u w:val="single"/>
        </w:rPr>
        <w:t>plodnosti</w:t>
      </w:r>
      <w:r w:rsidRPr="00A475AF">
        <w:rPr>
          <w:i/>
          <w:sz w:val="22"/>
          <w:szCs w:val="22"/>
          <w:u w:val="single"/>
        </w:rPr>
        <w:t xml:space="preserve"> u žien</w:t>
      </w:r>
    </w:p>
    <w:p w14:paraId="4F738015" w14:textId="77777777" w:rsidR="00F661D8" w:rsidRPr="00A475AF" w:rsidRDefault="00E11B58" w:rsidP="00DB4E78">
      <w:pPr>
        <w:rPr>
          <w:sz w:val="22"/>
          <w:szCs w:val="22"/>
        </w:rPr>
      </w:pPr>
      <w:r w:rsidRPr="00A475AF">
        <w:rPr>
          <w:spacing w:val="-4"/>
          <w:sz w:val="22"/>
          <w:szCs w:val="22"/>
        </w:rPr>
        <w:t xml:space="preserve">Existuje dôkaz, že lieky, ktoré </w:t>
      </w:r>
      <w:proofErr w:type="spellStart"/>
      <w:r w:rsidR="008A4D5E" w:rsidRPr="00A475AF">
        <w:rPr>
          <w:spacing w:val="-4"/>
          <w:sz w:val="22"/>
          <w:szCs w:val="22"/>
        </w:rPr>
        <w:t>inhibujú</w:t>
      </w:r>
      <w:proofErr w:type="spellEnd"/>
      <w:r w:rsidR="00C54957" w:rsidRPr="00A475AF">
        <w:rPr>
          <w:spacing w:val="-4"/>
          <w:sz w:val="22"/>
          <w:szCs w:val="22"/>
        </w:rPr>
        <w:t xml:space="preserve"> </w:t>
      </w:r>
      <w:proofErr w:type="spellStart"/>
      <w:r w:rsidRPr="00A475AF">
        <w:rPr>
          <w:spacing w:val="-4"/>
          <w:sz w:val="22"/>
          <w:szCs w:val="22"/>
        </w:rPr>
        <w:t>cyklooxygenáz</w:t>
      </w:r>
      <w:r w:rsidR="00040163" w:rsidRPr="00A475AF">
        <w:rPr>
          <w:spacing w:val="-4"/>
          <w:sz w:val="22"/>
          <w:szCs w:val="22"/>
        </w:rPr>
        <w:t>u</w:t>
      </w:r>
      <w:proofErr w:type="spellEnd"/>
      <w:r w:rsidRPr="00A475AF">
        <w:rPr>
          <w:spacing w:val="-4"/>
          <w:sz w:val="22"/>
          <w:szCs w:val="22"/>
        </w:rPr>
        <w:t>/</w:t>
      </w:r>
      <w:r w:rsidR="00C54957" w:rsidRPr="00A475AF">
        <w:rPr>
          <w:spacing w:val="-4"/>
          <w:sz w:val="22"/>
          <w:szCs w:val="22"/>
        </w:rPr>
        <w:t>syntéz</w:t>
      </w:r>
      <w:r w:rsidR="00040163" w:rsidRPr="00A475AF">
        <w:rPr>
          <w:spacing w:val="-4"/>
          <w:sz w:val="22"/>
          <w:szCs w:val="22"/>
        </w:rPr>
        <w:t>u</w:t>
      </w:r>
      <w:r w:rsidR="00C54957" w:rsidRPr="00A475AF">
        <w:rPr>
          <w:spacing w:val="-4"/>
          <w:sz w:val="22"/>
          <w:szCs w:val="22"/>
        </w:rPr>
        <w:t xml:space="preserve"> </w:t>
      </w:r>
      <w:proofErr w:type="spellStart"/>
      <w:r w:rsidR="00C54957" w:rsidRPr="00A475AF">
        <w:rPr>
          <w:spacing w:val="-4"/>
          <w:sz w:val="22"/>
          <w:szCs w:val="22"/>
        </w:rPr>
        <w:t>p</w:t>
      </w:r>
      <w:r w:rsidRPr="00A475AF">
        <w:rPr>
          <w:spacing w:val="-4"/>
          <w:sz w:val="22"/>
          <w:szCs w:val="22"/>
        </w:rPr>
        <w:t>rostaglandínov</w:t>
      </w:r>
      <w:proofErr w:type="spellEnd"/>
      <w:r w:rsidRPr="00A475AF">
        <w:rPr>
          <w:spacing w:val="-4"/>
          <w:sz w:val="22"/>
          <w:szCs w:val="22"/>
        </w:rPr>
        <w:t xml:space="preserve"> môž</w:t>
      </w:r>
      <w:r w:rsidR="00FF18FC" w:rsidRPr="00A475AF">
        <w:rPr>
          <w:spacing w:val="-4"/>
          <w:sz w:val="22"/>
          <w:szCs w:val="22"/>
        </w:rPr>
        <w:t>u</w:t>
      </w:r>
      <w:r w:rsidRPr="00A475AF">
        <w:rPr>
          <w:spacing w:val="-4"/>
          <w:sz w:val="22"/>
          <w:szCs w:val="22"/>
        </w:rPr>
        <w:t xml:space="preserve"> mať negatívny vplyv na plodnosť žien vzhľadom na ich účinok na ovuláciu. Tento účinok je reverzibilný po prerušení liečby. </w:t>
      </w:r>
      <w:r w:rsidRPr="00A475AF">
        <w:rPr>
          <w:spacing w:val="-3"/>
          <w:sz w:val="22"/>
          <w:szCs w:val="22"/>
        </w:rPr>
        <w:t xml:space="preserve">U žien, ktoré majú </w:t>
      </w:r>
      <w:r w:rsidR="00C54957" w:rsidRPr="00A475AF">
        <w:rPr>
          <w:spacing w:val="-3"/>
          <w:sz w:val="22"/>
          <w:szCs w:val="22"/>
        </w:rPr>
        <w:t>problémy</w:t>
      </w:r>
      <w:r w:rsidRPr="00A475AF">
        <w:rPr>
          <w:spacing w:val="-3"/>
          <w:sz w:val="22"/>
          <w:szCs w:val="22"/>
        </w:rPr>
        <w:t xml:space="preserve"> s otehotnením alebo ktoré podstupujú vyšetrenie neplodnosti</w:t>
      </w:r>
      <w:r w:rsidRPr="00A475AF">
        <w:rPr>
          <w:spacing w:val="-4"/>
          <w:sz w:val="22"/>
          <w:szCs w:val="22"/>
        </w:rPr>
        <w:t xml:space="preserve">, je potrebné zvážiť vysadenie </w:t>
      </w:r>
      <w:proofErr w:type="spellStart"/>
      <w:r w:rsidRPr="00A475AF">
        <w:rPr>
          <w:spacing w:val="-4"/>
          <w:sz w:val="22"/>
          <w:szCs w:val="22"/>
        </w:rPr>
        <w:t>ibuprof</w:t>
      </w:r>
      <w:r w:rsidR="005F4F0C" w:rsidRPr="00A475AF">
        <w:rPr>
          <w:spacing w:val="-4"/>
          <w:sz w:val="22"/>
          <w:szCs w:val="22"/>
        </w:rPr>
        <w:t>é</w:t>
      </w:r>
      <w:r w:rsidRPr="00A475AF">
        <w:rPr>
          <w:spacing w:val="-4"/>
          <w:sz w:val="22"/>
          <w:szCs w:val="22"/>
        </w:rPr>
        <w:t>nu</w:t>
      </w:r>
      <w:proofErr w:type="spellEnd"/>
      <w:r w:rsidRPr="00A475AF">
        <w:rPr>
          <w:spacing w:val="-4"/>
          <w:sz w:val="22"/>
          <w:szCs w:val="22"/>
        </w:rPr>
        <w:t>.</w:t>
      </w:r>
    </w:p>
    <w:p w14:paraId="1D058FA8" w14:textId="77777777" w:rsidR="00F661D8" w:rsidRPr="00A475AF" w:rsidRDefault="00F661D8" w:rsidP="00DB4E78">
      <w:pPr>
        <w:rPr>
          <w:sz w:val="22"/>
          <w:szCs w:val="22"/>
        </w:rPr>
      </w:pPr>
    </w:p>
    <w:p w14:paraId="7964D454" w14:textId="77777777" w:rsidR="00F661D8" w:rsidRPr="00A475AF" w:rsidRDefault="00C54957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t>Zažívací trakt</w:t>
      </w:r>
    </w:p>
    <w:p w14:paraId="2C32927A" w14:textId="77777777" w:rsidR="00C54957" w:rsidRPr="00A475AF" w:rsidRDefault="00C54957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NSAID sa majú podávať s opatrnosťou u pacientov s anamnézou </w:t>
      </w:r>
      <w:proofErr w:type="spellStart"/>
      <w:r w:rsidRPr="00A475AF">
        <w:rPr>
          <w:sz w:val="22"/>
          <w:szCs w:val="22"/>
        </w:rPr>
        <w:t>gastrointestinálnych</w:t>
      </w:r>
      <w:proofErr w:type="spellEnd"/>
      <w:r w:rsidRPr="00A475AF">
        <w:rPr>
          <w:sz w:val="22"/>
          <w:szCs w:val="22"/>
        </w:rPr>
        <w:t xml:space="preserve"> ochorení (</w:t>
      </w:r>
      <w:proofErr w:type="spellStart"/>
      <w:r w:rsidRPr="00A475AF">
        <w:rPr>
          <w:sz w:val="22"/>
          <w:szCs w:val="22"/>
        </w:rPr>
        <w:t>ulcerózna</w:t>
      </w:r>
      <w:proofErr w:type="spellEnd"/>
      <w:r w:rsidRPr="00A475AF">
        <w:rPr>
          <w:sz w:val="22"/>
          <w:szCs w:val="22"/>
        </w:rPr>
        <w:t xml:space="preserve"> </w:t>
      </w:r>
      <w:proofErr w:type="spellStart"/>
      <w:r w:rsidRPr="00A475AF">
        <w:rPr>
          <w:sz w:val="22"/>
          <w:szCs w:val="22"/>
        </w:rPr>
        <w:t>kolitída</w:t>
      </w:r>
      <w:proofErr w:type="spellEnd"/>
      <w:r w:rsidRPr="00A475AF">
        <w:rPr>
          <w:sz w:val="22"/>
          <w:szCs w:val="22"/>
        </w:rPr>
        <w:t xml:space="preserve">, </w:t>
      </w:r>
      <w:proofErr w:type="spellStart"/>
      <w:r w:rsidRPr="00A475AF">
        <w:rPr>
          <w:sz w:val="22"/>
          <w:szCs w:val="22"/>
        </w:rPr>
        <w:t>Crohnova</w:t>
      </w:r>
      <w:proofErr w:type="spellEnd"/>
      <w:r w:rsidRPr="00A475AF">
        <w:rPr>
          <w:sz w:val="22"/>
          <w:szCs w:val="22"/>
        </w:rPr>
        <w:t xml:space="preserve"> choroba), pretože by mohlo dôjsť k </w:t>
      </w:r>
      <w:proofErr w:type="spellStart"/>
      <w:r w:rsidRPr="00A475AF">
        <w:rPr>
          <w:sz w:val="22"/>
          <w:szCs w:val="22"/>
        </w:rPr>
        <w:t>exacerbácii</w:t>
      </w:r>
      <w:proofErr w:type="spellEnd"/>
      <w:r w:rsidRPr="00A475AF">
        <w:rPr>
          <w:sz w:val="22"/>
          <w:szCs w:val="22"/>
        </w:rPr>
        <w:t xml:space="preserve"> týchto ochorení</w:t>
      </w:r>
      <w:r w:rsidR="000D3C66" w:rsidRPr="00A475AF">
        <w:rPr>
          <w:sz w:val="22"/>
          <w:szCs w:val="22"/>
        </w:rPr>
        <w:t xml:space="preserve"> (pozri časť 4.8).</w:t>
      </w:r>
    </w:p>
    <w:p w14:paraId="2B2A24D1" w14:textId="77777777" w:rsidR="00F661D8" w:rsidRPr="00A475AF" w:rsidRDefault="000D3C66" w:rsidP="00DB4E78">
      <w:pPr>
        <w:rPr>
          <w:sz w:val="22"/>
          <w:szCs w:val="22"/>
        </w:rPr>
      </w:pPr>
      <w:proofErr w:type="spellStart"/>
      <w:r w:rsidRPr="00A475AF">
        <w:rPr>
          <w:spacing w:val="-4"/>
          <w:sz w:val="22"/>
          <w:szCs w:val="22"/>
        </w:rPr>
        <w:t>Gastrointestinálne</w:t>
      </w:r>
      <w:proofErr w:type="spellEnd"/>
      <w:r w:rsidRPr="00A475AF">
        <w:rPr>
          <w:spacing w:val="-4"/>
          <w:sz w:val="22"/>
          <w:szCs w:val="22"/>
        </w:rPr>
        <w:t xml:space="preserve"> krvácanie, </w:t>
      </w:r>
      <w:proofErr w:type="spellStart"/>
      <w:r w:rsidRPr="00A475AF">
        <w:rPr>
          <w:spacing w:val="-4"/>
          <w:sz w:val="22"/>
          <w:szCs w:val="22"/>
        </w:rPr>
        <w:t>ulcerácia</w:t>
      </w:r>
      <w:proofErr w:type="spellEnd"/>
      <w:r w:rsidRPr="00A475AF">
        <w:rPr>
          <w:spacing w:val="-4"/>
          <w:sz w:val="22"/>
          <w:szCs w:val="22"/>
        </w:rPr>
        <w:t xml:space="preserve"> alebo perforácia, ktoré môžu byť fatálne, sú hlásené pri všetkých liekoch zo skupiny NSAID a môžu sa vyskytnúť kedykoľvek počas liečby, a to s varovnými príznakmi aj bez nich, a takisto bez predchádzajúcej anamnézy </w:t>
      </w:r>
      <w:proofErr w:type="spellStart"/>
      <w:r w:rsidRPr="00A475AF">
        <w:rPr>
          <w:spacing w:val="-4"/>
          <w:sz w:val="22"/>
          <w:szCs w:val="22"/>
        </w:rPr>
        <w:t>gastrointestinálnych</w:t>
      </w:r>
      <w:proofErr w:type="spellEnd"/>
      <w:r w:rsidRPr="00A475AF">
        <w:rPr>
          <w:spacing w:val="-4"/>
          <w:sz w:val="22"/>
          <w:szCs w:val="22"/>
        </w:rPr>
        <w:t xml:space="preserve"> príhod.</w:t>
      </w:r>
    </w:p>
    <w:p w14:paraId="0AD33F3E" w14:textId="77777777" w:rsidR="000D3C66" w:rsidRPr="00A475AF" w:rsidRDefault="000D3C66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 xml:space="preserve">Riziko </w:t>
      </w:r>
      <w:proofErr w:type="spellStart"/>
      <w:r w:rsidRPr="00A475AF">
        <w:rPr>
          <w:spacing w:val="-4"/>
          <w:sz w:val="22"/>
          <w:szCs w:val="22"/>
        </w:rPr>
        <w:t>gastrointestinálneho</w:t>
      </w:r>
      <w:proofErr w:type="spellEnd"/>
      <w:r w:rsidRPr="00A475AF">
        <w:rPr>
          <w:spacing w:val="-4"/>
          <w:sz w:val="22"/>
          <w:szCs w:val="22"/>
        </w:rPr>
        <w:t xml:space="preserve"> krvácania, </w:t>
      </w:r>
      <w:proofErr w:type="spellStart"/>
      <w:r w:rsidRPr="00A475AF">
        <w:rPr>
          <w:spacing w:val="-4"/>
          <w:sz w:val="22"/>
          <w:szCs w:val="22"/>
        </w:rPr>
        <w:t>ulcerácie</w:t>
      </w:r>
      <w:proofErr w:type="spellEnd"/>
      <w:r w:rsidRPr="00A475AF">
        <w:rPr>
          <w:spacing w:val="-4"/>
          <w:sz w:val="22"/>
          <w:szCs w:val="22"/>
        </w:rPr>
        <w:t xml:space="preserve"> alebo perforácie sa stupňuje so zvyšujúcou sa dávkou liekov zo skupiny NSAID, u pacientov s anamnézou vredovej choroby, zvlášť ak bola spojená s</w:t>
      </w:r>
      <w:r w:rsidR="00013E46" w:rsidRPr="00A475AF">
        <w:rPr>
          <w:spacing w:val="-4"/>
          <w:sz w:val="22"/>
          <w:szCs w:val="22"/>
        </w:rPr>
        <w:t> </w:t>
      </w:r>
      <w:r w:rsidRPr="00A475AF">
        <w:rPr>
          <w:spacing w:val="-4"/>
          <w:sz w:val="22"/>
          <w:szCs w:val="22"/>
        </w:rPr>
        <w:t xml:space="preserve">komplikáciou krvácania alebo perforácie (pozri časť 4.3) a u starších ľudí. U týchto pacientov treba začať liečbu najnižšou možnou dávkou. Kombinovanú liečbu </w:t>
      </w:r>
      <w:r w:rsidR="00AE61E3" w:rsidRPr="00A475AF">
        <w:rPr>
          <w:spacing w:val="-4"/>
          <w:sz w:val="22"/>
          <w:szCs w:val="22"/>
        </w:rPr>
        <w:t>s </w:t>
      </w:r>
      <w:proofErr w:type="spellStart"/>
      <w:r w:rsidR="00AE61E3" w:rsidRPr="00A475AF">
        <w:rPr>
          <w:spacing w:val="-4"/>
          <w:sz w:val="22"/>
          <w:szCs w:val="22"/>
        </w:rPr>
        <w:t>protektívnymi</w:t>
      </w:r>
      <w:proofErr w:type="spellEnd"/>
      <w:r w:rsidR="00AE61E3" w:rsidRPr="00A475AF">
        <w:rPr>
          <w:spacing w:val="-4"/>
          <w:sz w:val="22"/>
          <w:szCs w:val="22"/>
        </w:rPr>
        <w:t xml:space="preserve"> látkami (</w:t>
      </w:r>
      <w:r w:rsidR="008A4D5E" w:rsidRPr="00A475AF">
        <w:rPr>
          <w:spacing w:val="-4"/>
          <w:sz w:val="22"/>
          <w:szCs w:val="22"/>
        </w:rPr>
        <w:t>napríklad</w:t>
      </w:r>
      <w:r w:rsidR="00AE61E3" w:rsidRPr="00A475AF">
        <w:rPr>
          <w:spacing w:val="-4"/>
          <w:sz w:val="22"/>
          <w:szCs w:val="22"/>
        </w:rPr>
        <w:t xml:space="preserve"> </w:t>
      </w:r>
      <w:proofErr w:type="spellStart"/>
      <w:r w:rsidRPr="00A475AF">
        <w:rPr>
          <w:spacing w:val="-4"/>
          <w:sz w:val="22"/>
          <w:szCs w:val="22"/>
        </w:rPr>
        <w:t>misoprost</w:t>
      </w:r>
      <w:smartTag w:uri="urn:schemas-microsoft-com:office:smarttags" w:element="PersonName">
        <w:r w:rsidRPr="00A475AF">
          <w:rPr>
            <w:spacing w:val="-4"/>
            <w:sz w:val="22"/>
            <w:szCs w:val="22"/>
          </w:rPr>
          <w:t>ol</w:t>
        </w:r>
        <w:r w:rsidR="004F68AA" w:rsidRPr="00A475AF">
          <w:rPr>
            <w:spacing w:val="-4"/>
            <w:sz w:val="22"/>
            <w:szCs w:val="22"/>
          </w:rPr>
          <w:t>o</w:t>
        </w:r>
      </w:smartTag>
      <w:r w:rsidR="004F68AA" w:rsidRPr="00A475AF">
        <w:rPr>
          <w:spacing w:val="-4"/>
          <w:sz w:val="22"/>
          <w:szCs w:val="22"/>
        </w:rPr>
        <w:t>m</w:t>
      </w:r>
      <w:proofErr w:type="spellEnd"/>
      <w:r w:rsidR="004F68AA" w:rsidRPr="00A475AF">
        <w:rPr>
          <w:spacing w:val="-4"/>
          <w:sz w:val="22"/>
          <w:szCs w:val="22"/>
        </w:rPr>
        <w:t xml:space="preserve"> alebo inhibítormi</w:t>
      </w:r>
      <w:r w:rsidRPr="00A475AF">
        <w:rPr>
          <w:spacing w:val="-4"/>
          <w:sz w:val="22"/>
          <w:szCs w:val="22"/>
        </w:rPr>
        <w:t xml:space="preserve"> protónovej pumpy) je potrebné zv</w:t>
      </w:r>
      <w:r w:rsidR="00A75FD7" w:rsidRPr="00A475AF">
        <w:rPr>
          <w:spacing w:val="-4"/>
          <w:sz w:val="22"/>
          <w:szCs w:val="22"/>
        </w:rPr>
        <w:t xml:space="preserve">ážiť u týchto pacientov a tiež </w:t>
      </w:r>
      <w:r w:rsidRPr="00A475AF">
        <w:rPr>
          <w:spacing w:val="-4"/>
          <w:sz w:val="22"/>
          <w:szCs w:val="22"/>
        </w:rPr>
        <w:t>u pacientov liečených sú</w:t>
      </w:r>
      <w:r w:rsidR="00013E46" w:rsidRPr="00A475AF">
        <w:rPr>
          <w:spacing w:val="-4"/>
          <w:sz w:val="22"/>
          <w:szCs w:val="22"/>
        </w:rPr>
        <w:t>bežne</w:t>
      </w:r>
      <w:r w:rsidRPr="00A475AF">
        <w:rPr>
          <w:spacing w:val="-4"/>
          <w:sz w:val="22"/>
          <w:szCs w:val="22"/>
        </w:rPr>
        <w:t xml:space="preserve"> nízkymi dávkami kyseliny </w:t>
      </w:r>
      <w:proofErr w:type="spellStart"/>
      <w:r w:rsidRPr="00A475AF">
        <w:rPr>
          <w:spacing w:val="-4"/>
          <w:sz w:val="22"/>
          <w:szCs w:val="22"/>
        </w:rPr>
        <w:t>acetylsalicylovej</w:t>
      </w:r>
      <w:proofErr w:type="spellEnd"/>
      <w:r w:rsidRPr="00A475AF">
        <w:rPr>
          <w:spacing w:val="-4"/>
          <w:sz w:val="22"/>
          <w:szCs w:val="22"/>
        </w:rPr>
        <w:t xml:space="preserve"> alebo iných liečiv, ktoré môžu zvýšiť </w:t>
      </w:r>
      <w:proofErr w:type="spellStart"/>
      <w:r w:rsidRPr="00A475AF">
        <w:rPr>
          <w:spacing w:val="-4"/>
          <w:sz w:val="22"/>
          <w:szCs w:val="22"/>
        </w:rPr>
        <w:t>gastrointestinálne</w:t>
      </w:r>
      <w:proofErr w:type="spellEnd"/>
      <w:r w:rsidRPr="00A475AF">
        <w:rPr>
          <w:spacing w:val="-4"/>
          <w:sz w:val="22"/>
          <w:szCs w:val="22"/>
        </w:rPr>
        <w:t xml:space="preserve"> riziko (pozri nižšie a časť 4.5).</w:t>
      </w:r>
    </w:p>
    <w:p w14:paraId="652DF4C7" w14:textId="77777777" w:rsidR="000D3C66" w:rsidRPr="00A475AF" w:rsidRDefault="000D3C66" w:rsidP="00DB4E78">
      <w:pPr>
        <w:rPr>
          <w:spacing w:val="-4"/>
          <w:sz w:val="22"/>
          <w:szCs w:val="22"/>
        </w:rPr>
      </w:pPr>
    </w:p>
    <w:p w14:paraId="2F146C88" w14:textId="77777777" w:rsidR="000D3C66" w:rsidRPr="00A475AF" w:rsidRDefault="000D3C66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 xml:space="preserve">Pacienti s anamnézou </w:t>
      </w:r>
      <w:proofErr w:type="spellStart"/>
      <w:r w:rsidRPr="00A475AF">
        <w:rPr>
          <w:spacing w:val="-4"/>
          <w:sz w:val="22"/>
          <w:szCs w:val="22"/>
        </w:rPr>
        <w:t>gastrointestinálnej</w:t>
      </w:r>
      <w:proofErr w:type="spellEnd"/>
      <w:r w:rsidRPr="00A475AF">
        <w:rPr>
          <w:spacing w:val="-4"/>
          <w:sz w:val="22"/>
          <w:szCs w:val="22"/>
        </w:rPr>
        <w:t xml:space="preserve"> toxicity, najmä starší ľudia, majú informovať o akýchkoľvek nezvyčajných </w:t>
      </w:r>
      <w:proofErr w:type="spellStart"/>
      <w:r w:rsidRPr="00A475AF">
        <w:rPr>
          <w:spacing w:val="-4"/>
          <w:sz w:val="22"/>
          <w:szCs w:val="22"/>
        </w:rPr>
        <w:t>abdominálnych</w:t>
      </w:r>
      <w:proofErr w:type="spellEnd"/>
      <w:r w:rsidRPr="00A475AF">
        <w:rPr>
          <w:spacing w:val="-4"/>
          <w:sz w:val="22"/>
          <w:szCs w:val="22"/>
        </w:rPr>
        <w:t xml:space="preserve"> príznakoch (najmä o </w:t>
      </w:r>
      <w:proofErr w:type="spellStart"/>
      <w:r w:rsidRPr="00A475AF">
        <w:rPr>
          <w:spacing w:val="-4"/>
          <w:sz w:val="22"/>
          <w:szCs w:val="22"/>
        </w:rPr>
        <w:t>gastrointestinálnom</w:t>
      </w:r>
      <w:proofErr w:type="spellEnd"/>
      <w:r w:rsidRPr="00A475AF">
        <w:rPr>
          <w:spacing w:val="-4"/>
          <w:sz w:val="22"/>
          <w:szCs w:val="22"/>
        </w:rPr>
        <w:t xml:space="preserve"> krvácaní), obzvlášť v úvodných štádiách liečby.</w:t>
      </w:r>
    </w:p>
    <w:p w14:paraId="3D946902" w14:textId="77777777" w:rsidR="000D3C66" w:rsidRPr="00A475AF" w:rsidRDefault="000D3C66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lastRenderedPageBreak/>
        <w:t>Opatrnosť sa odporúča u pacientov sú</w:t>
      </w:r>
      <w:r w:rsidR="00013E46" w:rsidRPr="00A475AF">
        <w:rPr>
          <w:spacing w:val="-4"/>
          <w:sz w:val="22"/>
          <w:szCs w:val="22"/>
        </w:rPr>
        <w:t>bežne</w:t>
      </w:r>
      <w:r w:rsidRPr="00A475AF">
        <w:rPr>
          <w:spacing w:val="-4"/>
          <w:sz w:val="22"/>
          <w:szCs w:val="22"/>
        </w:rPr>
        <w:t xml:space="preserve"> dostávajúcich lieky, ktoré môžu zvyšovať riziko </w:t>
      </w:r>
      <w:proofErr w:type="spellStart"/>
      <w:r w:rsidRPr="00A475AF">
        <w:rPr>
          <w:spacing w:val="-4"/>
          <w:sz w:val="22"/>
          <w:szCs w:val="22"/>
        </w:rPr>
        <w:t>ulcerácie</w:t>
      </w:r>
      <w:proofErr w:type="spellEnd"/>
      <w:r w:rsidRPr="00A475AF">
        <w:rPr>
          <w:spacing w:val="-4"/>
          <w:sz w:val="22"/>
          <w:szCs w:val="22"/>
        </w:rPr>
        <w:t xml:space="preserve"> alebo krvácania, ako sú orálne </w:t>
      </w:r>
      <w:proofErr w:type="spellStart"/>
      <w:r w:rsidRPr="00A475AF">
        <w:rPr>
          <w:spacing w:val="-4"/>
          <w:sz w:val="22"/>
          <w:szCs w:val="22"/>
        </w:rPr>
        <w:t>kortikosteroidy</w:t>
      </w:r>
      <w:proofErr w:type="spellEnd"/>
      <w:r w:rsidRPr="00A475AF">
        <w:rPr>
          <w:spacing w:val="-4"/>
          <w:sz w:val="22"/>
          <w:szCs w:val="22"/>
        </w:rPr>
        <w:t xml:space="preserve"> alebo </w:t>
      </w:r>
      <w:proofErr w:type="spellStart"/>
      <w:r w:rsidRPr="00A475AF">
        <w:rPr>
          <w:spacing w:val="-4"/>
          <w:sz w:val="22"/>
          <w:szCs w:val="22"/>
        </w:rPr>
        <w:t>antikoagulanciá</w:t>
      </w:r>
      <w:proofErr w:type="spellEnd"/>
      <w:r w:rsidR="00C95515" w:rsidRPr="00A475AF">
        <w:rPr>
          <w:spacing w:val="-4"/>
          <w:sz w:val="22"/>
          <w:szCs w:val="22"/>
        </w:rPr>
        <w:t>,</w:t>
      </w:r>
      <w:r w:rsidRPr="00A475AF">
        <w:rPr>
          <w:spacing w:val="-4"/>
          <w:sz w:val="22"/>
          <w:szCs w:val="22"/>
        </w:rPr>
        <w:t xml:space="preserve"> ako </w:t>
      </w:r>
      <w:proofErr w:type="spellStart"/>
      <w:r w:rsidRPr="00A475AF">
        <w:rPr>
          <w:spacing w:val="-4"/>
          <w:sz w:val="22"/>
          <w:szCs w:val="22"/>
        </w:rPr>
        <w:t>warfarín</w:t>
      </w:r>
      <w:proofErr w:type="spellEnd"/>
      <w:r w:rsidRPr="00A475AF">
        <w:rPr>
          <w:spacing w:val="-4"/>
          <w:sz w:val="22"/>
          <w:szCs w:val="22"/>
        </w:rPr>
        <w:t xml:space="preserve">, SSRI alebo </w:t>
      </w:r>
      <w:proofErr w:type="spellStart"/>
      <w:r w:rsidRPr="00A475AF">
        <w:rPr>
          <w:spacing w:val="-4"/>
          <w:sz w:val="22"/>
          <w:szCs w:val="22"/>
        </w:rPr>
        <w:t>antiagregačné</w:t>
      </w:r>
      <w:proofErr w:type="spellEnd"/>
      <w:r w:rsidRPr="00A475AF">
        <w:rPr>
          <w:spacing w:val="-4"/>
          <w:sz w:val="22"/>
          <w:szCs w:val="22"/>
        </w:rPr>
        <w:t xml:space="preserve"> látky, ako je kyselina acetylsalicylová (pozri časť 4.5).</w:t>
      </w:r>
    </w:p>
    <w:p w14:paraId="018D5622" w14:textId="77777777" w:rsidR="000D3C66" w:rsidRPr="00A475AF" w:rsidRDefault="000D3C66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 xml:space="preserve">Ak sa u pacientov užívajúcich </w:t>
      </w:r>
      <w:proofErr w:type="spellStart"/>
      <w:r w:rsidR="005F4F0C" w:rsidRPr="00A475AF">
        <w:rPr>
          <w:spacing w:val="-4"/>
          <w:sz w:val="22"/>
          <w:szCs w:val="22"/>
        </w:rPr>
        <w:t>ibuprofén</w:t>
      </w:r>
      <w:proofErr w:type="spellEnd"/>
      <w:r w:rsidR="005F4F0C" w:rsidRPr="00A475AF">
        <w:rPr>
          <w:spacing w:val="-4"/>
          <w:sz w:val="22"/>
          <w:szCs w:val="22"/>
        </w:rPr>
        <w:t xml:space="preserve"> </w:t>
      </w:r>
      <w:r w:rsidRPr="00A475AF">
        <w:rPr>
          <w:spacing w:val="-4"/>
          <w:sz w:val="22"/>
          <w:szCs w:val="22"/>
        </w:rPr>
        <w:t xml:space="preserve">objaví </w:t>
      </w:r>
      <w:proofErr w:type="spellStart"/>
      <w:r w:rsidRPr="00A475AF">
        <w:rPr>
          <w:spacing w:val="-4"/>
          <w:sz w:val="22"/>
          <w:szCs w:val="22"/>
        </w:rPr>
        <w:t>gastrointestinálne</w:t>
      </w:r>
      <w:proofErr w:type="spellEnd"/>
      <w:r w:rsidRPr="00A475AF">
        <w:rPr>
          <w:spacing w:val="-4"/>
          <w:sz w:val="22"/>
          <w:szCs w:val="22"/>
        </w:rPr>
        <w:t xml:space="preserve"> krvácanie alebo </w:t>
      </w:r>
      <w:proofErr w:type="spellStart"/>
      <w:r w:rsidRPr="00A475AF">
        <w:rPr>
          <w:spacing w:val="-4"/>
          <w:sz w:val="22"/>
          <w:szCs w:val="22"/>
        </w:rPr>
        <w:t>ulcerácia</w:t>
      </w:r>
      <w:proofErr w:type="spellEnd"/>
      <w:r w:rsidRPr="00A475AF">
        <w:rPr>
          <w:spacing w:val="-4"/>
          <w:sz w:val="22"/>
          <w:szCs w:val="22"/>
        </w:rPr>
        <w:t xml:space="preserve">, liečba sa </w:t>
      </w:r>
      <w:r w:rsidR="00AE61E3" w:rsidRPr="00A475AF">
        <w:rPr>
          <w:spacing w:val="-4"/>
          <w:sz w:val="22"/>
          <w:szCs w:val="22"/>
        </w:rPr>
        <w:t xml:space="preserve">má </w:t>
      </w:r>
      <w:r w:rsidRPr="00A475AF">
        <w:rPr>
          <w:spacing w:val="-4"/>
          <w:sz w:val="22"/>
          <w:szCs w:val="22"/>
        </w:rPr>
        <w:t>ukončiť.</w:t>
      </w:r>
    </w:p>
    <w:p w14:paraId="262E191D" w14:textId="77777777" w:rsidR="00EA5CDD" w:rsidRPr="00A475AF" w:rsidRDefault="00EA5CDD" w:rsidP="00DB4E78">
      <w:pPr>
        <w:rPr>
          <w:spacing w:val="-4"/>
          <w:sz w:val="22"/>
          <w:szCs w:val="22"/>
        </w:rPr>
      </w:pPr>
    </w:p>
    <w:p w14:paraId="5186414E" w14:textId="77777777" w:rsidR="00C54957" w:rsidRPr="00A475AF" w:rsidRDefault="00AE61E3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t>Kožné reakcie</w:t>
      </w:r>
    </w:p>
    <w:p w14:paraId="26843587" w14:textId="77777777" w:rsidR="00AE61E3" w:rsidRPr="00A475AF" w:rsidRDefault="00AE61E3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 xml:space="preserve">V súvislosti s podávaním liekov zo skupiny NSAID boli veľmi zriedkavo hlásené závažné kožné reakcie, niektoré z nich fatálne, vrátane </w:t>
      </w:r>
      <w:proofErr w:type="spellStart"/>
      <w:r w:rsidRPr="00A475AF">
        <w:rPr>
          <w:spacing w:val="-4"/>
          <w:sz w:val="22"/>
          <w:szCs w:val="22"/>
        </w:rPr>
        <w:t>exfoliatívnej</w:t>
      </w:r>
      <w:proofErr w:type="spellEnd"/>
      <w:r w:rsidRPr="00A475AF">
        <w:rPr>
          <w:spacing w:val="-4"/>
          <w:sz w:val="22"/>
          <w:szCs w:val="22"/>
        </w:rPr>
        <w:t xml:space="preserve"> dermatitídy, </w:t>
      </w:r>
      <w:proofErr w:type="spellStart"/>
      <w:r w:rsidR="008A4D5E" w:rsidRPr="00A475AF">
        <w:rPr>
          <w:spacing w:val="-4"/>
          <w:sz w:val="22"/>
          <w:szCs w:val="22"/>
        </w:rPr>
        <w:t>Stevensovho</w:t>
      </w:r>
      <w:r w:rsidRPr="00A475AF">
        <w:rPr>
          <w:spacing w:val="-4"/>
          <w:sz w:val="22"/>
          <w:szCs w:val="22"/>
        </w:rPr>
        <w:t>-Johnsonovho</w:t>
      </w:r>
      <w:proofErr w:type="spellEnd"/>
      <w:r w:rsidRPr="00A475AF">
        <w:rPr>
          <w:spacing w:val="-4"/>
          <w:sz w:val="22"/>
          <w:szCs w:val="22"/>
        </w:rPr>
        <w:t xml:space="preserve"> syndrómu a toxickej </w:t>
      </w:r>
      <w:proofErr w:type="spellStart"/>
      <w:r w:rsidRPr="00A475AF">
        <w:rPr>
          <w:spacing w:val="-4"/>
          <w:sz w:val="22"/>
          <w:szCs w:val="22"/>
        </w:rPr>
        <w:t>epidermálnej</w:t>
      </w:r>
      <w:proofErr w:type="spellEnd"/>
      <w:r w:rsidRPr="00A475AF">
        <w:rPr>
          <w:spacing w:val="-4"/>
          <w:sz w:val="22"/>
          <w:szCs w:val="22"/>
        </w:rPr>
        <w:t xml:space="preserve"> </w:t>
      </w:r>
      <w:proofErr w:type="spellStart"/>
      <w:r w:rsidRPr="00A475AF">
        <w:rPr>
          <w:spacing w:val="-4"/>
          <w:sz w:val="22"/>
          <w:szCs w:val="22"/>
        </w:rPr>
        <w:t>nekrolýzy</w:t>
      </w:r>
      <w:proofErr w:type="spellEnd"/>
      <w:r w:rsidRPr="00A475AF">
        <w:rPr>
          <w:spacing w:val="-4"/>
          <w:sz w:val="22"/>
          <w:szCs w:val="22"/>
        </w:rPr>
        <w:t xml:space="preserve"> (pozri časť 4.8). Zdá sa, že najvyššie riziko týchto reakcií pacientom hrozí v</w:t>
      </w:r>
      <w:r w:rsidR="00013E46" w:rsidRPr="00A475AF">
        <w:rPr>
          <w:spacing w:val="-4"/>
          <w:sz w:val="22"/>
          <w:szCs w:val="22"/>
        </w:rPr>
        <w:t> </w:t>
      </w:r>
      <w:r w:rsidRPr="00A475AF">
        <w:rPr>
          <w:spacing w:val="-4"/>
          <w:sz w:val="22"/>
          <w:szCs w:val="22"/>
        </w:rPr>
        <w:t xml:space="preserve">skorých štádiách liečby: vo väčšine prípadov sa kožná reakcia objaví v prvom mesiaci liečby. </w:t>
      </w:r>
    </w:p>
    <w:p w14:paraId="3906324B" w14:textId="77777777" w:rsidR="00C54957" w:rsidRPr="00A475AF" w:rsidRDefault="005F4F0C" w:rsidP="00DB4E78">
      <w:pPr>
        <w:rPr>
          <w:sz w:val="22"/>
          <w:szCs w:val="22"/>
        </w:rPr>
      </w:pPr>
      <w:proofErr w:type="spellStart"/>
      <w:r w:rsidRPr="00A475AF">
        <w:rPr>
          <w:spacing w:val="-4"/>
          <w:sz w:val="22"/>
          <w:szCs w:val="22"/>
        </w:rPr>
        <w:t>Ibuprofén</w:t>
      </w:r>
      <w:proofErr w:type="spellEnd"/>
      <w:r w:rsidRPr="00A475AF">
        <w:rPr>
          <w:spacing w:val="-4"/>
          <w:sz w:val="22"/>
          <w:szCs w:val="22"/>
        </w:rPr>
        <w:t xml:space="preserve"> </w:t>
      </w:r>
      <w:r w:rsidR="009846E0" w:rsidRPr="00A475AF">
        <w:rPr>
          <w:spacing w:val="-4"/>
          <w:sz w:val="22"/>
          <w:szCs w:val="22"/>
        </w:rPr>
        <w:t>má byť</w:t>
      </w:r>
      <w:r w:rsidR="00AE61E3" w:rsidRPr="00A475AF">
        <w:rPr>
          <w:spacing w:val="-4"/>
          <w:sz w:val="22"/>
          <w:szCs w:val="22"/>
        </w:rPr>
        <w:t xml:space="preserve"> vysad</w:t>
      </w:r>
      <w:r w:rsidR="009846E0" w:rsidRPr="00A475AF">
        <w:rPr>
          <w:spacing w:val="-4"/>
          <w:sz w:val="22"/>
          <w:szCs w:val="22"/>
        </w:rPr>
        <w:t>ený</w:t>
      </w:r>
      <w:r w:rsidR="00AE61E3" w:rsidRPr="00A475AF">
        <w:rPr>
          <w:spacing w:val="-4"/>
          <w:sz w:val="22"/>
          <w:szCs w:val="22"/>
        </w:rPr>
        <w:t xml:space="preserve"> pri prvom výskyte kožných vyrážok, slizničných lézií alebo akomkoľvek inom prejave precitlivenosti.</w:t>
      </w:r>
    </w:p>
    <w:p w14:paraId="3DC42E34" w14:textId="77777777" w:rsidR="00E8163B" w:rsidRPr="00A475AF" w:rsidRDefault="00E8163B" w:rsidP="00DB4E78">
      <w:pPr>
        <w:rPr>
          <w:sz w:val="22"/>
          <w:szCs w:val="22"/>
        </w:rPr>
      </w:pPr>
    </w:p>
    <w:p w14:paraId="2A2D5B41" w14:textId="77777777" w:rsidR="009846E0" w:rsidRPr="00A475AF" w:rsidRDefault="009846E0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t>Ďalšie poznámky</w:t>
      </w:r>
    </w:p>
    <w:p w14:paraId="2912A8B4" w14:textId="77777777" w:rsidR="009846E0" w:rsidRPr="00A475AF" w:rsidRDefault="009846E0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Dlhodobé užívanie akéhokoľvek typu lieku proti bolesti hlavy môže stav ešte zhoršiť. Ak nastane tento stav alebo je podozrenie, že nastal, je potrebné prerušiť liečbu a poradiť sa s lekárom. Podozrenie na diagnózu bolesti hlavy z nadmerného užívania (MOH) je možné u pacientov, ktorí majú časté alebo každodenné bolesti hlavy, hoci (alebo pretože) pravidelne užívajú lieky proti bolesti hlavy.</w:t>
      </w:r>
    </w:p>
    <w:p w14:paraId="4BDEBDEF" w14:textId="77777777" w:rsidR="00492D98" w:rsidRPr="00A475AF" w:rsidRDefault="00492D98" w:rsidP="00DB4E78">
      <w:pPr>
        <w:rPr>
          <w:sz w:val="22"/>
          <w:szCs w:val="22"/>
        </w:rPr>
      </w:pPr>
    </w:p>
    <w:p w14:paraId="3B294AAC" w14:textId="77777777" w:rsidR="009846E0" w:rsidRPr="00A475AF" w:rsidRDefault="009846E0" w:rsidP="00DB4E78">
      <w:pPr>
        <w:rPr>
          <w:spacing w:val="-4"/>
          <w:sz w:val="22"/>
          <w:szCs w:val="22"/>
        </w:rPr>
      </w:pPr>
      <w:r w:rsidRPr="00A475AF">
        <w:rPr>
          <w:spacing w:val="-4"/>
          <w:sz w:val="22"/>
          <w:szCs w:val="22"/>
        </w:rPr>
        <w:t>Užívanie NSAID za sú</w:t>
      </w:r>
      <w:r w:rsidR="00013E46" w:rsidRPr="00A475AF">
        <w:rPr>
          <w:spacing w:val="-4"/>
          <w:sz w:val="22"/>
          <w:szCs w:val="22"/>
        </w:rPr>
        <w:t>bež</w:t>
      </w:r>
      <w:r w:rsidRPr="00A475AF">
        <w:rPr>
          <w:spacing w:val="-4"/>
          <w:sz w:val="22"/>
          <w:szCs w:val="22"/>
        </w:rPr>
        <w:t>nej konzumácie alkoholu môže zvýšiť výskyt nežiaducich účinkov v súvislosti s aktívnou látkou, najmä tých, ktoré sa týkajú zažívacieho ústrojenstva alebo centrálneho nervového systému.</w:t>
      </w:r>
    </w:p>
    <w:p w14:paraId="3A2281F3" w14:textId="77777777" w:rsidR="009846E0" w:rsidRPr="00A475AF" w:rsidRDefault="009846E0" w:rsidP="00DB4E78">
      <w:pPr>
        <w:rPr>
          <w:spacing w:val="-4"/>
          <w:sz w:val="22"/>
          <w:szCs w:val="22"/>
        </w:rPr>
      </w:pPr>
    </w:p>
    <w:p w14:paraId="58E01C78" w14:textId="77777777" w:rsidR="009846E0" w:rsidRPr="00A475AF" w:rsidRDefault="005F4F0C" w:rsidP="00DB4E78">
      <w:pPr>
        <w:rPr>
          <w:sz w:val="22"/>
          <w:szCs w:val="22"/>
        </w:rPr>
      </w:pPr>
      <w:proofErr w:type="spellStart"/>
      <w:r w:rsidRPr="00A475AF">
        <w:rPr>
          <w:spacing w:val="-4"/>
          <w:sz w:val="22"/>
          <w:szCs w:val="22"/>
        </w:rPr>
        <w:t>Ibuprofén</w:t>
      </w:r>
      <w:proofErr w:type="spellEnd"/>
      <w:r w:rsidRPr="00A475AF">
        <w:rPr>
          <w:spacing w:val="-4"/>
          <w:sz w:val="22"/>
          <w:szCs w:val="22"/>
        </w:rPr>
        <w:t xml:space="preserve"> </w:t>
      </w:r>
      <w:r w:rsidR="009846E0" w:rsidRPr="00A475AF">
        <w:rPr>
          <w:spacing w:val="-4"/>
          <w:sz w:val="22"/>
          <w:szCs w:val="22"/>
        </w:rPr>
        <w:t>môže maskovať príznaky infekcie (horúčka, bolesť a opuch).</w:t>
      </w:r>
    </w:p>
    <w:p w14:paraId="28B11597" w14:textId="77777777" w:rsidR="007844D2" w:rsidRPr="00A475AF" w:rsidRDefault="007844D2" w:rsidP="00DB4E78">
      <w:pPr>
        <w:rPr>
          <w:bCs/>
          <w:sz w:val="22"/>
          <w:szCs w:val="22"/>
        </w:rPr>
      </w:pPr>
    </w:p>
    <w:p w14:paraId="2C960E35" w14:textId="77777777" w:rsidR="007844D2" w:rsidRPr="00A475AF" w:rsidRDefault="009846E0" w:rsidP="00DB4E78">
      <w:pPr>
        <w:rPr>
          <w:i/>
          <w:sz w:val="22"/>
          <w:szCs w:val="22"/>
        </w:rPr>
      </w:pPr>
      <w:r w:rsidRPr="00A475AF">
        <w:rPr>
          <w:bCs/>
          <w:i/>
          <w:sz w:val="22"/>
          <w:szCs w:val="22"/>
        </w:rPr>
        <w:t>Pomocné látky</w:t>
      </w:r>
    </w:p>
    <w:p w14:paraId="57E9ABB8" w14:textId="016352B3" w:rsidR="00022781" w:rsidRDefault="009846E0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</w:t>
      </w:r>
      <w:r w:rsidR="00022781" w:rsidRPr="00A475AF">
        <w:rPr>
          <w:bCs/>
          <w:sz w:val="22"/>
          <w:szCs w:val="22"/>
        </w:rPr>
        <w:t xml:space="preserve">200 mg </w:t>
      </w:r>
      <w:r w:rsidRPr="00A475AF">
        <w:rPr>
          <w:bCs/>
          <w:sz w:val="22"/>
          <w:szCs w:val="22"/>
        </w:rPr>
        <w:t xml:space="preserve">obsahuje </w:t>
      </w:r>
      <w:r w:rsidR="00022781">
        <w:rPr>
          <w:bCs/>
          <w:sz w:val="22"/>
          <w:szCs w:val="22"/>
        </w:rPr>
        <w:t xml:space="preserve">58,1 mg </w:t>
      </w:r>
      <w:proofErr w:type="spellStart"/>
      <w:r w:rsidRPr="00A475AF">
        <w:rPr>
          <w:bCs/>
          <w:sz w:val="22"/>
          <w:szCs w:val="22"/>
        </w:rPr>
        <w:t>sorbitol</w:t>
      </w:r>
      <w:r w:rsidR="00022781">
        <w:rPr>
          <w:bCs/>
          <w:sz w:val="22"/>
          <w:szCs w:val="22"/>
        </w:rPr>
        <w:t>u</w:t>
      </w:r>
      <w:proofErr w:type="spellEnd"/>
      <w:r w:rsidR="00022781">
        <w:rPr>
          <w:bCs/>
          <w:sz w:val="22"/>
          <w:szCs w:val="22"/>
        </w:rPr>
        <w:t xml:space="preserve"> v 1 mäkkej kapsule</w:t>
      </w:r>
      <w:r w:rsidRPr="00A475AF">
        <w:rPr>
          <w:bCs/>
          <w:sz w:val="22"/>
          <w:szCs w:val="22"/>
        </w:rPr>
        <w:t>.</w:t>
      </w:r>
    </w:p>
    <w:p w14:paraId="4016D12D" w14:textId="77777777" w:rsidR="00022781" w:rsidRDefault="00022781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>IBALGIN RAPIDCAPS 400 mg obsahuje</w:t>
      </w:r>
      <w:r>
        <w:rPr>
          <w:bCs/>
          <w:sz w:val="22"/>
          <w:szCs w:val="22"/>
        </w:rPr>
        <w:t xml:space="preserve"> 100,7 mg </w:t>
      </w:r>
      <w:proofErr w:type="spellStart"/>
      <w:r>
        <w:rPr>
          <w:bCs/>
          <w:sz w:val="22"/>
          <w:szCs w:val="22"/>
        </w:rPr>
        <w:t>sorbitolu</w:t>
      </w:r>
      <w:proofErr w:type="spellEnd"/>
      <w:r>
        <w:rPr>
          <w:bCs/>
          <w:sz w:val="22"/>
          <w:szCs w:val="22"/>
        </w:rPr>
        <w:t xml:space="preserve"> v 1 mäkkej kapsule</w:t>
      </w:r>
      <w:r w:rsidRPr="00A475AF">
        <w:rPr>
          <w:bCs/>
          <w:sz w:val="22"/>
          <w:szCs w:val="22"/>
        </w:rPr>
        <w:t>.</w:t>
      </w:r>
      <w:r w:rsidR="009846E0" w:rsidRPr="00A475AF">
        <w:rPr>
          <w:bCs/>
          <w:sz w:val="22"/>
          <w:szCs w:val="22"/>
        </w:rPr>
        <w:t xml:space="preserve"> </w:t>
      </w:r>
    </w:p>
    <w:p w14:paraId="13ABE49E" w14:textId="46637B85" w:rsidR="007844D2" w:rsidRPr="00A475AF" w:rsidRDefault="009846E0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>P</w:t>
      </w:r>
      <w:r w:rsidRPr="00A475AF">
        <w:rPr>
          <w:sz w:val="22"/>
          <w:szCs w:val="22"/>
        </w:rPr>
        <w:t>acienti so zriedkavými dedičnými problémami intoleranci</w:t>
      </w:r>
      <w:r w:rsidR="00013E46" w:rsidRPr="00A475AF">
        <w:rPr>
          <w:sz w:val="22"/>
          <w:szCs w:val="22"/>
        </w:rPr>
        <w:t>e</w:t>
      </w:r>
      <w:r w:rsidRPr="00A475AF">
        <w:rPr>
          <w:sz w:val="22"/>
          <w:szCs w:val="22"/>
        </w:rPr>
        <w:t xml:space="preserve"> fruktózy ne</w:t>
      </w:r>
      <w:r w:rsidR="00013E46" w:rsidRPr="00A475AF">
        <w:rPr>
          <w:sz w:val="22"/>
          <w:szCs w:val="22"/>
        </w:rPr>
        <w:t xml:space="preserve">smú užívať </w:t>
      </w:r>
      <w:r w:rsidRPr="00A475AF">
        <w:rPr>
          <w:sz w:val="22"/>
          <w:szCs w:val="22"/>
        </w:rPr>
        <w:t>tento liek.</w:t>
      </w:r>
    </w:p>
    <w:p w14:paraId="446E4150" w14:textId="47E43E3A" w:rsidR="009846E0" w:rsidRPr="00A475AF" w:rsidRDefault="009846E0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200 mg obsahuje </w:t>
      </w:r>
      <w:r w:rsidR="005915F4" w:rsidRPr="00A475AF">
        <w:rPr>
          <w:bCs/>
          <w:sz w:val="22"/>
          <w:szCs w:val="22"/>
        </w:rPr>
        <w:t xml:space="preserve">16 mg draslíka </w:t>
      </w:r>
      <w:r w:rsidR="0018055E" w:rsidRPr="00A475AF">
        <w:rPr>
          <w:bCs/>
          <w:sz w:val="22"/>
          <w:szCs w:val="22"/>
        </w:rPr>
        <w:t>v 1 mäkkej kapsule.</w:t>
      </w:r>
    </w:p>
    <w:p w14:paraId="54CC7194" w14:textId="1A341016" w:rsidR="0018055E" w:rsidRPr="00A475AF" w:rsidRDefault="0018055E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400 mg obsahuje </w:t>
      </w:r>
      <w:r w:rsidR="005915F4" w:rsidRPr="00A475AF">
        <w:rPr>
          <w:bCs/>
          <w:sz w:val="22"/>
          <w:szCs w:val="22"/>
        </w:rPr>
        <w:t xml:space="preserve">32 mg draslíka </w:t>
      </w:r>
      <w:r w:rsidRPr="00A475AF">
        <w:rPr>
          <w:bCs/>
          <w:sz w:val="22"/>
          <w:szCs w:val="22"/>
        </w:rPr>
        <w:t>v 1 mäkkej kapsule.</w:t>
      </w:r>
      <w:r w:rsidR="005915F4">
        <w:rPr>
          <w:bCs/>
          <w:sz w:val="22"/>
          <w:szCs w:val="22"/>
        </w:rPr>
        <w:t xml:space="preserve"> </w:t>
      </w:r>
    </w:p>
    <w:p w14:paraId="422E1A99" w14:textId="77777777" w:rsidR="007844D2" w:rsidRPr="00A475AF" w:rsidRDefault="007844D2" w:rsidP="00DB4E78">
      <w:pPr>
        <w:rPr>
          <w:sz w:val="22"/>
          <w:szCs w:val="22"/>
        </w:rPr>
      </w:pPr>
    </w:p>
    <w:p w14:paraId="7DBF45A2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smartTag w:uri="urn:schemas-microsoft-com:office:smarttags" w:element="PersonName">
        <w:r w:rsidRPr="00A475AF">
          <w:rPr>
            <w:b/>
            <w:bCs/>
            <w:sz w:val="22"/>
            <w:szCs w:val="22"/>
          </w:rPr>
          <w:t>Liek</w:t>
        </w:r>
      </w:smartTag>
      <w:r w:rsidRPr="00A475AF">
        <w:rPr>
          <w:b/>
          <w:bCs/>
          <w:sz w:val="22"/>
          <w:szCs w:val="22"/>
        </w:rPr>
        <w:t>ové a iné interakcie</w:t>
      </w:r>
    </w:p>
    <w:p w14:paraId="2DDF40D4" w14:textId="77777777" w:rsidR="007844D2" w:rsidRPr="00A475AF" w:rsidRDefault="007844D2" w:rsidP="00DB4E78">
      <w:pPr>
        <w:rPr>
          <w:sz w:val="22"/>
          <w:szCs w:val="22"/>
        </w:rPr>
      </w:pPr>
    </w:p>
    <w:p w14:paraId="68C6CAEC" w14:textId="77777777" w:rsidR="008E7A58" w:rsidRPr="00A475AF" w:rsidRDefault="008E7A58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>Sú</w:t>
      </w:r>
      <w:r w:rsidR="00013E46" w:rsidRPr="00A475AF">
        <w:rPr>
          <w:bCs/>
          <w:sz w:val="22"/>
          <w:szCs w:val="22"/>
        </w:rPr>
        <w:t>bežné</w:t>
      </w:r>
      <w:r w:rsidRPr="00A475AF">
        <w:rPr>
          <w:bCs/>
          <w:sz w:val="22"/>
          <w:szCs w:val="22"/>
        </w:rPr>
        <w:t xml:space="preserve"> užívani</w:t>
      </w:r>
      <w:r w:rsidR="00A75FD7" w:rsidRPr="00A475AF">
        <w:rPr>
          <w:bCs/>
          <w:sz w:val="22"/>
          <w:szCs w:val="22"/>
        </w:rPr>
        <w:t>e</w:t>
      </w:r>
      <w:r w:rsidRPr="00A475AF">
        <w:rPr>
          <w:bCs/>
          <w:sz w:val="22"/>
          <w:szCs w:val="22"/>
        </w:rPr>
        <w:t xml:space="preserve"> </w:t>
      </w:r>
      <w:proofErr w:type="spellStart"/>
      <w:r w:rsidRPr="00A475AF">
        <w:rPr>
          <w:bCs/>
          <w:sz w:val="22"/>
          <w:szCs w:val="22"/>
        </w:rPr>
        <w:t>ibuprof</w:t>
      </w:r>
      <w:r w:rsidR="005F4F0C" w:rsidRPr="00A475AF">
        <w:rPr>
          <w:bCs/>
          <w:sz w:val="22"/>
          <w:szCs w:val="22"/>
        </w:rPr>
        <w:t>é</w:t>
      </w:r>
      <w:r w:rsidRPr="00A475AF">
        <w:rPr>
          <w:bCs/>
          <w:sz w:val="22"/>
          <w:szCs w:val="22"/>
        </w:rPr>
        <w:t>nu</w:t>
      </w:r>
      <w:proofErr w:type="spellEnd"/>
      <w:r w:rsidRPr="00A475AF">
        <w:rPr>
          <w:sz w:val="22"/>
          <w:szCs w:val="22"/>
        </w:rPr>
        <w:t xml:space="preserve"> s NSAID, vrátane selektívnych inhibítorov cyklooxygenázy-2 zvyšuje riziko nežiaducich účinkov.</w:t>
      </w:r>
    </w:p>
    <w:p w14:paraId="2D63ABA2" w14:textId="77777777" w:rsidR="008E7A58" w:rsidRPr="00A475AF" w:rsidRDefault="008E7A58" w:rsidP="00DB4E78">
      <w:pPr>
        <w:rPr>
          <w:sz w:val="22"/>
          <w:szCs w:val="22"/>
        </w:rPr>
      </w:pPr>
    </w:p>
    <w:p w14:paraId="63BC2EE8" w14:textId="77777777" w:rsidR="008E7A58" w:rsidRPr="00A475AF" w:rsidRDefault="005F4F0C" w:rsidP="00DB4E78">
      <w:pPr>
        <w:rPr>
          <w:sz w:val="22"/>
          <w:szCs w:val="22"/>
          <w:u w:val="single"/>
        </w:rPr>
      </w:pPr>
      <w:proofErr w:type="spellStart"/>
      <w:r w:rsidRPr="00A475AF">
        <w:rPr>
          <w:spacing w:val="-3"/>
          <w:sz w:val="22"/>
          <w:szCs w:val="22"/>
          <w:u w:val="single"/>
        </w:rPr>
        <w:t>Ibuprofén</w:t>
      </w:r>
      <w:proofErr w:type="spellEnd"/>
      <w:r w:rsidRPr="00A475AF">
        <w:rPr>
          <w:spacing w:val="-3"/>
          <w:sz w:val="22"/>
          <w:szCs w:val="22"/>
          <w:u w:val="single"/>
        </w:rPr>
        <w:t xml:space="preserve"> </w:t>
      </w:r>
      <w:r w:rsidR="008E7A58" w:rsidRPr="00A475AF">
        <w:rPr>
          <w:spacing w:val="-3"/>
          <w:sz w:val="22"/>
          <w:szCs w:val="22"/>
          <w:u w:val="single"/>
        </w:rPr>
        <w:t>(podobne ako iné NSAID) sa nemá používať v kombinácii s:</w:t>
      </w:r>
    </w:p>
    <w:p w14:paraId="456057F1" w14:textId="77777777" w:rsidR="008E7A58" w:rsidRPr="00A475AF" w:rsidRDefault="006C3C22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z w:val="22"/>
          <w:szCs w:val="22"/>
          <w:lang w:val="sk-SK"/>
        </w:rPr>
        <w:t>K</w:t>
      </w:r>
      <w:r w:rsidR="00C95515" w:rsidRPr="00A475AF">
        <w:rPr>
          <w:i/>
          <w:sz w:val="22"/>
          <w:szCs w:val="22"/>
          <w:lang w:val="sk-SK"/>
        </w:rPr>
        <w:t xml:space="preserve">yselinou </w:t>
      </w:r>
      <w:proofErr w:type="spellStart"/>
      <w:r w:rsidR="00C95515" w:rsidRPr="00A475AF">
        <w:rPr>
          <w:i/>
          <w:sz w:val="22"/>
          <w:szCs w:val="22"/>
          <w:lang w:val="sk-SK"/>
        </w:rPr>
        <w:t>acetylsalicylovou</w:t>
      </w:r>
      <w:proofErr w:type="spellEnd"/>
      <w:r w:rsidR="00C95515" w:rsidRPr="00A475AF">
        <w:rPr>
          <w:i/>
          <w:sz w:val="22"/>
          <w:szCs w:val="22"/>
          <w:lang w:val="sk-SK"/>
        </w:rPr>
        <w:t>)</w:t>
      </w:r>
      <w:r w:rsidR="008E7A58" w:rsidRPr="00A475AF">
        <w:rPr>
          <w:i/>
          <w:sz w:val="22"/>
          <w:szCs w:val="22"/>
          <w:lang w:val="sk-SK"/>
        </w:rPr>
        <w:t xml:space="preserve">: </w:t>
      </w:r>
      <w:r w:rsidRPr="00A475AF">
        <w:rPr>
          <w:sz w:val="22"/>
          <w:szCs w:val="22"/>
          <w:lang w:val="sk-SK"/>
        </w:rPr>
        <w:t>sú</w:t>
      </w:r>
      <w:r w:rsidR="00CF6670" w:rsidRPr="00A475AF">
        <w:rPr>
          <w:sz w:val="22"/>
          <w:szCs w:val="22"/>
          <w:lang w:val="sk-SK"/>
        </w:rPr>
        <w:t>bež</w:t>
      </w:r>
      <w:r w:rsidRPr="00A475AF">
        <w:rPr>
          <w:sz w:val="22"/>
          <w:szCs w:val="22"/>
          <w:lang w:val="sk-SK"/>
        </w:rPr>
        <w:t xml:space="preserve">né podávanie </w:t>
      </w:r>
      <w:proofErr w:type="spellStart"/>
      <w:r w:rsidRPr="00A475AF">
        <w:rPr>
          <w:sz w:val="22"/>
          <w:szCs w:val="22"/>
          <w:lang w:val="sk-SK"/>
        </w:rPr>
        <w:t>ibuprof</w:t>
      </w:r>
      <w:r w:rsidR="005F4F0C" w:rsidRPr="00A475AF">
        <w:rPr>
          <w:sz w:val="22"/>
          <w:szCs w:val="22"/>
          <w:lang w:val="sk-SK"/>
        </w:rPr>
        <w:t>é</w:t>
      </w:r>
      <w:r w:rsidRPr="00A475AF">
        <w:rPr>
          <w:sz w:val="22"/>
          <w:szCs w:val="22"/>
          <w:lang w:val="sk-SK"/>
        </w:rPr>
        <w:t>nu</w:t>
      </w:r>
      <w:proofErr w:type="spellEnd"/>
      <w:r w:rsidRPr="00A475AF">
        <w:rPr>
          <w:sz w:val="22"/>
          <w:szCs w:val="22"/>
          <w:lang w:val="sk-SK"/>
        </w:rPr>
        <w:t xml:space="preserve"> a kyseliny </w:t>
      </w:r>
      <w:proofErr w:type="spellStart"/>
      <w:r w:rsidRPr="00A475AF">
        <w:rPr>
          <w:sz w:val="22"/>
          <w:szCs w:val="22"/>
          <w:lang w:val="sk-SK"/>
        </w:rPr>
        <w:t>acetylsalicylovej</w:t>
      </w:r>
      <w:proofErr w:type="spellEnd"/>
      <w:r w:rsidRPr="00A475AF">
        <w:rPr>
          <w:sz w:val="22"/>
          <w:szCs w:val="22"/>
          <w:lang w:val="sk-SK"/>
        </w:rPr>
        <w:t xml:space="preserve"> sa neodporúča z dôvodu možných zvýšených </w:t>
      </w:r>
      <w:r w:rsidR="00D10472" w:rsidRPr="00A475AF">
        <w:rPr>
          <w:sz w:val="22"/>
          <w:szCs w:val="22"/>
          <w:lang w:val="sk-SK"/>
        </w:rPr>
        <w:t xml:space="preserve">nežiaducich </w:t>
      </w:r>
      <w:r w:rsidR="003F0C30" w:rsidRPr="00A475AF">
        <w:rPr>
          <w:sz w:val="22"/>
          <w:szCs w:val="22"/>
          <w:lang w:val="sk-SK"/>
        </w:rPr>
        <w:t>udalostí</w:t>
      </w:r>
      <w:r w:rsidR="00D10472" w:rsidRPr="00A475AF">
        <w:rPr>
          <w:sz w:val="22"/>
          <w:szCs w:val="22"/>
          <w:lang w:val="sk-SK"/>
        </w:rPr>
        <w:t>.</w:t>
      </w:r>
    </w:p>
    <w:p w14:paraId="1C1A9457" w14:textId="77777777" w:rsidR="006C3C22" w:rsidRPr="00A475AF" w:rsidRDefault="006C3C22" w:rsidP="00DB4E78">
      <w:pPr>
        <w:shd w:val="clear" w:color="auto" w:fill="FFFFFF"/>
        <w:ind w:left="360"/>
        <w:rPr>
          <w:spacing w:val="-3"/>
          <w:sz w:val="22"/>
          <w:szCs w:val="22"/>
        </w:rPr>
      </w:pPr>
    </w:p>
    <w:p w14:paraId="42B994A3" w14:textId="77777777" w:rsidR="008E7A58" w:rsidRPr="00A475AF" w:rsidRDefault="00D10472" w:rsidP="00DB4E78">
      <w:pPr>
        <w:shd w:val="clear" w:color="auto" w:fill="FFFFFF"/>
        <w:ind w:left="360"/>
        <w:rPr>
          <w:spacing w:val="-3"/>
          <w:sz w:val="22"/>
          <w:szCs w:val="22"/>
        </w:rPr>
      </w:pPr>
      <w:r w:rsidRPr="00A475AF">
        <w:rPr>
          <w:spacing w:val="-3"/>
          <w:sz w:val="22"/>
          <w:szCs w:val="22"/>
        </w:rPr>
        <w:t xml:space="preserve">Experimentálne údaje naznačujú, že </w:t>
      </w:r>
      <w:proofErr w:type="spellStart"/>
      <w:r w:rsidR="005F4F0C" w:rsidRPr="00A475AF">
        <w:rPr>
          <w:spacing w:val="-3"/>
          <w:sz w:val="22"/>
          <w:szCs w:val="22"/>
        </w:rPr>
        <w:t>ibuprofén</w:t>
      </w:r>
      <w:proofErr w:type="spellEnd"/>
      <w:r w:rsidR="005F4F0C" w:rsidRPr="00A475AF">
        <w:rPr>
          <w:spacing w:val="-3"/>
          <w:sz w:val="22"/>
          <w:szCs w:val="22"/>
        </w:rPr>
        <w:t xml:space="preserve"> </w:t>
      </w:r>
      <w:r w:rsidRPr="00A475AF">
        <w:rPr>
          <w:spacing w:val="-3"/>
          <w:sz w:val="22"/>
          <w:szCs w:val="22"/>
        </w:rPr>
        <w:t xml:space="preserve">môže </w:t>
      </w:r>
      <w:r w:rsidR="00E34A3C" w:rsidRPr="00A475AF">
        <w:rPr>
          <w:sz w:val="22"/>
          <w:szCs w:val="22"/>
        </w:rPr>
        <w:t xml:space="preserve">pri súčasnom dávkovaní </w:t>
      </w:r>
      <w:proofErr w:type="spellStart"/>
      <w:r w:rsidR="006C3C22" w:rsidRPr="00A475AF">
        <w:rPr>
          <w:sz w:val="22"/>
          <w:szCs w:val="22"/>
        </w:rPr>
        <w:t>kompetetívne</w:t>
      </w:r>
      <w:proofErr w:type="spellEnd"/>
      <w:r w:rsidR="006C3C22" w:rsidRPr="00A475AF">
        <w:rPr>
          <w:spacing w:val="-3"/>
          <w:sz w:val="22"/>
          <w:szCs w:val="22"/>
        </w:rPr>
        <w:t xml:space="preserve"> </w:t>
      </w:r>
      <w:proofErr w:type="spellStart"/>
      <w:r w:rsidRPr="00A475AF">
        <w:rPr>
          <w:spacing w:val="-3"/>
          <w:sz w:val="22"/>
          <w:szCs w:val="22"/>
        </w:rPr>
        <w:t>inhibovať</w:t>
      </w:r>
      <w:proofErr w:type="spellEnd"/>
      <w:r w:rsidRPr="00A475AF">
        <w:rPr>
          <w:spacing w:val="-3"/>
          <w:sz w:val="22"/>
          <w:szCs w:val="22"/>
        </w:rPr>
        <w:t xml:space="preserve"> účinok nízkej dávky </w:t>
      </w:r>
      <w:r w:rsidR="006C3C22" w:rsidRPr="00A475AF">
        <w:rPr>
          <w:spacing w:val="-3"/>
          <w:sz w:val="22"/>
          <w:szCs w:val="22"/>
        </w:rPr>
        <w:t xml:space="preserve">kyseliny </w:t>
      </w:r>
      <w:proofErr w:type="spellStart"/>
      <w:r w:rsidR="006C3C22" w:rsidRPr="00A475AF">
        <w:rPr>
          <w:spacing w:val="-3"/>
          <w:sz w:val="22"/>
          <w:szCs w:val="22"/>
        </w:rPr>
        <w:t>acetylsalicylovej</w:t>
      </w:r>
      <w:proofErr w:type="spellEnd"/>
      <w:r w:rsidR="00026FD7" w:rsidRPr="00A475AF">
        <w:rPr>
          <w:spacing w:val="-3"/>
          <w:sz w:val="22"/>
          <w:szCs w:val="22"/>
        </w:rPr>
        <w:t xml:space="preserve"> </w:t>
      </w:r>
      <w:r w:rsidRPr="00A475AF">
        <w:rPr>
          <w:spacing w:val="-3"/>
          <w:sz w:val="22"/>
          <w:szCs w:val="22"/>
        </w:rPr>
        <w:t xml:space="preserve">na </w:t>
      </w:r>
      <w:proofErr w:type="spellStart"/>
      <w:r w:rsidRPr="00A475AF">
        <w:rPr>
          <w:spacing w:val="-3"/>
          <w:sz w:val="22"/>
          <w:szCs w:val="22"/>
        </w:rPr>
        <w:t>agregáciu</w:t>
      </w:r>
      <w:proofErr w:type="spellEnd"/>
      <w:r w:rsidRPr="00A475AF">
        <w:rPr>
          <w:spacing w:val="-3"/>
          <w:sz w:val="22"/>
          <w:szCs w:val="22"/>
        </w:rPr>
        <w:t xml:space="preserve"> </w:t>
      </w:r>
      <w:proofErr w:type="spellStart"/>
      <w:r w:rsidR="00E34A3C" w:rsidRPr="00A475AF">
        <w:rPr>
          <w:sz w:val="22"/>
          <w:szCs w:val="22"/>
        </w:rPr>
        <w:t>trombocytov</w:t>
      </w:r>
      <w:proofErr w:type="spellEnd"/>
      <w:r w:rsidRPr="00A475AF">
        <w:rPr>
          <w:spacing w:val="-3"/>
          <w:sz w:val="22"/>
          <w:szCs w:val="22"/>
        </w:rPr>
        <w:t xml:space="preserve">. </w:t>
      </w:r>
      <w:r w:rsidR="00F03EB8" w:rsidRPr="00A475AF">
        <w:rPr>
          <w:spacing w:val="-3"/>
          <w:sz w:val="22"/>
          <w:szCs w:val="22"/>
        </w:rPr>
        <w:t xml:space="preserve">Hoci existujú </w:t>
      </w:r>
      <w:r w:rsidR="00F03EB8" w:rsidRPr="00A475AF">
        <w:rPr>
          <w:sz w:val="22"/>
          <w:szCs w:val="22"/>
        </w:rPr>
        <w:t xml:space="preserve">nejasnosti s ohľadom na </w:t>
      </w:r>
      <w:proofErr w:type="spellStart"/>
      <w:r w:rsidR="00F03EB8" w:rsidRPr="00A475AF">
        <w:rPr>
          <w:sz w:val="22"/>
          <w:szCs w:val="22"/>
        </w:rPr>
        <w:t>extrapoláciu</w:t>
      </w:r>
      <w:proofErr w:type="spellEnd"/>
      <w:r w:rsidR="00F03EB8" w:rsidRPr="00A475AF">
        <w:rPr>
          <w:sz w:val="22"/>
          <w:szCs w:val="22"/>
        </w:rPr>
        <w:t xml:space="preserve"> týchto údajov na klinickú situáciu, nedá sa vylúčiť možnosť, že pravidelné dlhodobé používanie </w:t>
      </w:r>
      <w:proofErr w:type="spellStart"/>
      <w:r w:rsidR="00F03EB8" w:rsidRPr="00A475AF">
        <w:rPr>
          <w:sz w:val="22"/>
          <w:szCs w:val="22"/>
        </w:rPr>
        <w:t>ibuprof</w:t>
      </w:r>
      <w:r w:rsidR="005F4F0C" w:rsidRPr="00A475AF">
        <w:rPr>
          <w:sz w:val="22"/>
          <w:szCs w:val="22"/>
        </w:rPr>
        <w:t>é</w:t>
      </w:r>
      <w:r w:rsidR="00F03EB8" w:rsidRPr="00A475AF">
        <w:rPr>
          <w:sz w:val="22"/>
          <w:szCs w:val="22"/>
        </w:rPr>
        <w:t>nu</w:t>
      </w:r>
      <w:proofErr w:type="spellEnd"/>
      <w:r w:rsidR="00F03EB8" w:rsidRPr="00A475AF">
        <w:rPr>
          <w:sz w:val="22"/>
          <w:szCs w:val="22"/>
        </w:rPr>
        <w:t xml:space="preserve"> môže znížiť </w:t>
      </w:r>
      <w:proofErr w:type="spellStart"/>
      <w:r w:rsidR="00F03EB8" w:rsidRPr="00A475AF">
        <w:rPr>
          <w:sz w:val="22"/>
          <w:szCs w:val="22"/>
        </w:rPr>
        <w:t>kardioprotektívny</w:t>
      </w:r>
      <w:proofErr w:type="spellEnd"/>
      <w:r w:rsidR="00F03EB8" w:rsidRPr="00A475AF">
        <w:rPr>
          <w:sz w:val="22"/>
          <w:szCs w:val="22"/>
        </w:rPr>
        <w:t xml:space="preserve"> účinok nízkej dávky kyseliny </w:t>
      </w:r>
      <w:proofErr w:type="spellStart"/>
      <w:r w:rsidR="00F03EB8" w:rsidRPr="00A475AF">
        <w:rPr>
          <w:sz w:val="22"/>
          <w:szCs w:val="22"/>
        </w:rPr>
        <w:t>acetylsalicylovej</w:t>
      </w:r>
      <w:proofErr w:type="spellEnd"/>
      <w:r w:rsidR="00F03EB8" w:rsidRPr="00A475AF">
        <w:rPr>
          <w:sz w:val="22"/>
          <w:szCs w:val="22"/>
        </w:rPr>
        <w:t xml:space="preserve">. V prípade príležitostného používania </w:t>
      </w:r>
      <w:proofErr w:type="spellStart"/>
      <w:r w:rsidR="00A475AF" w:rsidRPr="00A475AF">
        <w:rPr>
          <w:sz w:val="22"/>
          <w:szCs w:val="22"/>
        </w:rPr>
        <w:t>ibuprofénu</w:t>
      </w:r>
      <w:proofErr w:type="spellEnd"/>
      <w:r w:rsidR="00F03EB8" w:rsidRPr="00A475AF">
        <w:rPr>
          <w:sz w:val="22"/>
          <w:szCs w:val="22"/>
        </w:rPr>
        <w:t xml:space="preserve"> sa žiaden klinicky relevantný účinok nepovažuje za pravdepodobný</w:t>
      </w:r>
      <w:r w:rsidRPr="00A475AF">
        <w:rPr>
          <w:spacing w:val="-3"/>
          <w:sz w:val="22"/>
          <w:szCs w:val="22"/>
        </w:rPr>
        <w:t xml:space="preserve"> (pozri časť 5.1).</w:t>
      </w:r>
    </w:p>
    <w:p w14:paraId="6488128B" w14:textId="77777777" w:rsidR="00026FD7" w:rsidRPr="00A475AF" w:rsidRDefault="00026FD7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z w:val="22"/>
          <w:szCs w:val="22"/>
          <w:lang w:val="sk-SK"/>
        </w:rPr>
        <w:t>Iné NSAID vrátane selektívnych inhibítorov cyclooxygenázy-2:</w:t>
      </w:r>
      <w:r w:rsidRPr="00A475AF">
        <w:rPr>
          <w:sz w:val="22"/>
          <w:szCs w:val="22"/>
          <w:lang w:val="sk-SK"/>
        </w:rPr>
        <w:t xml:space="preserve"> </w:t>
      </w:r>
      <w:r w:rsidR="00C95515" w:rsidRPr="00A475AF">
        <w:rPr>
          <w:sz w:val="22"/>
          <w:szCs w:val="22"/>
          <w:lang w:val="sk-SK"/>
        </w:rPr>
        <w:t>je potrebné sa vyhnúť sú</w:t>
      </w:r>
      <w:r w:rsidR="00013E46" w:rsidRPr="00A475AF">
        <w:rPr>
          <w:sz w:val="22"/>
          <w:szCs w:val="22"/>
          <w:lang w:val="sk-SK"/>
        </w:rPr>
        <w:t>bežnému</w:t>
      </w:r>
      <w:r w:rsidR="00474409" w:rsidRPr="00A475AF">
        <w:rPr>
          <w:sz w:val="22"/>
          <w:szCs w:val="22"/>
          <w:lang w:val="sk-SK"/>
        </w:rPr>
        <w:t xml:space="preserve"> užívaniu dvoch alebo viacerých</w:t>
      </w:r>
      <w:r w:rsidRPr="00A475AF">
        <w:rPr>
          <w:sz w:val="22"/>
          <w:szCs w:val="22"/>
          <w:lang w:val="sk-SK"/>
        </w:rPr>
        <w:t xml:space="preserve"> NSAID</w:t>
      </w:r>
      <w:r w:rsidR="00474409" w:rsidRPr="00A475AF">
        <w:rPr>
          <w:sz w:val="22"/>
          <w:szCs w:val="22"/>
          <w:lang w:val="sk-SK"/>
        </w:rPr>
        <w:t>,</w:t>
      </w:r>
      <w:r w:rsidRPr="00A475AF">
        <w:rPr>
          <w:sz w:val="22"/>
          <w:szCs w:val="22"/>
          <w:lang w:val="sk-SK"/>
        </w:rPr>
        <w:t xml:space="preserve"> </w:t>
      </w:r>
      <w:r w:rsidR="00474409" w:rsidRPr="00A475AF">
        <w:rPr>
          <w:sz w:val="22"/>
          <w:szCs w:val="22"/>
          <w:lang w:val="sk-SK"/>
        </w:rPr>
        <w:t>pretože to môže zvýšiť riziko nežiaducich účinkov</w:t>
      </w:r>
      <w:r w:rsidRPr="00A475AF">
        <w:rPr>
          <w:sz w:val="22"/>
          <w:szCs w:val="22"/>
          <w:lang w:val="sk-SK"/>
        </w:rPr>
        <w:t xml:space="preserve"> (pozri časť 4.4). </w:t>
      </w:r>
    </w:p>
    <w:p w14:paraId="533C5CD3" w14:textId="77777777" w:rsidR="00026FD7" w:rsidRPr="00A475AF" w:rsidRDefault="00026FD7" w:rsidP="00DB4E78">
      <w:pPr>
        <w:shd w:val="clear" w:color="auto" w:fill="FFFFFF"/>
        <w:ind w:left="360"/>
        <w:rPr>
          <w:i/>
          <w:sz w:val="22"/>
          <w:szCs w:val="22"/>
        </w:rPr>
      </w:pPr>
    </w:p>
    <w:p w14:paraId="4DC1EDEF" w14:textId="77777777" w:rsidR="008E7A58" w:rsidRPr="00A475AF" w:rsidRDefault="005F4F0C" w:rsidP="00DB4E78">
      <w:pPr>
        <w:rPr>
          <w:sz w:val="22"/>
          <w:szCs w:val="22"/>
        </w:rPr>
      </w:pPr>
      <w:proofErr w:type="spellStart"/>
      <w:r w:rsidRPr="00A475AF">
        <w:rPr>
          <w:spacing w:val="-3"/>
          <w:sz w:val="22"/>
          <w:szCs w:val="22"/>
          <w:u w:val="single"/>
        </w:rPr>
        <w:t>Ibuprofén</w:t>
      </w:r>
      <w:proofErr w:type="spellEnd"/>
      <w:r w:rsidR="00A475AF">
        <w:rPr>
          <w:spacing w:val="-3"/>
          <w:sz w:val="22"/>
          <w:szCs w:val="22"/>
          <w:u w:val="single"/>
        </w:rPr>
        <w:t xml:space="preserve"> </w:t>
      </w:r>
      <w:r w:rsidR="00A24E0A" w:rsidRPr="00A475AF">
        <w:rPr>
          <w:spacing w:val="-3"/>
          <w:sz w:val="22"/>
          <w:szCs w:val="22"/>
          <w:u w:val="single"/>
        </w:rPr>
        <w:t xml:space="preserve">sa </w:t>
      </w:r>
      <w:r w:rsidR="00B36C45" w:rsidRPr="00A475AF">
        <w:rPr>
          <w:spacing w:val="-3"/>
          <w:sz w:val="22"/>
          <w:szCs w:val="22"/>
          <w:u w:val="single"/>
        </w:rPr>
        <w:t>má opatrne používať v kombinácii s:</w:t>
      </w:r>
    </w:p>
    <w:p w14:paraId="23D1B727" w14:textId="77777777" w:rsidR="00B36C45" w:rsidRPr="00A475AF" w:rsidRDefault="00B36C45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proofErr w:type="spellStart"/>
      <w:r w:rsidRPr="00A475AF">
        <w:rPr>
          <w:i/>
          <w:sz w:val="22"/>
          <w:szCs w:val="22"/>
          <w:lang w:val="sk-SK"/>
        </w:rPr>
        <w:t>Kortikosteroidmi</w:t>
      </w:r>
      <w:proofErr w:type="spellEnd"/>
      <w:r w:rsidRPr="00A475AF">
        <w:rPr>
          <w:i/>
          <w:sz w:val="22"/>
          <w:szCs w:val="22"/>
          <w:lang w:val="sk-SK"/>
        </w:rPr>
        <w:t>:</w:t>
      </w:r>
      <w:r w:rsidRPr="00A475AF">
        <w:rPr>
          <w:sz w:val="22"/>
          <w:szCs w:val="22"/>
          <w:lang w:val="sk-SK"/>
        </w:rPr>
        <w:t xml:space="preserve"> </w:t>
      </w:r>
      <w:r w:rsidR="003654B1" w:rsidRPr="00A475AF">
        <w:rPr>
          <w:sz w:val="22"/>
          <w:szCs w:val="22"/>
          <w:lang w:val="sk-SK"/>
        </w:rPr>
        <w:t xml:space="preserve">pretože môžu zvýšiť riziko </w:t>
      </w:r>
      <w:proofErr w:type="spellStart"/>
      <w:r w:rsidR="003654B1" w:rsidRPr="00A475AF">
        <w:rPr>
          <w:sz w:val="22"/>
          <w:szCs w:val="22"/>
          <w:lang w:val="sk-SK"/>
        </w:rPr>
        <w:t>gastrointestinálnych</w:t>
      </w:r>
      <w:proofErr w:type="spellEnd"/>
      <w:r w:rsidR="003654B1" w:rsidRPr="00A475AF">
        <w:rPr>
          <w:sz w:val="22"/>
          <w:szCs w:val="22"/>
          <w:lang w:val="sk-SK"/>
        </w:rPr>
        <w:t xml:space="preserve"> vredov alebo krvácania</w:t>
      </w:r>
      <w:r w:rsidRPr="00A475AF">
        <w:rPr>
          <w:sz w:val="22"/>
          <w:szCs w:val="22"/>
          <w:lang w:val="sk-SK"/>
        </w:rPr>
        <w:t xml:space="preserve"> (pozri časť 4.4). </w:t>
      </w:r>
    </w:p>
    <w:p w14:paraId="3F6C1807" w14:textId="77777777" w:rsidR="0062153C" w:rsidRPr="00A475AF" w:rsidRDefault="003654B1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proofErr w:type="spellStart"/>
      <w:r w:rsidRPr="00A475AF">
        <w:rPr>
          <w:i/>
          <w:sz w:val="22"/>
          <w:szCs w:val="22"/>
          <w:lang w:val="sk-SK"/>
        </w:rPr>
        <w:t>Antihypertenzívami</w:t>
      </w:r>
      <w:proofErr w:type="spellEnd"/>
      <w:r w:rsidRPr="00A475AF">
        <w:rPr>
          <w:i/>
          <w:sz w:val="22"/>
          <w:szCs w:val="22"/>
          <w:lang w:val="sk-SK"/>
        </w:rPr>
        <w:t xml:space="preserve"> a diuretikami:</w:t>
      </w:r>
      <w:r w:rsidRPr="00A475AF">
        <w:rPr>
          <w:sz w:val="22"/>
          <w:szCs w:val="22"/>
          <w:lang w:val="sk-SK"/>
        </w:rPr>
        <w:t xml:space="preserve"> </w:t>
      </w:r>
      <w:r w:rsidR="0062153C" w:rsidRPr="00A475AF">
        <w:rPr>
          <w:spacing w:val="-3"/>
          <w:sz w:val="22"/>
          <w:szCs w:val="22"/>
          <w:lang w:val="sk-SK"/>
        </w:rPr>
        <w:t xml:space="preserve">lieky zo skupiny NSAID môžu znižovať účinok týchto liekov. </w:t>
      </w:r>
    </w:p>
    <w:p w14:paraId="30E29B9C" w14:textId="77777777" w:rsidR="003654B1" w:rsidRPr="00A475AF" w:rsidRDefault="0062153C" w:rsidP="00DB4E78">
      <w:pPr>
        <w:pStyle w:val="Odsekzoznamu"/>
        <w:shd w:val="clear" w:color="auto" w:fill="FFFFFF"/>
        <w:spacing w:after="0"/>
        <w:ind w:left="360"/>
        <w:jc w:val="left"/>
        <w:rPr>
          <w:sz w:val="22"/>
          <w:szCs w:val="22"/>
          <w:lang w:val="sk-SK"/>
        </w:rPr>
      </w:pPr>
      <w:r w:rsidRPr="00A475AF">
        <w:rPr>
          <w:spacing w:val="-3"/>
          <w:sz w:val="22"/>
          <w:szCs w:val="22"/>
          <w:lang w:val="sk-SK"/>
        </w:rPr>
        <w:lastRenderedPageBreak/>
        <w:t>U niektorých pacientov so z</w:t>
      </w:r>
      <w:r w:rsidR="00A24E0A" w:rsidRPr="00A475AF">
        <w:rPr>
          <w:spacing w:val="-3"/>
          <w:sz w:val="22"/>
          <w:szCs w:val="22"/>
          <w:lang w:val="sk-SK"/>
        </w:rPr>
        <w:t>níženou funkciou obličiek (napríklad</w:t>
      </w:r>
      <w:r w:rsidRPr="00A475AF">
        <w:rPr>
          <w:spacing w:val="-3"/>
          <w:sz w:val="22"/>
          <w:szCs w:val="22"/>
          <w:lang w:val="sk-SK"/>
        </w:rPr>
        <w:t xml:space="preserve"> dehydratovaných pacientov alebo starších pacientov so zníženou funkciou obličiek) môže súbežné podávanie ACE inhibítorov, </w:t>
      </w:r>
      <w:proofErr w:type="spellStart"/>
      <w:r w:rsidRPr="00A475AF">
        <w:rPr>
          <w:spacing w:val="-3"/>
          <w:sz w:val="22"/>
          <w:szCs w:val="22"/>
          <w:lang w:val="sk-SK"/>
        </w:rPr>
        <w:t>betablokátorov</w:t>
      </w:r>
      <w:proofErr w:type="spellEnd"/>
      <w:r w:rsidRPr="00A475AF">
        <w:rPr>
          <w:spacing w:val="-3"/>
          <w:sz w:val="22"/>
          <w:szCs w:val="22"/>
          <w:lang w:val="sk-SK"/>
        </w:rPr>
        <w:t xml:space="preserve"> alebo antagonistov </w:t>
      </w:r>
      <w:proofErr w:type="spellStart"/>
      <w:r w:rsidRPr="00A475AF">
        <w:rPr>
          <w:spacing w:val="-3"/>
          <w:sz w:val="22"/>
          <w:szCs w:val="22"/>
          <w:lang w:val="sk-SK"/>
        </w:rPr>
        <w:t>angiotenzínu-II</w:t>
      </w:r>
      <w:proofErr w:type="spellEnd"/>
      <w:r w:rsidRPr="00A475AF">
        <w:rPr>
          <w:spacing w:val="-3"/>
          <w:sz w:val="22"/>
          <w:szCs w:val="22"/>
          <w:lang w:val="sk-SK"/>
        </w:rPr>
        <w:t xml:space="preserve"> a látok, ktoré blokujú </w:t>
      </w:r>
      <w:proofErr w:type="spellStart"/>
      <w:r w:rsidRPr="00A475AF">
        <w:rPr>
          <w:spacing w:val="-3"/>
          <w:sz w:val="22"/>
          <w:szCs w:val="22"/>
          <w:lang w:val="sk-SK"/>
        </w:rPr>
        <w:t>cyklooxygenázu</w:t>
      </w:r>
      <w:proofErr w:type="spellEnd"/>
      <w:r w:rsidRPr="00A475AF">
        <w:rPr>
          <w:spacing w:val="-3"/>
          <w:sz w:val="22"/>
          <w:szCs w:val="22"/>
          <w:lang w:val="sk-SK"/>
        </w:rPr>
        <w:t xml:space="preserve">, mať za následok ďalšie zhoršenie funkcie obličiek, vrátane možného akútneho zlyhania obličiek, ktoré je zvyčajne </w:t>
      </w:r>
      <w:proofErr w:type="spellStart"/>
      <w:r w:rsidRPr="00A475AF">
        <w:rPr>
          <w:spacing w:val="-3"/>
          <w:sz w:val="22"/>
          <w:szCs w:val="22"/>
          <w:lang w:val="sk-SK"/>
        </w:rPr>
        <w:t>revezibilné</w:t>
      </w:r>
      <w:proofErr w:type="spellEnd"/>
      <w:r w:rsidRPr="00A475AF">
        <w:rPr>
          <w:spacing w:val="-3"/>
          <w:sz w:val="22"/>
          <w:szCs w:val="22"/>
          <w:lang w:val="sk-SK"/>
        </w:rPr>
        <w:t xml:space="preserve">. Preto je nutné túto kombináciu používať s opatrnosťou, najmä u starších pacientov. Pacienti </w:t>
      </w:r>
      <w:r w:rsidR="00CC6E37" w:rsidRPr="00A475AF">
        <w:rPr>
          <w:spacing w:val="-3"/>
          <w:sz w:val="22"/>
          <w:szCs w:val="22"/>
          <w:lang w:val="sk-SK"/>
        </w:rPr>
        <w:t>majú</w:t>
      </w:r>
      <w:r w:rsidRPr="00A475AF">
        <w:rPr>
          <w:spacing w:val="-3"/>
          <w:sz w:val="22"/>
          <w:szCs w:val="22"/>
          <w:lang w:val="sk-SK"/>
        </w:rPr>
        <w:t xml:space="preserve"> byť náležite </w:t>
      </w:r>
      <w:proofErr w:type="spellStart"/>
      <w:r w:rsidRPr="00A475AF">
        <w:rPr>
          <w:spacing w:val="-3"/>
          <w:sz w:val="22"/>
          <w:szCs w:val="22"/>
          <w:lang w:val="sk-SK"/>
        </w:rPr>
        <w:t>hydratovaní</w:t>
      </w:r>
      <w:proofErr w:type="spellEnd"/>
      <w:r w:rsidRPr="00A475AF">
        <w:rPr>
          <w:spacing w:val="-3"/>
          <w:sz w:val="22"/>
          <w:szCs w:val="22"/>
          <w:lang w:val="sk-SK"/>
        </w:rPr>
        <w:t xml:space="preserve"> a je potrebné zvážiť monitorovanie </w:t>
      </w:r>
      <w:proofErr w:type="spellStart"/>
      <w:r w:rsidRPr="00A475AF">
        <w:rPr>
          <w:spacing w:val="-3"/>
          <w:sz w:val="22"/>
          <w:szCs w:val="22"/>
          <w:lang w:val="sk-SK"/>
        </w:rPr>
        <w:t>renálnych</w:t>
      </w:r>
      <w:proofErr w:type="spellEnd"/>
      <w:r w:rsidRPr="00A475AF">
        <w:rPr>
          <w:spacing w:val="-3"/>
          <w:sz w:val="22"/>
          <w:szCs w:val="22"/>
          <w:lang w:val="sk-SK"/>
        </w:rPr>
        <w:t xml:space="preserve"> funkcií po začatí súbežnej terapie a ďalej pokračovať v potrebných intervaloch.</w:t>
      </w:r>
      <w:r w:rsidR="001D3260" w:rsidRPr="00A475AF">
        <w:rPr>
          <w:spacing w:val="-3"/>
          <w:sz w:val="22"/>
          <w:szCs w:val="22"/>
          <w:lang w:val="sk-SK"/>
        </w:rPr>
        <w:t xml:space="preserve"> Diuretiká môžu zvyšovať riziko </w:t>
      </w:r>
      <w:proofErr w:type="spellStart"/>
      <w:r w:rsidR="001D3260" w:rsidRPr="00A475AF">
        <w:rPr>
          <w:spacing w:val="-3"/>
          <w:sz w:val="22"/>
          <w:szCs w:val="22"/>
          <w:lang w:val="sk-SK"/>
        </w:rPr>
        <w:t>nefrotoxicity</w:t>
      </w:r>
      <w:proofErr w:type="spellEnd"/>
      <w:r w:rsidR="001D3260" w:rsidRPr="00A475AF">
        <w:rPr>
          <w:spacing w:val="-3"/>
          <w:sz w:val="22"/>
          <w:szCs w:val="22"/>
          <w:lang w:val="sk-SK"/>
        </w:rPr>
        <w:t xml:space="preserve"> NSAID.</w:t>
      </w:r>
    </w:p>
    <w:p w14:paraId="00788C10" w14:textId="77777777" w:rsidR="0062153C" w:rsidRPr="00A475AF" w:rsidRDefault="0062153C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pacing w:val="-3"/>
          <w:sz w:val="22"/>
          <w:szCs w:val="22"/>
          <w:lang w:val="sk-SK"/>
        </w:rPr>
        <w:t>Draslík šetriac</w:t>
      </w:r>
      <w:r w:rsidR="00093CB0" w:rsidRPr="00A475AF">
        <w:rPr>
          <w:i/>
          <w:spacing w:val="-3"/>
          <w:sz w:val="22"/>
          <w:szCs w:val="22"/>
          <w:lang w:val="sk-SK"/>
        </w:rPr>
        <w:t>imi</w:t>
      </w:r>
      <w:r w:rsidRPr="00A475AF">
        <w:rPr>
          <w:i/>
          <w:spacing w:val="-3"/>
          <w:sz w:val="22"/>
          <w:szCs w:val="22"/>
          <w:lang w:val="sk-SK"/>
        </w:rPr>
        <w:t xml:space="preserve"> diuretik</w:t>
      </w:r>
      <w:r w:rsidR="00093CB0" w:rsidRPr="00A475AF">
        <w:rPr>
          <w:i/>
          <w:spacing w:val="-3"/>
          <w:sz w:val="22"/>
          <w:szCs w:val="22"/>
          <w:lang w:val="sk-SK"/>
        </w:rPr>
        <w:t>ami</w:t>
      </w:r>
      <w:r w:rsidRPr="00A475AF">
        <w:rPr>
          <w:i/>
          <w:spacing w:val="-3"/>
          <w:sz w:val="22"/>
          <w:szCs w:val="22"/>
          <w:lang w:val="sk-SK"/>
        </w:rPr>
        <w:t xml:space="preserve">: </w:t>
      </w:r>
      <w:r w:rsidRPr="00A475AF">
        <w:rPr>
          <w:spacing w:val="-3"/>
          <w:sz w:val="22"/>
          <w:szCs w:val="22"/>
          <w:lang w:val="sk-SK"/>
        </w:rPr>
        <w:t>Sú</w:t>
      </w:r>
      <w:r w:rsidR="00013E46" w:rsidRPr="00A475AF">
        <w:rPr>
          <w:spacing w:val="-3"/>
          <w:sz w:val="22"/>
          <w:szCs w:val="22"/>
          <w:lang w:val="sk-SK"/>
        </w:rPr>
        <w:t>bežn</w:t>
      </w:r>
      <w:r w:rsidRPr="00A475AF">
        <w:rPr>
          <w:spacing w:val="-3"/>
          <w:sz w:val="22"/>
          <w:szCs w:val="22"/>
          <w:lang w:val="sk-SK"/>
        </w:rPr>
        <w:t>é podávanie</w:t>
      </w:r>
      <w:r w:rsidRPr="00A475AF">
        <w:rPr>
          <w:i/>
          <w:spacing w:val="-3"/>
          <w:sz w:val="22"/>
          <w:szCs w:val="22"/>
          <w:lang w:val="sk-SK"/>
        </w:rPr>
        <w:t xml:space="preserve"> </w:t>
      </w:r>
      <w:proofErr w:type="spellStart"/>
      <w:r w:rsidR="00A475AF" w:rsidRPr="00A475AF">
        <w:rPr>
          <w:spacing w:val="-3"/>
          <w:sz w:val="22"/>
          <w:szCs w:val="22"/>
          <w:lang w:val="sk-SK"/>
        </w:rPr>
        <w:t>ibuprofénu</w:t>
      </w:r>
      <w:proofErr w:type="spellEnd"/>
      <w:r w:rsidRPr="00A475AF">
        <w:rPr>
          <w:spacing w:val="-3"/>
          <w:sz w:val="22"/>
          <w:szCs w:val="22"/>
          <w:lang w:val="sk-SK"/>
        </w:rPr>
        <w:t xml:space="preserve"> a draslík šetriacich diuretík môže viesť k </w:t>
      </w:r>
      <w:proofErr w:type="spellStart"/>
      <w:r w:rsidRPr="00A475AF">
        <w:rPr>
          <w:spacing w:val="-3"/>
          <w:sz w:val="22"/>
          <w:szCs w:val="22"/>
          <w:lang w:val="sk-SK"/>
        </w:rPr>
        <w:t>hyperkaliémii</w:t>
      </w:r>
      <w:proofErr w:type="spellEnd"/>
      <w:r w:rsidRPr="00A475AF">
        <w:rPr>
          <w:spacing w:val="-3"/>
          <w:sz w:val="22"/>
          <w:szCs w:val="22"/>
          <w:lang w:val="sk-SK"/>
        </w:rPr>
        <w:t xml:space="preserve"> (odporúča sa kontrola hladín draslíka v sére).</w:t>
      </w:r>
    </w:p>
    <w:p w14:paraId="2BA1F3DE" w14:textId="77777777" w:rsidR="0062153C" w:rsidRPr="00A475AF" w:rsidRDefault="00093CB0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proofErr w:type="spellStart"/>
      <w:r w:rsidRPr="00A475AF">
        <w:rPr>
          <w:i/>
          <w:iCs/>
          <w:sz w:val="22"/>
          <w:szCs w:val="22"/>
          <w:lang w:val="sk-SK"/>
        </w:rPr>
        <w:t>Antikoagulanciami</w:t>
      </w:r>
      <w:proofErr w:type="spellEnd"/>
      <w:r w:rsidRPr="00A475AF">
        <w:rPr>
          <w:i/>
          <w:iCs/>
          <w:sz w:val="22"/>
          <w:szCs w:val="22"/>
          <w:lang w:val="sk-SK"/>
        </w:rPr>
        <w:t>:</w:t>
      </w:r>
      <w:r w:rsidRPr="00A475AF">
        <w:rPr>
          <w:sz w:val="22"/>
          <w:szCs w:val="22"/>
          <w:lang w:val="sk-SK"/>
        </w:rPr>
        <w:t xml:space="preserve"> lieky zo skupiny NSAID môžu zvýšiť účinky </w:t>
      </w:r>
      <w:proofErr w:type="spellStart"/>
      <w:r w:rsidRPr="00A475AF">
        <w:rPr>
          <w:sz w:val="22"/>
          <w:szCs w:val="22"/>
          <w:lang w:val="sk-SK"/>
        </w:rPr>
        <w:t>antikoagulačných</w:t>
      </w:r>
      <w:proofErr w:type="spellEnd"/>
      <w:r w:rsidRPr="00A475AF">
        <w:rPr>
          <w:sz w:val="22"/>
          <w:szCs w:val="22"/>
          <w:lang w:val="sk-SK"/>
        </w:rPr>
        <w:t xml:space="preserve"> liekov ako je </w:t>
      </w:r>
      <w:proofErr w:type="spellStart"/>
      <w:r w:rsidRPr="00A475AF">
        <w:rPr>
          <w:sz w:val="22"/>
          <w:szCs w:val="22"/>
          <w:lang w:val="sk-SK"/>
        </w:rPr>
        <w:t>warfarín</w:t>
      </w:r>
      <w:proofErr w:type="spellEnd"/>
      <w:r w:rsidRPr="00A475AF">
        <w:rPr>
          <w:sz w:val="22"/>
          <w:szCs w:val="22"/>
          <w:lang w:val="sk-SK"/>
        </w:rPr>
        <w:t xml:space="preserve"> (pozri časť 4.4).</w:t>
      </w:r>
    </w:p>
    <w:p w14:paraId="7F154C02" w14:textId="77777777" w:rsidR="00093CB0" w:rsidRPr="00A475AF" w:rsidRDefault="00093CB0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proofErr w:type="spellStart"/>
      <w:r w:rsidRPr="00A475AF">
        <w:rPr>
          <w:i/>
          <w:iCs/>
          <w:sz w:val="22"/>
          <w:szCs w:val="22"/>
          <w:lang w:val="sk-SK"/>
        </w:rPr>
        <w:t>Antiagregačnými</w:t>
      </w:r>
      <w:proofErr w:type="spellEnd"/>
      <w:r w:rsidRPr="00A475AF">
        <w:rPr>
          <w:i/>
          <w:iCs/>
          <w:sz w:val="22"/>
          <w:szCs w:val="22"/>
          <w:lang w:val="sk-SK"/>
        </w:rPr>
        <w:t xml:space="preserve"> liekmi a selektívnymi inhibítormi spätného vychytávania </w:t>
      </w:r>
      <w:proofErr w:type="spellStart"/>
      <w:r w:rsidR="008A4D5E" w:rsidRPr="00A475AF">
        <w:rPr>
          <w:i/>
          <w:iCs/>
          <w:sz w:val="22"/>
          <w:szCs w:val="22"/>
          <w:lang w:val="sk-SK"/>
        </w:rPr>
        <w:t>s</w:t>
      </w:r>
      <w:r w:rsidR="00013E46" w:rsidRPr="00A475AF">
        <w:rPr>
          <w:i/>
          <w:iCs/>
          <w:sz w:val="22"/>
          <w:szCs w:val="22"/>
          <w:lang w:val="sk-SK"/>
        </w:rPr>
        <w:t>é</w:t>
      </w:r>
      <w:r w:rsidR="008A4D5E" w:rsidRPr="00A475AF">
        <w:rPr>
          <w:i/>
          <w:iCs/>
          <w:sz w:val="22"/>
          <w:szCs w:val="22"/>
          <w:lang w:val="sk-SK"/>
        </w:rPr>
        <w:t>rotonínu</w:t>
      </w:r>
      <w:proofErr w:type="spellEnd"/>
      <w:r w:rsidRPr="00A475AF">
        <w:rPr>
          <w:i/>
          <w:iCs/>
          <w:sz w:val="22"/>
          <w:szCs w:val="22"/>
          <w:lang w:val="sk-SK"/>
        </w:rPr>
        <w:t xml:space="preserve"> (SSRI):</w:t>
      </w:r>
      <w:r w:rsidRPr="00A475AF">
        <w:rPr>
          <w:sz w:val="22"/>
          <w:szCs w:val="22"/>
          <w:lang w:val="sk-SK"/>
        </w:rPr>
        <w:t xml:space="preserve"> môže zvýšiť riziko </w:t>
      </w:r>
      <w:proofErr w:type="spellStart"/>
      <w:r w:rsidRPr="00A475AF">
        <w:rPr>
          <w:sz w:val="22"/>
          <w:szCs w:val="22"/>
          <w:lang w:val="sk-SK"/>
        </w:rPr>
        <w:t>gastrointestinálneho</w:t>
      </w:r>
      <w:proofErr w:type="spellEnd"/>
      <w:r w:rsidRPr="00A475AF">
        <w:rPr>
          <w:sz w:val="22"/>
          <w:szCs w:val="22"/>
          <w:lang w:val="sk-SK"/>
        </w:rPr>
        <w:t xml:space="preserve"> krvácania (pozri časť 4.4).</w:t>
      </w:r>
    </w:p>
    <w:p w14:paraId="6F11F58D" w14:textId="77777777" w:rsidR="00093CB0" w:rsidRPr="00A475AF" w:rsidRDefault="00093CB0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iCs/>
          <w:sz w:val="22"/>
          <w:szCs w:val="22"/>
          <w:lang w:val="sk-SK"/>
        </w:rPr>
        <w:t xml:space="preserve">Srdcovými </w:t>
      </w:r>
      <w:proofErr w:type="spellStart"/>
      <w:r w:rsidRPr="00A475AF">
        <w:rPr>
          <w:i/>
          <w:iCs/>
          <w:sz w:val="22"/>
          <w:szCs w:val="22"/>
          <w:lang w:val="sk-SK"/>
        </w:rPr>
        <w:t>glykozidmi</w:t>
      </w:r>
      <w:proofErr w:type="spellEnd"/>
      <w:r w:rsidRPr="00A475AF">
        <w:rPr>
          <w:i/>
          <w:iCs/>
          <w:sz w:val="22"/>
          <w:szCs w:val="22"/>
          <w:lang w:val="sk-SK"/>
        </w:rPr>
        <w:t xml:space="preserve">: </w:t>
      </w:r>
      <w:r w:rsidRPr="00A475AF">
        <w:rPr>
          <w:iCs/>
          <w:sz w:val="22"/>
          <w:szCs w:val="22"/>
          <w:lang w:val="sk-SK"/>
        </w:rPr>
        <w:t xml:space="preserve">NSAID môžu zhoršovať srdcové zlyhanie, zníženie GFR a zvýšenie </w:t>
      </w:r>
      <w:r w:rsidR="00F55AA9" w:rsidRPr="00A475AF">
        <w:rPr>
          <w:iCs/>
          <w:sz w:val="22"/>
          <w:szCs w:val="22"/>
          <w:lang w:val="sk-SK"/>
        </w:rPr>
        <w:t xml:space="preserve">hladiny </w:t>
      </w:r>
      <w:proofErr w:type="spellStart"/>
      <w:r w:rsidR="00F55AA9" w:rsidRPr="00A475AF">
        <w:rPr>
          <w:iCs/>
          <w:sz w:val="22"/>
          <w:szCs w:val="22"/>
          <w:lang w:val="sk-SK"/>
        </w:rPr>
        <w:t>gly</w:t>
      </w:r>
      <w:r w:rsidRPr="00A475AF">
        <w:rPr>
          <w:iCs/>
          <w:sz w:val="22"/>
          <w:szCs w:val="22"/>
          <w:lang w:val="sk-SK"/>
        </w:rPr>
        <w:t>kozidov</w:t>
      </w:r>
      <w:proofErr w:type="spellEnd"/>
      <w:r w:rsidRPr="00A475AF">
        <w:rPr>
          <w:iCs/>
          <w:sz w:val="22"/>
          <w:szCs w:val="22"/>
          <w:lang w:val="sk-SK"/>
        </w:rPr>
        <w:t xml:space="preserve"> v krvi.</w:t>
      </w:r>
    </w:p>
    <w:p w14:paraId="1F061E62" w14:textId="77777777" w:rsidR="00F55AA9" w:rsidRPr="00A475AF" w:rsidRDefault="00F55AA9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sz w:val="22"/>
          <w:szCs w:val="22"/>
          <w:lang w:val="sk-SK"/>
        </w:rPr>
        <w:t xml:space="preserve">Lítiom: </w:t>
      </w:r>
      <w:r w:rsidRPr="00A475AF">
        <w:rPr>
          <w:sz w:val="22"/>
          <w:szCs w:val="22"/>
          <w:lang w:val="sk-SK"/>
        </w:rPr>
        <w:t>existuje dôkaz</w:t>
      </w:r>
      <w:r w:rsidRPr="00A475AF">
        <w:rPr>
          <w:i/>
          <w:sz w:val="22"/>
          <w:szCs w:val="22"/>
          <w:lang w:val="sk-SK"/>
        </w:rPr>
        <w:t xml:space="preserve"> </w:t>
      </w:r>
      <w:r w:rsidRPr="00A475AF">
        <w:rPr>
          <w:sz w:val="22"/>
          <w:szCs w:val="22"/>
          <w:lang w:val="sk-SK"/>
        </w:rPr>
        <w:t>pre možné zvýšenie plazmatických hladín lítia.</w:t>
      </w:r>
    </w:p>
    <w:p w14:paraId="48C84854" w14:textId="77777777" w:rsidR="00F55AA9" w:rsidRPr="00A475AF" w:rsidRDefault="00F55AA9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proofErr w:type="spellStart"/>
      <w:r w:rsidRPr="00A475AF">
        <w:rPr>
          <w:i/>
          <w:spacing w:val="-3"/>
          <w:sz w:val="22"/>
          <w:szCs w:val="22"/>
          <w:lang w:val="sk-SK"/>
        </w:rPr>
        <w:t>Metotrexá</w:t>
      </w:r>
      <w:r w:rsidR="00A24E0A" w:rsidRPr="00A475AF">
        <w:rPr>
          <w:i/>
          <w:spacing w:val="-3"/>
          <w:sz w:val="22"/>
          <w:szCs w:val="22"/>
          <w:lang w:val="sk-SK"/>
        </w:rPr>
        <w:t>t</w:t>
      </w:r>
      <w:r w:rsidRPr="00A475AF">
        <w:rPr>
          <w:i/>
          <w:spacing w:val="-3"/>
          <w:sz w:val="22"/>
          <w:szCs w:val="22"/>
          <w:lang w:val="sk-SK"/>
        </w:rPr>
        <w:t>om</w:t>
      </w:r>
      <w:proofErr w:type="spellEnd"/>
      <w:r w:rsidRPr="00A475AF">
        <w:rPr>
          <w:i/>
          <w:spacing w:val="-3"/>
          <w:sz w:val="22"/>
          <w:szCs w:val="22"/>
          <w:lang w:val="sk-SK"/>
        </w:rPr>
        <w:t xml:space="preserve">: </w:t>
      </w:r>
      <w:r w:rsidRPr="00A475AF">
        <w:rPr>
          <w:sz w:val="22"/>
          <w:szCs w:val="22"/>
          <w:lang w:val="sk-SK"/>
        </w:rPr>
        <w:t>existuje dôkaz</w:t>
      </w:r>
      <w:r w:rsidRPr="00A475AF">
        <w:rPr>
          <w:i/>
          <w:sz w:val="22"/>
          <w:szCs w:val="22"/>
          <w:lang w:val="sk-SK"/>
        </w:rPr>
        <w:t xml:space="preserve"> </w:t>
      </w:r>
      <w:r w:rsidRPr="00A475AF">
        <w:rPr>
          <w:sz w:val="22"/>
          <w:szCs w:val="22"/>
          <w:lang w:val="sk-SK"/>
        </w:rPr>
        <w:t xml:space="preserve">pre možné zvýšenie plazmatických hladín </w:t>
      </w:r>
      <w:proofErr w:type="spellStart"/>
      <w:r w:rsidRPr="00A475AF">
        <w:rPr>
          <w:sz w:val="22"/>
          <w:szCs w:val="22"/>
          <w:lang w:val="sk-SK"/>
        </w:rPr>
        <w:t>metotrexátu</w:t>
      </w:r>
      <w:proofErr w:type="spellEnd"/>
      <w:r w:rsidRPr="00A475AF">
        <w:rPr>
          <w:sz w:val="22"/>
          <w:szCs w:val="22"/>
          <w:lang w:val="sk-SK"/>
        </w:rPr>
        <w:t xml:space="preserve"> a zvýšenie jeho toxického účinku, najmä hemat</w:t>
      </w:r>
      <w:smartTag w:uri="urn:schemas-microsoft-com:office:smarttags" w:element="PersonName">
        <w:r w:rsidRPr="00A475AF">
          <w:rPr>
            <w:sz w:val="22"/>
            <w:szCs w:val="22"/>
            <w:lang w:val="sk-SK"/>
          </w:rPr>
          <w:t>olo</w:t>
        </w:r>
      </w:smartTag>
      <w:r w:rsidRPr="00A475AF">
        <w:rPr>
          <w:sz w:val="22"/>
          <w:szCs w:val="22"/>
          <w:lang w:val="sk-SK"/>
        </w:rPr>
        <w:t>gických toxických účinkov.</w:t>
      </w:r>
    </w:p>
    <w:p w14:paraId="468B973B" w14:textId="77777777" w:rsidR="00F55AA9" w:rsidRPr="00A475AF" w:rsidRDefault="00F55AA9" w:rsidP="00792D82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proofErr w:type="spellStart"/>
      <w:r w:rsidRPr="00A475AF">
        <w:rPr>
          <w:i/>
          <w:spacing w:val="-3"/>
          <w:sz w:val="22"/>
          <w:szCs w:val="22"/>
          <w:lang w:val="sk-SK"/>
        </w:rPr>
        <w:t>Baklofénom</w:t>
      </w:r>
      <w:proofErr w:type="spellEnd"/>
      <w:r w:rsidRPr="00A475AF">
        <w:rPr>
          <w:i/>
          <w:spacing w:val="-3"/>
          <w:sz w:val="22"/>
          <w:szCs w:val="22"/>
          <w:lang w:val="sk-SK"/>
        </w:rPr>
        <w:t xml:space="preserve">: </w:t>
      </w:r>
      <w:r w:rsidRPr="00A475AF">
        <w:rPr>
          <w:spacing w:val="-3"/>
          <w:sz w:val="22"/>
          <w:szCs w:val="22"/>
          <w:lang w:val="sk-SK"/>
        </w:rPr>
        <w:t>existujú klinické údaje, ktoré naznačujú, že NSAID môžu zvyšovať plazmatickú hladinu tohto lieku.</w:t>
      </w:r>
    </w:p>
    <w:p w14:paraId="74358EAB" w14:textId="77777777" w:rsidR="00F55AA9" w:rsidRPr="00A475AF" w:rsidRDefault="00F55AA9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proofErr w:type="spellStart"/>
      <w:r w:rsidRPr="00A475AF">
        <w:rPr>
          <w:i/>
          <w:iCs/>
          <w:spacing w:val="-3"/>
          <w:sz w:val="22"/>
          <w:szCs w:val="22"/>
          <w:lang w:val="sk-SK"/>
        </w:rPr>
        <w:t>Cyklosporínom</w:t>
      </w:r>
      <w:proofErr w:type="spellEnd"/>
      <w:r w:rsidRPr="00A475AF">
        <w:rPr>
          <w:i/>
          <w:iCs/>
          <w:spacing w:val="-3"/>
          <w:sz w:val="22"/>
          <w:szCs w:val="22"/>
          <w:lang w:val="sk-SK"/>
        </w:rPr>
        <w:t xml:space="preserve">: </w:t>
      </w:r>
      <w:r w:rsidR="008E4C7B" w:rsidRPr="00A475AF">
        <w:rPr>
          <w:iCs/>
          <w:spacing w:val="-3"/>
          <w:sz w:val="22"/>
          <w:szCs w:val="22"/>
          <w:lang w:val="sk-SK"/>
        </w:rPr>
        <w:t xml:space="preserve">zvýšené riziko </w:t>
      </w:r>
      <w:proofErr w:type="spellStart"/>
      <w:r w:rsidR="008E4C7B" w:rsidRPr="00A475AF">
        <w:rPr>
          <w:iCs/>
          <w:spacing w:val="-3"/>
          <w:sz w:val="22"/>
          <w:szCs w:val="22"/>
          <w:lang w:val="sk-SK"/>
        </w:rPr>
        <w:t>nefrotoxicity</w:t>
      </w:r>
      <w:proofErr w:type="spellEnd"/>
      <w:r w:rsidR="008E4C7B" w:rsidRPr="00A475AF">
        <w:rPr>
          <w:iCs/>
          <w:spacing w:val="-3"/>
          <w:sz w:val="22"/>
          <w:szCs w:val="22"/>
          <w:lang w:val="sk-SK"/>
        </w:rPr>
        <w:t>.</w:t>
      </w:r>
    </w:p>
    <w:p w14:paraId="45AF26F7" w14:textId="77777777" w:rsidR="00A30556" w:rsidRPr="00A475AF" w:rsidRDefault="00A30556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proofErr w:type="spellStart"/>
      <w:r w:rsidRPr="00A475AF">
        <w:rPr>
          <w:i/>
          <w:sz w:val="22"/>
          <w:szCs w:val="22"/>
          <w:lang w:val="sk-SK"/>
        </w:rPr>
        <w:t>Mifeprist</w:t>
      </w:r>
      <w:r w:rsidR="00013E46" w:rsidRPr="00A475AF">
        <w:rPr>
          <w:i/>
          <w:sz w:val="22"/>
          <w:szCs w:val="22"/>
          <w:lang w:val="sk-SK"/>
        </w:rPr>
        <w:t>ó</w:t>
      </w:r>
      <w:r w:rsidRPr="00A475AF">
        <w:rPr>
          <w:i/>
          <w:sz w:val="22"/>
          <w:szCs w:val="22"/>
          <w:lang w:val="sk-SK"/>
        </w:rPr>
        <w:t>nom</w:t>
      </w:r>
      <w:proofErr w:type="spellEnd"/>
      <w:r w:rsidRPr="00A475AF">
        <w:rPr>
          <w:i/>
          <w:sz w:val="22"/>
          <w:szCs w:val="22"/>
          <w:lang w:val="sk-SK"/>
        </w:rPr>
        <w:t xml:space="preserve">: </w:t>
      </w:r>
      <w:r w:rsidR="008E4C7B" w:rsidRPr="00A475AF">
        <w:rPr>
          <w:sz w:val="22"/>
          <w:szCs w:val="22"/>
          <w:lang w:val="sk-SK"/>
        </w:rPr>
        <w:t xml:space="preserve">NSAID sa nemá užívať 8 až 12 dní po užívaní </w:t>
      </w:r>
      <w:proofErr w:type="spellStart"/>
      <w:r w:rsidR="008E4C7B" w:rsidRPr="00A475AF">
        <w:rPr>
          <w:sz w:val="22"/>
          <w:szCs w:val="22"/>
          <w:lang w:val="sk-SK"/>
        </w:rPr>
        <w:t>mifeprist</w:t>
      </w:r>
      <w:r w:rsidR="00013E46" w:rsidRPr="00A475AF">
        <w:rPr>
          <w:sz w:val="22"/>
          <w:szCs w:val="22"/>
          <w:lang w:val="sk-SK"/>
        </w:rPr>
        <w:t>ó</w:t>
      </w:r>
      <w:r w:rsidR="008E4C7B" w:rsidRPr="00A475AF">
        <w:rPr>
          <w:sz w:val="22"/>
          <w:szCs w:val="22"/>
          <w:lang w:val="sk-SK"/>
        </w:rPr>
        <w:t>nu</w:t>
      </w:r>
      <w:proofErr w:type="spellEnd"/>
      <w:r w:rsidR="008E4C7B" w:rsidRPr="00A475AF">
        <w:rPr>
          <w:sz w:val="22"/>
          <w:szCs w:val="22"/>
          <w:lang w:val="sk-SK"/>
        </w:rPr>
        <w:t xml:space="preserve">; NSAID môžu znížiť účinnosť </w:t>
      </w:r>
      <w:proofErr w:type="spellStart"/>
      <w:r w:rsidR="008E4C7B" w:rsidRPr="00A475AF">
        <w:rPr>
          <w:sz w:val="22"/>
          <w:szCs w:val="22"/>
          <w:lang w:val="sk-SK"/>
        </w:rPr>
        <w:t>mifeprist</w:t>
      </w:r>
      <w:r w:rsidR="00013E46" w:rsidRPr="00A475AF">
        <w:rPr>
          <w:sz w:val="22"/>
          <w:szCs w:val="22"/>
          <w:lang w:val="sk-SK"/>
        </w:rPr>
        <w:t>ó</w:t>
      </w:r>
      <w:r w:rsidR="008E4C7B" w:rsidRPr="00A475AF">
        <w:rPr>
          <w:sz w:val="22"/>
          <w:szCs w:val="22"/>
          <w:lang w:val="sk-SK"/>
        </w:rPr>
        <w:t>nu</w:t>
      </w:r>
      <w:proofErr w:type="spellEnd"/>
      <w:r w:rsidR="008E4C7B" w:rsidRPr="00A475AF">
        <w:rPr>
          <w:sz w:val="22"/>
          <w:szCs w:val="22"/>
          <w:lang w:val="sk-SK"/>
        </w:rPr>
        <w:t>.</w:t>
      </w:r>
    </w:p>
    <w:p w14:paraId="6B769A7C" w14:textId="77777777" w:rsidR="00FB70AC" w:rsidRPr="00A475AF" w:rsidRDefault="008E4C7B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proofErr w:type="spellStart"/>
      <w:r w:rsidRPr="00A475AF">
        <w:rPr>
          <w:i/>
          <w:sz w:val="22"/>
          <w:szCs w:val="22"/>
          <w:lang w:val="sk-SK"/>
        </w:rPr>
        <w:t>Takroli</w:t>
      </w:r>
      <w:r w:rsidR="00FB70AC" w:rsidRPr="00A475AF">
        <w:rPr>
          <w:i/>
          <w:sz w:val="22"/>
          <w:szCs w:val="22"/>
          <w:lang w:val="sk-SK"/>
        </w:rPr>
        <w:t>mom</w:t>
      </w:r>
      <w:proofErr w:type="spellEnd"/>
      <w:r w:rsidR="00FB70AC" w:rsidRPr="00A475AF">
        <w:rPr>
          <w:i/>
          <w:sz w:val="22"/>
          <w:szCs w:val="22"/>
          <w:lang w:val="sk-SK"/>
        </w:rPr>
        <w:t xml:space="preserve">: </w:t>
      </w:r>
      <w:r w:rsidRPr="00A475AF">
        <w:rPr>
          <w:spacing w:val="-3"/>
          <w:sz w:val="22"/>
          <w:szCs w:val="22"/>
          <w:lang w:val="sk-SK"/>
        </w:rPr>
        <w:t xml:space="preserve">možné zvýšené riziko </w:t>
      </w:r>
      <w:proofErr w:type="spellStart"/>
      <w:r w:rsidRPr="00A475AF">
        <w:rPr>
          <w:spacing w:val="-3"/>
          <w:sz w:val="22"/>
          <w:szCs w:val="22"/>
          <w:lang w:val="sk-SK"/>
        </w:rPr>
        <w:t>nefrotoxicity</w:t>
      </w:r>
      <w:proofErr w:type="spellEnd"/>
      <w:r w:rsidRPr="00A475AF">
        <w:rPr>
          <w:spacing w:val="-3"/>
          <w:sz w:val="22"/>
          <w:szCs w:val="22"/>
          <w:lang w:val="sk-SK"/>
        </w:rPr>
        <w:t xml:space="preserve">, </w:t>
      </w:r>
      <w:r w:rsidR="00F96D5B" w:rsidRPr="00A475AF">
        <w:rPr>
          <w:spacing w:val="-3"/>
          <w:sz w:val="22"/>
          <w:szCs w:val="22"/>
          <w:lang w:val="sk-SK"/>
        </w:rPr>
        <w:t>a</w:t>
      </w:r>
      <w:r w:rsidRPr="00A475AF">
        <w:rPr>
          <w:spacing w:val="-3"/>
          <w:sz w:val="22"/>
          <w:szCs w:val="22"/>
          <w:lang w:val="sk-SK"/>
        </w:rPr>
        <w:t xml:space="preserve">k sa NSAID podávajú s </w:t>
      </w:r>
      <w:proofErr w:type="spellStart"/>
      <w:r w:rsidRPr="00A475AF">
        <w:rPr>
          <w:spacing w:val="-3"/>
          <w:sz w:val="22"/>
          <w:szCs w:val="22"/>
          <w:lang w:val="sk-SK"/>
        </w:rPr>
        <w:t>takrolimom</w:t>
      </w:r>
      <w:proofErr w:type="spellEnd"/>
      <w:r w:rsidRPr="00A475AF">
        <w:rPr>
          <w:spacing w:val="-3"/>
          <w:sz w:val="22"/>
          <w:szCs w:val="22"/>
          <w:lang w:val="sk-SK"/>
        </w:rPr>
        <w:t>.</w:t>
      </w:r>
    </w:p>
    <w:p w14:paraId="40116F33" w14:textId="77777777" w:rsidR="00FB70AC" w:rsidRPr="00A475AF" w:rsidRDefault="00F96D5B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proofErr w:type="spellStart"/>
      <w:r w:rsidRPr="00A475AF">
        <w:rPr>
          <w:i/>
          <w:sz w:val="22"/>
          <w:szCs w:val="22"/>
          <w:lang w:val="sk-SK"/>
        </w:rPr>
        <w:t>Zidovu</w:t>
      </w:r>
      <w:r w:rsidR="00FB70AC" w:rsidRPr="00A475AF">
        <w:rPr>
          <w:i/>
          <w:sz w:val="22"/>
          <w:szCs w:val="22"/>
          <w:lang w:val="sk-SK"/>
        </w:rPr>
        <w:t>d</w:t>
      </w:r>
      <w:r w:rsidRPr="00A475AF">
        <w:rPr>
          <w:i/>
          <w:sz w:val="22"/>
          <w:szCs w:val="22"/>
          <w:lang w:val="sk-SK"/>
        </w:rPr>
        <w:t>í</w:t>
      </w:r>
      <w:r w:rsidR="00FB70AC" w:rsidRPr="00A475AF">
        <w:rPr>
          <w:i/>
          <w:sz w:val="22"/>
          <w:szCs w:val="22"/>
          <w:lang w:val="sk-SK"/>
        </w:rPr>
        <w:t>nom</w:t>
      </w:r>
      <w:proofErr w:type="spellEnd"/>
      <w:r w:rsidR="00FB70AC" w:rsidRPr="00A475AF">
        <w:rPr>
          <w:i/>
          <w:sz w:val="22"/>
          <w:szCs w:val="22"/>
          <w:lang w:val="sk-SK"/>
        </w:rPr>
        <w:t xml:space="preserve">: </w:t>
      </w:r>
      <w:r w:rsidR="008E4C7B" w:rsidRPr="00A475AF">
        <w:rPr>
          <w:spacing w:val="-3"/>
          <w:sz w:val="22"/>
          <w:szCs w:val="22"/>
          <w:lang w:val="sk-SK"/>
        </w:rPr>
        <w:t xml:space="preserve">zvýšené riziko </w:t>
      </w:r>
      <w:r w:rsidRPr="00A475AF">
        <w:rPr>
          <w:spacing w:val="-3"/>
          <w:sz w:val="22"/>
          <w:szCs w:val="22"/>
          <w:lang w:val="sk-SK"/>
        </w:rPr>
        <w:t>hemat</w:t>
      </w:r>
      <w:smartTag w:uri="urn:schemas-microsoft-com:office:smarttags" w:element="PersonName">
        <w:r w:rsidRPr="00A475AF">
          <w:rPr>
            <w:spacing w:val="-3"/>
            <w:sz w:val="22"/>
            <w:szCs w:val="22"/>
            <w:lang w:val="sk-SK"/>
          </w:rPr>
          <w:t>ol</w:t>
        </w:r>
        <w:r w:rsidR="003C3337" w:rsidRPr="00A475AF">
          <w:rPr>
            <w:spacing w:val="-3"/>
            <w:sz w:val="22"/>
            <w:szCs w:val="22"/>
            <w:lang w:val="sk-SK"/>
          </w:rPr>
          <w:t>o</w:t>
        </w:r>
      </w:smartTag>
      <w:r w:rsidRPr="00A475AF">
        <w:rPr>
          <w:spacing w:val="-3"/>
          <w:sz w:val="22"/>
          <w:szCs w:val="22"/>
          <w:lang w:val="sk-SK"/>
        </w:rPr>
        <w:t xml:space="preserve">gickej </w:t>
      </w:r>
      <w:r w:rsidR="008E4C7B" w:rsidRPr="00A475AF">
        <w:rPr>
          <w:spacing w:val="-3"/>
          <w:sz w:val="22"/>
          <w:szCs w:val="22"/>
          <w:lang w:val="sk-SK"/>
        </w:rPr>
        <w:t xml:space="preserve">toxicity, </w:t>
      </w:r>
      <w:r w:rsidRPr="00A475AF">
        <w:rPr>
          <w:spacing w:val="-3"/>
          <w:sz w:val="22"/>
          <w:szCs w:val="22"/>
          <w:lang w:val="sk-SK"/>
        </w:rPr>
        <w:t>a</w:t>
      </w:r>
      <w:r w:rsidR="008E4C7B" w:rsidRPr="00A475AF">
        <w:rPr>
          <w:spacing w:val="-3"/>
          <w:sz w:val="22"/>
          <w:szCs w:val="22"/>
          <w:lang w:val="sk-SK"/>
        </w:rPr>
        <w:t>k sa NSAID podávajú s</w:t>
      </w:r>
      <w:r w:rsidRPr="00A475AF">
        <w:rPr>
          <w:spacing w:val="-3"/>
          <w:sz w:val="22"/>
          <w:szCs w:val="22"/>
          <w:lang w:val="sk-SK"/>
        </w:rPr>
        <w:t xml:space="preserve">o </w:t>
      </w:r>
      <w:proofErr w:type="spellStart"/>
      <w:r w:rsidRPr="00A475AF">
        <w:rPr>
          <w:spacing w:val="-3"/>
          <w:sz w:val="22"/>
          <w:szCs w:val="22"/>
          <w:lang w:val="sk-SK"/>
        </w:rPr>
        <w:t>zidovudínom</w:t>
      </w:r>
      <w:proofErr w:type="spellEnd"/>
      <w:r w:rsidRPr="00A475AF">
        <w:rPr>
          <w:spacing w:val="-3"/>
          <w:sz w:val="22"/>
          <w:szCs w:val="22"/>
          <w:lang w:val="sk-SK"/>
        </w:rPr>
        <w:t xml:space="preserve">. Existujú dôkazy o zvýšenom riziku </w:t>
      </w:r>
      <w:proofErr w:type="spellStart"/>
      <w:r w:rsidRPr="00A475AF">
        <w:rPr>
          <w:spacing w:val="-3"/>
          <w:sz w:val="22"/>
          <w:szCs w:val="22"/>
          <w:lang w:val="sk-SK"/>
        </w:rPr>
        <w:t>hemartrózy</w:t>
      </w:r>
      <w:proofErr w:type="spellEnd"/>
      <w:r w:rsidRPr="00A475AF">
        <w:rPr>
          <w:spacing w:val="-3"/>
          <w:sz w:val="22"/>
          <w:szCs w:val="22"/>
          <w:lang w:val="sk-SK"/>
        </w:rPr>
        <w:t xml:space="preserve"> a hematómu u HIV(+) </w:t>
      </w:r>
      <w:proofErr w:type="spellStart"/>
      <w:r w:rsidRPr="00A475AF">
        <w:rPr>
          <w:spacing w:val="-3"/>
          <w:sz w:val="22"/>
          <w:szCs w:val="22"/>
          <w:lang w:val="sk-SK"/>
        </w:rPr>
        <w:t>hemofilikov</w:t>
      </w:r>
      <w:proofErr w:type="spellEnd"/>
      <w:r w:rsidRPr="00A475AF">
        <w:rPr>
          <w:spacing w:val="-3"/>
          <w:sz w:val="22"/>
          <w:szCs w:val="22"/>
          <w:lang w:val="sk-SK"/>
        </w:rPr>
        <w:t xml:space="preserve"> užívajúcich s</w:t>
      </w:r>
      <w:r w:rsidR="00040163" w:rsidRPr="00A475AF">
        <w:rPr>
          <w:spacing w:val="-3"/>
          <w:sz w:val="22"/>
          <w:szCs w:val="22"/>
          <w:lang w:val="sk-SK"/>
        </w:rPr>
        <w:t>ú</w:t>
      </w:r>
      <w:r w:rsidR="00013E46" w:rsidRPr="00A475AF">
        <w:rPr>
          <w:spacing w:val="-3"/>
          <w:sz w:val="22"/>
          <w:szCs w:val="22"/>
          <w:lang w:val="sk-SK"/>
        </w:rPr>
        <w:t>bežne</w:t>
      </w:r>
      <w:r w:rsidRPr="00A475AF">
        <w:rPr>
          <w:spacing w:val="-3"/>
          <w:sz w:val="22"/>
          <w:szCs w:val="22"/>
          <w:lang w:val="sk-SK"/>
        </w:rPr>
        <w:t xml:space="preserve"> </w:t>
      </w:r>
      <w:proofErr w:type="spellStart"/>
      <w:r w:rsidRPr="00A475AF">
        <w:rPr>
          <w:spacing w:val="-3"/>
          <w:sz w:val="22"/>
          <w:szCs w:val="22"/>
          <w:lang w:val="sk-SK"/>
        </w:rPr>
        <w:t>zidovudín</w:t>
      </w:r>
      <w:proofErr w:type="spellEnd"/>
      <w:r w:rsidRPr="00A475AF">
        <w:rPr>
          <w:spacing w:val="-3"/>
          <w:sz w:val="22"/>
          <w:szCs w:val="22"/>
          <w:lang w:val="sk-SK"/>
        </w:rPr>
        <w:t xml:space="preserve"> a </w:t>
      </w:r>
      <w:proofErr w:type="spellStart"/>
      <w:r w:rsidR="00A475AF" w:rsidRPr="00A475AF">
        <w:rPr>
          <w:spacing w:val="-3"/>
          <w:sz w:val="22"/>
          <w:szCs w:val="22"/>
          <w:lang w:val="sk-SK"/>
        </w:rPr>
        <w:t>ibuprofén</w:t>
      </w:r>
      <w:proofErr w:type="spellEnd"/>
      <w:r w:rsidRPr="00A475AF">
        <w:rPr>
          <w:spacing w:val="-3"/>
          <w:sz w:val="22"/>
          <w:szCs w:val="22"/>
          <w:lang w:val="sk-SK"/>
        </w:rPr>
        <w:t>.</w:t>
      </w:r>
    </w:p>
    <w:p w14:paraId="77E3BD95" w14:textId="77777777" w:rsidR="00FB70AC" w:rsidRPr="00A475AF" w:rsidRDefault="00FB70AC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proofErr w:type="spellStart"/>
      <w:r w:rsidRPr="00A475AF">
        <w:rPr>
          <w:i/>
          <w:iCs/>
          <w:spacing w:val="-3"/>
          <w:sz w:val="22"/>
          <w:szCs w:val="22"/>
          <w:lang w:val="sk-SK"/>
        </w:rPr>
        <w:t>Chinolónovými</w:t>
      </w:r>
      <w:proofErr w:type="spellEnd"/>
      <w:r w:rsidRPr="00A475AF">
        <w:rPr>
          <w:i/>
          <w:iCs/>
          <w:spacing w:val="-3"/>
          <w:sz w:val="22"/>
          <w:szCs w:val="22"/>
          <w:lang w:val="sk-SK"/>
        </w:rPr>
        <w:t xml:space="preserve"> antibiotikami: </w:t>
      </w:r>
      <w:r w:rsidR="00F96D5B" w:rsidRPr="00A475AF">
        <w:rPr>
          <w:spacing w:val="-3"/>
          <w:sz w:val="22"/>
          <w:szCs w:val="22"/>
          <w:lang w:val="sk-SK"/>
        </w:rPr>
        <w:t xml:space="preserve">údaje zo štúdií na zvieratách naznačujú, že NSAID môžu zvyšovať riziko vzniku kŕčov v súvislosti s </w:t>
      </w:r>
      <w:proofErr w:type="spellStart"/>
      <w:r w:rsidR="00F96D5B" w:rsidRPr="00A475AF">
        <w:rPr>
          <w:spacing w:val="-3"/>
          <w:sz w:val="22"/>
          <w:szCs w:val="22"/>
          <w:lang w:val="sk-SK"/>
        </w:rPr>
        <w:t>chinolónovými</w:t>
      </w:r>
      <w:proofErr w:type="spellEnd"/>
      <w:r w:rsidR="00F96D5B" w:rsidRPr="00A475AF">
        <w:rPr>
          <w:spacing w:val="-3"/>
          <w:sz w:val="22"/>
          <w:szCs w:val="22"/>
          <w:lang w:val="sk-SK"/>
        </w:rPr>
        <w:t xml:space="preserve"> antibiotikami. Pacienti užívajúci NSAID a</w:t>
      </w:r>
      <w:r w:rsidR="00013E46" w:rsidRPr="00A475AF">
        <w:rPr>
          <w:spacing w:val="-3"/>
          <w:sz w:val="22"/>
          <w:szCs w:val="22"/>
          <w:lang w:val="sk-SK"/>
        </w:rPr>
        <w:t> </w:t>
      </w:r>
      <w:proofErr w:type="spellStart"/>
      <w:r w:rsidR="00F96D5B" w:rsidRPr="00A475AF">
        <w:rPr>
          <w:spacing w:val="-3"/>
          <w:sz w:val="22"/>
          <w:szCs w:val="22"/>
          <w:lang w:val="sk-SK"/>
        </w:rPr>
        <w:t>chinolóny</w:t>
      </w:r>
      <w:proofErr w:type="spellEnd"/>
      <w:r w:rsidR="00F96D5B" w:rsidRPr="00A475AF">
        <w:rPr>
          <w:spacing w:val="-3"/>
          <w:sz w:val="22"/>
          <w:szCs w:val="22"/>
          <w:lang w:val="sk-SK"/>
        </w:rPr>
        <w:t xml:space="preserve"> môžu mať zvýšené riziko vzniku kŕčov.</w:t>
      </w:r>
    </w:p>
    <w:p w14:paraId="76ECF6F6" w14:textId="77777777" w:rsidR="00FB70AC" w:rsidRPr="00A475AF" w:rsidRDefault="00FB70AC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r w:rsidRPr="00A475AF">
        <w:rPr>
          <w:i/>
          <w:iCs/>
          <w:spacing w:val="-3"/>
          <w:sz w:val="22"/>
          <w:szCs w:val="22"/>
          <w:lang w:val="sk-SK"/>
        </w:rPr>
        <w:t xml:space="preserve">Derivátmi </w:t>
      </w:r>
      <w:proofErr w:type="spellStart"/>
      <w:r w:rsidRPr="00A475AF">
        <w:rPr>
          <w:i/>
          <w:iCs/>
          <w:spacing w:val="-3"/>
          <w:sz w:val="22"/>
          <w:szCs w:val="22"/>
          <w:lang w:val="sk-SK"/>
        </w:rPr>
        <w:t>sulfonylmočoviny</w:t>
      </w:r>
      <w:proofErr w:type="spellEnd"/>
      <w:r w:rsidRPr="00A475AF">
        <w:rPr>
          <w:i/>
          <w:iCs/>
          <w:spacing w:val="-3"/>
          <w:sz w:val="22"/>
          <w:szCs w:val="22"/>
          <w:lang w:val="sk-SK"/>
        </w:rPr>
        <w:t>:</w:t>
      </w:r>
      <w:r w:rsidR="001A546A" w:rsidRPr="00A475AF">
        <w:rPr>
          <w:spacing w:val="-3"/>
          <w:sz w:val="22"/>
          <w:szCs w:val="22"/>
          <w:lang w:val="sk-SK"/>
        </w:rPr>
        <w:t xml:space="preserve"> klinické skúšky ukázali interakcie medzi </w:t>
      </w:r>
      <w:proofErr w:type="spellStart"/>
      <w:r w:rsidR="001A546A" w:rsidRPr="00A475AF">
        <w:rPr>
          <w:spacing w:val="-3"/>
          <w:sz w:val="22"/>
          <w:szCs w:val="22"/>
          <w:lang w:val="sk-SK"/>
        </w:rPr>
        <w:t>nesteroidnými</w:t>
      </w:r>
      <w:proofErr w:type="spellEnd"/>
      <w:r w:rsidR="001A546A" w:rsidRPr="00A475AF">
        <w:rPr>
          <w:spacing w:val="-3"/>
          <w:sz w:val="22"/>
          <w:szCs w:val="22"/>
          <w:lang w:val="sk-SK"/>
        </w:rPr>
        <w:t xml:space="preserve"> protizápalovými liekmi a </w:t>
      </w:r>
      <w:proofErr w:type="spellStart"/>
      <w:r w:rsidR="001A546A" w:rsidRPr="00A475AF">
        <w:rPr>
          <w:spacing w:val="-3"/>
          <w:sz w:val="22"/>
          <w:szCs w:val="22"/>
          <w:lang w:val="sk-SK"/>
        </w:rPr>
        <w:t>antidiabetikami</w:t>
      </w:r>
      <w:proofErr w:type="spellEnd"/>
      <w:r w:rsidR="001A546A" w:rsidRPr="00A475AF">
        <w:rPr>
          <w:spacing w:val="-3"/>
          <w:sz w:val="22"/>
          <w:szCs w:val="22"/>
          <w:lang w:val="sk-SK"/>
        </w:rPr>
        <w:t xml:space="preserve"> (derivátmi </w:t>
      </w:r>
      <w:proofErr w:type="spellStart"/>
      <w:r w:rsidR="001A546A" w:rsidRPr="00A475AF">
        <w:rPr>
          <w:spacing w:val="-3"/>
          <w:sz w:val="22"/>
          <w:szCs w:val="22"/>
          <w:lang w:val="sk-SK"/>
        </w:rPr>
        <w:t>sulfonylmočoviny</w:t>
      </w:r>
      <w:proofErr w:type="spellEnd"/>
      <w:r w:rsidR="001A546A" w:rsidRPr="00A475AF">
        <w:rPr>
          <w:spacing w:val="-3"/>
          <w:sz w:val="22"/>
          <w:szCs w:val="22"/>
          <w:lang w:val="sk-SK"/>
        </w:rPr>
        <w:t xml:space="preserve">). Hoci interakcie medzi </w:t>
      </w:r>
      <w:proofErr w:type="spellStart"/>
      <w:r w:rsidR="00A475AF" w:rsidRPr="00A475AF">
        <w:rPr>
          <w:spacing w:val="-3"/>
          <w:sz w:val="22"/>
          <w:szCs w:val="22"/>
          <w:lang w:val="sk-SK"/>
        </w:rPr>
        <w:t>ibuprofénom</w:t>
      </w:r>
      <w:proofErr w:type="spellEnd"/>
      <w:r w:rsidR="001A546A" w:rsidRPr="00A475AF">
        <w:rPr>
          <w:spacing w:val="-3"/>
          <w:sz w:val="22"/>
          <w:szCs w:val="22"/>
          <w:lang w:val="sk-SK"/>
        </w:rPr>
        <w:t xml:space="preserve"> a</w:t>
      </w:r>
      <w:r w:rsidR="00013E46" w:rsidRPr="00A475AF">
        <w:rPr>
          <w:spacing w:val="-3"/>
          <w:sz w:val="22"/>
          <w:szCs w:val="22"/>
          <w:lang w:val="sk-SK"/>
        </w:rPr>
        <w:t> </w:t>
      </w:r>
      <w:proofErr w:type="spellStart"/>
      <w:r w:rsidR="001A546A" w:rsidRPr="00A475AF">
        <w:rPr>
          <w:spacing w:val="-3"/>
          <w:sz w:val="22"/>
          <w:szCs w:val="22"/>
          <w:lang w:val="sk-SK"/>
        </w:rPr>
        <w:t>sulfonylmočovinou</w:t>
      </w:r>
      <w:proofErr w:type="spellEnd"/>
      <w:r w:rsidR="001A546A" w:rsidRPr="00A475AF">
        <w:rPr>
          <w:spacing w:val="-3"/>
          <w:sz w:val="22"/>
          <w:szCs w:val="22"/>
          <w:lang w:val="sk-SK"/>
        </w:rPr>
        <w:t xml:space="preserve"> neboli do dnešného dňa popísané, odporúča sa kontrola hodnôt glykémie ako preventívne opatrenie pri sú</w:t>
      </w:r>
      <w:r w:rsidR="00013E46" w:rsidRPr="00A475AF">
        <w:rPr>
          <w:spacing w:val="-3"/>
          <w:sz w:val="22"/>
          <w:szCs w:val="22"/>
          <w:lang w:val="sk-SK"/>
        </w:rPr>
        <w:t>bežn</w:t>
      </w:r>
      <w:r w:rsidR="001A546A" w:rsidRPr="00A475AF">
        <w:rPr>
          <w:spacing w:val="-3"/>
          <w:sz w:val="22"/>
          <w:szCs w:val="22"/>
          <w:lang w:val="sk-SK"/>
        </w:rPr>
        <w:t>om užívaní.</w:t>
      </w:r>
    </w:p>
    <w:p w14:paraId="7BCB22B1" w14:textId="77777777" w:rsidR="00FB70AC" w:rsidRPr="00A475AF" w:rsidRDefault="00FB70AC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proofErr w:type="spellStart"/>
      <w:r w:rsidRPr="00A475AF">
        <w:rPr>
          <w:i/>
          <w:iCs/>
          <w:spacing w:val="-3"/>
          <w:sz w:val="22"/>
          <w:szCs w:val="22"/>
          <w:lang w:val="sk-SK"/>
        </w:rPr>
        <w:t>Sulfínpyrazónom</w:t>
      </w:r>
      <w:proofErr w:type="spellEnd"/>
      <w:r w:rsidRPr="00A475AF">
        <w:rPr>
          <w:i/>
          <w:iCs/>
          <w:spacing w:val="-3"/>
          <w:sz w:val="22"/>
          <w:szCs w:val="22"/>
          <w:lang w:val="sk-SK"/>
        </w:rPr>
        <w:t xml:space="preserve">, </w:t>
      </w:r>
      <w:proofErr w:type="spellStart"/>
      <w:r w:rsidRPr="00A475AF">
        <w:rPr>
          <w:i/>
          <w:iCs/>
          <w:spacing w:val="-3"/>
          <w:sz w:val="22"/>
          <w:szCs w:val="22"/>
          <w:lang w:val="sk-SK"/>
        </w:rPr>
        <w:t>probenecidom</w:t>
      </w:r>
      <w:proofErr w:type="spellEnd"/>
      <w:r w:rsidRPr="00A475AF">
        <w:rPr>
          <w:i/>
          <w:iCs/>
          <w:spacing w:val="-3"/>
          <w:sz w:val="22"/>
          <w:szCs w:val="22"/>
          <w:lang w:val="sk-SK"/>
        </w:rPr>
        <w:t>:</w:t>
      </w:r>
      <w:r w:rsidR="001A546A" w:rsidRPr="00A475AF">
        <w:rPr>
          <w:spacing w:val="-3"/>
          <w:sz w:val="22"/>
          <w:szCs w:val="22"/>
          <w:lang w:val="sk-SK"/>
        </w:rPr>
        <w:t xml:space="preserve"> lieky obsahujúce </w:t>
      </w:r>
      <w:proofErr w:type="spellStart"/>
      <w:r w:rsidR="001A546A" w:rsidRPr="00A475AF">
        <w:rPr>
          <w:spacing w:val="-3"/>
          <w:sz w:val="22"/>
          <w:szCs w:val="22"/>
          <w:lang w:val="sk-SK"/>
        </w:rPr>
        <w:t>s</w:t>
      </w:r>
      <w:r w:rsidR="001A546A" w:rsidRPr="00A475AF">
        <w:rPr>
          <w:iCs/>
          <w:spacing w:val="-3"/>
          <w:sz w:val="22"/>
          <w:szCs w:val="22"/>
          <w:lang w:val="sk-SK"/>
        </w:rPr>
        <w:t>ulfínpyrazón</w:t>
      </w:r>
      <w:proofErr w:type="spellEnd"/>
      <w:r w:rsidR="001A546A" w:rsidRPr="00A475AF">
        <w:rPr>
          <w:iCs/>
          <w:spacing w:val="-3"/>
          <w:sz w:val="22"/>
          <w:szCs w:val="22"/>
          <w:lang w:val="sk-SK"/>
        </w:rPr>
        <w:t xml:space="preserve"> alebo </w:t>
      </w:r>
      <w:proofErr w:type="spellStart"/>
      <w:r w:rsidR="001A546A" w:rsidRPr="00A475AF">
        <w:rPr>
          <w:iCs/>
          <w:spacing w:val="-3"/>
          <w:sz w:val="22"/>
          <w:szCs w:val="22"/>
          <w:lang w:val="sk-SK"/>
        </w:rPr>
        <w:t>probenecid</w:t>
      </w:r>
      <w:proofErr w:type="spellEnd"/>
      <w:r w:rsidR="001A546A" w:rsidRPr="00A475AF">
        <w:rPr>
          <w:spacing w:val="-3"/>
          <w:sz w:val="22"/>
          <w:szCs w:val="22"/>
          <w:lang w:val="sk-SK"/>
        </w:rPr>
        <w:t xml:space="preserve"> môžu oneskoriť vylučovanie </w:t>
      </w:r>
      <w:proofErr w:type="spellStart"/>
      <w:r w:rsidR="00A475AF" w:rsidRPr="00A475AF">
        <w:rPr>
          <w:spacing w:val="-3"/>
          <w:sz w:val="22"/>
          <w:szCs w:val="22"/>
          <w:lang w:val="sk-SK"/>
        </w:rPr>
        <w:t>ibuprofénu</w:t>
      </w:r>
      <w:proofErr w:type="spellEnd"/>
      <w:r w:rsidR="001A546A" w:rsidRPr="00A475AF">
        <w:rPr>
          <w:spacing w:val="-3"/>
          <w:sz w:val="22"/>
          <w:szCs w:val="22"/>
          <w:lang w:val="sk-SK"/>
        </w:rPr>
        <w:t>.</w:t>
      </w:r>
    </w:p>
    <w:p w14:paraId="3AFECCB9" w14:textId="77777777" w:rsidR="00FB70AC" w:rsidRPr="00A475AF" w:rsidRDefault="00FB70AC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proofErr w:type="spellStart"/>
      <w:r w:rsidRPr="00A475AF">
        <w:rPr>
          <w:bCs/>
          <w:i/>
          <w:iCs/>
          <w:sz w:val="22"/>
          <w:szCs w:val="22"/>
          <w:lang w:val="sk-SK"/>
        </w:rPr>
        <w:t>Aminoglykozidmi</w:t>
      </w:r>
      <w:proofErr w:type="spellEnd"/>
      <w:r w:rsidRPr="00A475AF">
        <w:rPr>
          <w:bCs/>
          <w:i/>
          <w:iCs/>
          <w:sz w:val="22"/>
          <w:szCs w:val="22"/>
          <w:lang w:val="sk-SK"/>
        </w:rPr>
        <w:t>:</w:t>
      </w:r>
      <w:r w:rsidR="001A546A" w:rsidRPr="00A475AF">
        <w:rPr>
          <w:bCs/>
          <w:sz w:val="22"/>
          <w:szCs w:val="22"/>
          <w:lang w:val="sk-SK"/>
        </w:rPr>
        <w:t xml:space="preserve"> vzhľadom na to, že </w:t>
      </w:r>
      <w:proofErr w:type="spellStart"/>
      <w:r w:rsidR="005F4F0C" w:rsidRPr="00A475AF">
        <w:rPr>
          <w:bCs/>
          <w:sz w:val="22"/>
          <w:szCs w:val="22"/>
          <w:lang w:val="sk-SK"/>
        </w:rPr>
        <w:t>ibuprofén</w:t>
      </w:r>
      <w:proofErr w:type="spellEnd"/>
      <w:r w:rsidR="005F4F0C" w:rsidRPr="00A475AF">
        <w:rPr>
          <w:bCs/>
          <w:sz w:val="22"/>
          <w:szCs w:val="22"/>
          <w:lang w:val="sk-SK"/>
        </w:rPr>
        <w:t xml:space="preserve"> </w:t>
      </w:r>
      <w:r w:rsidR="001A546A" w:rsidRPr="00A475AF">
        <w:rPr>
          <w:bCs/>
          <w:sz w:val="22"/>
          <w:szCs w:val="22"/>
          <w:lang w:val="sk-SK"/>
        </w:rPr>
        <w:t xml:space="preserve">môže znížiť </w:t>
      </w:r>
      <w:proofErr w:type="spellStart"/>
      <w:r w:rsidR="001A546A" w:rsidRPr="00A475AF">
        <w:rPr>
          <w:bCs/>
          <w:sz w:val="22"/>
          <w:szCs w:val="22"/>
          <w:lang w:val="sk-SK"/>
        </w:rPr>
        <w:t>klírens</w:t>
      </w:r>
      <w:proofErr w:type="spellEnd"/>
      <w:r w:rsidR="001A546A" w:rsidRPr="00A475AF">
        <w:rPr>
          <w:bCs/>
          <w:sz w:val="22"/>
          <w:szCs w:val="22"/>
          <w:lang w:val="sk-SK"/>
        </w:rPr>
        <w:t xml:space="preserve"> </w:t>
      </w:r>
      <w:proofErr w:type="spellStart"/>
      <w:r w:rsidR="001A546A" w:rsidRPr="00A475AF">
        <w:rPr>
          <w:bCs/>
          <w:sz w:val="22"/>
          <w:szCs w:val="22"/>
          <w:lang w:val="sk-SK"/>
        </w:rPr>
        <w:t>aminoglykozidov</w:t>
      </w:r>
      <w:proofErr w:type="spellEnd"/>
      <w:r w:rsidR="001A546A" w:rsidRPr="00A475AF">
        <w:rPr>
          <w:bCs/>
          <w:sz w:val="22"/>
          <w:szCs w:val="22"/>
          <w:lang w:val="sk-SK"/>
        </w:rPr>
        <w:t>, ich sú</w:t>
      </w:r>
      <w:r w:rsidR="00013E46" w:rsidRPr="00A475AF">
        <w:rPr>
          <w:bCs/>
          <w:sz w:val="22"/>
          <w:szCs w:val="22"/>
          <w:lang w:val="sk-SK"/>
        </w:rPr>
        <w:t>bež</w:t>
      </w:r>
      <w:r w:rsidR="001A546A" w:rsidRPr="00A475AF">
        <w:rPr>
          <w:bCs/>
          <w:sz w:val="22"/>
          <w:szCs w:val="22"/>
          <w:lang w:val="sk-SK"/>
        </w:rPr>
        <w:t xml:space="preserve">né podávanie môže zvýšiť riziko </w:t>
      </w:r>
      <w:proofErr w:type="spellStart"/>
      <w:r w:rsidR="001A546A" w:rsidRPr="00A475AF">
        <w:rPr>
          <w:bCs/>
          <w:sz w:val="22"/>
          <w:szCs w:val="22"/>
          <w:lang w:val="sk-SK"/>
        </w:rPr>
        <w:t>nefrotoxicity</w:t>
      </w:r>
      <w:proofErr w:type="spellEnd"/>
      <w:r w:rsidR="001A546A" w:rsidRPr="00A475AF">
        <w:rPr>
          <w:bCs/>
          <w:sz w:val="22"/>
          <w:szCs w:val="22"/>
          <w:lang w:val="sk-SK"/>
        </w:rPr>
        <w:t xml:space="preserve"> a </w:t>
      </w:r>
      <w:proofErr w:type="spellStart"/>
      <w:r w:rsidR="001A546A" w:rsidRPr="00A475AF">
        <w:rPr>
          <w:bCs/>
          <w:sz w:val="22"/>
          <w:szCs w:val="22"/>
          <w:lang w:val="sk-SK"/>
        </w:rPr>
        <w:t>ototoxicity</w:t>
      </w:r>
      <w:proofErr w:type="spellEnd"/>
      <w:r w:rsidR="001A546A" w:rsidRPr="00A475AF">
        <w:rPr>
          <w:bCs/>
          <w:sz w:val="22"/>
          <w:szCs w:val="22"/>
          <w:lang w:val="sk-SK"/>
        </w:rPr>
        <w:t>.</w:t>
      </w:r>
    </w:p>
    <w:p w14:paraId="5C00A8C0" w14:textId="77777777" w:rsidR="008E7A58" w:rsidRPr="00A475AF" w:rsidRDefault="00FB70AC" w:rsidP="00DB4E78">
      <w:pPr>
        <w:pStyle w:val="Odsekzoznamu"/>
        <w:numPr>
          <w:ilvl w:val="0"/>
          <w:numId w:val="6"/>
        </w:numPr>
        <w:shd w:val="clear" w:color="auto" w:fill="FFFFFF"/>
        <w:spacing w:after="0"/>
        <w:jc w:val="left"/>
        <w:rPr>
          <w:sz w:val="22"/>
          <w:szCs w:val="22"/>
          <w:lang w:val="sk-SK"/>
        </w:rPr>
      </w:pPr>
      <w:proofErr w:type="spellStart"/>
      <w:r w:rsidRPr="00A475AF">
        <w:rPr>
          <w:i/>
          <w:sz w:val="22"/>
          <w:szCs w:val="22"/>
          <w:lang w:val="sk-SK"/>
        </w:rPr>
        <w:t>Pemetrexedom</w:t>
      </w:r>
      <w:proofErr w:type="spellEnd"/>
      <w:r w:rsidRPr="00A475AF">
        <w:rPr>
          <w:i/>
          <w:sz w:val="22"/>
          <w:szCs w:val="22"/>
          <w:lang w:val="sk-SK"/>
        </w:rPr>
        <w:t xml:space="preserve">: </w:t>
      </w:r>
      <w:r w:rsidR="001A546A" w:rsidRPr="00A475AF">
        <w:rPr>
          <w:bCs/>
          <w:sz w:val="22"/>
          <w:szCs w:val="22"/>
          <w:lang w:val="sk-SK"/>
        </w:rPr>
        <w:t>vzhľadom na to, že sú</w:t>
      </w:r>
      <w:r w:rsidR="00013E46" w:rsidRPr="00A475AF">
        <w:rPr>
          <w:bCs/>
          <w:sz w:val="22"/>
          <w:szCs w:val="22"/>
          <w:lang w:val="sk-SK"/>
        </w:rPr>
        <w:t>bežn</w:t>
      </w:r>
      <w:r w:rsidR="001A546A" w:rsidRPr="00A475AF">
        <w:rPr>
          <w:bCs/>
          <w:sz w:val="22"/>
          <w:szCs w:val="22"/>
          <w:lang w:val="sk-SK"/>
        </w:rPr>
        <w:t xml:space="preserve">é podávanie môže zvýšiť toxické účinky </w:t>
      </w:r>
      <w:proofErr w:type="spellStart"/>
      <w:r w:rsidR="001A546A" w:rsidRPr="00A475AF">
        <w:rPr>
          <w:bCs/>
          <w:sz w:val="22"/>
          <w:szCs w:val="22"/>
          <w:lang w:val="sk-SK"/>
        </w:rPr>
        <w:t>pemetrexedu</w:t>
      </w:r>
      <w:proofErr w:type="spellEnd"/>
      <w:r w:rsidR="001A546A" w:rsidRPr="00A475AF">
        <w:rPr>
          <w:bCs/>
          <w:sz w:val="22"/>
          <w:szCs w:val="22"/>
          <w:lang w:val="sk-SK"/>
        </w:rPr>
        <w:t>.</w:t>
      </w:r>
    </w:p>
    <w:p w14:paraId="2056BBE6" w14:textId="77777777" w:rsidR="007844D2" w:rsidRPr="00A475AF" w:rsidRDefault="007844D2" w:rsidP="00DB4E78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3A731A7B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proofErr w:type="spellStart"/>
      <w:r w:rsidRPr="00A475AF">
        <w:rPr>
          <w:b/>
          <w:bCs/>
          <w:sz w:val="22"/>
          <w:szCs w:val="22"/>
        </w:rPr>
        <w:t>Fertilita</w:t>
      </w:r>
      <w:proofErr w:type="spellEnd"/>
      <w:r w:rsidRPr="00A475AF">
        <w:rPr>
          <w:b/>
          <w:bCs/>
          <w:sz w:val="22"/>
          <w:szCs w:val="22"/>
        </w:rPr>
        <w:t>, gravidita a laktácia</w:t>
      </w:r>
    </w:p>
    <w:p w14:paraId="6CCBB5CD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5E0A607F" w14:textId="77777777" w:rsidR="001A546A" w:rsidRPr="00A475AF" w:rsidRDefault="001A546A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>Gravidita</w:t>
      </w:r>
    </w:p>
    <w:p w14:paraId="4F24DF0C" w14:textId="77777777" w:rsidR="001A546A" w:rsidRPr="00A475AF" w:rsidRDefault="007844D2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Inhibícia syntézy </w:t>
      </w:r>
      <w:proofErr w:type="spellStart"/>
      <w:r w:rsidRPr="00A475AF">
        <w:rPr>
          <w:sz w:val="22"/>
          <w:szCs w:val="22"/>
        </w:rPr>
        <w:t>prostaglandínov</w:t>
      </w:r>
      <w:proofErr w:type="spellEnd"/>
      <w:r w:rsidRPr="00A475AF">
        <w:rPr>
          <w:sz w:val="22"/>
          <w:szCs w:val="22"/>
        </w:rPr>
        <w:t xml:space="preserve"> môže nepriaznivo ovplyvňovať graviditu a/alebo vývoj embrya alebo plodu. </w:t>
      </w:r>
    </w:p>
    <w:p w14:paraId="548DB350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Údaje z epidemi</w:t>
      </w:r>
      <w:smartTag w:uri="urn:schemas-microsoft-com:office:smarttags" w:element="PersonName">
        <w:r w:rsidRPr="00A475AF">
          <w:rPr>
            <w:sz w:val="22"/>
            <w:szCs w:val="22"/>
          </w:rPr>
          <w:t>olo</w:t>
        </w:r>
      </w:smartTag>
      <w:r w:rsidRPr="00A475AF">
        <w:rPr>
          <w:sz w:val="22"/>
          <w:szCs w:val="22"/>
        </w:rPr>
        <w:t xml:space="preserve">gických štúdií naznačujú zvýšené riziko spontánneho potratu, </w:t>
      </w:r>
      <w:proofErr w:type="spellStart"/>
      <w:r w:rsidRPr="00A475AF">
        <w:rPr>
          <w:sz w:val="22"/>
          <w:szCs w:val="22"/>
        </w:rPr>
        <w:t>malformácií</w:t>
      </w:r>
      <w:proofErr w:type="spellEnd"/>
      <w:r w:rsidRPr="00A475AF">
        <w:rPr>
          <w:sz w:val="22"/>
          <w:szCs w:val="22"/>
        </w:rPr>
        <w:t xml:space="preserve"> srdca a </w:t>
      </w:r>
      <w:proofErr w:type="spellStart"/>
      <w:r w:rsidRPr="00A475AF">
        <w:rPr>
          <w:sz w:val="22"/>
          <w:szCs w:val="22"/>
        </w:rPr>
        <w:t>gastroschízy</w:t>
      </w:r>
      <w:proofErr w:type="spellEnd"/>
      <w:r w:rsidRPr="00A475AF">
        <w:rPr>
          <w:sz w:val="22"/>
          <w:szCs w:val="22"/>
        </w:rPr>
        <w:t xml:space="preserve"> po používaní inhibítorov syntézy </w:t>
      </w:r>
      <w:proofErr w:type="spellStart"/>
      <w:r w:rsidRPr="00A475AF">
        <w:rPr>
          <w:sz w:val="22"/>
          <w:szCs w:val="22"/>
        </w:rPr>
        <w:t>prostaglandínov</w:t>
      </w:r>
      <w:proofErr w:type="spellEnd"/>
      <w:r w:rsidRPr="00A475AF">
        <w:rPr>
          <w:sz w:val="22"/>
          <w:szCs w:val="22"/>
        </w:rPr>
        <w:t xml:space="preserve"> v začiatkoch gravidity. Absolútne riziko kardiovaskulárnych </w:t>
      </w:r>
      <w:proofErr w:type="spellStart"/>
      <w:r w:rsidRPr="00A475AF">
        <w:rPr>
          <w:sz w:val="22"/>
          <w:szCs w:val="22"/>
        </w:rPr>
        <w:t>malformácií</w:t>
      </w:r>
      <w:proofErr w:type="spellEnd"/>
      <w:r w:rsidRPr="00A475AF">
        <w:rPr>
          <w:sz w:val="22"/>
          <w:szCs w:val="22"/>
        </w:rPr>
        <w:t xml:space="preserve"> b</w:t>
      </w:r>
      <w:smartTag w:uri="urn:schemas-microsoft-com:office:smarttags" w:element="PersonName">
        <w:r w:rsidRPr="00A475AF">
          <w:rPr>
            <w:sz w:val="22"/>
            <w:szCs w:val="22"/>
          </w:rPr>
          <w:t>olo</w:t>
        </w:r>
      </w:smartTag>
      <w:r w:rsidRPr="00A475AF">
        <w:rPr>
          <w:sz w:val="22"/>
          <w:szCs w:val="22"/>
        </w:rPr>
        <w:t xml:space="preserve"> zvýšené z menej ako 1 % na približne 1,5 %. Je domnienka, že riziko sa zvyšuje s dávkou a dĺžkou terapie. </w:t>
      </w:r>
    </w:p>
    <w:p w14:paraId="5B24E9BD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Podávanie inhibítorov syntézy </w:t>
      </w:r>
      <w:proofErr w:type="spellStart"/>
      <w:r w:rsidRPr="00A475AF">
        <w:rPr>
          <w:sz w:val="22"/>
          <w:szCs w:val="22"/>
        </w:rPr>
        <w:t>prostaglandínov</w:t>
      </w:r>
      <w:proofErr w:type="spellEnd"/>
      <w:r w:rsidRPr="00A475AF">
        <w:rPr>
          <w:sz w:val="22"/>
          <w:szCs w:val="22"/>
        </w:rPr>
        <w:t xml:space="preserve"> u zvierat ukázalo zvýšenie </w:t>
      </w:r>
      <w:proofErr w:type="spellStart"/>
      <w:r w:rsidRPr="00A475AF">
        <w:rPr>
          <w:sz w:val="22"/>
          <w:szCs w:val="22"/>
        </w:rPr>
        <w:t>predimplantačných</w:t>
      </w:r>
      <w:proofErr w:type="spellEnd"/>
      <w:r w:rsidRPr="00A475AF">
        <w:rPr>
          <w:sz w:val="22"/>
          <w:szCs w:val="22"/>
        </w:rPr>
        <w:t xml:space="preserve"> a</w:t>
      </w:r>
      <w:r w:rsidR="00601C23" w:rsidRPr="00A475AF">
        <w:rPr>
          <w:sz w:val="22"/>
          <w:szCs w:val="22"/>
        </w:rPr>
        <w:t> </w:t>
      </w:r>
      <w:proofErr w:type="spellStart"/>
      <w:r w:rsidRPr="00A475AF">
        <w:rPr>
          <w:sz w:val="22"/>
          <w:szCs w:val="22"/>
        </w:rPr>
        <w:t>postimplantačných</w:t>
      </w:r>
      <w:proofErr w:type="spellEnd"/>
      <w:r w:rsidRPr="00A475AF">
        <w:rPr>
          <w:sz w:val="22"/>
          <w:szCs w:val="22"/>
        </w:rPr>
        <w:t xml:space="preserve"> strát a embryonálnu a </w:t>
      </w:r>
      <w:proofErr w:type="spellStart"/>
      <w:r w:rsidRPr="00A475AF">
        <w:rPr>
          <w:sz w:val="22"/>
          <w:szCs w:val="22"/>
        </w:rPr>
        <w:t>fetálnu</w:t>
      </w:r>
      <w:proofErr w:type="spellEnd"/>
      <w:r w:rsidRPr="00A475AF">
        <w:rPr>
          <w:sz w:val="22"/>
          <w:szCs w:val="22"/>
        </w:rPr>
        <w:t xml:space="preserve"> letalitu. Okrem toho u zvierat, ktoré dostávali počas periódy organogenézy inhibítory syntézy </w:t>
      </w:r>
      <w:proofErr w:type="spellStart"/>
      <w:r w:rsidRPr="00A475AF">
        <w:rPr>
          <w:sz w:val="22"/>
          <w:szCs w:val="22"/>
        </w:rPr>
        <w:t>prostaglandínov</w:t>
      </w:r>
      <w:proofErr w:type="spellEnd"/>
      <w:r w:rsidRPr="00A475AF">
        <w:rPr>
          <w:sz w:val="22"/>
          <w:szCs w:val="22"/>
        </w:rPr>
        <w:t xml:space="preserve">, bola popísaná zvýšená </w:t>
      </w:r>
      <w:proofErr w:type="spellStart"/>
      <w:r w:rsidRPr="00A475AF">
        <w:rPr>
          <w:sz w:val="22"/>
          <w:szCs w:val="22"/>
        </w:rPr>
        <w:t>incidencia</w:t>
      </w:r>
      <w:proofErr w:type="spellEnd"/>
      <w:r w:rsidRPr="00A475AF">
        <w:rPr>
          <w:sz w:val="22"/>
          <w:szCs w:val="22"/>
        </w:rPr>
        <w:t xml:space="preserve"> rôznych </w:t>
      </w:r>
      <w:proofErr w:type="spellStart"/>
      <w:r w:rsidRPr="00A475AF">
        <w:rPr>
          <w:sz w:val="22"/>
          <w:szCs w:val="22"/>
        </w:rPr>
        <w:t>malformácií</w:t>
      </w:r>
      <w:proofErr w:type="spellEnd"/>
      <w:r w:rsidRPr="00A475AF">
        <w:rPr>
          <w:sz w:val="22"/>
          <w:szCs w:val="22"/>
        </w:rPr>
        <w:t xml:space="preserve">, vrátane kardiovaskulárnych. </w:t>
      </w:r>
    </w:p>
    <w:p w14:paraId="3227E428" w14:textId="77777777" w:rsidR="0080016F" w:rsidRPr="00A475AF" w:rsidRDefault="0080016F" w:rsidP="00DB4E78">
      <w:pPr>
        <w:rPr>
          <w:sz w:val="22"/>
          <w:szCs w:val="22"/>
        </w:rPr>
      </w:pPr>
    </w:p>
    <w:p w14:paraId="3F68ACF8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lastRenderedPageBreak/>
        <w:t xml:space="preserve">Ak to nie je nevyhnutné, </w:t>
      </w:r>
      <w:proofErr w:type="spellStart"/>
      <w:r w:rsidR="005F4F0C" w:rsidRPr="00A475AF">
        <w:rPr>
          <w:sz w:val="22"/>
          <w:szCs w:val="22"/>
        </w:rPr>
        <w:t>ibuprofén</w:t>
      </w:r>
      <w:proofErr w:type="spellEnd"/>
      <w:r w:rsidR="005F4F0C" w:rsidRPr="00A475AF">
        <w:rPr>
          <w:sz w:val="22"/>
          <w:szCs w:val="22"/>
        </w:rPr>
        <w:t xml:space="preserve"> </w:t>
      </w:r>
      <w:r w:rsidRPr="00A475AF">
        <w:rPr>
          <w:sz w:val="22"/>
          <w:szCs w:val="22"/>
        </w:rPr>
        <w:t xml:space="preserve">sa </w:t>
      </w:r>
      <w:r w:rsidR="00CC6E37" w:rsidRPr="00A475AF">
        <w:rPr>
          <w:sz w:val="22"/>
          <w:szCs w:val="22"/>
        </w:rPr>
        <w:t xml:space="preserve">nemá </w:t>
      </w:r>
      <w:r w:rsidRPr="00A475AF">
        <w:rPr>
          <w:sz w:val="22"/>
          <w:szCs w:val="22"/>
        </w:rPr>
        <w:t xml:space="preserve">podávať počas prvého a druhého </w:t>
      </w:r>
      <w:proofErr w:type="spellStart"/>
      <w:r w:rsidRPr="00A475AF">
        <w:rPr>
          <w:sz w:val="22"/>
          <w:szCs w:val="22"/>
        </w:rPr>
        <w:t>trimestra</w:t>
      </w:r>
      <w:proofErr w:type="spellEnd"/>
      <w:r w:rsidRPr="00A475AF">
        <w:rPr>
          <w:sz w:val="22"/>
          <w:szCs w:val="22"/>
        </w:rPr>
        <w:t xml:space="preserve"> gravidity. Ak </w:t>
      </w:r>
      <w:proofErr w:type="spellStart"/>
      <w:r w:rsidR="005F4F0C" w:rsidRPr="00A475AF">
        <w:rPr>
          <w:sz w:val="22"/>
          <w:szCs w:val="22"/>
        </w:rPr>
        <w:t>ibuprofén</w:t>
      </w:r>
      <w:proofErr w:type="spellEnd"/>
      <w:r w:rsidR="005F4F0C" w:rsidRPr="00A475AF">
        <w:rPr>
          <w:sz w:val="22"/>
          <w:szCs w:val="22"/>
        </w:rPr>
        <w:t xml:space="preserve"> </w:t>
      </w:r>
      <w:r w:rsidRPr="00A475AF">
        <w:rPr>
          <w:sz w:val="22"/>
          <w:szCs w:val="22"/>
        </w:rPr>
        <w:t xml:space="preserve">užíva žena, ktorá sa snaží otehotnieť alebo žena v prvom alebo druhom </w:t>
      </w:r>
      <w:proofErr w:type="spellStart"/>
      <w:r w:rsidRPr="00A475AF">
        <w:rPr>
          <w:sz w:val="22"/>
          <w:szCs w:val="22"/>
        </w:rPr>
        <w:t>trimestri</w:t>
      </w:r>
      <w:proofErr w:type="spellEnd"/>
      <w:r w:rsidRPr="00A475AF">
        <w:rPr>
          <w:sz w:val="22"/>
          <w:szCs w:val="22"/>
        </w:rPr>
        <w:t xml:space="preserve"> gravidity, je nutné, aby užívala čo najnižšie dávky a aby liečba trvala čo najkratšie. </w:t>
      </w:r>
    </w:p>
    <w:p w14:paraId="2DC08926" w14:textId="77777777" w:rsidR="0080016F" w:rsidRPr="00A475AF" w:rsidRDefault="0080016F" w:rsidP="00DB4E78">
      <w:pPr>
        <w:rPr>
          <w:sz w:val="22"/>
          <w:szCs w:val="22"/>
        </w:rPr>
      </w:pPr>
    </w:p>
    <w:p w14:paraId="4E5A5597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V priebehu tretieho </w:t>
      </w:r>
      <w:proofErr w:type="spellStart"/>
      <w:r w:rsidRPr="00A475AF">
        <w:rPr>
          <w:sz w:val="22"/>
          <w:szCs w:val="22"/>
        </w:rPr>
        <w:t>trimestra</w:t>
      </w:r>
      <w:proofErr w:type="spellEnd"/>
      <w:r w:rsidRPr="00A475AF">
        <w:rPr>
          <w:sz w:val="22"/>
          <w:szCs w:val="22"/>
        </w:rPr>
        <w:t xml:space="preserve"> gravidity môžu všetky inhibítory syntézy </w:t>
      </w:r>
      <w:proofErr w:type="spellStart"/>
      <w:r w:rsidRPr="00A475AF">
        <w:rPr>
          <w:sz w:val="22"/>
          <w:szCs w:val="22"/>
        </w:rPr>
        <w:t>prostaglandínov</w:t>
      </w:r>
      <w:proofErr w:type="spellEnd"/>
      <w:r w:rsidRPr="00A475AF">
        <w:rPr>
          <w:sz w:val="22"/>
          <w:szCs w:val="22"/>
        </w:rPr>
        <w:t xml:space="preserve"> vystaviť nasledujúcim stavom:</w:t>
      </w:r>
    </w:p>
    <w:p w14:paraId="7A925313" w14:textId="77777777" w:rsidR="0080016F" w:rsidRPr="00A475AF" w:rsidRDefault="0080016F" w:rsidP="00DB4E78">
      <w:pPr>
        <w:rPr>
          <w:i/>
          <w:sz w:val="22"/>
          <w:szCs w:val="22"/>
        </w:rPr>
      </w:pPr>
      <w:r w:rsidRPr="00A475AF">
        <w:rPr>
          <w:i/>
          <w:sz w:val="22"/>
          <w:szCs w:val="22"/>
        </w:rPr>
        <w:t xml:space="preserve">● </w:t>
      </w:r>
      <w:r w:rsidRPr="00A475AF">
        <w:rPr>
          <w:sz w:val="22"/>
          <w:szCs w:val="22"/>
        </w:rPr>
        <w:t>plod:</w:t>
      </w:r>
    </w:p>
    <w:p w14:paraId="5A89FC35" w14:textId="77777777" w:rsidR="0080016F" w:rsidRPr="00A475AF" w:rsidRDefault="0080016F" w:rsidP="00601C23">
      <w:pPr>
        <w:ind w:left="294" w:hanging="294"/>
        <w:rPr>
          <w:sz w:val="22"/>
          <w:szCs w:val="22"/>
        </w:rPr>
      </w:pPr>
      <w:r w:rsidRPr="00A475AF">
        <w:rPr>
          <w:sz w:val="22"/>
          <w:szCs w:val="22"/>
        </w:rPr>
        <w:t xml:space="preserve">   - </w:t>
      </w:r>
      <w:proofErr w:type="spellStart"/>
      <w:r w:rsidRPr="00A475AF">
        <w:rPr>
          <w:sz w:val="22"/>
          <w:szCs w:val="22"/>
        </w:rPr>
        <w:t>kardiopulmonálnej</w:t>
      </w:r>
      <w:proofErr w:type="spellEnd"/>
      <w:r w:rsidRPr="00A475AF">
        <w:rPr>
          <w:sz w:val="22"/>
          <w:szCs w:val="22"/>
        </w:rPr>
        <w:t xml:space="preserve"> toxicite (s predčasným uzáverom </w:t>
      </w:r>
      <w:proofErr w:type="spellStart"/>
      <w:r w:rsidRPr="00A475AF">
        <w:rPr>
          <w:sz w:val="22"/>
          <w:szCs w:val="22"/>
        </w:rPr>
        <w:t>ductus</w:t>
      </w:r>
      <w:proofErr w:type="spellEnd"/>
      <w:r w:rsidRPr="00A475AF">
        <w:rPr>
          <w:sz w:val="22"/>
          <w:szCs w:val="22"/>
        </w:rPr>
        <w:t xml:space="preserve"> </w:t>
      </w:r>
      <w:proofErr w:type="spellStart"/>
      <w:r w:rsidRPr="00A475AF">
        <w:rPr>
          <w:sz w:val="22"/>
          <w:szCs w:val="22"/>
        </w:rPr>
        <w:t>arteriosus</w:t>
      </w:r>
      <w:proofErr w:type="spellEnd"/>
      <w:r w:rsidRPr="00A475AF">
        <w:rPr>
          <w:sz w:val="22"/>
          <w:szCs w:val="22"/>
        </w:rPr>
        <w:t xml:space="preserve"> a </w:t>
      </w:r>
      <w:proofErr w:type="spellStart"/>
      <w:r w:rsidRPr="00A475AF">
        <w:rPr>
          <w:sz w:val="22"/>
          <w:szCs w:val="22"/>
        </w:rPr>
        <w:t>pulmonálnou</w:t>
      </w:r>
      <w:proofErr w:type="spellEnd"/>
      <w:r w:rsidRPr="00A475AF">
        <w:rPr>
          <w:sz w:val="22"/>
          <w:szCs w:val="22"/>
        </w:rPr>
        <w:t xml:space="preserve"> </w:t>
      </w:r>
      <w:r w:rsidR="00601C23" w:rsidRPr="00A475AF">
        <w:rPr>
          <w:sz w:val="22"/>
          <w:szCs w:val="22"/>
        </w:rPr>
        <w:tab/>
      </w:r>
      <w:r w:rsidRPr="00A475AF">
        <w:rPr>
          <w:sz w:val="22"/>
          <w:szCs w:val="22"/>
        </w:rPr>
        <w:t>hypertenziou);</w:t>
      </w:r>
    </w:p>
    <w:p w14:paraId="7A9D6447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   - </w:t>
      </w:r>
      <w:proofErr w:type="spellStart"/>
      <w:r w:rsidRPr="00A475AF">
        <w:rPr>
          <w:sz w:val="22"/>
          <w:szCs w:val="22"/>
        </w:rPr>
        <w:t>renálnej</w:t>
      </w:r>
      <w:proofErr w:type="spellEnd"/>
      <w:r w:rsidRPr="00A475AF">
        <w:rPr>
          <w:sz w:val="22"/>
          <w:szCs w:val="22"/>
        </w:rPr>
        <w:t xml:space="preserve"> dysfunkcii, ktorá môže </w:t>
      </w:r>
      <w:proofErr w:type="spellStart"/>
      <w:r w:rsidRPr="00A475AF">
        <w:rPr>
          <w:sz w:val="22"/>
          <w:szCs w:val="22"/>
        </w:rPr>
        <w:t>progredovať</w:t>
      </w:r>
      <w:proofErr w:type="spellEnd"/>
      <w:r w:rsidRPr="00A475AF">
        <w:rPr>
          <w:sz w:val="22"/>
          <w:szCs w:val="22"/>
        </w:rPr>
        <w:t xml:space="preserve"> do zlyhania obličiek s </w:t>
      </w:r>
      <w:proofErr w:type="spellStart"/>
      <w:r w:rsidRPr="00A475AF">
        <w:rPr>
          <w:sz w:val="22"/>
          <w:szCs w:val="22"/>
        </w:rPr>
        <w:t>oligohydramniónom</w:t>
      </w:r>
      <w:proofErr w:type="spellEnd"/>
      <w:r w:rsidRPr="00A475AF">
        <w:rPr>
          <w:sz w:val="22"/>
          <w:szCs w:val="22"/>
        </w:rPr>
        <w:t>;</w:t>
      </w:r>
    </w:p>
    <w:p w14:paraId="031CEEA2" w14:textId="77777777" w:rsidR="0080016F" w:rsidRPr="00A475AF" w:rsidRDefault="0080016F" w:rsidP="00DB4E78">
      <w:pPr>
        <w:rPr>
          <w:sz w:val="22"/>
          <w:szCs w:val="22"/>
        </w:rPr>
      </w:pPr>
    </w:p>
    <w:p w14:paraId="07FB73A1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● matku a novorodenca, na konci gravidity: </w:t>
      </w:r>
    </w:p>
    <w:p w14:paraId="548F9280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   - možnému predĺženiu času krvácania, </w:t>
      </w:r>
      <w:proofErr w:type="spellStart"/>
      <w:r w:rsidRPr="00A475AF">
        <w:rPr>
          <w:sz w:val="22"/>
          <w:szCs w:val="22"/>
        </w:rPr>
        <w:t>antiagregačný</w:t>
      </w:r>
      <w:proofErr w:type="spellEnd"/>
      <w:r w:rsidRPr="00A475AF">
        <w:rPr>
          <w:sz w:val="22"/>
          <w:szCs w:val="22"/>
        </w:rPr>
        <w:t xml:space="preserve"> účinok, ktorý môže nastať aj pri veľmi nízkych  </w:t>
      </w:r>
    </w:p>
    <w:p w14:paraId="22F40D03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     dávkach;</w:t>
      </w:r>
    </w:p>
    <w:p w14:paraId="07A3F274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   - inhibícii kontrakcií maternice, čo môže viesť k oneskorenému alebo predĺženému pôrodu. </w:t>
      </w:r>
    </w:p>
    <w:p w14:paraId="3798EEC2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Vzhľadom na tieto fakty je </w:t>
      </w:r>
      <w:proofErr w:type="spellStart"/>
      <w:r w:rsidR="005F4F0C" w:rsidRPr="00A475AF">
        <w:rPr>
          <w:sz w:val="22"/>
          <w:szCs w:val="22"/>
        </w:rPr>
        <w:t>ibuprofén</w:t>
      </w:r>
      <w:proofErr w:type="spellEnd"/>
      <w:r w:rsidR="005F4F0C" w:rsidRPr="00A475AF">
        <w:rPr>
          <w:sz w:val="22"/>
          <w:szCs w:val="22"/>
        </w:rPr>
        <w:t xml:space="preserve"> </w:t>
      </w:r>
      <w:r w:rsidRPr="00A475AF">
        <w:rPr>
          <w:sz w:val="22"/>
          <w:szCs w:val="22"/>
        </w:rPr>
        <w:t xml:space="preserve">kontraindikovaný v treťom </w:t>
      </w:r>
      <w:proofErr w:type="spellStart"/>
      <w:r w:rsidRPr="00A475AF">
        <w:rPr>
          <w:sz w:val="22"/>
          <w:szCs w:val="22"/>
        </w:rPr>
        <w:t>trimestri</w:t>
      </w:r>
      <w:proofErr w:type="spellEnd"/>
      <w:r w:rsidRPr="00A475AF">
        <w:rPr>
          <w:sz w:val="22"/>
          <w:szCs w:val="22"/>
        </w:rPr>
        <w:t xml:space="preserve"> gravidity (pozri časť 4.3). </w:t>
      </w:r>
    </w:p>
    <w:p w14:paraId="010C5F2C" w14:textId="77777777" w:rsidR="0080016F" w:rsidRPr="00A475AF" w:rsidRDefault="0080016F" w:rsidP="00DB4E78">
      <w:pPr>
        <w:rPr>
          <w:sz w:val="22"/>
          <w:szCs w:val="22"/>
          <w:u w:val="single"/>
        </w:rPr>
      </w:pPr>
    </w:p>
    <w:p w14:paraId="52ABD487" w14:textId="77777777" w:rsidR="0080016F" w:rsidRPr="00A475AF" w:rsidRDefault="001D3260" w:rsidP="00DB4E78">
      <w:pPr>
        <w:rPr>
          <w:sz w:val="22"/>
          <w:szCs w:val="22"/>
          <w:u w:val="single"/>
        </w:rPr>
      </w:pPr>
      <w:r w:rsidRPr="00A475AF">
        <w:rPr>
          <w:sz w:val="22"/>
          <w:szCs w:val="22"/>
          <w:u w:val="single"/>
        </w:rPr>
        <w:t>Dojčenie</w:t>
      </w:r>
    </w:p>
    <w:p w14:paraId="25052C11" w14:textId="77777777" w:rsidR="0080016F" w:rsidRPr="00A475AF" w:rsidRDefault="0080016F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V limitovaných štúdiách sa </w:t>
      </w:r>
      <w:proofErr w:type="spellStart"/>
      <w:r w:rsidR="005F4F0C" w:rsidRPr="00A475AF">
        <w:rPr>
          <w:sz w:val="22"/>
          <w:szCs w:val="22"/>
        </w:rPr>
        <w:t>ibuprofén</w:t>
      </w:r>
      <w:proofErr w:type="spellEnd"/>
      <w:r w:rsidR="005F4F0C" w:rsidRPr="00A475AF">
        <w:rPr>
          <w:sz w:val="22"/>
          <w:szCs w:val="22"/>
        </w:rPr>
        <w:t xml:space="preserve"> </w:t>
      </w:r>
      <w:r w:rsidR="00FF18FC" w:rsidRPr="00A475AF">
        <w:rPr>
          <w:sz w:val="22"/>
          <w:szCs w:val="22"/>
        </w:rPr>
        <w:t>objavil</w:t>
      </w:r>
      <w:r w:rsidRPr="00A475AF">
        <w:rPr>
          <w:sz w:val="22"/>
          <w:szCs w:val="22"/>
        </w:rPr>
        <w:t xml:space="preserve"> </w:t>
      </w:r>
      <w:r w:rsidR="00FF18FC" w:rsidRPr="00A475AF">
        <w:rPr>
          <w:sz w:val="22"/>
          <w:szCs w:val="22"/>
        </w:rPr>
        <w:t>v materskom</w:t>
      </w:r>
      <w:r w:rsidRPr="00A475AF">
        <w:rPr>
          <w:sz w:val="22"/>
          <w:szCs w:val="22"/>
        </w:rPr>
        <w:t xml:space="preserve"> mliek</w:t>
      </w:r>
      <w:r w:rsidR="00FF18FC" w:rsidRPr="00A475AF">
        <w:rPr>
          <w:sz w:val="22"/>
          <w:szCs w:val="22"/>
        </w:rPr>
        <w:t>u</w:t>
      </w:r>
      <w:r w:rsidRPr="00A475AF">
        <w:rPr>
          <w:sz w:val="22"/>
          <w:szCs w:val="22"/>
        </w:rPr>
        <w:t xml:space="preserve"> v</w:t>
      </w:r>
      <w:r w:rsidR="00FF18FC" w:rsidRPr="00A475AF">
        <w:rPr>
          <w:sz w:val="22"/>
          <w:szCs w:val="22"/>
        </w:rPr>
        <w:t>o</w:t>
      </w:r>
      <w:r w:rsidRPr="00A475AF">
        <w:rPr>
          <w:sz w:val="22"/>
          <w:szCs w:val="22"/>
        </w:rPr>
        <w:t xml:space="preserve"> </w:t>
      </w:r>
      <w:r w:rsidR="00FF18FC" w:rsidRPr="00A475AF">
        <w:rPr>
          <w:sz w:val="22"/>
          <w:szCs w:val="22"/>
        </w:rPr>
        <w:t>veľmi</w:t>
      </w:r>
      <w:r w:rsidRPr="00A475AF">
        <w:rPr>
          <w:sz w:val="22"/>
          <w:szCs w:val="22"/>
        </w:rPr>
        <w:t xml:space="preserve"> nízk</w:t>
      </w:r>
      <w:r w:rsidR="00FF18FC" w:rsidRPr="00A475AF">
        <w:rPr>
          <w:sz w:val="22"/>
          <w:szCs w:val="22"/>
        </w:rPr>
        <w:t>ych koncentráciách a je nepravdepodobné, že by nepriaznivo ovplyvnil dojčené dieťa</w:t>
      </w:r>
      <w:r w:rsidRPr="00A475AF">
        <w:rPr>
          <w:sz w:val="22"/>
          <w:szCs w:val="22"/>
        </w:rPr>
        <w:t xml:space="preserve">. </w:t>
      </w:r>
    </w:p>
    <w:p w14:paraId="52785221" w14:textId="77777777" w:rsidR="0080016F" w:rsidRPr="00A475AF" w:rsidRDefault="0080016F" w:rsidP="00DB4E78">
      <w:pPr>
        <w:rPr>
          <w:sz w:val="22"/>
          <w:szCs w:val="22"/>
        </w:rPr>
      </w:pPr>
    </w:p>
    <w:p w14:paraId="6CF3A08A" w14:textId="77777777" w:rsidR="0080016F" w:rsidRPr="00A475AF" w:rsidRDefault="0080016F" w:rsidP="00DB4E78">
      <w:pPr>
        <w:rPr>
          <w:sz w:val="22"/>
          <w:szCs w:val="22"/>
          <w:u w:val="single"/>
        </w:rPr>
      </w:pPr>
      <w:proofErr w:type="spellStart"/>
      <w:r w:rsidRPr="00A475AF">
        <w:rPr>
          <w:sz w:val="22"/>
          <w:szCs w:val="22"/>
          <w:u w:val="single"/>
        </w:rPr>
        <w:t>Fertilita</w:t>
      </w:r>
      <w:proofErr w:type="spellEnd"/>
      <w:r w:rsidRPr="00A475AF">
        <w:rPr>
          <w:sz w:val="22"/>
          <w:szCs w:val="22"/>
          <w:u w:val="single"/>
        </w:rPr>
        <w:t xml:space="preserve"> </w:t>
      </w:r>
    </w:p>
    <w:p w14:paraId="5962C531" w14:textId="77777777" w:rsidR="0080016F" w:rsidRPr="00A475AF" w:rsidRDefault="00FF18FC" w:rsidP="00DB4E78">
      <w:pPr>
        <w:rPr>
          <w:sz w:val="22"/>
          <w:szCs w:val="22"/>
        </w:rPr>
      </w:pPr>
      <w:r w:rsidRPr="00A475AF">
        <w:rPr>
          <w:spacing w:val="-4"/>
          <w:sz w:val="22"/>
          <w:szCs w:val="22"/>
        </w:rPr>
        <w:t xml:space="preserve">Existuje dôkaz, že lieky, ktoré </w:t>
      </w:r>
      <w:proofErr w:type="spellStart"/>
      <w:r w:rsidRPr="00A475AF">
        <w:rPr>
          <w:spacing w:val="-4"/>
          <w:sz w:val="22"/>
          <w:szCs w:val="22"/>
        </w:rPr>
        <w:t>inhib</w:t>
      </w:r>
      <w:r w:rsidR="003C3337" w:rsidRPr="00A475AF">
        <w:rPr>
          <w:spacing w:val="-4"/>
          <w:sz w:val="22"/>
          <w:szCs w:val="22"/>
        </w:rPr>
        <w:t>u</w:t>
      </w:r>
      <w:r w:rsidRPr="00A475AF">
        <w:rPr>
          <w:spacing w:val="-4"/>
          <w:sz w:val="22"/>
          <w:szCs w:val="22"/>
        </w:rPr>
        <w:t>jú</w:t>
      </w:r>
      <w:proofErr w:type="spellEnd"/>
      <w:r w:rsidRPr="00A475AF">
        <w:rPr>
          <w:spacing w:val="-4"/>
          <w:sz w:val="22"/>
          <w:szCs w:val="22"/>
        </w:rPr>
        <w:t xml:space="preserve"> </w:t>
      </w:r>
      <w:proofErr w:type="spellStart"/>
      <w:r w:rsidR="00A75FD7" w:rsidRPr="00A475AF">
        <w:rPr>
          <w:spacing w:val="-4"/>
          <w:sz w:val="22"/>
          <w:szCs w:val="22"/>
        </w:rPr>
        <w:t>cyklooxygenáz</w:t>
      </w:r>
      <w:r w:rsidR="00331BA0" w:rsidRPr="00A475AF">
        <w:rPr>
          <w:spacing w:val="-4"/>
          <w:sz w:val="22"/>
          <w:szCs w:val="22"/>
        </w:rPr>
        <w:t>u</w:t>
      </w:r>
      <w:proofErr w:type="spellEnd"/>
      <w:r w:rsidR="00A75FD7" w:rsidRPr="00A475AF">
        <w:rPr>
          <w:spacing w:val="-4"/>
          <w:sz w:val="22"/>
          <w:szCs w:val="22"/>
        </w:rPr>
        <w:t>/</w:t>
      </w:r>
      <w:r w:rsidRPr="00A475AF">
        <w:rPr>
          <w:spacing w:val="-4"/>
          <w:sz w:val="22"/>
          <w:szCs w:val="22"/>
        </w:rPr>
        <w:t>syntéz</w:t>
      </w:r>
      <w:r w:rsidR="00331BA0" w:rsidRPr="00A475AF">
        <w:rPr>
          <w:spacing w:val="-4"/>
          <w:sz w:val="22"/>
          <w:szCs w:val="22"/>
        </w:rPr>
        <w:t>u</w:t>
      </w:r>
      <w:r w:rsidRPr="00A475AF">
        <w:rPr>
          <w:spacing w:val="-4"/>
          <w:sz w:val="22"/>
          <w:szCs w:val="22"/>
        </w:rPr>
        <w:t xml:space="preserve"> </w:t>
      </w:r>
      <w:proofErr w:type="spellStart"/>
      <w:r w:rsidRPr="00A475AF">
        <w:rPr>
          <w:spacing w:val="-4"/>
          <w:sz w:val="22"/>
          <w:szCs w:val="22"/>
        </w:rPr>
        <w:t>prostaglandínov</w:t>
      </w:r>
      <w:proofErr w:type="spellEnd"/>
      <w:r w:rsidRPr="00A475AF">
        <w:rPr>
          <w:spacing w:val="-4"/>
          <w:sz w:val="22"/>
          <w:szCs w:val="22"/>
        </w:rPr>
        <w:t xml:space="preserve"> môžu mať negatívny vplyv na plodnosť žien vzhľadom na ich účinok na ovuláciu. Tento účinok je reverzibilný po prerušení liečby </w:t>
      </w:r>
      <w:r w:rsidR="0080016F" w:rsidRPr="00A475AF">
        <w:rPr>
          <w:sz w:val="22"/>
          <w:szCs w:val="22"/>
        </w:rPr>
        <w:t>(pozri časť 4.4).</w:t>
      </w:r>
    </w:p>
    <w:p w14:paraId="3D33DAC4" w14:textId="77777777" w:rsidR="007844D2" w:rsidRPr="00A475AF" w:rsidRDefault="007844D2" w:rsidP="00DB4E78">
      <w:pPr>
        <w:rPr>
          <w:sz w:val="22"/>
          <w:szCs w:val="22"/>
        </w:rPr>
      </w:pPr>
    </w:p>
    <w:p w14:paraId="095C759C" w14:textId="77777777" w:rsidR="007844D2" w:rsidRPr="00A475AF" w:rsidRDefault="007844D2" w:rsidP="00792D82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Ovplyvnenie schopnosti viesť vozidlá a obsluhovať stroje</w:t>
      </w:r>
    </w:p>
    <w:p w14:paraId="3B18A46F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3B690A18" w14:textId="77777777" w:rsidR="007844D2" w:rsidRPr="00A475AF" w:rsidRDefault="00D71B29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Pri odporúčaných dávkach a dĺžke liečby sa neočakáva</w:t>
      </w:r>
      <w:r w:rsidR="007844D2" w:rsidRPr="00A475AF">
        <w:rPr>
          <w:sz w:val="22"/>
          <w:szCs w:val="22"/>
        </w:rPr>
        <w:t xml:space="preserve"> vplyv na schopnosť viesť </w:t>
      </w:r>
      <w:r w:rsidR="00C0248A" w:rsidRPr="00A475AF">
        <w:rPr>
          <w:sz w:val="22"/>
          <w:szCs w:val="22"/>
        </w:rPr>
        <w:t xml:space="preserve">vozidlá </w:t>
      </w:r>
      <w:r w:rsidR="007844D2" w:rsidRPr="00A475AF">
        <w:rPr>
          <w:sz w:val="22"/>
          <w:szCs w:val="22"/>
        </w:rPr>
        <w:t>alebo obsluhovať stroje.</w:t>
      </w:r>
    </w:p>
    <w:p w14:paraId="47B51768" w14:textId="77777777" w:rsidR="007844D2" w:rsidRPr="00A475AF" w:rsidRDefault="007844D2" w:rsidP="00DB4E78">
      <w:pPr>
        <w:rPr>
          <w:sz w:val="22"/>
          <w:szCs w:val="22"/>
        </w:rPr>
      </w:pPr>
    </w:p>
    <w:p w14:paraId="094FBEB6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Nežiaduce účinky</w:t>
      </w:r>
    </w:p>
    <w:p w14:paraId="5353FBFF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57F74219" w14:textId="77777777" w:rsidR="00B47705" w:rsidRPr="00A475AF" w:rsidRDefault="00B47705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V nasledujúcej tabuľke sú zhrnuté nežiaduce liekové reakcie </w:t>
      </w:r>
      <w:proofErr w:type="spellStart"/>
      <w:r w:rsidRPr="00A475AF">
        <w:rPr>
          <w:sz w:val="22"/>
          <w:szCs w:val="22"/>
        </w:rPr>
        <w:t>ibuprof</w:t>
      </w:r>
      <w:r w:rsidR="005F4F0C" w:rsidRPr="00A475AF">
        <w:rPr>
          <w:sz w:val="22"/>
          <w:szCs w:val="22"/>
        </w:rPr>
        <w:t>é</w:t>
      </w:r>
      <w:r w:rsidRPr="00A475AF">
        <w:rPr>
          <w:sz w:val="22"/>
          <w:szCs w:val="22"/>
        </w:rPr>
        <w:t>nu</w:t>
      </w:r>
      <w:proofErr w:type="spellEnd"/>
      <w:r w:rsidRPr="00A475AF">
        <w:rPr>
          <w:sz w:val="22"/>
          <w:szCs w:val="22"/>
        </w:rPr>
        <w:t xml:space="preserve"> rozdelené do skupín podľa terminológie </w:t>
      </w:r>
      <w:proofErr w:type="spellStart"/>
      <w:r w:rsidRPr="00A475AF">
        <w:rPr>
          <w:sz w:val="22"/>
          <w:szCs w:val="22"/>
        </w:rPr>
        <w:t>MedDRA</w:t>
      </w:r>
      <w:proofErr w:type="spellEnd"/>
      <w:r w:rsidRPr="00A475AF">
        <w:rPr>
          <w:sz w:val="22"/>
          <w:szCs w:val="22"/>
        </w:rPr>
        <w:t xml:space="preserve"> spolu s ich frekvenciou: veľmi časté (≥ 1/10); časté (</w:t>
      </w:r>
      <w:r w:rsidRPr="00A475AF">
        <w:rPr>
          <w:sz w:val="22"/>
          <w:szCs w:val="22"/>
        </w:rPr>
        <w:sym w:font="Symbol" w:char="F0B3"/>
      </w:r>
      <w:r w:rsidRPr="00A475AF">
        <w:rPr>
          <w:sz w:val="22"/>
          <w:szCs w:val="22"/>
        </w:rPr>
        <w:t xml:space="preserve"> 1/100 až &lt; 1/10); menej časté (</w:t>
      </w:r>
      <w:r w:rsidRPr="00A475AF">
        <w:rPr>
          <w:sz w:val="22"/>
          <w:szCs w:val="22"/>
        </w:rPr>
        <w:sym w:font="Symbol" w:char="F0B3"/>
      </w:r>
      <w:r w:rsidRPr="00A475AF">
        <w:rPr>
          <w:sz w:val="22"/>
          <w:szCs w:val="22"/>
        </w:rPr>
        <w:t xml:space="preserve"> 1/1 000 až &lt; 1/100); zriedkavé (</w:t>
      </w:r>
      <w:r w:rsidRPr="00A475AF">
        <w:rPr>
          <w:sz w:val="22"/>
          <w:szCs w:val="22"/>
        </w:rPr>
        <w:sym w:font="Symbol" w:char="F0B3"/>
      </w:r>
      <w:r w:rsidRPr="00A475AF">
        <w:rPr>
          <w:sz w:val="22"/>
          <w:szCs w:val="22"/>
        </w:rPr>
        <w:t xml:space="preserve"> 1/10 000 až &lt; 1/1 000); veľmi zriedkavé (&lt; 1/10 000), neznáme (z dostupných údajov)</w:t>
      </w:r>
      <w:r w:rsidR="00423C1B" w:rsidRPr="00A475AF">
        <w:rPr>
          <w:sz w:val="22"/>
          <w:szCs w:val="22"/>
        </w:rPr>
        <w:t>.</w:t>
      </w:r>
    </w:p>
    <w:p w14:paraId="43AF9877" w14:textId="77777777" w:rsidR="00A27EDA" w:rsidRPr="00A475AF" w:rsidRDefault="00A27EDA" w:rsidP="00DB4E78">
      <w:pPr>
        <w:rPr>
          <w:sz w:val="22"/>
          <w:szCs w:val="22"/>
        </w:rPr>
      </w:pPr>
    </w:p>
    <w:p w14:paraId="4278EFD6" w14:textId="77777777" w:rsidR="007844D2" w:rsidRPr="00A475AF" w:rsidRDefault="007844D2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V tabuľke sú uvedené nežiaduce účinky, ktoré sa objavili po použití </w:t>
      </w:r>
      <w:proofErr w:type="spellStart"/>
      <w:r w:rsidR="00A75FD7" w:rsidRPr="00A475AF">
        <w:rPr>
          <w:sz w:val="22"/>
          <w:szCs w:val="22"/>
        </w:rPr>
        <w:t>ibuprof</w:t>
      </w:r>
      <w:r w:rsidR="005F4F0C" w:rsidRPr="00A475AF">
        <w:rPr>
          <w:sz w:val="22"/>
          <w:szCs w:val="22"/>
        </w:rPr>
        <w:t>é</w:t>
      </w:r>
      <w:r w:rsidR="00BA55FC" w:rsidRPr="00A475AF">
        <w:rPr>
          <w:sz w:val="22"/>
          <w:szCs w:val="22"/>
        </w:rPr>
        <w:t>n</w:t>
      </w:r>
      <w:r w:rsidRPr="00A475AF">
        <w:rPr>
          <w:sz w:val="22"/>
          <w:szCs w:val="22"/>
        </w:rPr>
        <w:t>u</w:t>
      </w:r>
      <w:proofErr w:type="spellEnd"/>
      <w:r w:rsidRPr="00A475AF">
        <w:rPr>
          <w:sz w:val="22"/>
          <w:szCs w:val="22"/>
        </w:rPr>
        <w:t xml:space="preserve"> pri OTC dávkach a krátkodobom užívaní. Pri liečbe chronických stavov, ktoré vyžadujú dlhodobú liečbu, sa môžu vyskytnúť aj iné nežiaduce účinky.</w:t>
      </w:r>
    </w:p>
    <w:p w14:paraId="3495C015" w14:textId="77777777" w:rsidR="00A27EDA" w:rsidRPr="00A475AF" w:rsidRDefault="00A27EDA" w:rsidP="00DB4E78">
      <w:pPr>
        <w:rPr>
          <w:sz w:val="22"/>
          <w:szCs w:val="22"/>
        </w:rPr>
      </w:pPr>
    </w:p>
    <w:p w14:paraId="6FF6A936" w14:textId="77777777" w:rsidR="00A27EDA" w:rsidRPr="00A475AF" w:rsidRDefault="00A27EDA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Najčastejšie pozorované nežiaduce účinky sú </w:t>
      </w:r>
      <w:proofErr w:type="spellStart"/>
      <w:r w:rsidRPr="00A475AF">
        <w:rPr>
          <w:sz w:val="22"/>
          <w:szCs w:val="22"/>
        </w:rPr>
        <w:t>gastrointestinálne</w:t>
      </w:r>
      <w:proofErr w:type="spellEnd"/>
      <w:r w:rsidRPr="00A475AF">
        <w:rPr>
          <w:sz w:val="22"/>
          <w:szCs w:val="22"/>
        </w:rPr>
        <w:t xml:space="preserve">. Nežiaduce účinky sú väčšinou závislé na dávke, najmä riziko výskytu </w:t>
      </w:r>
      <w:proofErr w:type="spellStart"/>
      <w:r w:rsidRPr="00A475AF">
        <w:rPr>
          <w:sz w:val="22"/>
          <w:szCs w:val="22"/>
        </w:rPr>
        <w:t>gastrointestinálneho</w:t>
      </w:r>
      <w:proofErr w:type="spellEnd"/>
      <w:r w:rsidRPr="00A475AF">
        <w:rPr>
          <w:sz w:val="22"/>
          <w:szCs w:val="22"/>
        </w:rPr>
        <w:t xml:space="preserve"> krvácania je závislé od rozsahu dávkovania a trvania liečby.</w:t>
      </w:r>
    </w:p>
    <w:p w14:paraId="64C676AC" w14:textId="77777777" w:rsidR="00A27EDA" w:rsidRPr="00A475AF" w:rsidRDefault="00A27EDA" w:rsidP="00DB4E78">
      <w:pPr>
        <w:rPr>
          <w:sz w:val="22"/>
          <w:szCs w:val="22"/>
        </w:rPr>
      </w:pPr>
    </w:p>
    <w:p w14:paraId="2CC3A0A4" w14:textId="77777777" w:rsidR="007844D2" w:rsidRPr="00A475AF" w:rsidRDefault="007844D2" w:rsidP="00DB4E78">
      <w:pPr>
        <w:rPr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1191"/>
        <w:gridCol w:w="6102"/>
      </w:tblGrid>
      <w:tr w:rsidR="002E41B9" w:rsidRPr="00A475AF" w14:paraId="6B63249B" w14:textId="77777777" w:rsidTr="00C17CE9">
        <w:trPr>
          <w:cantSplit/>
        </w:trPr>
        <w:tc>
          <w:tcPr>
            <w:tcW w:w="1919" w:type="dxa"/>
            <w:vAlign w:val="center"/>
          </w:tcPr>
          <w:p w14:paraId="67F68C97" w14:textId="77777777" w:rsidR="002E41B9" w:rsidRPr="00A475AF" w:rsidRDefault="002E41B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b/>
                <w:color w:val="000000"/>
                <w:sz w:val="22"/>
                <w:szCs w:val="22"/>
              </w:rPr>
            </w:pPr>
            <w:r w:rsidRPr="00A475AF">
              <w:rPr>
                <w:b/>
                <w:sz w:val="22"/>
                <w:szCs w:val="22"/>
              </w:rPr>
              <w:t xml:space="preserve">Trieda orgánových systémov podľa databázy </w:t>
            </w:r>
            <w:proofErr w:type="spellStart"/>
            <w:r w:rsidRPr="00A475AF">
              <w:rPr>
                <w:b/>
                <w:color w:val="000000"/>
                <w:sz w:val="22"/>
                <w:szCs w:val="22"/>
              </w:rPr>
              <w:t>MedDRA</w:t>
            </w:r>
            <w:proofErr w:type="spellEnd"/>
            <w:r w:rsidRPr="00A475AF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92" w:type="dxa"/>
            <w:vAlign w:val="center"/>
          </w:tcPr>
          <w:p w14:paraId="787C74F6" w14:textId="77777777" w:rsidR="002E41B9" w:rsidRPr="00A475AF" w:rsidRDefault="002E41B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b/>
                <w:color w:val="000000"/>
                <w:sz w:val="22"/>
                <w:szCs w:val="22"/>
              </w:rPr>
            </w:pPr>
            <w:r w:rsidRPr="00A475AF">
              <w:rPr>
                <w:b/>
                <w:color w:val="000000"/>
                <w:sz w:val="22"/>
                <w:szCs w:val="22"/>
              </w:rPr>
              <w:t>Frekvencia</w:t>
            </w:r>
          </w:p>
        </w:tc>
        <w:tc>
          <w:tcPr>
            <w:tcW w:w="0" w:type="auto"/>
            <w:vAlign w:val="center"/>
          </w:tcPr>
          <w:p w14:paraId="59A00816" w14:textId="77777777" w:rsidR="002E41B9" w:rsidRPr="00A475AF" w:rsidRDefault="002E41B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b/>
                <w:color w:val="000000"/>
                <w:sz w:val="22"/>
                <w:szCs w:val="22"/>
              </w:rPr>
            </w:pPr>
            <w:r w:rsidRPr="00A475AF">
              <w:rPr>
                <w:b/>
                <w:bCs/>
                <w:sz w:val="22"/>
                <w:szCs w:val="22"/>
              </w:rPr>
              <w:t>Nežiaduci účinok</w:t>
            </w:r>
          </w:p>
        </w:tc>
      </w:tr>
      <w:tr w:rsidR="002E41B9" w:rsidRPr="00A475AF" w14:paraId="454B4FBD" w14:textId="77777777" w:rsidTr="00C17CE9">
        <w:trPr>
          <w:cantSplit/>
          <w:trHeight w:val="359"/>
        </w:trPr>
        <w:tc>
          <w:tcPr>
            <w:tcW w:w="1919" w:type="dxa"/>
          </w:tcPr>
          <w:p w14:paraId="55804EBC" w14:textId="77777777" w:rsidR="002E41B9" w:rsidRPr="00A475AF" w:rsidRDefault="002E41B9" w:rsidP="00DB4E78">
            <w:pPr>
              <w:rPr>
                <w:sz w:val="22"/>
                <w:szCs w:val="22"/>
              </w:rPr>
            </w:pPr>
            <w:r w:rsidRPr="00A475AF">
              <w:rPr>
                <w:noProof/>
                <w:sz w:val="22"/>
                <w:szCs w:val="22"/>
              </w:rPr>
              <w:lastRenderedPageBreak/>
              <w:t>Poruchy krvi a</w:t>
            </w:r>
            <w:r w:rsidR="00601C23" w:rsidRPr="00A475AF">
              <w:rPr>
                <w:noProof/>
                <w:sz w:val="22"/>
                <w:szCs w:val="22"/>
              </w:rPr>
              <w:t> </w:t>
            </w:r>
            <w:r w:rsidRPr="00A475AF">
              <w:rPr>
                <w:noProof/>
                <w:sz w:val="22"/>
                <w:szCs w:val="22"/>
              </w:rPr>
              <w:t>lymfatického systému</w:t>
            </w:r>
          </w:p>
        </w:tc>
        <w:tc>
          <w:tcPr>
            <w:tcW w:w="1192" w:type="dxa"/>
          </w:tcPr>
          <w:p w14:paraId="36596906" w14:textId="77777777" w:rsidR="002E41B9" w:rsidRPr="00A475AF" w:rsidRDefault="002E41B9" w:rsidP="00DB4E78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1F1EE625" w14:textId="77777777" w:rsidR="00765332" w:rsidRPr="00A475AF" w:rsidRDefault="002E41B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 xml:space="preserve">Poruchy krvotvorby (anémia, </w:t>
            </w:r>
            <w:proofErr w:type="spellStart"/>
            <w:r w:rsidRPr="00A475AF">
              <w:rPr>
                <w:sz w:val="22"/>
                <w:szCs w:val="22"/>
              </w:rPr>
              <w:t>leukopénia</w:t>
            </w:r>
            <w:proofErr w:type="spellEnd"/>
            <w:r w:rsidRPr="00A475AF">
              <w:rPr>
                <w:sz w:val="22"/>
                <w:szCs w:val="22"/>
              </w:rPr>
              <w:t xml:space="preserve">, </w:t>
            </w:r>
            <w:proofErr w:type="spellStart"/>
            <w:r w:rsidRPr="00A475AF">
              <w:rPr>
                <w:sz w:val="22"/>
                <w:szCs w:val="22"/>
              </w:rPr>
              <w:t>trombocytopénia</w:t>
            </w:r>
            <w:proofErr w:type="spellEnd"/>
            <w:r w:rsidRPr="00A475AF">
              <w:rPr>
                <w:sz w:val="22"/>
                <w:szCs w:val="22"/>
              </w:rPr>
              <w:t xml:space="preserve">, </w:t>
            </w:r>
            <w:proofErr w:type="spellStart"/>
            <w:r w:rsidRPr="00A475AF">
              <w:rPr>
                <w:sz w:val="22"/>
                <w:szCs w:val="22"/>
              </w:rPr>
              <w:t>pancytopénia</w:t>
            </w:r>
            <w:proofErr w:type="spellEnd"/>
            <w:r w:rsidRPr="00A475AF">
              <w:rPr>
                <w:sz w:val="22"/>
                <w:szCs w:val="22"/>
              </w:rPr>
              <w:t xml:space="preserve">, </w:t>
            </w:r>
            <w:proofErr w:type="spellStart"/>
            <w:r w:rsidRPr="00A475AF">
              <w:rPr>
                <w:sz w:val="22"/>
                <w:szCs w:val="22"/>
              </w:rPr>
              <w:t>agranulocytóza</w:t>
            </w:r>
            <w:proofErr w:type="spellEnd"/>
            <w:r w:rsidRPr="00A475AF">
              <w:rPr>
                <w:sz w:val="22"/>
                <w:szCs w:val="22"/>
              </w:rPr>
              <w:t xml:space="preserve">). </w:t>
            </w:r>
          </w:p>
          <w:p w14:paraId="7F6FE08B" w14:textId="77777777" w:rsidR="00765332" w:rsidRPr="00A475AF" w:rsidRDefault="00765332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0206432A" w14:textId="77777777" w:rsidR="002E41B9" w:rsidRPr="00A475AF" w:rsidRDefault="002E41B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Prvé príznaky sú: horúčka, bolesť hrdla, povrchové vredy v ústach, príznaky podobné chrípke, ťažk</w:t>
            </w:r>
            <w:r w:rsidR="00331BA0" w:rsidRPr="00A475AF">
              <w:rPr>
                <w:sz w:val="22"/>
                <w:szCs w:val="22"/>
              </w:rPr>
              <w:t>é</w:t>
            </w:r>
            <w:r w:rsidRPr="00A475AF">
              <w:rPr>
                <w:sz w:val="22"/>
                <w:szCs w:val="22"/>
              </w:rPr>
              <w:t xml:space="preserve"> </w:t>
            </w:r>
            <w:r w:rsidR="00331BA0" w:rsidRPr="00A475AF">
              <w:rPr>
                <w:sz w:val="22"/>
                <w:szCs w:val="22"/>
              </w:rPr>
              <w:t>vyčerpanie</w:t>
            </w:r>
            <w:r w:rsidRPr="00A475AF">
              <w:rPr>
                <w:sz w:val="22"/>
                <w:szCs w:val="22"/>
              </w:rPr>
              <w:t>, nevysvetliteľné krvácanie a modriny.</w:t>
            </w:r>
          </w:p>
        </w:tc>
      </w:tr>
      <w:tr w:rsidR="001F3244" w:rsidRPr="00A475AF" w14:paraId="6401A018" w14:textId="77777777" w:rsidTr="00C17CE9">
        <w:trPr>
          <w:cantSplit/>
          <w:trHeight w:val="381"/>
        </w:trPr>
        <w:tc>
          <w:tcPr>
            <w:tcW w:w="1919" w:type="dxa"/>
            <w:vMerge w:val="restart"/>
          </w:tcPr>
          <w:p w14:paraId="753EE950" w14:textId="77777777" w:rsidR="001F3244" w:rsidRPr="00A475AF" w:rsidRDefault="001F324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7289" w:type="dxa"/>
            <w:gridSpan w:val="2"/>
          </w:tcPr>
          <w:p w14:paraId="0989A93D" w14:textId="77777777" w:rsidR="001F3244" w:rsidRPr="00A475AF" w:rsidRDefault="001F3244" w:rsidP="00765332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012E305A" w14:textId="77777777" w:rsidR="001F3244" w:rsidRPr="00A475AF" w:rsidRDefault="001F3244" w:rsidP="0002778A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A475AF">
              <w:rPr>
                <w:sz w:val="22"/>
                <w:szCs w:val="22"/>
              </w:rPr>
              <w:t>Hypersenzitívne</w:t>
            </w:r>
            <w:proofErr w:type="spellEnd"/>
            <w:r w:rsidRPr="00A475AF">
              <w:rPr>
                <w:sz w:val="22"/>
                <w:szCs w:val="22"/>
              </w:rPr>
              <w:t xml:space="preserve"> reakcie</w:t>
            </w:r>
            <w:r w:rsidRPr="00A475AF">
              <w:rPr>
                <w:sz w:val="22"/>
                <w:szCs w:val="22"/>
                <w:vertAlign w:val="superscript"/>
              </w:rPr>
              <w:t>1</w:t>
            </w:r>
            <w:r w:rsidRPr="00A475AF">
              <w:rPr>
                <w:sz w:val="22"/>
                <w:szCs w:val="22"/>
              </w:rPr>
              <w:t xml:space="preserve"> pozostávajú</w:t>
            </w:r>
            <w:r w:rsidR="00765332" w:rsidRPr="00A475AF">
              <w:rPr>
                <w:sz w:val="22"/>
                <w:szCs w:val="22"/>
              </w:rPr>
              <w:t>ce</w:t>
            </w:r>
            <w:r w:rsidRPr="00A475AF">
              <w:rPr>
                <w:sz w:val="22"/>
                <w:szCs w:val="22"/>
              </w:rPr>
              <w:t xml:space="preserve"> z:</w:t>
            </w:r>
          </w:p>
        </w:tc>
      </w:tr>
      <w:tr w:rsidR="00A27EDA" w:rsidRPr="00A475AF" w14:paraId="0A0E3887" w14:textId="77777777" w:rsidTr="00C17CE9">
        <w:trPr>
          <w:cantSplit/>
          <w:trHeight w:val="380"/>
        </w:trPr>
        <w:tc>
          <w:tcPr>
            <w:tcW w:w="1919" w:type="dxa"/>
            <w:vMerge/>
          </w:tcPr>
          <w:p w14:paraId="2D67A9CA" w14:textId="77777777" w:rsidR="00A27EDA" w:rsidRPr="00A475AF" w:rsidRDefault="00A27EDA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92" w:type="dxa"/>
          </w:tcPr>
          <w:p w14:paraId="7CE96CFE" w14:textId="77777777" w:rsidR="00A27EDA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menej časté</w:t>
            </w:r>
          </w:p>
        </w:tc>
        <w:tc>
          <w:tcPr>
            <w:tcW w:w="0" w:type="auto"/>
          </w:tcPr>
          <w:p w14:paraId="22073879" w14:textId="77777777" w:rsidR="00A27EDA" w:rsidRPr="00A475AF" w:rsidRDefault="00765332" w:rsidP="0002778A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proofErr w:type="spellStart"/>
            <w:r w:rsidRPr="00A475AF">
              <w:rPr>
                <w:sz w:val="22"/>
                <w:szCs w:val="22"/>
              </w:rPr>
              <w:t>u</w:t>
            </w:r>
            <w:r w:rsidR="001F3244" w:rsidRPr="00A475AF">
              <w:rPr>
                <w:sz w:val="22"/>
                <w:szCs w:val="22"/>
              </w:rPr>
              <w:t>rtikária</w:t>
            </w:r>
            <w:proofErr w:type="spellEnd"/>
            <w:r w:rsidRPr="00A475AF">
              <w:rPr>
                <w:sz w:val="22"/>
                <w:szCs w:val="22"/>
              </w:rPr>
              <w:t>,</w:t>
            </w:r>
            <w:r w:rsidR="00AA23A8" w:rsidRPr="00A475AF">
              <w:rPr>
                <w:sz w:val="22"/>
                <w:szCs w:val="22"/>
              </w:rPr>
              <w:t xml:space="preserve"> </w:t>
            </w:r>
            <w:proofErr w:type="spellStart"/>
            <w:r w:rsidRPr="00A475AF">
              <w:rPr>
                <w:sz w:val="22"/>
                <w:szCs w:val="22"/>
              </w:rPr>
              <w:t>pruritus</w:t>
            </w:r>
            <w:proofErr w:type="spellEnd"/>
          </w:p>
        </w:tc>
      </w:tr>
      <w:tr w:rsidR="00A27EDA" w:rsidRPr="00A475AF" w14:paraId="62C9BEF1" w14:textId="77777777" w:rsidTr="00C17CE9">
        <w:trPr>
          <w:cantSplit/>
          <w:trHeight w:val="380"/>
        </w:trPr>
        <w:tc>
          <w:tcPr>
            <w:tcW w:w="1919" w:type="dxa"/>
            <w:vMerge/>
          </w:tcPr>
          <w:p w14:paraId="5E9B39DB" w14:textId="77777777" w:rsidR="00A27EDA" w:rsidRPr="00A475AF" w:rsidRDefault="00A27EDA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92" w:type="dxa"/>
          </w:tcPr>
          <w:p w14:paraId="040763D9" w14:textId="77777777" w:rsidR="00A27EDA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2A8E34C7" w14:textId="77777777" w:rsidR="001F3244" w:rsidRPr="00A475AF" w:rsidRDefault="001F3244" w:rsidP="0002778A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 xml:space="preserve">Závažné reakcie z precitlivenosti. </w:t>
            </w:r>
          </w:p>
          <w:p w14:paraId="2C8B91EF" w14:textId="77777777" w:rsidR="001F3244" w:rsidRPr="00A475AF" w:rsidRDefault="001F3244" w:rsidP="0002778A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  <w:p w14:paraId="016A36EC" w14:textId="77777777" w:rsidR="00A27EDA" w:rsidRPr="00A475AF" w:rsidRDefault="001F3244" w:rsidP="0002778A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 xml:space="preserve">Príznaky môžu byť: opuch tváre, jazyka a hrtana, dýchavičnosť, </w:t>
            </w:r>
            <w:proofErr w:type="spellStart"/>
            <w:r w:rsidRPr="00A475AF">
              <w:rPr>
                <w:sz w:val="22"/>
                <w:szCs w:val="22"/>
              </w:rPr>
              <w:t>tachykardia</w:t>
            </w:r>
            <w:proofErr w:type="spellEnd"/>
            <w:r w:rsidRPr="00A475AF">
              <w:rPr>
                <w:sz w:val="22"/>
                <w:szCs w:val="22"/>
              </w:rPr>
              <w:t>, hypotenzia, (anafylaxia, angioedém alebo ťažký šok).</w:t>
            </w:r>
          </w:p>
        </w:tc>
      </w:tr>
      <w:tr w:rsidR="00A27EDA" w:rsidRPr="00A475AF" w14:paraId="5641088B" w14:textId="77777777" w:rsidTr="00C17CE9">
        <w:trPr>
          <w:cantSplit/>
          <w:trHeight w:val="380"/>
        </w:trPr>
        <w:tc>
          <w:tcPr>
            <w:tcW w:w="1919" w:type="dxa"/>
            <w:vMerge/>
          </w:tcPr>
          <w:p w14:paraId="70AF2121" w14:textId="77777777" w:rsidR="00A27EDA" w:rsidRPr="00A475AF" w:rsidRDefault="00A27EDA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92" w:type="dxa"/>
          </w:tcPr>
          <w:p w14:paraId="0996E4C7" w14:textId="77777777" w:rsidR="00A27EDA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neznáme</w:t>
            </w:r>
          </w:p>
        </w:tc>
        <w:tc>
          <w:tcPr>
            <w:tcW w:w="0" w:type="auto"/>
          </w:tcPr>
          <w:p w14:paraId="7CD36E72" w14:textId="77777777" w:rsidR="00A27EDA" w:rsidRPr="00A475AF" w:rsidRDefault="00765332" w:rsidP="00765332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 xml:space="preserve">Reaktivita dýchacích ciest zahŕňajúce astmu, zhoršenie astmy </w:t>
            </w:r>
            <w:proofErr w:type="spellStart"/>
            <w:r w:rsidRPr="00A475AF">
              <w:rPr>
                <w:sz w:val="22"/>
                <w:szCs w:val="22"/>
              </w:rPr>
              <w:t>bronchospazmus</w:t>
            </w:r>
            <w:proofErr w:type="spellEnd"/>
            <w:r w:rsidRPr="00A475AF">
              <w:rPr>
                <w:sz w:val="22"/>
                <w:szCs w:val="22"/>
              </w:rPr>
              <w:t xml:space="preserve"> alebo </w:t>
            </w:r>
            <w:proofErr w:type="spellStart"/>
            <w:r w:rsidRPr="00A475AF">
              <w:rPr>
                <w:sz w:val="22"/>
                <w:szCs w:val="22"/>
              </w:rPr>
              <w:t>dyspnoe</w:t>
            </w:r>
            <w:proofErr w:type="spellEnd"/>
            <w:r w:rsidRPr="00A475AF">
              <w:rPr>
                <w:sz w:val="22"/>
                <w:szCs w:val="22"/>
              </w:rPr>
              <w:t>.</w:t>
            </w:r>
          </w:p>
        </w:tc>
      </w:tr>
      <w:tr w:rsidR="002E41B9" w:rsidRPr="00A475AF" w14:paraId="40B17EF8" w14:textId="77777777" w:rsidTr="00C17CE9">
        <w:trPr>
          <w:cantSplit/>
          <w:trHeight w:val="359"/>
        </w:trPr>
        <w:tc>
          <w:tcPr>
            <w:tcW w:w="1919" w:type="dxa"/>
            <w:vMerge w:val="restart"/>
          </w:tcPr>
          <w:p w14:paraId="17F1A386" w14:textId="77777777" w:rsidR="002E41B9" w:rsidRPr="00A475AF" w:rsidRDefault="00E06A35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1192" w:type="dxa"/>
          </w:tcPr>
          <w:p w14:paraId="2C1B1C27" w14:textId="77777777" w:rsidR="002E41B9" w:rsidRPr="00A475AF" w:rsidRDefault="00E06A35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menej časté</w:t>
            </w:r>
          </w:p>
        </w:tc>
        <w:tc>
          <w:tcPr>
            <w:tcW w:w="0" w:type="auto"/>
          </w:tcPr>
          <w:p w14:paraId="2713E128" w14:textId="77777777" w:rsidR="002E41B9" w:rsidRPr="00A475AF" w:rsidRDefault="00E06A35" w:rsidP="00DB4E78">
            <w:pPr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bolesti hlavy</w:t>
            </w:r>
          </w:p>
        </w:tc>
      </w:tr>
      <w:tr w:rsidR="002E41B9" w:rsidRPr="00A475AF" w14:paraId="69F2AEAA" w14:textId="77777777" w:rsidTr="00C17CE9">
        <w:trPr>
          <w:cantSplit/>
          <w:trHeight w:val="359"/>
        </w:trPr>
        <w:tc>
          <w:tcPr>
            <w:tcW w:w="1919" w:type="dxa"/>
            <w:vMerge/>
          </w:tcPr>
          <w:p w14:paraId="7460B5D9" w14:textId="77777777" w:rsidR="002E41B9" w:rsidRPr="00A475AF" w:rsidRDefault="002E41B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92" w:type="dxa"/>
          </w:tcPr>
          <w:p w14:paraId="3D2D4A28" w14:textId="77777777" w:rsidR="002E41B9" w:rsidRPr="00A475AF" w:rsidRDefault="00693ED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0D82B1FB" w14:textId="77777777" w:rsidR="002E41B9" w:rsidRPr="00A475AF" w:rsidRDefault="005C3297" w:rsidP="001F3244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a</w:t>
            </w:r>
            <w:r w:rsidR="002E41B9" w:rsidRPr="00A475AF">
              <w:rPr>
                <w:sz w:val="22"/>
                <w:szCs w:val="22"/>
              </w:rPr>
              <w:t>septic</w:t>
            </w:r>
            <w:r w:rsidR="00E06A35" w:rsidRPr="00A475AF">
              <w:rPr>
                <w:sz w:val="22"/>
                <w:szCs w:val="22"/>
              </w:rPr>
              <w:t>ká meningitída</w:t>
            </w:r>
            <w:r w:rsidR="001F3244" w:rsidRPr="00A475AF">
              <w:rPr>
                <w:sz w:val="22"/>
                <w:szCs w:val="22"/>
                <w:vertAlign w:val="superscript"/>
              </w:rPr>
              <w:t>2</w:t>
            </w:r>
            <w:r w:rsidR="002E41B9" w:rsidRPr="00A475AF">
              <w:rPr>
                <w:sz w:val="22"/>
                <w:szCs w:val="22"/>
              </w:rPr>
              <w:t xml:space="preserve"> </w:t>
            </w:r>
          </w:p>
        </w:tc>
      </w:tr>
      <w:tr w:rsidR="002E41B9" w:rsidRPr="00A475AF" w14:paraId="7F14FD6E" w14:textId="77777777" w:rsidTr="00C17CE9">
        <w:trPr>
          <w:cantSplit/>
          <w:trHeight w:val="422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B0B6" w14:textId="77777777" w:rsidR="002E41B9" w:rsidRPr="00A475AF" w:rsidRDefault="00E06A35" w:rsidP="00AA23A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Poruchy ucha a</w:t>
            </w:r>
            <w:r w:rsidR="00AA23A8" w:rsidRPr="00A475AF">
              <w:rPr>
                <w:sz w:val="22"/>
                <w:szCs w:val="22"/>
              </w:rPr>
              <w:t> </w:t>
            </w:r>
            <w:r w:rsidRPr="00A475AF">
              <w:rPr>
                <w:sz w:val="22"/>
                <w:szCs w:val="22"/>
              </w:rPr>
              <w:t>labyrintu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00BF" w14:textId="77777777" w:rsidR="002E41B9" w:rsidRPr="00A475AF" w:rsidRDefault="00E06A35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noProof/>
                <w:color w:val="000000"/>
                <w:sz w:val="22"/>
                <w:szCs w:val="22"/>
                <w:lang w:eastAsia="sk-SK"/>
              </w:rPr>
              <w:t>neznáme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75EE" w14:textId="77777777" w:rsidR="002E41B9" w:rsidRPr="00A475AF" w:rsidRDefault="005C3297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</w:t>
            </w:r>
            <w:r w:rsidR="00E06A35" w:rsidRPr="00A475AF">
              <w:rPr>
                <w:sz w:val="22"/>
                <w:szCs w:val="22"/>
              </w:rPr>
              <w:t>orucha sluchu</w:t>
            </w:r>
          </w:p>
        </w:tc>
      </w:tr>
      <w:tr w:rsidR="007C50D4" w:rsidRPr="00A475AF" w14:paraId="140DB1B6" w14:textId="77777777" w:rsidTr="00C17CE9">
        <w:trPr>
          <w:cantSplit/>
          <w:trHeight w:val="422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5A39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Poruchy srdca a srdcovej činnosti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20E2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noProof/>
                <w:color w:val="000000"/>
                <w:sz w:val="22"/>
                <w:szCs w:val="22"/>
                <w:lang w:eastAsia="sk-SK"/>
              </w:rPr>
              <w:t>neznáme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78AF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zlyhanie srdca a edém</w:t>
            </w:r>
          </w:p>
        </w:tc>
      </w:tr>
      <w:tr w:rsidR="007C50D4" w:rsidRPr="00A475AF" w14:paraId="3E7E711B" w14:textId="77777777" w:rsidTr="00C17CE9">
        <w:trPr>
          <w:cantSplit/>
          <w:trHeight w:val="422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4850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Poruchy ciev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23EA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noProof/>
                <w:color w:val="000000"/>
                <w:sz w:val="22"/>
                <w:szCs w:val="22"/>
                <w:lang w:eastAsia="sk-SK"/>
              </w:rPr>
              <w:t>neznáme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B5C7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hypertenzia</w:t>
            </w:r>
          </w:p>
        </w:tc>
      </w:tr>
      <w:tr w:rsidR="007C50D4" w:rsidRPr="00A475AF" w14:paraId="4800AC03" w14:textId="77777777" w:rsidTr="00C17CE9">
        <w:trPr>
          <w:cantSplit/>
          <w:trHeight w:val="422"/>
        </w:trPr>
        <w:tc>
          <w:tcPr>
            <w:tcW w:w="1919" w:type="dxa"/>
            <w:vMerge w:val="restart"/>
          </w:tcPr>
          <w:p w14:paraId="13C5DC2C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 xml:space="preserve">Poruchy </w:t>
            </w:r>
            <w:proofErr w:type="spellStart"/>
            <w:r w:rsidRPr="00A475AF">
              <w:rPr>
                <w:sz w:val="22"/>
                <w:szCs w:val="22"/>
              </w:rPr>
              <w:t>gastrointestinálneho</w:t>
            </w:r>
            <w:proofErr w:type="spellEnd"/>
            <w:r w:rsidRPr="00A475AF">
              <w:rPr>
                <w:sz w:val="22"/>
                <w:szCs w:val="22"/>
              </w:rPr>
              <w:t xml:space="preserve"> traktu</w:t>
            </w:r>
          </w:p>
        </w:tc>
        <w:tc>
          <w:tcPr>
            <w:tcW w:w="1192" w:type="dxa"/>
            <w:vAlign w:val="center"/>
          </w:tcPr>
          <w:p w14:paraId="289C42C7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menej časté</w:t>
            </w:r>
          </w:p>
        </w:tc>
        <w:tc>
          <w:tcPr>
            <w:tcW w:w="0" w:type="auto"/>
          </w:tcPr>
          <w:p w14:paraId="0DBA8804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 xml:space="preserve">bolesti brucha, </w:t>
            </w:r>
            <w:proofErr w:type="spellStart"/>
            <w:r w:rsidRPr="00A475AF">
              <w:rPr>
                <w:sz w:val="22"/>
                <w:szCs w:val="22"/>
              </w:rPr>
              <w:t>dyspepsia</w:t>
            </w:r>
            <w:proofErr w:type="spellEnd"/>
            <w:r w:rsidRPr="00A475AF">
              <w:rPr>
                <w:sz w:val="22"/>
                <w:szCs w:val="22"/>
              </w:rPr>
              <w:t xml:space="preserve"> a </w:t>
            </w:r>
            <w:proofErr w:type="spellStart"/>
            <w:r w:rsidRPr="00A475AF">
              <w:rPr>
                <w:sz w:val="22"/>
                <w:szCs w:val="22"/>
              </w:rPr>
              <w:t>nauzea</w:t>
            </w:r>
            <w:proofErr w:type="spellEnd"/>
          </w:p>
        </w:tc>
      </w:tr>
      <w:tr w:rsidR="007C50D4" w:rsidRPr="00A475AF" w14:paraId="01AFAA19" w14:textId="77777777" w:rsidTr="00C17CE9">
        <w:trPr>
          <w:cantSplit/>
        </w:trPr>
        <w:tc>
          <w:tcPr>
            <w:tcW w:w="1919" w:type="dxa"/>
            <w:vMerge/>
          </w:tcPr>
          <w:p w14:paraId="5CD3CF85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92" w:type="dxa"/>
            <w:vAlign w:val="center"/>
          </w:tcPr>
          <w:p w14:paraId="44CD18C1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zriedkavé</w:t>
            </w:r>
          </w:p>
        </w:tc>
        <w:tc>
          <w:tcPr>
            <w:tcW w:w="0" w:type="auto"/>
          </w:tcPr>
          <w:p w14:paraId="0B3B6C1F" w14:textId="77777777" w:rsidR="007C50D4" w:rsidRPr="00A475AF" w:rsidRDefault="007C50D4" w:rsidP="00DB4E78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 xml:space="preserve">hnačka, </w:t>
            </w:r>
            <w:proofErr w:type="spellStart"/>
            <w:r w:rsidRPr="00A475AF">
              <w:rPr>
                <w:sz w:val="22"/>
                <w:szCs w:val="22"/>
              </w:rPr>
              <w:t>flatulencia</w:t>
            </w:r>
            <w:proofErr w:type="spellEnd"/>
            <w:r w:rsidRPr="00A475AF">
              <w:rPr>
                <w:sz w:val="22"/>
                <w:szCs w:val="22"/>
              </w:rPr>
              <w:t>, zápcha, vracanie</w:t>
            </w:r>
          </w:p>
        </w:tc>
      </w:tr>
      <w:tr w:rsidR="007C50D4" w:rsidRPr="00A475AF" w14:paraId="4BE2ECBF" w14:textId="77777777" w:rsidTr="00C17CE9">
        <w:trPr>
          <w:cantSplit/>
          <w:trHeight w:val="582"/>
        </w:trPr>
        <w:tc>
          <w:tcPr>
            <w:tcW w:w="1919" w:type="dxa"/>
            <w:vMerge/>
          </w:tcPr>
          <w:p w14:paraId="4B1D2379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92" w:type="dxa"/>
            <w:vAlign w:val="center"/>
          </w:tcPr>
          <w:p w14:paraId="37E6C11C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2A8B2C16" w14:textId="77777777" w:rsidR="007C50D4" w:rsidRPr="00A475AF" w:rsidRDefault="007C50D4" w:rsidP="00DB4E78">
            <w:pPr>
              <w:rPr>
                <w:sz w:val="22"/>
                <w:szCs w:val="22"/>
              </w:rPr>
            </w:pPr>
            <w:proofErr w:type="spellStart"/>
            <w:r w:rsidRPr="00A475AF">
              <w:rPr>
                <w:sz w:val="22"/>
                <w:szCs w:val="22"/>
              </w:rPr>
              <w:t>Peptický</w:t>
            </w:r>
            <w:proofErr w:type="spellEnd"/>
            <w:r w:rsidRPr="00A475AF">
              <w:rPr>
                <w:sz w:val="22"/>
                <w:szCs w:val="22"/>
              </w:rPr>
              <w:t xml:space="preserve"> vred, perforácia alebo </w:t>
            </w:r>
            <w:proofErr w:type="spellStart"/>
            <w:r w:rsidRPr="00A475AF">
              <w:rPr>
                <w:sz w:val="22"/>
                <w:szCs w:val="22"/>
              </w:rPr>
              <w:t>gastrointestinálne</w:t>
            </w:r>
            <w:proofErr w:type="spellEnd"/>
            <w:r w:rsidRPr="00A475AF">
              <w:rPr>
                <w:sz w:val="22"/>
                <w:szCs w:val="22"/>
              </w:rPr>
              <w:t xml:space="preserve"> krvácanie, </w:t>
            </w:r>
            <w:proofErr w:type="spellStart"/>
            <w:r w:rsidRPr="00A475AF">
              <w:rPr>
                <w:sz w:val="22"/>
                <w:szCs w:val="22"/>
              </w:rPr>
              <w:t>meléna</w:t>
            </w:r>
            <w:proofErr w:type="spellEnd"/>
            <w:r w:rsidRPr="00A475AF">
              <w:rPr>
                <w:sz w:val="22"/>
                <w:szCs w:val="22"/>
              </w:rPr>
              <w:t xml:space="preserve">, </w:t>
            </w:r>
            <w:proofErr w:type="spellStart"/>
            <w:r w:rsidRPr="00A475AF">
              <w:rPr>
                <w:sz w:val="22"/>
                <w:szCs w:val="22"/>
              </w:rPr>
              <w:t>hemateméza</w:t>
            </w:r>
            <w:proofErr w:type="spellEnd"/>
            <w:r w:rsidRPr="00A475AF">
              <w:rPr>
                <w:sz w:val="22"/>
                <w:szCs w:val="22"/>
              </w:rPr>
              <w:t xml:space="preserve">, niekedy fatálne, najmä u starších osôb (pozri časť 4.4). </w:t>
            </w:r>
            <w:proofErr w:type="spellStart"/>
            <w:r w:rsidRPr="00A475AF">
              <w:rPr>
                <w:sz w:val="22"/>
                <w:szCs w:val="22"/>
              </w:rPr>
              <w:t>Ulcerózna</w:t>
            </w:r>
            <w:proofErr w:type="spellEnd"/>
            <w:r w:rsidRPr="00A475AF">
              <w:rPr>
                <w:sz w:val="22"/>
                <w:szCs w:val="22"/>
              </w:rPr>
              <w:t xml:space="preserve"> </w:t>
            </w:r>
            <w:proofErr w:type="spellStart"/>
            <w:r w:rsidRPr="00A475AF">
              <w:rPr>
                <w:sz w:val="22"/>
                <w:szCs w:val="22"/>
              </w:rPr>
              <w:t>stomatitída</w:t>
            </w:r>
            <w:proofErr w:type="spellEnd"/>
            <w:r w:rsidRPr="00A475AF">
              <w:rPr>
                <w:sz w:val="22"/>
                <w:szCs w:val="22"/>
              </w:rPr>
              <w:t>, gastritída.</w:t>
            </w:r>
          </w:p>
          <w:p w14:paraId="38270476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</w:p>
        </w:tc>
      </w:tr>
      <w:tr w:rsidR="007C50D4" w:rsidRPr="00A475AF" w14:paraId="4D9E3FDF" w14:textId="77777777" w:rsidTr="00C17CE9">
        <w:trPr>
          <w:cantSplit/>
          <w:trHeight w:val="582"/>
        </w:trPr>
        <w:tc>
          <w:tcPr>
            <w:tcW w:w="1919" w:type="dxa"/>
            <w:vMerge/>
          </w:tcPr>
          <w:p w14:paraId="5BA138F9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192" w:type="dxa"/>
            <w:vAlign w:val="center"/>
          </w:tcPr>
          <w:p w14:paraId="53137D46" w14:textId="77777777" w:rsidR="007C50D4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neznáme</w:t>
            </w:r>
          </w:p>
        </w:tc>
        <w:tc>
          <w:tcPr>
            <w:tcW w:w="0" w:type="auto"/>
          </w:tcPr>
          <w:p w14:paraId="2DB9D7F3" w14:textId="77777777" w:rsidR="007C50D4" w:rsidRPr="00A475AF" w:rsidRDefault="007C50D4" w:rsidP="00DB4E78">
            <w:pPr>
              <w:rPr>
                <w:sz w:val="22"/>
                <w:szCs w:val="22"/>
              </w:rPr>
            </w:pPr>
            <w:proofErr w:type="spellStart"/>
            <w:r w:rsidRPr="00A475AF">
              <w:rPr>
                <w:sz w:val="22"/>
                <w:szCs w:val="22"/>
              </w:rPr>
              <w:t>Exacerbácia</w:t>
            </w:r>
            <w:proofErr w:type="spellEnd"/>
            <w:r w:rsidRPr="00A475AF">
              <w:rPr>
                <w:sz w:val="22"/>
                <w:szCs w:val="22"/>
              </w:rPr>
              <w:t xml:space="preserve"> </w:t>
            </w:r>
            <w:proofErr w:type="spellStart"/>
            <w:r w:rsidRPr="00A475AF">
              <w:rPr>
                <w:sz w:val="22"/>
                <w:szCs w:val="22"/>
              </w:rPr>
              <w:t>ulceróznej</w:t>
            </w:r>
            <w:proofErr w:type="spellEnd"/>
            <w:r w:rsidRPr="00A475AF">
              <w:rPr>
                <w:sz w:val="22"/>
                <w:szCs w:val="22"/>
              </w:rPr>
              <w:t xml:space="preserve"> </w:t>
            </w:r>
            <w:proofErr w:type="spellStart"/>
            <w:r w:rsidRPr="00A475AF">
              <w:rPr>
                <w:sz w:val="22"/>
                <w:szCs w:val="22"/>
              </w:rPr>
              <w:t>kolitídy</w:t>
            </w:r>
            <w:proofErr w:type="spellEnd"/>
            <w:r w:rsidRPr="00A475AF">
              <w:rPr>
                <w:sz w:val="22"/>
                <w:szCs w:val="22"/>
              </w:rPr>
              <w:t xml:space="preserve"> a </w:t>
            </w:r>
            <w:proofErr w:type="spellStart"/>
            <w:r w:rsidRPr="00A475AF">
              <w:rPr>
                <w:sz w:val="22"/>
                <w:szCs w:val="22"/>
              </w:rPr>
              <w:t>Crohnovej</w:t>
            </w:r>
            <w:proofErr w:type="spellEnd"/>
            <w:r w:rsidRPr="00A475AF">
              <w:rPr>
                <w:sz w:val="22"/>
                <w:szCs w:val="22"/>
              </w:rPr>
              <w:t xml:space="preserve"> choroby (pozri časť 4.4).</w:t>
            </w:r>
          </w:p>
        </w:tc>
      </w:tr>
      <w:tr w:rsidR="002E41B9" w:rsidRPr="00A475AF" w14:paraId="2DA63752" w14:textId="77777777" w:rsidTr="00C17CE9">
        <w:trPr>
          <w:trHeight w:val="329"/>
        </w:trPr>
        <w:tc>
          <w:tcPr>
            <w:tcW w:w="1919" w:type="dxa"/>
          </w:tcPr>
          <w:p w14:paraId="4B052980" w14:textId="77777777" w:rsidR="002E41B9" w:rsidRPr="00A475AF" w:rsidRDefault="00961D30" w:rsidP="00AA23A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noProof/>
                <w:sz w:val="22"/>
                <w:szCs w:val="22"/>
              </w:rPr>
              <w:t>Poruchy pečene a</w:t>
            </w:r>
            <w:r w:rsidR="00AA23A8" w:rsidRPr="00A475AF">
              <w:rPr>
                <w:noProof/>
                <w:sz w:val="22"/>
                <w:szCs w:val="22"/>
              </w:rPr>
              <w:t> </w:t>
            </w:r>
            <w:r w:rsidRPr="00A475AF">
              <w:rPr>
                <w:noProof/>
                <w:sz w:val="22"/>
                <w:szCs w:val="22"/>
              </w:rPr>
              <w:t>žlčových ciest</w:t>
            </w:r>
          </w:p>
        </w:tc>
        <w:tc>
          <w:tcPr>
            <w:tcW w:w="1192" w:type="dxa"/>
          </w:tcPr>
          <w:p w14:paraId="2015E506" w14:textId="77777777" w:rsidR="002E41B9" w:rsidRPr="00A475AF" w:rsidRDefault="00693ED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02FFE2A3" w14:textId="77777777" w:rsidR="002E41B9" w:rsidRPr="00A475AF" w:rsidRDefault="00961D30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sz w:val="22"/>
                <w:szCs w:val="22"/>
              </w:rPr>
              <w:t>poruchy pečene</w:t>
            </w:r>
          </w:p>
        </w:tc>
      </w:tr>
      <w:tr w:rsidR="00C17CE9" w:rsidRPr="00A475AF" w14:paraId="21729108" w14:textId="77777777" w:rsidTr="00C17CE9">
        <w:trPr>
          <w:cantSplit/>
          <w:trHeight w:val="225"/>
        </w:trPr>
        <w:tc>
          <w:tcPr>
            <w:tcW w:w="1919" w:type="dxa"/>
            <w:vMerge w:val="restart"/>
          </w:tcPr>
          <w:p w14:paraId="5CA50FCB" w14:textId="77777777" w:rsidR="00C17CE9" w:rsidRPr="00A475AF" w:rsidRDefault="00C17CE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noProof/>
                <w:sz w:val="22"/>
                <w:szCs w:val="22"/>
              </w:rPr>
              <w:t>Poruchy kože a podkožného tkaniva</w:t>
            </w:r>
          </w:p>
        </w:tc>
        <w:tc>
          <w:tcPr>
            <w:tcW w:w="1192" w:type="dxa"/>
          </w:tcPr>
          <w:p w14:paraId="435BC8C5" w14:textId="77777777" w:rsidR="00C17CE9" w:rsidRPr="00A475AF" w:rsidRDefault="00C17CE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menej časté</w:t>
            </w:r>
          </w:p>
        </w:tc>
        <w:tc>
          <w:tcPr>
            <w:tcW w:w="0" w:type="auto"/>
          </w:tcPr>
          <w:p w14:paraId="3332083B" w14:textId="77777777" w:rsidR="00C17CE9" w:rsidRPr="00A475AF" w:rsidRDefault="00C17CE9" w:rsidP="00DB4E78">
            <w:pPr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rôzne kožné vyrážky</w:t>
            </w:r>
          </w:p>
        </w:tc>
      </w:tr>
      <w:tr w:rsidR="00C17CE9" w:rsidRPr="00A475AF" w14:paraId="0D321043" w14:textId="77777777" w:rsidTr="00C17CE9">
        <w:trPr>
          <w:cantSplit/>
          <w:trHeight w:val="225"/>
        </w:trPr>
        <w:tc>
          <w:tcPr>
            <w:tcW w:w="1919" w:type="dxa"/>
            <w:vMerge/>
          </w:tcPr>
          <w:p w14:paraId="4332B254" w14:textId="77777777" w:rsidR="00C17CE9" w:rsidRPr="00A475AF" w:rsidRDefault="00C17CE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</w:tcPr>
          <w:p w14:paraId="0AF012DE" w14:textId="77777777" w:rsidR="00C17CE9" w:rsidRPr="00A475AF" w:rsidRDefault="00C17CE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1A3D6F93" w14:textId="77777777" w:rsidR="00C17CE9" w:rsidRDefault="00C17CE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 xml:space="preserve">Môžu sa objaviť závažné formy kožných reakcií, ako sú </w:t>
            </w:r>
            <w:proofErr w:type="spellStart"/>
            <w:r w:rsidRPr="00A475AF">
              <w:rPr>
                <w:sz w:val="22"/>
                <w:szCs w:val="22"/>
              </w:rPr>
              <w:t>bulózne</w:t>
            </w:r>
            <w:proofErr w:type="spellEnd"/>
            <w:r w:rsidRPr="00A475AF">
              <w:rPr>
                <w:sz w:val="22"/>
                <w:szCs w:val="22"/>
              </w:rPr>
              <w:t xml:space="preserve"> reakcie, vrátane </w:t>
            </w:r>
            <w:proofErr w:type="spellStart"/>
            <w:r w:rsidRPr="00A475AF">
              <w:rPr>
                <w:sz w:val="22"/>
                <w:szCs w:val="22"/>
              </w:rPr>
              <w:t>Stevensovho-Johnsonovho</w:t>
            </w:r>
            <w:proofErr w:type="spellEnd"/>
            <w:r w:rsidRPr="00A475AF">
              <w:rPr>
                <w:sz w:val="22"/>
                <w:szCs w:val="22"/>
              </w:rPr>
              <w:t xml:space="preserve"> syndrómu, </w:t>
            </w:r>
            <w:proofErr w:type="spellStart"/>
            <w:r w:rsidRPr="00A475AF">
              <w:rPr>
                <w:sz w:val="22"/>
                <w:szCs w:val="22"/>
              </w:rPr>
              <w:t>multiformný</w:t>
            </w:r>
            <w:proofErr w:type="spellEnd"/>
            <w:r w:rsidRPr="00A475AF">
              <w:rPr>
                <w:sz w:val="22"/>
                <w:szCs w:val="22"/>
              </w:rPr>
              <w:t xml:space="preserve"> </w:t>
            </w:r>
            <w:proofErr w:type="spellStart"/>
            <w:r w:rsidRPr="00A475AF">
              <w:rPr>
                <w:sz w:val="22"/>
                <w:szCs w:val="22"/>
              </w:rPr>
              <w:t>erytém</w:t>
            </w:r>
            <w:proofErr w:type="spellEnd"/>
            <w:r w:rsidRPr="00A475AF">
              <w:rPr>
                <w:sz w:val="22"/>
                <w:szCs w:val="22"/>
              </w:rPr>
              <w:t xml:space="preserve"> a toxická </w:t>
            </w:r>
            <w:proofErr w:type="spellStart"/>
            <w:r w:rsidRPr="00A475AF">
              <w:rPr>
                <w:sz w:val="22"/>
                <w:szCs w:val="22"/>
              </w:rPr>
              <w:t>epidermálna</w:t>
            </w:r>
            <w:proofErr w:type="spellEnd"/>
            <w:r w:rsidRPr="00A475AF">
              <w:rPr>
                <w:sz w:val="22"/>
                <w:szCs w:val="22"/>
              </w:rPr>
              <w:t xml:space="preserve"> </w:t>
            </w:r>
            <w:proofErr w:type="spellStart"/>
            <w:r w:rsidRPr="00A475AF">
              <w:rPr>
                <w:sz w:val="22"/>
                <w:szCs w:val="22"/>
              </w:rPr>
              <w:t>nekrolýza</w:t>
            </w:r>
            <w:proofErr w:type="spellEnd"/>
            <w:r w:rsidRPr="00A475AF">
              <w:rPr>
                <w:sz w:val="22"/>
                <w:szCs w:val="22"/>
              </w:rPr>
              <w:t>.</w:t>
            </w:r>
          </w:p>
          <w:p w14:paraId="371073AA" w14:textId="0AAA2585" w:rsidR="00C17CE9" w:rsidRPr="00A475AF" w:rsidRDefault="00C17CE9" w:rsidP="00B66F5A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Fotosenzitívna</w:t>
            </w:r>
            <w:proofErr w:type="spellEnd"/>
            <w:r>
              <w:rPr>
                <w:sz w:val="22"/>
                <w:szCs w:val="22"/>
              </w:rPr>
              <w:t xml:space="preserve"> reakcia kože.</w:t>
            </w:r>
          </w:p>
        </w:tc>
      </w:tr>
      <w:tr w:rsidR="00C17CE9" w:rsidRPr="00A475AF" w14:paraId="2C8C53F9" w14:textId="77777777" w:rsidTr="00C17CE9">
        <w:trPr>
          <w:cantSplit/>
          <w:trHeight w:val="225"/>
        </w:trPr>
        <w:tc>
          <w:tcPr>
            <w:tcW w:w="1919" w:type="dxa"/>
            <w:vMerge/>
          </w:tcPr>
          <w:p w14:paraId="5C677563" w14:textId="77777777" w:rsidR="00C17CE9" w:rsidRPr="00A475AF" w:rsidRDefault="00C17CE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192" w:type="dxa"/>
          </w:tcPr>
          <w:p w14:paraId="080F4470" w14:textId="6A49BA28" w:rsidR="00C17CE9" w:rsidRPr="00A475AF" w:rsidRDefault="00C17CE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neznáme</w:t>
            </w:r>
          </w:p>
        </w:tc>
        <w:tc>
          <w:tcPr>
            <w:tcW w:w="0" w:type="auto"/>
          </w:tcPr>
          <w:p w14:paraId="4CC13EA0" w14:textId="38D61892" w:rsidR="00C17CE9" w:rsidRPr="00A475AF" w:rsidRDefault="00C17CE9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>
              <w:t xml:space="preserve">lieková reakcia s </w:t>
            </w:r>
            <w:proofErr w:type="spellStart"/>
            <w:r>
              <w:t>eozinofíliou</w:t>
            </w:r>
            <w:proofErr w:type="spellEnd"/>
            <w:r>
              <w:t xml:space="preserve"> a systémovými príznakmi (syndróm DRESS)</w:t>
            </w:r>
            <w:bookmarkStart w:id="0" w:name="_GoBack"/>
            <w:bookmarkEnd w:id="0"/>
          </w:p>
        </w:tc>
      </w:tr>
      <w:tr w:rsidR="00975712" w:rsidRPr="00A475AF" w14:paraId="73DB7BAF" w14:textId="77777777" w:rsidTr="00C17CE9">
        <w:trPr>
          <w:cantSplit/>
          <w:trHeight w:val="370"/>
        </w:trPr>
        <w:tc>
          <w:tcPr>
            <w:tcW w:w="1919" w:type="dxa"/>
            <w:vMerge w:val="restart"/>
          </w:tcPr>
          <w:p w14:paraId="54A6831A" w14:textId="77777777" w:rsidR="00975712" w:rsidRPr="00A475AF" w:rsidRDefault="00975712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Poruchy obličiek a močových ciest</w:t>
            </w:r>
          </w:p>
        </w:tc>
        <w:tc>
          <w:tcPr>
            <w:tcW w:w="1192" w:type="dxa"/>
          </w:tcPr>
          <w:p w14:paraId="13004F18" w14:textId="77777777" w:rsidR="00975712" w:rsidRPr="00A475AF" w:rsidRDefault="00975712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0DE70C9C" w14:textId="77777777" w:rsidR="00975712" w:rsidRPr="00A475AF" w:rsidRDefault="00975712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 xml:space="preserve">Akútne zlyhanie obličiek, </w:t>
            </w:r>
            <w:proofErr w:type="spellStart"/>
            <w:r w:rsidRPr="00A475AF">
              <w:rPr>
                <w:sz w:val="22"/>
                <w:szCs w:val="22"/>
              </w:rPr>
              <w:t>papilárna</w:t>
            </w:r>
            <w:proofErr w:type="spellEnd"/>
            <w:r w:rsidRPr="00A475AF">
              <w:rPr>
                <w:sz w:val="22"/>
                <w:szCs w:val="22"/>
              </w:rPr>
              <w:t xml:space="preserve"> </w:t>
            </w:r>
            <w:proofErr w:type="spellStart"/>
            <w:r w:rsidRPr="00A475AF">
              <w:rPr>
                <w:sz w:val="22"/>
                <w:szCs w:val="22"/>
              </w:rPr>
              <w:t>nekróza</w:t>
            </w:r>
            <w:proofErr w:type="spellEnd"/>
            <w:r w:rsidRPr="00A475AF">
              <w:rPr>
                <w:sz w:val="22"/>
                <w:szCs w:val="22"/>
              </w:rPr>
              <w:t xml:space="preserve">, zvlášť pri dlhodobom používaní, spojené so zvýšenou sérovou koncentráciou </w:t>
            </w:r>
            <w:proofErr w:type="spellStart"/>
            <w:r w:rsidRPr="00A475AF">
              <w:rPr>
                <w:sz w:val="22"/>
                <w:szCs w:val="22"/>
              </w:rPr>
              <w:t>urey</w:t>
            </w:r>
            <w:proofErr w:type="spellEnd"/>
            <w:r w:rsidRPr="00A475AF">
              <w:rPr>
                <w:sz w:val="22"/>
                <w:szCs w:val="22"/>
              </w:rPr>
              <w:t xml:space="preserve"> a edém.</w:t>
            </w:r>
          </w:p>
        </w:tc>
      </w:tr>
      <w:tr w:rsidR="00975712" w:rsidRPr="00A475AF" w14:paraId="251BB68C" w14:textId="77777777" w:rsidTr="00C17CE9">
        <w:trPr>
          <w:cantSplit/>
          <w:trHeight w:val="369"/>
        </w:trPr>
        <w:tc>
          <w:tcPr>
            <w:tcW w:w="1919" w:type="dxa"/>
            <w:vMerge/>
          </w:tcPr>
          <w:p w14:paraId="4624DF8F" w14:textId="77777777" w:rsidR="00975712" w:rsidRPr="00A475AF" w:rsidRDefault="00975712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</w:p>
        </w:tc>
        <w:tc>
          <w:tcPr>
            <w:tcW w:w="1192" w:type="dxa"/>
          </w:tcPr>
          <w:p w14:paraId="0FA15BE0" w14:textId="77777777" w:rsidR="00975712" w:rsidRPr="00A475AF" w:rsidRDefault="00975712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neznáme</w:t>
            </w:r>
          </w:p>
        </w:tc>
        <w:tc>
          <w:tcPr>
            <w:tcW w:w="0" w:type="auto"/>
          </w:tcPr>
          <w:p w14:paraId="3C4E5B92" w14:textId="77777777" w:rsidR="00975712" w:rsidRPr="00A475AF" w:rsidRDefault="00975712" w:rsidP="00975712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porucha funkcie obličiek</w:t>
            </w:r>
          </w:p>
        </w:tc>
      </w:tr>
      <w:tr w:rsidR="00A27EDA" w:rsidRPr="00A475AF" w14:paraId="30C49931" w14:textId="77777777" w:rsidTr="00C17CE9">
        <w:trPr>
          <w:cantSplit/>
          <w:trHeight w:val="766"/>
        </w:trPr>
        <w:tc>
          <w:tcPr>
            <w:tcW w:w="1919" w:type="dxa"/>
          </w:tcPr>
          <w:p w14:paraId="3336EFC7" w14:textId="77777777" w:rsidR="00A27EDA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noProof/>
                <w:color w:val="000000"/>
                <w:sz w:val="22"/>
                <w:szCs w:val="22"/>
                <w:lang w:eastAsia="sk-SK"/>
              </w:rPr>
            </w:pPr>
            <w:r w:rsidRPr="00A475AF">
              <w:rPr>
                <w:noProof/>
                <w:color w:val="000000"/>
                <w:sz w:val="22"/>
                <w:szCs w:val="22"/>
                <w:lang w:eastAsia="sk-SK"/>
              </w:rPr>
              <w:t>Laboratórne a funkčné vyšetrenia</w:t>
            </w:r>
          </w:p>
        </w:tc>
        <w:tc>
          <w:tcPr>
            <w:tcW w:w="1192" w:type="dxa"/>
          </w:tcPr>
          <w:p w14:paraId="5D9973BE" w14:textId="77777777" w:rsidR="00A27EDA" w:rsidRPr="00A475AF" w:rsidRDefault="007C50D4" w:rsidP="00DB4E78">
            <w:pPr>
              <w:tabs>
                <w:tab w:val="left" w:pos="0"/>
              </w:tabs>
              <w:autoSpaceDE w:val="0"/>
              <w:autoSpaceDN w:val="0"/>
              <w:adjustRightInd w:val="0"/>
              <w:outlineLvl w:val="0"/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veľmi zriedkavé</w:t>
            </w:r>
          </w:p>
        </w:tc>
        <w:tc>
          <w:tcPr>
            <w:tcW w:w="0" w:type="auto"/>
          </w:tcPr>
          <w:p w14:paraId="62FA20AE" w14:textId="77777777" w:rsidR="00A27EDA" w:rsidRPr="00A475AF" w:rsidRDefault="007C50D4" w:rsidP="00DB4E78">
            <w:pPr>
              <w:rPr>
                <w:sz w:val="22"/>
                <w:szCs w:val="22"/>
              </w:rPr>
            </w:pPr>
            <w:r w:rsidRPr="00A475AF">
              <w:rPr>
                <w:sz w:val="22"/>
                <w:szCs w:val="22"/>
              </w:rPr>
              <w:t>znížená hladina hemoglobínu</w:t>
            </w:r>
          </w:p>
        </w:tc>
      </w:tr>
    </w:tbl>
    <w:p w14:paraId="0135A873" w14:textId="77777777" w:rsidR="002E41B9" w:rsidRPr="00A475AF" w:rsidRDefault="002E41B9" w:rsidP="00DB4E78">
      <w:pPr>
        <w:rPr>
          <w:sz w:val="22"/>
          <w:szCs w:val="22"/>
        </w:rPr>
      </w:pPr>
    </w:p>
    <w:p w14:paraId="028BE75F" w14:textId="77777777" w:rsidR="004C6776" w:rsidRPr="00A475AF" w:rsidRDefault="00911456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>Klinické štúdie naznač</w:t>
      </w:r>
      <w:r w:rsidR="00E34A3C" w:rsidRPr="00A475AF">
        <w:rPr>
          <w:bCs/>
          <w:sz w:val="22"/>
          <w:szCs w:val="22"/>
        </w:rPr>
        <w:t>ili</w:t>
      </w:r>
      <w:r w:rsidRPr="00A475AF">
        <w:rPr>
          <w:bCs/>
          <w:sz w:val="22"/>
          <w:szCs w:val="22"/>
        </w:rPr>
        <w:t xml:space="preserve">, že </w:t>
      </w:r>
      <w:r w:rsidR="00E34A3C" w:rsidRPr="00A475AF">
        <w:rPr>
          <w:bCs/>
          <w:sz w:val="22"/>
          <w:szCs w:val="22"/>
        </w:rPr>
        <w:t>po</w:t>
      </w:r>
      <w:r w:rsidRPr="00A475AF">
        <w:rPr>
          <w:bCs/>
          <w:sz w:val="22"/>
          <w:szCs w:val="22"/>
        </w:rPr>
        <w:t xml:space="preserve">užívanie </w:t>
      </w:r>
      <w:proofErr w:type="spellStart"/>
      <w:r w:rsidRPr="00A475AF">
        <w:rPr>
          <w:bCs/>
          <w:sz w:val="22"/>
          <w:szCs w:val="22"/>
        </w:rPr>
        <w:t>ibuprof</w:t>
      </w:r>
      <w:r w:rsidR="005F4F0C" w:rsidRPr="00A475AF">
        <w:rPr>
          <w:bCs/>
          <w:sz w:val="22"/>
          <w:szCs w:val="22"/>
        </w:rPr>
        <w:t>é</w:t>
      </w:r>
      <w:r w:rsidRPr="00A475AF">
        <w:rPr>
          <w:bCs/>
          <w:sz w:val="22"/>
          <w:szCs w:val="22"/>
        </w:rPr>
        <w:t>nu</w:t>
      </w:r>
      <w:proofErr w:type="spellEnd"/>
      <w:r w:rsidR="00E34A3C" w:rsidRPr="00A475AF">
        <w:rPr>
          <w:bCs/>
          <w:sz w:val="22"/>
          <w:szCs w:val="22"/>
        </w:rPr>
        <w:t>,</w:t>
      </w:r>
      <w:r w:rsidR="008D63FA" w:rsidRPr="00A475AF">
        <w:rPr>
          <w:bCs/>
          <w:sz w:val="22"/>
          <w:szCs w:val="22"/>
        </w:rPr>
        <w:t xml:space="preserve"> najmä vo</w:t>
      </w:r>
      <w:r w:rsidRPr="00A475AF">
        <w:rPr>
          <w:bCs/>
          <w:sz w:val="22"/>
          <w:szCs w:val="22"/>
        </w:rPr>
        <w:t xml:space="preserve"> vysoký</w:t>
      </w:r>
      <w:r w:rsidR="008D63FA" w:rsidRPr="00A475AF">
        <w:rPr>
          <w:bCs/>
          <w:sz w:val="22"/>
          <w:szCs w:val="22"/>
        </w:rPr>
        <w:t>ch</w:t>
      </w:r>
      <w:r w:rsidRPr="00A475AF">
        <w:rPr>
          <w:bCs/>
          <w:sz w:val="22"/>
          <w:szCs w:val="22"/>
        </w:rPr>
        <w:t xml:space="preserve"> dávka</w:t>
      </w:r>
      <w:r w:rsidR="008D63FA" w:rsidRPr="00A475AF">
        <w:rPr>
          <w:bCs/>
          <w:sz w:val="22"/>
          <w:szCs w:val="22"/>
        </w:rPr>
        <w:t>ch</w:t>
      </w:r>
      <w:r w:rsidRPr="00A475AF">
        <w:rPr>
          <w:bCs/>
          <w:sz w:val="22"/>
          <w:szCs w:val="22"/>
        </w:rPr>
        <w:t xml:space="preserve"> </w:t>
      </w:r>
      <w:r w:rsidR="00E34A3C" w:rsidRPr="00A475AF">
        <w:rPr>
          <w:bCs/>
          <w:sz w:val="22"/>
          <w:szCs w:val="22"/>
        </w:rPr>
        <w:t>(</w:t>
      </w:r>
      <w:r w:rsidRPr="00A475AF">
        <w:rPr>
          <w:bCs/>
          <w:sz w:val="22"/>
          <w:szCs w:val="22"/>
        </w:rPr>
        <w:t>2</w:t>
      </w:r>
      <w:r w:rsidR="00B134D4" w:rsidRPr="00A475AF">
        <w:rPr>
          <w:bCs/>
          <w:sz w:val="22"/>
          <w:szCs w:val="22"/>
        </w:rPr>
        <w:t> </w:t>
      </w:r>
      <w:r w:rsidRPr="00A475AF">
        <w:rPr>
          <w:bCs/>
          <w:sz w:val="22"/>
          <w:szCs w:val="22"/>
        </w:rPr>
        <w:t>400 mg</w:t>
      </w:r>
      <w:r w:rsidR="00B134D4" w:rsidRPr="00A475AF">
        <w:rPr>
          <w:bCs/>
          <w:sz w:val="22"/>
          <w:szCs w:val="22"/>
        </w:rPr>
        <w:t xml:space="preserve"> </w:t>
      </w:r>
      <w:r w:rsidRPr="00A475AF">
        <w:rPr>
          <w:bCs/>
          <w:sz w:val="22"/>
          <w:szCs w:val="22"/>
        </w:rPr>
        <w:t>de</w:t>
      </w:r>
      <w:r w:rsidR="008D63FA" w:rsidRPr="00A475AF">
        <w:rPr>
          <w:bCs/>
          <w:sz w:val="22"/>
          <w:szCs w:val="22"/>
        </w:rPr>
        <w:t>nne</w:t>
      </w:r>
      <w:r w:rsidRPr="00A475AF">
        <w:rPr>
          <w:bCs/>
          <w:sz w:val="22"/>
          <w:szCs w:val="22"/>
        </w:rPr>
        <w:t>) môže byť spojen</w:t>
      </w:r>
      <w:r w:rsidR="008D63FA" w:rsidRPr="00A475AF">
        <w:rPr>
          <w:bCs/>
          <w:sz w:val="22"/>
          <w:szCs w:val="22"/>
        </w:rPr>
        <w:t>é</w:t>
      </w:r>
      <w:r w:rsidRPr="00A475AF">
        <w:rPr>
          <w:bCs/>
          <w:sz w:val="22"/>
          <w:szCs w:val="22"/>
        </w:rPr>
        <w:t xml:space="preserve"> s </w:t>
      </w:r>
      <w:r w:rsidR="00E34A3C" w:rsidRPr="00A475AF">
        <w:rPr>
          <w:bCs/>
          <w:sz w:val="22"/>
          <w:szCs w:val="22"/>
        </w:rPr>
        <w:t>malým</w:t>
      </w:r>
      <w:r w:rsidRPr="00A475AF">
        <w:rPr>
          <w:bCs/>
          <w:sz w:val="22"/>
          <w:szCs w:val="22"/>
        </w:rPr>
        <w:t xml:space="preserve"> zvýšen</w:t>
      </w:r>
      <w:r w:rsidR="00E34A3C" w:rsidRPr="00A475AF">
        <w:rPr>
          <w:bCs/>
          <w:sz w:val="22"/>
          <w:szCs w:val="22"/>
        </w:rPr>
        <w:t>ý</w:t>
      </w:r>
      <w:r w:rsidRPr="00A475AF">
        <w:rPr>
          <w:bCs/>
          <w:sz w:val="22"/>
          <w:szCs w:val="22"/>
        </w:rPr>
        <w:t>m rizik</w:t>
      </w:r>
      <w:r w:rsidR="00E34A3C" w:rsidRPr="00A475AF">
        <w:rPr>
          <w:bCs/>
          <w:sz w:val="22"/>
          <w:szCs w:val="22"/>
        </w:rPr>
        <w:t>om</w:t>
      </w:r>
      <w:r w:rsidRPr="00A475AF">
        <w:rPr>
          <w:bCs/>
          <w:sz w:val="22"/>
          <w:szCs w:val="22"/>
        </w:rPr>
        <w:t xml:space="preserve"> </w:t>
      </w:r>
      <w:proofErr w:type="spellStart"/>
      <w:r w:rsidRPr="00A475AF">
        <w:rPr>
          <w:bCs/>
          <w:sz w:val="22"/>
          <w:szCs w:val="22"/>
        </w:rPr>
        <w:t>arteriálnych</w:t>
      </w:r>
      <w:proofErr w:type="spellEnd"/>
      <w:r w:rsidRPr="00A475AF">
        <w:rPr>
          <w:bCs/>
          <w:sz w:val="22"/>
          <w:szCs w:val="22"/>
        </w:rPr>
        <w:t xml:space="preserve"> </w:t>
      </w:r>
      <w:proofErr w:type="spellStart"/>
      <w:r w:rsidRPr="00A475AF">
        <w:rPr>
          <w:bCs/>
          <w:sz w:val="22"/>
          <w:szCs w:val="22"/>
        </w:rPr>
        <w:t>trombotických</w:t>
      </w:r>
      <w:proofErr w:type="spellEnd"/>
      <w:r w:rsidRPr="00A475AF">
        <w:rPr>
          <w:bCs/>
          <w:sz w:val="22"/>
          <w:szCs w:val="22"/>
        </w:rPr>
        <w:t xml:space="preserve"> </w:t>
      </w:r>
      <w:r w:rsidR="00E34A3C" w:rsidRPr="00A475AF">
        <w:rPr>
          <w:bCs/>
          <w:sz w:val="22"/>
          <w:szCs w:val="22"/>
        </w:rPr>
        <w:t>udalostí</w:t>
      </w:r>
      <w:r w:rsidRPr="00A475AF">
        <w:rPr>
          <w:bCs/>
          <w:sz w:val="22"/>
          <w:szCs w:val="22"/>
        </w:rPr>
        <w:t xml:space="preserve"> (napr</w:t>
      </w:r>
      <w:r w:rsidR="008D63FA" w:rsidRPr="00A475AF">
        <w:rPr>
          <w:bCs/>
          <w:sz w:val="22"/>
          <w:szCs w:val="22"/>
        </w:rPr>
        <w:t>íklad</w:t>
      </w:r>
      <w:r w:rsidRPr="00A475AF">
        <w:rPr>
          <w:bCs/>
          <w:sz w:val="22"/>
          <w:szCs w:val="22"/>
        </w:rPr>
        <w:t xml:space="preserve"> infarkt</w:t>
      </w:r>
      <w:r w:rsidR="008D63FA" w:rsidRPr="00A475AF">
        <w:rPr>
          <w:bCs/>
          <w:sz w:val="22"/>
          <w:szCs w:val="22"/>
        </w:rPr>
        <w:t>u</w:t>
      </w:r>
      <w:r w:rsidRPr="00A475AF">
        <w:rPr>
          <w:bCs/>
          <w:sz w:val="22"/>
          <w:szCs w:val="22"/>
        </w:rPr>
        <w:t xml:space="preserve"> myokardu alebo mozgov</w:t>
      </w:r>
      <w:r w:rsidR="00E34A3C" w:rsidRPr="00A475AF">
        <w:rPr>
          <w:bCs/>
          <w:sz w:val="22"/>
          <w:szCs w:val="22"/>
        </w:rPr>
        <w:t>á</w:t>
      </w:r>
      <w:r w:rsidRPr="00A475AF">
        <w:rPr>
          <w:bCs/>
          <w:sz w:val="22"/>
          <w:szCs w:val="22"/>
        </w:rPr>
        <w:t xml:space="preserve"> príhod</w:t>
      </w:r>
      <w:r w:rsidR="00E34A3C" w:rsidRPr="00A475AF">
        <w:rPr>
          <w:bCs/>
          <w:sz w:val="22"/>
          <w:szCs w:val="22"/>
        </w:rPr>
        <w:t>a</w:t>
      </w:r>
      <w:r w:rsidRPr="00A475AF">
        <w:rPr>
          <w:bCs/>
          <w:sz w:val="22"/>
          <w:szCs w:val="22"/>
        </w:rPr>
        <w:t>) (pozri časť 4.4).</w:t>
      </w:r>
    </w:p>
    <w:p w14:paraId="4C37E5B4" w14:textId="77777777" w:rsidR="001D3260" w:rsidRPr="00A475AF" w:rsidRDefault="001D3260" w:rsidP="00DB4E78">
      <w:pPr>
        <w:rPr>
          <w:bCs/>
          <w:sz w:val="22"/>
          <w:szCs w:val="22"/>
        </w:rPr>
      </w:pPr>
    </w:p>
    <w:p w14:paraId="17740697" w14:textId="77777777" w:rsidR="001D3260" w:rsidRPr="00A475AF" w:rsidRDefault="001D3260" w:rsidP="001D3260">
      <w:pPr>
        <w:rPr>
          <w:sz w:val="22"/>
          <w:szCs w:val="22"/>
        </w:rPr>
      </w:pPr>
      <w:r w:rsidRPr="00A475AF">
        <w:rPr>
          <w:sz w:val="22"/>
          <w:szCs w:val="22"/>
          <w:vertAlign w:val="superscript"/>
        </w:rPr>
        <w:lastRenderedPageBreak/>
        <w:t>1</w:t>
      </w:r>
      <w:r w:rsidRPr="00A475AF">
        <w:rPr>
          <w:sz w:val="22"/>
          <w:szCs w:val="22"/>
        </w:rPr>
        <w:t>Boli hlásené reakcie z precitlivenosti a tie sa môžu prejaviť ako</w:t>
      </w:r>
    </w:p>
    <w:p w14:paraId="592D9211" w14:textId="77777777" w:rsidR="001D3260" w:rsidRPr="00A475AF" w:rsidRDefault="001D3260" w:rsidP="001D3260">
      <w:pPr>
        <w:numPr>
          <w:ilvl w:val="2"/>
          <w:numId w:val="1"/>
        </w:numPr>
        <w:rPr>
          <w:sz w:val="22"/>
          <w:szCs w:val="22"/>
        </w:rPr>
      </w:pPr>
      <w:r w:rsidRPr="00A475AF">
        <w:rPr>
          <w:sz w:val="22"/>
          <w:szCs w:val="22"/>
        </w:rPr>
        <w:t>nešpecifické alergické reakcie a anafylaxia,</w:t>
      </w:r>
    </w:p>
    <w:p w14:paraId="44496D64" w14:textId="77777777" w:rsidR="001D3260" w:rsidRPr="00A475AF" w:rsidRDefault="001D3260" w:rsidP="001D3260">
      <w:pPr>
        <w:numPr>
          <w:ilvl w:val="2"/>
          <w:numId w:val="1"/>
        </w:numPr>
        <w:rPr>
          <w:sz w:val="22"/>
          <w:szCs w:val="22"/>
        </w:rPr>
      </w:pPr>
      <w:r w:rsidRPr="00A475AF">
        <w:rPr>
          <w:sz w:val="22"/>
          <w:szCs w:val="22"/>
        </w:rPr>
        <w:t xml:space="preserve">reaktivita dýchacích ciest, napríklad astma, zhoršenie astmy, </w:t>
      </w:r>
      <w:proofErr w:type="spellStart"/>
      <w:r w:rsidRPr="00A475AF">
        <w:rPr>
          <w:sz w:val="22"/>
          <w:szCs w:val="22"/>
        </w:rPr>
        <w:t>bronchospazmus</w:t>
      </w:r>
      <w:proofErr w:type="spellEnd"/>
      <w:r w:rsidRPr="00A475AF">
        <w:rPr>
          <w:sz w:val="22"/>
          <w:szCs w:val="22"/>
        </w:rPr>
        <w:t>, dýchavičnosť,</w:t>
      </w:r>
    </w:p>
    <w:p w14:paraId="4FF67FA7" w14:textId="77777777" w:rsidR="001D3260" w:rsidRPr="00A475AF" w:rsidRDefault="001D3260" w:rsidP="001D3260">
      <w:pPr>
        <w:numPr>
          <w:ilvl w:val="2"/>
          <w:numId w:val="1"/>
        </w:numPr>
        <w:rPr>
          <w:sz w:val="22"/>
          <w:szCs w:val="22"/>
        </w:rPr>
      </w:pPr>
      <w:r w:rsidRPr="00A475AF">
        <w:rPr>
          <w:sz w:val="22"/>
          <w:szCs w:val="22"/>
        </w:rPr>
        <w:t xml:space="preserve">rôzne kožné </w:t>
      </w:r>
      <w:r w:rsidR="00C41D4A" w:rsidRPr="00A475AF">
        <w:rPr>
          <w:sz w:val="22"/>
          <w:szCs w:val="22"/>
        </w:rPr>
        <w:t>ochorenia</w:t>
      </w:r>
      <w:r w:rsidRPr="00A475AF">
        <w:rPr>
          <w:sz w:val="22"/>
          <w:szCs w:val="22"/>
        </w:rPr>
        <w:t xml:space="preserve">, </w:t>
      </w:r>
      <w:r w:rsidR="00C41D4A" w:rsidRPr="00A475AF">
        <w:rPr>
          <w:sz w:val="22"/>
          <w:szCs w:val="22"/>
        </w:rPr>
        <w:t xml:space="preserve">vrátane rôznych typov vyrážok, </w:t>
      </w:r>
      <w:r w:rsidRPr="00A475AF">
        <w:rPr>
          <w:sz w:val="22"/>
          <w:szCs w:val="22"/>
        </w:rPr>
        <w:t xml:space="preserve">napríklad svrbenie, žihľavka, </w:t>
      </w:r>
      <w:proofErr w:type="spellStart"/>
      <w:r w:rsidR="00C41D4A" w:rsidRPr="00A475AF">
        <w:rPr>
          <w:sz w:val="22"/>
          <w:szCs w:val="22"/>
        </w:rPr>
        <w:t>purpura</w:t>
      </w:r>
      <w:proofErr w:type="spellEnd"/>
      <w:r w:rsidR="00C41D4A" w:rsidRPr="00A475AF">
        <w:rPr>
          <w:sz w:val="22"/>
          <w:szCs w:val="22"/>
        </w:rPr>
        <w:t xml:space="preserve">, </w:t>
      </w:r>
      <w:r w:rsidRPr="00A475AF">
        <w:rPr>
          <w:sz w:val="22"/>
          <w:szCs w:val="22"/>
        </w:rPr>
        <w:t xml:space="preserve">angioedém a veľmi zriedkavo </w:t>
      </w:r>
      <w:proofErr w:type="spellStart"/>
      <w:r w:rsidRPr="00A475AF">
        <w:rPr>
          <w:sz w:val="22"/>
          <w:szCs w:val="22"/>
        </w:rPr>
        <w:t>exfoliatívne</w:t>
      </w:r>
      <w:proofErr w:type="spellEnd"/>
      <w:r w:rsidRPr="00A475AF">
        <w:rPr>
          <w:sz w:val="22"/>
          <w:szCs w:val="22"/>
        </w:rPr>
        <w:t xml:space="preserve"> a </w:t>
      </w:r>
      <w:proofErr w:type="spellStart"/>
      <w:r w:rsidRPr="00A475AF">
        <w:rPr>
          <w:sz w:val="22"/>
          <w:szCs w:val="22"/>
        </w:rPr>
        <w:t>bulózne</w:t>
      </w:r>
      <w:proofErr w:type="spellEnd"/>
      <w:r w:rsidRPr="00A475AF">
        <w:rPr>
          <w:sz w:val="22"/>
          <w:szCs w:val="22"/>
        </w:rPr>
        <w:t xml:space="preserve"> </w:t>
      </w:r>
      <w:proofErr w:type="spellStart"/>
      <w:r w:rsidRPr="00A475AF">
        <w:rPr>
          <w:sz w:val="22"/>
          <w:szCs w:val="22"/>
        </w:rPr>
        <w:t>dermatózy</w:t>
      </w:r>
      <w:proofErr w:type="spellEnd"/>
      <w:r w:rsidRPr="00A475AF">
        <w:rPr>
          <w:sz w:val="22"/>
          <w:szCs w:val="22"/>
        </w:rPr>
        <w:t xml:space="preserve"> (vrátane </w:t>
      </w:r>
      <w:proofErr w:type="spellStart"/>
      <w:r w:rsidRPr="00A475AF">
        <w:rPr>
          <w:sz w:val="22"/>
          <w:szCs w:val="22"/>
        </w:rPr>
        <w:t>epidermálnej</w:t>
      </w:r>
      <w:proofErr w:type="spellEnd"/>
      <w:r w:rsidRPr="00A475AF">
        <w:rPr>
          <w:sz w:val="22"/>
          <w:szCs w:val="22"/>
        </w:rPr>
        <w:t xml:space="preserve"> </w:t>
      </w:r>
      <w:proofErr w:type="spellStart"/>
      <w:r w:rsidRPr="00A475AF">
        <w:rPr>
          <w:sz w:val="22"/>
          <w:szCs w:val="22"/>
        </w:rPr>
        <w:t>nekrolýzy</w:t>
      </w:r>
      <w:proofErr w:type="spellEnd"/>
      <w:r w:rsidRPr="00A475AF">
        <w:rPr>
          <w:sz w:val="22"/>
          <w:szCs w:val="22"/>
        </w:rPr>
        <w:t xml:space="preserve"> a </w:t>
      </w:r>
      <w:proofErr w:type="spellStart"/>
      <w:r w:rsidRPr="00A475AF">
        <w:rPr>
          <w:sz w:val="22"/>
          <w:szCs w:val="22"/>
        </w:rPr>
        <w:t>multiformného</w:t>
      </w:r>
      <w:proofErr w:type="spellEnd"/>
      <w:r w:rsidRPr="00A475AF">
        <w:rPr>
          <w:sz w:val="22"/>
          <w:szCs w:val="22"/>
        </w:rPr>
        <w:t xml:space="preserve"> </w:t>
      </w:r>
      <w:proofErr w:type="spellStart"/>
      <w:r w:rsidRPr="00A475AF">
        <w:rPr>
          <w:sz w:val="22"/>
          <w:szCs w:val="22"/>
        </w:rPr>
        <w:t>erytému</w:t>
      </w:r>
      <w:proofErr w:type="spellEnd"/>
      <w:r w:rsidRPr="00A475AF">
        <w:rPr>
          <w:sz w:val="22"/>
          <w:szCs w:val="22"/>
        </w:rPr>
        <w:t>).</w:t>
      </w:r>
    </w:p>
    <w:p w14:paraId="3E8BF9D7" w14:textId="77777777" w:rsidR="001D3260" w:rsidRPr="00A475AF" w:rsidRDefault="001D3260" w:rsidP="00DB4E78">
      <w:pPr>
        <w:rPr>
          <w:sz w:val="22"/>
          <w:szCs w:val="22"/>
        </w:rPr>
      </w:pPr>
    </w:p>
    <w:p w14:paraId="1AFC9496" w14:textId="77777777" w:rsidR="001D3260" w:rsidRPr="00A475AF" w:rsidRDefault="001D3260" w:rsidP="00DB4E78">
      <w:pPr>
        <w:rPr>
          <w:sz w:val="22"/>
          <w:szCs w:val="22"/>
        </w:rPr>
      </w:pPr>
      <w:r w:rsidRPr="00A475AF">
        <w:rPr>
          <w:sz w:val="22"/>
          <w:szCs w:val="22"/>
          <w:vertAlign w:val="superscript"/>
        </w:rPr>
        <w:t>2</w:t>
      </w:r>
      <w:r w:rsidR="00E80574" w:rsidRPr="00A475AF">
        <w:rPr>
          <w:sz w:val="22"/>
          <w:szCs w:val="22"/>
        </w:rPr>
        <w:t xml:space="preserve">Patogénny mechanizmus aseptickej </w:t>
      </w:r>
      <w:proofErr w:type="spellStart"/>
      <w:r w:rsidR="00E80574" w:rsidRPr="00A475AF">
        <w:rPr>
          <w:sz w:val="22"/>
          <w:szCs w:val="22"/>
        </w:rPr>
        <w:t>meningitídy</w:t>
      </w:r>
      <w:proofErr w:type="spellEnd"/>
      <w:r w:rsidR="00E80574" w:rsidRPr="00A475AF">
        <w:rPr>
          <w:sz w:val="22"/>
          <w:szCs w:val="22"/>
        </w:rPr>
        <w:t xml:space="preserve"> vyvolaný liekmi nie je celkom objasnený. Avšak dostupné údaje o NSAID v súvislosti s aseptickou </w:t>
      </w:r>
      <w:proofErr w:type="spellStart"/>
      <w:r w:rsidR="00E80574" w:rsidRPr="00A475AF">
        <w:rPr>
          <w:sz w:val="22"/>
          <w:szCs w:val="22"/>
        </w:rPr>
        <w:t>meningitídou</w:t>
      </w:r>
      <w:proofErr w:type="spellEnd"/>
      <w:r w:rsidR="007C4347" w:rsidRPr="00A475AF">
        <w:rPr>
          <w:sz w:val="22"/>
          <w:szCs w:val="22"/>
        </w:rPr>
        <w:t xml:space="preserve"> poukazujú na reakcie z precitlivenosti (vzhľadom k časovej súvislosti s podaním lieku a vymiznutie príznakov po vysadení lieku).</w:t>
      </w:r>
      <w:r w:rsidR="000762E0" w:rsidRPr="00A475AF">
        <w:rPr>
          <w:sz w:val="22"/>
          <w:szCs w:val="22"/>
        </w:rPr>
        <w:t xml:space="preserve"> Poznamenávame, že jednotlivé prípady symptómov aseptickej </w:t>
      </w:r>
      <w:proofErr w:type="spellStart"/>
      <w:r w:rsidR="000762E0" w:rsidRPr="00A475AF">
        <w:rPr>
          <w:sz w:val="22"/>
          <w:szCs w:val="22"/>
        </w:rPr>
        <w:t>meningitídy</w:t>
      </w:r>
      <w:proofErr w:type="spellEnd"/>
      <w:r w:rsidR="000762E0" w:rsidRPr="00A475AF">
        <w:rPr>
          <w:sz w:val="22"/>
          <w:szCs w:val="22"/>
        </w:rPr>
        <w:t xml:space="preserve"> (ako je stuhnutý krk, bolesti hlavy, nevoľnosť, vracanie, horúčka alebo dezorientácia) boli pozorované počas liečby </w:t>
      </w:r>
      <w:proofErr w:type="spellStart"/>
      <w:r w:rsidR="000762E0" w:rsidRPr="00A475AF">
        <w:rPr>
          <w:sz w:val="22"/>
          <w:szCs w:val="22"/>
        </w:rPr>
        <w:t>ibuprof</w:t>
      </w:r>
      <w:r w:rsidR="005F4F0C" w:rsidRPr="00A475AF">
        <w:rPr>
          <w:sz w:val="22"/>
          <w:szCs w:val="22"/>
        </w:rPr>
        <w:t>é</w:t>
      </w:r>
      <w:r w:rsidR="000762E0" w:rsidRPr="00A475AF">
        <w:rPr>
          <w:sz w:val="22"/>
          <w:szCs w:val="22"/>
        </w:rPr>
        <w:t>nom</w:t>
      </w:r>
      <w:proofErr w:type="spellEnd"/>
      <w:r w:rsidR="000762E0" w:rsidRPr="00A475AF">
        <w:rPr>
          <w:sz w:val="22"/>
          <w:szCs w:val="22"/>
        </w:rPr>
        <w:t xml:space="preserve"> u pacientov s existujúcimi </w:t>
      </w:r>
      <w:proofErr w:type="spellStart"/>
      <w:r w:rsidR="000762E0" w:rsidRPr="00A475AF">
        <w:rPr>
          <w:sz w:val="22"/>
          <w:szCs w:val="22"/>
        </w:rPr>
        <w:t>autoimúnnymi</w:t>
      </w:r>
      <w:proofErr w:type="spellEnd"/>
      <w:r w:rsidR="000762E0" w:rsidRPr="00A475AF">
        <w:rPr>
          <w:sz w:val="22"/>
          <w:szCs w:val="22"/>
        </w:rPr>
        <w:t xml:space="preserve"> poruchami, (ako systémový </w:t>
      </w:r>
      <w:proofErr w:type="spellStart"/>
      <w:r w:rsidR="000762E0" w:rsidRPr="00A475AF">
        <w:rPr>
          <w:sz w:val="22"/>
          <w:szCs w:val="22"/>
        </w:rPr>
        <w:t>lupus</w:t>
      </w:r>
      <w:proofErr w:type="spellEnd"/>
      <w:r w:rsidR="000762E0" w:rsidRPr="00A475AF">
        <w:rPr>
          <w:sz w:val="22"/>
          <w:szCs w:val="22"/>
        </w:rPr>
        <w:t xml:space="preserve"> </w:t>
      </w:r>
      <w:proofErr w:type="spellStart"/>
      <w:r w:rsidR="000762E0" w:rsidRPr="00A475AF">
        <w:rPr>
          <w:sz w:val="22"/>
          <w:szCs w:val="22"/>
        </w:rPr>
        <w:t>erythematosus</w:t>
      </w:r>
      <w:proofErr w:type="spellEnd"/>
      <w:r w:rsidR="000762E0" w:rsidRPr="00A475AF">
        <w:rPr>
          <w:sz w:val="22"/>
          <w:szCs w:val="22"/>
        </w:rPr>
        <w:t>, zmiešané ochorenia spojivového tkaniva).</w:t>
      </w:r>
    </w:p>
    <w:p w14:paraId="66DCEC0C" w14:textId="77777777" w:rsidR="005368EA" w:rsidRPr="00A475AF" w:rsidRDefault="005368EA" w:rsidP="00DB4E78">
      <w:pPr>
        <w:rPr>
          <w:sz w:val="22"/>
          <w:szCs w:val="22"/>
        </w:rPr>
      </w:pPr>
    </w:p>
    <w:p w14:paraId="445872FB" w14:textId="77777777" w:rsidR="007844D2" w:rsidRPr="00A475AF" w:rsidRDefault="007844D2" w:rsidP="0070322D">
      <w:pPr>
        <w:keepNext/>
        <w:rPr>
          <w:sz w:val="22"/>
          <w:szCs w:val="22"/>
          <w:u w:val="single"/>
        </w:rPr>
      </w:pPr>
      <w:r w:rsidRPr="00A475AF">
        <w:rPr>
          <w:noProof/>
          <w:sz w:val="22"/>
          <w:szCs w:val="22"/>
          <w:u w:val="single"/>
        </w:rPr>
        <w:t>Hlásenie podozrení na nežiaduce reakcie</w:t>
      </w:r>
    </w:p>
    <w:p w14:paraId="103FF33C" w14:textId="77777777" w:rsidR="007844D2" w:rsidRPr="00A475AF" w:rsidRDefault="007844D2" w:rsidP="0070322D">
      <w:pPr>
        <w:keepNext/>
        <w:suppressLineNumbers/>
        <w:autoSpaceDE w:val="0"/>
        <w:autoSpaceDN w:val="0"/>
        <w:adjustRightInd w:val="0"/>
        <w:rPr>
          <w:noProof/>
          <w:sz w:val="22"/>
          <w:szCs w:val="22"/>
        </w:rPr>
      </w:pPr>
      <w:r w:rsidRPr="00A475AF">
        <w:rPr>
          <w:noProof/>
          <w:sz w:val="22"/>
          <w:szCs w:val="22"/>
        </w:rPr>
        <w:t>Hlásenie podozrení na nežiaduce reakcie po registrácii lieku je dôležité.</w:t>
      </w:r>
      <w:r w:rsidRPr="00A475AF">
        <w:rPr>
          <w:sz w:val="22"/>
          <w:szCs w:val="22"/>
        </w:rPr>
        <w:t xml:space="preserve"> </w:t>
      </w:r>
      <w:r w:rsidRPr="00A475AF">
        <w:rPr>
          <w:noProof/>
          <w:sz w:val="22"/>
          <w:szCs w:val="22"/>
        </w:rPr>
        <w:t>Umožňuje priebežné monitorovanie pomeru prínosu a rizika lieku.</w:t>
      </w:r>
      <w:r w:rsidRPr="00A475AF">
        <w:rPr>
          <w:sz w:val="22"/>
          <w:szCs w:val="22"/>
        </w:rPr>
        <w:t xml:space="preserve"> Od </w:t>
      </w:r>
      <w:r w:rsidRPr="00A475AF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0852FE" w:rsidRPr="00A475AF">
        <w:rPr>
          <w:noProof/>
          <w:sz w:val="22"/>
          <w:szCs w:val="22"/>
        </w:rPr>
        <w:t>na</w:t>
      </w:r>
      <w:r w:rsidRPr="00A475AF">
        <w:rPr>
          <w:noProof/>
          <w:sz w:val="22"/>
          <w:szCs w:val="22"/>
        </w:rPr>
        <w:t xml:space="preserve"> </w:t>
      </w:r>
      <w:r w:rsidRPr="00A475AF">
        <w:rPr>
          <w:noProof/>
          <w:sz w:val="22"/>
          <w:szCs w:val="22"/>
          <w:highlight w:val="lightGray"/>
        </w:rPr>
        <w:t xml:space="preserve">národné </w:t>
      </w:r>
      <w:r w:rsidR="000852FE" w:rsidRPr="00A475AF">
        <w:rPr>
          <w:noProof/>
          <w:sz w:val="22"/>
          <w:szCs w:val="22"/>
          <w:highlight w:val="lightGray"/>
        </w:rPr>
        <w:t xml:space="preserve">centrum </w:t>
      </w:r>
      <w:r w:rsidRPr="00A475AF">
        <w:rPr>
          <w:noProof/>
          <w:sz w:val="22"/>
          <w:szCs w:val="22"/>
          <w:highlight w:val="lightGray"/>
        </w:rPr>
        <w:t>hlásenia uvedené v </w:t>
      </w:r>
      <w:hyperlink r:id="rId8" w:history="1">
        <w:r w:rsidRPr="00A475AF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A475AF">
        <w:rPr>
          <w:noProof/>
          <w:sz w:val="22"/>
          <w:szCs w:val="22"/>
        </w:rPr>
        <w:t>.</w:t>
      </w:r>
    </w:p>
    <w:p w14:paraId="0062F56E" w14:textId="77777777" w:rsidR="007844D2" w:rsidRPr="00A475AF" w:rsidRDefault="007844D2" w:rsidP="00DB4E78">
      <w:pPr>
        <w:rPr>
          <w:bCs/>
          <w:sz w:val="22"/>
          <w:szCs w:val="22"/>
        </w:rPr>
      </w:pPr>
    </w:p>
    <w:p w14:paraId="6F6E2C03" w14:textId="77777777" w:rsidR="007844D2" w:rsidRPr="00A475AF" w:rsidRDefault="007844D2" w:rsidP="00DB4E78">
      <w:pPr>
        <w:keepNext/>
        <w:numPr>
          <w:ilvl w:val="1"/>
          <w:numId w:val="2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Predávkovanie</w:t>
      </w:r>
    </w:p>
    <w:p w14:paraId="709B71FD" w14:textId="77777777" w:rsidR="007844D2" w:rsidRPr="00A475AF" w:rsidRDefault="007844D2" w:rsidP="00DB4E78">
      <w:pPr>
        <w:rPr>
          <w:sz w:val="22"/>
          <w:szCs w:val="22"/>
        </w:rPr>
      </w:pPr>
    </w:p>
    <w:p w14:paraId="1670EBBA" w14:textId="77777777" w:rsidR="008D63FA" w:rsidRPr="00A475AF" w:rsidRDefault="00301887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Užitie viac ako 400 mg/kg môže u detí spôsobiť symptómy. U dospelých je reakcia na dávku menej jednoznačná</w:t>
      </w:r>
      <w:r w:rsidR="008D63FA" w:rsidRPr="00A475AF">
        <w:rPr>
          <w:sz w:val="22"/>
          <w:szCs w:val="22"/>
        </w:rPr>
        <w:t>.</w:t>
      </w:r>
      <w:r w:rsidRPr="00A475AF">
        <w:rPr>
          <w:sz w:val="22"/>
          <w:szCs w:val="22"/>
        </w:rPr>
        <w:t xml:space="preserve"> </w:t>
      </w:r>
      <w:r w:rsidR="008D63FA" w:rsidRPr="00A475AF">
        <w:rPr>
          <w:sz w:val="22"/>
          <w:szCs w:val="22"/>
        </w:rPr>
        <w:t>Polčas pri predávkovaní je 1,5</w:t>
      </w:r>
      <w:r w:rsidR="00601C23" w:rsidRPr="00A475AF">
        <w:rPr>
          <w:sz w:val="22"/>
          <w:szCs w:val="22"/>
        </w:rPr>
        <w:t>-</w:t>
      </w:r>
      <w:r w:rsidR="008D63FA" w:rsidRPr="00A475AF">
        <w:rPr>
          <w:sz w:val="22"/>
          <w:szCs w:val="22"/>
        </w:rPr>
        <w:t>3 hodiny.</w:t>
      </w:r>
    </w:p>
    <w:p w14:paraId="050FF8F2" w14:textId="77777777" w:rsidR="008D63FA" w:rsidRPr="00A475AF" w:rsidRDefault="008D63FA" w:rsidP="00DB4E78">
      <w:pPr>
        <w:rPr>
          <w:sz w:val="22"/>
          <w:szCs w:val="22"/>
        </w:rPr>
      </w:pPr>
    </w:p>
    <w:p w14:paraId="50CDFC22" w14:textId="77777777" w:rsidR="00301887" w:rsidRPr="00A475AF" w:rsidRDefault="00301887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t>Symptómy</w:t>
      </w:r>
    </w:p>
    <w:p w14:paraId="094E823E" w14:textId="77777777" w:rsidR="00301887" w:rsidRPr="00A475AF" w:rsidRDefault="00301887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U väčšiny pacientov, ktorí požili klinicky významné množstvá NSAID sa prejavila iba nevoľnosť, vracanie, bolesť v </w:t>
      </w:r>
      <w:proofErr w:type="spellStart"/>
      <w:r w:rsidRPr="00A475AF">
        <w:rPr>
          <w:sz w:val="22"/>
          <w:szCs w:val="22"/>
        </w:rPr>
        <w:t>epigastriu</w:t>
      </w:r>
      <w:proofErr w:type="spellEnd"/>
      <w:r w:rsidRPr="00A475AF">
        <w:rPr>
          <w:sz w:val="22"/>
          <w:szCs w:val="22"/>
        </w:rPr>
        <w:t xml:space="preserve"> alebo zriedkavejšie hnačka. Môž</w:t>
      </w:r>
      <w:r w:rsidR="00220919" w:rsidRPr="00A475AF">
        <w:rPr>
          <w:sz w:val="22"/>
          <w:szCs w:val="22"/>
        </w:rPr>
        <w:t>e</w:t>
      </w:r>
      <w:r w:rsidRPr="00A475AF">
        <w:rPr>
          <w:sz w:val="22"/>
          <w:szCs w:val="22"/>
        </w:rPr>
        <w:t xml:space="preserve"> sa objaviť </w:t>
      </w:r>
      <w:r w:rsidR="00220919" w:rsidRPr="00A475AF">
        <w:rPr>
          <w:sz w:val="22"/>
          <w:szCs w:val="22"/>
        </w:rPr>
        <w:t>tiež</w:t>
      </w:r>
      <w:r w:rsidRPr="00A475AF">
        <w:rPr>
          <w:sz w:val="22"/>
          <w:szCs w:val="22"/>
        </w:rPr>
        <w:t xml:space="preserve"> </w:t>
      </w:r>
      <w:proofErr w:type="spellStart"/>
      <w:r w:rsidRPr="00A475AF">
        <w:rPr>
          <w:sz w:val="22"/>
          <w:szCs w:val="22"/>
        </w:rPr>
        <w:t>tinitus</w:t>
      </w:r>
      <w:proofErr w:type="spellEnd"/>
      <w:r w:rsidRPr="00A475AF">
        <w:rPr>
          <w:sz w:val="22"/>
          <w:szCs w:val="22"/>
        </w:rPr>
        <w:t>, bolesť hlavy a</w:t>
      </w:r>
      <w:r w:rsidR="00601C23" w:rsidRPr="00A475AF">
        <w:rPr>
          <w:sz w:val="22"/>
          <w:szCs w:val="22"/>
        </w:rPr>
        <w:t> </w:t>
      </w:r>
      <w:proofErr w:type="spellStart"/>
      <w:r w:rsidRPr="00A475AF">
        <w:rPr>
          <w:sz w:val="22"/>
          <w:szCs w:val="22"/>
        </w:rPr>
        <w:t>gastrointestinálne</w:t>
      </w:r>
      <w:proofErr w:type="spellEnd"/>
      <w:r w:rsidRPr="00A475AF">
        <w:rPr>
          <w:sz w:val="22"/>
          <w:szCs w:val="22"/>
        </w:rPr>
        <w:t xml:space="preserve"> krvácanie. V </w:t>
      </w:r>
      <w:r w:rsidR="00220919" w:rsidRPr="00A475AF">
        <w:rPr>
          <w:sz w:val="22"/>
          <w:szCs w:val="22"/>
        </w:rPr>
        <w:t>zá</w:t>
      </w:r>
      <w:r w:rsidRPr="00A475AF">
        <w:rPr>
          <w:sz w:val="22"/>
          <w:szCs w:val="22"/>
        </w:rPr>
        <w:t>v</w:t>
      </w:r>
      <w:r w:rsidR="00220919" w:rsidRPr="00A475AF">
        <w:rPr>
          <w:sz w:val="22"/>
          <w:szCs w:val="22"/>
        </w:rPr>
        <w:t>a</w:t>
      </w:r>
      <w:r w:rsidRPr="00A475AF">
        <w:rPr>
          <w:sz w:val="22"/>
          <w:szCs w:val="22"/>
        </w:rPr>
        <w:t xml:space="preserve">žnejších prípadoch otravy sa vyskytujú toxické účinky na centrálny nervový systém, ktoré sa prejavujú ako zvýšená spavosť, ojedinele </w:t>
      </w:r>
      <w:proofErr w:type="spellStart"/>
      <w:r w:rsidRPr="00A475AF">
        <w:rPr>
          <w:sz w:val="22"/>
          <w:szCs w:val="22"/>
        </w:rPr>
        <w:t>excitácia</w:t>
      </w:r>
      <w:proofErr w:type="spellEnd"/>
      <w:r w:rsidRPr="00A475AF">
        <w:rPr>
          <w:sz w:val="22"/>
          <w:szCs w:val="22"/>
        </w:rPr>
        <w:t xml:space="preserve"> a zmätenosť alebo kóma. </w:t>
      </w:r>
      <w:r w:rsidR="00220919" w:rsidRPr="00A475AF">
        <w:rPr>
          <w:sz w:val="22"/>
          <w:szCs w:val="22"/>
        </w:rPr>
        <w:t>Občas sa u</w:t>
      </w:r>
      <w:r w:rsidRPr="00A475AF">
        <w:rPr>
          <w:sz w:val="22"/>
          <w:szCs w:val="22"/>
        </w:rPr>
        <w:t xml:space="preserve"> pacientov </w:t>
      </w:r>
      <w:r w:rsidR="00220919" w:rsidRPr="00A475AF">
        <w:rPr>
          <w:sz w:val="22"/>
          <w:szCs w:val="22"/>
        </w:rPr>
        <w:t>vyskytnú</w:t>
      </w:r>
      <w:r w:rsidRPr="00A475AF">
        <w:rPr>
          <w:sz w:val="22"/>
          <w:szCs w:val="22"/>
        </w:rPr>
        <w:t xml:space="preserve"> kŕče. Pri závažnejšej otrave </w:t>
      </w:r>
      <w:r w:rsidR="00220919" w:rsidRPr="00A475AF">
        <w:rPr>
          <w:sz w:val="22"/>
          <w:szCs w:val="22"/>
        </w:rPr>
        <w:t xml:space="preserve">sa </w:t>
      </w:r>
      <w:r w:rsidRPr="00A475AF">
        <w:rPr>
          <w:sz w:val="22"/>
          <w:szCs w:val="22"/>
        </w:rPr>
        <w:t xml:space="preserve">môže </w:t>
      </w:r>
      <w:r w:rsidR="00220919" w:rsidRPr="00A475AF">
        <w:rPr>
          <w:sz w:val="22"/>
          <w:szCs w:val="22"/>
        </w:rPr>
        <w:t>vyskytnúť</w:t>
      </w:r>
      <w:r w:rsidRPr="00A475AF">
        <w:rPr>
          <w:sz w:val="22"/>
          <w:szCs w:val="22"/>
        </w:rPr>
        <w:t xml:space="preserve"> metabolick</w:t>
      </w:r>
      <w:r w:rsidR="00220919" w:rsidRPr="00A475AF">
        <w:rPr>
          <w:sz w:val="22"/>
          <w:szCs w:val="22"/>
        </w:rPr>
        <w:t>á</w:t>
      </w:r>
      <w:r w:rsidRPr="00A475AF">
        <w:rPr>
          <w:sz w:val="22"/>
          <w:szCs w:val="22"/>
        </w:rPr>
        <w:t xml:space="preserve"> </w:t>
      </w:r>
      <w:proofErr w:type="spellStart"/>
      <w:r w:rsidRPr="00A475AF">
        <w:rPr>
          <w:sz w:val="22"/>
          <w:szCs w:val="22"/>
        </w:rPr>
        <w:t>acidóz</w:t>
      </w:r>
      <w:r w:rsidR="00220919" w:rsidRPr="00A475AF">
        <w:rPr>
          <w:sz w:val="22"/>
          <w:szCs w:val="22"/>
        </w:rPr>
        <w:t>a</w:t>
      </w:r>
      <w:proofErr w:type="spellEnd"/>
      <w:r w:rsidRPr="00A475AF">
        <w:rPr>
          <w:sz w:val="22"/>
          <w:szCs w:val="22"/>
        </w:rPr>
        <w:t xml:space="preserve"> a </w:t>
      </w:r>
      <w:proofErr w:type="spellStart"/>
      <w:r w:rsidR="00220919" w:rsidRPr="00A475AF">
        <w:rPr>
          <w:sz w:val="22"/>
          <w:szCs w:val="22"/>
        </w:rPr>
        <w:t>protrombínový</w:t>
      </w:r>
      <w:proofErr w:type="spellEnd"/>
      <w:r w:rsidRPr="00A475AF">
        <w:rPr>
          <w:sz w:val="22"/>
          <w:szCs w:val="22"/>
        </w:rPr>
        <w:t xml:space="preserve"> čas/INR</w:t>
      </w:r>
      <w:r w:rsidR="004B2829" w:rsidRPr="00A475AF">
        <w:rPr>
          <w:sz w:val="22"/>
          <w:szCs w:val="22"/>
        </w:rPr>
        <w:t xml:space="preserve"> môže byť predĺžený</w:t>
      </w:r>
      <w:r w:rsidRPr="00A475AF">
        <w:rPr>
          <w:sz w:val="22"/>
          <w:szCs w:val="22"/>
        </w:rPr>
        <w:t xml:space="preserve">, pravdepodobne v dôsledku </w:t>
      </w:r>
      <w:r w:rsidR="004B2829" w:rsidRPr="00A475AF">
        <w:rPr>
          <w:sz w:val="22"/>
          <w:szCs w:val="22"/>
        </w:rPr>
        <w:t>interferencie s účinkami cirkulujúcich faktorov zrážania krvi</w:t>
      </w:r>
      <w:r w:rsidRPr="00A475AF">
        <w:rPr>
          <w:sz w:val="22"/>
          <w:szCs w:val="22"/>
        </w:rPr>
        <w:t>. Môže dôjsť k akútnemu zlyhaniu obličiek a poškodeniu pečene. U pacientov s astmou môže dôjsť k </w:t>
      </w:r>
      <w:proofErr w:type="spellStart"/>
      <w:r w:rsidRPr="00A475AF">
        <w:rPr>
          <w:sz w:val="22"/>
          <w:szCs w:val="22"/>
        </w:rPr>
        <w:t>exacerbácii</w:t>
      </w:r>
      <w:proofErr w:type="spellEnd"/>
      <w:r w:rsidRPr="00A475AF">
        <w:rPr>
          <w:sz w:val="22"/>
          <w:szCs w:val="22"/>
        </w:rPr>
        <w:t xml:space="preserve"> astmy.</w:t>
      </w:r>
    </w:p>
    <w:p w14:paraId="23E7287E" w14:textId="77777777" w:rsidR="00301887" w:rsidRPr="00A475AF" w:rsidRDefault="00301887" w:rsidP="00DB4E78">
      <w:pPr>
        <w:rPr>
          <w:sz w:val="22"/>
          <w:szCs w:val="22"/>
        </w:rPr>
      </w:pPr>
    </w:p>
    <w:p w14:paraId="76092470" w14:textId="77777777" w:rsidR="00301887" w:rsidRPr="00A475AF" w:rsidRDefault="004B2829" w:rsidP="00DB4E78">
      <w:pPr>
        <w:rPr>
          <w:i/>
          <w:sz w:val="22"/>
          <w:szCs w:val="22"/>
          <w:u w:val="single"/>
        </w:rPr>
      </w:pPr>
      <w:r w:rsidRPr="00A475AF">
        <w:rPr>
          <w:i/>
          <w:sz w:val="22"/>
          <w:szCs w:val="22"/>
          <w:u w:val="single"/>
        </w:rPr>
        <w:t>Liečba</w:t>
      </w:r>
      <w:r w:rsidR="00301887" w:rsidRPr="00A475AF">
        <w:rPr>
          <w:i/>
          <w:sz w:val="22"/>
          <w:szCs w:val="22"/>
          <w:u w:val="single"/>
        </w:rPr>
        <w:t xml:space="preserve"> pri predávkovaní</w:t>
      </w:r>
    </w:p>
    <w:p w14:paraId="57C7E581" w14:textId="77777777" w:rsidR="008D63FA" w:rsidRPr="00A475AF" w:rsidRDefault="004B2829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Liečba má byť podporná a symptomatická. Zahŕňa udržovanie priechodných dýchacích ciest a</w:t>
      </w:r>
      <w:r w:rsidR="00601C23" w:rsidRPr="00A475AF">
        <w:rPr>
          <w:sz w:val="22"/>
          <w:szCs w:val="22"/>
        </w:rPr>
        <w:t> </w:t>
      </w:r>
      <w:r w:rsidRPr="00A475AF">
        <w:rPr>
          <w:sz w:val="22"/>
          <w:szCs w:val="22"/>
        </w:rPr>
        <w:t>monitorovanie srdcových a vitálnych funkcií až do stabilizácie.</w:t>
      </w:r>
      <w:r w:rsidR="00C178AA" w:rsidRPr="00A475AF">
        <w:rPr>
          <w:sz w:val="22"/>
          <w:szCs w:val="22"/>
        </w:rPr>
        <w:t xml:space="preserve"> Do 1 hodiny po požití potenciálne toxického množstva treba zvážiť perorálne podanie aktívneho uhlia. V prípade častých </w:t>
      </w:r>
      <w:r w:rsidR="00C9659C" w:rsidRPr="00A475AF">
        <w:rPr>
          <w:sz w:val="22"/>
          <w:szCs w:val="22"/>
        </w:rPr>
        <w:t>al</w:t>
      </w:r>
      <w:r w:rsidR="00C178AA" w:rsidRPr="00A475AF">
        <w:rPr>
          <w:sz w:val="22"/>
          <w:szCs w:val="22"/>
        </w:rPr>
        <w:t xml:space="preserve">ebo predĺžených kŕčov </w:t>
      </w:r>
      <w:r w:rsidR="00C9659C" w:rsidRPr="00A475AF">
        <w:rPr>
          <w:sz w:val="22"/>
          <w:szCs w:val="22"/>
        </w:rPr>
        <w:t xml:space="preserve">má byť podaný </w:t>
      </w:r>
      <w:r w:rsidR="00C178AA" w:rsidRPr="00A475AF">
        <w:rPr>
          <w:sz w:val="22"/>
          <w:szCs w:val="22"/>
        </w:rPr>
        <w:t>intravenózn</w:t>
      </w:r>
      <w:r w:rsidR="00C9659C" w:rsidRPr="00A475AF">
        <w:rPr>
          <w:sz w:val="22"/>
          <w:szCs w:val="22"/>
        </w:rPr>
        <w:t xml:space="preserve">e </w:t>
      </w:r>
      <w:proofErr w:type="spellStart"/>
      <w:r w:rsidR="00C9659C" w:rsidRPr="00A475AF">
        <w:rPr>
          <w:sz w:val="22"/>
          <w:szCs w:val="22"/>
        </w:rPr>
        <w:t>diazepam</w:t>
      </w:r>
      <w:proofErr w:type="spellEnd"/>
      <w:r w:rsidR="00C178AA" w:rsidRPr="00A475AF">
        <w:rPr>
          <w:sz w:val="22"/>
          <w:szCs w:val="22"/>
        </w:rPr>
        <w:t xml:space="preserve"> alebo </w:t>
      </w:r>
      <w:proofErr w:type="spellStart"/>
      <w:r w:rsidR="00C178AA" w:rsidRPr="00A475AF">
        <w:rPr>
          <w:sz w:val="22"/>
          <w:szCs w:val="22"/>
        </w:rPr>
        <w:t>lorazepam</w:t>
      </w:r>
      <w:proofErr w:type="spellEnd"/>
      <w:r w:rsidR="00C178AA" w:rsidRPr="00A475AF">
        <w:rPr>
          <w:sz w:val="22"/>
          <w:szCs w:val="22"/>
        </w:rPr>
        <w:t>. Pri astmatických príznakoch je potre</w:t>
      </w:r>
      <w:r w:rsidR="00C9659C" w:rsidRPr="00A475AF">
        <w:rPr>
          <w:sz w:val="22"/>
          <w:szCs w:val="22"/>
        </w:rPr>
        <w:t xml:space="preserve">bné podať </w:t>
      </w:r>
      <w:proofErr w:type="spellStart"/>
      <w:r w:rsidR="00C9659C" w:rsidRPr="00A475AF">
        <w:rPr>
          <w:sz w:val="22"/>
          <w:szCs w:val="22"/>
        </w:rPr>
        <w:t>bronchodilatanciá</w:t>
      </w:r>
      <w:proofErr w:type="spellEnd"/>
      <w:r w:rsidR="00C178AA" w:rsidRPr="00A475AF">
        <w:rPr>
          <w:sz w:val="22"/>
          <w:szCs w:val="22"/>
        </w:rPr>
        <w:t>.</w:t>
      </w:r>
    </w:p>
    <w:p w14:paraId="2ABC79C7" w14:textId="77777777" w:rsidR="007844D2" w:rsidRPr="00A475AF" w:rsidRDefault="007844D2" w:rsidP="00DB4E78">
      <w:pPr>
        <w:rPr>
          <w:sz w:val="22"/>
          <w:szCs w:val="22"/>
        </w:rPr>
      </w:pPr>
    </w:p>
    <w:p w14:paraId="1B98A10F" w14:textId="77777777" w:rsidR="007844D2" w:rsidRPr="00A475AF" w:rsidRDefault="007844D2" w:rsidP="00DB4E78">
      <w:pPr>
        <w:rPr>
          <w:sz w:val="22"/>
          <w:szCs w:val="22"/>
        </w:rPr>
      </w:pPr>
    </w:p>
    <w:p w14:paraId="49678727" w14:textId="77777777" w:rsidR="007844D2" w:rsidRPr="00A475AF" w:rsidRDefault="00DE6A63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 xml:space="preserve">FARMAKOLOGICKÉ </w:t>
      </w:r>
      <w:r w:rsidR="007844D2" w:rsidRPr="00A475AF">
        <w:rPr>
          <w:b/>
          <w:bCs/>
          <w:sz w:val="22"/>
          <w:szCs w:val="22"/>
        </w:rPr>
        <w:t>VLASTNOSTI</w:t>
      </w:r>
    </w:p>
    <w:p w14:paraId="23B8C0AE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01C4A111" w14:textId="77777777" w:rsidR="007844D2" w:rsidRPr="00A475AF" w:rsidRDefault="007844D2" w:rsidP="00DB4E78">
      <w:pPr>
        <w:keepNext/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rPr>
          <w:b/>
          <w:bCs/>
          <w:sz w:val="22"/>
          <w:szCs w:val="22"/>
        </w:rPr>
      </w:pPr>
      <w:proofErr w:type="spellStart"/>
      <w:r w:rsidRPr="00A475AF">
        <w:rPr>
          <w:b/>
          <w:bCs/>
          <w:sz w:val="22"/>
          <w:szCs w:val="22"/>
        </w:rPr>
        <w:t>Farmakodynamické</w:t>
      </w:r>
      <w:proofErr w:type="spellEnd"/>
      <w:r w:rsidRPr="00A475AF">
        <w:rPr>
          <w:b/>
          <w:bCs/>
          <w:sz w:val="22"/>
          <w:szCs w:val="22"/>
        </w:rPr>
        <w:t xml:space="preserve"> vlastnosti</w:t>
      </w:r>
    </w:p>
    <w:p w14:paraId="6F63B216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5EB3D693" w14:textId="77777777" w:rsidR="007844D2" w:rsidRPr="00A475AF" w:rsidRDefault="007844D2" w:rsidP="00601C23">
      <w:pPr>
        <w:rPr>
          <w:sz w:val="22"/>
          <w:szCs w:val="22"/>
        </w:rPr>
      </w:pPr>
      <w:proofErr w:type="spellStart"/>
      <w:r w:rsidRPr="00A475AF">
        <w:rPr>
          <w:bCs/>
          <w:sz w:val="22"/>
          <w:szCs w:val="22"/>
        </w:rPr>
        <w:t>Farmakoterapeutická</w:t>
      </w:r>
      <w:proofErr w:type="spellEnd"/>
      <w:r w:rsidRPr="00A475AF">
        <w:rPr>
          <w:bCs/>
          <w:sz w:val="22"/>
          <w:szCs w:val="22"/>
        </w:rPr>
        <w:t xml:space="preserve"> skupina:</w:t>
      </w:r>
      <w:r w:rsidR="00DE6A63" w:rsidRPr="00A475AF">
        <w:rPr>
          <w:sz w:val="22"/>
          <w:szCs w:val="22"/>
        </w:rPr>
        <w:t xml:space="preserve"> deriváty kyseliny </w:t>
      </w:r>
      <w:proofErr w:type="spellStart"/>
      <w:r w:rsidR="00DE6A63" w:rsidRPr="00A475AF">
        <w:rPr>
          <w:sz w:val="22"/>
          <w:szCs w:val="22"/>
        </w:rPr>
        <w:t>propiónovej</w:t>
      </w:r>
      <w:proofErr w:type="spellEnd"/>
      <w:r w:rsidR="00601C23" w:rsidRPr="00A475AF">
        <w:rPr>
          <w:sz w:val="22"/>
          <w:szCs w:val="22"/>
        </w:rPr>
        <w:t xml:space="preserve">, </w:t>
      </w:r>
      <w:r w:rsidRPr="00A475AF">
        <w:rPr>
          <w:bCs/>
          <w:sz w:val="22"/>
          <w:szCs w:val="22"/>
        </w:rPr>
        <w:t xml:space="preserve">ATC </w:t>
      </w:r>
      <w:r w:rsidR="00C0248A" w:rsidRPr="00A475AF">
        <w:rPr>
          <w:bCs/>
          <w:sz w:val="22"/>
          <w:szCs w:val="22"/>
        </w:rPr>
        <w:t>kód</w:t>
      </w:r>
      <w:r w:rsidRPr="00A475AF">
        <w:rPr>
          <w:bCs/>
          <w:sz w:val="22"/>
          <w:szCs w:val="22"/>
        </w:rPr>
        <w:t>:</w:t>
      </w:r>
      <w:r w:rsidRPr="00A475AF">
        <w:rPr>
          <w:sz w:val="22"/>
          <w:szCs w:val="22"/>
        </w:rPr>
        <w:t xml:space="preserve"> M01AE01</w:t>
      </w:r>
    </w:p>
    <w:p w14:paraId="343BBB6A" w14:textId="77777777" w:rsidR="007844D2" w:rsidRPr="00A475AF" w:rsidRDefault="007844D2" w:rsidP="00DB4E78">
      <w:pPr>
        <w:rPr>
          <w:sz w:val="22"/>
          <w:szCs w:val="22"/>
        </w:rPr>
      </w:pPr>
    </w:p>
    <w:p w14:paraId="7291AE91" w14:textId="77777777" w:rsidR="00DE6A63" w:rsidRPr="00A475AF" w:rsidRDefault="005F4F0C" w:rsidP="00DB4E78">
      <w:pPr>
        <w:rPr>
          <w:sz w:val="22"/>
          <w:szCs w:val="22"/>
        </w:rPr>
      </w:pPr>
      <w:proofErr w:type="spellStart"/>
      <w:r w:rsidRPr="00A475AF">
        <w:rPr>
          <w:sz w:val="22"/>
          <w:szCs w:val="22"/>
        </w:rPr>
        <w:t>Ibuprofén</w:t>
      </w:r>
      <w:proofErr w:type="spellEnd"/>
      <w:r w:rsidRPr="00A475AF">
        <w:rPr>
          <w:sz w:val="22"/>
          <w:szCs w:val="22"/>
        </w:rPr>
        <w:t xml:space="preserve"> </w:t>
      </w:r>
      <w:r w:rsidR="007844D2" w:rsidRPr="00A475AF">
        <w:rPr>
          <w:sz w:val="22"/>
          <w:szCs w:val="22"/>
        </w:rPr>
        <w:t xml:space="preserve">je derivát kyseliny </w:t>
      </w:r>
      <w:proofErr w:type="spellStart"/>
      <w:r w:rsidR="007844D2" w:rsidRPr="00A475AF">
        <w:rPr>
          <w:sz w:val="22"/>
          <w:szCs w:val="22"/>
        </w:rPr>
        <w:t>propiónovej</w:t>
      </w:r>
      <w:proofErr w:type="spellEnd"/>
      <w:r w:rsidR="00DF2B32" w:rsidRPr="00A475AF">
        <w:rPr>
          <w:sz w:val="22"/>
          <w:szCs w:val="22"/>
        </w:rPr>
        <w:t>,</w:t>
      </w:r>
      <w:r w:rsidR="00DE6A63" w:rsidRPr="00A475AF">
        <w:rPr>
          <w:sz w:val="22"/>
          <w:szCs w:val="22"/>
        </w:rPr>
        <w:t xml:space="preserve"> NSAID, </w:t>
      </w:r>
      <w:r w:rsidR="00C136D1" w:rsidRPr="00A475AF">
        <w:rPr>
          <w:sz w:val="22"/>
          <w:szCs w:val="22"/>
        </w:rPr>
        <w:t>ktor</w:t>
      </w:r>
      <w:r w:rsidR="00DF2B32" w:rsidRPr="00A475AF">
        <w:rPr>
          <w:sz w:val="22"/>
          <w:szCs w:val="22"/>
        </w:rPr>
        <w:t>ý</w:t>
      </w:r>
      <w:r w:rsidR="00C136D1" w:rsidRPr="00A475AF">
        <w:rPr>
          <w:sz w:val="22"/>
          <w:szCs w:val="22"/>
        </w:rPr>
        <w:t xml:space="preserve"> preukázal svoju účinnosť inhibíciou syntézy </w:t>
      </w:r>
      <w:proofErr w:type="spellStart"/>
      <w:r w:rsidR="00C136D1" w:rsidRPr="00A475AF">
        <w:rPr>
          <w:sz w:val="22"/>
          <w:szCs w:val="22"/>
        </w:rPr>
        <w:t>prostaglandínov</w:t>
      </w:r>
      <w:proofErr w:type="spellEnd"/>
      <w:r w:rsidR="007844D2" w:rsidRPr="00A475AF">
        <w:rPr>
          <w:sz w:val="22"/>
          <w:szCs w:val="22"/>
        </w:rPr>
        <w:t xml:space="preserve">. </w:t>
      </w:r>
      <w:r w:rsidR="00C136D1" w:rsidRPr="00A475AF">
        <w:rPr>
          <w:sz w:val="22"/>
          <w:szCs w:val="22"/>
        </w:rPr>
        <w:t xml:space="preserve">U ľudí </w:t>
      </w:r>
      <w:proofErr w:type="spellStart"/>
      <w:r w:rsidRPr="00A475AF">
        <w:rPr>
          <w:sz w:val="22"/>
          <w:szCs w:val="22"/>
        </w:rPr>
        <w:t>ibuprofén</w:t>
      </w:r>
      <w:proofErr w:type="spellEnd"/>
      <w:r w:rsidRPr="00A475AF">
        <w:rPr>
          <w:sz w:val="22"/>
          <w:szCs w:val="22"/>
        </w:rPr>
        <w:t xml:space="preserve"> </w:t>
      </w:r>
      <w:r w:rsidR="00C136D1" w:rsidRPr="00A475AF">
        <w:rPr>
          <w:sz w:val="22"/>
          <w:szCs w:val="22"/>
        </w:rPr>
        <w:t xml:space="preserve">znižuje bolesť, zápal a horúčku. Okrem toho </w:t>
      </w:r>
      <w:proofErr w:type="spellStart"/>
      <w:r w:rsidRPr="00A475AF">
        <w:rPr>
          <w:sz w:val="22"/>
          <w:szCs w:val="22"/>
        </w:rPr>
        <w:t>ibuprofén</w:t>
      </w:r>
      <w:proofErr w:type="spellEnd"/>
      <w:r w:rsidRPr="00A475AF">
        <w:rPr>
          <w:sz w:val="22"/>
          <w:szCs w:val="22"/>
        </w:rPr>
        <w:t xml:space="preserve"> </w:t>
      </w:r>
      <w:r w:rsidR="00C136D1" w:rsidRPr="00A475AF">
        <w:rPr>
          <w:sz w:val="22"/>
          <w:szCs w:val="22"/>
        </w:rPr>
        <w:t xml:space="preserve">reverzibilne </w:t>
      </w:r>
      <w:proofErr w:type="spellStart"/>
      <w:r w:rsidR="00C136D1" w:rsidRPr="00A475AF">
        <w:rPr>
          <w:sz w:val="22"/>
          <w:szCs w:val="22"/>
        </w:rPr>
        <w:t>inhibuje</w:t>
      </w:r>
      <w:proofErr w:type="spellEnd"/>
      <w:r w:rsidR="00C136D1" w:rsidRPr="00A475AF">
        <w:rPr>
          <w:sz w:val="22"/>
          <w:szCs w:val="22"/>
        </w:rPr>
        <w:t xml:space="preserve"> </w:t>
      </w:r>
      <w:proofErr w:type="spellStart"/>
      <w:r w:rsidR="00C136D1" w:rsidRPr="00A475AF">
        <w:rPr>
          <w:sz w:val="22"/>
          <w:szCs w:val="22"/>
        </w:rPr>
        <w:t>agregáciu</w:t>
      </w:r>
      <w:proofErr w:type="spellEnd"/>
      <w:r w:rsidR="00C136D1" w:rsidRPr="00A475AF">
        <w:rPr>
          <w:sz w:val="22"/>
          <w:szCs w:val="22"/>
        </w:rPr>
        <w:t xml:space="preserve"> krvných doštičiek.</w:t>
      </w:r>
    </w:p>
    <w:p w14:paraId="59E2E171" w14:textId="77777777" w:rsidR="00C136D1" w:rsidRPr="00A475AF" w:rsidRDefault="00C136D1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Klinické dôkazy ukazujú, že pri užití 400 mg </w:t>
      </w:r>
      <w:proofErr w:type="spellStart"/>
      <w:r w:rsidR="00A475AF" w:rsidRPr="00A475AF">
        <w:rPr>
          <w:sz w:val="22"/>
          <w:szCs w:val="22"/>
        </w:rPr>
        <w:t>ibuprofénu</w:t>
      </w:r>
      <w:proofErr w:type="spellEnd"/>
      <w:r w:rsidR="00B76F57" w:rsidRPr="00A475AF">
        <w:rPr>
          <w:sz w:val="22"/>
          <w:szCs w:val="22"/>
        </w:rPr>
        <w:t xml:space="preserve"> účinky proti bolesti môžu trvať až 8 hodín.</w:t>
      </w:r>
    </w:p>
    <w:p w14:paraId="6FEF9420" w14:textId="77777777" w:rsidR="007844D2" w:rsidRPr="00A475AF" w:rsidRDefault="007844D2" w:rsidP="00DB4E78">
      <w:pPr>
        <w:rPr>
          <w:sz w:val="22"/>
          <w:szCs w:val="22"/>
        </w:rPr>
      </w:pPr>
    </w:p>
    <w:p w14:paraId="551274ED" w14:textId="5A59EDBD" w:rsidR="007844D2" w:rsidRPr="00A475AF" w:rsidRDefault="00B76F57" w:rsidP="00792D82">
      <w:pPr>
        <w:autoSpaceDE w:val="0"/>
        <w:autoSpaceDN w:val="0"/>
        <w:adjustRightInd w:val="0"/>
        <w:rPr>
          <w:sz w:val="22"/>
          <w:szCs w:val="22"/>
          <w:lang w:eastAsia="sk-SK"/>
        </w:rPr>
      </w:pPr>
      <w:r w:rsidRPr="00A475AF">
        <w:rPr>
          <w:sz w:val="22"/>
          <w:szCs w:val="22"/>
        </w:rPr>
        <w:lastRenderedPageBreak/>
        <w:t>Experimentálne údaje naznačujú,</w:t>
      </w:r>
      <w:r w:rsidRPr="00A475AF">
        <w:rPr>
          <w:spacing w:val="-3"/>
          <w:sz w:val="22"/>
          <w:szCs w:val="22"/>
        </w:rPr>
        <w:t xml:space="preserve"> že </w:t>
      </w:r>
      <w:proofErr w:type="spellStart"/>
      <w:r w:rsidR="005F4F0C" w:rsidRPr="00A475AF">
        <w:rPr>
          <w:spacing w:val="-3"/>
          <w:sz w:val="22"/>
          <w:szCs w:val="22"/>
        </w:rPr>
        <w:t>ibuprofén</w:t>
      </w:r>
      <w:proofErr w:type="spellEnd"/>
      <w:r w:rsidR="005F4F0C" w:rsidRPr="00A475AF">
        <w:rPr>
          <w:spacing w:val="-3"/>
          <w:sz w:val="22"/>
          <w:szCs w:val="22"/>
        </w:rPr>
        <w:t xml:space="preserve"> </w:t>
      </w:r>
      <w:r w:rsidRPr="00A475AF">
        <w:rPr>
          <w:spacing w:val="-3"/>
          <w:sz w:val="22"/>
          <w:szCs w:val="22"/>
        </w:rPr>
        <w:t xml:space="preserve">môže </w:t>
      </w:r>
      <w:r w:rsidR="00E34A3C" w:rsidRPr="00A475AF">
        <w:rPr>
          <w:sz w:val="22"/>
          <w:szCs w:val="22"/>
        </w:rPr>
        <w:t xml:space="preserve">pri súčasnom dávkovaní </w:t>
      </w:r>
      <w:proofErr w:type="spellStart"/>
      <w:r w:rsidR="000762E0" w:rsidRPr="00A475AF">
        <w:rPr>
          <w:spacing w:val="-3"/>
          <w:sz w:val="22"/>
          <w:szCs w:val="22"/>
        </w:rPr>
        <w:t>kompetetívne</w:t>
      </w:r>
      <w:proofErr w:type="spellEnd"/>
      <w:r w:rsidR="000762E0" w:rsidRPr="00A475AF">
        <w:rPr>
          <w:spacing w:val="-3"/>
          <w:sz w:val="22"/>
          <w:szCs w:val="22"/>
        </w:rPr>
        <w:t xml:space="preserve"> </w:t>
      </w:r>
      <w:proofErr w:type="spellStart"/>
      <w:r w:rsidRPr="00A475AF">
        <w:rPr>
          <w:spacing w:val="-3"/>
          <w:sz w:val="22"/>
          <w:szCs w:val="22"/>
        </w:rPr>
        <w:t>inhibovať</w:t>
      </w:r>
      <w:proofErr w:type="spellEnd"/>
      <w:r w:rsidRPr="00A475AF">
        <w:rPr>
          <w:spacing w:val="-3"/>
          <w:sz w:val="22"/>
          <w:szCs w:val="22"/>
        </w:rPr>
        <w:t xml:space="preserve"> účinok nízkej dávky kyseliny </w:t>
      </w:r>
      <w:proofErr w:type="spellStart"/>
      <w:r w:rsidRPr="00A475AF">
        <w:rPr>
          <w:spacing w:val="-3"/>
          <w:sz w:val="22"/>
          <w:szCs w:val="22"/>
        </w:rPr>
        <w:t>acetylsalicylovej</w:t>
      </w:r>
      <w:proofErr w:type="spellEnd"/>
      <w:r w:rsidRPr="00A475AF">
        <w:rPr>
          <w:spacing w:val="-3"/>
          <w:sz w:val="22"/>
          <w:szCs w:val="22"/>
        </w:rPr>
        <w:t xml:space="preserve"> na </w:t>
      </w:r>
      <w:proofErr w:type="spellStart"/>
      <w:r w:rsidRPr="00A475AF">
        <w:rPr>
          <w:spacing w:val="-3"/>
          <w:sz w:val="22"/>
          <w:szCs w:val="22"/>
        </w:rPr>
        <w:t>agregáciu</w:t>
      </w:r>
      <w:proofErr w:type="spellEnd"/>
      <w:r w:rsidRPr="00A475AF">
        <w:rPr>
          <w:spacing w:val="-3"/>
          <w:sz w:val="22"/>
          <w:szCs w:val="22"/>
        </w:rPr>
        <w:t xml:space="preserve"> </w:t>
      </w:r>
      <w:proofErr w:type="spellStart"/>
      <w:r w:rsidR="00E34A3C" w:rsidRPr="00A475AF">
        <w:rPr>
          <w:sz w:val="22"/>
          <w:szCs w:val="22"/>
        </w:rPr>
        <w:t>trombocytov</w:t>
      </w:r>
      <w:proofErr w:type="spellEnd"/>
      <w:r w:rsidRPr="00A475AF">
        <w:rPr>
          <w:spacing w:val="-3"/>
          <w:sz w:val="22"/>
          <w:szCs w:val="22"/>
        </w:rPr>
        <w:t xml:space="preserve">. </w:t>
      </w:r>
      <w:r w:rsidR="000762E0" w:rsidRPr="00A475AF">
        <w:rPr>
          <w:sz w:val="22"/>
          <w:szCs w:val="22"/>
        </w:rPr>
        <w:t xml:space="preserve">Niektoré </w:t>
      </w:r>
      <w:proofErr w:type="spellStart"/>
      <w:r w:rsidR="000762E0" w:rsidRPr="00A475AF">
        <w:rPr>
          <w:sz w:val="22"/>
          <w:szCs w:val="22"/>
        </w:rPr>
        <w:t>farmakodynamické</w:t>
      </w:r>
      <w:proofErr w:type="spellEnd"/>
      <w:r w:rsidR="000762E0" w:rsidRPr="00A475AF">
        <w:rPr>
          <w:sz w:val="22"/>
          <w:szCs w:val="22"/>
        </w:rPr>
        <w:t xml:space="preserve"> štúdie preukázali, že pri jednej dávke</w:t>
      </w:r>
      <w:r w:rsidRPr="00A475AF">
        <w:rPr>
          <w:spacing w:val="-3"/>
          <w:sz w:val="22"/>
          <w:szCs w:val="22"/>
        </w:rPr>
        <w:t xml:space="preserve"> </w:t>
      </w:r>
      <w:proofErr w:type="spellStart"/>
      <w:r w:rsidR="00A475AF" w:rsidRPr="00A475AF">
        <w:rPr>
          <w:spacing w:val="-3"/>
          <w:sz w:val="22"/>
          <w:szCs w:val="22"/>
        </w:rPr>
        <w:t>ibuprofénu</w:t>
      </w:r>
      <w:proofErr w:type="spellEnd"/>
      <w:r w:rsidRPr="00A475AF">
        <w:rPr>
          <w:spacing w:val="-3"/>
          <w:sz w:val="22"/>
          <w:szCs w:val="22"/>
        </w:rPr>
        <w:t xml:space="preserve"> 400</w:t>
      </w:r>
      <w:r w:rsidR="005915F4">
        <w:rPr>
          <w:spacing w:val="-3"/>
          <w:sz w:val="22"/>
          <w:szCs w:val="22"/>
        </w:rPr>
        <w:t> </w:t>
      </w:r>
      <w:r w:rsidRPr="00A475AF">
        <w:rPr>
          <w:spacing w:val="-3"/>
          <w:sz w:val="22"/>
          <w:szCs w:val="22"/>
        </w:rPr>
        <w:t xml:space="preserve"> mg </w:t>
      </w:r>
      <w:r w:rsidR="000762E0" w:rsidRPr="00A475AF">
        <w:rPr>
          <w:spacing w:val="-3"/>
          <w:sz w:val="22"/>
          <w:szCs w:val="22"/>
        </w:rPr>
        <w:t xml:space="preserve">užitého </w:t>
      </w:r>
      <w:r w:rsidR="001A57AB" w:rsidRPr="00A475AF">
        <w:rPr>
          <w:spacing w:val="-3"/>
          <w:sz w:val="22"/>
          <w:szCs w:val="22"/>
        </w:rPr>
        <w:t>v priebehu</w:t>
      </w:r>
      <w:r w:rsidRPr="00A475AF">
        <w:rPr>
          <w:spacing w:val="-3"/>
          <w:sz w:val="22"/>
          <w:szCs w:val="22"/>
        </w:rPr>
        <w:t xml:space="preserve"> 8 hodín pred alebo </w:t>
      </w:r>
      <w:r w:rsidR="001A57AB" w:rsidRPr="00A475AF">
        <w:rPr>
          <w:spacing w:val="-3"/>
          <w:sz w:val="22"/>
          <w:szCs w:val="22"/>
        </w:rPr>
        <w:t>v</w:t>
      </w:r>
      <w:r w:rsidR="00F935F6" w:rsidRPr="00A475AF">
        <w:rPr>
          <w:spacing w:val="-3"/>
          <w:sz w:val="22"/>
          <w:szCs w:val="22"/>
        </w:rPr>
        <w:t> </w:t>
      </w:r>
      <w:r w:rsidR="001A57AB" w:rsidRPr="00A475AF">
        <w:rPr>
          <w:spacing w:val="-3"/>
          <w:sz w:val="22"/>
          <w:szCs w:val="22"/>
        </w:rPr>
        <w:t>priebehu</w:t>
      </w:r>
      <w:r w:rsidRPr="00A475AF">
        <w:rPr>
          <w:spacing w:val="-3"/>
          <w:sz w:val="22"/>
          <w:szCs w:val="22"/>
        </w:rPr>
        <w:t xml:space="preserve"> 30 minút po užití kyseliny </w:t>
      </w:r>
      <w:proofErr w:type="spellStart"/>
      <w:r w:rsidRPr="00A475AF">
        <w:rPr>
          <w:spacing w:val="-3"/>
          <w:sz w:val="22"/>
          <w:szCs w:val="22"/>
        </w:rPr>
        <w:t>acetylsalicylovej</w:t>
      </w:r>
      <w:proofErr w:type="spellEnd"/>
      <w:r w:rsidRPr="00A475AF">
        <w:rPr>
          <w:spacing w:val="-3"/>
          <w:sz w:val="22"/>
          <w:szCs w:val="22"/>
        </w:rPr>
        <w:t xml:space="preserve"> s okamžitým uvoľňovaním (</w:t>
      </w:r>
      <w:r w:rsidR="005915F4" w:rsidRPr="00A475AF">
        <w:rPr>
          <w:spacing w:val="-3"/>
          <w:sz w:val="22"/>
          <w:szCs w:val="22"/>
        </w:rPr>
        <w:t>81</w:t>
      </w:r>
      <w:r w:rsidR="005915F4">
        <w:rPr>
          <w:spacing w:val="-3"/>
          <w:sz w:val="22"/>
          <w:szCs w:val="22"/>
        </w:rPr>
        <w:t> </w:t>
      </w:r>
      <w:r w:rsidRPr="00A475AF">
        <w:rPr>
          <w:spacing w:val="-3"/>
          <w:sz w:val="22"/>
          <w:szCs w:val="22"/>
        </w:rPr>
        <w:t>mg), došlo k</w:t>
      </w:r>
      <w:r w:rsidR="00F935F6" w:rsidRPr="00A475AF">
        <w:rPr>
          <w:spacing w:val="-3"/>
          <w:sz w:val="22"/>
          <w:szCs w:val="22"/>
        </w:rPr>
        <w:t> </w:t>
      </w:r>
      <w:r w:rsidR="001A57AB" w:rsidRPr="00A475AF">
        <w:rPr>
          <w:spacing w:val="-3"/>
          <w:sz w:val="22"/>
          <w:szCs w:val="22"/>
        </w:rPr>
        <w:t>zníženému</w:t>
      </w:r>
      <w:r w:rsidRPr="00A475AF">
        <w:rPr>
          <w:spacing w:val="-3"/>
          <w:sz w:val="22"/>
          <w:szCs w:val="22"/>
        </w:rPr>
        <w:t xml:space="preserve"> účinku kyseliny </w:t>
      </w:r>
      <w:proofErr w:type="spellStart"/>
      <w:r w:rsidRPr="00A475AF">
        <w:rPr>
          <w:spacing w:val="-3"/>
          <w:sz w:val="22"/>
          <w:szCs w:val="22"/>
        </w:rPr>
        <w:t>acetylsalicylovej</w:t>
      </w:r>
      <w:proofErr w:type="spellEnd"/>
      <w:r w:rsidRPr="00A475AF">
        <w:rPr>
          <w:spacing w:val="-3"/>
          <w:sz w:val="22"/>
          <w:szCs w:val="22"/>
        </w:rPr>
        <w:t xml:space="preserve"> na tvorbu </w:t>
      </w:r>
      <w:proofErr w:type="spellStart"/>
      <w:r w:rsidRPr="00A475AF">
        <w:rPr>
          <w:spacing w:val="-3"/>
          <w:sz w:val="22"/>
          <w:szCs w:val="22"/>
        </w:rPr>
        <w:t>tromboxánu</w:t>
      </w:r>
      <w:proofErr w:type="spellEnd"/>
      <w:r w:rsidRPr="00A475AF">
        <w:rPr>
          <w:spacing w:val="-3"/>
          <w:sz w:val="22"/>
          <w:szCs w:val="22"/>
        </w:rPr>
        <w:t xml:space="preserve"> alebo </w:t>
      </w:r>
      <w:proofErr w:type="spellStart"/>
      <w:r w:rsidRPr="00A475AF">
        <w:rPr>
          <w:spacing w:val="-3"/>
          <w:sz w:val="22"/>
          <w:szCs w:val="22"/>
        </w:rPr>
        <w:t>agregáciu</w:t>
      </w:r>
      <w:proofErr w:type="spellEnd"/>
      <w:r w:rsidRPr="00A475AF">
        <w:rPr>
          <w:spacing w:val="-3"/>
          <w:sz w:val="22"/>
          <w:szCs w:val="22"/>
        </w:rPr>
        <w:t xml:space="preserve"> </w:t>
      </w:r>
      <w:proofErr w:type="spellStart"/>
      <w:r w:rsidR="001A57AB" w:rsidRPr="00A475AF">
        <w:rPr>
          <w:spacing w:val="-3"/>
          <w:sz w:val="22"/>
          <w:szCs w:val="22"/>
        </w:rPr>
        <w:t>trombocytov</w:t>
      </w:r>
      <w:proofErr w:type="spellEnd"/>
      <w:r w:rsidRPr="00A475AF">
        <w:rPr>
          <w:spacing w:val="-3"/>
          <w:sz w:val="22"/>
          <w:szCs w:val="22"/>
        </w:rPr>
        <w:t xml:space="preserve">. </w:t>
      </w:r>
      <w:r w:rsidR="000762E0" w:rsidRPr="00A475AF">
        <w:rPr>
          <w:sz w:val="22"/>
          <w:szCs w:val="22"/>
        </w:rPr>
        <w:t xml:space="preserve">Hoci existujú nejasnosti s ohľadom na </w:t>
      </w:r>
      <w:proofErr w:type="spellStart"/>
      <w:r w:rsidR="000762E0" w:rsidRPr="00A475AF">
        <w:rPr>
          <w:sz w:val="22"/>
          <w:szCs w:val="22"/>
        </w:rPr>
        <w:t>extrapoláciu</w:t>
      </w:r>
      <w:proofErr w:type="spellEnd"/>
      <w:r w:rsidR="000762E0" w:rsidRPr="00A475AF">
        <w:rPr>
          <w:sz w:val="22"/>
          <w:szCs w:val="22"/>
        </w:rPr>
        <w:t xml:space="preserve"> týchto údajov na klinickú situáciu, nedá sa vylúčiť možnosť, že pravidelné</w:t>
      </w:r>
      <w:r w:rsidR="00B619ED" w:rsidRPr="00A475AF">
        <w:rPr>
          <w:sz w:val="22"/>
          <w:szCs w:val="22"/>
        </w:rPr>
        <w:t>,</w:t>
      </w:r>
      <w:r w:rsidR="000762E0" w:rsidRPr="00A475AF">
        <w:rPr>
          <w:sz w:val="22"/>
          <w:szCs w:val="22"/>
        </w:rPr>
        <w:t xml:space="preserve"> dlhodobé používanie </w:t>
      </w:r>
      <w:proofErr w:type="spellStart"/>
      <w:r w:rsidR="00A475AF" w:rsidRPr="00A475AF">
        <w:rPr>
          <w:sz w:val="22"/>
          <w:szCs w:val="22"/>
        </w:rPr>
        <w:t>ibuprofénu</w:t>
      </w:r>
      <w:proofErr w:type="spellEnd"/>
      <w:r w:rsidR="000762E0" w:rsidRPr="00A475AF">
        <w:rPr>
          <w:sz w:val="22"/>
          <w:szCs w:val="22"/>
        </w:rPr>
        <w:t xml:space="preserve"> môže znížiť </w:t>
      </w:r>
      <w:proofErr w:type="spellStart"/>
      <w:r w:rsidR="000762E0" w:rsidRPr="00A475AF">
        <w:rPr>
          <w:sz w:val="22"/>
          <w:szCs w:val="22"/>
        </w:rPr>
        <w:t>kardioprotektívny</w:t>
      </w:r>
      <w:proofErr w:type="spellEnd"/>
      <w:r w:rsidR="000762E0" w:rsidRPr="00A475AF">
        <w:rPr>
          <w:sz w:val="22"/>
          <w:szCs w:val="22"/>
        </w:rPr>
        <w:t xml:space="preserve"> účinok nízkej dávky kyseliny </w:t>
      </w:r>
      <w:proofErr w:type="spellStart"/>
      <w:r w:rsidR="000762E0" w:rsidRPr="00A475AF">
        <w:rPr>
          <w:sz w:val="22"/>
          <w:szCs w:val="22"/>
        </w:rPr>
        <w:t>acetylsalicylovej</w:t>
      </w:r>
      <w:proofErr w:type="spellEnd"/>
      <w:r w:rsidR="000762E0" w:rsidRPr="00A475AF">
        <w:rPr>
          <w:sz w:val="22"/>
          <w:szCs w:val="22"/>
        </w:rPr>
        <w:t xml:space="preserve">. V prípade príležitostného používania </w:t>
      </w:r>
      <w:proofErr w:type="spellStart"/>
      <w:r w:rsidR="00A475AF" w:rsidRPr="00A475AF">
        <w:rPr>
          <w:sz w:val="22"/>
          <w:szCs w:val="22"/>
        </w:rPr>
        <w:t>ibuprofénu</w:t>
      </w:r>
      <w:proofErr w:type="spellEnd"/>
      <w:r w:rsidR="000762E0" w:rsidRPr="00A475AF">
        <w:rPr>
          <w:sz w:val="22"/>
          <w:szCs w:val="22"/>
        </w:rPr>
        <w:t xml:space="preserve"> sa žiaden klinicky relevantný účinok nepovažuje za pravdepodobný (pozri časť 4.5).</w:t>
      </w:r>
    </w:p>
    <w:p w14:paraId="401C981E" w14:textId="77777777" w:rsidR="00B76F57" w:rsidRPr="00A475AF" w:rsidRDefault="00B76F57" w:rsidP="00DB4E78">
      <w:pPr>
        <w:rPr>
          <w:sz w:val="22"/>
          <w:szCs w:val="22"/>
        </w:rPr>
      </w:pPr>
    </w:p>
    <w:p w14:paraId="24047F95" w14:textId="77777777" w:rsidR="007844D2" w:rsidRPr="00A475AF" w:rsidRDefault="007844D2" w:rsidP="00DB4E78">
      <w:pPr>
        <w:keepNext/>
        <w:numPr>
          <w:ilvl w:val="1"/>
          <w:numId w:val="3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proofErr w:type="spellStart"/>
      <w:r w:rsidRPr="00A475AF">
        <w:rPr>
          <w:b/>
          <w:bCs/>
          <w:sz w:val="22"/>
          <w:szCs w:val="22"/>
        </w:rPr>
        <w:t>Farmakokinetické</w:t>
      </w:r>
      <w:proofErr w:type="spellEnd"/>
      <w:r w:rsidRPr="00A475AF">
        <w:rPr>
          <w:b/>
          <w:bCs/>
          <w:sz w:val="22"/>
          <w:szCs w:val="22"/>
        </w:rPr>
        <w:t xml:space="preserve"> vlastnosti</w:t>
      </w:r>
    </w:p>
    <w:p w14:paraId="5B9F31F2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054C014F" w14:textId="77777777" w:rsidR="007844D2" w:rsidRPr="00A475AF" w:rsidRDefault="005F4F0C" w:rsidP="00DB4E78">
      <w:pPr>
        <w:pStyle w:val="Zkladntext"/>
        <w:rPr>
          <w:rFonts w:ascii="Times New Roman" w:hAnsi="Times New Roman" w:cs="Times New Roman"/>
          <w:sz w:val="22"/>
          <w:szCs w:val="22"/>
        </w:rPr>
      </w:pPr>
      <w:proofErr w:type="spellStart"/>
      <w:r w:rsidRPr="00A475AF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A475AF">
        <w:rPr>
          <w:rFonts w:ascii="Times New Roman" w:hAnsi="Times New Roman" w:cs="Times New Roman"/>
          <w:sz w:val="22"/>
          <w:szCs w:val="22"/>
        </w:rPr>
        <w:t xml:space="preserve"> </w:t>
      </w:r>
      <w:r w:rsidR="007844D2" w:rsidRPr="00A475AF">
        <w:rPr>
          <w:rFonts w:ascii="Times New Roman" w:hAnsi="Times New Roman" w:cs="Times New Roman"/>
          <w:sz w:val="22"/>
          <w:szCs w:val="22"/>
        </w:rPr>
        <w:t>sa dobre absorbuje z </w:t>
      </w:r>
      <w:proofErr w:type="spellStart"/>
      <w:r w:rsidR="007844D2" w:rsidRPr="00A475AF">
        <w:rPr>
          <w:rFonts w:ascii="Times New Roman" w:hAnsi="Times New Roman" w:cs="Times New Roman"/>
          <w:sz w:val="22"/>
          <w:szCs w:val="22"/>
        </w:rPr>
        <w:t>gastrointestinálneho</w:t>
      </w:r>
      <w:proofErr w:type="spellEnd"/>
      <w:r w:rsidR="007844D2" w:rsidRPr="00A475AF">
        <w:rPr>
          <w:rFonts w:ascii="Times New Roman" w:hAnsi="Times New Roman" w:cs="Times New Roman"/>
          <w:sz w:val="22"/>
          <w:szCs w:val="22"/>
        </w:rPr>
        <w:t xml:space="preserve"> traktu. Vo veľkej miere sa viaže na plazmatické bielkoviny. </w:t>
      </w:r>
    </w:p>
    <w:p w14:paraId="4FDAF8DB" w14:textId="77777777" w:rsidR="007844D2" w:rsidRPr="00A475AF" w:rsidRDefault="00F63DB7" w:rsidP="00DB4E78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A475AF">
        <w:rPr>
          <w:rFonts w:ascii="Times New Roman" w:hAnsi="Times New Roman" w:cs="Times New Roman"/>
          <w:bCs/>
          <w:sz w:val="22"/>
          <w:szCs w:val="22"/>
        </w:rPr>
        <w:t xml:space="preserve">IBALGIN RAPIDCAPS 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obsahuje </w:t>
      </w:r>
      <w:proofErr w:type="spellStart"/>
      <w:r w:rsidR="005F4F0C" w:rsidRPr="00A475AF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="005F4F0C" w:rsidRPr="00A475AF">
        <w:rPr>
          <w:rFonts w:ascii="Times New Roman" w:hAnsi="Times New Roman" w:cs="Times New Roman"/>
          <w:sz w:val="22"/>
          <w:szCs w:val="22"/>
        </w:rPr>
        <w:t xml:space="preserve"> </w:t>
      </w:r>
      <w:r w:rsidR="007844D2" w:rsidRPr="00A475AF">
        <w:rPr>
          <w:rFonts w:ascii="Times New Roman" w:hAnsi="Times New Roman" w:cs="Times New Roman"/>
          <w:sz w:val="22"/>
          <w:szCs w:val="22"/>
        </w:rPr>
        <w:t>rozpusten</w:t>
      </w:r>
      <w:r w:rsidRPr="00A475AF">
        <w:rPr>
          <w:rFonts w:ascii="Times New Roman" w:hAnsi="Times New Roman" w:cs="Times New Roman"/>
          <w:sz w:val="22"/>
          <w:szCs w:val="22"/>
        </w:rPr>
        <w:t>ý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v </w:t>
      </w:r>
      <w:proofErr w:type="spellStart"/>
      <w:r w:rsidR="007844D2" w:rsidRPr="00A475AF">
        <w:rPr>
          <w:rFonts w:ascii="Times New Roman" w:hAnsi="Times New Roman" w:cs="Times New Roman"/>
          <w:sz w:val="22"/>
          <w:szCs w:val="22"/>
        </w:rPr>
        <w:t>hydrofilnom</w:t>
      </w:r>
      <w:proofErr w:type="spellEnd"/>
      <w:r w:rsidR="007844D2" w:rsidRPr="00A475AF">
        <w:rPr>
          <w:rFonts w:ascii="Times New Roman" w:hAnsi="Times New Roman" w:cs="Times New Roman"/>
          <w:sz w:val="22"/>
          <w:szCs w:val="22"/>
        </w:rPr>
        <w:t xml:space="preserve"> rozpúšťadle vo vnútri želatínovej kapsuly. Po užití </w:t>
      </w:r>
      <w:r w:rsidRPr="00A475AF">
        <w:rPr>
          <w:rFonts w:ascii="Times New Roman" w:hAnsi="Times New Roman" w:cs="Times New Roman"/>
          <w:sz w:val="22"/>
          <w:szCs w:val="22"/>
        </w:rPr>
        <w:t>sa želatínová kapsula rozpadá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v žalúdkovej šťave a</w:t>
      </w:r>
      <w:r w:rsidRPr="00A475AF">
        <w:rPr>
          <w:rFonts w:ascii="Times New Roman" w:hAnsi="Times New Roman" w:cs="Times New Roman"/>
          <w:sz w:val="22"/>
          <w:szCs w:val="22"/>
        </w:rPr>
        <w:t xml:space="preserve"> okamžite </w:t>
      </w:r>
      <w:r w:rsidR="00414577" w:rsidRPr="00A475AF">
        <w:rPr>
          <w:rFonts w:ascii="Times New Roman" w:hAnsi="Times New Roman" w:cs="Times New Roman"/>
          <w:sz w:val="22"/>
          <w:szCs w:val="22"/>
        </w:rPr>
        <w:t>uvoľňuje rozložen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ý </w:t>
      </w:r>
      <w:proofErr w:type="spellStart"/>
      <w:r w:rsidR="005F4F0C" w:rsidRPr="00A475AF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="005F4F0C" w:rsidRPr="00A475AF">
        <w:rPr>
          <w:rFonts w:ascii="Times New Roman" w:hAnsi="Times New Roman" w:cs="Times New Roman"/>
          <w:sz w:val="22"/>
          <w:szCs w:val="22"/>
        </w:rPr>
        <w:t xml:space="preserve"> </w:t>
      </w:r>
      <w:r w:rsidR="00414577" w:rsidRPr="00A475AF">
        <w:rPr>
          <w:rFonts w:ascii="Times New Roman" w:hAnsi="Times New Roman" w:cs="Times New Roman"/>
          <w:sz w:val="22"/>
          <w:szCs w:val="22"/>
        </w:rPr>
        <w:t xml:space="preserve">pre </w:t>
      </w:r>
      <w:r w:rsidR="008A4D5E" w:rsidRPr="00A475AF">
        <w:rPr>
          <w:rFonts w:ascii="Times New Roman" w:hAnsi="Times New Roman" w:cs="Times New Roman"/>
          <w:sz w:val="22"/>
          <w:szCs w:val="22"/>
        </w:rPr>
        <w:t>absorpciu</w:t>
      </w:r>
      <w:r w:rsidR="007844D2" w:rsidRPr="00A475AF">
        <w:rPr>
          <w:rFonts w:ascii="Times New Roman" w:hAnsi="Times New Roman" w:cs="Times New Roman"/>
          <w:sz w:val="22"/>
          <w:szCs w:val="22"/>
        </w:rPr>
        <w:t>.</w:t>
      </w:r>
      <w:r w:rsidR="00414577" w:rsidRPr="00A475AF">
        <w:rPr>
          <w:rFonts w:ascii="Times New Roman" w:hAnsi="Times New Roman" w:cs="Times New Roman"/>
          <w:sz w:val="22"/>
          <w:szCs w:val="22"/>
        </w:rPr>
        <w:t xml:space="preserve"> </w:t>
      </w:r>
      <w:r w:rsidR="00724C8E" w:rsidRPr="00A475AF">
        <w:rPr>
          <w:rFonts w:ascii="Times New Roman" w:hAnsi="Times New Roman" w:cs="Times New Roman"/>
          <w:sz w:val="22"/>
          <w:szCs w:val="22"/>
        </w:rPr>
        <w:t>Priemerné m</w:t>
      </w:r>
      <w:r w:rsidR="00CD70F3" w:rsidRPr="00A475AF">
        <w:rPr>
          <w:rFonts w:ascii="Times New Roman" w:hAnsi="Times New Roman" w:cs="Times New Roman"/>
          <w:sz w:val="22"/>
          <w:szCs w:val="22"/>
        </w:rPr>
        <w:t>aximálne</w:t>
      </w:r>
      <w:r w:rsidR="00414577" w:rsidRPr="00A475AF">
        <w:rPr>
          <w:rFonts w:ascii="Times New Roman" w:hAnsi="Times New Roman" w:cs="Times New Roman"/>
          <w:sz w:val="22"/>
          <w:szCs w:val="22"/>
        </w:rPr>
        <w:t xml:space="preserve"> plazmatické koncentrácie </w:t>
      </w:r>
      <w:proofErr w:type="spellStart"/>
      <w:r w:rsidR="00A475AF" w:rsidRPr="00A475AF">
        <w:rPr>
          <w:rFonts w:ascii="Times New Roman" w:hAnsi="Times New Roman" w:cs="Times New Roman"/>
          <w:sz w:val="22"/>
          <w:szCs w:val="22"/>
        </w:rPr>
        <w:t>ibuprofénu</w:t>
      </w:r>
      <w:proofErr w:type="spellEnd"/>
      <w:r w:rsidR="00414577" w:rsidRPr="00A475AF">
        <w:rPr>
          <w:rFonts w:ascii="Times New Roman" w:hAnsi="Times New Roman" w:cs="Times New Roman"/>
          <w:sz w:val="22"/>
          <w:szCs w:val="22"/>
        </w:rPr>
        <w:t xml:space="preserve"> sa dosahujú približne 30 minút po podaní, ak sa užijú na prázdny žalúdok.</w:t>
      </w:r>
      <w:r w:rsidR="00673EDE" w:rsidRPr="00A475AF">
        <w:rPr>
          <w:rFonts w:ascii="Times New Roman" w:hAnsi="Times New Roman" w:cs="Times New Roman"/>
          <w:sz w:val="22"/>
          <w:szCs w:val="22"/>
        </w:rPr>
        <w:t xml:space="preserve"> </w:t>
      </w:r>
      <w:r w:rsidR="00333AF2" w:rsidRPr="00A475AF">
        <w:rPr>
          <w:rFonts w:ascii="Times New Roman" w:hAnsi="Times New Roman" w:cs="Times New Roman"/>
          <w:sz w:val="22"/>
          <w:szCs w:val="22"/>
        </w:rPr>
        <w:t>Priemerné m</w:t>
      </w:r>
      <w:r w:rsidR="00CD70F3" w:rsidRPr="00A475AF">
        <w:rPr>
          <w:rFonts w:ascii="Times New Roman" w:hAnsi="Times New Roman" w:cs="Times New Roman"/>
          <w:sz w:val="22"/>
          <w:szCs w:val="22"/>
        </w:rPr>
        <w:t>aximálne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plazmatické koncentrácie po užití tabliet </w:t>
      </w:r>
      <w:proofErr w:type="spellStart"/>
      <w:r w:rsidR="00673EDE" w:rsidRPr="00A475AF">
        <w:rPr>
          <w:rFonts w:ascii="Times New Roman" w:hAnsi="Times New Roman" w:cs="Times New Roman"/>
          <w:sz w:val="22"/>
          <w:szCs w:val="22"/>
        </w:rPr>
        <w:t>ibuprof</w:t>
      </w:r>
      <w:r w:rsidR="005F4F0C" w:rsidRPr="00A475AF">
        <w:rPr>
          <w:rFonts w:ascii="Times New Roman" w:hAnsi="Times New Roman" w:cs="Times New Roman"/>
          <w:sz w:val="22"/>
          <w:szCs w:val="22"/>
        </w:rPr>
        <w:t>é</w:t>
      </w:r>
      <w:r w:rsidR="00BA55FC" w:rsidRPr="00A475AF">
        <w:rPr>
          <w:rFonts w:ascii="Times New Roman" w:hAnsi="Times New Roman" w:cs="Times New Roman"/>
          <w:sz w:val="22"/>
          <w:szCs w:val="22"/>
        </w:rPr>
        <w:t>n</w:t>
      </w:r>
      <w:r w:rsidR="007844D2" w:rsidRPr="00A475AF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7844D2" w:rsidRPr="00A475AF" w:rsidDel="00A33CEE">
        <w:rPr>
          <w:rFonts w:ascii="Times New Roman" w:hAnsi="Times New Roman" w:cs="Times New Roman"/>
          <w:sz w:val="22"/>
          <w:szCs w:val="22"/>
        </w:rPr>
        <w:t xml:space="preserve"> </w:t>
      </w:r>
      <w:r w:rsidR="007844D2" w:rsidRPr="00A475AF">
        <w:rPr>
          <w:rFonts w:ascii="Times New Roman" w:hAnsi="Times New Roman" w:cs="Times New Roman"/>
          <w:sz w:val="22"/>
          <w:szCs w:val="22"/>
        </w:rPr>
        <w:t>sa dosahujú približne za 1</w:t>
      </w:r>
      <w:r w:rsidR="00F935F6" w:rsidRPr="00A475AF">
        <w:rPr>
          <w:rFonts w:ascii="Times New Roman" w:hAnsi="Times New Roman" w:cs="Times New Roman"/>
          <w:sz w:val="22"/>
          <w:szCs w:val="22"/>
        </w:rPr>
        <w:t xml:space="preserve"> – </w:t>
      </w:r>
      <w:r w:rsidR="007844D2" w:rsidRPr="00A475AF">
        <w:rPr>
          <w:rFonts w:ascii="Times New Roman" w:hAnsi="Times New Roman" w:cs="Times New Roman"/>
          <w:sz w:val="22"/>
          <w:szCs w:val="22"/>
        </w:rPr>
        <w:t>2 hodiny</w:t>
      </w:r>
      <w:r w:rsidR="00673EDE" w:rsidRPr="00A475AF">
        <w:rPr>
          <w:rFonts w:ascii="Times New Roman" w:hAnsi="Times New Roman" w:cs="Times New Roman"/>
          <w:sz w:val="22"/>
          <w:szCs w:val="22"/>
        </w:rPr>
        <w:t xml:space="preserve"> po užití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. Priame porovnanie </w:t>
      </w:r>
      <w:proofErr w:type="spellStart"/>
      <w:r w:rsidR="00BA55FC" w:rsidRPr="00A475AF">
        <w:rPr>
          <w:rFonts w:ascii="Times New Roman" w:hAnsi="Times New Roman" w:cs="Times New Roman"/>
          <w:sz w:val="22"/>
          <w:szCs w:val="22"/>
        </w:rPr>
        <w:t>ibuprof</w:t>
      </w:r>
      <w:r w:rsidR="005F4F0C" w:rsidRPr="00A475AF">
        <w:rPr>
          <w:rFonts w:ascii="Times New Roman" w:hAnsi="Times New Roman" w:cs="Times New Roman"/>
          <w:sz w:val="22"/>
          <w:szCs w:val="22"/>
        </w:rPr>
        <w:t>é</w:t>
      </w:r>
      <w:r w:rsidR="00BA55FC" w:rsidRPr="00A475AF">
        <w:rPr>
          <w:rFonts w:ascii="Times New Roman" w:hAnsi="Times New Roman" w:cs="Times New Roman"/>
          <w:sz w:val="22"/>
          <w:szCs w:val="22"/>
        </w:rPr>
        <w:t>n</w:t>
      </w:r>
      <w:r w:rsidR="007844D2" w:rsidRPr="00A475AF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7844D2" w:rsidRPr="00A475AF">
        <w:rPr>
          <w:rFonts w:ascii="Times New Roman" w:hAnsi="Times New Roman" w:cs="Times New Roman"/>
          <w:sz w:val="22"/>
          <w:szCs w:val="22"/>
        </w:rPr>
        <w:t xml:space="preserve"> vo forme </w:t>
      </w:r>
      <w:r w:rsidR="006E42E8" w:rsidRPr="00A475AF">
        <w:rPr>
          <w:rFonts w:ascii="Times New Roman" w:hAnsi="Times New Roman" w:cs="Times New Roman"/>
          <w:sz w:val="22"/>
          <w:szCs w:val="22"/>
        </w:rPr>
        <w:t xml:space="preserve">mäkkej </w:t>
      </w:r>
      <w:r w:rsidR="007844D2" w:rsidRPr="00A475AF">
        <w:rPr>
          <w:rFonts w:ascii="Times New Roman" w:hAnsi="Times New Roman" w:cs="Times New Roman"/>
          <w:sz w:val="22"/>
          <w:szCs w:val="22"/>
        </w:rPr>
        <w:t>kaps</w:t>
      </w:r>
      <w:r w:rsidR="00673EDE" w:rsidRPr="00A475AF">
        <w:rPr>
          <w:rFonts w:ascii="Times New Roman" w:hAnsi="Times New Roman" w:cs="Times New Roman"/>
          <w:sz w:val="22"/>
          <w:szCs w:val="22"/>
        </w:rPr>
        <w:t>ule a</w:t>
      </w:r>
      <w:r w:rsidR="007844D2" w:rsidRPr="00A475AF">
        <w:rPr>
          <w:rFonts w:ascii="Times New Roman" w:hAnsi="Times New Roman" w:cs="Times New Roman"/>
          <w:sz w:val="22"/>
          <w:szCs w:val="22"/>
        </w:rPr>
        <w:t> </w:t>
      </w:r>
      <w:proofErr w:type="spellStart"/>
      <w:r w:rsidR="00673EDE" w:rsidRPr="00A475AF">
        <w:rPr>
          <w:rFonts w:ascii="Times New Roman" w:hAnsi="Times New Roman" w:cs="Times New Roman"/>
          <w:sz w:val="22"/>
          <w:szCs w:val="22"/>
        </w:rPr>
        <w:t>ibuprof</w:t>
      </w:r>
      <w:r w:rsidR="005F4F0C" w:rsidRPr="00A475AF">
        <w:rPr>
          <w:rFonts w:ascii="Times New Roman" w:hAnsi="Times New Roman" w:cs="Times New Roman"/>
          <w:sz w:val="22"/>
          <w:szCs w:val="22"/>
        </w:rPr>
        <w:t>é</w:t>
      </w:r>
      <w:r w:rsidR="00BA55FC" w:rsidRPr="00A475AF">
        <w:rPr>
          <w:rFonts w:ascii="Times New Roman" w:hAnsi="Times New Roman" w:cs="Times New Roman"/>
          <w:sz w:val="22"/>
          <w:szCs w:val="22"/>
        </w:rPr>
        <w:t>n</w:t>
      </w:r>
      <w:r w:rsidR="007844D2" w:rsidRPr="00A475AF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7844D2" w:rsidRPr="00A475AF">
        <w:rPr>
          <w:rFonts w:ascii="Times New Roman" w:hAnsi="Times New Roman" w:cs="Times New Roman"/>
          <w:sz w:val="22"/>
          <w:szCs w:val="22"/>
        </w:rPr>
        <w:t xml:space="preserve"> vo forme tabliet ukázalo, že </w:t>
      </w:r>
      <w:r w:rsidR="00333AF2" w:rsidRPr="00A475AF">
        <w:rPr>
          <w:rFonts w:ascii="Times New Roman" w:hAnsi="Times New Roman" w:cs="Times New Roman"/>
          <w:sz w:val="22"/>
          <w:szCs w:val="22"/>
        </w:rPr>
        <w:t xml:space="preserve">priemerná </w:t>
      </w:r>
      <w:r w:rsidR="00CD70F3" w:rsidRPr="00A475AF">
        <w:rPr>
          <w:rFonts w:ascii="Times New Roman" w:hAnsi="Times New Roman" w:cs="Times New Roman"/>
          <w:sz w:val="22"/>
          <w:szCs w:val="22"/>
        </w:rPr>
        <w:t>maximálna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</w:t>
      </w:r>
      <w:r w:rsidR="00673EDE" w:rsidRPr="00A475AF">
        <w:rPr>
          <w:rFonts w:ascii="Times New Roman" w:hAnsi="Times New Roman" w:cs="Times New Roman"/>
          <w:sz w:val="22"/>
          <w:szCs w:val="22"/>
        </w:rPr>
        <w:t>plazmatická koncentrácia sa dos</w:t>
      </w:r>
      <w:r w:rsidR="007844D2" w:rsidRPr="00A475AF">
        <w:rPr>
          <w:rFonts w:ascii="Times New Roman" w:hAnsi="Times New Roman" w:cs="Times New Roman"/>
          <w:sz w:val="22"/>
          <w:szCs w:val="22"/>
        </w:rPr>
        <w:t>ah</w:t>
      </w:r>
      <w:r w:rsidR="00673EDE" w:rsidRPr="00A475AF">
        <w:rPr>
          <w:rFonts w:ascii="Times New Roman" w:hAnsi="Times New Roman" w:cs="Times New Roman"/>
          <w:sz w:val="22"/>
          <w:szCs w:val="22"/>
        </w:rPr>
        <w:t>uje</w:t>
      </w:r>
      <w:r w:rsidR="00DF2B32" w:rsidRPr="00A475AF">
        <w:rPr>
          <w:rFonts w:ascii="Times New Roman" w:hAnsi="Times New Roman" w:cs="Times New Roman"/>
          <w:sz w:val="22"/>
          <w:szCs w:val="22"/>
        </w:rPr>
        <w:t xml:space="preserve"> viac ako dvakrát rýchlejšie u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A55FC" w:rsidRPr="00A475AF">
        <w:rPr>
          <w:rFonts w:ascii="Times New Roman" w:hAnsi="Times New Roman" w:cs="Times New Roman"/>
          <w:sz w:val="22"/>
          <w:szCs w:val="22"/>
        </w:rPr>
        <w:t>ibuprof</w:t>
      </w:r>
      <w:r w:rsidR="005F4F0C" w:rsidRPr="00A475AF">
        <w:rPr>
          <w:rFonts w:ascii="Times New Roman" w:hAnsi="Times New Roman" w:cs="Times New Roman"/>
          <w:sz w:val="22"/>
          <w:szCs w:val="22"/>
        </w:rPr>
        <w:t>é</w:t>
      </w:r>
      <w:r w:rsidR="00BA55FC" w:rsidRPr="00A475AF">
        <w:rPr>
          <w:rFonts w:ascii="Times New Roman" w:hAnsi="Times New Roman" w:cs="Times New Roman"/>
          <w:sz w:val="22"/>
          <w:szCs w:val="22"/>
        </w:rPr>
        <w:t>n</w:t>
      </w:r>
      <w:r w:rsidR="00DF2B32" w:rsidRPr="00A475AF">
        <w:rPr>
          <w:rFonts w:ascii="Times New Roman" w:hAnsi="Times New Roman" w:cs="Times New Roman"/>
          <w:sz w:val="22"/>
          <w:szCs w:val="22"/>
        </w:rPr>
        <w:t>u</w:t>
      </w:r>
      <w:proofErr w:type="spellEnd"/>
      <w:r w:rsidR="007844D2" w:rsidRPr="00A475AF">
        <w:rPr>
          <w:rFonts w:ascii="Times New Roman" w:hAnsi="Times New Roman" w:cs="Times New Roman"/>
          <w:sz w:val="22"/>
          <w:szCs w:val="22"/>
        </w:rPr>
        <w:t xml:space="preserve"> v</w:t>
      </w:r>
      <w:r w:rsidR="006E42E8" w:rsidRPr="00A475AF">
        <w:rPr>
          <w:rFonts w:ascii="Times New Roman" w:hAnsi="Times New Roman" w:cs="Times New Roman"/>
          <w:sz w:val="22"/>
          <w:szCs w:val="22"/>
        </w:rPr>
        <w:t xml:space="preserve"> mäkkých 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kapsulách (32,5 min) v porovnaní s tabletami (90 min). </w:t>
      </w:r>
      <w:r w:rsidR="00673EDE" w:rsidRPr="00A475AF">
        <w:rPr>
          <w:rFonts w:ascii="Times New Roman" w:hAnsi="Times New Roman" w:cs="Times New Roman"/>
          <w:sz w:val="22"/>
          <w:szCs w:val="22"/>
        </w:rPr>
        <w:t>Užitie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lieku spolu s jedlom môže predĺžiť časový interval dosiahnutia maximálnej plazmatickej koncentrácie. </w:t>
      </w:r>
    </w:p>
    <w:p w14:paraId="1E89DC80" w14:textId="77777777" w:rsidR="007844D2" w:rsidRPr="00A475AF" w:rsidRDefault="007844D2" w:rsidP="00DB4E78">
      <w:pPr>
        <w:pStyle w:val="Zkladntext"/>
        <w:rPr>
          <w:rFonts w:ascii="Times New Roman" w:hAnsi="Times New Roman" w:cs="Times New Roman"/>
          <w:sz w:val="22"/>
          <w:szCs w:val="22"/>
        </w:rPr>
      </w:pPr>
    </w:p>
    <w:p w14:paraId="29DCE667" w14:textId="77777777" w:rsidR="007844D2" w:rsidRPr="00A475AF" w:rsidRDefault="005F4F0C" w:rsidP="00DB4E78">
      <w:pPr>
        <w:pStyle w:val="Zkladntext"/>
        <w:rPr>
          <w:rFonts w:ascii="Times New Roman" w:hAnsi="Times New Roman" w:cs="Times New Roman"/>
          <w:sz w:val="22"/>
          <w:szCs w:val="22"/>
        </w:rPr>
      </w:pPr>
      <w:proofErr w:type="spellStart"/>
      <w:r w:rsidRPr="00A475AF">
        <w:rPr>
          <w:rFonts w:ascii="Times New Roman" w:hAnsi="Times New Roman" w:cs="Times New Roman"/>
          <w:sz w:val="22"/>
          <w:szCs w:val="22"/>
        </w:rPr>
        <w:t>Ibuprofén</w:t>
      </w:r>
      <w:proofErr w:type="spellEnd"/>
      <w:r w:rsidRPr="00A475AF">
        <w:rPr>
          <w:rFonts w:ascii="Times New Roman" w:hAnsi="Times New Roman" w:cs="Times New Roman"/>
          <w:sz w:val="22"/>
          <w:szCs w:val="22"/>
        </w:rPr>
        <w:t xml:space="preserve"> 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sa metabolizuje v pečeni na dva hlavné </w:t>
      </w:r>
      <w:proofErr w:type="spellStart"/>
      <w:r w:rsidR="007844D2" w:rsidRPr="00A475AF">
        <w:rPr>
          <w:rFonts w:ascii="Times New Roman" w:hAnsi="Times New Roman" w:cs="Times New Roman"/>
          <w:sz w:val="22"/>
          <w:szCs w:val="22"/>
        </w:rPr>
        <w:t>metabolity</w:t>
      </w:r>
      <w:proofErr w:type="spellEnd"/>
      <w:r w:rsidR="00333AF2" w:rsidRPr="00A475AF">
        <w:rPr>
          <w:rFonts w:ascii="Times New Roman" w:hAnsi="Times New Roman" w:cs="Times New Roman"/>
          <w:sz w:val="22"/>
          <w:szCs w:val="22"/>
        </w:rPr>
        <w:t xml:space="preserve">, ktoré sa spolu so zanedbateľným množstvom nezmeneného </w:t>
      </w:r>
      <w:proofErr w:type="spellStart"/>
      <w:r w:rsidR="00333AF2" w:rsidRPr="00A475AF">
        <w:rPr>
          <w:rFonts w:ascii="Times New Roman" w:hAnsi="Times New Roman" w:cs="Times New Roman"/>
          <w:sz w:val="22"/>
          <w:szCs w:val="22"/>
        </w:rPr>
        <w:t>ibuprof</w:t>
      </w:r>
      <w:r w:rsidRPr="00A475AF">
        <w:rPr>
          <w:rFonts w:ascii="Times New Roman" w:hAnsi="Times New Roman" w:cs="Times New Roman"/>
          <w:sz w:val="22"/>
          <w:szCs w:val="22"/>
        </w:rPr>
        <w:t>é</w:t>
      </w:r>
      <w:r w:rsidR="00333AF2" w:rsidRPr="00A475AF">
        <w:rPr>
          <w:rFonts w:ascii="Times New Roman" w:hAnsi="Times New Roman" w:cs="Times New Roman"/>
          <w:sz w:val="22"/>
          <w:szCs w:val="22"/>
        </w:rPr>
        <w:t>nu</w:t>
      </w:r>
      <w:proofErr w:type="spellEnd"/>
      <w:r w:rsidR="007844D2" w:rsidRPr="00A475AF">
        <w:rPr>
          <w:rFonts w:ascii="Times New Roman" w:hAnsi="Times New Roman" w:cs="Times New Roman"/>
          <w:sz w:val="22"/>
          <w:szCs w:val="22"/>
        </w:rPr>
        <w:t xml:space="preserve"> primárn</w:t>
      </w:r>
      <w:r w:rsidR="00333AF2" w:rsidRPr="00A475AF">
        <w:rPr>
          <w:rFonts w:ascii="Times New Roman" w:hAnsi="Times New Roman" w:cs="Times New Roman"/>
          <w:sz w:val="22"/>
          <w:szCs w:val="22"/>
        </w:rPr>
        <w:t>e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vyluč</w:t>
      </w:r>
      <w:r w:rsidR="00333AF2" w:rsidRPr="00A475AF">
        <w:rPr>
          <w:rFonts w:ascii="Times New Roman" w:hAnsi="Times New Roman" w:cs="Times New Roman"/>
          <w:sz w:val="22"/>
          <w:szCs w:val="22"/>
        </w:rPr>
        <w:t>ujú obličkami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</w:t>
      </w:r>
      <w:r w:rsidR="00F1793E" w:rsidRPr="00A475AF">
        <w:rPr>
          <w:rFonts w:ascii="Times New Roman" w:hAnsi="Times New Roman" w:cs="Times New Roman"/>
          <w:sz w:val="22"/>
          <w:szCs w:val="22"/>
        </w:rPr>
        <w:t xml:space="preserve">buď </w:t>
      </w:r>
      <w:r w:rsidR="00333AF2" w:rsidRPr="00A475AF">
        <w:rPr>
          <w:rFonts w:ascii="Times New Roman" w:hAnsi="Times New Roman" w:cs="Times New Roman"/>
          <w:sz w:val="22"/>
          <w:szCs w:val="22"/>
        </w:rPr>
        <w:t>samostatne</w:t>
      </w:r>
      <w:r w:rsidR="00F1793E" w:rsidRPr="00A475AF">
        <w:rPr>
          <w:rFonts w:ascii="Times New Roman" w:hAnsi="Times New Roman" w:cs="Times New Roman"/>
          <w:sz w:val="22"/>
          <w:szCs w:val="22"/>
        </w:rPr>
        <w:t xml:space="preserve"> alebo </w:t>
      </w:r>
      <w:r w:rsidR="00333AF2" w:rsidRPr="00A475AF">
        <w:rPr>
          <w:rFonts w:ascii="Times New Roman" w:hAnsi="Times New Roman" w:cs="Times New Roman"/>
          <w:sz w:val="22"/>
          <w:szCs w:val="22"/>
        </w:rPr>
        <w:t>ako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844D2" w:rsidRPr="00A475AF">
        <w:rPr>
          <w:rFonts w:ascii="Times New Roman" w:hAnsi="Times New Roman" w:cs="Times New Roman"/>
          <w:sz w:val="22"/>
          <w:szCs w:val="22"/>
        </w:rPr>
        <w:t>konjugáty</w:t>
      </w:r>
      <w:proofErr w:type="spellEnd"/>
      <w:r w:rsidR="007844D2" w:rsidRPr="00A475AF">
        <w:rPr>
          <w:rFonts w:ascii="Times New Roman" w:hAnsi="Times New Roman" w:cs="Times New Roman"/>
          <w:sz w:val="22"/>
          <w:szCs w:val="22"/>
        </w:rPr>
        <w:t xml:space="preserve">. </w:t>
      </w:r>
      <w:r w:rsidR="00F1793E" w:rsidRPr="00A475AF">
        <w:rPr>
          <w:rFonts w:ascii="Times New Roman" w:hAnsi="Times New Roman" w:cs="Times New Roman"/>
          <w:sz w:val="22"/>
          <w:szCs w:val="22"/>
        </w:rPr>
        <w:t>Vylučovanie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obličkami je </w:t>
      </w:r>
      <w:r w:rsidR="00F1793E" w:rsidRPr="00A475AF">
        <w:rPr>
          <w:rFonts w:ascii="Times New Roman" w:hAnsi="Times New Roman" w:cs="Times New Roman"/>
          <w:sz w:val="22"/>
          <w:szCs w:val="22"/>
        </w:rPr>
        <w:t xml:space="preserve">tak </w:t>
      </w:r>
      <w:r w:rsidR="007844D2" w:rsidRPr="00A475AF">
        <w:rPr>
          <w:rFonts w:ascii="Times New Roman" w:hAnsi="Times New Roman" w:cs="Times New Roman"/>
          <w:sz w:val="22"/>
          <w:szCs w:val="22"/>
        </w:rPr>
        <w:t>rýchl</w:t>
      </w:r>
      <w:r w:rsidR="00F1793E" w:rsidRPr="00A475AF">
        <w:rPr>
          <w:rFonts w:ascii="Times New Roman" w:hAnsi="Times New Roman" w:cs="Times New Roman"/>
          <w:sz w:val="22"/>
          <w:szCs w:val="22"/>
        </w:rPr>
        <w:t>e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 a úpln</w:t>
      </w:r>
      <w:r w:rsidR="00F1793E" w:rsidRPr="00A475AF">
        <w:rPr>
          <w:rFonts w:ascii="Times New Roman" w:hAnsi="Times New Roman" w:cs="Times New Roman"/>
          <w:sz w:val="22"/>
          <w:szCs w:val="22"/>
        </w:rPr>
        <w:t>é</w:t>
      </w:r>
      <w:r w:rsidR="007844D2" w:rsidRPr="00A475AF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A7FD756" w14:textId="77777777" w:rsidR="007844D2" w:rsidRPr="00A475AF" w:rsidRDefault="007844D2" w:rsidP="00DB4E78">
      <w:pPr>
        <w:pStyle w:val="Zkladntext"/>
        <w:rPr>
          <w:rFonts w:ascii="Times New Roman" w:hAnsi="Times New Roman" w:cs="Times New Roman"/>
          <w:sz w:val="22"/>
          <w:szCs w:val="22"/>
        </w:rPr>
      </w:pPr>
      <w:r w:rsidRPr="00A475AF">
        <w:rPr>
          <w:rFonts w:ascii="Times New Roman" w:hAnsi="Times New Roman" w:cs="Times New Roman"/>
          <w:sz w:val="22"/>
          <w:szCs w:val="22"/>
        </w:rPr>
        <w:t>Polčas eliminácie je približne 2 hodiny.</w:t>
      </w:r>
    </w:p>
    <w:p w14:paraId="3574B085" w14:textId="77777777" w:rsidR="007844D2" w:rsidRPr="00A475AF" w:rsidRDefault="007844D2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U starších osôb sa nepozorovali významné zme</w:t>
      </w:r>
      <w:r w:rsidR="00F1793E" w:rsidRPr="00A475AF">
        <w:rPr>
          <w:sz w:val="22"/>
          <w:szCs w:val="22"/>
        </w:rPr>
        <w:t xml:space="preserve">ny vo </w:t>
      </w:r>
      <w:proofErr w:type="spellStart"/>
      <w:r w:rsidR="00F1793E" w:rsidRPr="00A475AF">
        <w:rPr>
          <w:sz w:val="22"/>
          <w:szCs w:val="22"/>
        </w:rPr>
        <w:t>farmakokinetickom</w:t>
      </w:r>
      <w:proofErr w:type="spellEnd"/>
      <w:r w:rsidR="00F1793E" w:rsidRPr="00A475AF">
        <w:rPr>
          <w:sz w:val="22"/>
          <w:szCs w:val="22"/>
        </w:rPr>
        <w:t xml:space="preserve"> profile</w:t>
      </w:r>
      <w:r w:rsidRPr="00A475AF">
        <w:rPr>
          <w:sz w:val="22"/>
          <w:szCs w:val="22"/>
        </w:rPr>
        <w:t>.</w:t>
      </w:r>
    </w:p>
    <w:p w14:paraId="58A4B395" w14:textId="77777777" w:rsidR="00F1793E" w:rsidRPr="00A475AF" w:rsidRDefault="00F1793E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V limitovaných štúdiách sa </w:t>
      </w:r>
      <w:proofErr w:type="spellStart"/>
      <w:r w:rsidR="005F4F0C" w:rsidRPr="00A475AF">
        <w:rPr>
          <w:sz w:val="22"/>
          <w:szCs w:val="22"/>
        </w:rPr>
        <w:t>ibuprofén</w:t>
      </w:r>
      <w:proofErr w:type="spellEnd"/>
      <w:r w:rsidR="005F4F0C" w:rsidRPr="00A475AF">
        <w:rPr>
          <w:sz w:val="22"/>
          <w:szCs w:val="22"/>
        </w:rPr>
        <w:t xml:space="preserve"> </w:t>
      </w:r>
      <w:r w:rsidRPr="00A475AF">
        <w:rPr>
          <w:sz w:val="22"/>
          <w:szCs w:val="22"/>
        </w:rPr>
        <w:t>objavil v materskom mlieku vo veľmi nízkych koncentráciách.</w:t>
      </w:r>
    </w:p>
    <w:p w14:paraId="418A5018" w14:textId="77777777" w:rsidR="007844D2" w:rsidRPr="00A475AF" w:rsidRDefault="007844D2" w:rsidP="00DB4E78">
      <w:pPr>
        <w:rPr>
          <w:sz w:val="22"/>
          <w:szCs w:val="22"/>
        </w:rPr>
      </w:pPr>
    </w:p>
    <w:p w14:paraId="722F70F2" w14:textId="77777777" w:rsidR="007844D2" w:rsidRPr="00A475AF" w:rsidRDefault="007844D2" w:rsidP="00DB4E78">
      <w:pPr>
        <w:keepNext/>
        <w:numPr>
          <w:ilvl w:val="1"/>
          <w:numId w:val="3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Predklinické údaje o bezpečnosti</w:t>
      </w:r>
    </w:p>
    <w:p w14:paraId="210CF804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09936DED" w14:textId="77777777" w:rsidR="007844D2" w:rsidRPr="00A475AF" w:rsidRDefault="00E72284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Žiadne relevantné doplňujúce informácie, ktoré by neboli obsiahnuté v inej časti SPC.</w:t>
      </w:r>
    </w:p>
    <w:p w14:paraId="77ECC09C" w14:textId="77777777" w:rsidR="007844D2" w:rsidRPr="00A475AF" w:rsidRDefault="007844D2" w:rsidP="00DB4E78">
      <w:pPr>
        <w:rPr>
          <w:sz w:val="22"/>
          <w:szCs w:val="22"/>
        </w:rPr>
      </w:pPr>
    </w:p>
    <w:p w14:paraId="50A6249F" w14:textId="77777777" w:rsidR="007844D2" w:rsidRPr="00A475AF" w:rsidRDefault="007844D2" w:rsidP="00DB4E78">
      <w:pPr>
        <w:rPr>
          <w:sz w:val="22"/>
          <w:szCs w:val="22"/>
        </w:rPr>
      </w:pPr>
    </w:p>
    <w:p w14:paraId="10D7BCA9" w14:textId="77777777" w:rsidR="007844D2" w:rsidRPr="00A475AF" w:rsidRDefault="00E72284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FARMACEUTICKÉ</w:t>
      </w:r>
      <w:r w:rsidR="007844D2" w:rsidRPr="00A475AF">
        <w:rPr>
          <w:b/>
          <w:bCs/>
          <w:sz w:val="22"/>
          <w:szCs w:val="22"/>
        </w:rPr>
        <w:t xml:space="preserve"> INFORMÁCIE</w:t>
      </w:r>
    </w:p>
    <w:p w14:paraId="3F6D4B27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5EE8F401" w14:textId="77777777" w:rsidR="007844D2" w:rsidRPr="00A475AF" w:rsidRDefault="007844D2" w:rsidP="00DB4E78">
      <w:pPr>
        <w:keepNext/>
        <w:numPr>
          <w:ilvl w:val="1"/>
          <w:numId w:val="4"/>
        </w:numPr>
        <w:tabs>
          <w:tab w:val="clear" w:pos="360"/>
          <w:tab w:val="num" w:pos="720"/>
        </w:tabs>
        <w:ind w:left="720" w:hanging="72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Zoznam pomocných látok</w:t>
      </w:r>
    </w:p>
    <w:p w14:paraId="29E5A63A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6A26CD12" w14:textId="77777777" w:rsidR="00E72284" w:rsidRPr="00A475AF" w:rsidRDefault="008A4D5E" w:rsidP="00DB4E78">
      <w:pPr>
        <w:rPr>
          <w:sz w:val="22"/>
          <w:szCs w:val="22"/>
        </w:rPr>
      </w:pPr>
      <w:proofErr w:type="spellStart"/>
      <w:r w:rsidRPr="00A475AF">
        <w:rPr>
          <w:sz w:val="22"/>
          <w:szCs w:val="22"/>
        </w:rPr>
        <w:t>makrogol</w:t>
      </w:r>
      <w:proofErr w:type="spellEnd"/>
      <w:r w:rsidR="00F667F3" w:rsidRPr="00A475AF">
        <w:rPr>
          <w:sz w:val="22"/>
          <w:szCs w:val="22"/>
        </w:rPr>
        <w:t xml:space="preserve"> 600</w:t>
      </w:r>
    </w:p>
    <w:p w14:paraId="6D9608BF" w14:textId="77777777" w:rsidR="00E72284" w:rsidRPr="00A475AF" w:rsidRDefault="00F667F3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hydroxid draselný</w:t>
      </w:r>
      <w:r w:rsidR="00E72284" w:rsidRPr="00A475AF">
        <w:rPr>
          <w:sz w:val="22"/>
          <w:szCs w:val="22"/>
        </w:rPr>
        <w:t xml:space="preserve"> 85 % (E 525)</w:t>
      </w:r>
      <w:r w:rsidRPr="00A475AF">
        <w:rPr>
          <w:sz w:val="22"/>
          <w:szCs w:val="22"/>
        </w:rPr>
        <w:t xml:space="preserve"> </w:t>
      </w:r>
    </w:p>
    <w:p w14:paraId="2FDA8617" w14:textId="77777777" w:rsidR="00E72284" w:rsidRPr="00A475AF" w:rsidRDefault="00F667F3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želatína</w:t>
      </w:r>
      <w:r w:rsidRPr="00A475AF" w:rsidDel="009D1EBD">
        <w:rPr>
          <w:sz w:val="22"/>
          <w:szCs w:val="22"/>
        </w:rPr>
        <w:t xml:space="preserve"> </w:t>
      </w:r>
    </w:p>
    <w:p w14:paraId="6D570030" w14:textId="77777777" w:rsidR="00E72284" w:rsidRPr="00A475AF" w:rsidRDefault="00E72284" w:rsidP="00792D82">
      <w:pPr>
        <w:rPr>
          <w:sz w:val="22"/>
          <w:szCs w:val="22"/>
        </w:rPr>
      </w:pPr>
      <w:r w:rsidRPr="00A475AF">
        <w:rPr>
          <w:sz w:val="22"/>
          <w:szCs w:val="22"/>
        </w:rPr>
        <w:t>čistená voda</w:t>
      </w:r>
    </w:p>
    <w:p w14:paraId="3DAF177E" w14:textId="47024C05" w:rsidR="00E72284" w:rsidRPr="00A475AF" w:rsidRDefault="00F667F3" w:rsidP="00DB4E78">
      <w:pPr>
        <w:rPr>
          <w:sz w:val="22"/>
          <w:szCs w:val="22"/>
        </w:rPr>
      </w:pPr>
      <w:proofErr w:type="spellStart"/>
      <w:r w:rsidRPr="00A475AF">
        <w:rPr>
          <w:sz w:val="22"/>
          <w:szCs w:val="22"/>
        </w:rPr>
        <w:t>sorbitol</w:t>
      </w:r>
      <w:proofErr w:type="spellEnd"/>
      <w:r w:rsidRPr="00A475AF">
        <w:rPr>
          <w:sz w:val="22"/>
          <w:szCs w:val="22"/>
        </w:rPr>
        <w:t>,</w:t>
      </w:r>
      <w:r w:rsidR="00E72284" w:rsidRPr="00A475AF">
        <w:rPr>
          <w:sz w:val="22"/>
          <w:szCs w:val="22"/>
        </w:rPr>
        <w:t xml:space="preserve"> čiastočne dehydrovaný</w:t>
      </w:r>
      <w:r w:rsidRPr="00A475AF">
        <w:rPr>
          <w:sz w:val="22"/>
          <w:szCs w:val="22"/>
        </w:rPr>
        <w:t xml:space="preserve"> </w:t>
      </w:r>
      <w:r w:rsidR="005915F4">
        <w:rPr>
          <w:sz w:val="22"/>
          <w:szCs w:val="22"/>
        </w:rPr>
        <w:t xml:space="preserve">roztok </w:t>
      </w:r>
      <w:r w:rsidR="00E72284" w:rsidRPr="00A475AF">
        <w:rPr>
          <w:sz w:val="22"/>
          <w:szCs w:val="22"/>
        </w:rPr>
        <w:t>(E 420)</w:t>
      </w:r>
    </w:p>
    <w:p w14:paraId="0124FF8A" w14:textId="77777777" w:rsidR="007844D2" w:rsidRPr="00A475AF" w:rsidRDefault="00E72284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karmínová červeň 43 %</w:t>
      </w:r>
      <w:r w:rsidR="00F667F3" w:rsidRPr="00A475AF">
        <w:rPr>
          <w:sz w:val="22"/>
          <w:szCs w:val="22"/>
        </w:rPr>
        <w:t xml:space="preserve"> </w:t>
      </w:r>
      <w:r w:rsidRPr="00A475AF">
        <w:rPr>
          <w:sz w:val="22"/>
          <w:szCs w:val="22"/>
        </w:rPr>
        <w:t>(</w:t>
      </w:r>
      <w:r w:rsidR="00F667F3" w:rsidRPr="00A475AF">
        <w:rPr>
          <w:sz w:val="22"/>
          <w:szCs w:val="22"/>
        </w:rPr>
        <w:t>E 12</w:t>
      </w:r>
      <w:r w:rsidRPr="00A475AF">
        <w:rPr>
          <w:sz w:val="22"/>
          <w:szCs w:val="22"/>
        </w:rPr>
        <w:t>0)</w:t>
      </w:r>
    </w:p>
    <w:p w14:paraId="036BFE8B" w14:textId="77777777" w:rsidR="007844D2" w:rsidRPr="00A475AF" w:rsidRDefault="007844D2" w:rsidP="00DB4E78">
      <w:pPr>
        <w:rPr>
          <w:sz w:val="22"/>
          <w:szCs w:val="22"/>
        </w:rPr>
      </w:pPr>
    </w:p>
    <w:p w14:paraId="6110D0D2" w14:textId="77777777" w:rsidR="007844D2" w:rsidRPr="00A475AF" w:rsidRDefault="007844D2" w:rsidP="00DB4E78">
      <w:pPr>
        <w:keepNext/>
        <w:numPr>
          <w:ilvl w:val="1"/>
          <w:numId w:val="4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Inkompatibility</w:t>
      </w:r>
    </w:p>
    <w:p w14:paraId="5D27E1B6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5E0AE067" w14:textId="77777777" w:rsidR="007844D2" w:rsidRPr="00A475AF" w:rsidRDefault="00C0248A" w:rsidP="00DB4E78">
      <w:pPr>
        <w:pStyle w:val="Zarkazkladnhotextu"/>
        <w:ind w:left="0"/>
        <w:rPr>
          <w:sz w:val="22"/>
          <w:szCs w:val="22"/>
        </w:rPr>
      </w:pPr>
      <w:r w:rsidRPr="00A475AF">
        <w:rPr>
          <w:sz w:val="22"/>
          <w:szCs w:val="22"/>
        </w:rPr>
        <w:t>Neaplikovateľné</w:t>
      </w:r>
      <w:r w:rsidR="007844D2" w:rsidRPr="00A475AF">
        <w:rPr>
          <w:sz w:val="22"/>
          <w:szCs w:val="22"/>
        </w:rPr>
        <w:t>.</w:t>
      </w:r>
    </w:p>
    <w:p w14:paraId="624FAEBA" w14:textId="77777777" w:rsidR="007844D2" w:rsidRPr="00A475AF" w:rsidRDefault="007844D2" w:rsidP="00DB4E78">
      <w:pPr>
        <w:rPr>
          <w:sz w:val="22"/>
          <w:szCs w:val="22"/>
        </w:rPr>
      </w:pPr>
    </w:p>
    <w:p w14:paraId="25EEF136" w14:textId="77777777" w:rsidR="007844D2" w:rsidRPr="00A475AF" w:rsidRDefault="007844D2" w:rsidP="00DB4E78">
      <w:pPr>
        <w:keepNext/>
        <w:numPr>
          <w:ilvl w:val="1"/>
          <w:numId w:val="4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Čas použiteľnosti</w:t>
      </w:r>
    </w:p>
    <w:p w14:paraId="5AA85DB6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081FF8B2" w14:textId="77777777" w:rsidR="007844D2" w:rsidRPr="00A475AF" w:rsidRDefault="00F504C9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2 roky</w:t>
      </w:r>
    </w:p>
    <w:p w14:paraId="4D947584" w14:textId="77777777" w:rsidR="007844D2" w:rsidRPr="00A475AF" w:rsidRDefault="007844D2" w:rsidP="00DB4E78">
      <w:pPr>
        <w:rPr>
          <w:b/>
          <w:bCs/>
          <w:sz w:val="22"/>
          <w:szCs w:val="22"/>
        </w:rPr>
      </w:pPr>
    </w:p>
    <w:p w14:paraId="536D3347" w14:textId="77777777" w:rsidR="007844D2" w:rsidRPr="00A475AF" w:rsidRDefault="007844D2" w:rsidP="00DB4E78">
      <w:pPr>
        <w:keepNext/>
        <w:numPr>
          <w:ilvl w:val="1"/>
          <w:numId w:val="4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lastRenderedPageBreak/>
        <w:t>Špeciálne upozornenia na uchovávanie</w:t>
      </w:r>
    </w:p>
    <w:p w14:paraId="1F54FAF8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1A2CBD36" w14:textId="77777777" w:rsidR="007844D2" w:rsidRPr="00A475AF" w:rsidRDefault="00E72284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Uchovávajte pri teplote</w:t>
      </w:r>
      <w:r w:rsidR="007844D2" w:rsidRPr="00A475AF">
        <w:rPr>
          <w:sz w:val="22"/>
          <w:szCs w:val="22"/>
        </w:rPr>
        <w:t xml:space="preserve"> </w:t>
      </w:r>
      <w:r w:rsidR="00DD5989" w:rsidRPr="00A475AF">
        <w:rPr>
          <w:sz w:val="22"/>
          <w:szCs w:val="22"/>
        </w:rPr>
        <w:t xml:space="preserve">do </w:t>
      </w:r>
      <w:smartTag w:uri="urn:schemas-microsoft-com:office:smarttags" w:element="metricconverter">
        <w:smartTagPr>
          <w:attr w:name="ProductID" w:val="25ﾠﾰC"/>
        </w:smartTagPr>
        <w:r w:rsidR="007844D2" w:rsidRPr="00A475AF">
          <w:rPr>
            <w:sz w:val="22"/>
            <w:szCs w:val="22"/>
          </w:rPr>
          <w:t>25 °C</w:t>
        </w:r>
      </w:smartTag>
      <w:r w:rsidRPr="00A475AF">
        <w:rPr>
          <w:sz w:val="22"/>
          <w:szCs w:val="22"/>
        </w:rPr>
        <w:t xml:space="preserve"> v originálnom balení na ochranu pred vlhkosťou.</w:t>
      </w:r>
    </w:p>
    <w:p w14:paraId="41636E2D" w14:textId="77777777" w:rsidR="00C241F9" w:rsidRPr="00A475AF" w:rsidRDefault="00C241F9" w:rsidP="00DB4E78">
      <w:pPr>
        <w:rPr>
          <w:b/>
          <w:bCs/>
          <w:sz w:val="22"/>
          <w:szCs w:val="22"/>
        </w:rPr>
      </w:pPr>
    </w:p>
    <w:p w14:paraId="1E86789C" w14:textId="77777777" w:rsidR="007844D2" w:rsidRPr="00A475AF" w:rsidRDefault="007844D2" w:rsidP="00DB4E78">
      <w:pPr>
        <w:keepNext/>
        <w:numPr>
          <w:ilvl w:val="1"/>
          <w:numId w:val="4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 xml:space="preserve">Druh obalu a obsah balenia </w:t>
      </w:r>
    </w:p>
    <w:p w14:paraId="27CDBE5B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1B0C800E" w14:textId="77777777" w:rsidR="007844D2" w:rsidRPr="00A475AF" w:rsidRDefault="007844D2" w:rsidP="00DB4E78">
      <w:pPr>
        <w:rPr>
          <w:sz w:val="22"/>
          <w:szCs w:val="22"/>
        </w:rPr>
      </w:pPr>
      <w:r w:rsidRPr="00A475AF">
        <w:rPr>
          <w:b/>
          <w:bCs/>
          <w:sz w:val="22"/>
          <w:szCs w:val="22"/>
        </w:rPr>
        <w:t xml:space="preserve">Druh obalu: </w:t>
      </w:r>
      <w:r w:rsidRPr="00A475AF">
        <w:rPr>
          <w:sz w:val="22"/>
          <w:szCs w:val="22"/>
        </w:rPr>
        <w:t>PVC/</w:t>
      </w:r>
      <w:proofErr w:type="spellStart"/>
      <w:r w:rsidRPr="00A475AF">
        <w:rPr>
          <w:sz w:val="22"/>
          <w:szCs w:val="22"/>
        </w:rPr>
        <w:t>PVdC</w:t>
      </w:r>
      <w:proofErr w:type="spellEnd"/>
      <w:r w:rsidRPr="00A475AF">
        <w:rPr>
          <w:sz w:val="22"/>
          <w:szCs w:val="22"/>
        </w:rPr>
        <w:t>/</w:t>
      </w:r>
      <w:proofErr w:type="spellStart"/>
      <w:r w:rsidR="007E4D4E" w:rsidRPr="00A475AF">
        <w:rPr>
          <w:sz w:val="22"/>
          <w:szCs w:val="22"/>
        </w:rPr>
        <w:t>Al</w:t>
      </w:r>
      <w:proofErr w:type="spellEnd"/>
      <w:r w:rsidR="007E4D4E" w:rsidRPr="00A475AF">
        <w:rPr>
          <w:sz w:val="22"/>
          <w:szCs w:val="22"/>
        </w:rPr>
        <w:t xml:space="preserve"> </w:t>
      </w:r>
      <w:proofErr w:type="spellStart"/>
      <w:r w:rsidRPr="00A475AF">
        <w:rPr>
          <w:sz w:val="22"/>
          <w:szCs w:val="22"/>
        </w:rPr>
        <w:t>blister</w:t>
      </w:r>
      <w:proofErr w:type="spellEnd"/>
      <w:r w:rsidRPr="00A475AF">
        <w:rPr>
          <w:sz w:val="22"/>
          <w:szCs w:val="22"/>
        </w:rPr>
        <w:t>, papierová škatuľka</w:t>
      </w:r>
      <w:r w:rsidR="00C0248A" w:rsidRPr="00A475AF">
        <w:rPr>
          <w:sz w:val="22"/>
          <w:szCs w:val="22"/>
        </w:rPr>
        <w:t>.</w:t>
      </w:r>
    </w:p>
    <w:p w14:paraId="49994824" w14:textId="77777777" w:rsidR="00C0248A" w:rsidRPr="00A475AF" w:rsidRDefault="00C0248A" w:rsidP="00DB4E78">
      <w:pPr>
        <w:rPr>
          <w:sz w:val="22"/>
          <w:szCs w:val="22"/>
        </w:rPr>
      </w:pPr>
    </w:p>
    <w:p w14:paraId="1871699E" w14:textId="77777777" w:rsidR="00DD5989" w:rsidRPr="00A475AF" w:rsidRDefault="00DD5989" w:rsidP="00DB4E78">
      <w:pPr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Veľkosť balenia</w:t>
      </w:r>
      <w:r w:rsidR="007844D2" w:rsidRPr="00A475AF">
        <w:rPr>
          <w:b/>
          <w:bCs/>
          <w:sz w:val="22"/>
          <w:szCs w:val="22"/>
        </w:rPr>
        <w:t xml:space="preserve">: </w:t>
      </w:r>
    </w:p>
    <w:p w14:paraId="51ED9263" w14:textId="3E2B25EC" w:rsidR="007844D2" w:rsidRPr="00A475AF" w:rsidRDefault="00DD5989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</w:t>
      </w:r>
      <w:r w:rsidR="005915F4">
        <w:rPr>
          <w:bCs/>
          <w:sz w:val="22"/>
          <w:szCs w:val="22"/>
        </w:rPr>
        <w:t> </w:t>
      </w:r>
      <w:r w:rsidR="005915F4" w:rsidRPr="00A475AF">
        <w:rPr>
          <w:bCs/>
          <w:sz w:val="22"/>
          <w:szCs w:val="22"/>
        </w:rPr>
        <w:t>200</w:t>
      </w:r>
      <w:r w:rsidR="005915F4">
        <w:rPr>
          <w:bCs/>
          <w:sz w:val="22"/>
          <w:szCs w:val="22"/>
        </w:rPr>
        <w:t> </w:t>
      </w:r>
      <w:r w:rsidRPr="00A475AF">
        <w:rPr>
          <w:bCs/>
          <w:sz w:val="22"/>
          <w:szCs w:val="22"/>
        </w:rPr>
        <w:t xml:space="preserve">mg: </w:t>
      </w:r>
      <w:smartTag w:uri="urn:schemas-microsoft-com:office:smarttags" w:element="metricconverter">
        <w:smartTagPr>
          <w:attr w:name="ProductID" w:val="12 a"/>
        </w:smartTagPr>
        <w:r w:rsidR="007844D2" w:rsidRPr="00A475AF">
          <w:rPr>
            <w:sz w:val="22"/>
            <w:szCs w:val="22"/>
          </w:rPr>
          <w:t>12</w:t>
        </w:r>
        <w:r w:rsidRPr="00A475AF">
          <w:rPr>
            <w:sz w:val="22"/>
            <w:szCs w:val="22"/>
          </w:rPr>
          <w:t xml:space="preserve"> a</w:t>
        </w:r>
      </w:smartTag>
      <w:r w:rsidR="007844D2" w:rsidRPr="00A475AF">
        <w:rPr>
          <w:sz w:val="22"/>
          <w:szCs w:val="22"/>
        </w:rPr>
        <w:t xml:space="preserve"> 24 </w:t>
      </w:r>
      <w:r w:rsidRPr="00A475AF">
        <w:rPr>
          <w:sz w:val="22"/>
          <w:szCs w:val="22"/>
        </w:rPr>
        <w:t xml:space="preserve">mäkkých </w:t>
      </w:r>
      <w:r w:rsidR="007844D2" w:rsidRPr="00A475AF">
        <w:rPr>
          <w:sz w:val="22"/>
          <w:szCs w:val="22"/>
        </w:rPr>
        <w:t>kapsúl.</w:t>
      </w:r>
    </w:p>
    <w:p w14:paraId="2215BE74" w14:textId="185A9ADD" w:rsidR="00DD5989" w:rsidRPr="00A475AF" w:rsidRDefault="00DD5989" w:rsidP="00DB4E78">
      <w:pPr>
        <w:rPr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</w:t>
      </w:r>
      <w:r w:rsidR="005915F4">
        <w:rPr>
          <w:bCs/>
          <w:sz w:val="22"/>
          <w:szCs w:val="22"/>
        </w:rPr>
        <w:t> </w:t>
      </w:r>
      <w:r w:rsidR="005915F4" w:rsidRPr="00A475AF">
        <w:rPr>
          <w:bCs/>
          <w:sz w:val="22"/>
          <w:szCs w:val="22"/>
        </w:rPr>
        <w:t>400</w:t>
      </w:r>
      <w:r w:rsidR="005915F4">
        <w:rPr>
          <w:bCs/>
          <w:sz w:val="22"/>
          <w:szCs w:val="22"/>
        </w:rPr>
        <w:t> </w:t>
      </w:r>
      <w:r w:rsidRPr="00A475AF">
        <w:rPr>
          <w:bCs/>
          <w:sz w:val="22"/>
          <w:szCs w:val="22"/>
        </w:rPr>
        <w:t xml:space="preserve">mg: 10, </w:t>
      </w:r>
      <w:r w:rsidRPr="00A475AF">
        <w:rPr>
          <w:sz w:val="22"/>
          <w:szCs w:val="22"/>
        </w:rPr>
        <w:t>12 a</w:t>
      </w:r>
      <w:r w:rsidR="0090515F">
        <w:rPr>
          <w:sz w:val="22"/>
          <w:szCs w:val="22"/>
        </w:rPr>
        <w:t> </w:t>
      </w:r>
      <w:r w:rsidRPr="00A475AF">
        <w:rPr>
          <w:sz w:val="22"/>
          <w:szCs w:val="22"/>
        </w:rPr>
        <w:t>20</w:t>
      </w:r>
      <w:r w:rsidR="0090515F">
        <w:rPr>
          <w:sz w:val="22"/>
          <w:szCs w:val="22"/>
        </w:rPr>
        <w:t xml:space="preserve">, 30 </w:t>
      </w:r>
      <w:r w:rsidRPr="00A475AF">
        <w:rPr>
          <w:sz w:val="22"/>
          <w:szCs w:val="22"/>
        </w:rPr>
        <w:t>mäkkých kapsúl.</w:t>
      </w:r>
    </w:p>
    <w:p w14:paraId="37381D7E" w14:textId="77777777" w:rsidR="007844D2" w:rsidRPr="00A475AF" w:rsidRDefault="007844D2" w:rsidP="00DB4E78">
      <w:pPr>
        <w:rPr>
          <w:sz w:val="22"/>
          <w:szCs w:val="22"/>
        </w:rPr>
      </w:pPr>
    </w:p>
    <w:p w14:paraId="7ED02AD5" w14:textId="77777777" w:rsidR="007844D2" w:rsidRPr="00A475AF" w:rsidRDefault="00C0248A" w:rsidP="00DB4E78">
      <w:pPr>
        <w:rPr>
          <w:sz w:val="22"/>
          <w:szCs w:val="22"/>
        </w:rPr>
      </w:pPr>
      <w:r w:rsidRPr="00A475AF">
        <w:rPr>
          <w:sz w:val="22"/>
          <w:szCs w:val="22"/>
        </w:rPr>
        <w:t>Na trh nemusia byť uvedené</w:t>
      </w:r>
      <w:r w:rsidR="007844D2" w:rsidRPr="00A475AF">
        <w:rPr>
          <w:sz w:val="22"/>
          <w:szCs w:val="22"/>
        </w:rPr>
        <w:t xml:space="preserve"> všetky veľkosti balenia.</w:t>
      </w:r>
    </w:p>
    <w:p w14:paraId="13083933" w14:textId="77777777" w:rsidR="007844D2" w:rsidRPr="00A475AF" w:rsidRDefault="007844D2" w:rsidP="00DB4E78">
      <w:pPr>
        <w:rPr>
          <w:sz w:val="22"/>
          <w:szCs w:val="22"/>
        </w:rPr>
      </w:pPr>
    </w:p>
    <w:p w14:paraId="3D870AE8" w14:textId="77777777" w:rsidR="007844D2" w:rsidRPr="00A475AF" w:rsidRDefault="007844D2" w:rsidP="00DB4E78">
      <w:pPr>
        <w:keepNext/>
        <w:numPr>
          <w:ilvl w:val="1"/>
          <w:numId w:val="4"/>
        </w:numPr>
        <w:tabs>
          <w:tab w:val="clear" w:pos="360"/>
          <w:tab w:val="num" w:pos="0"/>
        </w:tabs>
        <w:ind w:left="0" w:firstLine="0"/>
        <w:rPr>
          <w:b/>
          <w:bCs/>
          <w:sz w:val="22"/>
          <w:szCs w:val="22"/>
        </w:rPr>
      </w:pPr>
      <w:r w:rsidRPr="00A475AF">
        <w:rPr>
          <w:b/>
          <w:bCs/>
          <w:sz w:val="22"/>
          <w:szCs w:val="22"/>
        </w:rPr>
        <w:t>Špeciálne opatrenia na likvidáciu a iné zaobchádzanie s liekom</w:t>
      </w:r>
    </w:p>
    <w:p w14:paraId="00BA34A9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0282EAB9" w14:textId="77777777" w:rsidR="007844D2" w:rsidRPr="00A475AF" w:rsidRDefault="007844D2" w:rsidP="00DB4E78">
      <w:pPr>
        <w:pStyle w:val="Zkladntext2"/>
        <w:spacing w:after="0" w:line="240" w:lineRule="auto"/>
        <w:rPr>
          <w:sz w:val="22"/>
          <w:szCs w:val="22"/>
        </w:rPr>
      </w:pPr>
      <w:r w:rsidRPr="00A475AF">
        <w:rPr>
          <w:sz w:val="22"/>
          <w:szCs w:val="22"/>
        </w:rPr>
        <w:t>Žiadne zvláštne požiadavky.</w:t>
      </w:r>
    </w:p>
    <w:p w14:paraId="73737EF1" w14:textId="77777777" w:rsidR="007844D2" w:rsidRPr="00A475AF" w:rsidRDefault="007844D2" w:rsidP="00DB4E78">
      <w:pPr>
        <w:pStyle w:val="Zkladntext2"/>
        <w:spacing w:after="0" w:line="240" w:lineRule="auto"/>
        <w:rPr>
          <w:sz w:val="22"/>
          <w:szCs w:val="22"/>
        </w:rPr>
      </w:pPr>
    </w:p>
    <w:p w14:paraId="30D9D0AF" w14:textId="77777777" w:rsidR="007844D2" w:rsidRPr="00A475AF" w:rsidRDefault="007844D2" w:rsidP="00DB4E78">
      <w:pPr>
        <w:pStyle w:val="Zkladntext2"/>
        <w:spacing w:after="0" w:line="240" w:lineRule="auto"/>
        <w:rPr>
          <w:sz w:val="22"/>
          <w:szCs w:val="22"/>
        </w:rPr>
      </w:pPr>
    </w:p>
    <w:p w14:paraId="2F278EBC" w14:textId="77777777" w:rsidR="007844D2" w:rsidRPr="00A475AF" w:rsidRDefault="007844D2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A475AF">
        <w:rPr>
          <w:b/>
          <w:bCs/>
          <w:caps/>
          <w:sz w:val="22"/>
          <w:szCs w:val="22"/>
        </w:rPr>
        <w:t>Držiteľ rozhodnutia o registrácii</w:t>
      </w:r>
    </w:p>
    <w:p w14:paraId="1B9B8EE0" w14:textId="77777777" w:rsidR="001B7BC6" w:rsidRPr="00A475AF" w:rsidRDefault="001B7BC6" w:rsidP="00DB4E78">
      <w:pPr>
        <w:rPr>
          <w:sz w:val="22"/>
          <w:szCs w:val="22"/>
        </w:rPr>
      </w:pPr>
    </w:p>
    <w:p w14:paraId="39C4F347" w14:textId="77777777" w:rsidR="00427F46" w:rsidRPr="00A475AF" w:rsidRDefault="00427F46" w:rsidP="00427F46">
      <w:pPr>
        <w:rPr>
          <w:sz w:val="22"/>
          <w:szCs w:val="22"/>
        </w:rPr>
      </w:pPr>
      <w:proofErr w:type="spellStart"/>
      <w:r w:rsidRPr="00A475AF">
        <w:rPr>
          <w:sz w:val="22"/>
          <w:szCs w:val="22"/>
        </w:rPr>
        <w:t>sanofi-aventis</w:t>
      </w:r>
      <w:proofErr w:type="spellEnd"/>
      <w:r w:rsidRPr="00A475AF">
        <w:rPr>
          <w:sz w:val="22"/>
          <w:szCs w:val="22"/>
        </w:rPr>
        <w:t xml:space="preserve"> Slovakia s.r.o., </w:t>
      </w:r>
    </w:p>
    <w:p w14:paraId="53B5C4B5" w14:textId="77777777" w:rsidR="00427F46" w:rsidRPr="00A475AF" w:rsidRDefault="00427F46" w:rsidP="00427F46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Einsteinova 24, </w:t>
      </w:r>
    </w:p>
    <w:p w14:paraId="7F482C64" w14:textId="77777777" w:rsidR="00427F46" w:rsidRPr="00A475AF" w:rsidRDefault="00427F46" w:rsidP="00427F46">
      <w:pPr>
        <w:rPr>
          <w:sz w:val="22"/>
          <w:szCs w:val="22"/>
        </w:rPr>
      </w:pPr>
      <w:r w:rsidRPr="00A475AF">
        <w:rPr>
          <w:sz w:val="22"/>
          <w:szCs w:val="22"/>
        </w:rPr>
        <w:t xml:space="preserve">851 01 Bratislava, </w:t>
      </w:r>
    </w:p>
    <w:p w14:paraId="0EDBF3F7" w14:textId="77777777" w:rsidR="00427F46" w:rsidRPr="00A475AF" w:rsidRDefault="00427F46" w:rsidP="00427F46">
      <w:pPr>
        <w:rPr>
          <w:noProof/>
          <w:sz w:val="22"/>
          <w:szCs w:val="22"/>
        </w:rPr>
      </w:pPr>
      <w:r w:rsidRPr="00A475AF">
        <w:rPr>
          <w:sz w:val="22"/>
          <w:szCs w:val="22"/>
        </w:rPr>
        <w:t>Slovenská republika</w:t>
      </w:r>
    </w:p>
    <w:p w14:paraId="272AF31E" w14:textId="77777777" w:rsidR="00427F46" w:rsidRPr="00A475AF" w:rsidRDefault="00427F46" w:rsidP="00427F46">
      <w:pPr>
        <w:rPr>
          <w:noProof/>
          <w:sz w:val="22"/>
          <w:szCs w:val="22"/>
        </w:rPr>
      </w:pPr>
    </w:p>
    <w:p w14:paraId="35BD9C11" w14:textId="77777777" w:rsidR="007844D2" w:rsidRPr="00A475AF" w:rsidRDefault="007844D2" w:rsidP="00DB4E78">
      <w:pPr>
        <w:rPr>
          <w:sz w:val="22"/>
          <w:szCs w:val="22"/>
        </w:rPr>
      </w:pPr>
    </w:p>
    <w:p w14:paraId="46190DAB" w14:textId="77777777" w:rsidR="007844D2" w:rsidRPr="00A475AF" w:rsidRDefault="007844D2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A475AF">
        <w:rPr>
          <w:b/>
          <w:bCs/>
          <w:caps/>
          <w:sz w:val="22"/>
          <w:szCs w:val="22"/>
        </w:rPr>
        <w:t>Registračné čísl</w:t>
      </w:r>
      <w:r w:rsidR="00DD5989" w:rsidRPr="00A475AF">
        <w:rPr>
          <w:b/>
          <w:bCs/>
          <w:caps/>
          <w:sz w:val="22"/>
          <w:szCs w:val="22"/>
        </w:rPr>
        <w:t>A</w:t>
      </w:r>
    </w:p>
    <w:p w14:paraId="4A2E3CA0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6AD8A85B" w14:textId="77777777" w:rsidR="00DD5989" w:rsidRPr="00A475AF" w:rsidRDefault="00DD5989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 xml:space="preserve">IBALGIN RAPIDCAPS 200 mg: </w:t>
      </w:r>
      <w:r w:rsidR="007E4D4E" w:rsidRPr="00A475AF">
        <w:rPr>
          <w:bCs/>
          <w:sz w:val="22"/>
          <w:szCs w:val="22"/>
        </w:rPr>
        <w:t>29/0353/14-S</w:t>
      </w:r>
    </w:p>
    <w:p w14:paraId="14BF89EC" w14:textId="77777777" w:rsidR="007844D2" w:rsidRPr="00A475AF" w:rsidRDefault="00DD5989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>IBALGIN RAPIDCAPS 400 mg:</w:t>
      </w:r>
      <w:r w:rsidR="007E4D4E" w:rsidRPr="00A475AF">
        <w:rPr>
          <w:bCs/>
          <w:sz w:val="22"/>
          <w:szCs w:val="22"/>
        </w:rPr>
        <w:t xml:space="preserve"> 29/0354/14-S</w:t>
      </w:r>
    </w:p>
    <w:p w14:paraId="131AD4B7" w14:textId="77777777" w:rsidR="007844D2" w:rsidRPr="00A475AF" w:rsidRDefault="007844D2" w:rsidP="00DB4E78">
      <w:pPr>
        <w:rPr>
          <w:b/>
          <w:bCs/>
          <w:caps/>
          <w:sz w:val="22"/>
          <w:szCs w:val="22"/>
        </w:rPr>
      </w:pPr>
    </w:p>
    <w:p w14:paraId="075F29E1" w14:textId="77777777" w:rsidR="007844D2" w:rsidRPr="00A475AF" w:rsidRDefault="007844D2" w:rsidP="00DB4E78">
      <w:pPr>
        <w:rPr>
          <w:b/>
          <w:bCs/>
          <w:caps/>
          <w:sz w:val="22"/>
          <w:szCs w:val="22"/>
        </w:rPr>
      </w:pPr>
    </w:p>
    <w:p w14:paraId="68D65575" w14:textId="77777777" w:rsidR="007844D2" w:rsidRPr="00A475AF" w:rsidRDefault="007844D2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A475AF">
        <w:rPr>
          <w:b/>
          <w:bCs/>
          <w:caps/>
          <w:sz w:val="22"/>
          <w:szCs w:val="22"/>
        </w:rPr>
        <w:t xml:space="preserve">Dátum prvej registrácie/Predĺženie registrácie </w:t>
      </w:r>
    </w:p>
    <w:p w14:paraId="0199569B" w14:textId="77777777" w:rsidR="007844D2" w:rsidRPr="00A475AF" w:rsidRDefault="007844D2" w:rsidP="00DB4E78">
      <w:pPr>
        <w:keepNext/>
        <w:rPr>
          <w:b/>
          <w:bCs/>
          <w:sz w:val="22"/>
          <w:szCs w:val="22"/>
        </w:rPr>
      </w:pPr>
    </w:p>
    <w:p w14:paraId="729C1767" w14:textId="77777777" w:rsidR="007844D2" w:rsidRPr="00A475AF" w:rsidRDefault="007844D2" w:rsidP="00DB4E78">
      <w:pPr>
        <w:rPr>
          <w:bCs/>
          <w:sz w:val="22"/>
          <w:szCs w:val="22"/>
        </w:rPr>
      </w:pPr>
      <w:r w:rsidRPr="00A475AF">
        <w:rPr>
          <w:bCs/>
          <w:sz w:val="22"/>
          <w:szCs w:val="22"/>
        </w:rPr>
        <w:t>Dátum prvej registrácie:</w:t>
      </w:r>
      <w:r w:rsidR="00601C23" w:rsidRPr="00A475AF">
        <w:rPr>
          <w:bCs/>
          <w:sz w:val="22"/>
          <w:szCs w:val="22"/>
        </w:rPr>
        <w:t xml:space="preserve"> 16. októbr</w:t>
      </w:r>
      <w:r w:rsidR="000852FE" w:rsidRPr="00A475AF">
        <w:rPr>
          <w:bCs/>
          <w:sz w:val="22"/>
          <w:szCs w:val="22"/>
        </w:rPr>
        <w:t>a</w:t>
      </w:r>
      <w:r w:rsidR="00601C23" w:rsidRPr="00A475AF">
        <w:rPr>
          <w:bCs/>
          <w:sz w:val="22"/>
          <w:szCs w:val="22"/>
        </w:rPr>
        <w:t xml:space="preserve"> </w:t>
      </w:r>
      <w:r w:rsidR="007E4D4E" w:rsidRPr="00A475AF">
        <w:rPr>
          <w:bCs/>
          <w:sz w:val="22"/>
          <w:szCs w:val="22"/>
        </w:rPr>
        <w:t>2014</w:t>
      </w:r>
    </w:p>
    <w:p w14:paraId="693AB2DE" w14:textId="77777777" w:rsidR="007844D2" w:rsidRPr="00A475AF" w:rsidRDefault="007844D2" w:rsidP="00DB4E78">
      <w:pPr>
        <w:rPr>
          <w:b/>
          <w:bCs/>
          <w:caps/>
          <w:sz w:val="22"/>
          <w:szCs w:val="22"/>
        </w:rPr>
      </w:pPr>
    </w:p>
    <w:p w14:paraId="0BECDBF9" w14:textId="77777777" w:rsidR="007844D2" w:rsidRPr="00A475AF" w:rsidRDefault="007844D2" w:rsidP="00DB4E78">
      <w:pPr>
        <w:rPr>
          <w:b/>
          <w:bCs/>
          <w:caps/>
          <w:sz w:val="22"/>
          <w:szCs w:val="22"/>
        </w:rPr>
      </w:pPr>
    </w:p>
    <w:p w14:paraId="18BF9376" w14:textId="77777777" w:rsidR="007844D2" w:rsidRPr="00A475AF" w:rsidRDefault="007844D2" w:rsidP="00DB4E78">
      <w:pPr>
        <w:keepNext/>
        <w:numPr>
          <w:ilvl w:val="0"/>
          <w:numId w:val="1"/>
        </w:numPr>
        <w:tabs>
          <w:tab w:val="clear" w:pos="360"/>
          <w:tab w:val="num" w:pos="0"/>
        </w:tabs>
        <w:ind w:left="0" w:firstLine="0"/>
        <w:rPr>
          <w:b/>
          <w:bCs/>
          <w:caps/>
          <w:sz w:val="22"/>
          <w:szCs w:val="22"/>
        </w:rPr>
      </w:pPr>
      <w:r w:rsidRPr="00A475AF">
        <w:rPr>
          <w:b/>
          <w:bCs/>
          <w:caps/>
          <w:sz w:val="22"/>
          <w:szCs w:val="22"/>
        </w:rPr>
        <w:t>Dátum revízie textu</w:t>
      </w:r>
    </w:p>
    <w:p w14:paraId="0888CB98" w14:textId="77777777" w:rsidR="007844D2" w:rsidRPr="00DB4E78" w:rsidRDefault="007844D2" w:rsidP="00DB4E78">
      <w:pPr>
        <w:keepNext/>
        <w:rPr>
          <w:b/>
          <w:bCs/>
          <w:sz w:val="22"/>
          <w:szCs w:val="22"/>
        </w:rPr>
      </w:pPr>
    </w:p>
    <w:p w14:paraId="02F742C4" w14:textId="66F3D8BD" w:rsidR="00D53F82" w:rsidRPr="00DB4E78" w:rsidRDefault="0076734F" w:rsidP="00DB4E78">
      <w:pPr>
        <w:rPr>
          <w:sz w:val="22"/>
          <w:szCs w:val="22"/>
        </w:rPr>
      </w:pPr>
      <w:r>
        <w:rPr>
          <w:sz w:val="22"/>
          <w:szCs w:val="22"/>
        </w:rPr>
        <w:t>09/2019</w:t>
      </w:r>
    </w:p>
    <w:sectPr w:rsidR="00D53F82" w:rsidRPr="00DB4E78" w:rsidSect="00A475A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D5018" w14:textId="77777777" w:rsidR="00A83D87" w:rsidRDefault="00A83D87">
      <w:r>
        <w:separator/>
      </w:r>
    </w:p>
  </w:endnote>
  <w:endnote w:type="continuationSeparator" w:id="0">
    <w:p w14:paraId="601869FD" w14:textId="77777777" w:rsidR="00A83D87" w:rsidRDefault="00A83D87">
      <w:r>
        <w:continuationSeparator/>
      </w:r>
    </w:p>
  </w:endnote>
  <w:endnote w:type="continuationNotice" w:id="1">
    <w:p w14:paraId="562D548F" w14:textId="77777777" w:rsidR="00A83D87" w:rsidRDefault="00A83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DB2FC" w14:textId="77777777" w:rsidR="00F6714F" w:rsidRPr="00DB4E78" w:rsidRDefault="00F6714F">
    <w:pPr>
      <w:pStyle w:val="Pta"/>
      <w:rPr>
        <w:sz w:val="18"/>
        <w:szCs w:val="18"/>
      </w:rPr>
    </w:pPr>
    <w:r>
      <w:tab/>
    </w:r>
    <w:r w:rsidRPr="00DB4E78">
      <w:rPr>
        <w:sz w:val="18"/>
        <w:szCs w:val="18"/>
      </w:rPr>
      <w:fldChar w:fldCharType="begin"/>
    </w:r>
    <w:r w:rsidRPr="00DB4E78">
      <w:rPr>
        <w:sz w:val="18"/>
        <w:szCs w:val="18"/>
      </w:rPr>
      <w:instrText xml:space="preserve"> PAGE </w:instrText>
    </w:r>
    <w:r w:rsidRPr="00DB4E78">
      <w:rPr>
        <w:sz w:val="18"/>
        <w:szCs w:val="18"/>
      </w:rPr>
      <w:fldChar w:fldCharType="separate"/>
    </w:r>
    <w:r w:rsidR="001A5F71">
      <w:rPr>
        <w:noProof/>
        <w:sz w:val="18"/>
        <w:szCs w:val="18"/>
      </w:rPr>
      <w:t>11</w:t>
    </w:r>
    <w:r w:rsidRPr="00DB4E78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59EE4" w14:textId="77777777" w:rsidR="004F09B0" w:rsidRPr="00B33584" w:rsidRDefault="004F09B0">
    <w:pPr>
      <w:pStyle w:val="Pta"/>
      <w:jc w:val="center"/>
      <w:rPr>
        <w:sz w:val="18"/>
        <w:szCs w:val="18"/>
      </w:rPr>
    </w:pPr>
    <w:r w:rsidRPr="00B33584">
      <w:rPr>
        <w:sz w:val="18"/>
        <w:szCs w:val="18"/>
      </w:rPr>
      <w:fldChar w:fldCharType="begin"/>
    </w:r>
    <w:r w:rsidRPr="00B33584">
      <w:rPr>
        <w:sz w:val="18"/>
        <w:szCs w:val="18"/>
      </w:rPr>
      <w:instrText>PAGE   \* MERGEFORMAT</w:instrText>
    </w:r>
    <w:r w:rsidRPr="00B33584">
      <w:rPr>
        <w:sz w:val="18"/>
        <w:szCs w:val="18"/>
      </w:rPr>
      <w:fldChar w:fldCharType="separate"/>
    </w:r>
    <w:r w:rsidR="00A475AF">
      <w:rPr>
        <w:noProof/>
        <w:sz w:val="18"/>
        <w:szCs w:val="18"/>
      </w:rPr>
      <w:t>1</w:t>
    </w:r>
    <w:r w:rsidRPr="00B33584">
      <w:rPr>
        <w:sz w:val="18"/>
        <w:szCs w:val="18"/>
      </w:rPr>
      <w:fldChar w:fldCharType="end"/>
    </w:r>
  </w:p>
  <w:p w14:paraId="73DD438D" w14:textId="77777777" w:rsidR="004F09B0" w:rsidRDefault="004F09B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702CCF" w14:textId="77777777" w:rsidR="00A83D87" w:rsidRDefault="00A83D87">
      <w:r>
        <w:separator/>
      </w:r>
    </w:p>
  </w:footnote>
  <w:footnote w:type="continuationSeparator" w:id="0">
    <w:p w14:paraId="5CE97FDC" w14:textId="77777777" w:rsidR="00A83D87" w:rsidRDefault="00A83D87">
      <w:r>
        <w:continuationSeparator/>
      </w:r>
    </w:p>
  </w:footnote>
  <w:footnote w:type="continuationNotice" w:id="1">
    <w:p w14:paraId="6011E152" w14:textId="77777777" w:rsidR="00A83D87" w:rsidRDefault="00A83D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58C20" w14:textId="1D41095E" w:rsidR="008D0720" w:rsidRDefault="00471638" w:rsidP="00512A0E">
    <w:pPr>
      <w:tabs>
        <w:tab w:val="left" w:pos="1064"/>
        <w:tab w:val="left" w:pos="2767"/>
      </w:tabs>
      <w:jc w:val="both"/>
      <w:rPr>
        <w:sz w:val="18"/>
        <w:szCs w:val="18"/>
      </w:rPr>
    </w:pPr>
    <w:r>
      <w:rPr>
        <w:sz w:val="18"/>
        <w:szCs w:val="18"/>
      </w:rPr>
      <w:t>Príloha č.1 k notifikácii</w:t>
    </w:r>
    <w:r w:rsidR="0066555A">
      <w:rPr>
        <w:sz w:val="18"/>
        <w:szCs w:val="18"/>
      </w:rPr>
      <w:t xml:space="preserve"> o zmene</w:t>
    </w:r>
    <w:r w:rsidR="00670C7E">
      <w:rPr>
        <w:sz w:val="18"/>
        <w:szCs w:val="18"/>
      </w:rPr>
      <w:t xml:space="preserve"> ev. č.: </w:t>
    </w:r>
    <w:r w:rsidR="00670C7E" w:rsidRPr="00670C7E">
      <w:rPr>
        <w:sz w:val="18"/>
        <w:szCs w:val="18"/>
      </w:rPr>
      <w:t>2019/03986-Z1B</w:t>
    </w:r>
    <w:r w:rsidR="00C17CE9">
      <w:rPr>
        <w:sz w:val="18"/>
        <w:szCs w:val="18"/>
      </w:rPr>
      <w:t xml:space="preserve">, 2018/00820-Z1B </w:t>
    </w:r>
  </w:p>
  <w:p w14:paraId="71169CB5" w14:textId="77777777" w:rsidR="008D0720" w:rsidRDefault="008D0720" w:rsidP="00512A0E">
    <w:pPr>
      <w:tabs>
        <w:tab w:val="left" w:pos="1064"/>
        <w:tab w:val="left" w:pos="2767"/>
      </w:tabs>
      <w:jc w:val="both"/>
      <w:rPr>
        <w:sz w:val="18"/>
        <w:szCs w:val="18"/>
      </w:rPr>
    </w:pPr>
    <w:r>
      <w:rPr>
        <w:sz w:val="18"/>
        <w:szCs w:val="18"/>
      </w:rPr>
      <w:t>Schválený text k rozhodnutiu o zmene, ev. č.: 2019/00419-ZME</w:t>
    </w:r>
  </w:p>
  <w:p w14:paraId="7EDC6B9C" w14:textId="7FB0C188" w:rsidR="00F6714F" w:rsidRDefault="00F6714F" w:rsidP="00512A0E">
    <w:pPr>
      <w:tabs>
        <w:tab w:val="left" w:pos="1064"/>
        <w:tab w:val="left" w:pos="2767"/>
      </w:tabs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742E1" w14:textId="77777777" w:rsidR="004F09B0" w:rsidRDefault="004F09B0" w:rsidP="00B33584">
    <w:pPr>
      <w:tabs>
        <w:tab w:val="left" w:pos="7200"/>
      </w:tabs>
      <w:jc w:val="both"/>
      <w:rPr>
        <w:noProof/>
        <w:sz w:val="18"/>
        <w:szCs w:val="18"/>
      </w:rPr>
    </w:pPr>
  </w:p>
  <w:p w14:paraId="5AED6763" w14:textId="77777777" w:rsidR="00C069AD" w:rsidRDefault="00C069AD" w:rsidP="00A475AF">
    <w:pPr>
      <w:tabs>
        <w:tab w:val="left" w:pos="7200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6E1E"/>
    <w:multiLevelType w:val="hybridMultilevel"/>
    <w:tmpl w:val="740EB3D4"/>
    <w:lvl w:ilvl="0" w:tplc="16681730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7E26E6"/>
    <w:multiLevelType w:val="multilevel"/>
    <w:tmpl w:val="54441E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0AC7A86"/>
    <w:multiLevelType w:val="multilevel"/>
    <w:tmpl w:val="FE52449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BD31F95"/>
    <w:multiLevelType w:val="multilevel"/>
    <w:tmpl w:val="93DCCB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61204A5"/>
    <w:multiLevelType w:val="hybridMultilevel"/>
    <w:tmpl w:val="1414B7D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4D08F7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F223E32"/>
    <w:multiLevelType w:val="hybridMultilevel"/>
    <w:tmpl w:val="20420E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ova, Katarina /SK">
    <w15:presenceInfo w15:providerId="AD" w15:userId="S-1-5-21-299502267-1645522239-682003330-1076712117"/>
  </w15:person>
  <w15:person w15:author="Laifrova, Miroslava /SK">
    <w15:presenceInfo w15:providerId="AD" w15:userId="S-1-5-21-299502267-1645522239-682003330-10765843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D2"/>
    <w:rsid w:val="000009EC"/>
    <w:rsid w:val="00001188"/>
    <w:rsid w:val="00001560"/>
    <w:rsid w:val="00001C73"/>
    <w:rsid w:val="00001D9A"/>
    <w:rsid w:val="000023A0"/>
    <w:rsid w:val="0000278E"/>
    <w:rsid w:val="00003041"/>
    <w:rsid w:val="000031D1"/>
    <w:rsid w:val="000038D3"/>
    <w:rsid w:val="00004AA9"/>
    <w:rsid w:val="0000573A"/>
    <w:rsid w:val="00005ACA"/>
    <w:rsid w:val="00005FD6"/>
    <w:rsid w:val="00006268"/>
    <w:rsid w:val="00006B70"/>
    <w:rsid w:val="00006CDB"/>
    <w:rsid w:val="00006FE1"/>
    <w:rsid w:val="00007335"/>
    <w:rsid w:val="000076B6"/>
    <w:rsid w:val="00007A2F"/>
    <w:rsid w:val="00007BA5"/>
    <w:rsid w:val="00007FE3"/>
    <w:rsid w:val="00010494"/>
    <w:rsid w:val="00010971"/>
    <w:rsid w:val="00010C1F"/>
    <w:rsid w:val="00010FB7"/>
    <w:rsid w:val="00011571"/>
    <w:rsid w:val="000118E2"/>
    <w:rsid w:val="00011A12"/>
    <w:rsid w:val="00011E94"/>
    <w:rsid w:val="00011FDC"/>
    <w:rsid w:val="00012082"/>
    <w:rsid w:val="000121D6"/>
    <w:rsid w:val="000124A8"/>
    <w:rsid w:val="0001268C"/>
    <w:rsid w:val="00012CA6"/>
    <w:rsid w:val="00012D88"/>
    <w:rsid w:val="00012F3E"/>
    <w:rsid w:val="00013C5F"/>
    <w:rsid w:val="00013E46"/>
    <w:rsid w:val="00013EE3"/>
    <w:rsid w:val="00014566"/>
    <w:rsid w:val="00014702"/>
    <w:rsid w:val="000147E5"/>
    <w:rsid w:val="00014A7E"/>
    <w:rsid w:val="0001505B"/>
    <w:rsid w:val="00015800"/>
    <w:rsid w:val="00015AAC"/>
    <w:rsid w:val="00015B87"/>
    <w:rsid w:val="00015CF7"/>
    <w:rsid w:val="000162BB"/>
    <w:rsid w:val="000164E2"/>
    <w:rsid w:val="00017105"/>
    <w:rsid w:val="0001723D"/>
    <w:rsid w:val="00017A92"/>
    <w:rsid w:val="00017D61"/>
    <w:rsid w:val="0002022A"/>
    <w:rsid w:val="000205CC"/>
    <w:rsid w:val="00021377"/>
    <w:rsid w:val="000214AA"/>
    <w:rsid w:val="00021553"/>
    <w:rsid w:val="00021A28"/>
    <w:rsid w:val="00021A51"/>
    <w:rsid w:val="00022781"/>
    <w:rsid w:val="0002394A"/>
    <w:rsid w:val="00023A11"/>
    <w:rsid w:val="00023DA1"/>
    <w:rsid w:val="0002535D"/>
    <w:rsid w:val="000263D4"/>
    <w:rsid w:val="00026FD7"/>
    <w:rsid w:val="00027206"/>
    <w:rsid w:val="00027340"/>
    <w:rsid w:val="0002740C"/>
    <w:rsid w:val="0002778A"/>
    <w:rsid w:val="00030640"/>
    <w:rsid w:val="0003092A"/>
    <w:rsid w:val="00030F08"/>
    <w:rsid w:val="000316E1"/>
    <w:rsid w:val="00031A07"/>
    <w:rsid w:val="00031BC7"/>
    <w:rsid w:val="00031C84"/>
    <w:rsid w:val="000321D0"/>
    <w:rsid w:val="00032617"/>
    <w:rsid w:val="0003261F"/>
    <w:rsid w:val="000328B3"/>
    <w:rsid w:val="00032955"/>
    <w:rsid w:val="000330FB"/>
    <w:rsid w:val="000331B7"/>
    <w:rsid w:val="00033B22"/>
    <w:rsid w:val="000340F1"/>
    <w:rsid w:val="00034158"/>
    <w:rsid w:val="00034410"/>
    <w:rsid w:val="000348E3"/>
    <w:rsid w:val="00034AD0"/>
    <w:rsid w:val="00034F0D"/>
    <w:rsid w:val="000354FD"/>
    <w:rsid w:val="00035F63"/>
    <w:rsid w:val="00036000"/>
    <w:rsid w:val="00037C34"/>
    <w:rsid w:val="00040163"/>
    <w:rsid w:val="00040D55"/>
    <w:rsid w:val="00041258"/>
    <w:rsid w:val="0004132F"/>
    <w:rsid w:val="00041A19"/>
    <w:rsid w:val="00041EFD"/>
    <w:rsid w:val="00041F11"/>
    <w:rsid w:val="000422E2"/>
    <w:rsid w:val="00042C50"/>
    <w:rsid w:val="00042CB0"/>
    <w:rsid w:val="00042F94"/>
    <w:rsid w:val="00043C21"/>
    <w:rsid w:val="00043EE8"/>
    <w:rsid w:val="000445D8"/>
    <w:rsid w:val="000446F4"/>
    <w:rsid w:val="00044A83"/>
    <w:rsid w:val="00044B01"/>
    <w:rsid w:val="0004525E"/>
    <w:rsid w:val="000452CC"/>
    <w:rsid w:val="000458BD"/>
    <w:rsid w:val="00045A12"/>
    <w:rsid w:val="000468A7"/>
    <w:rsid w:val="000468F5"/>
    <w:rsid w:val="00046915"/>
    <w:rsid w:val="00046F38"/>
    <w:rsid w:val="0004711A"/>
    <w:rsid w:val="000471FF"/>
    <w:rsid w:val="000474F0"/>
    <w:rsid w:val="00047FE0"/>
    <w:rsid w:val="000506E9"/>
    <w:rsid w:val="0005083C"/>
    <w:rsid w:val="00050A14"/>
    <w:rsid w:val="00050F1E"/>
    <w:rsid w:val="0005174F"/>
    <w:rsid w:val="000518E8"/>
    <w:rsid w:val="000518F6"/>
    <w:rsid w:val="00051E00"/>
    <w:rsid w:val="00051FF8"/>
    <w:rsid w:val="00052292"/>
    <w:rsid w:val="0005236F"/>
    <w:rsid w:val="0005237F"/>
    <w:rsid w:val="000524FD"/>
    <w:rsid w:val="0005252A"/>
    <w:rsid w:val="0005291C"/>
    <w:rsid w:val="00052DF2"/>
    <w:rsid w:val="0005391A"/>
    <w:rsid w:val="00053947"/>
    <w:rsid w:val="00053BAE"/>
    <w:rsid w:val="000540D5"/>
    <w:rsid w:val="0005417A"/>
    <w:rsid w:val="00054233"/>
    <w:rsid w:val="00054858"/>
    <w:rsid w:val="00054BE1"/>
    <w:rsid w:val="000556D7"/>
    <w:rsid w:val="000559D7"/>
    <w:rsid w:val="00055E14"/>
    <w:rsid w:val="0005622C"/>
    <w:rsid w:val="000564EB"/>
    <w:rsid w:val="00056503"/>
    <w:rsid w:val="000565CB"/>
    <w:rsid w:val="000568D2"/>
    <w:rsid w:val="00056989"/>
    <w:rsid w:val="00056BBF"/>
    <w:rsid w:val="0005719B"/>
    <w:rsid w:val="000571AF"/>
    <w:rsid w:val="000575D0"/>
    <w:rsid w:val="00057687"/>
    <w:rsid w:val="0006001E"/>
    <w:rsid w:val="00060840"/>
    <w:rsid w:val="00060D30"/>
    <w:rsid w:val="00060FC1"/>
    <w:rsid w:val="00061DE5"/>
    <w:rsid w:val="0006343E"/>
    <w:rsid w:val="00063B69"/>
    <w:rsid w:val="00063F22"/>
    <w:rsid w:val="00064C9E"/>
    <w:rsid w:val="00064D51"/>
    <w:rsid w:val="00064D92"/>
    <w:rsid w:val="00065219"/>
    <w:rsid w:val="000654E6"/>
    <w:rsid w:val="00065739"/>
    <w:rsid w:val="00065AAC"/>
    <w:rsid w:val="00065DC6"/>
    <w:rsid w:val="00066645"/>
    <w:rsid w:val="00066710"/>
    <w:rsid w:val="00066BCD"/>
    <w:rsid w:val="0006711F"/>
    <w:rsid w:val="000671BC"/>
    <w:rsid w:val="00067283"/>
    <w:rsid w:val="00070586"/>
    <w:rsid w:val="00071017"/>
    <w:rsid w:val="00072523"/>
    <w:rsid w:val="0007279D"/>
    <w:rsid w:val="0007374C"/>
    <w:rsid w:val="0007375B"/>
    <w:rsid w:val="00073983"/>
    <w:rsid w:val="0007460A"/>
    <w:rsid w:val="00075104"/>
    <w:rsid w:val="00075A9C"/>
    <w:rsid w:val="000762E0"/>
    <w:rsid w:val="0007634E"/>
    <w:rsid w:val="0007682D"/>
    <w:rsid w:val="0007709C"/>
    <w:rsid w:val="00077163"/>
    <w:rsid w:val="00077338"/>
    <w:rsid w:val="00077975"/>
    <w:rsid w:val="00077BD3"/>
    <w:rsid w:val="00077E60"/>
    <w:rsid w:val="000801D8"/>
    <w:rsid w:val="00080819"/>
    <w:rsid w:val="00081420"/>
    <w:rsid w:val="0008178B"/>
    <w:rsid w:val="000817D0"/>
    <w:rsid w:val="000819A7"/>
    <w:rsid w:val="00082635"/>
    <w:rsid w:val="00083206"/>
    <w:rsid w:val="00083409"/>
    <w:rsid w:val="00083662"/>
    <w:rsid w:val="00083E10"/>
    <w:rsid w:val="000842D3"/>
    <w:rsid w:val="0008451F"/>
    <w:rsid w:val="00084795"/>
    <w:rsid w:val="00084AAF"/>
    <w:rsid w:val="00084E08"/>
    <w:rsid w:val="00085268"/>
    <w:rsid w:val="000852FE"/>
    <w:rsid w:val="0008558E"/>
    <w:rsid w:val="000855FA"/>
    <w:rsid w:val="00086792"/>
    <w:rsid w:val="0008691C"/>
    <w:rsid w:val="00086970"/>
    <w:rsid w:val="00086BA2"/>
    <w:rsid w:val="00086C05"/>
    <w:rsid w:val="00087281"/>
    <w:rsid w:val="000876A5"/>
    <w:rsid w:val="0008774A"/>
    <w:rsid w:val="000879BC"/>
    <w:rsid w:val="00091717"/>
    <w:rsid w:val="00091C1E"/>
    <w:rsid w:val="00091DE6"/>
    <w:rsid w:val="00091E99"/>
    <w:rsid w:val="00093499"/>
    <w:rsid w:val="00093523"/>
    <w:rsid w:val="0009367F"/>
    <w:rsid w:val="00093A76"/>
    <w:rsid w:val="00093CB0"/>
    <w:rsid w:val="00093EF5"/>
    <w:rsid w:val="00094171"/>
    <w:rsid w:val="000943EB"/>
    <w:rsid w:val="00094D59"/>
    <w:rsid w:val="000957E0"/>
    <w:rsid w:val="00095892"/>
    <w:rsid w:val="000962A4"/>
    <w:rsid w:val="00096968"/>
    <w:rsid w:val="00097D2C"/>
    <w:rsid w:val="000A0200"/>
    <w:rsid w:val="000A1A3A"/>
    <w:rsid w:val="000A1A5F"/>
    <w:rsid w:val="000A2357"/>
    <w:rsid w:val="000A25AB"/>
    <w:rsid w:val="000A2AF1"/>
    <w:rsid w:val="000A2B17"/>
    <w:rsid w:val="000A2B37"/>
    <w:rsid w:val="000A2FBF"/>
    <w:rsid w:val="000A31A7"/>
    <w:rsid w:val="000A31D1"/>
    <w:rsid w:val="000A37CB"/>
    <w:rsid w:val="000A3D3E"/>
    <w:rsid w:val="000A4543"/>
    <w:rsid w:val="000A497D"/>
    <w:rsid w:val="000A4AFA"/>
    <w:rsid w:val="000A4C55"/>
    <w:rsid w:val="000A53B7"/>
    <w:rsid w:val="000A5A90"/>
    <w:rsid w:val="000A5CB6"/>
    <w:rsid w:val="000A5D2D"/>
    <w:rsid w:val="000A602C"/>
    <w:rsid w:val="000A6848"/>
    <w:rsid w:val="000A68B5"/>
    <w:rsid w:val="000A6CD2"/>
    <w:rsid w:val="000A7209"/>
    <w:rsid w:val="000A7AA8"/>
    <w:rsid w:val="000B0310"/>
    <w:rsid w:val="000B04A8"/>
    <w:rsid w:val="000B04F9"/>
    <w:rsid w:val="000B061A"/>
    <w:rsid w:val="000B1902"/>
    <w:rsid w:val="000B1F60"/>
    <w:rsid w:val="000B2037"/>
    <w:rsid w:val="000B20DD"/>
    <w:rsid w:val="000B2648"/>
    <w:rsid w:val="000B2732"/>
    <w:rsid w:val="000B2BB4"/>
    <w:rsid w:val="000B2CDA"/>
    <w:rsid w:val="000B2D9D"/>
    <w:rsid w:val="000B320D"/>
    <w:rsid w:val="000B3514"/>
    <w:rsid w:val="000B4598"/>
    <w:rsid w:val="000B45DE"/>
    <w:rsid w:val="000B542B"/>
    <w:rsid w:val="000B5A1D"/>
    <w:rsid w:val="000B60CA"/>
    <w:rsid w:val="000B63F5"/>
    <w:rsid w:val="000B71D4"/>
    <w:rsid w:val="000B7BA4"/>
    <w:rsid w:val="000B7BC5"/>
    <w:rsid w:val="000C0132"/>
    <w:rsid w:val="000C0589"/>
    <w:rsid w:val="000C076A"/>
    <w:rsid w:val="000C0F0D"/>
    <w:rsid w:val="000C1028"/>
    <w:rsid w:val="000C1EC2"/>
    <w:rsid w:val="000C20F0"/>
    <w:rsid w:val="000C2241"/>
    <w:rsid w:val="000C26FA"/>
    <w:rsid w:val="000C2A91"/>
    <w:rsid w:val="000C2E92"/>
    <w:rsid w:val="000C31C7"/>
    <w:rsid w:val="000C31CB"/>
    <w:rsid w:val="000C32C0"/>
    <w:rsid w:val="000C48CC"/>
    <w:rsid w:val="000C4D54"/>
    <w:rsid w:val="000C53EC"/>
    <w:rsid w:val="000C5ACF"/>
    <w:rsid w:val="000C5FF4"/>
    <w:rsid w:val="000C605A"/>
    <w:rsid w:val="000C6A14"/>
    <w:rsid w:val="000C6E98"/>
    <w:rsid w:val="000C7043"/>
    <w:rsid w:val="000D02C5"/>
    <w:rsid w:val="000D15AE"/>
    <w:rsid w:val="000D19D4"/>
    <w:rsid w:val="000D1B39"/>
    <w:rsid w:val="000D2B31"/>
    <w:rsid w:val="000D2DF8"/>
    <w:rsid w:val="000D3C66"/>
    <w:rsid w:val="000D3D41"/>
    <w:rsid w:val="000D423E"/>
    <w:rsid w:val="000D4F71"/>
    <w:rsid w:val="000D5431"/>
    <w:rsid w:val="000D5697"/>
    <w:rsid w:val="000D5ED2"/>
    <w:rsid w:val="000D7113"/>
    <w:rsid w:val="000D749A"/>
    <w:rsid w:val="000E010F"/>
    <w:rsid w:val="000E0265"/>
    <w:rsid w:val="000E10F5"/>
    <w:rsid w:val="000E130D"/>
    <w:rsid w:val="000E1428"/>
    <w:rsid w:val="000E1F9F"/>
    <w:rsid w:val="000E2047"/>
    <w:rsid w:val="000E2178"/>
    <w:rsid w:val="000E30C4"/>
    <w:rsid w:val="000E3206"/>
    <w:rsid w:val="000E3633"/>
    <w:rsid w:val="000E391D"/>
    <w:rsid w:val="000E3DBC"/>
    <w:rsid w:val="000E404C"/>
    <w:rsid w:val="000E4397"/>
    <w:rsid w:val="000E49D5"/>
    <w:rsid w:val="000E5062"/>
    <w:rsid w:val="000E5882"/>
    <w:rsid w:val="000E58BB"/>
    <w:rsid w:val="000E5A89"/>
    <w:rsid w:val="000E5ACB"/>
    <w:rsid w:val="000E6226"/>
    <w:rsid w:val="000E637E"/>
    <w:rsid w:val="000E65B4"/>
    <w:rsid w:val="000E664C"/>
    <w:rsid w:val="000E6824"/>
    <w:rsid w:val="000E69BE"/>
    <w:rsid w:val="000E6BEF"/>
    <w:rsid w:val="000E6E44"/>
    <w:rsid w:val="000E702F"/>
    <w:rsid w:val="000E7BDA"/>
    <w:rsid w:val="000E7ED0"/>
    <w:rsid w:val="000E7F5C"/>
    <w:rsid w:val="000F0784"/>
    <w:rsid w:val="000F0D60"/>
    <w:rsid w:val="000F0FF2"/>
    <w:rsid w:val="000F100F"/>
    <w:rsid w:val="000F1459"/>
    <w:rsid w:val="000F14B6"/>
    <w:rsid w:val="000F156F"/>
    <w:rsid w:val="000F172D"/>
    <w:rsid w:val="000F18D3"/>
    <w:rsid w:val="000F1BAB"/>
    <w:rsid w:val="000F2174"/>
    <w:rsid w:val="000F21C7"/>
    <w:rsid w:val="000F2248"/>
    <w:rsid w:val="000F23A0"/>
    <w:rsid w:val="000F23BD"/>
    <w:rsid w:val="000F2BA3"/>
    <w:rsid w:val="000F2F2E"/>
    <w:rsid w:val="000F2FE3"/>
    <w:rsid w:val="000F32E0"/>
    <w:rsid w:val="000F33D0"/>
    <w:rsid w:val="000F34F4"/>
    <w:rsid w:val="000F3F6D"/>
    <w:rsid w:val="000F4875"/>
    <w:rsid w:val="000F4883"/>
    <w:rsid w:val="000F4BB6"/>
    <w:rsid w:val="000F4D10"/>
    <w:rsid w:val="000F53E6"/>
    <w:rsid w:val="000F5E9B"/>
    <w:rsid w:val="000F5F37"/>
    <w:rsid w:val="000F5F42"/>
    <w:rsid w:val="000F6522"/>
    <w:rsid w:val="000F6F97"/>
    <w:rsid w:val="000F7324"/>
    <w:rsid w:val="000F7644"/>
    <w:rsid w:val="000F7965"/>
    <w:rsid w:val="000F7B96"/>
    <w:rsid w:val="00100E89"/>
    <w:rsid w:val="00100ECD"/>
    <w:rsid w:val="00101276"/>
    <w:rsid w:val="00101F59"/>
    <w:rsid w:val="00102843"/>
    <w:rsid w:val="00102E08"/>
    <w:rsid w:val="0010315B"/>
    <w:rsid w:val="001037AB"/>
    <w:rsid w:val="001038D3"/>
    <w:rsid w:val="00103AA4"/>
    <w:rsid w:val="00103AF7"/>
    <w:rsid w:val="0010465A"/>
    <w:rsid w:val="00104FDE"/>
    <w:rsid w:val="00105100"/>
    <w:rsid w:val="00105D62"/>
    <w:rsid w:val="00105FEA"/>
    <w:rsid w:val="001060C2"/>
    <w:rsid w:val="001061E2"/>
    <w:rsid w:val="00106B16"/>
    <w:rsid w:val="00106BFF"/>
    <w:rsid w:val="00106FFC"/>
    <w:rsid w:val="001075D7"/>
    <w:rsid w:val="00107927"/>
    <w:rsid w:val="0011023E"/>
    <w:rsid w:val="00110533"/>
    <w:rsid w:val="0011139E"/>
    <w:rsid w:val="00111733"/>
    <w:rsid w:val="00111F26"/>
    <w:rsid w:val="00112612"/>
    <w:rsid w:val="00112812"/>
    <w:rsid w:val="00112BDE"/>
    <w:rsid w:val="00112ED9"/>
    <w:rsid w:val="0011365A"/>
    <w:rsid w:val="00113B6A"/>
    <w:rsid w:val="00113DEE"/>
    <w:rsid w:val="001144B4"/>
    <w:rsid w:val="0011456A"/>
    <w:rsid w:val="00114A93"/>
    <w:rsid w:val="00114AEE"/>
    <w:rsid w:val="00115448"/>
    <w:rsid w:val="0011583E"/>
    <w:rsid w:val="00115EC6"/>
    <w:rsid w:val="001164F9"/>
    <w:rsid w:val="00116951"/>
    <w:rsid w:val="00116F71"/>
    <w:rsid w:val="00117817"/>
    <w:rsid w:val="00117928"/>
    <w:rsid w:val="00117A10"/>
    <w:rsid w:val="00117CFD"/>
    <w:rsid w:val="00117FC1"/>
    <w:rsid w:val="00120035"/>
    <w:rsid w:val="00120636"/>
    <w:rsid w:val="00120734"/>
    <w:rsid w:val="00120882"/>
    <w:rsid w:val="001208B8"/>
    <w:rsid w:val="00120A28"/>
    <w:rsid w:val="00120D44"/>
    <w:rsid w:val="001212B8"/>
    <w:rsid w:val="00121829"/>
    <w:rsid w:val="001219EA"/>
    <w:rsid w:val="00121A07"/>
    <w:rsid w:val="00121F0F"/>
    <w:rsid w:val="00121FC8"/>
    <w:rsid w:val="00121FE4"/>
    <w:rsid w:val="0012289E"/>
    <w:rsid w:val="001229D1"/>
    <w:rsid w:val="00122E79"/>
    <w:rsid w:val="001237B4"/>
    <w:rsid w:val="00123946"/>
    <w:rsid w:val="00124ADC"/>
    <w:rsid w:val="00124DC5"/>
    <w:rsid w:val="00124DFF"/>
    <w:rsid w:val="0012544B"/>
    <w:rsid w:val="00125DC4"/>
    <w:rsid w:val="00126127"/>
    <w:rsid w:val="0012659F"/>
    <w:rsid w:val="0013013E"/>
    <w:rsid w:val="00130417"/>
    <w:rsid w:val="00130C98"/>
    <w:rsid w:val="00130F96"/>
    <w:rsid w:val="001313B7"/>
    <w:rsid w:val="00131567"/>
    <w:rsid w:val="00131D8F"/>
    <w:rsid w:val="00131F5E"/>
    <w:rsid w:val="0013243B"/>
    <w:rsid w:val="00133739"/>
    <w:rsid w:val="001337F2"/>
    <w:rsid w:val="00134589"/>
    <w:rsid w:val="00134CAE"/>
    <w:rsid w:val="00134F53"/>
    <w:rsid w:val="00135E07"/>
    <w:rsid w:val="00135EAA"/>
    <w:rsid w:val="001369D4"/>
    <w:rsid w:val="00136AF3"/>
    <w:rsid w:val="00136D58"/>
    <w:rsid w:val="0013790F"/>
    <w:rsid w:val="001379E9"/>
    <w:rsid w:val="00137FA0"/>
    <w:rsid w:val="001409D5"/>
    <w:rsid w:val="001410DD"/>
    <w:rsid w:val="001415D5"/>
    <w:rsid w:val="00141623"/>
    <w:rsid w:val="00141743"/>
    <w:rsid w:val="001418A7"/>
    <w:rsid w:val="00141F9B"/>
    <w:rsid w:val="001424EF"/>
    <w:rsid w:val="00142725"/>
    <w:rsid w:val="00142A4F"/>
    <w:rsid w:val="00142EAF"/>
    <w:rsid w:val="001432C5"/>
    <w:rsid w:val="001434F6"/>
    <w:rsid w:val="00143805"/>
    <w:rsid w:val="0014396C"/>
    <w:rsid w:val="00143F28"/>
    <w:rsid w:val="00144141"/>
    <w:rsid w:val="00144C95"/>
    <w:rsid w:val="00144E5E"/>
    <w:rsid w:val="0014502E"/>
    <w:rsid w:val="001453CC"/>
    <w:rsid w:val="001456E1"/>
    <w:rsid w:val="00145E6C"/>
    <w:rsid w:val="001460A5"/>
    <w:rsid w:val="00146C8E"/>
    <w:rsid w:val="00146D50"/>
    <w:rsid w:val="0015033A"/>
    <w:rsid w:val="001504AD"/>
    <w:rsid w:val="00150EE7"/>
    <w:rsid w:val="001517F1"/>
    <w:rsid w:val="001518AD"/>
    <w:rsid w:val="001521DA"/>
    <w:rsid w:val="001525A2"/>
    <w:rsid w:val="00152A60"/>
    <w:rsid w:val="00152BBD"/>
    <w:rsid w:val="00152C76"/>
    <w:rsid w:val="00152DDC"/>
    <w:rsid w:val="00153C1D"/>
    <w:rsid w:val="00153D81"/>
    <w:rsid w:val="00153E00"/>
    <w:rsid w:val="00153EBA"/>
    <w:rsid w:val="001547AA"/>
    <w:rsid w:val="00154B07"/>
    <w:rsid w:val="00154D18"/>
    <w:rsid w:val="00155638"/>
    <w:rsid w:val="00155679"/>
    <w:rsid w:val="001558F2"/>
    <w:rsid w:val="00156239"/>
    <w:rsid w:val="00156B6C"/>
    <w:rsid w:val="0015772C"/>
    <w:rsid w:val="00157731"/>
    <w:rsid w:val="00157BF5"/>
    <w:rsid w:val="00157F20"/>
    <w:rsid w:val="0016045F"/>
    <w:rsid w:val="001606CE"/>
    <w:rsid w:val="00160F34"/>
    <w:rsid w:val="00161142"/>
    <w:rsid w:val="00161515"/>
    <w:rsid w:val="001617B5"/>
    <w:rsid w:val="0016190B"/>
    <w:rsid w:val="00161D71"/>
    <w:rsid w:val="001622B8"/>
    <w:rsid w:val="00162AC9"/>
    <w:rsid w:val="00162D3F"/>
    <w:rsid w:val="00162DBF"/>
    <w:rsid w:val="00162F9C"/>
    <w:rsid w:val="0016381B"/>
    <w:rsid w:val="00163F61"/>
    <w:rsid w:val="00164E0E"/>
    <w:rsid w:val="00165155"/>
    <w:rsid w:val="001664E1"/>
    <w:rsid w:val="001670A6"/>
    <w:rsid w:val="0016744D"/>
    <w:rsid w:val="001675A7"/>
    <w:rsid w:val="001677C8"/>
    <w:rsid w:val="00170020"/>
    <w:rsid w:val="001705FF"/>
    <w:rsid w:val="001707B9"/>
    <w:rsid w:val="00170F98"/>
    <w:rsid w:val="00171066"/>
    <w:rsid w:val="001710D9"/>
    <w:rsid w:val="0017185B"/>
    <w:rsid w:val="00171E4F"/>
    <w:rsid w:val="0017205D"/>
    <w:rsid w:val="0017258C"/>
    <w:rsid w:val="00172746"/>
    <w:rsid w:val="001728DD"/>
    <w:rsid w:val="00172DCC"/>
    <w:rsid w:val="00172EE9"/>
    <w:rsid w:val="00173232"/>
    <w:rsid w:val="00173495"/>
    <w:rsid w:val="001738E3"/>
    <w:rsid w:val="00173A10"/>
    <w:rsid w:val="00173B18"/>
    <w:rsid w:val="00173CD4"/>
    <w:rsid w:val="001745DD"/>
    <w:rsid w:val="0017482C"/>
    <w:rsid w:val="00174B01"/>
    <w:rsid w:val="00174CBD"/>
    <w:rsid w:val="00175126"/>
    <w:rsid w:val="001752F5"/>
    <w:rsid w:val="00175585"/>
    <w:rsid w:val="00176139"/>
    <w:rsid w:val="00176EF1"/>
    <w:rsid w:val="001774F0"/>
    <w:rsid w:val="001775D7"/>
    <w:rsid w:val="00177A55"/>
    <w:rsid w:val="00177E82"/>
    <w:rsid w:val="00177F2D"/>
    <w:rsid w:val="00177F8E"/>
    <w:rsid w:val="00177F9D"/>
    <w:rsid w:val="0018055E"/>
    <w:rsid w:val="001806C1"/>
    <w:rsid w:val="00180ECA"/>
    <w:rsid w:val="00181A87"/>
    <w:rsid w:val="00181C87"/>
    <w:rsid w:val="00181CEF"/>
    <w:rsid w:val="00181D40"/>
    <w:rsid w:val="00181E9B"/>
    <w:rsid w:val="00181FDE"/>
    <w:rsid w:val="001830B4"/>
    <w:rsid w:val="001838C7"/>
    <w:rsid w:val="00183E1B"/>
    <w:rsid w:val="00184720"/>
    <w:rsid w:val="00184999"/>
    <w:rsid w:val="0018500E"/>
    <w:rsid w:val="001851C4"/>
    <w:rsid w:val="001852C3"/>
    <w:rsid w:val="00185A20"/>
    <w:rsid w:val="00185A2D"/>
    <w:rsid w:val="001868DA"/>
    <w:rsid w:val="0018726C"/>
    <w:rsid w:val="001874C7"/>
    <w:rsid w:val="001878F9"/>
    <w:rsid w:val="00187A87"/>
    <w:rsid w:val="00187CC2"/>
    <w:rsid w:val="00187E65"/>
    <w:rsid w:val="0019066C"/>
    <w:rsid w:val="00191181"/>
    <w:rsid w:val="0019225C"/>
    <w:rsid w:val="00192668"/>
    <w:rsid w:val="00192E68"/>
    <w:rsid w:val="001934C2"/>
    <w:rsid w:val="001937E6"/>
    <w:rsid w:val="00193AC6"/>
    <w:rsid w:val="00193F52"/>
    <w:rsid w:val="001947A2"/>
    <w:rsid w:val="001947DD"/>
    <w:rsid w:val="00194997"/>
    <w:rsid w:val="00194EC3"/>
    <w:rsid w:val="00194EEA"/>
    <w:rsid w:val="00195139"/>
    <w:rsid w:val="001953A5"/>
    <w:rsid w:val="0019556A"/>
    <w:rsid w:val="00196073"/>
    <w:rsid w:val="001961B9"/>
    <w:rsid w:val="001964A1"/>
    <w:rsid w:val="00196DD7"/>
    <w:rsid w:val="001971DC"/>
    <w:rsid w:val="0019769C"/>
    <w:rsid w:val="001977ED"/>
    <w:rsid w:val="001A064F"/>
    <w:rsid w:val="001A093E"/>
    <w:rsid w:val="001A0D20"/>
    <w:rsid w:val="001A10F8"/>
    <w:rsid w:val="001A19EC"/>
    <w:rsid w:val="001A204A"/>
    <w:rsid w:val="001A2F1E"/>
    <w:rsid w:val="001A2F50"/>
    <w:rsid w:val="001A308F"/>
    <w:rsid w:val="001A374D"/>
    <w:rsid w:val="001A3872"/>
    <w:rsid w:val="001A3CE9"/>
    <w:rsid w:val="001A4037"/>
    <w:rsid w:val="001A479D"/>
    <w:rsid w:val="001A4804"/>
    <w:rsid w:val="001A546A"/>
    <w:rsid w:val="001A57AB"/>
    <w:rsid w:val="001A5B02"/>
    <w:rsid w:val="001A5F71"/>
    <w:rsid w:val="001A6151"/>
    <w:rsid w:val="001A6212"/>
    <w:rsid w:val="001A650A"/>
    <w:rsid w:val="001A672C"/>
    <w:rsid w:val="001A6B5B"/>
    <w:rsid w:val="001A6DB1"/>
    <w:rsid w:val="001A7049"/>
    <w:rsid w:val="001A751C"/>
    <w:rsid w:val="001A7613"/>
    <w:rsid w:val="001A7B6E"/>
    <w:rsid w:val="001B1A9B"/>
    <w:rsid w:val="001B1EE9"/>
    <w:rsid w:val="001B1F9D"/>
    <w:rsid w:val="001B23E7"/>
    <w:rsid w:val="001B3002"/>
    <w:rsid w:val="001B3CC9"/>
    <w:rsid w:val="001B3D4C"/>
    <w:rsid w:val="001B437F"/>
    <w:rsid w:val="001B44BC"/>
    <w:rsid w:val="001B4988"/>
    <w:rsid w:val="001B4B9C"/>
    <w:rsid w:val="001B4CB4"/>
    <w:rsid w:val="001B4F05"/>
    <w:rsid w:val="001B50E4"/>
    <w:rsid w:val="001B5460"/>
    <w:rsid w:val="001B5668"/>
    <w:rsid w:val="001B5DD0"/>
    <w:rsid w:val="001B5E78"/>
    <w:rsid w:val="001B600F"/>
    <w:rsid w:val="001B618F"/>
    <w:rsid w:val="001B6573"/>
    <w:rsid w:val="001B6654"/>
    <w:rsid w:val="001B6E8F"/>
    <w:rsid w:val="001B6F47"/>
    <w:rsid w:val="001B71FD"/>
    <w:rsid w:val="001B7380"/>
    <w:rsid w:val="001B782E"/>
    <w:rsid w:val="001B7BC6"/>
    <w:rsid w:val="001B7BF8"/>
    <w:rsid w:val="001C0316"/>
    <w:rsid w:val="001C0814"/>
    <w:rsid w:val="001C091F"/>
    <w:rsid w:val="001C0ED2"/>
    <w:rsid w:val="001C1173"/>
    <w:rsid w:val="001C1463"/>
    <w:rsid w:val="001C161D"/>
    <w:rsid w:val="001C19B2"/>
    <w:rsid w:val="001C2349"/>
    <w:rsid w:val="001C2466"/>
    <w:rsid w:val="001C2552"/>
    <w:rsid w:val="001C2C34"/>
    <w:rsid w:val="001C2CCF"/>
    <w:rsid w:val="001C2F80"/>
    <w:rsid w:val="001C34C9"/>
    <w:rsid w:val="001C365F"/>
    <w:rsid w:val="001C3A25"/>
    <w:rsid w:val="001C3A52"/>
    <w:rsid w:val="001C3AC1"/>
    <w:rsid w:val="001C4A89"/>
    <w:rsid w:val="001C4B1D"/>
    <w:rsid w:val="001C4DBB"/>
    <w:rsid w:val="001C5161"/>
    <w:rsid w:val="001C533E"/>
    <w:rsid w:val="001C5377"/>
    <w:rsid w:val="001C56F8"/>
    <w:rsid w:val="001C6082"/>
    <w:rsid w:val="001C7BEB"/>
    <w:rsid w:val="001D0283"/>
    <w:rsid w:val="001D087D"/>
    <w:rsid w:val="001D091C"/>
    <w:rsid w:val="001D0E1A"/>
    <w:rsid w:val="001D0EDE"/>
    <w:rsid w:val="001D1352"/>
    <w:rsid w:val="001D166A"/>
    <w:rsid w:val="001D1B3F"/>
    <w:rsid w:val="001D2130"/>
    <w:rsid w:val="001D26C6"/>
    <w:rsid w:val="001D2EC4"/>
    <w:rsid w:val="001D3195"/>
    <w:rsid w:val="001D3260"/>
    <w:rsid w:val="001D3905"/>
    <w:rsid w:val="001D39B5"/>
    <w:rsid w:val="001D3B43"/>
    <w:rsid w:val="001D4872"/>
    <w:rsid w:val="001D49BD"/>
    <w:rsid w:val="001D49C6"/>
    <w:rsid w:val="001D4F02"/>
    <w:rsid w:val="001D506F"/>
    <w:rsid w:val="001D5238"/>
    <w:rsid w:val="001D54E1"/>
    <w:rsid w:val="001D59EB"/>
    <w:rsid w:val="001D5A33"/>
    <w:rsid w:val="001D5F74"/>
    <w:rsid w:val="001D6311"/>
    <w:rsid w:val="001D6CC9"/>
    <w:rsid w:val="001D6CDF"/>
    <w:rsid w:val="001D6EB7"/>
    <w:rsid w:val="001D7035"/>
    <w:rsid w:val="001D7607"/>
    <w:rsid w:val="001D7887"/>
    <w:rsid w:val="001D7AB9"/>
    <w:rsid w:val="001D7DD0"/>
    <w:rsid w:val="001E099C"/>
    <w:rsid w:val="001E124A"/>
    <w:rsid w:val="001E1982"/>
    <w:rsid w:val="001E2790"/>
    <w:rsid w:val="001E28FE"/>
    <w:rsid w:val="001E2FCF"/>
    <w:rsid w:val="001E2FEE"/>
    <w:rsid w:val="001E3000"/>
    <w:rsid w:val="001E3908"/>
    <w:rsid w:val="001E4676"/>
    <w:rsid w:val="001E49FD"/>
    <w:rsid w:val="001E57D8"/>
    <w:rsid w:val="001E5E81"/>
    <w:rsid w:val="001E5FBF"/>
    <w:rsid w:val="001E61D8"/>
    <w:rsid w:val="001E6865"/>
    <w:rsid w:val="001E69A5"/>
    <w:rsid w:val="001E6E70"/>
    <w:rsid w:val="001E75C1"/>
    <w:rsid w:val="001E76CA"/>
    <w:rsid w:val="001E7835"/>
    <w:rsid w:val="001F04EE"/>
    <w:rsid w:val="001F0513"/>
    <w:rsid w:val="001F05DF"/>
    <w:rsid w:val="001F090B"/>
    <w:rsid w:val="001F0E32"/>
    <w:rsid w:val="001F1056"/>
    <w:rsid w:val="001F2532"/>
    <w:rsid w:val="001F2C5F"/>
    <w:rsid w:val="001F2D79"/>
    <w:rsid w:val="001F2E95"/>
    <w:rsid w:val="001F3244"/>
    <w:rsid w:val="001F37ED"/>
    <w:rsid w:val="001F4C69"/>
    <w:rsid w:val="001F516A"/>
    <w:rsid w:val="001F5D2C"/>
    <w:rsid w:val="001F64EA"/>
    <w:rsid w:val="001F6CA6"/>
    <w:rsid w:val="001F79C4"/>
    <w:rsid w:val="00200892"/>
    <w:rsid w:val="00200B8E"/>
    <w:rsid w:val="00200CEA"/>
    <w:rsid w:val="00201443"/>
    <w:rsid w:val="0020166F"/>
    <w:rsid w:val="002017A2"/>
    <w:rsid w:val="00202132"/>
    <w:rsid w:val="002026EE"/>
    <w:rsid w:val="00202B64"/>
    <w:rsid w:val="00202BB1"/>
    <w:rsid w:val="0020301E"/>
    <w:rsid w:val="0020403A"/>
    <w:rsid w:val="00204194"/>
    <w:rsid w:val="002045D9"/>
    <w:rsid w:val="0020481B"/>
    <w:rsid w:val="00204873"/>
    <w:rsid w:val="00204C75"/>
    <w:rsid w:val="002050D1"/>
    <w:rsid w:val="00205A12"/>
    <w:rsid w:val="00205CC0"/>
    <w:rsid w:val="00205E8D"/>
    <w:rsid w:val="002060C3"/>
    <w:rsid w:val="00206255"/>
    <w:rsid w:val="0020668A"/>
    <w:rsid w:val="002069DF"/>
    <w:rsid w:val="00206EA8"/>
    <w:rsid w:val="00207009"/>
    <w:rsid w:val="00207011"/>
    <w:rsid w:val="0020719C"/>
    <w:rsid w:val="002074C5"/>
    <w:rsid w:val="002074F2"/>
    <w:rsid w:val="0020782B"/>
    <w:rsid w:val="00207A80"/>
    <w:rsid w:val="00207CA2"/>
    <w:rsid w:val="002100ED"/>
    <w:rsid w:val="00210494"/>
    <w:rsid w:val="002105C4"/>
    <w:rsid w:val="00210C3B"/>
    <w:rsid w:val="0021138A"/>
    <w:rsid w:val="00211A87"/>
    <w:rsid w:val="00211BBA"/>
    <w:rsid w:val="00211C97"/>
    <w:rsid w:val="00211D7B"/>
    <w:rsid w:val="00211EB0"/>
    <w:rsid w:val="0021218E"/>
    <w:rsid w:val="00212512"/>
    <w:rsid w:val="002126BF"/>
    <w:rsid w:val="0021297D"/>
    <w:rsid w:val="00212AA4"/>
    <w:rsid w:val="00212D61"/>
    <w:rsid w:val="00213089"/>
    <w:rsid w:val="0021328B"/>
    <w:rsid w:val="00213496"/>
    <w:rsid w:val="00214223"/>
    <w:rsid w:val="0021469E"/>
    <w:rsid w:val="00214FDB"/>
    <w:rsid w:val="00215BEE"/>
    <w:rsid w:val="00215D4A"/>
    <w:rsid w:val="00215E01"/>
    <w:rsid w:val="00216ACE"/>
    <w:rsid w:val="00216CA4"/>
    <w:rsid w:val="0021723B"/>
    <w:rsid w:val="002173A7"/>
    <w:rsid w:val="00217474"/>
    <w:rsid w:val="00217669"/>
    <w:rsid w:val="0021769A"/>
    <w:rsid w:val="002176FC"/>
    <w:rsid w:val="002202E3"/>
    <w:rsid w:val="00220397"/>
    <w:rsid w:val="002204D6"/>
    <w:rsid w:val="0022055B"/>
    <w:rsid w:val="00220919"/>
    <w:rsid w:val="00220FE9"/>
    <w:rsid w:val="00221048"/>
    <w:rsid w:val="0022136E"/>
    <w:rsid w:val="00221951"/>
    <w:rsid w:val="00221C88"/>
    <w:rsid w:val="0022214F"/>
    <w:rsid w:val="00222171"/>
    <w:rsid w:val="0022395C"/>
    <w:rsid w:val="00223C10"/>
    <w:rsid w:val="00224847"/>
    <w:rsid w:val="00224B31"/>
    <w:rsid w:val="00225702"/>
    <w:rsid w:val="00225DC9"/>
    <w:rsid w:val="002267A9"/>
    <w:rsid w:val="00226820"/>
    <w:rsid w:val="0022714F"/>
    <w:rsid w:val="00227158"/>
    <w:rsid w:val="00227FE7"/>
    <w:rsid w:val="00230021"/>
    <w:rsid w:val="002301A9"/>
    <w:rsid w:val="0023061A"/>
    <w:rsid w:val="002306EA"/>
    <w:rsid w:val="00230CCF"/>
    <w:rsid w:val="00230D0E"/>
    <w:rsid w:val="00231360"/>
    <w:rsid w:val="002313E4"/>
    <w:rsid w:val="002322EC"/>
    <w:rsid w:val="00232326"/>
    <w:rsid w:val="00232730"/>
    <w:rsid w:val="00232B67"/>
    <w:rsid w:val="00232EBD"/>
    <w:rsid w:val="002337B7"/>
    <w:rsid w:val="00233FE1"/>
    <w:rsid w:val="002341C0"/>
    <w:rsid w:val="00234E19"/>
    <w:rsid w:val="00234F9C"/>
    <w:rsid w:val="0023504C"/>
    <w:rsid w:val="00235282"/>
    <w:rsid w:val="002352A2"/>
    <w:rsid w:val="0023551B"/>
    <w:rsid w:val="002357F8"/>
    <w:rsid w:val="002359F0"/>
    <w:rsid w:val="00236F37"/>
    <w:rsid w:val="002375FD"/>
    <w:rsid w:val="002377AD"/>
    <w:rsid w:val="00237E13"/>
    <w:rsid w:val="00240A0C"/>
    <w:rsid w:val="0024105F"/>
    <w:rsid w:val="00241189"/>
    <w:rsid w:val="00242212"/>
    <w:rsid w:val="00242BF1"/>
    <w:rsid w:val="00242C50"/>
    <w:rsid w:val="0024365B"/>
    <w:rsid w:val="00243734"/>
    <w:rsid w:val="00243EC3"/>
    <w:rsid w:val="002440CB"/>
    <w:rsid w:val="00244342"/>
    <w:rsid w:val="0024459E"/>
    <w:rsid w:val="002449FE"/>
    <w:rsid w:val="00244C4E"/>
    <w:rsid w:val="00245D4C"/>
    <w:rsid w:val="0024681C"/>
    <w:rsid w:val="00246E81"/>
    <w:rsid w:val="002471EE"/>
    <w:rsid w:val="0024724C"/>
    <w:rsid w:val="00247438"/>
    <w:rsid w:val="002477D0"/>
    <w:rsid w:val="002477DC"/>
    <w:rsid w:val="002478D4"/>
    <w:rsid w:val="00247C37"/>
    <w:rsid w:val="00247F10"/>
    <w:rsid w:val="0025190A"/>
    <w:rsid w:val="00251D3D"/>
    <w:rsid w:val="00252B02"/>
    <w:rsid w:val="002531E6"/>
    <w:rsid w:val="00253210"/>
    <w:rsid w:val="0025373E"/>
    <w:rsid w:val="0025381F"/>
    <w:rsid w:val="00253E17"/>
    <w:rsid w:val="00254447"/>
    <w:rsid w:val="00254BF3"/>
    <w:rsid w:val="00254EF3"/>
    <w:rsid w:val="00255172"/>
    <w:rsid w:val="0025548F"/>
    <w:rsid w:val="00255700"/>
    <w:rsid w:val="002559C1"/>
    <w:rsid w:val="00255A22"/>
    <w:rsid w:val="00255DF4"/>
    <w:rsid w:val="00255F36"/>
    <w:rsid w:val="0025603C"/>
    <w:rsid w:val="0025607B"/>
    <w:rsid w:val="002567C0"/>
    <w:rsid w:val="00256C5C"/>
    <w:rsid w:val="0025715F"/>
    <w:rsid w:val="00260017"/>
    <w:rsid w:val="00260C1C"/>
    <w:rsid w:val="00260E8D"/>
    <w:rsid w:val="00261F56"/>
    <w:rsid w:val="00261FC8"/>
    <w:rsid w:val="00262DA4"/>
    <w:rsid w:val="00262E88"/>
    <w:rsid w:val="00262FC6"/>
    <w:rsid w:val="00263EB8"/>
    <w:rsid w:val="00264080"/>
    <w:rsid w:val="002646E2"/>
    <w:rsid w:val="00264B85"/>
    <w:rsid w:val="002654DA"/>
    <w:rsid w:val="00265A65"/>
    <w:rsid w:val="00265ABC"/>
    <w:rsid w:val="00266009"/>
    <w:rsid w:val="00266171"/>
    <w:rsid w:val="00266A43"/>
    <w:rsid w:val="00266A72"/>
    <w:rsid w:val="00267013"/>
    <w:rsid w:val="00267935"/>
    <w:rsid w:val="00270456"/>
    <w:rsid w:val="0027082C"/>
    <w:rsid w:val="00270BFF"/>
    <w:rsid w:val="002710DF"/>
    <w:rsid w:val="0027146E"/>
    <w:rsid w:val="00271B7A"/>
    <w:rsid w:val="00271C2A"/>
    <w:rsid w:val="00271E35"/>
    <w:rsid w:val="00272448"/>
    <w:rsid w:val="00272822"/>
    <w:rsid w:val="0027297B"/>
    <w:rsid w:val="00272D97"/>
    <w:rsid w:val="00273524"/>
    <w:rsid w:val="0027353D"/>
    <w:rsid w:val="00273611"/>
    <w:rsid w:val="0027366E"/>
    <w:rsid w:val="002737BA"/>
    <w:rsid w:val="002743A2"/>
    <w:rsid w:val="002752FA"/>
    <w:rsid w:val="00275515"/>
    <w:rsid w:val="002758B5"/>
    <w:rsid w:val="00275F87"/>
    <w:rsid w:val="00276301"/>
    <w:rsid w:val="00276585"/>
    <w:rsid w:val="002765F8"/>
    <w:rsid w:val="00276C42"/>
    <w:rsid w:val="0027732A"/>
    <w:rsid w:val="0028004D"/>
    <w:rsid w:val="00280207"/>
    <w:rsid w:val="00280221"/>
    <w:rsid w:val="00280422"/>
    <w:rsid w:val="00280E82"/>
    <w:rsid w:val="002813E7"/>
    <w:rsid w:val="00281760"/>
    <w:rsid w:val="002817F4"/>
    <w:rsid w:val="00281D1C"/>
    <w:rsid w:val="00282052"/>
    <w:rsid w:val="002821EA"/>
    <w:rsid w:val="002827EE"/>
    <w:rsid w:val="00283320"/>
    <w:rsid w:val="00283A0E"/>
    <w:rsid w:val="00284542"/>
    <w:rsid w:val="00284598"/>
    <w:rsid w:val="002846F8"/>
    <w:rsid w:val="00284912"/>
    <w:rsid w:val="00284B05"/>
    <w:rsid w:val="00284F41"/>
    <w:rsid w:val="002860CB"/>
    <w:rsid w:val="0028623D"/>
    <w:rsid w:val="00286BF2"/>
    <w:rsid w:val="00286E7B"/>
    <w:rsid w:val="002871FE"/>
    <w:rsid w:val="002874B2"/>
    <w:rsid w:val="002879F0"/>
    <w:rsid w:val="00287CCF"/>
    <w:rsid w:val="002901D7"/>
    <w:rsid w:val="00290211"/>
    <w:rsid w:val="00290683"/>
    <w:rsid w:val="00290831"/>
    <w:rsid w:val="002910B7"/>
    <w:rsid w:val="00291102"/>
    <w:rsid w:val="0029141E"/>
    <w:rsid w:val="002918F1"/>
    <w:rsid w:val="0029260A"/>
    <w:rsid w:val="00292901"/>
    <w:rsid w:val="00292EC4"/>
    <w:rsid w:val="00292FFB"/>
    <w:rsid w:val="00293095"/>
    <w:rsid w:val="002930C3"/>
    <w:rsid w:val="00293387"/>
    <w:rsid w:val="0029347D"/>
    <w:rsid w:val="00294377"/>
    <w:rsid w:val="00294502"/>
    <w:rsid w:val="00294B29"/>
    <w:rsid w:val="002961DD"/>
    <w:rsid w:val="002966C8"/>
    <w:rsid w:val="002969E4"/>
    <w:rsid w:val="00296E5D"/>
    <w:rsid w:val="00297181"/>
    <w:rsid w:val="002A0600"/>
    <w:rsid w:val="002A0C4A"/>
    <w:rsid w:val="002A0F17"/>
    <w:rsid w:val="002A13E2"/>
    <w:rsid w:val="002A19D1"/>
    <w:rsid w:val="002A1F43"/>
    <w:rsid w:val="002A2420"/>
    <w:rsid w:val="002A269B"/>
    <w:rsid w:val="002A29DA"/>
    <w:rsid w:val="002A2ACB"/>
    <w:rsid w:val="002A2BE9"/>
    <w:rsid w:val="002A313D"/>
    <w:rsid w:val="002A33FB"/>
    <w:rsid w:val="002A37AC"/>
    <w:rsid w:val="002A42EE"/>
    <w:rsid w:val="002A4695"/>
    <w:rsid w:val="002A46C1"/>
    <w:rsid w:val="002A50B4"/>
    <w:rsid w:val="002A52E6"/>
    <w:rsid w:val="002A55AD"/>
    <w:rsid w:val="002A572C"/>
    <w:rsid w:val="002A57AE"/>
    <w:rsid w:val="002A5A05"/>
    <w:rsid w:val="002A5D9B"/>
    <w:rsid w:val="002A660D"/>
    <w:rsid w:val="002A6762"/>
    <w:rsid w:val="002A696E"/>
    <w:rsid w:val="002A6C4F"/>
    <w:rsid w:val="002A6D82"/>
    <w:rsid w:val="002A6E96"/>
    <w:rsid w:val="002A6F7C"/>
    <w:rsid w:val="002A774E"/>
    <w:rsid w:val="002A7925"/>
    <w:rsid w:val="002B0CC1"/>
    <w:rsid w:val="002B1150"/>
    <w:rsid w:val="002B115A"/>
    <w:rsid w:val="002B182C"/>
    <w:rsid w:val="002B1847"/>
    <w:rsid w:val="002B1C5C"/>
    <w:rsid w:val="002B1C64"/>
    <w:rsid w:val="002B2673"/>
    <w:rsid w:val="002B3198"/>
    <w:rsid w:val="002B3461"/>
    <w:rsid w:val="002B3906"/>
    <w:rsid w:val="002B3F93"/>
    <w:rsid w:val="002B44DB"/>
    <w:rsid w:val="002B46EA"/>
    <w:rsid w:val="002B4AE1"/>
    <w:rsid w:val="002B4C7D"/>
    <w:rsid w:val="002B4E77"/>
    <w:rsid w:val="002B559F"/>
    <w:rsid w:val="002B5EB9"/>
    <w:rsid w:val="002B63FE"/>
    <w:rsid w:val="002B64C0"/>
    <w:rsid w:val="002B64EC"/>
    <w:rsid w:val="002B692C"/>
    <w:rsid w:val="002B6A2A"/>
    <w:rsid w:val="002B6F80"/>
    <w:rsid w:val="002B79E7"/>
    <w:rsid w:val="002B7DDC"/>
    <w:rsid w:val="002B7E9A"/>
    <w:rsid w:val="002B7EDA"/>
    <w:rsid w:val="002C0094"/>
    <w:rsid w:val="002C00A1"/>
    <w:rsid w:val="002C00A6"/>
    <w:rsid w:val="002C00CA"/>
    <w:rsid w:val="002C0A97"/>
    <w:rsid w:val="002C0D69"/>
    <w:rsid w:val="002C1812"/>
    <w:rsid w:val="002C1912"/>
    <w:rsid w:val="002C1BD5"/>
    <w:rsid w:val="002C2704"/>
    <w:rsid w:val="002C2919"/>
    <w:rsid w:val="002C2B9E"/>
    <w:rsid w:val="002C2BF9"/>
    <w:rsid w:val="002C3105"/>
    <w:rsid w:val="002C3708"/>
    <w:rsid w:val="002C3947"/>
    <w:rsid w:val="002C3F06"/>
    <w:rsid w:val="002C40F8"/>
    <w:rsid w:val="002C4259"/>
    <w:rsid w:val="002C46B4"/>
    <w:rsid w:val="002C476D"/>
    <w:rsid w:val="002C4D77"/>
    <w:rsid w:val="002C5C23"/>
    <w:rsid w:val="002C5C2D"/>
    <w:rsid w:val="002C669D"/>
    <w:rsid w:val="002C6790"/>
    <w:rsid w:val="002C6BF9"/>
    <w:rsid w:val="002C6DDF"/>
    <w:rsid w:val="002C6DE3"/>
    <w:rsid w:val="002C6F26"/>
    <w:rsid w:val="002C76F2"/>
    <w:rsid w:val="002D00A5"/>
    <w:rsid w:val="002D0271"/>
    <w:rsid w:val="002D028A"/>
    <w:rsid w:val="002D077D"/>
    <w:rsid w:val="002D1537"/>
    <w:rsid w:val="002D1854"/>
    <w:rsid w:val="002D1A1A"/>
    <w:rsid w:val="002D1C52"/>
    <w:rsid w:val="002D206F"/>
    <w:rsid w:val="002D2457"/>
    <w:rsid w:val="002D2A79"/>
    <w:rsid w:val="002D2C4A"/>
    <w:rsid w:val="002D2F10"/>
    <w:rsid w:val="002D2F67"/>
    <w:rsid w:val="002D324C"/>
    <w:rsid w:val="002D359E"/>
    <w:rsid w:val="002D3615"/>
    <w:rsid w:val="002D3A90"/>
    <w:rsid w:val="002D3C86"/>
    <w:rsid w:val="002D45BF"/>
    <w:rsid w:val="002D4CEF"/>
    <w:rsid w:val="002D4E07"/>
    <w:rsid w:val="002D59C0"/>
    <w:rsid w:val="002D66A8"/>
    <w:rsid w:val="002D69D7"/>
    <w:rsid w:val="002D6D0C"/>
    <w:rsid w:val="002D73D9"/>
    <w:rsid w:val="002D7421"/>
    <w:rsid w:val="002D7E7B"/>
    <w:rsid w:val="002E015E"/>
    <w:rsid w:val="002E0502"/>
    <w:rsid w:val="002E07B5"/>
    <w:rsid w:val="002E0D8F"/>
    <w:rsid w:val="002E177A"/>
    <w:rsid w:val="002E17D7"/>
    <w:rsid w:val="002E17F5"/>
    <w:rsid w:val="002E1952"/>
    <w:rsid w:val="002E19C8"/>
    <w:rsid w:val="002E1A37"/>
    <w:rsid w:val="002E1C08"/>
    <w:rsid w:val="002E1E86"/>
    <w:rsid w:val="002E24AD"/>
    <w:rsid w:val="002E27E7"/>
    <w:rsid w:val="002E2D45"/>
    <w:rsid w:val="002E2E10"/>
    <w:rsid w:val="002E2E65"/>
    <w:rsid w:val="002E3400"/>
    <w:rsid w:val="002E359D"/>
    <w:rsid w:val="002E3695"/>
    <w:rsid w:val="002E391E"/>
    <w:rsid w:val="002E3B11"/>
    <w:rsid w:val="002E41B9"/>
    <w:rsid w:val="002E42A4"/>
    <w:rsid w:val="002E44EF"/>
    <w:rsid w:val="002E450D"/>
    <w:rsid w:val="002E479D"/>
    <w:rsid w:val="002E5220"/>
    <w:rsid w:val="002E5775"/>
    <w:rsid w:val="002E5A2B"/>
    <w:rsid w:val="002E5A85"/>
    <w:rsid w:val="002E5ECF"/>
    <w:rsid w:val="002E5EEE"/>
    <w:rsid w:val="002E6A7A"/>
    <w:rsid w:val="002E6C29"/>
    <w:rsid w:val="002E70B5"/>
    <w:rsid w:val="002E76C9"/>
    <w:rsid w:val="002F05CB"/>
    <w:rsid w:val="002F0A20"/>
    <w:rsid w:val="002F0A31"/>
    <w:rsid w:val="002F17E5"/>
    <w:rsid w:val="002F2331"/>
    <w:rsid w:val="002F2A4F"/>
    <w:rsid w:val="002F2A81"/>
    <w:rsid w:val="002F2B89"/>
    <w:rsid w:val="002F36D6"/>
    <w:rsid w:val="002F398E"/>
    <w:rsid w:val="002F3C66"/>
    <w:rsid w:val="002F471C"/>
    <w:rsid w:val="002F4B1B"/>
    <w:rsid w:val="002F4D54"/>
    <w:rsid w:val="002F5859"/>
    <w:rsid w:val="002F5D4C"/>
    <w:rsid w:val="002F664C"/>
    <w:rsid w:val="002F694E"/>
    <w:rsid w:val="002F741B"/>
    <w:rsid w:val="002F781B"/>
    <w:rsid w:val="002F7BDB"/>
    <w:rsid w:val="002F7C46"/>
    <w:rsid w:val="002F7DB5"/>
    <w:rsid w:val="00300CAF"/>
    <w:rsid w:val="003015D8"/>
    <w:rsid w:val="003017A6"/>
    <w:rsid w:val="00301887"/>
    <w:rsid w:val="00301FA7"/>
    <w:rsid w:val="003027CE"/>
    <w:rsid w:val="003033BD"/>
    <w:rsid w:val="003039F0"/>
    <w:rsid w:val="0030465C"/>
    <w:rsid w:val="003046FF"/>
    <w:rsid w:val="003059CE"/>
    <w:rsid w:val="00305BB4"/>
    <w:rsid w:val="00305BE7"/>
    <w:rsid w:val="00305EFD"/>
    <w:rsid w:val="00306044"/>
    <w:rsid w:val="00306291"/>
    <w:rsid w:val="00306D56"/>
    <w:rsid w:val="00307D29"/>
    <w:rsid w:val="0031069C"/>
    <w:rsid w:val="003112C1"/>
    <w:rsid w:val="00311406"/>
    <w:rsid w:val="0031195D"/>
    <w:rsid w:val="003120CC"/>
    <w:rsid w:val="00312B45"/>
    <w:rsid w:val="00312BCF"/>
    <w:rsid w:val="00314E8E"/>
    <w:rsid w:val="00314EF1"/>
    <w:rsid w:val="003157DB"/>
    <w:rsid w:val="00315E16"/>
    <w:rsid w:val="00316199"/>
    <w:rsid w:val="00317037"/>
    <w:rsid w:val="0031795E"/>
    <w:rsid w:val="00317B2B"/>
    <w:rsid w:val="0032000C"/>
    <w:rsid w:val="00320117"/>
    <w:rsid w:val="00320671"/>
    <w:rsid w:val="0032071E"/>
    <w:rsid w:val="0032093B"/>
    <w:rsid w:val="003219D6"/>
    <w:rsid w:val="003226A5"/>
    <w:rsid w:val="003227B4"/>
    <w:rsid w:val="00322CA2"/>
    <w:rsid w:val="00323EE2"/>
    <w:rsid w:val="00323EEB"/>
    <w:rsid w:val="00323F5E"/>
    <w:rsid w:val="00324260"/>
    <w:rsid w:val="0032427A"/>
    <w:rsid w:val="00324426"/>
    <w:rsid w:val="0032488B"/>
    <w:rsid w:val="00324BB9"/>
    <w:rsid w:val="00324DDE"/>
    <w:rsid w:val="00324FBB"/>
    <w:rsid w:val="00325FE3"/>
    <w:rsid w:val="00326855"/>
    <w:rsid w:val="003272FD"/>
    <w:rsid w:val="003279AD"/>
    <w:rsid w:val="003302F1"/>
    <w:rsid w:val="0033034D"/>
    <w:rsid w:val="00330651"/>
    <w:rsid w:val="0033152E"/>
    <w:rsid w:val="003318F3"/>
    <w:rsid w:val="00331944"/>
    <w:rsid w:val="00331BA0"/>
    <w:rsid w:val="00331E59"/>
    <w:rsid w:val="003323D1"/>
    <w:rsid w:val="0033279F"/>
    <w:rsid w:val="00332CB2"/>
    <w:rsid w:val="00332EBD"/>
    <w:rsid w:val="00332F48"/>
    <w:rsid w:val="00332F96"/>
    <w:rsid w:val="00333AF2"/>
    <w:rsid w:val="00333CC7"/>
    <w:rsid w:val="00334004"/>
    <w:rsid w:val="00334764"/>
    <w:rsid w:val="00334A63"/>
    <w:rsid w:val="00334DF2"/>
    <w:rsid w:val="003353D6"/>
    <w:rsid w:val="003353FF"/>
    <w:rsid w:val="00335D17"/>
    <w:rsid w:val="00335D49"/>
    <w:rsid w:val="00335E6D"/>
    <w:rsid w:val="00335ED0"/>
    <w:rsid w:val="003365CA"/>
    <w:rsid w:val="0033693A"/>
    <w:rsid w:val="003369A9"/>
    <w:rsid w:val="00336BE9"/>
    <w:rsid w:val="00336D84"/>
    <w:rsid w:val="003374AC"/>
    <w:rsid w:val="00337722"/>
    <w:rsid w:val="003379C1"/>
    <w:rsid w:val="00337D3B"/>
    <w:rsid w:val="003402DE"/>
    <w:rsid w:val="00340809"/>
    <w:rsid w:val="00341104"/>
    <w:rsid w:val="003416B7"/>
    <w:rsid w:val="003422B2"/>
    <w:rsid w:val="00342F7E"/>
    <w:rsid w:val="003430A0"/>
    <w:rsid w:val="0034316D"/>
    <w:rsid w:val="00343D69"/>
    <w:rsid w:val="00344241"/>
    <w:rsid w:val="0034436B"/>
    <w:rsid w:val="00344DC0"/>
    <w:rsid w:val="003457D7"/>
    <w:rsid w:val="0034646A"/>
    <w:rsid w:val="003466E7"/>
    <w:rsid w:val="00346710"/>
    <w:rsid w:val="0034696A"/>
    <w:rsid w:val="00346991"/>
    <w:rsid w:val="003469D0"/>
    <w:rsid w:val="003470CC"/>
    <w:rsid w:val="00347E2F"/>
    <w:rsid w:val="003502D6"/>
    <w:rsid w:val="00350410"/>
    <w:rsid w:val="00350551"/>
    <w:rsid w:val="003505FD"/>
    <w:rsid w:val="00350678"/>
    <w:rsid w:val="003506D6"/>
    <w:rsid w:val="00350E53"/>
    <w:rsid w:val="00351028"/>
    <w:rsid w:val="003512F5"/>
    <w:rsid w:val="00351655"/>
    <w:rsid w:val="0035168C"/>
    <w:rsid w:val="00351AF9"/>
    <w:rsid w:val="00351E89"/>
    <w:rsid w:val="00352348"/>
    <w:rsid w:val="003528D3"/>
    <w:rsid w:val="00352FF2"/>
    <w:rsid w:val="00353BE5"/>
    <w:rsid w:val="00353C40"/>
    <w:rsid w:val="00354983"/>
    <w:rsid w:val="003554DC"/>
    <w:rsid w:val="0035663C"/>
    <w:rsid w:val="00356DFF"/>
    <w:rsid w:val="00356FA1"/>
    <w:rsid w:val="00356FD8"/>
    <w:rsid w:val="00357BE8"/>
    <w:rsid w:val="00357C21"/>
    <w:rsid w:val="00357F61"/>
    <w:rsid w:val="00360C80"/>
    <w:rsid w:val="00360F18"/>
    <w:rsid w:val="00360FDE"/>
    <w:rsid w:val="00361A36"/>
    <w:rsid w:val="00361D60"/>
    <w:rsid w:val="00361D7C"/>
    <w:rsid w:val="003627C2"/>
    <w:rsid w:val="0036351C"/>
    <w:rsid w:val="0036366F"/>
    <w:rsid w:val="0036382A"/>
    <w:rsid w:val="00363A43"/>
    <w:rsid w:val="00363C2C"/>
    <w:rsid w:val="00364012"/>
    <w:rsid w:val="00364039"/>
    <w:rsid w:val="00364E14"/>
    <w:rsid w:val="00364F76"/>
    <w:rsid w:val="00365314"/>
    <w:rsid w:val="0036536F"/>
    <w:rsid w:val="00365481"/>
    <w:rsid w:val="003654B1"/>
    <w:rsid w:val="003654BE"/>
    <w:rsid w:val="003655FD"/>
    <w:rsid w:val="00365991"/>
    <w:rsid w:val="003668A0"/>
    <w:rsid w:val="003677C3"/>
    <w:rsid w:val="003677D6"/>
    <w:rsid w:val="00367890"/>
    <w:rsid w:val="00367A49"/>
    <w:rsid w:val="00367AE6"/>
    <w:rsid w:val="00370352"/>
    <w:rsid w:val="00370399"/>
    <w:rsid w:val="00370640"/>
    <w:rsid w:val="003707E7"/>
    <w:rsid w:val="00370D47"/>
    <w:rsid w:val="00370EEB"/>
    <w:rsid w:val="003710AE"/>
    <w:rsid w:val="003720D6"/>
    <w:rsid w:val="003721CC"/>
    <w:rsid w:val="00372755"/>
    <w:rsid w:val="003729C5"/>
    <w:rsid w:val="00372B2C"/>
    <w:rsid w:val="00373564"/>
    <w:rsid w:val="00373F14"/>
    <w:rsid w:val="00374DEB"/>
    <w:rsid w:val="00375956"/>
    <w:rsid w:val="00375BD5"/>
    <w:rsid w:val="00376407"/>
    <w:rsid w:val="00376E7A"/>
    <w:rsid w:val="00376EB9"/>
    <w:rsid w:val="0037726C"/>
    <w:rsid w:val="00380C42"/>
    <w:rsid w:val="0038113A"/>
    <w:rsid w:val="00381972"/>
    <w:rsid w:val="00381BF4"/>
    <w:rsid w:val="00382ADC"/>
    <w:rsid w:val="00382E5F"/>
    <w:rsid w:val="003831AF"/>
    <w:rsid w:val="00383743"/>
    <w:rsid w:val="00383B13"/>
    <w:rsid w:val="00384378"/>
    <w:rsid w:val="003844F6"/>
    <w:rsid w:val="00384C82"/>
    <w:rsid w:val="00385ADD"/>
    <w:rsid w:val="00386086"/>
    <w:rsid w:val="00386688"/>
    <w:rsid w:val="00386953"/>
    <w:rsid w:val="00387CA9"/>
    <w:rsid w:val="00390223"/>
    <w:rsid w:val="003902AA"/>
    <w:rsid w:val="00390CA9"/>
    <w:rsid w:val="00390F9D"/>
    <w:rsid w:val="0039116E"/>
    <w:rsid w:val="00391A21"/>
    <w:rsid w:val="00391A69"/>
    <w:rsid w:val="00391D9F"/>
    <w:rsid w:val="00391DD1"/>
    <w:rsid w:val="0039260B"/>
    <w:rsid w:val="003929BB"/>
    <w:rsid w:val="00392ED0"/>
    <w:rsid w:val="0039304B"/>
    <w:rsid w:val="0039439F"/>
    <w:rsid w:val="0039442C"/>
    <w:rsid w:val="003952A5"/>
    <w:rsid w:val="00395392"/>
    <w:rsid w:val="00395A99"/>
    <w:rsid w:val="00395ED0"/>
    <w:rsid w:val="00395FE5"/>
    <w:rsid w:val="00396BC0"/>
    <w:rsid w:val="00396E8A"/>
    <w:rsid w:val="003A0137"/>
    <w:rsid w:val="003A01AF"/>
    <w:rsid w:val="003A05B7"/>
    <w:rsid w:val="003A0671"/>
    <w:rsid w:val="003A1092"/>
    <w:rsid w:val="003A10EF"/>
    <w:rsid w:val="003A1920"/>
    <w:rsid w:val="003A20C6"/>
    <w:rsid w:val="003A220A"/>
    <w:rsid w:val="003A2484"/>
    <w:rsid w:val="003A2B96"/>
    <w:rsid w:val="003A2F1E"/>
    <w:rsid w:val="003A3550"/>
    <w:rsid w:val="003A47B1"/>
    <w:rsid w:val="003A48AC"/>
    <w:rsid w:val="003A4ACA"/>
    <w:rsid w:val="003A4B19"/>
    <w:rsid w:val="003A54E6"/>
    <w:rsid w:val="003A551D"/>
    <w:rsid w:val="003A5C74"/>
    <w:rsid w:val="003A6133"/>
    <w:rsid w:val="003A6BD8"/>
    <w:rsid w:val="003A71E7"/>
    <w:rsid w:val="003A7E90"/>
    <w:rsid w:val="003B02BD"/>
    <w:rsid w:val="003B034E"/>
    <w:rsid w:val="003B073F"/>
    <w:rsid w:val="003B0B77"/>
    <w:rsid w:val="003B1199"/>
    <w:rsid w:val="003B1998"/>
    <w:rsid w:val="003B1D1C"/>
    <w:rsid w:val="003B280E"/>
    <w:rsid w:val="003B2D53"/>
    <w:rsid w:val="003B300A"/>
    <w:rsid w:val="003B34AF"/>
    <w:rsid w:val="003B3AB8"/>
    <w:rsid w:val="003B4753"/>
    <w:rsid w:val="003B4847"/>
    <w:rsid w:val="003B5632"/>
    <w:rsid w:val="003B5BA8"/>
    <w:rsid w:val="003B5F7A"/>
    <w:rsid w:val="003B5FFE"/>
    <w:rsid w:val="003B6392"/>
    <w:rsid w:val="003B65EB"/>
    <w:rsid w:val="003B65F4"/>
    <w:rsid w:val="003B669B"/>
    <w:rsid w:val="003B6A25"/>
    <w:rsid w:val="003B74C0"/>
    <w:rsid w:val="003B75D1"/>
    <w:rsid w:val="003B797C"/>
    <w:rsid w:val="003C0417"/>
    <w:rsid w:val="003C13F4"/>
    <w:rsid w:val="003C1AB2"/>
    <w:rsid w:val="003C1AEE"/>
    <w:rsid w:val="003C1BA1"/>
    <w:rsid w:val="003C1BC6"/>
    <w:rsid w:val="003C24C6"/>
    <w:rsid w:val="003C25CC"/>
    <w:rsid w:val="003C298D"/>
    <w:rsid w:val="003C2C0E"/>
    <w:rsid w:val="003C330B"/>
    <w:rsid w:val="003C3337"/>
    <w:rsid w:val="003C35F0"/>
    <w:rsid w:val="003C377C"/>
    <w:rsid w:val="003C3976"/>
    <w:rsid w:val="003C399C"/>
    <w:rsid w:val="003C3FCB"/>
    <w:rsid w:val="003C4248"/>
    <w:rsid w:val="003C4DE5"/>
    <w:rsid w:val="003C4FFF"/>
    <w:rsid w:val="003C539B"/>
    <w:rsid w:val="003C53FC"/>
    <w:rsid w:val="003C5D8D"/>
    <w:rsid w:val="003C5DD9"/>
    <w:rsid w:val="003C6155"/>
    <w:rsid w:val="003C673A"/>
    <w:rsid w:val="003C6803"/>
    <w:rsid w:val="003C6D3A"/>
    <w:rsid w:val="003C6DA4"/>
    <w:rsid w:val="003C744C"/>
    <w:rsid w:val="003D0397"/>
    <w:rsid w:val="003D165D"/>
    <w:rsid w:val="003D1C32"/>
    <w:rsid w:val="003D1F60"/>
    <w:rsid w:val="003D2229"/>
    <w:rsid w:val="003D255F"/>
    <w:rsid w:val="003D26C4"/>
    <w:rsid w:val="003D270F"/>
    <w:rsid w:val="003D2A49"/>
    <w:rsid w:val="003D34E1"/>
    <w:rsid w:val="003D3C99"/>
    <w:rsid w:val="003D3D6B"/>
    <w:rsid w:val="003D4D57"/>
    <w:rsid w:val="003D5483"/>
    <w:rsid w:val="003D57D9"/>
    <w:rsid w:val="003D5A59"/>
    <w:rsid w:val="003D6113"/>
    <w:rsid w:val="003D6153"/>
    <w:rsid w:val="003D66F7"/>
    <w:rsid w:val="003D758A"/>
    <w:rsid w:val="003D7770"/>
    <w:rsid w:val="003D7B38"/>
    <w:rsid w:val="003D7F3F"/>
    <w:rsid w:val="003E0052"/>
    <w:rsid w:val="003E163C"/>
    <w:rsid w:val="003E2011"/>
    <w:rsid w:val="003E23AD"/>
    <w:rsid w:val="003E2742"/>
    <w:rsid w:val="003E2B27"/>
    <w:rsid w:val="003E35E0"/>
    <w:rsid w:val="003E3A50"/>
    <w:rsid w:val="003E3CE0"/>
    <w:rsid w:val="003E4572"/>
    <w:rsid w:val="003E4C7E"/>
    <w:rsid w:val="003E4EAC"/>
    <w:rsid w:val="003E587B"/>
    <w:rsid w:val="003E5A2B"/>
    <w:rsid w:val="003E6019"/>
    <w:rsid w:val="003E6721"/>
    <w:rsid w:val="003E68FB"/>
    <w:rsid w:val="003E74CA"/>
    <w:rsid w:val="003E77CA"/>
    <w:rsid w:val="003E7F63"/>
    <w:rsid w:val="003E7FBD"/>
    <w:rsid w:val="003F02B2"/>
    <w:rsid w:val="003F0927"/>
    <w:rsid w:val="003F0BEF"/>
    <w:rsid w:val="003F0C11"/>
    <w:rsid w:val="003F0C30"/>
    <w:rsid w:val="003F1008"/>
    <w:rsid w:val="003F101C"/>
    <w:rsid w:val="003F1BD1"/>
    <w:rsid w:val="003F34A7"/>
    <w:rsid w:val="003F3AA5"/>
    <w:rsid w:val="003F4992"/>
    <w:rsid w:val="003F4FF8"/>
    <w:rsid w:val="003F5074"/>
    <w:rsid w:val="003F5620"/>
    <w:rsid w:val="003F5B0C"/>
    <w:rsid w:val="003F5DDC"/>
    <w:rsid w:val="003F614A"/>
    <w:rsid w:val="003F646C"/>
    <w:rsid w:val="003F6593"/>
    <w:rsid w:val="003F70AB"/>
    <w:rsid w:val="003F72D0"/>
    <w:rsid w:val="003F739B"/>
    <w:rsid w:val="003F77B5"/>
    <w:rsid w:val="003F787C"/>
    <w:rsid w:val="003F78A3"/>
    <w:rsid w:val="003F7932"/>
    <w:rsid w:val="003F799A"/>
    <w:rsid w:val="0040136B"/>
    <w:rsid w:val="00401DF5"/>
    <w:rsid w:val="004030A3"/>
    <w:rsid w:val="00403136"/>
    <w:rsid w:val="00404A43"/>
    <w:rsid w:val="00404F4B"/>
    <w:rsid w:val="004052F6"/>
    <w:rsid w:val="00406242"/>
    <w:rsid w:val="00407B71"/>
    <w:rsid w:val="00407DDD"/>
    <w:rsid w:val="00407F0E"/>
    <w:rsid w:val="004100B9"/>
    <w:rsid w:val="00410282"/>
    <w:rsid w:val="00410A16"/>
    <w:rsid w:val="00410E3E"/>
    <w:rsid w:val="00410F39"/>
    <w:rsid w:val="00411729"/>
    <w:rsid w:val="00411961"/>
    <w:rsid w:val="0041202B"/>
    <w:rsid w:val="00412F4F"/>
    <w:rsid w:val="004130FC"/>
    <w:rsid w:val="00413400"/>
    <w:rsid w:val="00413957"/>
    <w:rsid w:val="00413D41"/>
    <w:rsid w:val="0041405F"/>
    <w:rsid w:val="00414577"/>
    <w:rsid w:val="004148AE"/>
    <w:rsid w:val="004149E2"/>
    <w:rsid w:val="00414EB3"/>
    <w:rsid w:val="0041524D"/>
    <w:rsid w:val="0041546E"/>
    <w:rsid w:val="00415BC9"/>
    <w:rsid w:val="00415D4D"/>
    <w:rsid w:val="00416175"/>
    <w:rsid w:val="00416348"/>
    <w:rsid w:val="00416812"/>
    <w:rsid w:val="00416964"/>
    <w:rsid w:val="004170D4"/>
    <w:rsid w:val="004170FA"/>
    <w:rsid w:val="00417F8B"/>
    <w:rsid w:val="004206EA"/>
    <w:rsid w:val="00420854"/>
    <w:rsid w:val="00421A92"/>
    <w:rsid w:val="00421B55"/>
    <w:rsid w:val="00421E36"/>
    <w:rsid w:val="00421EE4"/>
    <w:rsid w:val="00422673"/>
    <w:rsid w:val="00422928"/>
    <w:rsid w:val="00422AEA"/>
    <w:rsid w:val="00422BA1"/>
    <w:rsid w:val="00423320"/>
    <w:rsid w:val="004238FD"/>
    <w:rsid w:val="00423C1B"/>
    <w:rsid w:val="0042404D"/>
    <w:rsid w:val="00424B17"/>
    <w:rsid w:val="00425094"/>
    <w:rsid w:val="00425174"/>
    <w:rsid w:val="00425676"/>
    <w:rsid w:val="00425701"/>
    <w:rsid w:val="00425EAB"/>
    <w:rsid w:val="00426F18"/>
    <w:rsid w:val="0042747A"/>
    <w:rsid w:val="004275E1"/>
    <w:rsid w:val="00427EE6"/>
    <w:rsid w:val="00427F46"/>
    <w:rsid w:val="00430173"/>
    <w:rsid w:val="00430BEB"/>
    <w:rsid w:val="00430D2D"/>
    <w:rsid w:val="004311CB"/>
    <w:rsid w:val="004316FE"/>
    <w:rsid w:val="004318C9"/>
    <w:rsid w:val="00431E9B"/>
    <w:rsid w:val="004320E0"/>
    <w:rsid w:val="0043210A"/>
    <w:rsid w:val="0043266C"/>
    <w:rsid w:val="00432CD7"/>
    <w:rsid w:val="00433280"/>
    <w:rsid w:val="00433BED"/>
    <w:rsid w:val="00433EBC"/>
    <w:rsid w:val="00434609"/>
    <w:rsid w:val="00434DE4"/>
    <w:rsid w:val="00434F58"/>
    <w:rsid w:val="00435224"/>
    <w:rsid w:val="00435436"/>
    <w:rsid w:val="00435A53"/>
    <w:rsid w:val="00435B91"/>
    <w:rsid w:val="00436199"/>
    <w:rsid w:val="0043634C"/>
    <w:rsid w:val="004364B9"/>
    <w:rsid w:val="00436BB9"/>
    <w:rsid w:val="00436CAE"/>
    <w:rsid w:val="00436CCF"/>
    <w:rsid w:val="004373DE"/>
    <w:rsid w:val="004374AC"/>
    <w:rsid w:val="00437621"/>
    <w:rsid w:val="004376BC"/>
    <w:rsid w:val="00437982"/>
    <w:rsid w:val="00440954"/>
    <w:rsid w:val="00440B2C"/>
    <w:rsid w:val="00441976"/>
    <w:rsid w:val="00441F41"/>
    <w:rsid w:val="0044260C"/>
    <w:rsid w:val="00442A94"/>
    <w:rsid w:val="004434A6"/>
    <w:rsid w:val="00443722"/>
    <w:rsid w:val="00443E9B"/>
    <w:rsid w:val="004440D2"/>
    <w:rsid w:val="004444D4"/>
    <w:rsid w:val="0044484A"/>
    <w:rsid w:val="00444E5C"/>
    <w:rsid w:val="00444E77"/>
    <w:rsid w:val="004454CF"/>
    <w:rsid w:val="00445868"/>
    <w:rsid w:val="00445C78"/>
    <w:rsid w:val="0044614C"/>
    <w:rsid w:val="0044617A"/>
    <w:rsid w:val="004461FE"/>
    <w:rsid w:val="004462BE"/>
    <w:rsid w:val="0044685F"/>
    <w:rsid w:val="00446C35"/>
    <w:rsid w:val="00446E9F"/>
    <w:rsid w:val="00447FC9"/>
    <w:rsid w:val="004502B4"/>
    <w:rsid w:val="0045054D"/>
    <w:rsid w:val="00451039"/>
    <w:rsid w:val="004512E4"/>
    <w:rsid w:val="00451771"/>
    <w:rsid w:val="00453579"/>
    <w:rsid w:val="00453A1A"/>
    <w:rsid w:val="004545B0"/>
    <w:rsid w:val="004545CB"/>
    <w:rsid w:val="00454AFB"/>
    <w:rsid w:val="00454B43"/>
    <w:rsid w:val="00454B80"/>
    <w:rsid w:val="00454D76"/>
    <w:rsid w:val="004550AA"/>
    <w:rsid w:val="004552FB"/>
    <w:rsid w:val="00455361"/>
    <w:rsid w:val="00455513"/>
    <w:rsid w:val="00455820"/>
    <w:rsid w:val="0045589A"/>
    <w:rsid w:val="00456396"/>
    <w:rsid w:val="00456544"/>
    <w:rsid w:val="0045688F"/>
    <w:rsid w:val="00456A6D"/>
    <w:rsid w:val="00456AB6"/>
    <w:rsid w:val="00456C63"/>
    <w:rsid w:val="0045753C"/>
    <w:rsid w:val="004578E4"/>
    <w:rsid w:val="00457F61"/>
    <w:rsid w:val="00460BCA"/>
    <w:rsid w:val="004619EE"/>
    <w:rsid w:val="00461B5C"/>
    <w:rsid w:val="00461F52"/>
    <w:rsid w:val="00461FB6"/>
    <w:rsid w:val="004626C9"/>
    <w:rsid w:val="004627A0"/>
    <w:rsid w:val="00462F9D"/>
    <w:rsid w:val="004635D3"/>
    <w:rsid w:val="00464044"/>
    <w:rsid w:val="004641FE"/>
    <w:rsid w:val="00464444"/>
    <w:rsid w:val="0046524B"/>
    <w:rsid w:val="00466FAC"/>
    <w:rsid w:val="00467040"/>
    <w:rsid w:val="0046725D"/>
    <w:rsid w:val="00467AE6"/>
    <w:rsid w:val="00467D0E"/>
    <w:rsid w:val="004701FA"/>
    <w:rsid w:val="004702FE"/>
    <w:rsid w:val="00470C8A"/>
    <w:rsid w:val="00471512"/>
    <w:rsid w:val="00471638"/>
    <w:rsid w:val="00471722"/>
    <w:rsid w:val="00471CBB"/>
    <w:rsid w:val="0047295B"/>
    <w:rsid w:val="00472C03"/>
    <w:rsid w:val="00472C6B"/>
    <w:rsid w:val="00472DBB"/>
    <w:rsid w:val="0047316F"/>
    <w:rsid w:val="00474409"/>
    <w:rsid w:val="004746B6"/>
    <w:rsid w:val="004751F3"/>
    <w:rsid w:val="00475BE8"/>
    <w:rsid w:val="00475CCA"/>
    <w:rsid w:val="00476049"/>
    <w:rsid w:val="00476086"/>
    <w:rsid w:val="00476AD7"/>
    <w:rsid w:val="0047703E"/>
    <w:rsid w:val="004771F8"/>
    <w:rsid w:val="004771FC"/>
    <w:rsid w:val="004775C3"/>
    <w:rsid w:val="004775CA"/>
    <w:rsid w:val="00477A83"/>
    <w:rsid w:val="00477E35"/>
    <w:rsid w:val="00477EDA"/>
    <w:rsid w:val="00480060"/>
    <w:rsid w:val="004804E2"/>
    <w:rsid w:val="00481377"/>
    <w:rsid w:val="0048160E"/>
    <w:rsid w:val="00481D86"/>
    <w:rsid w:val="00482960"/>
    <w:rsid w:val="004831F1"/>
    <w:rsid w:val="004841D0"/>
    <w:rsid w:val="004845EE"/>
    <w:rsid w:val="00484995"/>
    <w:rsid w:val="00484C8B"/>
    <w:rsid w:val="00484DA7"/>
    <w:rsid w:val="0048541A"/>
    <w:rsid w:val="004856B8"/>
    <w:rsid w:val="00485830"/>
    <w:rsid w:val="004864FB"/>
    <w:rsid w:val="00486B87"/>
    <w:rsid w:val="00486BB6"/>
    <w:rsid w:val="0048781A"/>
    <w:rsid w:val="00487AEB"/>
    <w:rsid w:val="00487B3C"/>
    <w:rsid w:val="0049041F"/>
    <w:rsid w:val="0049054B"/>
    <w:rsid w:val="00490AA9"/>
    <w:rsid w:val="00490D46"/>
    <w:rsid w:val="00490F47"/>
    <w:rsid w:val="00491243"/>
    <w:rsid w:val="00491795"/>
    <w:rsid w:val="0049183C"/>
    <w:rsid w:val="00491D4F"/>
    <w:rsid w:val="00491ED8"/>
    <w:rsid w:val="00492286"/>
    <w:rsid w:val="0049251B"/>
    <w:rsid w:val="00492878"/>
    <w:rsid w:val="00492D98"/>
    <w:rsid w:val="0049365B"/>
    <w:rsid w:val="00493DD3"/>
    <w:rsid w:val="00494394"/>
    <w:rsid w:val="00494451"/>
    <w:rsid w:val="00494623"/>
    <w:rsid w:val="004946C4"/>
    <w:rsid w:val="00494DE8"/>
    <w:rsid w:val="004954CA"/>
    <w:rsid w:val="0049569B"/>
    <w:rsid w:val="00495D09"/>
    <w:rsid w:val="00496303"/>
    <w:rsid w:val="0049648B"/>
    <w:rsid w:val="00496498"/>
    <w:rsid w:val="00496BC4"/>
    <w:rsid w:val="00497185"/>
    <w:rsid w:val="00497357"/>
    <w:rsid w:val="004A02AF"/>
    <w:rsid w:val="004A0CFE"/>
    <w:rsid w:val="004A1B01"/>
    <w:rsid w:val="004A1BFB"/>
    <w:rsid w:val="004A1C02"/>
    <w:rsid w:val="004A1C66"/>
    <w:rsid w:val="004A2144"/>
    <w:rsid w:val="004A295E"/>
    <w:rsid w:val="004A2C3A"/>
    <w:rsid w:val="004A2CF8"/>
    <w:rsid w:val="004A2EF3"/>
    <w:rsid w:val="004A3353"/>
    <w:rsid w:val="004A33FC"/>
    <w:rsid w:val="004A3610"/>
    <w:rsid w:val="004A3CD4"/>
    <w:rsid w:val="004A3E5E"/>
    <w:rsid w:val="004A4857"/>
    <w:rsid w:val="004A4B68"/>
    <w:rsid w:val="004A4E79"/>
    <w:rsid w:val="004A4ED4"/>
    <w:rsid w:val="004A5046"/>
    <w:rsid w:val="004A5067"/>
    <w:rsid w:val="004A52E3"/>
    <w:rsid w:val="004A54F7"/>
    <w:rsid w:val="004A557F"/>
    <w:rsid w:val="004A5581"/>
    <w:rsid w:val="004A5743"/>
    <w:rsid w:val="004A58B0"/>
    <w:rsid w:val="004A5B2B"/>
    <w:rsid w:val="004A6056"/>
    <w:rsid w:val="004A60ED"/>
    <w:rsid w:val="004A610D"/>
    <w:rsid w:val="004A6741"/>
    <w:rsid w:val="004A6DCB"/>
    <w:rsid w:val="004A7055"/>
    <w:rsid w:val="004A726F"/>
    <w:rsid w:val="004A77DF"/>
    <w:rsid w:val="004B07A5"/>
    <w:rsid w:val="004B088F"/>
    <w:rsid w:val="004B0ACE"/>
    <w:rsid w:val="004B17CB"/>
    <w:rsid w:val="004B1B0B"/>
    <w:rsid w:val="004B1C61"/>
    <w:rsid w:val="004B1E9B"/>
    <w:rsid w:val="004B2829"/>
    <w:rsid w:val="004B2BD5"/>
    <w:rsid w:val="004B2EC6"/>
    <w:rsid w:val="004B3334"/>
    <w:rsid w:val="004B3A4D"/>
    <w:rsid w:val="004B45C8"/>
    <w:rsid w:val="004B4FD5"/>
    <w:rsid w:val="004B5445"/>
    <w:rsid w:val="004B591F"/>
    <w:rsid w:val="004B59D6"/>
    <w:rsid w:val="004B5CA1"/>
    <w:rsid w:val="004B5DCE"/>
    <w:rsid w:val="004B63EA"/>
    <w:rsid w:val="004B6773"/>
    <w:rsid w:val="004B6819"/>
    <w:rsid w:val="004B6E4D"/>
    <w:rsid w:val="004B7107"/>
    <w:rsid w:val="004B71C5"/>
    <w:rsid w:val="004B730F"/>
    <w:rsid w:val="004B769B"/>
    <w:rsid w:val="004B76B2"/>
    <w:rsid w:val="004B7C96"/>
    <w:rsid w:val="004C019F"/>
    <w:rsid w:val="004C0726"/>
    <w:rsid w:val="004C0B97"/>
    <w:rsid w:val="004C1506"/>
    <w:rsid w:val="004C1BE9"/>
    <w:rsid w:val="004C23E4"/>
    <w:rsid w:val="004C2774"/>
    <w:rsid w:val="004C2A0D"/>
    <w:rsid w:val="004C303C"/>
    <w:rsid w:val="004C3D7B"/>
    <w:rsid w:val="004C3E85"/>
    <w:rsid w:val="004C45BF"/>
    <w:rsid w:val="004C4773"/>
    <w:rsid w:val="004C4B74"/>
    <w:rsid w:val="004C4C60"/>
    <w:rsid w:val="004C4D98"/>
    <w:rsid w:val="004C5033"/>
    <w:rsid w:val="004C563A"/>
    <w:rsid w:val="004C5721"/>
    <w:rsid w:val="004C593E"/>
    <w:rsid w:val="004C5BEA"/>
    <w:rsid w:val="004C62DC"/>
    <w:rsid w:val="004C6776"/>
    <w:rsid w:val="004C6AF7"/>
    <w:rsid w:val="004C6E4E"/>
    <w:rsid w:val="004C7136"/>
    <w:rsid w:val="004C73D7"/>
    <w:rsid w:val="004C7C20"/>
    <w:rsid w:val="004D017F"/>
    <w:rsid w:val="004D04F6"/>
    <w:rsid w:val="004D0732"/>
    <w:rsid w:val="004D0A95"/>
    <w:rsid w:val="004D0DB2"/>
    <w:rsid w:val="004D0EFA"/>
    <w:rsid w:val="004D1880"/>
    <w:rsid w:val="004D1B20"/>
    <w:rsid w:val="004D295E"/>
    <w:rsid w:val="004D2CFF"/>
    <w:rsid w:val="004D3130"/>
    <w:rsid w:val="004D3846"/>
    <w:rsid w:val="004D3848"/>
    <w:rsid w:val="004D3DCB"/>
    <w:rsid w:val="004D4218"/>
    <w:rsid w:val="004D456C"/>
    <w:rsid w:val="004D45A1"/>
    <w:rsid w:val="004D46D1"/>
    <w:rsid w:val="004D485B"/>
    <w:rsid w:val="004D4921"/>
    <w:rsid w:val="004D4EB4"/>
    <w:rsid w:val="004D4FBE"/>
    <w:rsid w:val="004D544F"/>
    <w:rsid w:val="004D5A6B"/>
    <w:rsid w:val="004D5D2A"/>
    <w:rsid w:val="004D6A07"/>
    <w:rsid w:val="004D6AE6"/>
    <w:rsid w:val="004D73F8"/>
    <w:rsid w:val="004E0164"/>
    <w:rsid w:val="004E0195"/>
    <w:rsid w:val="004E0504"/>
    <w:rsid w:val="004E1316"/>
    <w:rsid w:val="004E1546"/>
    <w:rsid w:val="004E15DF"/>
    <w:rsid w:val="004E1B39"/>
    <w:rsid w:val="004E2B47"/>
    <w:rsid w:val="004E3A21"/>
    <w:rsid w:val="004E3AC0"/>
    <w:rsid w:val="004E3E17"/>
    <w:rsid w:val="004E3F00"/>
    <w:rsid w:val="004E402A"/>
    <w:rsid w:val="004E4348"/>
    <w:rsid w:val="004E47C0"/>
    <w:rsid w:val="004E4B88"/>
    <w:rsid w:val="004E55CB"/>
    <w:rsid w:val="004E5B6D"/>
    <w:rsid w:val="004E5E8E"/>
    <w:rsid w:val="004E64C2"/>
    <w:rsid w:val="004E7943"/>
    <w:rsid w:val="004E7E03"/>
    <w:rsid w:val="004F0840"/>
    <w:rsid w:val="004F09B0"/>
    <w:rsid w:val="004F0DC9"/>
    <w:rsid w:val="004F0E05"/>
    <w:rsid w:val="004F13A1"/>
    <w:rsid w:val="004F18D6"/>
    <w:rsid w:val="004F195A"/>
    <w:rsid w:val="004F20AC"/>
    <w:rsid w:val="004F2505"/>
    <w:rsid w:val="004F2B5E"/>
    <w:rsid w:val="004F3EB3"/>
    <w:rsid w:val="004F42EF"/>
    <w:rsid w:val="004F455C"/>
    <w:rsid w:val="004F4A11"/>
    <w:rsid w:val="004F4AAD"/>
    <w:rsid w:val="004F4B13"/>
    <w:rsid w:val="004F4BA6"/>
    <w:rsid w:val="004F4D26"/>
    <w:rsid w:val="004F4D27"/>
    <w:rsid w:val="004F5159"/>
    <w:rsid w:val="004F5271"/>
    <w:rsid w:val="004F52C0"/>
    <w:rsid w:val="004F5BF8"/>
    <w:rsid w:val="004F5D4B"/>
    <w:rsid w:val="004F6025"/>
    <w:rsid w:val="004F60A7"/>
    <w:rsid w:val="004F68AA"/>
    <w:rsid w:val="004F7571"/>
    <w:rsid w:val="0050005E"/>
    <w:rsid w:val="00500D23"/>
    <w:rsid w:val="00500EE5"/>
    <w:rsid w:val="005016DD"/>
    <w:rsid w:val="005017AC"/>
    <w:rsid w:val="00501804"/>
    <w:rsid w:val="00501A9C"/>
    <w:rsid w:val="00501ABC"/>
    <w:rsid w:val="00502463"/>
    <w:rsid w:val="005032C8"/>
    <w:rsid w:val="00503530"/>
    <w:rsid w:val="00503778"/>
    <w:rsid w:val="00504092"/>
    <w:rsid w:val="005045CB"/>
    <w:rsid w:val="0050519A"/>
    <w:rsid w:val="0050533F"/>
    <w:rsid w:val="005055A6"/>
    <w:rsid w:val="005059A3"/>
    <w:rsid w:val="00505C55"/>
    <w:rsid w:val="00505C80"/>
    <w:rsid w:val="00505F25"/>
    <w:rsid w:val="00506476"/>
    <w:rsid w:val="005066FA"/>
    <w:rsid w:val="00506B2F"/>
    <w:rsid w:val="00506E2E"/>
    <w:rsid w:val="0050750E"/>
    <w:rsid w:val="00507AA8"/>
    <w:rsid w:val="00507FA0"/>
    <w:rsid w:val="00510714"/>
    <w:rsid w:val="00510E87"/>
    <w:rsid w:val="005112DD"/>
    <w:rsid w:val="005113C5"/>
    <w:rsid w:val="00512036"/>
    <w:rsid w:val="005128AD"/>
    <w:rsid w:val="00512A0E"/>
    <w:rsid w:val="005141D2"/>
    <w:rsid w:val="005142DE"/>
    <w:rsid w:val="00514369"/>
    <w:rsid w:val="00514ECC"/>
    <w:rsid w:val="00515092"/>
    <w:rsid w:val="0051538C"/>
    <w:rsid w:val="00515763"/>
    <w:rsid w:val="00515796"/>
    <w:rsid w:val="00515FDB"/>
    <w:rsid w:val="0051617F"/>
    <w:rsid w:val="00516677"/>
    <w:rsid w:val="00516C5C"/>
    <w:rsid w:val="0051710D"/>
    <w:rsid w:val="005171EF"/>
    <w:rsid w:val="005174BD"/>
    <w:rsid w:val="00517793"/>
    <w:rsid w:val="00517A42"/>
    <w:rsid w:val="005200BA"/>
    <w:rsid w:val="005201D7"/>
    <w:rsid w:val="0052029A"/>
    <w:rsid w:val="0052058A"/>
    <w:rsid w:val="005212D3"/>
    <w:rsid w:val="00521384"/>
    <w:rsid w:val="00521636"/>
    <w:rsid w:val="00521684"/>
    <w:rsid w:val="00521810"/>
    <w:rsid w:val="00521FEB"/>
    <w:rsid w:val="00522061"/>
    <w:rsid w:val="00522191"/>
    <w:rsid w:val="005223AF"/>
    <w:rsid w:val="00522E2A"/>
    <w:rsid w:val="0052308C"/>
    <w:rsid w:val="005231BB"/>
    <w:rsid w:val="0052368D"/>
    <w:rsid w:val="00523A32"/>
    <w:rsid w:val="0052409F"/>
    <w:rsid w:val="005248C2"/>
    <w:rsid w:val="005248E9"/>
    <w:rsid w:val="005256D6"/>
    <w:rsid w:val="0052586B"/>
    <w:rsid w:val="00525E48"/>
    <w:rsid w:val="00526C87"/>
    <w:rsid w:val="005275DA"/>
    <w:rsid w:val="00527A9B"/>
    <w:rsid w:val="00527C24"/>
    <w:rsid w:val="00527D92"/>
    <w:rsid w:val="005300B1"/>
    <w:rsid w:val="0053010E"/>
    <w:rsid w:val="005307DE"/>
    <w:rsid w:val="00530805"/>
    <w:rsid w:val="00531070"/>
    <w:rsid w:val="00531297"/>
    <w:rsid w:val="00531E48"/>
    <w:rsid w:val="00532141"/>
    <w:rsid w:val="00532364"/>
    <w:rsid w:val="00532530"/>
    <w:rsid w:val="0053280E"/>
    <w:rsid w:val="00532BDC"/>
    <w:rsid w:val="00533CBC"/>
    <w:rsid w:val="00534159"/>
    <w:rsid w:val="00534208"/>
    <w:rsid w:val="0053467A"/>
    <w:rsid w:val="00534B03"/>
    <w:rsid w:val="00534E99"/>
    <w:rsid w:val="0053536E"/>
    <w:rsid w:val="00536894"/>
    <w:rsid w:val="005368EA"/>
    <w:rsid w:val="00536A27"/>
    <w:rsid w:val="005372C5"/>
    <w:rsid w:val="0053730E"/>
    <w:rsid w:val="005379FE"/>
    <w:rsid w:val="00537F7F"/>
    <w:rsid w:val="00540316"/>
    <w:rsid w:val="0054135E"/>
    <w:rsid w:val="005413E8"/>
    <w:rsid w:val="00541560"/>
    <w:rsid w:val="00541F81"/>
    <w:rsid w:val="00542157"/>
    <w:rsid w:val="00542299"/>
    <w:rsid w:val="00542A02"/>
    <w:rsid w:val="00542D34"/>
    <w:rsid w:val="0054310B"/>
    <w:rsid w:val="00543501"/>
    <w:rsid w:val="00543836"/>
    <w:rsid w:val="0054470B"/>
    <w:rsid w:val="00544AEC"/>
    <w:rsid w:val="00544D7D"/>
    <w:rsid w:val="005454AE"/>
    <w:rsid w:val="005459FE"/>
    <w:rsid w:val="00545B5F"/>
    <w:rsid w:val="00546115"/>
    <w:rsid w:val="00546438"/>
    <w:rsid w:val="00546770"/>
    <w:rsid w:val="00546E06"/>
    <w:rsid w:val="0055029C"/>
    <w:rsid w:val="00550D4C"/>
    <w:rsid w:val="00551205"/>
    <w:rsid w:val="00551381"/>
    <w:rsid w:val="00551D64"/>
    <w:rsid w:val="00552A39"/>
    <w:rsid w:val="00552C76"/>
    <w:rsid w:val="005530B0"/>
    <w:rsid w:val="005532BB"/>
    <w:rsid w:val="00553B8A"/>
    <w:rsid w:val="005543A9"/>
    <w:rsid w:val="0055494A"/>
    <w:rsid w:val="00554FDD"/>
    <w:rsid w:val="005557B7"/>
    <w:rsid w:val="00555A3F"/>
    <w:rsid w:val="0055681B"/>
    <w:rsid w:val="00557C1F"/>
    <w:rsid w:val="00557C39"/>
    <w:rsid w:val="0056003D"/>
    <w:rsid w:val="00560081"/>
    <w:rsid w:val="005606CD"/>
    <w:rsid w:val="00560B04"/>
    <w:rsid w:val="00561300"/>
    <w:rsid w:val="005616BD"/>
    <w:rsid w:val="00561A97"/>
    <w:rsid w:val="00561B86"/>
    <w:rsid w:val="00562A7D"/>
    <w:rsid w:val="0056313F"/>
    <w:rsid w:val="005636EF"/>
    <w:rsid w:val="00564346"/>
    <w:rsid w:val="005643BE"/>
    <w:rsid w:val="00565504"/>
    <w:rsid w:val="00565E68"/>
    <w:rsid w:val="00566B06"/>
    <w:rsid w:val="00566C6C"/>
    <w:rsid w:val="005670AA"/>
    <w:rsid w:val="00567113"/>
    <w:rsid w:val="00567B8B"/>
    <w:rsid w:val="00567CAD"/>
    <w:rsid w:val="00567FC9"/>
    <w:rsid w:val="00567FDC"/>
    <w:rsid w:val="00570832"/>
    <w:rsid w:val="0057095C"/>
    <w:rsid w:val="00570976"/>
    <w:rsid w:val="005709FD"/>
    <w:rsid w:val="00571A50"/>
    <w:rsid w:val="00571A86"/>
    <w:rsid w:val="00572148"/>
    <w:rsid w:val="005725D6"/>
    <w:rsid w:val="005725EF"/>
    <w:rsid w:val="005727C6"/>
    <w:rsid w:val="005732D2"/>
    <w:rsid w:val="005740AC"/>
    <w:rsid w:val="00574684"/>
    <w:rsid w:val="0057482C"/>
    <w:rsid w:val="005749EC"/>
    <w:rsid w:val="00574AA2"/>
    <w:rsid w:val="00574D94"/>
    <w:rsid w:val="00574ED9"/>
    <w:rsid w:val="00576956"/>
    <w:rsid w:val="00576989"/>
    <w:rsid w:val="00576C50"/>
    <w:rsid w:val="00576E48"/>
    <w:rsid w:val="0057712B"/>
    <w:rsid w:val="00577440"/>
    <w:rsid w:val="00577647"/>
    <w:rsid w:val="00577B84"/>
    <w:rsid w:val="00580682"/>
    <w:rsid w:val="00580867"/>
    <w:rsid w:val="0058112F"/>
    <w:rsid w:val="00581AAA"/>
    <w:rsid w:val="00582620"/>
    <w:rsid w:val="0058284E"/>
    <w:rsid w:val="00582A06"/>
    <w:rsid w:val="00583852"/>
    <w:rsid w:val="00584254"/>
    <w:rsid w:val="00584458"/>
    <w:rsid w:val="00584879"/>
    <w:rsid w:val="00584A96"/>
    <w:rsid w:val="00584E1E"/>
    <w:rsid w:val="00585BE0"/>
    <w:rsid w:val="00586E8A"/>
    <w:rsid w:val="0058705A"/>
    <w:rsid w:val="00587496"/>
    <w:rsid w:val="00587729"/>
    <w:rsid w:val="00587C56"/>
    <w:rsid w:val="00587EC1"/>
    <w:rsid w:val="0059006F"/>
    <w:rsid w:val="005900F7"/>
    <w:rsid w:val="005908E8"/>
    <w:rsid w:val="00590BCA"/>
    <w:rsid w:val="00590F3D"/>
    <w:rsid w:val="00591489"/>
    <w:rsid w:val="00591531"/>
    <w:rsid w:val="005915F4"/>
    <w:rsid w:val="0059166D"/>
    <w:rsid w:val="00591D26"/>
    <w:rsid w:val="0059238E"/>
    <w:rsid w:val="00592C41"/>
    <w:rsid w:val="005934D4"/>
    <w:rsid w:val="005937B6"/>
    <w:rsid w:val="00593EB3"/>
    <w:rsid w:val="005943A7"/>
    <w:rsid w:val="005943D8"/>
    <w:rsid w:val="005951D7"/>
    <w:rsid w:val="00595702"/>
    <w:rsid w:val="005959D4"/>
    <w:rsid w:val="00595C41"/>
    <w:rsid w:val="00595ED9"/>
    <w:rsid w:val="005968C2"/>
    <w:rsid w:val="00596AF1"/>
    <w:rsid w:val="00596D44"/>
    <w:rsid w:val="00596F58"/>
    <w:rsid w:val="005A022B"/>
    <w:rsid w:val="005A035F"/>
    <w:rsid w:val="005A04AC"/>
    <w:rsid w:val="005A078C"/>
    <w:rsid w:val="005A0A7B"/>
    <w:rsid w:val="005A1154"/>
    <w:rsid w:val="005A1F8A"/>
    <w:rsid w:val="005A25A1"/>
    <w:rsid w:val="005A2FD5"/>
    <w:rsid w:val="005A36EE"/>
    <w:rsid w:val="005A38A9"/>
    <w:rsid w:val="005A394E"/>
    <w:rsid w:val="005A43C4"/>
    <w:rsid w:val="005A4DD5"/>
    <w:rsid w:val="005A6434"/>
    <w:rsid w:val="005A643E"/>
    <w:rsid w:val="005A70E0"/>
    <w:rsid w:val="005A73CB"/>
    <w:rsid w:val="005A7410"/>
    <w:rsid w:val="005A74BA"/>
    <w:rsid w:val="005A79A1"/>
    <w:rsid w:val="005A7B50"/>
    <w:rsid w:val="005B0EAD"/>
    <w:rsid w:val="005B0FCF"/>
    <w:rsid w:val="005B1215"/>
    <w:rsid w:val="005B1242"/>
    <w:rsid w:val="005B1724"/>
    <w:rsid w:val="005B23A5"/>
    <w:rsid w:val="005B260A"/>
    <w:rsid w:val="005B2955"/>
    <w:rsid w:val="005B2C71"/>
    <w:rsid w:val="005B31C7"/>
    <w:rsid w:val="005B3B22"/>
    <w:rsid w:val="005B3D91"/>
    <w:rsid w:val="005B3FD6"/>
    <w:rsid w:val="005B4069"/>
    <w:rsid w:val="005B415D"/>
    <w:rsid w:val="005B4E74"/>
    <w:rsid w:val="005B58EC"/>
    <w:rsid w:val="005B6349"/>
    <w:rsid w:val="005B6507"/>
    <w:rsid w:val="005B695F"/>
    <w:rsid w:val="005B6B1A"/>
    <w:rsid w:val="005B6EF7"/>
    <w:rsid w:val="005B7666"/>
    <w:rsid w:val="005B7947"/>
    <w:rsid w:val="005B7D92"/>
    <w:rsid w:val="005C0E02"/>
    <w:rsid w:val="005C0FEA"/>
    <w:rsid w:val="005C1545"/>
    <w:rsid w:val="005C1669"/>
    <w:rsid w:val="005C16EB"/>
    <w:rsid w:val="005C17E6"/>
    <w:rsid w:val="005C1F5A"/>
    <w:rsid w:val="005C24FA"/>
    <w:rsid w:val="005C2885"/>
    <w:rsid w:val="005C2A6C"/>
    <w:rsid w:val="005C3297"/>
    <w:rsid w:val="005C32F8"/>
    <w:rsid w:val="005C36D5"/>
    <w:rsid w:val="005C3BCE"/>
    <w:rsid w:val="005C423E"/>
    <w:rsid w:val="005C4866"/>
    <w:rsid w:val="005C52D7"/>
    <w:rsid w:val="005C555D"/>
    <w:rsid w:val="005C5D55"/>
    <w:rsid w:val="005C5E22"/>
    <w:rsid w:val="005C6060"/>
    <w:rsid w:val="005C61E7"/>
    <w:rsid w:val="005C6311"/>
    <w:rsid w:val="005C6A27"/>
    <w:rsid w:val="005C6CFA"/>
    <w:rsid w:val="005C737D"/>
    <w:rsid w:val="005C7961"/>
    <w:rsid w:val="005C7B01"/>
    <w:rsid w:val="005D09B6"/>
    <w:rsid w:val="005D0DCD"/>
    <w:rsid w:val="005D0DEB"/>
    <w:rsid w:val="005D1459"/>
    <w:rsid w:val="005D15D0"/>
    <w:rsid w:val="005D164D"/>
    <w:rsid w:val="005D1931"/>
    <w:rsid w:val="005D1E10"/>
    <w:rsid w:val="005D2056"/>
    <w:rsid w:val="005D2532"/>
    <w:rsid w:val="005D271F"/>
    <w:rsid w:val="005D2956"/>
    <w:rsid w:val="005D3121"/>
    <w:rsid w:val="005D31B7"/>
    <w:rsid w:val="005D34E2"/>
    <w:rsid w:val="005D35B8"/>
    <w:rsid w:val="005D391D"/>
    <w:rsid w:val="005D393E"/>
    <w:rsid w:val="005D3A00"/>
    <w:rsid w:val="005D3A47"/>
    <w:rsid w:val="005D45BB"/>
    <w:rsid w:val="005D4A47"/>
    <w:rsid w:val="005D4DEE"/>
    <w:rsid w:val="005D51D2"/>
    <w:rsid w:val="005D55A0"/>
    <w:rsid w:val="005D56E3"/>
    <w:rsid w:val="005D592F"/>
    <w:rsid w:val="005D5EDE"/>
    <w:rsid w:val="005D64DE"/>
    <w:rsid w:val="005D6603"/>
    <w:rsid w:val="005D6D62"/>
    <w:rsid w:val="005D702F"/>
    <w:rsid w:val="005D7362"/>
    <w:rsid w:val="005D7826"/>
    <w:rsid w:val="005D788B"/>
    <w:rsid w:val="005E00F5"/>
    <w:rsid w:val="005E03C9"/>
    <w:rsid w:val="005E0B3F"/>
    <w:rsid w:val="005E0B8D"/>
    <w:rsid w:val="005E0BE2"/>
    <w:rsid w:val="005E0D2C"/>
    <w:rsid w:val="005E0F45"/>
    <w:rsid w:val="005E1294"/>
    <w:rsid w:val="005E2667"/>
    <w:rsid w:val="005E2E53"/>
    <w:rsid w:val="005E32D8"/>
    <w:rsid w:val="005E3348"/>
    <w:rsid w:val="005E34AD"/>
    <w:rsid w:val="005E4282"/>
    <w:rsid w:val="005E4C90"/>
    <w:rsid w:val="005E5B24"/>
    <w:rsid w:val="005E6014"/>
    <w:rsid w:val="005E6288"/>
    <w:rsid w:val="005E62A8"/>
    <w:rsid w:val="005E64A0"/>
    <w:rsid w:val="005E6B0D"/>
    <w:rsid w:val="005F03EB"/>
    <w:rsid w:val="005F074C"/>
    <w:rsid w:val="005F08B8"/>
    <w:rsid w:val="005F117D"/>
    <w:rsid w:val="005F13CC"/>
    <w:rsid w:val="005F2160"/>
    <w:rsid w:val="005F2652"/>
    <w:rsid w:val="005F2D95"/>
    <w:rsid w:val="005F2DED"/>
    <w:rsid w:val="005F2F95"/>
    <w:rsid w:val="005F3BA2"/>
    <w:rsid w:val="005F4211"/>
    <w:rsid w:val="005F441D"/>
    <w:rsid w:val="005F494B"/>
    <w:rsid w:val="005F4E47"/>
    <w:rsid w:val="005F4F0C"/>
    <w:rsid w:val="005F530C"/>
    <w:rsid w:val="005F5426"/>
    <w:rsid w:val="005F5A33"/>
    <w:rsid w:val="005F5CBA"/>
    <w:rsid w:val="005F6308"/>
    <w:rsid w:val="005F650F"/>
    <w:rsid w:val="005F6A06"/>
    <w:rsid w:val="005F6B33"/>
    <w:rsid w:val="005F72C7"/>
    <w:rsid w:val="005F763F"/>
    <w:rsid w:val="005F778E"/>
    <w:rsid w:val="005F7B56"/>
    <w:rsid w:val="005F7F42"/>
    <w:rsid w:val="00600740"/>
    <w:rsid w:val="0060094D"/>
    <w:rsid w:val="0060138D"/>
    <w:rsid w:val="00601C23"/>
    <w:rsid w:val="00601E64"/>
    <w:rsid w:val="00602AF6"/>
    <w:rsid w:val="00602B98"/>
    <w:rsid w:val="00602DC0"/>
    <w:rsid w:val="00603686"/>
    <w:rsid w:val="006037E3"/>
    <w:rsid w:val="00603962"/>
    <w:rsid w:val="00603DB1"/>
    <w:rsid w:val="00604249"/>
    <w:rsid w:val="0060497B"/>
    <w:rsid w:val="00604BDD"/>
    <w:rsid w:val="00604C2B"/>
    <w:rsid w:val="00604E03"/>
    <w:rsid w:val="00605131"/>
    <w:rsid w:val="006055C7"/>
    <w:rsid w:val="006058B3"/>
    <w:rsid w:val="006060A8"/>
    <w:rsid w:val="00606D77"/>
    <w:rsid w:val="006070DC"/>
    <w:rsid w:val="0060719D"/>
    <w:rsid w:val="00607435"/>
    <w:rsid w:val="006074D6"/>
    <w:rsid w:val="0060768A"/>
    <w:rsid w:val="00607B22"/>
    <w:rsid w:val="00607E49"/>
    <w:rsid w:val="00610193"/>
    <w:rsid w:val="00610215"/>
    <w:rsid w:val="0061028F"/>
    <w:rsid w:val="00610478"/>
    <w:rsid w:val="00610755"/>
    <w:rsid w:val="0061096E"/>
    <w:rsid w:val="00610975"/>
    <w:rsid w:val="006109A8"/>
    <w:rsid w:val="0061145D"/>
    <w:rsid w:val="006115F7"/>
    <w:rsid w:val="00611B1E"/>
    <w:rsid w:val="00611E98"/>
    <w:rsid w:val="006121A3"/>
    <w:rsid w:val="0061245B"/>
    <w:rsid w:val="00612658"/>
    <w:rsid w:val="00612AA4"/>
    <w:rsid w:val="006131AC"/>
    <w:rsid w:val="00613697"/>
    <w:rsid w:val="0061395E"/>
    <w:rsid w:val="00613B3D"/>
    <w:rsid w:val="00613EBF"/>
    <w:rsid w:val="006149D2"/>
    <w:rsid w:val="00614EF9"/>
    <w:rsid w:val="006150D3"/>
    <w:rsid w:val="00615131"/>
    <w:rsid w:val="00615466"/>
    <w:rsid w:val="006156FF"/>
    <w:rsid w:val="006157F1"/>
    <w:rsid w:val="00615F35"/>
    <w:rsid w:val="00615FBD"/>
    <w:rsid w:val="0061734D"/>
    <w:rsid w:val="006177F4"/>
    <w:rsid w:val="006207F4"/>
    <w:rsid w:val="0062091B"/>
    <w:rsid w:val="006213ED"/>
    <w:rsid w:val="006214FF"/>
    <w:rsid w:val="0062153C"/>
    <w:rsid w:val="006216F7"/>
    <w:rsid w:val="00621AC7"/>
    <w:rsid w:val="00622079"/>
    <w:rsid w:val="006220BF"/>
    <w:rsid w:val="00622663"/>
    <w:rsid w:val="00622754"/>
    <w:rsid w:val="00622A0A"/>
    <w:rsid w:val="00622AE1"/>
    <w:rsid w:val="00622F73"/>
    <w:rsid w:val="00623849"/>
    <w:rsid w:val="00623A46"/>
    <w:rsid w:val="00623D6E"/>
    <w:rsid w:val="0062449E"/>
    <w:rsid w:val="00624546"/>
    <w:rsid w:val="006245B7"/>
    <w:rsid w:val="00624922"/>
    <w:rsid w:val="00625318"/>
    <w:rsid w:val="00625620"/>
    <w:rsid w:val="006256C2"/>
    <w:rsid w:val="00625843"/>
    <w:rsid w:val="00625FA2"/>
    <w:rsid w:val="00626442"/>
    <w:rsid w:val="006265CC"/>
    <w:rsid w:val="00626DCE"/>
    <w:rsid w:val="0062712E"/>
    <w:rsid w:val="006276B0"/>
    <w:rsid w:val="006277E6"/>
    <w:rsid w:val="006279DD"/>
    <w:rsid w:val="00627B0C"/>
    <w:rsid w:val="00630ACF"/>
    <w:rsid w:val="00631116"/>
    <w:rsid w:val="00631860"/>
    <w:rsid w:val="00631AA6"/>
    <w:rsid w:val="00632364"/>
    <w:rsid w:val="0063291D"/>
    <w:rsid w:val="00632EB3"/>
    <w:rsid w:val="00633DC6"/>
    <w:rsid w:val="006352B6"/>
    <w:rsid w:val="00635C66"/>
    <w:rsid w:val="00635F4A"/>
    <w:rsid w:val="00636429"/>
    <w:rsid w:val="00636626"/>
    <w:rsid w:val="00636AFF"/>
    <w:rsid w:val="00637191"/>
    <w:rsid w:val="00637304"/>
    <w:rsid w:val="0063731E"/>
    <w:rsid w:val="006375DA"/>
    <w:rsid w:val="00640161"/>
    <w:rsid w:val="00640511"/>
    <w:rsid w:val="00640A87"/>
    <w:rsid w:val="00641195"/>
    <w:rsid w:val="006411A5"/>
    <w:rsid w:val="00641C5B"/>
    <w:rsid w:val="00642090"/>
    <w:rsid w:val="00642A87"/>
    <w:rsid w:val="00642F1B"/>
    <w:rsid w:val="00643629"/>
    <w:rsid w:val="00643B3A"/>
    <w:rsid w:val="00643E91"/>
    <w:rsid w:val="00643F26"/>
    <w:rsid w:val="006447D6"/>
    <w:rsid w:val="0064489B"/>
    <w:rsid w:val="00645BCB"/>
    <w:rsid w:val="00646283"/>
    <w:rsid w:val="00646C68"/>
    <w:rsid w:val="00646E90"/>
    <w:rsid w:val="00647218"/>
    <w:rsid w:val="00647440"/>
    <w:rsid w:val="006476BA"/>
    <w:rsid w:val="00647AF1"/>
    <w:rsid w:val="00650085"/>
    <w:rsid w:val="00650224"/>
    <w:rsid w:val="00650299"/>
    <w:rsid w:val="00650AD2"/>
    <w:rsid w:val="00650D39"/>
    <w:rsid w:val="0065125F"/>
    <w:rsid w:val="00651829"/>
    <w:rsid w:val="00651830"/>
    <w:rsid w:val="00651CEF"/>
    <w:rsid w:val="00651DA2"/>
    <w:rsid w:val="00652794"/>
    <w:rsid w:val="006533E7"/>
    <w:rsid w:val="006534DB"/>
    <w:rsid w:val="00654D09"/>
    <w:rsid w:val="00654D75"/>
    <w:rsid w:val="00655D2B"/>
    <w:rsid w:val="00655E56"/>
    <w:rsid w:val="00655E93"/>
    <w:rsid w:val="00656370"/>
    <w:rsid w:val="0065663F"/>
    <w:rsid w:val="006568DB"/>
    <w:rsid w:val="00656AAA"/>
    <w:rsid w:val="006573B7"/>
    <w:rsid w:val="006577D1"/>
    <w:rsid w:val="00660469"/>
    <w:rsid w:val="00660A50"/>
    <w:rsid w:val="00660D25"/>
    <w:rsid w:val="00660E67"/>
    <w:rsid w:val="006610E6"/>
    <w:rsid w:val="00661AEA"/>
    <w:rsid w:val="00661D5B"/>
    <w:rsid w:val="00662578"/>
    <w:rsid w:val="00662C14"/>
    <w:rsid w:val="00662E9A"/>
    <w:rsid w:val="00662EA7"/>
    <w:rsid w:val="00663146"/>
    <w:rsid w:val="006635A4"/>
    <w:rsid w:val="00663830"/>
    <w:rsid w:val="00663A2D"/>
    <w:rsid w:val="00663BBE"/>
    <w:rsid w:val="00663C74"/>
    <w:rsid w:val="00664659"/>
    <w:rsid w:val="006646BA"/>
    <w:rsid w:val="00664726"/>
    <w:rsid w:val="0066480E"/>
    <w:rsid w:val="00664999"/>
    <w:rsid w:val="00664E1A"/>
    <w:rsid w:val="0066554D"/>
    <w:rsid w:val="0066555A"/>
    <w:rsid w:val="00665C09"/>
    <w:rsid w:val="0066686D"/>
    <w:rsid w:val="00667BD2"/>
    <w:rsid w:val="00667D6E"/>
    <w:rsid w:val="00667ED8"/>
    <w:rsid w:val="006705A0"/>
    <w:rsid w:val="00670C7E"/>
    <w:rsid w:val="006713F9"/>
    <w:rsid w:val="006718ED"/>
    <w:rsid w:val="006721A9"/>
    <w:rsid w:val="006724E8"/>
    <w:rsid w:val="00672857"/>
    <w:rsid w:val="00673B0A"/>
    <w:rsid w:val="00673B9D"/>
    <w:rsid w:val="00673C97"/>
    <w:rsid w:val="00673EDE"/>
    <w:rsid w:val="00674FEC"/>
    <w:rsid w:val="0067503A"/>
    <w:rsid w:val="00675EFE"/>
    <w:rsid w:val="00675FF6"/>
    <w:rsid w:val="00676D29"/>
    <w:rsid w:val="00677035"/>
    <w:rsid w:val="00677188"/>
    <w:rsid w:val="00677345"/>
    <w:rsid w:val="00677B32"/>
    <w:rsid w:val="006800F2"/>
    <w:rsid w:val="006804D3"/>
    <w:rsid w:val="006805F7"/>
    <w:rsid w:val="00680A35"/>
    <w:rsid w:val="00680A8F"/>
    <w:rsid w:val="00681C79"/>
    <w:rsid w:val="006820D0"/>
    <w:rsid w:val="006824E9"/>
    <w:rsid w:val="00683521"/>
    <w:rsid w:val="0068379E"/>
    <w:rsid w:val="00683AD9"/>
    <w:rsid w:val="00684381"/>
    <w:rsid w:val="00684993"/>
    <w:rsid w:val="00684ABB"/>
    <w:rsid w:val="00685507"/>
    <w:rsid w:val="006859E5"/>
    <w:rsid w:val="00685D66"/>
    <w:rsid w:val="00685EF9"/>
    <w:rsid w:val="00686124"/>
    <w:rsid w:val="00686128"/>
    <w:rsid w:val="0068620C"/>
    <w:rsid w:val="00686225"/>
    <w:rsid w:val="00686E5E"/>
    <w:rsid w:val="00687210"/>
    <w:rsid w:val="00687FB0"/>
    <w:rsid w:val="00690530"/>
    <w:rsid w:val="006917D7"/>
    <w:rsid w:val="0069192E"/>
    <w:rsid w:val="00691B26"/>
    <w:rsid w:val="006922B8"/>
    <w:rsid w:val="006924CB"/>
    <w:rsid w:val="00692FD2"/>
    <w:rsid w:val="0069371E"/>
    <w:rsid w:val="00693ED9"/>
    <w:rsid w:val="006945EF"/>
    <w:rsid w:val="0069470F"/>
    <w:rsid w:val="006949DE"/>
    <w:rsid w:val="00694D74"/>
    <w:rsid w:val="00694EBA"/>
    <w:rsid w:val="00695065"/>
    <w:rsid w:val="0069544D"/>
    <w:rsid w:val="0069587A"/>
    <w:rsid w:val="00695A0D"/>
    <w:rsid w:val="00695A31"/>
    <w:rsid w:val="00695A9B"/>
    <w:rsid w:val="00695DB9"/>
    <w:rsid w:val="00695DE5"/>
    <w:rsid w:val="00695EFE"/>
    <w:rsid w:val="00696636"/>
    <w:rsid w:val="00697FCE"/>
    <w:rsid w:val="006A0055"/>
    <w:rsid w:val="006A0BBB"/>
    <w:rsid w:val="006A1578"/>
    <w:rsid w:val="006A164A"/>
    <w:rsid w:val="006A17CE"/>
    <w:rsid w:val="006A17DC"/>
    <w:rsid w:val="006A1F0C"/>
    <w:rsid w:val="006A2AC3"/>
    <w:rsid w:val="006A3559"/>
    <w:rsid w:val="006A380D"/>
    <w:rsid w:val="006A3900"/>
    <w:rsid w:val="006A3EF2"/>
    <w:rsid w:val="006A40CE"/>
    <w:rsid w:val="006A45C8"/>
    <w:rsid w:val="006A4FE1"/>
    <w:rsid w:val="006A536E"/>
    <w:rsid w:val="006A5502"/>
    <w:rsid w:val="006A5676"/>
    <w:rsid w:val="006A5FCE"/>
    <w:rsid w:val="006A5FD0"/>
    <w:rsid w:val="006A7437"/>
    <w:rsid w:val="006A78C4"/>
    <w:rsid w:val="006A7AFF"/>
    <w:rsid w:val="006A7F22"/>
    <w:rsid w:val="006B00E5"/>
    <w:rsid w:val="006B068D"/>
    <w:rsid w:val="006B072C"/>
    <w:rsid w:val="006B0759"/>
    <w:rsid w:val="006B0BA2"/>
    <w:rsid w:val="006B0BA4"/>
    <w:rsid w:val="006B0C1C"/>
    <w:rsid w:val="006B0CB2"/>
    <w:rsid w:val="006B0E5B"/>
    <w:rsid w:val="006B15A4"/>
    <w:rsid w:val="006B1743"/>
    <w:rsid w:val="006B1830"/>
    <w:rsid w:val="006B18C4"/>
    <w:rsid w:val="006B1E3E"/>
    <w:rsid w:val="006B2888"/>
    <w:rsid w:val="006B2DAB"/>
    <w:rsid w:val="006B3332"/>
    <w:rsid w:val="006B3687"/>
    <w:rsid w:val="006B378D"/>
    <w:rsid w:val="006B3A1E"/>
    <w:rsid w:val="006B3D87"/>
    <w:rsid w:val="006B3E28"/>
    <w:rsid w:val="006B4ABC"/>
    <w:rsid w:val="006B4AC6"/>
    <w:rsid w:val="006B51F5"/>
    <w:rsid w:val="006B56DB"/>
    <w:rsid w:val="006B5731"/>
    <w:rsid w:val="006B6006"/>
    <w:rsid w:val="006B738B"/>
    <w:rsid w:val="006B7DF5"/>
    <w:rsid w:val="006C0904"/>
    <w:rsid w:val="006C1382"/>
    <w:rsid w:val="006C1562"/>
    <w:rsid w:val="006C1618"/>
    <w:rsid w:val="006C1685"/>
    <w:rsid w:val="006C173E"/>
    <w:rsid w:val="006C1D6A"/>
    <w:rsid w:val="006C277E"/>
    <w:rsid w:val="006C3C22"/>
    <w:rsid w:val="006C46EE"/>
    <w:rsid w:val="006C4B0D"/>
    <w:rsid w:val="006C4F3A"/>
    <w:rsid w:val="006C50C1"/>
    <w:rsid w:val="006C54A7"/>
    <w:rsid w:val="006C5621"/>
    <w:rsid w:val="006C593D"/>
    <w:rsid w:val="006C5B3D"/>
    <w:rsid w:val="006C5E82"/>
    <w:rsid w:val="006C63C8"/>
    <w:rsid w:val="006C64C9"/>
    <w:rsid w:val="006C6E1A"/>
    <w:rsid w:val="006C78C0"/>
    <w:rsid w:val="006C7A6B"/>
    <w:rsid w:val="006C7FDA"/>
    <w:rsid w:val="006D029C"/>
    <w:rsid w:val="006D039E"/>
    <w:rsid w:val="006D0548"/>
    <w:rsid w:val="006D0ACF"/>
    <w:rsid w:val="006D107D"/>
    <w:rsid w:val="006D18A4"/>
    <w:rsid w:val="006D2488"/>
    <w:rsid w:val="006D24DA"/>
    <w:rsid w:val="006D3776"/>
    <w:rsid w:val="006D3C16"/>
    <w:rsid w:val="006D3EFB"/>
    <w:rsid w:val="006D4248"/>
    <w:rsid w:val="006D4634"/>
    <w:rsid w:val="006D4B47"/>
    <w:rsid w:val="006D5671"/>
    <w:rsid w:val="006D6049"/>
    <w:rsid w:val="006D6E09"/>
    <w:rsid w:val="006D7428"/>
    <w:rsid w:val="006D7928"/>
    <w:rsid w:val="006D7BA5"/>
    <w:rsid w:val="006D7E92"/>
    <w:rsid w:val="006E0051"/>
    <w:rsid w:val="006E0184"/>
    <w:rsid w:val="006E144E"/>
    <w:rsid w:val="006E1841"/>
    <w:rsid w:val="006E20D6"/>
    <w:rsid w:val="006E25E7"/>
    <w:rsid w:val="006E2A90"/>
    <w:rsid w:val="006E3A8B"/>
    <w:rsid w:val="006E42E8"/>
    <w:rsid w:val="006E450A"/>
    <w:rsid w:val="006E4632"/>
    <w:rsid w:val="006E4D98"/>
    <w:rsid w:val="006E5223"/>
    <w:rsid w:val="006E6892"/>
    <w:rsid w:val="006E7207"/>
    <w:rsid w:val="006E7AD3"/>
    <w:rsid w:val="006F0061"/>
    <w:rsid w:val="006F075C"/>
    <w:rsid w:val="006F1359"/>
    <w:rsid w:val="006F17BB"/>
    <w:rsid w:val="006F1922"/>
    <w:rsid w:val="006F1C29"/>
    <w:rsid w:val="006F1C92"/>
    <w:rsid w:val="006F1D2E"/>
    <w:rsid w:val="006F2076"/>
    <w:rsid w:val="006F2272"/>
    <w:rsid w:val="006F22FB"/>
    <w:rsid w:val="006F2CA5"/>
    <w:rsid w:val="006F2CF1"/>
    <w:rsid w:val="006F2F1B"/>
    <w:rsid w:val="006F3F72"/>
    <w:rsid w:val="006F4AA9"/>
    <w:rsid w:val="006F527D"/>
    <w:rsid w:val="006F554F"/>
    <w:rsid w:val="006F5EE4"/>
    <w:rsid w:val="006F67C9"/>
    <w:rsid w:val="006F6E83"/>
    <w:rsid w:val="006F79F3"/>
    <w:rsid w:val="006F7D53"/>
    <w:rsid w:val="007002F9"/>
    <w:rsid w:val="00700301"/>
    <w:rsid w:val="007019AE"/>
    <w:rsid w:val="00701B47"/>
    <w:rsid w:val="0070240A"/>
    <w:rsid w:val="007025DB"/>
    <w:rsid w:val="007027B9"/>
    <w:rsid w:val="0070322D"/>
    <w:rsid w:val="007035AC"/>
    <w:rsid w:val="00703A64"/>
    <w:rsid w:val="00703C7B"/>
    <w:rsid w:val="00703EE4"/>
    <w:rsid w:val="0070426C"/>
    <w:rsid w:val="0070456D"/>
    <w:rsid w:val="007046B7"/>
    <w:rsid w:val="0070515B"/>
    <w:rsid w:val="0070519A"/>
    <w:rsid w:val="007051BE"/>
    <w:rsid w:val="0070553F"/>
    <w:rsid w:val="00705B64"/>
    <w:rsid w:val="00706405"/>
    <w:rsid w:val="007070BE"/>
    <w:rsid w:val="0070734B"/>
    <w:rsid w:val="00707B8B"/>
    <w:rsid w:val="00707D36"/>
    <w:rsid w:val="00707E02"/>
    <w:rsid w:val="00707F3A"/>
    <w:rsid w:val="007103EE"/>
    <w:rsid w:val="0071076C"/>
    <w:rsid w:val="00710E63"/>
    <w:rsid w:val="00710EDC"/>
    <w:rsid w:val="00712138"/>
    <w:rsid w:val="0071267E"/>
    <w:rsid w:val="0071294F"/>
    <w:rsid w:val="00712A0F"/>
    <w:rsid w:val="00712CC0"/>
    <w:rsid w:val="00712FF9"/>
    <w:rsid w:val="00713145"/>
    <w:rsid w:val="00713B01"/>
    <w:rsid w:val="007149B6"/>
    <w:rsid w:val="00714F59"/>
    <w:rsid w:val="00715714"/>
    <w:rsid w:val="007159E2"/>
    <w:rsid w:val="00716076"/>
    <w:rsid w:val="0071623C"/>
    <w:rsid w:val="007165F7"/>
    <w:rsid w:val="007169FE"/>
    <w:rsid w:val="00716F8A"/>
    <w:rsid w:val="007171F9"/>
    <w:rsid w:val="00721228"/>
    <w:rsid w:val="007216B9"/>
    <w:rsid w:val="00721ADD"/>
    <w:rsid w:val="0072368C"/>
    <w:rsid w:val="007238C2"/>
    <w:rsid w:val="00723956"/>
    <w:rsid w:val="00724190"/>
    <w:rsid w:val="00724C8E"/>
    <w:rsid w:val="0072513E"/>
    <w:rsid w:val="0072551B"/>
    <w:rsid w:val="00725611"/>
    <w:rsid w:val="0072569B"/>
    <w:rsid w:val="0072591E"/>
    <w:rsid w:val="007260A4"/>
    <w:rsid w:val="00726104"/>
    <w:rsid w:val="007263C5"/>
    <w:rsid w:val="007263EE"/>
    <w:rsid w:val="007279D6"/>
    <w:rsid w:val="00727B7C"/>
    <w:rsid w:val="0073146E"/>
    <w:rsid w:val="00731D2C"/>
    <w:rsid w:val="00732ECA"/>
    <w:rsid w:val="00732FA3"/>
    <w:rsid w:val="00732FEC"/>
    <w:rsid w:val="007336E1"/>
    <w:rsid w:val="00733997"/>
    <w:rsid w:val="00733BB6"/>
    <w:rsid w:val="00733F4D"/>
    <w:rsid w:val="00734525"/>
    <w:rsid w:val="00734852"/>
    <w:rsid w:val="007357B2"/>
    <w:rsid w:val="00735BFE"/>
    <w:rsid w:val="007362F6"/>
    <w:rsid w:val="00736592"/>
    <w:rsid w:val="00736FB6"/>
    <w:rsid w:val="00736FF3"/>
    <w:rsid w:val="00737A54"/>
    <w:rsid w:val="00737A92"/>
    <w:rsid w:val="00740493"/>
    <w:rsid w:val="007404EC"/>
    <w:rsid w:val="007405BA"/>
    <w:rsid w:val="0074086E"/>
    <w:rsid w:val="00740FCD"/>
    <w:rsid w:val="0074147E"/>
    <w:rsid w:val="00741A8F"/>
    <w:rsid w:val="00741EBA"/>
    <w:rsid w:val="00742054"/>
    <w:rsid w:val="0074206D"/>
    <w:rsid w:val="00742FF4"/>
    <w:rsid w:val="0074326A"/>
    <w:rsid w:val="00743A2A"/>
    <w:rsid w:val="00743EE9"/>
    <w:rsid w:val="0074433E"/>
    <w:rsid w:val="007446EF"/>
    <w:rsid w:val="00744D36"/>
    <w:rsid w:val="007453B3"/>
    <w:rsid w:val="007457E7"/>
    <w:rsid w:val="00745FBB"/>
    <w:rsid w:val="007465A5"/>
    <w:rsid w:val="00746835"/>
    <w:rsid w:val="00747953"/>
    <w:rsid w:val="00747C3B"/>
    <w:rsid w:val="00747F7E"/>
    <w:rsid w:val="00750703"/>
    <w:rsid w:val="00750745"/>
    <w:rsid w:val="00750B1F"/>
    <w:rsid w:val="00750D5C"/>
    <w:rsid w:val="0075167F"/>
    <w:rsid w:val="00751E59"/>
    <w:rsid w:val="00751F3D"/>
    <w:rsid w:val="00752150"/>
    <w:rsid w:val="00752429"/>
    <w:rsid w:val="0075266A"/>
    <w:rsid w:val="007529AE"/>
    <w:rsid w:val="00752B14"/>
    <w:rsid w:val="0075368B"/>
    <w:rsid w:val="0075399C"/>
    <w:rsid w:val="00753B83"/>
    <w:rsid w:val="00753DA9"/>
    <w:rsid w:val="00754379"/>
    <w:rsid w:val="00754438"/>
    <w:rsid w:val="0075453D"/>
    <w:rsid w:val="00754B9D"/>
    <w:rsid w:val="007555D4"/>
    <w:rsid w:val="007557DD"/>
    <w:rsid w:val="00755CF7"/>
    <w:rsid w:val="00755EC5"/>
    <w:rsid w:val="007563FE"/>
    <w:rsid w:val="007565F9"/>
    <w:rsid w:val="0075692E"/>
    <w:rsid w:val="00756BE8"/>
    <w:rsid w:val="00757A9A"/>
    <w:rsid w:val="00757EDB"/>
    <w:rsid w:val="00760060"/>
    <w:rsid w:val="007600D4"/>
    <w:rsid w:val="00760212"/>
    <w:rsid w:val="00760747"/>
    <w:rsid w:val="007610A0"/>
    <w:rsid w:val="00761E38"/>
    <w:rsid w:val="0076200B"/>
    <w:rsid w:val="00762A35"/>
    <w:rsid w:val="00762D4E"/>
    <w:rsid w:val="00763028"/>
    <w:rsid w:val="00763085"/>
    <w:rsid w:val="007633F8"/>
    <w:rsid w:val="00763575"/>
    <w:rsid w:val="007635BB"/>
    <w:rsid w:val="007636F6"/>
    <w:rsid w:val="00763DEE"/>
    <w:rsid w:val="007644CE"/>
    <w:rsid w:val="007644DD"/>
    <w:rsid w:val="00765100"/>
    <w:rsid w:val="00765332"/>
    <w:rsid w:val="0076589B"/>
    <w:rsid w:val="00765A1E"/>
    <w:rsid w:val="00766205"/>
    <w:rsid w:val="0076667F"/>
    <w:rsid w:val="007666A9"/>
    <w:rsid w:val="0076677E"/>
    <w:rsid w:val="007672F2"/>
    <w:rsid w:val="0076734F"/>
    <w:rsid w:val="007674B2"/>
    <w:rsid w:val="00767654"/>
    <w:rsid w:val="007708A2"/>
    <w:rsid w:val="00770B70"/>
    <w:rsid w:val="00772784"/>
    <w:rsid w:val="007727CB"/>
    <w:rsid w:val="0077294F"/>
    <w:rsid w:val="007731B8"/>
    <w:rsid w:val="00773DA3"/>
    <w:rsid w:val="00774169"/>
    <w:rsid w:val="00774AC0"/>
    <w:rsid w:val="00775900"/>
    <w:rsid w:val="007759DB"/>
    <w:rsid w:val="00776011"/>
    <w:rsid w:val="007769F3"/>
    <w:rsid w:val="00776C49"/>
    <w:rsid w:val="00777CB3"/>
    <w:rsid w:val="00777DDF"/>
    <w:rsid w:val="00780005"/>
    <w:rsid w:val="007806ED"/>
    <w:rsid w:val="00780BE5"/>
    <w:rsid w:val="00780F9D"/>
    <w:rsid w:val="007811DD"/>
    <w:rsid w:val="0078133E"/>
    <w:rsid w:val="007822F6"/>
    <w:rsid w:val="00782CF8"/>
    <w:rsid w:val="00782F6F"/>
    <w:rsid w:val="00783141"/>
    <w:rsid w:val="00783182"/>
    <w:rsid w:val="0078346E"/>
    <w:rsid w:val="00784070"/>
    <w:rsid w:val="007844D2"/>
    <w:rsid w:val="00784D6E"/>
    <w:rsid w:val="00785323"/>
    <w:rsid w:val="0078550E"/>
    <w:rsid w:val="00785EF3"/>
    <w:rsid w:val="00786323"/>
    <w:rsid w:val="0078669E"/>
    <w:rsid w:val="007873DE"/>
    <w:rsid w:val="007874F2"/>
    <w:rsid w:val="007875C1"/>
    <w:rsid w:val="00787F82"/>
    <w:rsid w:val="007900E5"/>
    <w:rsid w:val="007906DB"/>
    <w:rsid w:val="0079091D"/>
    <w:rsid w:val="0079098F"/>
    <w:rsid w:val="00790D51"/>
    <w:rsid w:val="00790E41"/>
    <w:rsid w:val="00791576"/>
    <w:rsid w:val="00792BAE"/>
    <w:rsid w:val="00792D82"/>
    <w:rsid w:val="00792F65"/>
    <w:rsid w:val="007933CA"/>
    <w:rsid w:val="007934D2"/>
    <w:rsid w:val="007941B3"/>
    <w:rsid w:val="00794535"/>
    <w:rsid w:val="00794CD5"/>
    <w:rsid w:val="00794F6A"/>
    <w:rsid w:val="00795449"/>
    <w:rsid w:val="0079549B"/>
    <w:rsid w:val="007958DB"/>
    <w:rsid w:val="00796123"/>
    <w:rsid w:val="0079630C"/>
    <w:rsid w:val="0079630F"/>
    <w:rsid w:val="00796DED"/>
    <w:rsid w:val="0079704C"/>
    <w:rsid w:val="007970C5"/>
    <w:rsid w:val="007973C9"/>
    <w:rsid w:val="007975E9"/>
    <w:rsid w:val="00797A1C"/>
    <w:rsid w:val="007A0192"/>
    <w:rsid w:val="007A030F"/>
    <w:rsid w:val="007A1561"/>
    <w:rsid w:val="007A1989"/>
    <w:rsid w:val="007A1FAB"/>
    <w:rsid w:val="007A2055"/>
    <w:rsid w:val="007A2511"/>
    <w:rsid w:val="007A3159"/>
    <w:rsid w:val="007A3436"/>
    <w:rsid w:val="007A385C"/>
    <w:rsid w:val="007A3FEC"/>
    <w:rsid w:val="007A40AA"/>
    <w:rsid w:val="007A45DD"/>
    <w:rsid w:val="007A4B5A"/>
    <w:rsid w:val="007A4E97"/>
    <w:rsid w:val="007A509A"/>
    <w:rsid w:val="007A5325"/>
    <w:rsid w:val="007A5347"/>
    <w:rsid w:val="007A5AED"/>
    <w:rsid w:val="007A5D14"/>
    <w:rsid w:val="007A5F60"/>
    <w:rsid w:val="007A60C5"/>
    <w:rsid w:val="007A6AF3"/>
    <w:rsid w:val="007A6BB0"/>
    <w:rsid w:val="007A6DFB"/>
    <w:rsid w:val="007A7178"/>
    <w:rsid w:val="007B043E"/>
    <w:rsid w:val="007B06C6"/>
    <w:rsid w:val="007B0C8E"/>
    <w:rsid w:val="007B1374"/>
    <w:rsid w:val="007B16D3"/>
    <w:rsid w:val="007B1760"/>
    <w:rsid w:val="007B1C11"/>
    <w:rsid w:val="007B2499"/>
    <w:rsid w:val="007B2C0A"/>
    <w:rsid w:val="007B2DF2"/>
    <w:rsid w:val="007B3015"/>
    <w:rsid w:val="007B3471"/>
    <w:rsid w:val="007B358A"/>
    <w:rsid w:val="007B3AF1"/>
    <w:rsid w:val="007B3C6B"/>
    <w:rsid w:val="007B3FAE"/>
    <w:rsid w:val="007B401A"/>
    <w:rsid w:val="007B4043"/>
    <w:rsid w:val="007B4B43"/>
    <w:rsid w:val="007B5225"/>
    <w:rsid w:val="007B540A"/>
    <w:rsid w:val="007B56D3"/>
    <w:rsid w:val="007B5A38"/>
    <w:rsid w:val="007B6DD5"/>
    <w:rsid w:val="007B7CB8"/>
    <w:rsid w:val="007C013A"/>
    <w:rsid w:val="007C02A0"/>
    <w:rsid w:val="007C0681"/>
    <w:rsid w:val="007C099D"/>
    <w:rsid w:val="007C0E21"/>
    <w:rsid w:val="007C0E99"/>
    <w:rsid w:val="007C190A"/>
    <w:rsid w:val="007C1944"/>
    <w:rsid w:val="007C1D36"/>
    <w:rsid w:val="007C2477"/>
    <w:rsid w:val="007C2BC7"/>
    <w:rsid w:val="007C31EC"/>
    <w:rsid w:val="007C33FD"/>
    <w:rsid w:val="007C3EDC"/>
    <w:rsid w:val="007C3F9B"/>
    <w:rsid w:val="007C4347"/>
    <w:rsid w:val="007C4747"/>
    <w:rsid w:val="007C4A81"/>
    <w:rsid w:val="007C4AF2"/>
    <w:rsid w:val="007C4EE2"/>
    <w:rsid w:val="007C50D4"/>
    <w:rsid w:val="007C53A8"/>
    <w:rsid w:val="007C5A9C"/>
    <w:rsid w:val="007C5B84"/>
    <w:rsid w:val="007C6E88"/>
    <w:rsid w:val="007C704F"/>
    <w:rsid w:val="007C7298"/>
    <w:rsid w:val="007C7408"/>
    <w:rsid w:val="007C7853"/>
    <w:rsid w:val="007C7B66"/>
    <w:rsid w:val="007D016A"/>
    <w:rsid w:val="007D0341"/>
    <w:rsid w:val="007D0860"/>
    <w:rsid w:val="007D0897"/>
    <w:rsid w:val="007D0A11"/>
    <w:rsid w:val="007D0C98"/>
    <w:rsid w:val="007D180B"/>
    <w:rsid w:val="007D1922"/>
    <w:rsid w:val="007D1FF9"/>
    <w:rsid w:val="007D2624"/>
    <w:rsid w:val="007D2A7F"/>
    <w:rsid w:val="007D2B38"/>
    <w:rsid w:val="007D2BE3"/>
    <w:rsid w:val="007D2C39"/>
    <w:rsid w:val="007D33E5"/>
    <w:rsid w:val="007D3406"/>
    <w:rsid w:val="007D347F"/>
    <w:rsid w:val="007D3848"/>
    <w:rsid w:val="007D3A1D"/>
    <w:rsid w:val="007D3F89"/>
    <w:rsid w:val="007D42C1"/>
    <w:rsid w:val="007D44D0"/>
    <w:rsid w:val="007D4C1B"/>
    <w:rsid w:val="007D4EB8"/>
    <w:rsid w:val="007D5A2A"/>
    <w:rsid w:val="007D6514"/>
    <w:rsid w:val="007D688E"/>
    <w:rsid w:val="007D68DC"/>
    <w:rsid w:val="007D76F3"/>
    <w:rsid w:val="007D7B8C"/>
    <w:rsid w:val="007D7E29"/>
    <w:rsid w:val="007E07CE"/>
    <w:rsid w:val="007E092E"/>
    <w:rsid w:val="007E0950"/>
    <w:rsid w:val="007E0AF6"/>
    <w:rsid w:val="007E0B0F"/>
    <w:rsid w:val="007E127B"/>
    <w:rsid w:val="007E15A5"/>
    <w:rsid w:val="007E1C8A"/>
    <w:rsid w:val="007E1CF5"/>
    <w:rsid w:val="007E1FB5"/>
    <w:rsid w:val="007E22C9"/>
    <w:rsid w:val="007E287A"/>
    <w:rsid w:val="007E4B50"/>
    <w:rsid w:val="007E4D4E"/>
    <w:rsid w:val="007E5638"/>
    <w:rsid w:val="007E5816"/>
    <w:rsid w:val="007E5957"/>
    <w:rsid w:val="007E62FC"/>
    <w:rsid w:val="007E6319"/>
    <w:rsid w:val="007E695F"/>
    <w:rsid w:val="007E6CD0"/>
    <w:rsid w:val="007E6D3A"/>
    <w:rsid w:val="007E7170"/>
    <w:rsid w:val="007E7A76"/>
    <w:rsid w:val="007E7E5A"/>
    <w:rsid w:val="007E7EBA"/>
    <w:rsid w:val="007F0502"/>
    <w:rsid w:val="007F169E"/>
    <w:rsid w:val="007F18F8"/>
    <w:rsid w:val="007F1A1F"/>
    <w:rsid w:val="007F1B54"/>
    <w:rsid w:val="007F1BD7"/>
    <w:rsid w:val="007F2162"/>
    <w:rsid w:val="007F312B"/>
    <w:rsid w:val="007F31B4"/>
    <w:rsid w:val="007F350C"/>
    <w:rsid w:val="007F37AD"/>
    <w:rsid w:val="007F3AC2"/>
    <w:rsid w:val="007F3C62"/>
    <w:rsid w:val="007F3FAA"/>
    <w:rsid w:val="007F494B"/>
    <w:rsid w:val="007F4EEF"/>
    <w:rsid w:val="007F4FC5"/>
    <w:rsid w:val="007F4FFE"/>
    <w:rsid w:val="007F520B"/>
    <w:rsid w:val="007F5339"/>
    <w:rsid w:val="007F57D4"/>
    <w:rsid w:val="007F5950"/>
    <w:rsid w:val="007F5F65"/>
    <w:rsid w:val="007F64BE"/>
    <w:rsid w:val="007F73CA"/>
    <w:rsid w:val="007F76B1"/>
    <w:rsid w:val="007F7DA5"/>
    <w:rsid w:val="0080016F"/>
    <w:rsid w:val="008002F2"/>
    <w:rsid w:val="00800859"/>
    <w:rsid w:val="008008AD"/>
    <w:rsid w:val="0080097B"/>
    <w:rsid w:val="0080156D"/>
    <w:rsid w:val="00801DCB"/>
    <w:rsid w:val="00802103"/>
    <w:rsid w:val="00802B81"/>
    <w:rsid w:val="00802C56"/>
    <w:rsid w:val="00802D08"/>
    <w:rsid w:val="008036BD"/>
    <w:rsid w:val="008043D7"/>
    <w:rsid w:val="00804534"/>
    <w:rsid w:val="0080459B"/>
    <w:rsid w:val="00804719"/>
    <w:rsid w:val="00804DCF"/>
    <w:rsid w:val="0080564F"/>
    <w:rsid w:val="00806DC3"/>
    <w:rsid w:val="00810FC2"/>
    <w:rsid w:val="008112FC"/>
    <w:rsid w:val="00811608"/>
    <w:rsid w:val="0081162D"/>
    <w:rsid w:val="00813406"/>
    <w:rsid w:val="00813AFD"/>
    <w:rsid w:val="00814022"/>
    <w:rsid w:val="008141E3"/>
    <w:rsid w:val="0081455C"/>
    <w:rsid w:val="00815474"/>
    <w:rsid w:val="0081552C"/>
    <w:rsid w:val="00815C0D"/>
    <w:rsid w:val="00815DD1"/>
    <w:rsid w:val="00815EE1"/>
    <w:rsid w:val="00816022"/>
    <w:rsid w:val="00816CC5"/>
    <w:rsid w:val="00816D6A"/>
    <w:rsid w:val="008174D6"/>
    <w:rsid w:val="00817847"/>
    <w:rsid w:val="00817858"/>
    <w:rsid w:val="008200D1"/>
    <w:rsid w:val="008201E0"/>
    <w:rsid w:val="008202E5"/>
    <w:rsid w:val="00820659"/>
    <w:rsid w:val="00820B14"/>
    <w:rsid w:val="00820B33"/>
    <w:rsid w:val="00820B83"/>
    <w:rsid w:val="00820CE2"/>
    <w:rsid w:val="008212AF"/>
    <w:rsid w:val="00821527"/>
    <w:rsid w:val="00821B2B"/>
    <w:rsid w:val="00821C2C"/>
    <w:rsid w:val="00821C93"/>
    <w:rsid w:val="0082238A"/>
    <w:rsid w:val="00822842"/>
    <w:rsid w:val="00822AB3"/>
    <w:rsid w:val="00822BF5"/>
    <w:rsid w:val="00822CD5"/>
    <w:rsid w:val="00822F48"/>
    <w:rsid w:val="00823257"/>
    <w:rsid w:val="0082357B"/>
    <w:rsid w:val="0082379E"/>
    <w:rsid w:val="008239D5"/>
    <w:rsid w:val="00823AE2"/>
    <w:rsid w:val="00823CBB"/>
    <w:rsid w:val="00824512"/>
    <w:rsid w:val="00824F43"/>
    <w:rsid w:val="0082547C"/>
    <w:rsid w:val="0082617C"/>
    <w:rsid w:val="008263F4"/>
    <w:rsid w:val="0082640E"/>
    <w:rsid w:val="0082758D"/>
    <w:rsid w:val="0082766A"/>
    <w:rsid w:val="008278AD"/>
    <w:rsid w:val="00827A15"/>
    <w:rsid w:val="00827D64"/>
    <w:rsid w:val="00830631"/>
    <w:rsid w:val="008306AB"/>
    <w:rsid w:val="00830A59"/>
    <w:rsid w:val="00830BB1"/>
    <w:rsid w:val="00830D38"/>
    <w:rsid w:val="008310C9"/>
    <w:rsid w:val="008316C0"/>
    <w:rsid w:val="00831F79"/>
    <w:rsid w:val="00832346"/>
    <w:rsid w:val="0083247A"/>
    <w:rsid w:val="00832CB7"/>
    <w:rsid w:val="00832D74"/>
    <w:rsid w:val="00833011"/>
    <w:rsid w:val="0083327D"/>
    <w:rsid w:val="00833732"/>
    <w:rsid w:val="00833F5C"/>
    <w:rsid w:val="00834F6C"/>
    <w:rsid w:val="0083517E"/>
    <w:rsid w:val="008353CC"/>
    <w:rsid w:val="00835B5F"/>
    <w:rsid w:val="0083622C"/>
    <w:rsid w:val="008364CF"/>
    <w:rsid w:val="00836A28"/>
    <w:rsid w:val="00836C28"/>
    <w:rsid w:val="00836D35"/>
    <w:rsid w:val="00836FEC"/>
    <w:rsid w:val="008370A5"/>
    <w:rsid w:val="008370DD"/>
    <w:rsid w:val="008372E4"/>
    <w:rsid w:val="008373CB"/>
    <w:rsid w:val="00837A75"/>
    <w:rsid w:val="00837D78"/>
    <w:rsid w:val="00840054"/>
    <w:rsid w:val="00840387"/>
    <w:rsid w:val="008408D7"/>
    <w:rsid w:val="00840F60"/>
    <w:rsid w:val="00841319"/>
    <w:rsid w:val="00841AD5"/>
    <w:rsid w:val="00841D68"/>
    <w:rsid w:val="00842220"/>
    <w:rsid w:val="0084388E"/>
    <w:rsid w:val="008438B2"/>
    <w:rsid w:val="00844523"/>
    <w:rsid w:val="008449CD"/>
    <w:rsid w:val="0084588C"/>
    <w:rsid w:val="00845C9F"/>
    <w:rsid w:val="00846A6C"/>
    <w:rsid w:val="00846ADE"/>
    <w:rsid w:val="00846B27"/>
    <w:rsid w:val="00846CAA"/>
    <w:rsid w:val="00846F19"/>
    <w:rsid w:val="0084770B"/>
    <w:rsid w:val="00847D2D"/>
    <w:rsid w:val="00847E22"/>
    <w:rsid w:val="0085090B"/>
    <w:rsid w:val="00850941"/>
    <w:rsid w:val="00850B0F"/>
    <w:rsid w:val="00850D83"/>
    <w:rsid w:val="008512C8"/>
    <w:rsid w:val="00851B26"/>
    <w:rsid w:val="00851C56"/>
    <w:rsid w:val="00851F4C"/>
    <w:rsid w:val="0085205E"/>
    <w:rsid w:val="008524C0"/>
    <w:rsid w:val="0085258B"/>
    <w:rsid w:val="00852659"/>
    <w:rsid w:val="00852729"/>
    <w:rsid w:val="00852821"/>
    <w:rsid w:val="00852BB9"/>
    <w:rsid w:val="00852CA1"/>
    <w:rsid w:val="0085316C"/>
    <w:rsid w:val="008534FC"/>
    <w:rsid w:val="00853D65"/>
    <w:rsid w:val="00853EA2"/>
    <w:rsid w:val="008544B3"/>
    <w:rsid w:val="0085474F"/>
    <w:rsid w:val="00854F0F"/>
    <w:rsid w:val="008556B6"/>
    <w:rsid w:val="00855D27"/>
    <w:rsid w:val="0085643A"/>
    <w:rsid w:val="008569BE"/>
    <w:rsid w:val="00856EA6"/>
    <w:rsid w:val="00856EF5"/>
    <w:rsid w:val="00857139"/>
    <w:rsid w:val="00857774"/>
    <w:rsid w:val="00857838"/>
    <w:rsid w:val="00857A90"/>
    <w:rsid w:val="00857C93"/>
    <w:rsid w:val="00857D9C"/>
    <w:rsid w:val="00860A89"/>
    <w:rsid w:val="00860EB0"/>
    <w:rsid w:val="008614D7"/>
    <w:rsid w:val="00861777"/>
    <w:rsid w:val="00861ED7"/>
    <w:rsid w:val="008620C6"/>
    <w:rsid w:val="008625B2"/>
    <w:rsid w:val="00862850"/>
    <w:rsid w:val="00862A53"/>
    <w:rsid w:val="00862CCF"/>
    <w:rsid w:val="0086301F"/>
    <w:rsid w:val="00863A67"/>
    <w:rsid w:val="00863A83"/>
    <w:rsid w:val="00863AFE"/>
    <w:rsid w:val="00863EDD"/>
    <w:rsid w:val="00864087"/>
    <w:rsid w:val="00864123"/>
    <w:rsid w:val="0086450B"/>
    <w:rsid w:val="00864779"/>
    <w:rsid w:val="008649BE"/>
    <w:rsid w:val="008656AF"/>
    <w:rsid w:val="008667EF"/>
    <w:rsid w:val="00866CAE"/>
    <w:rsid w:val="00866DFA"/>
    <w:rsid w:val="0086772D"/>
    <w:rsid w:val="008679F5"/>
    <w:rsid w:val="008702B5"/>
    <w:rsid w:val="00870693"/>
    <w:rsid w:val="00870859"/>
    <w:rsid w:val="00871243"/>
    <w:rsid w:val="00871956"/>
    <w:rsid w:val="00871BC3"/>
    <w:rsid w:val="00871D30"/>
    <w:rsid w:val="00872CE5"/>
    <w:rsid w:val="008733FC"/>
    <w:rsid w:val="008736A1"/>
    <w:rsid w:val="00873BFA"/>
    <w:rsid w:val="00874126"/>
    <w:rsid w:val="00874D40"/>
    <w:rsid w:val="00875168"/>
    <w:rsid w:val="008753E5"/>
    <w:rsid w:val="00875E0C"/>
    <w:rsid w:val="00875F2A"/>
    <w:rsid w:val="00876975"/>
    <w:rsid w:val="00876BCF"/>
    <w:rsid w:val="008773ED"/>
    <w:rsid w:val="00877D00"/>
    <w:rsid w:val="00880385"/>
    <w:rsid w:val="00880777"/>
    <w:rsid w:val="00881704"/>
    <w:rsid w:val="0088182F"/>
    <w:rsid w:val="00881D7C"/>
    <w:rsid w:val="00881EB9"/>
    <w:rsid w:val="00882568"/>
    <w:rsid w:val="0088277E"/>
    <w:rsid w:val="00882EFD"/>
    <w:rsid w:val="00882F67"/>
    <w:rsid w:val="008831EB"/>
    <w:rsid w:val="008834F5"/>
    <w:rsid w:val="008837A8"/>
    <w:rsid w:val="0088480F"/>
    <w:rsid w:val="008848A6"/>
    <w:rsid w:val="00884C3F"/>
    <w:rsid w:val="00884D7B"/>
    <w:rsid w:val="00884F95"/>
    <w:rsid w:val="00885149"/>
    <w:rsid w:val="008853EE"/>
    <w:rsid w:val="00885B8F"/>
    <w:rsid w:val="00886D7B"/>
    <w:rsid w:val="0088718C"/>
    <w:rsid w:val="00887E6D"/>
    <w:rsid w:val="00890136"/>
    <w:rsid w:val="00890FAA"/>
    <w:rsid w:val="008910BF"/>
    <w:rsid w:val="00891A00"/>
    <w:rsid w:val="00892219"/>
    <w:rsid w:val="00893C94"/>
    <w:rsid w:val="008949BF"/>
    <w:rsid w:val="00894A78"/>
    <w:rsid w:val="00894E38"/>
    <w:rsid w:val="00895148"/>
    <w:rsid w:val="0089534E"/>
    <w:rsid w:val="0089573C"/>
    <w:rsid w:val="00895747"/>
    <w:rsid w:val="00895A32"/>
    <w:rsid w:val="0089676C"/>
    <w:rsid w:val="00896DF6"/>
    <w:rsid w:val="00897700"/>
    <w:rsid w:val="00897739"/>
    <w:rsid w:val="008977A2"/>
    <w:rsid w:val="00897855"/>
    <w:rsid w:val="008A071C"/>
    <w:rsid w:val="008A0E57"/>
    <w:rsid w:val="008A0F14"/>
    <w:rsid w:val="008A194A"/>
    <w:rsid w:val="008A1954"/>
    <w:rsid w:val="008A1BCD"/>
    <w:rsid w:val="008A1DE3"/>
    <w:rsid w:val="008A1EF2"/>
    <w:rsid w:val="008A20F9"/>
    <w:rsid w:val="008A2607"/>
    <w:rsid w:val="008A31B9"/>
    <w:rsid w:val="008A3D3A"/>
    <w:rsid w:val="008A41FF"/>
    <w:rsid w:val="008A47DC"/>
    <w:rsid w:val="008A4B6B"/>
    <w:rsid w:val="008A4D5E"/>
    <w:rsid w:val="008A50B1"/>
    <w:rsid w:val="008A51C9"/>
    <w:rsid w:val="008A5484"/>
    <w:rsid w:val="008A57E4"/>
    <w:rsid w:val="008A5CAE"/>
    <w:rsid w:val="008A63B1"/>
    <w:rsid w:val="008A6678"/>
    <w:rsid w:val="008A6B48"/>
    <w:rsid w:val="008A6CF5"/>
    <w:rsid w:val="008A6E0C"/>
    <w:rsid w:val="008A7B6C"/>
    <w:rsid w:val="008A7BE2"/>
    <w:rsid w:val="008A7D05"/>
    <w:rsid w:val="008A7DFA"/>
    <w:rsid w:val="008A7EA8"/>
    <w:rsid w:val="008B08CC"/>
    <w:rsid w:val="008B0958"/>
    <w:rsid w:val="008B0BE9"/>
    <w:rsid w:val="008B104E"/>
    <w:rsid w:val="008B1188"/>
    <w:rsid w:val="008B1F56"/>
    <w:rsid w:val="008B229D"/>
    <w:rsid w:val="008B2497"/>
    <w:rsid w:val="008B340E"/>
    <w:rsid w:val="008B3589"/>
    <w:rsid w:val="008B3696"/>
    <w:rsid w:val="008B3768"/>
    <w:rsid w:val="008B380F"/>
    <w:rsid w:val="008B3838"/>
    <w:rsid w:val="008B3B14"/>
    <w:rsid w:val="008B3EBD"/>
    <w:rsid w:val="008B3ED7"/>
    <w:rsid w:val="008B433E"/>
    <w:rsid w:val="008B490B"/>
    <w:rsid w:val="008B4E04"/>
    <w:rsid w:val="008B4E70"/>
    <w:rsid w:val="008B53C6"/>
    <w:rsid w:val="008B5B74"/>
    <w:rsid w:val="008B5D15"/>
    <w:rsid w:val="008B5E40"/>
    <w:rsid w:val="008B605A"/>
    <w:rsid w:val="008B62ED"/>
    <w:rsid w:val="008B6BA8"/>
    <w:rsid w:val="008B6C16"/>
    <w:rsid w:val="008B7105"/>
    <w:rsid w:val="008B75EB"/>
    <w:rsid w:val="008B78F6"/>
    <w:rsid w:val="008B7A86"/>
    <w:rsid w:val="008C02E3"/>
    <w:rsid w:val="008C0404"/>
    <w:rsid w:val="008C066B"/>
    <w:rsid w:val="008C0979"/>
    <w:rsid w:val="008C1104"/>
    <w:rsid w:val="008C1674"/>
    <w:rsid w:val="008C16C1"/>
    <w:rsid w:val="008C1748"/>
    <w:rsid w:val="008C1833"/>
    <w:rsid w:val="008C20C5"/>
    <w:rsid w:val="008C2454"/>
    <w:rsid w:val="008C292D"/>
    <w:rsid w:val="008C2CD8"/>
    <w:rsid w:val="008C2F56"/>
    <w:rsid w:val="008C30C9"/>
    <w:rsid w:val="008C3224"/>
    <w:rsid w:val="008C322A"/>
    <w:rsid w:val="008C361D"/>
    <w:rsid w:val="008C3635"/>
    <w:rsid w:val="008C3D8D"/>
    <w:rsid w:val="008C4186"/>
    <w:rsid w:val="008C4A55"/>
    <w:rsid w:val="008C507D"/>
    <w:rsid w:val="008C50B2"/>
    <w:rsid w:val="008C5345"/>
    <w:rsid w:val="008C5795"/>
    <w:rsid w:val="008C5810"/>
    <w:rsid w:val="008C5B21"/>
    <w:rsid w:val="008C6B3D"/>
    <w:rsid w:val="008C6D4F"/>
    <w:rsid w:val="008C6DB9"/>
    <w:rsid w:val="008C7247"/>
    <w:rsid w:val="008C7D99"/>
    <w:rsid w:val="008D060E"/>
    <w:rsid w:val="008D0720"/>
    <w:rsid w:val="008D10CC"/>
    <w:rsid w:val="008D17C7"/>
    <w:rsid w:val="008D19EC"/>
    <w:rsid w:val="008D1BFA"/>
    <w:rsid w:val="008D1E7B"/>
    <w:rsid w:val="008D1F79"/>
    <w:rsid w:val="008D222C"/>
    <w:rsid w:val="008D2355"/>
    <w:rsid w:val="008D2D38"/>
    <w:rsid w:val="008D3CB8"/>
    <w:rsid w:val="008D3CC6"/>
    <w:rsid w:val="008D3F00"/>
    <w:rsid w:val="008D4398"/>
    <w:rsid w:val="008D47BC"/>
    <w:rsid w:val="008D4B12"/>
    <w:rsid w:val="008D4D3E"/>
    <w:rsid w:val="008D518E"/>
    <w:rsid w:val="008D52A6"/>
    <w:rsid w:val="008D5395"/>
    <w:rsid w:val="008D580A"/>
    <w:rsid w:val="008D5C3F"/>
    <w:rsid w:val="008D5CBC"/>
    <w:rsid w:val="008D5D0D"/>
    <w:rsid w:val="008D5D7E"/>
    <w:rsid w:val="008D60B0"/>
    <w:rsid w:val="008D60DC"/>
    <w:rsid w:val="008D63FA"/>
    <w:rsid w:val="008D6DBF"/>
    <w:rsid w:val="008D7731"/>
    <w:rsid w:val="008D79D3"/>
    <w:rsid w:val="008D7C88"/>
    <w:rsid w:val="008D7D7A"/>
    <w:rsid w:val="008D7E17"/>
    <w:rsid w:val="008E02F4"/>
    <w:rsid w:val="008E1585"/>
    <w:rsid w:val="008E17F3"/>
    <w:rsid w:val="008E1BBD"/>
    <w:rsid w:val="008E1E9C"/>
    <w:rsid w:val="008E2211"/>
    <w:rsid w:val="008E264F"/>
    <w:rsid w:val="008E276C"/>
    <w:rsid w:val="008E3337"/>
    <w:rsid w:val="008E37FD"/>
    <w:rsid w:val="008E39E8"/>
    <w:rsid w:val="008E3B52"/>
    <w:rsid w:val="008E3C3B"/>
    <w:rsid w:val="008E49D8"/>
    <w:rsid w:val="008E4C7B"/>
    <w:rsid w:val="008E4D9B"/>
    <w:rsid w:val="008E5D48"/>
    <w:rsid w:val="008E5DE1"/>
    <w:rsid w:val="008E65C3"/>
    <w:rsid w:val="008E6989"/>
    <w:rsid w:val="008E6B53"/>
    <w:rsid w:val="008E6EDA"/>
    <w:rsid w:val="008E6FBA"/>
    <w:rsid w:val="008E70E5"/>
    <w:rsid w:val="008E732F"/>
    <w:rsid w:val="008E765F"/>
    <w:rsid w:val="008E76BD"/>
    <w:rsid w:val="008E7A58"/>
    <w:rsid w:val="008F013F"/>
    <w:rsid w:val="008F01C3"/>
    <w:rsid w:val="008F024F"/>
    <w:rsid w:val="008F064A"/>
    <w:rsid w:val="008F072E"/>
    <w:rsid w:val="008F0871"/>
    <w:rsid w:val="008F10B1"/>
    <w:rsid w:val="008F1158"/>
    <w:rsid w:val="008F16F8"/>
    <w:rsid w:val="008F1ACB"/>
    <w:rsid w:val="008F2580"/>
    <w:rsid w:val="008F3B99"/>
    <w:rsid w:val="008F4331"/>
    <w:rsid w:val="008F4806"/>
    <w:rsid w:val="008F59A7"/>
    <w:rsid w:val="008F5EF3"/>
    <w:rsid w:val="008F6653"/>
    <w:rsid w:val="008F7257"/>
    <w:rsid w:val="008F7A1A"/>
    <w:rsid w:val="008F7D5D"/>
    <w:rsid w:val="008F7F7D"/>
    <w:rsid w:val="008F7FF9"/>
    <w:rsid w:val="0090008A"/>
    <w:rsid w:val="009000D8"/>
    <w:rsid w:val="0090068B"/>
    <w:rsid w:val="009017DB"/>
    <w:rsid w:val="00901B9A"/>
    <w:rsid w:val="009020A2"/>
    <w:rsid w:val="00902B62"/>
    <w:rsid w:val="00902F77"/>
    <w:rsid w:val="0090344D"/>
    <w:rsid w:val="009038C4"/>
    <w:rsid w:val="00903B40"/>
    <w:rsid w:val="00903C59"/>
    <w:rsid w:val="00903CCD"/>
    <w:rsid w:val="00903E5B"/>
    <w:rsid w:val="0090432A"/>
    <w:rsid w:val="00904893"/>
    <w:rsid w:val="00905013"/>
    <w:rsid w:val="0090515F"/>
    <w:rsid w:val="00905EEC"/>
    <w:rsid w:val="0090611D"/>
    <w:rsid w:val="00906180"/>
    <w:rsid w:val="00907A4C"/>
    <w:rsid w:val="00907A76"/>
    <w:rsid w:val="00907B99"/>
    <w:rsid w:val="00910357"/>
    <w:rsid w:val="0091129B"/>
    <w:rsid w:val="00911456"/>
    <w:rsid w:val="009114D9"/>
    <w:rsid w:val="009114EE"/>
    <w:rsid w:val="009127E3"/>
    <w:rsid w:val="0091280A"/>
    <w:rsid w:val="0091310C"/>
    <w:rsid w:val="009137B0"/>
    <w:rsid w:val="009138E6"/>
    <w:rsid w:val="00913930"/>
    <w:rsid w:val="00913AEF"/>
    <w:rsid w:val="00914214"/>
    <w:rsid w:val="009142A1"/>
    <w:rsid w:val="009143F6"/>
    <w:rsid w:val="00914618"/>
    <w:rsid w:val="00914BA6"/>
    <w:rsid w:val="00914C5D"/>
    <w:rsid w:val="00914E93"/>
    <w:rsid w:val="00915D2A"/>
    <w:rsid w:val="00915E75"/>
    <w:rsid w:val="00915EDB"/>
    <w:rsid w:val="0091618F"/>
    <w:rsid w:val="009164E8"/>
    <w:rsid w:val="00916FDC"/>
    <w:rsid w:val="00917338"/>
    <w:rsid w:val="009177C2"/>
    <w:rsid w:val="00920852"/>
    <w:rsid w:val="00920EA2"/>
    <w:rsid w:val="009215A6"/>
    <w:rsid w:val="00921797"/>
    <w:rsid w:val="00921C1D"/>
    <w:rsid w:val="00921F42"/>
    <w:rsid w:val="0092238B"/>
    <w:rsid w:val="0092254D"/>
    <w:rsid w:val="00922D21"/>
    <w:rsid w:val="00922E21"/>
    <w:rsid w:val="00923A5C"/>
    <w:rsid w:val="00924F02"/>
    <w:rsid w:val="00925BCB"/>
    <w:rsid w:val="0092648B"/>
    <w:rsid w:val="00926EC7"/>
    <w:rsid w:val="00927153"/>
    <w:rsid w:val="009275A5"/>
    <w:rsid w:val="00927973"/>
    <w:rsid w:val="00927DB1"/>
    <w:rsid w:val="00927DB4"/>
    <w:rsid w:val="00927E95"/>
    <w:rsid w:val="00927EFD"/>
    <w:rsid w:val="00931442"/>
    <w:rsid w:val="00931535"/>
    <w:rsid w:val="009319F3"/>
    <w:rsid w:val="00931B33"/>
    <w:rsid w:val="00931D15"/>
    <w:rsid w:val="00931DBF"/>
    <w:rsid w:val="0093279C"/>
    <w:rsid w:val="00932958"/>
    <w:rsid w:val="00932970"/>
    <w:rsid w:val="00932973"/>
    <w:rsid w:val="00932BEB"/>
    <w:rsid w:val="0093332C"/>
    <w:rsid w:val="00933528"/>
    <w:rsid w:val="0093357A"/>
    <w:rsid w:val="00933A9F"/>
    <w:rsid w:val="009341F9"/>
    <w:rsid w:val="00934302"/>
    <w:rsid w:val="00934DFC"/>
    <w:rsid w:val="00934F64"/>
    <w:rsid w:val="00935870"/>
    <w:rsid w:val="009362E0"/>
    <w:rsid w:val="0093638F"/>
    <w:rsid w:val="00936A86"/>
    <w:rsid w:val="00936D21"/>
    <w:rsid w:val="0093722E"/>
    <w:rsid w:val="0093743D"/>
    <w:rsid w:val="00937D83"/>
    <w:rsid w:val="0094054E"/>
    <w:rsid w:val="009409BA"/>
    <w:rsid w:val="00940FC5"/>
    <w:rsid w:val="0094135D"/>
    <w:rsid w:val="009416EB"/>
    <w:rsid w:val="009417F5"/>
    <w:rsid w:val="0094192A"/>
    <w:rsid w:val="00941AD9"/>
    <w:rsid w:val="009421A1"/>
    <w:rsid w:val="009428A8"/>
    <w:rsid w:val="00942AA0"/>
    <w:rsid w:val="00942B08"/>
    <w:rsid w:val="00942B4C"/>
    <w:rsid w:val="00942D40"/>
    <w:rsid w:val="00942DC6"/>
    <w:rsid w:val="0094330A"/>
    <w:rsid w:val="0094545E"/>
    <w:rsid w:val="009456E6"/>
    <w:rsid w:val="009457DF"/>
    <w:rsid w:val="00945DF9"/>
    <w:rsid w:val="009468EB"/>
    <w:rsid w:val="00946BF0"/>
    <w:rsid w:val="009472B8"/>
    <w:rsid w:val="009472CD"/>
    <w:rsid w:val="009475B8"/>
    <w:rsid w:val="009479D2"/>
    <w:rsid w:val="00947E95"/>
    <w:rsid w:val="00950598"/>
    <w:rsid w:val="0095076C"/>
    <w:rsid w:val="00950A3F"/>
    <w:rsid w:val="00950CF9"/>
    <w:rsid w:val="009513F2"/>
    <w:rsid w:val="009517CD"/>
    <w:rsid w:val="0095196F"/>
    <w:rsid w:val="00951DFD"/>
    <w:rsid w:val="00951FBE"/>
    <w:rsid w:val="00952669"/>
    <w:rsid w:val="00952C1B"/>
    <w:rsid w:val="0095322F"/>
    <w:rsid w:val="009537E5"/>
    <w:rsid w:val="00953CCD"/>
    <w:rsid w:val="009544E9"/>
    <w:rsid w:val="00954CFC"/>
    <w:rsid w:val="0095517F"/>
    <w:rsid w:val="00955C32"/>
    <w:rsid w:val="00955E86"/>
    <w:rsid w:val="0095654B"/>
    <w:rsid w:val="00956B7C"/>
    <w:rsid w:val="00956B8B"/>
    <w:rsid w:val="009572FD"/>
    <w:rsid w:val="00957422"/>
    <w:rsid w:val="00957A61"/>
    <w:rsid w:val="00957D23"/>
    <w:rsid w:val="0096011E"/>
    <w:rsid w:val="009602D3"/>
    <w:rsid w:val="00960788"/>
    <w:rsid w:val="00960AAE"/>
    <w:rsid w:val="00960F3A"/>
    <w:rsid w:val="009615E2"/>
    <w:rsid w:val="00961985"/>
    <w:rsid w:val="00961D30"/>
    <w:rsid w:val="00961F47"/>
    <w:rsid w:val="009623B6"/>
    <w:rsid w:val="00962873"/>
    <w:rsid w:val="00962935"/>
    <w:rsid w:val="00962A3B"/>
    <w:rsid w:val="00962D19"/>
    <w:rsid w:val="00962FBC"/>
    <w:rsid w:val="00962FC7"/>
    <w:rsid w:val="00964135"/>
    <w:rsid w:val="009642DE"/>
    <w:rsid w:val="0096466D"/>
    <w:rsid w:val="00965233"/>
    <w:rsid w:val="00965329"/>
    <w:rsid w:val="0096567F"/>
    <w:rsid w:val="00965A62"/>
    <w:rsid w:val="00966270"/>
    <w:rsid w:val="00967438"/>
    <w:rsid w:val="00970687"/>
    <w:rsid w:val="0097094E"/>
    <w:rsid w:val="00971275"/>
    <w:rsid w:val="009717E8"/>
    <w:rsid w:val="00971F08"/>
    <w:rsid w:val="00971FB0"/>
    <w:rsid w:val="00972223"/>
    <w:rsid w:val="00972293"/>
    <w:rsid w:val="00972A20"/>
    <w:rsid w:val="00972DE0"/>
    <w:rsid w:val="00973006"/>
    <w:rsid w:val="00973783"/>
    <w:rsid w:val="009738F1"/>
    <w:rsid w:val="00973CA7"/>
    <w:rsid w:val="00973FA7"/>
    <w:rsid w:val="009741F4"/>
    <w:rsid w:val="009742CD"/>
    <w:rsid w:val="00974334"/>
    <w:rsid w:val="0097438E"/>
    <w:rsid w:val="009743FC"/>
    <w:rsid w:val="009744C5"/>
    <w:rsid w:val="00974882"/>
    <w:rsid w:val="00974C5A"/>
    <w:rsid w:val="00974E01"/>
    <w:rsid w:val="0097564E"/>
    <w:rsid w:val="00975712"/>
    <w:rsid w:val="009761B7"/>
    <w:rsid w:val="00976404"/>
    <w:rsid w:val="009769EC"/>
    <w:rsid w:val="00976FCE"/>
    <w:rsid w:val="00977F9A"/>
    <w:rsid w:val="0098045B"/>
    <w:rsid w:val="009806B4"/>
    <w:rsid w:val="00980A15"/>
    <w:rsid w:val="00980D61"/>
    <w:rsid w:val="00980DE9"/>
    <w:rsid w:val="00980E85"/>
    <w:rsid w:val="00980F30"/>
    <w:rsid w:val="0098140D"/>
    <w:rsid w:val="00981593"/>
    <w:rsid w:val="0098179B"/>
    <w:rsid w:val="00981941"/>
    <w:rsid w:val="00981B43"/>
    <w:rsid w:val="00981EB7"/>
    <w:rsid w:val="00981F55"/>
    <w:rsid w:val="009820D1"/>
    <w:rsid w:val="00982DB1"/>
    <w:rsid w:val="00982F11"/>
    <w:rsid w:val="0098303B"/>
    <w:rsid w:val="00983CB9"/>
    <w:rsid w:val="009840F9"/>
    <w:rsid w:val="009846E0"/>
    <w:rsid w:val="00985005"/>
    <w:rsid w:val="009855E4"/>
    <w:rsid w:val="00985831"/>
    <w:rsid w:val="00985AA0"/>
    <w:rsid w:val="00985BD5"/>
    <w:rsid w:val="00985E93"/>
    <w:rsid w:val="00985FA5"/>
    <w:rsid w:val="00986259"/>
    <w:rsid w:val="009863E0"/>
    <w:rsid w:val="00986682"/>
    <w:rsid w:val="00986D36"/>
    <w:rsid w:val="0098776A"/>
    <w:rsid w:val="00990552"/>
    <w:rsid w:val="009906B8"/>
    <w:rsid w:val="00990A16"/>
    <w:rsid w:val="00991DB5"/>
    <w:rsid w:val="00992190"/>
    <w:rsid w:val="00992A8B"/>
    <w:rsid w:val="00992C3C"/>
    <w:rsid w:val="00993A59"/>
    <w:rsid w:val="00993A5C"/>
    <w:rsid w:val="00993BD1"/>
    <w:rsid w:val="00993E0A"/>
    <w:rsid w:val="0099412B"/>
    <w:rsid w:val="0099432E"/>
    <w:rsid w:val="0099470E"/>
    <w:rsid w:val="009947D3"/>
    <w:rsid w:val="009948A8"/>
    <w:rsid w:val="0099538D"/>
    <w:rsid w:val="00995577"/>
    <w:rsid w:val="0099561D"/>
    <w:rsid w:val="009957A6"/>
    <w:rsid w:val="0099616F"/>
    <w:rsid w:val="00996757"/>
    <w:rsid w:val="00996A19"/>
    <w:rsid w:val="0099708D"/>
    <w:rsid w:val="0099711E"/>
    <w:rsid w:val="0099720C"/>
    <w:rsid w:val="00997521"/>
    <w:rsid w:val="00997E5C"/>
    <w:rsid w:val="009A0359"/>
    <w:rsid w:val="009A0688"/>
    <w:rsid w:val="009A0897"/>
    <w:rsid w:val="009A0D7E"/>
    <w:rsid w:val="009A1181"/>
    <w:rsid w:val="009A1186"/>
    <w:rsid w:val="009A17A6"/>
    <w:rsid w:val="009A1DB6"/>
    <w:rsid w:val="009A32E3"/>
    <w:rsid w:val="009A36B9"/>
    <w:rsid w:val="009A37C1"/>
    <w:rsid w:val="009A3F2D"/>
    <w:rsid w:val="009A4069"/>
    <w:rsid w:val="009A549A"/>
    <w:rsid w:val="009A6DC1"/>
    <w:rsid w:val="009A6F04"/>
    <w:rsid w:val="009A75DC"/>
    <w:rsid w:val="009A787D"/>
    <w:rsid w:val="009A792A"/>
    <w:rsid w:val="009A7D01"/>
    <w:rsid w:val="009B0329"/>
    <w:rsid w:val="009B0E2B"/>
    <w:rsid w:val="009B11E9"/>
    <w:rsid w:val="009B13DC"/>
    <w:rsid w:val="009B15FC"/>
    <w:rsid w:val="009B1842"/>
    <w:rsid w:val="009B1854"/>
    <w:rsid w:val="009B1A2B"/>
    <w:rsid w:val="009B20F6"/>
    <w:rsid w:val="009B2C84"/>
    <w:rsid w:val="009B3342"/>
    <w:rsid w:val="009B39FB"/>
    <w:rsid w:val="009B3EF5"/>
    <w:rsid w:val="009B408C"/>
    <w:rsid w:val="009B43E1"/>
    <w:rsid w:val="009B4DD1"/>
    <w:rsid w:val="009B5088"/>
    <w:rsid w:val="009B54C1"/>
    <w:rsid w:val="009B60B7"/>
    <w:rsid w:val="009B638C"/>
    <w:rsid w:val="009B67CE"/>
    <w:rsid w:val="009B73EE"/>
    <w:rsid w:val="009B76DF"/>
    <w:rsid w:val="009C0F1B"/>
    <w:rsid w:val="009C111B"/>
    <w:rsid w:val="009C1A58"/>
    <w:rsid w:val="009C2BD0"/>
    <w:rsid w:val="009C2BDA"/>
    <w:rsid w:val="009C30B9"/>
    <w:rsid w:val="009C319B"/>
    <w:rsid w:val="009C3C9C"/>
    <w:rsid w:val="009C3CC5"/>
    <w:rsid w:val="009C4027"/>
    <w:rsid w:val="009C430F"/>
    <w:rsid w:val="009C45D9"/>
    <w:rsid w:val="009C4654"/>
    <w:rsid w:val="009C4EBA"/>
    <w:rsid w:val="009C5248"/>
    <w:rsid w:val="009C58F3"/>
    <w:rsid w:val="009C5A6A"/>
    <w:rsid w:val="009C5B7D"/>
    <w:rsid w:val="009C5EC6"/>
    <w:rsid w:val="009C6124"/>
    <w:rsid w:val="009C6D12"/>
    <w:rsid w:val="009C7AE7"/>
    <w:rsid w:val="009C7DF5"/>
    <w:rsid w:val="009C7E0D"/>
    <w:rsid w:val="009C7EA7"/>
    <w:rsid w:val="009D0063"/>
    <w:rsid w:val="009D08BE"/>
    <w:rsid w:val="009D0A0E"/>
    <w:rsid w:val="009D1593"/>
    <w:rsid w:val="009D17FE"/>
    <w:rsid w:val="009D1B42"/>
    <w:rsid w:val="009D1D0E"/>
    <w:rsid w:val="009D1F7F"/>
    <w:rsid w:val="009D2331"/>
    <w:rsid w:val="009D2528"/>
    <w:rsid w:val="009D2B1A"/>
    <w:rsid w:val="009D2E5D"/>
    <w:rsid w:val="009D3A84"/>
    <w:rsid w:val="009D3F18"/>
    <w:rsid w:val="009D407C"/>
    <w:rsid w:val="009D4376"/>
    <w:rsid w:val="009D43C1"/>
    <w:rsid w:val="009D46F8"/>
    <w:rsid w:val="009D4B96"/>
    <w:rsid w:val="009D4F2F"/>
    <w:rsid w:val="009D6053"/>
    <w:rsid w:val="009D68FD"/>
    <w:rsid w:val="009D6A33"/>
    <w:rsid w:val="009D6F41"/>
    <w:rsid w:val="009D70F8"/>
    <w:rsid w:val="009D754D"/>
    <w:rsid w:val="009D78F0"/>
    <w:rsid w:val="009D7AB8"/>
    <w:rsid w:val="009D7B03"/>
    <w:rsid w:val="009D7BC0"/>
    <w:rsid w:val="009E004C"/>
    <w:rsid w:val="009E02F3"/>
    <w:rsid w:val="009E0AEF"/>
    <w:rsid w:val="009E0D9F"/>
    <w:rsid w:val="009E1771"/>
    <w:rsid w:val="009E231B"/>
    <w:rsid w:val="009E26EF"/>
    <w:rsid w:val="009E27B7"/>
    <w:rsid w:val="009E339D"/>
    <w:rsid w:val="009E352F"/>
    <w:rsid w:val="009E38BF"/>
    <w:rsid w:val="009E38FF"/>
    <w:rsid w:val="009E3A58"/>
    <w:rsid w:val="009E3A90"/>
    <w:rsid w:val="009E4103"/>
    <w:rsid w:val="009E4563"/>
    <w:rsid w:val="009E47AC"/>
    <w:rsid w:val="009E4F66"/>
    <w:rsid w:val="009E518F"/>
    <w:rsid w:val="009E58EA"/>
    <w:rsid w:val="009E606F"/>
    <w:rsid w:val="009E60F3"/>
    <w:rsid w:val="009E6435"/>
    <w:rsid w:val="009E6B51"/>
    <w:rsid w:val="009E739A"/>
    <w:rsid w:val="009E796C"/>
    <w:rsid w:val="009E7A58"/>
    <w:rsid w:val="009E7FB9"/>
    <w:rsid w:val="009F0400"/>
    <w:rsid w:val="009F1737"/>
    <w:rsid w:val="009F1A28"/>
    <w:rsid w:val="009F2B46"/>
    <w:rsid w:val="009F2FCA"/>
    <w:rsid w:val="009F32A6"/>
    <w:rsid w:val="009F3961"/>
    <w:rsid w:val="009F4162"/>
    <w:rsid w:val="009F43E7"/>
    <w:rsid w:val="009F457C"/>
    <w:rsid w:val="009F464C"/>
    <w:rsid w:val="009F4E1E"/>
    <w:rsid w:val="009F4F4B"/>
    <w:rsid w:val="009F5666"/>
    <w:rsid w:val="009F59CE"/>
    <w:rsid w:val="009F63F5"/>
    <w:rsid w:val="009F648D"/>
    <w:rsid w:val="009F7B5D"/>
    <w:rsid w:val="00A00263"/>
    <w:rsid w:val="00A00505"/>
    <w:rsid w:val="00A006E9"/>
    <w:rsid w:val="00A00E98"/>
    <w:rsid w:val="00A013EC"/>
    <w:rsid w:val="00A015CF"/>
    <w:rsid w:val="00A0184C"/>
    <w:rsid w:val="00A02025"/>
    <w:rsid w:val="00A02455"/>
    <w:rsid w:val="00A02481"/>
    <w:rsid w:val="00A026B7"/>
    <w:rsid w:val="00A026E6"/>
    <w:rsid w:val="00A02B1C"/>
    <w:rsid w:val="00A02C06"/>
    <w:rsid w:val="00A02F66"/>
    <w:rsid w:val="00A02F8F"/>
    <w:rsid w:val="00A02FF9"/>
    <w:rsid w:val="00A03514"/>
    <w:rsid w:val="00A0351D"/>
    <w:rsid w:val="00A03520"/>
    <w:rsid w:val="00A0368F"/>
    <w:rsid w:val="00A03957"/>
    <w:rsid w:val="00A03C8E"/>
    <w:rsid w:val="00A0454D"/>
    <w:rsid w:val="00A04B36"/>
    <w:rsid w:val="00A051D2"/>
    <w:rsid w:val="00A063F8"/>
    <w:rsid w:val="00A06AEE"/>
    <w:rsid w:val="00A0718F"/>
    <w:rsid w:val="00A074D1"/>
    <w:rsid w:val="00A07A23"/>
    <w:rsid w:val="00A102E3"/>
    <w:rsid w:val="00A10C85"/>
    <w:rsid w:val="00A11154"/>
    <w:rsid w:val="00A113EB"/>
    <w:rsid w:val="00A114AE"/>
    <w:rsid w:val="00A115D6"/>
    <w:rsid w:val="00A118FD"/>
    <w:rsid w:val="00A11970"/>
    <w:rsid w:val="00A12487"/>
    <w:rsid w:val="00A125BE"/>
    <w:rsid w:val="00A12C15"/>
    <w:rsid w:val="00A1300A"/>
    <w:rsid w:val="00A13997"/>
    <w:rsid w:val="00A14398"/>
    <w:rsid w:val="00A14689"/>
    <w:rsid w:val="00A14962"/>
    <w:rsid w:val="00A14AB4"/>
    <w:rsid w:val="00A14C93"/>
    <w:rsid w:val="00A151E7"/>
    <w:rsid w:val="00A15C89"/>
    <w:rsid w:val="00A15E31"/>
    <w:rsid w:val="00A160D3"/>
    <w:rsid w:val="00A16D6E"/>
    <w:rsid w:val="00A16F12"/>
    <w:rsid w:val="00A17466"/>
    <w:rsid w:val="00A20471"/>
    <w:rsid w:val="00A20DEF"/>
    <w:rsid w:val="00A20EF4"/>
    <w:rsid w:val="00A212BF"/>
    <w:rsid w:val="00A2136B"/>
    <w:rsid w:val="00A2155E"/>
    <w:rsid w:val="00A21CEA"/>
    <w:rsid w:val="00A22329"/>
    <w:rsid w:val="00A22756"/>
    <w:rsid w:val="00A228EB"/>
    <w:rsid w:val="00A234D6"/>
    <w:rsid w:val="00A23884"/>
    <w:rsid w:val="00A23B83"/>
    <w:rsid w:val="00A23F8E"/>
    <w:rsid w:val="00A244CA"/>
    <w:rsid w:val="00A24D55"/>
    <w:rsid w:val="00A24E0A"/>
    <w:rsid w:val="00A250D0"/>
    <w:rsid w:val="00A25444"/>
    <w:rsid w:val="00A25471"/>
    <w:rsid w:val="00A25D90"/>
    <w:rsid w:val="00A261C1"/>
    <w:rsid w:val="00A262B2"/>
    <w:rsid w:val="00A269D8"/>
    <w:rsid w:val="00A26FDB"/>
    <w:rsid w:val="00A27309"/>
    <w:rsid w:val="00A273C0"/>
    <w:rsid w:val="00A2767A"/>
    <w:rsid w:val="00A276D2"/>
    <w:rsid w:val="00A27C4C"/>
    <w:rsid w:val="00A27EDA"/>
    <w:rsid w:val="00A30556"/>
    <w:rsid w:val="00A30FE4"/>
    <w:rsid w:val="00A319A8"/>
    <w:rsid w:val="00A31CBB"/>
    <w:rsid w:val="00A31E34"/>
    <w:rsid w:val="00A3253F"/>
    <w:rsid w:val="00A32832"/>
    <w:rsid w:val="00A3360B"/>
    <w:rsid w:val="00A33F88"/>
    <w:rsid w:val="00A340D0"/>
    <w:rsid w:val="00A3437F"/>
    <w:rsid w:val="00A349A5"/>
    <w:rsid w:val="00A35397"/>
    <w:rsid w:val="00A36074"/>
    <w:rsid w:val="00A360E1"/>
    <w:rsid w:val="00A366F9"/>
    <w:rsid w:val="00A36E7C"/>
    <w:rsid w:val="00A37078"/>
    <w:rsid w:val="00A374B8"/>
    <w:rsid w:val="00A375AC"/>
    <w:rsid w:val="00A375F6"/>
    <w:rsid w:val="00A37813"/>
    <w:rsid w:val="00A37931"/>
    <w:rsid w:val="00A37A08"/>
    <w:rsid w:val="00A37E65"/>
    <w:rsid w:val="00A407C2"/>
    <w:rsid w:val="00A40A71"/>
    <w:rsid w:val="00A41760"/>
    <w:rsid w:val="00A41D51"/>
    <w:rsid w:val="00A41EE6"/>
    <w:rsid w:val="00A4232B"/>
    <w:rsid w:val="00A423AC"/>
    <w:rsid w:val="00A433EB"/>
    <w:rsid w:val="00A4347E"/>
    <w:rsid w:val="00A439C4"/>
    <w:rsid w:val="00A44749"/>
    <w:rsid w:val="00A449B8"/>
    <w:rsid w:val="00A451C4"/>
    <w:rsid w:val="00A453B9"/>
    <w:rsid w:val="00A4542E"/>
    <w:rsid w:val="00A4598D"/>
    <w:rsid w:val="00A45B2D"/>
    <w:rsid w:val="00A45BEC"/>
    <w:rsid w:val="00A45D51"/>
    <w:rsid w:val="00A464F5"/>
    <w:rsid w:val="00A466E5"/>
    <w:rsid w:val="00A46DC8"/>
    <w:rsid w:val="00A471EF"/>
    <w:rsid w:val="00A473A6"/>
    <w:rsid w:val="00A475AF"/>
    <w:rsid w:val="00A47E3E"/>
    <w:rsid w:val="00A50830"/>
    <w:rsid w:val="00A50C95"/>
    <w:rsid w:val="00A50ECC"/>
    <w:rsid w:val="00A50F78"/>
    <w:rsid w:val="00A51012"/>
    <w:rsid w:val="00A5136F"/>
    <w:rsid w:val="00A515D4"/>
    <w:rsid w:val="00A51A9D"/>
    <w:rsid w:val="00A51D3C"/>
    <w:rsid w:val="00A52364"/>
    <w:rsid w:val="00A524C2"/>
    <w:rsid w:val="00A524DF"/>
    <w:rsid w:val="00A53FD2"/>
    <w:rsid w:val="00A53FDB"/>
    <w:rsid w:val="00A542D7"/>
    <w:rsid w:val="00A54687"/>
    <w:rsid w:val="00A5474B"/>
    <w:rsid w:val="00A555B0"/>
    <w:rsid w:val="00A55638"/>
    <w:rsid w:val="00A55995"/>
    <w:rsid w:val="00A55C48"/>
    <w:rsid w:val="00A55C9B"/>
    <w:rsid w:val="00A56190"/>
    <w:rsid w:val="00A56E8A"/>
    <w:rsid w:val="00A5740A"/>
    <w:rsid w:val="00A577F8"/>
    <w:rsid w:val="00A57CDF"/>
    <w:rsid w:val="00A607FD"/>
    <w:rsid w:val="00A609FD"/>
    <w:rsid w:val="00A60CAD"/>
    <w:rsid w:val="00A60EDF"/>
    <w:rsid w:val="00A61206"/>
    <w:rsid w:val="00A61348"/>
    <w:rsid w:val="00A618AF"/>
    <w:rsid w:val="00A61C1B"/>
    <w:rsid w:val="00A621E2"/>
    <w:rsid w:val="00A6304B"/>
    <w:rsid w:val="00A633FC"/>
    <w:rsid w:val="00A63651"/>
    <w:rsid w:val="00A6367C"/>
    <w:rsid w:val="00A638F1"/>
    <w:rsid w:val="00A63C92"/>
    <w:rsid w:val="00A64005"/>
    <w:rsid w:val="00A6426E"/>
    <w:rsid w:val="00A64733"/>
    <w:rsid w:val="00A64748"/>
    <w:rsid w:val="00A64DC2"/>
    <w:rsid w:val="00A64DD0"/>
    <w:rsid w:val="00A650E5"/>
    <w:rsid w:val="00A650FD"/>
    <w:rsid w:val="00A6539F"/>
    <w:rsid w:val="00A655E7"/>
    <w:rsid w:val="00A6560E"/>
    <w:rsid w:val="00A656BB"/>
    <w:rsid w:val="00A65F4E"/>
    <w:rsid w:val="00A660AC"/>
    <w:rsid w:val="00A66556"/>
    <w:rsid w:val="00A66BC3"/>
    <w:rsid w:val="00A66FF3"/>
    <w:rsid w:val="00A67087"/>
    <w:rsid w:val="00A6792B"/>
    <w:rsid w:val="00A67B62"/>
    <w:rsid w:val="00A67DA0"/>
    <w:rsid w:val="00A70006"/>
    <w:rsid w:val="00A7019C"/>
    <w:rsid w:val="00A702EA"/>
    <w:rsid w:val="00A70CCF"/>
    <w:rsid w:val="00A7100A"/>
    <w:rsid w:val="00A717E7"/>
    <w:rsid w:val="00A71EFA"/>
    <w:rsid w:val="00A72521"/>
    <w:rsid w:val="00A72643"/>
    <w:rsid w:val="00A72829"/>
    <w:rsid w:val="00A72974"/>
    <w:rsid w:val="00A72C3E"/>
    <w:rsid w:val="00A72CBE"/>
    <w:rsid w:val="00A72E7B"/>
    <w:rsid w:val="00A7370D"/>
    <w:rsid w:val="00A73C18"/>
    <w:rsid w:val="00A74F51"/>
    <w:rsid w:val="00A75311"/>
    <w:rsid w:val="00A757B3"/>
    <w:rsid w:val="00A75B9A"/>
    <w:rsid w:val="00A75FD7"/>
    <w:rsid w:val="00A7637E"/>
    <w:rsid w:val="00A76985"/>
    <w:rsid w:val="00A76BCC"/>
    <w:rsid w:val="00A7738B"/>
    <w:rsid w:val="00A77BD7"/>
    <w:rsid w:val="00A77F53"/>
    <w:rsid w:val="00A80B06"/>
    <w:rsid w:val="00A8101D"/>
    <w:rsid w:val="00A81AB9"/>
    <w:rsid w:val="00A81BFB"/>
    <w:rsid w:val="00A82F5C"/>
    <w:rsid w:val="00A83343"/>
    <w:rsid w:val="00A839DD"/>
    <w:rsid w:val="00A83BF9"/>
    <w:rsid w:val="00A83D32"/>
    <w:rsid w:val="00A83D87"/>
    <w:rsid w:val="00A83DF0"/>
    <w:rsid w:val="00A83E6C"/>
    <w:rsid w:val="00A84204"/>
    <w:rsid w:val="00A853A2"/>
    <w:rsid w:val="00A853C1"/>
    <w:rsid w:val="00A85625"/>
    <w:rsid w:val="00A85CB2"/>
    <w:rsid w:val="00A8602E"/>
    <w:rsid w:val="00A8679F"/>
    <w:rsid w:val="00A86FC9"/>
    <w:rsid w:val="00A8778B"/>
    <w:rsid w:val="00A8782A"/>
    <w:rsid w:val="00A87895"/>
    <w:rsid w:val="00A90675"/>
    <w:rsid w:val="00A90860"/>
    <w:rsid w:val="00A90893"/>
    <w:rsid w:val="00A911A4"/>
    <w:rsid w:val="00A91558"/>
    <w:rsid w:val="00A91C40"/>
    <w:rsid w:val="00A920C3"/>
    <w:rsid w:val="00A92B40"/>
    <w:rsid w:val="00A9338D"/>
    <w:rsid w:val="00A9355C"/>
    <w:rsid w:val="00A939AD"/>
    <w:rsid w:val="00A93AD4"/>
    <w:rsid w:val="00A93BBA"/>
    <w:rsid w:val="00A93F24"/>
    <w:rsid w:val="00A94024"/>
    <w:rsid w:val="00A946C4"/>
    <w:rsid w:val="00A9539E"/>
    <w:rsid w:val="00A955F1"/>
    <w:rsid w:val="00A958AE"/>
    <w:rsid w:val="00A958FC"/>
    <w:rsid w:val="00A9631D"/>
    <w:rsid w:val="00A96328"/>
    <w:rsid w:val="00A9673D"/>
    <w:rsid w:val="00A96899"/>
    <w:rsid w:val="00A96BE3"/>
    <w:rsid w:val="00A96FC2"/>
    <w:rsid w:val="00A972DF"/>
    <w:rsid w:val="00A97351"/>
    <w:rsid w:val="00A9769B"/>
    <w:rsid w:val="00A976A0"/>
    <w:rsid w:val="00A9781A"/>
    <w:rsid w:val="00A97D3A"/>
    <w:rsid w:val="00A97F3C"/>
    <w:rsid w:val="00AA0183"/>
    <w:rsid w:val="00AA020A"/>
    <w:rsid w:val="00AA0317"/>
    <w:rsid w:val="00AA04F7"/>
    <w:rsid w:val="00AA058D"/>
    <w:rsid w:val="00AA0649"/>
    <w:rsid w:val="00AA0825"/>
    <w:rsid w:val="00AA08BB"/>
    <w:rsid w:val="00AA08F9"/>
    <w:rsid w:val="00AA0BB2"/>
    <w:rsid w:val="00AA1BD8"/>
    <w:rsid w:val="00AA1C13"/>
    <w:rsid w:val="00AA23A8"/>
    <w:rsid w:val="00AA2438"/>
    <w:rsid w:val="00AA2A6A"/>
    <w:rsid w:val="00AA2BB0"/>
    <w:rsid w:val="00AA37F3"/>
    <w:rsid w:val="00AA386E"/>
    <w:rsid w:val="00AA3E7F"/>
    <w:rsid w:val="00AA4140"/>
    <w:rsid w:val="00AA47C2"/>
    <w:rsid w:val="00AA48A1"/>
    <w:rsid w:val="00AA4A64"/>
    <w:rsid w:val="00AA4E4E"/>
    <w:rsid w:val="00AA4EFE"/>
    <w:rsid w:val="00AA585A"/>
    <w:rsid w:val="00AA5A3A"/>
    <w:rsid w:val="00AA638F"/>
    <w:rsid w:val="00AA6625"/>
    <w:rsid w:val="00AA69FA"/>
    <w:rsid w:val="00AA6ADF"/>
    <w:rsid w:val="00AA6C13"/>
    <w:rsid w:val="00AA767C"/>
    <w:rsid w:val="00AA7680"/>
    <w:rsid w:val="00AA77ED"/>
    <w:rsid w:val="00AA7E87"/>
    <w:rsid w:val="00AB01C0"/>
    <w:rsid w:val="00AB0632"/>
    <w:rsid w:val="00AB0B05"/>
    <w:rsid w:val="00AB1034"/>
    <w:rsid w:val="00AB164C"/>
    <w:rsid w:val="00AB1F0D"/>
    <w:rsid w:val="00AB2EDB"/>
    <w:rsid w:val="00AB3224"/>
    <w:rsid w:val="00AB366C"/>
    <w:rsid w:val="00AB3CB3"/>
    <w:rsid w:val="00AB3D1D"/>
    <w:rsid w:val="00AB3E1B"/>
    <w:rsid w:val="00AB405A"/>
    <w:rsid w:val="00AB4170"/>
    <w:rsid w:val="00AB42DA"/>
    <w:rsid w:val="00AB4627"/>
    <w:rsid w:val="00AB4C0F"/>
    <w:rsid w:val="00AB4DEA"/>
    <w:rsid w:val="00AB4E24"/>
    <w:rsid w:val="00AB55EB"/>
    <w:rsid w:val="00AB5CC1"/>
    <w:rsid w:val="00AB62CF"/>
    <w:rsid w:val="00AB69A5"/>
    <w:rsid w:val="00AB7251"/>
    <w:rsid w:val="00AC0108"/>
    <w:rsid w:val="00AC0825"/>
    <w:rsid w:val="00AC0DC3"/>
    <w:rsid w:val="00AC0DFB"/>
    <w:rsid w:val="00AC20D8"/>
    <w:rsid w:val="00AC233F"/>
    <w:rsid w:val="00AC27FB"/>
    <w:rsid w:val="00AC2B82"/>
    <w:rsid w:val="00AC2CC8"/>
    <w:rsid w:val="00AC4111"/>
    <w:rsid w:val="00AC4144"/>
    <w:rsid w:val="00AC456B"/>
    <w:rsid w:val="00AC4768"/>
    <w:rsid w:val="00AC482F"/>
    <w:rsid w:val="00AC494E"/>
    <w:rsid w:val="00AC5406"/>
    <w:rsid w:val="00AC5B9F"/>
    <w:rsid w:val="00AC60D5"/>
    <w:rsid w:val="00AC68AD"/>
    <w:rsid w:val="00AC6B22"/>
    <w:rsid w:val="00AC705A"/>
    <w:rsid w:val="00AC7675"/>
    <w:rsid w:val="00AC76B8"/>
    <w:rsid w:val="00AC7AC2"/>
    <w:rsid w:val="00AD013A"/>
    <w:rsid w:val="00AD18CE"/>
    <w:rsid w:val="00AD1C64"/>
    <w:rsid w:val="00AD1E4B"/>
    <w:rsid w:val="00AD25CC"/>
    <w:rsid w:val="00AD31A8"/>
    <w:rsid w:val="00AD367A"/>
    <w:rsid w:val="00AD3BD4"/>
    <w:rsid w:val="00AD46A4"/>
    <w:rsid w:val="00AD4939"/>
    <w:rsid w:val="00AD52F3"/>
    <w:rsid w:val="00AD54C9"/>
    <w:rsid w:val="00AD5D27"/>
    <w:rsid w:val="00AD5E8D"/>
    <w:rsid w:val="00AD638A"/>
    <w:rsid w:val="00AD687E"/>
    <w:rsid w:val="00AD6888"/>
    <w:rsid w:val="00AD69D1"/>
    <w:rsid w:val="00AD6B8F"/>
    <w:rsid w:val="00AD722C"/>
    <w:rsid w:val="00AE0BA2"/>
    <w:rsid w:val="00AE0E1F"/>
    <w:rsid w:val="00AE1397"/>
    <w:rsid w:val="00AE13CC"/>
    <w:rsid w:val="00AE14E8"/>
    <w:rsid w:val="00AE1CCB"/>
    <w:rsid w:val="00AE29BD"/>
    <w:rsid w:val="00AE2B51"/>
    <w:rsid w:val="00AE2FBF"/>
    <w:rsid w:val="00AE305C"/>
    <w:rsid w:val="00AE3069"/>
    <w:rsid w:val="00AE3103"/>
    <w:rsid w:val="00AE342F"/>
    <w:rsid w:val="00AE369B"/>
    <w:rsid w:val="00AE38A5"/>
    <w:rsid w:val="00AE3DD8"/>
    <w:rsid w:val="00AE408D"/>
    <w:rsid w:val="00AE434A"/>
    <w:rsid w:val="00AE467E"/>
    <w:rsid w:val="00AE4999"/>
    <w:rsid w:val="00AE4BE8"/>
    <w:rsid w:val="00AE5257"/>
    <w:rsid w:val="00AE5A83"/>
    <w:rsid w:val="00AE5DD2"/>
    <w:rsid w:val="00AE5F16"/>
    <w:rsid w:val="00AE5F86"/>
    <w:rsid w:val="00AE61E3"/>
    <w:rsid w:val="00AE7AF6"/>
    <w:rsid w:val="00AF002D"/>
    <w:rsid w:val="00AF01F4"/>
    <w:rsid w:val="00AF03DA"/>
    <w:rsid w:val="00AF0489"/>
    <w:rsid w:val="00AF0743"/>
    <w:rsid w:val="00AF081A"/>
    <w:rsid w:val="00AF09C8"/>
    <w:rsid w:val="00AF17A6"/>
    <w:rsid w:val="00AF1DA0"/>
    <w:rsid w:val="00AF1E3E"/>
    <w:rsid w:val="00AF1E7F"/>
    <w:rsid w:val="00AF2168"/>
    <w:rsid w:val="00AF281D"/>
    <w:rsid w:val="00AF28BC"/>
    <w:rsid w:val="00AF2E40"/>
    <w:rsid w:val="00AF2E81"/>
    <w:rsid w:val="00AF3AA3"/>
    <w:rsid w:val="00AF4AAC"/>
    <w:rsid w:val="00AF4FC3"/>
    <w:rsid w:val="00AF635E"/>
    <w:rsid w:val="00AF66E8"/>
    <w:rsid w:val="00AF6B60"/>
    <w:rsid w:val="00AF6C20"/>
    <w:rsid w:val="00AF6CCA"/>
    <w:rsid w:val="00AF7ACE"/>
    <w:rsid w:val="00B001F3"/>
    <w:rsid w:val="00B0035A"/>
    <w:rsid w:val="00B00B2E"/>
    <w:rsid w:val="00B00BF0"/>
    <w:rsid w:val="00B00D3A"/>
    <w:rsid w:val="00B01463"/>
    <w:rsid w:val="00B015BE"/>
    <w:rsid w:val="00B01778"/>
    <w:rsid w:val="00B018D1"/>
    <w:rsid w:val="00B02716"/>
    <w:rsid w:val="00B02D81"/>
    <w:rsid w:val="00B035AC"/>
    <w:rsid w:val="00B042F5"/>
    <w:rsid w:val="00B0469E"/>
    <w:rsid w:val="00B04923"/>
    <w:rsid w:val="00B04D4B"/>
    <w:rsid w:val="00B051D0"/>
    <w:rsid w:val="00B0599B"/>
    <w:rsid w:val="00B05B15"/>
    <w:rsid w:val="00B05E18"/>
    <w:rsid w:val="00B0694C"/>
    <w:rsid w:val="00B07081"/>
    <w:rsid w:val="00B07F9B"/>
    <w:rsid w:val="00B100F3"/>
    <w:rsid w:val="00B10163"/>
    <w:rsid w:val="00B1104D"/>
    <w:rsid w:val="00B11104"/>
    <w:rsid w:val="00B11CFF"/>
    <w:rsid w:val="00B120E0"/>
    <w:rsid w:val="00B123C9"/>
    <w:rsid w:val="00B125C9"/>
    <w:rsid w:val="00B126AB"/>
    <w:rsid w:val="00B13018"/>
    <w:rsid w:val="00B13123"/>
    <w:rsid w:val="00B13420"/>
    <w:rsid w:val="00B134D4"/>
    <w:rsid w:val="00B13A24"/>
    <w:rsid w:val="00B14A1D"/>
    <w:rsid w:val="00B14D2E"/>
    <w:rsid w:val="00B14D72"/>
    <w:rsid w:val="00B15804"/>
    <w:rsid w:val="00B160A6"/>
    <w:rsid w:val="00B16451"/>
    <w:rsid w:val="00B173D8"/>
    <w:rsid w:val="00B1773F"/>
    <w:rsid w:val="00B20093"/>
    <w:rsid w:val="00B207F9"/>
    <w:rsid w:val="00B20856"/>
    <w:rsid w:val="00B20A7F"/>
    <w:rsid w:val="00B20BBD"/>
    <w:rsid w:val="00B215B8"/>
    <w:rsid w:val="00B218CA"/>
    <w:rsid w:val="00B22569"/>
    <w:rsid w:val="00B2272B"/>
    <w:rsid w:val="00B22826"/>
    <w:rsid w:val="00B232D7"/>
    <w:rsid w:val="00B233DC"/>
    <w:rsid w:val="00B238AB"/>
    <w:rsid w:val="00B24000"/>
    <w:rsid w:val="00B241AF"/>
    <w:rsid w:val="00B24AEB"/>
    <w:rsid w:val="00B255E9"/>
    <w:rsid w:val="00B25609"/>
    <w:rsid w:val="00B25655"/>
    <w:rsid w:val="00B25A7D"/>
    <w:rsid w:val="00B2623B"/>
    <w:rsid w:val="00B26593"/>
    <w:rsid w:val="00B26BAA"/>
    <w:rsid w:val="00B27AFA"/>
    <w:rsid w:val="00B27BF5"/>
    <w:rsid w:val="00B27DE3"/>
    <w:rsid w:val="00B300FD"/>
    <w:rsid w:val="00B3039B"/>
    <w:rsid w:val="00B305EC"/>
    <w:rsid w:val="00B30736"/>
    <w:rsid w:val="00B30765"/>
    <w:rsid w:val="00B307F0"/>
    <w:rsid w:val="00B30BA2"/>
    <w:rsid w:val="00B313D9"/>
    <w:rsid w:val="00B3151B"/>
    <w:rsid w:val="00B3181A"/>
    <w:rsid w:val="00B31898"/>
    <w:rsid w:val="00B31E0D"/>
    <w:rsid w:val="00B3226A"/>
    <w:rsid w:val="00B327A8"/>
    <w:rsid w:val="00B331B0"/>
    <w:rsid w:val="00B33362"/>
    <w:rsid w:val="00B334AB"/>
    <w:rsid w:val="00B33584"/>
    <w:rsid w:val="00B3409F"/>
    <w:rsid w:val="00B34257"/>
    <w:rsid w:val="00B346D0"/>
    <w:rsid w:val="00B352EB"/>
    <w:rsid w:val="00B35B76"/>
    <w:rsid w:val="00B35E85"/>
    <w:rsid w:val="00B36600"/>
    <w:rsid w:val="00B36712"/>
    <w:rsid w:val="00B3688F"/>
    <w:rsid w:val="00B36C45"/>
    <w:rsid w:val="00B3703A"/>
    <w:rsid w:val="00B37289"/>
    <w:rsid w:val="00B404A1"/>
    <w:rsid w:val="00B4070E"/>
    <w:rsid w:val="00B40CAF"/>
    <w:rsid w:val="00B41935"/>
    <w:rsid w:val="00B41A02"/>
    <w:rsid w:val="00B41BB3"/>
    <w:rsid w:val="00B41F29"/>
    <w:rsid w:val="00B42CDF"/>
    <w:rsid w:val="00B4341E"/>
    <w:rsid w:val="00B440BC"/>
    <w:rsid w:val="00B44527"/>
    <w:rsid w:val="00B448C8"/>
    <w:rsid w:val="00B44A32"/>
    <w:rsid w:val="00B45259"/>
    <w:rsid w:val="00B452A0"/>
    <w:rsid w:val="00B45748"/>
    <w:rsid w:val="00B45CD0"/>
    <w:rsid w:val="00B45F67"/>
    <w:rsid w:val="00B46061"/>
    <w:rsid w:val="00B46071"/>
    <w:rsid w:val="00B46229"/>
    <w:rsid w:val="00B464CD"/>
    <w:rsid w:val="00B467C8"/>
    <w:rsid w:val="00B469A2"/>
    <w:rsid w:val="00B46A15"/>
    <w:rsid w:val="00B47219"/>
    <w:rsid w:val="00B47432"/>
    <w:rsid w:val="00B47536"/>
    <w:rsid w:val="00B47705"/>
    <w:rsid w:val="00B5039E"/>
    <w:rsid w:val="00B50C7A"/>
    <w:rsid w:val="00B50DFE"/>
    <w:rsid w:val="00B5100D"/>
    <w:rsid w:val="00B510EE"/>
    <w:rsid w:val="00B522B4"/>
    <w:rsid w:val="00B52576"/>
    <w:rsid w:val="00B52876"/>
    <w:rsid w:val="00B538B7"/>
    <w:rsid w:val="00B53A99"/>
    <w:rsid w:val="00B54264"/>
    <w:rsid w:val="00B542CB"/>
    <w:rsid w:val="00B544F8"/>
    <w:rsid w:val="00B5477C"/>
    <w:rsid w:val="00B549D8"/>
    <w:rsid w:val="00B54AC0"/>
    <w:rsid w:val="00B54E8F"/>
    <w:rsid w:val="00B5533F"/>
    <w:rsid w:val="00B5600E"/>
    <w:rsid w:val="00B567DF"/>
    <w:rsid w:val="00B5751B"/>
    <w:rsid w:val="00B57A96"/>
    <w:rsid w:val="00B57B19"/>
    <w:rsid w:val="00B60661"/>
    <w:rsid w:val="00B60EAD"/>
    <w:rsid w:val="00B60F43"/>
    <w:rsid w:val="00B613C4"/>
    <w:rsid w:val="00B619ED"/>
    <w:rsid w:val="00B61B9E"/>
    <w:rsid w:val="00B620C6"/>
    <w:rsid w:val="00B620E4"/>
    <w:rsid w:val="00B6213A"/>
    <w:rsid w:val="00B63741"/>
    <w:rsid w:val="00B63EFF"/>
    <w:rsid w:val="00B644E3"/>
    <w:rsid w:val="00B6453E"/>
    <w:rsid w:val="00B65953"/>
    <w:rsid w:val="00B666C1"/>
    <w:rsid w:val="00B66F5A"/>
    <w:rsid w:val="00B6706B"/>
    <w:rsid w:val="00B677EE"/>
    <w:rsid w:val="00B67C80"/>
    <w:rsid w:val="00B67D2A"/>
    <w:rsid w:val="00B70073"/>
    <w:rsid w:val="00B70313"/>
    <w:rsid w:val="00B70DF5"/>
    <w:rsid w:val="00B7113F"/>
    <w:rsid w:val="00B7167E"/>
    <w:rsid w:val="00B720B0"/>
    <w:rsid w:val="00B7309A"/>
    <w:rsid w:val="00B73463"/>
    <w:rsid w:val="00B7356D"/>
    <w:rsid w:val="00B73680"/>
    <w:rsid w:val="00B73829"/>
    <w:rsid w:val="00B740D3"/>
    <w:rsid w:val="00B74124"/>
    <w:rsid w:val="00B744C1"/>
    <w:rsid w:val="00B745ED"/>
    <w:rsid w:val="00B747ED"/>
    <w:rsid w:val="00B74B38"/>
    <w:rsid w:val="00B7552F"/>
    <w:rsid w:val="00B7557E"/>
    <w:rsid w:val="00B75E8F"/>
    <w:rsid w:val="00B761BA"/>
    <w:rsid w:val="00B76277"/>
    <w:rsid w:val="00B766D0"/>
    <w:rsid w:val="00B76965"/>
    <w:rsid w:val="00B76B08"/>
    <w:rsid w:val="00B76F57"/>
    <w:rsid w:val="00B7705F"/>
    <w:rsid w:val="00B77EB4"/>
    <w:rsid w:val="00B80179"/>
    <w:rsid w:val="00B8072A"/>
    <w:rsid w:val="00B80C2E"/>
    <w:rsid w:val="00B81597"/>
    <w:rsid w:val="00B81F5E"/>
    <w:rsid w:val="00B8203A"/>
    <w:rsid w:val="00B820FE"/>
    <w:rsid w:val="00B8245E"/>
    <w:rsid w:val="00B829DB"/>
    <w:rsid w:val="00B82A7D"/>
    <w:rsid w:val="00B83571"/>
    <w:rsid w:val="00B8386F"/>
    <w:rsid w:val="00B842DA"/>
    <w:rsid w:val="00B844CD"/>
    <w:rsid w:val="00B845E5"/>
    <w:rsid w:val="00B84CFF"/>
    <w:rsid w:val="00B856D1"/>
    <w:rsid w:val="00B85840"/>
    <w:rsid w:val="00B85F42"/>
    <w:rsid w:val="00B861A8"/>
    <w:rsid w:val="00B8628B"/>
    <w:rsid w:val="00B869F5"/>
    <w:rsid w:val="00B86B48"/>
    <w:rsid w:val="00B8756B"/>
    <w:rsid w:val="00B87736"/>
    <w:rsid w:val="00B879A1"/>
    <w:rsid w:val="00B87D6F"/>
    <w:rsid w:val="00B87FA6"/>
    <w:rsid w:val="00B90690"/>
    <w:rsid w:val="00B9087B"/>
    <w:rsid w:val="00B90CA4"/>
    <w:rsid w:val="00B912E9"/>
    <w:rsid w:val="00B9162C"/>
    <w:rsid w:val="00B91752"/>
    <w:rsid w:val="00B91B2F"/>
    <w:rsid w:val="00B91CFF"/>
    <w:rsid w:val="00B922B4"/>
    <w:rsid w:val="00B92807"/>
    <w:rsid w:val="00B92A59"/>
    <w:rsid w:val="00B93B01"/>
    <w:rsid w:val="00B93D4E"/>
    <w:rsid w:val="00B94402"/>
    <w:rsid w:val="00B944A2"/>
    <w:rsid w:val="00B945CA"/>
    <w:rsid w:val="00B94AF5"/>
    <w:rsid w:val="00B94C0D"/>
    <w:rsid w:val="00B94F10"/>
    <w:rsid w:val="00B955DC"/>
    <w:rsid w:val="00B95761"/>
    <w:rsid w:val="00B96839"/>
    <w:rsid w:val="00B96C40"/>
    <w:rsid w:val="00B96E9A"/>
    <w:rsid w:val="00B97263"/>
    <w:rsid w:val="00B9735F"/>
    <w:rsid w:val="00B97FC1"/>
    <w:rsid w:val="00BA0080"/>
    <w:rsid w:val="00BA010D"/>
    <w:rsid w:val="00BA02E2"/>
    <w:rsid w:val="00BA0BDB"/>
    <w:rsid w:val="00BA2586"/>
    <w:rsid w:val="00BA289B"/>
    <w:rsid w:val="00BA2A05"/>
    <w:rsid w:val="00BA2ED4"/>
    <w:rsid w:val="00BA33C8"/>
    <w:rsid w:val="00BA35F6"/>
    <w:rsid w:val="00BA3D33"/>
    <w:rsid w:val="00BA3EF3"/>
    <w:rsid w:val="00BA4456"/>
    <w:rsid w:val="00BA4C51"/>
    <w:rsid w:val="00BA4E16"/>
    <w:rsid w:val="00BA5165"/>
    <w:rsid w:val="00BA53A3"/>
    <w:rsid w:val="00BA53AA"/>
    <w:rsid w:val="00BA5571"/>
    <w:rsid w:val="00BA55FC"/>
    <w:rsid w:val="00BA57F3"/>
    <w:rsid w:val="00BA6C03"/>
    <w:rsid w:val="00BA6D95"/>
    <w:rsid w:val="00BA7402"/>
    <w:rsid w:val="00BA77C1"/>
    <w:rsid w:val="00BA79DD"/>
    <w:rsid w:val="00BA7A21"/>
    <w:rsid w:val="00BB0341"/>
    <w:rsid w:val="00BB0CE2"/>
    <w:rsid w:val="00BB10F4"/>
    <w:rsid w:val="00BB142F"/>
    <w:rsid w:val="00BB1A94"/>
    <w:rsid w:val="00BB22B6"/>
    <w:rsid w:val="00BB29D6"/>
    <w:rsid w:val="00BB38A5"/>
    <w:rsid w:val="00BB39F6"/>
    <w:rsid w:val="00BB3A01"/>
    <w:rsid w:val="00BB3C7F"/>
    <w:rsid w:val="00BB3F50"/>
    <w:rsid w:val="00BB41DB"/>
    <w:rsid w:val="00BB424B"/>
    <w:rsid w:val="00BB428E"/>
    <w:rsid w:val="00BB4371"/>
    <w:rsid w:val="00BB4B69"/>
    <w:rsid w:val="00BB4EEB"/>
    <w:rsid w:val="00BB517A"/>
    <w:rsid w:val="00BB55F4"/>
    <w:rsid w:val="00BB5A1C"/>
    <w:rsid w:val="00BB6298"/>
    <w:rsid w:val="00BB7261"/>
    <w:rsid w:val="00BB76B9"/>
    <w:rsid w:val="00BC0635"/>
    <w:rsid w:val="00BC06BD"/>
    <w:rsid w:val="00BC093A"/>
    <w:rsid w:val="00BC1358"/>
    <w:rsid w:val="00BC1C69"/>
    <w:rsid w:val="00BC1D3D"/>
    <w:rsid w:val="00BC2720"/>
    <w:rsid w:val="00BC316E"/>
    <w:rsid w:val="00BC32E5"/>
    <w:rsid w:val="00BC35C3"/>
    <w:rsid w:val="00BC3604"/>
    <w:rsid w:val="00BC379E"/>
    <w:rsid w:val="00BC3BDC"/>
    <w:rsid w:val="00BC40CD"/>
    <w:rsid w:val="00BC4983"/>
    <w:rsid w:val="00BC4E7A"/>
    <w:rsid w:val="00BC66E6"/>
    <w:rsid w:val="00BC69A6"/>
    <w:rsid w:val="00BC6C74"/>
    <w:rsid w:val="00BC6FE2"/>
    <w:rsid w:val="00BC70F5"/>
    <w:rsid w:val="00BC71DE"/>
    <w:rsid w:val="00BC7D76"/>
    <w:rsid w:val="00BD01D7"/>
    <w:rsid w:val="00BD0401"/>
    <w:rsid w:val="00BD139A"/>
    <w:rsid w:val="00BD1513"/>
    <w:rsid w:val="00BD1F07"/>
    <w:rsid w:val="00BD35DD"/>
    <w:rsid w:val="00BD3DC6"/>
    <w:rsid w:val="00BD43E9"/>
    <w:rsid w:val="00BD460C"/>
    <w:rsid w:val="00BD4CF5"/>
    <w:rsid w:val="00BD5052"/>
    <w:rsid w:val="00BD541B"/>
    <w:rsid w:val="00BD558B"/>
    <w:rsid w:val="00BD5CA9"/>
    <w:rsid w:val="00BD5FC6"/>
    <w:rsid w:val="00BD6554"/>
    <w:rsid w:val="00BD67C1"/>
    <w:rsid w:val="00BD6919"/>
    <w:rsid w:val="00BD6AE1"/>
    <w:rsid w:val="00BD6CB6"/>
    <w:rsid w:val="00BD7126"/>
    <w:rsid w:val="00BD7316"/>
    <w:rsid w:val="00BD73C1"/>
    <w:rsid w:val="00BD79C4"/>
    <w:rsid w:val="00BD7AC0"/>
    <w:rsid w:val="00BE028F"/>
    <w:rsid w:val="00BE02CB"/>
    <w:rsid w:val="00BE0644"/>
    <w:rsid w:val="00BE10F4"/>
    <w:rsid w:val="00BE125C"/>
    <w:rsid w:val="00BE1362"/>
    <w:rsid w:val="00BE13B0"/>
    <w:rsid w:val="00BE1864"/>
    <w:rsid w:val="00BE1B79"/>
    <w:rsid w:val="00BE1D76"/>
    <w:rsid w:val="00BE1ED5"/>
    <w:rsid w:val="00BE2146"/>
    <w:rsid w:val="00BE279D"/>
    <w:rsid w:val="00BE2B2B"/>
    <w:rsid w:val="00BE2DF8"/>
    <w:rsid w:val="00BE2EF7"/>
    <w:rsid w:val="00BE32AB"/>
    <w:rsid w:val="00BE3560"/>
    <w:rsid w:val="00BE3A39"/>
    <w:rsid w:val="00BE3EEE"/>
    <w:rsid w:val="00BE43CE"/>
    <w:rsid w:val="00BE43CF"/>
    <w:rsid w:val="00BE4815"/>
    <w:rsid w:val="00BE4C72"/>
    <w:rsid w:val="00BE4E98"/>
    <w:rsid w:val="00BE539F"/>
    <w:rsid w:val="00BE5858"/>
    <w:rsid w:val="00BE6088"/>
    <w:rsid w:val="00BE62FD"/>
    <w:rsid w:val="00BE66FC"/>
    <w:rsid w:val="00BE6A05"/>
    <w:rsid w:val="00BE73D2"/>
    <w:rsid w:val="00BE7745"/>
    <w:rsid w:val="00BE7A0E"/>
    <w:rsid w:val="00BE7C9E"/>
    <w:rsid w:val="00BE7D0D"/>
    <w:rsid w:val="00BF0797"/>
    <w:rsid w:val="00BF0C8D"/>
    <w:rsid w:val="00BF15DC"/>
    <w:rsid w:val="00BF169B"/>
    <w:rsid w:val="00BF1952"/>
    <w:rsid w:val="00BF1F05"/>
    <w:rsid w:val="00BF1F53"/>
    <w:rsid w:val="00BF2D56"/>
    <w:rsid w:val="00BF2DD0"/>
    <w:rsid w:val="00BF30CE"/>
    <w:rsid w:val="00BF36AA"/>
    <w:rsid w:val="00BF40D9"/>
    <w:rsid w:val="00BF426B"/>
    <w:rsid w:val="00BF4AA7"/>
    <w:rsid w:val="00BF579B"/>
    <w:rsid w:val="00BF57CC"/>
    <w:rsid w:val="00BF5DF7"/>
    <w:rsid w:val="00BF649F"/>
    <w:rsid w:val="00BF6AAA"/>
    <w:rsid w:val="00BF70AA"/>
    <w:rsid w:val="00C00204"/>
    <w:rsid w:val="00C00841"/>
    <w:rsid w:val="00C00D65"/>
    <w:rsid w:val="00C01382"/>
    <w:rsid w:val="00C013CA"/>
    <w:rsid w:val="00C013F0"/>
    <w:rsid w:val="00C0187D"/>
    <w:rsid w:val="00C01D69"/>
    <w:rsid w:val="00C01E1E"/>
    <w:rsid w:val="00C0248A"/>
    <w:rsid w:val="00C0264B"/>
    <w:rsid w:val="00C02DBD"/>
    <w:rsid w:val="00C02DE5"/>
    <w:rsid w:val="00C03720"/>
    <w:rsid w:val="00C04145"/>
    <w:rsid w:val="00C041E0"/>
    <w:rsid w:val="00C043C5"/>
    <w:rsid w:val="00C046A3"/>
    <w:rsid w:val="00C046F9"/>
    <w:rsid w:val="00C04718"/>
    <w:rsid w:val="00C049DC"/>
    <w:rsid w:val="00C04C43"/>
    <w:rsid w:val="00C0545C"/>
    <w:rsid w:val="00C05564"/>
    <w:rsid w:val="00C055DD"/>
    <w:rsid w:val="00C05A77"/>
    <w:rsid w:val="00C05B13"/>
    <w:rsid w:val="00C05D5B"/>
    <w:rsid w:val="00C05DEF"/>
    <w:rsid w:val="00C05E31"/>
    <w:rsid w:val="00C062B3"/>
    <w:rsid w:val="00C068AB"/>
    <w:rsid w:val="00C068CE"/>
    <w:rsid w:val="00C069AD"/>
    <w:rsid w:val="00C06AE5"/>
    <w:rsid w:val="00C06CF5"/>
    <w:rsid w:val="00C074A3"/>
    <w:rsid w:val="00C07BE9"/>
    <w:rsid w:val="00C07CD5"/>
    <w:rsid w:val="00C07CE0"/>
    <w:rsid w:val="00C1034F"/>
    <w:rsid w:val="00C10A72"/>
    <w:rsid w:val="00C10AE9"/>
    <w:rsid w:val="00C10FB0"/>
    <w:rsid w:val="00C111B6"/>
    <w:rsid w:val="00C112DA"/>
    <w:rsid w:val="00C11608"/>
    <w:rsid w:val="00C11E71"/>
    <w:rsid w:val="00C1275B"/>
    <w:rsid w:val="00C12ACD"/>
    <w:rsid w:val="00C13049"/>
    <w:rsid w:val="00C132CB"/>
    <w:rsid w:val="00C136D1"/>
    <w:rsid w:val="00C13CB9"/>
    <w:rsid w:val="00C13E35"/>
    <w:rsid w:val="00C13F9F"/>
    <w:rsid w:val="00C14535"/>
    <w:rsid w:val="00C148FE"/>
    <w:rsid w:val="00C14EC3"/>
    <w:rsid w:val="00C15BA1"/>
    <w:rsid w:val="00C16DF6"/>
    <w:rsid w:val="00C170A0"/>
    <w:rsid w:val="00C17229"/>
    <w:rsid w:val="00C1732D"/>
    <w:rsid w:val="00C178AA"/>
    <w:rsid w:val="00C17CE9"/>
    <w:rsid w:val="00C17F51"/>
    <w:rsid w:val="00C2015E"/>
    <w:rsid w:val="00C20EAF"/>
    <w:rsid w:val="00C21637"/>
    <w:rsid w:val="00C21785"/>
    <w:rsid w:val="00C218C2"/>
    <w:rsid w:val="00C21D76"/>
    <w:rsid w:val="00C22213"/>
    <w:rsid w:val="00C225F1"/>
    <w:rsid w:val="00C22A49"/>
    <w:rsid w:val="00C22BE7"/>
    <w:rsid w:val="00C22DC1"/>
    <w:rsid w:val="00C233E0"/>
    <w:rsid w:val="00C2389E"/>
    <w:rsid w:val="00C238CD"/>
    <w:rsid w:val="00C23C70"/>
    <w:rsid w:val="00C241F9"/>
    <w:rsid w:val="00C24860"/>
    <w:rsid w:val="00C24AD2"/>
    <w:rsid w:val="00C24F73"/>
    <w:rsid w:val="00C254E6"/>
    <w:rsid w:val="00C25796"/>
    <w:rsid w:val="00C259EC"/>
    <w:rsid w:val="00C25FAE"/>
    <w:rsid w:val="00C26AB0"/>
    <w:rsid w:val="00C26F3B"/>
    <w:rsid w:val="00C27453"/>
    <w:rsid w:val="00C274E5"/>
    <w:rsid w:val="00C277AB"/>
    <w:rsid w:val="00C27835"/>
    <w:rsid w:val="00C279A6"/>
    <w:rsid w:val="00C30B24"/>
    <w:rsid w:val="00C31925"/>
    <w:rsid w:val="00C31E4E"/>
    <w:rsid w:val="00C321D2"/>
    <w:rsid w:val="00C32332"/>
    <w:rsid w:val="00C323B1"/>
    <w:rsid w:val="00C32400"/>
    <w:rsid w:val="00C32447"/>
    <w:rsid w:val="00C32488"/>
    <w:rsid w:val="00C324B6"/>
    <w:rsid w:val="00C32517"/>
    <w:rsid w:val="00C3291C"/>
    <w:rsid w:val="00C32944"/>
    <w:rsid w:val="00C3299D"/>
    <w:rsid w:val="00C34016"/>
    <w:rsid w:val="00C341A9"/>
    <w:rsid w:val="00C36107"/>
    <w:rsid w:val="00C3623B"/>
    <w:rsid w:val="00C36411"/>
    <w:rsid w:val="00C36664"/>
    <w:rsid w:val="00C368D5"/>
    <w:rsid w:val="00C3729C"/>
    <w:rsid w:val="00C372A6"/>
    <w:rsid w:val="00C40287"/>
    <w:rsid w:val="00C40795"/>
    <w:rsid w:val="00C40901"/>
    <w:rsid w:val="00C40D91"/>
    <w:rsid w:val="00C412C9"/>
    <w:rsid w:val="00C41543"/>
    <w:rsid w:val="00C41625"/>
    <w:rsid w:val="00C417FF"/>
    <w:rsid w:val="00C41BBA"/>
    <w:rsid w:val="00C41D4A"/>
    <w:rsid w:val="00C4228C"/>
    <w:rsid w:val="00C42487"/>
    <w:rsid w:val="00C4259B"/>
    <w:rsid w:val="00C42900"/>
    <w:rsid w:val="00C429E6"/>
    <w:rsid w:val="00C4337D"/>
    <w:rsid w:val="00C4342A"/>
    <w:rsid w:val="00C43548"/>
    <w:rsid w:val="00C435AB"/>
    <w:rsid w:val="00C43691"/>
    <w:rsid w:val="00C4373E"/>
    <w:rsid w:val="00C439AE"/>
    <w:rsid w:val="00C43E1E"/>
    <w:rsid w:val="00C4444E"/>
    <w:rsid w:val="00C44AD1"/>
    <w:rsid w:val="00C44D8B"/>
    <w:rsid w:val="00C450FB"/>
    <w:rsid w:val="00C453EC"/>
    <w:rsid w:val="00C45601"/>
    <w:rsid w:val="00C45644"/>
    <w:rsid w:val="00C4574F"/>
    <w:rsid w:val="00C464E8"/>
    <w:rsid w:val="00C47274"/>
    <w:rsid w:val="00C472B9"/>
    <w:rsid w:val="00C47503"/>
    <w:rsid w:val="00C477B7"/>
    <w:rsid w:val="00C479CB"/>
    <w:rsid w:val="00C509FE"/>
    <w:rsid w:val="00C50A17"/>
    <w:rsid w:val="00C5102C"/>
    <w:rsid w:val="00C51050"/>
    <w:rsid w:val="00C5163B"/>
    <w:rsid w:val="00C5180C"/>
    <w:rsid w:val="00C519EB"/>
    <w:rsid w:val="00C51A6D"/>
    <w:rsid w:val="00C5284C"/>
    <w:rsid w:val="00C52F4A"/>
    <w:rsid w:val="00C53112"/>
    <w:rsid w:val="00C53211"/>
    <w:rsid w:val="00C53972"/>
    <w:rsid w:val="00C539B8"/>
    <w:rsid w:val="00C53CE8"/>
    <w:rsid w:val="00C54106"/>
    <w:rsid w:val="00C5420E"/>
    <w:rsid w:val="00C548D7"/>
    <w:rsid w:val="00C54957"/>
    <w:rsid w:val="00C54CEF"/>
    <w:rsid w:val="00C54DB9"/>
    <w:rsid w:val="00C54DF8"/>
    <w:rsid w:val="00C55088"/>
    <w:rsid w:val="00C5531C"/>
    <w:rsid w:val="00C5543B"/>
    <w:rsid w:val="00C55566"/>
    <w:rsid w:val="00C55885"/>
    <w:rsid w:val="00C5675B"/>
    <w:rsid w:val="00C56A12"/>
    <w:rsid w:val="00C56FF1"/>
    <w:rsid w:val="00C57C43"/>
    <w:rsid w:val="00C57FD4"/>
    <w:rsid w:val="00C6011B"/>
    <w:rsid w:val="00C603DE"/>
    <w:rsid w:val="00C604FF"/>
    <w:rsid w:val="00C6080D"/>
    <w:rsid w:val="00C608E5"/>
    <w:rsid w:val="00C60C59"/>
    <w:rsid w:val="00C60C6D"/>
    <w:rsid w:val="00C60F7E"/>
    <w:rsid w:val="00C6102F"/>
    <w:rsid w:val="00C61877"/>
    <w:rsid w:val="00C61909"/>
    <w:rsid w:val="00C620F3"/>
    <w:rsid w:val="00C62240"/>
    <w:rsid w:val="00C623A8"/>
    <w:rsid w:val="00C62460"/>
    <w:rsid w:val="00C62505"/>
    <w:rsid w:val="00C62B27"/>
    <w:rsid w:val="00C632DE"/>
    <w:rsid w:val="00C63572"/>
    <w:rsid w:val="00C63C51"/>
    <w:rsid w:val="00C64260"/>
    <w:rsid w:val="00C6438B"/>
    <w:rsid w:val="00C648F8"/>
    <w:rsid w:val="00C64CEB"/>
    <w:rsid w:val="00C6549F"/>
    <w:rsid w:val="00C654BC"/>
    <w:rsid w:val="00C65638"/>
    <w:rsid w:val="00C6605D"/>
    <w:rsid w:val="00C66616"/>
    <w:rsid w:val="00C6690D"/>
    <w:rsid w:val="00C669D7"/>
    <w:rsid w:val="00C66E73"/>
    <w:rsid w:val="00C672A1"/>
    <w:rsid w:val="00C6770C"/>
    <w:rsid w:val="00C67A37"/>
    <w:rsid w:val="00C67A4A"/>
    <w:rsid w:val="00C67A7B"/>
    <w:rsid w:val="00C7024A"/>
    <w:rsid w:val="00C702D5"/>
    <w:rsid w:val="00C7047B"/>
    <w:rsid w:val="00C70A92"/>
    <w:rsid w:val="00C70E85"/>
    <w:rsid w:val="00C71273"/>
    <w:rsid w:val="00C714B7"/>
    <w:rsid w:val="00C718FE"/>
    <w:rsid w:val="00C71C9A"/>
    <w:rsid w:val="00C730F4"/>
    <w:rsid w:val="00C73691"/>
    <w:rsid w:val="00C73AEE"/>
    <w:rsid w:val="00C73EB4"/>
    <w:rsid w:val="00C743AE"/>
    <w:rsid w:val="00C7487D"/>
    <w:rsid w:val="00C74BB7"/>
    <w:rsid w:val="00C74FFD"/>
    <w:rsid w:val="00C7546D"/>
    <w:rsid w:val="00C759FF"/>
    <w:rsid w:val="00C76BE1"/>
    <w:rsid w:val="00C76CAB"/>
    <w:rsid w:val="00C8035C"/>
    <w:rsid w:val="00C80503"/>
    <w:rsid w:val="00C8090E"/>
    <w:rsid w:val="00C80EE2"/>
    <w:rsid w:val="00C819A5"/>
    <w:rsid w:val="00C81B77"/>
    <w:rsid w:val="00C8233D"/>
    <w:rsid w:val="00C8254A"/>
    <w:rsid w:val="00C8268E"/>
    <w:rsid w:val="00C8332B"/>
    <w:rsid w:val="00C835A4"/>
    <w:rsid w:val="00C836A0"/>
    <w:rsid w:val="00C83B72"/>
    <w:rsid w:val="00C84626"/>
    <w:rsid w:val="00C853FD"/>
    <w:rsid w:val="00C85A8A"/>
    <w:rsid w:val="00C85BDE"/>
    <w:rsid w:val="00C86063"/>
    <w:rsid w:val="00C868DC"/>
    <w:rsid w:val="00C87184"/>
    <w:rsid w:val="00C87BCC"/>
    <w:rsid w:val="00C90E54"/>
    <w:rsid w:val="00C90FD7"/>
    <w:rsid w:val="00C913CF"/>
    <w:rsid w:val="00C915FC"/>
    <w:rsid w:val="00C92706"/>
    <w:rsid w:val="00C92992"/>
    <w:rsid w:val="00C936FF"/>
    <w:rsid w:val="00C93844"/>
    <w:rsid w:val="00C93924"/>
    <w:rsid w:val="00C93D5C"/>
    <w:rsid w:val="00C93DE5"/>
    <w:rsid w:val="00C94618"/>
    <w:rsid w:val="00C94B63"/>
    <w:rsid w:val="00C95515"/>
    <w:rsid w:val="00C9659C"/>
    <w:rsid w:val="00C96688"/>
    <w:rsid w:val="00C966B9"/>
    <w:rsid w:val="00C96971"/>
    <w:rsid w:val="00C96DF5"/>
    <w:rsid w:val="00C975FE"/>
    <w:rsid w:val="00C97660"/>
    <w:rsid w:val="00C9779C"/>
    <w:rsid w:val="00C97E8F"/>
    <w:rsid w:val="00C97F0C"/>
    <w:rsid w:val="00CA0627"/>
    <w:rsid w:val="00CA063E"/>
    <w:rsid w:val="00CA1680"/>
    <w:rsid w:val="00CA1821"/>
    <w:rsid w:val="00CA1A13"/>
    <w:rsid w:val="00CA1D39"/>
    <w:rsid w:val="00CA214E"/>
    <w:rsid w:val="00CA215F"/>
    <w:rsid w:val="00CA2272"/>
    <w:rsid w:val="00CA25EE"/>
    <w:rsid w:val="00CA3047"/>
    <w:rsid w:val="00CA31DD"/>
    <w:rsid w:val="00CA3304"/>
    <w:rsid w:val="00CA346C"/>
    <w:rsid w:val="00CA368B"/>
    <w:rsid w:val="00CA3A46"/>
    <w:rsid w:val="00CA3E94"/>
    <w:rsid w:val="00CA3FC4"/>
    <w:rsid w:val="00CA40A9"/>
    <w:rsid w:val="00CA436B"/>
    <w:rsid w:val="00CA47BD"/>
    <w:rsid w:val="00CA49C5"/>
    <w:rsid w:val="00CA4F25"/>
    <w:rsid w:val="00CA5380"/>
    <w:rsid w:val="00CA5529"/>
    <w:rsid w:val="00CA5781"/>
    <w:rsid w:val="00CA6025"/>
    <w:rsid w:val="00CA60A4"/>
    <w:rsid w:val="00CA6BBB"/>
    <w:rsid w:val="00CA7696"/>
    <w:rsid w:val="00CA79D9"/>
    <w:rsid w:val="00CA7E5A"/>
    <w:rsid w:val="00CA7ED7"/>
    <w:rsid w:val="00CB006C"/>
    <w:rsid w:val="00CB063D"/>
    <w:rsid w:val="00CB0701"/>
    <w:rsid w:val="00CB0A86"/>
    <w:rsid w:val="00CB0FE8"/>
    <w:rsid w:val="00CB10C8"/>
    <w:rsid w:val="00CB126A"/>
    <w:rsid w:val="00CB128B"/>
    <w:rsid w:val="00CB13CC"/>
    <w:rsid w:val="00CB1D8A"/>
    <w:rsid w:val="00CB1E79"/>
    <w:rsid w:val="00CB22AE"/>
    <w:rsid w:val="00CB2586"/>
    <w:rsid w:val="00CB2641"/>
    <w:rsid w:val="00CB277B"/>
    <w:rsid w:val="00CB28F2"/>
    <w:rsid w:val="00CB29D3"/>
    <w:rsid w:val="00CB2C87"/>
    <w:rsid w:val="00CB2CA9"/>
    <w:rsid w:val="00CB2DFB"/>
    <w:rsid w:val="00CB3011"/>
    <w:rsid w:val="00CB3FB3"/>
    <w:rsid w:val="00CB4228"/>
    <w:rsid w:val="00CB51D3"/>
    <w:rsid w:val="00CB5375"/>
    <w:rsid w:val="00CB553C"/>
    <w:rsid w:val="00CB57ED"/>
    <w:rsid w:val="00CB6119"/>
    <w:rsid w:val="00CB6A8C"/>
    <w:rsid w:val="00CB7850"/>
    <w:rsid w:val="00CC0055"/>
    <w:rsid w:val="00CC03E4"/>
    <w:rsid w:val="00CC03EB"/>
    <w:rsid w:val="00CC06F6"/>
    <w:rsid w:val="00CC0C21"/>
    <w:rsid w:val="00CC0D32"/>
    <w:rsid w:val="00CC0DA7"/>
    <w:rsid w:val="00CC0F00"/>
    <w:rsid w:val="00CC1A88"/>
    <w:rsid w:val="00CC28BF"/>
    <w:rsid w:val="00CC2F95"/>
    <w:rsid w:val="00CC30E0"/>
    <w:rsid w:val="00CC33B3"/>
    <w:rsid w:val="00CC35E1"/>
    <w:rsid w:val="00CC4526"/>
    <w:rsid w:val="00CC4677"/>
    <w:rsid w:val="00CC4B9E"/>
    <w:rsid w:val="00CC4C48"/>
    <w:rsid w:val="00CC4D91"/>
    <w:rsid w:val="00CC4F10"/>
    <w:rsid w:val="00CC54A8"/>
    <w:rsid w:val="00CC5A4A"/>
    <w:rsid w:val="00CC5EA6"/>
    <w:rsid w:val="00CC63F1"/>
    <w:rsid w:val="00CC65D7"/>
    <w:rsid w:val="00CC6E37"/>
    <w:rsid w:val="00CC7063"/>
    <w:rsid w:val="00CC73B4"/>
    <w:rsid w:val="00CC74FD"/>
    <w:rsid w:val="00CC7926"/>
    <w:rsid w:val="00CC7FF8"/>
    <w:rsid w:val="00CD041C"/>
    <w:rsid w:val="00CD0491"/>
    <w:rsid w:val="00CD0CBE"/>
    <w:rsid w:val="00CD1060"/>
    <w:rsid w:val="00CD18BD"/>
    <w:rsid w:val="00CD1FD0"/>
    <w:rsid w:val="00CD2A7B"/>
    <w:rsid w:val="00CD3B1A"/>
    <w:rsid w:val="00CD3BC1"/>
    <w:rsid w:val="00CD3E1C"/>
    <w:rsid w:val="00CD4974"/>
    <w:rsid w:val="00CD4C61"/>
    <w:rsid w:val="00CD4D05"/>
    <w:rsid w:val="00CD5187"/>
    <w:rsid w:val="00CD52CF"/>
    <w:rsid w:val="00CD5572"/>
    <w:rsid w:val="00CD5C38"/>
    <w:rsid w:val="00CD5CEB"/>
    <w:rsid w:val="00CD5DFB"/>
    <w:rsid w:val="00CD613B"/>
    <w:rsid w:val="00CD625A"/>
    <w:rsid w:val="00CD65FC"/>
    <w:rsid w:val="00CD68A9"/>
    <w:rsid w:val="00CD6F08"/>
    <w:rsid w:val="00CD70F3"/>
    <w:rsid w:val="00CD72E0"/>
    <w:rsid w:val="00CD745D"/>
    <w:rsid w:val="00CE089D"/>
    <w:rsid w:val="00CE0980"/>
    <w:rsid w:val="00CE0D6D"/>
    <w:rsid w:val="00CE1239"/>
    <w:rsid w:val="00CE1DCE"/>
    <w:rsid w:val="00CE1DD5"/>
    <w:rsid w:val="00CE2084"/>
    <w:rsid w:val="00CE2CF2"/>
    <w:rsid w:val="00CE33B1"/>
    <w:rsid w:val="00CE3CD2"/>
    <w:rsid w:val="00CE438C"/>
    <w:rsid w:val="00CE48B6"/>
    <w:rsid w:val="00CE4C7A"/>
    <w:rsid w:val="00CE522E"/>
    <w:rsid w:val="00CE5760"/>
    <w:rsid w:val="00CE5941"/>
    <w:rsid w:val="00CE5992"/>
    <w:rsid w:val="00CE5C1C"/>
    <w:rsid w:val="00CE5DE5"/>
    <w:rsid w:val="00CE63F1"/>
    <w:rsid w:val="00CE67C4"/>
    <w:rsid w:val="00CE6F75"/>
    <w:rsid w:val="00CE7175"/>
    <w:rsid w:val="00CE7816"/>
    <w:rsid w:val="00CE7F15"/>
    <w:rsid w:val="00CF0285"/>
    <w:rsid w:val="00CF0645"/>
    <w:rsid w:val="00CF077B"/>
    <w:rsid w:val="00CF0A46"/>
    <w:rsid w:val="00CF117A"/>
    <w:rsid w:val="00CF1893"/>
    <w:rsid w:val="00CF1C76"/>
    <w:rsid w:val="00CF2220"/>
    <w:rsid w:val="00CF263F"/>
    <w:rsid w:val="00CF3C2D"/>
    <w:rsid w:val="00CF4680"/>
    <w:rsid w:val="00CF46AA"/>
    <w:rsid w:val="00CF489E"/>
    <w:rsid w:val="00CF4DCB"/>
    <w:rsid w:val="00CF57E7"/>
    <w:rsid w:val="00CF5FB5"/>
    <w:rsid w:val="00CF6670"/>
    <w:rsid w:val="00CF678E"/>
    <w:rsid w:val="00CF67E3"/>
    <w:rsid w:val="00CF6D9E"/>
    <w:rsid w:val="00CF7651"/>
    <w:rsid w:val="00CF799B"/>
    <w:rsid w:val="00CF7C76"/>
    <w:rsid w:val="00CF7F7C"/>
    <w:rsid w:val="00CF7FCC"/>
    <w:rsid w:val="00D00104"/>
    <w:rsid w:val="00D00368"/>
    <w:rsid w:val="00D00B7A"/>
    <w:rsid w:val="00D00FBF"/>
    <w:rsid w:val="00D01523"/>
    <w:rsid w:val="00D015A1"/>
    <w:rsid w:val="00D015DC"/>
    <w:rsid w:val="00D0162D"/>
    <w:rsid w:val="00D01861"/>
    <w:rsid w:val="00D01D76"/>
    <w:rsid w:val="00D01FCE"/>
    <w:rsid w:val="00D020F7"/>
    <w:rsid w:val="00D027C3"/>
    <w:rsid w:val="00D02C75"/>
    <w:rsid w:val="00D02ED7"/>
    <w:rsid w:val="00D0387B"/>
    <w:rsid w:val="00D039F2"/>
    <w:rsid w:val="00D04B23"/>
    <w:rsid w:val="00D069C4"/>
    <w:rsid w:val="00D06A29"/>
    <w:rsid w:val="00D071B3"/>
    <w:rsid w:val="00D074D0"/>
    <w:rsid w:val="00D07811"/>
    <w:rsid w:val="00D10472"/>
    <w:rsid w:val="00D104DE"/>
    <w:rsid w:val="00D109BF"/>
    <w:rsid w:val="00D110D9"/>
    <w:rsid w:val="00D11185"/>
    <w:rsid w:val="00D11449"/>
    <w:rsid w:val="00D118AB"/>
    <w:rsid w:val="00D11E7D"/>
    <w:rsid w:val="00D1278E"/>
    <w:rsid w:val="00D1298F"/>
    <w:rsid w:val="00D12B96"/>
    <w:rsid w:val="00D1334E"/>
    <w:rsid w:val="00D133F5"/>
    <w:rsid w:val="00D1392D"/>
    <w:rsid w:val="00D13BEB"/>
    <w:rsid w:val="00D13C73"/>
    <w:rsid w:val="00D1423F"/>
    <w:rsid w:val="00D147D3"/>
    <w:rsid w:val="00D14A04"/>
    <w:rsid w:val="00D14BFA"/>
    <w:rsid w:val="00D14E5A"/>
    <w:rsid w:val="00D152AB"/>
    <w:rsid w:val="00D15902"/>
    <w:rsid w:val="00D159B6"/>
    <w:rsid w:val="00D1670E"/>
    <w:rsid w:val="00D16804"/>
    <w:rsid w:val="00D172E2"/>
    <w:rsid w:val="00D17578"/>
    <w:rsid w:val="00D1776E"/>
    <w:rsid w:val="00D17B28"/>
    <w:rsid w:val="00D17B76"/>
    <w:rsid w:val="00D17EC8"/>
    <w:rsid w:val="00D20910"/>
    <w:rsid w:val="00D20C0F"/>
    <w:rsid w:val="00D20CDC"/>
    <w:rsid w:val="00D20E45"/>
    <w:rsid w:val="00D21431"/>
    <w:rsid w:val="00D21514"/>
    <w:rsid w:val="00D21833"/>
    <w:rsid w:val="00D21BA5"/>
    <w:rsid w:val="00D21DC0"/>
    <w:rsid w:val="00D21E5F"/>
    <w:rsid w:val="00D2223B"/>
    <w:rsid w:val="00D2227C"/>
    <w:rsid w:val="00D223A8"/>
    <w:rsid w:val="00D224AC"/>
    <w:rsid w:val="00D224CD"/>
    <w:rsid w:val="00D22704"/>
    <w:rsid w:val="00D22981"/>
    <w:rsid w:val="00D22E92"/>
    <w:rsid w:val="00D2309B"/>
    <w:rsid w:val="00D232D3"/>
    <w:rsid w:val="00D23439"/>
    <w:rsid w:val="00D23466"/>
    <w:rsid w:val="00D23835"/>
    <w:rsid w:val="00D23EF4"/>
    <w:rsid w:val="00D24145"/>
    <w:rsid w:val="00D24168"/>
    <w:rsid w:val="00D2458A"/>
    <w:rsid w:val="00D246B8"/>
    <w:rsid w:val="00D2481E"/>
    <w:rsid w:val="00D248C0"/>
    <w:rsid w:val="00D24F8B"/>
    <w:rsid w:val="00D251BB"/>
    <w:rsid w:val="00D25855"/>
    <w:rsid w:val="00D25F2C"/>
    <w:rsid w:val="00D26110"/>
    <w:rsid w:val="00D27359"/>
    <w:rsid w:val="00D278A2"/>
    <w:rsid w:val="00D27F87"/>
    <w:rsid w:val="00D3082A"/>
    <w:rsid w:val="00D30C71"/>
    <w:rsid w:val="00D3165B"/>
    <w:rsid w:val="00D316F5"/>
    <w:rsid w:val="00D3186B"/>
    <w:rsid w:val="00D3192F"/>
    <w:rsid w:val="00D31934"/>
    <w:rsid w:val="00D326BD"/>
    <w:rsid w:val="00D3284B"/>
    <w:rsid w:val="00D32E63"/>
    <w:rsid w:val="00D333F8"/>
    <w:rsid w:val="00D33556"/>
    <w:rsid w:val="00D340FA"/>
    <w:rsid w:val="00D34250"/>
    <w:rsid w:val="00D349E4"/>
    <w:rsid w:val="00D34A90"/>
    <w:rsid w:val="00D34FD2"/>
    <w:rsid w:val="00D35082"/>
    <w:rsid w:val="00D35678"/>
    <w:rsid w:val="00D3589D"/>
    <w:rsid w:val="00D35951"/>
    <w:rsid w:val="00D35BDE"/>
    <w:rsid w:val="00D36A0A"/>
    <w:rsid w:val="00D36EC4"/>
    <w:rsid w:val="00D37240"/>
    <w:rsid w:val="00D37D3A"/>
    <w:rsid w:val="00D37D47"/>
    <w:rsid w:val="00D4082D"/>
    <w:rsid w:val="00D40D5B"/>
    <w:rsid w:val="00D41259"/>
    <w:rsid w:val="00D4129F"/>
    <w:rsid w:val="00D4133A"/>
    <w:rsid w:val="00D419D2"/>
    <w:rsid w:val="00D41E4C"/>
    <w:rsid w:val="00D43B86"/>
    <w:rsid w:val="00D43ED3"/>
    <w:rsid w:val="00D444F9"/>
    <w:rsid w:val="00D45016"/>
    <w:rsid w:val="00D45C51"/>
    <w:rsid w:val="00D45EA5"/>
    <w:rsid w:val="00D464F3"/>
    <w:rsid w:val="00D46989"/>
    <w:rsid w:val="00D47009"/>
    <w:rsid w:val="00D470DC"/>
    <w:rsid w:val="00D4748B"/>
    <w:rsid w:val="00D5041F"/>
    <w:rsid w:val="00D505A3"/>
    <w:rsid w:val="00D51185"/>
    <w:rsid w:val="00D51C16"/>
    <w:rsid w:val="00D51E30"/>
    <w:rsid w:val="00D52514"/>
    <w:rsid w:val="00D52D6B"/>
    <w:rsid w:val="00D5301B"/>
    <w:rsid w:val="00D531F9"/>
    <w:rsid w:val="00D53E5E"/>
    <w:rsid w:val="00D53F82"/>
    <w:rsid w:val="00D54662"/>
    <w:rsid w:val="00D54986"/>
    <w:rsid w:val="00D54DAB"/>
    <w:rsid w:val="00D54FFF"/>
    <w:rsid w:val="00D556A1"/>
    <w:rsid w:val="00D55984"/>
    <w:rsid w:val="00D559D3"/>
    <w:rsid w:val="00D559E9"/>
    <w:rsid w:val="00D55DCD"/>
    <w:rsid w:val="00D56642"/>
    <w:rsid w:val="00D567AE"/>
    <w:rsid w:val="00D567F9"/>
    <w:rsid w:val="00D57003"/>
    <w:rsid w:val="00D570A1"/>
    <w:rsid w:val="00D570AA"/>
    <w:rsid w:val="00D57ACE"/>
    <w:rsid w:val="00D57B2C"/>
    <w:rsid w:val="00D57E09"/>
    <w:rsid w:val="00D6025C"/>
    <w:rsid w:val="00D60D3D"/>
    <w:rsid w:val="00D61541"/>
    <w:rsid w:val="00D61875"/>
    <w:rsid w:val="00D61A2C"/>
    <w:rsid w:val="00D61CB5"/>
    <w:rsid w:val="00D622F8"/>
    <w:rsid w:val="00D62B9B"/>
    <w:rsid w:val="00D63424"/>
    <w:rsid w:val="00D63CCC"/>
    <w:rsid w:val="00D64048"/>
    <w:rsid w:val="00D643B4"/>
    <w:rsid w:val="00D64769"/>
    <w:rsid w:val="00D64B81"/>
    <w:rsid w:val="00D65290"/>
    <w:rsid w:val="00D6556C"/>
    <w:rsid w:val="00D65899"/>
    <w:rsid w:val="00D65B27"/>
    <w:rsid w:val="00D6662F"/>
    <w:rsid w:val="00D6675A"/>
    <w:rsid w:val="00D66798"/>
    <w:rsid w:val="00D668FF"/>
    <w:rsid w:val="00D6707F"/>
    <w:rsid w:val="00D673F0"/>
    <w:rsid w:val="00D67D46"/>
    <w:rsid w:val="00D7005B"/>
    <w:rsid w:val="00D7013A"/>
    <w:rsid w:val="00D70142"/>
    <w:rsid w:val="00D70341"/>
    <w:rsid w:val="00D704F5"/>
    <w:rsid w:val="00D707F4"/>
    <w:rsid w:val="00D70E11"/>
    <w:rsid w:val="00D70E7B"/>
    <w:rsid w:val="00D70F75"/>
    <w:rsid w:val="00D7157D"/>
    <w:rsid w:val="00D71AC2"/>
    <w:rsid w:val="00D71B29"/>
    <w:rsid w:val="00D72135"/>
    <w:rsid w:val="00D72C12"/>
    <w:rsid w:val="00D72DB3"/>
    <w:rsid w:val="00D730A6"/>
    <w:rsid w:val="00D73102"/>
    <w:rsid w:val="00D73AB2"/>
    <w:rsid w:val="00D73AD2"/>
    <w:rsid w:val="00D7415E"/>
    <w:rsid w:val="00D74D82"/>
    <w:rsid w:val="00D74DAF"/>
    <w:rsid w:val="00D757DE"/>
    <w:rsid w:val="00D75D84"/>
    <w:rsid w:val="00D75DFF"/>
    <w:rsid w:val="00D7661E"/>
    <w:rsid w:val="00D766F7"/>
    <w:rsid w:val="00D76A78"/>
    <w:rsid w:val="00D76DEE"/>
    <w:rsid w:val="00D772C7"/>
    <w:rsid w:val="00D778D7"/>
    <w:rsid w:val="00D77F34"/>
    <w:rsid w:val="00D80A67"/>
    <w:rsid w:val="00D80F2D"/>
    <w:rsid w:val="00D81152"/>
    <w:rsid w:val="00D81519"/>
    <w:rsid w:val="00D818D7"/>
    <w:rsid w:val="00D81B83"/>
    <w:rsid w:val="00D81D6D"/>
    <w:rsid w:val="00D82172"/>
    <w:rsid w:val="00D82519"/>
    <w:rsid w:val="00D826EC"/>
    <w:rsid w:val="00D82EC6"/>
    <w:rsid w:val="00D8310A"/>
    <w:rsid w:val="00D8361F"/>
    <w:rsid w:val="00D838F9"/>
    <w:rsid w:val="00D8395F"/>
    <w:rsid w:val="00D83BA4"/>
    <w:rsid w:val="00D846CC"/>
    <w:rsid w:val="00D84770"/>
    <w:rsid w:val="00D84FC7"/>
    <w:rsid w:val="00D854D0"/>
    <w:rsid w:val="00D8588E"/>
    <w:rsid w:val="00D86270"/>
    <w:rsid w:val="00D86AD1"/>
    <w:rsid w:val="00D86B1D"/>
    <w:rsid w:val="00D86B54"/>
    <w:rsid w:val="00D871B9"/>
    <w:rsid w:val="00D873D4"/>
    <w:rsid w:val="00D87918"/>
    <w:rsid w:val="00D87C18"/>
    <w:rsid w:val="00D87C5D"/>
    <w:rsid w:val="00D87C92"/>
    <w:rsid w:val="00D87D10"/>
    <w:rsid w:val="00D90120"/>
    <w:rsid w:val="00D90261"/>
    <w:rsid w:val="00D90390"/>
    <w:rsid w:val="00D903B6"/>
    <w:rsid w:val="00D905D9"/>
    <w:rsid w:val="00D9099A"/>
    <w:rsid w:val="00D90D16"/>
    <w:rsid w:val="00D91513"/>
    <w:rsid w:val="00D91CAC"/>
    <w:rsid w:val="00D91EB5"/>
    <w:rsid w:val="00D9276B"/>
    <w:rsid w:val="00D92A5C"/>
    <w:rsid w:val="00D92F47"/>
    <w:rsid w:val="00D93045"/>
    <w:rsid w:val="00D9308F"/>
    <w:rsid w:val="00D93296"/>
    <w:rsid w:val="00D93AE3"/>
    <w:rsid w:val="00D93DCE"/>
    <w:rsid w:val="00D9436C"/>
    <w:rsid w:val="00D946B5"/>
    <w:rsid w:val="00D95B36"/>
    <w:rsid w:val="00D95CF3"/>
    <w:rsid w:val="00D960A5"/>
    <w:rsid w:val="00D96A83"/>
    <w:rsid w:val="00D96D13"/>
    <w:rsid w:val="00D96F34"/>
    <w:rsid w:val="00D97071"/>
    <w:rsid w:val="00D9756A"/>
    <w:rsid w:val="00D977F3"/>
    <w:rsid w:val="00D97932"/>
    <w:rsid w:val="00D97A10"/>
    <w:rsid w:val="00D97B07"/>
    <w:rsid w:val="00D97F49"/>
    <w:rsid w:val="00DA0558"/>
    <w:rsid w:val="00DA0994"/>
    <w:rsid w:val="00DA0CEA"/>
    <w:rsid w:val="00DA1260"/>
    <w:rsid w:val="00DA17AC"/>
    <w:rsid w:val="00DA1867"/>
    <w:rsid w:val="00DA1E1E"/>
    <w:rsid w:val="00DA1E91"/>
    <w:rsid w:val="00DA2984"/>
    <w:rsid w:val="00DA2A3F"/>
    <w:rsid w:val="00DA2A46"/>
    <w:rsid w:val="00DA2B27"/>
    <w:rsid w:val="00DA2C70"/>
    <w:rsid w:val="00DA359E"/>
    <w:rsid w:val="00DA434E"/>
    <w:rsid w:val="00DA464B"/>
    <w:rsid w:val="00DA4EA0"/>
    <w:rsid w:val="00DA51DB"/>
    <w:rsid w:val="00DA5A29"/>
    <w:rsid w:val="00DA63E2"/>
    <w:rsid w:val="00DA668F"/>
    <w:rsid w:val="00DA699A"/>
    <w:rsid w:val="00DA790C"/>
    <w:rsid w:val="00DB0075"/>
    <w:rsid w:val="00DB0D4E"/>
    <w:rsid w:val="00DB129C"/>
    <w:rsid w:val="00DB1CD4"/>
    <w:rsid w:val="00DB226C"/>
    <w:rsid w:val="00DB22CD"/>
    <w:rsid w:val="00DB3A14"/>
    <w:rsid w:val="00DB4E78"/>
    <w:rsid w:val="00DB5164"/>
    <w:rsid w:val="00DB5617"/>
    <w:rsid w:val="00DB5A32"/>
    <w:rsid w:val="00DB5AC6"/>
    <w:rsid w:val="00DB5BD7"/>
    <w:rsid w:val="00DB5CD7"/>
    <w:rsid w:val="00DB61C5"/>
    <w:rsid w:val="00DB6FDB"/>
    <w:rsid w:val="00DB7004"/>
    <w:rsid w:val="00DB7BF1"/>
    <w:rsid w:val="00DB7F50"/>
    <w:rsid w:val="00DB7F99"/>
    <w:rsid w:val="00DB7FDF"/>
    <w:rsid w:val="00DC0010"/>
    <w:rsid w:val="00DC01DF"/>
    <w:rsid w:val="00DC06D3"/>
    <w:rsid w:val="00DC0B80"/>
    <w:rsid w:val="00DC0C61"/>
    <w:rsid w:val="00DC0FB3"/>
    <w:rsid w:val="00DC147E"/>
    <w:rsid w:val="00DC16DD"/>
    <w:rsid w:val="00DC1801"/>
    <w:rsid w:val="00DC2319"/>
    <w:rsid w:val="00DC235F"/>
    <w:rsid w:val="00DC293B"/>
    <w:rsid w:val="00DC2BB3"/>
    <w:rsid w:val="00DC2E0F"/>
    <w:rsid w:val="00DC35DE"/>
    <w:rsid w:val="00DC3975"/>
    <w:rsid w:val="00DC39C6"/>
    <w:rsid w:val="00DC437C"/>
    <w:rsid w:val="00DC450A"/>
    <w:rsid w:val="00DC4554"/>
    <w:rsid w:val="00DC472D"/>
    <w:rsid w:val="00DC47EB"/>
    <w:rsid w:val="00DC48A0"/>
    <w:rsid w:val="00DC592E"/>
    <w:rsid w:val="00DC595A"/>
    <w:rsid w:val="00DC5A21"/>
    <w:rsid w:val="00DC6058"/>
    <w:rsid w:val="00DC6291"/>
    <w:rsid w:val="00DC6882"/>
    <w:rsid w:val="00DC6CC2"/>
    <w:rsid w:val="00DD0395"/>
    <w:rsid w:val="00DD07B4"/>
    <w:rsid w:val="00DD0E25"/>
    <w:rsid w:val="00DD0E89"/>
    <w:rsid w:val="00DD1029"/>
    <w:rsid w:val="00DD1EE0"/>
    <w:rsid w:val="00DD1FDC"/>
    <w:rsid w:val="00DD2790"/>
    <w:rsid w:val="00DD2B29"/>
    <w:rsid w:val="00DD32F2"/>
    <w:rsid w:val="00DD355C"/>
    <w:rsid w:val="00DD39F9"/>
    <w:rsid w:val="00DD3BC2"/>
    <w:rsid w:val="00DD49AF"/>
    <w:rsid w:val="00DD5424"/>
    <w:rsid w:val="00DD5862"/>
    <w:rsid w:val="00DD5989"/>
    <w:rsid w:val="00DD5A5E"/>
    <w:rsid w:val="00DD6FD8"/>
    <w:rsid w:val="00DD76E1"/>
    <w:rsid w:val="00DD7735"/>
    <w:rsid w:val="00DD7CF3"/>
    <w:rsid w:val="00DD7F52"/>
    <w:rsid w:val="00DD7FFC"/>
    <w:rsid w:val="00DE00B9"/>
    <w:rsid w:val="00DE00F5"/>
    <w:rsid w:val="00DE03E8"/>
    <w:rsid w:val="00DE0727"/>
    <w:rsid w:val="00DE0739"/>
    <w:rsid w:val="00DE0C46"/>
    <w:rsid w:val="00DE1C73"/>
    <w:rsid w:val="00DE27E3"/>
    <w:rsid w:val="00DE33FD"/>
    <w:rsid w:val="00DE34B3"/>
    <w:rsid w:val="00DE37CE"/>
    <w:rsid w:val="00DE3872"/>
    <w:rsid w:val="00DE39B1"/>
    <w:rsid w:val="00DE3EA0"/>
    <w:rsid w:val="00DE40FD"/>
    <w:rsid w:val="00DE4114"/>
    <w:rsid w:val="00DE4384"/>
    <w:rsid w:val="00DE468F"/>
    <w:rsid w:val="00DE46A4"/>
    <w:rsid w:val="00DE4C7F"/>
    <w:rsid w:val="00DE4E19"/>
    <w:rsid w:val="00DE54D4"/>
    <w:rsid w:val="00DE55BF"/>
    <w:rsid w:val="00DE5729"/>
    <w:rsid w:val="00DE5A4D"/>
    <w:rsid w:val="00DE5DCE"/>
    <w:rsid w:val="00DE5F1D"/>
    <w:rsid w:val="00DE65EC"/>
    <w:rsid w:val="00DE6A1B"/>
    <w:rsid w:val="00DE6A63"/>
    <w:rsid w:val="00DE6DBA"/>
    <w:rsid w:val="00DE7142"/>
    <w:rsid w:val="00DE728D"/>
    <w:rsid w:val="00DE7471"/>
    <w:rsid w:val="00DE74D8"/>
    <w:rsid w:val="00DE761C"/>
    <w:rsid w:val="00DE76D7"/>
    <w:rsid w:val="00DE7FD1"/>
    <w:rsid w:val="00DF0001"/>
    <w:rsid w:val="00DF000A"/>
    <w:rsid w:val="00DF0F4E"/>
    <w:rsid w:val="00DF1088"/>
    <w:rsid w:val="00DF129D"/>
    <w:rsid w:val="00DF1475"/>
    <w:rsid w:val="00DF14A2"/>
    <w:rsid w:val="00DF154B"/>
    <w:rsid w:val="00DF16B1"/>
    <w:rsid w:val="00DF1C3B"/>
    <w:rsid w:val="00DF1C59"/>
    <w:rsid w:val="00DF1CA5"/>
    <w:rsid w:val="00DF1D51"/>
    <w:rsid w:val="00DF27AA"/>
    <w:rsid w:val="00DF295B"/>
    <w:rsid w:val="00DF296D"/>
    <w:rsid w:val="00DF2A19"/>
    <w:rsid w:val="00DF2B32"/>
    <w:rsid w:val="00DF3862"/>
    <w:rsid w:val="00DF3B8E"/>
    <w:rsid w:val="00DF4A3D"/>
    <w:rsid w:val="00DF52AA"/>
    <w:rsid w:val="00DF5AC9"/>
    <w:rsid w:val="00DF5E37"/>
    <w:rsid w:val="00DF5EDC"/>
    <w:rsid w:val="00DF6B4E"/>
    <w:rsid w:val="00DF77FE"/>
    <w:rsid w:val="00E00260"/>
    <w:rsid w:val="00E0066A"/>
    <w:rsid w:val="00E015DC"/>
    <w:rsid w:val="00E02037"/>
    <w:rsid w:val="00E0292D"/>
    <w:rsid w:val="00E029E3"/>
    <w:rsid w:val="00E02C98"/>
    <w:rsid w:val="00E02F04"/>
    <w:rsid w:val="00E0318C"/>
    <w:rsid w:val="00E031AD"/>
    <w:rsid w:val="00E03440"/>
    <w:rsid w:val="00E0417A"/>
    <w:rsid w:val="00E043BC"/>
    <w:rsid w:val="00E06063"/>
    <w:rsid w:val="00E06714"/>
    <w:rsid w:val="00E06A35"/>
    <w:rsid w:val="00E10A2A"/>
    <w:rsid w:val="00E1116B"/>
    <w:rsid w:val="00E11B58"/>
    <w:rsid w:val="00E11DAB"/>
    <w:rsid w:val="00E126BD"/>
    <w:rsid w:val="00E1359F"/>
    <w:rsid w:val="00E136AE"/>
    <w:rsid w:val="00E13DF3"/>
    <w:rsid w:val="00E14855"/>
    <w:rsid w:val="00E15C02"/>
    <w:rsid w:val="00E15D99"/>
    <w:rsid w:val="00E168D1"/>
    <w:rsid w:val="00E16DCC"/>
    <w:rsid w:val="00E16DDF"/>
    <w:rsid w:val="00E1705F"/>
    <w:rsid w:val="00E170C9"/>
    <w:rsid w:val="00E178F5"/>
    <w:rsid w:val="00E17AA5"/>
    <w:rsid w:val="00E17DE0"/>
    <w:rsid w:val="00E17DF4"/>
    <w:rsid w:val="00E17E30"/>
    <w:rsid w:val="00E17EEE"/>
    <w:rsid w:val="00E20BFD"/>
    <w:rsid w:val="00E20CE3"/>
    <w:rsid w:val="00E20E81"/>
    <w:rsid w:val="00E20ED2"/>
    <w:rsid w:val="00E21265"/>
    <w:rsid w:val="00E21688"/>
    <w:rsid w:val="00E21B65"/>
    <w:rsid w:val="00E21FE3"/>
    <w:rsid w:val="00E23080"/>
    <w:rsid w:val="00E23FC8"/>
    <w:rsid w:val="00E24543"/>
    <w:rsid w:val="00E248BA"/>
    <w:rsid w:val="00E24FAF"/>
    <w:rsid w:val="00E25076"/>
    <w:rsid w:val="00E255BB"/>
    <w:rsid w:val="00E25CAB"/>
    <w:rsid w:val="00E26563"/>
    <w:rsid w:val="00E26FEA"/>
    <w:rsid w:val="00E272EE"/>
    <w:rsid w:val="00E27F10"/>
    <w:rsid w:val="00E301D8"/>
    <w:rsid w:val="00E30588"/>
    <w:rsid w:val="00E3105E"/>
    <w:rsid w:val="00E315F0"/>
    <w:rsid w:val="00E31651"/>
    <w:rsid w:val="00E31855"/>
    <w:rsid w:val="00E31C59"/>
    <w:rsid w:val="00E31E45"/>
    <w:rsid w:val="00E320B7"/>
    <w:rsid w:val="00E3249C"/>
    <w:rsid w:val="00E3293C"/>
    <w:rsid w:val="00E329E6"/>
    <w:rsid w:val="00E32AD9"/>
    <w:rsid w:val="00E32BCA"/>
    <w:rsid w:val="00E3358C"/>
    <w:rsid w:val="00E336CC"/>
    <w:rsid w:val="00E33BED"/>
    <w:rsid w:val="00E33BF9"/>
    <w:rsid w:val="00E341B0"/>
    <w:rsid w:val="00E343E4"/>
    <w:rsid w:val="00E3448B"/>
    <w:rsid w:val="00E34A3C"/>
    <w:rsid w:val="00E3558F"/>
    <w:rsid w:val="00E357DE"/>
    <w:rsid w:val="00E36036"/>
    <w:rsid w:val="00E368A8"/>
    <w:rsid w:val="00E36B31"/>
    <w:rsid w:val="00E37C4B"/>
    <w:rsid w:val="00E40287"/>
    <w:rsid w:val="00E40438"/>
    <w:rsid w:val="00E40639"/>
    <w:rsid w:val="00E41408"/>
    <w:rsid w:val="00E416F3"/>
    <w:rsid w:val="00E41C48"/>
    <w:rsid w:val="00E41C5F"/>
    <w:rsid w:val="00E41DE2"/>
    <w:rsid w:val="00E42170"/>
    <w:rsid w:val="00E431E4"/>
    <w:rsid w:val="00E432B7"/>
    <w:rsid w:val="00E43A87"/>
    <w:rsid w:val="00E43CCF"/>
    <w:rsid w:val="00E43EC8"/>
    <w:rsid w:val="00E449C6"/>
    <w:rsid w:val="00E44A6A"/>
    <w:rsid w:val="00E44C4F"/>
    <w:rsid w:val="00E45126"/>
    <w:rsid w:val="00E4526C"/>
    <w:rsid w:val="00E454B3"/>
    <w:rsid w:val="00E4554E"/>
    <w:rsid w:val="00E456FF"/>
    <w:rsid w:val="00E45755"/>
    <w:rsid w:val="00E457D3"/>
    <w:rsid w:val="00E45C4F"/>
    <w:rsid w:val="00E45EF3"/>
    <w:rsid w:val="00E4620E"/>
    <w:rsid w:val="00E46242"/>
    <w:rsid w:val="00E4749D"/>
    <w:rsid w:val="00E47C42"/>
    <w:rsid w:val="00E507C2"/>
    <w:rsid w:val="00E50E2B"/>
    <w:rsid w:val="00E515B4"/>
    <w:rsid w:val="00E51C0B"/>
    <w:rsid w:val="00E52104"/>
    <w:rsid w:val="00E5278B"/>
    <w:rsid w:val="00E52F4A"/>
    <w:rsid w:val="00E53173"/>
    <w:rsid w:val="00E5335B"/>
    <w:rsid w:val="00E53B60"/>
    <w:rsid w:val="00E54216"/>
    <w:rsid w:val="00E5429F"/>
    <w:rsid w:val="00E543AE"/>
    <w:rsid w:val="00E544DC"/>
    <w:rsid w:val="00E54D33"/>
    <w:rsid w:val="00E55B55"/>
    <w:rsid w:val="00E55BA2"/>
    <w:rsid w:val="00E55C0D"/>
    <w:rsid w:val="00E55C32"/>
    <w:rsid w:val="00E56200"/>
    <w:rsid w:val="00E565F9"/>
    <w:rsid w:val="00E56662"/>
    <w:rsid w:val="00E5671B"/>
    <w:rsid w:val="00E569C3"/>
    <w:rsid w:val="00E5750F"/>
    <w:rsid w:val="00E5765E"/>
    <w:rsid w:val="00E57E43"/>
    <w:rsid w:val="00E607EF"/>
    <w:rsid w:val="00E611E6"/>
    <w:rsid w:val="00E617C1"/>
    <w:rsid w:val="00E61C73"/>
    <w:rsid w:val="00E6211C"/>
    <w:rsid w:val="00E62679"/>
    <w:rsid w:val="00E62772"/>
    <w:rsid w:val="00E627B2"/>
    <w:rsid w:val="00E62A2C"/>
    <w:rsid w:val="00E62B96"/>
    <w:rsid w:val="00E62C6A"/>
    <w:rsid w:val="00E6323E"/>
    <w:rsid w:val="00E636FA"/>
    <w:rsid w:val="00E63795"/>
    <w:rsid w:val="00E63E3F"/>
    <w:rsid w:val="00E63EF6"/>
    <w:rsid w:val="00E6460D"/>
    <w:rsid w:val="00E64D51"/>
    <w:rsid w:val="00E64FF6"/>
    <w:rsid w:val="00E65129"/>
    <w:rsid w:val="00E6519F"/>
    <w:rsid w:val="00E659E1"/>
    <w:rsid w:val="00E66529"/>
    <w:rsid w:val="00E675C3"/>
    <w:rsid w:val="00E6776B"/>
    <w:rsid w:val="00E67996"/>
    <w:rsid w:val="00E67B40"/>
    <w:rsid w:val="00E7074E"/>
    <w:rsid w:val="00E70A14"/>
    <w:rsid w:val="00E70DD9"/>
    <w:rsid w:val="00E70F34"/>
    <w:rsid w:val="00E714D2"/>
    <w:rsid w:val="00E71507"/>
    <w:rsid w:val="00E71BF4"/>
    <w:rsid w:val="00E72284"/>
    <w:rsid w:val="00E7255E"/>
    <w:rsid w:val="00E72571"/>
    <w:rsid w:val="00E72B00"/>
    <w:rsid w:val="00E734EE"/>
    <w:rsid w:val="00E73806"/>
    <w:rsid w:val="00E73E82"/>
    <w:rsid w:val="00E74116"/>
    <w:rsid w:val="00E74573"/>
    <w:rsid w:val="00E74583"/>
    <w:rsid w:val="00E74F70"/>
    <w:rsid w:val="00E7587D"/>
    <w:rsid w:val="00E7610E"/>
    <w:rsid w:val="00E76189"/>
    <w:rsid w:val="00E7685F"/>
    <w:rsid w:val="00E768F0"/>
    <w:rsid w:val="00E7726A"/>
    <w:rsid w:val="00E77274"/>
    <w:rsid w:val="00E77424"/>
    <w:rsid w:val="00E77565"/>
    <w:rsid w:val="00E77C47"/>
    <w:rsid w:val="00E80574"/>
    <w:rsid w:val="00E805C6"/>
    <w:rsid w:val="00E81604"/>
    <w:rsid w:val="00E8163B"/>
    <w:rsid w:val="00E81673"/>
    <w:rsid w:val="00E82524"/>
    <w:rsid w:val="00E82607"/>
    <w:rsid w:val="00E833F0"/>
    <w:rsid w:val="00E83F91"/>
    <w:rsid w:val="00E8449E"/>
    <w:rsid w:val="00E8496D"/>
    <w:rsid w:val="00E8507B"/>
    <w:rsid w:val="00E850D1"/>
    <w:rsid w:val="00E85E34"/>
    <w:rsid w:val="00E86153"/>
    <w:rsid w:val="00E861AC"/>
    <w:rsid w:val="00E86790"/>
    <w:rsid w:val="00E86943"/>
    <w:rsid w:val="00E869BA"/>
    <w:rsid w:val="00E86B87"/>
    <w:rsid w:val="00E86E5F"/>
    <w:rsid w:val="00E87497"/>
    <w:rsid w:val="00E8781A"/>
    <w:rsid w:val="00E87D89"/>
    <w:rsid w:val="00E87E3A"/>
    <w:rsid w:val="00E87EC9"/>
    <w:rsid w:val="00E90A28"/>
    <w:rsid w:val="00E91331"/>
    <w:rsid w:val="00E91675"/>
    <w:rsid w:val="00E91D13"/>
    <w:rsid w:val="00E91DD2"/>
    <w:rsid w:val="00E92010"/>
    <w:rsid w:val="00E9207B"/>
    <w:rsid w:val="00E920A8"/>
    <w:rsid w:val="00E9213F"/>
    <w:rsid w:val="00E922F6"/>
    <w:rsid w:val="00E922FA"/>
    <w:rsid w:val="00E9236B"/>
    <w:rsid w:val="00E923E2"/>
    <w:rsid w:val="00E92946"/>
    <w:rsid w:val="00E92C65"/>
    <w:rsid w:val="00E93B3E"/>
    <w:rsid w:val="00E93D18"/>
    <w:rsid w:val="00E93F6D"/>
    <w:rsid w:val="00E9414F"/>
    <w:rsid w:val="00E94450"/>
    <w:rsid w:val="00E956A6"/>
    <w:rsid w:val="00E956EF"/>
    <w:rsid w:val="00E95F90"/>
    <w:rsid w:val="00E95FC8"/>
    <w:rsid w:val="00E960C0"/>
    <w:rsid w:val="00E9647E"/>
    <w:rsid w:val="00E97957"/>
    <w:rsid w:val="00E97A26"/>
    <w:rsid w:val="00E97AAC"/>
    <w:rsid w:val="00E97B11"/>
    <w:rsid w:val="00E97E0F"/>
    <w:rsid w:val="00EA046D"/>
    <w:rsid w:val="00EA0531"/>
    <w:rsid w:val="00EA09CD"/>
    <w:rsid w:val="00EA0CF2"/>
    <w:rsid w:val="00EA0D95"/>
    <w:rsid w:val="00EA1030"/>
    <w:rsid w:val="00EA1575"/>
    <w:rsid w:val="00EA18F4"/>
    <w:rsid w:val="00EA1913"/>
    <w:rsid w:val="00EA1AE8"/>
    <w:rsid w:val="00EA236A"/>
    <w:rsid w:val="00EA28B4"/>
    <w:rsid w:val="00EA31FB"/>
    <w:rsid w:val="00EA388D"/>
    <w:rsid w:val="00EA4320"/>
    <w:rsid w:val="00EA437B"/>
    <w:rsid w:val="00EA458E"/>
    <w:rsid w:val="00EA49EC"/>
    <w:rsid w:val="00EA4BCC"/>
    <w:rsid w:val="00EA4DD8"/>
    <w:rsid w:val="00EA5CDD"/>
    <w:rsid w:val="00EA6205"/>
    <w:rsid w:val="00EA6214"/>
    <w:rsid w:val="00EA6395"/>
    <w:rsid w:val="00EA67A4"/>
    <w:rsid w:val="00EA6CB2"/>
    <w:rsid w:val="00EA6ED2"/>
    <w:rsid w:val="00EA7756"/>
    <w:rsid w:val="00EA7992"/>
    <w:rsid w:val="00EA7ED6"/>
    <w:rsid w:val="00EB09A9"/>
    <w:rsid w:val="00EB0B52"/>
    <w:rsid w:val="00EB0ED0"/>
    <w:rsid w:val="00EB0F7B"/>
    <w:rsid w:val="00EB2569"/>
    <w:rsid w:val="00EB2A0D"/>
    <w:rsid w:val="00EB2C7F"/>
    <w:rsid w:val="00EB2CE9"/>
    <w:rsid w:val="00EB2F2F"/>
    <w:rsid w:val="00EB3476"/>
    <w:rsid w:val="00EB3BA8"/>
    <w:rsid w:val="00EB3C38"/>
    <w:rsid w:val="00EB45CE"/>
    <w:rsid w:val="00EB4A94"/>
    <w:rsid w:val="00EB4D43"/>
    <w:rsid w:val="00EB4EBF"/>
    <w:rsid w:val="00EB557C"/>
    <w:rsid w:val="00EB5686"/>
    <w:rsid w:val="00EB6623"/>
    <w:rsid w:val="00EB6A4F"/>
    <w:rsid w:val="00EB738A"/>
    <w:rsid w:val="00EB77B7"/>
    <w:rsid w:val="00EB77DE"/>
    <w:rsid w:val="00EB7EF7"/>
    <w:rsid w:val="00EB7FF4"/>
    <w:rsid w:val="00EC0743"/>
    <w:rsid w:val="00EC1C25"/>
    <w:rsid w:val="00EC1C63"/>
    <w:rsid w:val="00EC210B"/>
    <w:rsid w:val="00EC266B"/>
    <w:rsid w:val="00EC2A0E"/>
    <w:rsid w:val="00EC345E"/>
    <w:rsid w:val="00EC3677"/>
    <w:rsid w:val="00EC409B"/>
    <w:rsid w:val="00EC46B0"/>
    <w:rsid w:val="00EC4B42"/>
    <w:rsid w:val="00EC4B4A"/>
    <w:rsid w:val="00EC4C41"/>
    <w:rsid w:val="00EC4DA5"/>
    <w:rsid w:val="00EC5E15"/>
    <w:rsid w:val="00EC7001"/>
    <w:rsid w:val="00EC74D9"/>
    <w:rsid w:val="00ED026F"/>
    <w:rsid w:val="00ED12B3"/>
    <w:rsid w:val="00ED14A3"/>
    <w:rsid w:val="00ED29DA"/>
    <w:rsid w:val="00ED2A3C"/>
    <w:rsid w:val="00ED33A0"/>
    <w:rsid w:val="00ED34B9"/>
    <w:rsid w:val="00ED3A94"/>
    <w:rsid w:val="00ED3B61"/>
    <w:rsid w:val="00ED3E9E"/>
    <w:rsid w:val="00ED3F7E"/>
    <w:rsid w:val="00ED4108"/>
    <w:rsid w:val="00ED4B48"/>
    <w:rsid w:val="00ED4FD3"/>
    <w:rsid w:val="00ED5409"/>
    <w:rsid w:val="00ED5521"/>
    <w:rsid w:val="00ED57A6"/>
    <w:rsid w:val="00ED5A87"/>
    <w:rsid w:val="00ED69E0"/>
    <w:rsid w:val="00ED763A"/>
    <w:rsid w:val="00ED7AAE"/>
    <w:rsid w:val="00EE046E"/>
    <w:rsid w:val="00EE0A92"/>
    <w:rsid w:val="00EE120F"/>
    <w:rsid w:val="00EE13C3"/>
    <w:rsid w:val="00EE1814"/>
    <w:rsid w:val="00EE190E"/>
    <w:rsid w:val="00EE1E19"/>
    <w:rsid w:val="00EE2067"/>
    <w:rsid w:val="00EE20FB"/>
    <w:rsid w:val="00EE25C7"/>
    <w:rsid w:val="00EE2673"/>
    <w:rsid w:val="00EE29F3"/>
    <w:rsid w:val="00EE2CD4"/>
    <w:rsid w:val="00EE2DE8"/>
    <w:rsid w:val="00EE3165"/>
    <w:rsid w:val="00EE31E2"/>
    <w:rsid w:val="00EE354A"/>
    <w:rsid w:val="00EE3688"/>
    <w:rsid w:val="00EE433C"/>
    <w:rsid w:val="00EE456C"/>
    <w:rsid w:val="00EE4C73"/>
    <w:rsid w:val="00EE4CA1"/>
    <w:rsid w:val="00EE588A"/>
    <w:rsid w:val="00EE5B6F"/>
    <w:rsid w:val="00EE5BEB"/>
    <w:rsid w:val="00EE5CD5"/>
    <w:rsid w:val="00EE6543"/>
    <w:rsid w:val="00EE6A1C"/>
    <w:rsid w:val="00EE7288"/>
    <w:rsid w:val="00EE74BB"/>
    <w:rsid w:val="00EE794D"/>
    <w:rsid w:val="00EE7B85"/>
    <w:rsid w:val="00EF0615"/>
    <w:rsid w:val="00EF0D0D"/>
    <w:rsid w:val="00EF0F6C"/>
    <w:rsid w:val="00EF13AE"/>
    <w:rsid w:val="00EF1627"/>
    <w:rsid w:val="00EF17DB"/>
    <w:rsid w:val="00EF1826"/>
    <w:rsid w:val="00EF2192"/>
    <w:rsid w:val="00EF248F"/>
    <w:rsid w:val="00EF26E0"/>
    <w:rsid w:val="00EF29F6"/>
    <w:rsid w:val="00EF3611"/>
    <w:rsid w:val="00EF3C82"/>
    <w:rsid w:val="00EF4296"/>
    <w:rsid w:val="00EF4F28"/>
    <w:rsid w:val="00EF5602"/>
    <w:rsid w:val="00EF60B9"/>
    <w:rsid w:val="00EF62AC"/>
    <w:rsid w:val="00EF62BF"/>
    <w:rsid w:val="00EF638F"/>
    <w:rsid w:val="00EF6598"/>
    <w:rsid w:val="00EF6B15"/>
    <w:rsid w:val="00EF6D8C"/>
    <w:rsid w:val="00EF70D5"/>
    <w:rsid w:val="00EF70DC"/>
    <w:rsid w:val="00EF7200"/>
    <w:rsid w:val="00EF7426"/>
    <w:rsid w:val="00EF7851"/>
    <w:rsid w:val="00EF7B76"/>
    <w:rsid w:val="00EF7E2E"/>
    <w:rsid w:val="00F00412"/>
    <w:rsid w:val="00F00957"/>
    <w:rsid w:val="00F01138"/>
    <w:rsid w:val="00F01A36"/>
    <w:rsid w:val="00F02B0D"/>
    <w:rsid w:val="00F02C19"/>
    <w:rsid w:val="00F03028"/>
    <w:rsid w:val="00F030A4"/>
    <w:rsid w:val="00F0310D"/>
    <w:rsid w:val="00F03EB8"/>
    <w:rsid w:val="00F03F9A"/>
    <w:rsid w:val="00F041A6"/>
    <w:rsid w:val="00F043A5"/>
    <w:rsid w:val="00F04ADD"/>
    <w:rsid w:val="00F059E4"/>
    <w:rsid w:val="00F05A23"/>
    <w:rsid w:val="00F05B0E"/>
    <w:rsid w:val="00F05D0D"/>
    <w:rsid w:val="00F06117"/>
    <w:rsid w:val="00F069D3"/>
    <w:rsid w:val="00F06DDF"/>
    <w:rsid w:val="00F07BEF"/>
    <w:rsid w:val="00F1050C"/>
    <w:rsid w:val="00F10562"/>
    <w:rsid w:val="00F1056C"/>
    <w:rsid w:val="00F1065D"/>
    <w:rsid w:val="00F11959"/>
    <w:rsid w:val="00F126C2"/>
    <w:rsid w:val="00F12CA0"/>
    <w:rsid w:val="00F12CD0"/>
    <w:rsid w:val="00F13590"/>
    <w:rsid w:val="00F13E89"/>
    <w:rsid w:val="00F14635"/>
    <w:rsid w:val="00F148D3"/>
    <w:rsid w:val="00F149BC"/>
    <w:rsid w:val="00F15C34"/>
    <w:rsid w:val="00F16597"/>
    <w:rsid w:val="00F168D2"/>
    <w:rsid w:val="00F16C78"/>
    <w:rsid w:val="00F170D9"/>
    <w:rsid w:val="00F172DA"/>
    <w:rsid w:val="00F17497"/>
    <w:rsid w:val="00F1793E"/>
    <w:rsid w:val="00F17EC4"/>
    <w:rsid w:val="00F17F95"/>
    <w:rsid w:val="00F17FD8"/>
    <w:rsid w:val="00F20C03"/>
    <w:rsid w:val="00F20DE0"/>
    <w:rsid w:val="00F20E93"/>
    <w:rsid w:val="00F2116A"/>
    <w:rsid w:val="00F2166B"/>
    <w:rsid w:val="00F228B8"/>
    <w:rsid w:val="00F22A64"/>
    <w:rsid w:val="00F22A82"/>
    <w:rsid w:val="00F233D6"/>
    <w:rsid w:val="00F23908"/>
    <w:rsid w:val="00F240A6"/>
    <w:rsid w:val="00F2428B"/>
    <w:rsid w:val="00F2528B"/>
    <w:rsid w:val="00F2555D"/>
    <w:rsid w:val="00F25DB8"/>
    <w:rsid w:val="00F25DD6"/>
    <w:rsid w:val="00F26123"/>
    <w:rsid w:val="00F26B7A"/>
    <w:rsid w:val="00F26DBE"/>
    <w:rsid w:val="00F270A5"/>
    <w:rsid w:val="00F27512"/>
    <w:rsid w:val="00F27543"/>
    <w:rsid w:val="00F279FE"/>
    <w:rsid w:val="00F27ACD"/>
    <w:rsid w:val="00F27E2B"/>
    <w:rsid w:val="00F305B8"/>
    <w:rsid w:val="00F30D22"/>
    <w:rsid w:val="00F31349"/>
    <w:rsid w:val="00F3148E"/>
    <w:rsid w:val="00F314E2"/>
    <w:rsid w:val="00F31E96"/>
    <w:rsid w:val="00F32171"/>
    <w:rsid w:val="00F32949"/>
    <w:rsid w:val="00F33661"/>
    <w:rsid w:val="00F33B8C"/>
    <w:rsid w:val="00F33F72"/>
    <w:rsid w:val="00F34541"/>
    <w:rsid w:val="00F35F58"/>
    <w:rsid w:val="00F35FA6"/>
    <w:rsid w:val="00F3695D"/>
    <w:rsid w:val="00F36AAF"/>
    <w:rsid w:val="00F36D86"/>
    <w:rsid w:val="00F36E76"/>
    <w:rsid w:val="00F36EB5"/>
    <w:rsid w:val="00F37793"/>
    <w:rsid w:val="00F37883"/>
    <w:rsid w:val="00F37CCC"/>
    <w:rsid w:val="00F37DF0"/>
    <w:rsid w:val="00F37E92"/>
    <w:rsid w:val="00F4158F"/>
    <w:rsid w:val="00F41716"/>
    <w:rsid w:val="00F41F3F"/>
    <w:rsid w:val="00F42503"/>
    <w:rsid w:val="00F426BE"/>
    <w:rsid w:val="00F436E7"/>
    <w:rsid w:val="00F439DD"/>
    <w:rsid w:val="00F439E2"/>
    <w:rsid w:val="00F43E76"/>
    <w:rsid w:val="00F44164"/>
    <w:rsid w:val="00F444CB"/>
    <w:rsid w:val="00F44BB5"/>
    <w:rsid w:val="00F44C6B"/>
    <w:rsid w:val="00F450FB"/>
    <w:rsid w:val="00F451E5"/>
    <w:rsid w:val="00F455E3"/>
    <w:rsid w:val="00F45768"/>
    <w:rsid w:val="00F457D0"/>
    <w:rsid w:val="00F45A69"/>
    <w:rsid w:val="00F45CE1"/>
    <w:rsid w:val="00F46874"/>
    <w:rsid w:val="00F4707F"/>
    <w:rsid w:val="00F4771F"/>
    <w:rsid w:val="00F478AB"/>
    <w:rsid w:val="00F47AB6"/>
    <w:rsid w:val="00F504BD"/>
    <w:rsid w:val="00F504C9"/>
    <w:rsid w:val="00F50619"/>
    <w:rsid w:val="00F508BF"/>
    <w:rsid w:val="00F509B8"/>
    <w:rsid w:val="00F5109D"/>
    <w:rsid w:val="00F51BCA"/>
    <w:rsid w:val="00F51DE0"/>
    <w:rsid w:val="00F51E94"/>
    <w:rsid w:val="00F526A5"/>
    <w:rsid w:val="00F52739"/>
    <w:rsid w:val="00F5348B"/>
    <w:rsid w:val="00F5454A"/>
    <w:rsid w:val="00F54E47"/>
    <w:rsid w:val="00F55AA9"/>
    <w:rsid w:val="00F563D2"/>
    <w:rsid w:val="00F56A48"/>
    <w:rsid w:val="00F56ECE"/>
    <w:rsid w:val="00F5773B"/>
    <w:rsid w:val="00F578E0"/>
    <w:rsid w:val="00F57999"/>
    <w:rsid w:val="00F60453"/>
    <w:rsid w:val="00F60783"/>
    <w:rsid w:val="00F60958"/>
    <w:rsid w:val="00F61242"/>
    <w:rsid w:val="00F612CC"/>
    <w:rsid w:val="00F6155D"/>
    <w:rsid w:val="00F61E45"/>
    <w:rsid w:val="00F62353"/>
    <w:rsid w:val="00F62735"/>
    <w:rsid w:val="00F62AE1"/>
    <w:rsid w:val="00F62DD4"/>
    <w:rsid w:val="00F630CA"/>
    <w:rsid w:val="00F63692"/>
    <w:rsid w:val="00F63DB7"/>
    <w:rsid w:val="00F63F31"/>
    <w:rsid w:val="00F6481C"/>
    <w:rsid w:val="00F64921"/>
    <w:rsid w:val="00F64AF9"/>
    <w:rsid w:val="00F64F44"/>
    <w:rsid w:val="00F651FF"/>
    <w:rsid w:val="00F654A2"/>
    <w:rsid w:val="00F65839"/>
    <w:rsid w:val="00F65DCE"/>
    <w:rsid w:val="00F6600D"/>
    <w:rsid w:val="00F661D8"/>
    <w:rsid w:val="00F667F3"/>
    <w:rsid w:val="00F6714F"/>
    <w:rsid w:val="00F67269"/>
    <w:rsid w:val="00F672D5"/>
    <w:rsid w:val="00F6752E"/>
    <w:rsid w:val="00F675DD"/>
    <w:rsid w:val="00F67A86"/>
    <w:rsid w:val="00F7062E"/>
    <w:rsid w:val="00F7073B"/>
    <w:rsid w:val="00F70ABF"/>
    <w:rsid w:val="00F70D4C"/>
    <w:rsid w:val="00F70DBD"/>
    <w:rsid w:val="00F715DD"/>
    <w:rsid w:val="00F717CB"/>
    <w:rsid w:val="00F71926"/>
    <w:rsid w:val="00F71BC7"/>
    <w:rsid w:val="00F7210A"/>
    <w:rsid w:val="00F72BFE"/>
    <w:rsid w:val="00F72F33"/>
    <w:rsid w:val="00F7321A"/>
    <w:rsid w:val="00F73351"/>
    <w:rsid w:val="00F73487"/>
    <w:rsid w:val="00F7390E"/>
    <w:rsid w:val="00F73A10"/>
    <w:rsid w:val="00F73A98"/>
    <w:rsid w:val="00F73CD4"/>
    <w:rsid w:val="00F743CA"/>
    <w:rsid w:val="00F74DBE"/>
    <w:rsid w:val="00F74E77"/>
    <w:rsid w:val="00F74E97"/>
    <w:rsid w:val="00F75CBA"/>
    <w:rsid w:val="00F76229"/>
    <w:rsid w:val="00F762BF"/>
    <w:rsid w:val="00F7632F"/>
    <w:rsid w:val="00F763BA"/>
    <w:rsid w:val="00F76748"/>
    <w:rsid w:val="00F76A15"/>
    <w:rsid w:val="00F76BA5"/>
    <w:rsid w:val="00F76E1E"/>
    <w:rsid w:val="00F77184"/>
    <w:rsid w:val="00F77910"/>
    <w:rsid w:val="00F77DB1"/>
    <w:rsid w:val="00F801B8"/>
    <w:rsid w:val="00F80FEC"/>
    <w:rsid w:val="00F8128D"/>
    <w:rsid w:val="00F81AB8"/>
    <w:rsid w:val="00F82842"/>
    <w:rsid w:val="00F82F2C"/>
    <w:rsid w:val="00F8312A"/>
    <w:rsid w:val="00F8335A"/>
    <w:rsid w:val="00F8354E"/>
    <w:rsid w:val="00F83EE1"/>
    <w:rsid w:val="00F8445C"/>
    <w:rsid w:val="00F8467E"/>
    <w:rsid w:val="00F84AF2"/>
    <w:rsid w:val="00F858DE"/>
    <w:rsid w:val="00F85FCC"/>
    <w:rsid w:val="00F8689C"/>
    <w:rsid w:val="00F87B86"/>
    <w:rsid w:val="00F91E2D"/>
    <w:rsid w:val="00F91E73"/>
    <w:rsid w:val="00F920DB"/>
    <w:rsid w:val="00F9244D"/>
    <w:rsid w:val="00F92639"/>
    <w:rsid w:val="00F92FE6"/>
    <w:rsid w:val="00F93182"/>
    <w:rsid w:val="00F93598"/>
    <w:rsid w:val="00F935F6"/>
    <w:rsid w:val="00F93A04"/>
    <w:rsid w:val="00F941C7"/>
    <w:rsid w:val="00F942AE"/>
    <w:rsid w:val="00F9465B"/>
    <w:rsid w:val="00F952EF"/>
    <w:rsid w:val="00F953DB"/>
    <w:rsid w:val="00F95625"/>
    <w:rsid w:val="00F95C04"/>
    <w:rsid w:val="00F96670"/>
    <w:rsid w:val="00F96AA1"/>
    <w:rsid w:val="00F96D5B"/>
    <w:rsid w:val="00FA0082"/>
    <w:rsid w:val="00FA0235"/>
    <w:rsid w:val="00FA051E"/>
    <w:rsid w:val="00FA075A"/>
    <w:rsid w:val="00FA09F9"/>
    <w:rsid w:val="00FA0BDE"/>
    <w:rsid w:val="00FA0EF6"/>
    <w:rsid w:val="00FA106A"/>
    <w:rsid w:val="00FA121F"/>
    <w:rsid w:val="00FA202E"/>
    <w:rsid w:val="00FA2230"/>
    <w:rsid w:val="00FA2804"/>
    <w:rsid w:val="00FA3516"/>
    <w:rsid w:val="00FA380E"/>
    <w:rsid w:val="00FA3A04"/>
    <w:rsid w:val="00FA43B1"/>
    <w:rsid w:val="00FA441C"/>
    <w:rsid w:val="00FA44F4"/>
    <w:rsid w:val="00FA4542"/>
    <w:rsid w:val="00FA4E5C"/>
    <w:rsid w:val="00FA4FC6"/>
    <w:rsid w:val="00FA5043"/>
    <w:rsid w:val="00FA517B"/>
    <w:rsid w:val="00FA5907"/>
    <w:rsid w:val="00FA59C4"/>
    <w:rsid w:val="00FA5BA1"/>
    <w:rsid w:val="00FA5D20"/>
    <w:rsid w:val="00FA5F29"/>
    <w:rsid w:val="00FA60BB"/>
    <w:rsid w:val="00FA61B1"/>
    <w:rsid w:val="00FA6309"/>
    <w:rsid w:val="00FA647B"/>
    <w:rsid w:val="00FA6686"/>
    <w:rsid w:val="00FA67C3"/>
    <w:rsid w:val="00FA7759"/>
    <w:rsid w:val="00FB07E1"/>
    <w:rsid w:val="00FB127D"/>
    <w:rsid w:val="00FB17E8"/>
    <w:rsid w:val="00FB1E59"/>
    <w:rsid w:val="00FB1FA6"/>
    <w:rsid w:val="00FB21FE"/>
    <w:rsid w:val="00FB2589"/>
    <w:rsid w:val="00FB2C93"/>
    <w:rsid w:val="00FB2CC3"/>
    <w:rsid w:val="00FB35C0"/>
    <w:rsid w:val="00FB3A82"/>
    <w:rsid w:val="00FB3BDA"/>
    <w:rsid w:val="00FB464E"/>
    <w:rsid w:val="00FB46F0"/>
    <w:rsid w:val="00FB4C97"/>
    <w:rsid w:val="00FB5870"/>
    <w:rsid w:val="00FB5B99"/>
    <w:rsid w:val="00FB5E79"/>
    <w:rsid w:val="00FB61E4"/>
    <w:rsid w:val="00FB6428"/>
    <w:rsid w:val="00FB6513"/>
    <w:rsid w:val="00FB6D19"/>
    <w:rsid w:val="00FB70AC"/>
    <w:rsid w:val="00FB712D"/>
    <w:rsid w:val="00FB798B"/>
    <w:rsid w:val="00FB7B04"/>
    <w:rsid w:val="00FB7BDB"/>
    <w:rsid w:val="00FB7DD8"/>
    <w:rsid w:val="00FC0530"/>
    <w:rsid w:val="00FC0857"/>
    <w:rsid w:val="00FC0C54"/>
    <w:rsid w:val="00FC0CF9"/>
    <w:rsid w:val="00FC1192"/>
    <w:rsid w:val="00FC126C"/>
    <w:rsid w:val="00FC149D"/>
    <w:rsid w:val="00FC17E7"/>
    <w:rsid w:val="00FC1E54"/>
    <w:rsid w:val="00FC271D"/>
    <w:rsid w:val="00FC28FC"/>
    <w:rsid w:val="00FC2F7D"/>
    <w:rsid w:val="00FC3935"/>
    <w:rsid w:val="00FC3CD2"/>
    <w:rsid w:val="00FC48F1"/>
    <w:rsid w:val="00FC4EE7"/>
    <w:rsid w:val="00FC53FB"/>
    <w:rsid w:val="00FC581B"/>
    <w:rsid w:val="00FC5A2D"/>
    <w:rsid w:val="00FC5A61"/>
    <w:rsid w:val="00FC623B"/>
    <w:rsid w:val="00FC6AE9"/>
    <w:rsid w:val="00FC6F45"/>
    <w:rsid w:val="00FC72A5"/>
    <w:rsid w:val="00FC7C34"/>
    <w:rsid w:val="00FC7CD2"/>
    <w:rsid w:val="00FD0158"/>
    <w:rsid w:val="00FD05BD"/>
    <w:rsid w:val="00FD076E"/>
    <w:rsid w:val="00FD08D1"/>
    <w:rsid w:val="00FD08F8"/>
    <w:rsid w:val="00FD0D00"/>
    <w:rsid w:val="00FD1214"/>
    <w:rsid w:val="00FD1A26"/>
    <w:rsid w:val="00FD1D49"/>
    <w:rsid w:val="00FD1DF1"/>
    <w:rsid w:val="00FD235E"/>
    <w:rsid w:val="00FD288C"/>
    <w:rsid w:val="00FD28AB"/>
    <w:rsid w:val="00FD2C64"/>
    <w:rsid w:val="00FD3BDA"/>
    <w:rsid w:val="00FD4645"/>
    <w:rsid w:val="00FD4CFB"/>
    <w:rsid w:val="00FD4DF8"/>
    <w:rsid w:val="00FD4F3F"/>
    <w:rsid w:val="00FD5A76"/>
    <w:rsid w:val="00FD5F20"/>
    <w:rsid w:val="00FD5FAF"/>
    <w:rsid w:val="00FD65A0"/>
    <w:rsid w:val="00FD6645"/>
    <w:rsid w:val="00FD6E2B"/>
    <w:rsid w:val="00FD6F52"/>
    <w:rsid w:val="00FD7C73"/>
    <w:rsid w:val="00FD7FFC"/>
    <w:rsid w:val="00FE009C"/>
    <w:rsid w:val="00FE0132"/>
    <w:rsid w:val="00FE0658"/>
    <w:rsid w:val="00FE089C"/>
    <w:rsid w:val="00FE1245"/>
    <w:rsid w:val="00FE173D"/>
    <w:rsid w:val="00FE1E2E"/>
    <w:rsid w:val="00FE20C7"/>
    <w:rsid w:val="00FE23EF"/>
    <w:rsid w:val="00FE25A6"/>
    <w:rsid w:val="00FE28EA"/>
    <w:rsid w:val="00FE2984"/>
    <w:rsid w:val="00FE31F5"/>
    <w:rsid w:val="00FE3AE7"/>
    <w:rsid w:val="00FE4B27"/>
    <w:rsid w:val="00FE4C9C"/>
    <w:rsid w:val="00FE4DB1"/>
    <w:rsid w:val="00FE4E1F"/>
    <w:rsid w:val="00FE4E2E"/>
    <w:rsid w:val="00FE4EF4"/>
    <w:rsid w:val="00FE54BF"/>
    <w:rsid w:val="00FE6006"/>
    <w:rsid w:val="00FE6249"/>
    <w:rsid w:val="00FE6A68"/>
    <w:rsid w:val="00FE6B27"/>
    <w:rsid w:val="00FF00FB"/>
    <w:rsid w:val="00FF02E4"/>
    <w:rsid w:val="00FF0880"/>
    <w:rsid w:val="00FF093F"/>
    <w:rsid w:val="00FF0B98"/>
    <w:rsid w:val="00FF0BBA"/>
    <w:rsid w:val="00FF1241"/>
    <w:rsid w:val="00FF13DC"/>
    <w:rsid w:val="00FF18FC"/>
    <w:rsid w:val="00FF1BDE"/>
    <w:rsid w:val="00FF1D91"/>
    <w:rsid w:val="00FF2029"/>
    <w:rsid w:val="00FF2389"/>
    <w:rsid w:val="00FF3355"/>
    <w:rsid w:val="00FF3434"/>
    <w:rsid w:val="00FF38DF"/>
    <w:rsid w:val="00FF3B40"/>
    <w:rsid w:val="00FF3E1C"/>
    <w:rsid w:val="00FF4609"/>
    <w:rsid w:val="00FF4C86"/>
    <w:rsid w:val="00FF520A"/>
    <w:rsid w:val="00FF57A4"/>
    <w:rsid w:val="00FF59CD"/>
    <w:rsid w:val="00FF5BB3"/>
    <w:rsid w:val="00FF620F"/>
    <w:rsid w:val="00FF666E"/>
    <w:rsid w:val="00FF6A26"/>
    <w:rsid w:val="00FF6BF9"/>
    <w:rsid w:val="00FF702C"/>
    <w:rsid w:val="00FF70E7"/>
    <w:rsid w:val="00FF7380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23A6C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44D2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E675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dpis5">
    <w:name w:val="heading 5"/>
    <w:basedOn w:val="Normlny"/>
    <w:next w:val="Normlny"/>
    <w:qFormat/>
    <w:rsid w:val="007844D2"/>
    <w:pPr>
      <w:keepNext/>
      <w:jc w:val="center"/>
      <w:outlineLvl w:val="4"/>
    </w:pPr>
    <w:rPr>
      <w:b/>
      <w:bCs/>
    </w:rPr>
  </w:style>
  <w:style w:type="paragraph" w:styleId="Nadpis9">
    <w:name w:val="heading 9"/>
    <w:basedOn w:val="Normlny"/>
    <w:next w:val="Normlny"/>
    <w:qFormat/>
    <w:rsid w:val="007844D2"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7844D2"/>
    <w:pPr>
      <w:ind w:left="360"/>
    </w:pPr>
  </w:style>
  <w:style w:type="paragraph" w:styleId="Zkladntext">
    <w:name w:val="Body Text"/>
    <w:basedOn w:val="Normlny"/>
    <w:rsid w:val="007844D2"/>
    <w:rPr>
      <w:rFonts w:ascii="Arial" w:hAnsi="Arial" w:cs="Arial"/>
      <w:sz w:val="20"/>
    </w:rPr>
  </w:style>
  <w:style w:type="paragraph" w:styleId="Pta">
    <w:name w:val="footer"/>
    <w:basedOn w:val="Normlny"/>
    <w:link w:val="PtaChar"/>
    <w:uiPriority w:val="99"/>
    <w:rsid w:val="007844D2"/>
    <w:pPr>
      <w:tabs>
        <w:tab w:val="center" w:pos="4536"/>
        <w:tab w:val="right" w:pos="9072"/>
      </w:tabs>
    </w:pPr>
    <w:rPr>
      <w:lang w:val="x-none"/>
    </w:rPr>
  </w:style>
  <w:style w:type="paragraph" w:styleId="Zkladntext3">
    <w:name w:val="Body Text 3"/>
    <w:basedOn w:val="Normlny"/>
    <w:rsid w:val="007844D2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7844D2"/>
    <w:pPr>
      <w:spacing w:after="120" w:line="480" w:lineRule="auto"/>
    </w:pPr>
  </w:style>
  <w:style w:type="paragraph" w:styleId="Textbubliny">
    <w:name w:val="Balloon Text"/>
    <w:basedOn w:val="Normlny"/>
    <w:semiHidden/>
    <w:rsid w:val="007844D2"/>
    <w:rPr>
      <w:rFonts w:ascii="Tahoma" w:hAnsi="Tahoma" w:cs="Tahoma"/>
      <w:sz w:val="16"/>
      <w:szCs w:val="16"/>
    </w:rPr>
  </w:style>
  <w:style w:type="character" w:styleId="Hypertextovprepojenie">
    <w:name w:val="Hyperlink"/>
    <w:rsid w:val="007844D2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C024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C0248A"/>
    <w:rPr>
      <w:sz w:val="24"/>
      <w:szCs w:val="24"/>
      <w:lang w:val="sk-SK" w:eastAsia="cs-CZ"/>
    </w:rPr>
  </w:style>
  <w:style w:type="character" w:styleId="Odkaznakomentr">
    <w:name w:val="annotation reference"/>
    <w:semiHidden/>
    <w:rsid w:val="005B6EF7"/>
    <w:rPr>
      <w:sz w:val="16"/>
      <w:szCs w:val="16"/>
    </w:rPr>
  </w:style>
  <w:style w:type="paragraph" w:styleId="Textkomentra">
    <w:name w:val="annotation text"/>
    <w:basedOn w:val="Normlny"/>
    <w:semiHidden/>
    <w:rsid w:val="005B6EF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5B6EF7"/>
    <w:rPr>
      <w:b/>
      <w:bCs/>
    </w:rPr>
  </w:style>
  <w:style w:type="paragraph" w:customStyle="1" w:styleId="Revzia1">
    <w:name w:val="Revízia1"/>
    <w:hidden/>
    <w:uiPriority w:val="99"/>
    <w:semiHidden/>
    <w:rsid w:val="00F667F3"/>
    <w:rPr>
      <w:sz w:val="24"/>
      <w:szCs w:val="24"/>
      <w:lang w:eastAsia="cs-CZ"/>
    </w:rPr>
  </w:style>
  <w:style w:type="character" w:customStyle="1" w:styleId="Nadpis1Char">
    <w:name w:val="Nadpis 1 Char"/>
    <w:link w:val="Nadpis1"/>
    <w:rsid w:val="00E675C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ekzoznamu">
    <w:name w:val="List Paragraph"/>
    <w:basedOn w:val="Normlny"/>
    <w:uiPriority w:val="34"/>
    <w:qFormat/>
    <w:rsid w:val="008E7A58"/>
    <w:pPr>
      <w:spacing w:after="60"/>
      <w:ind w:left="720"/>
      <w:contextualSpacing/>
      <w:jc w:val="both"/>
    </w:pPr>
    <w:rPr>
      <w:rFonts w:eastAsia="MS Mincho"/>
      <w:lang w:val="fr-FR" w:eastAsia="fr-FR"/>
    </w:rPr>
  </w:style>
  <w:style w:type="character" w:customStyle="1" w:styleId="PtaChar">
    <w:name w:val="Päta Char"/>
    <w:link w:val="Pta"/>
    <w:uiPriority w:val="99"/>
    <w:rsid w:val="004F09B0"/>
    <w:rPr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44D2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E675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dpis5">
    <w:name w:val="heading 5"/>
    <w:basedOn w:val="Normlny"/>
    <w:next w:val="Normlny"/>
    <w:qFormat/>
    <w:rsid w:val="007844D2"/>
    <w:pPr>
      <w:keepNext/>
      <w:jc w:val="center"/>
      <w:outlineLvl w:val="4"/>
    </w:pPr>
    <w:rPr>
      <w:b/>
      <w:bCs/>
    </w:rPr>
  </w:style>
  <w:style w:type="paragraph" w:styleId="Nadpis9">
    <w:name w:val="heading 9"/>
    <w:basedOn w:val="Normlny"/>
    <w:next w:val="Normlny"/>
    <w:qFormat/>
    <w:rsid w:val="007844D2"/>
    <w:pPr>
      <w:keepNext/>
      <w:ind w:left="360"/>
      <w:outlineLvl w:val="8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7844D2"/>
    <w:pPr>
      <w:ind w:left="360"/>
    </w:pPr>
  </w:style>
  <w:style w:type="paragraph" w:styleId="Zkladntext">
    <w:name w:val="Body Text"/>
    <w:basedOn w:val="Normlny"/>
    <w:rsid w:val="007844D2"/>
    <w:rPr>
      <w:rFonts w:ascii="Arial" w:hAnsi="Arial" w:cs="Arial"/>
      <w:sz w:val="20"/>
    </w:rPr>
  </w:style>
  <w:style w:type="paragraph" w:styleId="Pta">
    <w:name w:val="footer"/>
    <w:basedOn w:val="Normlny"/>
    <w:link w:val="PtaChar"/>
    <w:uiPriority w:val="99"/>
    <w:rsid w:val="007844D2"/>
    <w:pPr>
      <w:tabs>
        <w:tab w:val="center" w:pos="4536"/>
        <w:tab w:val="right" w:pos="9072"/>
      </w:tabs>
    </w:pPr>
    <w:rPr>
      <w:lang w:val="x-none"/>
    </w:rPr>
  </w:style>
  <w:style w:type="paragraph" w:styleId="Zkladntext3">
    <w:name w:val="Body Text 3"/>
    <w:basedOn w:val="Normlny"/>
    <w:rsid w:val="007844D2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7844D2"/>
    <w:pPr>
      <w:spacing w:after="120" w:line="480" w:lineRule="auto"/>
    </w:pPr>
  </w:style>
  <w:style w:type="paragraph" w:styleId="Textbubliny">
    <w:name w:val="Balloon Text"/>
    <w:basedOn w:val="Normlny"/>
    <w:semiHidden/>
    <w:rsid w:val="007844D2"/>
    <w:rPr>
      <w:rFonts w:ascii="Tahoma" w:hAnsi="Tahoma" w:cs="Tahoma"/>
      <w:sz w:val="16"/>
      <w:szCs w:val="16"/>
    </w:rPr>
  </w:style>
  <w:style w:type="character" w:styleId="Hypertextovprepojenie">
    <w:name w:val="Hyperlink"/>
    <w:rsid w:val="007844D2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C024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C0248A"/>
    <w:rPr>
      <w:sz w:val="24"/>
      <w:szCs w:val="24"/>
      <w:lang w:val="sk-SK" w:eastAsia="cs-CZ"/>
    </w:rPr>
  </w:style>
  <w:style w:type="character" w:styleId="Odkaznakomentr">
    <w:name w:val="annotation reference"/>
    <w:semiHidden/>
    <w:rsid w:val="005B6EF7"/>
    <w:rPr>
      <w:sz w:val="16"/>
      <w:szCs w:val="16"/>
    </w:rPr>
  </w:style>
  <w:style w:type="paragraph" w:styleId="Textkomentra">
    <w:name w:val="annotation text"/>
    <w:basedOn w:val="Normlny"/>
    <w:semiHidden/>
    <w:rsid w:val="005B6EF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5B6EF7"/>
    <w:rPr>
      <w:b/>
      <w:bCs/>
    </w:rPr>
  </w:style>
  <w:style w:type="paragraph" w:customStyle="1" w:styleId="Revzia1">
    <w:name w:val="Revízia1"/>
    <w:hidden/>
    <w:uiPriority w:val="99"/>
    <w:semiHidden/>
    <w:rsid w:val="00F667F3"/>
    <w:rPr>
      <w:sz w:val="24"/>
      <w:szCs w:val="24"/>
      <w:lang w:eastAsia="cs-CZ"/>
    </w:rPr>
  </w:style>
  <w:style w:type="character" w:customStyle="1" w:styleId="Nadpis1Char">
    <w:name w:val="Nadpis 1 Char"/>
    <w:link w:val="Nadpis1"/>
    <w:rsid w:val="00E675C3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ekzoznamu">
    <w:name w:val="List Paragraph"/>
    <w:basedOn w:val="Normlny"/>
    <w:uiPriority w:val="34"/>
    <w:qFormat/>
    <w:rsid w:val="008E7A58"/>
    <w:pPr>
      <w:spacing w:after="60"/>
      <w:ind w:left="720"/>
      <w:contextualSpacing/>
      <w:jc w:val="both"/>
    </w:pPr>
    <w:rPr>
      <w:rFonts w:eastAsia="MS Mincho"/>
      <w:lang w:val="fr-FR" w:eastAsia="fr-FR"/>
    </w:rPr>
  </w:style>
  <w:style w:type="character" w:customStyle="1" w:styleId="PtaChar">
    <w:name w:val="Päta Char"/>
    <w:link w:val="Pta"/>
    <w:uiPriority w:val="99"/>
    <w:rsid w:val="004F09B0"/>
    <w:rPr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3936</Words>
  <Characters>25441</Characters>
  <Application>Microsoft Office Word</Application>
  <DocSecurity>0</DocSecurity>
  <Lines>212</Lines>
  <Paragraphs>58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Príloha č</vt:lpstr>
      <vt:lpstr>Príloha č</vt:lpstr>
      <vt:lpstr>Príloha č</vt:lpstr>
    </vt:vector>
  </TitlesOfParts>
  <Company>SUKL</Company>
  <LinksUpToDate>false</LinksUpToDate>
  <CharactersWithSpaces>29319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Dagmar Vargová</dc:creator>
  <cp:lastModifiedBy>Uhnáková Milota</cp:lastModifiedBy>
  <cp:revision>2</cp:revision>
  <cp:lastPrinted>2018-05-25T12:34:00Z</cp:lastPrinted>
  <dcterms:created xsi:type="dcterms:W3CDTF">2019-09-06T06:35:00Z</dcterms:created>
  <dcterms:modified xsi:type="dcterms:W3CDTF">2019-09-06T06:35:00Z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