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24444" w14:textId="77777777"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14:paraId="4161D4DF" w14:textId="77777777"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14:paraId="613045A1" w14:textId="77777777"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14:paraId="13EC0A6E" w14:textId="77777777"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14:paraId="6158E8BD" w14:textId="77777777" w:rsidR="00A0467A" w:rsidRPr="00EF433E" w:rsidRDefault="00A0467A" w:rsidP="00A440E6">
      <w:pPr>
        <w:rPr>
          <w:noProof/>
          <w:sz w:val="22"/>
        </w:rPr>
      </w:pPr>
    </w:p>
    <w:p w14:paraId="2AE57F24" w14:textId="77777777" w:rsidR="00A0467A" w:rsidRPr="00EF433E" w:rsidRDefault="00A0467A" w:rsidP="00A440E6">
      <w:pPr>
        <w:rPr>
          <w:noProof/>
          <w:sz w:val="22"/>
        </w:rPr>
      </w:pPr>
    </w:p>
    <w:p w14:paraId="414B51CF" w14:textId="386A62BD" w:rsidR="00B17B7F" w:rsidRDefault="00DA4854" w:rsidP="00CB6D4B">
      <w:pPr>
        <w:rPr>
          <w:noProof/>
          <w:sz w:val="22"/>
        </w:rPr>
      </w:pPr>
      <w:r>
        <w:rPr>
          <w:noProof/>
          <w:sz w:val="22"/>
        </w:rPr>
        <w:t>Aripiprazole Accord Healthcare</w:t>
      </w:r>
      <w:r w:rsidR="00CB6D4B" w:rsidRPr="00EF433E">
        <w:rPr>
          <w:noProof/>
          <w:sz w:val="22"/>
        </w:rPr>
        <w:t xml:space="preserve"> 10 mg </w:t>
      </w:r>
    </w:p>
    <w:p w14:paraId="018E41DA" w14:textId="645AB8C9" w:rsidR="00B17B7F" w:rsidRDefault="00DA4854" w:rsidP="00CB6D4B">
      <w:pPr>
        <w:rPr>
          <w:noProof/>
          <w:sz w:val="22"/>
        </w:rPr>
      </w:pPr>
      <w:r>
        <w:rPr>
          <w:noProof/>
          <w:sz w:val="22"/>
        </w:rPr>
        <w:t>Aripiprazole Accord Healthcare</w:t>
      </w:r>
      <w:r w:rsidR="00B17B7F">
        <w:rPr>
          <w:noProof/>
          <w:sz w:val="22"/>
        </w:rPr>
        <w:t xml:space="preserve"> 15 mg</w:t>
      </w:r>
    </w:p>
    <w:p w14:paraId="4980FEE5" w14:textId="77777777" w:rsidR="00CB6D4B" w:rsidRPr="00EF433E" w:rsidRDefault="008D44BE" w:rsidP="00CB6D4B">
      <w:pPr>
        <w:rPr>
          <w:noProof/>
          <w:sz w:val="22"/>
        </w:rPr>
      </w:pPr>
      <w:r>
        <w:rPr>
          <w:noProof/>
          <w:sz w:val="22"/>
        </w:rPr>
        <w:t>orodispergovateľné</w:t>
      </w:r>
      <w:r w:rsidRPr="00EF433E">
        <w:rPr>
          <w:noProof/>
          <w:sz w:val="22"/>
        </w:rPr>
        <w:t xml:space="preserve"> </w:t>
      </w:r>
      <w:r w:rsidR="00CB6D4B" w:rsidRPr="00EF433E">
        <w:rPr>
          <w:noProof/>
          <w:sz w:val="22"/>
        </w:rPr>
        <w:t>tablety</w:t>
      </w:r>
    </w:p>
    <w:p w14:paraId="74BF6198" w14:textId="77777777" w:rsidR="00A0467A" w:rsidRPr="00EF433E" w:rsidRDefault="00A0467A" w:rsidP="00A440E6">
      <w:pPr>
        <w:rPr>
          <w:b/>
          <w:sz w:val="22"/>
        </w:rPr>
      </w:pPr>
    </w:p>
    <w:p w14:paraId="6D0FF7AE" w14:textId="77777777" w:rsidR="00A0467A" w:rsidRPr="00EF433E" w:rsidRDefault="00A0467A" w:rsidP="00A440E6">
      <w:pPr>
        <w:rPr>
          <w:b/>
          <w:sz w:val="22"/>
        </w:rPr>
      </w:pPr>
    </w:p>
    <w:p w14:paraId="189DCAF8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14:paraId="78805033" w14:textId="77777777" w:rsidR="00CB6D4B" w:rsidRPr="00EF433E" w:rsidRDefault="00CB6D4B" w:rsidP="002E0EC0">
      <w:pPr>
        <w:ind w:right="-2"/>
        <w:rPr>
          <w:sz w:val="22"/>
        </w:rPr>
      </w:pPr>
    </w:p>
    <w:p w14:paraId="6D91B900" w14:textId="77777777" w:rsidR="00A0467A" w:rsidRPr="003940F4" w:rsidRDefault="006F575C" w:rsidP="002E0EC0">
      <w:pPr>
        <w:ind w:right="-2"/>
        <w:rPr>
          <w:sz w:val="22"/>
        </w:rPr>
      </w:pPr>
      <w:r w:rsidRPr="003940F4">
        <w:rPr>
          <w:sz w:val="22"/>
        </w:rPr>
        <w:t>Každá</w:t>
      </w:r>
      <w:r w:rsidR="00436BC8" w:rsidRPr="003940F4">
        <w:rPr>
          <w:sz w:val="22"/>
        </w:rPr>
        <w:t xml:space="preserve"> orodispergovateľná tableta</w:t>
      </w:r>
      <w:r w:rsidR="00225B8F" w:rsidRPr="003940F4">
        <w:rPr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="00225B8F"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</w:t>
      </w:r>
      <w:r w:rsidR="00225B8F" w:rsidRPr="003940F4">
        <w:rPr>
          <w:noProof/>
          <w:sz w:val="22"/>
        </w:rPr>
        <w:t>0</w:t>
      </w:r>
      <w:r w:rsidR="002D3384" w:rsidRPr="003940F4">
        <w:rPr>
          <w:noProof/>
          <w:sz w:val="22"/>
        </w:rPr>
        <w:t xml:space="preserve"> mg</w:t>
      </w:r>
      <w:r w:rsidR="00CB6D4B" w:rsidRPr="003940F4">
        <w:rPr>
          <w:noProof/>
          <w:sz w:val="22"/>
        </w:rPr>
        <w:t xml:space="preserve"> aripiprazolu</w:t>
      </w:r>
      <w:r w:rsidR="00225B8F" w:rsidRPr="003940F4">
        <w:rPr>
          <w:sz w:val="22"/>
        </w:rPr>
        <w:t>.</w:t>
      </w:r>
    </w:p>
    <w:p w14:paraId="0A73143D" w14:textId="77777777" w:rsidR="00CB6D4B" w:rsidRPr="003940F4" w:rsidRDefault="007F4DED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14:paraId="7BDC168A" w14:textId="77777777" w:rsidR="007F4DED" w:rsidRPr="003940F4" w:rsidRDefault="00407E86" w:rsidP="002E0EC0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r w:rsidR="00563D7F" w:rsidRPr="003940F4">
        <w:rPr>
          <w:sz w:val="22"/>
        </w:rPr>
        <w:t>orodispergovateľná</w:t>
      </w:r>
      <w:r w:rsidR="00563D7F" w:rsidRPr="003940F4">
        <w:rPr>
          <w:sz w:val="22"/>
          <w:szCs w:val="22"/>
        </w:rPr>
        <w:t xml:space="preserve"> </w:t>
      </w:r>
      <w:r w:rsidR="007F4DED" w:rsidRPr="003940F4">
        <w:rPr>
          <w:sz w:val="22"/>
          <w:szCs w:val="22"/>
        </w:rPr>
        <w:t xml:space="preserve">tableta </w:t>
      </w:r>
      <w:r w:rsidR="007F4DED" w:rsidRPr="003940F4">
        <w:rPr>
          <w:noProof/>
          <w:sz w:val="22"/>
        </w:rPr>
        <w:t>obsahuje 3 mg aspart</w:t>
      </w:r>
      <w:r w:rsidR="00C209F5" w:rsidRPr="003940F4">
        <w:rPr>
          <w:noProof/>
          <w:sz w:val="22"/>
        </w:rPr>
        <w:t>á</w:t>
      </w:r>
      <w:r w:rsidR="007F4DED" w:rsidRPr="003940F4">
        <w:rPr>
          <w:noProof/>
          <w:sz w:val="22"/>
        </w:rPr>
        <w:t>mu (E951</w:t>
      </w:r>
      <w:r w:rsidR="007F4DED" w:rsidRPr="00DA4854">
        <w:rPr>
          <w:noProof/>
          <w:sz w:val="22"/>
        </w:rPr>
        <w:t>)</w:t>
      </w:r>
      <w:r w:rsidR="00436BC8" w:rsidRPr="003940F4">
        <w:rPr>
          <w:noProof/>
          <w:sz w:val="22"/>
        </w:rPr>
        <w:t xml:space="preserve">. </w:t>
      </w:r>
    </w:p>
    <w:p w14:paraId="455996AE" w14:textId="77777777" w:rsidR="007F4DED" w:rsidRPr="003940F4" w:rsidRDefault="007F4DED" w:rsidP="002E0EC0">
      <w:pPr>
        <w:ind w:right="-2"/>
        <w:rPr>
          <w:sz w:val="22"/>
        </w:rPr>
      </w:pPr>
    </w:p>
    <w:p w14:paraId="18F67671" w14:textId="77777777" w:rsidR="00225B8F" w:rsidRPr="003940F4" w:rsidRDefault="00225B8F" w:rsidP="002E0EC0">
      <w:pPr>
        <w:ind w:right="-2"/>
        <w:rPr>
          <w:sz w:val="22"/>
        </w:rPr>
      </w:pPr>
      <w:r w:rsidRPr="003940F4">
        <w:rPr>
          <w:sz w:val="22"/>
        </w:rPr>
        <w:t xml:space="preserve">Každá </w:t>
      </w:r>
      <w:r w:rsidR="00CD4DA7" w:rsidRPr="003940F4">
        <w:rPr>
          <w:sz w:val="22"/>
        </w:rPr>
        <w:t>orodispergovateľná</w:t>
      </w:r>
      <w:r w:rsidR="00CD4DA7" w:rsidRPr="003940F4">
        <w:rPr>
          <w:noProof/>
          <w:sz w:val="22"/>
        </w:rPr>
        <w:t xml:space="preserve"> </w:t>
      </w:r>
      <w:r w:rsidR="00CB6D4B" w:rsidRPr="003940F4">
        <w:rPr>
          <w:noProof/>
          <w:sz w:val="22"/>
        </w:rPr>
        <w:t xml:space="preserve">tableta </w:t>
      </w:r>
      <w:r w:rsidRPr="003940F4">
        <w:rPr>
          <w:noProof/>
          <w:sz w:val="22"/>
        </w:rPr>
        <w:t xml:space="preserve">obsahuje </w:t>
      </w:r>
      <w:r w:rsidR="00CB6D4B" w:rsidRPr="003940F4">
        <w:rPr>
          <w:noProof/>
          <w:sz w:val="22"/>
        </w:rPr>
        <w:t>15</w:t>
      </w:r>
      <w:r w:rsidR="002D3384" w:rsidRPr="003940F4">
        <w:rPr>
          <w:noProof/>
          <w:sz w:val="22"/>
        </w:rPr>
        <w:t xml:space="preserve"> mg </w:t>
      </w:r>
      <w:r w:rsidR="00CB6D4B" w:rsidRPr="003940F4">
        <w:rPr>
          <w:noProof/>
          <w:sz w:val="22"/>
        </w:rPr>
        <w:t>aripiprazolu</w:t>
      </w:r>
      <w:r w:rsidRPr="003940F4">
        <w:rPr>
          <w:sz w:val="22"/>
        </w:rPr>
        <w:t>.</w:t>
      </w:r>
    </w:p>
    <w:p w14:paraId="422A8FBD" w14:textId="77777777" w:rsidR="0064264F" w:rsidRPr="003940F4" w:rsidRDefault="0064264F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Pomocná látka so známym účinkom</w:t>
      </w:r>
    </w:p>
    <w:p w14:paraId="75D91275" w14:textId="77777777" w:rsidR="0064264F" w:rsidRPr="007F4DED" w:rsidRDefault="00407E86" w:rsidP="0064264F">
      <w:pPr>
        <w:ind w:right="-2"/>
        <w:rPr>
          <w:sz w:val="22"/>
          <w:szCs w:val="22"/>
          <w:u w:val="single"/>
        </w:rPr>
      </w:pPr>
      <w:r w:rsidRPr="003940F4">
        <w:rPr>
          <w:sz w:val="22"/>
          <w:szCs w:val="22"/>
        </w:rPr>
        <w:t>Každá</w:t>
      </w:r>
      <w:r w:rsidR="003940F4">
        <w:rPr>
          <w:sz w:val="22"/>
          <w:szCs w:val="22"/>
        </w:rPr>
        <w:t xml:space="preserve"> </w:t>
      </w:r>
      <w:r w:rsidR="00563D7F" w:rsidRPr="003940F4">
        <w:rPr>
          <w:sz w:val="22"/>
        </w:rPr>
        <w:t>orodispergovateľná</w:t>
      </w:r>
      <w:r w:rsidR="00563D7F" w:rsidRPr="00EF433E">
        <w:rPr>
          <w:sz w:val="22"/>
          <w:szCs w:val="22"/>
        </w:rPr>
        <w:t xml:space="preserve"> </w:t>
      </w:r>
      <w:r w:rsidR="0064264F" w:rsidRPr="00EF433E">
        <w:rPr>
          <w:sz w:val="22"/>
          <w:szCs w:val="22"/>
        </w:rPr>
        <w:t xml:space="preserve">tableta </w:t>
      </w:r>
      <w:r w:rsidR="0064264F" w:rsidRPr="00EF433E">
        <w:rPr>
          <w:noProof/>
          <w:sz w:val="22"/>
        </w:rPr>
        <w:t>obsahuje</w:t>
      </w:r>
      <w:r w:rsidR="0064264F">
        <w:rPr>
          <w:noProof/>
          <w:sz w:val="22"/>
        </w:rPr>
        <w:t xml:space="preserve"> </w:t>
      </w:r>
      <w:r w:rsidR="001A4A75">
        <w:rPr>
          <w:noProof/>
          <w:sz w:val="22"/>
        </w:rPr>
        <w:t>4,5</w:t>
      </w:r>
      <w:r w:rsidR="0064264F">
        <w:rPr>
          <w:noProof/>
          <w:sz w:val="22"/>
        </w:rPr>
        <w:t xml:space="preserve"> mg aspart</w:t>
      </w:r>
      <w:r w:rsidR="00C209F5">
        <w:rPr>
          <w:noProof/>
          <w:sz w:val="22"/>
        </w:rPr>
        <w:t>á</w:t>
      </w:r>
      <w:r w:rsidR="0064264F">
        <w:rPr>
          <w:noProof/>
          <w:sz w:val="22"/>
        </w:rPr>
        <w:t>mu (E95</w:t>
      </w:r>
      <w:r w:rsidR="00436BC8">
        <w:rPr>
          <w:noProof/>
          <w:sz w:val="22"/>
        </w:rPr>
        <w:t>1).</w:t>
      </w:r>
    </w:p>
    <w:p w14:paraId="23A619AD" w14:textId="77777777" w:rsidR="00CB6D4B" w:rsidRPr="00EF433E" w:rsidRDefault="00CB6D4B" w:rsidP="00A440E6">
      <w:pPr>
        <w:rPr>
          <w:sz w:val="22"/>
          <w:szCs w:val="22"/>
        </w:rPr>
      </w:pPr>
      <w:bookmarkStart w:id="0" w:name="_GoBack"/>
      <w:bookmarkEnd w:id="0"/>
    </w:p>
    <w:p w14:paraId="3633CF66" w14:textId="77777777"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14:paraId="7CA855D1" w14:textId="77777777" w:rsidR="00A0467A" w:rsidRPr="00EF433E" w:rsidRDefault="00A0467A" w:rsidP="00A440E6">
      <w:pPr>
        <w:rPr>
          <w:b/>
          <w:sz w:val="22"/>
        </w:rPr>
      </w:pPr>
    </w:p>
    <w:p w14:paraId="60F123FE" w14:textId="77777777" w:rsidR="00A0467A" w:rsidRPr="00EF433E" w:rsidRDefault="00A0467A" w:rsidP="00A440E6">
      <w:pPr>
        <w:rPr>
          <w:b/>
          <w:sz w:val="22"/>
        </w:rPr>
      </w:pPr>
    </w:p>
    <w:p w14:paraId="1DFEA4DC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14:paraId="4D0760BD" w14:textId="77777777"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2F17242E" w14:textId="77777777" w:rsidR="00A0467A" w:rsidRPr="00EF433E" w:rsidRDefault="004049C5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10 m</w:t>
      </w:r>
      <w:r w:rsidR="00B32446">
        <w:rPr>
          <w:sz w:val="22"/>
          <w:szCs w:val="24"/>
          <w:lang w:val="sk-SK"/>
        </w:rPr>
        <w:t>g</w:t>
      </w:r>
      <w:r w:rsidR="000F4C9B">
        <w:rPr>
          <w:sz w:val="22"/>
          <w:szCs w:val="24"/>
          <w:lang w:val="sk-SK"/>
        </w:rPr>
        <w:t xml:space="preserve"> </w:t>
      </w:r>
      <w:r>
        <w:rPr>
          <w:sz w:val="22"/>
          <w:szCs w:val="24"/>
          <w:lang w:val="sk-SK"/>
        </w:rPr>
        <w:t>orodispergovateľná 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14:paraId="25D3B34F" w14:textId="77777777" w:rsidR="003D58E2" w:rsidRPr="00EF433E" w:rsidRDefault="004049C5" w:rsidP="003C5CEB">
      <w:pPr>
        <w:ind w:right="-2"/>
        <w:rPr>
          <w:sz w:val="22"/>
        </w:rPr>
      </w:pPr>
      <w:r>
        <w:rPr>
          <w:sz w:val="22"/>
        </w:rPr>
        <w:t>Biel</w:t>
      </w:r>
      <w:r w:rsidR="00436BC8">
        <w:rPr>
          <w:sz w:val="22"/>
        </w:rPr>
        <w:t>a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 w:rsidR="004973C3">
        <w:rPr>
          <w:sz w:val="22"/>
        </w:rPr>
        <w:t xml:space="preserve"> </w:t>
      </w:r>
      <w:r w:rsidR="00BB6487">
        <w:rPr>
          <w:sz w:val="22"/>
        </w:rPr>
        <w:t xml:space="preserve">plochého tvaru </w:t>
      </w:r>
      <w:r w:rsidR="004973C3">
        <w:rPr>
          <w:sz w:val="22"/>
        </w:rPr>
        <w:t>zo skosen</w:t>
      </w:r>
      <w:r w:rsidR="000A1721">
        <w:rPr>
          <w:sz w:val="22"/>
        </w:rPr>
        <w:t>ými</w:t>
      </w:r>
      <w:r w:rsidR="00727960"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</w:t>
      </w:r>
      <w:r w:rsidR="00C41348">
        <w:rPr>
          <w:sz w:val="22"/>
        </w:rPr>
        <w:t>i</w:t>
      </w:r>
      <w:r>
        <w:rPr>
          <w:sz w:val="22"/>
        </w:rPr>
        <w:t>emerom 7 mm</w:t>
      </w:r>
      <w:r w:rsidR="003C5CEB" w:rsidRPr="00EF433E">
        <w:rPr>
          <w:sz w:val="22"/>
        </w:rPr>
        <w:t xml:space="preserve"> a</w:t>
      </w:r>
      <w:r w:rsidR="00FB3AB3" w:rsidRPr="00EF433E">
        <w:rPr>
          <w:sz w:val="22"/>
        </w:rPr>
        <w:t> s </w:t>
      </w:r>
      <w:r>
        <w:rPr>
          <w:sz w:val="22"/>
        </w:rPr>
        <w:t>označením „1“</w:t>
      </w:r>
      <w:r w:rsidR="003C5CEB"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="003C5CEB" w:rsidRPr="00EF433E">
        <w:rPr>
          <w:sz w:val="22"/>
        </w:rPr>
        <w:t xml:space="preserve">. </w:t>
      </w:r>
    </w:p>
    <w:p w14:paraId="459292D3" w14:textId="77777777" w:rsidR="002F5719" w:rsidRDefault="002F5719" w:rsidP="00A440E6">
      <w:pPr>
        <w:rPr>
          <w:sz w:val="22"/>
        </w:rPr>
      </w:pPr>
    </w:p>
    <w:p w14:paraId="23177A2D" w14:textId="77777777" w:rsidR="00060F9D" w:rsidRPr="00EF433E" w:rsidRDefault="00060F9D" w:rsidP="00060F9D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15 mg orodispergovateľná t</w:t>
      </w:r>
      <w:r w:rsidRPr="00EF433E">
        <w:rPr>
          <w:sz w:val="22"/>
          <w:szCs w:val="24"/>
          <w:lang w:val="sk-SK"/>
        </w:rPr>
        <w:t xml:space="preserve">ableta </w:t>
      </w:r>
    </w:p>
    <w:p w14:paraId="56B6DBCD" w14:textId="77777777" w:rsidR="00060F9D" w:rsidRPr="00EF433E" w:rsidRDefault="00060F9D" w:rsidP="00060F9D">
      <w:pPr>
        <w:ind w:right="-2"/>
        <w:rPr>
          <w:sz w:val="22"/>
        </w:rPr>
      </w:pPr>
      <w:r>
        <w:rPr>
          <w:sz w:val="22"/>
        </w:rPr>
        <w:t>Žlt</w:t>
      </w:r>
      <w:r w:rsidR="00436BC8">
        <w:rPr>
          <w:sz w:val="22"/>
        </w:rPr>
        <w:t>á</w:t>
      </w:r>
      <w:r>
        <w:rPr>
          <w:sz w:val="22"/>
        </w:rPr>
        <w:t>, okrúhl</w:t>
      </w:r>
      <w:r w:rsidR="00436BC8">
        <w:rPr>
          <w:sz w:val="22"/>
        </w:rPr>
        <w:t>a</w:t>
      </w:r>
      <w:r>
        <w:rPr>
          <w:sz w:val="22"/>
        </w:rPr>
        <w:t xml:space="preserve"> tablet</w:t>
      </w:r>
      <w:r w:rsidR="00436BC8">
        <w:rPr>
          <w:sz w:val="22"/>
        </w:rPr>
        <w:t>a</w:t>
      </w:r>
      <w:r>
        <w:rPr>
          <w:sz w:val="22"/>
        </w:rPr>
        <w:t xml:space="preserve"> plochého tvaru s </w:t>
      </w:r>
      <w:r w:rsidRPr="00E908EA">
        <w:rPr>
          <w:sz w:val="22"/>
        </w:rPr>
        <w:t>tmavšími a sv</w:t>
      </w:r>
      <w:r w:rsidR="000A1721" w:rsidRPr="00E908EA">
        <w:rPr>
          <w:sz w:val="22"/>
        </w:rPr>
        <w:t>e</w:t>
      </w:r>
      <w:r w:rsidRPr="00E908EA">
        <w:rPr>
          <w:sz w:val="22"/>
        </w:rPr>
        <w:t>tlejšími</w:t>
      </w:r>
      <w:r>
        <w:rPr>
          <w:sz w:val="22"/>
        </w:rPr>
        <w:t xml:space="preserve"> škvrnami zo skosen</w:t>
      </w:r>
      <w:r w:rsidR="000A1721">
        <w:rPr>
          <w:sz w:val="22"/>
        </w:rPr>
        <w:t>ými</w:t>
      </w:r>
      <w:r>
        <w:rPr>
          <w:sz w:val="22"/>
        </w:rPr>
        <w:t xml:space="preserve"> hran</w:t>
      </w:r>
      <w:r w:rsidR="000A1721">
        <w:rPr>
          <w:sz w:val="22"/>
        </w:rPr>
        <w:t>ami</w:t>
      </w:r>
      <w:r>
        <w:rPr>
          <w:sz w:val="22"/>
        </w:rPr>
        <w:t xml:space="preserve"> s priemerom </w:t>
      </w:r>
      <w:r w:rsidR="00160D12">
        <w:rPr>
          <w:sz w:val="22"/>
        </w:rPr>
        <w:t>8</w:t>
      </w:r>
      <w:r>
        <w:rPr>
          <w:sz w:val="22"/>
        </w:rPr>
        <w:t xml:space="preserve"> mm</w:t>
      </w:r>
      <w:r w:rsidRPr="00EF433E">
        <w:rPr>
          <w:sz w:val="22"/>
        </w:rPr>
        <w:t xml:space="preserve"> a s </w:t>
      </w:r>
      <w:r>
        <w:rPr>
          <w:sz w:val="22"/>
        </w:rPr>
        <w:t>označením „</w:t>
      </w:r>
      <w:r w:rsidR="00160D12">
        <w:rPr>
          <w:sz w:val="22"/>
        </w:rPr>
        <w:t>2</w:t>
      </w:r>
      <w:r>
        <w:rPr>
          <w:sz w:val="22"/>
        </w:rPr>
        <w:t>“</w:t>
      </w:r>
      <w:r w:rsidRPr="00EF433E">
        <w:rPr>
          <w:sz w:val="22"/>
        </w:rPr>
        <w:t xml:space="preserve"> na jednej strane</w:t>
      </w:r>
      <w:r>
        <w:rPr>
          <w:sz w:val="22"/>
        </w:rPr>
        <w:t xml:space="preserve"> a „ZT“ na druhej strane</w:t>
      </w:r>
      <w:r w:rsidRPr="00EF433E">
        <w:rPr>
          <w:sz w:val="22"/>
        </w:rPr>
        <w:t xml:space="preserve">. </w:t>
      </w:r>
    </w:p>
    <w:p w14:paraId="401B1DF1" w14:textId="77777777" w:rsidR="002F03F9" w:rsidRPr="00EF433E" w:rsidRDefault="002F03F9" w:rsidP="002F03F9">
      <w:pPr>
        <w:rPr>
          <w:sz w:val="22"/>
        </w:rPr>
      </w:pPr>
    </w:p>
    <w:p w14:paraId="6B58718D" w14:textId="77777777" w:rsidR="00A0467A" w:rsidRPr="00EF433E" w:rsidRDefault="00A0467A" w:rsidP="00A440E6">
      <w:pPr>
        <w:rPr>
          <w:sz w:val="22"/>
        </w:rPr>
      </w:pPr>
    </w:p>
    <w:p w14:paraId="3B09279B" w14:textId="77777777"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14:paraId="69414909" w14:textId="77777777"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14:paraId="089BD569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14:paraId="5D56C947" w14:textId="77777777"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14:paraId="6574821B" w14:textId="6753E8BF" w:rsidR="00B27B39" w:rsidRPr="00EF433E" w:rsidRDefault="00DA4854" w:rsidP="00A440E6">
      <w:pPr>
        <w:rPr>
          <w:sz w:val="22"/>
          <w:szCs w:val="22"/>
        </w:rPr>
      </w:pPr>
      <w:r>
        <w:rPr>
          <w:sz w:val="22"/>
          <w:szCs w:val="22"/>
        </w:rPr>
        <w:t>Aripiprazole Accord Healthcare</w:t>
      </w:r>
      <w:r w:rsidR="0084749C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 xml:space="preserve">je </w:t>
      </w:r>
      <w:r w:rsidR="00AF3379" w:rsidRPr="00EF433E">
        <w:rPr>
          <w:sz w:val="22"/>
          <w:szCs w:val="22"/>
        </w:rPr>
        <w:t>indikovan</w:t>
      </w:r>
      <w:r w:rsidR="00AF3379">
        <w:rPr>
          <w:sz w:val="22"/>
          <w:szCs w:val="22"/>
        </w:rPr>
        <w:t>ý</w:t>
      </w:r>
      <w:r w:rsidR="00AF3379"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na liečbu schizofrénie dospelý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a dospievajúci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 xml:space="preserve">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</w:t>
      </w:r>
      <w:r w:rsidR="00436BC8">
        <w:rPr>
          <w:sz w:val="22"/>
          <w:szCs w:val="22"/>
        </w:rPr>
        <w:t>m</w:t>
      </w:r>
      <w:r w:rsidR="00832C91" w:rsidRPr="00EF433E">
        <w:rPr>
          <w:sz w:val="22"/>
          <w:szCs w:val="22"/>
        </w:rPr>
        <w:t>.</w:t>
      </w:r>
    </w:p>
    <w:p w14:paraId="41B0336E" w14:textId="77777777" w:rsidR="00832C91" w:rsidRPr="00EF433E" w:rsidRDefault="00832C91" w:rsidP="00A440E6">
      <w:pPr>
        <w:rPr>
          <w:sz w:val="22"/>
          <w:szCs w:val="22"/>
        </w:rPr>
      </w:pPr>
    </w:p>
    <w:p w14:paraId="1FB1D2D6" w14:textId="44A27D7E" w:rsidR="000C0AEE" w:rsidRPr="00EF433E" w:rsidRDefault="00DA4854" w:rsidP="00A440E6">
      <w:pPr>
        <w:rPr>
          <w:sz w:val="22"/>
          <w:szCs w:val="22"/>
        </w:rPr>
      </w:pPr>
      <w:r>
        <w:rPr>
          <w:sz w:val="22"/>
          <w:szCs w:val="22"/>
        </w:rPr>
        <w:t>Aripiprazole Accord Healthcare</w:t>
      </w:r>
      <w:r w:rsidR="00900AB8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 xml:space="preserve">je </w:t>
      </w:r>
      <w:r w:rsidR="00AF3379" w:rsidRPr="00EF433E">
        <w:rPr>
          <w:sz w:val="22"/>
          <w:szCs w:val="22"/>
        </w:rPr>
        <w:t>indikovan</w:t>
      </w:r>
      <w:r w:rsidR="00AF3379">
        <w:rPr>
          <w:sz w:val="22"/>
          <w:szCs w:val="22"/>
        </w:rPr>
        <w:t>ý</w:t>
      </w:r>
      <w:r w:rsidR="00AF3379" w:rsidRPr="00EF433E">
        <w:rPr>
          <w:sz w:val="22"/>
          <w:szCs w:val="22"/>
        </w:rPr>
        <w:t xml:space="preserve"> </w:t>
      </w:r>
      <w:r w:rsidR="00832C91" w:rsidRPr="00EF433E">
        <w:rPr>
          <w:sz w:val="22"/>
          <w:szCs w:val="22"/>
        </w:rPr>
        <w:t>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</w:t>
      </w:r>
      <w:r w:rsidR="00832C91" w:rsidRPr="008029AF">
        <w:rPr>
          <w:sz w:val="22"/>
          <w:szCs w:val="22"/>
        </w:rPr>
        <w:t>,</w:t>
      </w:r>
      <w:r w:rsidR="000C0AEE" w:rsidRPr="008029AF">
        <w:rPr>
          <w:sz w:val="22"/>
          <w:szCs w:val="22"/>
        </w:rPr>
        <w:t xml:space="preserve"> ktor</w:t>
      </w:r>
      <w:r w:rsidR="00BB4AAF" w:rsidRPr="008029AF">
        <w:rPr>
          <w:sz w:val="22"/>
          <w:szCs w:val="22"/>
        </w:rPr>
        <w:t>í</w:t>
      </w:r>
      <w:r w:rsidR="000C0AEE" w:rsidRPr="008029AF">
        <w:rPr>
          <w:sz w:val="22"/>
          <w:szCs w:val="22"/>
        </w:rPr>
        <w:t xml:space="preserve"> mali</w:t>
      </w:r>
      <w:r w:rsidR="000C0AEE" w:rsidRPr="00EF433E">
        <w:rPr>
          <w:sz w:val="22"/>
          <w:szCs w:val="22"/>
        </w:rPr>
        <w:t xml:space="preserve">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14:paraId="03F22759" w14:textId="77777777" w:rsidR="00832C91" w:rsidRPr="00EF433E" w:rsidRDefault="00832C91" w:rsidP="00A440E6">
      <w:pPr>
        <w:rPr>
          <w:sz w:val="22"/>
          <w:szCs w:val="22"/>
        </w:rPr>
      </w:pPr>
    </w:p>
    <w:p w14:paraId="7BDC3F5F" w14:textId="4A109846" w:rsidR="000C0AEE" w:rsidRPr="00EF433E" w:rsidRDefault="00DA4854" w:rsidP="00A440E6">
      <w:pPr>
        <w:rPr>
          <w:sz w:val="22"/>
          <w:szCs w:val="22"/>
        </w:rPr>
      </w:pPr>
      <w:r>
        <w:rPr>
          <w:sz w:val="22"/>
          <w:szCs w:val="22"/>
        </w:rPr>
        <w:t>Aripiprazole Accord Healthcare</w:t>
      </w:r>
      <w:r w:rsidR="00D46C7A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je indikovan</w:t>
      </w:r>
      <w:r w:rsidR="00AF3379">
        <w:rPr>
          <w:sz w:val="22"/>
          <w:szCs w:val="22"/>
        </w:rPr>
        <w:t>ý</w:t>
      </w:r>
      <w:r w:rsidR="000C0AEE" w:rsidRPr="00EF433E">
        <w:rPr>
          <w:sz w:val="22"/>
          <w:szCs w:val="22"/>
        </w:rPr>
        <w:t xml:space="preserve"> na</w:t>
      </w:r>
      <w:r w:rsidR="003C58D7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 xml:space="preserve">liečbu stredne ťažkých a ťažkých manických epizód pri bipolárnej poruche typu I u dospievajúcich vo veku </w:t>
      </w:r>
      <w:r w:rsidR="003C58D7">
        <w:rPr>
          <w:sz w:val="22"/>
          <w:szCs w:val="22"/>
        </w:rPr>
        <w:t xml:space="preserve">od </w:t>
      </w:r>
      <w:r w:rsidR="000C0AEE" w:rsidRPr="00EF433E">
        <w:rPr>
          <w:sz w:val="22"/>
          <w:szCs w:val="22"/>
        </w:rPr>
        <w:t>13 rokov a starších až do 12 týždňov (pozri časť 5.1).</w:t>
      </w:r>
    </w:p>
    <w:p w14:paraId="4B7808A3" w14:textId="77777777" w:rsidR="00A0467A" w:rsidRPr="00EF433E" w:rsidRDefault="00A0467A" w:rsidP="00A440E6">
      <w:pPr>
        <w:rPr>
          <w:sz w:val="22"/>
        </w:rPr>
      </w:pPr>
    </w:p>
    <w:p w14:paraId="56F0290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14:paraId="5664081A" w14:textId="77777777" w:rsidR="00A0467A" w:rsidRPr="00EF433E" w:rsidRDefault="00A0467A" w:rsidP="00A440E6">
      <w:pPr>
        <w:rPr>
          <w:sz w:val="22"/>
        </w:rPr>
      </w:pPr>
    </w:p>
    <w:p w14:paraId="5697BD9D" w14:textId="77777777"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14:paraId="165206A8" w14:textId="77777777" w:rsidR="00A0467A" w:rsidRPr="00EF433E" w:rsidRDefault="00A0467A" w:rsidP="00A440E6">
      <w:pPr>
        <w:rPr>
          <w:b/>
          <w:i/>
          <w:sz w:val="22"/>
        </w:rPr>
      </w:pPr>
    </w:p>
    <w:p w14:paraId="63D60D9B" w14:textId="77777777" w:rsidR="006A1B12" w:rsidRPr="00EF433E" w:rsidRDefault="006A1B12" w:rsidP="00A440E6">
      <w:pPr>
        <w:rPr>
          <w:i/>
          <w:sz w:val="22"/>
          <w:u w:val="single"/>
        </w:rPr>
      </w:pPr>
      <w:r w:rsidRPr="008029AF">
        <w:rPr>
          <w:i/>
          <w:sz w:val="22"/>
          <w:u w:val="single"/>
        </w:rPr>
        <w:lastRenderedPageBreak/>
        <w:t>Dospel</w:t>
      </w:r>
      <w:r w:rsidR="00BB4AAF" w:rsidRPr="008029AF">
        <w:rPr>
          <w:i/>
          <w:sz w:val="22"/>
          <w:u w:val="single"/>
        </w:rPr>
        <w:t>í</w:t>
      </w:r>
      <w:r w:rsidRPr="00EF433E">
        <w:rPr>
          <w:i/>
          <w:sz w:val="22"/>
          <w:u w:val="single"/>
        </w:rPr>
        <w:t xml:space="preserve"> </w:t>
      </w:r>
    </w:p>
    <w:p w14:paraId="734CF441" w14:textId="38D21AB4"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3379">
        <w:rPr>
          <w:sz w:val="22"/>
        </w:rPr>
        <w:t>lieku Aripiprazole Accord Healthcare</w:t>
      </w:r>
      <w:r w:rsidR="008D1DEE">
        <w:rPr>
          <w:sz w:val="22"/>
        </w:rPr>
        <w:t xml:space="preserve"> </w:t>
      </w:r>
      <w:r w:rsidRPr="00EF433E">
        <w:rPr>
          <w:sz w:val="22"/>
        </w:rPr>
        <w:t>je 10 alebo 15 mg/deň s udržiavacou dávkou 15 mg/deň podávaná v dávkovacej schéme jedenkrát denne bez ohľadu na príjem potravy.</w:t>
      </w:r>
    </w:p>
    <w:p w14:paraId="6A4351B4" w14:textId="77777777" w:rsidR="006A1B12" w:rsidRPr="00EF433E" w:rsidRDefault="006A1B12" w:rsidP="00A440E6">
      <w:pPr>
        <w:rPr>
          <w:sz w:val="22"/>
        </w:rPr>
      </w:pPr>
    </w:p>
    <w:p w14:paraId="33A25C67" w14:textId="02CB3151" w:rsidR="006A1B12" w:rsidRPr="00EF433E" w:rsidRDefault="00DA4854" w:rsidP="00A440E6">
      <w:pPr>
        <w:rPr>
          <w:sz w:val="22"/>
          <w:szCs w:val="22"/>
        </w:rPr>
      </w:pPr>
      <w:r>
        <w:rPr>
          <w:sz w:val="22"/>
        </w:rPr>
        <w:t>Aripiprazole Accord Healthcare</w:t>
      </w:r>
      <w:r w:rsidR="008D1DE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 w:rsidR="00AF3379"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14:paraId="76BFB87A" w14:textId="77777777" w:rsidR="006A1B12" w:rsidRPr="00EF433E" w:rsidRDefault="006A1B12" w:rsidP="00A440E6">
      <w:pPr>
        <w:rPr>
          <w:sz w:val="22"/>
        </w:rPr>
      </w:pPr>
    </w:p>
    <w:p w14:paraId="34151117" w14:textId="482F97EA"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3379">
        <w:rPr>
          <w:sz w:val="22"/>
          <w:szCs w:val="22"/>
        </w:rPr>
        <w:t>lieku Aripiprazole Accord Healthcare</w:t>
      </w:r>
      <w:r w:rsidR="008D1DE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je 15 mg podávaná raz denne bez ohľadu na </w:t>
      </w:r>
      <w:r w:rsidR="00DD68E6">
        <w:rPr>
          <w:sz w:val="22"/>
          <w:szCs w:val="22"/>
        </w:rPr>
        <w:t>príjem potr</w:t>
      </w:r>
      <w:r w:rsidR="008D1DEE">
        <w:rPr>
          <w:sz w:val="22"/>
          <w:szCs w:val="22"/>
        </w:rPr>
        <w:t>a</w:t>
      </w:r>
      <w:r w:rsidR="00DD68E6">
        <w:rPr>
          <w:sz w:val="22"/>
          <w:szCs w:val="22"/>
        </w:rPr>
        <w:t>vy</w:t>
      </w:r>
      <w:r w:rsidRPr="00EF433E">
        <w:rPr>
          <w:sz w:val="22"/>
          <w:szCs w:val="22"/>
        </w:rPr>
        <w:t xml:space="preserve"> v monoterapii alebo kombinovanej terapii (pozri časť 5.1). Niektorí pacienti môžu mať úžitok z vyššej dávky. Maximálna denná dávka nesmie presiahnuť 30 mg.</w:t>
      </w:r>
    </w:p>
    <w:p w14:paraId="273D6112" w14:textId="77777777" w:rsidR="006A1B12" w:rsidRPr="00EF433E" w:rsidRDefault="006A1B12" w:rsidP="00A440E6">
      <w:pPr>
        <w:rPr>
          <w:sz w:val="22"/>
        </w:rPr>
      </w:pPr>
    </w:p>
    <w:p w14:paraId="78C1AE7A" w14:textId="77777777"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>Prevencia rekurencie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>na prevenciu rekurencie manických epizód u pacientov užívajúcich aripiprazol v monoterapii alebo kombinovanej terapii sa má pokračovať v liečbe v rovnakej dávke. Úprava dennej dávky vrátane zníženia dávky sa má zvážiť na základe klinického stavu.</w:t>
      </w:r>
    </w:p>
    <w:p w14:paraId="394F6E57" w14:textId="77777777" w:rsidR="006A1B12" w:rsidRPr="00EF433E" w:rsidRDefault="006A1B12" w:rsidP="00A440E6">
      <w:pPr>
        <w:rPr>
          <w:sz w:val="22"/>
        </w:rPr>
      </w:pPr>
    </w:p>
    <w:p w14:paraId="3748C85D" w14:textId="77777777" w:rsidR="00A0467A" w:rsidRPr="00434A1F" w:rsidRDefault="006A1B12" w:rsidP="00A440E6">
      <w:pPr>
        <w:keepNext/>
        <w:rPr>
          <w:i/>
          <w:sz w:val="22"/>
        </w:rPr>
      </w:pPr>
      <w:r w:rsidRPr="00434A1F">
        <w:rPr>
          <w:i/>
          <w:sz w:val="22"/>
        </w:rPr>
        <w:t>Pediatrická populácia</w:t>
      </w:r>
    </w:p>
    <w:p w14:paraId="7E3B5992" w14:textId="64E3BB48" w:rsidR="00A939D0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 xml:space="preserve">vo veku </w:t>
      </w:r>
      <w:r w:rsidR="008D1DEE">
        <w:rPr>
          <w:i/>
          <w:sz w:val="22"/>
        </w:rPr>
        <w:t xml:space="preserve">od </w:t>
      </w:r>
      <w:r w:rsidRPr="00EF433E">
        <w:rPr>
          <w:i/>
          <w:sz w:val="22"/>
        </w:rPr>
        <w:t>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3379">
        <w:rPr>
          <w:sz w:val="22"/>
        </w:rPr>
        <w:t>lieku Aripiprazole Accord Healthcare</w:t>
      </w:r>
      <w:r w:rsidR="008D1DE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</w:t>
      </w:r>
      <w:r w:rsidR="00F9365B">
        <w:rPr>
          <w:sz w:val="22"/>
          <w:szCs w:val="22"/>
        </w:rPr>
        <w:t xml:space="preserve">sa </w:t>
      </w:r>
      <w:r w:rsidR="007A5BFA" w:rsidRPr="00EF433E">
        <w:rPr>
          <w:sz w:val="22"/>
          <w:szCs w:val="22"/>
        </w:rPr>
        <w:t xml:space="preserve">má začať s dávkou 2 mg (použitím aripiprazolu perorálneho roztoku 1 mg/ml) prvé 2 dni, titrovanou na </w:t>
      </w:r>
    </w:p>
    <w:p w14:paraId="45E8224F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14:paraId="75791CAB" w14:textId="77777777"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14:paraId="424DC282" w14:textId="564D3EF7" w:rsidR="007A5BFA" w:rsidRPr="00EF433E" w:rsidRDefault="00DA4854" w:rsidP="007A5B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Aripiprazole Accord Healthcare</w:t>
      </w:r>
      <w:r w:rsidR="00A939D0">
        <w:rPr>
          <w:sz w:val="22"/>
          <w:szCs w:val="22"/>
        </w:rPr>
        <w:t xml:space="preserve"> </w:t>
      </w:r>
      <w:r w:rsidR="007A5BFA" w:rsidRPr="00EF433E">
        <w:rPr>
          <w:sz w:val="22"/>
          <w:szCs w:val="22"/>
        </w:rPr>
        <w:t>je účinn</w:t>
      </w:r>
      <w:r w:rsidR="00AF3379"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14:paraId="3C2BCEC4" w14:textId="77777777" w:rsidR="007A5BFA" w:rsidRPr="00EF433E" w:rsidRDefault="007A5BFA" w:rsidP="007A5BFA">
      <w:pPr>
        <w:pStyle w:val="Default"/>
        <w:rPr>
          <w:sz w:val="22"/>
          <w:szCs w:val="22"/>
        </w:rPr>
      </w:pPr>
    </w:p>
    <w:p w14:paraId="77A8115D" w14:textId="6C7570AE" w:rsidR="008E2713" w:rsidRDefault="00DA4854" w:rsidP="008E2713">
      <w:pPr>
        <w:rPr>
          <w:sz w:val="22"/>
          <w:szCs w:val="22"/>
        </w:rPr>
      </w:pPr>
      <w:r>
        <w:rPr>
          <w:sz w:val="22"/>
          <w:szCs w:val="22"/>
        </w:rPr>
        <w:t>Aripiprazole Accord Healthcare</w:t>
      </w:r>
      <w:r w:rsidR="006214FB">
        <w:rPr>
          <w:sz w:val="22"/>
          <w:szCs w:val="22"/>
        </w:rPr>
        <w:t xml:space="preserve"> sa </w:t>
      </w:r>
      <w:r w:rsidR="00724859">
        <w:rPr>
          <w:sz w:val="22"/>
          <w:szCs w:val="22"/>
        </w:rPr>
        <w:t>ne</w:t>
      </w:r>
      <w:r w:rsidR="006214FB">
        <w:rPr>
          <w:sz w:val="22"/>
          <w:szCs w:val="22"/>
        </w:rPr>
        <w:t>odporúča</w:t>
      </w:r>
      <w:r w:rsidR="007A5BFA" w:rsidRPr="00EF433E">
        <w:rPr>
          <w:sz w:val="22"/>
          <w:szCs w:val="22"/>
        </w:rPr>
        <w:t xml:space="preserve"> použ</w:t>
      </w:r>
      <w:r w:rsidR="006214FB">
        <w:rPr>
          <w:sz w:val="22"/>
          <w:szCs w:val="22"/>
        </w:rPr>
        <w:t>ívať</w:t>
      </w:r>
      <w:r w:rsidR="007A5BFA" w:rsidRPr="00EF433E">
        <w:rPr>
          <w:sz w:val="22"/>
          <w:szCs w:val="22"/>
        </w:rPr>
        <w:t xml:space="preserve"> u pacientov so schizofréniou mladších ako 15 rokov kvôli </w:t>
      </w:r>
      <w:r w:rsidR="00D97D21">
        <w:rPr>
          <w:sz w:val="22"/>
          <w:szCs w:val="22"/>
        </w:rPr>
        <w:t>nedostato</w:t>
      </w:r>
      <w:r w:rsidR="00E9099C">
        <w:rPr>
          <w:sz w:val="22"/>
          <w:szCs w:val="22"/>
        </w:rPr>
        <w:t>čným</w:t>
      </w:r>
      <w:r w:rsidR="007A5BFA" w:rsidRPr="00EF433E">
        <w:rPr>
          <w:sz w:val="22"/>
          <w:szCs w:val="22"/>
        </w:rPr>
        <w:t xml:space="preserve"> údajom o bezpečnosti a účinnosti ( pozri časti 4.8 a 5.1).</w:t>
      </w:r>
    </w:p>
    <w:p w14:paraId="05AF06AA" w14:textId="77777777" w:rsidR="008E2713" w:rsidRDefault="008E2713" w:rsidP="008E2713">
      <w:pPr>
        <w:rPr>
          <w:sz w:val="22"/>
          <w:szCs w:val="22"/>
        </w:rPr>
      </w:pPr>
    </w:p>
    <w:p w14:paraId="269F4E33" w14:textId="7070B314" w:rsidR="00373909" w:rsidRDefault="007A5BFA" w:rsidP="008E2713">
      <w:pPr>
        <w:rPr>
          <w:sz w:val="22"/>
        </w:rPr>
      </w:pPr>
      <w:r w:rsidRPr="00EF433E">
        <w:rPr>
          <w:i/>
          <w:sz w:val="22"/>
        </w:rPr>
        <w:t>Manické epizódy pri bipolárnej poruche typu I u dospievajúcich vo veku</w:t>
      </w:r>
      <w:r w:rsidR="00724859">
        <w:rPr>
          <w:i/>
          <w:sz w:val="22"/>
        </w:rPr>
        <w:t xml:space="preserve"> od</w:t>
      </w:r>
      <w:r w:rsidRPr="00EF433E">
        <w:rPr>
          <w:i/>
          <w:sz w:val="22"/>
        </w:rPr>
        <w:t xml:space="preserve"> 13 rokov a starších: </w:t>
      </w:r>
      <w:r w:rsidRPr="00EF433E">
        <w:rPr>
          <w:sz w:val="22"/>
        </w:rPr>
        <w:t xml:space="preserve">odporúčaná denná dávka </w:t>
      </w:r>
      <w:r w:rsidR="00AF3379">
        <w:rPr>
          <w:sz w:val="22"/>
          <w:szCs w:val="22"/>
        </w:rPr>
        <w:t>lieku Aripiprazole Accord Healthcare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>10 mg/deň podávaná podľa dávkovacej schémy raz denne, bez ohľadu na príjem potravy. Liečba sa má začať s dávkou 2 mg (použitím aripiprazolu perorálneho roztoku 1 mg/ml) prvé 2 dni, titrovanou na 5 mg ďalšie 2 dni, aby sa dosiahla odporúčaná denná dávka 10 mg.</w:t>
      </w:r>
      <w:r w:rsidR="00373909">
        <w:rPr>
          <w:sz w:val="22"/>
        </w:rPr>
        <w:t xml:space="preserve"> </w:t>
      </w:r>
    </w:p>
    <w:p w14:paraId="4887B4F9" w14:textId="77777777" w:rsidR="00373909" w:rsidRPr="00EF433E" w:rsidRDefault="00373909" w:rsidP="008E2713">
      <w:pPr>
        <w:rPr>
          <w:sz w:val="22"/>
        </w:rPr>
      </w:pPr>
    </w:p>
    <w:p w14:paraId="19368203" w14:textId="77777777" w:rsidR="00BB4AAF" w:rsidRDefault="00876A70" w:rsidP="008029AF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133550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133550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</w:t>
      </w:r>
      <w:r w:rsidR="00D22AFA">
        <w:rPr>
          <w:sz w:val="22"/>
          <w:szCs w:val="22"/>
        </w:rPr>
        <w:t>príznakov</w:t>
      </w:r>
      <w:r w:rsidRPr="00EF433E">
        <w:rPr>
          <w:sz w:val="22"/>
          <w:szCs w:val="22"/>
        </w:rPr>
        <w:t xml:space="preserve"> a nesmie prekročiť 12 týždňov. Lepšia účinnosť pri vyšších dávkach než je denná dávka 10 mg, sa nedokázala, a denná dávka 30 mg sa spája s podstatne vyššou incidenciou významných nežiaducich </w:t>
      </w:r>
      <w:r w:rsidR="009E486C">
        <w:rPr>
          <w:sz w:val="22"/>
          <w:szCs w:val="22"/>
        </w:rPr>
        <w:t>reakcií</w:t>
      </w:r>
      <w:r w:rsidR="009E486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vrátane príhod súvisiacich s extrapyramídovými </w:t>
      </w:r>
      <w:r w:rsidR="00AC1E90">
        <w:rPr>
          <w:sz w:val="22"/>
          <w:szCs w:val="22"/>
        </w:rPr>
        <w:t>príznakmi</w:t>
      </w:r>
      <w:r w:rsidRPr="00EF433E">
        <w:rPr>
          <w:sz w:val="22"/>
          <w:szCs w:val="22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14:paraId="5B26607D" w14:textId="77777777" w:rsidR="00BB4AAF" w:rsidRDefault="00BB4AAF" w:rsidP="008029AF">
      <w:pPr>
        <w:rPr>
          <w:sz w:val="22"/>
          <w:szCs w:val="22"/>
        </w:rPr>
      </w:pPr>
    </w:p>
    <w:p w14:paraId="6A508C7A" w14:textId="2E92E773" w:rsidR="00BB4AAF" w:rsidRDefault="00876A70" w:rsidP="008029AF">
      <w:pPr>
        <w:rPr>
          <w:i/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aripiprazolu. Preto sa </w:t>
      </w:r>
      <w:r w:rsidR="00DA4854">
        <w:rPr>
          <w:sz w:val="22"/>
          <w:szCs w:val="22"/>
        </w:rPr>
        <w:t>Aripiprazole Accord Healthcare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14:paraId="2F2A01D5" w14:textId="77777777" w:rsidR="00BB4AAF" w:rsidRDefault="00BB4AAF" w:rsidP="008029AF">
      <w:pPr>
        <w:rPr>
          <w:sz w:val="22"/>
        </w:rPr>
      </w:pPr>
    </w:p>
    <w:p w14:paraId="7995163A" w14:textId="54C5F0E1" w:rsidR="00BB4AAF" w:rsidRDefault="00462BEC" w:rsidP="008029AF">
      <w:pPr>
        <w:rPr>
          <w:sz w:val="22"/>
          <w:szCs w:val="22"/>
        </w:rPr>
      </w:pPr>
      <w:r w:rsidRPr="00EF433E">
        <w:rPr>
          <w:i/>
          <w:sz w:val="22"/>
        </w:rPr>
        <w:t xml:space="preserve">Podráždenosť spojená s autistickou poruchou: </w:t>
      </w:r>
      <w:r w:rsidRPr="00EF433E">
        <w:rPr>
          <w:sz w:val="22"/>
        </w:rPr>
        <w:t xml:space="preserve">bezpečnosť a účinnosť </w:t>
      </w:r>
      <w:r w:rsidR="00AF3379">
        <w:rPr>
          <w:sz w:val="22"/>
          <w:szCs w:val="22"/>
        </w:rPr>
        <w:t>lieku Aripiprazole Accord Healthcare</w:t>
      </w:r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14:paraId="6782A4B5" w14:textId="77777777" w:rsidR="007340F6" w:rsidRDefault="007340F6" w:rsidP="008029AF">
      <w:pPr>
        <w:rPr>
          <w:sz w:val="22"/>
        </w:rPr>
      </w:pPr>
    </w:p>
    <w:p w14:paraId="19F5947D" w14:textId="48B6DA3A"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Tourettovým syndrómom</w:t>
      </w:r>
      <w:r w:rsidRPr="00EF433E">
        <w:rPr>
          <w:sz w:val="22"/>
        </w:rPr>
        <w:t xml:space="preserve">: bezpečnosť a účinnosť </w:t>
      </w:r>
      <w:r w:rsidR="00AF3379">
        <w:rPr>
          <w:sz w:val="22"/>
          <w:szCs w:val="22"/>
        </w:rPr>
        <w:t>lieku Aripiprazole Accord Healthcare</w:t>
      </w:r>
      <w:r w:rsidR="00724859">
        <w:rPr>
          <w:sz w:val="22"/>
          <w:szCs w:val="22"/>
        </w:rPr>
        <w:t xml:space="preserve"> </w:t>
      </w:r>
      <w:r w:rsidRPr="00EF433E">
        <w:rPr>
          <w:sz w:val="22"/>
        </w:rPr>
        <w:t xml:space="preserve">u </w:t>
      </w:r>
      <w:r w:rsidRPr="00EF433E">
        <w:rPr>
          <w:sz w:val="22"/>
          <w:szCs w:val="22"/>
        </w:rPr>
        <w:t xml:space="preserve">detí a dospievajúcich </w:t>
      </w:r>
      <w:r w:rsidR="00C32042">
        <w:rPr>
          <w:sz w:val="22"/>
          <w:szCs w:val="22"/>
        </w:rPr>
        <w:t xml:space="preserve">vo veku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14:paraId="7D4E45FD" w14:textId="77777777" w:rsidR="00493CF9" w:rsidRDefault="00493CF9" w:rsidP="00A440E6">
      <w:pPr>
        <w:rPr>
          <w:sz w:val="22"/>
        </w:rPr>
      </w:pPr>
    </w:p>
    <w:p w14:paraId="3EDFFF29" w14:textId="77777777" w:rsidR="009E486C" w:rsidRDefault="009E486C" w:rsidP="009E486C">
      <w:pPr>
        <w:keepNext/>
        <w:rPr>
          <w:sz w:val="22"/>
          <w:u w:val="single"/>
        </w:rPr>
      </w:pPr>
      <w:r w:rsidRPr="003940F4">
        <w:rPr>
          <w:sz w:val="22"/>
          <w:u w:val="single"/>
        </w:rPr>
        <w:t xml:space="preserve">Osobitné </w:t>
      </w:r>
      <w:r w:rsidR="002A4396">
        <w:rPr>
          <w:sz w:val="22"/>
          <w:u w:val="single"/>
        </w:rPr>
        <w:t>skupiny pacientov</w:t>
      </w:r>
    </w:p>
    <w:p w14:paraId="324C924D" w14:textId="77777777" w:rsidR="009E486C" w:rsidRPr="00EF433E" w:rsidRDefault="009E486C" w:rsidP="00A440E6">
      <w:pPr>
        <w:rPr>
          <w:sz w:val="22"/>
        </w:rPr>
      </w:pPr>
    </w:p>
    <w:p w14:paraId="3E95559C" w14:textId="77777777" w:rsidR="001A458B" w:rsidRPr="005C4213" w:rsidRDefault="000D254B" w:rsidP="00A440E6">
      <w:pPr>
        <w:rPr>
          <w:i/>
          <w:sz w:val="22"/>
        </w:rPr>
      </w:pPr>
      <w:r w:rsidRPr="005C4213">
        <w:rPr>
          <w:i/>
          <w:sz w:val="22"/>
        </w:rPr>
        <w:t>P</w:t>
      </w:r>
      <w:r w:rsidR="001A458B" w:rsidRPr="005C4213">
        <w:rPr>
          <w:i/>
          <w:sz w:val="22"/>
        </w:rPr>
        <w:t>oruch</w:t>
      </w:r>
      <w:r w:rsidRPr="005C4213">
        <w:rPr>
          <w:i/>
          <w:sz w:val="22"/>
        </w:rPr>
        <w:t>a</w:t>
      </w:r>
      <w:r w:rsidR="001A458B" w:rsidRPr="005C4213">
        <w:rPr>
          <w:i/>
          <w:sz w:val="22"/>
        </w:rPr>
        <w:t xml:space="preserve"> funkcie pečene</w:t>
      </w:r>
    </w:p>
    <w:p w14:paraId="02022003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14:paraId="2692BA81" w14:textId="77777777" w:rsidR="001A458B" w:rsidRPr="00EF433E" w:rsidRDefault="001A458B" w:rsidP="00A440E6">
      <w:pPr>
        <w:rPr>
          <w:sz w:val="22"/>
          <w:szCs w:val="22"/>
        </w:rPr>
      </w:pPr>
    </w:p>
    <w:p w14:paraId="6609AF2B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Poruch</w:t>
      </w:r>
      <w:r w:rsidR="000D254B" w:rsidRPr="005C4213">
        <w:rPr>
          <w:i/>
          <w:sz w:val="22"/>
          <w:szCs w:val="22"/>
        </w:rPr>
        <w:t>a</w:t>
      </w:r>
      <w:r w:rsidRPr="005C4213">
        <w:rPr>
          <w:i/>
          <w:sz w:val="22"/>
          <w:szCs w:val="22"/>
        </w:rPr>
        <w:t xml:space="preserve"> funkcie obličiek</w:t>
      </w:r>
    </w:p>
    <w:p w14:paraId="1C920055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14:paraId="28236C16" w14:textId="77777777" w:rsidR="001A458B" w:rsidRPr="00EF433E" w:rsidRDefault="001A458B" w:rsidP="00A440E6">
      <w:pPr>
        <w:rPr>
          <w:sz w:val="22"/>
          <w:szCs w:val="22"/>
        </w:rPr>
      </w:pPr>
    </w:p>
    <w:p w14:paraId="71F64C19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Starší </w:t>
      </w:r>
      <w:r w:rsidR="00ED5DF4" w:rsidRPr="005C4213">
        <w:rPr>
          <w:i/>
          <w:sz w:val="22"/>
          <w:szCs w:val="22"/>
        </w:rPr>
        <w:t>pacienti</w:t>
      </w:r>
    </w:p>
    <w:p w14:paraId="10D25F8F" w14:textId="29DED1E4" w:rsidR="001A458B" w:rsidRPr="00EF433E" w:rsidRDefault="009E486C" w:rsidP="00A440E6">
      <w:pPr>
        <w:rPr>
          <w:sz w:val="22"/>
          <w:szCs w:val="22"/>
        </w:rPr>
      </w:pPr>
      <w:r w:rsidRPr="009E486C">
        <w:rPr>
          <w:sz w:val="22"/>
          <w:szCs w:val="22"/>
        </w:rPr>
        <w:t>Bezpečnosť a účinnosť</w:t>
      </w:r>
      <w:r w:rsidR="001A458B" w:rsidRPr="00EF433E">
        <w:rPr>
          <w:sz w:val="22"/>
          <w:szCs w:val="22"/>
        </w:rPr>
        <w:t xml:space="preserve"> </w:t>
      </w:r>
      <w:r w:rsidR="00AF3379">
        <w:rPr>
          <w:sz w:val="22"/>
          <w:szCs w:val="22"/>
        </w:rPr>
        <w:t>lieku Aripiprazole Accord Healthcare</w:t>
      </w:r>
      <w:r w:rsidR="00C846B1">
        <w:rPr>
          <w:sz w:val="22"/>
          <w:szCs w:val="22"/>
        </w:rPr>
        <w:t xml:space="preserve"> </w:t>
      </w:r>
      <w:r w:rsidR="001A458B" w:rsidRPr="00EF433E">
        <w:rPr>
          <w:sz w:val="22"/>
          <w:szCs w:val="22"/>
        </w:rPr>
        <w:t>v liečbe schizofrénie a</w:t>
      </w:r>
      <w:r w:rsidR="002A4396">
        <w:rPr>
          <w:sz w:val="22"/>
          <w:szCs w:val="22"/>
        </w:rPr>
        <w:t>lebo</w:t>
      </w:r>
      <w:r w:rsidRPr="009E486C">
        <w:rPr>
          <w:sz w:val="22"/>
          <w:szCs w:val="22"/>
          <w:lang w:eastAsia="sk-SK"/>
        </w:rPr>
        <w:t xml:space="preserve"> </w:t>
      </w:r>
      <w:r w:rsidRPr="009E486C">
        <w:rPr>
          <w:sz w:val="22"/>
          <w:szCs w:val="22"/>
        </w:rPr>
        <w:t>manických epizód u</w:t>
      </w:r>
      <w:r w:rsidR="001A458B" w:rsidRPr="00EF433E">
        <w:rPr>
          <w:sz w:val="22"/>
          <w:szCs w:val="22"/>
        </w:rPr>
        <w:t xml:space="preserve"> bipolárnej poruchy typu I u pacientov vo veku </w:t>
      </w:r>
      <w:r w:rsidR="008F2364">
        <w:rPr>
          <w:sz w:val="22"/>
          <w:szCs w:val="22"/>
        </w:rPr>
        <w:t xml:space="preserve">od </w:t>
      </w:r>
      <w:r w:rsidR="001A458B" w:rsidRPr="00EF433E">
        <w:rPr>
          <w:sz w:val="22"/>
          <w:szCs w:val="22"/>
        </w:rPr>
        <w:t>65 rokov a starších nebola stanovená. Vzhľadom na väčšiu citlivosť v tejto časti populácie sa má zvážiť nižšia počiatočná dávka, pokiaľ si to vyžadujú klinické faktory (pozri časť 4.4).</w:t>
      </w:r>
    </w:p>
    <w:p w14:paraId="71A8A9D1" w14:textId="77777777" w:rsidR="001A458B" w:rsidRPr="00EF433E" w:rsidRDefault="001A458B" w:rsidP="00A440E6">
      <w:pPr>
        <w:rPr>
          <w:sz w:val="22"/>
          <w:szCs w:val="22"/>
        </w:rPr>
      </w:pPr>
    </w:p>
    <w:p w14:paraId="6E87B1F5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Pohlavie</w:t>
      </w:r>
    </w:p>
    <w:p w14:paraId="66C2E7BB" w14:textId="77777777"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14:paraId="5E40E825" w14:textId="77777777" w:rsidR="001A458B" w:rsidRPr="00EF433E" w:rsidRDefault="001A458B" w:rsidP="00A440E6">
      <w:pPr>
        <w:rPr>
          <w:sz w:val="22"/>
          <w:szCs w:val="22"/>
        </w:rPr>
      </w:pPr>
    </w:p>
    <w:p w14:paraId="7B16ACE7" w14:textId="77777777" w:rsidR="001A458B" w:rsidRPr="005C4213" w:rsidRDefault="001A458B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 xml:space="preserve">Fajčenie </w:t>
      </w:r>
    </w:p>
    <w:p w14:paraId="2FF4157A" w14:textId="77777777"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t>Vzhľadom na metabolickú dráhu aripiprazolu nie je u fajčiarov potrebná žiadna úprava dávkovania (pozri časť 4.5).</w:t>
      </w:r>
    </w:p>
    <w:p w14:paraId="41E8B107" w14:textId="77777777" w:rsidR="000906AB" w:rsidRPr="00EF433E" w:rsidRDefault="000906AB" w:rsidP="00A440E6">
      <w:pPr>
        <w:rPr>
          <w:sz w:val="22"/>
        </w:rPr>
      </w:pPr>
    </w:p>
    <w:p w14:paraId="16DC2CDE" w14:textId="77777777" w:rsidR="000906AB" w:rsidRPr="005C4213" w:rsidRDefault="000906AB" w:rsidP="00A440E6">
      <w:pPr>
        <w:rPr>
          <w:i/>
          <w:sz w:val="22"/>
        </w:rPr>
      </w:pPr>
      <w:r w:rsidRPr="005C4213">
        <w:rPr>
          <w:i/>
          <w:sz w:val="22"/>
        </w:rPr>
        <w:t>Úprava dávkovania pri interakciách</w:t>
      </w:r>
    </w:p>
    <w:p w14:paraId="17B1F387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znížiť. Keď sa inhibítory CYP3A4 alebo CYP2D6 vysadia z kombinovanej liečby</w:t>
      </w:r>
      <w:r w:rsidR="00A90DA5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aripiprazolu zvýšiť (pozri časť 4.5).</w:t>
      </w:r>
    </w:p>
    <w:p w14:paraId="20D84255" w14:textId="77777777"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aripiprazolu zvýšiť. Keď sa induktor CYP3A4 vysadí z kombinovanej liečby</w:t>
      </w:r>
      <w:r w:rsidR="005A49FF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sa dávka aripiprazolu znížiť na odporúčanú dávku (pozri časť 4.5).</w:t>
      </w:r>
    </w:p>
    <w:p w14:paraId="23758AE0" w14:textId="77777777" w:rsidR="000906AB" w:rsidRPr="00EF433E" w:rsidRDefault="000906AB" w:rsidP="00A440E6">
      <w:pPr>
        <w:rPr>
          <w:sz w:val="22"/>
          <w:szCs w:val="22"/>
        </w:rPr>
      </w:pPr>
    </w:p>
    <w:p w14:paraId="6F5D7E9A" w14:textId="77777777"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14:paraId="70CEC1DE" w14:textId="77777777" w:rsidR="002F5719" w:rsidRDefault="002F5719" w:rsidP="00A440E6">
      <w:pPr>
        <w:rPr>
          <w:sz w:val="22"/>
        </w:rPr>
      </w:pPr>
    </w:p>
    <w:p w14:paraId="46F05F74" w14:textId="6426E41A" w:rsidR="001A458B" w:rsidRDefault="008E63C6" w:rsidP="00A440E6">
      <w:pPr>
        <w:rPr>
          <w:sz w:val="22"/>
        </w:rPr>
      </w:pPr>
      <w:r>
        <w:rPr>
          <w:sz w:val="22"/>
        </w:rPr>
        <w:t>O</w:t>
      </w:r>
      <w:r w:rsidR="001C1F57">
        <w:rPr>
          <w:sz w:val="22"/>
        </w:rPr>
        <w:t>rod</w:t>
      </w:r>
      <w:r w:rsidR="00D501D6">
        <w:rPr>
          <w:sz w:val="22"/>
        </w:rPr>
        <w:t>i</w:t>
      </w:r>
      <w:r w:rsidR="001C1F57">
        <w:rPr>
          <w:sz w:val="22"/>
        </w:rPr>
        <w:t xml:space="preserve">spergovateľné </w:t>
      </w:r>
      <w:r w:rsidR="000906AB" w:rsidRPr="00EF433E">
        <w:rPr>
          <w:sz w:val="22"/>
        </w:rPr>
        <w:t xml:space="preserve">tablety </w:t>
      </w:r>
      <w:r w:rsidR="00DA4854">
        <w:rPr>
          <w:sz w:val="22"/>
          <w:szCs w:val="22"/>
        </w:rPr>
        <w:t>Aripiprazole Accord Healthcare</w:t>
      </w:r>
      <w:r>
        <w:rPr>
          <w:sz w:val="22"/>
          <w:szCs w:val="22"/>
        </w:rPr>
        <w:t xml:space="preserve"> </w:t>
      </w:r>
      <w:r w:rsidR="000906AB" w:rsidRPr="00EF433E">
        <w:rPr>
          <w:sz w:val="22"/>
        </w:rPr>
        <w:t>sú určené na perorálne použitie.</w:t>
      </w:r>
    </w:p>
    <w:p w14:paraId="0E8ABE15" w14:textId="77777777" w:rsidR="005337F4" w:rsidRPr="00EF433E" w:rsidRDefault="005337F4" w:rsidP="00A440E6">
      <w:pPr>
        <w:rPr>
          <w:sz w:val="22"/>
        </w:rPr>
      </w:pPr>
    </w:p>
    <w:p w14:paraId="7BAAF667" w14:textId="77777777"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Orodispergovateľná tableta sa má dať do úst na jazyk, kde sa rýchlo rozpustí v slinách. Môže sa užiť </w:t>
      </w:r>
    </w:p>
    <w:p w14:paraId="68BBD842" w14:textId="77777777"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s tekutinou alebo bez nej. Odstránenie neporušenej orodispergovateľnej tablety z úst je obtiažne. </w:t>
      </w:r>
    </w:p>
    <w:p w14:paraId="09644C26" w14:textId="77777777" w:rsidR="009855D0" w:rsidRPr="009855D0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Orodispergovateľná tableta je krehká, a preto sa musí </w:t>
      </w:r>
      <w:r w:rsidR="00D35640">
        <w:rPr>
          <w:sz w:val="22"/>
        </w:rPr>
        <w:t>užiť</w:t>
      </w:r>
      <w:r w:rsidRPr="009855D0">
        <w:rPr>
          <w:sz w:val="22"/>
        </w:rPr>
        <w:t xml:space="preserve"> okamžite po otvorení blistra. Alebo sa </w:t>
      </w:r>
    </w:p>
    <w:p w14:paraId="67C9FE0E" w14:textId="77777777" w:rsidR="009855D0" w:rsidRDefault="009855D0" w:rsidP="009855D0">
      <w:pPr>
        <w:rPr>
          <w:sz w:val="22"/>
        </w:rPr>
      </w:pPr>
      <w:r w:rsidRPr="009855D0">
        <w:rPr>
          <w:sz w:val="22"/>
        </w:rPr>
        <w:t>tableta rozpustí vo vode a vytvorená suspenzia sa vypije.</w:t>
      </w:r>
    </w:p>
    <w:p w14:paraId="4B245E64" w14:textId="77777777" w:rsidR="005337F4" w:rsidRPr="009855D0" w:rsidRDefault="005337F4" w:rsidP="009855D0">
      <w:pPr>
        <w:rPr>
          <w:sz w:val="22"/>
        </w:rPr>
      </w:pPr>
    </w:p>
    <w:p w14:paraId="4D45ED1B" w14:textId="77777777" w:rsidR="000906AB" w:rsidRDefault="009855D0" w:rsidP="009855D0">
      <w:pPr>
        <w:rPr>
          <w:sz w:val="22"/>
        </w:rPr>
      </w:pPr>
      <w:r w:rsidRPr="009855D0">
        <w:rPr>
          <w:sz w:val="22"/>
        </w:rPr>
        <w:t xml:space="preserve">Orodispergovateľné tablety sa môžu používať ako náhrada tabliet </w:t>
      </w:r>
      <w:r>
        <w:rPr>
          <w:sz w:val="22"/>
        </w:rPr>
        <w:t>obsahujúcic</w:t>
      </w:r>
      <w:r w:rsidR="00EC7079">
        <w:rPr>
          <w:sz w:val="22"/>
        </w:rPr>
        <w:t>h</w:t>
      </w:r>
      <w:r>
        <w:rPr>
          <w:sz w:val="22"/>
        </w:rPr>
        <w:t xml:space="preserve"> aripirazol </w:t>
      </w:r>
      <w:r w:rsidRPr="009855D0">
        <w:rPr>
          <w:sz w:val="22"/>
        </w:rPr>
        <w:t xml:space="preserve">u pacientov, ktorí majú problém prehltnúť tablety </w:t>
      </w:r>
      <w:r w:rsidR="00EC7079">
        <w:rPr>
          <w:sz w:val="22"/>
        </w:rPr>
        <w:t xml:space="preserve">aripirazolu </w:t>
      </w:r>
      <w:r w:rsidRPr="009855D0">
        <w:rPr>
          <w:sz w:val="22"/>
        </w:rPr>
        <w:t>(pozri tiež časť 5.2).</w:t>
      </w:r>
    </w:p>
    <w:p w14:paraId="0EA6094A" w14:textId="77777777" w:rsidR="0098353D" w:rsidRPr="00EF433E" w:rsidRDefault="0098353D" w:rsidP="009855D0">
      <w:pPr>
        <w:rPr>
          <w:sz w:val="22"/>
        </w:rPr>
      </w:pPr>
    </w:p>
    <w:p w14:paraId="12BF259E" w14:textId="77777777"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14:paraId="4A12C7AF" w14:textId="77777777"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4D8361A2" w14:textId="77777777"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14:paraId="4445749E" w14:textId="77777777"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14:paraId="3797B966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lastRenderedPageBreak/>
        <w:t>Osobitné upozornenia a opatrenia pri používaní</w:t>
      </w:r>
    </w:p>
    <w:p w14:paraId="52B05C63" w14:textId="77777777"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14:paraId="52D5361A" w14:textId="77777777" w:rsidR="008E0474" w:rsidRPr="005C12DE" w:rsidRDefault="008E0474" w:rsidP="008E0474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u w:val="single"/>
        </w:rPr>
      </w:pPr>
    </w:p>
    <w:p w14:paraId="5889721D" w14:textId="77777777" w:rsidR="00587F8B" w:rsidRDefault="00587F8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14:paraId="2BEBA73E" w14:textId="77777777" w:rsidR="000912BB" w:rsidRPr="00EF433E" w:rsidRDefault="000912BB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14:paraId="0A7BADCC" w14:textId="77777777"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14:paraId="45C72E65" w14:textId="77777777" w:rsidR="00FF5B37" w:rsidRDefault="00FF5B37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Samovražedné sklony</w:t>
      </w:r>
    </w:p>
    <w:p w14:paraId="44B39594" w14:textId="77777777" w:rsidR="004875A4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</w:t>
      </w:r>
    </w:p>
    <w:p w14:paraId="387E1F50" w14:textId="77777777"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 niektorých prípadoch sa pozoroval skoro po začatí liečby alebo zmene antipsychotickej liečby, vrátane liečby aripiprazolom (pozri časť 4.8). Antipsychotická liečba vysokorizikových pacientov si vyžaduje dôkladné sledovanie. </w:t>
      </w:r>
    </w:p>
    <w:p w14:paraId="59842404" w14:textId="77777777"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14:paraId="3D669322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14:paraId="34A1807D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r w:rsidRPr="00EF433E">
        <w:rPr>
          <w:sz w:val="22"/>
          <w:szCs w:val="22"/>
        </w:rPr>
        <w:t>Aripiprazol sa má opatrne používať u pacientov so znám</w:t>
      </w:r>
      <w:r w:rsidR="000B6001">
        <w:rPr>
          <w:sz w:val="22"/>
          <w:szCs w:val="22"/>
        </w:rPr>
        <w:t>ym</w:t>
      </w:r>
      <w:r w:rsidRPr="00EF433E">
        <w:rPr>
          <w:sz w:val="22"/>
          <w:szCs w:val="22"/>
        </w:rPr>
        <w:t xml:space="preserve"> kardiovaskulárn</w:t>
      </w:r>
      <w:r w:rsidR="000B6001">
        <w:rPr>
          <w:sz w:val="22"/>
          <w:szCs w:val="22"/>
        </w:rPr>
        <w:t>ym ochorením</w:t>
      </w:r>
      <w:r w:rsidRPr="00EF433E">
        <w:rPr>
          <w:sz w:val="22"/>
          <w:szCs w:val="22"/>
        </w:rPr>
        <w:t xml:space="preserve"> (anamnéza infarktu myokardu alebo ischemickej choroby srdca, srdcové zlyhani</w:t>
      </w:r>
      <w:r w:rsidR="00FA721E">
        <w:rPr>
          <w:sz w:val="22"/>
          <w:szCs w:val="22"/>
        </w:rPr>
        <w:t>e</w:t>
      </w:r>
      <w:r w:rsidRPr="00EF433E">
        <w:rPr>
          <w:sz w:val="22"/>
          <w:szCs w:val="22"/>
        </w:rPr>
        <w:t xml:space="preserve"> alebo abnormality vedenia), cerebrovaskulárn</w:t>
      </w:r>
      <w:r w:rsidR="00D70BFD">
        <w:rPr>
          <w:sz w:val="22"/>
          <w:szCs w:val="22"/>
        </w:rPr>
        <w:t>ym o</w:t>
      </w:r>
      <w:r w:rsidRPr="00EF433E">
        <w:rPr>
          <w:sz w:val="22"/>
          <w:szCs w:val="22"/>
        </w:rPr>
        <w:t>chor</w:t>
      </w:r>
      <w:r w:rsidR="00D70BFD">
        <w:rPr>
          <w:sz w:val="22"/>
          <w:szCs w:val="22"/>
        </w:rPr>
        <w:t>ením</w:t>
      </w:r>
      <w:r w:rsidRPr="00EF433E">
        <w:rPr>
          <w:sz w:val="22"/>
          <w:szCs w:val="22"/>
        </w:rPr>
        <w:t xml:space="preserve">, </w:t>
      </w:r>
      <w:r w:rsidR="007474CA">
        <w:rPr>
          <w:sz w:val="22"/>
          <w:szCs w:val="22"/>
        </w:rPr>
        <w:t>stavmi</w:t>
      </w:r>
      <w:r w:rsidRPr="00EF433E">
        <w:rPr>
          <w:sz w:val="22"/>
          <w:szCs w:val="22"/>
        </w:rPr>
        <w:t xml:space="preserve">, ktoré môžu mať vplyv na pacientov s predispozíciou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>(dehydratácia, hypovolémia a liečba antihypertenzívnymi liekmi) alebo hypertenziou zahŕňajúcou akcelerovanú alebo malígnu.</w:t>
      </w:r>
    </w:p>
    <w:p w14:paraId="32CAF81A" w14:textId="77777777"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14:paraId="2F9CDC3B" w14:textId="669FACEC" w:rsidR="00D0022E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venózneho tromboembolizmu (VTE) boli hlásené </w:t>
      </w:r>
      <w:r w:rsidRPr="003940F4">
        <w:rPr>
          <w:sz w:val="22"/>
          <w:szCs w:val="22"/>
          <w:lang w:val="sk-SK"/>
        </w:rPr>
        <w:t>pri antipsychoti</w:t>
      </w:r>
      <w:r w:rsidR="00F55C4C" w:rsidRPr="003940F4">
        <w:rPr>
          <w:sz w:val="22"/>
          <w:szCs w:val="22"/>
          <w:lang w:val="sk-SK"/>
        </w:rPr>
        <w:t>c</w:t>
      </w:r>
      <w:r w:rsidRPr="003940F4">
        <w:rPr>
          <w:sz w:val="22"/>
          <w:szCs w:val="22"/>
          <w:lang w:val="sk-SK"/>
        </w:rPr>
        <w:t>k</w:t>
      </w:r>
      <w:r w:rsidR="00093F48" w:rsidRPr="003940F4">
        <w:rPr>
          <w:sz w:val="22"/>
          <w:szCs w:val="22"/>
          <w:lang w:val="sk-SK"/>
        </w:rPr>
        <w:t>ých liekoch</w:t>
      </w:r>
      <w:r w:rsidRPr="003940F4">
        <w:rPr>
          <w:sz w:val="22"/>
          <w:szCs w:val="22"/>
          <w:lang w:val="sk-SK"/>
        </w:rPr>
        <w:t xml:space="preserve">. Pred a počas liečby </w:t>
      </w:r>
      <w:r w:rsidR="00AF3379">
        <w:rPr>
          <w:sz w:val="22"/>
          <w:szCs w:val="22"/>
          <w:lang w:val="sk-SK"/>
        </w:rPr>
        <w:t xml:space="preserve">liekom </w:t>
      </w:r>
      <w:r w:rsidR="00DA4854">
        <w:rPr>
          <w:sz w:val="22"/>
          <w:szCs w:val="22"/>
          <w:lang w:val="sk-SK"/>
        </w:rPr>
        <w:t>Aripiprazole Accord Healthcare</w:t>
      </w:r>
      <w:r w:rsidR="004875A4" w:rsidRPr="00DA485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sa majú stanoviť</w:t>
      </w:r>
      <w:r w:rsidR="00A60BD3" w:rsidRPr="003940F4">
        <w:rPr>
          <w:sz w:val="22"/>
          <w:szCs w:val="22"/>
          <w:lang w:val="sk-SK"/>
        </w:rPr>
        <w:t xml:space="preserve"> všetky možné</w:t>
      </w:r>
      <w:r w:rsidRPr="003940F4">
        <w:rPr>
          <w:sz w:val="22"/>
          <w:szCs w:val="22"/>
          <w:lang w:val="sk-SK"/>
        </w:rPr>
        <w:t xml:space="preserve"> rizikové faktory VTE a vykonať preventívne opatrenia, pretože u pacientov liečených antipsychotikami sú často prítomné získané rizikové faktory VTE.</w:t>
      </w:r>
    </w:p>
    <w:p w14:paraId="2FB994A8" w14:textId="77777777"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D88C6F8" w14:textId="77777777" w:rsidR="00D11BDA" w:rsidRPr="003940F4" w:rsidRDefault="00ED5DF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Predĺženie QT intervalu</w:t>
      </w:r>
    </w:p>
    <w:p w14:paraId="3515F6CD" w14:textId="77777777"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štúdiách s aripiprazolom bola incidencia QT predĺženia porovnateľná s placebom. </w:t>
      </w:r>
      <w:r w:rsidR="009E486C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ripiprazol sa má opatrne používať u pacientov s rodinnou anamnézou predĺženia</w:t>
      </w:r>
      <w:r w:rsidR="00232424" w:rsidRPr="003940F4">
        <w:rPr>
          <w:sz w:val="22"/>
          <w:szCs w:val="22"/>
          <w:lang w:val="sk-SK"/>
        </w:rPr>
        <w:t xml:space="preserve"> QT intervalu</w:t>
      </w:r>
      <w:r w:rsidR="00531DE3" w:rsidRPr="003940F4">
        <w:rPr>
          <w:sz w:val="22"/>
          <w:szCs w:val="22"/>
          <w:lang w:val="sk-SK"/>
        </w:rPr>
        <w:t xml:space="preserve"> </w:t>
      </w:r>
      <w:r w:rsidR="00992FEB" w:rsidRPr="003940F4">
        <w:rPr>
          <w:sz w:val="22"/>
          <w:szCs w:val="22"/>
          <w:lang w:val="sk-SK"/>
        </w:rPr>
        <w:t>(pozri časť 4.8)</w:t>
      </w:r>
      <w:r w:rsidRPr="003940F4">
        <w:rPr>
          <w:sz w:val="22"/>
          <w:szCs w:val="22"/>
          <w:lang w:val="sk-SK"/>
        </w:rPr>
        <w:t>.</w:t>
      </w:r>
    </w:p>
    <w:p w14:paraId="26A9DF28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5DE2D35A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Tardívna dyskinéza</w:t>
      </w:r>
    </w:p>
    <w:p w14:paraId="785AAB29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 jednoročných alebo v kratších klinických skúšaniach boli počas liečby aripiprazolom </w:t>
      </w:r>
      <w:r w:rsidR="00232424" w:rsidRPr="003940F4">
        <w:rPr>
          <w:sz w:val="22"/>
          <w:szCs w:val="22"/>
          <w:lang w:val="sk-SK"/>
        </w:rPr>
        <w:t>menej často</w:t>
      </w:r>
      <w:r w:rsidR="00A60BD3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hlásené prípady </w:t>
      </w:r>
      <w:r w:rsidR="00232424" w:rsidRPr="003940F4">
        <w:rPr>
          <w:sz w:val="22"/>
          <w:szCs w:val="22"/>
          <w:lang w:val="sk-SK"/>
        </w:rPr>
        <w:t xml:space="preserve">akútnej </w:t>
      </w:r>
      <w:r w:rsidRPr="003940F4">
        <w:rPr>
          <w:sz w:val="22"/>
          <w:szCs w:val="22"/>
          <w:lang w:val="sk-SK"/>
        </w:rPr>
        <w:t xml:space="preserve">dyskinézy vzniknutej počas liečby. Pokiaľ sa u pacienta užívajúceho </w:t>
      </w:r>
      <w:r w:rsidR="009E7122" w:rsidRPr="00DA4854">
        <w:rPr>
          <w:sz w:val="22"/>
          <w:szCs w:val="22"/>
          <w:lang w:val="sk-SK"/>
        </w:rPr>
        <w:t xml:space="preserve">aripiprazol </w:t>
      </w:r>
      <w:r w:rsidRPr="003940F4">
        <w:rPr>
          <w:sz w:val="22"/>
          <w:szCs w:val="22"/>
          <w:lang w:val="sk-SK"/>
        </w:rPr>
        <w:t xml:space="preserve">objavia </w:t>
      </w:r>
      <w:r w:rsidR="00A60BD3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>a príznaky tardívnej dyskinézy</w:t>
      </w:r>
      <w:r w:rsidR="00583BE4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má sa zvážiť zníženie dávky alebo prerušenie liečby</w:t>
      </w:r>
      <w:r w:rsidR="009E712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 xml:space="preserve">. Tieto príznaky sa môžu postupom času zhoršovať, alebo môžu </w:t>
      </w:r>
      <w:r w:rsidR="003665F1" w:rsidRPr="003940F4">
        <w:rPr>
          <w:sz w:val="22"/>
          <w:szCs w:val="22"/>
          <w:lang w:val="sk-SK"/>
        </w:rPr>
        <w:t xml:space="preserve">dokonca </w:t>
      </w:r>
      <w:r w:rsidRPr="003940F4">
        <w:rPr>
          <w:sz w:val="22"/>
          <w:szCs w:val="22"/>
          <w:lang w:val="sk-SK"/>
        </w:rPr>
        <w:t>vzniknúť aj po prerušení liečby.</w:t>
      </w:r>
    </w:p>
    <w:p w14:paraId="496536C2" w14:textId="77777777" w:rsidR="00D11BDA" w:rsidRPr="003940F4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4AF29BD9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Iné extrapyramídové symptómy</w:t>
      </w:r>
    </w:p>
    <w:p w14:paraId="522CBDE3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s deťmi a dospievajúcimi s aripiprazolom sa pozorovala akatízia a parkinsonizmus. Ak sa objavia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</w:t>
      </w:r>
      <w:r w:rsidR="002A7676" w:rsidRPr="003940F4">
        <w:rPr>
          <w:sz w:val="22"/>
          <w:szCs w:val="22"/>
          <w:lang w:val="sk-SK"/>
        </w:rPr>
        <w:t>príznaky</w:t>
      </w:r>
      <w:r w:rsidRPr="003940F4">
        <w:rPr>
          <w:sz w:val="22"/>
          <w:szCs w:val="22"/>
          <w:lang w:val="sk-SK"/>
        </w:rPr>
        <w:t xml:space="preserve"> iných extrapyramídových symptómov u pacienta užívajúceho </w:t>
      </w:r>
      <w:r w:rsidR="00BD3B26" w:rsidRPr="00DA4854">
        <w:rPr>
          <w:sz w:val="22"/>
          <w:szCs w:val="22"/>
          <w:lang w:val="sk-SK"/>
        </w:rPr>
        <w:t>aripiprazol</w:t>
      </w:r>
      <w:r w:rsidR="00583BE4" w:rsidRPr="00DA4854">
        <w:rPr>
          <w:sz w:val="22"/>
          <w:szCs w:val="22"/>
          <w:lang w:val="sk-SK"/>
        </w:rPr>
        <w:t>,</w:t>
      </w:r>
      <w:r w:rsidR="00695299" w:rsidRPr="00DA485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má sa zvážiť zníženie dávky a starostlivý klinický monitoring.</w:t>
      </w:r>
    </w:p>
    <w:p w14:paraId="197D86A2" w14:textId="77777777"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7FA2AE2B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Neuroleptický malígny syndróm (NMS)</w:t>
      </w:r>
    </w:p>
    <w:p w14:paraId="76F0FE4C" w14:textId="77777777"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NMS je potenciálne fatálny komplex </w:t>
      </w:r>
      <w:r w:rsidR="002A7676" w:rsidRPr="003940F4">
        <w:rPr>
          <w:sz w:val="22"/>
          <w:szCs w:val="22"/>
          <w:lang w:val="sk-SK"/>
        </w:rPr>
        <w:t>príznakov</w:t>
      </w:r>
      <w:r w:rsidRPr="003940F4">
        <w:rPr>
          <w:sz w:val="22"/>
          <w:szCs w:val="22"/>
          <w:lang w:val="sk-SK"/>
        </w:rPr>
        <w:t xml:space="preserve"> súvisiaci s podávaním antipsychot</w:t>
      </w:r>
      <w:r w:rsidR="009E486C">
        <w:rPr>
          <w:sz w:val="22"/>
          <w:szCs w:val="22"/>
          <w:lang w:val="sk-SK"/>
        </w:rPr>
        <w:t>ík</w:t>
      </w:r>
      <w:r w:rsidRPr="003940F4">
        <w:rPr>
          <w:sz w:val="22"/>
          <w:szCs w:val="22"/>
          <w:lang w:val="sk-SK"/>
        </w:rPr>
        <w:t xml:space="preserve">. </w:t>
      </w:r>
    </w:p>
    <w:p w14:paraId="1658950F" w14:textId="77777777" w:rsidR="00583BE4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V 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znaky môže patriť zvýšená hodnota kreatínfosfokinázy, myoglobinúria (rabdomyolýza) a akútne renálne zlyhanie. Avšak, vyskytla sa tiež zvýšená kreatínfosfokináza </w:t>
      </w:r>
    </w:p>
    <w:p w14:paraId="5F5B2635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a rabdomyolýza nie nevyhnutne spojená s NMS. Ak u pacientov vzniknú </w:t>
      </w:r>
      <w:r w:rsidR="006826C8" w:rsidRPr="003940F4">
        <w:rPr>
          <w:sz w:val="22"/>
          <w:szCs w:val="22"/>
          <w:lang w:val="sk-SK"/>
        </w:rPr>
        <w:t xml:space="preserve">prejavy </w:t>
      </w:r>
      <w:r w:rsidRPr="003940F4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r w:rsidR="009E486C" w:rsidRPr="003940F4">
        <w:rPr>
          <w:sz w:val="22"/>
          <w:szCs w:val="22"/>
          <w:lang w:val="sk-SK"/>
        </w:rPr>
        <w:t>antipsychot</w:t>
      </w:r>
      <w:r w:rsidR="009E486C">
        <w:rPr>
          <w:sz w:val="22"/>
          <w:szCs w:val="22"/>
          <w:lang w:val="sk-SK"/>
        </w:rPr>
        <w:t>ík</w:t>
      </w:r>
      <w:r w:rsidR="00BD3B26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 xml:space="preserve">vrátane </w:t>
      </w:r>
      <w:r w:rsidR="00BD3B26" w:rsidRPr="00DA4854">
        <w:rPr>
          <w:sz w:val="22"/>
          <w:szCs w:val="22"/>
          <w:lang w:val="sk-SK"/>
        </w:rPr>
        <w:t>aripiprazolu</w:t>
      </w:r>
      <w:r w:rsidR="00583BE4" w:rsidRPr="00DA4854">
        <w:rPr>
          <w:sz w:val="22"/>
          <w:szCs w:val="22"/>
          <w:lang w:val="sk-SK"/>
        </w:rPr>
        <w:t xml:space="preserve">, </w:t>
      </w:r>
      <w:r w:rsidRPr="003940F4">
        <w:rPr>
          <w:sz w:val="22"/>
          <w:szCs w:val="22"/>
          <w:lang w:val="sk-SK"/>
        </w:rPr>
        <w:t>sa musí prerušiť.</w:t>
      </w:r>
    </w:p>
    <w:p w14:paraId="46D59D37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0BFD1848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 xml:space="preserve">Záchvat </w:t>
      </w:r>
    </w:p>
    <w:p w14:paraId="1C213439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lastRenderedPageBreak/>
        <w:t>V klinických skúšaniach boli počas liečby aripiprazolom hlásené menej časté prípady záchvatov. Aripiprazol sa preto má podávať s opatrnosťou u pacientov, ktorí majú epilepsiu v anamnéze, alebo ktorí majú stavy súvisiace so záchvatmi</w:t>
      </w:r>
      <w:r w:rsidR="00EB7992" w:rsidRPr="003940F4">
        <w:rPr>
          <w:sz w:val="22"/>
          <w:szCs w:val="22"/>
          <w:lang w:val="sk-SK"/>
        </w:rPr>
        <w:t xml:space="preserve"> (pozri časť 4.8)</w:t>
      </w:r>
      <w:r w:rsidRPr="003940F4">
        <w:rPr>
          <w:sz w:val="22"/>
          <w:szCs w:val="22"/>
          <w:lang w:val="sk-SK"/>
        </w:rPr>
        <w:t>.</w:t>
      </w:r>
    </w:p>
    <w:p w14:paraId="40DD3896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01D0B015" w14:textId="77777777" w:rsidR="002966DE" w:rsidRPr="003940F4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3940F4">
        <w:rPr>
          <w:sz w:val="22"/>
          <w:szCs w:val="22"/>
          <w:u w:val="single"/>
          <w:lang w:val="sk-SK"/>
        </w:rPr>
        <w:t> </w:t>
      </w:r>
      <w:r w:rsidRPr="003940F4">
        <w:rPr>
          <w:sz w:val="22"/>
          <w:szCs w:val="22"/>
          <w:u w:val="single"/>
          <w:lang w:val="sk-SK"/>
        </w:rPr>
        <w:t>demenciou</w:t>
      </w:r>
    </w:p>
    <w:p w14:paraId="3DFFC416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14:paraId="18124B26" w14:textId="77777777" w:rsidR="00716560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i/>
          <w:sz w:val="22"/>
          <w:szCs w:val="22"/>
          <w:lang w:val="sk-SK"/>
        </w:rPr>
        <w:t>Zvýšenie mortality</w:t>
      </w:r>
      <w:r w:rsidR="00182FB1" w:rsidRPr="003940F4">
        <w:rPr>
          <w:sz w:val="22"/>
          <w:szCs w:val="22"/>
          <w:lang w:val="sk-SK"/>
        </w:rPr>
        <w:t xml:space="preserve"> </w:t>
      </w:r>
    </w:p>
    <w:p w14:paraId="10D9C268" w14:textId="77777777" w:rsidR="006A511A" w:rsidRPr="003940F4" w:rsidRDefault="00716560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6A511A" w:rsidRPr="003940F4">
        <w:rPr>
          <w:sz w:val="22"/>
          <w:szCs w:val="22"/>
          <w:lang w:val="sk-SK"/>
        </w:rPr>
        <w:t xml:space="preserve"> troch placebom kontrolovaných </w:t>
      </w:r>
      <w:r w:rsidR="00BD4C05" w:rsidRPr="003940F4">
        <w:rPr>
          <w:sz w:val="22"/>
          <w:szCs w:val="22"/>
          <w:lang w:val="sk-SK"/>
        </w:rPr>
        <w:t>skúšaniach</w:t>
      </w:r>
      <w:r w:rsidR="006A511A" w:rsidRPr="003940F4">
        <w:rPr>
          <w:sz w:val="22"/>
          <w:szCs w:val="22"/>
          <w:lang w:val="sk-SK"/>
        </w:rPr>
        <w:t xml:space="preserve"> (n = 938; priemerný vek: 82,4 rokov; rozsah: 56-99 rokov) aripiprazolu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starších pacientov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psychózou spojenou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Alzheimerovou chorobou, pacienti liečení aripiprazolom mali zvýšené riziko smrti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placebom. Výskyt smrti u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pacientov liečených aripiprazolom bol 3,5 %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porovnaní s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1,7 % v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placebovej skupine. Aj keď príčiny smrti sú rôzne, väčšina z</w:t>
      </w:r>
      <w:r w:rsidR="00182FB1" w:rsidRPr="003940F4">
        <w:rPr>
          <w:sz w:val="22"/>
          <w:szCs w:val="22"/>
          <w:lang w:val="sk-SK"/>
        </w:rPr>
        <w:t> </w:t>
      </w:r>
      <w:r w:rsidR="006A511A" w:rsidRPr="003940F4">
        <w:rPr>
          <w:sz w:val="22"/>
          <w:szCs w:val="22"/>
          <w:lang w:val="sk-SK"/>
        </w:rPr>
        <w:t>nich sa zdá byť pôvodom buď kardiovaskulárna (napr. srdcové zlyhanie, náhla smrť) alebo infekčná (napr. pneumónia)</w:t>
      </w:r>
      <w:r w:rsidR="003450EE" w:rsidRPr="003940F4">
        <w:rPr>
          <w:sz w:val="22"/>
          <w:szCs w:val="22"/>
          <w:lang w:val="sk-SK"/>
        </w:rPr>
        <w:t xml:space="preserve"> (pozri časť 4.8)</w:t>
      </w:r>
      <w:r w:rsidR="006A511A" w:rsidRPr="003940F4">
        <w:rPr>
          <w:sz w:val="22"/>
          <w:szCs w:val="22"/>
          <w:lang w:val="sk-SK"/>
        </w:rPr>
        <w:t>.</w:t>
      </w:r>
    </w:p>
    <w:p w14:paraId="0D03BBD8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6349F973" w14:textId="77777777" w:rsidR="00716560" w:rsidRDefault="006A511A" w:rsidP="00F352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lang w:val="sk-SK"/>
        </w:rPr>
      </w:pPr>
      <w:r w:rsidRPr="00DA4854">
        <w:rPr>
          <w:i/>
          <w:sz w:val="22"/>
          <w:lang w:val="sk-SK"/>
        </w:rPr>
        <w:t>Cerebrovaskulárne nežiaduce reakcie</w:t>
      </w:r>
      <w:r w:rsidR="00182FB1" w:rsidRPr="003940F4">
        <w:rPr>
          <w:i/>
          <w:sz w:val="22"/>
          <w:szCs w:val="24"/>
          <w:lang w:val="sk-SK"/>
        </w:rPr>
        <w:t xml:space="preserve"> </w:t>
      </w:r>
    </w:p>
    <w:p w14:paraId="27F3A285" w14:textId="77777777" w:rsidR="00BD4C05" w:rsidRPr="00DA4854" w:rsidRDefault="00716560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sz w:val="22"/>
          <w:szCs w:val="22"/>
          <w:lang w:val="sk-SK"/>
        </w:rPr>
        <w:t>V</w:t>
      </w:r>
      <w:r w:rsidR="006A511A" w:rsidRPr="00DA4854">
        <w:rPr>
          <w:sz w:val="22"/>
          <w:szCs w:val="22"/>
          <w:lang w:val="sk-SK"/>
        </w:rPr>
        <w:t xml:space="preserve"> tých istých </w:t>
      </w:r>
      <w:r w:rsidR="00337223" w:rsidRPr="00DA4854">
        <w:rPr>
          <w:sz w:val="22"/>
          <w:szCs w:val="22"/>
          <w:lang w:val="sk-SK"/>
        </w:rPr>
        <w:t>skúšaniach</w:t>
      </w:r>
      <w:r w:rsidR="006A511A" w:rsidRPr="00DA4854">
        <w:rPr>
          <w:sz w:val="22"/>
          <w:szCs w:val="22"/>
          <w:lang w:val="sk-SK"/>
        </w:rPr>
        <w:t xml:space="preserve"> boli u pacientov hlásené cerebrovaskulárne nežiaduce reakcie (napr. mŕtvica, prechodný ischemický záchvat) </w:t>
      </w:r>
      <w:r w:rsidR="00060DE2" w:rsidRPr="00DA4854">
        <w:rPr>
          <w:sz w:val="22"/>
          <w:szCs w:val="22"/>
          <w:lang w:val="sk-SK"/>
        </w:rPr>
        <w:t xml:space="preserve">vrátane smrteľných </w:t>
      </w:r>
      <w:r w:rsidR="00AD4B45" w:rsidRPr="00DA4854">
        <w:rPr>
          <w:sz w:val="22"/>
          <w:szCs w:val="22"/>
          <w:lang w:val="sk-SK"/>
        </w:rPr>
        <w:t>prípadov</w:t>
      </w:r>
      <w:r w:rsidR="006A511A" w:rsidRPr="00DA4854">
        <w:rPr>
          <w:sz w:val="22"/>
          <w:szCs w:val="22"/>
          <w:lang w:val="sk-SK"/>
        </w:rPr>
        <w:t xml:space="preserve"> (priemerný vek: 84 rokov; rozsah: 78-88 rokov). Celkov</w:t>
      </w:r>
      <w:r w:rsidR="009D0190" w:rsidRPr="00DA4854">
        <w:rPr>
          <w:sz w:val="22"/>
          <w:szCs w:val="22"/>
          <w:lang w:val="sk-SK"/>
        </w:rPr>
        <w:t>o</w:t>
      </w:r>
      <w:r w:rsidR="006A511A" w:rsidRPr="00DA4854">
        <w:rPr>
          <w:sz w:val="22"/>
          <w:szCs w:val="22"/>
          <w:lang w:val="sk-SK"/>
        </w:rPr>
        <w:t xml:space="preserve"> sa u 1,3 % aripiprazolom liečených pacientov zistili cerebrovaskulárne nežiaduce reakcie v porovnaní s 0,6 % placebom liečených pacientov v týchto </w:t>
      </w:r>
      <w:r w:rsidR="00337223" w:rsidRPr="00DA4854">
        <w:rPr>
          <w:sz w:val="22"/>
          <w:szCs w:val="22"/>
          <w:lang w:val="sk-SK"/>
        </w:rPr>
        <w:t>skúšaniach.</w:t>
      </w:r>
      <w:r w:rsidR="006A511A" w:rsidRPr="00DA4854">
        <w:rPr>
          <w:sz w:val="22"/>
          <w:szCs w:val="22"/>
          <w:lang w:val="sk-SK"/>
        </w:rPr>
        <w:t xml:space="preserve"> Tento rozdiel nebol štatisticky významný. Avšak </w:t>
      </w:r>
    </w:p>
    <w:p w14:paraId="48AE97D1" w14:textId="77777777" w:rsidR="006A511A" w:rsidRPr="00DA4854" w:rsidRDefault="006A511A" w:rsidP="00F352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sz w:val="22"/>
          <w:szCs w:val="22"/>
          <w:lang w:val="sk-SK"/>
        </w:rPr>
        <w:t>v jedn</w:t>
      </w:r>
      <w:r w:rsidR="00337223" w:rsidRPr="00DA4854">
        <w:rPr>
          <w:sz w:val="22"/>
          <w:szCs w:val="22"/>
          <w:lang w:val="sk-SK"/>
        </w:rPr>
        <w:t>om</w:t>
      </w:r>
      <w:r w:rsidRPr="00DA4854">
        <w:rPr>
          <w:sz w:val="22"/>
          <w:szCs w:val="22"/>
          <w:lang w:val="sk-SK"/>
        </w:rPr>
        <w:t xml:space="preserve"> z týchto </w:t>
      </w:r>
      <w:r w:rsidR="00337223" w:rsidRPr="00DA4854">
        <w:rPr>
          <w:sz w:val="22"/>
          <w:szCs w:val="22"/>
          <w:lang w:val="sk-SK"/>
        </w:rPr>
        <w:t>skúšaní</w:t>
      </w:r>
      <w:r w:rsidRPr="00DA4854">
        <w:rPr>
          <w:sz w:val="22"/>
          <w:szCs w:val="22"/>
          <w:lang w:val="sk-SK"/>
        </w:rPr>
        <w:t xml:space="preserve">, v </w:t>
      </w:r>
      <w:r w:rsidR="00337223" w:rsidRPr="00DA4854">
        <w:rPr>
          <w:sz w:val="22"/>
          <w:szCs w:val="22"/>
          <w:lang w:val="sk-SK"/>
        </w:rPr>
        <w:t>skúšaní</w:t>
      </w:r>
      <w:r w:rsidRPr="00DA4854">
        <w:rPr>
          <w:sz w:val="22"/>
          <w:szCs w:val="22"/>
          <w:lang w:val="sk-SK"/>
        </w:rPr>
        <w:t xml:space="preserve"> s fixovanou dávkou, bol významný vzťah reakcie na dávku pre cerebrovaskulárne nežiaduce reakcie u pacientov liečených aripiprazolom</w:t>
      </w:r>
      <w:r w:rsidR="000E7254" w:rsidRPr="00DA4854">
        <w:rPr>
          <w:sz w:val="22"/>
          <w:szCs w:val="22"/>
          <w:lang w:val="sk-SK"/>
        </w:rPr>
        <w:t xml:space="preserve"> (pozri časť 4.8)</w:t>
      </w:r>
      <w:r w:rsidRPr="00DA4854">
        <w:rPr>
          <w:sz w:val="22"/>
          <w:szCs w:val="22"/>
          <w:lang w:val="sk-SK"/>
        </w:rPr>
        <w:t xml:space="preserve">. </w:t>
      </w:r>
    </w:p>
    <w:p w14:paraId="6D02FC0C" w14:textId="77777777" w:rsidR="000E7254" w:rsidRPr="00DA485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268C515F" w14:textId="77777777" w:rsidR="006A511A" w:rsidRPr="003940F4" w:rsidRDefault="000E7254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DA4854">
        <w:rPr>
          <w:sz w:val="22"/>
          <w:szCs w:val="22"/>
          <w:lang w:val="pl-PL"/>
        </w:rPr>
        <w:t xml:space="preserve">Aripiprazol </w:t>
      </w:r>
      <w:r w:rsidR="006A511A" w:rsidRPr="003940F4">
        <w:rPr>
          <w:sz w:val="22"/>
          <w:szCs w:val="22"/>
          <w:lang w:val="sk-SK"/>
        </w:rPr>
        <w:t>nie je indikovan</w:t>
      </w:r>
      <w:r w:rsidR="00531DE3" w:rsidRPr="003940F4">
        <w:rPr>
          <w:sz w:val="22"/>
          <w:szCs w:val="22"/>
          <w:lang w:val="sk-SK"/>
        </w:rPr>
        <w:t>ý</w:t>
      </w:r>
      <w:r w:rsidR="006A511A" w:rsidRPr="003940F4">
        <w:rPr>
          <w:sz w:val="22"/>
          <w:szCs w:val="22"/>
          <w:lang w:val="sk-SK"/>
        </w:rPr>
        <w:t xml:space="preserve"> pre liečbu </w:t>
      </w:r>
      <w:r w:rsidR="00CB1877" w:rsidRPr="00CB1877">
        <w:rPr>
          <w:sz w:val="22"/>
          <w:szCs w:val="22"/>
          <w:lang w:val="sk-SK"/>
        </w:rPr>
        <w:t>pacientov s psychózou spojenou s demenciou</w:t>
      </w:r>
      <w:r w:rsidR="006A511A" w:rsidRPr="003940F4">
        <w:rPr>
          <w:sz w:val="22"/>
          <w:szCs w:val="22"/>
          <w:lang w:val="sk-SK"/>
        </w:rPr>
        <w:t>.</w:t>
      </w:r>
    </w:p>
    <w:p w14:paraId="701A6A79" w14:textId="77777777" w:rsidR="006A511A" w:rsidRPr="003940F4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073904E" w14:textId="77777777" w:rsidR="006A511A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Hyperglykémia a diabetes mellitus</w:t>
      </w:r>
    </w:p>
    <w:p w14:paraId="718BD8C7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Hyperglykémia v niektorých prípadoch </w:t>
      </w:r>
      <w:r w:rsidR="00060DE2" w:rsidRPr="003940F4">
        <w:rPr>
          <w:sz w:val="22"/>
          <w:szCs w:val="22"/>
          <w:lang w:val="sk-SK"/>
        </w:rPr>
        <w:t xml:space="preserve">extrémna </w:t>
      </w:r>
      <w:r w:rsidRPr="003940F4">
        <w:rPr>
          <w:sz w:val="22"/>
          <w:szCs w:val="22"/>
          <w:lang w:val="sk-SK"/>
        </w:rPr>
        <w:t xml:space="preserve">a spojená s ketoacidózou alebo hyperosmolárnou kómou alebo smrťou bola hlásená u pacientov liečených atypickými antipsychotikami zahŕňajúcimi aripiprazol. Medzi rizikové faktory, ktoré majú vplyv u pacientov s predispozíciou na </w:t>
      </w:r>
      <w:r w:rsidR="00776C70" w:rsidRPr="003940F4">
        <w:rPr>
          <w:sz w:val="22"/>
          <w:szCs w:val="22"/>
          <w:lang w:val="sk-SK"/>
        </w:rPr>
        <w:t>zá</w:t>
      </w:r>
      <w:r w:rsidRPr="003940F4">
        <w:rPr>
          <w:sz w:val="22"/>
          <w:szCs w:val="22"/>
          <w:lang w:val="sk-SK"/>
        </w:rPr>
        <w:t>v</w:t>
      </w:r>
      <w:r w:rsidR="00776C70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>žn</w:t>
      </w:r>
      <w:r w:rsidR="00776C70" w:rsidRPr="003940F4">
        <w:rPr>
          <w:sz w:val="22"/>
          <w:szCs w:val="22"/>
          <w:lang w:val="sk-SK"/>
        </w:rPr>
        <w:t>é</w:t>
      </w:r>
      <w:r w:rsidRPr="003940F4">
        <w:rPr>
          <w:sz w:val="22"/>
          <w:szCs w:val="22"/>
          <w:lang w:val="sk-SK"/>
        </w:rPr>
        <w:t xml:space="preserve"> komplikácie, patrí obezita a rodinná anamnéza diabetu. V klinických </w:t>
      </w:r>
      <w:r w:rsidR="0084138E" w:rsidRPr="003940F4">
        <w:rPr>
          <w:sz w:val="22"/>
          <w:szCs w:val="22"/>
          <w:lang w:val="sk-SK"/>
        </w:rPr>
        <w:t>skúšaniach</w:t>
      </w:r>
      <w:r w:rsidRPr="003940F4">
        <w:rPr>
          <w:sz w:val="22"/>
          <w:szCs w:val="22"/>
          <w:lang w:val="sk-SK"/>
        </w:rPr>
        <w:t xml:space="preserve"> aripiprazolu neboli významné rozdiely v stupni výskytu s hyperglykémiou súvisiacimi nežiaduci</w:t>
      </w:r>
      <w:r w:rsidR="00060DE2" w:rsidRPr="003940F4">
        <w:rPr>
          <w:sz w:val="22"/>
          <w:szCs w:val="22"/>
          <w:lang w:val="sk-SK"/>
        </w:rPr>
        <w:t>mi</w:t>
      </w:r>
      <w:r w:rsidRPr="003940F4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aripirazolom a inými </w:t>
      </w:r>
      <w:r w:rsidR="00CB1877" w:rsidRPr="003940F4">
        <w:rPr>
          <w:sz w:val="22"/>
          <w:szCs w:val="22"/>
          <w:lang w:val="sk-SK"/>
        </w:rPr>
        <w:t>antipsychoti</w:t>
      </w:r>
      <w:r w:rsidR="00CB1877">
        <w:rPr>
          <w:sz w:val="22"/>
          <w:szCs w:val="22"/>
          <w:lang w:val="sk-SK"/>
        </w:rPr>
        <w:t>kami</w:t>
      </w:r>
      <w:r w:rsidRPr="003940F4">
        <w:rPr>
          <w:sz w:val="22"/>
          <w:szCs w:val="22"/>
          <w:lang w:val="sk-SK"/>
        </w:rPr>
        <w:t xml:space="preserve"> nie sú dostupné. </w:t>
      </w:r>
      <w:r w:rsidR="007B2B0D" w:rsidRPr="003940F4">
        <w:rPr>
          <w:sz w:val="22"/>
          <w:szCs w:val="22"/>
          <w:lang w:val="sk-SK"/>
        </w:rPr>
        <w:t>Pacienti liečení inými antipsychotik</w:t>
      </w:r>
      <w:r w:rsidR="00CB1877">
        <w:rPr>
          <w:sz w:val="22"/>
          <w:szCs w:val="22"/>
          <w:lang w:val="sk-SK"/>
        </w:rPr>
        <w:t>ami</w:t>
      </w:r>
      <w:r w:rsidR="007B2B0D" w:rsidRPr="003940F4">
        <w:rPr>
          <w:sz w:val="22"/>
          <w:szCs w:val="22"/>
          <w:lang w:val="sk-SK"/>
        </w:rPr>
        <w:t xml:space="preserve"> </w:t>
      </w:r>
      <w:r w:rsidR="00531DE3" w:rsidRPr="003940F4">
        <w:rPr>
          <w:sz w:val="22"/>
          <w:szCs w:val="22"/>
          <w:lang w:val="sk-SK"/>
        </w:rPr>
        <w:t xml:space="preserve"> vrátane </w:t>
      </w:r>
      <w:r w:rsidR="00816161" w:rsidRPr="00DA4854">
        <w:rPr>
          <w:sz w:val="22"/>
          <w:szCs w:val="22"/>
          <w:lang w:val="sk-SK"/>
        </w:rPr>
        <w:t>aripiprazol</w:t>
      </w:r>
      <w:r w:rsidR="00531DE3" w:rsidRPr="00DA4854">
        <w:rPr>
          <w:sz w:val="22"/>
          <w:szCs w:val="22"/>
          <w:lang w:val="sk-SK"/>
        </w:rPr>
        <w:t>u</w:t>
      </w:r>
      <w:r w:rsidR="00605799" w:rsidRPr="00DA4854">
        <w:rPr>
          <w:sz w:val="22"/>
          <w:szCs w:val="22"/>
          <w:lang w:val="sk-SK"/>
        </w:rPr>
        <w:t>,</w:t>
      </w:r>
      <w:r w:rsidR="00695299" w:rsidRPr="00DA4854">
        <w:rPr>
          <w:sz w:val="22"/>
          <w:szCs w:val="22"/>
          <w:lang w:val="sk-SK"/>
        </w:rPr>
        <w:t xml:space="preserve"> </w:t>
      </w:r>
      <w:r w:rsidR="00BF3F02" w:rsidRPr="00DA4854">
        <w:rPr>
          <w:sz w:val="22"/>
          <w:szCs w:val="22"/>
          <w:lang w:val="sk-SK"/>
        </w:rPr>
        <w:t xml:space="preserve">sa </w:t>
      </w:r>
      <w:r w:rsidR="007B2B0D" w:rsidRPr="003940F4">
        <w:rPr>
          <w:sz w:val="22"/>
          <w:szCs w:val="22"/>
          <w:lang w:val="sk-SK"/>
        </w:rPr>
        <w:t>majú sledova</w:t>
      </w:r>
      <w:r w:rsidR="00BF3F02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</w:t>
      </w:r>
      <w:r w:rsidR="00AD4B45" w:rsidRPr="003940F4">
        <w:rPr>
          <w:sz w:val="22"/>
          <w:szCs w:val="22"/>
          <w:lang w:val="sk-SK"/>
        </w:rPr>
        <w:t xml:space="preserve">prejavy </w:t>
      </w:r>
      <w:r w:rsidR="007B2B0D" w:rsidRPr="003940F4">
        <w:rPr>
          <w:sz w:val="22"/>
          <w:szCs w:val="22"/>
          <w:lang w:val="sk-SK"/>
        </w:rPr>
        <w:t xml:space="preserve">a príznaky hyperglykémie (ako je polydipsia, polyúria, polyfágia a slabosť) a pacienti s diabetes mellitus alebo s rizikovými faktormi pre diabetes mellitus </w:t>
      </w:r>
      <w:r w:rsidR="0098320D" w:rsidRPr="003940F4">
        <w:rPr>
          <w:sz w:val="22"/>
          <w:szCs w:val="22"/>
          <w:lang w:val="sk-SK"/>
        </w:rPr>
        <w:t xml:space="preserve">sa </w:t>
      </w:r>
      <w:r w:rsidR="007B2B0D" w:rsidRPr="003940F4">
        <w:rPr>
          <w:sz w:val="22"/>
          <w:szCs w:val="22"/>
          <w:lang w:val="sk-SK"/>
        </w:rPr>
        <w:t>majú pravidelne monitorova</w:t>
      </w:r>
      <w:r w:rsidR="0098320D" w:rsidRPr="003940F4">
        <w:rPr>
          <w:sz w:val="22"/>
          <w:szCs w:val="22"/>
          <w:lang w:val="sk-SK"/>
        </w:rPr>
        <w:t>ť</w:t>
      </w:r>
      <w:r w:rsidR="007B2B0D" w:rsidRPr="003940F4">
        <w:rPr>
          <w:sz w:val="22"/>
          <w:szCs w:val="22"/>
          <w:lang w:val="sk-SK"/>
        </w:rPr>
        <w:t xml:space="preserve"> na zhoršenie glukózovej kontroly</w:t>
      </w:r>
      <w:r w:rsidR="00816161" w:rsidRPr="003940F4">
        <w:rPr>
          <w:sz w:val="22"/>
          <w:szCs w:val="22"/>
          <w:lang w:val="sk-SK"/>
        </w:rPr>
        <w:t xml:space="preserve"> (pozri časť 4.8)</w:t>
      </w:r>
      <w:r w:rsidR="007B2B0D" w:rsidRPr="003940F4">
        <w:rPr>
          <w:sz w:val="22"/>
          <w:szCs w:val="22"/>
          <w:lang w:val="sk-SK"/>
        </w:rPr>
        <w:t>.</w:t>
      </w:r>
    </w:p>
    <w:p w14:paraId="1D084674" w14:textId="77777777" w:rsidR="006A511A" w:rsidRPr="003940F4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618382DE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Hypersenzitivita </w:t>
      </w:r>
    </w:p>
    <w:p w14:paraId="78646705" w14:textId="77777777" w:rsidR="00F6668C" w:rsidRPr="003940F4" w:rsidRDefault="00CB1877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>
        <w:rPr>
          <w:sz w:val="22"/>
          <w:szCs w:val="24"/>
          <w:lang w:val="sk-SK"/>
        </w:rPr>
        <w:t>H</w:t>
      </w:r>
      <w:r w:rsidR="007B2B0D" w:rsidRPr="003940F4">
        <w:rPr>
          <w:sz w:val="22"/>
          <w:szCs w:val="24"/>
          <w:lang w:val="sk-SK"/>
        </w:rPr>
        <w:t>ypersenzitívne reakcie charakterizované alergickými symptómami môžu vyskytnúť pri aripiprazole (pozri časť 4.8).</w:t>
      </w:r>
    </w:p>
    <w:p w14:paraId="3ED11BA9" w14:textId="77777777" w:rsidR="002F5719" w:rsidRPr="003940F4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14:paraId="771EEB26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3940F4">
        <w:rPr>
          <w:sz w:val="22"/>
          <w:szCs w:val="24"/>
          <w:u w:val="single"/>
          <w:lang w:val="sk-SK"/>
        </w:rPr>
        <w:t>Prírastok telesnej hmotnosti</w:t>
      </w:r>
    </w:p>
    <w:p w14:paraId="636E950F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aripiprazol. Ak sa zistí, je to zvyčajne u pacientov s významnými rizikovými faktormi,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</w:t>
      </w:r>
      <w:r w:rsidR="00981053" w:rsidRPr="003940F4">
        <w:rPr>
          <w:sz w:val="22"/>
          <w:szCs w:val="22"/>
          <w:lang w:val="sk-SK"/>
        </w:rPr>
        <w:t>prírastkom</w:t>
      </w:r>
      <w:r w:rsidRPr="003940F4">
        <w:rPr>
          <w:sz w:val="22"/>
          <w:szCs w:val="22"/>
          <w:lang w:val="sk-SK"/>
        </w:rPr>
        <w:t xml:space="preserve"> telesnej hmotnosti. U dospievajúcich pacientov s bipolárnou mániou sa má sledovať prírastok telesnej hmotnosti. Ak je prírastok telesnej hmotnosti klinicky významný, má sa zvážiť zníženie dávky (pozri časť 4.8).</w:t>
      </w:r>
    </w:p>
    <w:p w14:paraId="24595A5C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2EC4335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lastRenderedPageBreak/>
        <w:t xml:space="preserve">Dysfágia </w:t>
      </w:r>
    </w:p>
    <w:p w14:paraId="480945D4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 xml:space="preserve">Ezofageálna dysmotilita a aspirácia sú spojené s použitím </w:t>
      </w:r>
      <w:r w:rsidR="00003B74" w:rsidRPr="003940F4">
        <w:rPr>
          <w:sz w:val="22"/>
          <w:szCs w:val="22"/>
          <w:lang w:val="sk-SK"/>
        </w:rPr>
        <w:t>antipsychot</w:t>
      </w:r>
      <w:r w:rsidR="00CB1877">
        <w:rPr>
          <w:sz w:val="22"/>
          <w:szCs w:val="22"/>
          <w:lang w:val="sk-SK"/>
        </w:rPr>
        <w:t>ík</w:t>
      </w:r>
      <w:r w:rsidRPr="003940F4">
        <w:rPr>
          <w:sz w:val="22"/>
          <w:szCs w:val="22"/>
          <w:lang w:val="sk-SK"/>
        </w:rPr>
        <w:t xml:space="preserve"> vrátane aripiprazolu. Aripiprazol sa </w:t>
      </w:r>
      <w:r w:rsidR="00CB1877" w:rsidRPr="003940F4">
        <w:rPr>
          <w:sz w:val="22"/>
          <w:szCs w:val="22"/>
          <w:lang w:val="sk-SK"/>
        </w:rPr>
        <w:t>m</w:t>
      </w:r>
      <w:r w:rsidR="00CB1877">
        <w:rPr>
          <w:sz w:val="22"/>
          <w:szCs w:val="22"/>
          <w:lang w:val="sk-SK"/>
        </w:rPr>
        <w:t>á</w:t>
      </w:r>
      <w:r w:rsidR="00CB1877" w:rsidRPr="003940F4">
        <w:rPr>
          <w:sz w:val="22"/>
          <w:szCs w:val="22"/>
          <w:lang w:val="sk-SK"/>
        </w:rPr>
        <w:t xml:space="preserve"> </w:t>
      </w:r>
      <w:r w:rsidRPr="003940F4">
        <w:rPr>
          <w:sz w:val="22"/>
          <w:szCs w:val="22"/>
          <w:lang w:val="sk-SK"/>
        </w:rPr>
        <w:t>používať opatrne u pacientov s rizikom aspiračnej pneumónie.</w:t>
      </w:r>
    </w:p>
    <w:p w14:paraId="26C8BD0B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E091F77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Patologické hráčstvo</w:t>
      </w:r>
      <w:r w:rsidR="00CB1877" w:rsidRPr="00CB1877">
        <w:rPr>
          <w:rFonts w:ascii="TimesNewRomanPSMT" w:hAnsi="TimesNewRomanPSMT" w:cs="TimesNewRomanPSMT"/>
          <w:sz w:val="22"/>
          <w:szCs w:val="22"/>
          <w:lang w:val="sk-SK" w:eastAsia="sk-SK"/>
        </w:rPr>
        <w:t xml:space="preserve"> </w:t>
      </w:r>
      <w:r w:rsidR="00CB1877" w:rsidRPr="00CB1877">
        <w:rPr>
          <w:sz w:val="22"/>
          <w:szCs w:val="22"/>
          <w:u w:val="single"/>
          <w:lang w:val="sk-SK"/>
        </w:rPr>
        <w:t>a ďalšie poruchy kontroly impulzov</w:t>
      </w:r>
    </w:p>
    <w:p w14:paraId="5B73E6A3" w14:textId="77777777" w:rsidR="007B2B0D" w:rsidRPr="00CB1877" w:rsidRDefault="00CB1877" w:rsidP="00434A1F">
      <w:pPr>
        <w:pStyle w:val="Hlavika"/>
        <w:rPr>
          <w:sz w:val="22"/>
          <w:szCs w:val="22"/>
          <w:lang w:val="sk-SK"/>
        </w:rPr>
      </w:pPr>
      <w:r w:rsidRPr="00434A1F">
        <w:rPr>
          <w:sz w:val="22"/>
          <w:szCs w:val="22"/>
          <w:lang w:val="sk-SK"/>
        </w:rPr>
        <w:t xml:space="preserve">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</w:t>
      </w:r>
      <w:r w:rsidRPr="00CB1877">
        <w:rPr>
          <w:sz w:val="22"/>
          <w:szCs w:val="22"/>
          <w:lang w:val="sk-SK"/>
        </w:rPr>
        <w:t>dávky alebo prerušenie užívania lieku (pozri časť 4.8).</w:t>
      </w:r>
    </w:p>
    <w:p w14:paraId="0863EE4F" w14:textId="77777777" w:rsidR="007B2B0D" w:rsidRPr="003940F4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CBA002C" w14:textId="77777777" w:rsidR="00D4227E" w:rsidRDefault="00D4227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 xml:space="preserve">Pacienti </w:t>
      </w:r>
      <w:r w:rsidRPr="00A9411C">
        <w:rPr>
          <w:sz w:val="22"/>
          <w:szCs w:val="22"/>
          <w:u w:val="single"/>
          <w:lang w:val="sk-SK"/>
        </w:rPr>
        <w:t>s</w:t>
      </w:r>
      <w:r w:rsidR="00C419EA" w:rsidRPr="00A9411C">
        <w:rPr>
          <w:sz w:val="22"/>
          <w:szCs w:val="22"/>
          <w:u w:val="single"/>
          <w:lang w:val="sk-SK"/>
        </w:rPr>
        <w:t> </w:t>
      </w:r>
      <w:r w:rsidRPr="00A9411C">
        <w:rPr>
          <w:sz w:val="22"/>
          <w:szCs w:val="22"/>
          <w:u w:val="single"/>
          <w:lang w:val="sk-SK"/>
        </w:rPr>
        <w:t>feny</w:t>
      </w:r>
      <w:r w:rsidR="00F8215E" w:rsidRPr="00A9411C">
        <w:rPr>
          <w:sz w:val="22"/>
          <w:szCs w:val="22"/>
          <w:u w:val="single"/>
          <w:lang w:val="sk-SK"/>
        </w:rPr>
        <w:t>l</w:t>
      </w:r>
      <w:r w:rsidRPr="00A9411C">
        <w:rPr>
          <w:sz w:val="22"/>
          <w:szCs w:val="22"/>
          <w:u w:val="single"/>
          <w:lang w:val="sk-SK"/>
        </w:rPr>
        <w:t>ketonúriou</w:t>
      </w:r>
    </w:p>
    <w:p w14:paraId="1892E95C" w14:textId="77777777" w:rsidR="00D4227E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Orodisp</w:t>
      </w:r>
      <w:r w:rsidR="00CC2DE8" w:rsidRPr="003940F4">
        <w:rPr>
          <w:sz w:val="22"/>
          <w:szCs w:val="22"/>
          <w:lang w:val="sk-SK"/>
        </w:rPr>
        <w:t>e</w:t>
      </w:r>
      <w:r w:rsidRPr="003940F4">
        <w:rPr>
          <w:sz w:val="22"/>
          <w:szCs w:val="22"/>
          <w:lang w:val="sk-SK"/>
        </w:rPr>
        <w:t>rgovateľné tablety obsahujú asp</w:t>
      </w:r>
      <w:r w:rsidR="006F3A87" w:rsidRPr="003940F4">
        <w:rPr>
          <w:sz w:val="22"/>
          <w:szCs w:val="22"/>
          <w:lang w:val="sk-SK"/>
        </w:rPr>
        <w:t>a</w:t>
      </w:r>
      <w:r w:rsidRPr="003940F4">
        <w:rPr>
          <w:sz w:val="22"/>
          <w:szCs w:val="22"/>
          <w:lang w:val="sk-SK"/>
        </w:rPr>
        <w:t xml:space="preserve">rtám, zdroj fenyalanínu, </w:t>
      </w:r>
      <w:r w:rsidR="006F3A87" w:rsidRPr="003940F4">
        <w:rPr>
          <w:sz w:val="22"/>
          <w:szCs w:val="22"/>
          <w:lang w:val="sk-SK"/>
        </w:rPr>
        <w:t>ktorý</w:t>
      </w:r>
      <w:r w:rsidRPr="003940F4">
        <w:rPr>
          <w:sz w:val="22"/>
          <w:szCs w:val="22"/>
          <w:lang w:val="sk-SK"/>
        </w:rPr>
        <w:t xml:space="preserve"> m</w:t>
      </w:r>
      <w:r w:rsidR="006F3A87" w:rsidRPr="003940F4">
        <w:rPr>
          <w:sz w:val="22"/>
          <w:szCs w:val="22"/>
          <w:lang w:val="sk-SK"/>
        </w:rPr>
        <w:t>ô</w:t>
      </w:r>
      <w:r w:rsidRPr="003940F4">
        <w:rPr>
          <w:sz w:val="22"/>
          <w:szCs w:val="22"/>
          <w:lang w:val="sk-SK"/>
        </w:rPr>
        <w:t xml:space="preserve">že byť </w:t>
      </w:r>
      <w:r w:rsidR="000B0FCF" w:rsidRPr="003940F4">
        <w:rPr>
          <w:sz w:val="22"/>
          <w:szCs w:val="22"/>
          <w:lang w:val="sk-SK"/>
        </w:rPr>
        <w:t>š</w:t>
      </w:r>
      <w:r w:rsidRPr="003940F4">
        <w:rPr>
          <w:sz w:val="22"/>
          <w:szCs w:val="22"/>
          <w:lang w:val="sk-SK"/>
        </w:rPr>
        <w:t>kodliv</w:t>
      </w:r>
      <w:r w:rsidR="006F3A87" w:rsidRPr="003940F4">
        <w:rPr>
          <w:sz w:val="22"/>
          <w:szCs w:val="22"/>
          <w:lang w:val="sk-SK"/>
        </w:rPr>
        <w:t>ý</w:t>
      </w:r>
      <w:r w:rsidRPr="003940F4">
        <w:rPr>
          <w:sz w:val="22"/>
          <w:szCs w:val="22"/>
          <w:lang w:val="sk-SK"/>
        </w:rPr>
        <w:t xml:space="preserve"> pre pacientov s fenylketonúriou.</w:t>
      </w:r>
    </w:p>
    <w:p w14:paraId="570F2438" w14:textId="77777777" w:rsidR="00283622" w:rsidRPr="003940F4" w:rsidRDefault="00283622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7AED6237" w14:textId="77777777" w:rsidR="007B2B0D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3940F4">
        <w:rPr>
          <w:sz w:val="22"/>
          <w:szCs w:val="22"/>
          <w:u w:val="single"/>
          <w:lang w:val="sk-SK"/>
        </w:rPr>
        <w:t>Pacienti s komorbiditou ADHD</w:t>
      </w:r>
    </w:p>
    <w:p w14:paraId="7AC44B60" w14:textId="77777777" w:rsidR="007B2B0D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3940F4">
        <w:rPr>
          <w:sz w:val="22"/>
          <w:szCs w:val="22"/>
          <w:lang w:val="sk-SK"/>
        </w:rPr>
        <w:t>Napriek vysokej frekvencii komorbidity bipolárnej poruchy typu I a ADHD sú dostupné veľmi obmedzené údaje o bezpečnosti o súbežnom používaní aripiprazolu a súbežne používaného lieku; preto</w:t>
      </w:r>
      <w:r w:rsidR="00FD684C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ak sa </w:t>
      </w:r>
      <w:r w:rsidR="00531DE3" w:rsidRPr="003940F4">
        <w:rPr>
          <w:sz w:val="22"/>
          <w:szCs w:val="22"/>
          <w:lang w:val="sk-SK"/>
        </w:rPr>
        <w:t>antipsychotick</w:t>
      </w:r>
      <w:r w:rsidR="0064429B" w:rsidRPr="003940F4">
        <w:rPr>
          <w:sz w:val="22"/>
          <w:szCs w:val="22"/>
          <w:lang w:val="sk-SK"/>
        </w:rPr>
        <w:t xml:space="preserve">é lieky </w:t>
      </w:r>
      <w:r w:rsidRPr="003940F4">
        <w:rPr>
          <w:sz w:val="22"/>
          <w:szCs w:val="22"/>
          <w:lang w:val="sk-SK"/>
        </w:rPr>
        <w:t>podávajú súbežne</w:t>
      </w:r>
      <w:r w:rsidR="00605799" w:rsidRPr="003940F4">
        <w:rPr>
          <w:sz w:val="22"/>
          <w:szCs w:val="22"/>
          <w:lang w:val="sk-SK"/>
        </w:rPr>
        <w:t>,</w:t>
      </w:r>
      <w:r w:rsidRPr="003940F4">
        <w:rPr>
          <w:sz w:val="22"/>
          <w:szCs w:val="22"/>
          <w:lang w:val="sk-SK"/>
        </w:rPr>
        <w:t xml:space="preserve"> je potrebná extrémna opatrnosť.</w:t>
      </w:r>
    </w:p>
    <w:p w14:paraId="578C99FC" w14:textId="77777777" w:rsidR="00433F04" w:rsidRPr="003940F4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7FC38FB" w14:textId="77777777" w:rsidR="00333325" w:rsidRPr="00D628DC" w:rsidRDefault="00333325" w:rsidP="00333325">
      <w:pPr>
        <w:pStyle w:val="Default"/>
        <w:rPr>
          <w:sz w:val="22"/>
          <w:szCs w:val="22"/>
          <w:u w:val="single"/>
        </w:rPr>
      </w:pPr>
      <w:r w:rsidRPr="00D628DC">
        <w:rPr>
          <w:bCs/>
          <w:sz w:val="22"/>
          <w:szCs w:val="22"/>
          <w:u w:val="single"/>
        </w:rPr>
        <w:t xml:space="preserve">Pády </w:t>
      </w:r>
    </w:p>
    <w:p w14:paraId="3222C642" w14:textId="77777777" w:rsidR="007B2B0D" w:rsidRPr="00DA4854" w:rsidRDefault="00333325" w:rsidP="00333325">
      <w:pPr>
        <w:pStyle w:val="Hlavika"/>
        <w:tabs>
          <w:tab w:val="clear" w:pos="4320"/>
          <w:tab w:val="clear" w:pos="8640"/>
        </w:tabs>
        <w:rPr>
          <w:bCs/>
          <w:sz w:val="22"/>
          <w:szCs w:val="22"/>
          <w:lang w:val="sk-SK"/>
        </w:rPr>
      </w:pPr>
      <w:r w:rsidRPr="00DA4854">
        <w:rPr>
          <w:bCs/>
          <w:sz w:val="22"/>
          <w:szCs w:val="22"/>
          <w:lang w:val="sk-SK"/>
        </w:rPr>
        <w:t>Aripiprazol môže spôsobiť somnolenciu, posturálnu hypotenziu, motorickú a senzorickú nestabilitu, čo môže viesť k pádom. Pri liečbe pacientov s vyšším rizikom (napr. starší pacienti alebo pacienti s ochoreniami oslabujúcimi organizmus) je potrebné postupovať opatrne a zvážiť nižšiu začiatočnú dávku (pozri časť 4.2).</w:t>
      </w:r>
    </w:p>
    <w:p w14:paraId="7B1C99FB" w14:textId="77777777" w:rsidR="00333325" w:rsidRPr="003940F4" w:rsidRDefault="00333325" w:rsidP="00333325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14:paraId="134C2161" w14:textId="77777777"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Liekové a iné interakcie</w:t>
      </w:r>
    </w:p>
    <w:p w14:paraId="6AA94EFE" w14:textId="77777777" w:rsidR="00A0467A" w:rsidRPr="003940F4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7C484E6C" w14:textId="77777777"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dôsledku antagonizmu α</w:t>
      </w:r>
      <w:r w:rsidRPr="003940F4">
        <w:rPr>
          <w:sz w:val="16"/>
          <w:szCs w:val="16"/>
        </w:rPr>
        <w:t>1</w:t>
      </w:r>
      <w:r w:rsidRPr="003940F4">
        <w:rPr>
          <w:sz w:val="22"/>
          <w:szCs w:val="22"/>
        </w:rPr>
        <w:t xml:space="preserve">-adrenergných receptorov môže aripiprazol zvyšovať účinok niektorých </w:t>
      </w:r>
      <w:r w:rsidR="00CB1877" w:rsidRPr="00CB1877">
        <w:rPr>
          <w:sz w:val="22"/>
          <w:szCs w:val="22"/>
        </w:rPr>
        <w:t>antihypertenzných liekov</w:t>
      </w:r>
      <w:r w:rsidRPr="003940F4">
        <w:rPr>
          <w:sz w:val="22"/>
          <w:szCs w:val="22"/>
        </w:rPr>
        <w:t>.</w:t>
      </w:r>
    </w:p>
    <w:p w14:paraId="7CF57181" w14:textId="77777777" w:rsidR="006A115E" w:rsidRPr="003940F4" w:rsidRDefault="006A115E" w:rsidP="00A440E6">
      <w:pPr>
        <w:rPr>
          <w:sz w:val="22"/>
          <w:szCs w:val="22"/>
        </w:rPr>
      </w:pPr>
    </w:p>
    <w:p w14:paraId="6F104DD5" w14:textId="77777777"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Vzhľadom na primárne účinky aripiprazolu na CNS sa zvýšená pozornosť musí venovať </w:t>
      </w:r>
      <w:r w:rsidR="00CB1877">
        <w:rPr>
          <w:sz w:val="22"/>
          <w:szCs w:val="22"/>
        </w:rPr>
        <w:t>podávaniu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aripiprazolu v kombinácii s alkoholom alebo inými liekmi pôsobiacimi na CNS s prekrývajúcimi sa nežiaducimi reakciami</w:t>
      </w:r>
      <w:r w:rsidR="00D16AB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ako je sedácia (pozri časť 4.8).</w:t>
      </w:r>
    </w:p>
    <w:p w14:paraId="5F86DAD7" w14:textId="77777777" w:rsidR="006A115E" w:rsidRPr="003940F4" w:rsidRDefault="006A115E" w:rsidP="00A440E6">
      <w:pPr>
        <w:rPr>
          <w:sz w:val="22"/>
          <w:szCs w:val="22"/>
        </w:rPr>
      </w:pPr>
    </w:p>
    <w:p w14:paraId="53864AB0" w14:textId="77777777" w:rsidR="006A115E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Aripiprazol sa má opatrne používať, ak sa podáva súbežne s liekmi, u ktorých je známe, že zapríčiňujú QT predĺženie alebo elektrolytovú nerovnováhu.</w:t>
      </w:r>
    </w:p>
    <w:p w14:paraId="61EC20F2" w14:textId="77777777" w:rsidR="006A115E" w:rsidRPr="003940F4" w:rsidRDefault="006A115E" w:rsidP="00A440E6">
      <w:pPr>
        <w:rPr>
          <w:sz w:val="22"/>
          <w:szCs w:val="22"/>
        </w:rPr>
      </w:pPr>
    </w:p>
    <w:p w14:paraId="3AB8CA0B" w14:textId="77777777" w:rsidR="006A115E" w:rsidRPr="003940F4" w:rsidRDefault="006A115E" w:rsidP="00A440E6">
      <w:pPr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iných liekov </w:t>
      </w:r>
      <w:r w:rsidR="00EF52FA" w:rsidRPr="003940F4">
        <w:rPr>
          <w:sz w:val="22"/>
          <w:szCs w:val="22"/>
          <w:u w:val="single"/>
        </w:rPr>
        <w:t>na</w:t>
      </w:r>
      <w:r w:rsidRPr="003940F4">
        <w:rPr>
          <w:sz w:val="22"/>
          <w:szCs w:val="22"/>
          <w:u w:val="single"/>
        </w:rPr>
        <w:t xml:space="preserve"> ovplyvnenie </w:t>
      </w:r>
      <w:r w:rsidR="00BC3005" w:rsidRPr="003940F4">
        <w:rPr>
          <w:sz w:val="22"/>
          <w:szCs w:val="22"/>
          <w:u w:val="single"/>
        </w:rPr>
        <w:t>aripiprazolu</w:t>
      </w:r>
    </w:p>
    <w:p w14:paraId="5E2BD193" w14:textId="77777777"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Blokátor tvorby žalúdočnej kyseliny, H</w:t>
      </w:r>
      <w:r w:rsidRPr="003940F4">
        <w:rPr>
          <w:sz w:val="14"/>
          <w:szCs w:val="14"/>
        </w:rPr>
        <w:t xml:space="preserve">2 </w:t>
      </w:r>
      <w:r w:rsidRPr="003940F4">
        <w:rPr>
          <w:sz w:val="22"/>
          <w:szCs w:val="22"/>
        </w:rPr>
        <w:t xml:space="preserve">antagonista famotidín, znižuje rýchlosť absorpcie aripiprazolu, ale tento účinok sa nepokladá za klinicky relevantný. </w:t>
      </w:r>
    </w:p>
    <w:p w14:paraId="5213DC7A" w14:textId="77777777" w:rsidR="006A115E" w:rsidRPr="003940F4" w:rsidRDefault="006A115E" w:rsidP="006A115E">
      <w:pPr>
        <w:pStyle w:val="Default"/>
        <w:rPr>
          <w:sz w:val="22"/>
          <w:szCs w:val="22"/>
        </w:rPr>
      </w:pPr>
    </w:p>
    <w:p w14:paraId="5EFE199F" w14:textId="77777777"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Aripiprazol je metabolizovaný mnohopočetnými dráhami zahŕňajúcimi enzýmy CYP2D6 a CYP3A4, ale nie enzýmy CYP1A. Preto nie je potrebná žiadna úprava dávkovania u fajčiarov.</w:t>
      </w:r>
    </w:p>
    <w:p w14:paraId="5529D8C7" w14:textId="77777777" w:rsidR="00D01383" w:rsidRPr="003940F4" w:rsidRDefault="00D01383" w:rsidP="006A115E">
      <w:pPr>
        <w:rPr>
          <w:i/>
          <w:sz w:val="22"/>
          <w:szCs w:val="22"/>
          <w:u w:val="single"/>
        </w:rPr>
      </w:pPr>
    </w:p>
    <w:p w14:paraId="416E3956" w14:textId="77777777" w:rsidR="006A115E" w:rsidRPr="005C4213" w:rsidRDefault="006A115E" w:rsidP="006A115E">
      <w:pPr>
        <w:rPr>
          <w:i/>
          <w:sz w:val="22"/>
        </w:rPr>
      </w:pPr>
      <w:r w:rsidRPr="005C4213">
        <w:rPr>
          <w:i/>
          <w:sz w:val="22"/>
          <w:szCs w:val="22"/>
        </w:rPr>
        <w:t>Chinidín a ďalšie inhibítory CYP2D6</w:t>
      </w:r>
    </w:p>
    <w:p w14:paraId="3C9A796D" w14:textId="77777777" w:rsidR="00A0467A" w:rsidRPr="003940F4" w:rsidRDefault="006A115E" w:rsidP="00A440E6">
      <w:pPr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CYP2D6 (chinidín) hodnoty AUC aripiprazolu o 107 %, kým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>boli nezmenené. Hodnoty AUC aktívneho metabolitu dehydro-aripiprazolu sa znížili o 32 %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 xml:space="preserve">o 47 %. Dávka </w:t>
      </w:r>
      <w:r w:rsidR="00C92306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sa má znížiť </w:t>
      </w:r>
      <w:r w:rsidRPr="003940F4">
        <w:rPr>
          <w:sz w:val="22"/>
          <w:szCs w:val="22"/>
        </w:rPr>
        <w:lastRenderedPageBreak/>
        <w:t xml:space="preserve">približne na polovicu predpísanej dávky, ak sa má </w:t>
      </w:r>
      <w:r w:rsidR="00EF52FA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</w:rPr>
        <w:t>podávať súbežne s chinidínom. U ďalších silných inhibítorov CYP2D6 ako sú fluoxetín a</w:t>
      </w:r>
      <w:r w:rsidR="00F67AC0" w:rsidRPr="003940F4">
        <w:rPr>
          <w:sz w:val="22"/>
          <w:szCs w:val="22"/>
        </w:rPr>
        <w:t> </w:t>
      </w:r>
      <w:r w:rsidRPr="003940F4">
        <w:rPr>
          <w:sz w:val="22"/>
          <w:szCs w:val="22"/>
        </w:rPr>
        <w:t>paroxetín je možné očakávať podobné účinky, a preto sa má použiť podobné zníženie dávkovania.</w:t>
      </w:r>
    </w:p>
    <w:p w14:paraId="0D3114A1" w14:textId="77777777" w:rsidR="006A115E" w:rsidRPr="003940F4" w:rsidRDefault="006A115E" w:rsidP="00A440E6">
      <w:pPr>
        <w:rPr>
          <w:sz w:val="22"/>
          <w:szCs w:val="22"/>
        </w:rPr>
      </w:pPr>
    </w:p>
    <w:p w14:paraId="2EF129A6" w14:textId="77777777" w:rsidR="006A115E" w:rsidRPr="005C4213" w:rsidRDefault="006A115E" w:rsidP="00A440E6">
      <w:pPr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Ketokonazol a ďalšie inhibítory CYP3A4</w:t>
      </w:r>
    </w:p>
    <w:p w14:paraId="74D791E1" w14:textId="77777777" w:rsidR="004A027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 xml:space="preserve">o 37 %. Hodnoty AUC dehydro-aripiprazolu sa zvýšili o </w:t>
      </w:r>
    </w:p>
    <w:p w14:paraId="0D045702" w14:textId="77777777" w:rsidR="00582457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77 % a hodnoty C</w:t>
      </w:r>
      <w:r w:rsidRPr="003940F4">
        <w:rPr>
          <w:sz w:val="14"/>
          <w:szCs w:val="14"/>
        </w:rPr>
        <w:t xml:space="preserve">max </w:t>
      </w:r>
      <w:r w:rsidRPr="003940F4">
        <w:rPr>
          <w:sz w:val="22"/>
          <w:szCs w:val="22"/>
        </w:rPr>
        <w:t>o 43 %. U pomalých metabolizérov CYP2D6 môže sú</w:t>
      </w:r>
      <w:r w:rsidR="00AB63C5" w:rsidRPr="003940F4">
        <w:rPr>
          <w:sz w:val="22"/>
          <w:szCs w:val="22"/>
        </w:rPr>
        <w:t>bežné</w:t>
      </w:r>
      <w:r w:rsidRPr="003940F4">
        <w:rPr>
          <w:sz w:val="22"/>
          <w:szCs w:val="22"/>
        </w:rPr>
        <w:t xml:space="preserve"> použitie silných inhibítorov CYP3A4 viesť k vyšším plazmatickým koncentráciám aripiprazolu oproti tým, ktoré sú u rýchlych metabolizérov CYP2D6.</w:t>
      </w:r>
    </w:p>
    <w:p w14:paraId="7A8A9B59" w14:textId="77777777" w:rsidR="00582457" w:rsidRPr="003940F4" w:rsidRDefault="00582457" w:rsidP="006A115E">
      <w:pPr>
        <w:pStyle w:val="Default"/>
        <w:rPr>
          <w:sz w:val="22"/>
          <w:szCs w:val="22"/>
        </w:rPr>
      </w:pPr>
    </w:p>
    <w:p w14:paraId="3276AB4E" w14:textId="77777777"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Pokiaľ sa uvažuje o sú</w:t>
      </w:r>
      <w:r w:rsidR="00AB63C5" w:rsidRPr="003940F4">
        <w:rPr>
          <w:sz w:val="22"/>
          <w:szCs w:val="22"/>
        </w:rPr>
        <w:t>bežnom</w:t>
      </w:r>
      <w:r w:rsidRPr="003940F4">
        <w:rPr>
          <w:sz w:val="22"/>
          <w:szCs w:val="22"/>
        </w:rPr>
        <w:t xml:space="preserve"> podávaní ketokonazolu alebo iných silných inhibítorov CYP3A4 s</w:t>
      </w:r>
      <w:r w:rsidR="0030514B" w:rsidRPr="003940F4">
        <w:rPr>
          <w:sz w:val="22"/>
          <w:szCs w:val="22"/>
        </w:rPr>
        <w:t xml:space="preserve"> </w:t>
      </w:r>
      <w:r w:rsidR="00582457" w:rsidRPr="003940F4">
        <w:rPr>
          <w:sz w:val="22"/>
          <w:szCs w:val="22"/>
        </w:rPr>
        <w:t>aripiprazolom</w:t>
      </w:r>
      <w:r w:rsidRPr="003940F4">
        <w:rPr>
          <w:sz w:val="22"/>
          <w:szCs w:val="22"/>
        </w:rPr>
        <w:t>, možný úžitok pre pacienta musí prevažovať nad potenciálnymi rizikami. V prípade sú</w:t>
      </w:r>
      <w:r w:rsidR="00AB63C5" w:rsidRPr="003940F4">
        <w:rPr>
          <w:sz w:val="22"/>
          <w:szCs w:val="22"/>
        </w:rPr>
        <w:t>bežného</w:t>
      </w:r>
      <w:r w:rsidRPr="003940F4">
        <w:rPr>
          <w:sz w:val="22"/>
          <w:szCs w:val="22"/>
        </w:rPr>
        <w:t xml:space="preserve"> podávania ketokonazolu s</w:t>
      </w:r>
      <w:r w:rsidR="004A0277" w:rsidRPr="003940F4">
        <w:rPr>
          <w:sz w:val="22"/>
          <w:szCs w:val="22"/>
        </w:rPr>
        <w:t> </w:t>
      </w:r>
      <w:r w:rsidR="00582457" w:rsidRPr="003940F4">
        <w:rPr>
          <w:sz w:val="22"/>
          <w:szCs w:val="22"/>
        </w:rPr>
        <w:t xml:space="preserve">aripiprazolom </w:t>
      </w:r>
      <w:r w:rsidRPr="003940F4">
        <w:rPr>
          <w:sz w:val="22"/>
          <w:szCs w:val="22"/>
        </w:rPr>
        <w:t xml:space="preserve">sa má dávka </w:t>
      </w:r>
      <w:r w:rsidR="00EF52FA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4.2)</w:t>
      </w:r>
      <w:r w:rsidRPr="003940F4">
        <w:rPr>
          <w:sz w:val="22"/>
          <w:szCs w:val="22"/>
        </w:rPr>
        <w:t>.</w:t>
      </w:r>
    </w:p>
    <w:p w14:paraId="0D96A07D" w14:textId="77777777" w:rsidR="006A115E" w:rsidRPr="003940F4" w:rsidRDefault="006A115E" w:rsidP="006A115E">
      <w:pPr>
        <w:pStyle w:val="Default"/>
        <w:rPr>
          <w:sz w:val="22"/>
          <w:szCs w:val="22"/>
        </w:rPr>
      </w:pPr>
    </w:p>
    <w:p w14:paraId="66978405" w14:textId="77777777" w:rsidR="006A115E" w:rsidRPr="003940F4" w:rsidRDefault="006A115E" w:rsidP="006A115E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vysadení inhibítora CYP2D6 alebo CYP3A4 sa</w:t>
      </w:r>
      <w:r w:rsidR="00AB63C5" w:rsidRPr="003940F4">
        <w:rPr>
          <w:sz w:val="22"/>
          <w:szCs w:val="22"/>
        </w:rPr>
        <w:t xml:space="preserve"> má</w:t>
      </w:r>
      <w:r w:rsidRPr="003940F4">
        <w:rPr>
          <w:sz w:val="22"/>
          <w:szCs w:val="22"/>
        </w:rPr>
        <w:t xml:space="preserve"> dávka </w:t>
      </w:r>
      <w:r w:rsidR="00582457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zvýšiť na úroveň pred zahájením sprievodnej terapie. </w:t>
      </w:r>
    </w:p>
    <w:p w14:paraId="5DB09EE3" w14:textId="77777777" w:rsidR="006A115E" w:rsidRPr="003940F4" w:rsidRDefault="006A115E" w:rsidP="006A115E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používaní slabých inhibítorov CYP3A4 (napr.</w:t>
      </w:r>
      <w:r w:rsidR="00D50D09" w:rsidRPr="003940F4">
        <w:rPr>
          <w:sz w:val="22"/>
          <w:szCs w:val="22"/>
        </w:rPr>
        <w:t xml:space="preserve"> diltiazem) alebo</w:t>
      </w:r>
      <w:r w:rsidRPr="003940F4">
        <w:rPr>
          <w:sz w:val="22"/>
          <w:szCs w:val="22"/>
        </w:rPr>
        <w:t xml:space="preserve"> CYP2D6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(napr. escitalopram)</w:t>
      </w:r>
      <w:r w:rsidRPr="003940F4">
        <w:rPr>
          <w:sz w:val="22"/>
          <w:szCs w:val="22"/>
        </w:rPr>
        <w:t xml:space="preserve"> s </w:t>
      </w:r>
      <w:r w:rsidR="00AB63C5" w:rsidRPr="003940F4">
        <w:rPr>
          <w:sz w:val="22"/>
          <w:szCs w:val="22"/>
        </w:rPr>
        <w:t>aripiprazolom</w:t>
      </w:r>
      <w:r w:rsidRPr="003940F4">
        <w:rPr>
          <w:sz w:val="22"/>
          <w:szCs w:val="22"/>
        </w:rPr>
        <w:t xml:space="preserve"> sa môže očakávať mierne zvýšenie koncentrácie aripiprazolu</w:t>
      </w:r>
      <w:r w:rsidR="00CB1877">
        <w:rPr>
          <w:sz w:val="22"/>
          <w:szCs w:val="22"/>
        </w:rPr>
        <w:t xml:space="preserve"> v plazme</w:t>
      </w:r>
      <w:r w:rsidRPr="003940F4">
        <w:rPr>
          <w:sz w:val="22"/>
          <w:szCs w:val="22"/>
        </w:rPr>
        <w:t>.</w:t>
      </w:r>
    </w:p>
    <w:p w14:paraId="5BCC59F5" w14:textId="77777777" w:rsidR="00AB63C5" w:rsidRPr="003940F4" w:rsidRDefault="00AB63C5" w:rsidP="006A115E">
      <w:pPr>
        <w:rPr>
          <w:sz w:val="22"/>
          <w:szCs w:val="22"/>
        </w:rPr>
      </w:pPr>
    </w:p>
    <w:p w14:paraId="49A3F0A2" w14:textId="77777777" w:rsidR="00AB63C5" w:rsidRPr="005C4213" w:rsidRDefault="00AB63C5" w:rsidP="00AB63C5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Karbamazepín a ďalšie induktory CYP3A4 </w:t>
      </w:r>
    </w:p>
    <w:p w14:paraId="31534E85" w14:textId="77777777" w:rsidR="00CB1877" w:rsidRPr="00CB1877" w:rsidRDefault="00AB63C5" w:rsidP="00CB1877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Po súbežnom podávaní karbamazepínu, silného induktora CYP3A4</w:t>
      </w:r>
      <w:r w:rsidR="00CB1877">
        <w:rPr>
          <w:sz w:val="22"/>
          <w:szCs w:val="22"/>
        </w:rPr>
        <w:t xml:space="preserve"> a</w:t>
      </w:r>
      <w:r w:rsidR="00CB1877" w:rsidRPr="00CB1877">
        <w:rPr>
          <w:sz w:val="22"/>
          <w:szCs w:val="22"/>
        </w:rPr>
        <w:t xml:space="preserve"> perorálneho aripiprazolu</w:t>
      </w:r>
    </w:p>
    <w:p w14:paraId="63F80BB9" w14:textId="77777777" w:rsidR="00AB63C5" w:rsidRPr="003940F4" w:rsidRDefault="00CB1877" w:rsidP="00CB1877">
      <w:pPr>
        <w:pStyle w:val="Default"/>
        <w:rPr>
          <w:sz w:val="22"/>
          <w:szCs w:val="22"/>
        </w:rPr>
      </w:pPr>
      <w:r w:rsidRPr="00CB1877">
        <w:rPr>
          <w:sz w:val="22"/>
          <w:szCs w:val="22"/>
        </w:rPr>
        <w:t>pacientom so schizofréniou alebo schizoafektívnou poruchou,</w:t>
      </w:r>
      <w:r w:rsidR="00AB63C5" w:rsidRPr="003940F4">
        <w:rPr>
          <w:sz w:val="22"/>
          <w:szCs w:val="22"/>
        </w:rPr>
        <w:t xml:space="preserve"> bol geometrický priemer hodnôt C</w:t>
      </w:r>
      <w:r w:rsidR="00AB63C5" w:rsidRPr="003940F4">
        <w:rPr>
          <w:sz w:val="14"/>
          <w:szCs w:val="14"/>
        </w:rPr>
        <w:t xml:space="preserve">max </w:t>
      </w:r>
      <w:r w:rsidR="00AB63C5" w:rsidRPr="003940F4">
        <w:rPr>
          <w:sz w:val="22"/>
          <w:szCs w:val="22"/>
        </w:rPr>
        <w:t>nižší o 68 % a hodnôt AUC o 73 % pre aripiprazol v porovnaní s aripiprazolom (30 mg) podávaným samostatne. Podobne, geometrický priemer hodnôt C</w:t>
      </w:r>
      <w:r w:rsidR="00AB63C5" w:rsidRPr="003940F4">
        <w:rPr>
          <w:sz w:val="14"/>
          <w:szCs w:val="14"/>
        </w:rPr>
        <w:t xml:space="preserve">max </w:t>
      </w:r>
      <w:r w:rsidR="00AB63C5" w:rsidRPr="003940F4">
        <w:rPr>
          <w:sz w:val="22"/>
          <w:szCs w:val="22"/>
        </w:rPr>
        <w:t xml:space="preserve">dehydro-aripiprazolu bol pri súbežnom podávaní karbamazepínu nižší o 69 % a hodnôt AUC o 71 % ako bol geometrický priemer po liečbe samostatným aripiprazolom. </w:t>
      </w:r>
    </w:p>
    <w:p w14:paraId="3DE69605" w14:textId="77777777" w:rsidR="00AB63C5" w:rsidRPr="003940F4" w:rsidRDefault="00AB63C5" w:rsidP="00AB63C5">
      <w:pPr>
        <w:pStyle w:val="Default"/>
        <w:rPr>
          <w:sz w:val="22"/>
          <w:szCs w:val="22"/>
        </w:rPr>
      </w:pPr>
    </w:p>
    <w:p w14:paraId="5216012D" w14:textId="77777777"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Dávka </w:t>
      </w:r>
      <w:r w:rsidR="008A038B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 xml:space="preserve">sa má zdvojnásobiť, ak sa má </w:t>
      </w:r>
      <w:r w:rsidR="001E63FF" w:rsidRPr="003940F4">
        <w:rPr>
          <w:sz w:val="22"/>
          <w:szCs w:val="22"/>
        </w:rPr>
        <w:t xml:space="preserve">aripiprazol </w:t>
      </w:r>
      <w:r w:rsidRPr="003940F4">
        <w:rPr>
          <w:sz w:val="22"/>
          <w:szCs w:val="22"/>
        </w:rPr>
        <w:t xml:space="preserve">podávať súbežne s karbamazepínom. </w:t>
      </w:r>
      <w:r w:rsidR="008072E5" w:rsidRPr="004A4D15">
        <w:rPr>
          <w:sz w:val="22"/>
          <w:szCs w:val="22"/>
        </w:rPr>
        <w:t xml:space="preserve">Pri súbežnom používaní aripiprazolu a </w:t>
      </w:r>
      <w:r w:rsidRPr="004A4D15">
        <w:rPr>
          <w:sz w:val="22"/>
          <w:szCs w:val="22"/>
        </w:rPr>
        <w:t>ďalších induktorov</w:t>
      </w:r>
      <w:r w:rsidRPr="003940F4">
        <w:rPr>
          <w:sz w:val="22"/>
          <w:szCs w:val="22"/>
        </w:rPr>
        <w:t xml:space="preserve"> CYP3A4 (ako sú rifampicín, rifabutín, fenytoín, fenobarbital, primidon, efavirenz, nevirapín a </w:t>
      </w:r>
      <w:r w:rsidR="00424284" w:rsidRPr="003940F4">
        <w:rPr>
          <w:sz w:val="22"/>
          <w:szCs w:val="22"/>
        </w:rPr>
        <w:t>ľ</w:t>
      </w:r>
      <w:r w:rsidRPr="003940F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78134E" w:rsidRPr="003940F4">
        <w:rPr>
          <w:sz w:val="22"/>
          <w:szCs w:val="22"/>
        </w:rPr>
        <w:t xml:space="preserve">aripiprazolu </w:t>
      </w:r>
      <w:r w:rsidRPr="003940F4">
        <w:rPr>
          <w:sz w:val="22"/>
          <w:szCs w:val="22"/>
        </w:rPr>
        <w:t>znížiť na odporúčanú dávku.</w:t>
      </w:r>
    </w:p>
    <w:p w14:paraId="31380081" w14:textId="77777777" w:rsidR="00AB63C5" w:rsidRPr="003940F4" w:rsidRDefault="00AB63C5" w:rsidP="00AB63C5">
      <w:pPr>
        <w:rPr>
          <w:sz w:val="22"/>
          <w:szCs w:val="22"/>
        </w:rPr>
      </w:pPr>
    </w:p>
    <w:p w14:paraId="4C781095" w14:textId="77777777" w:rsidR="00AB63C5" w:rsidRPr="005C4213" w:rsidRDefault="00AB63C5" w:rsidP="00AB63C5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Valproát a lítium </w:t>
      </w:r>
    </w:p>
    <w:p w14:paraId="3520F50D" w14:textId="77777777" w:rsidR="00CB1877" w:rsidRPr="00CB1877" w:rsidRDefault="00AB63C5" w:rsidP="00CB1877">
      <w:pPr>
        <w:rPr>
          <w:sz w:val="22"/>
          <w:szCs w:val="22"/>
        </w:rPr>
      </w:pPr>
      <w:r w:rsidRPr="003940F4">
        <w:rPr>
          <w:sz w:val="22"/>
          <w:szCs w:val="22"/>
        </w:rPr>
        <w:t>Pri súbežnom podávaní aripiprazolu buď s valproátom alebo lítiom, nenastala žiadna klinicky významná zmena v koncentráciách aripiprazolu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a preto nie je pri podávaní valproátu alebo lítia</w:t>
      </w:r>
    </w:p>
    <w:p w14:paraId="4C65D428" w14:textId="77777777" w:rsidR="00AB63C5" w:rsidRPr="003940F4" w:rsidRDefault="00CB1877" w:rsidP="00CB1877">
      <w:pPr>
        <w:rPr>
          <w:sz w:val="22"/>
          <w:szCs w:val="22"/>
        </w:rPr>
      </w:pPr>
      <w:r w:rsidRPr="00CB1877">
        <w:rPr>
          <w:sz w:val="22"/>
          <w:szCs w:val="22"/>
        </w:rPr>
        <w:t>s aripiprazolom potrebná úprava dávky.</w:t>
      </w:r>
    </w:p>
    <w:p w14:paraId="7988D39A" w14:textId="77777777" w:rsidR="00AB63C5" w:rsidRPr="003940F4" w:rsidRDefault="00AB63C5" w:rsidP="00AB63C5">
      <w:pPr>
        <w:rPr>
          <w:sz w:val="22"/>
          <w:szCs w:val="22"/>
        </w:rPr>
      </w:pPr>
    </w:p>
    <w:p w14:paraId="112AA951" w14:textId="77777777" w:rsidR="00AB63C5" w:rsidRPr="005C4213" w:rsidRDefault="00AB63C5" w:rsidP="00AB63C5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S</w:t>
      </w:r>
      <w:r w:rsidR="00B9798F" w:rsidRPr="005C4213">
        <w:rPr>
          <w:i/>
          <w:iCs/>
          <w:sz w:val="22"/>
          <w:szCs w:val="22"/>
        </w:rPr>
        <w:t>é</w:t>
      </w:r>
      <w:r w:rsidRPr="005C4213">
        <w:rPr>
          <w:i/>
          <w:iCs/>
          <w:sz w:val="22"/>
          <w:szCs w:val="22"/>
        </w:rPr>
        <w:t xml:space="preserve">rotonínový syndróm </w:t>
      </w:r>
    </w:p>
    <w:p w14:paraId="2CAE5155" w14:textId="77777777" w:rsidR="00B96F16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U pacientov užívajúcich aripiprazol sa hlásili prípady sérotonínového syndrómu a možné </w:t>
      </w:r>
      <w:r w:rsidR="0064376A" w:rsidRPr="003940F4">
        <w:rPr>
          <w:sz w:val="22"/>
          <w:szCs w:val="22"/>
        </w:rPr>
        <w:t xml:space="preserve">prejavy </w:t>
      </w:r>
    </w:p>
    <w:p w14:paraId="3672F99B" w14:textId="77777777" w:rsidR="00AB63C5" w:rsidRPr="003940F4" w:rsidRDefault="00AB63C5" w:rsidP="00AB63C5">
      <w:pPr>
        <w:rPr>
          <w:sz w:val="22"/>
          <w:szCs w:val="22"/>
        </w:rPr>
      </w:pPr>
      <w:r w:rsidRPr="003940F4">
        <w:rPr>
          <w:sz w:val="22"/>
          <w:szCs w:val="22"/>
        </w:rPr>
        <w:t xml:space="preserve">a </w:t>
      </w:r>
      <w:r w:rsidR="00881084" w:rsidRPr="003940F4">
        <w:rPr>
          <w:sz w:val="22"/>
          <w:szCs w:val="22"/>
        </w:rPr>
        <w:t>príznaky</w:t>
      </w:r>
      <w:r w:rsidRPr="003940F4">
        <w:rPr>
          <w:sz w:val="22"/>
          <w:szCs w:val="22"/>
        </w:rPr>
        <w:t xml:space="preserve"> tohto stavu sa môžu objaviť najmä v prípadoch sú</w:t>
      </w:r>
      <w:r w:rsidR="00881084" w:rsidRPr="003940F4">
        <w:rPr>
          <w:sz w:val="22"/>
          <w:szCs w:val="22"/>
        </w:rPr>
        <w:t>bež</w:t>
      </w:r>
      <w:r w:rsidRPr="003940F4">
        <w:rPr>
          <w:sz w:val="22"/>
          <w:szCs w:val="22"/>
        </w:rPr>
        <w:t>ného používania s inými s</w:t>
      </w:r>
      <w:r w:rsidR="00B9798F" w:rsidRPr="003940F4">
        <w:rPr>
          <w:sz w:val="22"/>
          <w:szCs w:val="22"/>
        </w:rPr>
        <w:t>é</w:t>
      </w:r>
      <w:r w:rsidRPr="003940F4">
        <w:rPr>
          <w:sz w:val="22"/>
          <w:szCs w:val="22"/>
        </w:rPr>
        <w:t>roton</w:t>
      </w:r>
      <w:r w:rsidR="00EF52FA" w:rsidRPr="003940F4">
        <w:rPr>
          <w:sz w:val="22"/>
          <w:szCs w:val="22"/>
        </w:rPr>
        <w:t>ergnými</w:t>
      </w:r>
      <w:r w:rsidRPr="003940F4">
        <w:rPr>
          <w:sz w:val="22"/>
          <w:szCs w:val="22"/>
        </w:rPr>
        <w:t xml:space="preserve"> lie</w:t>
      </w:r>
      <w:r w:rsidR="00EF52FA" w:rsidRPr="003940F4">
        <w:rPr>
          <w:sz w:val="22"/>
          <w:szCs w:val="22"/>
        </w:rPr>
        <w:t>kmi</w:t>
      </w:r>
      <w:r w:rsidRPr="003940F4">
        <w:rPr>
          <w:sz w:val="22"/>
          <w:szCs w:val="22"/>
        </w:rPr>
        <w:t>, ako sú SSRI/SNRI alebo s</w:t>
      </w:r>
      <w:r w:rsidR="00F8215E">
        <w:rPr>
          <w:sz w:val="22"/>
          <w:szCs w:val="22"/>
        </w:rPr>
        <w:t xml:space="preserve"> </w:t>
      </w:r>
      <w:r w:rsidR="00F8215E" w:rsidRPr="00A9411C">
        <w:rPr>
          <w:sz w:val="22"/>
          <w:szCs w:val="22"/>
        </w:rPr>
        <w:t>liekmi</w:t>
      </w:r>
      <w:r w:rsidRPr="00A9411C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o ktorých je známe, že zvyšujú koncentrácie aripiprazolu (pozri časť 4.8).</w:t>
      </w:r>
    </w:p>
    <w:p w14:paraId="73DE6CF9" w14:textId="77777777" w:rsidR="00665630" w:rsidRPr="003940F4" w:rsidRDefault="00665630" w:rsidP="00AB63C5">
      <w:pPr>
        <w:rPr>
          <w:sz w:val="22"/>
          <w:szCs w:val="22"/>
        </w:rPr>
      </w:pPr>
    </w:p>
    <w:p w14:paraId="3707791B" w14:textId="77777777"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 xml:space="preserve">Potenciál </w:t>
      </w:r>
      <w:r w:rsidR="00CD7B94" w:rsidRPr="003940F4">
        <w:rPr>
          <w:sz w:val="22"/>
          <w:szCs w:val="22"/>
          <w:u w:val="single"/>
        </w:rPr>
        <w:t xml:space="preserve">aripiprazolu </w:t>
      </w:r>
      <w:r w:rsidRPr="003940F4">
        <w:rPr>
          <w:sz w:val="22"/>
          <w:szCs w:val="22"/>
          <w:u w:val="single"/>
        </w:rPr>
        <w:t xml:space="preserve">pre ovplyvnenie iných liekov </w:t>
      </w:r>
    </w:p>
    <w:p w14:paraId="34BDC2F9" w14:textId="77777777"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14:paraId="6EED8CD7" w14:textId="77777777"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807798" w:rsidRPr="003940F4">
        <w:rPr>
          <w:sz w:val="22"/>
          <w:szCs w:val="22"/>
        </w:rPr>
        <w:t xml:space="preserve">substrátov </w:t>
      </w:r>
      <w:r w:rsidRPr="003940F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3940F4">
        <w:rPr>
          <w:i/>
          <w:iCs/>
          <w:sz w:val="22"/>
          <w:szCs w:val="22"/>
        </w:rPr>
        <w:t xml:space="preserve">in vitro </w:t>
      </w:r>
      <w:r w:rsidRPr="003940F4">
        <w:rPr>
          <w:sz w:val="22"/>
          <w:szCs w:val="22"/>
        </w:rPr>
        <w:t xml:space="preserve">potenciál pre zmenu metabolizmu sprostredkovaného CYP1A2. Je preto </w:t>
      </w:r>
      <w:r w:rsidRPr="003940F4">
        <w:rPr>
          <w:sz w:val="22"/>
          <w:szCs w:val="22"/>
        </w:rPr>
        <w:lastRenderedPageBreak/>
        <w:t xml:space="preserve">nepravdepodobné, že by aripiprazol spôsobil klinicky významné liekové interakcie sprostredkované týmito enzýmami. </w:t>
      </w:r>
    </w:p>
    <w:p w14:paraId="2A4111C3" w14:textId="77777777" w:rsidR="00665630" w:rsidRPr="003940F4" w:rsidRDefault="00665630" w:rsidP="00665630">
      <w:pPr>
        <w:pStyle w:val="Default"/>
        <w:rPr>
          <w:sz w:val="22"/>
          <w:szCs w:val="22"/>
        </w:rPr>
      </w:pPr>
    </w:p>
    <w:p w14:paraId="1D5330D8" w14:textId="77777777" w:rsidR="00665630" w:rsidRPr="003940F4" w:rsidRDefault="00665630" w:rsidP="00665630">
      <w:pPr>
        <w:rPr>
          <w:b/>
          <w:iCs/>
          <w:sz w:val="22"/>
        </w:rPr>
      </w:pPr>
      <w:r w:rsidRPr="003940F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14:paraId="1B85A17E" w14:textId="77777777" w:rsidR="006A115E" w:rsidRPr="003940F4" w:rsidRDefault="006A115E" w:rsidP="00A440E6">
      <w:pPr>
        <w:rPr>
          <w:b/>
          <w:iCs/>
          <w:sz w:val="22"/>
          <w:u w:val="single"/>
        </w:rPr>
      </w:pPr>
    </w:p>
    <w:p w14:paraId="70911C23" w14:textId="77777777" w:rsidR="00A0467A" w:rsidRPr="003940F4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Fertilita, g</w:t>
      </w:r>
      <w:r w:rsidR="00A0467A" w:rsidRPr="003940F4">
        <w:rPr>
          <w:b/>
          <w:sz w:val="22"/>
        </w:rPr>
        <w:t>ravidita a laktácia</w:t>
      </w:r>
    </w:p>
    <w:p w14:paraId="09F161DB" w14:textId="77777777" w:rsidR="002957F9" w:rsidRPr="003940F4" w:rsidRDefault="002957F9" w:rsidP="00A440E6">
      <w:pPr>
        <w:keepNext/>
        <w:rPr>
          <w:b/>
          <w:sz w:val="22"/>
        </w:rPr>
      </w:pPr>
    </w:p>
    <w:p w14:paraId="0C43BAD8" w14:textId="77777777" w:rsidR="00A0467A" w:rsidRDefault="002957F9" w:rsidP="00A440E6">
      <w:pPr>
        <w:keepNext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Gravidita</w:t>
      </w:r>
    </w:p>
    <w:p w14:paraId="1D63B15C" w14:textId="77777777" w:rsidR="0012436F" w:rsidRPr="003940F4" w:rsidRDefault="0012436F" w:rsidP="00A440E6">
      <w:pPr>
        <w:keepNext/>
        <w:rPr>
          <w:sz w:val="22"/>
          <w:szCs w:val="22"/>
          <w:u w:val="single"/>
        </w:rPr>
      </w:pPr>
    </w:p>
    <w:p w14:paraId="1497D571" w14:textId="77777777"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Nie sú k dispozícii dostatočné a dobre kontrolované skúšania aripiprazolu u gravidných žien. Vrodené anomálie boli hlásené; avšak príčinná súvislosť s aripiprazolom nebola stanovená. Štúdie na zvieratách </w:t>
      </w:r>
      <w:r w:rsidR="0053055A" w:rsidRPr="003940F4">
        <w:rPr>
          <w:sz w:val="22"/>
          <w:szCs w:val="22"/>
        </w:rPr>
        <w:t>nevylúčili</w:t>
      </w:r>
      <w:r w:rsidRPr="003940F4">
        <w:rPr>
          <w:sz w:val="22"/>
          <w:szCs w:val="22"/>
        </w:rPr>
        <w:t xml:space="preserve"> možnosť vývojovej toxicity (pozri časť 5.3). Pacientkam sa </w:t>
      </w:r>
      <w:r w:rsidR="00CB1877">
        <w:rPr>
          <w:sz w:val="22"/>
          <w:szCs w:val="22"/>
        </w:rPr>
        <w:t>musí</w:t>
      </w:r>
      <w:r w:rsidR="00CB1877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odporučiť, aby svojmu lekárovi oznámili, že sú gravidné alebo</w:t>
      </w:r>
      <w:r w:rsidR="009B3CDA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ak počas liečby aripiprazolom graviditu plánujú. Vzhľadom na nedostatočné informácie o bezpečnosti u ľudí a </w:t>
      </w:r>
      <w:r w:rsidR="00B61011" w:rsidRPr="003940F4">
        <w:rPr>
          <w:sz w:val="22"/>
          <w:szCs w:val="22"/>
        </w:rPr>
        <w:t xml:space="preserve">obavy vyvolané </w:t>
      </w:r>
      <w:r w:rsidRPr="003940F4">
        <w:rPr>
          <w:sz w:val="22"/>
          <w:szCs w:val="22"/>
        </w:rPr>
        <w:t>reprodukčnými štúdiami na zvieratách sa tento liek nemá po</w:t>
      </w:r>
      <w:r w:rsidR="009B3CDA" w:rsidRPr="003940F4">
        <w:rPr>
          <w:sz w:val="22"/>
          <w:szCs w:val="22"/>
        </w:rPr>
        <w:t>užívať</w:t>
      </w:r>
      <w:r w:rsidRPr="003940F4">
        <w:rPr>
          <w:sz w:val="22"/>
          <w:szCs w:val="22"/>
        </w:rPr>
        <w:t xml:space="preserve"> počas gravidity, pokiaľ očakávaný prínos liečby zreteľne neprevýši potenciálne riziko pre plod. </w:t>
      </w:r>
    </w:p>
    <w:p w14:paraId="1FE3FA50" w14:textId="77777777" w:rsidR="00F2458E" w:rsidRPr="003940F4" w:rsidRDefault="00F2458E" w:rsidP="00665630">
      <w:pPr>
        <w:pStyle w:val="Default"/>
        <w:rPr>
          <w:sz w:val="22"/>
          <w:szCs w:val="22"/>
        </w:rPr>
      </w:pPr>
    </w:p>
    <w:p w14:paraId="080693A0" w14:textId="77777777" w:rsidR="00665630" w:rsidRPr="003940F4" w:rsidRDefault="00665630" w:rsidP="00665630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U novorodencov, ktorí boli vystavení počas tretieho trimestra gravidity antipsychotikám (vrátane aripiprazolu ), existuje </w:t>
      </w:r>
      <w:r w:rsidR="00B61011" w:rsidRPr="003940F4">
        <w:rPr>
          <w:sz w:val="22"/>
          <w:szCs w:val="22"/>
        </w:rPr>
        <w:t xml:space="preserve">po pôrode </w:t>
      </w:r>
      <w:r w:rsidRPr="003940F4">
        <w:rPr>
          <w:sz w:val="22"/>
          <w:szCs w:val="22"/>
        </w:rPr>
        <w:t xml:space="preserve">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</w:t>
      </w:r>
      <w:r w:rsidR="003D4448" w:rsidRPr="003940F4">
        <w:rPr>
          <w:sz w:val="22"/>
          <w:szCs w:val="22"/>
        </w:rPr>
        <w:t>V dôsledku toh</w:t>
      </w:r>
      <w:r w:rsidR="00020026" w:rsidRPr="003940F4">
        <w:rPr>
          <w:sz w:val="22"/>
          <w:szCs w:val="22"/>
        </w:rPr>
        <w:t>o</w:t>
      </w:r>
      <w:r w:rsidR="003D4448" w:rsidRPr="003940F4">
        <w:rPr>
          <w:sz w:val="22"/>
          <w:szCs w:val="22"/>
        </w:rPr>
        <w:t>,</w:t>
      </w:r>
      <w:r w:rsidRPr="003940F4">
        <w:rPr>
          <w:sz w:val="22"/>
          <w:szCs w:val="22"/>
        </w:rPr>
        <w:t xml:space="preserve"> majú byť novorodenci starostlivo sledovaní</w:t>
      </w:r>
      <w:r w:rsidR="00CB1877">
        <w:rPr>
          <w:sz w:val="22"/>
          <w:szCs w:val="22"/>
        </w:rPr>
        <w:t xml:space="preserve"> </w:t>
      </w:r>
      <w:r w:rsidR="00CB1877" w:rsidRPr="00CB1877">
        <w:rPr>
          <w:sz w:val="22"/>
          <w:szCs w:val="22"/>
        </w:rPr>
        <w:t>(pozri časť 4.8)</w:t>
      </w:r>
      <w:r w:rsidRPr="003940F4">
        <w:rPr>
          <w:sz w:val="22"/>
          <w:szCs w:val="22"/>
        </w:rPr>
        <w:t>.</w:t>
      </w:r>
    </w:p>
    <w:p w14:paraId="7F5A1C51" w14:textId="77777777" w:rsidR="00665630" w:rsidRPr="003940F4" w:rsidRDefault="00665630" w:rsidP="00665630">
      <w:pPr>
        <w:pStyle w:val="Default"/>
        <w:rPr>
          <w:sz w:val="22"/>
          <w:szCs w:val="22"/>
          <w:u w:val="single"/>
        </w:rPr>
      </w:pPr>
    </w:p>
    <w:p w14:paraId="3EFD3C4C" w14:textId="77777777" w:rsidR="00C37338" w:rsidRDefault="00C37338" w:rsidP="00E7617F">
      <w:pPr>
        <w:pStyle w:val="Default"/>
        <w:rPr>
          <w:sz w:val="22"/>
          <w:szCs w:val="22"/>
          <w:u w:val="single"/>
        </w:rPr>
      </w:pPr>
      <w:r w:rsidRPr="003940F4">
        <w:rPr>
          <w:sz w:val="22"/>
          <w:szCs w:val="22"/>
          <w:u w:val="single"/>
        </w:rPr>
        <w:t>Dojčenie</w:t>
      </w:r>
    </w:p>
    <w:p w14:paraId="13FF069B" w14:textId="77777777" w:rsidR="0012436F" w:rsidRPr="003940F4" w:rsidRDefault="0012436F" w:rsidP="00E7617F">
      <w:pPr>
        <w:pStyle w:val="Default"/>
        <w:rPr>
          <w:sz w:val="22"/>
          <w:szCs w:val="22"/>
          <w:u w:val="single"/>
        </w:rPr>
      </w:pPr>
    </w:p>
    <w:p w14:paraId="39AD175D" w14:textId="77777777" w:rsidR="002A58BB" w:rsidRPr="002A58BB" w:rsidRDefault="00665630" w:rsidP="002A58BB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>Aripiprazol sa vylučuje do</w:t>
      </w:r>
      <w:r w:rsidR="00550811" w:rsidRPr="003940F4">
        <w:rPr>
          <w:sz w:val="22"/>
          <w:szCs w:val="22"/>
        </w:rPr>
        <w:t xml:space="preserve"> </w:t>
      </w:r>
      <w:r w:rsidRPr="003940F4">
        <w:rPr>
          <w:sz w:val="22"/>
          <w:szCs w:val="22"/>
        </w:rPr>
        <w:t>materského mlieka</w:t>
      </w:r>
      <w:r w:rsidR="00FD0334" w:rsidRPr="003940F4">
        <w:rPr>
          <w:sz w:val="22"/>
          <w:szCs w:val="22"/>
        </w:rPr>
        <w:t xml:space="preserve"> u ľudí</w:t>
      </w:r>
      <w:r w:rsidRPr="003940F4">
        <w:rPr>
          <w:sz w:val="22"/>
          <w:szCs w:val="22"/>
        </w:rPr>
        <w:t xml:space="preserve">. </w:t>
      </w:r>
      <w:r w:rsidR="002A58BB" w:rsidRPr="002A58BB">
        <w:rPr>
          <w:sz w:val="22"/>
          <w:szCs w:val="22"/>
        </w:rPr>
        <w:t>Rozhodnutie, či ukončiť dojčenie alebo</w:t>
      </w:r>
      <w:r w:rsidR="002A58BB">
        <w:rPr>
          <w:sz w:val="22"/>
          <w:szCs w:val="22"/>
        </w:rPr>
        <w:t xml:space="preserve"> </w:t>
      </w:r>
      <w:r w:rsidR="002A58BB" w:rsidRPr="002A58BB">
        <w:rPr>
          <w:sz w:val="22"/>
          <w:szCs w:val="22"/>
        </w:rPr>
        <w:t>ukončiť/prerušiť liečbu aripiprazolom sa má urobiť po zvážení prínosu dojčenia pre dieťa a prínosu</w:t>
      </w:r>
    </w:p>
    <w:p w14:paraId="40662752" w14:textId="77777777" w:rsidR="00665630" w:rsidRPr="003940F4" w:rsidRDefault="002A58BB" w:rsidP="002A58BB">
      <w:pPr>
        <w:pStyle w:val="Default"/>
        <w:rPr>
          <w:sz w:val="22"/>
          <w:szCs w:val="22"/>
        </w:rPr>
      </w:pPr>
      <w:r w:rsidRPr="002A58BB">
        <w:rPr>
          <w:sz w:val="22"/>
          <w:szCs w:val="22"/>
        </w:rPr>
        <w:t>liečby pre ženu.</w:t>
      </w:r>
    </w:p>
    <w:p w14:paraId="29FF5B25" w14:textId="77777777" w:rsidR="00E7617F" w:rsidRDefault="00E7617F" w:rsidP="00E7617F">
      <w:pPr>
        <w:rPr>
          <w:sz w:val="22"/>
        </w:rPr>
      </w:pPr>
    </w:p>
    <w:p w14:paraId="44585290" w14:textId="77777777" w:rsidR="002A58BB" w:rsidRDefault="002A58BB" w:rsidP="002A58BB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Fertilita</w:t>
      </w:r>
    </w:p>
    <w:p w14:paraId="0B643A07" w14:textId="77777777" w:rsidR="002A58BB" w:rsidRDefault="002A58BB" w:rsidP="002A58BB">
      <w:pPr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>Na základe údajov zo štúdií reprodukčnej toxicity aripiprazol nemal vplyv na fertilitu.</w:t>
      </w:r>
    </w:p>
    <w:p w14:paraId="1F12DE9C" w14:textId="77777777" w:rsidR="008072E5" w:rsidRPr="003940F4" w:rsidRDefault="008072E5" w:rsidP="002A58BB">
      <w:pPr>
        <w:rPr>
          <w:sz w:val="22"/>
        </w:rPr>
      </w:pPr>
    </w:p>
    <w:p w14:paraId="31F2C5C3" w14:textId="77777777"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Ovplyvnenie schopnosti viesť vozidlá a obsluhovať stroje</w:t>
      </w:r>
    </w:p>
    <w:p w14:paraId="4999A16E" w14:textId="77777777" w:rsidR="00A0467A" w:rsidRPr="003940F4" w:rsidRDefault="00A0467A" w:rsidP="00A440E6">
      <w:pPr>
        <w:keepNext/>
        <w:rPr>
          <w:b/>
          <w:sz w:val="22"/>
        </w:rPr>
      </w:pPr>
    </w:p>
    <w:p w14:paraId="25D2DFC4" w14:textId="77777777"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>Aripiprazol má malý alebo mierny vplyv na schopnosť viesť vozidlá a obsluhovať stroje z dôvodu</w:t>
      </w:r>
    </w:p>
    <w:p w14:paraId="25DF1DC6" w14:textId="77777777" w:rsidR="002A58BB" w:rsidRPr="002A58BB" w:rsidRDefault="002A58BB" w:rsidP="002A58BB">
      <w:pPr>
        <w:rPr>
          <w:sz w:val="22"/>
          <w:szCs w:val="22"/>
        </w:rPr>
      </w:pPr>
      <w:r w:rsidRPr="002A58BB">
        <w:rPr>
          <w:sz w:val="22"/>
          <w:szCs w:val="22"/>
        </w:rPr>
        <w:t>možného účinku na nervový systém a zrak, ako je napríklad sedácia, somnolencia, synkopa,</w:t>
      </w:r>
    </w:p>
    <w:p w14:paraId="7B85F7EA" w14:textId="77777777" w:rsidR="008072E5" w:rsidRDefault="002A58BB" w:rsidP="00A440E6">
      <w:pPr>
        <w:rPr>
          <w:sz w:val="22"/>
          <w:szCs w:val="22"/>
        </w:rPr>
      </w:pPr>
      <w:r w:rsidRPr="002A58BB">
        <w:rPr>
          <w:sz w:val="22"/>
          <w:szCs w:val="22"/>
        </w:rPr>
        <w:t>rozmazané videnie, diplopia (pozri časť 4.8).</w:t>
      </w:r>
      <w:r w:rsidRPr="002A58BB" w:rsidDel="002A58BB">
        <w:rPr>
          <w:sz w:val="22"/>
          <w:szCs w:val="22"/>
        </w:rPr>
        <w:t xml:space="preserve"> </w:t>
      </w:r>
    </w:p>
    <w:p w14:paraId="5D84B4AE" w14:textId="77777777" w:rsidR="00550811" w:rsidRPr="003940F4" w:rsidRDefault="00550811" w:rsidP="00A440E6">
      <w:pPr>
        <w:rPr>
          <w:sz w:val="22"/>
        </w:rPr>
      </w:pPr>
    </w:p>
    <w:p w14:paraId="47146DF9" w14:textId="77777777" w:rsidR="00A0467A" w:rsidRPr="003940F4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3940F4">
        <w:rPr>
          <w:b/>
          <w:sz w:val="22"/>
        </w:rPr>
        <w:t>Nežiaduce účinky</w:t>
      </w:r>
    </w:p>
    <w:p w14:paraId="75CBBF79" w14:textId="77777777" w:rsidR="00A0467A" w:rsidRPr="003940F4" w:rsidRDefault="00A0467A" w:rsidP="00A440E6">
      <w:pPr>
        <w:keepNext/>
        <w:tabs>
          <w:tab w:val="left" w:pos="709"/>
        </w:tabs>
        <w:rPr>
          <w:b/>
          <w:sz w:val="22"/>
        </w:rPr>
      </w:pPr>
    </w:p>
    <w:p w14:paraId="247D72E1" w14:textId="77777777" w:rsidR="003A12D6" w:rsidRPr="003940F4" w:rsidRDefault="003A12D6" w:rsidP="00A440E6">
      <w:pPr>
        <w:pStyle w:val="Zkladntext"/>
        <w:jc w:val="left"/>
        <w:rPr>
          <w:sz w:val="22"/>
          <w:u w:val="single"/>
        </w:rPr>
      </w:pPr>
      <w:r w:rsidRPr="003940F4">
        <w:rPr>
          <w:sz w:val="22"/>
          <w:u w:val="single"/>
        </w:rPr>
        <w:t>Súhrn bezpečnostného profilu</w:t>
      </w:r>
    </w:p>
    <w:p w14:paraId="7BACE732" w14:textId="77777777" w:rsidR="00550811" w:rsidRPr="003940F4" w:rsidRDefault="00550811" w:rsidP="00A440E6">
      <w:pPr>
        <w:pStyle w:val="Zkladntext"/>
        <w:jc w:val="left"/>
        <w:rPr>
          <w:sz w:val="22"/>
          <w:u w:val="single"/>
        </w:rPr>
      </w:pPr>
    </w:p>
    <w:p w14:paraId="332E519D" w14:textId="77777777" w:rsidR="003A12D6" w:rsidRPr="003940F4" w:rsidRDefault="00550811" w:rsidP="00A440E6">
      <w:pPr>
        <w:pStyle w:val="Zkladntext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Najčastejšími nežiaducimi reakciami v placebom kontrolovaných štúdiách boli akatízia a nauzea, ktoré sa objavili u viac ako 3 % pacientov liečených perorálne podávaným aripiprazolom.</w:t>
      </w:r>
    </w:p>
    <w:p w14:paraId="12FDD5F8" w14:textId="77777777" w:rsidR="00550811" w:rsidRPr="003940F4" w:rsidRDefault="00550811" w:rsidP="00A440E6">
      <w:pPr>
        <w:pStyle w:val="Zkladntext"/>
        <w:jc w:val="left"/>
        <w:rPr>
          <w:sz w:val="22"/>
        </w:rPr>
      </w:pPr>
    </w:p>
    <w:p w14:paraId="2F064E15" w14:textId="77777777" w:rsidR="003A12D6" w:rsidRPr="003940F4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3940F4">
        <w:rPr>
          <w:sz w:val="22"/>
          <w:u w:val="single"/>
        </w:rPr>
        <w:t xml:space="preserve">Tabuľkový zoznam nežiaducich </w:t>
      </w:r>
      <w:r w:rsidR="00D21BB7" w:rsidRPr="003940F4">
        <w:rPr>
          <w:sz w:val="22"/>
          <w:u w:val="single"/>
        </w:rPr>
        <w:t>reakcií</w:t>
      </w:r>
    </w:p>
    <w:p w14:paraId="1FEE3DF1" w14:textId="77777777" w:rsidR="00550811" w:rsidRDefault="00550811" w:rsidP="00550811">
      <w:pPr>
        <w:pStyle w:val="Default"/>
        <w:rPr>
          <w:sz w:val="22"/>
          <w:szCs w:val="22"/>
        </w:rPr>
      </w:pPr>
    </w:p>
    <w:p w14:paraId="11CB16E1" w14:textId="77777777"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Výskyt nežiaducich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účink</w:t>
      </w:r>
      <w:r>
        <w:rPr>
          <w:sz w:val="22"/>
          <w:szCs w:val="22"/>
          <w:lang w:eastAsia="sk-SK"/>
        </w:rPr>
        <w:t xml:space="preserve">ov lieku (ADR, z angl. adverse drug reactions) </w:t>
      </w:r>
      <w:r>
        <w:rPr>
          <w:rFonts w:ascii="TimesNewRomanPSMT" w:hAnsi="TimesNewRomanPSMT" w:cs="TimesNewRomanPSMT"/>
          <w:sz w:val="22"/>
          <w:szCs w:val="22"/>
          <w:lang w:eastAsia="sk-SK"/>
        </w:rPr>
        <w:t>spojených s liečbou</w:t>
      </w:r>
    </w:p>
    <w:p w14:paraId="37395E6D" w14:textId="77777777" w:rsidR="002A58BB" w:rsidRDefault="002A58BB" w:rsidP="002A58BB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eastAsia="sk-SK"/>
        </w:rPr>
      </w:pPr>
      <w:r>
        <w:rPr>
          <w:rFonts w:ascii="TimesNewRomanPSMT" w:hAnsi="TimesNewRomanPSMT" w:cs="TimesNewRomanPSMT"/>
          <w:sz w:val="22"/>
          <w:szCs w:val="22"/>
          <w:lang w:eastAsia="sk-SK"/>
        </w:rPr>
        <w:t>aripiprazolom je uvedený v tabuľke nižšie. Tabuľka vychádza z nežiaducich udalostí hlásených počas</w:t>
      </w:r>
    </w:p>
    <w:p w14:paraId="2EE84747" w14:textId="77777777" w:rsidR="002A58BB" w:rsidRDefault="002A58BB" w:rsidP="002A58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klinických skúšaní a/alebo po uvedení na trh.</w:t>
      </w:r>
    </w:p>
    <w:p w14:paraId="200333CE" w14:textId="77777777" w:rsidR="002A58BB" w:rsidRPr="003940F4" w:rsidRDefault="002A58BB" w:rsidP="00550811">
      <w:pPr>
        <w:pStyle w:val="Default"/>
        <w:rPr>
          <w:sz w:val="22"/>
          <w:szCs w:val="22"/>
        </w:rPr>
      </w:pPr>
    </w:p>
    <w:p w14:paraId="35E7247A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Všetky nežiaduce účinky lieku sú zoradené podľa triedy orgánových systémov a frekvencie: veľmi </w:t>
      </w:r>
    </w:p>
    <w:p w14:paraId="7F6F3076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časté (≥ 1/10), časté (≥ 1/100 až &lt; 1/10), menej časté (≥ 1/1 000 až &lt; 1/100), zriedkavé (≥ 1/10 000 </w:t>
      </w:r>
    </w:p>
    <w:p w14:paraId="67A31E65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až &lt; 1/1 000), veľmi zriedkavé (&lt; 1/10 000) a neznáme (z dostupných údajov). Pri každej frekvencii </w:t>
      </w:r>
    </w:p>
    <w:p w14:paraId="77D1E886" w14:textId="77777777" w:rsid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lastRenderedPageBreak/>
        <w:t>výskytu sú nežiaduce reakcie zoradené podľa klesajúcej závažnosti.</w:t>
      </w:r>
    </w:p>
    <w:p w14:paraId="4AD242BB" w14:textId="77777777" w:rsidR="008D143A" w:rsidRPr="008D143A" w:rsidRDefault="008D143A" w:rsidP="008D143A">
      <w:pPr>
        <w:pStyle w:val="Default"/>
        <w:rPr>
          <w:sz w:val="22"/>
          <w:szCs w:val="22"/>
        </w:rPr>
      </w:pPr>
    </w:p>
    <w:p w14:paraId="7F56E90E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Frekvenciu výskytu nežiaducich reakcií hlásených po uvedení na trh nie je možné určiť, pretože </w:t>
      </w:r>
    </w:p>
    <w:p w14:paraId="4437B838" w14:textId="77777777" w:rsidR="008D143A" w:rsidRPr="008D143A" w:rsidRDefault="008D143A" w:rsidP="008D143A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 xml:space="preserve">pochádzajú zo spontánnych hlásení. Frekvencia výskytu týchto nežiaducich udalostí je následne </w:t>
      </w:r>
    </w:p>
    <w:p w14:paraId="28A3192F" w14:textId="77777777" w:rsidR="003A12D6" w:rsidRDefault="008D143A" w:rsidP="00FE1716">
      <w:pPr>
        <w:pStyle w:val="Default"/>
        <w:rPr>
          <w:sz w:val="22"/>
          <w:szCs w:val="22"/>
        </w:rPr>
      </w:pPr>
      <w:r w:rsidRPr="008D143A">
        <w:rPr>
          <w:sz w:val="22"/>
          <w:szCs w:val="22"/>
        </w:rPr>
        <w:t>klasifikovaná ako „neznáma“.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2127"/>
        <w:gridCol w:w="2322"/>
        <w:gridCol w:w="2452"/>
      </w:tblGrid>
      <w:tr w:rsidR="008B1DEC" w14:paraId="5B6F6903" w14:textId="77777777" w:rsidTr="00FE1716">
        <w:tc>
          <w:tcPr>
            <w:tcW w:w="1668" w:type="dxa"/>
          </w:tcPr>
          <w:p w14:paraId="1409D593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533667" w14:textId="77777777" w:rsidR="00F7210A" w:rsidRDefault="00F7210A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5AEAA2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Časté</w:t>
            </w:r>
          </w:p>
        </w:tc>
        <w:tc>
          <w:tcPr>
            <w:tcW w:w="2322" w:type="dxa"/>
          </w:tcPr>
          <w:p w14:paraId="39E7FAD4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Menej časté</w:t>
            </w:r>
          </w:p>
        </w:tc>
        <w:tc>
          <w:tcPr>
            <w:tcW w:w="2322" w:type="dxa"/>
          </w:tcPr>
          <w:p w14:paraId="138E76C7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Neznáme</w:t>
            </w:r>
          </w:p>
        </w:tc>
      </w:tr>
      <w:tr w:rsidR="008B1DEC" w14:paraId="2D56570A" w14:textId="77777777" w:rsidTr="00FE1716">
        <w:tc>
          <w:tcPr>
            <w:tcW w:w="1668" w:type="dxa"/>
          </w:tcPr>
          <w:p w14:paraId="5C1C852F" w14:textId="77777777"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Poruchy krvi </w:t>
            </w:r>
          </w:p>
          <w:p w14:paraId="4D2E47E5" w14:textId="77777777" w:rsidR="008B1DEC" w:rsidRP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 xml:space="preserve">a lymfatického </w:t>
            </w:r>
          </w:p>
          <w:p w14:paraId="038904A5" w14:textId="77777777"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3A83E95C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19C49D5" w14:textId="77777777" w:rsidR="008B1DEC" w:rsidRDefault="008B1DEC" w:rsidP="008B1D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3C9614D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1DEC">
              <w:rPr>
                <w:sz w:val="22"/>
                <w:szCs w:val="22"/>
              </w:rPr>
              <w:t>Leukopénia</w:t>
            </w:r>
          </w:p>
          <w:p w14:paraId="2FA67042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Neutropénia</w:t>
            </w:r>
          </w:p>
          <w:p w14:paraId="1F2D710A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Trombocytopénia</w:t>
            </w:r>
          </w:p>
        </w:tc>
      </w:tr>
      <w:tr w:rsidR="008B1DEC" w14:paraId="0427642C" w14:textId="77777777" w:rsidTr="00FE1716">
        <w:tc>
          <w:tcPr>
            <w:tcW w:w="1668" w:type="dxa"/>
          </w:tcPr>
          <w:p w14:paraId="6455DC45" w14:textId="77777777"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Poruchy </w:t>
            </w:r>
          </w:p>
          <w:p w14:paraId="4CF02167" w14:textId="77777777" w:rsidR="00D309F9" w:rsidRPr="00D309F9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 xml:space="preserve">imunitného </w:t>
            </w:r>
          </w:p>
          <w:p w14:paraId="333E3A32" w14:textId="77777777" w:rsidR="008B1DEC" w:rsidRDefault="00D309F9" w:rsidP="00D309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9F9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754B5878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68DD84C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AAFBA3E" w14:textId="77777777" w:rsidR="005D2732" w:rsidRPr="005D2732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0823F9">
              <w:rPr>
                <w:sz w:val="22"/>
                <w:szCs w:val="22"/>
              </w:rPr>
              <w:t>pruritu</w:t>
            </w:r>
          </w:p>
          <w:p w14:paraId="7288C62B" w14:textId="77777777" w:rsidR="008B1DEC" w:rsidRDefault="005D2732" w:rsidP="005D27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732">
              <w:rPr>
                <w:sz w:val="22"/>
                <w:szCs w:val="22"/>
              </w:rPr>
              <w:t>alebo urtikárie)</w:t>
            </w:r>
          </w:p>
        </w:tc>
      </w:tr>
      <w:tr w:rsidR="008B1DEC" w14:paraId="45B7A013" w14:textId="77777777" w:rsidTr="00FE1716">
        <w:tc>
          <w:tcPr>
            <w:tcW w:w="1668" w:type="dxa"/>
          </w:tcPr>
          <w:p w14:paraId="763AABE5" w14:textId="77777777"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Poruchy </w:t>
            </w:r>
          </w:p>
          <w:p w14:paraId="43E16E12" w14:textId="77777777"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 xml:space="preserve">endokrinného </w:t>
            </w:r>
          </w:p>
          <w:p w14:paraId="3A48885F" w14:textId="77777777"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0BA48A91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2649F4A" w14:textId="77777777" w:rsidR="008B1DEC" w:rsidRDefault="003B5FA2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Hyperprolaktinémia</w:t>
            </w:r>
          </w:p>
        </w:tc>
        <w:tc>
          <w:tcPr>
            <w:tcW w:w="2322" w:type="dxa"/>
          </w:tcPr>
          <w:p w14:paraId="293F9FB8" w14:textId="77777777" w:rsidR="003B5FA2" w:rsidRPr="003B5FA2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Diabetická hyperosmolárna kóma</w:t>
            </w:r>
          </w:p>
          <w:p w14:paraId="08DF146A" w14:textId="77777777" w:rsidR="008B1DEC" w:rsidRDefault="003B5FA2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FA2">
              <w:rPr>
                <w:sz w:val="22"/>
                <w:szCs w:val="22"/>
              </w:rPr>
              <w:t>Diabetická ketoacidóza</w:t>
            </w:r>
          </w:p>
          <w:p w14:paraId="711ECD51" w14:textId="77777777" w:rsidR="00537927" w:rsidRDefault="00537927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823F9" w14:paraId="5806ECAB" w14:textId="77777777" w:rsidTr="00816353">
        <w:tc>
          <w:tcPr>
            <w:tcW w:w="1668" w:type="dxa"/>
          </w:tcPr>
          <w:p w14:paraId="3084D84A" w14:textId="77777777"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2127" w:type="dxa"/>
          </w:tcPr>
          <w:p w14:paraId="736A4B1F" w14:textId="77777777" w:rsidR="000823F9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mellitus</w:t>
            </w:r>
          </w:p>
        </w:tc>
        <w:tc>
          <w:tcPr>
            <w:tcW w:w="2322" w:type="dxa"/>
          </w:tcPr>
          <w:p w14:paraId="4FD0E5F6" w14:textId="77777777" w:rsidR="000823F9" w:rsidRPr="003B5FA2" w:rsidRDefault="000823F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Hyperglykémia</w:t>
            </w:r>
          </w:p>
        </w:tc>
        <w:tc>
          <w:tcPr>
            <w:tcW w:w="2322" w:type="dxa"/>
          </w:tcPr>
          <w:p w14:paraId="1C12F865" w14:textId="77777777"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Hyponatriémia</w:t>
            </w:r>
          </w:p>
          <w:p w14:paraId="1ECFEEFE" w14:textId="77777777"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Anorexia</w:t>
            </w:r>
          </w:p>
          <w:p w14:paraId="2A1057DF" w14:textId="77777777" w:rsidR="000823F9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Zníženie hmotnosti</w:t>
            </w:r>
          </w:p>
          <w:p w14:paraId="5007D86F" w14:textId="77777777" w:rsidR="000823F9" w:rsidRPr="003B5FA2" w:rsidRDefault="000823F9" w:rsidP="003B5F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Zvýšenie hmotnosti </w:t>
            </w:r>
          </w:p>
        </w:tc>
      </w:tr>
      <w:tr w:rsidR="008B1DEC" w14:paraId="0DCF08E3" w14:textId="77777777" w:rsidTr="00FE1716">
        <w:tc>
          <w:tcPr>
            <w:tcW w:w="1668" w:type="dxa"/>
          </w:tcPr>
          <w:p w14:paraId="1CB24DDD" w14:textId="77777777"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Psychické </w:t>
            </w:r>
          </w:p>
          <w:p w14:paraId="7F61E6C8" w14:textId="77777777" w:rsidR="008B1DEC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poruchy</w:t>
            </w:r>
          </w:p>
        </w:tc>
        <w:tc>
          <w:tcPr>
            <w:tcW w:w="2127" w:type="dxa"/>
          </w:tcPr>
          <w:p w14:paraId="69DF7C24" w14:textId="77777777" w:rsidR="000823F9" w:rsidRDefault="000823F9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Insomnia</w:t>
            </w:r>
          </w:p>
          <w:p w14:paraId="3DAA6A16" w14:textId="77777777"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>Úzkosť</w:t>
            </w:r>
          </w:p>
          <w:p w14:paraId="4DB4B53E" w14:textId="77777777" w:rsidR="00563BE8" w:rsidRPr="00563BE8" w:rsidRDefault="00563BE8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3BE8">
              <w:rPr>
                <w:sz w:val="22"/>
                <w:szCs w:val="22"/>
              </w:rPr>
              <w:t xml:space="preserve">Nepokoj </w:t>
            </w:r>
          </w:p>
          <w:p w14:paraId="2899F0E7" w14:textId="77777777" w:rsidR="008B1DEC" w:rsidRDefault="008B1DEC" w:rsidP="00563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4BB9E8B" w14:textId="77777777"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Depresia Hypersexualita </w:t>
            </w:r>
          </w:p>
          <w:p w14:paraId="1CBDFF0F" w14:textId="77777777" w:rsidR="008B1DEC" w:rsidRDefault="008B1DEC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FEE9DA5" w14:textId="77777777" w:rsidR="00087AEE" w:rsidRP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Pokus o samovraždu </w:t>
            </w:r>
            <w:r>
              <w:rPr>
                <w:sz w:val="22"/>
                <w:szCs w:val="22"/>
              </w:rPr>
              <w:t>Samovraž</w:t>
            </w:r>
            <w:r w:rsidR="00390CE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 w:rsidR="00390CE7">
              <w:rPr>
                <w:sz w:val="22"/>
                <w:szCs w:val="22"/>
              </w:rPr>
              <w:t>né myšlienky</w:t>
            </w:r>
            <w:r>
              <w:rPr>
                <w:sz w:val="22"/>
                <w:szCs w:val="22"/>
              </w:rPr>
              <w:t xml:space="preserve"> a d</w:t>
            </w:r>
            <w:r w:rsidRPr="00087AEE">
              <w:rPr>
                <w:sz w:val="22"/>
                <w:szCs w:val="22"/>
              </w:rPr>
              <w:t>okonaná samovražda</w:t>
            </w:r>
            <w:r>
              <w:rPr>
                <w:sz w:val="22"/>
                <w:szCs w:val="22"/>
              </w:rPr>
              <w:t xml:space="preserve"> (pozri časť 4.4)</w:t>
            </w:r>
          </w:p>
          <w:p w14:paraId="40228973" w14:textId="77777777" w:rsid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Patologické hráčstvo</w:t>
            </w:r>
          </w:p>
          <w:p w14:paraId="07FFD7B3" w14:textId="77777777"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Poruchy kontroly impulzov</w:t>
            </w:r>
          </w:p>
          <w:p w14:paraId="7D02961C" w14:textId="77777777"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Prejedanie sa</w:t>
            </w:r>
          </w:p>
          <w:p w14:paraId="6745B731" w14:textId="77777777" w:rsidR="002A58BB" w:rsidRPr="002A58BB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Kompulzívne nakupovanie</w:t>
            </w:r>
          </w:p>
          <w:p w14:paraId="7891B8ED" w14:textId="77777777" w:rsidR="002A58BB" w:rsidRPr="00087AEE" w:rsidRDefault="002A58BB" w:rsidP="002A58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8BB">
              <w:rPr>
                <w:sz w:val="22"/>
                <w:szCs w:val="22"/>
              </w:rPr>
              <w:t>Poriománia</w:t>
            </w:r>
          </w:p>
          <w:p w14:paraId="09704C0B" w14:textId="77777777"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Agre</w:t>
            </w:r>
            <w:r w:rsidR="000823F9">
              <w:rPr>
                <w:sz w:val="22"/>
                <w:szCs w:val="22"/>
              </w:rPr>
              <w:t>sivita</w:t>
            </w:r>
            <w:r w:rsidRPr="00087AEE">
              <w:rPr>
                <w:sz w:val="22"/>
                <w:szCs w:val="22"/>
              </w:rPr>
              <w:t xml:space="preserve"> </w:t>
            </w:r>
          </w:p>
          <w:p w14:paraId="342203DC" w14:textId="77777777" w:rsidR="00087AEE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 xml:space="preserve">Agitovanosť </w:t>
            </w:r>
          </w:p>
          <w:p w14:paraId="17FADBCD" w14:textId="77777777" w:rsidR="008B1DEC" w:rsidRDefault="00087AEE" w:rsidP="00087A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87AEE">
              <w:rPr>
                <w:sz w:val="22"/>
                <w:szCs w:val="22"/>
              </w:rPr>
              <w:t>Nervozita</w:t>
            </w:r>
          </w:p>
        </w:tc>
      </w:tr>
      <w:tr w:rsidR="008B1DEC" w14:paraId="418CFD60" w14:textId="77777777" w:rsidTr="00FE1716">
        <w:tc>
          <w:tcPr>
            <w:tcW w:w="1668" w:type="dxa"/>
          </w:tcPr>
          <w:p w14:paraId="5A94B5E5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Poruchy </w:t>
            </w:r>
          </w:p>
          <w:p w14:paraId="1612EC55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nervového </w:t>
            </w:r>
          </w:p>
          <w:p w14:paraId="6F01400F" w14:textId="77777777"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systému</w:t>
            </w:r>
          </w:p>
        </w:tc>
        <w:tc>
          <w:tcPr>
            <w:tcW w:w="2127" w:type="dxa"/>
          </w:tcPr>
          <w:p w14:paraId="1E036EB8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Akatízia</w:t>
            </w:r>
          </w:p>
          <w:p w14:paraId="04BB58A5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Extrapyramídová porucha </w:t>
            </w:r>
          </w:p>
          <w:p w14:paraId="22447694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Tremor</w:t>
            </w:r>
          </w:p>
          <w:p w14:paraId="3785CDEE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Bolesť hlavy </w:t>
            </w:r>
          </w:p>
          <w:p w14:paraId="2339E5D9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Sedácia</w:t>
            </w:r>
          </w:p>
          <w:p w14:paraId="7F338D1F" w14:textId="77777777" w:rsidR="00541135" w:rsidRPr="00541135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 xml:space="preserve">Somnolencia </w:t>
            </w:r>
          </w:p>
          <w:p w14:paraId="77B9CF8D" w14:textId="77777777" w:rsidR="008B1DEC" w:rsidRDefault="00541135" w:rsidP="005411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135">
              <w:rPr>
                <w:sz w:val="22"/>
                <w:szCs w:val="22"/>
              </w:rPr>
              <w:t>Závrat</w:t>
            </w:r>
          </w:p>
        </w:tc>
        <w:tc>
          <w:tcPr>
            <w:tcW w:w="2322" w:type="dxa"/>
          </w:tcPr>
          <w:p w14:paraId="2E5C46A4" w14:textId="77777777" w:rsidR="00612EA1" w:rsidRPr="00612EA1" w:rsidRDefault="00F94C8B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Tardívna dyskinéza </w:t>
            </w:r>
            <w:r w:rsidR="00612EA1" w:rsidRPr="00612EA1">
              <w:rPr>
                <w:sz w:val="22"/>
                <w:szCs w:val="22"/>
              </w:rPr>
              <w:t>Dystónia</w:t>
            </w:r>
          </w:p>
          <w:p w14:paraId="250EC324" w14:textId="77777777" w:rsidR="008B1DEC" w:rsidRDefault="008B1DEC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2611372" w14:textId="77777777"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Malígny neuroleptický syndróm</w:t>
            </w:r>
          </w:p>
          <w:p w14:paraId="2133CE50" w14:textId="77777777"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 xml:space="preserve">Záchvat typu grand mal </w:t>
            </w:r>
          </w:p>
          <w:p w14:paraId="5B7E9AFE" w14:textId="77777777" w:rsidR="00612EA1" w:rsidRPr="00612EA1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S</w:t>
            </w:r>
            <w:r w:rsidR="000F5C5C">
              <w:rPr>
                <w:sz w:val="22"/>
                <w:szCs w:val="22"/>
              </w:rPr>
              <w:t>é</w:t>
            </w:r>
            <w:r w:rsidRPr="00612EA1">
              <w:rPr>
                <w:sz w:val="22"/>
                <w:szCs w:val="22"/>
              </w:rPr>
              <w:t xml:space="preserve">rotonínový syndróm </w:t>
            </w:r>
          </w:p>
          <w:p w14:paraId="230CEA80" w14:textId="77777777" w:rsidR="008B1DEC" w:rsidRDefault="00612EA1" w:rsidP="00612E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EA1">
              <w:rPr>
                <w:sz w:val="22"/>
                <w:szCs w:val="22"/>
              </w:rPr>
              <w:t>Poruchy reči</w:t>
            </w:r>
          </w:p>
        </w:tc>
      </w:tr>
      <w:tr w:rsidR="008B1DEC" w14:paraId="518D34BC" w14:textId="77777777" w:rsidTr="00FE1716">
        <w:tc>
          <w:tcPr>
            <w:tcW w:w="1668" w:type="dxa"/>
          </w:tcPr>
          <w:p w14:paraId="58E133A6" w14:textId="77777777"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t>Poruchy oka</w:t>
            </w:r>
          </w:p>
        </w:tc>
        <w:tc>
          <w:tcPr>
            <w:tcW w:w="2127" w:type="dxa"/>
          </w:tcPr>
          <w:p w14:paraId="52875719" w14:textId="77777777"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6B">
              <w:rPr>
                <w:sz w:val="22"/>
                <w:szCs w:val="22"/>
              </w:rPr>
              <w:t>Rozmazané videnie</w:t>
            </w:r>
          </w:p>
        </w:tc>
        <w:tc>
          <w:tcPr>
            <w:tcW w:w="2322" w:type="dxa"/>
          </w:tcPr>
          <w:p w14:paraId="2D253439" w14:textId="77777777" w:rsidR="008B1DEC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Diplopia</w:t>
            </w:r>
          </w:p>
        </w:tc>
        <w:tc>
          <w:tcPr>
            <w:tcW w:w="2322" w:type="dxa"/>
          </w:tcPr>
          <w:p w14:paraId="075135E5" w14:textId="77777777" w:rsidR="008B1DEC" w:rsidRPr="00F15B4E" w:rsidRDefault="00F15B4E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28DC">
              <w:rPr>
                <w:bCs/>
                <w:sz w:val="22"/>
                <w:szCs w:val="22"/>
              </w:rPr>
              <w:t>Okulogyrická kríza</w:t>
            </w:r>
          </w:p>
        </w:tc>
      </w:tr>
      <w:tr w:rsidR="008B1DEC" w14:paraId="036AB3CF" w14:textId="77777777" w:rsidTr="00FE1716">
        <w:tc>
          <w:tcPr>
            <w:tcW w:w="1668" w:type="dxa"/>
          </w:tcPr>
          <w:p w14:paraId="312CE006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Poruchy </w:t>
            </w:r>
          </w:p>
          <w:p w14:paraId="219B03D9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srdca a </w:t>
            </w:r>
          </w:p>
          <w:p w14:paraId="52EF621D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srdcovej </w:t>
            </w:r>
          </w:p>
          <w:p w14:paraId="4493DAE9" w14:textId="77777777" w:rsidR="008B1DEC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činnosti</w:t>
            </w:r>
          </w:p>
        </w:tc>
        <w:tc>
          <w:tcPr>
            <w:tcW w:w="2127" w:type="dxa"/>
          </w:tcPr>
          <w:p w14:paraId="7741F774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8BF230A" w14:textId="77777777" w:rsidR="008B1DEC" w:rsidRDefault="006A12E3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Tachykardia</w:t>
            </w:r>
          </w:p>
        </w:tc>
        <w:tc>
          <w:tcPr>
            <w:tcW w:w="2322" w:type="dxa"/>
          </w:tcPr>
          <w:p w14:paraId="17B000E4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Náhla nevysvetliteľná smrť</w:t>
            </w:r>
          </w:p>
          <w:p w14:paraId="561EDE87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Torsades de pointes</w:t>
            </w:r>
          </w:p>
          <w:p w14:paraId="794BC79E" w14:textId="77777777" w:rsidR="000F5C5C" w:rsidRDefault="000F5C5C" w:rsidP="000F5C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>Predĺženie QT intervalu</w:t>
            </w:r>
          </w:p>
          <w:p w14:paraId="6B35EBC9" w14:textId="77777777" w:rsidR="006A12E3" w:rsidRP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t xml:space="preserve">Ventrikulárne arytmie </w:t>
            </w:r>
          </w:p>
          <w:p w14:paraId="0EA373BC" w14:textId="77777777" w:rsidR="0061120C" w:rsidRPr="006A12E3" w:rsidRDefault="0061120C" w:rsidP="00611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12E3">
              <w:rPr>
                <w:sz w:val="22"/>
                <w:szCs w:val="22"/>
              </w:rPr>
              <w:lastRenderedPageBreak/>
              <w:t>Zástava srdca</w:t>
            </w:r>
          </w:p>
          <w:p w14:paraId="2F9BB490" w14:textId="77777777" w:rsidR="006A12E3" w:rsidRDefault="006A12E3" w:rsidP="006A12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Bradykardia</w:t>
            </w:r>
          </w:p>
        </w:tc>
      </w:tr>
      <w:tr w:rsidR="008B1DEC" w14:paraId="79C22232" w14:textId="77777777" w:rsidTr="00FE1716">
        <w:tc>
          <w:tcPr>
            <w:tcW w:w="1668" w:type="dxa"/>
          </w:tcPr>
          <w:p w14:paraId="2F80C838" w14:textId="77777777"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lastRenderedPageBreak/>
              <w:t>Poruchy ciev</w:t>
            </w:r>
          </w:p>
        </w:tc>
        <w:tc>
          <w:tcPr>
            <w:tcW w:w="2127" w:type="dxa"/>
          </w:tcPr>
          <w:p w14:paraId="7A8DD2C6" w14:textId="77777777" w:rsidR="008B1DEC" w:rsidRDefault="008B1DE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DDBEC3E" w14:textId="77777777" w:rsidR="008B1DEC" w:rsidRDefault="00BA17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2322" w:type="dxa"/>
          </w:tcPr>
          <w:p w14:paraId="6902D92B" w14:textId="77777777" w:rsidR="00BA1799" w:rsidRP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Venózna tromboembólia </w:t>
            </w:r>
          </w:p>
          <w:p w14:paraId="2D522DE0" w14:textId="77777777"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 xml:space="preserve">(vrátane pľúcnej embólie a trombózy hlbokých žíl) </w:t>
            </w:r>
          </w:p>
          <w:p w14:paraId="44B6A964" w14:textId="77777777" w:rsidR="00BA1799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Hypertenzia</w:t>
            </w:r>
          </w:p>
          <w:p w14:paraId="2E8D31F4" w14:textId="77777777" w:rsidR="008B1DEC" w:rsidRDefault="00BA1799" w:rsidP="00BA17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1799">
              <w:rPr>
                <w:sz w:val="22"/>
                <w:szCs w:val="22"/>
              </w:rPr>
              <w:t>Synkopa</w:t>
            </w:r>
          </w:p>
        </w:tc>
      </w:tr>
      <w:tr w:rsidR="004D446B" w14:paraId="3A190425" w14:textId="77777777" w:rsidTr="00816353">
        <w:tc>
          <w:tcPr>
            <w:tcW w:w="1668" w:type="dxa"/>
          </w:tcPr>
          <w:p w14:paraId="27A6E016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Poruchy </w:t>
            </w:r>
          </w:p>
          <w:p w14:paraId="47EF72A6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dýchacej </w:t>
            </w:r>
          </w:p>
          <w:p w14:paraId="480E2F28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sústavy, </w:t>
            </w:r>
          </w:p>
          <w:p w14:paraId="6333FE1A" w14:textId="77777777" w:rsidR="00D63BFC" w:rsidRPr="00D63BFC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 xml:space="preserve">hrudníka a </w:t>
            </w:r>
          </w:p>
          <w:p w14:paraId="5CA80CDA" w14:textId="77777777" w:rsidR="004D446B" w:rsidRDefault="00D63BFC" w:rsidP="00D63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3BFC">
              <w:rPr>
                <w:sz w:val="22"/>
                <w:szCs w:val="22"/>
              </w:rPr>
              <w:t>mediastín</w:t>
            </w:r>
            <w:r w:rsidR="00F7210A">
              <w:rPr>
                <w:sz w:val="22"/>
                <w:szCs w:val="22"/>
              </w:rPr>
              <w:t>i</w:t>
            </w:r>
            <w:r w:rsidRPr="00D63BFC">
              <w:rPr>
                <w:sz w:val="22"/>
                <w:szCs w:val="22"/>
              </w:rPr>
              <w:t>a</w:t>
            </w:r>
          </w:p>
        </w:tc>
        <w:tc>
          <w:tcPr>
            <w:tcW w:w="2127" w:type="dxa"/>
          </w:tcPr>
          <w:p w14:paraId="3601E621" w14:textId="77777777"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1E65F27" w14:textId="77777777" w:rsidR="004D446B" w:rsidRDefault="00996968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>Štikútanie</w:t>
            </w:r>
          </w:p>
        </w:tc>
        <w:tc>
          <w:tcPr>
            <w:tcW w:w="2322" w:type="dxa"/>
          </w:tcPr>
          <w:p w14:paraId="7DDD0280" w14:textId="77777777" w:rsidR="00996968" w:rsidRPr="00996968" w:rsidRDefault="001D0086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Aspiračná pneumónia </w:t>
            </w:r>
            <w:r w:rsidR="00996968" w:rsidRPr="00996968">
              <w:rPr>
                <w:sz w:val="22"/>
                <w:szCs w:val="22"/>
              </w:rPr>
              <w:t>Orofaryngeálny spazmus</w:t>
            </w:r>
          </w:p>
          <w:p w14:paraId="22B5F692" w14:textId="77777777" w:rsidR="00996968" w:rsidRPr="00996968" w:rsidRDefault="00996968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968">
              <w:rPr>
                <w:sz w:val="22"/>
                <w:szCs w:val="22"/>
              </w:rPr>
              <w:t xml:space="preserve">Laryngospazmus </w:t>
            </w:r>
          </w:p>
          <w:p w14:paraId="39C0F237" w14:textId="77777777" w:rsidR="004D446B" w:rsidRDefault="004D446B" w:rsidP="009969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D446B" w14:paraId="77D31790" w14:textId="77777777" w:rsidTr="00816353">
        <w:tc>
          <w:tcPr>
            <w:tcW w:w="1668" w:type="dxa"/>
          </w:tcPr>
          <w:p w14:paraId="6CC0C2F3" w14:textId="77777777" w:rsidR="00F7210A" w:rsidRPr="00F7210A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 xml:space="preserve">Poruchy </w:t>
            </w:r>
          </w:p>
          <w:p w14:paraId="3A03D75E" w14:textId="77777777" w:rsidR="00F7210A" w:rsidRDefault="00350E6D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F7210A" w:rsidRPr="00F7210A">
              <w:rPr>
                <w:sz w:val="22"/>
                <w:szCs w:val="22"/>
              </w:rPr>
              <w:t>astrointesti</w:t>
            </w:r>
            <w:r w:rsidR="00F7210A">
              <w:rPr>
                <w:sz w:val="22"/>
                <w:szCs w:val="22"/>
              </w:rPr>
              <w:t>-</w:t>
            </w:r>
          </w:p>
          <w:p w14:paraId="406A0AFD" w14:textId="77777777" w:rsidR="004D446B" w:rsidRDefault="00F7210A" w:rsidP="00F721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210A">
              <w:rPr>
                <w:sz w:val="22"/>
                <w:szCs w:val="22"/>
              </w:rPr>
              <w:t>nálneho traktu</w:t>
            </w:r>
          </w:p>
        </w:tc>
        <w:tc>
          <w:tcPr>
            <w:tcW w:w="2127" w:type="dxa"/>
          </w:tcPr>
          <w:p w14:paraId="3F345D95" w14:textId="77777777"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Zápcha </w:t>
            </w:r>
          </w:p>
          <w:p w14:paraId="56F6F684" w14:textId="77777777"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Dyspepsia</w:t>
            </w:r>
          </w:p>
          <w:p w14:paraId="5B5C1A8A" w14:textId="77777777" w:rsidR="001D0086" w:rsidRPr="00997C5F" w:rsidRDefault="001D0086" w:rsidP="001D0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Nauzea</w:t>
            </w:r>
          </w:p>
          <w:p w14:paraId="7773123F" w14:textId="77777777" w:rsidR="00997C5F" w:rsidRPr="00997C5F" w:rsidRDefault="001D0086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 xml:space="preserve">Hypersekrécia slín </w:t>
            </w:r>
            <w:r w:rsidR="00997C5F" w:rsidRPr="00997C5F">
              <w:rPr>
                <w:sz w:val="22"/>
                <w:szCs w:val="22"/>
              </w:rPr>
              <w:t>Vracanie</w:t>
            </w:r>
          </w:p>
          <w:p w14:paraId="148FED3B" w14:textId="77777777" w:rsidR="004D446B" w:rsidRDefault="004D446B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08CAB1A" w14:textId="77777777" w:rsidR="004D446B" w:rsidRDefault="004D446B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5F8CE6E6" w14:textId="77777777"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Pankreatitída</w:t>
            </w:r>
          </w:p>
          <w:p w14:paraId="3B82F978" w14:textId="77777777" w:rsidR="004D446B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Dysfágia</w:t>
            </w:r>
          </w:p>
          <w:p w14:paraId="2AA94A5C" w14:textId="77777777" w:rsid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Hnačka</w:t>
            </w:r>
          </w:p>
          <w:p w14:paraId="3B967620" w14:textId="77777777" w:rsidR="00997C5F" w:rsidRPr="00997C5F" w:rsidRDefault="00997C5F" w:rsidP="00997C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C5F">
              <w:rPr>
                <w:sz w:val="22"/>
                <w:szCs w:val="22"/>
              </w:rPr>
              <w:t>Abdominálne ťažkosti</w:t>
            </w:r>
          </w:p>
          <w:p w14:paraId="163E8723" w14:textId="77777777" w:rsidR="00997C5F" w:rsidRDefault="00587649" w:rsidP="00FE1716">
            <w:pPr>
              <w:tabs>
                <w:tab w:val="left" w:pos="0"/>
              </w:tabs>
              <w:ind w:right="-29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FE1716">
              <w:rPr>
                <w:sz w:val="22"/>
                <w:szCs w:val="22"/>
              </w:rPr>
              <w:t>epríjemný pocit v žalúdku</w:t>
            </w:r>
          </w:p>
        </w:tc>
      </w:tr>
      <w:tr w:rsidR="00D63BFC" w14:paraId="73FC009B" w14:textId="77777777" w:rsidTr="00816353">
        <w:tc>
          <w:tcPr>
            <w:tcW w:w="1668" w:type="dxa"/>
          </w:tcPr>
          <w:p w14:paraId="783BE4F2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Poruchy </w:t>
            </w:r>
          </w:p>
          <w:p w14:paraId="2CCB1F03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 xml:space="preserve">pečene a </w:t>
            </w:r>
          </w:p>
          <w:p w14:paraId="07717CC0" w14:textId="77777777" w:rsidR="00D63BF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žlčových ciest</w:t>
            </w:r>
          </w:p>
        </w:tc>
        <w:tc>
          <w:tcPr>
            <w:tcW w:w="2127" w:type="dxa"/>
          </w:tcPr>
          <w:p w14:paraId="27CB903E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76960BB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0B0C757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Zlyhanie pečene</w:t>
            </w:r>
          </w:p>
          <w:p w14:paraId="08DC338B" w14:textId="77777777"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Hepatitída</w:t>
            </w:r>
          </w:p>
          <w:p w14:paraId="02B2144C" w14:textId="77777777" w:rsidR="00633FBC" w:rsidRPr="00633FBC" w:rsidRDefault="00633FBC" w:rsidP="00633F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3FBC">
              <w:rPr>
                <w:sz w:val="22"/>
                <w:szCs w:val="22"/>
              </w:rPr>
              <w:t>Žltačka</w:t>
            </w:r>
          </w:p>
          <w:p w14:paraId="04C14EF3" w14:textId="77777777" w:rsidR="00D41259" w:rsidRPr="00D41259" w:rsidRDefault="00D41259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14:paraId="06FE819F" w14:textId="77777777"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41259" w:rsidRPr="00D41259">
              <w:rPr>
                <w:sz w:val="22"/>
                <w:szCs w:val="22"/>
              </w:rPr>
              <w:t>lanínaminotransferázy</w:t>
            </w:r>
            <w:r w:rsidR="00D41259">
              <w:rPr>
                <w:sz w:val="22"/>
                <w:szCs w:val="22"/>
              </w:rPr>
              <w:t xml:space="preserve"> (A</w:t>
            </w:r>
            <w:r>
              <w:rPr>
                <w:sz w:val="22"/>
                <w:szCs w:val="22"/>
              </w:rPr>
              <w:t>L</w:t>
            </w:r>
            <w:r w:rsidR="00D41259">
              <w:rPr>
                <w:sz w:val="22"/>
                <w:szCs w:val="22"/>
              </w:rPr>
              <w:t>T)</w:t>
            </w:r>
          </w:p>
          <w:p w14:paraId="6CBF63DA" w14:textId="77777777" w:rsidR="008004BE" w:rsidRPr="00D41259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14:paraId="05668E80" w14:textId="77777777" w:rsidR="008004BE" w:rsidRDefault="008004BE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D41259">
              <w:rPr>
                <w:sz w:val="22"/>
                <w:szCs w:val="22"/>
              </w:rPr>
              <w:t>spartátaminotransferázy</w:t>
            </w:r>
            <w:r>
              <w:rPr>
                <w:sz w:val="22"/>
                <w:szCs w:val="22"/>
              </w:rPr>
              <w:t xml:space="preserve"> (AST)</w:t>
            </w:r>
          </w:p>
          <w:p w14:paraId="4A756B16" w14:textId="77777777" w:rsidR="00D41259" w:rsidRPr="00D41259" w:rsidRDefault="00D41259" w:rsidP="008004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1259">
              <w:rPr>
                <w:sz w:val="22"/>
                <w:szCs w:val="22"/>
              </w:rPr>
              <w:t xml:space="preserve">Zvýšenie hladiny </w:t>
            </w:r>
          </w:p>
          <w:p w14:paraId="159A19BD" w14:textId="77777777" w:rsidR="00D41259" w:rsidRP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D41259" w:rsidRPr="00D41259">
              <w:rPr>
                <w:sz w:val="22"/>
                <w:szCs w:val="22"/>
              </w:rPr>
              <w:t>amaglutamyltransferázy</w:t>
            </w:r>
            <w:r w:rsidR="00D41259">
              <w:rPr>
                <w:sz w:val="22"/>
                <w:szCs w:val="22"/>
              </w:rPr>
              <w:t xml:space="preserve"> (G</w:t>
            </w:r>
            <w:r w:rsidR="00B82C1F">
              <w:rPr>
                <w:sz w:val="22"/>
                <w:szCs w:val="22"/>
              </w:rPr>
              <w:t>G</w:t>
            </w:r>
            <w:r w:rsidR="00D41259">
              <w:rPr>
                <w:sz w:val="22"/>
                <w:szCs w:val="22"/>
              </w:rPr>
              <w:t>T)</w:t>
            </w:r>
          </w:p>
          <w:p w14:paraId="53DA2CF8" w14:textId="77777777" w:rsidR="00D41259" w:rsidRDefault="008004BE" w:rsidP="00D412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hladiny alkalickej fosfatázy</w:t>
            </w:r>
          </w:p>
        </w:tc>
      </w:tr>
      <w:tr w:rsidR="00D63BFC" w14:paraId="6477F83A" w14:textId="77777777" w:rsidTr="00816353">
        <w:tc>
          <w:tcPr>
            <w:tcW w:w="1668" w:type="dxa"/>
          </w:tcPr>
          <w:p w14:paraId="25B02456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Poruchy kože </w:t>
            </w:r>
          </w:p>
          <w:p w14:paraId="716EAB9D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 xml:space="preserve">a podkožného </w:t>
            </w:r>
          </w:p>
          <w:p w14:paraId="3DBAA4F7" w14:textId="77777777"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14:paraId="3C57662E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FF7D35D" w14:textId="77777777" w:rsidR="00D63BFC" w:rsidRDefault="00D63BF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174A320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Vyrážka</w:t>
            </w:r>
          </w:p>
          <w:p w14:paraId="52A2E4B5" w14:textId="77777777" w:rsid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Fotosenzitívna reakcia</w:t>
            </w:r>
          </w:p>
          <w:p w14:paraId="4E2CC4AD" w14:textId="77777777" w:rsidR="001D2E99" w:rsidRPr="001D2E99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Alopécia</w:t>
            </w:r>
          </w:p>
          <w:p w14:paraId="26820148" w14:textId="77777777" w:rsidR="00D63BFC" w:rsidRDefault="001D2E99" w:rsidP="001D2E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D2E99">
              <w:rPr>
                <w:sz w:val="22"/>
                <w:szCs w:val="22"/>
              </w:rPr>
              <w:t>Hyperhidróza</w:t>
            </w:r>
          </w:p>
        </w:tc>
      </w:tr>
      <w:tr w:rsidR="00633FBC" w14:paraId="2A59631D" w14:textId="77777777" w:rsidTr="00816353">
        <w:tc>
          <w:tcPr>
            <w:tcW w:w="1668" w:type="dxa"/>
          </w:tcPr>
          <w:p w14:paraId="697AB770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Poruchy </w:t>
            </w:r>
          </w:p>
          <w:p w14:paraId="23DC32E2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kostrovej a </w:t>
            </w:r>
          </w:p>
          <w:p w14:paraId="5198D0DB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svalovej </w:t>
            </w:r>
          </w:p>
          <w:p w14:paraId="6E9149B5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sústavy a </w:t>
            </w:r>
          </w:p>
          <w:p w14:paraId="56C59106" w14:textId="77777777" w:rsidR="00393E79" w:rsidRPr="00393E79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 xml:space="preserve">spojivového </w:t>
            </w:r>
          </w:p>
          <w:p w14:paraId="74597F26" w14:textId="77777777" w:rsidR="00633FBC" w:rsidRDefault="00393E79" w:rsidP="00393E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tkaniva</w:t>
            </w:r>
          </w:p>
        </w:tc>
        <w:tc>
          <w:tcPr>
            <w:tcW w:w="2127" w:type="dxa"/>
          </w:tcPr>
          <w:p w14:paraId="286FCB31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3D2F057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E5B15C5" w14:textId="77777777" w:rsidR="00633FBC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3E79">
              <w:rPr>
                <w:sz w:val="22"/>
                <w:szCs w:val="22"/>
              </w:rPr>
              <w:t>Rabdomyolýza</w:t>
            </w:r>
          </w:p>
          <w:p w14:paraId="775EEA13" w14:textId="77777777"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Myalgia</w:t>
            </w:r>
          </w:p>
          <w:p w14:paraId="0F46CDFF" w14:textId="77777777" w:rsidR="00393E79" w:rsidRDefault="00393E7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Stuhnutosť</w:t>
            </w:r>
          </w:p>
        </w:tc>
      </w:tr>
      <w:tr w:rsidR="00633FBC" w14:paraId="69E25BB9" w14:textId="77777777" w:rsidTr="00816353">
        <w:tc>
          <w:tcPr>
            <w:tcW w:w="1668" w:type="dxa"/>
          </w:tcPr>
          <w:p w14:paraId="423C2135" w14:textId="77777777"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Poruchy </w:t>
            </w:r>
          </w:p>
          <w:p w14:paraId="17D2C7A5" w14:textId="77777777"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obličiek a </w:t>
            </w:r>
          </w:p>
          <w:p w14:paraId="0C41D32C" w14:textId="77777777" w:rsidR="00BD3894" w:rsidRP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 xml:space="preserve">močových </w:t>
            </w:r>
          </w:p>
          <w:p w14:paraId="544EE45F" w14:textId="77777777" w:rsidR="00633FBC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ciest</w:t>
            </w:r>
          </w:p>
        </w:tc>
        <w:tc>
          <w:tcPr>
            <w:tcW w:w="2127" w:type="dxa"/>
          </w:tcPr>
          <w:p w14:paraId="719C02D9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9264615" w14:textId="77777777" w:rsidR="00633FBC" w:rsidRDefault="00633FBC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C5B41DD" w14:textId="77777777" w:rsidR="00BD3894" w:rsidRDefault="00BD3894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3894">
              <w:rPr>
                <w:sz w:val="22"/>
                <w:szCs w:val="22"/>
              </w:rPr>
              <w:t>Retencia moču</w:t>
            </w:r>
          </w:p>
          <w:p w14:paraId="73FA7188" w14:textId="77777777" w:rsidR="00633FBC" w:rsidRDefault="00AE7883" w:rsidP="00BD38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BD3894" w:rsidRPr="00BD3894">
              <w:rPr>
                <w:sz w:val="22"/>
                <w:szCs w:val="22"/>
              </w:rPr>
              <w:t>nkontinencia</w:t>
            </w:r>
            <w:r>
              <w:rPr>
                <w:sz w:val="22"/>
                <w:szCs w:val="22"/>
              </w:rPr>
              <w:t xml:space="preserve"> moču</w:t>
            </w:r>
          </w:p>
        </w:tc>
      </w:tr>
      <w:tr w:rsidR="001D2E99" w14:paraId="7E11C31D" w14:textId="77777777" w:rsidTr="00816353">
        <w:tc>
          <w:tcPr>
            <w:tcW w:w="1668" w:type="dxa"/>
          </w:tcPr>
          <w:p w14:paraId="2BE5C903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Stavy v </w:t>
            </w:r>
          </w:p>
          <w:p w14:paraId="295D34C9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gravidite, v </w:t>
            </w:r>
          </w:p>
          <w:p w14:paraId="77BEBB70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šestonedelí a </w:t>
            </w:r>
          </w:p>
          <w:p w14:paraId="6B29AF45" w14:textId="77777777" w:rsidR="003C4F3E" w:rsidRPr="003C4F3E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 xml:space="preserve">perinatálnom </w:t>
            </w:r>
          </w:p>
          <w:p w14:paraId="3935E660" w14:textId="77777777" w:rsidR="001D2E99" w:rsidRDefault="003C4F3E" w:rsidP="003C4F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4F3E">
              <w:rPr>
                <w:sz w:val="22"/>
                <w:szCs w:val="22"/>
              </w:rPr>
              <w:t>období</w:t>
            </w:r>
          </w:p>
        </w:tc>
        <w:tc>
          <w:tcPr>
            <w:tcW w:w="2127" w:type="dxa"/>
          </w:tcPr>
          <w:p w14:paraId="63D3B189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B4ECB9B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8E5D64C" w14:textId="77777777" w:rsidR="00A67A5F" w:rsidRPr="00A67A5F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 xml:space="preserve">Neonatálny abstinenčný </w:t>
            </w:r>
          </w:p>
          <w:p w14:paraId="145AE50C" w14:textId="77777777" w:rsidR="001D2E99" w:rsidRDefault="00A67A5F" w:rsidP="00A67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7A5F">
              <w:rPr>
                <w:sz w:val="22"/>
                <w:szCs w:val="22"/>
              </w:rPr>
              <w:t>syndróm (pozri časť 4.6)</w:t>
            </w:r>
          </w:p>
        </w:tc>
      </w:tr>
      <w:tr w:rsidR="001D2E99" w14:paraId="377A11FD" w14:textId="77777777" w:rsidTr="00816353">
        <w:tc>
          <w:tcPr>
            <w:tcW w:w="1668" w:type="dxa"/>
          </w:tcPr>
          <w:p w14:paraId="0A7733DD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</w:t>
            </w:r>
          </w:p>
          <w:p w14:paraId="1A0D505F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reprodukčnéh</w:t>
            </w:r>
          </w:p>
          <w:p w14:paraId="0BD11100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o systému a </w:t>
            </w:r>
          </w:p>
          <w:p w14:paraId="6E85E139" w14:textId="77777777"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lastRenderedPageBreak/>
              <w:t>prsníkov</w:t>
            </w:r>
          </w:p>
        </w:tc>
        <w:tc>
          <w:tcPr>
            <w:tcW w:w="2127" w:type="dxa"/>
          </w:tcPr>
          <w:p w14:paraId="211E38B3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F720192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3B31002" w14:textId="77777777" w:rsidR="001D2E99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Priapizmus</w:t>
            </w:r>
          </w:p>
        </w:tc>
      </w:tr>
      <w:tr w:rsidR="001D2E99" w14:paraId="14CA4470" w14:textId="77777777" w:rsidTr="00816353">
        <w:tc>
          <w:tcPr>
            <w:tcW w:w="1668" w:type="dxa"/>
          </w:tcPr>
          <w:p w14:paraId="6110FB16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Celkové </w:t>
            </w:r>
          </w:p>
          <w:p w14:paraId="637D7593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poruchy a </w:t>
            </w:r>
          </w:p>
          <w:p w14:paraId="5F146889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reakcie v </w:t>
            </w:r>
          </w:p>
          <w:p w14:paraId="2CFB2B55" w14:textId="77777777" w:rsidR="009E6764" w:rsidRPr="009E6764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 xml:space="preserve">mieste </w:t>
            </w:r>
          </w:p>
          <w:p w14:paraId="3ABA345F" w14:textId="77777777" w:rsidR="001D2E99" w:rsidRDefault="009E6764" w:rsidP="009E67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6764">
              <w:rPr>
                <w:sz w:val="22"/>
                <w:szCs w:val="22"/>
              </w:rPr>
              <w:t>podania</w:t>
            </w:r>
          </w:p>
        </w:tc>
        <w:tc>
          <w:tcPr>
            <w:tcW w:w="2127" w:type="dxa"/>
          </w:tcPr>
          <w:p w14:paraId="1477E7D9" w14:textId="77777777" w:rsidR="001D2E99" w:rsidRDefault="009512B5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Únava</w:t>
            </w:r>
          </w:p>
        </w:tc>
        <w:tc>
          <w:tcPr>
            <w:tcW w:w="2322" w:type="dxa"/>
          </w:tcPr>
          <w:p w14:paraId="5706204F" w14:textId="77777777" w:rsidR="001D2E99" w:rsidRDefault="001D2E99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2112648C" w14:textId="77777777"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Porucha regulácie teploty (napr. hypotermia, pyrexia) </w:t>
            </w:r>
          </w:p>
          <w:p w14:paraId="59A80D46" w14:textId="77777777" w:rsidR="009512B5" w:rsidRPr="009512B5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 xml:space="preserve">Bolesť v hrudníku </w:t>
            </w:r>
          </w:p>
          <w:p w14:paraId="1F121C09" w14:textId="77777777" w:rsidR="001D2E99" w:rsidRDefault="009512B5" w:rsidP="009512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2B5">
              <w:rPr>
                <w:sz w:val="22"/>
                <w:szCs w:val="22"/>
              </w:rPr>
              <w:t>Periférny edém</w:t>
            </w:r>
          </w:p>
        </w:tc>
      </w:tr>
      <w:tr w:rsidR="009E6764" w14:paraId="2E4CB755" w14:textId="77777777" w:rsidTr="00816353">
        <w:tc>
          <w:tcPr>
            <w:tcW w:w="1668" w:type="dxa"/>
          </w:tcPr>
          <w:p w14:paraId="2EB034E3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Laboratórne </w:t>
            </w:r>
          </w:p>
          <w:p w14:paraId="38E9A4C8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a funkčné </w:t>
            </w:r>
          </w:p>
          <w:p w14:paraId="76636EF6" w14:textId="77777777" w:rsidR="009E6764" w:rsidRPr="009E6764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vyšetrenia</w:t>
            </w:r>
          </w:p>
        </w:tc>
        <w:tc>
          <w:tcPr>
            <w:tcW w:w="2127" w:type="dxa"/>
          </w:tcPr>
          <w:p w14:paraId="5FA4B931" w14:textId="77777777"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4D61874F" w14:textId="77777777" w:rsidR="009E6764" w:rsidRDefault="009E6764" w:rsidP="005508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3190BADD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 xml:space="preserve">Zvýšenie </w:t>
            </w:r>
            <w:r w:rsidR="00AE7883">
              <w:rPr>
                <w:sz w:val="22"/>
                <w:szCs w:val="22"/>
              </w:rPr>
              <w:t xml:space="preserve">hladiny </w:t>
            </w:r>
            <w:r w:rsidRPr="00A82E65">
              <w:rPr>
                <w:sz w:val="22"/>
                <w:szCs w:val="22"/>
              </w:rPr>
              <w:t>glukózy v krvi</w:t>
            </w:r>
          </w:p>
          <w:p w14:paraId="185D8FF9" w14:textId="77777777" w:rsidR="00A82E65" w:rsidRPr="00A82E65" w:rsidRDefault="00A82E65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E65">
              <w:rPr>
                <w:sz w:val="22"/>
                <w:szCs w:val="22"/>
              </w:rPr>
              <w:t>Zvýšenie</w:t>
            </w:r>
            <w:r w:rsidR="00AE7883">
              <w:rPr>
                <w:sz w:val="22"/>
                <w:szCs w:val="22"/>
              </w:rPr>
              <w:t xml:space="preserve"> g</w:t>
            </w:r>
            <w:r w:rsidRPr="00A82E65">
              <w:rPr>
                <w:sz w:val="22"/>
                <w:szCs w:val="22"/>
              </w:rPr>
              <w:t xml:space="preserve">lykozylovaného </w:t>
            </w:r>
          </w:p>
          <w:p w14:paraId="5868F535" w14:textId="77777777" w:rsidR="009E6764" w:rsidRDefault="00AE7883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A82E65" w:rsidRPr="00A82E65">
              <w:rPr>
                <w:sz w:val="22"/>
                <w:szCs w:val="22"/>
              </w:rPr>
              <w:t>emoglobínu</w:t>
            </w:r>
          </w:p>
          <w:p w14:paraId="4D93E378" w14:textId="77777777" w:rsidR="00A8095D" w:rsidRDefault="00A8095D" w:rsidP="00A82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>Kolísanie glukózy v krvi</w:t>
            </w:r>
          </w:p>
          <w:p w14:paraId="3D8A5E0B" w14:textId="77777777" w:rsidR="00A8095D" w:rsidRP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Zvýšenie hladiny </w:t>
            </w:r>
          </w:p>
          <w:p w14:paraId="0046919C" w14:textId="77777777" w:rsidR="00A8095D" w:rsidRDefault="00A8095D" w:rsidP="00A80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095D">
              <w:rPr>
                <w:sz w:val="22"/>
                <w:szCs w:val="22"/>
              </w:rPr>
              <w:t xml:space="preserve">kreatínfosfokinázy </w:t>
            </w:r>
          </w:p>
        </w:tc>
      </w:tr>
    </w:tbl>
    <w:p w14:paraId="5022116B" w14:textId="77777777" w:rsidR="00AE7883" w:rsidRDefault="00AE7883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</w:p>
    <w:p w14:paraId="4603206B" w14:textId="77777777" w:rsidR="007C3D51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14:paraId="00FF8DF4" w14:textId="77777777" w:rsidR="008E36B5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66F57E63" w14:textId="77777777" w:rsidR="002A58BB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i/>
          <w:iCs/>
          <w:strike w:val="0"/>
          <w:sz w:val="22"/>
          <w:szCs w:val="24"/>
        </w:rPr>
        <w:t>Dospelí</w:t>
      </w:r>
    </w:p>
    <w:p w14:paraId="72FE975F" w14:textId="77777777"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2C020309" w14:textId="77777777" w:rsidR="0020387F" w:rsidRPr="00F352E6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Extrapyramídové </w:t>
      </w:r>
      <w:r w:rsidR="00DA47AC" w:rsidRPr="005C4213">
        <w:rPr>
          <w:rFonts w:ascii="Times New Roman" w:hAnsi="Times New Roman" w:cs="Times New Roman"/>
          <w:i/>
          <w:strike w:val="0"/>
          <w:sz w:val="22"/>
          <w:szCs w:val="24"/>
        </w:rPr>
        <w:t>príznaky</w:t>
      </w:r>
      <w:r w:rsidRPr="005C4213">
        <w:rPr>
          <w:rFonts w:ascii="Times New Roman" w:hAnsi="Times New Roman" w:cs="Times New Roman"/>
          <w:i/>
          <w:strike w:val="0"/>
          <w:sz w:val="22"/>
          <w:szCs w:val="24"/>
        </w:rPr>
        <w:t xml:space="preserve"> (EPS</w:t>
      </w:r>
      <w:r w:rsidRPr="00F352E6">
        <w:rPr>
          <w:rFonts w:ascii="Times New Roman" w:hAnsi="Times New Roman" w:cs="Times New Roman"/>
          <w:strike w:val="0"/>
          <w:sz w:val="22"/>
          <w:szCs w:val="24"/>
          <w:u w:val="single"/>
        </w:rPr>
        <w:t>)</w:t>
      </w:r>
    </w:p>
    <w:p w14:paraId="643B3CEB" w14:textId="77777777" w:rsidR="0020387F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</w:t>
      </w:r>
      <w:r w:rsidR="00AF075A">
        <w:rPr>
          <w:rFonts w:ascii="Times New Roman" w:hAnsi="Times New Roman" w:cs="Times New Roman"/>
          <w:strike w:val="0"/>
          <w:sz w:val="22"/>
          <w:szCs w:val="24"/>
        </w:rPr>
        <w:t>í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aripiprazolom celkovo nižšiu incidenciu (25,8%) EPS zahŕňajúcich parkinsonizmus, akatíziu, dystóniu a dyskinézu v porovnaní s pacientmi liečenými haloperidolom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14:paraId="4F9CFC9B" w14:textId="77777777" w:rsidR="002C37CD" w:rsidRPr="00EF433E" w:rsidRDefault="002C37CD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4939C1A" w14:textId="77777777"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dlhodobom 26 týždňov trvajúcom placebom kontrolovanom skúšaní bola u pacientov liečených aripiprazolom incidencia EPS 18,2 % a u pacientov liečených placebom 15,7 %.</w:t>
      </w:r>
    </w:p>
    <w:p w14:paraId="3DD86A76" w14:textId="77777777"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3279029D" w14:textId="77777777" w:rsidR="000B33D1" w:rsidRPr="00F352E6" w:rsidRDefault="000B33D1" w:rsidP="000B33D1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Akatízia </w:t>
      </w:r>
    </w:p>
    <w:p w14:paraId="67662164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pacientov liečených placebom 3,0 %.</w:t>
      </w:r>
    </w:p>
    <w:p w14:paraId="541BE9CB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4DE5033C" w14:textId="77777777" w:rsidR="000B33D1" w:rsidRPr="00F352E6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2"/>
        </w:rPr>
        <w:t xml:space="preserve">Dystónia </w:t>
      </w:r>
    </w:p>
    <w:p w14:paraId="65BA039D" w14:textId="77777777" w:rsidR="00DC4C2B" w:rsidRDefault="000B33D1" w:rsidP="00D87929">
      <w:pPr>
        <w:pStyle w:val="Textkomentra"/>
        <w:rPr>
          <w:sz w:val="22"/>
          <w:szCs w:val="22"/>
        </w:rPr>
      </w:pPr>
      <w:r w:rsidRPr="00F352E6">
        <w:rPr>
          <w:i/>
          <w:sz w:val="22"/>
          <w:szCs w:val="22"/>
        </w:rPr>
        <w:t>Class efekt</w:t>
      </w:r>
      <w:r w:rsidRPr="00EF433E">
        <w:rPr>
          <w:sz w:val="22"/>
          <w:szCs w:val="22"/>
        </w:rPr>
        <w:t xml:space="preserve"> - </w:t>
      </w:r>
      <w:r w:rsidR="00783F1A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dystónie, predĺžené abnormálne kontrakcie svalových skupín, sa môžu objaviť </w:t>
      </w:r>
    </w:p>
    <w:p w14:paraId="2C2990AD" w14:textId="77777777" w:rsidR="000B33D1" w:rsidRDefault="000B33D1" w:rsidP="00F352E6">
      <w:pPr>
        <w:pStyle w:val="Textkomentra"/>
        <w:rPr>
          <w:sz w:val="22"/>
          <w:szCs w:val="22"/>
        </w:rPr>
      </w:pPr>
      <w:r w:rsidRPr="00EF433E">
        <w:rPr>
          <w:sz w:val="22"/>
          <w:szCs w:val="22"/>
        </w:rPr>
        <w:t xml:space="preserve">u citlivých jedincov počas prvých niekoľkých dní liečby. Dystonické symptómy zahŕňajú: spazmus krčných svalov, niekedy rozvíjajúci sa do uzavretia hrdla, ťažkosti s prehĺtaním, ťažkosti s dýchaním, a/alebo vystúpením jazyka. </w:t>
      </w:r>
      <w:r w:rsidR="00DB286D" w:rsidRPr="0053055A">
        <w:rPr>
          <w:sz w:val="22"/>
          <w:szCs w:val="22"/>
        </w:rPr>
        <w:t>Aj keď sa tieto príznaky môžu objaviť pri nízkych dávkach, častejšie a s väčšou závažnosťou sa vyskytujú u vysoko účinných a vo vyšších dávkach podávaných antipsychotických liekov prvej generácie.</w:t>
      </w:r>
      <w:r w:rsidR="00783F1A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Zvýšené riziko akútnej dystónie je pozorované u mužov a mladších vekových skupín. </w:t>
      </w:r>
    </w:p>
    <w:p w14:paraId="51A0133D" w14:textId="77777777" w:rsidR="00FA19CD" w:rsidRDefault="00FA19CD" w:rsidP="00F352E6">
      <w:pPr>
        <w:pStyle w:val="Textkomentra"/>
        <w:rPr>
          <w:sz w:val="22"/>
          <w:szCs w:val="22"/>
        </w:rPr>
      </w:pPr>
    </w:p>
    <w:p w14:paraId="050EF590" w14:textId="77777777" w:rsidR="00FA19CD" w:rsidRDefault="00FA19CD" w:rsidP="00F352E6">
      <w:pPr>
        <w:pStyle w:val="Textkomentra"/>
        <w:rPr>
          <w:i/>
          <w:sz w:val="22"/>
          <w:szCs w:val="22"/>
        </w:rPr>
      </w:pPr>
      <w:r>
        <w:rPr>
          <w:i/>
          <w:sz w:val="22"/>
          <w:szCs w:val="22"/>
        </w:rPr>
        <w:t>Prolaktín</w:t>
      </w:r>
    </w:p>
    <w:p w14:paraId="29EF4618" w14:textId="77777777" w:rsidR="00FA19CD" w:rsidRPr="00FA19CD" w:rsidRDefault="00FA19CD" w:rsidP="00F352E6">
      <w:pPr>
        <w:pStyle w:val="Textkomentra"/>
        <w:rPr>
          <w:sz w:val="22"/>
          <w:szCs w:val="22"/>
        </w:rPr>
      </w:pPr>
      <w:r>
        <w:rPr>
          <w:sz w:val="22"/>
          <w:szCs w:val="22"/>
        </w:rPr>
        <w:t xml:space="preserve">Počas klinického skúšania pre schválené indikácie a po </w:t>
      </w:r>
      <w:r w:rsidR="00A1258B">
        <w:rPr>
          <w:sz w:val="22"/>
          <w:szCs w:val="22"/>
        </w:rPr>
        <w:t>uvedení</w:t>
      </w:r>
      <w:r>
        <w:rPr>
          <w:sz w:val="22"/>
          <w:szCs w:val="22"/>
        </w:rPr>
        <w:t xml:space="preserve"> na trh bol pri aripiprazole v porovn</w:t>
      </w:r>
      <w:r w:rsidR="00422953">
        <w:rPr>
          <w:sz w:val="22"/>
          <w:szCs w:val="22"/>
        </w:rPr>
        <w:t>an</w:t>
      </w:r>
      <w:r>
        <w:rPr>
          <w:sz w:val="22"/>
          <w:szCs w:val="22"/>
        </w:rPr>
        <w:t>í s východiskovou hodnotou pozorovaný nárast aj pokles prolaktínu v sére (časť 5.1).</w:t>
      </w:r>
    </w:p>
    <w:p w14:paraId="5B60C3B6" w14:textId="77777777" w:rsidR="000B33D1" w:rsidRPr="00EF433E" w:rsidRDefault="000B33D1" w:rsidP="000B33D1">
      <w:pPr>
        <w:pStyle w:val="Default"/>
        <w:rPr>
          <w:sz w:val="22"/>
          <w:szCs w:val="22"/>
        </w:rPr>
      </w:pPr>
    </w:p>
    <w:p w14:paraId="2A40F16A" w14:textId="77777777" w:rsidR="00A1258B" w:rsidRPr="003940F4" w:rsidRDefault="00A1258B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</w:rPr>
      </w:pPr>
      <w:r w:rsidRPr="003940F4">
        <w:rPr>
          <w:rFonts w:ascii="Times New Roman" w:hAnsi="Times New Roman" w:cs="Times New Roman"/>
          <w:i/>
          <w:strike w:val="0"/>
          <w:sz w:val="22"/>
          <w:szCs w:val="22"/>
        </w:rPr>
        <w:t>Laboratórne parametre</w:t>
      </w:r>
    </w:p>
    <w:p w14:paraId="187A3040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</w:t>
      </w:r>
      <w:r w:rsidRPr="005537C1">
        <w:rPr>
          <w:rFonts w:ascii="Times New Roman" w:hAnsi="Times New Roman" w:cs="Times New Roman"/>
          <w:strike w:val="0"/>
          <w:sz w:val="22"/>
          <w:szCs w:val="22"/>
        </w:rPr>
        <w:t>pomere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pacientov, u ktorých sa vyskytli potenciálne klinicky významné zmeny v bežných laboratórnych a lipidových parametroch (pozri časť 5.1),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>neodhalili žiadne medicínsky dôležité rozdiely. Zvýšenie CPK (kreatínfosfokinázy) zvyčajne prechodné a asymptomatické bolo pozorované u 3,5 % pacientov liečených aripiprazolom v porovnaní s 2,0 % pacientov liečených placebom.</w:t>
      </w:r>
    </w:p>
    <w:p w14:paraId="2299B855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14:paraId="7E414761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14:paraId="295C3E6A" w14:textId="77777777"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52D32AD2" w14:textId="77777777" w:rsidR="000B33D1" w:rsidRPr="00F352E6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 xml:space="preserve">Dospievajúci so schizofréniou vo veku </w:t>
      </w:r>
      <w:r w:rsidR="005537C1">
        <w:rPr>
          <w:rFonts w:ascii="Times New Roman" w:hAnsi="Times New Roman" w:cs="Times New Roman"/>
          <w:i/>
          <w:strike w:val="0"/>
          <w:sz w:val="22"/>
          <w:szCs w:val="24"/>
        </w:rPr>
        <w:t xml:space="preserve">od </w:t>
      </w:r>
      <w:r w:rsidRPr="00F352E6">
        <w:rPr>
          <w:rFonts w:ascii="Times New Roman" w:hAnsi="Times New Roman" w:cs="Times New Roman"/>
          <w:i/>
          <w:strike w:val="0"/>
          <w:sz w:val="22"/>
          <w:szCs w:val="24"/>
        </w:rPr>
        <w:t>15 rokov a starší</w:t>
      </w:r>
    </w:p>
    <w:p w14:paraId="0A1E8A9E" w14:textId="77777777"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="00C95010" w:rsidRPr="00EF433E">
        <w:rPr>
          <w:sz w:val="22"/>
          <w:szCs w:val="22"/>
        </w:rPr>
        <w:t xml:space="preserve">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aripiprazol ako u dospelých užívajúcich aripiprazol (a častejšie ako placebo): </w:t>
      </w:r>
      <w:r w:rsidR="00C95010" w:rsidRPr="00EF433E">
        <w:rPr>
          <w:sz w:val="22"/>
          <w:szCs w:val="22"/>
        </w:rPr>
        <w:t>somnolencia/sedácia a 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ortostatická hypotenzia boli hlásené ako časté (≥ 1/100 až &lt; 1/10). </w:t>
      </w:r>
    </w:p>
    <w:p w14:paraId="50B87815" w14:textId="77777777" w:rsidR="000B33D1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14:paraId="4FE3AFAB" w14:textId="77777777" w:rsidR="00824E92" w:rsidRDefault="00824E92" w:rsidP="000B33D1">
      <w:pPr>
        <w:pStyle w:val="Default"/>
      </w:pPr>
      <w:r>
        <w:t xml:space="preserve"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</w:t>
      </w:r>
      <w:r w:rsidRPr="00A9411C">
        <w:t>krv</w:t>
      </w:r>
      <w:r w:rsidR="000F7995" w:rsidRPr="00A9411C">
        <w:t>i</w:t>
      </w:r>
      <w:r w:rsidRPr="00A9411C">
        <w:t>,</w:t>
      </w:r>
      <w:r>
        <w:t xml:space="preserve"> arytmia a leukopénia boli hlásené často (≥ 1/100, &lt; 1/10). </w:t>
      </w:r>
    </w:p>
    <w:p w14:paraId="6CD71E7E" w14:textId="77777777" w:rsidR="00824E92" w:rsidRPr="00EF433E" w:rsidRDefault="00824E92" w:rsidP="000B33D1">
      <w:pPr>
        <w:pStyle w:val="Default"/>
        <w:rPr>
          <w:sz w:val="22"/>
          <w:szCs w:val="22"/>
        </w:rPr>
      </w:pPr>
    </w:p>
    <w:p w14:paraId="13B9ACC8" w14:textId="77777777"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14:paraId="55262270" w14:textId="77777777" w:rsidR="0061737C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</w:t>
      </w:r>
      <w:r w:rsidR="00F175A0">
        <w:rPr>
          <w:rFonts w:ascii="Times New Roman" w:hAnsi="Times New Roman" w:cs="Times New Roman"/>
          <w:strike w:val="0"/>
          <w:sz w:val="22"/>
          <w:szCs w:val="22"/>
        </w:rPr>
        <w:t>so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schizofréniou, ktorí boli vystavení 5 až 30 mg aripiprazolu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prolaktínu v sére </w:t>
      </w:r>
    </w:p>
    <w:p w14:paraId="3303FBDA" w14:textId="77777777"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u žien (&lt; 3 ng/ml) 25,6 % a u mužov (&lt; 2 ng/ml) 45,0 %.</w:t>
      </w:r>
    </w:p>
    <w:p w14:paraId="3AE1B9E1" w14:textId="77777777" w:rsidR="00482664" w:rsidRDefault="003C0750" w:rsidP="00C95010">
      <w:pPr>
        <w:pStyle w:val="Default"/>
        <w:rPr>
          <w:i/>
          <w:iCs/>
          <w:sz w:val="22"/>
          <w:szCs w:val="22"/>
        </w:rPr>
      </w:pPr>
      <w:r>
        <w:t xml:space="preserve">V </w:t>
      </w:r>
      <w:r w:rsidR="00482664">
        <w:t>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  <w:r w:rsidR="00482664" w:rsidRPr="00F352E6">
        <w:rPr>
          <w:i/>
          <w:iCs/>
          <w:sz w:val="22"/>
          <w:szCs w:val="22"/>
        </w:rPr>
        <w:t xml:space="preserve"> </w:t>
      </w:r>
    </w:p>
    <w:p w14:paraId="00A4C4DC" w14:textId="77777777" w:rsidR="00482664" w:rsidRDefault="00482664" w:rsidP="00C95010">
      <w:pPr>
        <w:pStyle w:val="Default"/>
        <w:rPr>
          <w:i/>
          <w:iCs/>
          <w:sz w:val="22"/>
          <w:szCs w:val="22"/>
        </w:rPr>
      </w:pPr>
    </w:p>
    <w:p w14:paraId="4C20D069" w14:textId="77777777" w:rsidR="00C95010" w:rsidRPr="00F352E6" w:rsidRDefault="00C95010" w:rsidP="00C95010">
      <w:pPr>
        <w:pStyle w:val="Default"/>
        <w:rPr>
          <w:sz w:val="22"/>
          <w:szCs w:val="22"/>
        </w:rPr>
      </w:pPr>
      <w:r w:rsidRPr="00F352E6">
        <w:rPr>
          <w:i/>
          <w:iCs/>
          <w:sz w:val="22"/>
          <w:szCs w:val="22"/>
        </w:rPr>
        <w:t xml:space="preserve">Manické epizódy pri bipolárnej poruche typu I u dospievajúcich vo veku </w:t>
      </w:r>
      <w:r w:rsidR="0061737C">
        <w:rPr>
          <w:i/>
          <w:iCs/>
          <w:sz w:val="22"/>
          <w:szCs w:val="22"/>
        </w:rPr>
        <w:t xml:space="preserve">od </w:t>
      </w:r>
      <w:r w:rsidRPr="00F352E6">
        <w:rPr>
          <w:i/>
          <w:iCs/>
          <w:sz w:val="22"/>
          <w:szCs w:val="22"/>
        </w:rPr>
        <w:t xml:space="preserve">13 rokov a starších </w:t>
      </w:r>
    </w:p>
    <w:p w14:paraId="21E83798" w14:textId="77777777" w:rsidR="0061737C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</w:t>
      </w:r>
      <w:r w:rsidR="002A58BB">
        <w:rPr>
          <w:sz w:val="22"/>
          <w:szCs w:val="22"/>
        </w:rPr>
        <w:t>reakcií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u dospievajúcich s bipolárnou poruchou typu I boli podobné tým, ktoré boli u dospelých s výnimkou nasledovných reakcií: veľmi časté (≥ 1/10) somnolencia </w:t>
      </w:r>
    </w:p>
    <w:p w14:paraId="64A9934A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(23,0 %), </w:t>
      </w:r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akatízia (16,0 %) a únava (11,8 %); a časté (≥ 1/100 až &lt; 1/10) abdominálna bolesť v hornej časti, zvýšená tepová frekvencia, zvýšená telesná hmotnosť, zvýšená chuť do jedla, svalové zášklby a dyskinéza. </w:t>
      </w:r>
    </w:p>
    <w:p w14:paraId="58846C40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6B39C271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</w:t>
      </w:r>
      <w:r w:rsidR="002A58BB">
        <w:rPr>
          <w:sz w:val="22"/>
          <w:szCs w:val="22"/>
        </w:rPr>
        <w:t>reakcie</w:t>
      </w:r>
      <w:r w:rsidR="002A58BB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mali pravdepodobný vzťah s odpoveďou na dávku; extrapyram</w:t>
      </w:r>
      <w:r w:rsidR="00FD667E">
        <w:rPr>
          <w:sz w:val="22"/>
          <w:szCs w:val="22"/>
        </w:rPr>
        <w:t>ídová</w:t>
      </w:r>
      <w:r w:rsidRPr="00EF433E">
        <w:rPr>
          <w:sz w:val="22"/>
          <w:szCs w:val="22"/>
        </w:rPr>
        <w:t xml:space="preserve"> porucha (incidencia bola pri 10 mg: 9,1 %; pri 30 mg: 28,8 % a pri placebe: 1,7 %); a akatízia incidencia bola pri 10 mg: 12,1 %; pri 30 mg: 20,3 % a pri placebe: 1,7 %). </w:t>
      </w:r>
    </w:p>
    <w:p w14:paraId="21E5582C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767451D8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aripiprazole boli 2,4 kg a 5,8 kg (v uvedenom poradí) a po placebe 0,2 kg a 2,3 kg (v uvedenom poradí). </w:t>
      </w:r>
    </w:p>
    <w:p w14:paraId="6774BEB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04C50DAF" w14:textId="77777777"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somnolencia a únava pozorovali častejšie u pacientov s bipolárnou poruchou v porovnaní s pacientmi so schizofréniou. </w:t>
      </w:r>
    </w:p>
    <w:p w14:paraId="16AAA395" w14:textId="77777777" w:rsidR="00C95010" w:rsidRPr="00EF433E" w:rsidRDefault="00C95010" w:rsidP="00C95010">
      <w:pPr>
        <w:pStyle w:val="Default"/>
        <w:rPr>
          <w:sz w:val="22"/>
          <w:szCs w:val="22"/>
        </w:rPr>
      </w:pPr>
    </w:p>
    <w:p w14:paraId="2B5236AA" w14:textId="77777777" w:rsidR="0061737C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V pediatrickej populácii s bipolárnou poruchou (10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>-</w:t>
      </w:r>
      <w:r w:rsidR="0042476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17 rokov) s expozíciou do 30. týždňov bola incidencia nízkych hladín prolaktínu v sére u dievčat (&lt; 3 ng/ml) 28,0 % a u chlapcov (&lt; 2 ng/ml) </w:t>
      </w:r>
    </w:p>
    <w:p w14:paraId="0C07DFB1" w14:textId="77777777"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53,3 %.</w:t>
      </w:r>
    </w:p>
    <w:p w14:paraId="251D4B2A" w14:textId="77777777" w:rsidR="000B33D1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6FD95722" w14:textId="77777777" w:rsidR="002A58BB" w:rsidRPr="00434A1F" w:rsidRDefault="002A58BB" w:rsidP="002A58BB">
      <w:pPr>
        <w:pStyle w:val="Zkladntext3"/>
        <w:rPr>
          <w:rFonts w:ascii="Times New Roman" w:hAnsi="Times New Roman" w:cs="Times New Roman"/>
          <w:i/>
          <w:strike w:val="0"/>
          <w:sz w:val="22"/>
          <w:szCs w:val="24"/>
        </w:rPr>
      </w:pPr>
      <w:r w:rsidRPr="00434A1F">
        <w:rPr>
          <w:rFonts w:ascii="Times New Roman" w:hAnsi="Times New Roman" w:cs="Times New Roman"/>
          <w:i/>
          <w:strike w:val="0"/>
          <w:sz w:val="22"/>
          <w:szCs w:val="24"/>
        </w:rPr>
        <w:t>Patologické hráčstvo a ďalšie poruchy kontroly impulzov</w:t>
      </w:r>
    </w:p>
    <w:p w14:paraId="7FF09B20" w14:textId="77777777" w:rsidR="002A58BB" w:rsidRPr="002A58BB" w:rsidRDefault="002A58BB" w:rsidP="002A58BB">
      <w:pPr>
        <w:pStyle w:val="Zkladntext3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>Patologické hráčstvo, hypersexualita, kompulzívne nakupovanie a prejedanie sa alebo kompulzívne</w:t>
      </w:r>
    </w:p>
    <w:p w14:paraId="4C7C0A7E" w14:textId="77777777" w:rsidR="002A58BB" w:rsidRPr="002A58BB" w:rsidRDefault="002A58BB" w:rsidP="002A58BB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2A58BB">
        <w:rPr>
          <w:rFonts w:ascii="Times New Roman" w:hAnsi="Times New Roman" w:cs="Times New Roman"/>
          <w:strike w:val="0"/>
          <w:sz w:val="22"/>
          <w:szCs w:val="24"/>
        </w:rPr>
        <w:t>jedenie sa môžu vyskytnúť u pacientov liečených aripiprazolom (pozri časť 4.4).</w:t>
      </w:r>
    </w:p>
    <w:p w14:paraId="4DAB64F4" w14:textId="77777777" w:rsidR="002A58BB" w:rsidRPr="00EF433E" w:rsidRDefault="002A58BB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14:paraId="434CD508" w14:textId="77777777" w:rsidR="00462EDB" w:rsidRPr="00F352E6" w:rsidRDefault="00462EDB" w:rsidP="00462EDB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F352E6">
        <w:rPr>
          <w:noProof/>
          <w:sz w:val="22"/>
          <w:szCs w:val="22"/>
          <w:u w:val="single"/>
        </w:rPr>
        <w:t>Hlásenie podozrení na nežiaduce reakcie</w:t>
      </w:r>
    </w:p>
    <w:p w14:paraId="75957F6D" w14:textId="77777777"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736204">
        <w:rPr>
          <w:noProof/>
          <w:sz w:val="22"/>
          <w:szCs w:val="22"/>
        </w:rPr>
        <w:t xml:space="preserve">na </w:t>
      </w:r>
      <w:r w:rsidRPr="00E92BB7">
        <w:rPr>
          <w:noProof/>
          <w:sz w:val="22"/>
          <w:szCs w:val="22"/>
          <w:highlight w:val="lightGray"/>
        </w:rPr>
        <w:t>národné</w:t>
      </w:r>
      <w:r w:rsidR="00736204">
        <w:rPr>
          <w:noProof/>
          <w:sz w:val="22"/>
          <w:szCs w:val="22"/>
          <w:highlight w:val="lightGray"/>
        </w:rPr>
        <w:t xml:space="preserve"> centrum </w:t>
      </w:r>
      <w:r w:rsidRPr="00E92BB7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14:paraId="03466B8B" w14:textId="77777777" w:rsidR="00E63BEB" w:rsidRPr="00EF433E" w:rsidRDefault="00E63BEB" w:rsidP="00A440E6">
      <w:pPr>
        <w:rPr>
          <w:sz w:val="22"/>
        </w:rPr>
      </w:pPr>
    </w:p>
    <w:p w14:paraId="3F98592F" w14:textId="77777777"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14:paraId="52A247ED" w14:textId="77777777" w:rsidR="00A0467A" w:rsidRPr="00EF433E" w:rsidRDefault="00A0467A" w:rsidP="00A440E6">
      <w:pPr>
        <w:keepNext/>
        <w:rPr>
          <w:sz w:val="22"/>
        </w:rPr>
      </w:pPr>
    </w:p>
    <w:p w14:paraId="36AE3680" w14:textId="77777777" w:rsidR="000665F8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 xml:space="preserve">a </w:t>
      </w:r>
      <w:r w:rsidR="007E37D0">
        <w:rPr>
          <w:sz w:val="22"/>
          <w:u w:val="single"/>
          <w:lang w:val="sk-SK"/>
        </w:rPr>
        <w:t>príznaky</w:t>
      </w:r>
      <w:r w:rsidR="000665F8" w:rsidRPr="00EF433E">
        <w:rPr>
          <w:sz w:val="22"/>
          <w:u w:val="single"/>
          <w:lang w:val="sk-SK"/>
        </w:rPr>
        <w:t xml:space="preserve"> </w:t>
      </w:r>
    </w:p>
    <w:p w14:paraId="546D9973" w14:textId="77777777" w:rsidR="009D6EDE" w:rsidRPr="00EF433E" w:rsidRDefault="009D6EDE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</w:p>
    <w:p w14:paraId="0BA4BF86" w14:textId="77777777"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</w:t>
      </w:r>
      <w:r w:rsidR="003C0AA8">
        <w:rPr>
          <w:sz w:val="22"/>
          <w:szCs w:val="22"/>
        </w:rPr>
        <w:t> zo skúsenosti po uvedení lieku na trh</w:t>
      </w:r>
      <w:r w:rsidRPr="00EF433E">
        <w:rPr>
          <w:sz w:val="22"/>
          <w:szCs w:val="22"/>
        </w:rPr>
        <w:t xml:space="preserve">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samotn</w:t>
      </w:r>
      <w:r w:rsidR="00923777">
        <w:rPr>
          <w:sz w:val="22"/>
          <w:szCs w:val="22"/>
        </w:rPr>
        <w:t>ým</w:t>
      </w:r>
      <w:r w:rsidRPr="00EF433E">
        <w:rPr>
          <w:sz w:val="22"/>
          <w:szCs w:val="22"/>
        </w:rPr>
        <w:t xml:space="preserve"> aripiprazol</w:t>
      </w:r>
      <w:r w:rsidR="00923777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 xml:space="preserve">dové </w:t>
      </w:r>
      <w:r w:rsidR="003C0AA8">
        <w:rPr>
          <w:sz w:val="22"/>
          <w:szCs w:val="22"/>
        </w:rPr>
        <w:t>príznaky</w:t>
      </w:r>
      <w:r w:rsidRPr="00EF433E">
        <w:rPr>
          <w:sz w:val="22"/>
          <w:szCs w:val="22"/>
        </w:rPr>
        <w:t>.</w:t>
      </w:r>
    </w:p>
    <w:p w14:paraId="4A543CFD" w14:textId="77777777" w:rsidR="00235C21" w:rsidRPr="00EF433E" w:rsidRDefault="00235C21" w:rsidP="00A440E6">
      <w:pPr>
        <w:rPr>
          <w:sz w:val="22"/>
        </w:rPr>
      </w:pPr>
    </w:p>
    <w:p w14:paraId="1CB4906D" w14:textId="77777777" w:rsidR="003C13BC" w:rsidRDefault="003C13BC" w:rsidP="00A440E6">
      <w:pPr>
        <w:rPr>
          <w:sz w:val="22"/>
          <w:u w:val="single"/>
        </w:rPr>
      </w:pPr>
      <w:r w:rsidRPr="003940F4">
        <w:rPr>
          <w:sz w:val="22"/>
          <w:u w:val="single"/>
        </w:rPr>
        <w:t>Liečba predávkovania</w:t>
      </w:r>
    </w:p>
    <w:p w14:paraId="56156942" w14:textId="77777777" w:rsidR="009D6EDE" w:rsidRPr="00F352E6" w:rsidRDefault="009D6EDE" w:rsidP="00A440E6">
      <w:pPr>
        <w:rPr>
          <w:sz w:val="22"/>
        </w:rPr>
      </w:pPr>
    </w:p>
    <w:p w14:paraId="0E73E3A5" w14:textId="77777777"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oxygenáciu a ventiláciu a na liečbu príznakov. Musí sa zvážiť možnosť </w:t>
      </w:r>
      <w:r w:rsidR="0093176D">
        <w:rPr>
          <w:sz w:val="22"/>
          <w:szCs w:val="22"/>
        </w:rPr>
        <w:t>podania</w:t>
      </w:r>
      <w:r w:rsidRPr="00EF433E">
        <w:rPr>
          <w:sz w:val="22"/>
          <w:szCs w:val="22"/>
        </w:rPr>
        <w:t xml:space="preserve"> ďalších liekov. Preto sa má okamžite začať monitorovanie kardiovaskulárneho systému vrátane priebežného elektrokardiografického monitorovania na odhalenie možných arytmií. Po akomkoľvek potvrdenom alebo </w:t>
      </w:r>
      <w:r w:rsidR="0093176D">
        <w:rPr>
          <w:sz w:val="22"/>
          <w:szCs w:val="22"/>
        </w:rPr>
        <w:t xml:space="preserve">pri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>aripiprazolom</w:t>
      </w:r>
      <w:r w:rsidR="00506E94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má pokračovať starostlivý lekársky dohľad a monitorovanie dovtedy, kým sa pacient nezotaví. </w:t>
      </w:r>
    </w:p>
    <w:p w14:paraId="0EF0DC2E" w14:textId="77777777" w:rsidR="009E6686" w:rsidRPr="00EF433E" w:rsidRDefault="009E6686" w:rsidP="009E6686">
      <w:pPr>
        <w:pStyle w:val="Default"/>
        <w:rPr>
          <w:sz w:val="22"/>
          <w:szCs w:val="22"/>
        </w:rPr>
      </w:pPr>
    </w:p>
    <w:p w14:paraId="493B7CC5" w14:textId="77777777" w:rsidR="00437531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aripiprazolu znížilo hodnoty C</w:t>
      </w:r>
      <w:r w:rsidR="009E6686" w:rsidRPr="00EF433E">
        <w:rPr>
          <w:sz w:val="14"/>
          <w:szCs w:val="14"/>
        </w:rPr>
        <w:t xml:space="preserve">max </w:t>
      </w:r>
      <w:r w:rsidR="009E6686" w:rsidRPr="00EF433E">
        <w:rPr>
          <w:sz w:val="22"/>
          <w:szCs w:val="22"/>
        </w:rPr>
        <w:t xml:space="preserve">aripiprazolu asi o 41 % a hodnoty AUC asi o 51 %, čo poukazuje na to, že živočíšne uhlie môže byť účinné </w:t>
      </w:r>
    </w:p>
    <w:p w14:paraId="0A2E63EB" w14:textId="77777777" w:rsidR="00B946BE" w:rsidRPr="00EF433E" w:rsidRDefault="009E6686" w:rsidP="009E668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v liečbe predávkovania.</w:t>
      </w:r>
    </w:p>
    <w:p w14:paraId="30BBD363" w14:textId="77777777"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14:paraId="30A94C77" w14:textId="77777777" w:rsidR="009E6686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14:paraId="69E7405A" w14:textId="77777777" w:rsidR="009D6EDE" w:rsidRPr="00EF433E" w:rsidRDefault="009D6EDE" w:rsidP="009E6686">
      <w:pPr>
        <w:pStyle w:val="Zkladntext"/>
        <w:jc w:val="left"/>
        <w:rPr>
          <w:sz w:val="22"/>
          <w:szCs w:val="22"/>
          <w:u w:val="single"/>
        </w:rPr>
      </w:pPr>
    </w:p>
    <w:p w14:paraId="679CB5B4" w14:textId="77777777"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aripiprazol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14:paraId="01F3A1A5" w14:textId="77777777" w:rsidR="002C2912" w:rsidRPr="00EF433E" w:rsidRDefault="002C2912" w:rsidP="00A440E6">
      <w:pPr>
        <w:pStyle w:val="Zkladntext"/>
        <w:jc w:val="left"/>
        <w:rPr>
          <w:sz w:val="22"/>
        </w:rPr>
      </w:pPr>
    </w:p>
    <w:p w14:paraId="7A8CF5F4" w14:textId="77777777"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14:paraId="0CC488A2" w14:textId="77777777"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14:paraId="6ABA6420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Farmakodynamické vlastnosti</w:t>
      </w:r>
    </w:p>
    <w:p w14:paraId="0B9FFF16" w14:textId="77777777" w:rsidR="00A0467A" w:rsidRPr="00EF433E" w:rsidRDefault="00A0467A" w:rsidP="00A440E6">
      <w:pPr>
        <w:keepNext/>
        <w:rPr>
          <w:b/>
          <w:caps/>
          <w:sz w:val="22"/>
        </w:rPr>
      </w:pPr>
    </w:p>
    <w:p w14:paraId="1409B235" w14:textId="77777777"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r w:rsidRPr="00EF433E">
        <w:rPr>
          <w:b w:val="0"/>
          <w:bCs/>
          <w:lang w:val="sk-SK"/>
        </w:rPr>
        <w:t>Farmakoterapeutická skupina:</w:t>
      </w:r>
      <w:r w:rsidR="009E6686" w:rsidRPr="00EF433E">
        <w:rPr>
          <w:b w:val="0"/>
          <w:bCs/>
          <w:lang w:val="sk-SK"/>
        </w:rPr>
        <w:t xml:space="preserve"> </w:t>
      </w:r>
      <w:r w:rsidR="002A58BB" w:rsidRPr="002A58BB">
        <w:rPr>
          <w:b w:val="0"/>
          <w:bCs/>
          <w:lang w:val="sk-SK"/>
        </w:rPr>
        <w:t xml:space="preserve">Psycholeptiká, </w:t>
      </w:r>
      <w:r w:rsidR="009E6686" w:rsidRPr="00EF433E">
        <w:rPr>
          <w:b w:val="0"/>
          <w:bCs/>
          <w:lang w:val="sk-SK"/>
        </w:rPr>
        <w:t>iné antipsychotiká</w:t>
      </w:r>
      <w:r w:rsidR="00436BC8">
        <w:rPr>
          <w:b w:val="0"/>
          <w:bCs/>
          <w:lang w:val="sk-SK"/>
        </w:rPr>
        <w:t xml:space="preserve">,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  <w:r w:rsidR="00FE70FF">
        <w:rPr>
          <w:b w:val="0"/>
          <w:bCs/>
          <w:lang w:val="sk-SK"/>
        </w:rPr>
        <w:t>.</w:t>
      </w:r>
    </w:p>
    <w:p w14:paraId="53064C1B" w14:textId="77777777"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14:paraId="33A29222" w14:textId="77777777" w:rsidR="00A0467A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14:paraId="7ECCF285" w14:textId="77777777" w:rsidR="009A762C" w:rsidRPr="00EF433E" w:rsidRDefault="009A762C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1780E629" w14:textId="77777777" w:rsidR="009E6686" w:rsidRPr="00AF5E5B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agonizmu </w:t>
      </w:r>
      <w:r w:rsidRPr="00AF5E5B">
        <w:rPr>
          <w:sz w:val="22"/>
          <w:szCs w:val="22"/>
        </w:rPr>
        <w:t>dopamínových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sérotonínových 5HT</w:t>
      </w:r>
      <w:r w:rsidRPr="00AF5E5B">
        <w:rPr>
          <w:sz w:val="14"/>
          <w:szCs w:val="14"/>
        </w:rPr>
        <w:t>1</w:t>
      </w:r>
      <w:r w:rsidR="003C0750" w:rsidRPr="00AF5E5B">
        <w:rPr>
          <w:sz w:val="14"/>
          <w:szCs w:val="14"/>
        </w:rPr>
        <w:t>A</w:t>
      </w:r>
      <w:r w:rsidRPr="00AF5E5B">
        <w:rPr>
          <w:sz w:val="22"/>
          <w:szCs w:val="22"/>
        </w:rPr>
        <w:t>a receptorov a antagonizmu sérotonínových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 xml:space="preserve">a receptorov. Aripiprazol preukázal antagonistické vlastnosti na zvieracích modeloch dopamínergnej hyperaktivity a agonistické vlastnosti na zvieracích modeloch dopamínergnej hypoaktivity. Aripiprazol preukázal </w:t>
      </w:r>
      <w:r w:rsidRPr="00AF5E5B">
        <w:rPr>
          <w:i/>
          <w:iCs/>
          <w:sz w:val="22"/>
          <w:szCs w:val="22"/>
        </w:rPr>
        <w:t xml:space="preserve">in vitro </w:t>
      </w:r>
      <w:r w:rsidRPr="00AF5E5B">
        <w:rPr>
          <w:sz w:val="22"/>
          <w:szCs w:val="22"/>
        </w:rPr>
        <w:t>vysokú väzbovú afinitu k dopamínovým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 xml:space="preserve"> a 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>, sérotonínovým 5HT</w:t>
      </w:r>
      <w:r w:rsidRPr="00AF5E5B">
        <w:rPr>
          <w:sz w:val="14"/>
          <w:szCs w:val="14"/>
        </w:rPr>
        <w:t>1</w:t>
      </w:r>
      <w:r w:rsidRPr="00AF5E5B">
        <w:rPr>
          <w:sz w:val="22"/>
          <w:szCs w:val="22"/>
        </w:rPr>
        <w:t>a a 5HT</w:t>
      </w:r>
      <w:r w:rsidRPr="00AF5E5B">
        <w:rPr>
          <w:sz w:val="14"/>
          <w:szCs w:val="14"/>
        </w:rPr>
        <w:t>2</w:t>
      </w:r>
      <w:r w:rsidRPr="00AF5E5B">
        <w:rPr>
          <w:sz w:val="22"/>
          <w:szCs w:val="22"/>
        </w:rPr>
        <w:t>a</w:t>
      </w:r>
      <w:r w:rsidRPr="00AF5E5B">
        <w:rPr>
          <w:sz w:val="14"/>
          <w:szCs w:val="14"/>
        </w:rPr>
        <w:t xml:space="preserve"> </w:t>
      </w:r>
      <w:r w:rsidRPr="00AF5E5B">
        <w:rPr>
          <w:sz w:val="22"/>
          <w:szCs w:val="22"/>
        </w:rPr>
        <w:t>receptorom a miernu afinitu k dopamínovým D</w:t>
      </w:r>
      <w:r w:rsidRPr="00AF5E5B">
        <w:rPr>
          <w:sz w:val="22"/>
          <w:szCs w:val="22"/>
          <w:vertAlign w:val="subscript"/>
        </w:rPr>
        <w:t>4</w:t>
      </w:r>
      <w:r w:rsidRPr="00AF5E5B">
        <w:rPr>
          <w:sz w:val="22"/>
          <w:szCs w:val="22"/>
        </w:rPr>
        <w:t>, sérotonínovým 5HT</w:t>
      </w:r>
      <w:r w:rsidRPr="00AF5E5B">
        <w:rPr>
          <w:sz w:val="14"/>
          <w:szCs w:val="14"/>
        </w:rPr>
        <w:t xml:space="preserve">2c </w:t>
      </w:r>
      <w:r w:rsidRPr="00AF5E5B">
        <w:rPr>
          <w:sz w:val="22"/>
          <w:szCs w:val="22"/>
        </w:rPr>
        <w:t>a 5H</w:t>
      </w:r>
      <w:r w:rsidRPr="00AF5E5B">
        <w:rPr>
          <w:sz w:val="14"/>
          <w:szCs w:val="14"/>
        </w:rPr>
        <w:t>T7</w:t>
      </w:r>
      <w:r w:rsidRPr="00AF5E5B">
        <w:rPr>
          <w:sz w:val="22"/>
          <w:szCs w:val="22"/>
        </w:rPr>
        <w:t xml:space="preserve">, alfa-1 adrenergným a histamínovým H1 receptorom. Aripiprazol preukázal miernu afinitu aj k miestu spätného vychytávania sérotonínu a nepreukázal žiadnu </w:t>
      </w:r>
      <w:r w:rsidR="00092879" w:rsidRPr="00AF5E5B">
        <w:rPr>
          <w:sz w:val="22"/>
          <w:szCs w:val="22"/>
        </w:rPr>
        <w:t>znateľnú</w:t>
      </w:r>
      <w:r w:rsidR="00CB1EA6" w:rsidRPr="00AF5E5B">
        <w:rPr>
          <w:sz w:val="22"/>
          <w:szCs w:val="22"/>
        </w:rPr>
        <w:t xml:space="preserve"> </w:t>
      </w:r>
      <w:r w:rsidRPr="00AF5E5B">
        <w:rPr>
          <w:sz w:val="22"/>
          <w:szCs w:val="22"/>
        </w:rPr>
        <w:t xml:space="preserve">afinitu k muskarínovým receptorom. Interakcia s receptormi, ktoré sú iné ako dopamínové a sérotonínové podtypy, môže vysvetľovať niektoré z ďalších klinických účinkov aripiprazolu. </w:t>
      </w:r>
    </w:p>
    <w:p w14:paraId="470A6087" w14:textId="77777777" w:rsidR="00D27C1E" w:rsidRPr="00EF433E" w:rsidRDefault="009E6686" w:rsidP="009E6686">
      <w:pPr>
        <w:textAlignment w:val="top"/>
        <w:rPr>
          <w:sz w:val="22"/>
          <w:szCs w:val="22"/>
        </w:rPr>
      </w:pPr>
      <w:r w:rsidRPr="00AF5E5B">
        <w:rPr>
          <w:sz w:val="22"/>
          <w:szCs w:val="22"/>
        </w:rPr>
        <w:lastRenderedPageBreak/>
        <w:t xml:space="preserve">Dávky aripiprazolu v rozsahu od 0,5 do 30 mg </w:t>
      </w:r>
      <w:r w:rsidR="0017582C" w:rsidRPr="00AF5E5B">
        <w:rPr>
          <w:sz w:val="22"/>
          <w:szCs w:val="22"/>
        </w:rPr>
        <w:t xml:space="preserve">podávané </w:t>
      </w:r>
      <w:r w:rsidRPr="00AF5E5B">
        <w:rPr>
          <w:sz w:val="22"/>
          <w:szCs w:val="22"/>
        </w:rPr>
        <w:t xml:space="preserve">jedenkrát denne zdravým jedincom po dobu 2 týždňov vyvolali dávkovo závislú redukciu väzby </w:t>
      </w:r>
      <w:r w:rsidRPr="00AF5E5B">
        <w:rPr>
          <w:sz w:val="14"/>
          <w:szCs w:val="14"/>
        </w:rPr>
        <w:t>11</w:t>
      </w:r>
      <w:r w:rsidRPr="00AF5E5B">
        <w:rPr>
          <w:sz w:val="22"/>
          <w:szCs w:val="22"/>
        </w:rPr>
        <w:t>C-raklopridu, ligandu D</w:t>
      </w:r>
      <w:r w:rsidRPr="00AF5E5B">
        <w:rPr>
          <w:sz w:val="22"/>
          <w:szCs w:val="22"/>
          <w:vertAlign w:val="subscript"/>
        </w:rPr>
        <w:t>2</w:t>
      </w:r>
      <w:r w:rsidRPr="00AF5E5B">
        <w:rPr>
          <w:sz w:val="22"/>
          <w:szCs w:val="22"/>
        </w:rPr>
        <w:t>/D</w:t>
      </w:r>
      <w:r w:rsidRPr="00AF5E5B">
        <w:rPr>
          <w:sz w:val="22"/>
          <w:szCs w:val="22"/>
          <w:vertAlign w:val="subscript"/>
        </w:rPr>
        <w:t>3</w:t>
      </w:r>
      <w:r w:rsidRPr="00AF5E5B">
        <w:rPr>
          <w:sz w:val="22"/>
          <w:szCs w:val="22"/>
        </w:rPr>
        <w:t xml:space="preserve"> receptora na caudatus a putamen zistenú pozitrónovou emisnou tomografiou.</w:t>
      </w:r>
    </w:p>
    <w:p w14:paraId="7425E645" w14:textId="77777777" w:rsidR="009E6686" w:rsidRPr="00EF433E" w:rsidRDefault="009E6686" w:rsidP="009E6686">
      <w:pPr>
        <w:textAlignment w:val="top"/>
        <w:rPr>
          <w:sz w:val="22"/>
        </w:rPr>
      </w:pPr>
    </w:p>
    <w:p w14:paraId="6CFFCCFD" w14:textId="77777777"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14:paraId="2C6803B7" w14:textId="77777777" w:rsidR="003A5461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2D635C6C" w14:textId="77777777" w:rsidR="002A58BB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2A58BB">
        <w:rPr>
          <w:rFonts w:ascii="Times New Roman" w:hAnsi="Times New Roman" w:cs="Times New Roman"/>
          <w:b w:val="0"/>
          <w:i w:val="0"/>
          <w:sz w:val="22"/>
        </w:rPr>
        <w:t>Dospelí</w:t>
      </w:r>
    </w:p>
    <w:p w14:paraId="57DD6603" w14:textId="77777777" w:rsidR="002A58BB" w:rsidRPr="00EF433E" w:rsidRDefault="002A58BB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14:paraId="639F6591" w14:textId="77777777" w:rsidR="003A5461" w:rsidRPr="005C4213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  <w:u w:val="none"/>
        </w:rPr>
      </w:pPr>
      <w:r w:rsidRPr="005C4213">
        <w:rPr>
          <w:rFonts w:ascii="Times New Roman" w:hAnsi="Times New Roman" w:cs="Times New Roman"/>
          <w:b w:val="0"/>
          <w:sz w:val="22"/>
          <w:u w:val="none"/>
        </w:rPr>
        <w:t xml:space="preserve">Schizofrénia </w:t>
      </w:r>
    </w:p>
    <w:p w14:paraId="75085BC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troch krátkodobých (4 až 6 týždňových) placebom kontrolovaných štúdiách zahŕňajúcich 1</w:t>
      </w:r>
      <w:r w:rsidR="00C56111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228 dospelých  pacientov </w:t>
      </w:r>
      <w:r w:rsidR="001B7709">
        <w:rPr>
          <w:sz w:val="22"/>
          <w:szCs w:val="22"/>
        </w:rPr>
        <w:t>so schizofrénio</w:t>
      </w:r>
      <w:r w:rsidR="002D127D">
        <w:rPr>
          <w:sz w:val="22"/>
          <w:szCs w:val="22"/>
        </w:rPr>
        <w:t>u</w:t>
      </w:r>
      <w:r w:rsidR="001B7709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pozitívnymi alebo negatívnymi </w:t>
      </w:r>
      <w:r w:rsidR="002D127D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aripiprazol spájal so štatisticky významnými väčšími zlepšeniami v psychotických </w:t>
      </w:r>
      <w:r w:rsidR="00DC33F0">
        <w:rPr>
          <w:sz w:val="22"/>
          <w:szCs w:val="22"/>
        </w:rPr>
        <w:t>príznakoch</w:t>
      </w:r>
      <w:r w:rsidRPr="00EF433E">
        <w:rPr>
          <w:sz w:val="22"/>
          <w:szCs w:val="22"/>
        </w:rPr>
        <w:t xml:space="preserve"> v porovnaní s placebom. </w:t>
      </w:r>
    </w:p>
    <w:p w14:paraId="5CB56437" w14:textId="77777777" w:rsidR="006E5664" w:rsidRPr="00EF433E" w:rsidRDefault="006E5664" w:rsidP="003A5461">
      <w:pPr>
        <w:pStyle w:val="Default"/>
        <w:rPr>
          <w:sz w:val="22"/>
          <w:szCs w:val="22"/>
        </w:rPr>
      </w:pPr>
    </w:p>
    <w:p w14:paraId="35D26F1E" w14:textId="77777777" w:rsidR="00E16799" w:rsidRPr="00EF433E" w:rsidRDefault="00FE6564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Aripiprazol </w:t>
      </w:r>
      <w:r w:rsidR="003A5461" w:rsidRPr="00EF433E">
        <w:rPr>
          <w:sz w:val="22"/>
          <w:szCs w:val="22"/>
        </w:rPr>
        <w:t>je účinn</w:t>
      </w:r>
      <w:r w:rsidR="00C216EA">
        <w:rPr>
          <w:sz w:val="22"/>
          <w:szCs w:val="22"/>
        </w:rPr>
        <w:t>ý</w:t>
      </w:r>
      <w:r w:rsidR="003A5461" w:rsidRPr="00EF433E">
        <w:rPr>
          <w:sz w:val="22"/>
          <w:szCs w:val="22"/>
        </w:rPr>
        <w:t xml:space="preserve"> v udržiavaní klinického zlepšenia počas pokračovacej terapie u dospelých pacientov, u ktorých sa prejavila odpoveď na úvodnú liečbu. V haloperidolom kontrolovan</w:t>
      </w:r>
      <w:r w:rsidR="00900D47">
        <w:rPr>
          <w:sz w:val="22"/>
          <w:szCs w:val="22"/>
        </w:rPr>
        <w:t>om skúšaní</w:t>
      </w:r>
      <w:r w:rsidR="003A5461" w:rsidRPr="00EF433E">
        <w:rPr>
          <w:sz w:val="22"/>
          <w:szCs w:val="22"/>
        </w:rPr>
        <w:t xml:space="preserve">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14:paraId="64FDA345" w14:textId="77777777"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26-týždňovej, placebom kontrolovan</w:t>
      </w:r>
      <w:r w:rsidR="00900D47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s dospelými stabilizovanými pacientmi </w:t>
      </w:r>
    </w:p>
    <w:p w14:paraId="716D71F1" w14:textId="77777777" w:rsidR="00F4054F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chronickou schizofréniou sa u aripiprazolu zistilo významne väčšie zníženie miery relapsu, 34 % </w:t>
      </w:r>
    </w:p>
    <w:p w14:paraId="0EB92FA0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aripiprazolovej skupine a 57 % u placeba. </w:t>
      </w:r>
    </w:p>
    <w:p w14:paraId="7164D760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4A77E4D" w14:textId="77777777" w:rsidR="002B29EB" w:rsidRDefault="003A5461" w:rsidP="003A5461">
      <w:pPr>
        <w:pStyle w:val="Default"/>
        <w:rPr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  <w:r w:rsidRPr="00EF433E">
        <w:rPr>
          <w:sz w:val="22"/>
          <w:szCs w:val="22"/>
        </w:rPr>
        <w:t xml:space="preserve"> </w:t>
      </w:r>
    </w:p>
    <w:p w14:paraId="68A536B2" w14:textId="77777777" w:rsidR="003A5461" w:rsidRPr="00EF433E" w:rsidRDefault="00385ADD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</w:t>
      </w:r>
      <w:r w:rsidR="002B29EB">
        <w:rPr>
          <w:sz w:val="22"/>
          <w:szCs w:val="22"/>
        </w:rPr>
        <w:t>skúšaniach</w:t>
      </w:r>
      <w:r w:rsidR="003A5461" w:rsidRPr="00EF433E">
        <w:rPr>
          <w:sz w:val="22"/>
          <w:szCs w:val="22"/>
        </w:rPr>
        <w:t xml:space="preserve"> sa ne</w:t>
      </w:r>
      <w:r w:rsidR="00EB3DAC">
        <w:rPr>
          <w:sz w:val="22"/>
          <w:szCs w:val="22"/>
        </w:rPr>
        <w:t>preu</w:t>
      </w:r>
      <w:r w:rsidR="003A5461" w:rsidRPr="00EF433E">
        <w:rPr>
          <w:sz w:val="22"/>
          <w:szCs w:val="22"/>
        </w:rPr>
        <w:t>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</w:t>
      </w:r>
      <w:r w:rsidR="00EB3DAC">
        <w:rPr>
          <w:sz w:val="22"/>
          <w:szCs w:val="22"/>
        </w:rPr>
        <w:t> pa</w:t>
      </w:r>
      <w:r w:rsidR="00D34830">
        <w:rPr>
          <w:sz w:val="22"/>
          <w:szCs w:val="22"/>
        </w:rPr>
        <w:t>c</w:t>
      </w:r>
      <w:r w:rsidR="00EB3DAC">
        <w:rPr>
          <w:sz w:val="22"/>
          <w:szCs w:val="22"/>
        </w:rPr>
        <w:t xml:space="preserve">ientmi na </w:t>
      </w:r>
      <w:r w:rsidR="003A5461" w:rsidRPr="00EF433E">
        <w:rPr>
          <w:sz w:val="22"/>
          <w:szCs w:val="22"/>
        </w:rPr>
        <w:t>olanzapín</w:t>
      </w:r>
      <w:r w:rsidR="00EB3DAC">
        <w:rPr>
          <w:sz w:val="22"/>
          <w:szCs w:val="22"/>
        </w:rPr>
        <w:t>e</w:t>
      </w:r>
      <w:r w:rsidR="003A5461" w:rsidRPr="00EF433E">
        <w:rPr>
          <w:sz w:val="22"/>
          <w:szCs w:val="22"/>
        </w:rPr>
        <w:t xml:space="preserve"> (n = 45, alebo 33 % hodnotených pacientov). </w:t>
      </w:r>
    </w:p>
    <w:p w14:paraId="25304BFE" w14:textId="77777777" w:rsidR="00E16799" w:rsidRPr="00EF433E" w:rsidRDefault="00E16799" w:rsidP="003A5461">
      <w:pPr>
        <w:pStyle w:val="Default"/>
        <w:rPr>
          <w:sz w:val="22"/>
          <w:szCs w:val="22"/>
        </w:rPr>
      </w:pPr>
    </w:p>
    <w:p w14:paraId="48E01661" w14:textId="77777777" w:rsidR="005D29DA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 xml:space="preserve">Lipidové parametre </w:t>
      </w:r>
    </w:p>
    <w:p w14:paraId="57C76F8A" w14:textId="77777777" w:rsidR="00AE5D24" w:rsidRPr="00EF433E" w:rsidRDefault="00BF397C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lipidových parametrov s placebom kontrolovaných klinických štúdií u dospelých, aripiprazol nepreukázal klinicky významné zmeny v hladinách celkového cholesterolu, triglyceridov, HDL a LDL. </w:t>
      </w:r>
    </w:p>
    <w:p w14:paraId="190ED4FB" w14:textId="77777777" w:rsidR="00F26D5E" w:rsidRDefault="00F26D5E" w:rsidP="003940F4">
      <w:pPr>
        <w:pStyle w:val="Default"/>
        <w:rPr>
          <w:i/>
          <w:sz w:val="22"/>
          <w:szCs w:val="22"/>
        </w:rPr>
      </w:pPr>
    </w:p>
    <w:p w14:paraId="690D5E79" w14:textId="77777777" w:rsidR="00F26D5E" w:rsidRDefault="00F26D5E" w:rsidP="003940F4">
      <w:pPr>
        <w:pStyle w:val="Default"/>
        <w:tabs>
          <w:tab w:val="left" w:pos="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Prolaktín</w:t>
      </w:r>
    </w:p>
    <w:p w14:paraId="40EE3820" w14:textId="77777777" w:rsidR="00F26D5E" w:rsidRPr="003940F4" w:rsidRDefault="00F26D5E" w:rsidP="003940F4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Hladiny prolaktínu boli hodnotené</w:t>
      </w:r>
      <w:r w:rsidR="002F116C">
        <w:rPr>
          <w:sz w:val="22"/>
          <w:szCs w:val="22"/>
        </w:rPr>
        <w:t xml:space="preserve"> </w:t>
      </w:r>
      <w:r>
        <w:rPr>
          <w:sz w:val="22"/>
          <w:szCs w:val="22"/>
        </w:rPr>
        <w:t>vo všetkých skúšaniach</w:t>
      </w:r>
      <w:r w:rsidR="002F116C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vo všetkých dávkach aripiprazolu (n = 28 242). Výskyt </w:t>
      </w:r>
      <w:r w:rsidRPr="00F26D5E">
        <w:rPr>
          <w:sz w:val="22"/>
          <w:szCs w:val="22"/>
        </w:rPr>
        <w:t>hyperprolaktinémie alebo nárast prolaktínu v sére u</w:t>
      </w:r>
      <w:r>
        <w:rPr>
          <w:sz w:val="22"/>
          <w:szCs w:val="22"/>
        </w:rPr>
        <w:t> </w:t>
      </w:r>
      <w:r w:rsidRPr="00F26D5E">
        <w:rPr>
          <w:sz w:val="22"/>
          <w:szCs w:val="22"/>
        </w:rPr>
        <w:t>pacientov</w:t>
      </w:r>
      <w:r>
        <w:rPr>
          <w:sz w:val="22"/>
          <w:szCs w:val="22"/>
        </w:rPr>
        <w:t xml:space="preserve"> liečených aripiprazolom (0,3 %) bol podobný ako výskyt pri </w:t>
      </w:r>
      <w:r w:rsidR="002F116C">
        <w:rPr>
          <w:sz w:val="22"/>
          <w:szCs w:val="22"/>
        </w:rPr>
        <w:t>užívaní</w:t>
      </w:r>
      <w:r>
        <w:rPr>
          <w:sz w:val="22"/>
          <w:szCs w:val="22"/>
        </w:rPr>
        <w:t xml:space="preserve"> placeb</w:t>
      </w:r>
      <w:r w:rsidR="002F116C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(0,2 %). U pacientov liečených </w:t>
      </w:r>
      <w:r w:rsidRPr="003940F4">
        <w:rPr>
          <w:sz w:val="22"/>
          <w:szCs w:val="22"/>
        </w:rPr>
        <w:t xml:space="preserve">aripiprazolom </w:t>
      </w:r>
      <w:r w:rsidR="00187CB8" w:rsidRPr="003940F4">
        <w:rPr>
          <w:sz w:val="22"/>
          <w:szCs w:val="22"/>
        </w:rPr>
        <w:t xml:space="preserve">výskyt </w:t>
      </w:r>
      <w:r w:rsidRPr="003940F4">
        <w:rPr>
          <w:sz w:val="22"/>
          <w:szCs w:val="22"/>
        </w:rPr>
        <w:t>nastal v priemere po 42 dňoch a trval v priemere 34 dní.</w:t>
      </w:r>
    </w:p>
    <w:p w14:paraId="0DEBFA3F" w14:textId="77777777" w:rsidR="00C91277" w:rsidRPr="00F26D5E" w:rsidRDefault="00365E93" w:rsidP="003940F4">
      <w:pPr>
        <w:pStyle w:val="Default"/>
        <w:rPr>
          <w:sz w:val="22"/>
          <w:szCs w:val="22"/>
        </w:rPr>
      </w:pPr>
      <w:r w:rsidRPr="003940F4">
        <w:rPr>
          <w:sz w:val="22"/>
          <w:szCs w:val="22"/>
        </w:rPr>
        <w:t xml:space="preserve">Výskyt hyperprolaktinémie alebo zvýšenie hladiny prolaktínu v sére u pacientov liečených aripiprazolom </w:t>
      </w:r>
      <w:r w:rsidR="002F6457" w:rsidRPr="003940F4">
        <w:rPr>
          <w:sz w:val="22"/>
          <w:szCs w:val="22"/>
        </w:rPr>
        <w:t>b</w:t>
      </w:r>
      <w:r w:rsidRPr="003940F4">
        <w:rPr>
          <w:sz w:val="22"/>
          <w:szCs w:val="22"/>
        </w:rPr>
        <w:t xml:space="preserve">ol 0,4% v porovnaní s 0,02% u pacientov </w:t>
      </w:r>
      <w:r w:rsidR="006A74E4" w:rsidRPr="003940F4">
        <w:rPr>
          <w:sz w:val="22"/>
          <w:szCs w:val="22"/>
        </w:rPr>
        <w:t xml:space="preserve">užívajúcich </w:t>
      </w:r>
      <w:r w:rsidRPr="003940F4">
        <w:rPr>
          <w:sz w:val="22"/>
          <w:szCs w:val="22"/>
        </w:rPr>
        <w:t xml:space="preserve"> placebo. </w:t>
      </w:r>
      <w:r w:rsidR="00187CB8" w:rsidRPr="003940F4">
        <w:rPr>
          <w:sz w:val="22"/>
          <w:szCs w:val="22"/>
        </w:rPr>
        <w:t>U pacientov liečených aripiprazolom výskyt nastal v priemere po 30 dňoch a trval v priemere 194 dní.</w:t>
      </w:r>
    </w:p>
    <w:p w14:paraId="30EBF577" w14:textId="77777777"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14:paraId="6734A102" w14:textId="77777777" w:rsidR="003A5461" w:rsidRPr="005C4213" w:rsidRDefault="003A5461" w:rsidP="003A5461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Manické epizódy pri bipolárnej poruche typu I </w:t>
      </w:r>
    </w:p>
    <w:p w14:paraId="6911AE34" w14:textId="77777777"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monoterapeutických </w:t>
      </w:r>
      <w:r w:rsidR="005D29DA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s flexibilným dávkovaním zahŕňajúcich pacientov s manickou alebo zmiešanou epizódou bipolárnej poruchy typu I, aripiprazol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14:paraId="6654F0FB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>V jedn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3-týždňov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>j placebom kontrolovan</w:t>
      </w:r>
      <w:r w:rsidR="00596C95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monoterapeutick</w:t>
      </w:r>
      <w:r w:rsidR="00596C95">
        <w:rPr>
          <w:sz w:val="22"/>
          <w:szCs w:val="22"/>
        </w:rPr>
        <w:t>om</w:t>
      </w:r>
      <w:r w:rsidR="00E71D41">
        <w:rPr>
          <w:sz w:val="22"/>
          <w:szCs w:val="22"/>
        </w:rPr>
        <w:t xml:space="preserve"> </w:t>
      </w:r>
      <w:r w:rsidR="00596C95">
        <w:rPr>
          <w:sz w:val="22"/>
          <w:szCs w:val="22"/>
        </w:rPr>
        <w:t>skúšaní</w:t>
      </w:r>
      <w:r w:rsidRPr="00EF433E">
        <w:rPr>
          <w:sz w:val="22"/>
          <w:szCs w:val="22"/>
        </w:rPr>
        <w:t xml:space="preserve"> s fixným dávkovaním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I, aripiprazol nepreukázal lepšiu účinnosť v porovnaní s placebom. </w:t>
      </w:r>
    </w:p>
    <w:p w14:paraId="63ADC332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1C26323A" w14:textId="77777777"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monoterapeutických </w:t>
      </w:r>
      <w:r w:rsidR="000D21B3">
        <w:rPr>
          <w:sz w:val="22"/>
          <w:szCs w:val="22"/>
        </w:rPr>
        <w:t>skúšaniach</w:t>
      </w:r>
      <w:r w:rsidRPr="00EF433E">
        <w:rPr>
          <w:sz w:val="22"/>
          <w:szCs w:val="22"/>
        </w:rPr>
        <w:t xml:space="preserve">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14:paraId="0061A57A" w14:textId="77777777" w:rsidR="00AF7C5B" w:rsidRDefault="00AF7C5B" w:rsidP="00AF7C5B">
      <w:pPr>
        <w:pStyle w:val="Default"/>
        <w:rPr>
          <w:sz w:val="22"/>
          <w:szCs w:val="22"/>
        </w:rPr>
      </w:pPr>
    </w:p>
    <w:p w14:paraId="3D15FAF5" w14:textId="77777777" w:rsidR="008C53A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3D1142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zahŕňajúc</w:t>
      </w:r>
      <w:r w:rsidR="003D1142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pacientov s manickou alebo zmiešanou epizódou bipolárnej poruchy typu I s psychotickými príznakmi alebo bez nich, ktorí čiastočne neodpovedali na monoterapiu lítiom alebo valproátom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aripiprazolu ako adjuvantnej terapie za následok lepšiu účinnosť </w:t>
      </w:r>
    </w:p>
    <w:p w14:paraId="0F496758" w14:textId="77777777"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znížení manických symptómov ako monoterapia lítiom alebo valproátom. </w:t>
      </w:r>
    </w:p>
    <w:p w14:paraId="0E0E50C5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563D5913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26-týždňov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8C53AB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nasledovan</w:t>
      </w:r>
      <w:r w:rsidR="008C53AB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74-týždňovým rozšírením </w:t>
      </w:r>
      <w:r w:rsidR="008C53AB">
        <w:rPr>
          <w:sz w:val="22"/>
          <w:szCs w:val="22"/>
        </w:rPr>
        <w:t>skúšania</w:t>
      </w:r>
      <w:r w:rsidRPr="00EF433E">
        <w:rPr>
          <w:sz w:val="22"/>
          <w:szCs w:val="22"/>
        </w:rPr>
        <w:t xml:space="preserve"> u manických pacientov, ktorí dosiahli remisiu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randomizáciou, aripiprazol dosiahol lepšiu účinnosť ako placebo v prevencii bipolárnej rekurencie, najmä v prevencii rekurencie mánie, ale nedosiahol lepšiu účinnosť ako placebo v prevencii rekurencie depresie. </w:t>
      </w:r>
    </w:p>
    <w:p w14:paraId="0A8F20FF" w14:textId="77777777" w:rsidR="009671B7" w:rsidRPr="00EF433E" w:rsidRDefault="009671B7" w:rsidP="003A5461">
      <w:pPr>
        <w:pStyle w:val="Default"/>
        <w:rPr>
          <w:sz w:val="22"/>
          <w:szCs w:val="22"/>
        </w:rPr>
      </w:pPr>
    </w:p>
    <w:p w14:paraId="2FF18A1D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52-týždňov</w:t>
      </w:r>
      <w:r w:rsidR="00B65C1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placebom kontrolovan</w:t>
      </w:r>
      <w:r w:rsidR="00B65C16">
        <w:rPr>
          <w:sz w:val="22"/>
          <w:szCs w:val="22"/>
        </w:rPr>
        <w:t>om skúšaní</w:t>
      </w:r>
      <w:r w:rsidRPr="00EF433E">
        <w:rPr>
          <w:sz w:val="22"/>
          <w:szCs w:val="22"/>
        </w:rPr>
        <w:t xml:space="preserve"> u pacientov so súčasnou manickou alebo zmiešanou epizódou bipolárnej poruchy typu I, ktorý dosiahli pretrvávajúcu remisiu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valproátu počas 12 po sebe nasledujúcich týždňoch, pridaný aripiprazol preukázal lepšiu účinnosť ako placebo so 46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</w:t>
      </w:r>
    </w:p>
    <w:p w14:paraId="604C4C35" w14:textId="77777777" w:rsidR="00B65C16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tomto skúšaní boli pacienti zaradení skúšajúcimi do dvoch skupín</w:t>
      </w:r>
      <w:r w:rsidR="00456E98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r w:rsidR="009A72A2" w:rsidRPr="00EF433E">
        <w:rPr>
          <w:sz w:val="22"/>
          <w:szCs w:val="22"/>
        </w:rPr>
        <w:t xml:space="preserve">monoterapie </w:t>
      </w:r>
    </w:p>
    <w:p w14:paraId="6A1466A4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 lítiom alebo valproátom na zistenie čiastočnej odpovede. Pacienti boli stabilizovaní počas najmenej 12 po sebe nasledujúcich týždňov kombináciou aripiprazolu a rovnakého stabilizátora nálady. </w:t>
      </w:r>
    </w:p>
    <w:p w14:paraId="2BB2962B" w14:textId="77777777"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</w:t>
      </w:r>
    </w:p>
    <w:p w14:paraId="7D37BB5F" w14:textId="77777777"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Miera rekurencie akejkoľvek epizódy nálady v ramene s adjuvantnou liečbou, podľa Kaplan-Meiera, bola 16 % pre aripiprazol + lítium a 18 % pre aripiprazol + valproát oproti 45 % pre placebo + lítium a 19 % pre placebo + valproát.</w:t>
      </w:r>
    </w:p>
    <w:p w14:paraId="5E1C1DDA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77B21539" w14:textId="77777777"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14:paraId="05E53488" w14:textId="77777777"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1CEC98" w14:textId="77777777" w:rsidR="003A5461" w:rsidRPr="005C4213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Schizofrénia u dospievajúcich</w:t>
      </w:r>
    </w:p>
    <w:p w14:paraId="01AD5CFD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6-týždňovom placebom kontrolovanom skúšaní zahŕňajúcom 302 dospievajúcich pacientov (</w:t>
      </w:r>
      <w:r w:rsidR="00456E98">
        <w:rPr>
          <w:sz w:val="22"/>
          <w:szCs w:val="22"/>
        </w:rPr>
        <w:t xml:space="preserve">vo veku </w:t>
      </w:r>
      <w:r w:rsidRPr="00EF433E">
        <w:rPr>
          <w:sz w:val="22"/>
          <w:szCs w:val="22"/>
        </w:rPr>
        <w:t>13</w:t>
      </w:r>
      <w:r w:rsidR="00456E98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-17 rokov) so schizofréniou s pozitívnymi alebo negatívnymi </w:t>
      </w:r>
      <w:r w:rsidR="00344AF5">
        <w:rPr>
          <w:sz w:val="22"/>
          <w:szCs w:val="22"/>
        </w:rPr>
        <w:t>príznakmi</w:t>
      </w:r>
      <w:r w:rsidRPr="00EF433E">
        <w:rPr>
          <w:sz w:val="22"/>
          <w:szCs w:val="22"/>
        </w:rPr>
        <w:t xml:space="preserve"> sa aripiprazol spájal so štatisticky významnejším zlepšením psychotických symptómov v porovnaní s placebom. </w:t>
      </w:r>
    </w:p>
    <w:p w14:paraId="72D4FA3F" w14:textId="77777777"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Pri subanalýze dospievajúcich pacientov vo veku medzi 15 až 17 rokmi, ktorí predstavujú 74</w:t>
      </w:r>
      <w:r w:rsidR="00312B0C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% celkovej zaradenej populácie, sa zachovanie účinku pozorovalo dlhšie ako počas 26-týždňovej otvorenej predĺženej štúdii.</w:t>
      </w:r>
    </w:p>
    <w:p w14:paraId="6F9146C3" w14:textId="77777777" w:rsidR="009671B7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3548BC5" w14:textId="77777777" w:rsidR="00DE729C" w:rsidRPr="00DA4854" w:rsidRDefault="00DE729C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DA4854">
        <w:rPr>
          <w:sz w:val="22"/>
          <w:szCs w:val="22"/>
          <w:lang w:val="sk-SK"/>
        </w:rPr>
        <w:t>V 60- až 89-</w:t>
      </w:r>
      <w:r w:rsidR="008072E5" w:rsidRPr="00DA4854">
        <w:rPr>
          <w:sz w:val="22"/>
          <w:szCs w:val="22"/>
          <w:lang w:val="sk-SK"/>
        </w:rPr>
        <w:t>týždňovom</w:t>
      </w:r>
      <w:r w:rsidRPr="00DA4854">
        <w:rPr>
          <w:sz w:val="22"/>
          <w:szCs w:val="22"/>
          <w:lang w:val="sk-SK"/>
        </w:rPr>
        <w:t xml:space="preserve">, </w:t>
      </w:r>
      <w:r w:rsidR="008072E5" w:rsidRPr="00DA4854">
        <w:rPr>
          <w:sz w:val="22"/>
          <w:szCs w:val="22"/>
          <w:lang w:val="sk-SK"/>
        </w:rPr>
        <w:t>randomizovanom</w:t>
      </w:r>
      <w:r w:rsidRPr="00DA4854">
        <w:rPr>
          <w:sz w:val="22"/>
          <w:szCs w:val="22"/>
          <w:lang w:val="sk-SK"/>
        </w:rPr>
        <w:t xml:space="preserve">, dvojito </w:t>
      </w:r>
      <w:r w:rsidR="008072E5" w:rsidRPr="00DA4854">
        <w:rPr>
          <w:sz w:val="22"/>
          <w:szCs w:val="22"/>
          <w:lang w:val="sk-SK"/>
        </w:rPr>
        <w:t>zaslepenom</w:t>
      </w:r>
      <w:r w:rsidRPr="00DA4854">
        <w:rPr>
          <w:sz w:val="22"/>
          <w:szCs w:val="22"/>
          <w:lang w:val="sk-SK"/>
        </w:rPr>
        <w:t xml:space="preserve">, placebom </w:t>
      </w:r>
      <w:r w:rsidR="008072E5" w:rsidRPr="00DA4854">
        <w:rPr>
          <w:sz w:val="22"/>
          <w:szCs w:val="22"/>
          <w:lang w:val="sk-SK"/>
        </w:rPr>
        <w:t>kontrolovanom skúšaní</w:t>
      </w:r>
      <w:r w:rsidRPr="00DA4854">
        <w:rPr>
          <w:sz w:val="22"/>
          <w:szCs w:val="22"/>
          <w:lang w:val="sk-SK"/>
        </w:rPr>
        <w:t xml:space="preserve"> u dospievajúcich účastníkov (n = 146, vek 13 – 17 rokov) trpiacich schizofréniou bol prítomný </w:t>
      </w:r>
      <w:r w:rsidRPr="00DA4854">
        <w:rPr>
          <w:sz w:val="22"/>
          <w:szCs w:val="22"/>
          <w:lang w:val="sk-SK"/>
        </w:rPr>
        <w:lastRenderedPageBreak/>
        <w:t>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29, placebo, n = 12) a interval spoľahlivosti pre tento odhad (v rozsahu 0,151 až 1,628) neumožnil vykonať závery na základe účinku liečby. V porovnaní s 95 % intervalom spoľahlivosti pre pomer rizika (HR) v podskupine starších pacientov (aripiprazol, n = 69, placebo, n = 36), interval bol v rozsahu 0,242 až 0,879, čo umožňovalo vykonať záver týkajúci sa účinku liečby u starších pacientov.</w:t>
      </w:r>
    </w:p>
    <w:p w14:paraId="4D82D1D1" w14:textId="77777777" w:rsidR="00DE729C" w:rsidRPr="00EF433E" w:rsidRDefault="00DE729C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2EB8232E" w14:textId="77777777" w:rsidR="009671B7" w:rsidRPr="005C4213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  <w:r w:rsidRPr="005C4213">
        <w:rPr>
          <w:i/>
          <w:sz w:val="22"/>
          <w:szCs w:val="22"/>
          <w:lang w:val="sk-SK"/>
        </w:rPr>
        <w:t>Manické epizódy pri bipolárnej poruche typu I u detí a dospievajúcich</w:t>
      </w:r>
    </w:p>
    <w:p w14:paraId="692A76E5" w14:textId="77777777" w:rsidR="00B65C16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v 30-týždňovom placebom kontrolovanom klinickom skúšaní, do ktorého bolo zaradených 296 detí a dospievajúcich (10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-</w:t>
      </w:r>
      <w:r w:rsidR="007055BB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17 rokov), ktorí spĺňali kritériá DSM-IV pre bipolárnu poruchu typu I s manickými alebo zmiešanými epizódami s psychotickými znakmi alebo bez nich</w:t>
      </w:r>
    </w:p>
    <w:p w14:paraId="1D203192" w14:textId="77777777"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komorbiditu ADHD. </w:t>
      </w:r>
    </w:p>
    <w:p w14:paraId="771A639C" w14:textId="77777777" w:rsidR="009671B7" w:rsidRPr="00EF433E" w:rsidRDefault="009671B7" w:rsidP="009671B7">
      <w:pPr>
        <w:pStyle w:val="Default"/>
        <w:rPr>
          <w:sz w:val="22"/>
          <w:szCs w:val="22"/>
        </w:rPr>
      </w:pPr>
    </w:p>
    <w:p w14:paraId="4A6C5301" w14:textId="77777777"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Aripiprazol bol superiórny v celkovom skóre Y-MRS voči placebu v zmene medzi východiskovým stavom a 4. týždňom a 12. týždňom. V následnej (post-hoc) analýze bolo zlepšenie voči placebu očividnejšie u pacientov so spojenou komorbiditou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r w:rsidR="000F1765">
        <w:rPr>
          <w:sz w:val="22"/>
          <w:szCs w:val="22"/>
          <w:lang w:val="sk-SK"/>
        </w:rPr>
        <w:t xml:space="preserve">rekurencie </w:t>
      </w:r>
      <w:r w:rsidR="00B65C16">
        <w:rPr>
          <w:sz w:val="22"/>
          <w:szCs w:val="22"/>
          <w:lang w:val="sk-SK"/>
        </w:rPr>
        <w:t>sa ne</w:t>
      </w:r>
      <w:r w:rsidRPr="00EF433E">
        <w:rPr>
          <w:sz w:val="22"/>
          <w:szCs w:val="22"/>
          <w:lang w:val="sk-SK"/>
        </w:rPr>
        <w:t>dokáza</w:t>
      </w:r>
      <w:r w:rsidR="00B65C16">
        <w:rPr>
          <w:sz w:val="22"/>
          <w:szCs w:val="22"/>
          <w:lang w:val="sk-SK"/>
        </w:rPr>
        <w:t>la</w:t>
      </w:r>
      <w:r w:rsidRPr="00EF433E">
        <w:rPr>
          <w:sz w:val="22"/>
          <w:szCs w:val="22"/>
          <w:lang w:val="sk-SK"/>
        </w:rPr>
        <w:t>.</w:t>
      </w:r>
    </w:p>
    <w:p w14:paraId="38B9269B" w14:textId="77777777"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14:paraId="320AC899" w14:textId="77777777" w:rsidR="007836EF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extrapyramídové poruchy (28,3 %), somnolencia (27,3 %), bolesť hlavy (23,2 %) a nauzea (14,1 %). Priemerný </w:t>
      </w:r>
      <w:r w:rsidR="008A5B77">
        <w:rPr>
          <w:sz w:val="22"/>
          <w:szCs w:val="22"/>
          <w:lang w:val="sk-SK"/>
        </w:rPr>
        <w:t>prírastok</w:t>
      </w:r>
      <w:r w:rsidRPr="00EF433E">
        <w:rPr>
          <w:sz w:val="22"/>
          <w:szCs w:val="22"/>
          <w:lang w:val="sk-SK"/>
        </w:rPr>
        <w:t xml:space="preserve"> telesnej hmotnosti v 30-týždňovom intervale liečby bol 2,9 kg v porovnaní </w:t>
      </w:r>
    </w:p>
    <w:p w14:paraId="62BE6993" w14:textId="77777777"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s 0,98 kg u pacientov liečených placebom.</w:t>
      </w:r>
    </w:p>
    <w:p w14:paraId="3DE51DFE" w14:textId="77777777"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19BC8134" w14:textId="77777777" w:rsidR="00D8728F" w:rsidRPr="005C4213" w:rsidRDefault="00D8728F" w:rsidP="00D8728F">
      <w:pPr>
        <w:pStyle w:val="Default"/>
        <w:rPr>
          <w:i/>
          <w:sz w:val="22"/>
          <w:szCs w:val="22"/>
          <w:u w:val="single"/>
        </w:rPr>
      </w:pPr>
      <w:r w:rsidRPr="005C4213">
        <w:rPr>
          <w:i/>
          <w:iCs/>
          <w:sz w:val="22"/>
          <w:szCs w:val="22"/>
        </w:rPr>
        <w:t>Podráždenosť spojená s autistickou poruchou u pediatrických pacientov (pozri časť 4.2</w:t>
      </w:r>
      <w:r w:rsidRPr="005C4213">
        <w:rPr>
          <w:i/>
          <w:iCs/>
          <w:sz w:val="22"/>
          <w:szCs w:val="22"/>
          <w:u w:val="single"/>
        </w:rPr>
        <w:t>)</w:t>
      </w:r>
      <w:r w:rsidRPr="0016694D">
        <w:rPr>
          <w:i/>
          <w:iCs/>
          <w:sz w:val="22"/>
          <w:szCs w:val="22"/>
          <w:u w:val="single"/>
        </w:rPr>
        <w:t xml:space="preserve"> </w:t>
      </w:r>
    </w:p>
    <w:p w14:paraId="6FB558E4" w14:textId="77777777" w:rsidR="007836EF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Aripiprazol preukázal štatisticky významnú superioritu účinnosti v porovnaní s placebom </w:t>
      </w:r>
    </w:p>
    <w:p w14:paraId="1B201B17" w14:textId="77777777" w:rsidR="00F931D9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 </w:t>
      </w:r>
    </w:p>
    <w:p w14:paraId="39BC095D" w14:textId="77777777" w:rsidR="00F931D9" w:rsidRPr="00EF433E" w:rsidRDefault="00F931D9" w:rsidP="00F931D9">
      <w:pPr>
        <w:pStyle w:val="Default"/>
        <w:rPr>
          <w:sz w:val="22"/>
          <w:szCs w:val="22"/>
        </w:rPr>
      </w:pPr>
    </w:p>
    <w:p w14:paraId="7DBFFD9D" w14:textId="77777777" w:rsidR="00D8728F" w:rsidRPr="00EF433E" w:rsidRDefault="00D8728F" w:rsidP="00F931D9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 xml:space="preserve">iprazol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>klinickom skúšaní. Po 13</w:t>
      </w:r>
      <w:r w:rsidR="00EF3034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-26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7836EF">
        <w:rPr>
          <w:sz w:val="22"/>
          <w:szCs w:val="22"/>
        </w:rPr>
        <w:t>príznaky</w:t>
      </w:r>
      <w:r w:rsidRPr="00EF433E">
        <w:rPr>
          <w:sz w:val="22"/>
          <w:szCs w:val="22"/>
        </w:rPr>
        <w:t xml:space="preserve"> sa hlásili najmä počas stabilizačnej fázy u 17 % pacientov, s trasom predstavujúcim 6,5 %.</w:t>
      </w:r>
    </w:p>
    <w:p w14:paraId="49715F27" w14:textId="77777777" w:rsidR="00E81D28" w:rsidRPr="005C4213" w:rsidRDefault="00E81D28" w:rsidP="00A440E6">
      <w:pPr>
        <w:pStyle w:val="Zarkazkladnhotextu2"/>
        <w:ind w:left="0" w:firstLine="0"/>
        <w:jc w:val="left"/>
        <w:rPr>
          <w:i/>
          <w:sz w:val="22"/>
          <w:szCs w:val="22"/>
          <w:lang w:val="sk-SK"/>
        </w:rPr>
      </w:pPr>
    </w:p>
    <w:p w14:paraId="1D5C4365" w14:textId="77777777" w:rsidR="00B72BB2" w:rsidRPr="005C4213" w:rsidRDefault="00B72BB2" w:rsidP="00B72BB2">
      <w:pPr>
        <w:pStyle w:val="Default"/>
        <w:rPr>
          <w:i/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Tiky súvisiace s Tourettovým syndrómom u pediatrických pacientov (pozri časť 4.2) </w:t>
      </w:r>
    </w:p>
    <w:p w14:paraId="77924691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14:paraId="41AA1074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3445FBA5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úvodnej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14:paraId="7BD3CA0C" w14:textId="77777777" w:rsidR="007836EF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</w:t>
      </w:r>
    </w:p>
    <w:p w14:paraId="06FB17CA" w14:textId="77777777"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a bezpečnosti aripiprazolu pri tejto fluktuačnej poruche. </w:t>
      </w:r>
    </w:p>
    <w:p w14:paraId="69CC435F" w14:textId="77777777" w:rsidR="00B72BB2" w:rsidRPr="00EF433E" w:rsidRDefault="00B72BB2" w:rsidP="00B72BB2">
      <w:pPr>
        <w:pStyle w:val="Default"/>
        <w:rPr>
          <w:sz w:val="22"/>
          <w:szCs w:val="22"/>
        </w:rPr>
      </w:pPr>
    </w:p>
    <w:p w14:paraId="5C418D0B" w14:textId="77777777" w:rsidR="007836EF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Európska agentúra pre lieky udelila odklad z povinnosti predložiť výsledky štúdií s aripiprazolom </w:t>
      </w:r>
    </w:p>
    <w:p w14:paraId="59CCD0A9" w14:textId="77777777"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v jednej alebo vo viacerých podskupinách pediatrickej populácie pri liečbe schizofrénie a pri liečbe bipolárnej afektívnej poruchy (informácie o použití v pediatrickej populácii, pozri časť 4.2 ).</w:t>
      </w:r>
    </w:p>
    <w:p w14:paraId="216DD24A" w14:textId="77777777"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0D293422" w14:textId="77777777"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r w:rsidRPr="00EF433E">
        <w:rPr>
          <w:b/>
          <w:sz w:val="22"/>
        </w:rPr>
        <w:t>Farmakokinetické vlastnosti</w:t>
      </w:r>
    </w:p>
    <w:p w14:paraId="00C1A844" w14:textId="77777777" w:rsidR="00A0467A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2060D6C0" w14:textId="77777777" w:rsidR="001542E9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  <w:r>
        <w:rPr>
          <w:szCs w:val="24"/>
          <w:lang w:val="sk-SK"/>
        </w:rPr>
        <w:t>Orodispergovateľn</w:t>
      </w:r>
      <w:r w:rsidR="007A7FA7">
        <w:rPr>
          <w:szCs w:val="24"/>
          <w:lang w:val="sk-SK"/>
        </w:rPr>
        <w:t>á</w:t>
      </w:r>
      <w:r>
        <w:rPr>
          <w:szCs w:val="24"/>
          <w:lang w:val="sk-SK"/>
        </w:rPr>
        <w:t xml:space="preserve"> tablet</w:t>
      </w:r>
      <w:r w:rsidR="007A7FA7">
        <w:rPr>
          <w:szCs w:val="24"/>
          <w:lang w:val="sk-SK"/>
        </w:rPr>
        <w:t>a</w:t>
      </w:r>
      <w:r>
        <w:rPr>
          <w:szCs w:val="24"/>
          <w:lang w:val="sk-SK"/>
        </w:rPr>
        <w:t xml:space="preserve"> aripirazolu </w:t>
      </w:r>
      <w:r w:rsidR="007A7FA7">
        <w:rPr>
          <w:szCs w:val="24"/>
          <w:lang w:val="sk-SK"/>
        </w:rPr>
        <w:t>je</w:t>
      </w:r>
      <w:r>
        <w:rPr>
          <w:szCs w:val="24"/>
          <w:lang w:val="sk-SK"/>
        </w:rPr>
        <w:t xml:space="preserve"> bioekvivalentn</w:t>
      </w:r>
      <w:r w:rsidR="007A7FA7">
        <w:rPr>
          <w:szCs w:val="24"/>
          <w:lang w:val="sk-SK"/>
        </w:rPr>
        <w:t>á</w:t>
      </w:r>
      <w:r>
        <w:rPr>
          <w:szCs w:val="24"/>
          <w:lang w:val="sk-SK"/>
        </w:rPr>
        <w:t xml:space="preserve"> aripirazolu</w:t>
      </w:r>
      <w:r w:rsidR="007A7FA7">
        <w:rPr>
          <w:szCs w:val="24"/>
          <w:lang w:val="sk-SK"/>
        </w:rPr>
        <w:t xml:space="preserve"> v tablete</w:t>
      </w:r>
      <w:r>
        <w:rPr>
          <w:szCs w:val="24"/>
          <w:lang w:val="sk-SK"/>
        </w:rPr>
        <w:t xml:space="preserve"> s podobnou rýchlosťou a rozsahom absorpcie.</w:t>
      </w:r>
      <w:r w:rsidR="0089548A" w:rsidRPr="0089548A">
        <w:rPr>
          <w:szCs w:val="24"/>
          <w:lang w:val="sk-SK"/>
        </w:rPr>
        <w:t xml:space="preserve"> </w:t>
      </w:r>
      <w:r w:rsidR="0089548A">
        <w:rPr>
          <w:szCs w:val="24"/>
          <w:lang w:val="sk-SK"/>
        </w:rPr>
        <w:t>Orodispergovateľné tablety aripirazolu sa môžu používať ako alternatíva tabliet aripirazolu.</w:t>
      </w:r>
    </w:p>
    <w:p w14:paraId="3E1B575F" w14:textId="77777777" w:rsidR="001542E9" w:rsidRPr="00EF433E" w:rsidRDefault="001542E9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14:paraId="39F3B1C3" w14:textId="77777777" w:rsidR="00A0467A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14:paraId="54F76AB1" w14:textId="77777777" w:rsidR="00A96506" w:rsidRPr="00EF433E" w:rsidRDefault="00A96506" w:rsidP="00A440E6">
      <w:pPr>
        <w:rPr>
          <w:sz w:val="22"/>
          <w:u w:val="single"/>
        </w:rPr>
      </w:pPr>
    </w:p>
    <w:p w14:paraId="32C4F4DF" w14:textId="77777777"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Aripiprazol sa dobre vstrebáva a vrcholové plazmatické koncentrácie sa dosiahnu do 3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-</w:t>
      </w:r>
      <w:r w:rsidR="000E6F80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5 hodín po podaní dávky. Aripiprazol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farmakokinetiku aripiprazolu.</w:t>
      </w:r>
    </w:p>
    <w:p w14:paraId="48F2F06B" w14:textId="77777777"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2AFE17CF" w14:textId="77777777" w:rsidR="00A0467A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14:paraId="70E418FE" w14:textId="77777777"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799FBC5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14:paraId="00091706" w14:textId="77777777"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77C4E451" w14:textId="77777777" w:rsidR="00A0467A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 xml:space="preserve">Biotransformácia </w:t>
      </w:r>
    </w:p>
    <w:p w14:paraId="5777FEE5" w14:textId="77777777" w:rsidR="00A96506" w:rsidRPr="00EF433E" w:rsidRDefault="00A96506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14:paraId="317A8E67" w14:textId="77777777" w:rsidR="00FD3E85" w:rsidRPr="00EF433E" w:rsidRDefault="00FD3E85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Aripiprazol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biotransformačnými dráhami: dehydrogenáciou, hydroxyláciou a N-dealkyláciou.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dehydrogenáciu a </w:t>
      </w:r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r w:rsidR="009D53DF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hodnoty AUC aripiprazolu v plazme.</w:t>
      </w:r>
    </w:p>
    <w:p w14:paraId="45B5DEE2" w14:textId="77777777" w:rsidR="00FD3E85" w:rsidRPr="00EF433E" w:rsidRDefault="00FD3E85" w:rsidP="00A440E6">
      <w:pPr>
        <w:rPr>
          <w:sz w:val="22"/>
        </w:rPr>
      </w:pPr>
    </w:p>
    <w:p w14:paraId="6D34594B" w14:textId="77777777" w:rsidR="00A0467A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14:paraId="0C52803F" w14:textId="77777777" w:rsidR="00A96506" w:rsidRPr="00EF433E" w:rsidRDefault="00A96506" w:rsidP="00A440E6">
      <w:pPr>
        <w:rPr>
          <w:sz w:val="22"/>
          <w:u w:val="single"/>
        </w:rPr>
      </w:pPr>
    </w:p>
    <w:p w14:paraId="540E96E0" w14:textId="77777777" w:rsidR="008144F3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aripiprazolu je približne 75 hodín u rýchlych metabolizérov CYP2D6 </w:t>
      </w:r>
    </w:p>
    <w:p w14:paraId="4EBEECBC" w14:textId="77777777"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a približne 146 hodín u pomalých metabolizérov CYP2D6.</w:t>
      </w:r>
    </w:p>
    <w:p w14:paraId="0D8CCE94" w14:textId="77777777"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DDDB4EB" w14:textId="77777777"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klírens aripiprazolu je 0,7 ml/min/kg a je predovšetkým hepatálny. </w:t>
      </w:r>
    </w:p>
    <w:p w14:paraId="6D727B34" w14:textId="77777777" w:rsidR="008C7749" w:rsidRPr="00EF433E" w:rsidRDefault="008C7749" w:rsidP="00FD3E85">
      <w:pPr>
        <w:pStyle w:val="Default"/>
        <w:rPr>
          <w:sz w:val="22"/>
          <w:szCs w:val="22"/>
        </w:rPr>
      </w:pPr>
    </w:p>
    <w:p w14:paraId="5BED6004" w14:textId="77777777"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>Po jednotlivej perorálnej dávke aripiprazolu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>] bolo približne 27 % podanej rádioaktívnej látky zistenej v moči a približne 60 % v stolici. Menej ako 1 % nezmeneného aripiprazolu sa vylúčilo močom a približne 18 % sa vylúčilo v nezmenenej forme stolicou.</w:t>
      </w:r>
    </w:p>
    <w:p w14:paraId="3C896979" w14:textId="77777777"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7EA00FA2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 w:rsidRPr="00EF433E">
        <w:rPr>
          <w:sz w:val="22"/>
          <w:u w:val="single"/>
          <w:lang w:val="sk-SK"/>
        </w:rPr>
        <w:t>Farmakokinetika u špeciálnych skupín pacientov</w:t>
      </w:r>
    </w:p>
    <w:p w14:paraId="5D84C165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48FC3029" w14:textId="77777777" w:rsidR="00ED3706" w:rsidRPr="005C4213" w:rsidRDefault="00ED3706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Pediatrická populácia</w:t>
      </w:r>
    </w:p>
    <w:p w14:paraId="0DD06106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Farmakokinetika aripiprazolu a</w:t>
      </w:r>
      <w:r w:rsidR="005D5058" w:rsidRPr="00EF433E">
        <w:rPr>
          <w:sz w:val="22"/>
          <w:szCs w:val="22"/>
          <w:lang w:val="sk-SK"/>
        </w:rPr>
        <w:t> </w:t>
      </w:r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14:paraId="0E26EBA4" w14:textId="77777777"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14:paraId="062A987F" w14:textId="77777777" w:rsidR="00A0467A" w:rsidRPr="005C4213" w:rsidRDefault="00A0467A" w:rsidP="00A440E6">
      <w:pPr>
        <w:pStyle w:val="Zarkazkladnhotextu2"/>
        <w:ind w:left="0" w:firstLine="0"/>
        <w:jc w:val="left"/>
        <w:rPr>
          <w:i/>
          <w:sz w:val="22"/>
          <w:lang w:val="sk-SK"/>
        </w:rPr>
      </w:pPr>
      <w:r w:rsidRPr="005C4213">
        <w:rPr>
          <w:i/>
          <w:sz w:val="22"/>
          <w:lang w:val="sk-SK"/>
        </w:rPr>
        <w:t>Starší pacienti</w:t>
      </w:r>
    </w:p>
    <w:p w14:paraId="2B28F02B" w14:textId="77777777"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14:paraId="5C9265A8" w14:textId="77777777"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14:paraId="7752B52B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Pohlavie </w:t>
      </w:r>
    </w:p>
    <w:p w14:paraId="3AFD3C57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farmakokinetike aripiprazolu medzi zdravými mužskými a ženskými jedincami a vo farmakokinetickej populačnej analýze u schizofrenických pacientov sa nezistil ani žiadny vplyv pohlavia. </w:t>
      </w:r>
    </w:p>
    <w:p w14:paraId="2000AA0D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54888365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>Fajčenie</w:t>
      </w:r>
    </w:p>
    <w:p w14:paraId="1425AF42" w14:textId="77777777" w:rsidR="00ED3706" w:rsidRDefault="00ED3706" w:rsidP="00C41583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neodhalilo žiadne klinicky podstatné </w:t>
      </w:r>
      <w:r w:rsidR="003B59F5" w:rsidRPr="00EF433E">
        <w:rPr>
          <w:sz w:val="22"/>
          <w:szCs w:val="22"/>
        </w:rPr>
        <w:t>účink</w:t>
      </w:r>
      <w:r w:rsidR="00C41583">
        <w:rPr>
          <w:sz w:val="22"/>
          <w:szCs w:val="22"/>
        </w:rPr>
        <w:t xml:space="preserve">y súvisiace s 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fajčen</w:t>
      </w:r>
      <w:r w:rsidR="00C41583">
        <w:rPr>
          <w:sz w:val="22"/>
          <w:szCs w:val="22"/>
        </w:rPr>
        <w:t>ím</w:t>
      </w:r>
      <w:r w:rsidRPr="00EF433E">
        <w:rPr>
          <w:sz w:val="22"/>
          <w:szCs w:val="22"/>
        </w:rPr>
        <w:t xml:space="preserve"> na farmakokinetiku aripiprazolu. </w:t>
      </w:r>
    </w:p>
    <w:p w14:paraId="04C12A3B" w14:textId="77777777" w:rsidR="00C41583" w:rsidRDefault="00C41583" w:rsidP="00C41583">
      <w:pPr>
        <w:pStyle w:val="Default"/>
        <w:rPr>
          <w:sz w:val="22"/>
          <w:szCs w:val="22"/>
        </w:rPr>
      </w:pPr>
    </w:p>
    <w:p w14:paraId="017DD634" w14:textId="77777777" w:rsidR="00C41583" w:rsidRPr="005C4213" w:rsidRDefault="00C41583" w:rsidP="00C41583">
      <w:pPr>
        <w:pStyle w:val="Default"/>
        <w:rPr>
          <w:i/>
          <w:sz w:val="22"/>
          <w:szCs w:val="22"/>
        </w:rPr>
      </w:pPr>
      <w:r w:rsidRPr="005C4213">
        <w:rPr>
          <w:i/>
          <w:sz w:val="22"/>
          <w:szCs w:val="22"/>
        </w:rPr>
        <w:t>Rasa</w:t>
      </w:r>
    </w:p>
    <w:p w14:paraId="538F4847" w14:textId="77777777" w:rsidR="0080550A" w:rsidRPr="0080550A" w:rsidRDefault="00C41583" w:rsidP="0080550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Farmakokinetické populačné vyhodnotenie </w:t>
      </w:r>
      <w:r w:rsidR="0080550A" w:rsidRPr="0080550A">
        <w:rPr>
          <w:sz w:val="22"/>
          <w:szCs w:val="22"/>
        </w:rPr>
        <w:t>nepreukázalo výskyt žiadnych rozdielov spojených s rasou</w:t>
      </w:r>
    </w:p>
    <w:p w14:paraId="3AD4BF42" w14:textId="77777777" w:rsidR="00C41583" w:rsidRDefault="0080550A" w:rsidP="0080550A">
      <w:pPr>
        <w:pStyle w:val="Default"/>
        <w:rPr>
          <w:sz w:val="22"/>
          <w:szCs w:val="22"/>
        </w:rPr>
      </w:pPr>
      <w:r w:rsidRPr="0080550A">
        <w:rPr>
          <w:sz w:val="22"/>
          <w:szCs w:val="22"/>
        </w:rPr>
        <w:t>vo farmakokinetike aripiprazolu</w:t>
      </w:r>
      <w:r>
        <w:rPr>
          <w:sz w:val="22"/>
          <w:szCs w:val="22"/>
        </w:rPr>
        <w:t>.</w:t>
      </w:r>
      <w:r w:rsidR="00C41583" w:rsidRPr="00EF433E">
        <w:rPr>
          <w:sz w:val="22"/>
          <w:szCs w:val="22"/>
        </w:rPr>
        <w:t xml:space="preserve">. </w:t>
      </w:r>
    </w:p>
    <w:p w14:paraId="0EBA28C3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16BA75E4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obličiek </w:t>
      </w:r>
    </w:p>
    <w:p w14:paraId="0A497663" w14:textId="77777777"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farmakokinetické vlastnosti aripiprazolu a dehydro-aripiprazolu sú u pacientov s ťažkým ochorením obličiek podobné ako u mladých zdravých jedincov. </w:t>
      </w:r>
    </w:p>
    <w:p w14:paraId="3F4F5D2D" w14:textId="77777777" w:rsidR="00ED3706" w:rsidRPr="00EF433E" w:rsidRDefault="00ED3706" w:rsidP="00ED3706">
      <w:pPr>
        <w:pStyle w:val="Default"/>
        <w:rPr>
          <w:sz w:val="22"/>
          <w:szCs w:val="22"/>
        </w:rPr>
      </w:pPr>
    </w:p>
    <w:p w14:paraId="62B65D70" w14:textId="77777777" w:rsidR="00ED3706" w:rsidRPr="005C4213" w:rsidRDefault="00ED3706" w:rsidP="00ED3706">
      <w:pPr>
        <w:pStyle w:val="Default"/>
        <w:rPr>
          <w:sz w:val="22"/>
          <w:szCs w:val="22"/>
        </w:rPr>
      </w:pPr>
      <w:r w:rsidRPr="005C4213">
        <w:rPr>
          <w:i/>
          <w:iCs/>
          <w:sz w:val="22"/>
          <w:szCs w:val="22"/>
        </w:rPr>
        <w:t xml:space="preserve">Porucha funkcie pečene </w:t>
      </w:r>
    </w:p>
    <w:p w14:paraId="092B8694" w14:textId="77777777"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3940F4">
        <w:rPr>
          <w:sz w:val="22"/>
          <w:szCs w:val="22"/>
        </w:rPr>
        <w:t>Štúdia jednorazovej dávky u jedincov s rôznymi stupňami cirhózy pečene (Child</w:t>
      </w:r>
      <w:r w:rsidR="003058F6" w:rsidRPr="003940F4">
        <w:rPr>
          <w:sz w:val="22"/>
          <w:szCs w:val="22"/>
        </w:rPr>
        <w:t>ovo</w:t>
      </w:r>
      <w:r w:rsidRPr="003940F4">
        <w:rPr>
          <w:sz w:val="22"/>
          <w:szCs w:val="22"/>
        </w:rPr>
        <w:t>-Pughov</w:t>
      </w:r>
      <w:r w:rsidR="003058F6" w:rsidRPr="003940F4">
        <w:rPr>
          <w:sz w:val="22"/>
          <w:szCs w:val="22"/>
        </w:rPr>
        <w:t>o</w:t>
      </w:r>
      <w:r w:rsidRPr="003940F4">
        <w:rPr>
          <w:sz w:val="22"/>
          <w:szCs w:val="22"/>
        </w:rPr>
        <w:t xml:space="preserve"> s</w:t>
      </w:r>
      <w:r w:rsidR="00D47F26" w:rsidRPr="003940F4">
        <w:rPr>
          <w:sz w:val="22"/>
          <w:szCs w:val="22"/>
        </w:rPr>
        <w:t>kóre</w:t>
      </w:r>
      <w:r w:rsidRPr="003940F4">
        <w:rPr>
          <w:sz w:val="22"/>
          <w:szCs w:val="22"/>
        </w:rPr>
        <w:t xml:space="preserve"> A, B a C) neodhalila významný vplyv poruchy funkcie pečene na farmakokinetiku aripiprazolu a</w:t>
      </w:r>
      <w:r w:rsidRPr="00EF433E">
        <w:rPr>
          <w:sz w:val="22"/>
          <w:szCs w:val="22"/>
        </w:rPr>
        <w:t xml:space="preserve"> dehydro-aripiprazolu,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14:paraId="65D69D07" w14:textId="77777777"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14:paraId="7552F765" w14:textId="77777777"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14:paraId="0AE9E670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14:paraId="4A3A1D32" w14:textId="77777777"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>Predklinické údaje o bezpečnosti na základe obvyklých štúdií farmakologickej bezpečnosti, toxicity po opakovanom podávaní, genotoxicity, karcinogénneho potenciálu a vývojovej a reprodukčnej toxicity neodhalili žiadne osobitné riziko pre ľudí.</w:t>
      </w:r>
    </w:p>
    <w:p w14:paraId="327EDE15" w14:textId="77777777"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14:paraId="481A9A14" w14:textId="77777777" w:rsidR="000064FD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5F5C57">
        <w:rPr>
          <w:sz w:val="22"/>
          <w:szCs w:val="22"/>
        </w:rPr>
        <w:t xml:space="preserve">pigmentu </w:t>
      </w:r>
      <w:r w:rsidRPr="00EF433E">
        <w:rPr>
          <w:sz w:val="22"/>
          <w:szCs w:val="22"/>
        </w:rPr>
        <w:t xml:space="preserve">lipofuscínu a/alebo strata parenchymálnych buniek) u potkanov po 104 týždňoch pri dávke od 20 do 60 mg/kg/deň (3 až 10-násobok priemernej hodnoty </w:t>
      </w:r>
      <w:r w:rsidRPr="00EF433E">
        <w:rPr>
          <w:sz w:val="22"/>
          <w:szCs w:val="22"/>
        </w:rPr>
        <w:lastRenderedPageBreak/>
        <w:t xml:space="preserve">AUC v rovnovážnom stave pri maximálnej odporúčanej dávke u ľudí) a zvýšené adrenokortikálne karcinómy a kombinované adrenokortikálne adenómy/karcinómy u samíc potkanov pri dávke </w:t>
      </w:r>
    </w:p>
    <w:p w14:paraId="3F95D1EC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14:paraId="71A330B6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1C909820" w14:textId="77777777"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14:paraId="7228CD94" w14:textId="77777777" w:rsidR="005D5058" w:rsidRPr="00EF433E" w:rsidRDefault="005D5058" w:rsidP="005D5058">
      <w:pPr>
        <w:rPr>
          <w:sz w:val="22"/>
          <w:szCs w:val="22"/>
        </w:rPr>
      </w:pPr>
    </w:p>
    <w:p w14:paraId="22638B52" w14:textId="77777777"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Profil toxicity aripiprazolu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neurotoxicity ani nežiaducich </w:t>
      </w:r>
      <w:r w:rsidR="006A74E4">
        <w:rPr>
          <w:sz w:val="22"/>
          <w:szCs w:val="22"/>
        </w:rPr>
        <w:t xml:space="preserve">reakcií </w:t>
      </w:r>
      <w:r w:rsidRPr="00EF433E">
        <w:rPr>
          <w:sz w:val="22"/>
          <w:szCs w:val="22"/>
        </w:rPr>
        <w:t xml:space="preserve">na vývoj. </w:t>
      </w:r>
    </w:p>
    <w:p w14:paraId="5FE499A3" w14:textId="77777777" w:rsidR="00EF1C23" w:rsidRPr="00EF433E" w:rsidRDefault="00EF1C23" w:rsidP="005D5058">
      <w:pPr>
        <w:pStyle w:val="Default"/>
        <w:rPr>
          <w:sz w:val="22"/>
          <w:szCs w:val="22"/>
        </w:rPr>
      </w:pPr>
    </w:p>
    <w:p w14:paraId="5FE6DBAD" w14:textId="77777777"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14:paraId="36867768" w14:textId="77777777" w:rsidR="005D5058" w:rsidRDefault="005D5058" w:rsidP="005D5058">
      <w:pPr>
        <w:rPr>
          <w:sz w:val="22"/>
        </w:rPr>
      </w:pPr>
    </w:p>
    <w:p w14:paraId="5F9F9869" w14:textId="77777777" w:rsidR="005B20A2" w:rsidRPr="00EF433E" w:rsidRDefault="005B20A2" w:rsidP="005D5058">
      <w:pPr>
        <w:rPr>
          <w:sz w:val="22"/>
        </w:rPr>
      </w:pPr>
    </w:p>
    <w:p w14:paraId="08A6E6DD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14:paraId="05F36349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534A76E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14:paraId="300824D7" w14:textId="77777777" w:rsidR="00A0467A" w:rsidRPr="00EF433E" w:rsidRDefault="00A0467A" w:rsidP="00A440E6">
      <w:pPr>
        <w:keepNext/>
        <w:rPr>
          <w:b/>
          <w:sz w:val="22"/>
        </w:rPr>
      </w:pPr>
    </w:p>
    <w:p w14:paraId="437A2BF0" w14:textId="77777777" w:rsidR="00572E13" w:rsidRDefault="00702298" w:rsidP="00572E13">
      <w:pPr>
        <w:pStyle w:val="Zkladntext"/>
        <w:jc w:val="left"/>
        <w:rPr>
          <w:sz w:val="22"/>
        </w:rPr>
      </w:pPr>
      <w:r>
        <w:rPr>
          <w:sz w:val="22"/>
        </w:rPr>
        <w:t>m</w:t>
      </w:r>
      <w:r w:rsidR="00572E13" w:rsidRPr="00EF433E">
        <w:rPr>
          <w:sz w:val="22"/>
        </w:rPr>
        <w:t xml:space="preserve">ikrokryštalická celulóza </w:t>
      </w:r>
    </w:p>
    <w:p w14:paraId="40F47C3D" w14:textId="77777777" w:rsidR="00B36034" w:rsidRPr="00EF433E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14:paraId="7E4F1922" w14:textId="77777777" w:rsidR="00572E13" w:rsidRPr="00DA4854" w:rsidRDefault="00702298" w:rsidP="00572E13">
      <w:pPr>
        <w:pStyle w:val="Zkladntext"/>
        <w:jc w:val="left"/>
        <w:rPr>
          <w:sz w:val="22"/>
        </w:rPr>
      </w:pPr>
      <w:r>
        <w:rPr>
          <w:sz w:val="22"/>
        </w:rPr>
        <w:t>aspartám</w:t>
      </w:r>
      <w:r w:rsidR="00B36034">
        <w:rPr>
          <w:sz w:val="22"/>
        </w:rPr>
        <w:t xml:space="preserve"> (E(951</w:t>
      </w:r>
      <w:r w:rsidR="00B36034" w:rsidRPr="00DA4854">
        <w:rPr>
          <w:sz w:val="22"/>
        </w:rPr>
        <w:t>)</w:t>
      </w:r>
    </w:p>
    <w:p w14:paraId="3B84198C" w14:textId="77777777" w:rsidR="00B36034" w:rsidRDefault="00B36034" w:rsidP="00572E13">
      <w:pPr>
        <w:pStyle w:val="Zkladntext"/>
        <w:jc w:val="left"/>
        <w:rPr>
          <w:sz w:val="22"/>
        </w:rPr>
      </w:pPr>
      <w:r>
        <w:rPr>
          <w:sz w:val="22"/>
        </w:rPr>
        <w:t>vanilková príchuť:</w:t>
      </w:r>
    </w:p>
    <w:p w14:paraId="55D4F4C9" w14:textId="77777777" w:rsidR="00731F4F" w:rsidRDefault="00731F4F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kukuričný maltode</w:t>
      </w:r>
      <w:r w:rsidR="006A35A0">
        <w:rPr>
          <w:sz w:val="22"/>
        </w:rPr>
        <w:t>x</w:t>
      </w:r>
      <w:r>
        <w:rPr>
          <w:sz w:val="22"/>
        </w:rPr>
        <w:t>trín</w:t>
      </w:r>
    </w:p>
    <w:p w14:paraId="65BFB68F" w14:textId="77777777" w:rsidR="00B36034" w:rsidRDefault="007750DC" w:rsidP="00F352E6">
      <w:pPr>
        <w:pStyle w:val="Zkladntext"/>
        <w:ind w:left="567"/>
        <w:jc w:val="left"/>
        <w:rPr>
          <w:sz w:val="22"/>
        </w:rPr>
      </w:pPr>
      <w:r>
        <w:rPr>
          <w:sz w:val="22"/>
        </w:rPr>
        <w:t>aromatické látk</w:t>
      </w:r>
      <w:r w:rsidR="00A942BF">
        <w:rPr>
          <w:sz w:val="22"/>
        </w:rPr>
        <w:t>y</w:t>
      </w:r>
    </w:p>
    <w:p w14:paraId="06CB693D" w14:textId="77777777" w:rsidR="00B36034" w:rsidRPr="00DA4854" w:rsidRDefault="00B36034" w:rsidP="007C5528">
      <w:pPr>
        <w:pStyle w:val="Zkladntext"/>
        <w:ind w:left="567"/>
        <w:jc w:val="left"/>
        <w:rPr>
          <w:sz w:val="22"/>
        </w:rPr>
      </w:pPr>
      <w:r>
        <w:rPr>
          <w:sz w:val="22"/>
        </w:rPr>
        <w:t>propylénglykol (E1520</w:t>
      </w:r>
      <w:r w:rsidRPr="00DA4854">
        <w:rPr>
          <w:sz w:val="22"/>
        </w:rPr>
        <w:t>)</w:t>
      </w:r>
    </w:p>
    <w:p w14:paraId="4491021B" w14:textId="77777777" w:rsidR="00A0467A" w:rsidRDefault="00BE69F8" w:rsidP="00A440E6">
      <w:pPr>
        <w:pStyle w:val="Zkladntext"/>
        <w:jc w:val="left"/>
        <w:rPr>
          <w:sz w:val="22"/>
        </w:rPr>
      </w:pPr>
      <w:r>
        <w:rPr>
          <w:sz w:val="22"/>
        </w:rPr>
        <w:t>stearan horečnatý</w:t>
      </w:r>
    </w:p>
    <w:p w14:paraId="0A0AA173" w14:textId="77777777" w:rsidR="00702298" w:rsidRPr="00B36034" w:rsidRDefault="00731F4F" w:rsidP="00A440E6">
      <w:pPr>
        <w:pStyle w:val="Zkladntext"/>
        <w:jc w:val="left"/>
        <w:rPr>
          <w:sz w:val="22"/>
        </w:rPr>
      </w:pPr>
      <w:r>
        <w:rPr>
          <w:sz w:val="22"/>
        </w:rPr>
        <w:t xml:space="preserve">sodná soľ </w:t>
      </w:r>
      <w:r w:rsidR="00702298">
        <w:rPr>
          <w:sz w:val="22"/>
        </w:rPr>
        <w:t>kroskarmelóz</w:t>
      </w:r>
      <w:r>
        <w:rPr>
          <w:sz w:val="22"/>
        </w:rPr>
        <w:t>y</w:t>
      </w:r>
      <w:r w:rsidR="00B36034">
        <w:rPr>
          <w:sz w:val="22"/>
        </w:rPr>
        <w:t xml:space="preserve"> (E468</w:t>
      </w:r>
      <w:r w:rsidR="00B36034" w:rsidRPr="00DA4854">
        <w:rPr>
          <w:sz w:val="22"/>
        </w:rPr>
        <w:t>)</w:t>
      </w:r>
    </w:p>
    <w:p w14:paraId="54E071DF" w14:textId="77777777" w:rsidR="00A0467A" w:rsidRPr="00DA4854" w:rsidRDefault="007B1FFB" w:rsidP="00A440E6">
      <w:pPr>
        <w:rPr>
          <w:sz w:val="22"/>
        </w:rPr>
      </w:pPr>
      <w:r>
        <w:rPr>
          <w:sz w:val="22"/>
        </w:rPr>
        <w:t>15 mg orodispergovateľné tablety</w:t>
      </w:r>
      <w:r w:rsidR="005D07A2">
        <w:rPr>
          <w:sz w:val="22"/>
        </w:rPr>
        <w:t>:</w:t>
      </w:r>
      <w:r>
        <w:rPr>
          <w:sz w:val="22"/>
        </w:rPr>
        <w:t xml:space="preserve"> žltý oxid</w:t>
      </w:r>
      <w:r w:rsidR="00E71D41">
        <w:rPr>
          <w:sz w:val="22"/>
        </w:rPr>
        <w:t xml:space="preserve"> </w:t>
      </w:r>
      <w:r>
        <w:rPr>
          <w:sz w:val="22"/>
        </w:rPr>
        <w:t>železitý (E172</w:t>
      </w:r>
      <w:r w:rsidRPr="00DA4854">
        <w:rPr>
          <w:sz w:val="22"/>
        </w:rPr>
        <w:t>)</w:t>
      </w:r>
    </w:p>
    <w:p w14:paraId="417D6196" w14:textId="77777777" w:rsidR="007B1FFB" w:rsidRPr="00DA4854" w:rsidRDefault="007B1FFB" w:rsidP="00A440E6">
      <w:pPr>
        <w:rPr>
          <w:sz w:val="22"/>
        </w:rPr>
      </w:pPr>
    </w:p>
    <w:p w14:paraId="02158EB6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14:paraId="1010A015" w14:textId="77777777" w:rsidR="00A0467A" w:rsidRPr="00EF433E" w:rsidRDefault="00A0467A" w:rsidP="00A440E6">
      <w:pPr>
        <w:keepNext/>
        <w:rPr>
          <w:b/>
          <w:sz w:val="22"/>
        </w:rPr>
      </w:pPr>
    </w:p>
    <w:p w14:paraId="68D9EF70" w14:textId="77777777"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14:paraId="0BC39A2C" w14:textId="77777777" w:rsidR="00A0467A" w:rsidRPr="00EF433E" w:rsidRDefault="00A0467A" w:rsidP="00A440E6">
      <w:pPr>
        <w:rPr>
          <w:sz w:val="22"/>
        </w:rPr>
      </w:pPr>
    </w:p>
    <w:p w14:paraId="69FE2E79" w14:textId="77777777"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14:paraId="5749C367" w14:textId="77777777" w:rsidR="00A0467A" w:rsidRPr="00EF433E" w:rsidRDefault="00A0467A" w:rsidP="00A440E6">
      <w:pPr>
        <w:keepNext/>
        <w:rPr>
          <w:b/>
          <w:sz w:val="22"/>
        </w:rPr>
      </w:pPr>
    </w:p>
    <w:p w14:paraId="43DA3264" w14:textId="77777777" w:rsidR="00A0467A" w:rsidRPr="00EF433E" w:rsidRDefault="00A063BA" w:rsidP="00A440E6">
      <w:pPr>
        <w:rPr>
          <w:sz w:val="22"/>
        </w:rPr>
      </w:pPr>
      <w:r>
        <w:rPr>
          <w:sz w:val="22"/>
        </w:rPr>
        <w:t>18 mesiacov.</w:t>
      </w:r>
    </w:p>
    <w:p w14:paraId="24CBF65B" w14:textId="77777777" w:rsidR="00A0467A" w:rsidRPr="00EF433E" w:rsidRDefault="00A0467A" w:rsidP="00A440E6">
      <w:pPr>
        <w:rPr>
          <w:sz w:val="22"/>
        </w:rPr>
      </w:pPr>
    </w:p>
    <w:p w14:paraId="3FB6B43C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14:paraId="5F2D3DF5" w14:textId="77777777"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</w:p>
    <w:p w14:paraId="65AEC9E0" w14:textId="77777777" w:rsidR="00F444D8" w:rsidRDefault="00F444D8" w:rsidP="00A440E6">
      <w:pPr>
        <w:rPr>
          <w:sz w:val="22"/>
        </w:rPr>
      </w:pPr>
      <w:r>
        <w:rPr>
          <w:sz w:val="22"/>
        </w:rPr>
        <w:t>Uchovávajte pri teplote do 25 °C.</w:t>
      </w:r>
    </w:p>
    <w:p w14:paraId="7D838976" w14:textId="77777777" w:rsidR="00A0467A" w:rsidRDefault="00F444D8" w:rsidP="00A440E6">
      <w:pPr>
        <w:rPr>
          <w:sz w:val="22"/>
        </w:rPr>
      </w:pPr>
      <w:r>
        <w:rPr>
          <w:sz w:val="22"/>
        </w:rPr>
        <w:t xml:space="preserve">Uchovávajte v pôvodnom </w:t>
      </w:r>
      <w:r w:rsidR="00AC63DB">
        <w:rPr>
          <w:sz w:val="22"/>
        </w:rPr>
        <w:t>obale</w:t>
      </w:r>
      <w:r>
        <w:rPr>
          <w:sz w:val="22"/>
        </w:rPr>
        <w:t xml:space="preserve"> na ochranu pred vlhkosťou. </w:t>
      </w:r>
    </w:p>
    <w:p w14:paraId="3A3D7412" w14:textId="77777777" w:rsidR="00F444D8" w:rsidRPr="00EF433E" w:rsidRDefault="00F444D8" w:rsidP="00A440E6">
      <w:pPr>
        <w:rPr>
          <w:sz w:val="22"/>
        </w:rPr>
      </w:pPr>
    </w:p>
    <w:p w14:paraId="629AA849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lastRenderedPageBreak/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14:paraId="6236D8E0" w14:textId="77777777" w:rsidR="00A0467A" w:rsidRPr="00EF433E" w:rsidRDefault="00A0467A" w:rsidP="00A440E6">
      <w:pPr>
        <w:keepNext/>
        <w:rPr>
          <w:b/>
          <w:i/>
          <w:iCs/>
          <w:sz w:val="22"/>
        </w:rPr>
      </w:pPr>
    </w:p>
    <w:p w14:paraId="6D2AF9D7" w14:textId="77777777" w:rsidR="00282687" w:rsidRDefault="00572E13" w:rsidP="00572E13">
      <w:pPr>
        <w:widowControl w:val="0"/>
        <w:tabs>
          <w:tab w:val="left" w:pos="567"/>
        </w:tabs>
        <w:rPr>
          <w:bCs/>
          <w:sz w:val="22"/>
          <w:szCs w:val="22"/>
        </w:rPr>
      </w:pPr>
      <w:r w:rsidRPr="00EF433E">
        <w:rPr>
          <w:bCs/>
          <w:sz w:val="22"/>
          <w:szCs w:val="22"/>
        </w:rPr>
        <w:t>Blistr</w:t>
      </w:r>
      <w:r w:rsidR="00282687">
        <w:rPr>
          <w:bCs/>
          <w:sz w:val="22"/>
          <w:szCs w:val="22"/>
        </w:rPr>
        <w:t>ové baleni</w:t>
      </w:r>
      <w:r w:rsidR="00BF3D56">
        <w:rPr>
          <w:bCs/>
          <w:sz w:val="22"/>
          <w:szCs w:val="22"/>
        </w:rPr>
        <w:t>e</w:t>
      </w:r>
      <w:r w:rsidRPr="00EF433E">
        <w:rPr>
          <w:bCs/>
          <w:sz w:val="22"/>
          <w:szCs w:val="22"/>
        </w:rPr>
        <w:t xml:space="preserve"> (</w:t>
      </w:r>
      <w:r w:rsidR="00014B3C" w:rsidRPr="00EF433E">
        <w:rPr>
          <w:bCs/>
          <w:sz w:val="22"/>
          <w:szCs w:val="22"/>
        </w:rPr>
        <w:t>OPA/A</w:t>
      </w:r>
      <w:r w:rsidR="00A942BF">
        <w:rPr>
          <w:bCs/>
          <w:sz w:val="22"/>
          <w:szCs w:val="22"/>
        </w:rPr>
        <w:t>lu</w:t>
      </w:r>
      <w:r w:rsidR="00014B3C" w:rsidRPr="00EF433E">
        <w:rPr>
          <w:bCs/>
          <w:sz w:val="22"/>
          <w:szCs w:val="22"/>
        </w:rPr>
        <w:t>/PVC</w:t>
      </w:r>
      <w:r w:rsidR="00282687">
        <w:rPr>
          <w:bCs/>
          <w:sz w:val="22"/>
          <w:szCs w:val="22"/>
        </w:rPr>
        <w:t>/</w:t>
      </w:r>
      <w:r w:rsidR="00014B3C" w:rsidRPr="00EF433E">
        <w:rPr>
          <w:bCs/>
          <w:sz w:val="22"/>
          <w:szCs w:val="22"/>
        </w:rPr>
        <w:t>A</w:t>
      </w:r>
      <w:r w:rsidR="00A942BF">
        <w:rPr>
          <w:bCs/>
          <w:sz w:val="22"/>
          <w:szCs w:val="22"/>
        </w:rPr>
        <w:t>lu</w:t>
      </w:r>
      <w:r w:rsidRPr="00EF433E">
        <w:rPr>
          <w:bCs/>
          <w:sz w:val="22"/>
          <w:szCs w:val="22"/>
        </w:rPr>
        <w:t>)</w:t>
      </w:r>
      <w:r w:rsidR="00282687">
        <w:rPr>
          <w:bCs/>
          <w:sz w:val="22"/>
          <w:szCs w:val="22"/>
        </w:rPr>
        <w:t xml:space="preserve"> s pretlačovacou fóliou</w:t>
      </w:r>
      <w:r w:rsidR="00BF3D56">
        <w:rPr>
          <w:bCs/>
          <w:sz w:val="22"/>
          <w:szCs w:val="22"/>
        </w:rPr>
        <w:t>.</w:t>
      </w:r>
    </w:p>
    <w:p w14:paraId="24BF9F99" w14:textId="77777777" w:rsidR="000A2280" w:rsidRDefault="000A2280" w:rsidP="00572E13">
      <w:pPr>
        <w:widowControl w:val="0"/>
        <w:tabs>
          <w:tab w:val="left" w:pos="567"/>
        </w:tabs>
        <w:rPr>
          <w:bCs/>
          <w:i/>
          <w:sz w:val="22"/>
          <w:szCs w:val="22"/>
        </w:rPr>
      </w:pPr>
      <w:r w:rsidRPr="00BF3D56">
        <w:rPr>
          <w:bCs/>
          <w:i/>
          <w:sz w:val="22"/>
          <w:szCs w:val="22"/>
        </w:rPr>
        <w:t>Veľkosti balenia</w:t>
      </w:r>
      <w:r w:rsidR="00BF3D56">
        <w:rPr>
          <w:bCs/>
          <w:i/>
          <w:sz w:val="22"/>
          <w:szCs w:val="22"/>
        </w:rPr>
        <w:t>:</w:t>
      </w:r>
    </w:p>
    <w:p w14:paraId="665A7909" w14:textId="77777777" w:rsidR="00A0467A" w:rsidRPr="00EF433E" w:rsidRDefault="00BF3D56" w:rsidP="00572E13">
      <w:pPr>
        <w:widowControl w:val="0"/>
        <w:tabs>
          <w:tab w:val="left" w:pos="567"/>
        </w:tabs>
        <w:rPr>
          <w:sz w:val="22"/>
        </w:rPr>
      </w:pPr>
      <w:r>
        <w:rPr>
          <w:bCs/>
          <w:i/>
          <w:sz w:val="22"/>
          <w:szCs w:val="22"/>
        </w:rPr>
        <w:t>Pretlačovacie blistrové baleni</w:t>
      </w:r>
      <w:r w:rsidR="00036F83">
        <w:rPr>
          <w:bCs/>
          <w:i/>
          <w:sz w:val="22"/>
          <w:szCs w:val="22"/>
        </w:rPr>
        <w:t>e</w:t>
      </w:r>
      <w:r>
        <w:rPr>
          <w:bCs/>
          <w:i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572E13" w:rsidRPr="00EF433E">
        <w:rPr>
          <w:sz w:val="22"/>
        </w:rPr>
        <w:t>14, 28, 30, 56</w:t>
      </w:r>
      <w:r w:rsidR="0066204C">
        <w:rPr>
          <w:sz w:val="22"/>
        </w:rPr>
        <w:t xml:space="preserve"> a</w:t>
      </w:r>
      <w:r w:rsidR="00572E13" w:rsidRPr="00EF433E">
        <w:rPr>
          <w:sz w:val="22"/>
        </w:rPr>
        <w:t xml:space="preserve"> 98 </w:t>
      </w:r>
      <w:r w:rsidR="00036F83">
        <w:rPr>
          <w:sz w:val="22"/>
        </w:rPr>
        <w:t xml:space="preserve">orodispergovateľných </w:t>
      </w:r>
      <w:r w:rsidR="00572E13" w:rsidRPr="00EF433E">
        <w:rPr>
          <w:sz w:val="22"/>
          <w:szCs w:val="22"/>
        </w:rPr>
        <w:t>tabliet.</w:t>
      </w:r>
    </w:p>
    <w:p w14:paraId="37E240E9" w14:textId="77777777" w:rsidR="00813C17" w:rsidRPr="00EF433E" w:rsidRDefault="00813C17" w:rsidP="00A440E6">
      <w:pPr>
        <w:tabs>
          <w:tab w:val="left" w:pos="709"/>
        </w:tabs>
        <w:rPr>
          <w:iCs/>
          <w:sz w:val="22"/>
          <w:u w:val="single"/>
        </w:rPr>
      </w:pPr>
    </w:p>
    <w:p w14:paraId="7DE10109" w14:textId="77777777"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14:paraId="3BF1A0AB" w14:textId="77777777"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14:paraId="3FAD9743" w14:textId="77777777"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14:paraId="0190C8B3" w14:textId="77777777"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2A7028F6" w14:textId="77777777" w:rsidR="00A0467A" w:rsidRDefault="00EF433E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 xml:space="preserve">Žiadne </w:t>
      </w:r>
      <w:r w:rsidR="00E80FB0">
        <w:rPr>
          <w:rFonts w:ascii="Times New Roman" w:hAnsi="Times New Roman" w:cs="Times New Roman"/>
          <w:bCs/>
          <w:strike w:val="0"/>
          <w:sz w:val="22"/>
          <w:szCs w:val="24"/>
        </w:rPr>
        <w:t xml:space="preserve">zvláštne </w:t>
      </w:r>
      <w:r w:rsidRPr="00EF433E">
        <w:rPr>
          <w:rFonts w:ascii="Times New Roman" w:hAnsi="Times New Roman" w:cs="Times New Roman"/>
          <w:bCs/>
          <w:strike w:val="0"/>
          <w:sz w:val="22"/>
          <w:szCs w:val="24"/>
        </w:rPr>
        <w:t>požiadavky na likvidáciu</w:t>
      </w:r>
      <w:r w:rsidR="00A0467A" w:rsidRPr="00EF433E">
        <w:rPr>
          <w:rFonts w:ascii="Times New Roman" w:hAnsi="Times New Roman" w:cs="Times New Roman"/>
          <w:bCs/>
          <w:strike w:val="0"/>
          <w:sz w:val="22"/>
          <w:szCs w:val="24"/>
        </w:rPr>
        <w:t>.</w:t>
      </w:r>
    </w:p>
    <w:p w14:paraId="2BE0261C" w14:textId="77777777" w:rsidR="00A2723F" w:rsidRPr="00EF433E" w:rsidRDefault="00A2723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5122BCC0" w14:textId="77777777" w:rsidR="00771B6F" w:rsidRDefault="00771B6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rFonts w:ascii="Times New Roman" w:hAnsi="Times New Roman" w:cs="Times New Roman"/>
          <w:strike w:val="0"/>
          <w:sz w:val="22"/>
          <w:szCs w:val="22"/>
        </w:rPr>
        <w:t>Všetok nepoužitý liek alebo odpad vzniknutý z lieku sa má zlikvidovať v súlade s národnými požiadavkami.</w:t>
      </w:r>
    </w:p>
    <w:p w14:paraId="3CAFF944" w14:textId="77777777"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14:paraId="45FA69E3" w14:textId="77777777"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14:paraId="32BD0E8B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14:paraId="19E3C59D" w14:textId="77777777"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14:paraId="5220C6B7" w14:textId="702B2D4A" w:rsidR="00DE3C08" w:rsidRPr="00066EDA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Accord Healthcare Polska Sp</w:t>
      </w:r>
      <w:r w:rsidR="00AF3379">
        <w:rPr>
          <w:bCs/>
          <w:sz w:val="22"/>
          <w:szCs w:val="22"/>
        </w:rPr>
        <w:t>.</w:t>
      </w:r>
      <w:r w:rsidRPr="00066EDA">
        <w:rPr>
          <w:bCs/>
          <w:sz w:val="22"/>
          <w:szCs w:val="22"/>
        </w:rPr>
        <w:t xml:space="preserve"> z o.o.</w:t>
      </w:r>
    </w:p>
    <w:p w14:paraId="4E743A8A" w14:textId="77777777" w:rsidR="00DE3C08" w:rsidRPr="00066EDA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Taśmowa 7</w:t>
      </w:r>
    </w:p>
    <w:p w14:paraId="5BF694BA" w14:textId="77777777" w:rsidR="00DE3C08" w:rsidRDefault="00DE3C08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66EDA">
        <w:rPr>
          <w:bCs/>
          <w:sz w:val="22"/>
          <w:szCs w:val="22"/>
        </w:rPr>
        <w:t>02-677, Varšava</w:t>
      </w:r>
    </w:p>
    <w:p w14:paraId="1DB4802F" w14:textId="77777777" w:rsidR="00831FB2" w:rsidRPr="00066EDA" w:rsidRDefault="00831FB2" w:rsidP="00DE3C0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Poľsko</w:t>
      </w:r>
    </w:p>
    <w:p w14:paraId="30A65208" w14:textId="77777777" w:rsidR="00CD5EA2" w:rsidRPr="00CD5EA2" w:rsidRDefault="00CD5EA2" w:rsidP="00CD5EA2">
      <w:pPr>
        <w:rPr>
          <w:rFonts w:ascii="Trebuchet MS" w:hAnsi="Trebuchet MS"/>
          <w:sz w:val="22"/>
          <w:szCs w:val="22"/>
          <w:lang w:val="is-IS"/>
        </w:rPr>
      </w:pPr>
    </w:p>
    <w:p w14:paraId="77A5D744" w14:textId="77777777" w:rsidR="00FC3BDF" w:rsidRDefault="00FC3BDF" w:rsidP="00A440E6">
      <w:pPr>
        <w:rPr>
          <w:color w:val="000000"/>
          <w:sz w:val="20"/>
        </w:rPr>
      </w:pPr>
    </w:p>
    <w:p w14:paraId="30404E28" w14:textId="77777777" w:rsidR="00E71D41" w:rsidRPr="00C01587" w:rsidRDefault="00E71D41" w:rsidP="00A440E6">
      <w:pPr>
        <w:rPr>
          <w:color w:val="000000"/>
          <w:sz w:val="20"/>
        </w:rPr>
      </w:pPr>
    </w:p>
    <w:p w14:paraId="2E031126" w14:textId="77777777"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14:paraId="46B5B69F" w14:textId="77777777" w:rsidR="00A0467A" w:rsidRPr="00EF433E" w:rsidRDefault="00A0467A" w:rsidP="00A440E6">
      <w:pPr>
        <w:keepNext/>
        <w:rPr>
          <w:b/>
          <w:sz w:val="22"/>
        </w:rPr>
      </w:pPr>
    </w:p>
    <w:p w14:paraId="442BC71B" w14:textId="16B9D73E" w:rsidR="00CD5EA2" w:rsidRDefault="00DA4854">
      <w:r>
        <w:rPr>
          <w:noProof/>
          <w:sz w:val="22"/>
        </w:rPr>
        <w:t>Aripiprazole Accord Healthcare</w:t>
      </w:r>
      <w:r w:rsidR="000F0738" w:rsidRPr="00EF433E">
        <w:rPr>
          <w:noProof/>
          <w:sz w:val="22"/>
        </w:rPr>
        <w:t xml:space="preserve"> 10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E71D41">
        <w:rPr>
          <w:sz w:val="22"/>
          <w:szCs w:val="22"/>
        </w:rPr>
        <w:t>68/0280</w:t>
      </w:r>
      <w:r w:rsidR="00E71D41" w:rsidRPr="00E71D41">
        <w:rPr>
          <w:sz w:val="22"/>
          <w:szCs w:val="22"/>
        </w:rPr>
        <w:t>/15-S</w:t>
      </w:r>
    </w:p>
    <w:p w14:paraId="5E822C60" w14:textId="72832283" w:rsidR="000F0738" w:rsidRPr="00EF433E" w:rsidRDefault="00DA4854">
      <w:pPr>
        <w:rPr>
          <w:noProof/>
          <w:sz w:val="22"/>
        </w:rPr>
      </w:pPr>
      <w:r>
        <w:rPr>
          <w:noProof/>
          <w:sz w:val="22"/>
        </w:rPr>
        <w:t>Aripiprazole Accord Healthcare</w:t>
      </w:r>
      <w:r w:rsidR="000F0738" w:rsidRPr="00EF433E">
        <w:rPr>
          <w:noProof/>
          <w:sz w:val="22"/>
        </w:rPr>
        <w:t xml:space="preserve"> 15 mg tablety</w:t>
      </w:r>
      <w:r w:rsidR="000F0738">
        <w:rPr>
          <w:noProof/>
          <w:sz w:val="22"/>
        </w:rPr>
        <w:t>:</w:t>
      </w:r>
      <w:r w:rsidR="000F0738" w:rsidRPr="000F0738">
        <w:t xml:space="preserve"> </w:t>
      </w:r>
      <w:r w:rsidR="00AE58C0" w:rsidRPr="008029AF">
        <w:rPr>
          <w:sz w:val="22"/>
          <w:szCs w:val="22"/>
        </w:rPr>
        <w:t>68/0281/15-S</w:t>
      </w:r>
    </w:p>
    <w:p w14:paraId="42ED4959" w14:textId="77777777" w:rsidR="00A0467A" w:rsidRPr="00EF433E" w:rsidRDefault="00A0467A" w:rsidP="00A440E6">
      <w:pPr>
        <w:tabs>
          <w:tab w:val="left" w:pos="2552"/>
        </w:tabs>
        <w:rPr>
          <w:sz w:val="22"/>
        </w:rPr>
      </w:pPr>
    </w:p>
    <w:p w14:paraId="2423B972" w14:textId="77777777" w:rsidR="002C2912" w:rsidRPr="00EF433E" w:rsidRDefault="002C2912" w:rsidP="00A440E6">
      <w:pPr>
        <w:tabs>
          <w:tab w:val="left" w:pos="2552"/>
        </w:tabs>
        <w:rPr>
          <w:sz w:val="22"/>
        </w:rPr>
      </w:pPr>
    </w:p>
    <w:p w14:paraId="098E034A" w14:textId="77777777" w:rsidR="00A0467A" w:rsidRPr="00EF433E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14:paraId="2820DC31" w14:textId="77777777" w:rsidR="00A0467A" w:rsidRPr="00EF433E" w:rsidRDefault="00A0467A" w:rsidP="00A440E6">
      <w:pPr>
        <w:keepNext/>
        <w:rPr>
          <w:b/>
          <w:sz w:val="22"/>
        </w:rPr>
      </w:pPr>
    </w:p>
    <w:p w14:paraId="0FAC0105" w14:textId="77777777" w:rsidR="00A0467A" w:rsidRDefault="0051137A" w:rsidP="00A440E6">
      <w:pPr>
        <w:rPr>
          <w:sz w:val="22"/>
        </w:rPr>
      </w:pPr>
      <w:r>
        <w:rPr>
          <w:sz w:val="22"/>
        </w:rPr>
        <w:t>Dátum prvej registrácie:</w:t>
      </w:r>
      <w:r w:rsidR="00A2723F">
        <w:rPr>
          <w:sz w:val="22"/>
        </w:rPr>
        <w:t xml:space="preserve"> 15. júla 2015</w:t>
      </w:r>
    </w:p>
    <w:p w14:paraId="54AFDFA7" w14:textId="77777777" w:rsidR="003058F6" w:rsidRDefault="003058F6" w:rsidP="00A440E6">
      <w:pPr>
        <w:rPr>
          <w:sz w:val="22"/>
        </w:rPr>
      </w:pPr>
      <w:r>
        <w:rPr>
          <w:sz w:val="22"/>
        </w:rPr>
        <w:t>Dátum posledného predĺženia registrácie:</w:t>
      </w:r>
    </w:p>
    <w:p w14:paraId="7A23E467" w14:textId="77777777" w:rsidR="00CD5EA2" w:rsidRDefault="00CD5EA2" w:rsidP="00A440E6">
      <w:pPr>
        <w:rPr>
          <w:sz w:val="22"/>
        </w:rPr>
      </w:pPr>
    </w:p>
    <w:p w14:paraId="4DFE4259" w14:textId="77777777" w:rsidR="0051137A" w:rsidRPr="00EF433E" w:rsidRDefault="0051137A" w:rsidP="00A440E6">
      <w:pPr>
        <w:rPr>
          <w:sz w:val="22"/>
        </w:rPr>
      </w:pPr>
    </w:p>
    <w:p w14:paraId="2E441EC9" w14:textId="77777777" w:rsidR="00A0467A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14:paraId="065DBF51" w14:textId="77777777" w:rsidR="00CD5EA2" w:rsidRDefault="00CD5EA2" w:rsidP="00CD5EA2">
      <w:pPr>
        <w:rPr>
          <w:b/>
          <w:sz w:val="22"/>
        </w:rPr>
      </w:pPr>
    </w:p>
    <w:p w14:paraId="5581460A" w14:textId="43755E67" w:rsidR="00A0467A" w:rsidRPr="00EF433E" w:rsidRDefault="00AF3379" w:rsidP="00A440E6">
      <w:pPr>
        <w:rPr>
          <w:sz w:val="22"/>
        </w:rPr>
      </w:pPr>
      <w:r>
        <w:rPr>
          <w:sz w:val="22"/>
        </w:rPr>
        <w:t>09/2019</w:t>
      </w:r>
    </w:p>
    <w:sectPr w:rsidR="00A0467A" w:rsidRPr="00EF433E" w:rsidSect="00434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C8AB4" w14:textId="77777777" w:rsidR="00AF3379" w:rsidRDefault="00AF3379">
      <w:r>
        <w:separator/>
      </w:r>
    </w:p>
  </w:endnote>
  <w:endnote w:type="continuationSeparator" w:id="0">
    <w:p w14:paraId="30D3A3E6" w14:textId="77777777" w:rsidR="00AF3379" w:rsidRDefault="00AF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0BCB3" w14:textId="77777777" w:rsidR="00AF3379" w:rsidRDefault="00AF33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13DB32" w14:textId="77777777" w:rsidR="00AF3379" w:rsidRDefault="00AF337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237B" w14:textId="77777777" w:rsidR="00AF3379" w:rsidRDefault="00AF3379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CF6425">
      <w:rPr>
        <w:rStyle w:val="slostrany"/>
        <w:rFonts w:ascii="Arial" w:hAnsi="Arial" w:cs="Arial"/>
        <w:noProof/>
        <w:sz w:val="16"/>
      </w:rPr>
      <w:t>2</w:t>
    </w:r>
    <w:r>
      <w:rPr>
        <w:rStyle w:val="slostrany"/>
        <w:rFonts w:ascii="Arial" w:hAnsi="Arial" w:cs="Arial"/>
        <w:sz w:val="16"/>
      </w:rPr>
      <w:fldChar w:fldCharType="end"/>
    </w:r>
  </w:p>
  <w:p w14:paraId="745EEFEF" w14:textId="77777777" w:rsidR="00AF3379" w:rsidRDefault="00AF3379">
    <w:pPr>
      <w:pStyle w:val="Pt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64363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528C00" w14:textId="77777777" w:rsidR="00AF3379" w:rsidRPr="003940F4" w:rsidRDefault="00AF3379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40F4">
          <w:rPr>
            <w:rFonts w:ascii="Arial" w:hAnsi="Arial" w:cs="Arial"/>
            <w:sz w:val="16"/>
            <w:szCs w:val="16"/>
          </w:rPr>
          <w:fldChar w:fldCharType="begin"/>
        </w:r>
        <w:r w:rsidRPr="003940F4">
          <w:rPr>
            <w:rFonts w:ascii="Arial" w:hAnsi="Arial" w:cs="Arial"/>
            <w:sz w:val="16"/>
            <w:szCs w:val="16"/>
          </w:rPr>
          <w:instrText>PAGE   \* MERGEFORMAT</w:instrText>
        </w:r>
        <w:r w:rsidRPr="003940F4">
          <w:rPr>
            <w:rFonts w:ascii="Arial" w:hAnsi="Arial" w:cs="Arial"/>
            <w:sz w:val="16"/>
            <w:szCs w:val="16"/>
          </w:rPr>
          <w:fldChar w:fldCharType="separate"/>
        </w:r>
        <w:r w:rsidRPr="000F4F9E">
          <w:rPr>
            <w:rFonts w:ascii="Arial" w:hAnsi="Arial" w:cs="Arial"/>
            <w:noProof/>
            <w:sz w:val="16"/>
            <w:szCs w:val="16"/>
            <w:lang w:val="sk-SK"/>
          </w:rPr>
          <w:t>1</w:t>
        </w:r>
        <w:r w:rsidRPr="003940F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1D1A552" w14:textId="77777777" w:rsidR="00AF3379" w:rsidRDefault="00AF33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8CFA3" w14:textId="77777777" w:rsidR="00AF3379" w:rsidRDefault="00AF3379">
      <w:r>
        <w:separator/>
      </w:r>
    </w:p>
  </w:footnote>
  <w:footnote w:type="continuationSeparator" w:id="0">
    <w:p w14:paraId="1A9F95F6" w14:textId="77777777" w:rsidR="00AF3379" w:rsidRDefault="00AF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D277D" w14:textId="77777777" w:rsidR="00AF3379" w:rsidRDefault="00AF337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40A293" w14:textId="77777777" w:rsidR="00AF3379" w:rsidRDefault="00AF3379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2C858" w14:textId="2C79166C" w:rsidR="00155837" w:rsidRDefault="00AF3379">
    <w:pPr>
      <w:pStyle w:val="Hlavika"/>
      <w:ind w:right="360"/>
      <w:rPr>
        <w:sz w:val="18"/>
        <w:lang w:val="sk-SK"/>
      </w:rPr>
    </w:pPr>
    <w:r w:rsidRPr="00D628DC">
      <w:rPr>
        <w:sz w:val="18"/>
        <w:lang w:val="sk-SK"/>
      </w:rPr>
      <w:t xml:space="preserve">Príloha č. 1 k notifikácii o zmene, ev. č.: </w:t>
    </w:r>
    <w:r w:rsidR="00F34348">
      <w:rPr>
        <w:sz w:val="18"/>
        <w:lang w:val="sk-SK"/>
      </w:rPr>
      <w:t>2019/0</w:t>
    </w:r>
    <w:r w:rsidR="00155837">
      <w:rPr>
        <w:sz w:val="18"/>
        <w:lang w:val="sk-SK"/>
      </w:rPr>
      <w:t>5417-Z1A</w:t>
    </w:r>
  </w:p>
  <w:p w14:paraId="626EF26B" w14:textId="1953AA88" w:rsidR="00AF3379" w:rsidRPr="00D628DC" w:rsidRDefault="00155837">
    <w:pPr>
      <w:pStyle w:val="Hlavika"/>
      <w:ind w:right="360"/>
      <w:rPr>
        <w:lang w:val="sk-SK"/>
      </w:rPr>
    </w:pPr>
    <w:r>
      <w:rPr>
        <w:sz w:val="18"/>
        <w:lang w:val="sk-SK"/>
      </w:rPr>
      <w:t>Príloha č. 2</w:t>
    </w:r>
    <w:r w:rsidRPr="00D628DC">
      <w:rPr>
        <w:sz w:val="18"/>
        <w:lang w:val="sk-SK"/>
      </w:rPr>
      <w:t xml:space="preserve"> k notifikácii o zmene, ev. č.: </w:t>
    </w:r>
    <w:r>
      <w:rPr>
        <w:sz w:val="18"/>
        <w:lang w:val="sk-SK"/>
      </w:rPr>
      <w:t>2019/01372-Z1B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511FB" w14:textId="77777777" w:rsidR="00AF3379" w:rsidRPr="00CF6425" w:rsidRDefault="00AF3379">
    <w:pPr>
      <w:pStyle w:val="Hlavika"/>
      <w:rPr>
        <w:lang w:val="pl-PL"/>
      </w:rPr>
    </w:pPr>
    <w:r w:rsidRPr="00CF6425">
      <w:rPr>
        <w:b/>
        <w:sz w:val="18"/>
        <w:lang w:val="pl-PL"/>
      </w:rPr>
      <w:t>Príloha</w:t>
    </w:r>
    <w:r w:rsidRPr="00CF6425">
      <w:rPr>
        <w:sz w:val="18"/>
        <w:lang w:val="pl-PL"/>
      </w:rPr>
      <w:t xml:space="preserve"> č. 1 k notifikácii o zmene, ev. č.:</w:t>
    </w:r>
    <w:r w:rsidRPr="00CF6425">
      <w:rPr>
        <w:sz w:val="18"/>
        <w:szCs w:val="18"/>
        <w:lang w:val="pl-PL"/>
      </w:rPr>
      <w:t xml:space="preserve"> 2018/03545-Z1B</w:t>
    </w:r>
    <w:r w:rsidRPr="00711A63">
      <w:rPr>
        <w:sz w:val="18"/>
        <w:szCs w:val="18"/>
      </w:rPr>
      <w:object w:dxaOrig="9070" w:dyaOrig="13937" w14:anchorId="024FA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8.25pt" o:ole="">
          <v:imagedata r:id="rId1" o:title=""/>
        </v:shape>
        <o:OLEObject Type="Embed" ProgID="Word.Document.12" ShapeID="_x0000_i1025" DrawAspect="Content" ObjectID="_1630482122" r:id="rId2">
          <o:FieldCodes>\s</o:FieldCodes>
        </o:OLEObject>
      </w:object>
    </w:r>
    <w:r w:rsidRPr="00711A63">
      <w:rPr>
        <w:sz w:val="18"/>
        <w:szCs w:val="18"/>
      </w:rPr>
      <w:object w:dxaOrig="9070" w:dyaOrig="14121" w14:anchorId="458B334C">
        <v:shape id="_x0000_i1026" type="#_x0000_t75" style="width:453.75pt;height:705pt" o:ole="">
          <v:imagedata r:id="rId3" o:title=""/>
        </v:shape>
        <o:OLEObject Type="Embed" ProgID="Word.Document.12" ShapeID="_x0000_i1026" DrawAspect="Content" ObjectID="_1630482123" r:id="rId4">
          <o:FieldCodes>\s</o:FieldCodes>
        </o:OLEObject>
      </w:object>
    </w:r>
    <w:r w:rsidRPr="00711A63">
      <w:rPr>
        <w:sz w:val="18"/>
        <w:szCs w:val="18"/>
      </w:rPr>
      <w:object w:dxaOrig="9070" w:dyaOrig="13937" w14:anchorId="083BC521">
        <v:shape id="_x0000_i1027" type="#_x0000_t75" style="width:453.75pt;height:698.25pt" o:ole="">
          <v:imagedata r:id="rId5" o:title=""/>
        </v:shape>
        <o:OLEObject Type="Embed" ProgID="Word.Document.12" ShapeID="_x0000_i1027" DrawAspect="Content" ObjectID="_1630482124" r:id="rId6">
          <o:FieldCodes>\s</o:FieldCodes>
        </o:OLEObject>
      </w:object>
    </w:r>
    <w:r w:rsidRPr="00711A63">
      <w:rPr>
        <w:sz w:val="18"/>
        <w:szCs w:val="18"/>
      </w:rPr>
      <w:object w:dxaOrig="9070" w:dyaOrig="14121" w14:anchorId="78063749">
        <v:shape id="_x0000_i1028" type="#_x0000_t75" style="width:453.75pt;height:705pt" o:ole="">
          <v:imagedata r:id="rId7" o:title=""/>
        </v:shape>
        <o:OLEObject Type="Embed" ProgID="Word.Document.12" ShapeID="_x0000_i1028" DrawAspect="Content" ObjectID="_1630482125" r:id="rId8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3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2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0574"/>
    <w:rsid w:val="00003B74"/>
    <w:rsid w:val="00005BD6"/>
    <w:rsid w:val="000064FD"/>
    <w:rsid w:val="0001261A"/>
    <w:rsid w:val="00014B3C"/>
    <w:rsid w:val="0001526C"/>
    <w:rsid w:val="00015D56"/>
    <w:rsid w:val="000176B4"/>
    <w:rsid w:val="00020026"/>
    <w:rsid w:val="00020433"/>
    <w:rsid w:val="00031ECF"/>
    <w:rsid w:val="000360ED"/>
    <w:rsid w:val="00036F83"/>
    <w:rsid w:val="00041363"/>
    <w:rsid w:val="00041513"/>
    <w:rsid w:val="000415CD"/>
    <w:rsid w:val="00045985"/>
    <w:rsid w:val="000475EB"/>
    <w:rsid w:val="0005082A"/>
    <w:rsid w:val="000539DC"/>
    <w:rsid w:val="00055C9D"/>
    <w:rsid w:val="00057DE4"/>
    <w:rsid w:val="00060044"/>
    <w:rsid w:val="00060B6A"/>
    <w:rsid w:val="00060DE2"/>
    <w:rsid w:val="00060F9D"/>
    <w:rsid w:val="00061D54"/>
    <w:rsid w:val="00063833"/>
    <w:rsid w:val="00065D3B"/>
    <w:rsid w:val="000665F8"/>
    <w:rsid w:val="00066E53"/>
    <w:rsid w:val="00066EDA"/>
    <w:rsid w:val="000742E2"/>
    <w:rsid w:val="000749C9"/>
    <w:rsid w:val="0008003D"/>
    <w:rsid w:val="000823F9"/>
    <w:rsid w:val="000847B3"/>
    <w:rsid w:val="00084AB6"/>
    <w:rsid w:val="0008721E"/>
    <w:rsid w:val="000874E9"/>
    <w:rsid w:val="00087AEE"/>
    <w:rsid w:val="000906AB"/>
    <w:rsid w:val="00090D3D"/>
    <w:rsid w:val="00090F12"/>
    <w:rsid w:val="000912BB"/>
    <w:rsid w:val="00092675"/>
    <w:rsid w:val="00092879"/>
    <w:rsid w:val="00092B4E"/>
    <w:rsid w:val="00093F48"/>
    <w:rsid w:val="00095B21"/>
    <w:rsid w:val="000962FA"/>
    <w:rsid w:val="000A08E6"/>
    <w:rsid w:val="000A1721"/>
    <w:rsid w:val="000A2280"/>
    <w:rsid w:val="000A40FF"/>
    <w:rsid w:val="000A62D7"/>
    <w:rsid w:val="000A6F5B"/>
    <w:rsid w:val="000B0FCF"/>
    <w:rsid w:val="000B33D1"/>
    <w:rsid w:val="000B4B4F"/>
    <w:rsid w:val="000B6001"/>
    <w:rsid w:val="000C0AEE"/>
    <w:rsid w:val="000C3517"/>
    <w:rsid w:val="000D01E0"/>
    <w:rsid w:val="000D0C88"/>
    <w:rsid w:val="000D1302"/>
    <w:rsid w:val="000D21B3"/>
    <w:rsid w:val="000D254B"/>
    <w:rsid w:val="000D616D"/>
    <w:rsid w:val="000E0678"/>
    <w:rsid w:val="000E0CD5"/>
    <w:rsid w:val="000E0FE0"/>
    <w:rsid w:val="000E3A38"/>
    <w:rsid w:val="000E5B2A"/>
    <w:rsid w:val="000E6F80"/>
    <w:rsid w:val="000E7254"/>
    <w:rsid w:val="000F0738"/>
    <w:rsid w:val="000F1765"/>
    <w:rsid w:val="000F1F7C"/>
    <w:rsid w:val="000F2CDA"/>
    <w:rsid w:val="000F4C9B"/>
    <w:rsid w:val="000F4F9E"/>
    <w:rsid w:val="000F5C5C"/>
    <w:rsid w:val="000F7995"/>
    <w:rsid w:val="001017C0"/>
    <w:rsid w:val="00103632"/>
    <w:rsid w:val="001051FC"/>
    <w:rsid w:val="00111C74"/>
    <w:rsid w:val="0011213D"/>
    <w:rsid w:val="00112D1E"/>
    <w:rsid w:val="00114CDC"/>
    <w:rsid w:val="00115F27"/>
    <w:rsid w:val="00120496"/>
    <w:rsid w:val="0012436F"/>
    <w:rsid w:val="00130A8B"/>
    <w:rsid w:val="001332E3"/>
    <w:rsid w:val="00133550"/>
    <w:rsid w:val="001366C5"/>
    <w:rsid w:val="00136B9E"/>
    <w:rsid w:val="00141BDB"/>
    <w:rsid w:val="00145E18"/>
    <w:rsid w:val="001542E9"/>
    <w:rsid w:val="00154E89"/>
    <w:rsid w:val="00155837"/>
    <w:rsid w:val="0015793D"/>
    <w:rsid w:val="00157CB1"/>
    <w:rsid w:val="00157DDE"/>
    <w:rsid w:val="00160D12"/>
    <w:rsid w:val="00163689"/>
    <w:rsid w:val="00164BCF"/>
    <w:rsid w:val="00165E8C"/>
    <w:rsid w:val="0016694D"/>
    <w:rsid w:val="001670CF"/>
    <w:rsid w:val="0016796B"/>
    <w:rsid w:val="0017170A"/>
    <w:rsid w:val="00171BC1"/>
    <w:rsid w:val="00172903"/>
    <w:rsid w:val="001739C2"/>
    <w:rsid w:val="00175042"/>
    <w:rsid w:val="0017582C"/>
    <w:rsid w:val="00182FB1"/>
    <w:rsid w:val="00187CB8"/>
    <w:rsid w:val="0019055E"/>
    <w:rsid w:val="001920E6"/>
    <w:rsid w:val="00194A23"/>
    <w:rsid w:val="00196EBF"/>
    <w:rsid w:val="00197D70"/>
    <w:rsid w:val="001A05BA"/>
    <w:rsid w:val="001A224E"/>
    <w:rsid w:val="001A2612"/>
    <w:rsid w:val="001A4163"/>
    <w:rsid w:val="001A458B"/>
    <w:rsid w:val="001A4A75"/>
    <w:rsid w:val="001A58C9"/>
    <w:rsid w:val="001A7175"/>
    <w:rsid w:val="001B105E"/>
    <w:rsid w:val="001B2A81"/>
    <w:rsid w:val="001B7402"/>
    <w:rsid w:val="001B7709"/>
    <w:rsid w:val="001C1F57"/>
    <w:rsid w:val="001D0086"/>
    <w:rsid w:val="001D226A"/>
    <w:rsid w:val="001D2E99"/>
    <w:rsid w:val="001D41E6"/>
    <w:rsid w:val="001E0FF8"/>
    <w:rsid w:val="001E3A13"/>
    <w:rsid w:val="001E3B6E"/>
    <w:rsid w:val="001E63FF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45C8"/>
    <w:rsid w:val="00225B8F"/>
    <w:rsid w:val="00232424"/>
    <w:rsid w:val="00232F00"/>
    <w:rsid w:val="0023426C"/>
    <w:rsid w:val="002353F4"/>
    <w:rsid w:val="00235C21"/>
    <w:rsid w:val="0023779D"/>
    <w:rsid w:val="002405C7"/>
    <w:rsid w:val="00243A0E"/>
    <w:rsid w:val="00244DA3"/>
    <w:rsid w:val="00251610"/>
    <w:rsid w:val="00253F96"/>
    <w:rsid w:val="002563A1"/>
    <w:rsid w:val="002615AF"/>
    <w:rsid w:val="002646CA"/>
    <w:rsid w:val="00264A43"/>
    <w:rsid w:val="00266706"/>
    <w:rsid w:val="00266893"/>
    <w:rsid w:val="00270C1D"/>
    <w:rsid w:val="00272E5A"/>
    <w:rsid w:val="002735EA"/>
    <w:rsid w:val="00274CB5"/>
    <w:rsid w:val="00282687"/>
    <w:rsid w:val="00283622"/>
    <w:rsid w:val="00285D8A"/>
    <w:rsid w:val="00285D90"/>
    <w:rsid w:val="002866A1"/>
    <w:rsid w:val="00286F13"/>
    <w:rsid w:val="00290319"/>
    <w:rsid w:val="00290EB6"/>
    <w:rsid w:val="00291172"/>
    <w:rsid w:val="002957F9"/>
    <w:rsid w:val="00296611"/>
    <w:rsid w:val="002966DE"/>
    <w:rsid w:val="002A17C3"/>
    <w:rsid w:val="002A30D4"/>
    <w:rsid w:val="002A4323"/>
    <w:rsid w:val="002A4396"/>
    <w:rsid w:val="002A58BB"/>
    <w:rsid w:val="002A7676"/>
    <w:rsid w:val="002B29EB"/>
    <w:rsid w:val="002B3610"/>
    <w:rsid w:val="002B5078"/>
    <w:rsid w:val="002B5E79"/>
    <w:rsid w:val="002B6205"/>
    <w:rsid w:val="002C2900"/>
    <w:rsid w:val="002C2912"/>
    <w:rsid w:val="002C37CD"/>
    <w:rsid w:val="002C63DC"/>
    <w:rsid w:val="002D0D39"/>
    <w:rsid w:val="002D127D"/>
    <w:rsid w:val="002D3384"/>
    <w:rsid w:val="002D33C0"/>
    <w:rsid w:val="002D479F"/>
    <w:rsid w:val="002D570A"/>
    <w:rsid w:val="002D5BC1"/>
    <w:rsid w:val="002D6DF3"/>
    <w:rsid w:val="002E0EC0"/>
    <w:rsid w:val="002E5F46"/>
    <w:rsid w:val="002E615B"/>
    <w:rsid w:val="002F03F9"/>
    <w:rsid w:val="002F116C"/>
    <w:rsid w:val="002F34E5"/>
    <w:rsid w:val="002F3690"/>
    <w:rsid w:val="002F5719"/>
    <w:rsid w:val="002F6457"/>
    <w:rsid w:val="002F7DAF"/>
    <w:rsid w:val="00301075"/>
    <w:rsid w:val="0030260E"/>
    <w:rsid w:val="00302BC3"/>
    <w:rsid w:val="00303056"/>
    <w:rsid w:val="00303E07"/>
    <w:rsid w:val="0030514B"/>
    <w:rsid w:val="003058F6"/>
    <w:rsid w:val="0030697E"/>
    <w:rsid w:val="00312B0C"/>
    <w:rsid w:val="00315089"/>
    <w:rsid w:val="00323451"/>
    <w:rsid w:val="00324962"/>
    <w:rsid w:val="00333325"/>
    <w:rsid w:val="003346BA"/>
    <w:rsid w:val="003354E5"/>
    <w:rsid w:val="00337223"/>
    <w:rsid w:val="00344AF5"/>
    <w:rsid w:val="003450EE"/>
    <w:rsid w:val="00346806"/>
    <w:rsid w:val="00346AD1"/>
    <w:rsid w:val="003505AE"/>
    <w:rsid w:val="00350E6D"/>
    <w:rsid w:val="003544AD"/>
    <w:rsid w:val="0035590F"/>
    <w:rsid w:val="00355B18"/>
    <w:rsid w:val="003579AB"/>
    <w:rsid w:val="00361B7A"/>
    <w:rsid w:val="0036253D"/>
    <w:rsid w:val="00362FD1"/>
    <w:rsid w:val="00365E93"/>
    <w:rsid w:val="003665F1"/>
    <w:rsid w:val="00367B5A"/>
    <w:rsid w:val="0037310A"/>
    <w:rsid w:val="003734E5"/>
    <w:rsid w:val="00373909"/>
    <w:rsid w:val="0037407A"/>
    <w:rsid w:val="00374CCE"/>
    <w:rsid w:val="003752F3"/>
    <w:rsid w:val="003831F5"/>
    <w:rsid w:val="00384F9A"/>
    <w:rsid w:val="003852CF"/>
    <w:rsid w:val="00385ADD"/>
    <w:rsid w:val="00390CE7"/>
    <w:rsid w:val="00390FC6"/>
    <w:rsid w:val="0039210A"/>
    <w:rsid w:val="00392780"/>
    <w:rsid w:val="00392F9A"/>
    <w:rsid w:val="00393013"/>
    <w:rsid w:val="00393E79"/>
    <w:rsid w:val="003940F4"/>
    <w:rsid w:val="003A0357"/>
    <w:rsid w:val="003A12D6"/>
    <w:rsid w:val="003A415C"/>
    <w:rsid w:val="003A5461"/>
    <w:rsid w:val="003A569F"/>
    <w:rsid w:val="003A6714"/>
    <w:rsid w:val="003A7B02"/>
    <w:rsid w:val="003A7B2F"/>
    <w:rsid w:val="003B3DB8"/>
    <w:rsid w:val="003B59F5"/>
    <w:rsid w:val="003B5FA2"/>
    <w:rsid w:val="003C01AB"/>
    <w:rsid w:val="003C0750"/>
    <w:rsid w:val="003C0AA8"/>
    <w:rsid w:val="003C13BC"/>
    <w:rsid w:val="003C13F6"/>
    <w:rsid w:val="003C428F"/>
    <w:rsid w:val="003C43DE"/>
    <w:rsid w:val="003C4F3E"/>
    <w:rsid w:val="003C58D7"/>
    <w:rsid w:val="003C5CEB"/>
    <w:rsid w:val="003C6483"/>
    <w:rsid w:val="003D1142"/>
    <w:rsid w:val="003D4448"/>
    <w:rsid w:val="003D4B88"/>
    <w:rsid w:val="003D52DA"/>
    <w:rsid w:val="003D58E2"/>
    <w:rsid w:val="003D6A12"/>
    <w:rsid w:val="003E36CC"/>
    <w:rsid w:val="003E593E"/>
    <w:rsid w:val="003F110F"/>
    <w:rsid w:val="003F18A3"/>
    <w:rsid w:val="003F501D"/>
    <w:rsid w:val="004014C8"/>
    <w:rsid w:val="0040154D"/>
    <w:rsid w:val="004049C5"/>
    <w:rsid w:val="00407E86"/>
    <w:rsid w:val="00410B8A"/>
    <w:rsid w:val="00410ED4"/>
    <w:rsid w:val="0041198A"/>
    <w:rsid w:val="0041738C"/>
    <w:rsid w:val="00417A7E"/>
    <w:rsid w:val="00421A2D"/>
    <w:rsid w:val="00421F1B"/>
    <w:rsid w:val="00422585"/>
    <w:rsid w:val="00422953"/>
    <w:rsid w:val="00422C9D"/>
    <w:rsid w:val="00424284"/>
    <w:rsid w:val="0042476E"/>
    <w:rsid w:val="00424907"/>
    <w:rsid w:val="00424C50"/>
    <w:rsid w:val="0042672D"/>
    <w:rsid w:val="00427F43"/>
    <w:rsid w:val="004309D1"/>
    <w:rsid w:val="00433411"/>
    <w:rsid w:val="00433952"/>
    <w:rsid w:val="00433F04"/>
    <w:rsid w:val="00434A1F"/>
    <w:rsid w:val="00434B1C"/>
    <w:rsid w:val="00436609"/>
    <w:rsid w:val="004368A2"/>
    <w:rsid w:val="00436BC8"/>
    <w:rsid w:val="00437531"/>
    <w:rsid w:val="00437ED6"/>
    <w:rsid w:val="00440405"/>
    <w:rsid w:val="00446A72"/>
    <w:rsid w:val="00453B88"/>
    <w:rsid w:val="00456E98"/>
    <w:rsid w:val="00457A4E"/>
    <w:rsid w:val="004601F2"/>
    <w:rsid w:val="00462A96"/>
    <w:rsid w:val="00462BEC"/>
    <w:rsid w:val="00462EDB"/>
    <w:rsid w:val="00463C66"/>
    <w:rsid w:val="00464984"/>
    <w:rsid w:val="004656DD"/>
    <w:rsid w:val="00465C0C"/>
    <w:rsid w:val="00466889"/>
    <w:rsid w:val="00476526"/>
    <w:rsid w:val="00482664"/>
    <w:rsid w:val="00483575"/>
    <w:rsid w:val="004875A4"/>
    <w:rsid w:val="0048782C"/>
    <w:rsid w:val="00487F20"/>
    <w:rsid w:val="00487FD6"/>
    <w:rsid w:val="00492ACE"/>
    <w:rsid w:val="00493CF9"/>
    <w:rsid w:val="00495879"/>
    <w:rsid w:val="00495C2D"/>
    <w:rsid w:val="004973C3"/>
    <w:rsid w:val="00497423"/>
    <w:rsid w:val="00497510"/>
    <w:rsid w:val="004A0277"/>
    <w:rsid w:val="004A4D15"/>
    <w:rsid w:val="004A4ED7"/>
    <w:rsid w:val="004A6396"/>
    <w:rsid w:val="004A64D0"/>
    <w:rsid w:val="004B2A41"/>
    <w:rsid w:val="004B5576"/>
    <w:rsid w:val="004B6B32"/>
    <w:rsid w:val="004C1E14"/>
    <w:rsid w:val="004C1E4C"/>
    <w:rsid w:val="004C3517"/>
    <w:rsid w:val="004C6E9B"/>
    <w:rsid w:val="004C7AB1"/>
    <w:rsid w:val="004D063E"/>
    <w:rsid w:val="004D17EE"/>
    <w:rsid w:val="004D446B"/>
    <w:rsid w:val="004D5715"/>
    <w:rsid w:val="004D7832"/>
    <w:rsid w:val="004D7FD3"/>
    <w:rsid w:val="004E02E2"/>
    <w:rsid w:val="004E0D54"/>
    <w:rsid w:val="004E3E15"/>
    <w:rsid w:val="004F4CE5"/>
    <w:rsid w:val="004F6E21"/>
    <w:rsid w:val="004F7245"/>
    <w:rsid w:val="0050309A"/>
    <w:rsid w:val="00504AED"/>
    <w:rsid w:val="00506E94"/>
    <w:rsid w:val="0051137A"/>
    <w:rsid w:val="00520A72"/>
    <w:rsid w:val="00522F86"/>
    <w:rsid w:val="005253AA"/>
    <w:rsid w:val="00526D53"/>
    <w:rsid w:val="0053055A"/>
    <w:rsid w:val="00531DB4"/>
    <w:rsid w:val="00531DE3"/>
    <w:rsid w:val="005329D0"/>
    <w:rsid w:val="00532CEE"/>
    <w:rsid w:val="005337F4"/>
    <w:rsid w:val="00537927"/>
    <w:rsid w:val="00541135"/>
    <w:rsid w:val="00541525"/>
    <w:rsid w:val="00541CFC"/>
    <w:rsid w:val="005426AF"/>
    <w:rsid w:val="00542836"/>
    <w:rsid w:val="00543318"/>
    <w:rsid w:val="005439C7"/>
    <w:rsid w:val="00544907"/>
    <w:rsid w:val="00544F19"/>
    <w:rsid w:val="00546510"/>
    <w:rsid w:val="00550811"/>
    <w:rsid w:val="005537C1"/>
    <w:rsid w:val="00554E94"/>
    <w:rsid w:val="00560C20"/>
    <w:rsid w:val="00561B61"/>
    <w:rsid w:val="00563BE8"/>
    <w:rsid w:val="00563D7F"/>
    <w:rsid w:val="005642C6"/>
    <w:rsid w:val="00571FB3"/>
    <w:rsid w:val="00572E13"/>
    <w:rsid w:val="00577215"/>
    <w:rsid w:val="0058223C"/>
    <w:rsid w:val="00582457"/>
    <w:rsid w:val="00582E3F"/>
    <w:rsid w:val="00583BE4"/>
    <w:rsid w:val="00585435"/>
    <w:rsid w:val="0058696A"/>
    <w:rsid w:val="00587649"/>
    <w:rsid w:val="00587F8B"/>
    <w:rsid w:val="005903E7"/>
    <w:rsid w:val="005913DF"/>
    <w:rsid w:val="00592FF5"/>
    <w:rsid w:val="00593007"/>
    <w:rsid w:val="00595E21"/>
    <w:rsid w:val="00596C95"/>
    <w:rsid w:val="005A49FF"/>
    <w:rsid w:val="005A6C99"/>
    <w:rsid w:val="005B1C89"/>
    <w:rsid w:val="005B20A2"/>
    <w:rsid w:val="005B3D42"/>
    <w:rsid w:val="005B3F91"/>
    <w:rsid w:val="005B6C58"/>
    <w:rsid w:val="005C0DB7"/>
    <w:rsid w:val="005C2189"/>
    <w:rsid w:val="005C4213"/>
    <w:rsid w:val="005C43A9"/>
    <w:rsid w:val="005C49E9"/>
    <w:rsid w:val="005C4AD5"/>
    <w:rsid w:val="005C61BA"/>
    <w:rsid w:val="005D07A2"/>
    <w:rsid w:val="005D13B8"/>
    <w:rsid w:val="005D15D9"/>
    <w:rsid w:val="005D20DB"/>
    <w:rsid w:val="005D257B"/>
    <w:rsid w:val="005D2732"/>
    <w:rsid w:val="005D29DA"/>
    <w:rsid w:val="005D5058"/>
    <w:rsid w:val="005D55A6"/>
    <w:rsid w:val="005D70CE"/>
    <w:rsid w:val="005D737B"/>
    <w:rsid w:val="005E2874"/>
    <w:rsid w:val="005E37E3"/>
    <w:rsid w:val="005E4AAA"/>
    <w:rsid w:val="005E7FFB"/>
    <w:rsid w:val="005F0CBD"/>
    <w:rsid w:val="005F38A7"/>
    <w:rsid w:val="005F4064"/>
    <w:rsid w:val="005F5C57"/>
    <w:rsid w:val="006017CC"/>
    <w:rsid w:val="006022E7"/>
    <w:rsid w:val="00603128"/>
    <w:rsid w:val="006033FF"/>
    <w:rsid w:val="00605799"/>
    <w:rsid w:val="00606640"/>
    <w:rsid w:val="0061120C"/>
    <w:rsid w:val="00612EA1"/>
    <w:rsid w:val="0061737C"/>
    <w:rsid w:val="006214FB"/>
    <w:rsid w:val="0062312C"/>
    <w:rsid w:val="006250B7"/>
    <w:rsid w:val="00626BEC"/>
    <w:rsid w:val="006326FA"/>
    <w:rsid w:val="00633FBC"/>
    <w:rsid w:val="00635748"/>
    <w:rsid w:val="0064264F"/>
    <w:rsid w:val="00642901"/>
    <w:rsid w:val="0064376A"/>
    <w:rsid w:val="0064429B"/>
    <w:rsid w:val="006442FF"/>
    <w:rsid w:val="0064467D"/>
    <w:rsid w:val="006449E8"/>
    <w:rsid w:val="00646415"/>
    <w:rsid w:val="006475DE"/>
    <w:rsid w:val="00652A75"/>
    <w:rsid w:val="00652B33"/>
    <w:rsid w:val="00653216"/>
    <w:rsid w:val="0065725E"/>
    <w:rsid w:val="006601C6"/>
    <w:rsid w:val="0066204C"/>
    <w:rsid w:val="006635C1"/>
    <w:rsid w:val="00665630"/>
    <w:rsid w:val="0067062F"/>
    <w:rsid w:val="006769C7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299"/>
    <w:rsid w:val="00695C7F"/>
    <w:rsid w:val="00696F9E"/>
    <w:rsid w:val="006A115E"/>
    <w:rsid w:val="006A12E3"/>
    <w:rsid w:val="006A1B12"/>
    <w:rsid w:val="006A35A0"/>
    <w:rsid w:val="006A511A"/>
    <w:rsid w:val="006A74E4"/>
    <w:rsid w:val="006A7E4A"/>
    <w:rsid w:val="006B2D7C"/>
    <w:rsid w:val="006B336C"/>
    <w:rsid w:val="006B375B"/>
    <w:rsid w:val="006B4EDB"/>
    <w:rsid w:val="006B6E16"/>
    <w:rsid w:val="006B6F52"/>
    <w:rsid w:val="006B7F50"/>
    <w:rsid w:val="006C1112"/>
    <w:rsid w:val="006C129F"/>
    <w:rsid w:val="006C7097"/>
    <w:rsid w:val="006C7D23"/>
    <w:rsid w:val="006D117E"/>
    <w:rsid w:val="006D140C"/>
    <w:rsid w:val="006D2048"/>
    <w:rsid w:val="006D4A1F"/>
    <w:rsid w:val="006D4B16"/>
    <w:rsid w:val="006D4D84"/>
    <w:rsid w:val="006D565F"/>
    <w:rsid w:val="006D6726"/>
    <w:rsid w:val="006D722D"/>
    <w:rsid w:val="006E0925"/>
    <w:rsid w:val="006E5664"/>
    <w:rsid w:val="006E6164"/>
    <w:rsid w:val="006E7C9A"/>
    <w:rsid w:val="006F0BDC"/>
    <w:rsid w:val="006F2CD1"/>
    <w:rsid w:val="006F2E60"/>
    <w:rsid w:val="006F3A87"/>
    <w:rsid w:val="006F575C"/>
    <w:rsid w:val="006F72E2"/>
    <w:rsid w:val="00701DA5"/>
    <w:rsid w:val="00702026"/>
    <w:rsid w:val="00702298"/>
    <w:rsid w:val="007055BB"/>
    <w:rsid w:val="00706267"/>
    <w:rsid w:val="00711A63"/>
    <w:rsid w:val="00715E50"/>
    <w:rsid w:val="00716560"/>
    <w:rsid w:val="00717C93"/>
    <w:rsid w:val="00724859"/>
    <w:rsid w:val="00727960"/>
    <w:rsid w:val="00731F4F"/>
    <w:rsid w:val="00732DC5"/>
    <w:rsid w:val="00733360"/>
    <w:rsid w:val="007340F6"/>
    <w:rsid w:val="00736204"/>
    <w:rsid w:val="00740948"/>
    <w:rsid w:val="00740D47"/>
    <w:rsid w:val="00740D89"/>
    <w:rsid w:val="007412EC"/>
    <w:rsid w:val="00741939"/>
    <w:rsid w:val="00741971"/>
    <w:rsid w:val="00746125"/>
    <w:rsid w:val="007474CA"/>
    <w:rsid w:val="007504A4"/>
    <w:rsid w:val="00750F09"/>
    <w:rsid w:val="007510CB"/>
    <w:rsid w:val="0075598A"/>
    <w:rsid w:val="00756565"/>
    <w:rsid w:val="007632B4"/>
    <w:rsid w:val="00765FB8"/>
    <w:rsid w:val="00767013"/>
    <w:rsid w:val="0077138C"/>
    <w:rsid w:val="00771B6F"/>
    <w:rsid w:val="00773B28"/>
    <w:rsid w:val="007742DF"/>
    <w:rsid w:val="007750DC"/>
    <w:rsid w:val="00776ABA"/>
    <w:rsid w:val="00776C70"/>
    <w:rsid w:val="0078134E"/>
    <w:rsid w:val="0078229C"/>
    <w:rsid w:val="00782C76"/>
    <w:rsid w:val="007836EF"/>
    <w:rsid w:val="00783F1A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FA7"/>
    <w:rsid w:val="007B1FFB"/>
    <w:rsid w:val="007B2B0D"/>
    <w:rsid w:val="007B368C"/>
    <w:rsid w:val="007B52BE"/>
    <w:rsid w:val="007B5729"/>
    <w:rsid w:val="007B610D"/>
    <w:rsid w:val="007C2B1D"/>
    <w:rsid w:val="007C3936"/>
    <w:rsid w:val="007C3D51"/>
    <w:rsid w:val="007C5528"/>
    <w:rsid w:val="007C5D10"/>
    <w:rsid w:val="007C626C"/>
    <w:rsid w:val="007C68EB"/>
    <w:rsid w:val="007D1083"/>
    <w:rsid w:val="007D1113"/>
    <w:rsid w:val="007D21C4"/>
    <w:rsid w:val="007D5379"/>
    <w:rsid w:val="007D7649"/>
    <w:rsid w:val="007E37D0"/>
    <w:rsid w:val="007E660F"/>
    <w:rsid w:val="007F4DED"/>
    <w:rsid w:val="007F71E5"/>
    <w:rsid w:val="008003E4"/>
    <w:rsid w:val="008004BE"/>
    <w:rsid w:val="008011E4"/>
    <w:rsid w:val="008029AF"/>
    <w:rsid w:val="0080550A"/>
    <w:rsid w:val="00806273"/>
    <w:rsid w:val="00806BB4"/>
    <w:rsid w:val="00807183"/>
    <w:rsid w:val="008072E5"/>
    <w:rsid w:val="00807798"/>
    <w:rsid w:val="00810757"/>
    <w:rsid w:val="00811ED4"/>
    <w:rsid w:val="008120E3"/>
    <w:rsid w:val="00813376"/>
    <w:rsid w:val="00813C17"/>
    <w:rsid w:val="008144F3"/>
    <w:rsid w:val="00815210"/>
    <w:rsid w:val="00816161"/>
    <w:rsid w:val="00816353"/>
    <w:rsid w:val="00821A26"/>
    <w:rsid w:val="00824E92"/>
    <w:rsid w:val="00826F8E"/>
    <w:rsid w:val="0083062E"/>
    <w:rsid w:val="00831FB2"/>
    <w:rsid w:val="00832C91"/>
    <w:rsid w:val="008341C9"/>
    <w:rsid w:val="00834C44"/>
    <w:rsid w:val="00835428"/>
    <w:rsid w:val="00835A10"/>
    <w:rsid w:val="0084138E"/>
    <w:rsid w:val="0084749C"/>
    <w:rsid w:val="008505B1"/>
    <w:rsid w:val="0085325D"/>
    <w:rsid w:val="00853903"/>
    <w:rsid w:val="008568B3"/>
    <w:rsid w:val="00856D47"/>
    <w:rsid w:val="00857FEB"/>
    <w:rsid w:val="00860DAE"/>
    <w:rsid w:val="00862EF6"/>
    <w:rsid w:val="0086401B"/>
    <w:rsid w:val="00865D41"/>
    <w:rsid w:val="008706B2"/>
    <w:rsid w:val="00871A9F"/>
    <w:rsid w:val="00876A70"/>
    <w:rsid w:val="00881084"/>
    <w:rsid w:val="008826BE"/>
    <w:rsid w:val="008854A4"/>
    <w:rsid w:val="00885F60"/>
    <w:rsid w:val="00886D14"/>
    <w:rsid w:val="00892BC2"/>
    <w:rsid w:val="00894755"/>
    <w:rsid w:val="00894EF4"/>
    <w:rsid w:val="0089548A"/>
    <w:rsid w:val="00896A4D"/>
    <w:rsid w:val="008A038B"/>
    <w:rsid w:val="008A5746"/>
    <w:rsid w:val="008A5B77"/>
    <w:rsid w:val="008A6C64"/>
    <w:rsid w:val="008A7C5D"/>
    <w:rsid w:val="008B1559"/>
    <w:rsid w:val="008B1A6E"/>
    <w:rsid w:val="008B1DEC"/>
    <w:rsid w:val="008B7792"/>
    <w:rsid w:val="008C3584"/>
    <w:rsid w:val="008C39B7"/>
    <w:rsid w:val="008C3FF7"/>
    <w:rsid w:val="008C53AB"/>
    <w:rsid w:val="008C7749"/>
    <w:rsid w:val="008D143A"/>
    <w:rsid w:val="008D1DEE"/>
    <w:rsid w:val="008D44BE"/>
    <w:rsid w:val="008D4DB5"/>
    <w:rsid w:val="008E0474"/>
    <w:rsid w:val="008E0C8C"/>
    <w:rsid w:val="008E0EB6"/>
    <w:rsid w:val="008E2713"/>
    <w:rsid w:val="008E348B"/>
    <w:rsid w:val="008E36B5"/>
    <w:rsid w:val="008E63C6"/>
    <w:rsid w:val="008E7784"/>
    <w:rsid w:val="008F1F23"/>
    <w:rsid w:val="008F2364"/>
    <w:rsid w:val="008F60DC"/>
    <w:rsid w:val="00900AB8"/>
    <w:rsid w:val="00900D47"/>
    <w:rsid w:val="009027B2"/>
    <w:rsid w:val="0090593D"/>
    <w:rsid w:val="00905C53"/>
    <w:rsid w:val="0090724F"/>
    <w:rsid w:val="00907F1B"/>
    <w:rsid w:val="00910DA3"/>
    <w:rsid w:val="009155F6"/>
    <w:rsid w:val="00916D96"/>
    <w:rsid w:val="00922736"/>
    <w:rsid w:val="00923396"/>
    <w:rsid w:val="00923777"/>
    <w:rsid w:val="0093176D"/>
    <w:rsid w:val="00931BBE"/>
    <w:rsid w:val="0093662F"/>
    <w:rsid w:val="00936FEF"/>
    <w:rsid w:val="00937B80"/>
    <w:rsid w:val="00940769"/>
    <w:rsid w:val="009419D2"/>
    <w:rsid w:val="00942B1B"/>
    <w:rsid w:val="0094452F"/>
    <w:rsid w:val="00945751"/>
    <w:rsid w:val="00947B72"/>
    <w:rsid w:val="00950CC0"/>
    <w:rsid w:val="009512B5"/>
    <w:rsid w:val="00952B4C"/>
    <w:rsid w:val="00952EA2"/>
    <w:rsid w:val="00954530"/>
    <w:rsid w:val="00956BEF"/>
    <w:rsid w:val="00960119"/>
    <w:rsid w:val="009625D1"/>
    <w:rsid w:val="009671B7"/>
    <w:rsid w:val="00967D30"/>
    <w:rsid w:val="0097171D"/>
    <w:rsid w:val="009753EF"/>
    <w:rsid w:val="00981053"/>
    <w:rsid w:val="00982959"/>
    <w:rsid w:val="0098320D"/>
    <w:rsid w:val="0098353D"/>
    <w:rsid w:val="009855D0"/>
    <w:rsid w:val="00986F8A"/>
    <w:rsid w:val="009905BF"/>
    <w:rsid w:val="00992FEB"/>
    <w:rsid w:val="00994901"/>
    <w:rsid w:val="009954DB"/>
    <w:rsid w:val="009961A0"/>
    <w:rsid w:val="009965CA"/>
    <w:rsid w:val="00996968"/>
    <w:rsid w:val="00997C5F"/>
    <w:rsid w:val="009A0C8F"/>
    <w:rsid w:val="009A5FFA"/>
    <w:rsid w:val="009A72A2"/>
    <w:rsid w:val="009A762C"/>
    <w:rsid w:val="009B1221"/>
    <w:rsid w:val="009B2DC8"/>
    <w:rsid w:val="009B3CDA"/>
    <w:rsid w:val="009B6470"/>
    <w:rsid w:val="009B792C"/>
    <w:rsid w:val="009C0EFB"/>
    <w:rsid w:val="009C19F6"/>
    <w:rsid w:val="009C3917"/>
    <w:rsid w:val="009C590A"/>
    <w:rsid w:val="009D0190"/>
    <w:rsid w:val="009D0448"/>
    <w:rsid w:val="009D0536"/>
    <w:rsid w:val="009D0BC8"/>
    <w:rsid w:val="009D4E4D"/>
    <w:rsid w:val="009D53DF"/>
    <w:rsid w:val="009D6004"/>
    <w:rsid w:val="009D640E"/>
    <w:rsid w:val="009D6EDE"/>
    <w:rsid w:val="009D6F5D"/>
    <w:rsid w:val="009D70C3"/>
    <w:rsid w:val="009E0939"/>
    <w:rsid w:val="009E0958"/>
    <w:rsid w:val="009E0BFD"/>
    <w:rsid w:val="009E486C"/>
    <w:rsid w:val="009E6686"/>
    <w:rsid w:val="009E6764"/>
    <w:rsid w:val="009E6A3C"/>
    <w:rsid w:val="009E6FA2"/>
    <w:rsid w:val="009E7122"/>
    <w:rsid w:val="009F0AB0"/>
    <w:rsid w:val="009F4EB1"/>
    <w:rsid w:val="009F56DF"/>
    <w:rsid w:val="009F5CEB"/>
    <w:rsid w:val="009F6693"/>
    <w:rsid w:val="009F7787"/>
    <w:rsid w:val="009F7C83"/>
    <w:rsid w:val="00A014EA"/>
    <w:rsid w:val="00A01D9D"/>
    <w:rsid w:val="00A0467A"/>
    <w:rsid w:val="00A063BA"/>
    <w:rsid w:val="00A068BD"/>
    <w:rsid w:val="00A1258B"/>
    <w:rsid w:val="00A148E4"/>
    <w:rsid w:val="00A15E14"/>
    <w:rsid w:val="00A15FFE"/>
    <w:rsid w:val="00A17269"/>
    <w:rsid w:val="00A2072D"/>
    <w:rsid w:val="00A22FCB"/>
    <w:rsid w:val="00A2443D"/>
    <w:rsid w:val="00A2723F"/>
    <w:rsid w:val="00A30B26"/>
    <w:rsid w:val="00A3179B"/>
    <w:rsid w:val="00A409A7"/>
    <w:rsid w:val="00A40AB2"/>
    <w:rsid w:val="00A440E6"/>
    <w:rsid w:val="00A50DFF"/>
    <w:rsid w:val="00A54F86"/>
    <w:rsid w:val="00A562A5"/>
    <w:rsid w:val="00A60584"/>
    <w:rsid w:val="00A60807"/>
    <w:rsid w:val="00A60BD3"/>
    <w:rsid w:val="00A621CC"/>
    <w:rsid w:val="00A65A1D"/>
    <w:rsid w:val="00A65AB3"/>
    <w:rsid w:val="00A67A5F"/>
    <w:rsid w:val="00A72801"/>
    <w:rsid w:val="00A72D00"/>
    <w:rsid w:val="00A76830"/>
    <w:rsid w:val="00A7695E"/>
    <w:rsid w:val="00A77806"/>
    <w:rsid w:val="00A77FC4"/>
    <w:rsid w:val="00A8095D"/>
    <w:rsid w:val="00A82E65"/>
    <w:rsid w:val="00A846EA"/>
    <w:rsid w:val="00A869AA"/>
    <w:rsid w:val="00A876EE"/>
    <w:rsid w:val="00A87897"/>
    <w:rsid w:val="00A90DA5"/>
    <w:rsid w:val="00A939D0"/>
    <w:rsid w:val="00A9411C"/>
    <w:rsid w:val="00A942BF"/>
    <w:rsid w:val="00A9551F"/>
    <w:rsid w:val="00A96506"/>
    <w:rsid w:val="00A97FE0"/>
    <w:rsid w:val="00AA0B72"/>
    <w:rsid w:val="00AA250C"/>
    <w:rsid w:val="00AA4342"/>
    <w:rsid w:val="00AB004C"/>
    <w:rsid w:val="00AB03FC"/>
    <w:rsid w:val="00AB2197"/>
    <w:rsid w:val="00AB53C0"/>
    <w:rsid w:val="00AB63C5"/>
    <w:rsid w:val="00AB751F"/>
    <w:rsid w:val="00AC1228"/>
    <w:rsid w:val="00AC1E90"/>
    <w:rsid w:val="00AC63DB"/>
    <w:rsid w:val="00AC6873"/>
    <w:rsid w:val="00AC7296"/>
    <w:rsid w:val="00AD2743"/>
    <w:rsid w:val="00AD4B45"/>
    <w:rsid w:val="00AD6FD6"/>
    <w:rsid w:val="00AD7A69"/>
    <w:rsid w:val="00AD7F21"/>
    <w:rsid w:val="00AE0FEC"/>
    <w:rsid w:val="00AE227B"/>
    <w:rsid w:val="00AE4918"/>
    <w:rsid w:val="00AE58C0"/>
    <w:rsid w:val="00AE5D24"/>
    <w:rsid w:val="00AE71FD"/>
    <w:rsid w:val="00AE7883"/>
    <w:rsid w:val="00AE7C0F"/>
    <w:rsid w:val="00AF075A"/>
    <w:rsid w:val="00AF16CF"/>
    <w:rsid w:val="00AF1ED1"/>
    <w:rsid w:val="00AF3379"/>
    <w:rsid w:val="00AF5E5B"/>
    <w:rsid w:val="00AF7992"/>
    <w:rsid w:val="00AF7C5B"/>
    <w:rsid w:val="00B02DFE"/>
    <w:rsid w:val="00B0598F"/>
    <w:rsid w:val="00B107E0"/>
    <w:rsid w:val="00B13755"/>
    <w:rsid w:val="00B156D9"/>
    <w:rsid w:val="00B16DC3"/>
    <w:rsid w:val="00B171D8"/>
    <w:rsid w:val="00B17B7F"/>
    <w:rsid w:val="00B27B39"/>
    <w:rsid w:val="00B32446"/>
    <w:rsid w:val="00B36034"/>
    <w:rsid w:val="00B37A34"/>
    <w:rsid w:val="00B41731"/>
    <w:rsid w:val="00B41D9B"/>
    <w:rsid w:val="00B44DAB"/>
    <w:rsid w:val="00B462C6"/>
    <w:rsid w:val="00B47743"/>
    <w:rsid w:val="00B524C3"/>
    <w:rsid w:val="00B53B04"/>
    <w:rsid w:val="00B54E36"/>
    <w:rsid w:val="00B61011"/>
    <w:rsid w:val="00B6514A"/>
    <w:rsid w:val="00B65C16"/>
    <w:rsid w:val="00B7156E"/>
    <w:rsid w:val="00B72BB2"/>
    <w:rsid w:val="00B732D8"/>
    <w:rsid w:val="00B73788"/>
    <w:rsid w:val="00B75966"/>
    <w:rsid w:val="00B81071"/>
    <w:rsid w:val="00B82C1F"/>
    <w:rsid w:val="00B87110"/>
    <w:rsid w:val="00B92E8F"/>
    <w:rsid w:val="00B946BE"/>
    <w:rsid w:val="00B95274"/>
    <w:rsid w:val="00B95526"/>
    <w:rsid w:val="00B96F16"/>
    <w:rsid w:val="00B9798F"/>
    <w:rsid w:val="00BA1799"/>
    <w:rsid w:val="00BA47E4"/>
    <w:rsid w:val="00BA5EC7"/>
    <w:rsid w:val="00BA69FE"/>
    <w:rsid w:val="00BB11E0"/>
    <w:rsid w:val="00BB1C18"/>
    <w:rsid w:val="00BB1C52"/>
    <w:rsid w:val="00BB2021"/>
    <w:rsid w:val="00BB3E14"/>
    <w:rsid w:val="00BB4AAF"/>
    <w:rsid w:val="00BB5917"/>
    <w:rsid w:val="00BB6487"/>
    <w:rsid w:val="00BB7E01"/>
    <w:rsid w:val="00BC0E9D"/>
    <w:rsid w:val="00BC2641"/>
    <w:rsid w:val="00BC27FF"/>
    <w:rsid w:val="00BC2CE6"/>
    <w:rsid w:val="00BC3005"/>
    <w:rsid w:val="00BD10C8"/>
    <w:rsid w:val="00BD3894"/>
    <w:rsid w:val="00BD3B26"/>
    <w:rsid w:val="00BD46C3"/>
    <w:rsid w:val="00BD4C05"/>
    <w:rsid w:val="00BD5F05"/>
    <w:rsid w:val="00BE1743"/>
    <w:rsid w:val="00BE323E"/>
    <w:rsid w:val="00BE3B07"/>
    <w:rsid w:val="00BE3C52"/>
    <w:rsid w:val="00BE3C78"/>
    <w:rsid w:val="00BE69F8"/>
    <w:rsid w:val="00BE7B54"/>
    <w:rsid w:val="00BF1014"/>
    <w:rsid w:val="00BF397C"/>
    <w:rsid w:val="00BF3D56"/>
    <w:rsid w:val="00BF3F02"/>
    <w:rsid w:val="00BF7213"/>
    <w:rsid w:val="00BF7A33"/>
    <w:rsid w:val="00C01587"/>
    <w:rsid w:val="00C0190B"/>
    <w:rsid w:val="00C01D91"/>
    <w:rsid w:val="00C04CA4"/>
    <w:rsid w:val="00C05580"/>
    <w:rsid w:val="00C07F11"/>
    <w:rsid w:val="00C07F1F"/>
    <w:rsid w:val="00C10F66"/>
    <w:rsid w:val="00C159F0"/>
    <w:rsid w:val="00C209F5"/>
    <w:rsid w:val="00C216EA"/>
    <w:rsid w:val="00C2523D"/>
    <w:rsid w:val="00C2580B"/>
    <w:rsid w:val="00C25F3B"/>
    <w:rsid w:val="00C2608C"/>
    <w:rsid w:val="00C27973"/>
    <w:rsid w:val="00C32042"/>
    <w:rsid w:val="00C3273E"/>
    <w:rsid w:val="00C34301"/>
    <w:rsid w:val="00C3592F"/>
    <w:rsid w:val="00C36844"/>
    <w:rsid w:val="00C37338"/>
    <w:rsid w:val="00C376BE"/>
    <w:rsid w:val="00C379FF"/>
    <w:rsid w:val="00C41348"/>
    <w:rsid w:val="00C41583"/>
    <w:rsid w:val="00C419EA"/>
    <w:rsid w:val="00C44B0F"/>
    <w:rsid w:val="00C44B4C"/>
    <w:rsid w:val="00C45302"/>
    <w:rsid w:val="00C5044B"/>
    <w:rsid w:val="00C520CF"/>
    <w:rsid w:val="00C56111"/>
    <w:rsid w:val="00C57BF7"/>
    <w:rsid w:val="00C60B36"/>
    <w:rsid w:val="00C63515"/>
    <w:rsid w:val="00C67345"/>
    <w:rsid w:val="00C70724"/>
    <w:rsid w:val="00C70757"/>
    <w:rsid w:val="00C74A64"/>
    <w:rsid w:val="00C75DC3"/>
    <w:rsid w:val="00C76826"/>
    <w:rsid w:val="00C76839"/>
    <w:rsid w:val="00C77475"/>
    <w:rsid w:val="00C817CB"/>
    <w:rsid w:val="00C8293A"/>
    <w:rsid w:val="00C832F7"/>
    <w:rsid w:val="00C83AA2"/>
    <w:rsid w:val="00C8457F"/>
    <w:rsid w:val="00C846B1"/>
    <w:rsid w:val="00C862B8"/>
    <w:rsid w:val="00C878C6"/>
    <w:rsid w:val="00C87F11"/>
    <w:rsid w:val="00C91277"/>
    <w:rsid w:val="00C9204C"/>
    <w:rsid w:val="00C92306"/>
    <w:rsid w:val="00C95010"/>
    <w:rsid w:val="00C96469"/>
    <w:rsid w:val="00CA0686"/>
    <w:rsid w:val="00CA0DB7"/>
    <w:rsid w:val="00CA1D3C"/>
    <w:rsid w:val="00CA3A70"/>
    <w:rsid w:val="00CA4C90"/>
    <w:rsid w:val="00CA53B3"/>
    <w:rsid w:val="00CB1074"/>
    <w:rsid w:val="00CB1877"/>
    <w:rsid w:val="00CB1EA6"/>
    <w:rsid w:val="00CB2665"/>
    <w:rsid w:val="00CB2FFD"/>
    <w:rsid w:val="00CB33B3"/>
    <w:rsid w:val="00CB6D4B"/>
    <w:rsid w:val="00CB742A"/>
    <w:rsid w:val="00CC2DE8"/>
    <w:rsid w:val="00CC3149"/>
    <w:rsid w:val="00CC3E9B"/>
    <w:rsid w:val="00CC5408"/>
    <w:rsid w:val="00CD0E5A"/>
    <w:rsid w:val="00CD22F6"/>
    <w:rsid w:val="00CD4DA7"/>
    <w:rsid w:val="00CD5EA2"/>
    <w:rsid w:val="00CD60A6"/>
    <w:rsid w:val="00CD766B"/>
    <w:rsid w:val="00CD7B94"/>
    <w:rsid w:val="00CE20F7"/>
    <w:rsid w:val="00CE44DA"/>
    <w:rsid w:val="00CE4EE4"/>
    <w:rsid w:val="00CF265F"/>
    <w:rsid w:val="00CF2A2F"/>
    <w:rsid w:val="00CF5BCB"/>
    <w:rsid w:val="00CF6425"/>
    <w:rsid w:val="00CF7013"/>
    <w:rsid w:val="00D0022E"/>
    <w:rsid w:val="00D01383"/>
    <w:rsid w:val="00D044D7"/>
    <w:rsid w:val="00D05234"/>
    <w:rsid w:val="00D062E2"/>
    <w:rsid w:val="00D11519"/>
    <w:rsid w:val="00D11874"/>
    <w:rsid w:val="00D1195B"/>
    <w:rsid w:val="00D11BDA"/>
    <w:rsid w:val="00D13A63"/>
    <w:rsid w:val="00D140AB"/>
    <w:rsid w:val="00D14103"/>
    <w:rsid w:val="00D15084"/>
    <w:rsid w:val="00D16400"/>
    <w:rsid w:val="00D167EA"/>
    <w:rsid w:val="00D16AB8"/>
    <w:rsid w:val="00D16F94"/>
    <w:rsid w:val="00D204AA"/>
    <w:rsid w:val="00D20B63"/>
    <w:rsid w:val="00D21BB7"/>
    <w:rsid w:val="00D225A9"/>
    <w:rsid w:val="00D22AFA"/>
    <w:rsid w:val="00D27C1E"/>
    <w:rsid w:val="00D309F9"/>
    <w:rsid w:val="00D30A51"/>
    <w:rsid w:val="00D31A56"/>
    <w:rsid w:val="00D3387B"/>
    <w:rsid w:val="00D34830"/>
    <w:rsid w:val="00D35640"/>
    <w:rsid w:val="00D3696B"/>
    <w:rsid w:val="00D40A6E"/>
    <w:rsid w:val="00D41259"/>
    <w:rsid w:val="00D4227E"/>
    <w:rsid w:val="00D425D5"/>
    <w:rsid w:val="00D42B25"/>
    <w:rsid w:val="00D44CA6"/>
    <w:rsid w:val="00D45EB8"/>
    <w:rsid w:val="00D46C7A"/>
    <w:rsid w:val="00D47F26"/>
    <w:rsid w:val="00D501D6"/>
    <w:rsid w:val="00D50D09"/>
    <w:rsid w:val="00D51242"/>
    <w:rsid w:val="00D51E36"/>
    <w:rsid w:val="00D51EA0"/>
    <w:rsid w:val="00D563DF"/>
    <w:rsid w:val="00D56A80"/>
    <w:rsid w:val="00D619E0"/>
    <w:rsid w:val="00D628D2"/>
    <w:rsid w:val="00D628DC"/>
    <w:rsid w:val="00D63BFC"/>
    <w:rsid w:val="00D701C0"/>
    <w:rsid w:val="00D70BFD"/>
    <w:rsid w:val="00D7176B"/>
    <w:rsid w:val="00D75FA5"/>
    <w:rsid w:val="00D777D3"/>
    <w:rsid w:val="00D8059B"/>
    <w:rsid w:val="00D82903"/>
    <w:rsid w:val="00D837CB"/>
    <w:rsid w:val="00D842BE"/>
    <w:rsid w:val="00D86665"/>
    <w:rsid w:val="00D8667D"/>
    <w:rsid w:val="00D8728F"/>
    <w:rsid w:val="00D87929"/>
    <w:rsid w:val="00D97D21"/>
    <w:rsid w:val="00DA283E"/>
    <w:rsid w:val="00DA47AC"/>
    <w:rsid w:val="00DA4854"/>
    <w:rsid w:val="00DA4FCF"/>
    <w:rsid w:val="00DB02B4"/>
    <w:rsid w:val="00DB10C7"/>
    <w:rsid w:val="00DB286D"/>
    <w:rsid w:val="00DB3B65"/>
    <w:rsid w:val="00DB4877"/>
    <w:rsid w:val="00DB4E9C"/>
    <w:rsid w:val="00DB518E"/>
    <w:rsid w:val="00DB5D09"/>
    <w:rsid w:val="00DB7F65"/>
    <w:rsid w:val="00DC2108"/>
    <w:rsid w:val="00DC33F0"/>
    <w:rsid w:val="00DC33FE"/>
    <w:rsid w:val="00DC4C2B"/>
    <w:rsid w:val="00DC5A9E"/>
    <w:rsid w:val="00DC70E6"/>
    <w:rsid w:val="00DD0C4B"/>
    <w:rsid w:val="00DD2BAE"/>
    <w:rsid w:val="00DD3E0E"/>
    <w:rsid w:val="00DD68E6"/>
    <w:rsid w:val="00DD712B"/>
    <w:rsid w:val="00DE190D"/>
    <w:rsid w:val="00DE267F"/>
    <w:rsid w:val="00DE3C08"/>
    <w:rsid w:val="00DE5A14"/>
    <w:rsid w:val="00DE7003"/>
    <w:rsid w:val="00DE729C"/>
    <w:rsid w:val="00DF06FC"/>
    <w:rsid w:val="00DF21E0"/>
    <w:rsid w:val="00DF5763"/>
    <w:rsid w:val="00E06BEA"/>
    <w:rsid w:val="00E111BE"/>
    <w:rsid w:val="00E1126F"/>
    <w:rsid w:val="00E11C92"/>
    <w:rsid w:val="00E162F8"/>
    <w:rsid w:val="00E16799"/>
    <w:rsid w:val="00E17272"/>
    <w:rsid w:val="00E17A05"/>
    <w:rsid w:val="00E17BB1"/>
    <w:rsid w:val="00E20786"/>
    <w:rsid w:val="00E20BA5"/>
    <w:rsid w:val="00E20C40"/>
    <w:rsid w:val="00E220D0"/>
    <w:rsid w:val="00E24F47"/>
    <w:rsid w:val="00E252DC"/>
    <w:rsid w:val="00E2602B"/>
    <w:rsid w:val="00E27B51"/>
    <w:rsid w:val="00E30981"/>
    <w:rsid w:val="00E31B42"/>
    <w:rsid w:val="00E349A2"/>
    <w:rsid w:val="00E34D06"/>
    <w:rsid w:val="00E35898"/>
    <w:rsid w:val="00E37357"/>
    <w:rsid w:val="00E401DD"/>
    <w:rsid w:val="00E40E31"/>
    <w:rsid w:val="00E416A5"/>
    <w:rsid w:val="00E45AA4"/>
    <w:rsid w:val="00E52469"/>
    <w:rsid w:val="00E5502C"/>
    <w:rsid w:val="00E55167"/>
    <w:rsid w:val="00E56A17"/>
    <w:rsid w:val="00E57444"/>
    <w:rsid w:val="00E620AA"/>
    <w:rsid w:val="00E626C9"/>
    <w:rsid w:val="00E63BEB"/>
    <w:rsid w:val="00E655E0"/>
    <w:rsid w:val="00E657E9"/>
    <w:rsid w:val="00E71D41"/>
    <w:rsid w:val="00E7497E"/>
    <w:rsid w:val="00E74997"/>
    <w:rsid w:val="00E7617F"/>
    <w:rsid w:val="00E76F6E"/>
    <w:rsid w:val="00E80FB0"/>
    <w:rsid w:val="00E81567"/>
    <w:rsid w:val="00E81D28"/>
    <w:rsid w:val="00E832E8"/>
    <w:rsid w:val="00E8405D"/>
    <w:rsid w:val="00E86623"/>
    <w:rsid w:val="00E908EA"/>
    <w:rsid w:val="00E9099C"/>
    <w:rsid w:val="00E91DEA"/>
    <w:rsid w:val="00E920C5"/>
    <w:rsid w:val="00E92BB7"/>
    <w:rsid w:val="00E9761B"/>
    <w:rsid w:val="00EA0AAB"/>
    <w:rsid w:val="00EA255C"/>
    <w:rsid w:val="00EB22B1"/>
    <w:rsid w:val="00EB3DAC"/>
    <w:rsid w:val="00EB4CF1"/>
    <w:rsid w:val="00EB68CC"/>
    <w:rsid w:val="00EB7992"/>
    <w:rsid w:val="00EC3CF2"/>
    <w:rsid w:val="00EC43E9"/>
    <w:rsid w:val="00EC4EF4"/>
    <w:rsid w:val="00EC524C"/>
    <w:rsid w:val="00EC535E"/>
    <w:rsid w:val="00EC7079"/>
    <w:rsid w:val="00ED1DDC"/>
    <w:rsid w:val="00ED3706"/>
    <w:rsid w:val="00ED55F8"/>
    <w:rsid w:val="00ED5DF4"/>
    <w:rsid w:val="00EE0880"/>
    <w:rsid w:val="00EE11B7"/>
    <w:rsid w:val="00EE68C7"/>
    <w:rsid w:val="00EF1C23"/>
    <w:rsid w:val="00EF3034"/>
    <w:rsid w:val="00EF433E"/>
    <w:rsid w:val="00EF52FA"/>
    <w:rsid w:val="00EF63AA"/>
    <w:rsid w:val="00EF7EC2"/>
    <w:rsid w:val="00F113F8"/>
    <w:rsid w:val="00F15B4E"/>
    <w:rsid w:val="00F175A0"/>
    <w:rsid w:val="00F17AFB"/>
    <w:rsid w:val="00F2458E"/>
    <w:rsid w:val="00F258BE"/>
    <w:rsid w:val="00F26D5E"/>
    <w:rsid w:val="00F274CA"/>
    <w:rsid w:val="00F34348"/>
    <w:rsid w:val="00F352E6"/>
    <w:rsid w:val="00F36E68"/>
    <w:rsid w:val="00F4054F"/>
    <w:rsid w:val="00F4180C"/>
    <w:rsid w:val="00F444D8"/>
    <w:rsid w:val="00F44C78"/>
    <w:rsid w:val="00F47AC5"/>
    <w:rsid w:val="00F50089"/>
    <w:rsid w:val="00F50C1A"/>
    <w:rsid w:val="00F52141"/>
    <w:rsid w:val="00F526A7"/>
    <w:rsid w:val="00F55C4C"/>
    <w:rsid w:val="00F624C5"/>
    <w:rsid w:val="00F652BB"/>
    <w:rsid w:val="00F6544C"/>
    <w:rsid w:val="00F656FA"/>
    <w:rsid w:val="00F6668C"/>
    <w:rsid w:val="00F67AB0"/>
    <w:rsid w:val="00F67AC0"/>
    <w:rsid w:val="00F7210A"/>
    <w:rsid w:val="00F77CE1"/>
    <w:rsid w:val="00F8215E"/>
    <w:rsid w:val="00F82836"/>
    <w:rsid w:val="00F83434"/>
    <w:rsid w:val="00F8452B"/>
    <w:rsid w:val="00F864A1"/>
    <w:rsid w:val="00F931D9"/>
    <w:rsid w:val="00F9365B"/>
    <w:rsid w:val="00F941A2"/>
    <w:rsid w:val="00F948EB"/>
    <w:rsid w:val="00F94C8B"/>
    <w:rsid w:val="00F94EFC"/>
    <w:rsid w:val="00F96892"/>
    <w:rsid w:val="00FA19CD"/>
    <w:rsid w:val="00FA4AE6"/>
    <w:rsid w:val="00FA63C7"/>
    <w:rsid w:val="00FA721E"/>
    <w:rsid w:val="00FB17EE"/>
    <w:rsid w:val="00FB261C"/>
    <w:rsid w:val="00FB3AB3"/>
    <w:rsid w:val="00FB4D35"/>
    <w:rsid w:val="00FB5FD4"/>
    <w:rsid w:val="00FB6A76"/>
    <w:rsid w:val="00FC0B64"/>
    <w:rsid w:val="00FC0D37"/>
    <w:rsid w:val="00FC3BDF"/>
    <w:rsid w:val="00FC456A"/>
    <w:rsid w:val="00FD0334"/>
    <w:rsid w:val="00FD05AA"/>
    <w:rsid w:val="00FD1E3F"/>
    <w:rsid w:val="00FD3288"/>
    <w:rsid w:val="00FD3E85"/>
    <w:rsid w:val="00FD667E"/>
    <w:rsid w:val="00FD684C"/>
    <w:rsid w:val="00FE1716"/>
    <w:rsid w:val="00FE1D58"/>
    <w:rsid w:val="00FE52DE"/>
    <w:rsid w:val="00FE6564"/>
    <w:rsid w:val="00FE70FF"/>
    <w:rsid w:val="00FF3A8D"/>
    <w:rsid w:val="00FF5B3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1"/>
    <o:shapelayout v:ext="edit">
      <o:idmap v:ext="edit" data="1"/>
    </o:shapelayout>
  </w:shapeDefaults>
  <w:decimalSymbol w:val=","/>
  <w:listSeparator w:val=";"/>
  <w14:docId w14:val="5BBAB82E"/>
  <w15:docId w15:val="{F13B0D9B-29F7-4310-9DA8-540358B1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16400"/>
    <w:rPr>
      <w:lang w:val="en-US" w:eastAsia="en-US"/>
    </w:rPr>
  </w:style>
  <w:style w:type="table" w:styleId="Mriekatabuky">
    <w:name w:val="Table Grid"/>
    <w:basedOn w:val="Normlnatabuka"/>
    <w:uiPriority w:val="59"/>
    <w:rsid w:val="008B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E69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package" Target="embeddings/Dokument_programu_Microsoft_Word4.docx"/><Relationship Id="rId3" Type="http://schemas.openxmlformats.org/officeDocument/2006/relationships/image" Target="media/image2.emf"/><Relationship Id="rId7" Type="http://schemas.openxmlformats.org/officeDocument/2006/relationships/image" Target="media/image4.emf"/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Relationship Id="rId6" Type="http://schemas.openxmlformats.org/officeDocument/2006/relationships/package" Target="embeddings/Dokument_programu_Microsoft_Word3.docx"/><Relationship Id="rId5" Type="http://schemas.openxmlformats.org/officeDocument/2006/relationships/image" Target="media/image3.emf"/><Relationship Id="rId4" Type="http://schemas.openxmlformats.org/officeDocument/2006/relationships/package" Target="embeddings/Dokument_programu_Microsoft_Word2.docx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C549-0105-4243-937A-1421AA05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7942</Words>
  <Characters>50491</Characters>
  <Application>Microsoft Office Word</Application>
  <DocSecurity>0</DocSecurity>
  <Lines>420</Lines>
  <Paragraphs>116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 (SPC)</vt:lpstr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58317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Medvecká, Patrícia</cp:lastModifiedBy>
  <cp:revision>2</cp:revision>
  <cp:lastPrinted>2019-02-27T14:55:00Z</cp:lastPrinted>
  <dcterms:created xsi:type="dcterms:W3CDTF">2019-09-20T08:56:00Z</dcterms:created>
  <dcterms:modified xsi:type="dcterms:W3CDTF">2019-09-20T08:56:00Z</dcterms:modified>
</cp:coreProperties>
</file>